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rPr>
          <w:rFonts w:hint="eastAsia" w:eastAsia="黑体"/>
          <w:b/>
          <w:bCs/>
          <w:sz w:val="84"/>
        </w:rPr>
      </w:pPr>
      <w:r>
        <w:rPr>
          <w:rFonts w:hint="eastAsia" w:eastAsia="黑体"/>
          <w:b/>
          <w:bCs/>
          <w:sz w:val="84"/>
        </w:rPr>
        <w:t xml:space="preserve"> </w:t>
      </w:r>
      <w:r/>
    </w:p>
    <w:p>
      <w:pPr>
        <w:pStyle w:val="100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2"/>
        <w:ind w:firstLine="0"/>
        <w:rPr>
          <w:rFonts w:hint="eastAsia"/>
          <w:b/>
          <w:bCs/>
          <w:sz w:val="32"/>
        </w:rPr>
      </w:pPr>
      <w:r>
        <w:rPr>
          <w:rFonts w:hint="eastAsia"/>
          <w:b/>
          <w:bCs/>
          <w:sz w:val="32"/>
        </w:rPr>
        <w:t xml:space="preserve">项目名称：江苏大学附属医院物业服务（内科楼、肿瘤楼）采购项目</w:t>
      </w:r>
      <w:r>
        <w:rPr>
          <w:rFonts w:hint="eastAsia"/>
          <w:b/>
          <w:bCs/>
          <w:sz w:val="32"/>
        </w:rPr>
      </w:r>
      <w:r/>
    </w:p>
    <w:p>
      <w:pPr>
        <w:pStyle w:val="895"/>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SCZX-G2026-0468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95"/>
        <w:ind w:left="2811" w:hanging="2811"/>
        <w:jc w:val="center"/>
        <w:rPr>
          <w:rFonts w:hint="eastAsia"/>
          <w:b/>
          <w:color w:val="ff0000"/>
          <w:sz w:val="28"/>
          <w:szCs w:val="28"/>
        </w:rPr>
      </w:pPr>
      <w:r>
        <w:rPr>
          <w:rFonts w:hint="eastAsia"/>
          <w:b/>
          <w:color w:val="ff0000"/>
          <w:sz w:val="28"/>
          <w:szCs w:val="28"/>
        </w:rPr>
      </w:r>
      <w:r/>
    </w:p>
    <w:p>
      <w:pPr>
        <w:pStyle w:val="895"/>
        <w:jc w:val="center"/>
        <w:rPr>
          <w:rFonts w:hint="eastAsia"/>
          <w:b/>
          <w:color w:val="ff0000"/>
          <w:sz w:val="24"/>
          <w:szCs w:val="24"/>
        </w:rPr>
      </w:pPr>
      <w:r>
        <w:rPr>
          <w:rFonts w:hint="eastAsia"/>
          <w:b/>
          <w:color w:val="ff0000"/>
          <w:sz w:val="24"/>
          <w:szCs w:val="24"/>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2"/>
        <w:ind w:firstLine="0"/>
        <w:jc w:val="center"/>
        <w:rPr>
          <w:rFonts w:hint="eastAsia"/>
          <w:b/>
          <w:bCs/>
          <w:sz w:val="32"/>
        </w:rPr>
      </w:pPr>
      <w:r>
        <w:rPr>
          <w:rFonts w:hint="eastAsia"/>
          <w:b/>
          <w:bCs/>
          <w:sz w:val="32"/>
        </w:rPr>
        <w:t xml:space="preserve">2026年11月</w:t>
      </w:r>
      <w:r>
        <w:rPr>
          <w:rFonts w:hint="eastAsia"/>
          <w:b/>
          <w:bCs/>
          <w:sz w:val="32"/>
        </w:rPr>
      </w:r>
      <w:r/>
    </w:p>
    <w:p>
      <w:pPr>
        <w:pStyle w:val="1002"/>
        <w:ind w:firstLine="0"/>
        <w:rPr>
          <w:rFonts w:hint="eastAsia"/>
          <w:u w:val="single"/>
        </w:rPr>
      </w:pPr>
      <w:r>
        <w:rPr>
          <w:rFonts w:hint="eastAsia"/>
        </w:rPr>
        <w:t xml:space="preserve">                        </w:t>
      </w:r>
      <w:r>
        <w:rPr>
          <w:rFonts w:hint="eastAsia"/>
          <w:u w:val="single"/>
        </w:rPr>
      </w:r>
      <w:r/>
    </w:p>
    <w:p>
      <w:pPr>
        <w:pStyle w:val="1002"/>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34</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48</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………………………………55</w:t>
      </w:r>
      <w:r>
        <w:rPr>
          <w:rFonts w:hint="eastAsia" w:ascii="黑体" w:hAnsi="Showcard Gothic" w:eastAsia="黑体"/>
          <w:sz w:val="36"/>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spacing w:line="400" w:lineRule="exact"/>
        <w:rPr>
          <w:rFonts w:ascii="宋体" w:hAnsi="宋体"/>
          <w:sz w:val="24"/>
          <w:szCs w:val="24"/>
        </w:rPr>
      </w:pPr>
      <w:r>
        <w:rPr>
          <w:rFonts w:hint="eastAsia" w:ascii="宋体" w:hAnsi="宋体"/>
          <w:sz w:val="24"/>
          <w:szCs w:val="24"/>
        </w:rPr>
        <w:t xml:space="preserve">受江苏大学附属医院的委托，江苏省政府采购中心就江苏大学附属医院物业服务（内科楼、肿瘤楼）采购项目(JSZC-320000-SCZX-G2026-0468)项目进行公开招标采购，欢迎符合条件的供应商投标。</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江苏大学附属医院物业服务（内科楼、肿瘤楼）采购项目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w:t>
      </w:r>
      <w:r>
        <w:rPr>
          <w:rFonts w:hint="eastAsia" w:ascii="宋体" w:hAnsi="宋体"/>
          <w:bCs/>
          <w:sz w:val="24"/>
          <w:szCs w:val="24"/>
          <w:u w:val="single"/>
        </w:rPr>
        <w:t xml:space="preserve">年X月X日 9 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8"/>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5"/>
        <w:ind w:firstLine="480"/>
        <w:spacing w:line="400" w:lineRule="exact"/>
        <w:rPr>
          <w:rFonts w:ascii="宋体" w:hAnsi="宋体"/>
          <w:sz w:val="24"/>
          <w:szCs w:val="24"/>
        </w:rPr>
      </w:pPr>
      <w:r>
        <w:rPr>
          <w:rFonts w:hint="eastAsia" w:ascii="宋体" w:hAnsi="宋体"/>
          <w:sz w:val="24"/>
          <w:szCs w:val="24"/>
        </w:rPr>
        <w:t xml:space="preserve">1.采购编号：JSZC-320000-SCZX-G2026-0468  </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2.项目名称：江苏大学附属医院物业服务（内科楼、肿瘤楼）采购项目</w:t>
      </w:r>
      <w:r>
        <w:rPr>
          <w:rFonts w:ascii="宋体" w:hAnsi="宋体"/>
          <w:sz w:val="24"/>
          <w:szCs w:val="24"/>
        </w:rPr>
      </w:r>
      <w:r/>
    </w:p>
    <w:p>
      <w:pPr>
        <w:pStyle w:val="89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5"/>
              <w:jc w:val="center"/>
              <w:spacing w:line="400" w:lineRule="exact"/>
              <w:rPr>
                <w:rFonts w:ascii="宋体" w:hAnsi="宋体"/>
              </w:rPr>
            </w:pPr>
            <w:r>
              <w:rPr>
                <w:rFonts w:hint="eastAsia" w:ascii="宋体" w:hAnsi="宋体"/>
              </w:rPr>
              <w:t xml:space="preserve">2319</w:t>
            </w:r>
            <w:r>
              <w:rPr>
                <w:rFonts w:ascii="宋体" w:hAnsi="宋体"/>
              </w:rPr>
            </w:r>
            <w:r/>
          </w:p>
        </w:tc>
      </w:tr>
    </w:tbl>
    <w:p>
      <w:pPr>
        <w:pStyle w:val="895"/>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2319</w:t>
            </w:r>
            <w:r>
              <w:rPr>
                <w:rFonts w:ascii="方正魏碑_GBK" w:hAnsi="方正魏碑_GBK" w:eastAsia="方正魏碑_GBK" w:cs="方正魏碑_GBK"/>
                <w:sz w:val="24"/>
                <w:szCs w:val="24"/>
              </w:rPr>
            </w:r>
            <w:r/>
          </w:p>
        </w:tc>
      </w:tr>
    </w:tbl>
    <w:p>
      <w:pPr>
        <w:pStyle w:val="895"/>
        <w:ind w:firstLine="480"/>
        <w:spacing w:line="400" w:lineRule="exact"/>
        <w:rPr>
          <w:rFonts w:ascii="宋体" w:hAnsi="宋体"/>
          <w:sz w:val="24"/>
          <w:szCs w:val="24"/>
          <w:highlight w:val="none"/>
          <w:u w:val="single"/>
        </w:rPr>
      </w:pPr>
      <w:r>
        <w:rPr>
          <w:rFonts w:hint="eastAsia" w:ascii="宋体" w:hAnsi="宋体"/>
          <w:sz w:val="24"/>
          <w:szCs w:val="24"/>
        </w:rPr>
        <w:t xml:space="preserve">5.采购需求（简介）：本次项目涉及2号楼（内科楼）、3号楼（办公区）、5号楼（肿瘤楼）、8号楼（高压氧）、13号楼（图书馆）、19号楼（行政2号楼）、15号楼（行政办公3号楼）、16号楼(行政办公4号楼)以及东路路2号宿舍楼等共约31700平方米卫生保洁，以及全院范围内的配送、运送（含小型搬家）、陪检、全院医疗垃圾及</w:t>
      </w:r>
      <w:r>
        <w:rPr>
          <w:rFonts w:hint="eastAsia" w:ascii="宋体" w:hAnsi="宋体"/>
          <w:sz w:val="24"/>
          <w:szCs w:val="24"/>
          <w:highlight w:val="none"/>
        </w:rPr>
        <w:t xml:space="preserve">该区域生活垃圾收集等。</w:t>
      </w:r>
      <w:r>
        <w:rPr>
          <w:rFonts w:hint="eastAsia" w:ascii="宋体" w:hAnsi="宋体" w:cs="宋体"/>
          <w:sz w:val="24"/>
          <w:szCs w:val="24"/>
          <w:highlight w:val="none"/>
        </w:rPr>
        <w:t xml:space="preserve">（详细内容见本招标文件第四章） </w:t>
      </w:r>
      <w:r>
        <w:rPr>
          <w:highlight w:val="none"/>
        </w:rPr>
      </w:r>
      <w:r/>
    </w:p>
    <w:p>
      <w:pPr>
        <w:pStyle w:val="895"/>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w:t>
      </w:r>
      <w:r>
        <w:rPr>
          <w:rFonts w:ascii="宋体" w:hAnsi="宋体"/>
          <w:sz w:val="24"/>
          <w:szCs w:val="24"/>
          <w:highlight w:val="none"/>
        </w:rPr>
        <w:t xml:space="preserve">202</w:t>
      </w:r>
      <w:r>
        <w:rPr>
          <w:rFonts w:hint="eastAsia" w:ascii="宋体" w:hAnsi="宋体"/>
          <w:sz w:val="24"/>
          <w:szCs w:val="24"/>
          <w:highlight w:val="none"/>
        </w:rPr>
        <w:t xml:space="preserve">6年</w:t>
      </w:r>
      <w:r>
        <w:rPr>
          <w:rFonts w:ascii="宋体" w:hAnsi="宋体"/>
          <w:sz w:val="24"/>
          <w:szCs w:val="24"/>
          <w:highlight w:val="none"/>
        </w:rPr>
        <w:t xml:space="preserve">11</w:t>
      </w:r>
      <w:r>
        <w:rPr>
          <w:rFonts w:hint="eastAsia" w:ascii="宋体" w:hAnsi="宋体"/>
          <w:sz w:val="24"/>
          <w:szCs w:val="24"/>
          <w:highlight w:val="none"/>
        </w:rPr>
        <w:t xml:space="preserve">月</w:t>
      </w:r>
      <w:r>
        <w:rPr>
          <w:rFonts w:ascii="宋体" w:hAnsi="宋体"/>
          <w:sz w:val="24"/>
          <w:szCs w:val="24"/>
          <w:highlight w:val="none"/>
        </w:rPr>
        <w:t xml:space="preserve">1</w:t>
      </w:r>
      <w:r>
        <w:rPr>
          <w:rFonts w:hint="eastAsia" w:ascii="宋体" w:hAnsi="宋体"/>
          <w:sz w:val="24"/>
          <w:szCs w:val="24"/>
          <w:highlight w:val="none"/>
        </w:rPr>
        <w:t xml:space="preserve">日至</w:t>
      </w:r>
      <w:r>
        <w:rPr>
          <w:rFonts w:ascii="宋体" w:hAnsi="宋体"/>
          <w:sz w:val="24"/>
          <w:szCs w:val="24"/>
          <w:highlight w:val="none"/>
        </w:rPr>
        <w:t xml:space="preserve">202</w:t>
      </w:r>
      <w:r>
        <w:rPr>
          <w:rFonts w:hint="eastAsia" w:ascii="宋体" w:hAnsi="宋体"/>
          <w:sz w:val="24"/>
          <w:szCs w:val="24"/>
          <w:highlight w:val="none"/>
        </w:rPr>
        <w:t xml:space="preserve">9年</w:t>
      </w:r>
      <w:r>
        <w:rPr>
          <w:rFonts w:ascii="宋体" w:hAnsi="宋体"/>
          <w:sz w:val="24"/>
          <w:szCs w:val="24"/>
          <w:highlight w:val="none"/>
        </w:rPr>
        <w:t xml:space="preserve">10</w:t>
      </w:r>
      <w:r>
        <w:rPr>
          <w:rFonts w:hint="eastAsia" w:ascii="宋体" w:hAnsi="宋体"/>
          <w:sz w:val="24"/>
          <w:szCs w:val="24"/>
          <w:highlight w:val="none"/>
        </w:rPr>
        <w:t xml:space="preserve">月</w:t>
      </w:r>
      <w:r>
        <w:rPr>
          <w:rFonts w:ascii="宋体" w:hAnsi="宋体"/>
          <w:sz w:val="24"/>
          <w:szCs w:val="24"/>
          <w:highlight w:val="none"/>
        </w:rPr>
        <w:t xml:space="preserve">31</w:t>
      </w:r>
      <w:r>
        <w:rPr>
          <w:rFonts w:hint="eastAsia" w:ascii="宋体" w:hAnsi="宋体"/>
          <w:sz w:val="24"/>
          <w:szCs w:val="24"/>
          <w:highlight w:val="none"/>
        </w:rPr>
        <w:t xml:space="preserve">日</w:t>
      </w:r>
      <w:r>
        <w:rPr>
          <w:highlight w:val="none"/>
        </w:rPr>
      </w:r>
      <w:r/>
    </w:p>
    <w:p>
      <w:pPr>
        <w:pStyle w:val="898"/>
        <w:ind w:firstLine="498"/>
        <w:spacing w:before="145" w:after="145" w:line="400" w:lineRule="exact"/>
        <w:rPr>
          <w:highlight w:val="none"/>
        </w:rPr>
      </w:pPr>
      <w:r>
        <w:rPr>
          <w:highlight w:val="none"/>
        </w:rPr>
      </w:r>
      <w:bookmarkStart w:id="12" w:name="_Toc35393622"/>
      <w:r>
        <w:rPr>
          <w:highlight w:val="none"/>
        </w:rPr>
      </w:r>
      <w:bookmarkStart w:id="13" w:name="_Toc38985264"/>
      <w:r>
        <w:rPr>
          <w:highlight w:val="none"/>
        </w:rPr>
      </w:r>
      <w:bookmarkStart w:id="14" w:name="_Toc28359003"/>
      <w:r>
        <w:rPr>
          <w:highlight w:val="none"/>
        </w:rPr>
      </w:r>
      <w:bookmarkStart w:id="15" w:name="_Toc28359080"/>
      <w:r>
        <w:rPr>
          <w:highlight w:val="none"/>
        </w:rPr>
      </w:r>
      <w:bookmarkStart w:id="16" w:name="_Toc35393791"/>
      <w:r>
        <w:rPr>
          <w:rFonts w:hint="eastAsia"/>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895"/>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895"/>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5"/>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95"/>
              <w:jc w:val="center"/>
              <w:spacing w:line="400" w:lineRule="exact"/>
              <w:rPr>
                <w:rFonts w:ascii="宋体" w:hAnsi="宋体"/>
              </w:rPr>
            </w:pPr>
            <w:r>
              <w:rPr>
                <w:rFonts w:hint="eastAsia" w:ascii="宋体" w:hAnsi="宋体"/>
              </w:rPr>
              <w:t xml:space="preserve">/</w:t>
            </w:r>
            <w:r>
              <w:rPr>
                <w:rFonts w:ascii="宋体" w:hAnsi="宋体"/>
              </w:rPr>
            </w:r>
            <w:r/>
          </w:p>
        </w:tc>
      </w:tr>
    </w:tbl>
    <w:p>
      <w:pPr>
        <w:pStyle w:val="895"/>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9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5"/>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8"/>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5"/>
        <w:ind w:firstLine="480"/>
        <w:spacing w:line="400" w:lineRule="exact"/>
        <w:rPr>
          <w:rFonts w:hint="eastAsia" w:ascii="宋体" w:hAnsi="宋体"/>
          <w:bCs/>
          <w:sz w:val="24"/>
          <w:szCs w:val="24"/>
        </w:rPr>
      </w:pPr>
      <w:r>
        <w:rPr>
          <w:rFonts w:hint="eastAsia" w:ascii="宋体" w:hAnsi="宋体"/>
          <w:bCs/>
          <w:sz w:val="24"/>
          <w:szCs w:val="24"/>
          <w:u w:val="single"/>
        </w:rPr>
        <w:t xml:space="preserve">1.   2026 年X 月X日 9   点 30   分</w:t>
      </w:r>
      <w:r>
        <w:rPr>
          <w:rFonts w:hint="eastAsia" w:ascii="宋体" w:hAnsi="宋体"/>
          <w:bCs/>
          <w:sz w:val="24"/>
          <w:szCs w:val="24"/>
        </w:rPr>
        <w:t xml:space="preserve">（</w:t>
      </w:r>
      <w:r>
        <w:rPr>
          <w:rFonts w:hint="eastAsia" w:ascii="宋体" w:hAnsi="宋体"/>
          <w:bCs/>
          <w:sz w:val="24"/>
          <w:szCs w:val="24"/>
        </w:rPr>
        <w:t xml:space="preserve">待定</w:t>
      </w:r>
      <w:r>
        <w:rPr>
          <w:rFonts w:hint="eastAsia" w:ascii="宋体" w:hAnsi="宋体"/>
          <w:bCs/>
          <w:sz w:val="24"/>
          <w:szCs w:val="24"/>
        </w:rPr>
        <w:t xml:space="preserve">）</w:t>
      </w:r>
      <w:r>
        <w:rPr>
          <w:rFonts w:hint="eastAsia" w:ascii="宋体" w:hAnsi="宋体"/>
          <w:bCs/>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5"/>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8"/>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895"/>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8"/>
        <w:ind w:firstLine="498"/>
        <w:spacing w:before="145" w:after="145" w:line="400" w:lineRule="exact"/>
        <w:rPr>
          <w:highlight w:val="none"/>
        </w:rPr>
      </w:pPr>
      <w:r>
        <w:rPr>
          <w:highlight w:val="none"/>
        </w:rPr>
      </w:r>
      <w:bookmarkStart w:id="35" w:name="_Toc38985269"/>
      <w:r>
        <w:rPr>
          <w:highlight w:val="none"/>
        </w:rPr>
      </w:r>
      <w:bookmarkStart w:id="36" w:name="_Toc28359085"/>
      <w:r>
        <w:rPr>
          <w:highlight w:val="none"/>
        </w:rPr>
      </w:r>
      <w:bookmarkStart w:id="37" w:name="_Toc35393627"/>
      <w:r>
        <w:rPr>
          <w:highlight w:val="none"/>
        </w:rPr>
      </w:r>
      <w:bookmarkStart w:id="38" w:name="_Toc28359008"/>
      <w:r>
        <w:rPr>
          <w:highlight w:val="none"/>
        </w:rPr>
      </w:r>
      <w:bookmarkStart w:id="39" w:name="_Toc35393796"/>
      <w:r>
        <w:rPr>
          <w:rFonts w:hint="eastAsia"/>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895"/>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江苏大学附属医院</w:t>
      </w:r>
      <w:r>
        <w:rPr>
          <w:highlight w:val="none"/>
        </w:rPr>
      </w:r>
      <w:r/>
    </w:p>
    <w:p>
      <w:pPr>
        <w:pStyle w:val="895"/>
        <w:ind w:left="1079" w:hanging="300"/>
        <w:jc w:val="left"/>
        <w:spacing w:line="400" w:lineRule="exact"/>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镇江市京口区解放路438号</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张老师</w:t>
      </w:r>
      <w:r>
        <w:rPr>
          <w:highlight w:val="none"/>
        </w:rPr>
      </w:r>
      <w:r/>
    </w:p>
    <w:p>
      <w:pPr>
        <w:pStyle w:val="895"/>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联系方式：</w:t>
      </w:r>
      <w:bookmarkStart w:id="40" w:name="_Toc28359009"/>
      <w:r>
        <w:rPr>
          <w:highlight w:val="none"/>
        </w:rPr>
      </w:r>
      <w:bookmarkStart w:id="41" w:name="_Toc28359086"/>
      <w:r>
        <w:rPr>
          <w:rFonts w:hint="eastAsia" w:ascii="宋体" w:hAnsi="宋体"/>
          <w:sz w:val="24"/>
          <w:szCs w:val="24"/>
          <w:highlight w:val="none"/>
          <w:u w:val="single"/>
        </w:rPr>
        <w:t xml:space="preserve">0511-</w:t>
      </w:r>
      <w:r>
        <w:rPr>
          <w:rFonts w:ascii="宋体" w:hAnsi="宋体"/>
          <w:sz w:val="24"/>
          <w:szCs w:val="24"/>
          <w:highlight w:val="none"/>
          <w:u w:val="single"/>
        </w:rPr>
        <w:t xml:space="preserve">80820337</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rPr>
          <w:highlight w:val="none"/>
        </w:rPr>
      </w:r>
      <w:bookmarkEnd w:id="41"/>
      <w:r>
        <w:rPr>
          <w:highlight w:val="none"/>
        </w:rPr>
      </w:r>
      <w:r/>
    </w:p>
    <w:p>
      <w:pPr>
        <w:pStyle w:val="895"/>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95"/>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95"/>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8"/>
        <w:ind w:firstLine="498"/>
        <w:spacing w:before="145" w:after="145" w:line="400" w:lineRule="exact"/>
      </w:pPr>
      <w:r/>
      <w:bookmarkEnd w:id="42"/>
      <w:r/>
      <w:bookmarkEnd w:id="43"/>
      <w:r>
        <w:rPr>
          <w:rFonts w:hint="eastAsia"/>
        </w:rPr>
        <w:t xml:space="preserve">八、其他</w:t>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9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7"/>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8"/>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9"/>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9"/>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9"/>
        <w:ind w:firstLine="422"/>
        <w:spacing w:before="0" w:after="0" w:line="400" w:lineRule="exact"/>
        <w:rPr>
          <w:rFonts w:hint="eastAsia" w:cs="Arial"/>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rPr>
        <w:t xml:space="preserve">和标准</w:t>
      </w:r>
      <w:r>
        <w:rPr>
          <w:rFonts w:hint="eastAsia" w:cs="Arial"/>
        </w:rPr>
      </w:r>
      <w:r/>
    </w:p>
    <w:p>
      <w:pPr>
        <w:pStyle w:val="89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95"/>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9"/>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8"/>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9"/>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8"/>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9"/>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9"/>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9"/>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5"/>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5"/>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9"/>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9"/>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9"/>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9"/>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8"/>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9"/>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9"/>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95"/>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9"/>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9"/>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5"/>
        <w:ind w:firstLine="420"/>
        <w:spacing w:line="400" w:lineRule="exact"/>
        <w:rPr>
          <w:rFonts w:ascii="宋体" w:hAnsi="宋体"/>
          <w:sz w:val="24"/>
          <w:highlight w:val="none"/>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sz w:val="24"/>
          <w:highlight w:val="none"/>
        </w:rPr>
        <w:t xml:space="preserve">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highlight w:val="none"/>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highlight w:val="none"/>
        </w:rPr>
        <w:t xml:space="preserve">24.7.2 评标委员会启动异常低价投标审查后，属于前述第</w:t>
      </w:r>
      <w:r>
        <w:rPr>
          <w:rFonts w:hint="eastAsia" w:ascii="方正魏碑_GBK" w:hAnsi="方正魏碑_GBK" w:eastAsia="方正魏碑_GBK" w:cs="方正魏碑_GBK"/>
          <w:color w:val="000000"/>
          <w:sz w:val="24"/>
        </w:rPr>
        <w:t xml:space="preserve">（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5"/>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9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9"/>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9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5"/>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s="宋体"/>
          <w:sz w:val="24"/>
          <w:szCs w:val="24"/>
        </w:rPr>
      </w:r>
      <w:r/>
    </w:p>
    <w:p>
      <w:pPr>
        <w:pStyle w:val="895"/>
        <w:ind w:firstLine="480"/>
        <w:spacing w:line="560" w:lineRule="exact"/>
        <w:rPr>
          <w:rFonts w:hint="eastAsia" w:ascii="宋体" w:hAnsi="宋体" w:cs="宋体"/>
          <w:b/>
          <w:sz w:val="24"/>
          <w:szCs w:val="24"/>
          <w:highlight w:val="yellow"/>
        </w:rPr>
      </w:pPr>
      <w:r>
        <w:rPr>
          <w:rFonts w:hint="eastAsia" w:ascii="宋体" w:hAnsi="宋体" w:cs="宋体"/>
          <w:sz w:val="24"/>
          <w:szCs w:val="24"/>
        </w:rPr>
        <w:t xml:space="preserve">采购人质疑接收人及联系方式见招标文件第一章。</w:t>
      </w:r>
      <w:r>
        <w:rPr>
          <w:rFonts w:hint="eastAsia" w:ascii="宋体" w:hAnsi="宋体" w:cs="宋体"/>
          <w:b/>
          <w:sz w:val="24"/>
          <w:szCs w:val="24"/>
          <w:highlight w:val="yellow"/>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8"/>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9"/>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9"/>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6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5"/>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5"/>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5"/>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9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6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6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6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6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6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6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65"/>
        <w:ind w:left="410" w:hanging="410"/>
        <w:spacing w:before="120" w:after="120"/>
        <w:rPr>
          <w:rFonts w:hAnsi="宋体"/>
          <w:bCs w:val="0"/>
          <w:i w:val="0"/>
          <w:sz w:val="24"/>
          <w:szCs w:val="24"/>
          <w:u w:val="none"/>
        </w:rPr>
      </w:pPr>
      <w:r>
        <w:rPr>
          <w:rFonts w:hAnsi="宋体"/>
          <w:i w:val="0"/>
          <w:iCs w:val="0"/>
          <w:sz w:val="24"/>
          <w:szCs w:val="24"/>
          <w:u w:val="none"/>
        </w:rPr>
        <w:t xml:space="preserve">2.1 本合同金额为（大写）：________</w:t>
      </w:r>
      <w:r>
        <w:rPr>
          <w:rFonts w:hint="eastAsia" w:hAnsi="宋体"/>
          <w:i w:val="0"/>
          <w:iCs w:val="0"/>
          <w:sz w:val="24"/>
          <w:szCs w:val="24"/>
          <w:u w:val="none"/>
        </w:rPr>
        <w:t xml:space="preserve">圆</w:t>
      </w:r>
      <w:r>
        <w:rPr>
          <w:rFonts w:hAnsi="宋体"/>
          <w:i w:val="0"/>
          <w:iCs w:val="0"/>
          <w:sz w:val="24"/>
          <w:szCs w:val="24"/>
          <w:u w:val="none"/>
        </w:rPr>
        <w:t xml:space="preserve">（________元）人民币</w:t>
      </w:r>
      <w:r>
        <w:rPr>
          <w:rFonts w:hint="eastAsia" w:hAnsi="宋体"/>
          <w:i w:val="0"/>
          <w:iCs w:val="0"/>
          <w:sz w:val="24"/>
          <w:szCs w:val="24"/>
          <w:u w:val="none"/>
        </w:rPr>
        <w:t xml:space="preserve">或其他币种</w:t>
      </w:r>
      <w:r>
        <w:rPr>
          <w:rFonts w:hAnsi="宋体"/>
          <w:i w:val="0"/>
          <w:iCs w:val="0"/>
          <w:sz w:val="24"/>
          <w:szCs w:val="24"/>
          <w:u w:val="none"/>
        </w:rPr>
        <w:t xml:space="preserve">。</w:t>
      </w:r>
      <w:r>
        <w:rPr>
          <w:rFonts w:hint="eastAsia" w:hAnsi="宋体"/>
          <w:i w:val="0"/>
          <w:iCs w:val="0"/>
          <w:color w:val="ff0000"/>
          <w:sz w:val="24"/>
          <w:szCs w:val="24"/>
          <w:u w:val="none"/>
        </w:rPr>
        <w:t xml:space="preserve">本报价为一口价，</w:t>
      </w:r>
      <w:r>
        <w:rPr>
          <w:rFonts w:hAnsi="宋体" w:cs="宋体"/>
          <w:i w:val="0"/>
          <w:iCs w:val="0"/>
          <w:color w:val="ff0000"/>
          <w:sz w:val="24"/>
          <w:szCs w:val="24"/>
          <w:u w:val="none"/>
          <w:lang w:bidi="ar"/>
        </w:rPr>
        <w:t xml:space="preserve">合同期内，如果国家调整最低工资标准或社保公积金基数，费用</w:t>
      </w:r>
      <w:r>
        <w:rPr>
          <w:rFonts w:hAnsi="宋体" w:cs="宋体"/>
          <w:b/>
          <w:bCs/>
          <w:i w:val="0"/>
          <w:iCs w:val="0"/>
          <w:color w:val="ff0000"/>
          <w:sz w:val="24"/>
          <w:szCs w:val="24"/>
          <w:u w:val="none"/>
          <w:lang w:bidi="ar"/>
        </w:rPr>
        <w:t xml:space="preserve">不予调整</w:t>
      </w:r>
      <w:r>
        <w:rPr>
          <w:rFonts w:hAnsi="宋体" w:cs="宋体"/>
          <w:i w:val="0"/>
          <w:iCs w:val="0"/>
          <w:color w:val="ff0000"/>
          <w:sz w:val="24"/>
          <w:szCs w:val="24"/>
          <w:u w:val="none"/>
          <w:lang w:bidi="ar"/>
        </w:rPr>
        <w:t xml:space="preserve">。</w:t>
      </w:r>
      <w:r>
        <w:rPr>
          <w:i w:val="0"/>
          <w:iCs w:val="0"/>
          <w:u w:val="none"/>
        </w:rPr>
      </w:r>
      <w:r/>
    </w:p>
    <w:p>
      <w:pPr>
        <w:pStyle w:val="96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6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6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6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6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5"/>
        <w:ind w:left="410" w:hanging="410"/>
        <w:spacing w:before="120" w:after="120"/>
        <w:rPr>
          <w:rFonts w:hAnsi="宋体"/>
          <w:b/>
          <w:sz w:val="24"/>
          <w:szCs w:val="24"/>
          <w:highlight w:val="none"/>
        </w:rPr>
      </w:pPr>
      <w:r>
        <w:rPr>
          <w:rFonts w:hAnsi="宋体"/>
          <w:b/>
          <w:sz w:val="24"/>
          <w:szCs w:val="24"/>
        </w:rPr>
        <w:t xml:space="preserve">六、履约保</w:t>
      </w:r>
      <w:r>
        <w:rPr>
          <w:rFonts w:hAnsi="宋体"/>
          <w:b/>
          <w:sz w:val="24"/>
          <w:szCs w:val="24"/>
          <w:highlight w:val="none"/>
        </w:rPr>
        <w:t xml:space="preserve">证金</w:t>
      </w:r>
      <w:r>
        <w:rPr>
          <w:highlight w:val="none"/>
        </w:rPr>
      </w:r>
      <w:r/>
    </w:p>
    <w:p>
      <w:pPr>
        <w:pStyle w:val="965"/>
        <w:ind w:left="408" w:hanging="408"/>
        <w:spacing w:before="120" w:after="120"/>
        <w:rPr>
          <w:rFonts w:hint="eastAsia" w:hAnsi="宋体"/>
          <w:sz w:val="24"/>
          <w:szCs w:val="24"/>
          <w:highlight w:val="none"/>
        </w:rPr>
      </w:pPr>
      <w:r>
        <w:rPr>
          <w:rFonts w:hAnsi="宋体"/>
          <w:sz w:val="24"/>
          <w:szCs w:val="24"/>
          <w:highlight w:val="none"/>
        </w:rPr>
        <w:t xml:space="preserve">6.1 乙方交纳</w:t>
      </w:r>
      <w:r>
        <w:rPr>
          <w:rFonts w:hint="eastAsia" w:hAnsi="宋体"/>
          <w:sz w:val="24"/>
          <w:szCs w:val="24"/>
          <w:highlight w:val="none"/>
        </w:rPr>
        <w:t xml:space="preserve">中标价的0.2%</w:t>
      </w:r>
      <w:r>
        <w:rPr>
          <w:rFonts w:hAnsi="宋体"/>
          <w:sz w:val="24"/>
          <w:szCs w:val="24"/>
          <w:highlight w:val="none"/>
        </w:rPr>
        <w:t xml:space="preserve">作为本合同的履约保证金。</w:t>
      </w:r>
      <w:r>
        <w:rPr>
          <w:rFonts w:hint="eastAsia" w:hAnsi="宋体"/>
          <w:sz w:val="24"/>
          <w:szCs w:val="24"/>
          <w:highlight w:val="none"/>
        </w:rPr>
        <w:t xml:space="preserve">（不得超过合同金额的10%）</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t xml:space="preserve">**</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int="eastAsia" w:hAnsi="宋体"/>
          <w:sz w:val="24"/>
          <w:szCs w:val="24"/>
          <w:highlight w:val="none"/>
        </w:rPr>
        <w:t xml:space="preserve">服务期满后3个月内退还。</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rFonts w:hint="eastAsia" w:hAnsi="宋体"/>
          <w:sz w:val="24"/>
          <w:szCs w:val="24"/>
          <w:highlight w:val="none"/>
        </w:rPr>
        <w:t xml:space="preserve">服务期满后，乙方无任何存量的违约行为。</w:t>
      </w:r>
      <w:r>
        <w:rPr>
          <w:highlight w:val="none"/>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hint="eastAsia" w:hAnsi="宋体"/>
          <w:sz w:val="24"/>
          <w:szCs w:val="24"/>
          <w:highlight w:val="none"/>
        </w:rPr>
        <w:t xml:space="preserve">6.2.4履约保证金不予退还的情形：</w:t>
      </w:r>
      <w:r>
        <w:rPr>
          <w:rFonts w:hint="eastAsia" w:hAnsi="宋体"/>
          <w:sz w:val="24"/>
          <w:szCs w:val="24"/>
          <w:highlight w:val="none"/>
        </w:rPr>
        <w:t xml:space="preserve">（1）签订合同后，乙方不履行合同义务的，甲方有权全额扣除履约保证金，全额不予退还，同时甲方亦有权终止合同，乙方还须承担相应的法律责任。（2）乙方在履约过程中发生违约行为，给甲方造成损失的，甲方有权在缴纳的履约保证金中予以扣款，以弥补甲方经济损失，</w:t>
      </w:r>
      <w:r>
        <w:rPr>
          <w:rFonts w:ascii="SimSun" w:hAnsi="SimSun" w:eastAsia="SimSun" w:cs="SimSun"/>
          <w:color w:val="ff0000"/>
          <w:sz w:val="24"/>
        </w:rPr>
        <w:t xml:space="preserve">不足的部分乙方另外补齐。</w:t>
      </w:r>
      <w:r>
        <w:rPr>
          <w:rFonts w:ascii="SimSun" w:hAnsi="SimSun" w:eastAsia="SimSun" w:cs="SimSun"/>
          <w:sz w:val="20"/>
        </w:rPr>
      </w:r>
      <w:r/>
    </w:p>
    <w:p>
      <w:pPr>
        <w:pStyle w:val="89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.1.1 付款时间：1.甲方每月一次对物业服务进行考核，根据考核情况每两个月支付一次物业服务费用，每月综合考核平均得分达95分，物业费全额支付，低于95分的每少1分，扣1000元。</w:t>
      </w:r>
      <w:r>
        <w:rPr>
          <w:highlight w:val="none"/>
        </w:rPr>
      </w:r>
      <w:r/>
    </w:p>
    <w:p>
      <w:pPr>
        <w:pStyle w:val="895"/>
        <w:spacing w:before="145" w:after="145"/>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若乙方累计两次考核不合格（平均考核评分低于85分）或人员缺岗率大于等于4%或日常工作中因乙方工作失职的原因，发生重、特大安全责任事故，除赔偿损失外，甲方有权解除本合同。</w:t>
      </w:r>
      <w:r>
        <w:rPr>
          <w:highlight w:val="none"/>
        </w:rPr>
      </w:r>
      <w:r/>
    </w:p>
    <w:p>
      <w:pPr>
        <w:pStyle w:val="895"/>
        <w:spacing w:before="145" w:after="145"/>
        <w:rPr>
          <w:rFonts w:ascii="宋体" w:hAnsi="宋体"/>
          <w:sz w:val="24"/>
          <w:szCs w:val="24"/>
          <w:highlight w:val="none"/>
        </w:rPr>
      </w:pPr>
      <w:r>
        <w:rPr>
          <w:rFonts w:hint="eastAsia" w:ascii="宋体" w:hAnsi="宋体"/>
          <w:sz w:val="24"/>
          <w:szCs w:val="24"/>
          <w:highlight w:val="none"/>
        </w:rPr>
        <w:t xml:space="preserve">3.甲乙双方</w:t>
      </w:r>
      <w:r>
        <w:rPr>
          <w:rFonts w:ascii="宋体" w:hAnsi="宋体"/>
          <w:sz w:val="24"/>
          <w:szCs w:val="24"/>
          <w:highlight w:val="none"/>
        </w:rPr>
        <w:t xml:space="preserve">结算费用时按照投标文件中投标产品配置及工种分项报价表标准与实际派驻人员按实结算。如派驻管理人员少于投标文件中管理人员，需经甲方同意，否则甲方有权扣除当月管理人员费用。</w:t>
      </w:r>
      <w:r>
        <w:rPr>
          <w:highlight w:val="none"/>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.1.2 尾款支付时间：合同到期时，乙方必须支持甲方工作，协助做好新旧两家服务</w:t>
      </w:r>
      <w:r>
        <w:rPr>
          <w:rFonts w:hint="eastAsia" w:ascii="宋体" w:hAnsi="宋体"/>
          <w:sz w:val="24"/>
          <w:szCs w:val="24"/>
          <w:highlight w:val="none"/>
        </w:rPr>
        <w:t xml:space="preserve">单位的平稳过渡和交接工作。合同结束交接顺利完成并获取发票后10个工作日内，甲方无息付清全部尾款（含风险担保金）。</w:t>
      </w:r>
      <w:r>
        <w:rPr>
          <w:highlight w:val="none"/>
        </w:rPr>
      </w:r>
      <w:r/>
    </w:p>
    <w:p>
      <w:pPr>
        <w:pStyle w:val="89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6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6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5"/>
        <w:jc w:val="center"/>
        <w:spacing w:before="120" w:after="120" w:line="0" w:lineRule="atLeast"/>
      </w:pPr>
      <w:r>
        <w:rPr>
          <w:rFonts w:hint="eastAsia"/>
        </w:rPr>
        <w:t xml:space="preserve">                                         </w:t>
      </w:r>
      <w:r/>
    </w:p>
    <w:p>
      <w:pPr>
        <w:pStyle w:val="965"/>
        <w:jc w:val="right"/>
        <w:spacing w:before="120" w:after="120" w:line="0" w:lineRule="atLeast"/>
        <w:rPr>
          <w:sz w:val="24"/>
          <w:szCs w:val="24"/>
        </w:rPr>
      </w:pPr>
      <w:r>
        <w:rPr>
          <w:rFonts w:hint="eastAsia"/>
          <w:sz w:val="24"/>
          <w:szCs w:val="24"/>
        </w:rPr>
        <w:t xml:space="preserve"> </w:t>
      </w:r>
      <w:r>
        <w:rPr>
          <w:sz w:val="24"/>
          <w:szCs w:val="24"/>
        </w:rPr>
      </w:r>
      <w:r/>
    </w:p>
    <w:p>
      <w:pPr>
        <w:pStyle w:val="965"/>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jc w:val="center"/>
        <w:rPr>
          <w:rFonts w:hint="eastAsia" w:hAnsi="宋体"/>
          <w:sz w:val="24"/>
          <w:szCs w:val="24"/>
        </w:rPr>
      </w:pPr>
      <w:r>
        <w:rPr>
          <w:rFonts w:hint="eastAsia" w:hAnsi="宋体"/>
          <w:sz w:val="24"/>
          <w:szCs w:val="24"/>
          <w:highlight w:val="none"/>
        </w:rPr>
      </w:r>
      <w:r>
        <w:rPr>
          <w:rFonts w:hint="eastAsia" w:hAnsi="宋体"/>
          <w:sz w:val="24"/>
          <w:szCs w:val="24"/>
          <w:highlight w:val="none"/>
        </w:rPr>
      </w:r>
      <w:r/>
    </w:p>
    <w:p>
      <w:pPr>
        <w:jc w:val="left"/>
        <w:rPr>
          <w:rFonts w:hint="eastAsia" w:hAnsi="宋体"/>
          <w:sz w:val="24"/>
          <w:szCs w:val="24"/>
          <w:highlight w:val="none"/>
        </w:rPr>
      </w:pPr>
      <w:r>
        <w:rPr>
          <w:rFonts w:hint="eastAsia" w:hAnsi="宋体"/>
          <w:sz w:val="24"/>
          <w:szCs w:val="24"/>
          <w:highlight w:val="none"/>
        </w:rPr>
      </w:r>
      <w:r>
        <w:rPr>
          <w:rFonts w:hint="eastAsia" w:hAnsi="宋体"/>
          <w:sz w:val="24"/>
          <w:szCs w:val="24"/>
          <w:highlight w:val="none"/>
        </w:rPr>
      </w:r>
      <w:r/>
    </w:p>
    <w:p>
      <w:pPr>
        <w:ind w:left="0" w:right="0" w:firstLine="56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附件</w:t>
      </w:r>
      <w:r>
        <w:rPr>
          <w:color w:val="000000" w:themeColor="text1"/>
          <w:highlight w:val="none"/>
        </w:rPr>
      </w:r>
      <w:r/>
    </w:p>
    <w:p>
      <w:pPr>
        <w:pStyle w:val="719"/>
        <w:ind w:left="0" w:right="0" w:firstLine="0"/>
        <w:jc w:val="center"/>
        <w:spacing w:before="260" w:after="260" w:line="76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YouYuan" w:hAnsi="YouYuan" w:eastAsia="YouYuan" w:cs="YouYuan"/>
          <w:b/>
          <w:color w:val="000000" w:themeColor="text1"/>
          <w:sz w:val="44"/>
          <w:highlight w:val="none"/>
        </w:rPr>
        <w:t xml:space="preserve">江苏大学附属医院物业管理考核实施办法</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进一步规范我院物业管理服务行为，健全物业监督考核机制，细化服务标准、压实服务责任，持续提升保洁、运送、陪检、院感防控等全维度物业服务质量，保障医院诊疗工作有序开展，切实保障医护人员、患者及家属合法权益，结合我院后勤管理工作实际，借鉴“三甲”医院相关成熟经验，特修订完善本院物业管理考核实施办法。本办法适用于全院所有入驻的物业服务外包单位，所有考核结果直接与月度服务费结算、年度履约评价、合同续签、合作终止等挂钩。</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一、考核机构及职责分工</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为保障考核工作全面、客观、常态化开展，成立医院物业管理专项考核小组，明确各部门分工，形成多部门联合考核机制。</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总务处（牵头部门）：组建专项考核小组，统筹全院物业日常监督、月度考核、结果汇总、费用核算、奖惩落实、制度更新等全流程工作；负责物业人员考勤核查、岗位配置、能耗管控、日常巡查及问题整改督办。</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感染管理处、护理部（专项考核部门）：专职参与全院物业消毒隔离、院感防控、病区保洁规范等专项检查考核，负责院感相关违规问题认定、扣分及整改督导，考核结果纳入月度综合考评。</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各临床、医技科室（日常监督部门）：负责日常物业服务监督、问题反馈、月度满意度评价，及时上报物业违规、失职、服务不到位等问题。</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二、考核对象与考核范围</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考核对象：为我院提供专业化物业服务的所有外包物业公司及全体在岗物业工作人员、项目主管、项目经理。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考核范围：覆盖全院物业服务全板块，包含病区及公共区域保洁、患者转运陪检、标本药品配送转运、电梯运行服务、院区环境治理、生活及医疗垃圾分类处置、消毒隔离、后勤辅助服务、现场服务规范、人员管理等全部服务内容。</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三、考核形式与考核体系</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医院根据《保洁工作质量考核表》、《配送陪检工作质量考核表》及合同要求对物业公司实行日常动态考核、每周综合考核、半年度专项评议相结合的立体化考核模式，考核总分100分，月度综合得分由多维度分值加权构成（具体权重分配：</w:t>
      </w:r>
      <w:r>
        <w:rPr>
          <w:rFonts w:ascii="SimSun" w:hAnsi="SimSun" w:eastAsia="SimSun" w:cs="SimSun"/>
          <w:color w:val="000000" w:themeColor="text1"/>
          <w:sz w:val="24"/>
          <w:highlight w:val="none"/>
        </w:rPr>
        <w:t xml:space="preserve">考核小组现场考核占40%、专项考核占30%、临床医技科室满意度考核占30%</w:t>
      </w:r>
      <w:r>
        <w:rPr>
          <w:rFonts w:ascii="SimSun" w:hAnsi="SimSun" w:eastAsia="SimSun" w:cs="SimSun"/>
          <w:color w:val="000000" w:themeColor="text1"/>
          <w:sz w:val="24"/>
          <w:highlight w:val="none"/>
        </w:rPr>
        <w:t xml:space="preserve">），所有考核记录存档备查。</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日常动态考核：考核小组、总务处、感染管理处、护理部实行不定时随机抽查、网格化日常巡查，实时记录物业服务违规、失职、整改情况，即时扣分、即时登记，作为月度考核基础依据。</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每周现场考核：每周由考核小组成员、物业项目主管、各临床医技科室代表联合开展现场抽查考核，对照标准化考核表逐项打分，现场签字确认考核结果。</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月度满意度调查：每月常态化开展科室满意度调研，全覆盖各病区及医技科室。原则上每个病区有效调查表不少于1份，每个物业托管区域月度有效调查表不少于20份，科室满意度达标线≥95%，调查结果实时录入考核台账。</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半年度座谈评议：每半年组织临床医护、后勤管理、物业负责人召开专项座谈会，收集服务意见、梳理问题短板、优化服务流程，意见整改落实情况纳入下期考核。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专项联合考核：每月由感染管理处、护理部联合考核小组开展消毒隔离、医疗废物处置、院感防控专项考核，结果纳入月度综合考评。</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四、详细考核实施步骤</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（一）人员配置专项考核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由总务处专项核查物业在岗人员配置情况，通过调取考勤台账、现场清点在岗人数、核对社保参保人数、核查实名制台账等方式，核对实际在岗人数与合同、投标承诺配置人数一致性，严格落实一人一岗实名制管理，同步核查人员年龄结构、岗位稳定性。</w:t>
      </w:r>
      <w:r>
        <w:rPr>
          <w:rFonts w:ascii="SimSun" w:hAnsi="SimSun" w:eastAsia="SimSun" w:cs="SimSun"/>
          <w:color w:val="000000" w:themeColor="text1"/>
          <w:sz w:val="24"/>
          <w:highlight w:val="none"/>
        </w:rPr>
        <w:t xml:space="preserve">院方有权根据考核结果要求物业公司承担相应违约责任。</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（二）日常现场动态考核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聚焦物业服务细节、服务规范、应急处置、院感安全、纪律作风等，实行即时检查、即时扣分、即时追责，所有扣款从当月服务费中扣除，同类问题每日单项扣款上限10000元。</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投诉整改时效考核：接到院内有效投诉后，10分钟内未启动整改扣100元；30分钟内未启动整改扣200元；超过30分钟未整改，每延迟10分钟在200元基础上叠加扣款200元/10分钟，扣款累计计算。</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仪容仪表上岗规范考核：所有物业员工必须统一着装、着装整洁、佩戴制式胸牌（含姓名、岗位、工号），上岗前完成岗前培训并备案。发现未达标人员，按50元/人/次扣款；未培训上岗、未实名制上岗的，按200-500元/人次扣款。</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服务行为规范考核：严禁物业员工与医护人员、患者及家属、来访人员发生争执、冲突，经核实为物业人员全责的，扣款500元/次，承担全部衍生损失；因物业操作不当、履职失职造成院内人/机/物意外的，扣款1000元/次，并承担全部赔偿责任。经核实的有效服务投诉，扣款1000元/次。物业人员存在不符合招标文件、合同约定行为的，由物业公司按照公司《员工行为准则》进行处罚。</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院区纪律考核：严禁物业员工在工作时间、工作场所内吸烟、脱岗、玩手机、静坐睡眠等违规行为。发现院内吸烟，首次违规扣款50元，第二次扣款100元，第三次及以上扣款200元/次，屡教不改者直接清退涉事人员。</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转运服务安全考核：因标本转运操作不当、防护不当、处置不规范造成标本打破、外溢、污染并引发医疗纠纷或造成院感风险的，扣款1000元，扣除月度考评10分，物业公司承担全部损失赔偿及后续处置费用；因患者、标本、物资运送不及时造成诊疗延误的，扣款1000元，扣除月度考评10分，承担全部损失赔偿。</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 医疗废物管理考核：转运医疗废物未按规范防护、未采用鹅颈法扎紧、私自拆包的，扣款2000元/次，扣除月度考评2分；贩卖、偷盗医疗废弃物的，立即开除涉事人员，同步移交公安机关处理，扣款5000元，扣除月度考评10分，承担全部损失（贩卖、偷盗医院各类物资的其它类似行为，参照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 物资与环境管理考核：在管道井、设备间等区域违规堆放杂物的，扣款500元/处/次；未按垃圾分类规范处置垃圾的，扣款100元/次。</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 廉洁服务考核：严禁物业员工私自为患者提供有偿服务、索要或收受患者及家属礼品、钱款，一经查实，立即开除涉事人员，扣款2000元/次，扣除月度考评10分。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 管理人员专项考核：物业项目主管、经理履职不到位，引发有效投诉的，主管扣款200元/次，经理扣款500元/次；未完成日常巡查、履职缺位的按有效投诉同等标准处理。合同期内主管、经理累计有效投诉超3次，院方有权要求无条件更换人员。合同期内物业公司不得随意更换在岗项目经理，如需更换必须经院方管理部门审核同意；项目经理年度在岗考勤工作日不足80%、擅自离岗、擅自更换的，物业公司需一次性支付违约金10万元。</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10.突发事件处置考核：因物业人员人为失误引发火灾、基础设施损坏、设备故障等重大非常规事件，由考核小组评估情节轻重，予以专项追责、经济处罚，情节严重的终止合同。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以上所有行为处罚兑现均在物业公司月度服务费中体现。</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（三）台账与报备管理考核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每月上旬完成上月满意度统计考核。物业公司需在每月15日前向总务处报备次月值班排班表、人员变动台账、培训记录等资料，未按时报备、台账不全、信息不实的，按失职问题予以扣款整改。</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（四）月度综合考核评分与奖惩标准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每月综合考核平均得分</w:t>
      </w:r>
      <w:r>
        <w:rPr>
          <w:rFonts w:ascii="Arial" w:hAnsi="Arial" w:eastAsia="Arial" w:cs="Arial"/>
          <w:color w:val="000000" w:themeColor="text1"/>
          <w:sz w:val="24"/>
          <w:highlight w:val="none"/>
        </w:rPr>
        <w:t xml:space="preserve">≥</w:t>
      </w:r>
      <w:r>
        <w:rPr>
          <w:rFonts w:ascii="SimSun" w:hAnsi="SimSun" w:eastAsia="SimSun" w:cs="SimSun"/>
          <w:color w:val="000000" w:themeColor="text1"/>
          <w:sz w:val="24"/>
          <w:highlight w:val="none"/>
        </w:rPr>
        <w:t xml:space="preserve">95分，物业费全额支付，低于95分的，每少1分，扣1000元，累计叠加。</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根据全院水、电、空调等能源消耗数据考核物业节能履职情况。及时上报设备故障、夜间及时关闭无人区域灯光、电脑、空调等设备的予以专项奖励；发现设备故障隐瞒不报、浪费能源、履职不到位的，予以经济处罚。</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五、合同终止条款</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物业公司年度内两次月度综合考核得分低于90分；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人员整体缺岗率≥4%；</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因物业履职失职、操作不当引发重、特大安全责任事故、院感事故、医疗纠纷的；</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因物业公司原因导致拖欠员工薪资引发群体事件给医院造成被动的。</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出现以上任意一种情况，物业公司需承担全部损失，院方有权单方解除物业服务合同，不予续签。</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六、服务团队建设与培训管理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必须建立完善的岗前培训、在岗培训、月度考核体系，所有新入职员工需完成岗位技能、院感防控、服务规范、安全制度等岗前培训，考核合格并向总务处、感染管理处备案后方可上岗，严禁无证、无培训上岗。</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制定年度、月度常态化培训计划，定期开展服务礼仪、院感防控、应急处置、垃圾分类、节能降耗、安全操作等专项培训，留存培训台账、考核记录，院方定期抽查核验。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全体物业员工着装样式、颜色需经院方审核认可，统一购置、定期清洗更换，保持整洁规范，着装费用纳入物业承包报价，不得额外向院方及科室收取费用。</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七、考核结果公示与异议复核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每月考核结束后3个工作日内，由总务处汇总考核得分、扣款明细、问题清单，在院内后勤工作群公示，公示期3个工作日。</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物业公司对考核结果有异议的，可在公示期内提交书面复核申请及佐证材料，由考核小组5个工作日内完成复核并出具最终结论，复核结果为最终考核依据。</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所有考核台账、打分表、满意度问卷、整改记录、奖惩凭证统一存档，作为年度履约评价、合同续签、评优追责的核心依据。</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八、制度更新与附则</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院方根据医院发展、后勤管理升级、行业标准更新等实际情况，每年对本考核办法进行修订完善，修订后正式告知物业公司执行。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本办法未尽事宜，参照物业服务合同、医院后勤管理制度、院感防控规范及相关行业标准执行。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本办法由江苏大学附属医院总务处负责解释，自发布之日起正式施行。</w:t>
      </w:r>
      <w:r>
        <w:rPr>
          <w:color w:val="000000" w:themeColor="text1"/>
          <w:highlight w:val="none"/>
        </w:rPr>
      </w: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附：江大附院保洁工作质量考核表（周）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附：江大附院配送工作质量考核表（周）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附：江大附院陪检工作质量考核表（周）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附：江大附院医废处置专项质量考核表（周）</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附：物业服务满意度调查表（月）</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附：江大附院物业专项考核表（院感）</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附：江大附院物业专项考核表（护理部）</w:t>
      </w:r>
      <w:r>
        <w:rPr>
          <w:color w:val="000000" w:themeColor="text1"/>
          <w:highlight w:val="none"/>
        </w:rPr>
      </w: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年</w:t>
      </w: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月江大附院保洁工作质量考核表（周）</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9"/>
        <w:gridCol w:w="551"/>
        <w:gridCol w:w="3652"/>
        <w:gridCol w:w="553"/>
        <w:gridCol w:w="3668"/>
        <w:gridCol w:w="466"/>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类别</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6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基本项目</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遵守劳动纪律，无迟到早退，每周进行一次员工培训，有员工培训记录。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不得做与工作无关的事；休息及提前离岗与病区护士长请假，无迟到早退，发现一次扣1分。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工作认真，发生争执，患者或家属合理投诉一次扣3分。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公共区域</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26分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楼梯、大厅、走廊、墙面、窗户、茶水间、墙角线、扶手、栏杆、灯饰、消防器材、消防管道干净，无灰尘，地面湿拖、干拖</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无污迹、无水迹、无积尘、无铁锈、无张贴物、无蜘蛛网、无口香糖胶迹、无烟头等杂物，有防滑标识，发现一次扣1分;不锈钢栏杆未维护，扣3分。 </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病区外门、住院部外门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无尘、无污迹、玻璃光洁，无锈迹、发现一次扣1分。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垃圾桶未清洁、数量不足，未套垃圾袋，垃圾不超出四分之三，发现一次扣1分。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电梯人员在岗在位，定时巡查，及时报修，轿厢整洁光亮，定期保洁消毒，有防护措施。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在岗在位，清洁无杂物，防护措施齐全，发现一次扣1分。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48分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病房地面</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无污迹、水迹、杂物等，无蚊虫蟑螂，发现一次扣1分。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天花板、墙面、墙角线、空调、衣橱、</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开关、电视、机顶盒、茶几、门等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无尘、无污渍、无蜘蛛网、无广告，发</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按消毒标准湿擦病床、床头柜、输液架、</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氧气带及呼叫器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床、床头柜等无尘，进行消毒处理，发</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现一次扣2分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11</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病人出院后对床单元进行彻底终末处理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未进行彻底清洁，发现一次扣1分。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卫生间墙面、地面清洁，蹲便、扶手、</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隔板洗手盆、镜子、洗手台面、门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vMerge w:val="restart"/>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无污渍、无尘，无广告、光洁、无水迹</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，发现一次扣1分。 </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vMerge w:val="restart"/>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卫生间、病房垃圾桶、垃圾袋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垃圾桶未清洁、未套垃圾袋，垃圾不超</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出四分之三，发现一次扣1分。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卫生间高处角落除尘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无蛛网、无尘，发现一次扣1分。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17</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卫生间无异味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有异味，患者投诉，发现一次扣1分。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消毒隔离规范，保洁工具标识，拖布、消毒液等清扫工具，家具清洁一桌一巾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放置不规范，发现一次扣2分。标识不</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清或无，发现一次扣2分。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19</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病区公共卫生间</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地面湿拖、干拖</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无污迹、水迹、杂物等，发现一次扣1分。 </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8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墙面、天花板、洗手盆、台面、镜面、拖把池、厕门、便池、地漏、扶手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无污迹、无积尘，无蜘蛛网，无水迹、无乱张贴物，无杂物，无异味，随时保洁，发现一次扣1分。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21</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垃圾桶（大、小）、清洁车</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桶身、车身光洁无污迹、痰迹，垃圾桶</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未清洁、数量不足，未套垃圾袋，垃圾</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不超出四分之三，发现一次扣1分。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厕所无异味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6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3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bl>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 </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月江大附院配送工作质量考核表（周）</w:t>
      </w:r>
      <w:r>
        <w:rPr>
          <w:color w:val="000000" w:themeColor="text1"/>
          <w:highlight w:val="none"/>
        </w:rPr>
      </w: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852"/>
        <w:gridCol w:w="554"/>
        <w:gridCol w:w="3754"/>
        <w:gridCol w:w="587"/>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不得做与工作无关的事；提前离岗需请假，无迟到早退，发现一次扣1分。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工作不认真，发生争执，患者或家属合理投诉，一次扣5分。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调度接听电话语言规范，做好工作统计并及时跟踪。</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语言规范，态度良好，无统计，无跟踪记录。发现一次扣5分。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员工对配送流程清楚，规范操作。</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流程不清楚，操作不规范，发现一次扣5分。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标本配送实行专人直送，不得转手或二次转送。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发现标本配送转手或二次转送，发现一次扣5分。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收送标本报告等及时，双签名交接确认。</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收送不及时规范，发现一次扣5分。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取送药品及时准确，安全无差错。</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急诊或应急送药15分钟内送达，双签名交接确认。</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延时，科室有有效投诉，一次扣5分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领物及时，配送过程中有防护安全措施。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领物不及时，配送过程中防护安全措施不到位，发现一次扣5分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晚间值班定点定人。</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人员不在岗，发现一次扣5分。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消毒隔离规范，运送工具定期维护，并登</w:t>
            </w:r>
            <w:r>
              <w:rPr>
                <w:color w:val="000000" w:themeColor="text1"/>
                <w:highlight w:val="none"/>
              </w:rPr>
            </w:r>
            <w:r/>
          </w:p>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规范不操作，未定期维护消毒，无登记，发现一次扣5分。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每周一次员工培训，有员工培训记录。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8" w:type="dxa"/>
            <w:vAlign w:val="top"/>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153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月江大附院陪检工作质量考核表（周）</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576"/>
        <w:gridCol w:w="836"/>
        <w:gridCol w:w="3748"/>
        <w:gridCol w:w="588"/>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4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得分</w:t>
            </w:r>
            <w:r>
              <w:rPr>
                <w:color w:val="000000" w:themeColor="text1"/>
                <w:highlight w:val="none"/>
              </w:rPr>
            </w:r>
            <w:r/>
          </w:p>
        </w:tc>
      </w:tr>
      <w:tr>
        <w:trPr>
          <w:trHeight w:val="9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运送工具是否完好（</w:t>
            </w:r>
            <w:r>
              <w:rPr>
                <w:rFonts w:ascii="SimSun" w:hAnsi="SimSun" w:eastAsia="SimSun" w:cs="SimSun"/>
                <w:color w:val="000000" w:themeColor="text1"/>
                <w:sz w:val="24"/>
                <w:highlight w:val="none"/>
              </w:rPr>
              <w:t xml:space="preserve">平车、轮椅的护栏、轮子安全装置等是否安全牢固，无损坏</w:t>
            </w:r>
            <w:r>
              <w:rPr>
                <w:rFonts w:ascii="SimSun" w:hAnsi="SimSun" w:eastAsia="SimSun" w:cs="SimSun"/>
                <w:color w:val="000000" w:themeColor="text1"/>
                <w:sz w:val="21"/>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有故障发现一次扣5分。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陪检服务态度良好，做好病人沟通解释工作，关注病患感受。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病区医护人员投诉或病员及家属投诉，有效投诉一次扣5分，不封顶。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陪检过程操作规范（做到</w:t>
            </w:r>
            <w:r>
              <w:rPr>
                <w:rFonts w:ascii="SimSun" w:hAnsi="SimSun" w:eastAsia="SimSun" w:cs="SimSun"/>
                <w:color w:val="000000" w:themeColor="text1"/>
                <w:sz w:val="24"/>
                <w:highlight w:val="none"/>
              </w:rPr>
              <w:t xml:space="preserve">接单确认科室、床号、姓名、检查项目等信息，接人核对床头卡、腕带，平稳过床，系好安全带，上下坡道减速</w:t>
            </w:r>
            <w:r>
              <w:rPr>
                <w:rFonts w:ascii="SimSun" w:hAnsi="SimSun" w:eastAsia="SimSun" w:cs="SimSun"/>
                <w:color w:val="000000" w:themeColor="text1"/>
                <w:sz w:val="21"/>
                <w:highlight w:val="none"/>
              </w:rPr>
              <w:t xml:space="preserve">，上下坡病员头部处于平车上位</w:t>
            </w:r>
            <w:r>
              <w:rPr>
                <w:rFonts w:ascii="SimSun" w:hAnsi="SimSun" w:eastAsia="SimSun" w:cs="SimSun"/>
                <w:color w:val="000000" w:themeColor="text1"/>
                <w:sz w:val="24"/>
                <w:highlight w:val="none"/>
              </w:rPr>
              <w:t xml:space="preserve">，道路不平尽量避颠</w:t>
            </w:r>
            <w:r>
              <w:rPr>
                <w:rFonts w:ascii="SimSun" w:hAnsi="SimSun" w:eastAsia="SimSun" w:cs="SimSun"/>
                <w:color w:val="000000" w:themeColor="text1"/>
                <w:sz w:val="21"/>
                <w:highlight w:val="none"/>
              </w:rPr>
              <w:t xml:space="preserve">）</w:t>
            </w:r>
            <w:r>
              <w:rPr>
                <w:rFonts w:ascii="SimSun" w:hAnsi="SimSun" w:eastAsia="SimSun" w:cs="SimSun"/>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违规操作发现一次扣2分，不封顶。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搬运病人安全操作，保持动作轻柔。</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病人或家属投诉一次扣5分，不封顶。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8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陪检及时准确，安全无差错。</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不及时准确，发生差错，发现一次或有效投诉一次扣5分。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定期有培训。</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00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被考核人：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月江大附院医废处置专项质量考核表（周）</w:t>
      </w:r>
      <w:r>
        <w:rPr>
          <w:color w:val="000000" w:themeColor="text1"/>
          <w:highlight w:val="none"/>
        </w:rPr>
      </w: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0"/>
        <w:gridCol w:w="2700"/>
        <w:gridCol w:w="396"/>
        <w:gridCol w:w="5496"/>
        <w:gridCol w:w="403"/>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考核标准及扣分规则</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得分</w:t>
            </w:r>
            <w:r>
              <w:rPr>
                <w:color w:val="000000" w:themeColor="text1"/>
                <w:highlight w:val="none"/>
              </w:rPr>
            </w:r>
            <w:r/>
          </w:p>
        </w:tc>
      </w:tr>
      <w:tr>
        <w:trPr>
          <w:trHeight w:val="1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医废分类投放规范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感染性、损伤性、病理性废物分类错误，单次扣 2分；生活垃圾混入医疗废物单次扣 10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包装物规范          （双层袋、鹅颈封扎）</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未使用专用黄色医废袋扣 2分；未鹅颈扎口、袋口敞开单次扣 2 分；利器盒未密封，满 3/4 未更换单次扣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转运人员防护穿戴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转运未穿戴手套、防护服、口罩，缺一项扣 2分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医废转运流程、交接登记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无双人交接签字、转运台账漏记、信息不全单次扣 2分；转运超时、堆积存放扣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医废暂存点管理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暂存间脏乱、有渗漏、异味、无警示标识单次扣 2 分；生活垃圾混放医废暂存点扣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医废转运培训、台账留存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无月度医废专项培训、无培训记录单次扣 5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考核人（总务处）：</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陪同物业负责人：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物业服务满意度调查表（月）</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2973"/>
        <w:gridCol w:w="645"/>
        <w:gridCol w:w="645"/>
        <w:gridCol w:w="645"/>
        <w:gridCol w:w="546"/>
        <w:gridCol w:w="1582"/>
      </w:tblGrid>
      <w:tr>
        <w:trPr>
          <w:trHeight w:val="9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服务类别</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测评项目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满满意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较较满意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一一般</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不满意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备注/意见</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保洁服务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1.病区及公共区域环境整洁（地面、墙面无污渍）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2.卫生间清洁及时、无异味、清洁用品充足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3.生活垃圾及医疗废物分类清运规范、及时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4.清洁消毒符合医院感染管理要求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5.保洁人员服务态度良好、配合度高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1.电梯运行平稳，无异常晃动、异响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2.电梯呼叫响应及时，候梯时间短（高峰时段不拥堵）</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3.电梯轿厢内整洁无杂物、无异味，按键无污渍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4.电梯安全标识清晰（如载重提示、应急按钮），故障应急处置快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5.电梯日常维保到位，无频繁故障停运情况</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配送服务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1.药品、耗材、物品等物资配送无错漏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2.配送响应及时，紧急需求（如急诊物资）处置快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3.配送物资完好，无破损、无丢失</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4.配送人员言行文明、操作规范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3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5.物资交接手续清晰，实现闭环管理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1.接到陪检任务后响应及到岗及时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2.患者信息核对准确，护送过程安全有序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3.服务态度耐心，注重对患者的人文关怀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4.熟悉检查流程与路线，陪检效率高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5.患者送返及交接规范，任务闭环完整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科室: </w:t>
      </w:r>
      <w:r>
        <w:rPr>
          <w:rFonts w:ascii="SimSun" w:hAnsi="SimSun" w:eastAsia="SimSun" w:cs="SimSun"/>
          <w:b/>
          <w:color w:val="000000" w:themeColor="text1"/>
          <w:sz w:val="28"/>
          <w:highlight w:val="none"/>
          <w:u w:val="single"/>
        </w:rPr>
        <w:t xml:space="preserve">                      </w:t>
      </w:r>
      <w:r>
        <w:rPr>
          <w:rFonts w:ascii="SimSun" w:hAnsi="SimSun" w:eastAsia="SimSun" w:cs="SimSun"/>
          <w:b/>
          <w:color w:val="000000" w:themeColor="text1"/>
          <w:sz w:val="28"/>
          <w:highlight w:val="none"/>
        </w:rPr>
        <w:t xml:space="preserve">         日期:</w:t>
      </w:r>
      <w:r>
        <w:rPr>
          <w:rFonts w:ascii="SimSun" w:hAnsi="SimSun" w:eastAsia="SimSun" w:cs="SimSun"/>
          <w:b/>
          <w:color w:val="000000" w:themeColor="text1"/>
          <w:sz w:val="28"/>
          <w:highlight w:val="none"/>
          <w:u w:val="single"/>
        </w:rPr>
        <w:t xml:space="preserve">                     </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0"/>
        <w:jc w:val="center"/>
        <w:spacing w:before="380" w:after="14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院感</w:t>
      </w:r>
      <w:r>
        <w:rPr>
          <w:rFonts w:ascii="SimSun" w:hAnsi="SimSun" w:eastAsia="SimSun" w:cs="SimSun"/>
          <w:b/>
          <w:color w:val="000000" w:themeColor="text1"/>
          <w:sz w:val="36"/>
          <w:highlight w:val="none"/>
        </w:rPr>
        <w:t xml:space="preserve">）</w:t>
      </w:r>
      <w:r>
        <w:rPr>
          <w:color w:val="000000" w:themeColor="text1"/>
          <w:highlight w:val="none"/>
        </w:rPr>
      </w:r>
      <w:r/>
    </w:p>
    <w:p>
      <w:pPr>
        <w:ind w:left="0" w:right="0" w:firstLine="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考核说明</w:t>
      </w:r>
      <w:r>
        <w:rPr>
          <w:rFonts w:ascii="DengXian" w:hAnsi="DengXian" w:eastAsia="DengXian" w:cs="DengXian"/>
          <w:color w:val="000000" w:themeColor="text1"/>
          <w:sz w:val="22"/>
          <w:highlight w:val="none"/>
        </w:rPr>
        <w:t xml:space="preserve">：</w:t>
      </w:r>
      <w:r>
        <w:rPr>
          <w:rFonts w:ascii="SimSun" w:hAnsi="SimSun" w:eastAsia="SimSun" w:cs="SimSun"/>
          <w:color w:val="000000" w:themeColor="text1"/>
          <w:sz w:val="21"/>
          <w:highlight w:val="none"/>
        </w:rPr>
        <w:t xml:space="preserve">本专项考核为月度物业综合考评专属依据，总分50分，按20%权重纳入月度综合考核得分；考核结果同步用于服务费结算、问题整改督办、年度履约评价，违规严重触发一票否决及合同追责。</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57"/>
        <w:gridCol w:w="1271"/>
        <w:gridCol w:w="4297"/>
        <w:gridCol w:w="992"/>
        <w:gridCol w:w="709"/>
        <w:gridCol w:w="850"/>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考核内容及评分标准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扣分原因</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消毒隔离规范执行</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严格按照院感规范开展环境物表、高频触点、治疗室、处置室、卫生间清洁消毒；消毒物品齐全，消毒配比正确、消毒频次合规、记录完整。发现一次消毒不规范、配比错误、漏消毒、无记录扣2分；布巾、地巾未分区域，分颜色使用每次扣1分；在消毒液里反复涮洗污染布巾、地巾的每次扣1分；污点处置错误的扣2分；造成院感隐患的本项不得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医疗废物规范处置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分类准确、专用容器规范、袋体完好、标识清晰；严格执行鹅颈结封口、专人转运、定点存放、交接登记。出现混放、错放、未扎口、私自拆包、转运不规范每次扣2分；私自捡拾、倒卖、偷盗医疗废弃物本项0分并移交追责。</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生活垃圾分类与清运</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生活垃圾、可回收物分类准确，垃圾桶加盖、无满溢、无散落、无异味；按时清运、场地干净。发现混投、满溢、堆放脏乱每次扣2分，整改不到位加倍扣分。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标本、污物转运规范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标本转运使用专用密闭转运箱，分区转运、杜绝倒置、杜绝洒落；污物、被服转运专用工具、分区使用。转运不规范、无密闭、混运每次扣2分；造成标本外泄、污染环境本项0分并追责扣款。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个人防护、职业防护与手卫生</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进入病区按要求佩戴口罩、手套，接触污染物规范防护，戴手套需在指定的区域工作；工作服干净整洁、不混穿。防护不到位、着装不规范等问题每次扣1分；打扫卫生前后做好手卫生，手上有污渍用流动水洗手，无明显污渍用手快消消毒，不得用戴手套取代手卫生，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院感台账与培训落实</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对新来或转科工人未培训就上岗每次扣1分；消毒记录、医废交接记录、培训记录、整改记录完整真实、按时报备。台账缺失、补填、造假每次扣1分。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问题整改闭环</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院感督查问题按时整改、闭环反馈、不反弹。逾期未改、整改不到位、反复反弹每次扣1分。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2"/>
                <w:highlight w:val="none"/>
              </w:rPr>
              <w:t xml:space="preserve">备注</w:t>
            </w:r>
            <w:r>
              <w:rPr>
                <w:color w:val="000000" w:themeColor="text1"/>
                <w:highlight w:val="none"/>
              </w:rPr>
            </w:r>
            <w:r/>
          </w:p>
        </w:tc>
        <w:tc>
          <w:tcPr>
            <w:gridSpan w:val="5"/>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119" w:type="dxa"/>
            <w:vAlign w:val="center"/>
            <w:textDirection w:val="lrTb"/>
            <w:noWrap w:val="false"/>
          </w:tcPr>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一票否决项</w:t>
            </w:r>
            <w:r>
              <w:rPr>
                <w:rFonts w:ascii="SimSun" w:hAnsi="SimSun" w:eastAsia="SimSun" w:cs="SimSun"/>
                <w:color w:val="000000" w:themeColor="text1"/>
                <w:sz w:val="21"/>
                <w:highlight w:val="none"/>
              </w:rPr>
              <w:t xml:space="preserve">：发生倒卖、偷盗医疗废弃物，或因物业履职严重失职引发院感暴发、重大医疗纠纷、重大院感隐患的，本月专项考核直接计0分，按制度启动违约追责及合同处置。</w:t>
            </w:r>
            <w:r>
              <w:rPr>
                <w:color w:val="000000" w:themeColor="text1"/>
                <w:highlight w:val="none"/>
              </w:rPr>
            </w:r>
            <w:r/>
          </w:p>
        </w:tc>
      </w:tr>
    </w:tbl>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感染管理处签字：                                考核日期：     年    月    日</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护理部－1</w:t>
      </w:r>
      <w:r>
        <w:rPr>
          <w:rFonts w:ascii="SimSun" w:hAnsi="SimSun" w:eastAsia="SimSun" w:cs="SimSun"/>
          <w:b/>
          <w:color w:val="000000" w:themeColor="text1"/>
          <w:sz w:val="36"/>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2371"/>
        <w:gridCol w:w="5678"/>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考核细则</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工作人员上岗穿工作服、工作裤，佩戴工号牌，长发挽起不披肩</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工作期间不得以任何理由与患者、家属、工作人员或物业人员发生争执，做到无投诉</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积极主动服务患者</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使用“你好”、“请”等礼貌用语，不得使用不文明用语</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语言规范，态度良好，并做好接听记录</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行为举止符合医院服务规范，如有违反，先警告，后惩处</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工作人员对各种配送流程悉知</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工作人员操作过程符合医院操作规范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工作人员签收时必须核对无误后，双签名</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工作人员态度良好，陪检过程中保证患者安全</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7:15-9:00前收完晨空腹血并送相关检验科室。9:00-10:00发报纸并巡视病房，10:00之后按常规巡视病房，并做好巡视记录。急诊标本15分钟内响应并做好签收记录。</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夜间工作人员对全院配送及时合理安排，符合服务安全规范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工作人员严格按取药流程操作，做到及时准确</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工作人员严格按领物流程操作，做到及时准确</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工作人员严格遵守操作规范，并做好与病区工作人员交接工作</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工作人员按规定时间及时下收下送</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工作人员按规定时间完成普通标本运送工作</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急诊用药及器材15-30分钟内送达，如有投诉核实后扣除个人奖金50元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血气分析等特殊标本15分钟内到达科室领取，如有投诉核实后扣除个人奖金50元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其他急送标本10-15分钟到达科室领取，如有投诉核实后扣除个人奖金50元</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工作人员工作仔细，并与临床做好交接</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标本箱每天浸泡消毒，运送工具每天用消毒溶液擦拭，做好记录</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工作人员定期进行安全教育培训，运送过程中防护安全措施到位</w:t>
            </w:r>
            <w:r>
              <w:rPr>
                <w:color w:val="000000" w:themeColor="text1"/>
                <w:highlight w:val="none"/>
              </w:rPr>
            </w:r>
            <w:r/>
          </w:p>
        </w:tc>
      </w:tr>
      <w:tr>
        <w:trPr>
          <w:trHeight w:val="48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工作人员每天对运送工具进行消毒、维护并做好登记</w:t>
            </w:r>
            <w:r>
              <w:rPr>
                <w:color w:val="000000" w:themeColor="text1"/>
                <w:highlight w:val="none"/>
              </w:rPr>
            </w:r>
            <w:r/>
          </w:p>
        </w:tc>
      </w:tr>
    </w:tbl>
    <w:p>
      <w:pPr>
        <w:ind w:left="0" w:right="0" w:firstLine="2048"/>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物业配送质量考核表（</w:t>
      </w:r>
      <w:r>
        <w:rPr>
          <w:rFonts w:ascii="KaiTi" w:hAnsi="KaiTi" w:eastAsia="KaiTi" w:cs="KaiTi"/>
          <w:color w:val="000000" w:themeColor="text1"/>
          <w:sz w:val="28"/>
          <w:highlight w:val="none"/>
        </w:rPr>
        <w:t xml:space="preserve">护理部－2</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2226"/>
        <w:gridCol w:w="893"/>
        <w:gridCol w:w="941"/>
        <w:gridCol w:w="997"/>
        <w:gridCol w:w="826"/>
        <w:gridCol w:w="1209"/>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第一周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105"/>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第二周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第三周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第四周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合计（次）</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血气等特殊标本15分钟内到达科室领取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4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bl>
    <w:p>
      <w:pPr>
        <w:ind w:left="0" w:right="0" w:firstLine="6746"/>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r/>
    </w:p>
    <w:p>
      <w:pPr>
        <w:ind w:left="878" w:right="0" w:hanging="878"/>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r/>
    </w:p>
    <w:p>
      <w:pPr>
        <w:ind w:left="0" w:right="0" w:firstLine="63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日期</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考核者：</w:t>
      </w:r>
      <w:r>
        <w:rPr>
          <w:rFonts w:ascii="SimSun" w:hAnsi="SimSun" w:eastAsia="SimSun" w:cs="SimSun"/>
          <w:color w:val="000000" w:themeColor="text1"/>
          <w:sz w:val="21"/>
          <w:highlight w:val="none"/>
          <w:u w:val="single"/>
        </w:rPr>
        <w:t xml:space="preserve">                 </w:t>
      </w:r>
      <w:r>
        <w:rPr>
          <w:rFonts w:ascii="SimSun" w:hAnsi="SimSun" w:eastAsia="SimSun" w:cs="SimSun"/>
          <w:b/>
          <w:color w:val="000000" w:themeColor="text1"/>
          <w:sz w:val="28"/>
          <w:highlight w:val="none"/>
        </w:rPr>
        <w:t xml:space="preserve">物业保洁质量考核表（</w:t>
      </w:r>
      <w:r>
        <w:rPr>
          <w:rFonts w:ascii="KaiTi" w:hAnsi="KaiTi" w:eastAsia="KaiTi" w:cs="KaiTi"/>
          <w:color w:val="000000" w:themeColor="text1"/>
          <w:sz w:val="28"/>
          <w:highlight w:val="none"/>
        </w:rPr>
        <w:t xml:space="preserve">护理部－3</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7"/>
        <w:gridCol w:w="2241"/>
        <w:gridCol w:w="945"/>
        <w:gridCol w:w="1095"/>
        <w:gridCol w:w="904"/>
        <w:gridCol w:w="887"/>
        <w:gridCol w:w="964"/>
      </w:tblGrid>
      <w:tr>
        <w:trPr>
          <w:trHeight w:val="1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考核内容</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第一周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第二周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271"/>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第三周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第四周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合计（次）</w:t>
            </w:r>
            <w:r>
              <w:rPr>
                <w:color w:val="000000" w:themeColor="text1"/>
                <w:highlight w:val="none"/>
              </w:rPr>
            </w:r>
            <w:r/>
          </w:p>
        </w:tc>
      </w:tr>
      <w:tr>
        <w:trPr>
          <w:trHeight w:val="33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劳动纪律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迟到、早退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脱岗、旷工</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病假无人顶岗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7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干私活</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私人物品不放在病区</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服从管理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服务质量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主动微笑服务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环境卫生无投诉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文明礼貌用语</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6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着装整洁、佩戴工号牌</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三轻服务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6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爱护公物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保洁质量</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护士站及医生办公室整洁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治疗室整洁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换药室整洁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处置室整洁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电梯口整洁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配餐间地面无积水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地面、墙面清洁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6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无卫生死角</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57"/>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卫生间整洁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洗手池清洁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镜面光亮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29"/>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便器清洁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9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无浮灰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家具清洁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一桌一巾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毛巾数目符合</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毛巾处置规范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床及床头柜清洁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1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门窗清洁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拖把标记、分区域用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出院患者床单元终末处置规范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不收集废物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垃圾桶清洁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79"/>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垃圾清理及时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bl>
    <w:p>
      <w:pPr>
        <w:ind w:left="0" w:right="0" w:firstLine="1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病区</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日期</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考核者：</w:t>
      </w:r>
      <w:r>
        <w:rPr>
          <w:rFonts w:ascii="SimSun" w:hAnsi="SimSun" w:eastAsia="SimSun" w:cs="SimSun"/>
          <w:color w:val="000000" w:themeColor="text1"/>
          <w:sz w:val="18"/>
          <w:highlight w:val="none"/>
          <w:u w:val="single"/>
        </w:rPr>
        <w:t xml:space="preserve">               </w:t>
      </w:r>
      <w:r>
        <w:rPr>
          <w:color w:val="000000" w:themeColor="text1"/>
          <w:highlight w:val="none"/>
        </w:rPr>
      </w:r>
      <w:r/>
    </w:p>
    <w:p>
      <w:pPr>
        <w:pStyle w:val="895"/>
        <w:jc w:val="left"/>
        <w:rPr>
          <w:rFonts w:hint="eastAsia" w:hAnsi="宋体"/>
          <w:sz w:val="24"/>
          <w:szCs w:val="24"/>
          <w:highlight w:val="none"/>
        </w:rPr>
      </w:pPr>
      <w:r>
        <w:rPr>
          <w:rFonts w:hint="eastAsia" w:hAnsi="宋体"/>
          <w:b/>
          <w:sz w:val="2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65"/>
        <w:ind w:firstLine="562"/>
        <w:spacing w:before="120" w:after="120" w:line="560" w:lineRule="exact"/>
        <w:rPr>
          <w:rFonts w:hint="eastAsia" w:hAnsi="宋体" w:cs="宋体"/>
          <w:bCs/>
          <w:sz w:val="24"/>
          <w:szCs w:val="24"/>
          <w:highlight w:val="none"/>
        </w:rPr>
      </w:pPr>
      <w:r>
        <w:rPr>
          <w:highlight w:val="none"/>
        </w:rPr>
      </w:r>
      <w:bookmarkStart w:id="191" w:name="_Toc49090575"/>
      <w:r>
        <w:rPr>
          <w:highlight w:val="none"/>
        </w:rPr>
      </w:r>
      <w:bookmarkStart w:id="192" w:name="_Toc26554093"/>
      <w:r>
        <w:rPr>
          <w:rFonts w:hint="eastAsia" w:hAnsi="宋体" w:cs="宋体"/>
          <w:b/>
          <w:sz w:val="28"/>
          <w:szCs w:val="28"/>
          <w:highlight w:val="none"/>
        </w:rPr>
        <w:t xml:space="preserve">一、采购标的清单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96"/>
        <w:gridCol w:w="3293"/>
        <w:gridCol w:w="2438"/>
      </w:tblGrid>
      <w:tr>
        <w:trPr>
          <w:cantSplit/>
          <w:trHeight w:val="701"/>
        </w:trPr>
        <w:tc>
          <w:tcPr>
            <w:tcW w:w="790"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w:t>
            </w:r>
            <w:r>
              <w:rPr>
                <w:highlight w:val="none"/>
              </w:rPr>
            </w:r>
            <w:r/>
          </w:p>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包号</w:t>
            </w:r>
            <w:r>
              <w:rPr>
                <w:highlight w:val="none"/>
              </w:rPr>
            </w:r>
            <w:r/>
          </w:p>
        </w:tc>
        <w:tc>
          <w:tcPr>
            <w:tcW w:w="1196"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rPr>
                <w:highlight w:val="none"/>
              </w:rPr>
            </w:r>
            <w:r/>
          </w:p>
        </w:tc>
        <w:tc>
          <w:tcPr>
            <w:tcW w:w="3293"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采购标的</w:t>
            </w:r>
            <w:r>
              <w:rPr>
                <w:highlight w:val="none"/>
              </w:rPr>
            </w:r>
            <w:r/>
          </w:p>
        </w:tc>
        <w:tc>
          <w:tcPr>
            <w:tcW w:w="2438"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对应中小企业划分标准所属行业</w:t>
            </w:r>
            <w:r>
              <w:rPr>
                <w:highlight w:val="none"/>
              </w:rPr>
            </w:r>
            <w:r/>
          </w:p>
        </w:tc>
      </w:tr>
      <w:tr>
        <w:trPr>
          <w:cantSplit/>
          <w:trHeight w:val="752"/>
        </w:trPr>
        <w:tc>
          <w:tcPr>
            <w:tcW w:w="790" w:type="dxa"/>
            <w:vAlign w:val="top"/>
            <w:vMerge w:val="restart"/>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color w:val="000000"/>
                <w:sz w:val="24"/>
                <w:szCs w:val="24"/>
                <w:highlight w:val="none"/>
              </w:rPr>
              <w:t xml:space="preserve">一</w:t>
            </w:r>
            <w:r>
              <w:rPr>
                <w:highlight w:val="none"/>
              </w:rPr>
            </w:r>
            <w:r/>
          </w:p>
        </w:tc>
        <w:tc>
          <w:tcPr>
            <w:tcW w:w="1196"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3293" w:type="dxa"/>
            <w:vAlign w:val="top"/>
            <w:textDirection w:val="lrTb"/>
            <w:noWrap w:val="false"/>
          </w:tcPr>
          <w:p>
            <w:pPr>
              <w:pStyle w:val="895"/>
              <w:jc w:val="center"/>
              <w:spacing w:line="0" w:lineRule="atLeast"/>
              <w:tabs>
                <w:tab w:val="left" w:pos="2020"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物业服务（内科楼、肿瘤楼）</w:t>
            </w:r>
            <w:r>
              <w:rPr>
                <w:highlight w:val="none"/>
              </w:rPr>
            </w:r>
            <w:r/>
          </w:p>
        </w:tc>
        <w:tc>
          <w:tcPr>
            <w:tcW w:w="2438" w:type="dxa"/>
            <w:vAlign w:val="top"/>
            <w:textDirection w:val="lrTb"/>
            <w:noWrap w:val="false"/>
          </w:tcPr>
          <w:p>
            <w:pPr>
              <w:pStyle w:val="895"/>
              <w:jc w:val="center"/>
              <w:spacing w:line="0" w:lineRule="atLeast"/>
              <w:tabs>
                <w:tab w:val="left" w:pos="20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物业管理</w:t>
            </w:r>
            <w:r>
              <w:rPr>
                <w:highlight w:val="none"/>
              </w:rPr>
            </w:r>
            <w:r/>
          </w:p>
        </w:tc>
      </w:tr>
    </w:tbl>
    <w:p>
      <w:pPr>
        <w:pStyle w:val="895"/>
        <w:spacing w:line="560" w:lineRule="exact"/>
        <w:rPr>
          <w:rFonts w:hint="eastAsia" w:ascii="宋体" w:hAnsi="宋体" w:cs="宋体"/>
          <w:b/>
          <w:sz w:val="28"/>
          <w:szCs w:val="28"/>
        </w:rPr>
      </w:pPr>
      <w:r>
        <w:rPr>
          <w:rFonts w:hint="eastAsia" w:ascii="宋体" w:hAnsi="宋体" w:cs="宋体"/>
          <w:b/>
          <w:sz w:val="28"/>
          <w:szCs w:val="28"/>
        </w:rPr>
        <w:t xml:space="preserve">二、政府采购中实施本国产品标准及相关政策</w:t>
      </w:r>
      <w:r>
        <w:rPr>
          <w:rFonts w:hint="eastAsia" w:ascii="宋体" w:hAnsi="宋体" w:cs="宋体"/>
          <w:b/>
          <w:sz w:val="28"/>
          <w:szCs w:val="28"/>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cs="宋体"/>
          <w:bCs/>
          <w:sz w:val="24"/>
          <w:szCs w:val="24"/>
        </w:rPr>
      </w:r>
      <w:r/>
    </w:p>
    <w:p>
      <w:pPr>
        <w:pStyle w:val="895"/>
        <w:ind w:firstLine="482"/>
        <w:spacing w:line="560" w:lineRule="exact"/>
        <w:rPr>
          <w:rFonts w:hint="eastAsia" w:ascii="宋体" w:hAnsi="宋体" w:cs="宋体"/>
          <w:bCs/>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895"/>
        <w:spacing w:line="0" w:lineRule="atLeast"/>
        <w:rPr>
          <w:rFonts w:hint="eastAsia" w:ascii="宋体" w:hAnsi="宋体" w:cs="宋体"/>
          <w:b/>
          <w:color w:val="000000"/>
          <w:sz w:val="24"/>
          <w:szCs w:val="24"/>
        </w:rPr>
      </w:pPr>
      <w:r>
        <w:rPr>
          <w:rFonts w:hint="eastAsia" w:ascii="宋体" w:hAnsi="宋体" w:cs="宋体"/>
          <w:b/>
          <w:color w:val="000000"/>
          <w:sz w:val="24"/>
          <w:szCs w:val="24"/>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三、技术要求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一、项目概况及总体要求</w:t>
      </w:r>
      <w:r>
        <w:rPr>
          <w:rFonts w:hint="eastAsia" w:ascii="宋体" w:hAnsi="宋体" w:cs="宋体"/>
          <w:b/>
          <w:color w:val="000000"/>
          <w:sz w:val="24"/>
        </w:rPr>
      </w:r>
      <w:r/>
    </w:p>
    <w:p>
      <w:pPr>
        <w:pStyle w:val="895"/>
        <w:ind w:firstLine="420"/>
        <w:jc w:val="left"/>
        <w:spacing w:line="480" w:lineRule="exact"/>
        <w:rPr>
          <w:rFonts w:hint="eastAsia" w:ascii="宋体" w:hAnsi="宋体" w:cs="宋体"/>
          <w:b/>
          <w:bCs/>
          <w:color w:val="000000"/>
        </w:rPr>
      </w:pPr>
      <w:r>
        <w:rPr>
          <w:rFonts w:hint="eastAsia" w:ascii="宋体" w:hAnsi="宋体" w:cs="宋体"/>
          <w:color w:val="000000"/>
        </w:rPr>
        <w:t xml:space="preserve">江苏大学附属医院是一座规模较大、功能较全、环境优美、技术水平一流的卫生部首批命名的三级甲等综合性医院。本次采购需求项目涉及2号楼（内科楼）、3号楼（办公区）、5号楼（肿瘤楼）、8号楼（高压氧）、13号楼（图书馆）、19号楼（行政2号楼）</w:t>
      </w:r>
      <w:bookmarkStart w:id="193" w:name="OLE_LINK1"/>
      <w:r>
        <w:rPr>
          <w:rFonts w:hint="eastAsia" w:ascii="宋体" w:hAnsi="宋体" w:cs="宋体"/>
          <w:color w:val="000000"/>
        </w:rPr>
        <w:t xml:space="preserve">、15号楼（</w:t>
      </w:r>
      <w:r>
        <w:rPr>
          <w:rFonts w:hint="eastAsia" w:ascii="宋体" w:hAnsi="宋体" w:cs="宋体"/>
        </w:rPr>
        <w:t xml:space="preserve">行政办公3号楼</w:t>
      </w:r>
      <w:r>
        <w:rPr>
          <w:rFonts w:ascii="宋体" w:hAnsi="宋体" w:cs="宋体"/>
        </w:rPr>
        <w:t xml:space="preserve">）</w:t>
      </w:r>
      <w:r>
        <w:rPr>
          <w:rFonts w:hint="eastAsia" w:ascii="宋体" w:hAnsi="宋体" w:cs="宋体"/>
        </w:rPr>
        <w:t xml:space="preserve">、16号楼(</w:t>
      </w:r>
      <w:r>
        <w:rPr>
          <w:rFonts w:hint="eastAsia" w:ascii="宋体" w:hAnsi="宋体" w:cs="宋体"/>
          <w:color w:val="000000"/>
        </w:rPr>
        <w:t xml:space="preserve">行政办公4号楼</w:t>
      </w:r>
      <w:r>
        <w:rPr>
          <w:rFonts w:hint="eastAsia" w:ascii="宋体" w:hAnsi="宋体" w:cs="宋体"/>
        </w:rPr>
        <w:t xml:space="preserve">)</w:t>
      </w:r>
      <w:bookmarkEnd w:id="193"/>
      <w:r>
        <w:rPr>
          <w:rFonts w:hint="eastAsia" w:ascii="宋体" w:hAnsi="宋体" w:cs="宋体"/>
        </w:rPr>
        <w:t xml:space="preserve">以及东路路2号宿舍楼等</w:t>
      </w:r>
      <w:r>
        <w:rPr>
          <w:rFonts w:hint="eastAsia" w:ascii="宋体" w:hAnsi="宋体" w:cs="宋体"/>
        </w:rPr>
        <w:t xml:space="preserve">共约31700平方米</w:t>
      </w:r>
      <w:r>
        <w:rPr>
          <w:rFonts w:hint="eastAsia" w:ascii="宋体" w:hAnsi="宋体" w:cs="宋体"/>
          <w:color w:val="000000"/>
        </w:rPr>
        <w:t xml:space="preserve">卫生保洁，以及全院范围内的配送、运送（含小型搬家）、陪检、全院医疗垃圾及该区域生活垃圾</w:t>
      </w:r>
      <w:r>
        <w:rPr>
          <w:rFonts w:hint="eastAsia" w:ascii="宋体" w:hAnsi="宋体" w:cs="宋体"/>
        </w:rPr>
        <w:t xml:space="preserve">收集等。</w:t>
      </w:r>
      <w:r>
        <w:rPr>
          <w:rFonts w:hint="eastAsia" w:ascii="宋体" w:hAnsi="宋体" w:cs="宋体"/>
          <w:color w:val="000000"/>
        </w:rPr>
        <w:t xml:space="preserve">具体见下表：</w:t>
      </w:r>
      <w:r>
        <w:rPr>
          <w:rFonts w:hint="eastAsia" w:ascii="宋体" w:hAnsi="宋体" w:cs="宋体"/>
          <w:b/>
          <w:bCs/>
          <w:color w:val="000000"/>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4170"/>
        <w:gridCol w:w="2693"/>
      </w:tblGrid>
      <w:tr>
        <w:trPr>
          <w:trHeight w:val="311"/>
        </w:trPr>
        <w:tc>
          <w:tcPr>
            <w:tcW w:w="1358"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楼宇号</w:t>
            </w:r>
            <w:r>
              <w:rPr>
                <w:rFonts w:hint="eastAsia" w:ascii="宋体" w:hAnsi="宋体" w:cs="宋体"/>
                <w:color w:val="000000"/>
              </w:rPr>
            </w:r>
            <w:r/>
          </w:p>
        </w:tc>
        <w:tc>
          <w:tcPr>
            <w:tcW w:w="4170"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区域 / 部门名称</w:t>
            </w:r>
            <w:r>
              <w:rPr>
                <w:rFonts w:hint="eastAsia" w:ascii="宋体" w:hAnsi="宋体" w:cs="宋体"/>
                <w:color w:val="000000"/>
              </w:rPr>
            </w:r>
            <w:r/>
          </w:p>
        </w:tc>
        <w:tc>
          <w:tcPr>
            <w:tcW w:w="269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建筑面积（平方米）</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内科楼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11320.91</w:t>
            </w:r>
            <w:r>
              <w:rPr>
                <w:rFonts w:hint="eastAsia" w:ascii="宋体" w:hAnsi="宋体" w:cs="宋体"/>
                <w:color w:val="000000"/>
              </w:rPr>
            </w:r>
            <w:r/>
          </w:p>
        </w:tc>
      </w:tr>
      <w:tr>
        <w:trPr>
          <w:trHeight w:val="279"/>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公共卫生处、感染管理处及120办公室</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300</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肿瘤楼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7785</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586</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图书馆</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6450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19</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行政办公2号楼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1022</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rPr>
              <w:t xml:space="preserve">行政办公3号楼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1295</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行政办公4号楼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490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417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东吴2号宿舍楼</w:t>
            </w:r>
            <w:r>
              <w:rPr>
                <w:rFonts w:hint="eastAsia" w:ascii="宋体" w:hAnsi="宋体" w:cs="宋体"/>
              </w:rPr>
            </w:r>
            <w:r/>
          </w:p>
        </w:tc>
        <w:tc>
          <w:tcPr>
            <w:tcW w:w="2693" w:type="dxa"/>
            <w:vAlign w:val="center"/>
            <w:textDirection w:val="lrTb"/>
            <w:noWrap w:val="false"/>
          </w:tcPr>
          <w:p>
            <w:pPr>
              <w:pStyle w:val="895"/>
              <w:jc w:val="center"/>
              <w:rPr>
                <w:rFonts w:hint="eastAsia" w:ascii="宋体" w:hAnsi="宋体" w:cs="宋体"/>
              </w:rPr>
            </w:pPr>
            <w:r>
              <w:rPr>
                <w:rFonts w:hint="eastAsia" w:ascii="宋体" w:hAnsi="宋体" w:cs="宋体"/>
              </w:rPr>
              <w:t xml:space="preserve">2441</w:t>
            </w:r>
            <w:r>
              <w:rPr>
                <w:rFonts w:hint="eastAsia" w:ascii="宋体" w:hAnsi="宋体" w:cs="宋体"/>
              </w:rPr>
            </w:r>
            <w:r/>
          </w:p>
        </w:tc>
      </w:tr>
    </w:tbl>
    <w:p>
      <w:pPr>
        <w:pStyle w:val="895"/>
        <w:jc w:val="left"/>
        <w:spacing w:line="480" w:lineRule="exact"/>
        <w:rPr>
          <w:rFonts w:hint="eastAsia" w:ascii="宋体" w:hAnsi="宋体" w:cs="宋体"/>
          <w:color w:val="000000"/>
          <w:highlight w:val="black"/>
        </w:rPr>
      </w:pPr>
      <w:r>
        <w:rPr>
          <w:rFonts w:hint="eastAsia" w:ascii="宋体" w:hAnsi="宋体" w:cs="宋体"/>
          <w:color w:val="000000"/>
          <w:highlight w:val="black"/>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二、采购用途</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采购用途：□科研  □教学  □医疗  □管理  ☑后勤  □其他 </w:t>
      </w:r>
      <w:r>
        <w:rPr>
          <w:rFonts w:hint="eastAsia" w:ascii="宋体" w:hAnsi="宋体" w:cs="宋体"/>
          <w:color w:val="000000"/>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用途说明：物业管理服务</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三、服务内容：</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医院拟将项目涉及楼宇区域的卫生保洁、电梯运行及全院的配送、陪检等服务委托投标单位进行管理。</w:t>
      </w:r>
      <w:r>
        <w:rPr>
          <w:rFonts w:hint="eastAsia" w:ascii="宋体" w:hAnsi="宋体" w:cs="宋体"/>
          <w:color w:val="000000"/>
        </w:rPr>
      </w:r>
      <w:r/>
    </w:p>
    <w:p>
      <w:pPr>
        <w:pStyle w:val="895"/>
        <w:numPr>
          <w:ilvl w:val="0"/>
          <w:numId w:val="5"/>
        </w:numPr>
        <w:ind w:left="0" w:firstLine="420"/>
        <w:jc w:val="left"/>
        <w:spacing w:line="480" w:lineRule="exact"/>
        <w:rPr>
          <w:rFonts w:hint="eastAsia" w:ascii="宋体" w:hAnsi="宋体" w:cs="宋体"/>
        </w:rPr>
      </w:pPr>
      <w:r>
        <w:rPr>
          <w:rFonts w:hint="eastAsia" w:ascii="宋体" w:hAnsi="宋体" w:cs="宋体"/>
          <w:color w:val="000000"/>
        </w:rPr>
        <w:t xml:space="preserve">保洁服务：2号楼（内科楼）、3号楼（办公区）、5号楼（肿瘤楼）、8号楼（高压氧）、13号楼（图书馆）、19号楼（行政办公2号楼</w:t>
      </w:r>
      <w:r>
        <w:rPr>
          <w:rFonts w:hint="eastAsia" w:ascii="宋体" w:hAnsi="宋体" w:cs="宋体"/>
        </w:rPr>
        <w:t xml:space="preserve">）、15号楼（行政办公3号楼）、16号楼(行政办公4号楼)相应区域的卫生保洁，顶楼屋面平台及地下室公共区域的卫生保洁，以及东吴路2号宿舍楼的管理、保洁。</w:t>
      </w:r>
      <w:r>
        <w:rPr>
          <w:rFonts w:hint="eastAsia" w:ascii="宋体" w:hAnsi="宋体" w:cs="宋体"/>
        </w:rPr>
      </w:r>
      <w:r/>
    </w:p>
    <w:p>
      <w:pPr>
        <w:pStyle w:val="895"/>
        <w:numPr>
          <w:ilvl w:val="0"/>
          <w:numId w:val="5"/>
        </w:numPr>
        <w:ind w:left="0" w:firstLine="420"/>
        <w:jc w:val="left"/>
        <w:spacing w:line="480" w:lineRule="exact"/>
        <w:rPr>
          <w:rFonts w:hint="eastAsia" w:ascii="宋体" w:hAnsi="宋体" w:cs="宋体"/>
          <w:color w:val="ff0000"/>
        </w:rPr>
      </w:pPr>
      <w:r>
        <w:rPr>
          <w:rFonts w:hint="eastAsia" w:ascii="宋体" w:hAnsi="宋体" w:cs="宋体"/>
          <w:color w:val="000000"/>
        </w:rPr>
        <w:t xml:space="preserve">电梯服务：2号楼（内科楼）、5号楼（肿瘤楼）、13号楼（图书馆）电梯提供12小时梯外服务及日巡查，确保各区域电梯正常运行。其中电梯司机必须具有相关工作经验及电梯管理员证，</w:t>
      </w:r>
      <w:r>
        <w:rPr>
          <w:rFonts w:hint="eastAsia" w:ascii="宋体" w:hAnsi="宋体" w:cs="宋体"/>
        </w:rPr>
        <w:t xml:space="preserve">持证上岗。</w:t>
      </w:r>
      <w:r>
        <w:rPr>
          <w:rFonts w:hint="eastAsia" w:ascii="宋体" w:hAnsi="宋体" w:cs="宋体"/>
          <w:color w:val="ff0000"/>
        </w:rPr>
      </w:r>
      <w:r/>
    </w:p>
    <w:p>
      <w:pPr>
        <w:pStyle w:val="895"/>
        <w:ind w:firstLine="411"/>
        <w:jc w:val="left"/>
        <w:spacing w:line="480" w:lineRule="exact"/>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3 \* GB4 \* MERGEFORMAT </w:instrText>
      </w:r>
      <w:r>
        <w:rPr>
          <w:rFonts w:hint="eastAsia" w:ascii="宋体" w:hAnsi="宋体" w:cs="宋体"/>
          <w:color w:val="000000"/>
        </w:rPr>
        <w:fldChar w:fldCharType="separate"/>
      </w:r>
      <w:r>
        <w:rPr>
          <w:rFonts w:hint="eastAsia" w:ascii="宋体" w:hAnsi="宋体" w:cs="宋体"/>
          <w:color w:val="000000"/>
        </w:rPr>
        <w:t xml:space="preserve">㈢</w:t>
      </w:r>
      <w:r>
        <w:rPr>
          <w:rFonts w:hint="eastAsia" w:ascii="宋体" w:hAnsi="宋体" w:cs="宋体"/>
          <w:color w:val="000000"/>
        </w:rPr>
        <w:fldChar w:fldCharType="end"/>
      </w:r>
      <w:r>
        <w:rPr>
          <w:rFonts w:hint="eastAsia" w:ascii="宋体" w:hAnsi="宋体" w:cs="宋体"/>
          <w:color w:val="000000"/>
        </w:rPr>
        <w:t xml:space="preserve">全院区域内的配送（包括但不限于标本、药品、文书等），全院医疗垃圾及该区域生活垃圾收集及全院陪检服务，同时承担项目区域内的零星用工以及该区域内的小型搬家。</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四、采购需求与服务要求： </w:t>
      </w:r>
      <w:r>
        <w:rPr>
          <w:rFonts w:hint="eastAsia" w:ascii="宋体" w:hAnsi="宋体" w:cs="宋体"/>
          <w:b/>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（一）服务标准与总体要求：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1.应树立采购人（医院）和服务受益人（医患）至上理念，牢固树立服务第一的思想，为医院创造一个安全、宁静、舒适、整洁、优美的环境。</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应提供礼貌、热情、周到的服务，最大限度地满足采购人（医院）和服务受益人（医患）的服务要求。尤其要重视员工的岗位培训、安全教育以及与临床规范有关的专业知识培训等，对违规违纪行为及时纠正、整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3.应主动、积极地加强与采购人的联系，多途径、多渠道征询和听取意见，不断改进工作。</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4.应大力推行争先创优服务，提升管理质效，使采购人的服务质量满意率达到95%以上，并负责使管理的物业保值、增值。</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5.应加强保密教育，严格遵守保密规定。</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6.应积极为采购人提供其他特殊项目的服务，包括但不限于下列服务：</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6.1投标人有责任全力无偿配合采购人的工作需要，尤其是面临重大接待任务或上级检查任务、突发事件（如台风、突发公共卫生事件及医疗纠纷）等，中标方须按工作预案立即做好安排。</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6.2根据服务区域自行考虑人员配置，提供全年全天候服务，服务人员不得缺岗，如采购人有需要，无论是否正常上班时间，中标方无条件服从并及时提供人员安排。综合考虑员工病事假因素自行解决法定假日加班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6.3如采购人有需要提供相关资料的，应无偿提供。需按月向采购方汇报人员流动情况、各部门详细工作量及持续改善服务的措施等相关信息。确保员工队伍稳定，加强人员的动态管理</w:t>
      </w:r>
      <w:r>
        <w:rPr>
          <w:rFonts w:hint="eastAsia" w:ascii="宋体" w:hAnsi="宋体" w:cs="宋体"/>
        </w:rPr>
        <w:t xml:space="preserve">，</w:t>
      </w:r>
      <w:r>
        <w:rPr>
          <w:rFonts w:hint="eastAsia" w:ascii="宋体" w:hAnsi="宋体" w:cs="宋体"/>
          <w:b w:val="0"/>
          <w:bCs w:val="0"/>
          <w:i/>
          <w:iCs/>
          <w:u w:val="single"/>
        </w:rPr>
        <w:t xml:space="preserve">提升队伍素质，人员招录向年轻化倾斜，交保人数必须达50%以上</w:t>
      </w:r>
      <w:r>
        <w:rPr>
          <w:rFonts w:hint="eastAsia" w:ascii="宋体" w:hAnsi="宋体" w:cs="宋体"/>
          <w:b w:val="0"/>
          <w:bCs w:val="0"/>
          <w:i/>
          <w:iCs/>
          <w:color w:val="000000"/>
          <w:u w:val="single"/>
        </w:rPr>
        <w:t xml:space="preserve">。</w:t>
      </w:r>
      <w:r>
        <w:rPr>
          <w:rFonts w:hint="eastAsia" w:ascii="宋体" w:hAnsi="宋体" w:cs="宋体"/>
          <w:color w:val="000000"/>
        </w:rPr>
        <w:t xml:space="preserve">服务期间采购人有权依照工作量按分项报价表增加或者减少人员。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6.4协助采购人搞好节能降耗工作，负责所管辖区域内公共场所水、电、空调开关的日常管理，负责区域内的公共设施的安全隐患检查、排除及上报。凡因中标方人员造成水电流失或医院设备、设施等财产损失的，均由中标方负责赔偿。</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6.5 为提升服务管理的智能化、信息化与运行效率，投标人须提供后勤服务一体化管理软件系统，实现物资配送、患者陪检等服务的</w:t>
      </w:r>
      <w:r>
        <w:rPr>
          <w:rFonts w:hint="eastAsia" w:ascii="宋体" w:hAnsi="宋体" w:cs="宋体"/>
          <w:b/>
          <w:bCs/>
          <w:color w:val="000000"/>
        </w:rPr>
        <w:t xml:space="preserve">全流程信息化管控</w:t>
      </w:r>
      <w:r>
        <w:rPr>
          <w:rFonts w:hint="eastAsia" w:ascii="宋体" w:hAnsi="宋体" w:cs="宋体"/>
          <w:color w:val="000000"/>
        </w:rPr>
        <w:t xml:space="preserve">。系统应具备任务派发、实时调度、过程追溯、质量监督、数据统计分析及服务评价等功能，其中配送、陪检服务</w:t>
      </w:r>
      <w:r>
        <w:rPr>
          <w:rFonts w:hint="eastAsia" w:ascii="宋体" w:hAnsi="宋体" w:cs="宋体"/>
          <w:b/>
          <w:bCs/>
          <w:color w:val="000000"/>
        </w:rPr>
        <w:t xml:space="preserve">须配备线上抢单 / 接单模块</w:t>
      </w:r>
      <w:r>
        <w:rPr>
          <w:rFonts w:hint="eastAsia" w:ascii="宋体" w:hAnsi="宋体" w:cs="宋体"/>
          <w:color w:val="000000"/>
        </w:rPr>
        <w:t xml:space="preserve">，支持任务快速响应与闭环管理，并配套提供满足系统运行所需的终端设备、管理平台、手持终端等硬件设施，确保服务规范化、高效化运行。</w:t>
      </w:r>
      <w:r>
        <w:rPr>
          <w:rFonts w:hint="eastAsia" w:ascii="宋体" w:hAnsi="宋体" w:cs="宋体"/>
          <w:color w:val="000000"/>
        </w:rPr>
      </w:r>
      <w:r/>
    </w:p>
    <w:p>
      <w:pPr>
        <w:pStyle w:val="895"/>
        <w:ind w:firstLine="420"/>
        <w:spacing w:line="480" w:lineRule="exact"/>
        <w:rPr>
          <w:rFonts w:hint="eastAsia" w:ascii="宋体" w:hAnsi="宋体" w:cs="宋体"/>
          <w:color w:val="ff0000"/>
        </w:rPr>
      </w:pPr>
      <w:r>
        <w:rPr>
          <w:rFonts w:hint="eastAsia" w:ascii="宋体" w:hAnsi="宋体" w:cs="宋体"/>
        </w:rPr>
        <w:t xml:space="preserve">6.6负责全院废旧纸品的回收，中标单位享有回收后再处置的权利。同时中标单位按年向采购人支付收益，预计每年5万元，三年合计15万元。该收益由中标单位另行支付至采购人账户，不纳入招标控制价抵扣范围。</w:t>
      </w:r>
      <w:r>
        <w:rPr>
          <w:rFonts w:hint="eastAsia" w:ascii="宋体" w:hAnsi="宋体" w:cs="宋体"/>
          <w:color w:val="ff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7.涉及到的服务材料（如水桶、抹布、拖把、黑垃圾袋等清洁耗材）、服务设备，均由投标方承担。</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以上工作标准与服务要求将作为采购方对投标人工作进行考核的基本依据。采购方根据医院《物业管理考核实施办法》定期组织相关人员进行检查，并结合人员配置、服务质量、被投诉情况等每月进行考核汇总。考核结果作为付款重要依据。</w:t>
      </w:r>
      <w:r>
        <w:rPr>
          <w:rFonts w:hint="eastAsia" w:ascii="宋体" w:hAnsi="宋体" w:cs="宋体"/>
          <w:color w:val="000000"/>
        </w:rPr>
      </w:r>
      <w:r/>
    </w:p>
    <w:p>
      <w:pPr>
        <w:pStyle w:val="960"/>
        <w:numPr>
          <w:ilvl w:val="0"/>
          <w:numId w:val="6"/>
        </w:numPr>
        <w:ind w:firstLine="600"/>
        <w:spacing w:line="480" w:lineRule="exact"/>
        <w:rPr>
          <w:rFonts w:hint="eastAsia" w:ascii="宋体" w:hAnsi="宋体" w:cs="宋体"/>
          <w:color w:val="000000"/>
        </w:rPr>
      </w:pPr>
      <w:r>
        <w:rPr>
          <w:rFonts w:hint="eastAsia" w:ascii="宋体" w:hAnsi="宋体" w:cs="宋体"/>
          <w:color w:val="000000"/>
        </w:rPr>
        <w:t xml:space="preserve">保洁服务    </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885"/>
      </w:tblGrid>
      <w:tr>
        <w:trPr/>
        <w:tc>
          <w:tcPr>
            <w:tcW w:w="904"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r>
            <w:r/>
          </w:p>
        </w:tc>
        <w:tc>
          <w:tcPr>
            <w:tcW w:w="7885"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服务要求</w:t>
            </w:r>
            <w:r>
              <w:rPr>
                <w:rFonts w:hint="eastAsia" w:ascii="宋体" w:hAnsi="宋体" w:cs="宋体"/>
                <w:color w:val="000000"/>
              </w:rPr>
            </w:r>
            <w:r/>
          </w:p>
        </w:tc>
      </w:tr>
      <w:tr>
        <w:trPr/>
        <w:tc>
          <w:tcPr>
            <w:tcW w:w="904"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1.总体管理要求</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1.1在现有基础上营造一个安全、宁静、舒适、整洁、优美的环境。</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1.2确保环境卫生符合行业检查标准，以及上级相应检查要求（如国家卫生城市、文明城市等）。</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ff0000"/>
              </w:rPr>
            </w:pPr>
            <w:r>
              <w:rPr>
                <w:rFonts w:hint="eastAsia" w:ascii="宋体" w:hAnsi="宋体" w:cs="宋体"/>
                <w:color w:val="000000"/>
              </w:rPr>
              <w:t xml:space="preserve">1.3病房保洁时间06：30－17：30，其余时间段配有值班人员，确保17:30-06:30时间段能及时处理呕吐物、血迹、死亡病人床单元终末处置等，全年无休。</w:t>
            </w:r>
            <w:r>
              <w:rPr>
                <w:rFonts w:hint="eastAsia" w:ascii="宋体" w:hAnsi="宋体" w:cs="宋体"/>
              </w:rPr>
              <w:t xml:space="preserve">夜间</w:t>
            </w:r>
            <w:r>
              <w:rPr>
                <w:rFonts w:hint="eastAsia" w:ascii="宋体" w:hAnsi="宋体" w:cs="宋体"/>
                <w:color w:val="000000"/>
              </w:rPr>
              <w:t xml:space="preserve">值班保</w:t>
            </w:r>
            <w:r>
              <w:rPr>
                <w:rFonts w:hint="eastAsia" w:ascii="宋体" w:hAnsi="宋体" w:cs="宋体"/>
              </w:rPr>
              <w:t xml:space="preserve">洁必须在岗在位，随叫随到。宿舍楼负责白天保洁兼宿舍管理。</w:t>
            </w:r>
            <w:r>
              <w:rPr>
                <w:rFonts w:hint="eastAsia" w:ascii="宋体" w:hAnsi="宋体" w:cs="宋体"/>
                <w:color w:val="ff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1.4对环境保洁进行科学统筹安排，制定具体各项保洁标准，强调计划性，做到周有重点、日有安排。制订培训、考核计划，做好督查工作，对问题提出改进措施。</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1.5垃圾按规范要求分类收集、包装、储存、运输，确保不发生污染事件。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1.6保持雨天排水畅通，地面不积水。</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1.7根据院感要求，做好各种清洁消毒、垃圾处理等工作，确保医疗场所、病房、卫生间达到专业保洁与消毒，不发生交叉作业：</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1.7.1提供微细纤维材料的擦拭布巾和地巾，分区使用，颜色标记；</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1.7.2满足全院复用清洁工具的每日集中清洗与院感要求，根据各病区或科室规模的需要提供足够使用周转量；</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1.7.3自备专业拖把，工服洗涤自行负责或按照工服洗涤中标价格与洗涤公司商议自行结算。</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1.8做好环境保洁区域内的所有电梯、橡胶地板、大理石柱/面等的日常保洁和每年不少于2次上油、打蜡维护保养。</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1.9对医院项目管理配置专用的洗地机、自动洗地吸水机、抛光机、吸水洗尘机、真空吸尘机、符合垃圾分类要求垃圾车等（包括但不限于这些）。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1.10自行提供保洁用品，保洁剂、洗涤剂、消毒剂和地面保护材料等消耗品必须是优质产品，且须通过国家卫健委审批予以使用的，均须符合医院院感要求。感染性织物封口标签、医疗废物封口标签由医院提供。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1.11自行提供生活垃圾袋，所使用的工具以及保洁车辆必须是先进合理环保的。各种医疗废物垃圾袋由医院提供。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1.12自行提供符合本区域使用规模洗消设备，医院提供放置该设备的空间及相关设施保障条件（水、电、气、排水设施空间条件）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1.13自行提供手套、医院提供口罩、帽子、鞋套等防护用品。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1.14认真做好管理台账，保留书面文件形式，便于执行监管。</w:t>
            </w:r>
            <w:r>
              <w:rPr>
                <w:rFonts w:hint="eastAsia" w:ascii="宋体" w:hAnsi="宋体" w:cs="宋体"/>
                <w:color w:val="000000"/>
              </w:rPr>
            </w:r>
            <w:r/>
          </w:p>
        </w:tc>
      </w:tr>
      <w:tr>
        <w:trPr/>
        <w:tc>
          <w:tcPr>
            <w:tcW w:w="90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2.具体工作标准</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2.1地面、楼梯、厅柱踢脚线清洁光亮显本色，消灭卫生死角。</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2.2瓷砖墙面、柱牌、指示牌洁净无灰尘。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u w:val="single"/>
              </w:rPr>
              <w:t xml:space="preserve">高度4米以内</w:t>
            </w:r>
            <w:r>
              <w:rPr>
                <w:rFonts w:hint="eastAsia" w:ascii="宋体" w:hAnsi="宋体" w:cs="宋体"/>
                <w:color w:val="000000"/>
              </w:rPr>
              <w:t xml:space="preserve">的玻璃、门、窗框、纱窗、纱门，干净明亮、无灰、无污迹。</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2.4窗台、分诊台、护士站台、各类大厅、候诊椅洁净无尘，无小广告，诊疗区及一切陈列设施不得有灰尘、灰迹，诊室内要求做到诊桌、诊椅、诊床干净无尘。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2.5病房内、病床、床头柜、手池干净，做到一桌一巾，病人出院或死亡后应及时对床位进行终末处理。</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2.6污物间、污衣间、洗漱间、卫生间、洗澡间干净光亮，无异味、无杂物。</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2.7污物桶及所在角落干净、无杂物，手池及手池地面清洁无异味。</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2.8阳台、天井及楼梯间清理日常生活垃圾，干净整洁。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2.9厕所地面干燥、洁净，墙面光亮，手池镜面无污迹露本色，大小便池无便垢、便迹、无味、无蝇，厕所设施损坏立即报修。</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2.10楼宇门厅、连廊及坡道的保洁以及地下室公共区域的地面清洁，目视无明显灰尘、油渍、污渍，杂物等。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2.11各类墩布、尘推套专用，墩布有明显使用标记并有文字提示，各类用品、用具分类摆放，整齐有序。</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2.12配备集中分类清洗、消毒的设备设施，统一提供清洗消毒烘干后的拖把头、抹布等。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2.13大楼内凡铺贴PVC地面、橡胶地面和石材的，每年至少进行两次打蜡清洗维护。包括全面起蜡、喷磨抛光、重新打蜡等工序，维护保养主要耗材的品牌需经采购方认可。</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2.14加强部分重点区域如内科楼大厅（含卫生间）、肿瘤楼大厅（含卫生间）的巡查，保持常态化,卫生状况的良好。</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2.15生活垃圾的定时收集与清运。</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2.16每年至少两次除四害配合工作等。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2.17发现院区内有张贴小广告以及乱涂乱画的，应及时清除。</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2.18软门帘、棉门帘每日清洁和消毒，保持干净无污物。</w:t>
            </w:r>
            <w:r>
              <w:rPr>
                <w:rFonts w:hint="eastAsia" w:ascii="宋体" w:hAnsi="宋体" w:cs="宋体"/>
                <w:color w:val="000000"/>
              </w:rPr>
            </w:r>
            <w:r/>
          </w:p>
        </w:tc>
      </w:tr>
    </w:tbl>
    <w:p>
      <w:pPr>
        <w:pStyle w:val="960"/>
        <w:ind w:left="600" w:firstLine="0"/>
        <w:rPr>
          <w:rFonts w:hint="eastAsia" w:ascii="宋体" w:hAnsi="宋体" w:cs="宋体"/>
          <w:color w:val="000000"/>
        </w:rPr>
      </w:pPr>
      <w:r>
        <w:rPr>
          <w:rFonts w:hint="eastAsia" w:ascii="宋体" w:hAnsi="宋体" w:cs="宋体"/>
          <w:color w:val="000000"/>
        </w:rPr>
      </w:r>
      <w:r/>
    </w:p>
    <w:p>
      <w:pPr>
        <w:pStyle w:val="960"/>
        <w:ind w:left="600" w:firstLine="0"/>
        <w:rPr>
          <w:rFonts w:hint="eastAsia" w:ascii="宋体" w:hAnsi="宋体" w:cs="宋体"/>
          <w:color w:val="000000"/>
        </w:rPr>
      </w:pPr>
      <w:r>
        <w:rPr>
          <w:rFonts w:hint="eastAsia" w:ascii="宋体" w:hAnsi="宋体" w:cs="宋体"/>
          <w:color w:val="000000"/>
        </w:rPr>
        <w:t xml:space="preserve">（三）电梯服务</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7796"/>
      </w:tblGrid>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1.电梯服务要求</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1.1建立健全各项制度及职责，如：电梯运行制度，管理制度，安全运行规定及操作流程、应急预案、司机的职责及服务规范。相关人员熟悉并能遵照执行。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1.2电梯司机要求初中以上学历，相貌端庄，，需要持证上岗。</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1.3随时保证电梯轿厢、门、框的整洁，要求在上岗前做好保洁，电梯正常运行时不得停运保洁。</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1.4内科楼货梯正常运行时间(6:30-21:00),其余时间因特殊需要联系24小时服务电话，接到电话后10分钟内到现场。</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1.5内科楼、肿瘤科、图书馆客梯提供12小时梯外服务及日常巡查。</w:t>
            </w:r>
            <w:r>
              <w:rPr>
                <w:rFonts w:hint="eastAsia" w:ascii="宋体" w:hAnsi="宋体" w:cs="宋体"/>
                <w:color w:val="000000"/>
              </w:rPr>
            </w:r>
            <w:r/>
          </w:p>
        </w:tc>
      </w:tr>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2.电梯司机岗位职责</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2.1认真学习电梯运行知识，不断提高操作水平，熟练掌握电梯运行过程中的安全操作规程。 </w:t>
            </w:r>
            <w:r>
              <w:rPr>
                <w:rFonts w:hint="eastAsia" w:ascii="宋体" w:hAnsi="宋体" w:cs="宋体"/>
                <w:color w:val="000000"/>
              </w:rPr>
            </w:r>
            <w:r/>
          </w:p>
        </w:tc>
      </w:tr>
      <w:tr>
        <w:trPr/>
        <w:tc>
          <w:tcPr>
            <w:tcW w:w="993"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2.2严格遵守操作规程，在操作电梯时，不准看手机等与工作无关的事情，严禁误操作运行。电梯出现故障要做到：“发呼救、报险情、保现场”。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 按医院要求跟梯或梯外值守并负责电梯清洁及客梯\货梯\餐梯的巡查和故障报修工作。及时向电梯保养人员汇报电梯运行情况；电梯出现故障时，及时通知维修人员进行维修。</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2.4文明用语、着装统一；遵守劳动纪律，按时上下班；做好电梯运行记录，不准隔日或相互填写，严禁在记录本上乱写乱画。</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2.5认真听取乘梯人意见，及时满足乘梯者的正当需求，对乘梯者的不合理需求要做到：“一劝阻、二制止”。</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2.6保持电梯的卫生,下班时要将电梯卫生清洁完毕。</w:t>
            </w:r>
            <w:r>
              <w:rPr>
                <w:rFonts w:hint="eastAsia" w:ascii="宋体" w:hAnsi="宋体" w:cs="宋体"/>
                <w:color w:val="000000"/>
              </w:rPr>
            </w:r>
            <w:r/>
          </w:p>
        </w:tc>
      </w:tr>
    </w:tbl>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（四）配送陪检                                                     </w:t>
      </w:r>
      <w:r>
        <w:rPr>
          <w:rFonts w:hint="eastAsia" w:ascii="宋体" w:hAnsi="宋体" w:cs="宋体"/>
          <w:color w:val="000000"/>
        </w:rPr>
      </w:r>
      <w:r/>
    </w:p>
    <w:tbl>
      <w:tblPr>
        <w:tblW w:w="0" w:type="auto"/>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7513"/>
      </w:tblGrid>
      <w:tr>
        <w:trPr/>
        <w:tc>
          <w:tcPr>
            <w:tcW w:w="1241"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jc w:val="left"/>
              <w:rPr>
                <w:rFonts w:hint="eastAsia" w:ascii="宋体" w:hAnsi="宋体" w:cs="宋体"/>
                <w:color w:val="000000"/>
              </w:rPr>
            </w:pPr>
            <w:r>
              <w:rPr>
                <w:rFonts w:hint="eastAsia" w:ascii="宋体" w:hAnsi="宋体" w:cs="宋体"/>
                <w:color w:val="000000"/>
              </w:rPr>
              <w:t xml:space="preserve">1.配送陪检服务内容</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1.1收送各种化验标本。</w:t>
            </w:r>
            <w:r>
              <w:rPr>
                <w:rFonts w:hint="eastAsia" w:ascii="宋体" w:hAnsi="宋体" w:cs="宋体"/>
                <w:color w:val="000000"/>
              </w:rPr>
            </w:r>
            <w:r/>
          </w:p>
        </w:tc>
      </w:tr>
      <w:tr>
        <w:trPr>
          <w:trHeight w:val="310"/>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1.2收送各种医疗相关文书、报纸。</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1.3病历运送。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1.4负责院内血库当日18：00－次日7：00的取血。</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1.5领送行政库房用品。每周三各科室集中领物(除SPD以外的物品)。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1.6领送各种药品。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1.7</w:t>
            </w:r>
            <w:r>
              <w:rPr>
                <w:rFonts w:hint="eastAsia" w:ascii="宋体" w:hAnsi="宋体" w:cs="宋体"/>
                <w:color w:val="000000"/>
                <w:u w:val="single"/>
              </w:rPr>
              <w:t xml:space="preserve">项目区域内</w:t>
            </w:r>
            <w:r>
              <w:rPr>
                <w:rFonts w:hint="eastAsia" w:ascii="宋体" w:hAnsi="宋体" w:cs="宋体"/>
                <w:color w:val="000000"/>
              </w:rPr>
              <w:t xml:space="preserve">小型物资搬运等，含设备运送/报修/借用。 </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1.8病区加床的搬迁。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1.9病区及科室办公家具的新领搬运。</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1.10全院医疗气体的领用及运送。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1.11中药房及病区药房药品上架。</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1.12大型液体转运（大输液、腹透液）。</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1.13为有陪护病人、危重病人及病区内急诊抢救病人提供陪检、转运服务。</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1.14全院医疗垃圾以及所辖区域内生活垃圾的收集、转运。</w:t>
            </w:r>
            <w:r>
              <w:rPr>
                <w:rFonts w:hint="eastAsia" w:ascii="宋体" w:hAnsi="宋体" w:cs="宋体"/>
                <w:color w:val="000000"/>
              </w:rPr>
            </w:r>
            <w:r/>
          </w:p>
        </w:tc>
      </w:tr>
      <w:tr>
        <w:trPr/>
        <w:tc>
          <w:tcPr>
            <w:tcW w:w="1241"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2.配送陪检工作标准</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2.1遵守医院工作要求，工作认真负责，及时周到，服务热情。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2.2配送、运送相关工具做到每日开工、收工时均擦拭一次；轮椅每周清洁消毒一次，接送传染病人的工具每次均要擦洗消毒；定期检查维修，保证完好状态。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2.3每天8:00前完成所有晨血标本的运送，逐一扫码责任到人。标本无溅洒、无遗漏，容器完好，分区。做到无丢单、失单现象。严格执行“一科室一送”、“一标本一送”原则，严禁</w:t>
            </w:r>
            <w:r>
              <w:rPr>
                <w:rFonts w:hint="eastAsia" w:ascii="宋体" w:hAnsi="宋体" w:cs="宋体"/>
                <w:color w:val="000000"/>
                <w:u w:val="single"/>
              </w:rPr>
              <w:t xml:space="preserve">中途分拣标本</w:t>
            </w:r>
            <w:r>
              <w:rPr>
                <w:rFonts w:hint="eastAsia" w:ascii="宋体" w:hAnsi="宋体" w:cs="宋体"/>
                <w:color w:val="000000"/>
              </w:rPr>
              <w:t xml:space="preserve">、私自拼送多个科室或不同化验室的标本，防止标本混淆、丢失或送错。因工作失误给医院及病友造成的损失，由投标人承担。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2.4包干到人，每小时到包干科室巡查，及时运送各种标本、文书。</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2.5急诊标本、文书等、急诊检查接到电话15分钟内完成运送。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2.6根据医院各部门科室需求及时完成配送陪检工作内容。</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2.7强化人性化服务意识，做到态度热情，动作轻柔、体贴，保证患者安全。</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2.6配送过程完全符合院感要求。</w:t>
            </w:r>
            <w:r>
              <w:rPr>
                <w:rFonts w:hint="eastAsia" w:ascii="宋体" w:hAnsi="宋体" w:cs="宋体"/>
                <w:color w:val="000000"/>
              </w:rPr>
            </w:r>
            <w:r/>
          </w:p>
        </w:tc>
      </w:tr>
    </w:tbl>
    <w:p>
      <w:pPr>
        <w:pStyle w:val="960"/>
        <w:ind w:firstLine="0"/>
        <w:rPr>
          <w:rFonts w:hint="eastAsia" w:ascii="宋体" w:hAnsi="宋体" w:cs="宋体"/>
          <w:color w:val="000000"/>
        </w:rPr>
      </w:pPr>
      <w:r>
        <w:rPr>
          <w:rFonts w:hint="eastAsia" w:ascii="宋体" w:hAnsi="宋体" w:cs="宋体"/>
          <w:color w:val="000000"/>
        </w:rPr>
      </w:r>
      <w:r/>
    </w:p>
    <w:p>
      <w:pPr>
        <w:pStyle w:val="984"/>
        <w:ind w:left="0"/>
        <w:rPr>
          <w:rFonts w:hint="eastAsia"/>
        </w:rPr>
      </w:pPr>
      <w:r>
        <w:rPr>
          <w:rFonts w:hint="eastAsia"/>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四、商务要求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spacing w:line="0" w:lineRule="atLeast"/>
        <w:rPr>
          <w:rFonts w:hint="eastAsia" w:ascii="宋体" w:hAnsi="宋体" w:cs="宋体"/>
          <w:b/>
          <w:bCs/>
          <w:sz w:val="24"/>
          <w:szCs w:val="24"/>
        </w:rPr>
      </w:pPr>
      <w:r>
        <w:rPr>
          <w:rFonts w:hint="eastAsia" w:ascii="宋体" w:hAnsi="宋体" w:cs="宋体"/>
          <w:b/>
          <w:bCs/>
          <w:sz w:val="24"/>
          <w:szCs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㈠方案要求：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投标人应根据采购需求和本项目实际，制订相应的服务方案。</w:t>
      </w:r>
      <w:r>
        <w:rPr>
          <w:rFonts w:hint="eastAsia" w:ascii="宋体" w:hAnsi="宋体" w:cs="宋体"/>
          <w:color w:val="000000"/>
        </w:rPr>
      </w:r>
      <w:r/>
    </w:p>
    <w:p>
      <w:pPr>
        <w:pStyle w:val="895"/>
        <w:numPr>
          <w:ilvl w:val="0"/>
          <w:numId w:val="7"/>
        </w:numPr>
        <w:ind w:firstLine="420"/>
        <w:spacing w:line="480" w:lineRule="exact"/>
        <w:tabs>
          <w:tab w:val="left" w:pos="0" w:leader="none"/>
          <w:tab w:val="left" w:pos="312" w:leader="none"/>
        </w:tabs>
        <w:rPr>
          <w:rFonts w:hint="eastAsia" w:ascii="宋体" w:hAnsi="宋体" w:cs="宋体"/>
          <w:color w:val="000000"/>
        </w:rPr>
      </w:pPr>
      <w:r>
        <w:rPr>
          <w:rFonts w:hint="eastAsia" w:ascii="宋体" w:hAnsi="宋体" w:cs="宋体"/>
          <w:color w:val="000000"/>
        </w:rPr>
        <w:t xml:space="preserve">投标人应根据采购需求和本项目实际，提供本项目</w:t>
      </w:r>
      <w:r>
        <w:rPr>
          <w:rFonts w:hint="eastAsia" w:ascii="宋体" w:hAnsi="宋体" w:cs="宋体"/>
          <w:b/>
          <w:bCs/>
          <w:color w:val="000000"/>
        </w:rPr>
        <w:t xml:space="preserve">人员配置方案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ff0000"/>
          <w:spacing w:val="2"/>
        </w:rPr>
      </w:pPr>
      <w:r>
        <w:rPr>
          <w:rFonts w:hint="eastAsia" w:ascii="宋体" w:hAnsi="宋体" w:cs="宋体"/>
          <w:color w:val="000000"/>
        </w:rPr>
        <w:t xml:space="preserve">1.1</w:t>
      </w:r>
      <w:r>
        <w:rPr>
          <w:rFonts w:hint="eastAsia" w:ascii="宋体" w:hAnsi="宋体" w:cs="宋体"/>
          <w:color w:val="000000"/>
          <w:spacing w:val="2"/>
        </w:rPr>
        <w:t xml:space="preserve">人员部门设置。其中</w:t>
      </w:r>
      <w:r>
        <w:rPr>
          <w:rFonts w:hint="eastAsia" w:ascii="宋体" w:hAnsi="宋体" w:cs="宋体"/>
          <w:color w:val="000000"/>
        </w:rPr>
        <w:t xml:space="preserve">管理人员均需具备较强的分析、解决问题能力，思路清晰，考虑问题细致，严谨敏锐的法律意识；熟悉医院气、水、电报修及相关流程，具备较强的人际沟通、协调、组织、配合能力，责任心强；具有成熟的职业心态及心理抗压能力，能快速融入新环境。此外，投标人所投保洁、运送（含司梯）服务人员以及管理人员必须专职为采购人服务，不得兼职；特殊科室以及特殊岗位配置要符合采购方工作要求，并注意合理性、科学性和可行性。</w:t>
      </w:r>
      <w:r>
        <w:rPr>
          <w:rFonts w:hint="eastAsia" w:ascii="宋体" w:hAnsi="宋体" w:cs="宋体"/>
          <w:color w:val="ff0000"/>
          <w:spacing w:val="2"/>
        </w:rPr>
      </w:r>
      <w:r/>
    </w:p>
    <w:p>
      <w:pPr>
        <w:pStyle w:val="895"/>
        <w:ind w:firstLine="428"/>
        <w:spacing w:line="480" w:lineRule="exact"/>
        <w:rPr>
          <w:rFonts w:hint="eastAsia" w:ascii="宋体" w:hAnsi="宋体" w:cs="宋体"/>
          <w:color w:val="000000"/>
        </w:rPr>
      </w:pPr>
      <w:r>
        <w:rPr>
          <w:rFonts w:hint="eastAsia" w:ascii="宋体" w:hAnsi="宋体" w:cs="宋体"/>
          <w:color w:val="000000"/>
          <w:spacing w:val="2"/>
        </w:rPr>
        <w:t xml:space="preserve">1.2岗位</w:t>
      </w:r>
      <w:r>
        <w:rPr>
          <w:rFonts w:hint="eastAsia" w:ascii="宋体" w:hAnsi="宋体" w:cs="宋体"/>
          <w:color w:val="000000"/>
          <w:spacing w:val="4"/>
        </w:rPr>
        <w:t xml:space="preserve">人员</w:t>
      </w:r>
      <w:r>
        <w:rPr>
          <w:rFonts w:hint="eastAsia" w:ascii="宋体" w:hAnsi="宋体" w:cs="宋体"/>
          <w:color w:val="000000"/>
          <w:spacing w:val="3"/>
        </w:rPr>
        <w:t xml:space="preserve">配</w:t>
      </w:r>
      <w:r>
        <w:rPr>
          <w:rFonts w:hint="eastAsia" w:ascii="宋体" w:hAnsi="宋体" w:cs="宋体"/>
          <w:color w:val="000000"/>
          <w:spacing w:val="2"/>
        </w:rPr>
        <w:t xml:space="preserve">备。</w:t>
      </w:r>
      <w:r>
        <w:rPr>
          <w:rFonts w:hint="eastAsia" w:ascii="宋体" w:hAnsi="宋体" w:cs="宋体"/>
          <w:color w:val="000000"/>
          <w:shd w:val="clear" w:color="auto" w:fill="ffffff"/>
        </w:rPr>
        <w:t xml:space="preserve">结合采购方岗位用工需求，综合公司管理机制</w:t>
      </w:r>
      <w:r>
        <w:rPr>
          <w:rFonts w:hint="eastAsia" w:ascii="宋体" w:hAnsi="宋体" w:cs="宋体"/>
          <w:color w:val="000000"/>
        </w:rPr>
        <w:t xml:space="preserve">填写人员配备情况，见附件1。</w:t>
      </w:r>
      <w:r>
        <w:rPr>
          <w:rFonts w:hint="eastAsia" w:ascii="宋体" w:hAnsi="宋体" w:cs="宋体"/>
          <w:color w:val="000000"/>
        </w:rPr>
      </w:r>
      <w:r/>
    </w:p>
    <w:p>
      <w:pPr>
        <w:pStyle w:val="895"/>
        <w:ind w:firstLine="428"/>
        <w:spacing w:line="480" w:lineRule="exact"/>
        <w:rPr>
          <w:rFonts w:hint="eastAsia" w:ascii="宋体" w:hAnsi="宋体" w:cs="宋体"/>
          <w:color w:val="000000"/>
          <w:spacing w:val="2"/>
        </w:rPr>
      </w:pPr>
      <w:r>
        <w:rPr>
          <w:rFonts w:hint="eastAsia" w:ascii="宋体" w:hAnsi="宋体" w:cs="宋体"/>
          <w:color w:val="000000"/>
          <w:spacing w:val="2"/>
        </w:rPr>
        <w:t xml:space="preserve">1.3岗位设置及职责等（详见</w:t>
      </w:r>
      <w:r>
        <w:rPr>
          <w:rFonts w:hint="eastAsia" w:ascii="宋体" w:hAnsi="宋体" w:cs="宋体"/>
          <w:color w:val="000000"/>
        </w:rPr>
        <w:t xml:space="preserve">采购需求</w:t>
      </w:r>
      <w:r>
        <w:rPr>
          <w:rFonts w:hint="eastAsia" w:ascii="宋体" w:hAnsi="宋体" w:cs="宋体"/>
          <w:color w:val="000000"/>
          <w:spacing w:val="2"/>
        </w:rPr>
        <w:t xml:space="preserve">)。</w:t>
      </w:r>
      <w:r>
        <w:rPr>
          <w:rFonts w:hint="eastAsia" w:ascii="宋体" w:hAnsi="宋体" w:cs="宋体"/>
          <w:color w:val="000000"/>
        </w:rPr>
        <w:t xml:space="preserve">本项目中凡要求按照国家相关规定持证（包括但不限于上岗资格证等）上岗的人员，投标人相关人员均须按文件要求100%持有效证件上岗，并由投标人承担证书及其相关费用。</w:t>
      </w:r>
      <w:r>
        <w:rPr>
          <w:rFonts w:hint="eastAsia" w:ascii="宋体" w:hAnsi="宋体" w:cs="宋体"/>
          <w:color w:val="000000"/>
          <w:spacing w:val="2"/>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2.投标人应根据采购需求和本项目实际，提供本项目</w:t>
      </w:r>
      <w:r>
        <w:rPr>
          <w:rFonts w:hint="eastAsia" w:ascii="宋体" w:hAnsi="宋体" w:cs="宋体"/>
          <w:b/>
          <w:bCs/>
          <w:color w:val="000000"/>
        </w:rPr>
        <w:t xml:space="preserve">服务质量方案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spacing w:val="-2"/>
        </w:rPr>
        <w:t xml:space="preserve">各岗位用工等方面的</w:t>
      </w:r>
      <w:r>
        <w:rPr>
          <w:rFonts w:hint="eastAsia" w:ascii="宋体" w:hAnsi="宋体" w:cs="宋体"/>
          <w:color w:val="000000"/>
        </w:rPr>
        <w:t xml:space="preserve">的总体服务设想。</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2.2制定具体的实施流程、实施方案及质量标准等，以及针对各工种的质量控制体系、质量考核体系、绩效评估体系等。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3.投标人应根据采购需求和本项目实际，提供本项目</w:t>
      </w:r>
      <w:r>
        <w:rPr>
          <w:rFonts w:hint="eastAsia" w:ascii="宋体" w:hAnsi="宋体" w:cs="宋体"/>
          <w:bCs/>
          <w:color w:val="000000"/>
        </w:rPr>
        <w:t xml:space="preserve">员工队伍</w:t>
      </w:r>
      <w:r>
        <w:rPr>
          <w:rFonts w:hint="eastAsia" w:ascii="宋体" w:hAnsi="宋体" w:cs="宋体"/>
          <w:b/>
          <w:bCs/>
          <w:color w:val="000000"/>
        </w:rPr>
        <w:t xml:space="preserve">稳定措施方</w:t>
      </w:r>
      <w:r>
        <w:rPr>
          <w:rFonts w:hint="eastAsia" w:ascii="宋体" w:hAnsi="宋体" w:cs="宋体"/>
          <w:b/>
          <w:color w:val="000000"/>
        </w:rPr>
        <w:t xml:space="preserve">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pPr>
      <w:r>
        <w:rPr>
          <w:rFonts w:hint="eastAsia" w:ascii="宋体" w:hAnsi="宋体" w:cs="宋体"/>
          <w:color w:val="000000"/>
        </w:rPr>
        <w:t xml:space="preserve">3.1各部门、岗位人员的结构、交保率等。</w:t>
      </w:r>
      <w:r>
        <w:rPr>
          <w:rFonts w:hint="eastAsia"/>
        </w:rPr>
        <w:t xml:space="preserve">合理配置各部门、</w:t>
      </w:r>
      <w:r>
        <w:rPr>
          <w:rFonts w:hint="eastAsia"/>
        </w:rPr>
        <w:t xml:space="preserve">岗位人员结构，明确交保率，确保员工队伍稳定，加强人员动态管理，提升队伍素质，人员招录向年轻化倾斜，交保人数必须达50%以上；服务期间采购人有权根据工作量按分项报价表增加或减少人员。全员合规参保覆盖率须达100%：在岗在职未退休物业人员100%足额缴纳养老、医疗、失业、工伤、生育五险；退休返聘人员（已办理退休并领取养老金）豁免养老、医疗、失业、生育保险，但须100%参加工伤保险或购买等额足额商业意外伤害险（二选一），参保凭证纳入交保资料；退休返聘人员须纳入交保人员名单统一管理，其名单及保险凭证与交保资料一致。</w:t>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3.2各工种服务标准及培训机制、沟通机制、奖惩制度等。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4.投标人应根据采购需求和本项目实际，提供本项目</w:t>
      </w:r>
      <w:r>
        <w:rPr>
          <w:rFonts w:hint="eastAsia" w:ascii="宋体" w:hAnsi="宋体" w:cs="宋体"/>
          <w:b/>
          <w:bCs/>
          <w:color w:val="000000"/>
        </w:rPr>
        <w:t xml:space="preserve">整体方案设想</w:t>
      </w:r>
      <w:r>
        <w:rPr>
          <w:rFonts w:hint="eastAsia" w:ascii="宋体" w:hAnsi="宋体" w:cs="宋体"/>
          <w:color w:val="000000"/>
        </w:rPr>
        <w:t xml:space="preserve">，方案应包括但不限于以下内容：本项目管理理念、工作目标、工作设想、工作定位、节能降耗的具体措施以及智能化管理举措等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5.投标人应根据采购需求和本项目实际，提供本项目</w:t>
      </w:r>
      <w:r>
        <w:rPr>
          <w:rFonts w:hint="eastAsia" w:ascii="宋体" w:hAnsi="宋体" w:cs="宋体"/>
          <w:b/>
          <w:bCs/>
          <w:color w:val="000000"/>
        </w:rPr>
        <w:t xml:space="preserve">安全管理方案</w:t>
      </w:r>
      <w:r>
        <w:rPr>
          <w:rFonts w:hint="eastAsia" w:ascii="宋体" w:hAnsi="宋体" w:cs="宋体"/>
          <w:color w:val="000000"/>
        </w:rPr>
        <w:t xml:space="preserve">，方案应包括但不限于以下内容：①安全生产要求、②培训方案、③结合医院防止交叉感染相关要求制定相应措施、④结合消毒隔离要求制定相应措施、⑤作业安全防范措施、⑥保洁类机械，运送类机械配套设施管理要求，方案须细致、针对性强、保障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6.投标人须免费提供满足本项目服务需求的</w:t>
      </w:r>
      <w:r>
        <w:rPr>
          <w:rFonts w:hint="eastAsia" w:ascii="宋体" w:hAnsi="宋体" w:cs="宋体"/>
          <w:b/>
          <w:bCs/>
          <w:color w:val="000000"/>
        </w:rPr>
        <w:t xml:space="preserve">后勤服务信息化管理系统</w:t>
      </w:r>
      <w:r>
        <w:rPr>
          <w:rFonts w:hint="eastAsia" w:ascii="宋体" w:hAnsi="宋体" w:cs="宋体"/>
          <w:color w:val="000000"/>
        </w:rPr>
        <w:t xml:space="preserve">及配套硬件设备，包含但不限于管理平台、移动终端、调度系统等，所有软硬件费用、安装调试费、维护费、升级费均包含在投标报价内，采购人不再另行支付。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中标人须确保系统合法合规、数据安全可追溯，并承担系统使用期间的技术支持、故障处理及持续优化责任，保障系统稳定运行。</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7.投标人应根据采购需求和本项目实际，提供本项目</w:t>
      </w:r>
      <w:r>
        <w:rPr>
          <w:rFonts w:hint="eastAsia" w:ascii="宋体" w:hAnsi="宋体" w:cs="宋体"/>
          <w:b/>
          <w:bCs/>
          <w:color w:val="000000"/>
        </w:rPr>
        <w:t xml:space="preserve">管理制度和运作流程</w:t>
      </w:r>
      <w:r>
        <w:rPr>
          <w:rFonts w:hint="eastAsia" w:ascii="宋体" w:hAnsi="宋体" w:cs="宋体"/>
          <w:color w:val="000000"/>
        </w:rPr>
        <w:t xml:space="preserve">，方案应包括但不限于以下内容：服务规范标准、规章制度、各类岗位职责、应急和突发事件预案、运作流程图等，要求方案细致完整、针对性强、措施有力。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8.投标人应根据采购需求和本项目实际，提供本项目</w:t>
      </w:r>
      <w:r>
        <w:rPr>
          <w:rFonts w:hint="eastAsia" w:ascii="宋体" w:hAnsi="宋体" w:cs="宋体"/>
          <w:b/>
          <w:bCs/>
          <w:color w:val="000000"/>
        </w:rPr>
        <w:t xml:space="preserve">进退场交接方案</w:t>
      </w:r>
      <w:r>
        <w:rPr>
          <w:rFonts w:hint="eastAsia" w:ascii="宋体" w:hAnsi="宋体" w:cs="宋体"/>
          <w:color w:val="000000"/>
        </w:rPr>
        <w:t xml:space="preserve">，方案应包括但不限于以下内容：</w:t>
      </w:r>
      <w:r>
        <w:rPr>
          <w:rFonts w:hint="eastAsia" w:ascii="宋体" w:hAnsi="宋体" w:cs="宋体"/>
          <w:color w:val="000000"/>
          <w:spacing w:val="-2"/>
        </w:rPr>
        <w:t xml:space="preserve">交接流程、交接措施及难点处理办法、</w:t>
      </w:r>
      <w:r>
        <w:rPr>
          <w:rFonts w:hint="eastAsia" w:ascii="宋体" w:hAnsi="宋体" w:cs="宋体"/>
          <w:color w:val="000000"/>
        </w:rPr>
        <w:t xml:space="preserve">交接时间进度安排</w:t>
      </w:r>
      <w:r>
        <w:rPr>
          <w:rFonts w:hint="eastAsia" w:ascii="宋体" w:hAnsi="宋体" w:cs="宋体"/>
          <w:color w:val="000000"/>
          <w:spacing w:val="-2"/>
        </w:rPr>
        <w:t xml:space="preserve">等内容，</w:t>
      </w:r>
      <w:r>
        <w:rPr>
          <w:rFonts w:hint="eastAsia" w:ascii="宋体" w:hAnsi="宋体" w:cs="宋体"/>
          <w:color w:val="000000"/>
        </w:rPr>
        <w:t xml:space="preserve">要求方案细致完整、针对性强、措施有力，可行性高且措施有力，确保平稳有序交接完成。</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9.投标人应根据采购需求和本项目实际，提供本项目</w:t>
      </w:r>
      <w:r>
        <w:rPr>
          <w:rFonts w:hint="eastAsia" w:ascii="宋体" w:hAnsi="宋体" w:cs="宋体"/>
          <w:b/>
          <w:bCs/>
          <w:color w:val="000000"/>
        </w:rPr>
        <w:t xml:space="preserve">临时突发事件应急措施方案</w:t>
      </w:r>
      <w:r>
        <w:rPr>
          <w:rFonts w:hint="eastAsia" w:ascii="宋体" w:hAnsi="宋体" w:cs="宋体"/>
          <w:color w:val="000000"/>
        </w:rPr>
        <w:t xml:space="preserve">，方案应包括但不限于以下内容：</w:t>
      </w:r>
      <w:bookmarkStart w:id="194" w:name="OLE_LINK2"/>
      <w:r>
        <w:rPr>
          <w:rFonts w:hint="eastAsia" w:ascii="宋体" w:hAnsi="宋体" w:cs="宋体"/>
          <w:color w:val="000000"/>
        </w:rPr>
        <w:t xml:space="preserve">①</w:t>
      </w:r>
      <w:bookmarkEnd w:id="194"/>
      <w:r>
        <w:rPr>
          <w:rFonts w:hint="eastAsia" w:ascii="宋体" w:hAnsi="宋体" w:cs="宋体"/>
          <w:color w:val="000000"/>
          <w:spacing w:val="-2"/>
        </w:rPr>
        <w:t xml:space="preserve">医疗垃圾泄露②电梯困人救援③恶劣天气、夜间及节假日突发事件④各类上级专项检查⑤</w:t>
      </w:r>
      <w:r>
        <w:rPr>
          <w:rFonts w:hint="eastAsia" w:ascii="宋体" w:hAnsi="宋体" w:cs="宋体"/>
          <w:color w:val="000000"/>
        </w:rPr>
        <w:t xml:space="preserve">医疗废物、标本洒落等应急预案等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10.投标人应根据采购需求和本项目实际，提供本项目</w:t>
      </w:r>
      <w:r>
        <w:rPr>
          <w:rFonts w:hint="eastAsia" w:ascii="宋体" w:hAnsi="宋体" w:cs="宋体"/>
          <w:b/>
          <w:bCs/>
          <w:color w:val="000000"/>
        </w:rPr>
        <w:t xml:space="preserve">院感防控实施方案</w:t>
      </w:r>
      <w:r>
        <w:rPr>
          <w:rFonts w:hint="eastAsia" w:ascii="宋体" w:hAnsi="宋体" w:cs="宋体"/>
          <w:color w:val="000000"/>
        </w:rPr>
        <w:t xml:space="preserve">，方案应包括但不限于以下内容：①</w:t>
      </w:r>
      <w:r>
        <w:rPr>
          <w:rFonts w:hint="eastAsia" w:ascii="宋体" w:hAnsi="宋体" w:cs="宋体"/>
          <w:color w:val="000000"/>
          <w:spacing w:val="-2"/>
        </w:rPr>
        <w:t xml:space="preserve">防止交叉感染的操作规程②人员培训计划③制度落实措施等，</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spacing w:val="-2"/>
        </w:rPr>
      </w:pPr>
      <w:r>
        <w:rPr>
          <w:rFonts w:hint="eastAsia" w:ascii="宋体" w:hAnsi="宋体" w:cs="宋体"/>
          <w:color w:val="000000"/>
        </w:rPr>
        <w:t xml:space="preserve">11.</w:t>
      </w:r>
      <w:r>
        <w:rPr>
          <w:rFonts w:hint="eastAsia" w:ascii="宋体" w:hAnsi="宋体" w:cs="宋体"/>
          <w:color w:val="000000"/>
          <w:spacing w:val="-2"/>
        </w:rPr>
        <w:t xml:space="preserve">投标人应根据采购需求和本项目保洁、运送（含司梯）服务中所需的设备、工具及物料、耗材（采购人提供设备、物资除外）等制定相应的</w:t>
      </w:r>
      <w:r>
        <w:rPr>
          <w:rFonts w:hint="eastAsia" w:ascii="宋体" w:hAnsi="宋体" w:cs="宋体"/>
          <w:b/>
          <w:bCs/>
          <w:color w:val="000000"/>
          <w:spacing w:val="-2"/>
        </w:rPr>
        <w:t xml:space="preserve">设备设施配置方案</w:t>
      </w:r>
      <w:r>
        <w:rPr>
          <w:rFonts w:hint="eastAsia" w:ascii="宋体" w:hAnsi="宋体" w:cs="宋体"/>
          <w:color w:val="000000"/>
          <w:spacing w:val="-2"/>
        </w:rPr>
        <w:t xml:space="preserve">。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hint="eastAsia" w:ascii="宋体" w:hAnsi="宋体" w:cs="宋体"/>
          <w:color w:val="000000"/>
        </w:rPr>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12.投标人应根据采购需求和本项目实际，提供本项目的</w:t>
      </w:r>
      <w:r>
        <w:rPr>
          <w:rFonts w:ascii="SimSun" w:hAnsi="SimSun" w:eastAsia="SimSun" w:cs="SimSun"/>
          <w:b/>
          <w:color w:val="000000" w:themeColor="text1"/>
          <w:spacing w:val="-2"/>
          <w:sz w:val="21"/>
        </w:rPr>
        <w:t xml:space="preserve">配套延伸服务方案</w:t>
      </w:r>
      <w:r>
        <w:rPr>
          <w:rFonts w:ascii="SimSun" w:hAnsi="SimSun" w:eastAsia="SimSun" w:cs="SimSun"/>
          <w:color w:val="000000" w:themeColor="text1"/>
          <w:spacing w:val="-2"/>
          <w:sz w:val="21"/>
        </w:rPr>
        <w:t xml:space="preserve">。包括但不限于：业务范围扩展、无偿提供便民延伸配套服务优化就医体验、助力人文医院建设等。</w:t>
      </w:r>
      <w:r>
        <w:rPr>
          <w:sz w:val="21"/>
        </w:rPr>
      </w:r>
      <w:r/>
    </w:p>
    <w:p>
      <w:pPr>
        <w:ind w:firstLine="420"/>
        <w:spacing w:line="480" w:lineRule="exact"/>
        <w:rPr>
          <w:rFonts w:hint="eastAsia" w:ascii="宋体" w:hAnsi="宋体" w:cs="宋体"/>
          <w:color w:val="000000"/>
        </w:rPr>
      </w:pPr>
      <w:r>
        <w:rPr>
          <w:rFonts w:hint="eastAsia" w:ascii="宋体" w:hAnsi="宋体" w:cs="宋体"/>
          <w:color w:val="000000"/>
          <w:spacing w:val="-2"/>
        </w:rPr>
      </w:r>
      <w:r>
        <w:rPr>
          <w:rFonts w:hint="eastAsia" w:ascii="宋体" w:hAnsi="宋体" w:cs="宋体"/>
          <w:color w:val="000000"/>
        </w:rPr>
        <w:t xml:space="preserve">㈡商务要求： </w:t>
      </w:r>
      <w:r/>
    </w:p>
    <w:p>
      <w:pPr>
        <w:pStyle w:val="895"/>
        <w:ind w:firstLine="420"/>
        <w:spacing w:line="480" w:lineRule="exact"/>
        <w:rPr>
          <w:color w:val="000000"/>
        </w:rPr>
      </w:pPr>
      <w:r>
        <w:rPr>
          <w:rFonts w:hint="eastAsia" w:ascii="宋体" w:hAnsi="宋体" w:cs="宋体"/>
          <w:color w:val="000000"/>
        </w:rPr>
        <w:t xml:space="preserve">1.拟派项目经理的要求。项目经理不得随意更换，更换项目经理必须以文档形式经过医院同意，且项目经理须具有本科及以上学历、</w:t>
      </w:r>
      <w:r>
        <w:rPr>
          <w:color w:val="000000"/>
        </w:rPr>
        <w:t xml:space="preserve">具有</w:t>
      </w:r>
      <w:r>
        <w:rPr>
          <w:rFonts w:ascii="Arial" w:hAnsi="Arial" w:cs="Arial"/>
          <w:b/>
          <w:bCs/>
          <w:color w:val="000000"/>
        </w:rPr>
        <w:t xml:space="preserve">3年及以上</w:t>
      </w:r>
      <w:r>
        <w:rPr>
          <w:color w:val="000000"/>
        </w:rPr>
        <w:t xml:space="preserve">类似医院物业服务项目经理任职经历，并提供相关证明</w:t>
      </w:r>
      <w:r>
        <w:rPr>
          <w:rFonts w:hint="eastAsia" w:ascii="宋体" w:hAnsi="宋体" w:cs="宋体"/>
          <w:color w:val="000000"/>
        </w:rPr>
        <w:t xml:space="preserve">，</w:t>
      </w:r>
      <w:r>
        <w:rPr>
          <w:color w:val="000000"/>
        </w:rPr>
        <w:t xml:space="preserve">须提供有效的物业管理相关岗位证书或职业资格证书。</w:t>
      </w:r>
      <w:r>
        <w:rPr>
          <w:color w:val="000000"/>
        </w:rPr>
      </w:r>
      <w:r/>
    </w:p>
    <w:p>
      <w:pPr>
        <w:pStyle w:val="895"/>
        <w:ind w:firstLine="420"/>
        <w:spacing w:line="480" w:lineRule="exact"/>
        <w:rPr>
          <w:rFonts w:hint="eastAsia" w:ascii="宋体" w:hAnsi="宋体" w:cs="宋体"/>
          <w:color w:val="000000"/>
          <w:sz w:val="24"/>
        </w:rPr>
      </w:pPr>
      <w:r>
        <w:rPr>
          <w:rFonts w:hint="eastAsia" w:ascii="宋体" w:hAnsi="宋体" w:cs="宋体"/>
          <w:color w:val="000000"/>
        </w:rPr>
        <w:t xml:space="preserve">2.</w:t>
      </w:r>
      <w:r>
        <w:rPr>
          <w:rFonts w:ascii="宋体" w:hAnsi="宋体" w:cs="宋体"/>
          <w:color w:val="000000"/>
        </w:rPr>
        <w:t xml:space="preserve">项目管理成员须具有大专及以上学历</w:t>
      </w:r>
      <w:r>
        <w:rPr>
          <w:rFonts w:hint="eastAsia" w:ascii="宋体" w:hAnsi="宋体" w:cs="宋体"/>
          <w:color w:val="000000"/>
        </w:rPr>
        <w:t xml:space="preserve">，且所有人员必须专职服务本项目，不得兼职；</w:t>
      </w:r>
      <w:r>
        <w:rPr>
          <w:rFonts w:ascii="宋体" w:hAnsi="宋体" w:cs="宋体"/>
          <w:color w:val="000000"/>
        </w:rPr>
        <w:t xml:space="preserve">从事玻璃顶面</w:t>
      </w:r>
      <w:r>
        <w:rPr>
          <w:rFonts w:hint="eastAsia" w:ascii="宋体" w:hAnsi="宋体" w:cs="宋体"/>
          <w:color w:val="000000"/>
        </w:rPr>
        <w:t xml:space="preserve">（4米以下）</w:t>
      </w:r>
      <w:r>
        <w:rPr>
          <w:rFonts w:ascii="宋体" w:hAnsi="宋体" w:cs="宋体"/>
          <w:color w:val="000000"/>
        </w:rPr>
        <w:t xml:space="preserve">保洁作业的人员，必须持有有效的《特种作业操作证（高处作业）》，无证人员不得上岗作业；</w:t>
      </w:r>
      <w:r>
        <w:rPr>
          <w:rFonts w:ascii="宋体" w:hAnsi="宋体" w:cs="宋体"/>
          <w:color w:val="000000"/>
        </w:rPr>
        <w:t xml:space="preserve">管理</w:t>
      </w:r>
      <w:r>
        <w:rPr>
          <w:rFonts w:ascii="宋体" w:hAnsi="宋体" w:cs="宋体"/>
          <w:color w:val="000000"/>
        </w:rPr>
        <w:t xml:space="preserve">成员</w:t>
      </w:r>
      <w:r>
        <w:rPr>
          <w:rFonts w:ascii="宋体" w:hAnsi="宋体" w:cs="宋体"/>
          <w:color w:val="000000"/>
        </w:rPr>
        <w:t xml:space="preserve">应</w:t>
      </w:r>
      <w:r>
        <w:rPr>
          <w:rFonts w:ascii="宋体" w:hAnsi="宋体" w:cs="宋体"/>
          <w:color w:val="000000"/>
        </w:rPr>
        <w:t xml:space="preserve">具有</w:t>
      </w:r>
      <w:r>
        <w:rPr>
          <w:rFonts w:ascii="宋体" w:hAnsi="宋体" w:cs="宋体"/>
          <w:color w:val="000000"/>
        </w:rPr>
        <w:t xml:space="preserve">类似</w:t>
      </w:r>
      <w:r>
        <w:rPr>
          <w:rFonts w:ascii="宋体" w:hAnsi="宋体" w:cs="宋体"/>
          <w:color w:val="000000"/>
        </w:rPr>
        <w:t xml:space="preserve">医院</w:t>
      </w:r>
      <w:r>
        <w:rPr>
          <w:rFonts w:ascii="宋体" w:hAnsi="宋体" w:cs="宋体"/>
          <w:color w:val="000000"/>
        </w:rPr>
        <w:t xml:space="preserve">物业服务</w:t>
      </w:r>
      <w:r>
        <w:rPr>
          <w:rFonts w:ascii="宋体" w:hAnsi="宋体" w:cs="宋体"/>
          <w:color w:val="000000"/>
        </w:rPr>
        <w:t xml:space="preserve">保洁</w:t>
      </w:r>
      <w:r>
        <w:rPr>
          <w:rFonts w:ascii="宋体" w:hAnsi="宋体" w:cs="宋体"/>
          <w:color w:val="000000"/>
        </w:rPr>
        <w:t xml:space="preserve">或</w:t>
      </w:r>
      <w:r>
        <w:rPr>
          <w:rFonts w:ascii="宋体" w:hAnsi="宋体" w:cs="宋体"/>
          <w:color w:val="000000"/>
        </w:rPr>
        <w:t xml:space="preserve">运送主管</w:t>
      </w:r>
      <w:r>
        <w:rPr>
          <w:rFonts w:ascii="宋体" w:hAnsi="宋体" w:cs="宋体"/>
          <w:color w:val="000000"/>
        </w:rPr>
        <w:t xml:space="preserve">三年</w:t>
      </w:r>
      <w:r>
        <w:rPr>
          <w:rFonts w:ascii="宋体" w:hAnsi="宋体" w:cs="宋体"/>
          <w:color w:val="000000"/>
        </w:rPr>
        <w:t xml:space="preserve">及</w:t>
      </w:r>
      <w:r>
        <w:rPr>
          <w:rFonts w:ascii="宋体" w:hAnsi="宋体" w:cs="宋体"/>
          <w:color w:val="000000"/>
        </w:rPr>
        <w:t xml:space="preserve">以上</w:t>
      </w:r>
      <w:r>
        <w:rPr>
          <w:rFonts w:ascii="宋体" w:hAnsi="宋体" w:cs="宋体"/>
          <w:color w:val="000000"/>
        </w:rPr>
        <w:t xml:space="preserve">的</w:t>
      </w:r>
      <w:r>
        <w:rPr>
          <w:rFonts w:ascii="宋体" w:hAnsi="宋体" w:cs="宋体"/>
          <w:color w:val="000000"/>
        </w:rPr>
        <w:t xml:space="preserve">经验资历</w:t>
      </w:r>
      <w:r>
        <w:rPr>
          <w:rFonts w:ascii="宋体" w:hAnsi="宋体" w:cs="宋体"/>
          <w:color w:val="000000"/>
        </w:rPr>
        <w:t xml:space="preserve">。</w:t>
      </w:r>
      <w:r>
        <w:rPr>
          <w:rFonts w:hint="eastAsia" w:ascii="宋体" w:hAnsi="宋体" w:cs="宋体"/>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r>
      <w:r>
        <w:rPr>
          <w:rFonts w:hint="eastAsia" w:ascii="宋体" w:hAnsi="宋体" w:cs="宋体"/>
          <w:color w:val="000000"/>
        </w:rPr>
        <w:t xml:space="preserve">3.经营业绩:投标人自2023年1月1日以来，须具有类似医院物业服务项目业绩（服务内容须包含医院卫生保洁、医院陪检运送服务）。业绩为投标人公司层面业绩，不要求该业绩与拟派本项目项目经理为同一任职人员。</w:t>
      </w:r>
      <w:r>
        <w:rPr>
          <w:rFonts w:hint="eastAsia" w:ascii="宋体" w:hAnsi="宋体" w:cs="宋体"/>
          <w:color w:val="000000"/>
        </w:rPr>
        <w:t xml:space="preserve"> </w:t>
      </w:r>
      <w:r/>
    </w:p>
    <w:p>
      <w:pPr>
        <w:pStyle w:val="895"/>
        <w:ind w:firstLine="420"/>
        <w:spacing w:line="480" w:lineRule="exact"/>
        <w:rPr>
          <w:rFonts w:hint="eastAsia" w:ascii="宋体" w:hAnsi="宋体" w:cs="宋体"/>
          <w:color w:val="000000"/>
          <w:u w:val="single"/>
        </w:rPr>
      </w:pPr>
      <w:r>
        <w:rPr>
          <w:rFonts w:hint="eastAsia" w:ascii="宋体" w:hAnsi="宋体" w:cs="宋体"/>
          <w:color w:val="000000"/>
        </w:rPr>
        <w:t xml:space="preserve">4.信息化能力:提供陪检运送管理软件、保洁运行系统管理软件等，需提供物业服务信息化管理软件并在类似医院运行6个月或以上的数据截图。</w:t>
      </w:r>
      <w:r>
        <w:rPr>
          <w:rFonts w:hint="eastAsia" w:ascii="宋体" w:hAnsi="宋体" w:cs="宋体"/>
          <w:color w:val="000000"/>
        </w:rPr>
      </w:r>
      <w:r/>
    </w:p>
    <w:p>
      <w:pPr>
        <w:pStyle w:val="895"/>
        <w:ind w:firstLine="420"/>
        <w:jc w:val="left"/>
        <w:spacing w:line="480" w:lineRule="exact"/>
        <w:widowControl/>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外带软件系统的数据安全保障措施：投标人须建立完善的数据安全管理制度及技术防护体系，严格遵循《中华人民共和国数据安全法》《中华人民共和国网络安全法》等相关法律法规要求，落实数据全生命周期安全防护，采取数据</w:t>
      </w:r>
      <w:r>
        <w:rPr>
          <w:rFonts w:ascii="宋体" w:hAnsi="宋体" w:cs="宋体"/>
          <w:color w:val="000000"/>
        </w:rPr>
        <w:t xml:space="preserve">加密、数据备份、数据脱敏等技术措施，防范数据篡改、泄露、丢失等风险；须在租赁或购买合同中明确约定软件提供方的数据安全责任，明确数据使用范围、保存期限及处置要求，禁止软件提供方擅自访问、复制、泄露项目相关数据，明确违约责任及应急处置方案；投标人须对软件运行进行日常监测，定期开展安全演练，建立数据安全应急处置机制，发生数据安全事件时，须第一时间采取补救措施，及时向采购人（医院）通报，并配合做好后续处置及备案工作，确保医院相关数据（含患者相关辅助信息、物业服务数据）安全合规，符合医疗卫生机构数据安全管理相关要求。</w:t>
      </w:r>
      <w:r>
        <w:rPr>
          <w:rFonts w:hint="eastAsia" w:ascii="宋体" w:hAnsi="宋体" w:cs="宋体"/>
          <w:color w:val="000000"/>
        </w:rPr>
      </w:r>
      <w:r/>
    </w:p>
    <w:p>
      <w:pPr>
        <w:pStyle w:val="895"/>
        <w:spacing w:line="480" w:lineRule="exact"/>
        <w:rPr>
          <w:rStyle w:val="909"/>
          <w:rFonts w:hint="eastAsia" w:ascii="宋体" w:hAnsi="宋体" w:cs="宋体"/>
          <w:b w:val="0"/>
          <w:bCs w:val="0"/>
          <w:color w:val="000000"/>
          <w:sz w:val="24"/>
        </w:rPr>
      </w:pPr>
      <w:r>
        <w:rPr>
          <w:rStyle w:val="909"/>
          <w:rFonts w:hint="eastAsia" w:ascii="宋体" w:hAnsi="宋体" w:cs="宋体"/>
          <w:b w:val="0"/>
          <w:bCs w:val="0"/>
          <w:color w:val="000000"/>
          <w:sz w:val="24"/>
        </w:rPr>
      </w:r>
      <w:r/>
    </w:p>
    <w:p>
      <w:pPr>
        <w:pStyle w:val="895"/>
        <w:ind w:firstLine="472"/>
        <w:jc w:val="left"/>
        <w:spacing w:line="480" w:lineRule="exact"/>
        <w:rPr>
          <w:rFonts w:hint="eastAsia" w:ascii="宋体" w:hAnsi="宋体" w:cs="宋体"/>
          <w:b/>
          <w:color w:val="ff0000"/>
          <w:sz w:val="24"/>
        </w:rPr>
      </w:pPr>
      <w:r>
        <w:rPr>
          <w:rFonts w:hint="eastAsia" w:ascii="宋体" w:hAnsi="宋体" w:cs="宋体"/>
          <w:b/>
          <w:color w:val="000000"/>
          <w:sz w:val="24"/>
        </w:rPr>
        <w:t xml:space="preserve">（二）商务和服务需求</w:t>
      </w:r>
      <w:r>
        <w:rPr>
          <w:rFonts w:hint="eastAsia" w:ascii="宋体" w:hAnsi="宋体" w:cs="宋体"/>
          <w:b/>
          <w:color w:val="ff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733"/>
        <w:gridCol w:w="1133"/>
        <w:gridCol w:w="5211"/>
      </w:tblGrid>
      <w:tr>
        <w:trPr>
          <w:trHeight w:val="520"/>
        </w:trPr>
        <w:tc>
          <w:tcPr>
            <w:tcW w:w="77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7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 项目</w:t>
            </w:r>
            <w:r>
              <w:rPr>
                <w:rFonts w:hint="eastAsia" w:ascii="宋体" w:hAnsi="宋体" w:cs="宋体"/>
                <w:b/>
                <w:color w:val="000000"/>
                <w:sz w:val="24"/>
              </w:rPr>
            </w:r>
            <w:r/>
          </w:p>
        </w:tc>
        <w:tc>
          <w:tcPr>
            <w:tcW w:w="11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重要性</w:t>
            </w:r>
            <w:r>
              <w:rPr>
                <w:rFonts w:hint="eastAsia" w:ascii="宋体" w:hAnsi="宋体" w:cs="宋体"/>
                <w:b/>
                <w:color w:val="000000"/>
                <w:sz w:val="24"/>
              </w:rPr>
            </w:r>
            <w:r/>
          </w:p>
        </w:tc>
        <w:tc>
          <w:tcPr>
            <w:tcW w:w="521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商务和服务要求</w:t>
            </w:r>
            <w:r>
              <w:rPr>
                <w:rFonts w:hint="eastAsia" w:ascii="宋体" w:hAnsi="宋体" w:cs="宋体"/>
                <w:b/>
                <w:color w:val="000000"/>
                <w:sz w:val="24"/>
              </w:rPr>
            </w:r>
            <w:r/>
          </w:p>
        </w:tc>
      </w:tr>
      <w:tr>
        <w:trPr>
          <w:trHeight w:val="501"/>
        </w:trPr>
        <w:tc>
          <w:tcPr>
            <w:tcW w:w="77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3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服务期</w:t>
            </w:r>
            <w:r>
              <w:rPr>
                <w:rFonts w:hint="eastAsia" w:ascii="宋体" w:hAnsi="宋体" w:cs="宋体"/>
                <w:color w:val="000000"/>
              </w:rPr>
            </w:r>
            <w:r/>
          </w:p>
        </w:tc>
        <w:tc>
          <w:tcPr>
            <w:tcW w:w="113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521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三年</w:t>
            </w:r>
            <w:r>
              <w:rPr>
                <w:rFonts w:hint="eastAsia" w:ascii="宋体" w:hAnsi="宋体" w:cs="宋体"/>
                <w:color w:val="000000"/>
              </w:rPr>
            </w:r>
            <w:r/>
          </w:p>
        </w:tc>
      </w:tr>
      <w:tr>
        <w:trPr>
          <w:trHeight w:val="3500"/>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考核标准</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jc w:val="left"/>
              <w:widowControl/>
              <w:rPr>
                <w:rFonts w:hint="eastAsia" w:ascii="宋体" w:hAnsi="宋体" w:cs="宋体"/>
                <w:bCs/>
                <w:i/>
                <w:color w:val="000000"/>
                <w:u w:val="single"/>
              </w:rPr>
            </w:pPr>
            <w:r>
              <w:rPr>
                <w:rFonts w:hint="eastAsia" w:ascii="宋体" w:hAnsi="宋体" w:cs="宋体"/>
                <w:i/>
                <w:iCs/>
                <w:color w:val="000000"/>
                <w:u w:val="single"/>
              </w:rPr>
              <w:t xml:space="preserve">根据《江苏大学附属医院物业管理考核实施办法》，若中标人累计两次考核不合格（平均考核评分低于90分）或人员缺岗率≥4%，采购人有权取消合同。</w:t>
            </w:r>
            <w:r>
              <w:rPr>
                <w:i/>
                <w:iCs/>
                <w:u w:val="single"/>
              </w:rPr>
            </w:r>
            <w:r/>
          </w:p>
          <w:p>
            <w:pPr>
              <w:pStyle w:val="895"/>
              <w:ind w:firstLine="420"/>
              <w:jc w:val="left"/>
              <w:widowControl/>
              <w:rPr>
                <w:rFonts w:hint="eastAsia" w:ascii="宋体" w:hAnsi="宋体" w:cs="宋体"/>
                <w:bCs/>
                <w:i/>
                <w:color w:val="000000"/>
                <w:u w:val="single"/>
              </w:rPr>
            </w:pPr>
            <w:r>
              <w:rPr>
                <w:rFonts w:hint="eastAsia" w:ascii="宋体" w:hAnsi="宋体" w:cs="宋体"/>
                <w:i/>
                <w:iCs/>
                <w:color w:val="000000"/>
                <w:u w:val="single"/>
              </w:rPr>
              <w:t xml:space="preserve">因物业公司原因导致拖欠员工薪资引发群体事件给医院造成被动的，采购人有权单方面取消合同。</w:t>
            </w:r>
            <w:r>
              <w:rPr>
                <w:i/>
                <w:iCs/>
                <w:u w:val="single"/>
              </w:rPr>
            </w:r>
            <w:r/>
          </w:p>
          <w:p>
            <w:pPr>
              <w:pStyle w:val="895"/>
              <w:ind w:firstLine="420"/>
              <w:jc w:val="left"/>
              <w:widowControl/>
              <w:rPr>
                <w:rFonts w:ascii="宋体" w:hAnsi="宋体" w:cs="宋体"/>
                <w:bCs/>
                <w:i/>
                <w:color w:val="000000"/>
                <w:u w:val="single"/>
              </w:rPr>
            </w:pPr>
            <w:r>
              <w:rPr>
                <w:rFonts w:hint="eastAsia" w:ascii="宋体" w:hAnsi="宋体" w:cs="宋体"/>
                <w:i/>
                <w:iCs/>
                <w:color w:val="000000"/>
                <w:u w:val="single"/>
              </w:rPr>
              <w:t xml:space="preserve">日常工作中因中标方工作失职的原因，发生重、特大安全责任事故，除赔偿损失外，采购人有权单方面取消合同。</w:t>
            </w:r>
            <w:r>
              <w:rPr>
                <w:i/>
                <w:iCs/>
                <w:u w:val="single"/>
              </w:rPr>
            </w:r>
            <w:r/>
          </w:p>
          <w:p>
            <w:pPr>
              <w:pStyle w:val="895"/>
              <w:ind w:firstLine="420"/>
              <w:jc w:val="left"/>
              <w:widowControl/>
              <w:rPr>
                <w:rFonts w:hint="eastAsia" w:ascii="宋体" w:hAnsi="宋体" w:cs="宋体"/>
                <w:bCs/>
                <w:i/>
                <w:color w:val="ff0000"/>
                <w:u w:val="single"/>
              </w:rPr>
            </w:pPr>
            <w:r>
              <w:rPr>
                <w:rFonts w:ascii="宋体" w:hAnsi="宋体" w:cs="宋体"/>
                <w:i/>
                <w:iCs/>
                <w:color w:val="000000"/>
                <w:u w:val="single"/>
              </w:rPr>
            </w:r>
            <w:r>
              <w:rPr>
                <w:i/>
                <w:iCs/>
                <w:u w:val="single"/>
              </w:rPr>
            </w:r>
            <w:r/>
          </w:p>
        </w:tc>
      </w:tr>
      <w:tr>
        <w:trPr>
          <w:trHeight w:val="3417"/>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付款方式</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1.每月一次对物业服务进行考核，根据考核情况每两个月支付一次物业服务费用，每月综合考核平均得分达95分，物业费全额支付，低于95分的每少1分，扣1000元。</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2.通过采购人考核后，</w:t>
            </w:r>
            <w:r>
              <w:rPr>
                <w:rFonts w:hint="eastAsia" w:ascii="宋体" w:hAnsi="宋体" w:cs="宋体"/>
                <w:i/>
                <w:iCs/>
                <w:color w:val="000000"/>
                <w:u w:val="single"/>
              </w:rPr>
              <w:t xml:space="preserve">中标人（合同签订主体）</w:t>
            </w:r>
            <w:r>
              <w:rPr>
                <w:rFonts w:hint="eastAsia" w:ascii="宋体" w:hAnsi="宋体" w:cs="宋体"/>
                <w:i/>
                <w:iCs/>
                <w:color w:val="000000"/>
                <w:u w:val="single"/>
              </w:rPr>
              <w:t xml:space="preserve">每两月开据一次发票，发票获取后20个工作日内结付。</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3.合同到期时，中标人必须支持采购人工作，协助做好新旧两家服务单位的平稳过渡和交接工作。合同结束交接顺利完成并获取发票后10个工作日内，采购方</w:t>
            </w:r>
            <w:r>
              <w:rPr>
                <w:rFonts w:hint="eastAsia" w:ascii="宋体" w:hAnsi="宋体" w:cs="宋体"/>
                <w:i/>
                <w:iCs/>
                <w:color w:val="000000"/>
                <w:u w:val="single"/>
              </w:rPr>
              <w:t xml:space="preserve">无息</w:t>
            </w:r>
            <w:r>
              <w:rPr>
                <w:rFonts w:hint="eastAsia" w:ascii="宋体" w:hAnsi="宋体" w:cs="宋体"/>
                <w:i/>
                <w:iCs/>
                <w:color w:val="000000"/>
                <w:u w:val="single"/>
              </w:rPr>
              <w:t xml:space="preserve">付清全部尾款（含风险担保金）。</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4.中标人在合同签订1月内交采购方中标价0.2%履约保证金，合同期满考核无扣款无息退还。</w:t>
            </w:r>
            <w:r>
              <w:rPr>
                <w:i/>
                <w:iCs/>
                <w:u w:val="single"/>
              </w:rPr>
            </w:r>
            <w:r/>
          </w:p>
        </w:tc>
      </w:tr>
      <w:tr>
        <w:trPr>
          <w:trHeight w:val="1055"/>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color w:val="000000"/>
              </w:rPr>
            </w:pPr>
            <w:r>
              <w:rPr>
                <w:color w:val="000000"/>
              </w:rPr>
              <w:t xml:space="preserve">办公用房及</w:t>
            </w:r>
            <w:r>
              <w:rPr>
                <w:color w:val="000000"/>
              </w:rPr>
            </w:r>
            <w:r/>
          </w:p>
          <w:p>
            <w:pPr>
              <w:pStyle w:val="895"/>
              <w:jc w:val="center"/>
              <w:spacing w:before="145" w:after="145"/>
              <w:widowControl/>
              <w:rPr>
                <w:rFonts w:hint="eastAsia" w:ascii="宋体" w:hAnsi="宋体" w:cs="宋体"/>
                <w:color w:val="000000"/>
              </w:rPr>
            </w:pPr>
            <w:r>
              <w:rPr>
                <w:color w:val="000000"/>
              </w:rPr>
              <w:t xml:space="preserve">水电使用</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center"/>
            <w:textDirection w:val="lrTb"/>
            <w:noWrap w:val="false"/>
          </w:tcPr>
          <w:p>
            <w:pPr>
              <w:pStyle w:val="895"/>
              <w:rPr>
                <w:rFonts w:hint="eastAsia" w:ascii="宋体" w:hAnsi="宋体" w:cs="宋体"/>
                <w:bCs/>
                <w:i/>
                <w:color w:val="ff0000"/>
                <w:u w:val="single"/>
              </w:rPr>
            </w:pPr>
            <w:r>
              <w:rPr>
                <w:i/>
                <w:iCs/>
                <w:color w:val="000000"/>
                <w:u w:val="single"/>
              </w:rPr>
            </w:r>
            <w:r>
              <w:rPr>
                <w:i/>
                <w:iCs/>
                <w:color w:val="000000"/>
                <w:u w:val="single"/>
              </w:rPr>
              <w:t xml:space="preserve">中标方如使用采购方办公用房每月按每平米18.75元缴纳资源占用费，水电费按实结算。</w:t>
            </w:r>
            <w:r>
              <w:rPr>
                <w:i/>
                <w:iCs/>
                <w:u w:val="single"/>
              </w:rPr>
            </w:r>
            <w:r/>
          </w:p>
        </w:tc>
      </w:tr>
    </w:tbl>
    <w:p>
      <w:pPr>
        <w:pStyle w:val="895"/>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895"/>
        <w:rPr>
          <w:rFonts w:hint="eastAsia" w:ascii="宋体" w:hAnsi="宋体" w:cs="宋体"/>
          <w:b/>
          <w:bCs/>
          <w:color w:val="000000"/>
        </w:rPr>
      </w:pPr>
      <w:r>
        <w:rPr>
          <w:rFonts w:hint="eastAsia" w:ascii="宋体" w:hAnsi="宋体" w:cs="宋体"/>
          <w:color w:val="000000"/>
          <w:sz w:val="24"/>
        </w:rPr>
        <w:t xml:space="preserve">附件1.</w:t>
      </w:r>
      <w:r>
        <w:rPr>
          <w:rFonts w:hint="eastAsia" w:ascii="宋体" w:hAnsi="宋体" w:cs="宋体"/>
          <w:b/>
          <w:bCs/>
          <w:color w:val="000000"/>
        </w:rPr>
        <w:t xml:space="preserve">人员、设备基本配置</w:t>
      </w:r>
      <w:r>
        <w:rPr>
          <w:rFonts w:hint="eastAsia" w:ascii="宋体" w:hAnsi="宋体" w:cs="宋体"/>
          <w:b/>
          <w:bCs/>
          <w:color w:val="000000"/>
        </w:rPr>
      </w:r>
      <w:r/>
    </w:p>
    <w:p>
      <w:pPr>
        <w:pStyle w:val="895"/>
        <w:rPr>
          <w:rFonts w:hint="eastAsia" w:ascii="宋体" w:hAnsi="宋体" w:cs="宋体"/>
          <w:b/>
          <w:bCs/>
          <w:color w:val="ff0000"/>
        </w:rPr>
      </w:pPr>
      <w:r>
        <w:rPr>
          <w:rFonts w:hint="eastAsia" w:ascii="宋体" w:hAnsi="宋体" w:cs="宋体"/>
          <w:b/>
          <w:bCs/>
          <w:color w:val="ff0000"/>
        </w:rPr>
      </w:r>
      <w:r/>
    </w:p>
    <w:p>
      <w:pPr>
        <w:pStyle w:val="895"/>
        <w:numPr>
          <w:ilvl w:val="0"/>
          <w:numId w:val="8"/>
        </w:numPr>
        <w:rPr>
          <w:rFonts w:hint="eastAsia" w:ascii="宋体" w:hAnsi="宋体" w:cs="宋体"/>
          <w:b/>
          <w:bCs/>
          <w:color w:val="000000"/>
        </w:rPr>
      </w:pPr>
      <w:r>
        <w:rPr>
          <w:rFonts w:hint="eastAsia" w:ascii="宋体" w:hAnsi="宋体" w:cs="宋体"/>
          <w:b/>
          <w:bCs/>
          <w:color w:val="000000"/>
        </w:rPr>
        <w:t xml:space="preserve">保洁人员基本配置</w:t>
      </w:r>
      <w:r>
        <w:rPr>
          <w:rFonts w:hint="eastAsia" w:ascii="宋体" w:hAnsi="宋体" w:cs="宋体"/>
          <w:color w:val="000000"/>
        </w:rPr>
        <w:t xml:space="preserve">（最少人员配置数</w:t>
      </w:r>
      <w:r>
        <w:rPr>
          <w:rFonts w:hint="eastAsia" w:ascii="宋体" w:hAnsi="宋体" w:cs="宋体"/>
        </w:rPr>
        <w:t xml:space="preserve">67人</w:t>
      </w:r>
      <w:r>
        <w:rPr>
          <w:rFonts w:hint="eastAsia" w:ascii="宋体" w:hAnsi="宋体" w:cs="宋体"/>
          <w:color w:val="000000"/>
        </w:rPr>
        <w:t xml:space="preserve">）</w:t>
      </w:r>
      <w:r>
        <w:rPr>
          <w:rFonts w:hint="eastAsia" w:ascii="宋体" w:hAnsi="宋体" w:cs="宋体"/>
          <w:b/>
          <w:bCs/>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946"/>
        <w:gridCol w:w="2451"/>
        <w:gridCol w:w="1590"/>
        <w:gridCol w:w="1410"/>
        <w:gridCol w:w="1695"/>
      </w:tblGrid>
      <w:tr>
        <w:trPr>
          <w:trHeight w:val="943"/>
        </w:trPr>
        <w:tc>
          <w:tcPr>
            <w:tcW w:w="924"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W w:w="94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W w:w="245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最少人员配置数量</w:t>
            </w:r>
            <w:r>
              <w:rPr>
                <w:rFonts w:hint="eastAsia" w:ascii="宋体" w:hAnsi="宋体" w:cs="宋体"/>
                <w:b/>
                <w:bCs/>
                <w:color w:val="000000"/>
              </w:rPr>
            </w:r>
            <w:r/>
          </w:p>
        </w:tc>
        <w:tc>
          <w:tcPr>
            <w:tcW w:w="169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内</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科</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全科医学科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神经内科、NICU</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7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消化内科、中医内科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血液净化中心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肾脏内科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内分泌科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9楼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老年病科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10楼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11楼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呼吸内科、感染科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13楼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血液净化层流病房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406"/>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地下室</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洗消中心</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4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rPr>
            </w:pPr>
            <w:r>
              <w:rPr>
                <w:rFonts w:hint="eastAsia" w:ascii="宋体" w:hAnsi="宋体" w:cs="宋体"/>
              </w:rPr>
              <w:t xml:space="preserve">机动</w:t>
            </w:r>
            <w:r>
              <w:rPr>
                <w:rFonts w:ascii="宋体" w:hAnsi="宋体" w:cs="宋体"/>
              </w:rPr>
            </w:r>
            <w:r/>
          </w:p>
        </w:tc>
        <w:tc>
          <w:tcPr>
            <w:tcW w:w="2451" w:type="dxa"/>
            <w:vAlign w:val="center"/>
            <w:textDirection w:val="lrTb"/>
            <w:noWrap w:val="false"/>
          </w:tcPr>
          <w:p>
            <w:pPr>
              <w:pStyle w:val="895"/>
              <w:jc w:val="center"/>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center"/>
            <w:textDirection w:val="lrTb"/>
            <w:noWrap w:val="false"/>
          </w:tcPr>
          <w:p>
            <w:pPr>
              <w:pStyle w:val="895"/>
              <w:jc w:val="center"/>
              <w:rPr>
                <w:rFonts w:hint="eastAsia" w:ascii="宋体" w:hAnsi="宋体" w:cs="宋体"/>
                <w:b/>
                <w:bCs/>
              </w:rPr>
            </w:pPr>
            <w:r>
              <w:rPr>
                <w:rFonts w:hint="eastAsia" w:ascii="宋体" w:hAnsi="宋体" w:cs="宋体"/>
                <w:b/>
                <w:bCs/>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肿</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瘤</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直线加速器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center"/>
            <w:vMerge w:val="continue"/>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ECT机房   </w:t>
            </w:r>
            <w:r>
              <w:rPr>
                <w:rFonts w:hint="eastAsia" w:ascii="宋体" w:hAnsi="宋体" w:cs="宋体"/>
              </w:rPr>
            </w:r>
            <w:r/>
          </w:p>
        </w:tc>
        <w:tc>
          <w:tcPr>
            <w:tcW w:w="1590" w:type="dxa"/>
            <w:vAlign w:val="center"/>
            <w:textDirection w:val="lrTb"/>
            <w:noWrap w:val="false"/>
          </w:tcPr>
          <w:p>
            <w:pPr>
              <w:pStyle w:val="895"/>
              <w:jc w:val="center"/>
              <w:widowControl/>
              <w:rPr>
                <w:rFonts w:hint="eastAsia" w:ascii="宋体" w:hAnsi="宋体" w:cs="宋体"/>
                <w:b/>
                <w:bCs/>
              </w:rPr>
            </w:pPr>
            <w:r>
              <w:rPr>
                <w:rFonts w:hint="eastAsia" w:ascii="宋体" w:hAnsi="宋体" w:cs="宋体"/>
              </w:rPr>
              <w:t xml:space="preserve">保洁</w:t>
            </w:r>
            <w:r>
              <w:rPr>
                <w:rFonts w:hint="eastAsia" w:ascii="宋体" w:hAnsi="宋体" w:cs="宋体"/>
                <w:b/>
                <w:bCs/>
              </w:rPr>
              <w:t xml:space="preserve">/</w:t>
            </w:r>
            <w:r>
              <w:rPr>
                <w:rFonts w:hint="eastAsia" w:ascii="宋体" w:hAnsi="宋体" w:cs="宋体"/>
              </w:rPr>
              <w:t xml:space="preserve">领物</w:t>
            </w:r>
            <w:r>
              <w:rPr>
                <w:rFonts w:hint="eastAsia" w:ascii="宋体" w:hAnsi="宋体" w:cs="宋体"/>
                <w:b/>
                <w:bCs/>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6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PET-CT   </w:t>
            </w: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lang w:bidi="ar"/>
              </w:rPr>
              <w:t xml:space="preserve">头颈及综合肿瘤科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腹部肿瘤科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8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胸部肿瘤科、同位素</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核医学科（转门诊检验科）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1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rPr>
            </w:pPr>
            <w:r>
              <w:rPr>
                <w:rFonts w:hint="eastAsia" w:ascii="宋体" w:hAnsi="宋体" w:cs="宋体"/>
              </w:rPr>
              <w:t xml:space="preserve">机动</w:t>
            </w:r>
            <w:r>
              <w:rPr>
                <w:rFonts w:hint="eastAsia" w:ascii="宋体" w:hAnsi="宋体" w:cs="宋体"/>
              </w:rPr>
            </w:r>
            <w:r/>
          </w:p>
        </w:tc>
        <w:tc>
          <w:tcPr>
            <w:tcW w:w="2451" w:type="dxa"/>
            <w:vAlign w:val="center"/>
            <w:textDirection w:val="lrTb"/>
            <w:noWrap w:val="false"/>
          </w:tcPr>
          <w:p>
            <w:pPr>
              <w:pStyle w:val="895"/>
              <w:jc w:val="left"/>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center"/>
            <w:textDirection w:val="lrTb"/>
            <w:noWrap w:val="false"/>
          </w:tcPr>
          <w:p>
            <w:pPr>
              <w:pStyle w:val="895"/>
              <w:jc w:val="center"/>
              <w:rPr>
                <w:rFonts w:hint="eastAsia" w:ascii="宋体" w:hAnsi="宋体" w:cs="宋体"/>
                <w:b/>
                <w:bCs/>
                <w:color w:val="000000"/>
              </w:rPr>
            </w:pPr>
            <w:r>
              <w:rPr>
                <w:rFonts w:hint="eastAsia" w:ascii="宋体" w:hAnsi="宋体" w:cs="宋体"/>
                <w:b/>
                <w:bCs/>
                <w:color w:val="000000"/>
              </w:rPr>
            </w:r>
            <w:r/>
          </w:p>
        </w:tc>
      </w:tr>
      <w:tr>
        <w:trPr>
          <w:trHeight w:val="372"/>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2号楼/5号楼</w:t>
            </w:r>
            <w:r>
              <w:rPr>
                <w:rFonts w:hint="eastAsia" w:ascii="宋体" w:hAnsi="宋体" w:cs="宋体"/>
                <w:color w:val="000000"/>
              </w:rPr>
            </w:r>
            <w:r/>
          </w:p>
        </w:tc>
        <w:tc>
          <w:tcPr>
            <w:gridSpan w:val="2"/>
            <w:tcW w:w="3397"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夜间岗</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28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电梯</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ff0000"/>
              </w:rPr>
            </w:pPr>
            <w:r>
              <w:rPr>
                <w:rFonts w:hint="eastAsia" w:ascii="宋体" w:hAnsi="宋体" w:cs="宋体"/>
                <w:color w:val="000000"/>
              </w:rPr>
              <w:t xml:space="preserve">电梯司机</w:t>
            </w:r>
            <w:r>
              <w:rPr>
                <w:rFonts w:hint="eastAsia" w:ascii="宋体" w:hAnsi="宋体" w:cs="宋体"/>
                <w:color w:val="ff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338"/>
        </w:trPr>
        <w:tc>
          <w:tcPr>
            <w:tcW w:w="924"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8号楼</w:t>
            </w: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保洁兼协助</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12"/>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15号楼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行政办公3号楼</w:t>
            </w:r>
            <w:r>
              <w:rPr>
                <w:rFonts w:ascii="宋体" w:hAnsi="宋体" w:cs="宋体"/>
                <w:color w:val="000000"/>
              </w:rPr>
            </w:r>
            <w:r/>
          </w:p>
        </w:tc>
        <w:tc>
          <w:tcPr>
            <w:tcW w:w="1590"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vMerge w:val="restart"/>
            <w:textDirection w:val="lrTb"/>
            <w:noWrap w:val="false"/>
          </w:tcPr>
          <w:p>
            <w:pPr>
              <w:pStyle w:val="895"/>
              <w:rPr>
                <w:rFonts w:ascii="宋体" w:hAnsi="宋体" w:cs="宋体"/>
                <w:color w:val="000000"/>
              </w:rPr>
            </w:pPr>
            <w:r>
              <w:rPr>
                <w:rFonts w:ascii="宋体" w:hAnsi="宋体" w:cs="宋体"/>
                <w:color w:val="000000"/>
              </w:rPr>
            </w:r>
            <w:r/>
          </w:p>
        </w:tc>
      </w:tr>
      <w:tr>
        <w:trPr>
          <w:trHeight w:val="90"/>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16号楼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行政办公4号楼</w:t>
            </w:r>
            <w:r>
              <w:rPr>
                <w:rFonts w:ascii="宋体" w:hAnsi="宋体" w:cs="宋体"/>
                <w:color w:val="000000"/>
              </w:rPr>
            </w:r>
            <w:r/>
          </w:p>
        </w:tc>
        <w:tc>
          <w:tcPr>
            <w:tcW w:w="1590"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1410" w:type="dxa"/>
            <w:vAlign w:val="top"/>
            <w:vMerge w:val="continue"/>
            <w:textDirection w:val="lrTb"/>
            <w:noWrap w:val="false"/>
          </w:tcPr>
          <w:p>
            <w:pPr>
              <w:pStyle w:val="895"/>
              <w:rPr>
                <w:rFonts w:hint="eastAsia" w:ascii="宋体" w:hAnsi="宋体" w:cs="宋体"/>
              </w:rPr>
            </w:pPr>
            <w:r>
              <w:rPr>
                <w:rFonts w:hint="eastAsia"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07"/>
        </w:trPr>
        <w:tc>
          <w:tcPr>
            <w:tcW w:w="924" w:type="dxa"/>
            <w:vAlign w:val="top"/>
            <w:textDirection w:val="lrTb"/>
            <w:noWrap w:val="false"/>
          </w:tcPr>
          <w:p>
            <w:pPr>
              <w:pStyle w:val="895"/>
              <w:rPr>
                <w:rFonts w:ascii="宋体" w:hAnsi="宋体" w:cs="宋体"/>
                <w:color w:val="000000"/>
              </w:rPr>
            </w:pPr>
            <w:r>
              <w:rPr>
                <w:rFonts w:hint="eastAsia" w:ascii="宋体" w:hAnsi="宋体" w:cs="宋体"/>
                <w:color w:val="000000"/>
              </w:rPr>
              <w:t xml:space="preserve">19号楼</w:t>
            </w:r>
            <w:r>
              <w:rPr>
                <w:rFonts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行政2号楼</w:t>
            </w:r>
            <w:r>
              <w:rPr>
                <w:rFonts w:hint="eastAsia" w:ascii="宋体" w:hAnsi="宋体" w:cs="宋体"/>
                <w:color w:val="000000"/>
              </w:rPr>
            </w:r>
            <w:r/>
          </w:p>
        </w:tc>
        <w:tc>
          <w:tcPr>
            <w:tcW w:w="1590"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center"/>
            <w:vMerge w:val="restart"/>
            <w:textDirection w:val="lrTb"/>
            <w:noWrap w:val="false"/>
          </w:tcPr>
          <w:p>
            <w:pPr>
              <w:pStyle w:val="895"/>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307"/>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3号楼</w:t>
            </w: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院感处、公卫处、120办公室</w:t>
            </w:r>
            <w:r>
              <w:rPr>
                <w:rFonts w:hint="eastAsia" w:ascii="宋体" w:hAnsi="宋体" w:cs="宋体"/>
                <w:color w:val="000000"/>
              </w:rPr>
            </w:r>
            <w:r/>
          </w:p>
        </w:tc>
        <w:tc>
          <w:tcPr>
            <w:tcW w:w="1590" w:type="dxa"/>
            <w:vAlign w:val="center"/>
            <w:vMerge w:val="continue"/>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r>
            <w:r/>
          </w:p>
        </w:tc>
        <w:tc>
          <w:tcPr>
            <w:tcW w:w="1410" w:type="dxa"/>
            <w:vAlign w:val="center"/>
            <w:vMerge w:val="continue"/>
            <w:textDirection w:val="lrTb"/>
            <w:noWrap w:val="false"/>
          </w:tcPr>
          <w:p>
            <w:pPr>
              <w:pStyle w:val="895"/>
              <w:jc w:val="center"/>
              <w:widowControl/>
              <w:rPr>
                <w:rFonts w:hint="eastAsia" w:ascii="宋体" w:hAnsi="宋体" w:cs="宋体"/>
              </w:rPr>
            </w:pPr>
            <w:r>
              <w:rPr>
                <w:rFonts w:hint="eastAsia" w:ascii="宋体" w:hAnsi="宋体" w:cs="宋体"/>
              </w:rPr>
            </w:r>
            <w:r/>
          </w:p>
        </w:tc>
        <w:tc>
          <w:tcPr>
            <w:tcW w:w="1695" w:type="dxa"/>
            <w:vAlign w:val="center"/>
            <w:textDirection w:val="lrTb"/>
            <w:noWrap w:val="false"/>
          </w:tcPr>
          <w:p>
            <w:pPr>
              <w:pStyle w:val="895"/>
              <w:jc w:val="center"/>
              <w:rPr>
                <w:rFonts w:ascii="宋体" w:hAnsi="宋体" w:cs="宋体"/>
                <w:b/>
                <w:bCs/>
                <w:color w:val="000000"/>
                <w:sz w:val="18"/>
                <w:szCs w:val="18"/>
              </w:rPr>
            </w:pPr>
            <w:r>
              <w:rPr>
                <w:rFonts w:ascii="宋体" w:hAnsi="宋体" w:cs="宋体"/>
                <w:b/>
                <w:bCs/>
                <w:color w:val="000000"/>
                <w:sz w:val="18"/>
                <w:szCs w:val="18"/>
              </w:rPr>
            </w:r>
            <w:r/>
          </w:p>
        </w:tc>
      </w:tr>
      <w:tr>
        <w:trPr>
          <w:trHeight w:val="327"/>
        </w:trPr>
        <w:tc>
          <w:tcPr>
            <w:tcW w:w="924"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13号楼</w:t>
            </w:r>
            <w:r>
              <w:rPr>
                <w:rFonts w:hint="eastAsia" w:ascii="宋体" w:hAnsi="宋体" w:cs="宋体"/>
                <w:color w:val="000000"/>
              </w:rPr>
            </w:r>
            <w:r/>
          </w:p>
        </w:tc>
        <w:tc>
          <w:tcPr>
            <w:gridSpan w:val="2"/>
            <w:tcW w:w="3397" w:type="dxa"/>
            <w:vAlign w:val="top"/>
            <w:textDirection w:val="lrTb"/>
            <w:noWrap w:val="false"/>
          </w:tcPr>
          <w:p>
            <w:pPr>
              <w:pStyle w:val="895"/>
              <w:rPr>
                <w:rFonts w:ascii="宋体" w:hAnsi="宋体" w:cs="宋体"/>
              </w:rPr>
            </w:pPr>
            <w:r>
              <w:rPr>
                <w:rFonts w:hint="eastAsia" w:ascii="宋体" w:hAnsi="宋体" w:cs="宋体"/>
              </w:rPr>
              <w:t xml:space="preserve">图书馆4楼药物论证（GCP病房）</w:t>
            </w:r>
            <w:r>
              <w:rPr>
                <w:rFonts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1.5</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0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ascii="宋体" w:hAnsi="宋体" w:cs="宋体"/>
              </w:rPr>
            </w:pPr>
            <w:r>
              <w:rPr>
                <w:rFonts w:hint="eastAsia" w:ascii="宋体" w:hAnsi="宋体" w:cs="宋体"/>
              </w:rPr>
              <w:t xml:space="preserve">图书馆5－6楼（信息处、会议室、报告厅）</w:t>
            </w:r>
            <w:r>
              <w:rPr>
                <w:rFonts w:ascii="宋体" w:hAnsi="宋体" w:cs="宋体"/>
              </w:rPr>
            </w:r>
            <w:r/>
          </w:p>
        </w:tc>
        <w:tc>
          <w:tcPr>
            <w:tcW w:w="159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3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其他（外场保洁、顶层平台、专项等）</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专项/保洁</w:t>
            </w:r>
            <w:r>
              <w:rPr>
                <w:rFonts w:hint="eastAsia" w:ascii="宋体" w:hAnsi="宋体" w:cs="宋体"/>
                <w:b/>
                <w:bCs/>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ascii="宋体" w:hAnsi="宋体" w:cs="宋体"/>
                <w:color w:val="ff0000"/>
              </w:rPr>
            </w:pPr>
            <w:r>
              <w:rPr>
                <w:rFonts w:ascii="宋体" w:hAnsi="宋体" w:cs="宋体"/>
                <w:color w:val="ff0000"/>
              </w:rPr>
            </w:r>
            <w:r/>
          </w:p>
        </w:tc>
      </w:tr>
      <w:tr>
        <w:trPr>
          <w:trHeight w:val="63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合剂室（中药房）</w:t>
            </w:r>
            <w:r>
              <w:rPr>
                <w:rFonts w:hint="eastAsia" w:ascii="宋体" w:hAnsi="宋体" w:cs="宋体"/>
                <w:color w:val="000000"/>
              </w:rPr>
            </w:r>
            <w:r/>
          </w:p>
        </w:tc>
        <w:tc>
          <w:tcPr>
            <w:tcW w:w="1590"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保洁、运送药品并上架</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7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停车场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保洁/车辆核查</w:t>
            </w:r>
            <w:r>
              <w:rPr>
                <w:rFonts w:hint="eastAsia" w:ascii="宋体" w:hAnsi="宋体" w:cs="宋体"/>
                <w:b/>
                <w:bCs/>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632"/>
        </w:trPr>
        <w:tc>
          <w:tcPr>
            <w:gridSpan w:val="3"/>
            <w:tcW w:w="432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外科楼、内科楼、门急诊、肿瘤楼、母婴楼、医技楼、图书馆医疗垃圾工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rPr>
                <w:rFonts w:hint="eastAsia" w:ascii="宋体" w:hAnsi="宋体" w:cs="宋体"/>
                <w:color w:val="000000"/>
              </w:rPr>
              <w:t xml:space="preserve">收集医疗垃圾</w:t>
            </w:r>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hint="eastAsia" w:ascii="宋体" w:hAnsi="宋体" w:cs="宋体"/>
                <w:highlight w:val="yellow"/>
              </w:rPr>
            </w:pPr>
            <w:r>
              <w:rPr>
                <w:rFonts w:hint="eastAsia" w:ascii="宋体" w:hAnsi="宋体" w:cs="宋体"/>
              </w:rPr>
              <w:t xml:space="preserve">5</w:t>
            </w:r>
            <w:r>
              <w:rPr>
                <w:rFonts w:hint="eastAsia" w:ascii="宋体" w:hAnsi="宋体" w:cs="宋体"/>
                <w:highlight w:val="yellow"/>
              </w:rPr>
            </w:r>
            <w:r/>
          </w:p>
        </w:tc>
        <w:tc>
          <w:tcPr>
            <w:tcW w:w="1695" w:type="dxa"/>
            <w:vAlign w:val="top"/>
            <w:textDirection w:val="lrTb"/>
            <w:noWrap w:val="false"/>
          </w:tcPr>
          <w:p>
            <w:pPr>
              <w:pStyle w:val="895"/>
              <w:rPr>
                <w:rFonts w:hint="eastAsia" w:ascii="宋体" w:hAnsi="宋体" w:cs="宋体"/>
                <w:color w:val="000000"/>
                <w:sz w:val="15"/>
                <w:szCs w:val="15"/>
              </w:rPr>
            </w:pPr>
            <w:r>
              <w:rPr>
                <w:rFonts w:hint="eastAsia" w:ascii="宋体" w:hAnsi="宋体" w:cs="宋体"/>
                <w:color w:val="000000"/>
                <w:sz w:val="15"/>
                <w:szCs w:val="15"/>
              </w:rPr>
            </w:r>
            <w:r/>
          </w:p>
        </w:tc>
      </w:tr>
      <w:tr>
        <w:trPr>
          <w:trHeight w:val="632"/>
        </w:trPr>
        <w:tc>
          <w:tcPr>
            <w:gridSpan w:val="3"/>
            <w:tcW w:w="432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内科楼、肿瘤楼、图书馆生活垃圾工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bookmarkStart w:id="196" w:name="OLE_LINK13"/>
            <w:r/>
            <w:bookmarkStart w:id="197" w:name="OLE_LINK15"/>
            <w:r>
              <w:rPr>
                <w:rFonts w:hint="eastAsia" w:ascii="宋体" w:hAnsi="宋体" w:cs="宋体"/>
                <w:color w:val="000000"/>
              </w:rPr>
              <w:t xml:space="preserve">收集生活垃圾</w:t>
            </w:r>
            <w:bookmarkEnd w:id="196"/>
            <w:r/>
            <w:bookmarkEnd w:id="197"/>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ascii="宋体" w:hAnsi="宋体" w:cs="宋体"/>
                <w:highlight w:val="yellow"/>
              </w:rPr>
            </w:pPr>
            <w:r>
              <w:rPr>
                <w:rFonts w:hint="eastAsia" w:ascii="宋体" w:hAnsi="宋体" w:cs="宋体"/>
              </w:rPr>
              <w:t xml:space="preserve">1.5</w:t>
            </w:r>
            <w:r>
              <w:rPr>
                <w:rFonts w:ascii="宋体" w:hAnsi="宋体" w:cs="宋体"/>
                <w:highlight w:val="yellow"/>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31"/>
        </w:trPr>
        <w:tc>
          <w:tcPr>
            <w:gridSpan w:val="4"/>
            <w:tcW w:w="5911" w:type="dxa"/>
            <w:vAlign w:val="top"/>
            <w:textDirection w:val="lrTb"/>
            <w:noWrap w:val="false"/>
          </w:tcPr>
          <w:p>
            <w:pPr>
              <w:pStyle w:val="895"/>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ascii="宋体" w:hAnsi="宋体" w:cs="宋体"/>
                <w:color w:val="000000"/>
              </w:rPr>
            </w:pPr>
            <w:r>
              <w:rPr>
                <w:rFonts w:hint="eastAsia" w:ascii="宋体" w:hAnsi="宋体" w:cs="宋体"/>
                <w:b/>
                <w:bCs/>
                <w:color w:val="000000"/>
              </w:rPr>
              <w:t xml:space="preserve">67</w:t>
            </w:r>
            <w:r>
              <w:rPr>
                <w:rFonts w:ascii="宋体" w:hAnsi="宋体" w:cs="宋体"/>
                <w:color w:val="000000"/>
              </w:rPr>
            </w:r>
            <w:r/>
          </w:p>
        </w:tc>
        <w:tc>
          <w:tcPr>
            <w:tcW w:w="1695" w:type="dxa"/>
            <w:vAlign w:val="center"/>
            <w:textDirection w:val="lrTb"/>
            <w:noWrap w:val="false"/>
          </w:tcPr>
          <w:p>
            <w:pPr>
              <w:pStyle w:val="895"/>
              <w:jc w:val="center"/>
              <w:widowControl/>
              <w:rPr>
                <w:rFonts w:hint="eastAsia" w:ascii="宋体" w:hAnsi="宋体" w:cs="宋体"/>
                <w:color w:val="000000"/>
                <w:highlight w:val="green"/>
              </w:rPr>
            </w:pPr>
            <w:r>
              <w:rPr>
                <w:rFonts w:hint="eastAsia" w:ascii="宋体" w:hAnsi="宋体" w:cs="宋体"/>
                <w:color w:val="000000"/>
                <w:highlight w:val="green"/>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b/>
          <w:bCs/>
          <w:color w:val="000000"/>
        </w:rPr>
      </w:pPr>
      <w:r>
        <w:rPr>
          <w:rFonts w:hint="eastAsia" w:ascii="宋体" w:hAnsi="宋体" w:cs="宋体"/>
          <w:b/>
          <w:bCs/>
          <w:color w:val="000000"/>
        </w:rPr>
        <w:t xml:space="preserve">二、运送人员基本配置</w:t>
      </w:r>
      <w:r>
        <w:rPr>
          <w:rFonts w:hint="eastAsia" w:ascii="宋体" w:hAnsi="宋体" w:cs="宋体"/>
          <w:color w:val="000000"/>
        </w:rPr>
        <w:t xml:space="preserve">（</w:t>
      </w:r>
      <w:r>
        <w:rPr>
          <w:rFonts w:hint="eastAsia" w:ascii="宋体" w:hAnsi="宋体" w:cs="宋体"/>
        </w:rPr>
        <w:t xml:space="preserve">建议人员配置数16人）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645"/>
        <w:gridCol w:w="787"/>
        <w:gridCol w:w="1426"/>
        <w:gridCol w:w="759"/>
        <w:gridCol w:w="2336"/>
        <w:gridCol w:w="1418"/>
        <w:gridCol w:w="1701"/>
      </w:tblGrid>
      <w:tr>
        <w:trPr>
          <w:trHeight w:val="79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南1F</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心导室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病员接送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711"/>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病区药房及外科病区</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协助机器人</w:t>
            </w:r>
            <w:r>
              <w:rPr>
                <w:rFonts w:hint="eastAsia" w:ascii="宋体" w:hAnsi="宋体" w:cs="宋体"/>
              </w:rPr>
            </w:r>
            <w:r/>
          </w:p>
          <w:p>
            <w:pPr>
              <w:pStyle w:val="895"/>
              <w:jc w:val="center"/>
              <w:widowControl/>
              <w:rPr>
                <w:rFonts w:hint="eastAsia" w:ascii="宋体" w:hAnsi="宋体" w:cs="宋体"/>
              </w:rPr>
            </w:pPr>
            <w:r>
              <w:rPr>
                <w:rFonts w:hint="eastAsia" w:ascii="宋体" w:hAnsi="宋体" w:cs="宋体"/>
              </w:rPr>
              <w:t xml:space="preserve">外科病区送药</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rPr>
            </w:pPr>
            <w:r>
              <w:rPr>
                <w:rFonts w:hint="eastAsia" w:ascii="宋体" w:hAnsi="宋体" w:cs="宋体"/>
              </w:rPr>
              <w:t xml:space="preserve">－</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22"/>
        </w:trPr>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内科楼肿瘤楼</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内科、肿瘤、急诊</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内科、肿瘤、急诊病区送药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药材科</w:t>
            </w:r>
            <w:r>
              <w:rPr>
                <w:rFonts w:hint="eastAsia" w:ascii="宋体" w:hAnsi="宋体" w:cs="宋体"/>
                <w:color w:val="000000"/>
              </w:rPr>
            </w:r>
            <w:r/>
          </w:p>
        </w:tc>
        <w:tc>
          <w:tcPr>
            <w:tcBorders>
              <w:top w:val="non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全院各药房集中配送整箱大药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大输液室</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全院各科室常规用水及零星借水</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rPr>
            </w:pPr>
            <w:r>
              <w:rPr>
                <w:rFonts w:hint="eastAsia" w:ascii="宋体" w:hAnsi="宋体" w:cs="宋体"/>
                <w:color w:val="000000"/>
              </w:rPr>
              <w:t xml:space="preserve">　</w:t>
            </w:r>
            <w:r>
              <w:rPr>
                <w:rFonts w:hint="eastAsia" w:ascii="宋体" w:hAnsi="宋体" w:cs="宋体"/>
                <w:color w:val="ff0000"/>
              </w:rPr>
            </w:r>
            <w:r/>
          </w:p>
        </w:tc>
      </w:tr>
      <w:tr>
        <w:trPr>
          <w:trHeight w:val="800"/>
        </w:trPr>
        <w:tc>
          <w:tcPr>
            <w:tcBorders>
              <w:top w:val="none" w:color="000000" w:sz="4" w:space="0"/>
              <w:left w:val="single" w:color="000000" w:sz="4" w:space="0"/>
              <w:bottom w:val="none" w:color="000000" w:sz="0" w:space="0"/>
              <w:right w:val="single" w:color="000000" w:sz="4" w:space="0"/>
            </w:tcBorders>
            <w:tcW w:w="645"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color w:val="000000"/>
              </w:rPr>
              <w:t xml:space="preserve">其它</w:t>
            </w: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输液瓶输液袋分拣称重</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输液瓶、输液袋分离，分拣医疗垃圾</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95"/>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洗衣房</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管理、小科室工作服更换、工作量汇总、</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494"/>
        </w:trPr>
        <w:tc>
          <w:tcPr>
            <w:gridSpan w:val="5"/>
            <w:tcBorders>
              <w:top w:val="single" w:color="000000" w:sz="4" w:space="0"/>
              <w:left w:val="single" w:color="000000" w:sz="4" w:space="0"/>
              <w:bottom w:val="single" w:color="000000" w:sz="4" w:space="0"/>
              <w:right w:val="single" w:color="000000" w:sz="4" w:space="0"/>
            </w:tcBorders>
            <w:tcW w:w="5953"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16</w:t>
            </w:r>
            <w:r>
              <w:rPr>
                <w:rFonts w:hint="eastAsia" w:ascii="宋体" w:hAnsi="宋体" w:cs="宋体"/>
                <w:b/>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color w:val="ff0000"/>
        </w:rPr>
      </w:pPr>
      <w:r>
        <w:rPr>
          <w:rFonts w:hint="eastAsia" w:ascii="宋体" w:hAnsi="宋体" w:cs="宋体"/>
          <w:b/>
          <w:bCs/>
          <w:color w:val="000000"/>
        </w:rPr>
        <w:t xml:space="preserve">三、配送陪检人员基本配置</w:t>
      </w:r>
      <w:r>
        <w:rPr>
          <w:rFonts w:hint="eastAsia" w:ascii="宋体" w:hAnsi="宋体" w:cs="宋体"/>
          <w:color w:val="000000"/>
        </w:rPr>
        <w:t xml:space="preserve">（</w:t>
      </w:r>
      <w:r>
        <w:rPr>
          <w:rFonts w:hint="eastAsia" w:ascii="宋体" w:hAnsi="宋体" w:cs="宋体"/>
        </w:rPr>
        <w:t xml:space="preserve">建议人员配置数 53 人）</w:t>
      </w:r>
      <w:r>
        <w:rPr>
          <w:rFonts w:hint="eastAsia" w:ascii="宋体" w:hAnsi="宋体" w:cs="宋体"/>
          <w:color w:val="ff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1625"/>
        <w:gridCol w:w="2185"/>
        <w:gridCol w:w="2143"/>
        <w:gridCol w:w="1418"/>
        <w:gridCol w:w="1701"/>
      </w:tblGrid>
      <w:tr>
        <w:trPr>
          <w:trHeight w:val="859"/>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外科楼、门诊楼、母婴楼（陪检）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详见工作标准和服务要求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ff0000"/>
              </w:rPr>
            </w:pPr>
            <w:r>
              <w:rPr>
                <w:rFonts w:hint="eastAsia" w:ascii="宋体" w:hAnsi="宋体" w:cs="宋体"/>
                <w:color w:val="ff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调度A</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接听各科室来电，合理派工</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7:00-14:00</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调度B</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9:00-11:00  14:00-19:00    </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配送岗B（标本）</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包干到人，标本送检、文书传递</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7:00－17:30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53</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color w:val="ff0000"/>
        </w:rPr>
      </w:pPr>
      <w:r>
        <w:rPr>
          <w:rFonts w:hint="eastAsia" w:ascii="宋体" w:hAnsi="宋体" w:cs="宋体"/>
          <w:color w:val="ff0000"/>
        </w:rPr>
      </w:r>
      <w:r/>
    </w:p>
    <w:p>
      <w:pPr>
        <w:pStyle w:val="895"/>
        <w:rPr>
          <w:rFonts w:hint="eastAsia" w:ascii="宋体" w:hAnsi="宋体" w:cs="宋体"/>
          <w:b/>
          <w:bCs/>
          <w:color w:val="000000"/>
        </w:rPr>
      </w:pPr>
      <w:r>
        <w:rPr>
          <w:rFonts w:hint="eastAsia" w:ascii="宋体" w:hAnsi="宋体" w:cs="宋体"/>
          <w:b/>
          <w:bCs/>
          <w:color w:val="000000"/>
        </w:rPr>
        <w:t xml:space="preserve">四、其他人员基本配置</w:t>
      </w:r>
      <w:r>
        <w:rPr>
          <w:rFonts w:hint="eastAsia" w:ascii="宋体" w:hAnsi="宋体" w:cs="宋体"/>
          <w:color w:val="000000"/>
        </w:rPr>
        <w:t xml:space="preserve">（</w:t>
      </w:r>
      <w:r>
        <w:rPr>
          <w:rFonts w:hint="eastAsia" w:ascii="宋体" w:hAnsi="宋体" w:cs="宋体"/>
        </w:rPr>
        <w:t xml:space="preserve">建议人员配置数 8人）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2976"/>
        <w:gridCol w:w="2977"/>
        <w:gridCol w:w="3119"/>
      </w:tblGrid>
      <w:tr>
        <w:trPr>
          <w:trHeight w:val="766"/>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429"/>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管理人员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r>
        <w:trPr>
          <w:trHeight w:val="43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专项/</w:t>
            </w:r>
            <w:r>
              <w:rPr>
                <w:rFonts w:hint="eastAsia" w:ascii="宋体" w:hAnsi="宋体" w:cs="宋体"/>
              </w:rPr>
              <w:t xml:space="preserve">宿管</w:t>
            </w:r>
            <w:r>
              <w:rPr>
                <w:rFonts w:hint="eastAsia" w:ascii="宋体" w:hAnsi="宋体" w:cs="宋体"/>
                <w:color w:val="000000"/>
              </w:rPr>
              <w:t xml:space="preserve">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bl>
    <w:p>
      <w:pPr>
        <w:pStyle w:val="895"/>
        <w:rPr>
          <w:vanish/>
        </w:rPr>
      </w:pPr>
      <w:r>
        <w:rPr>
          <w:vanish/>
        </w:rPr>
      </w:r>
      <w:r/>
    </w:p>
    <w:p>
      <w:pPr>
        <w:pStyle w:val="895"/>
        <w:ind w:firstLine="420"/>
        <w:jc w:val="left"/>
        <w:rPr>
          <w:rFonts w:hint="eastAsia" w:ascii="宋体" w:hAnsi="宋体" w:cs="宋体"/>
          <w:color w:val="000000"/>
        </w:rPr>
      </w:pPr>
      <w:r>
        <w:rPr>
          <w:rFonts w:hint="eastAsia" w:ascii="宋体" w:hAnsi="宋体" w:cs="宋体"/>
          <w:color w:val="000000"/>
        </w:rPr>
        <w:t xml:space="preserve">注：1.以上人员是满足现场基本要求最少人员配置，投标单位配备人员数量不能少于最少人员配置要求</w:t>
      </w:r>
      <w:r>
        <w:rPr>
          <w:rFonts w:hint="eastAsia" w:ascii="宋体" w:hAnsi="宋体" w:cs="宋体"/>
          <w:color w:val="000000"/>
        </w:rPr>
        <w:t xml:space="preserve">，即总人数</w:t>
      </w:r>
      <w:r>
        <w:rPr>
          <w:rFonts w:hint="eastAsia" w:ascii="宋体" w:hAnsi="宋体" w:cs="宋体"/>
          <w:b/>
          <w:bCs/>
          <w:u w:val="single"/>
        </w:rPr>
        <w:t xml:space="preserve">144</w:t>
      </w:r>
      <w:r>
        <w:rPr>
          <w:rFonts w:hint="eastAsia" w:ascii="宋体" w:hAnsi="宋体" w:cs="宋体"/>
          <w:color w:val="000000"/>
        </w:rPr>
        <w:t xml:space="preserve">人</w:t>
      </w:r>
      <w:r>
        <w:rPr>
          <w:rFonts w:hint="eastAsia" w:ascii="宋体" w:hAnsi="宋体" w:cs="宋体"/>
          <w:color w:val="000000"/>
        </w:rPr>
        <w:t xml:space="preserve">。</w:t>
      </w:r>
      <w:r>
        <w:rPr>
          <w:rFonts w:hint="eastAsia" w:ascii="宋体" w:hAnsi="宋体" w:cs="宋体"/>
          <w:color w:val="000000"/>
        </w:rPr>
        <w:t xml:space="preserve">病区保洁在满足最少人员配置的前提下，还需考虑中午、晚上下班后到第二天正常上班时间内满足现场保洁要求人员。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2.大厅、连廊、各楼层电梯厅、消防通道、屋顶请根据现场情况配备相应人员。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3.管理、专项及代班自行考虑人员配置。</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4.请综合考虑员工病事假因素。</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5.特殊需求的岗位（专项保洁、电梯司机、配送陪检）人员需相对稳定，具备初中以上文化，工资薪酬高于保洁人员水平。</w:t>
      </w:r>
      <w:r>
        <w:rPr>
          <w:rFonts w:hint="eastAsia"/>
          <w:color w:val="000000"/>
        </w:rPr>
        <w:t xml:space="preserve">岗位工资标准：保洁宿管岗（1级）</w:t>
      </w:r>
      <w:r>
        <w:rPr>
          <w:rFonts w:hint="eastAsia" w:ascii="宋体" w:hAnsi="宋体" w:cs="宋体"/>
          <w:color w:val="000000"/>
        </w:rPr>
        <w:t xml:space="preserve">﹤</w:t>
      </w:r>
      <w:r>
        <w:rPr>
          <w:rFonts w:hint="eastAsia"/>
          <w:color w:val="000000"/>
        </w:rPr>
        <w:t xml:space="preserve">运送陪检梯司（2级）</w:t>
      </w:r>
      <w:r>
        <w:rPr>
          <w:rFonts w:hint="eastAsia" w:ascii="宋体" w:hAnsi="宋体" w:cs="宋体"/>
          <w:color w:val="000000"/>
        </w:rPr>
        <w:t xml:space="preserve">﹤</w:t>
      </w:r>
      <w:r>
        <w:rPr>
          <w:rFonts w:hint="eastAsia"/>
          <w:color w:val="000000"/>
        </w:rPr>
        <w:t xml:space="preserve">专项（3级）</w:t>
      </w:r>
      <w:r>
        <w:rPr>
          <w:rFonts w:hint="eastAsia" w:ascii="宋体" w:hAnsi="宋体" w:cs="宋体"/>
          <w:color w:val="000000"/>
        </w:rPr>
      </w:r>
      <w:r/>
    </w:p>
    <w:p>
      <w:pPr>
        <w:pStyle w:val="895"/>
        <w:ind w:firstLine="420"/>
        <w:rPr>
          <w:rFonts w:hint="eastAsia" w:ascii="宋体" w:hAnsi="宋体" w:cs="宋体"/>
          <w:color w:val="000000"/>
        </w:rPr>
      </w:pPr>
      <w:r>
        <w:rPr>
          <w:rFonts w:hint="eastAsia" w:ascii="宋体" w:hAnsi="宋体" w:cs="宋体"/>
          <w:color w:val="000000"/>
        </w:rPr>
        <w:t xml:space="preserve">6.实际工作内容以现场安排为准。</w:t>
      </w:r>
      <w:r>
        <w:rPr>
          <w:rFonts w:hint="eastAsia" w:ascii="宋体" w:hAnsi="宋体" w:cs="宋体"/>
          <w:color w:val="000000"/>
        </w:rPr>
      </w:r>
      <w:r/>
    </w:p>
    <w:p>
      <w:pPr>
        <w:pStyle w:val="895"/>
        <w:ind w:firstLine="420"/>
        <w:rPr>
          <w:rFonts w:hint="eastAsia" w:ascii="宋体" w:hAnsi="宋体" w:cs="宋体"/>
          <w:color w:val="000000"/>
          <w:highlight w:val="none"/>
        </w:rPr>
      </w:pPr>
      <w:r>
        <w:rPr>
          <w:rFonts w:hint="eastAsia" w:ascii="宋体" w:hAnsi="宋体" w:cs="宋体"/>
          <w:color w:val="000000"/>
          <w:highlight w:val="none"/>
        </w:rPr>
      </w:r>
      <w:r>
        <w:rPr>
          <w:highlight w:val="none"/>
        </w:rPr>
      </w:r>
      <w:r/>
    </w:p>
    <w:p>
      <w:pPr>
        <w:pStyle w:val="895"/>
        <w:ind w:firstLine="442"/>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五、岗位工时</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2693"/>
        <w:gridCol w:w="3261"/>
      </w:tblGrid>
      <w:tr>
        <w:trPr>
          <w:trHeight w:val="576"/>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序号</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名称</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参考自然人数（人）</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拟定工时</w:t>
            </w:r>
            <w:r>
              <w:rPr>
                <w:rFonts w:hint="eastAsia" w:ascii="宋体" w:hAnsi="宋体" w:cs="宋体"/>
                <w:color w:val="000000"/>
                <w:highlight w:val="none"/>
              </w:rPr>
              <w:br w:type="textWrapping" w:clear="all"/>
            </w:r>
            <w:r>
              <w:rPr>
                <w:rFonts w:hint="eastAsia" w:ascii="宋体" w:hAnsi="宋体" w:cs="宋体"/>
                <w:color w:val="000000"/>
                <w:highlight w:val="none"/>
              </w:rPr>
              <w:t xml:space="preserve">（小时/三年）</w:t>
            </w:r>
            <w:r>
              <w:rPr>
                <w:highlight w:val="none"/>
              </w:rPr>
            </w:r>
            <w:r/>
          </w:p>
        </w:tc>
      </w:tr>
      <w:tr>
        <w:trPr>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管理人员</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6552</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岗位1级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（保洁宿管岗）</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125428</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岗位2级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（运送陪检梯司）</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73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158103</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岗位3级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（专项）</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14490</w:t>
            </w:r>
            <w:r>
              <w:rPr>
                <w:highlight w:val="none"/>
              </w:rPr>
            </w:r>
            <w:r/>
          </w:p>
        </w:tc>
      </w:tr>
      <w:tr>
        <w:trPr>
          <w:trHeight w:val="288"/>
        </w:trPr>
        <w:tc>
          <w:tcPr>
            <w:gridSpan w:val="2"/>
            <w:tcW w:w="2977"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合计</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r>
    </w:tbl>
    <w:p>
      <w:pPr>
        <w:pStyle w:val="895"/>
        <w:ind w:firstLine="442"/>
        <w:rPr>
          <w:rFonts w:ascii="宋体" w:hAnsi="宋体" w:cs="宋体"/>
          <w:b/>
          <w:bCs/>
          <w:color w:val="000000"/>
          <w:sz w:val="22"/>
          <w:szCs w:val="22"/>
        </w:rPr>
      </w:pPr>
      <w:r>
        <w:rPr>
          <w:rFonts w:ascii="宋体" w:hAnsi="宋体" w:cs="宋体"/>
          <w:b/>
          <w:bCs/>
          <w:color w:val="000000"/>
          <w:sz w:val="22"/>
          <w:szCs w:val="22"/>
        </w:rPr>
      </w:r>
      <w:r/>
    </w:p>
    <w:p>
      <w:pPr>
        <w:pStyle w:val="895"/>
        <w:ind w:firstLine="442"/>
        <w:rPr>
          <w:rFonts w:hint="eastAsia" w:ascii="宋体" w:hAnsi="宋体" w:cs="宋体"/>
          <w:b/>
          <w:bCs/>
          <w:color w:val="000000"/>
          <w:sz w:val="22"/>
          <w:szCs w:val="22"/>
        </w:rPr>
      </w:pPr>
      <w:r>
        <w:rPr>
          <w:rFonts w:hint="eastAsia" w:ascii="宋体" w:hAnsi="宋体" w:cs="宋体"/>
          <w:b/>
          <w:bCs/>
          <w:color w:val="000000"/>
          <w:sz w:val="22"/>
          <w:szCs w:val="22"/>
        </w:rPr>
        <w:t xml:space="preserve">六、保洁设备最低配置清单</w:t>
      </w:r>
      <w:r>
        <w:rPr>
          <w:rFonts w:hint="eastAsia" w:ascii="宋体" w:hAnsi="宋体" w:cs="宋体"/>
          <w:b/>
          <w:bCs/>
          <w:color w:val="000000"/>
          <w:sz w:val="22"/>
          <w:szCs w:val="22"/>
        </w:rPr>
      </w:r>
      <w:r/>
    </w:p>
    <w:tbl>
      <w:tblPr>
        <w:tblW w:w="0" w:type="auto"/>
        <w:jc w:val="center"/>
        <w:tblInd w:w="-409" w:type="dxa"/>
        <w:tblLayout w:type="fixed"/>
        <w:tblCellMar>
          <w:left w:w="15" w:type="dxa"/>
          <w:top w:w="15" w:type="dxa"/>
          <w:right w:w="15" w:type="dxa"/>
          <w:bottom w:w="0" w:type="dxa"/>
        </w:tblCellMar>
        <w:tblLook w:val="04A0" w:firstRow="1" w:lastRow="0" w:firstColumn="1" w:lastColumn="0" w:noHBand="0" w:noVBand="1"/>
      </w:tblPr>
      <w:tblGrid>
        <w:gridCol w:w="949"/>
        <w:gridCol w:w="4154"/>
        <w:gridCol w:w="1418"/>
        <w:gridCol w:w="1276"/>
        <w:gridCol w:w="1068"/>
      </w:tblGrid>
      <w:tr>
        <w:trPr>
          <w:tblHeader/>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序号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154"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名称</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品牌型号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数量</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单位</w:t>
            </w:r>
            <w:r>
              <w:rPr>
                <w:rFonts w:hint="eastAsia" w:ascii="宋体" w:hAnsi="宋体" w:cs="宋体"/>
                <w:b/>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洗地机40L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晶面机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抛光机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b/>
                <w:bCs/>
                <w:color w:val="000000"/>
                <w:sz w:val="22"/>
              </w:rPr>
              <w:t xml:space="preserve">吸水洗尘机30L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u w:val="single"/>
              </w:rPr>
              <w:t xml:space="preserve">3</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rPr>
              <w:t xml:space="preserve">台</w:t>
            </w:r>
            <w:r>
              <w:rPr>
                <w:rFonts w:hint="eastAsia" w:ascii="宋体" w:hAnsi="宋体" w:cs="宋体"/>
                <w:b/>
                <w:bCs/>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地坪/地毯吹干机3500W</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单檫机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真空吸尘机3000W</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封闭式垃圾车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全方位清洁手推车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val="false"/>
          </w:tcPr>
          <w:p>
            <w:pPr>
              <w:pStyle w:val="895"/>
              <w:jc w:val="left"/>
              <w:widowControl/>
              <w:rPr>
                <w:rFonts w:hint="eastAsia" w:ascii="宋体" w:hAnsi="宋体" w:cs="宋体"/>
                <w:sz w:val="22"/>
              </w:rPr>
            </w:pPr>
            <w:r>
              <w:rPr>
                <w:rFonts w:hint="eastAsia" w:ascii="宋体" w:hAnsi="宋体" w:cs="宋体"/>
                <w:sz w:val="22"/>
              </w:rPr>
              <w:t xml:space="preserve">高压水枪</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部</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11</w:t>
            </w:r>
            <w:r>
              <w:rPr>
                <w:rFonts w:hint="eastAsia"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榨水器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清洗消毒烘干一体机（抹布、拖把）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保洁工具箱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量体桶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地巾拖</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红蓝绿拖把公共卫生间</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病房卫生间拖把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海绵拖把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1750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小白毛巾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5色毛巾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马桶刷</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玻璃挂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收纳盒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大层推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bl>
    <w:p>
      <w:pPr>
        <w:pStyle w:val="895"/>
        <w:ind w:firstLine="495"/>
        <w:spacing w:line="360" w:lineRule="auto"/>
        <w:rPr>
          <w:b/>
          <w:bCs/>
          <w:color w:val="000000"/>
          <w:sz w:val="22"/>
          <w:szCs w:val="28"/>
        </w:rPr>
      </w:pPr>
      <w:r>
        <w:rPr>
          <w:rFonts w:hint="eastAsia" w:ascii="宋体" w:hAnsi="宋体" w:cs="宋体"/>
          <w:sz w:val="22"/>
          <w:szCs w:val="28"/>
        </w:rPr>
        <w:t xml:space="preserve">备注：以上设备为最低配置要求，投标单位根据本项目情况配备合理的保洁设备。</w:t>
      </w:r>
      <w:r>
        <w:rPr>
          <w:b/>
          <w:bCs/>
          <w:color w:val="000000"/>
          <w:sz w:val="22"/>
          <w:szCs w:val="28"/>
        </w:rPr>
      </w:r>
      <w:r/>
    </w:p>
    <w:p>
      <w:pPr>
        <w:pStyle w:val="895"/>
        <w:ind w:firstLine="495"/>
        <w:jc w:val="center"/>
        <w:spacing w:line="360" w:lineRule="auto"/>
        <w:rPr>
          <w:rFonts w:hint="eastAsia" w:ascii="宋体" w:hAnsi="宋体" w:cs="宋体"/>
          <w:b/>
          <w:bCs/>
          <w:sz w:val="24"/>
          <w:szCs w:val="32"/>
        </w:rPr>
      </w:pPr>
      <w:r>
        <w:rPr>
          <w:rFonts w:hint="eastAsia" w:ascii="宋体" w:hAnsi="宋体" w:cs="宋体"/>
          <w:b/>
          <w:bCs/>
          <w:sz w:val="24"/>
          <w:szCs w:val="32"/>
        </w:rPr>
      </w:r>
      <w:r/>
    </w:p>
    <w:p>
      <w:pPr>
        <w:pStyle w:val="895"/>
        <w:ind w:firstLine="495"/>
        <w:jc w:val="center"/>
        <w:spacing w:line="360" w:lineRule="auto"/>
        <w:rPr>
          <w:rFonts w:hint="eastAsia" w:ascii="宋体" w:hAnsi="宋体" w:cs="宋体"/>
          <w:b/>
          <w:bCs/>
          <w:sz w:val="22"/>
          <w:szCs w:val="22"/>
        </w:rPr>
      </w:pPr>
      <w:r>
        <w:rPr>
          <w:rFonts w:hint="eastAsia" w:ascii="宋体" w:hAnsi="宋体" w:cs="宋体"/>
          <w:b/>
          <w:bCs/>
          <w:sz w:val="22"/>
          <w:szCs w:val="22"/>
        </w:rPr>
        <w:t xml:space="preserve">清洁剂、蜡等其他用品品牌要求：</w:t>
      </w:r>
      <w:r>
        <w:rPr>
          <w:rFonts w:hint="eastAsia" w:ascii="宋体" w:hAnsi="宋体" w:cs="宋体"/>
          <w:b/>
          <w:bCs/>
          <w:sz w:val="22"/>
          <w:szCs w:val="22"/>
        </w:rPr>
      </w:r>
      <w:r/>
    </w:p>
    <w:tbl>
      <w:tblPr>
        <w:tblW w:w="0" w:type="auto"/>
        <w:jc w:val="center"/>
        <w:tblInd w:w="-312" w:type="dxa"/>
        <w:tblLayout w:type="fixed"/>
        <w:tblCellMar>
          <w:left w:w="0" w:type="dxa"/>
          <w:top w:w="0" w:type="dxa"/>
          <w:right w:w="0" w:type="dxa"/>
          <w:bottom w:w="0" w:type="dxa"/>
        </w:tblCellMar>
        <w:tblLook w:val="04A0" w:firstRow="1" w:lastRow="0" w:firstColumn="1" w:lastColumn="0" w:noHBand="0" w:noVBand="1"/>
      </w:tblPr>
      <w:tblGrid>
        <w:gridCol w:w="3015"/>
        <w:gridCol w:w="3906"/>
        <w:gridCol w:w="1857"/>
      </w:tblGrid>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b/>
                <w:bCs/>
                <w:color w:val="000000"/>
              </w:rPr>
              <w:t xml:space="preserve">名称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建议品牌或参数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快活全能保洁清洁剂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不锈钢光亮剂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浓缩波璃清洁剂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洁厕剂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光洁地拖牵尘剂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起蜡水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除油剂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低气味快干面蜡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地面保养蜡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除杀虫剂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熏香机(熏香剂)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卫生间必配</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消毒片/粉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洗衣粉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生活垃圾袋（分色）</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医疗垃圾袋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符合国家环保要求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“小心地滑”告示牌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乐柏美、超宝、马力士、施达</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r>
            <w:r/>
          </w:p>
        </w:tc>
      </w:tr>
    </w:tbl>
    <w:p>
      <w:pPr>
        <w:pStyle w:val="895"/>
        <w:ind w:firstLine="0"/>
        <w:jc w:val="left"/>
        <w:rPr>
          <w:rFonts w:hint="eastAsia" w:ascii="宋体" w:hAnsi="宋体" w:cs="宋体"/>
          <w:color w:val="ff0000"/>
          <w:sz w:val="28"/>
          <w:szCs w:val="28"/>
        </w:rPr>
      </w:pPr>
      <w:r>
        <w:rPr>
          <w:rFonts w:hint="eastAsia" w:ascii="宋体" w:hAnsi="宋体" w:cs="宋体"/>
          <w:color w:val="ff0000"/>
          <w:sz w:val="28"/>
          <w:szCs w:val="28"/>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五、其他要求</w:t>
      </w:r>
      <w:r>
        <w:rPr>
          <w:rFonts w:hint="eastAsia" w:hAnsi="宋体" w:cs="宋体"/>
          <w:b/>
          <w:sz w:val="28"/>
          <w:szCs w:val="28"/>
        </w:rPr>
      </w:r>
      <w:r/>
    </w:p>
    <w:p>
      <w:pPr>
        <w:pStyle w:val="895"/>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1.项目属性:服务类项目。</w:t>
      </w:r>
      <w:r>
        <w:rPr>
          <w:rFonts w:hint="eastAsia" w:ascii="宋体" w:hAnsi="宋体" w:cs="宋体"/>
          <w:bCs/>
          <w:color w:val="000000"/>
          <w:sz w:val="24"/>
          <w:szCs w:val="24"/>
        </w:rPr>
      </w:r>
      <w:r/>
    </w:p>
    <w:p>
      <w:pPr>
        <w:pStyle w:val="896"/>
        <w:rPr>
          <w:rFonts w:hint="eastAsia" w:ascii="宋体" w:hAnsi="宋体" w:eastAsia="宋体" w:cs="宋体"/>
          <w:bCs/>
          <w:sz w:val="24"/>
          <w:szCs w:val="24"/>
        </w:rPr>
      </w:pPr>
      <w:r>
        <w:rPr>
          <w:rFonts w:hint="eastAsia" w:ascii="宋体" w:hAnsi="宋体" w:eastAsia="宋体" w:cs="宋体"/>
          <w:bCs/>
          <w:sz w:val="24"/>
          <w:szCs w:val="24"/>
        </w:rPr>
      </w:r>
      <w:r/>
    </w:p>
    <w:p>
      <w:pPr>
        <w:pStyle w:val="895"/>
        <w:rPr>
          <w:rFonts w:hint="eastAsia" w:ascii="宋体" w:hAnsi="宋体"/>
          <w:sz w:val="24"/>
          <w:szCs w:val="24"/>
        </w:rPr>
      </w:pPr>
      <w:r>
        <w:rPr>
          <w:rFonts w:hint="eastAsia" w:ascii="宋体" w:hAnsi="宋体"/>
          <w:sz w:val="24"/>
          <w:szCs w:val="24"/>
        </w:rPr>
      </w:r>
      <w:r/>
    </w:p>
    <w:p>
      <w:pPr>
        <w:pStyle w:val="895"/>
        <w:ind w:firstLine="480"/>
        <w:spacing w:line="560" w:lineRule="exact"/>
        <w:rPr>
          <w:rFonts w:hint="eastAsia" w:ascii="宋体" w:hAnsi="宋体"/>
          <w:sz w:val="24"/>
        </w:rPr>
      </w:pPr>
      <w:r>
        <w:rPr>
          <w:rFonts w:hint="eastAsia" w:ascii="宋体" w:hAnsi="宋体"/>
          <w:sz w:val="24"/>
        </w:rPr>
      </w:r>
      <w:r/>
    </w:p>
    <w:p>
      <w:pPr>
        <w:pStyle w:val="895"/>
        <w:ind w:firstLine="602"/>
        <w:rPr>
          <w:rFonts w:hint="eastAsia"/>
          <w:b/>
          <w:i/>
          <w:sz w:val="30"/>
          <w:szCs w:val="32"/>
          <w:u w:val="single"/>
        </w:rPr>
      </w:pPr>
      <w:r>
        <w:rPr>
          <w:rFonts w:hint="eastAsia"/>
          <w:b/>
          <w:i/>
          <w:sz w:val="30"/>
          <w:szCs w:val="32"/>
          <w:u w:val="single"/>
        </w:rPr>
      </w:r>
      <w:r/>
    </w:p>
    <w:p>
      <w:pPr>
        <w:pStyle w:val="895"/>
        <w:rPr>
          <w:rFonts w:hint="eastAsia"/>
        </w:rPr>
      </w:pPr>
      <w:r/>
      <w:bookmarkStart w:id="227" w:name="_Toc120614281"/>
      <w:r>
        <w:rPr>
          <w:rFonts w:hint="eastAsia"/>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5"/>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905"/>
        </w:trPr>
        <w:tc>
          <w:tcPr>
            <w:tcW w:w="1148"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5"/>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02"/>
        <w:ind w:firstLine="439"/>
        <w:spacing w:line="0" w:lineRule="atLeast"/>
        <w:rPr>
          <w:rFonts w:hint="eastAsia" w:cs="Arial"/>
        </w:rPr>
      </w:pPr>
      <w:r>
        <w:rPr>
          <w:rFonts w:hint="eastAsia" w:cs="Arial"/>
        </w:rPr>
      </w:r>
      <w:r/>
    </w:p>
    <w:p>
      <w:pPr>
        <w:pStyle w:val="1002"/>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2"/>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02"/>
        <w:rPr>
          <w:rFonts w:hint="eastAsia" w:ascii="宋体" w:hAnsi="宋体"/>
        </w:rPr>
      </w:pPr>
      <w:r>
        <w:rPr>
          <w:rFonts w:hint="eastAsia" w:ascii="宋体" w:hAnsi="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rPr>
      </w:r>
      <w:r/>
    </w:p>
    <w:p>
      <w:pPr>
        <w:pStyle w:val="1002"/>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2"/>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7.采购本国产品的支持政策</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7.2 供应商需按照招标文件的要求提供《关于符合本国产品标准的声明函》（以下简称《声明函》），如不提供将不享受本国产品价格评审优惠。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rPr>
      </w:r>
      <w:r/>
    </w:p>
    <w:p>
      <w:pPr>
        <w:pStyle w:val="1002"/>
        <w:spacing w:line="400" w:lineRule="exact"/>
        <w:rPr>
          <w:rFonts w:hint="eastAsia" w:ascii="宋体" w:hAnsi="宋体"/>
        </w:rPr>
      </w:pPr>
      <w:r>
        <w:rPr>
          <w:rFonts w:hint="eastAsia" w:ascii="宋体" w:hAnsi="宋体"/>
        </w:rPr>
      </w:r>
      <w:r/>
    </w:p>
    <w:p>
      <w:pPr>
        <w:pStyle w:val="100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800"/>
        <w:gridCol w:w="1080"/>
        <w:gridCol w:w="768"/>
        <w:gridCol w:w="5889"/>
      </w:tblGrid>
      <w:tr>
        <w:trPr>
          <w:trHeight w:val="6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52" w:right="0" w:firstLine="0"/>
              <w:jc w:val="center"/>
              <w:spacing w:before="137"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4"/>
                <w:highlight w:val="none"/>
              </w:rPr>
              <w:t xml:space="preserve">序</w:t>
            </w:r>
            <w:r>
              <w:rPr>
                <w:rFonts w:ascii="SimSun" w:hAnsi="SimSun" w:eastAsia="SimSun" w:cs="SimSun"/>
                <w:b/>
                <w:color w:val="000000" w:themeColor="text1"/>
                <w:spacing w:val="-5"/>
                <w:sz w:val="24"/>
                <w:highlight w:val="none"/>
              </w:rPr>
              <w:t xml:space="preserve">号</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81" w:type="dxa"/>
            <w:vAlign w:val="center"/>
            <w:textDirection w:val="lrTb"/>
            <w:noWrap w:val="false"/>
          </w:tcPr>
          <w:p>
            <w:pPr>
              <w:ind w:left="0" w:right="0" w:firstLine="0"/>
              <w:jc w:val="center"/>
              <w:spacing w:before="208"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highlight w:val="none"/>
              </w:rPr>
              <w:t xml:space="preserve">评</w:t>
            </w:r>
            <w:r>
              <w:rPr>
                <w:rFonts w:ascii="SimSun" w:hAnsi="SimSun" w:eastAsia="SimSun" w:cs="SimSun"/>
                <w:b/>
                <w:color w:val="000000" w:themeColor="text1"/>
                <w:spacing w:val="-1"/>
                <w:sz w:val="24"/>
                <w:highlight w:val="none"/>
              </w:rPr>
              <w:t xml:space="preserve">审因素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52" w:right="0" w:firstLine="0"/>
              <w:jc w:val="center"/>
              <w:spacing w:before="175"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4"/>
                <w:highlight w:val="none"/>
              </w:rPr>
              <w:t xml:space="preserve">分</w:t>
            </w:r>
            <w:r>
              <w:rPr>
                <w:rFonts w:ascii="SimSun" w:hAnsi="SimSun" w:eastAsia="SimSun" w:cs="SimSun"/>
                <w:b/>
                <w:color w:val="000000" w:themeColor="text1"/>
                <w:spacing w:val="-5"/>
                <w:sz w:val="24"/>
                <w:highlight w:val="none"/>
              </w:rPr>
              <w:t xml:space="preserve">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center"/>
              <w:spacing w:before="208"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highlight w:val="none"/>
              </w:rPr>
              <w:t xml:space="preserve">评分标准</w:t>
            </w:r>
            <w:r>
              <w:rPr>
                <w:color w:val="000000" w:themeColor="text1"/>
                <w:highlight w:val="none"/>
              </w:rPr>
            </w:r>
            <w:r/>
          </w:p>
        </w:tc>
      </w:tr>
      <w:tr>
        <w:trPr>
          <w:trHeight w:val="14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1</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投标报价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以经评委员会一致认定满足招标文件要求且投</w:t>
            </w:r>
            <w:r>
              <w:rPr>
                <w:rFonts w:ascii="SimSun" w:hAnsi="SimSun" w:eastAsia="SimSun" w:cs="SimSun"/>
                <w:color w:val="000000" w:themeColor="text1"/>
                <w:sz w:val="24"/>
                <w:highlight w:val="none"/>
              </w:rPr>
              <w:t xml:space="preserve">标价格</w:t>
            </w:r>
            <w:r>
              <w:rPr>
                <w:rFonts w:ascii="SimSun" w:hAnsi="SimSun" w:eastAsia="SimSun" w:cs="SimSun"/>
                <w:color w:val="000000" w:themeColor="text1"/>
                <w:spacing w:val="-10"/>
                <w:sz w:val="24"/>
                <w:highlight w:val="none"/>
              </w:rPr>
              <w:t xml:space="preserve">最低的</w:t>
            </w:r>
            <w:r>
              <w:rPr>
                <w:rFonts w:ascii="SimSun" w:hAnsi="SimSun" w:eastAsia="SimSun" w:cs="SimSun"/>
                <w:color w:val="000000" w:themeColor="text1"/>
                <w:spacing w:val="-9"/>
                <w:sz w:val="24"/>
                <w:highlight w:val="none"/>
              </w:rPr>
              <w:t xml:space="preserve">投</w:t>
            </w:r>
            <w:r>
              <w:rPr>
                <w:rFonts w:ascii="SimSun" w:hAnsi="SimSun" w:eastAsia="SimSun" w:cs="SimSun"/>
                <w:color w:val="000000" w:themeColor="text1"/>
                <w:spacing w:val="-5"/>
                <w:sz w:val="24"/>
                <w:highlight w:val="none"/>
              </w:rPr>
              <w:t xml:space="preserve">标报价为评标基准价，其价格得分计19分。</w:t>
            </w:r>
            <w:r>
              <w:rPr>
                <w:rFonts w:ascii="SimSun" w:hAnsi="SimSun" w:eastAsia="SimSun" w:cs="SimSun"/>
                <w:color w:val="000000" w:themeColor="text1"/>
                <w:spacing w:val="8"/>
                <w:sz w:val="24"/>
                <w:highlight w:val="none"/>
              </w:rPr>
              <w:t xml:space="preserve">其</w:t>
            </w:r>
            <w:r>
              <w:rPr>
                <w:rFonts w:ascii="SimSun" w:hAnsi="SimSun" w:eastAsia="SimSun" w:cs="SimSun"/>
                <w:color w:val="000000" w:themeColor="text1"/>
                <w:spacing w:val="5"/>
                <w:sz w:val="24"/>
                <w:highlight w:val="none"/>
              </w:rPr>
              <w:t xml:space="preserve">他投标人的价格得分统一按公式计算：报价得分=</w:t>
            </w:r>
            <w:r>
              <w:rPr>
                <w:rFonts w:ascii="SimSun" w:hAnsi="SimSun" w:eastAsia="SimSun" w:cs="SimSun"/>
                <w:color w:val="000000" w:themeColor="text1"/>
                <w:spacing w:val="-1"/>
                <w:sz w:val="24"/>
                <w:highlight w:val="none"/>
              </w:rPr>
              <w:t xml:space="preserve">评标基准价÷投标</w:t>
            </w:r>
            <w:r>
              <w:rPr>
                <w:rFonts w:ascii="SimSun" w:hAnsi="SimSun" w:eastAsia="SimSun" w:cs="SimSun"/>
                <w:color w:val="000000" w:themeColor="text1"/>
                <w:sz w:val="24"/>
                <w:highlight w:val="none"/>
              </w:rPr>
              <w:t xml:space="preserve">报价×19。</w:t>
            </w:r>
            <w:r>
              <w:rPr>
                <w:color w:val="000000" w:themeColor="text1"/>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技术</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58分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2.1人员配置方案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评委根据投标文件对招标文件第四章“方案要求及商务要求”中“人员配置方案”要求的响应情况进行评审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（1）投标文件未符合“人员配置方案”中全部条款要求的，视为不符合招标文件，本项得0分。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（2）投标文件符合“人员配置方案”中全部条款要求的，视为符合招标文件，本项得3分。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（3）经评委认定，投标文件对“人员配置方案”中“</w:t>
            </w:r>
            <w:r>
              <w:rPr>
                <w:rFonts w:ascii="SimSun" w:hAnsi="SimSun" w:eastAsia="SimSun" w:cs="SimSun"/>
                <w:color w:val="000000" w:themeColor="text1"/>
                <w:spacing w:val="-7"/>
                <w:sz w:val="24"/>
                <w:highlight w:val="none"/>
              </w:rPr>
              <w:t xml:space="preserve">人员部门设置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岗位人员配备</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岗位设置及职责</w:t>
            </w:r>
            <w:r>
              <w:rPr>
                <w:rFonts w:ascii="SimSun" w:hAnsi="SimSun" w:eastAsia="SimSun" w:cs="SimSun"/>
                <w:color w:val="000000" w:themeColor="text1"/>
                <w:spacing w:val="1"/>
                <w:sz w:val="24"/>
                <w:highlight w:val="none"/>
              </w:rPr>
              <w:t xml:space="preserve">”三项要求的响应内容全部优于招标文件要求的(前提是投标文件对“人员配置方案”中除“</w:t>
            </w:r>
            <w:r>
              <w:rPr>
                <w:rFonts w:ascii="SimSun" w:hAnsi="SimSun" w:eastAsia="SimSun" w:cs="SimSun"/>
                <w:color w:val="000000" w:themeColor="text1"/>
                <w:spacing w:val="-7"/>
                <w:sz w:val="24"/>
                <w:highlight w:val="none"/>
              </w:rPr>
              <w:t xml:space="preserve">人员部门设置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岗位人员配备</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岗位设置及职责</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r/>
          </w:p>
        </w:tc>
      </w:tr>
      <w:tr>
        <w:trPr>
          <w:trHeight w:val="2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2.2服务质量方案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评委根据投标文件对招标文件第四章“方案要求及商务要求”中“服务质量方案”要求的响应情况进行评审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（1）投标文件未符合“服务质量方案”中全部条款要求的，视为不符合招标文件，本项得0分。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（2）投标文件符合“服务质量方案”中全部条款要求的，视为符合招标文件，本项得3分。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（3）经评委认定，投标文件对“服务质量方案”中“</w:t>
            </w:r>
            <w:r>
              <w:rPr>
                <w:rFonts w:ascii="SimSun" w:hAnsi="SimSun" w:eastAsia="SimSun" w:cs="SimSun"/>
                <w:color w:val="000000" w:themeColor="text1"/>
                <w:spacing w:val="-7"/>
                <w:sz w:val="24"/>
                <w:highlight w:val="none"/>
              </w:rPr>
              <w:t xml:space="preserve">总体服务设想</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实施流程及体系</w:t>
            </w:r>
            <w:r>
              <w:rPr>
                <w:rFonts w:ascii="SimSun" w:hAnsi="SimSun" w:eastAsia="SimSun" w:cs="SimSun"/>
                <w:color w:val="000000" w:themeColor="text1"/>
                <w:spacing w:val="1"/>
                <w:sz w:val="24"/>
                <w:highlight w:val="none"/>
              </w:rPr>
              <w:t xml:space="preserve">"两项要求的响应内容全部优于招标文件要求的(前提是投标文件对“服务质量方案”中除 “</w:t>
            </w:r>
            <w:r>
              <w:rPr>
                <w:rFonts w:ascii="SimSun" w:hAnsi="SimSun" w:eastAsia="SimSun" w:cs="SimSun"/>
                <w:color w:val="000000" w:themeColor="text1"/>
                <w:spacing w:val="-7"/>
                <w:sz w:val="24"/>
                <w:highlight w:val="none"/>
              </w:rPr>
              <w:t xml:space="preserve">总体服务设想</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实施流程及体系</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2.3稳定措施方案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评委根据投标文件对招标文件第四章“方案要求及商务要求”中“稳定措施方案”要求的响应情况进行评审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（1）投标文件未符合“稳定措施方案”中全部条款要求的，视为不符合招标文件，本项得0分。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（2）投标文件符合“稳定措施方案”中全部条款要求的，视为符合招标文件，本项得3分。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（3）经评委认定，投标文件对“稳定措施方案”中“</w:t>
            </w:r>
            <w:r>
              <w:rPr>
                <w:rFonts w:ascii="SimSun" w:hAnsi="SimSun" w:eastAsia="SimSun" w:cs="SimSun"/>
                <w:color w:val="000000" w:themeColor="text1"/>
                <w:spacing w:val="-7"/>
                <w:sz w:val="24"/>
                <w:highlight w:val="none"/>
              </w:rPr>
              <w:t xml:space="preserve">各部门、岗位人员结构、交保率等</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各工种服务标准及培训机制、沟通机制、奖惩制度等</w:t>
            </w:r>
            <w:r>
              <w:rPr>
                <w:rFonts w:ascii="SimSun" w:hAnsi="SimSun" w:eastAsia="SimSun" w:cs="SimSun"/>
                <w:color w:val="000000" w:themeColor="text1"/>
                <w:spacing w:val="1"/>
                <w:sz w:val="24"/>
                <w:highlight w:val="none"/>
              </w:rPr>
              <w:t xml:space="preserve">"两项要求的响应内容全部优于招标文件要求的(前提是投标文件对“稳定措施方案”中除“</w:t>
            </w:r>
            <w:r>
              <w:rPr>
                <w:rFonts w:ascii="SimSun" w:hAnsi="SimSun" w:eastAsia="SimSun" w:cs="SimSun"/>
                <w:color w:val="000000" w:themeColor="text1"/>
                <w:spacing w:val="-7"/>
                <w:sz w:val="24"/>
                <w:highlight w:val="none"/>
              </w:rPr>
              <w:t xml:space="preserve">各部门、岗位人员结构、交保率等</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各工种服务标准及培训机制、沟通机制、奖惩制度等</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2.4整体方案设想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评委根据投标文件对招标文件第四章“方案要求及商务要求”中“整体方案设想”要求的响应情况进行评审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（1）投标文件未符合“整体方案设想”中全部条款要求的，视为不符合招标文件，本项得0分。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（2）投标文件符合“整体方案设想”中全部条款要求的，视为符合招标文件，本项得3分。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（3）经评委认定，投标文件对“整体方案设想”中要求的响应内容全部优于招标文件要求的，本项得5分。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2.5安全管理方案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评委根据投标文件对招标文件第四章“方案要求及商务要求”中“安全管理方案”要求的响应情况进行评审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（1）投标文件未符合“安全管理方案”中全部条款要求的，视为不符合招标文件，本项得0分。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（2）投标文件符合“安全管理方案”中全部条款要求的，视为符合招标文件，本项得3分。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（3）经评委认定，投标文件对“安全管理方案”中“</w:t>
            </w:r>
            <w:r>
              <w:rPr>
                <w:rFonts w:ascii="SimSun" w:hAnsi="SimSun" w:eastAsia="SimSun" w:cs="SimSun"/>
                <w:color w:val="000000" w:themeColor="text1"/>
                <w:spacing w:val="-7"/>
                <w:sz w:val="24"/>
                <w:highlight w:val="none"/>
              </w:rPr>
              <w:t xml:space="preserve">安全生产要求</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培训方案</w:t>
            </w:r>
            <w:r>
              <w:rPr>
                <w:rFonts w:ascii="SimSun" w:hAnsi="SimSun" w:eastAsia="SimSun" w:cs="SimSun"/>
                <w:color w:val="000000" w:themeColor="text1"/>
                <w:spacing w:val="1"/>
                <w:sz w:val="24"/>
                <w:highlight w:val="none"/>
              </w:rPr>
              <w:t xml:space="preserve">"“各类措施”三项要求的响应内容全部优于招标文件要求的(前提是投标文件对“安全管理方案”中除“</w:t>
            </w:r>
            <w:r>
              <w:rPr>
                <w:rFonts w:ascii="SimSun" w:hAnsi="SimSun" w:eastAsia="SimSun" w:cs="SimSun"/>
                <w:color w:val="000000" w:themeColor="text1"/>
                <w:spacing w:val="-7"/>
                <w:sz w:val="24"/>
                <w:highlight w:val="none"/>
              </w:rPr>
              <w:t xml:space="preserve">安全生产要求</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培训方案</w:t>
            </w:r>
            <w:r>
              <w:rPr>
                <w:rFonts w:ascii="SimSun" w:hAnsi="SimSun" w:eastAsia="SimSun" w:cs="SimSun"/>
                <w:color w:val="000000" w:themeColor="text1"/>
                <w:spacing w:val="1"/>
                <w:sz w:val="24"/>
                <w:highlight w:val="none"/>
              </w:rPr>
              <w:t xml:space="preserve">"“各类措施”外其他要求响应内容符合招标文件要求)，本项得5分。</w:t>
            </w:r>
            <w:r>
              <w:rPr>
                <w:color w:val="000000" w:themeColor="text1"/>
                <w:highlight w:val="none"/>
              </w:rPr>
            </w:r>
            <w:r/>
          </w:p>
        </w:tc>
      </w:tr>
      <w:tr>
        <w:trPr>
          <w:trHeight w:val="14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2.6后勤服务信息化管理方案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评委根据投标文件对招标文件第四章“方案要求及商务要求”中“后勤服务信息化管理方案”要求的响应情况进行评审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（1）投标文件未符合“后勤服务信息化管理方案”中全部条款要求的，视为不符合招标文件，本项得0分。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（2）投标文件符合“后勤服务信息化管理方案”中全部条款要求的，视为符合招标文件，本项得3分。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（3）经评委认定，投标文件对“后勤服务信息化管理方案”中“</w:t>
            </w:r>
            <w:r>
              <w:rPr>
                <w:rFonts w:ascii="SimSun" w:hAnsi="SimSun" w:eastAsia="SimSun" w:cs="SimSun"/>
                <w:color w:val="000000" w:themeColor="text1"/>
                <w:spacing w:val="-7"/>
                <w:sz w:val="24"/>
                <w:highlight w:val="none"/>
              </w:rPr>
              <w:t xml:space="preserve">技术支持</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应急方案</w:t>
            </w:r>
            <w:r>
              <w:rPr>
                <w:rFonts w:ascii="SimSun" w:hAnsi="SimSun" w:eastAsia="SimSun" w:cs="SimSun"/>
                <w:color w:val="000000" w:themeColor="text1"/>
                <w:spacing w:val="1"/>
                <w:sz w:val="24"/>
                <w:highlight w:val="none"/>
              </w:rPr>
              <w:t xml:space="preserve">"“持续优化方案”三项要求的响应内容全部优于招标文件要求的(前提是投标文件对“后勤服务信息化管理方案”中除“</w:t>
            </w:r>
            <w:r>
              <w:rPr>
                <w:rFonts w:ascii="SimSun" w:hAnsi="SimSun" w:eastAsia="SimSun" w:cs="SimSun"/>
                <w:color w:val="000000" w:themeColor="text1"/>
                <w:spacing w:val="-7"/>
                <w:sz w:val="24"/>
                <w:highlight w:val="none"/>
              </w:rPr>
              <w:t xml:space="preserve">技术支持</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应急方案</w:t>
            </w:r>
            <w:r>
              <w:rPr>
                <w:rFonts w:ascii="SimSun" w:hAnsi="SimSun" w:eastAsia="SimSun" w:cs="SimSun"/>
                <w:color w:val="000000" w:themeColor="text1"/>
                <w:spacing w:val="1"/>
                <w:sz w:val="24"/>
                <w:highlight w:val="none"/>
              </w:rPr>
              <w:t xml:space="preserve">"“持续优化方案”外其他要求响应内容符合招标文件要求)，本项得5分。</w:t>
            </w:r>
            <w:r>
              <w:rPr>
                <w:color w:val="000000" w:themeColor="text1"/>
                <w:highlight w:val="none"/>
              </w:rPr>
            </w:r>
            <w:r/>
          </w:p>
        </w:tc>
      </w:tr>
      <w:tr>
        <w:trPr>
          <w:trHeight w:val="14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2.7管理制度和运作流程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评委根据投标文件对招标文件第四章“方案要求及商务要求”中“管理制度和运作流程”要求的响应情况进行评审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（1）投标文件未符合“管理制度和运作流程”中全部条款要求的，视为不符合招标文件，本项得0分。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（2）投标文件符合“管理制度和运作流程”中全部条款要求的，视为符合招标文件，本项得3分。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（3）经评委认定，投标文件对“管理制度和运作流程”中“</w:t>
            </w:r>
            <w:r>
              <w:rPr>
                <w:rFonts w:ascii="SimSun" w:hAnsi="SimSun" w:eastAsia="SimSun" w:cs="SimSun"/>
                <w:color w:val="000000" w:themeColor="text1"/>
                <w:spacing w:val="-7"/>
                <w:sz w:val="24"/>
                <w:highlight w:val="none"/>
              </w:rPr>
              <w:t xml:space="preserve">各类岗位职责</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应急和突发事件预案</w:t>
            </w:r>
            <w:r>
              <w:rPr>
                <w:rFonts w:ascii="SimSun" w:hAnsi="SimSun" w:eastAsia="SimSun" w:cs="SimSun"/>
                <w:color w:val="000000" w:themeColor="text1"/>
                <w:spacing w:val="1"/>
                <w:sz w:val="24"/>
                <w:highlight w:val="none"/>
              </w:rPr>
              <w:t xml:space="preserve">"“规章制度”三项要求的响应内容全部优于招标文件要求的(前提是投标文件对“管理制度和运作流程”中除“</w:t>
            </w:r>
            <w:r>
              <w:rPr>
                <w:rFonts w:ascii="SimSun" w:hAnsi="SimSun" w:eastAsia="SimSun" w:cs="SimSun"/>
                <w:color w:val="000000" w:themeColor="text1"/>
                <w:spacing w:val="-7"/>
                <w:sz w:val="24"/>
                <w:highlight w:val="none"/>
              </w:rPr>
              <w:t xml:space="preserve">各类岗位职责</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应急和突发事件预案</w:t>
            </w:r>
            <w:r>
              <w:rPr>
                <w:rFonts w:ascii="SimSun" w:hAnsi="SimSun" w:eastAsia="SimSun" w:cs="SimSun"/>
                <w:color w:val="000000" w:themeColor="text1"/>
                <w:spacing w:val="1"/>
                <w:sz w:val="24"/>
                <w:highlight w:val="none"/>
              </w:rPr>
              <w:t xml:space="preserve">"“规章制度”外其他要求响应内容符合招标文件要求)，本项得5分。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2.8进退场交接方案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w:t>
            </w:r>
            <w:r>
              <w:rPr>
                <w:rFonts w:ascii="SimSun" w:hAnsi="SimSun" w:eastAsia="SimSun" w:cs="SimSun"/>
                <w:color w:val="000000" w:themeColor="text1"/>
                <w:spacing w:val="-7"/>
                <w:sz w:val="24"/>
                <w:highlight w:val="none"/>
              </w:rPr>
              <w:t xml:space="preserve">交接流程</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交接措施及难点处理办法</w:t>
            </w:r>
            <w:r>
              <w:rPr>
                <w:rFonts w:ascii="SimSun" w:hAnsi="SimSun" w:eastAsia="SimSun" w:cs="SimSun"/>
                <w:color w:val="000000" w:themeColor="text1"/>
                <w:spacing w:val="1"/>
                <w:sz w:val="24"/>
                <w:highlight w:val="none"/>
              </w:rPr>
              <w:t xml:space="preserve">"“交接时间进度安排”三项要求的响应内容全部优于招标文件要求的(前提是投标文件对“</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”中除“</w:t>
            </w:r>
            <w:r>
              <w:rPr>
                <w:rFonts w:ascii="SimSun" w:hAnsi="SimSun" w:eastAsia="SimSun" w:cs="SimSun"/>
                <w:color w:val="000000" w:themeColor="text1"/>
                <w:spacing w:val="-7"/>
                <w:sz w:val="24"/>
                <w:highlight w:val="none"/>
              </w:rPr>
              <w:t xml:space="preserve">交接流程</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交接措施及难点处理办法</w:t>
            </w:r>
            <w:r>
              <w:rPr>
                <w:rFonts w:ascii="SimSun" w:hAnsi="SimSun" w:eastAsia="SimSun" w:cs="SimSun"/>
                <w:color w:val="000000" w:themeColor="text1"/>
                <w:spacing w:val="1"/>
                <w:sz w:val="24"/>
                <w:highlight w:val="none"/>
              </w:rPr>
              <w:t xml:space="preserve">"“交接时间进度安排”外其他要求响应内容符合招标文件要求)，本项得5分。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2.9临时突发事件应急措施方案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w:t>
            </w:r>
            <w:r>
              <w:rPr>
                <w:rFonts w:ascii="SimSun" w:hAnsi="SimSun" w:eastAsia="SimSun" w:cs="SimSun"/>
                <w:color w:val="000000" w:themeColor="text1"/>
                <w:spacing w:val="-7"/>
                <w:sz w:val="24"/>
                <w:highlight w:val="none"/>
              </w:rPr>
              <w:t xml:space="preserve">电梯困人救援</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恶劣天气、夜间及节假日突发事件</w:t>
            </w:r>
            <w:r>
              <w:rPr>
                <w:rFonts w:ascii="SimSun" w:hAnsi="SimSun" w:eastAsia="SimSun" w:cs="SimSun"/>
                <w:color w:val="000000" w:themeColor="text1"/>
                <w:spacing w:val="1"/>
                <w:sz w:val="24"/>
                <w:highlight w:val="none"/>
              </w:rPr>
              <w:t xml:space="preserve">"“各类上级专项检查”三项要求的响应内容全部优于招标文件要求的(前提是投标文件对“</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”中除“</w:t>
            </w:r>
            <w:r>
              <w:rPr>
                <w:rFonts w:ascii="SimSun" w:hAnsi="SimSun" w:eastAsia="SimSun" w:cs="SimSun"/>
                <w:color w:val="000000" w:themeColor="text1"/>
                <w:spacing w:val="-7"/>
                <w:sz w:val="24"/>
                <w:highlight w:val="none"/>
              </w:rPr>
              <w:t xml:space="preserve">电梯困人救援</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恶劣天气、夜间及节假日突发事件</w:t>
            </w:r>
            <w:r>
              <w:rPr>
                <w:rFonts w:ascii="SimSun" w:hAnsi="SimSun" w:eastAsia="SimSun" w:cs="SimSun"/>
                <w:color w:val="000000" w:themeColor="text1"/>
                <w:spacing w:val="1"/>
                <w:sz w:val="24"/>
                <w:highlight w:val="none"/>
              </w:rPr>
              <w:t xml:space="preserve">"“各类上级专项检查”外其他要求响应内容符合招标文件要求)，本项得5分。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2.10院感防控实施方案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评委根据投标文件对招标文件第四章“方案要求及商务要求”中“院感防控实施方案”要求的响应情况进行评审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（1）投标文件未符合“院感防控实施方案”中全部条款要求的，视为不符合招标文件，本项得0分。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（2）投标文件符合“院感防控实施方案”中全部条款要求的，视为符合招标文件，本项得3分。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（3）经评委认定，投标文件对“院感防控实施方案”中“</w:t>
            </w:r>
            <w:r>
              <w:rPr>
                <w:rFonts w:ascii="SimSun" w:hAnsi="SimSun" w:eastAsia="SimSun" w:cs="SimSun"/>
                <w:color w:val="000000" w:themeColor="text1"/>
                <w:spacing w:val="-7"/>
                <w:sz w:val="24"/>
                <w:highlight w:val="none"/>
              </w:rPr>
              <w:t xml:space="preserve">防止交叉感染的操作</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人员培训计划</w:t>
            </w:r>
            <w:r>
              <w:rPr>
                <w:rFonts w:ascii="SimSun" w:hAnsi="SimSun" w:eastAsia="SimSun" w:cs="SimSun"/>
                <w:color w:val="000000" w:themeColor="text1"/>
                <w:spacing w:val="1"/>
                <w:sz w:val="24"/>
                <w:highlight w:val="none"/>
              </w:rPr>
              <w:t xml:space="preserve">"“制度落实措施”三项要求的响应内容全部优于招标文件要求的(前提是投标文件对“院感防控实施方案”中除“</w:t>
            </w:r>
            <w:r>
              <w:rPr>
                <w:rFonts w:ascii="SimSun" w:hAnsi="SimSun" w:eastAsia="SimSun" w:cs="SimSun"/>
                <w:color w:val="000000" w:themeColor="text1"/>
                <w:spacing w:val="-7"/>
                <w:sz w:val="24"/>
                <w:highlight w:val="none"/>
              </w:rPr>
              <w:t xml:space="preserve">防止交叉感染的操作</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人员培训计划</w:t>
            </w:r>
            <w:r>
              <w:rPr>
                <w:rFonts w:ascii="SimSun" w:hAnsi="SimSun" w:eastAsia="SimSun" w:cs="SimSun"/>
                <w:color w:val="000000" w:themeColor="text1"/>
                <w:spacing w:val="1"/>
                <w:sz w:val="24"/>
                <w:highlight w:val="none"/>
              </w:rPr>
              <w:t xml:space="preserve">"“制度落实措施”外其他要求响应内容符合招标文件要求)，本项得5分。</w:t>
            </w:r>
            <w:r>
              <w:rPr>
                <w:color w:val="000000" w:themeColor="text1"/>
                <w:highlight w:val="none"/>
              </w:rPr>
            </w:r>
            <w:r/>
          </w:p>
        </w:tc>
      </w:tr>
      <w:tr>
        <w:trPr>
          <w:trHeight w:val="14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2.11设备工具物资方案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评委根据投标文件对招标文件第四章“方案要求及商务要求”中“设备工具物资方案”要求的响应情况进行评审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（1）投标文件未符合“设备工具物资方案”中全部条款要求的，视为不符合招标文件，本项得0分。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（2）投标文件符合“设备工具物资方案”中全部条款要求的，视为符合招标文件，本项得3分。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（3）经评委认定，投标文件对“设备工具物资方案”中“配置的合理性、完整性及设施的先进性"“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"两项要求的响应内容全部优于招标文件要求的(前提是投标文件对“设备工具物资方案”中除“配置的合理性、完整性及设施的先进性"“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2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2.12配套延伸服务</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评委根据投标文件对招标文件第四章“方案要求及商务要求”中“配套延伸服务方案”要求的响应情况进行评审</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（1）投标文件未符合“配套延伸服务方案”中全部条款要求的，视为不符合招标文件，本项得0分。</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（2）投标文件符合“配套延伸服务方案”中全部条款要求的，视为符合招标文件，本项得1分。</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（3）经评委认定，投标文件对“配套延伸服务方案”中“业务范围扩展"“</w:t>
            </w:r>
            <w:r>
              <w:rPr>
                <w:rFonts w:ascii="Times New Roman" w:hAnsi="Times New Roman" w:eastAsia="Times New Roman" w:cs="Times New Roman"/>
                <w:color w:val="000000" w:themeColor="text1"/>
                <w:spacing w:val="1"/>
                <w:sz w:val="24"/>
                <w:highlight w:val="none"/>
              </w:rPr>
              <w:t xml:space="preserve">‌</w:t>
            </w:r>
            <w:r>
              <w:rPr>
                <w:rFonts w:ascii="SimSun" w:hAnsi="SimSun" w:eastAsia="SimSun" w:cs="SimSun"/>
                <w:color w:val="000000" w:themeColor="text1"/>
                <w:spacing w:val="1"/>
                <w:sz w:val="24"/>
                <w:highlight w:val="none"/>
              </w:rPr>
              <w:t xml:space="preserve">无偿提供便民延伸配套服务优化就医体验"“助力人文医院建设”三项要求的响应内容全部优于招标文件要求的(前提是投标文件对“</w:t>
            </w:r>
            <w:r>
              <w:rPr>
                <w:rFonts w:ascii="SimSun" w:hAnsi="SimSun" w:eastAsia="SimSun" w:cs="SimSun"/>
                <w:color w:val="000000" w:themeColor="text1"/>
                <w:spacing w:val="1"/>
                <w:sz w:val="24"/>
                <w:highlight w:val="none"/>
              </w:rPr>
              <w:t xml:space="preserve">配套延伸服务方案</w:t>
            </w:r>
            <w:r>
              <w:rPr>
                <w:rFonts w:ascii="SimSun" w:hAnsi="SimSun" w:eastAsia="SimSun" w:cs="SimSun"/>
                <w:color w:val="000000" w:themeColor="text1"/>
                <w:spacing w:val="1"/>
                <w:sz w:val="24"/>
                <w:highlight w:val="none"/>
              </w:rPr>
              <w:t xml:space="preserve">”中除“配置的合理性、完整性及设施的先进性"“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1"/>
                <w:sz w:val="24"/>
                <w:highlight w:val="none"/>
              </w:rPr>
              <w:t xml:space="preserve">外其他要求响应内容符合招标文件要求</w:t>
            </w:r>
            <w:r>
              <w:rPr>
                <w:rFonts w:ascii="SimSun" w:hAnsi="SimSun" w:eastAsia="SimSun" w:cs="SimSun"/>
                <w:color w:val="000000" w:themeColor="text1"/>
                <w:spacing w:val="1"/>
                <w:sz w:val="24"/>
                <w:highlight w:val="none"/>
              </w:rPr>
              <w:t xml:space="preserve">)，本项得3分。</w:t>
            </w:r>
            <w:r>
              <w:rPr>
                <w:color w:val="000000" w:themeColor="text1"/>
                <w:highlight w:val="none"/>
              </w:rPr>
            </w:r>
            <w:r/>
          </w:p>
        </w:tc>
      </w:tr>
      <w:tr>
        <w:trPr>
          <w:trHeight w:val="416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商务</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23分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3.1项目负责人的资质和经验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3.1.1项目</w:t>
            </w:r>
            <w:r>
              <w:rPr>
                <w:rFonts w:ascii="SimSun" w:hAnsi="SimSun" w:eastAsia="SimSun" w:cs="SimSun"/>
                <w:color w:val="000000" w:themeColor="text1"/>
                <w:spacing w:val="1"/>
                <w:sz w:val="24"/>
                <w:highlight w:val="none"/>
              </w:rPr>
              <w:t xml:space="preserve">负责人具有本</w:t>
            </w:r>
            <w:r>
              <w:rPr>
                <w:rFonts w:ascii="SimSun" w:hAnsi="SimSun" w:eastAsia="SimSun" w:cs="SimSun"/>
                <w:color w:val="000000" w:themeColor="text1"/>
                <w:sz w:val="24"/>
                <w:highlight w:val="none"/>
              </w:rPr>
              <w:t xml:space="preserve">科及以上学历每有一个证书计1.5分，满分1.</w:t>
            </w:r>
            <w:r>
              <w:rPr>
                <w:rFonts w:ascii="SimSun" w:hAnsi="SimSun" w:eastAsia="SimSun" w:cs="SimSun"/>
                <w:color w:val="000000" w:themeColor="text1"/>
                <w:spacing w:val="-7"/>
                <w:sz w:val="24"/>
                <w:highlight w:val="none"/>
              </w:rPr>
              <w:t xml:space="preserve">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3.1.2项目负责人应具有担任类似医院物业服务项目负责人三年及以上的经验资历，每提供一家类似医院物业服务项目且业主方认可其管理能力和经验的良好评价的计0.5分，最高得1.5分。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注：须提供投标人为其缴纳的近六个月（不含投标当月）任意一个月的社保证明材料并加盖公司公章、曾经服务过或正在服务的业主单位出具的工作资历证明材料、曾经服务过或正在服务的业主单位出具的满意评价证明材料。未提供不计分。</w:t>
            </w:r>
            <w:r>
              <w:rPr>
                <w:color w:val="000000" w:themeColor="text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3.2项目成员要求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8"/>
                <w:sz w:val="24"/>
                <w:highlight w:val="none"/>
              </w:rPr>
              <w:t xml:space="preserve">投</w:t>
            </w:r>
            <w:r>
              <w:rPr>
                <w:rFonts w:ascii="SimSun" w:hAnsi="SimSun" w:eastAsia="SimSun" w:cs="SimSun"/>
                <w:color w:val="000000" w:themeColor="text1"/>
                <w:sz w:val="24"/>
                <w:highlight w:val="none"/>
              </w:rPr>
              <w:t xml:space="preserve">标人拟派</w:t>
            </w:r>
            <w:r>
              <w:rPr>
                <w:rFonts w:ascii="SimSun" w:hAnsi="SimSun" w:eastAsia="SimSun" w:cs="SimSun"/>
                <w:color w:val="000000" w:themeColor="text1"/>
                <w:spacing w:val="9"/>
                <w:sz w:val="24"/>
                <w:highlight w:val="none"/>
              </w:rPr>
              <w:t xml:space="preserve">的项目成员(除项目负责人以外)：</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3.2.1持有</w:t>
            </w:r>
            <w:r>
              <w:rPr>
                <w:rFonts w:ascii="SimSun" w:hAnsi="SimSun" w:eastAsia="SimSun" w:cs="SimSun"/>
                <w:color w:val="000000" w:themeColor="text1"/>
                <w:sz w:val="24"/>
                <w:highlight w:val="none"/>
              </w:rPr>
              <w:t xml:space="preserve">大专及以上学历</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4"/>
                <w:sz w:val="24"/>
                <w:highlight w:val="none"/>
              </w:rPr>
              <w:t xml:space="preserve">每提供1人得0.5分，最高得1.5分，缺项不得分。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3.2.2持有高空作业证书，每提供1人得0.5分，最高得1.5分，缺项不得分。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3.2.3管理成员应具有担任类似医院物业服务中保洁或运送主管三年及以上的经验资历。每提供一个人在类似医院物业服务项目且业主方认可其管理能力和经验的良好评价的计0.5分，最高得1分。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注：须提供投标人为其缴纳的近六个月（不含投标当月）任意一个月的社保证明材料并加盖公司公章、曾经服务过或正在服务的业主单位出具的工作资历证明材料、曾经服务过或正在服务的业主单位出具的满意评价证明材料。未提供不计分。</w:t>
            </w:r>
            <w:r>
              <w:rPr>
                <w:color w:val="000000" w:themeColor="text1"/>
                <w:highlight w:val="none"/>
              </w:rPr>
            </w:r>
            <w:r/>
          </w:p>
        </w:tc>
      </w:tr>
      <w:tr>
        <w:trPr>
          <w:trHeight w:val="28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3.3经营业绩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4"/>
                <w:highlight w:val="none"/>
              </w:rPr>
              <w:t xml:space="preserve">3.3.1投标人自2023年以来服务过的类似医院物业服务项目（服务内容包含保洁、运送服务的），有</w:t>
            </w:r>
            <w:r>
              <w:rPr>
                <w:rFonts w:ascii="SimSun" w:hAnsi="SimSun" w:eastAsia="SimSun" w:cs="SimSun"/>
                <w:color w:val="000000" w:themeColor="text1"/>
                <w:spacing w:val="-14"/>
                <w:sz w:val="24"/>
                <w:highlight w:val="none"/>
              </w:rPr>
              <w:t xml:space="preserve">一个</w:t>
            </w:r>
            <w:r>
              <w:rPr>
                <w:rFonts w:ascii="SimSun" w:hAnsi="SimSun" w:eastAsia="SimSun" w:cs="SimSun"/>
                <w:color w:val="000000" w:themeColor="text1"/>
                <w:spacing w:val="-10"/>
                <w:sz w:val="24"/>
                <w:highlight w:val="none"/>
              </w:rPr>
              <w:t xml:space="preserve">得</w:t>
            </w:r>
            <w:r>
              <w:rPr>
                <w:rFonts w:ascii="SimSun" w:hAnsi="SimSun" w:eastAsia="SimSun" w:cs="SimSun"/>
                <w:color w:val="000000" w:themeColor="text1"/>
                <w:spacing w:val="-7"/>
                <w:sz w:val="24"/>
                <w:highlight w:val="none"/>
              </w:rPr>
              <w:t xml:space="preserve">2分，最高得10分。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注：需</w:t>
            </w:r>
            <w:r>
              <w:rPr>
                <w:rFonts w:ascii="SimSun" w:hAnsi="SimSun" w:eastAsia="SimSun" w:cs="SimSun"/>
                <w:color w:val="000000" w:themeColor="text1"/>
                <w:sz w:val="24"/>
                <w:highlight w:val="none"/>
              </w:rPr>
              <w:t xml:space="preserve">提供合同复印件及服务期内任意一个月服务费的进</w:t>
            </w:r>
            <w:r>
              <w:rPr>
                <w:rFonts w:ascii="SimSun" w:hAnsi="SimSun" w:eastAsia="SimSun" w:cs="SimSun"/>
                <w:color w:val="000000" w:themeColor="text1"/>
                <w:spacing w:val="-1"/>
                <w:sz w:val="24"/>
                <w:highlight w:val="none"/>
              </w:rPr>
              <w:t xml:space="preserve">账凭证及客户良</w:t>
            </w:r>
            <w:r>
              <w:rPr>
                <w:rFonts w:ascii="SimSun" w:hAnsi="SimSun" w:eastAsia="SimSun" w:cs="SimSun"/>
                <w:color w:val="000000" w:themeColor="text1"/>
                <w:sz w:val="24"/>
                <w:highlight w:val="none"/>
              </w:rPr>
              <w:t xml:space="preserve">好评价相关证明材料的复印件。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none"/>
              </w:rPr>
              <w:t xml:space="preserve">同一用户单位业绩不得重复计分。</w:t>
            </w:r>
            <w:r>
              <w:rPr>
                <w:color w:val="000000" w:themeColor="text1"/>
                <w:highlight w:val="none"/>
              </w:rPr>
            </w:r>
            <w:r/>
          </w:p>
        </w:tc>
      </w:tr>
      <w:tr>
        <w:trPr>
          <w:trHeight w:val="12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3.4信息化能力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投标人具有：</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3.4.1运送管理软件；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3.4.2保洁运行系统管理</w:t>
            </w:r>
            <w:r>
              <w:rPr>
                <w:rFonts w:ascii="SimSun" w:hAnsi="SimSun" w:eastAsia="SimSun" w:cs="SimSun"/>
                <w:color w:val="000000" w:themeColor="text1"/>
                <w:spacing w:val="5"/>
                <w:sz w:val="24"/>
                <w:highlight w:val="none"/>
              </w:rPr>
              <w:t xml:space="preserve">软件；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2"/>
                <w:sz w:val="24"/>
                <w:highlight w:val="none"/>
              </w:rPr>
              <w:t xml:space="preserve">3.4.3生活垃圾分类管理软件</w:t>
            </w:r>
            <w:r>
              <w:rPr>
                <w:rFonts w:ascii="SimSun" w:hAnsi="SimSun" w:eastAsia="SimSun" w:cs="SimSun"/>
                <w:color w:val="000000" w:themeColor="text1"/>
                <w:spacing w:val="5"/>
                <w:sz w:val="24"/>
                <w:highlight w:val="none"/>
              </w:rPr>
              <w:t xml:space="preserve">；</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2"/>
                <w:sz w:val="24"/>
                <w:highlight w:val="none"/>
              </w:rPr>
              <w:t xml:space="preserve">3.4.4陪检派单管理软件 </w:t>
            </w:r>
            <w:r>
              <w:rPr>
                <w:rFonts w:ascii="SimSun" w:hAnsi="SimSun" w:eastAsia="SimSun" w:cs="SimSun"/>
                <w:color w:val="000000" w:themeColor="text1"/>
                <w:spacing w:val="5"/>
                <w:sz w:val="24"/>
                <w:highlight w:val="none"/>
              </w:rPr>
              <w:t xml:space="preserve">等。</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投标人提供在医院运行的实</w:t>
            </w:r>
            <w:r>
              <w:rPr>
                <w:rFonts w:ascii="SimSun" w:hAnsi="SimSun" w:eastAsia="SimSun" w:cs="SimSun"/>
                <w:color w:val="000000" w:themeColor="text1"/>
                <w:spacing w:val="-15"/>
                <w:sz w:val="24"/>
                <w:highlight w:val="none"/>
              </w:rPr>
              <w:t xml:space="preserve">际</w:t>
            </w:r>
            <w:r>
              <w:rPr>
                <w:rFonts w:ascii="SimSun" w:hAnsi="SimSun" w:eastAsia="SimSun" w:cs="SimSun"/>
                <w:color w:val="000000" w:themeColor="text1"/>
                <w:spacing w:val="-12"/>
                <w:sz w:val="24"/>
                <w:highlight w:val="none"/>
              </w:rPr>
              <w:t xml:space="preserve">状况介绍</w:t>
            </w:r>
            <w:r>
              <w:rPr>
                <w:rFonts w:ascii="SimSun" w:hAnsi="SimSun" w:eastAsia="SimSun" w:cs="SimSun"/>
                <w:color w:val="000000" w:themeColor="text1"/>
                <w:spacing w:val="5"/>
                <w:sz w:val="24"/>
                <w:highlight w:val="none"/>
              </w:rPr>
              <w:t xml:space="preserve">（上述软件中任意一个软件）有一个得</w:t>
            </w:r>
            <w:r>
              <w:rPr>
                <w:rFonts w:ascii="SimSun" w:hAnsi="SimSun" w:eastAsia="SimSun" w:cs="SimSun"/>
                <w:color w:val="000000" w:themeColor="text1"/>
                <w:spacing w:val="-12"/>
                <w:sz w:val="24"/>
                <w:highlight w:val="none"/>
              </w:rPr>
              <w:t xml:space="preserve">1.5分，满分6分。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注：需提供上述软件运营方案、在所服务的案例医院运行</w:t>
            </w:r>
            <w:r>
              <w:rPr>
                <w:rFonts w:ascii="SimSun" w:hAnsi="SimSun" w:eastAsia="SimSun" w:cs="SimSun"/>
                <w:color w:val="000000" w:themeColor="text1"/>
                <w:spacing w:val="2"/>
                <w:sz w:val="24"/>
                <w:highlight w:val="none"/>
              </w:rPr>
              <w:t xml:space="preserve">6</w:t>
            </w:r>
            <w:r>
              <w:rPr>
                <w:rFonts w:ascii="SimSun" w:hAnsi="SimSun" w:eastAsia="SimSun" w:cs="SimSun"/>
                <w:color w:val="000000" w:themeColor="text1"/>
                <w:spacing w:val="7"/>
                <w:sz w:val="24"/>
                <w:highlight w:val="none"/>
              </w:rPr>
              <w:t xml:space="preserve">个</w:t>
            </w:r>
            <w:r>
              <w:rPr>
                <w:rFonts w:ascii="SimSun" w:hAnsi="SimSun" w:eastAsia="SimSun" w:cs="SimSun"/>
                <w:color w:val="000000" w:themeColor="text1"/>
                <w:spacing w:val="5"/>
                <w:sz w:val="24"/>
                <w:highlight w:val="none"/>
              </w:rPr>
              <w:t xml:space="preserve">月及以上的软件功能的数据截图及所服务医院出具的使用</w:t>
            </w:r>
            <w:r>
              <w:rPr>
                <w:rFonts w:ascii="SimSun" w:hAnsi="SimSun" w:eastAsia="SimSun" w:cs="SimSun"/>
                <w:color w:val="000000" w:themeColor="text1"/>
                <w:spacing w:val="-1"/>
                <w:sz w:val="24"/>
                <w:highlight w:val="none"/>
              </w:rPr>
              <w:t xml:space="preserve">证明材料并加盖医院</w:t>
            </w:r>
            <w:r>
              <w:rPr>
                <w:rFonts w:ascii="SimSun" w:hAnsi="SimSun" w:eastAsia="SimSun" w:cs="SimSun"/>
                <w:color w:val="000000" w:themeColor="text1"/>
                <w:sz w:val="24"/>
                <w:highlight w:val="none"/>
              </w:rPr>
              <w:t xml:space="preserve">公章或者部门章，不提供不得分。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r/>
          </w:p>
        </w:tc>
      </w:tr>
      <w:tr>
        <w:trPr>
          <w:trHeight w:val="556"/>
        </w:trPr>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1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合计</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65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100</w:t>
            </w:r>
            <w:r>
              <w:rPr>
                <w:color w:val="000000" w:themeColor="text1"/>
                <w:highlight w:val="none"/>
              </w:rPr>
            </w:r>
            <w:r/>
          </w:p>
        </w:tc>
      </w:tr>
    </w:tbl>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ascii="黑体" w:eastAsia="黑体"/>
          <w:bCs/>
          <w:sz w:val="44"/>
        </w:rPr>
      </w:pPr>
      <w:r>
        <w:rPr>
          <w:rFonts w:ascii="黑体" w:eastAsia="黑体"/>
          <w:bCs/>
          <w:sz w:val="4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27"/>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228" w:name="_Hlt26955039"/>
      <w:r/>
      <w:bookmarkEnd w:id="228"/>
      <w:r/>
      <w:bookmarkStart w:id="229" w:name="_Hlt26671244"/>
      <w:r/>
      <w:bookmarkEnd w:id="229"/>
      <w:r/>
      <w:bookmarkStart w:id="230" w:name="_Toc49090576"/>
      <w:r/>
      <w:bookmarkStart w:id="231" w:name="_Toc120614282"/>
      <w:r/>
      <w:bookmarkStart w:id="232" w:name="_Toc26554094"/>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9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9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9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9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r>
      <w:r/>
    </w:p>
    <w:p>
      <w:pPr>
        <w:pStyle w:val="895"/>
        <w:rPr>
          <w:rFonts w:ascii="宋体" w:hAnsi="宋体"/>
          <w:b/>
          <w:color w:val="ff0000"/>
          <w:sz w:val="24"/>
          <w:szCs w:val="24"/>
        </w:rPr>
      </w:pPr>
      <w:r>
        <w:rPr>
          <w:rFonts w:ascii="宋体" w:hAnsi="宋体"/>
          <w:b/>
          <w:color w:val="ff0000"/>
          <w:sz w:val="24"/>
          <w:szCs w:val="24"/>
        </w:rPr>
      </w:r>
      <w:r/>
    </w:p>
    <w:p>
      <w:pPr>
        <w:pStyle w:val="89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5"/>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5"/>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5"/>
        <w:ind w:firstLine="480"/>
        <w:rPr>
          <w:rFonts w:hint="eastAsia" w:ascii="宋体" w:hAnsi="宋体"/>
          <w:sz w:val="24"/>
          <w:szCs w:val="24"/>
        </w:rPr>
      </w:pPr>
      <w:r>
        <w:rPr>
          <w:rFonts w:hint="eastAsia" w:ascii="宋体" w:hAnsi="宋体"/>
          <w:sz w:val="24"/>
          <w:szCs w:val="24"/>
        </w:rPr>
      </w:r>
      <w:r/>
    </w:p>
    <w:p>
      <w:pPr>
        <w:pStyle w:val="895"/>
        <w:jc w:val="center"/>
        <w:rPr>
          <w:rFonts w:ascii="宋体" w:hAnsi="宋体"/>
          <w:b/>
          <w:sz w:val="24"/>
          <w:szCs w:val="24"/>
        </w:rPr>
      </w:pPr>
      <w:r>
        <w:rPr>
          <w:rFonts w:ascii="宋体" w:hAnsi="宋体"/>
          <w:b/>
          <w:sz w:val="24"/>
          <w:szCs w:val="24"/>
        </w:rPr>
      </w:r>
      <w:r/>
    </w:p>
    <w:p>
      <w:pPr>
        <w:pStyle w:val="895"/>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r>
      <w:tr>
        <w:trPr>
          <w:cantSplit/>
          <w:trHeight w:val="29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24" w:type="dxa"/>
            <w:vAlign w:val="center"/>
            <w:textDirection w:val="lrTb"/>
            <w:noWrap w:val="false"/>
          </w:tcPr>
          <w:p>
            <w:pPr>
              <w:pStyle w:val="895"/>
              <w:spacing w:line="0" w:lineRule="atLeast"/>
              <w:rPr>
                <w:rFonts w:hint="eastAsia" w:ascii="宋体" w:hAnsi="宋体" w:cs="宋体"/>
                <w:sz w:val="24"/>
                <w:szCs w:val="24"/>
              </w:rPr>
            </w:pPr>
            <w:r>
              <w:rPr>
                <w:rFonts w:hint="eastAsia" w:ascii="宋体" w:hAnsi="宋体" w:cs="宋体"/>
                <w:sz w:val="24"/>
                <w:szCs w:val="24"/>
              </w:rPr>
              <w:t xml:space="preserve">分项服务名称/货物名称</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型号</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交付期/服务期</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696"/>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highlight w:val="cyan"/>
              </w:rPr>
            </w:pPr>
            <w:r>
              <w:rPr>
                <w:rFonts w:hint="eastAsia" w:ascii="宋体" w:hAnsi="宋体" w:cs="宋体"/>
                <w:sz w:val="24"/>
                <w:szCs w:val="24"/>
                <w:highlight w:val="cyan"/>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861" w:type="dxa"/>
            <w:vAlign w:val="top"/>
            <w:textDirection w:val="lrTb"/>
            <w:noWrap w:val="false"/>
          </w:tcPr>
          <w:p>
            <w:pPr>
              <w:pStyle w:val="895"/>
              <w:spacing w:line="0" w:lineRule="atLeas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rPr>
                <w:rFonts w:hint="eastAsia" w:ascii="宋体" w:hAnsi="宋体" w:cs="宋体"/>
                <w:sz w:val="24"/>
                <w:szCs w:val="24"/>
                <w:u w:val="single"/>
              </w:rPr>
            </w:r>
            <w:r/>
          </w:p>
        </w:tc>
      </w:tr>
      <w:tr>
        <w:trPr>
          <w:cantSplit/>
          <w:trHeight w:val="757"/>
        </w:trPr>
        <w:tc>
          <w:tcPr>
            <w:gridSpan w:val="10"/>
            <w:tcW w:w="9861" w:type="dxa"/>
            <w:vAlign w:val="top"/>
            <w:textDirection w:val="lrTb"/>
            <w:noWrap w:val="false"/>
          </w:tcPr>
          <w:p>
            <w:pPr>
              <w:pStyle w:val="982"/>
              <w:spacing w:before="0" w:beforeAutospacing="0" w:after="0" w:afterAutospacing="0" w:line="0" w:lineRule="atLeast"/>
              <w:rPr>
                <w:rFonts w:hint="eastAsia"/>
              </w:rPr>
            </w:pPr>
            <w:r>
              <w:rPr>
                <w:rFonts w:hint="eastAsia"/>
              </w:rPr>
              <w:t xml:space="preserve">本采购包中提供的符合本国产品标准的货物成本之和占该采购包全部成本之和的比例为</w:t>
            </w:r>
            <w:r>
              <w:rPr>
                <w:rFonts w:hint="eastAsia"/>
                <w:u w:val="single"/>
              </w:rPr>
              <w:t xml:space="preserve">XX</w:t>
            </w:r>
            <w:r>
              <w:rPr>
                <w:rFonts w:hint="eastAsia"/>
              </w:rPr>
              <w:t xml:space="preserve">%。</w:t>
            </w:r>
            <w:r>
              <w:rPr>
                <w:rFonts w:hint="eastAsia"/>
              </w:rPr>
            </w:r>
            <w:r/>
          </w:p>
        </w:tc>
      </w:tr>
    </w:tbl>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cs="宋体"/>
          <w:sz w:val="24"/>
          <w:szCs w:val="24"/>
        </w:rPr>
      </w:r>
      <w:r/>
    </w:p>
    <w:p>
      <w:pPr>
        <w:pStyle w:val="895"/>
        <w:ind w:firstLine="482"/>
        <w:spacing w:line="560" w:lineRule="exact"/>
        <w:rPr>
          <w:rFonts w:hint="eastAsia" w:ascii="方正仿宋_GBK" w:hAnsi="方正仿宋_GBK" w:eastAsia="方正仿宋_GBK" w:cs="方正仿宋_GBK"/>
          <w:sz w:val="32"/>
          <w:szCs w:val="32"/>
          <w:highlight w:val="yellow"/>
        </w:rPr>
      </w:pPr>
      <w:r>
        <w:rPr>
          <w:rFonts w:hint="eastAsia" w:ascii="宋体" w:hAnsi="宋体" w:cs="宋体"/>
          <w:sz w:val="24"/>
          <w:szCs w:val="24"/>
        </w:rPr>
        <w:t xml:space="preserve">5.项目经办人可以根据项目实际需要对表格结构进行调整。</w:t>
      </w:r>
      <w:r>
        <w:rPr>
          <w:rFonts w:hint="eastAsia" w:ascii="方正仿宋_GBK" w:hAnsi="方正仿宋_GBK" w:eastAsia="方正仿宋_GBK" w:cs="方正仿宋_GBK"/>
          <w:sz w:val="32"/>
          <w:szCs w:val="32"/>
          <w:highlight w:val="yellow"/>
        </w:rPr>
      </w:r>
      <w:r/>
    </w:p>
    <w:p>
      <w:pPr>
        <w:pStyle w:val="895"/>
        <w:spacing w:line="0" w:lineRule="atLeast"/>
        <w:rPr>
          <w:rFonts w:ascii="宋体" w:hAnsi="宋体"/>
          <w:sz w:val="24"/>
          <w:szCs w:val="24"/>
        </w:rPr>
      </w:pPr>
      <w:r>
        <w:rPr>
          <w:rFonts w:ascii="宋体" w:hAnsi="宋体"/>
          <w:sz w:val="24"/>
          <w:szCs w:val="24"/>
        </w:rPr>
      </w:r>
      <w:r/>
    </w:p>
    <w:p>
      <w:pPr>
        <w:pStyle w:val="895"/>
        <w:spacing w:line="0" w:lineRule="atLeast"/>
        <w:rPr>
          <w:rFonts w:ascii="宋体" w:hAnsi="宋体"/>
          <w:sz w:val="24"/>
          <w:szCs w:val="24"/>
        </w:rPr>
      </w:pPr>
      <w:r>
        <w:rPr>
          <w:rFonts w:ascii="宋体" w:hAnsi="宋体"/>
          <w:sz w:val="24"/>
          <w:szCs w:val="24"/>
        </w:rPr>
      </w:r>
      <w:r/>
    </w:p>
    <w:p>
      <w:pPr>
        <w:pStyle w:val="895"/>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1.1</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1.3</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1.4</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分项总价1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分项名称</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数量</w:t>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单价</w:t>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 期 限</w:t>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总价2</w:t>
            </w:r>
            <w:r>
              <w:rPr>
                <w:highlight w:val="none"/>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要求说明</w:t>
            </w:r>
            <w:r>
              <w:rPr>
                <w:highlight w:val="none"/>
              </w:rPr>
            </w:r>
            <w:r/>
          </w:p>
        </w:tc>
      </w:tr>
      <w:tr>
        <w:trPr>
          <w:trHeight w:val="628"/>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社会保险</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费用</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人数</w:t>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元/月·人</w:t>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月</w:t>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元</w:t>
            </w:r>
            <w:r>
              <w:rPr>
                <w:highlight w:val="none"/>
              </w:rPr>
            </w:r>
            <w:r/>
          </w:p>
        </w:tc>
        <w:tc>
          <w:tcPr>
            <w:tcW w:w="2885" w:type="dxa"/>
            <w:vAlign w:val="center"/>
            <w:vMerge w:val="continue"/>
            <w:textDirection w:val="lrTb"/>
            <w:noWrap w:val="false"/>
          </w:tcPr>
          <w:p>
            <w:pPr>
              <w:pStyle w:val="895"/>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2.1</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highlight w:val="none"/>
              </w:rPr>
            </w:pPr>
            <w:r>
              <w:rPr>
                <w:rFonts w:hint="eastAsia" w:ascii="宋体" w:hAnsi="宋体" w:cs="宋体"/>
                <w:highlight w:val="none"/>
              </w:rPr>
              <w:t xml:space="preserve">该人员正常缴纳社会保险/</w:t>
            </w:r>
            <w:r>
              <w:rPr>
                <w:highlight w:val="none"/>
              </w:rPr>
            </w:r>
            <w:r/>
          </w:p>
          <w:p>
            <w:pPr>
              <w:pStyle w:val="895"/>
              <w:jc w:val="left"/>
              <w:spacing w:line="0" w:lineRule="atLeast"/>
              <w:rPr>
                <w:rFonts w:hint="eastAsia" w:ascii="宋体" w:hAnsi="宋体" w:cs="宋体"/>
                <w:highlight w:val="none"/>
              </w:rPr>
            </w:pPr>
            <w:r>
              <w:rPr>
                <w:rFonts w:hint="eastAsia" w:ascii="宋体" w:hAnsi="宋体" w:cs="宋体"/>
                <w:iCs/>
                <w:highlight w:val="none"/>
              </w:rPr>
              <w:t xml:space="preserve">如该人员依法享受社会保险费用缴纳减免政策，请在此框内进行说明</w:t>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2.3</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textDirection w:val="lrTb"/>
            <w:noWrap w:val="false"/>
          </w:tcPr>
          <w:p>
            <w:pPr>
              <w:pStyle w:val="895"/>
              <w:jc w:val="left"/>
              <w:spacing w:line="0" w:lineRule="atLeast"/>
              <w:widowControl/>
              <w:rPr>
                <w:rFonts w:hint="eastAsia" w:ascii="宋体" w:hAnsi="宋体" w:cs="宋体"/>
                <w:i/>
                <w:sz w:val="24"/>
                <w:szCs w:val="24"/>
                <w:highlight w:val="none"/>
                <w:u w:val="single"/>
              </w:rPr>
            </w:pPr>
            <w:r>
              <w:rPr>
                <w:rFonts w:hint="eastAsia" w:ascii="宋体" w:hAnsi="宋体" w:cs="宋体"/>
                <w:i/>
                <w:sz w:val="24"/>
                <w:szCs w:val="24"/>
                <w:highlight w:val="none"/>
                <w:u w:val="single"/>
              </w:rPr>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261"/>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分项总价2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95"/>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95"/>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95"/>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9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5"/>
      </w:pPr>
      <w:r/>
      <w:r/>
    </w:p>
    <w:p>
      <w:pPr>
        <w:pStyle w:val="895"/>
        <w:spacing w:line="0" w:lineRule="atLeast"/>
        <w:rPr>
          <w:rFonts w:hint="eastAsia" w:ascii="宋体" w:hAnsi="宋体"/>
          <w:sz w:val="24"/>
          <w:szCs w:val="24"/>
        </w:rPr>
      </w:pPr>
      <w:r>
        <w:rPr>
          <w:rFonts w:hint="eastAsia" w:ascii="宋体" w:hAnsi="宋体"/>
          <w:sz w:val="24"/>
          <w:szCs w:val="24"/>
        </w:rPr>
      </w:r>
      <w:r/>
    </w:p>
    <w:p>
      <w:pPr>
        <w:pStyle w:val="89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5"/>
        <w:rPr>
          <w:rFonts w:hint="eastAsia" w:ascii="宋体" w:hAnsi="宋体"/>
          <w:b/>
          <w:sz w:val="24"/>
        </w:rPr>
      </w:pPr>
      <w:r>
        <w:rPr>
          <w:rFonts w:hint="eastAsia" w:ascii="宋体" w:hAnsi="宋体"/>
          <w:b/>
          <w:sz w:val="24"/>
        </w:rPr>
      </w:r>
      <w:r/>
    </w:p>
    <w:p>
      <w:pPr>
        <w:pStyle w:val="895"/>
        <w:ind w:firstLine="480"/>
        <w:spacing w:line="440" w:lineRule="exact"/>
        <w:rPr>
          <w:rFonts w:ascii="宋体" w:hAnsi="宋体"/>
          <w:sz w:val="24"/>
        </w:rPr>
      </w:pPr>
      <w:r>
        <w:rPr>
          <w:rFonts w:ascii="宋体" w:hAnsi="宋体"/>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5"/>
        <w:ind w:left="480"/>
        <w:rPr>
          <w:rFonts w:ascii="宋体" w:hAnsi="宋体"/>
          <w:b/>
          <w:color w:val="000000"/>
          <w:sz w:val="24"/>
        </w:rPr>
      </w:pPr>
      <w:r>
        <w:rPr>
          <w:rFonts w:ascii="宋体" w:hAnsi="宋体"/>
          <w:b/>
          <w:color w:val="000000"/>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5"/>
        <w:jc w:val="center"/>
        <w:spacing w:line="460" w:lineRule="exact"/>
        <w:rPr>
          <w:rFonts w:ascii="宋体" w:hAnsi="宋体"/>
          <w:b/>
          <w:bCs/>
          <w:color w:val="000000"/>
          <w:sz w:val="24"/>
        </w:rPr>
      </w:pPr>
      <w:r>
        <w:rPr>
          <w:rFonts w:ascii="宋体" w:hAnsi="宋体"/>
          <w:b/>
          <w:bCs/>
          <w:color w:val="000000"/>
          <w:sz w:val="24"/>
        </w:rPr>
      </w:r>
      <w:r/>
    </w:p>
    <w:p>
      <w:pPr>
        <w:pStyle w:val="89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5"/>
        <w:ind w:left="480"/>
        <w:rPr>
          <w:rFonts w:ascii="宋体" w:hAnsi="宋体"/>
          <w:b/>
          <w:color w:val="ff0000"/>
          <w:sz w:val="24"/>
        </w:rPr>
      </w:pPr>
      <w:r>
        <w:rPr>
          <w:rFonts w:ascii="宋体" w:hAnsi="宋体"/>
          <w:b/>
          <w:color w:val="ff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hint="eastAsia" w:ascii="宋体" w:hAnsi="宋体"/>
          <w:b/>
          <w:color w:val="000000"/>
          <w:sz w:val="24"/>
        </w:rPr>
      </w:pPr>
      <w:r>
        <w:rPr>
          <w:rFonts w:hint="eastAsia" w:ascii="宋体" w:hAnsi="宋体"/>
          <w:b/>
          <w:color w:val="000000"/>
          <w:sz w:val="24"/>
        </w:rPr>
      </w:r>
      <w:r/>
    </w:p>
    <w:p>
      <w:pPr>
        <w:pStyle w:val="89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5"/>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0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0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9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spacing w:line="460" w:lineRule="exact"/>
        <w:rPr>
          <w:rFonts w:hint="eastAsia" w:ascii="黑体" w:hAnsi="黑体" w:eastAsia="黑体"/>
          <w:b/>
          <w:sz w:val="32"/>
          <w:szCs w:val="32"/>
        </w:rPr>
      </w:pPr>
      <w:r/>
      <w:bookmarkEnd w:id="230"/>
      <w:r/>
      <w:bookmarkEnd w:id="231"/>
      <w:r/>
      <w:bookmarkEnd w:id="232"/>
      <w:r/>
      <w:bookmarkStart w:id="233" w:name="_Toc120614284"/>
      <w:r>
        <w:rPr>
          <w:rFonts w:hint="eastAsia" w:ascii="黑体" w:hAnsi="黑体" w:eastAsia="黑体"/>
          <w:b/>
          <w:sz w:val="32"/>
          <w:szCs w:val="32"/>
        </w:rPr>
      </w:r>
      <w:r/>
    </w:p>
    <w:p>
      <w:pPr>
        <w:pStyle w:val="89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5"/>
        <w:ind w:right="720"/>
        <w:spacing w:line="400" w:lineRule="exact"/>
        <w:rPr>
          <w:rFonts w:hint="eastAsia" w:ascii="宋体" w:hAnsi="宋体"/>
          <w:sz w:val="24"/>
          <w:szCs w:val="24"/>
        </w:rPr>
      </w:pP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5"/>
        <w:ind w:firstLine="480"/>
        <w:spacing w:line="0" w:lineRule="atLeast"/>
        <w:rPr>
          <w:rFonts w:hint="eastAsia" w:ascii="宋体" w:hAnsi="宋体"/>
          <w:sz w:val="24"/>
        </w:rPr>
      </w:pP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9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9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ind w:firstLine="645"/>
        <w:spacing w:line="0" w:lineRule="atLeast"/>
        <w:rPr>
          <w:rFonts w:hint="eastAsia" w:ascii="宋体" w:hAnsi="宋体"/>
          <w:sz w:val="24"/>
        </w:rPr>
      </w:pPr>
      <w:r>
        <w:rPr>
          <w:rFonts w:hint="eastAsia" w:ascii="宋体" w:hAnsi="宋体"/>
          <w:sz w:val="24"/>
        </w:rPr>
      </w:r>
      <w:r/>
    </w:p>
    <w:p>
      <w:pPr>
        <w:pStyle w:val="89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5"/>
        <w:ind w:firstLine="645"/>
        <w:spacing w:line="560" w:lineRule="exact"/>
        <w:rPr>
          <w:rFonts w:hint="eastAsia" w:ascii="宋体" w:hAnsi="宋体"/>
          <w:sz w:val="24"/>
        </w:rPr>
      </w:pPr>
      <w:r>
        <w:rPr>
          <w:rFonts w:hint="eastAsia" w:ascii="宋体" w:hAnsi="宋体"/>
          <w:sz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color w:val="ff0000"/>
          <w:sz w:val="24"/>
          <w:szCs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rPr>
          <w:rFonts w:hint="eastAsia"/>
        </w:rPr>
      </w:pPr>
      <w:r>
        <w:rPr>
          <w:rFonts w:hint="eastAsia"/>
        </w:rPr>
      </w:r>
      <w:r/>
    </w:p>
    <w:p>
      <w:pPr>
        <w:pStyle w:val="895"/>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82"/>
        <w:ind w:firstLine="480"/>
        <w:spacing w:before="30" w:beforeAutospacing="0" w:after="30" w:afterAutospacing="0" w:line="560" w:lineRule="exact"/>
        <w:rPr>
          <w:rFonts w:hint="eastAsia"/>
        </w:rPr>
      </w:pPr>
      <w:r>
        <w:rPr>
          <w:rFonts w:hint="eastAsia"/>
        </w:rPr>
        <w:t xml:space="preserve">1.</w:t>
      </w:r>
      <w:r>
        <w:rPr>
          <w:rStyle w:val="912"/>
          <w:rFonts w:hint="eastAsia"/>
        </w:rPr>
        <w:t xml:space="preserve">（产品名称1）</w:t>
      </w:r>
      <w:r>
        <w:rPr>
          <w:rStyle w:val="912"/>
          <w:rFonts w:hint="eastAsia"/>
          <w:vertAlign w:val="superscript"/>
        </w:rPr>
        <w:t xml:space="preserve">1</w:t>
      </w:r>
      <w:r>
        <w:rPr>
          <w:rFonts w:hint="eastAsia"/>
        </w:rPr>
        <w:t xml:space="preserve">，生产厂为</w:t>
      </w:r>
      <w:r>
        <w:rPr>
          <w:rStyle w:val="912"/>
          <w:rFonts w:hint="eastAsia"/>
        </w:rPr>
        <w:t xml:space="preserve">（厂名）</w:t>
      </w:r>
      <w:r>
        <w:rPr>
          <w:rStyle w:val="912"/>
          <w:rFonts w:hint="eastAsia"/>
          <w:vertAlign w:val="superscript"/>
        </w:rPr>
        <w:t xml:space="preserve">2</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Style w:val="912"/>
          <w:rFonts w:hint="eastAsia"/>
          <w:vertAlign w:val="superscript"/>
        </w:rPr>
        <w:t xml:space="preserve">3</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4</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5</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2.</w:t>
      </w:r>
      <w:r>
        <w:rPr>
          <w:rStyle w:val="912"/>
          <w:rFonts w:hint="eastAsia"/>
        </w:rPr>
        <w:t xml:space="preserve">（产品名称2）</w:t>
      </w:r>
      <w:r>
        <w:rPr>
          <w:rFonts w:hint="eastAsia"/>
        </w:rPr>
        <w:t xml:space="preserve">，生产厂为</w:t>
      </w:r>
      <w:r>
        <w:rPr>
          <w:rStyle w:val="912"/>
          <w:rFonts w:hint="eastAsia"/>
        </w:rPr>
        <w:t xml:space="preserve">（厂名）</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w:t>
      </w:r>
      <w:r>
        <w:rPr>
          <w:rFonts w:hint="eastAsia"/>
        </w:rPr>
      </w:r>
      <w:r/>
    </w:p>
    <w:p>
      <w:pPr>
        <w:pStyle w:val="982"/>
        <w:ind w:firstLine="480"/>
        <w:spacing w:before="30" w:beforeAutospacing="0" w:after="30" w:afterAutospacing="0" w:line="560" w:lineRule="exact"/>
        <w:rPr>
          <w:rFonts w:hint="eastAsia"/>
        </w:rPr>
      </w:pPr>
      <w:r>
        <w:rPr>
          <w:rFonts w:hint="eastAsia"/>
        </w:rPr>
        <w:t xml:space="preserve">本公司（单位）对上述声明内容的真实性负责。如有虚假，愿承担相应法律责任。</w:t>
      </w:r>
      <w:r>
        <w:rPr>
          <w:rFonts w:hint="eastAsia"/>
        </w:rPr>
      </w:r>
      <w:r/>
    </w:p>
    <w:p>
      <w:pPr>
        <w:pStyle w:val="982"/>
        <w:ind w:firstLine="480"/>
        <w:spacing w:before="30" w:beforeAutospacing="0" w:after="30" w:afterAutospacing="0" w:line="560" w:lineRule="exact"/>
        <w:rPr>
          <w:rFonts w:hint="eastAsia"/>
        </w:rPr>
      </w:pPr>
      <w:r>
        <w:rPr>
          <w:rFonts w:hint="eastAsia"/>
        </w:rPr>
      </w:r>
      <w:r/>
    </w:p>
    <w:p>
      <w:pPr>
        <w:pStyle w:val="982"/>
        <w:ind w:firstLine="480"/>
        <w:jc w:val="right"/>
        <w:spacing w:before="30" w:beforeAutospacing="0" w:after="30" w:afterAutospacing="0" w:line="560" w:lineRule="exact"/>
        <w:rPr>
          <w:rFonts w:hint="eastAsia"/>
        </w:rPr>
      </w:pPr>
      <w:r>
        <w:rPr>
          <w:rFonts w:hint="eastAsia"/>
        </w:rPr>
        <w:t xml:space="preserve">    公司（单位）名称（加盖CA电子公章）：　        </w:t>
      </w:r>
      <w:r>
        <w:rPr>
          <w:rFonts w:hint="eastAsia"/>
        </w:rPr>
      </w:r>
      <w:r/>
    </w:p>
    <w:p>
      <w:pPr>
        <w:pStyle w:val="982"/>
        <w:ind w:firstLine="480"/>
        <w:jc w:val="center"/>
        <w:spacing w:before="30" w:beforeAutospacing="0" w:after="30" w:afterAutospacing="0" w:line="560" w:lineRule="exact"/>
        <w:rPr>
          <w:rFonts w:hint="eastAsia"/>
        </w:rPr>
      </w:pPr>
      <w:r>
        <w:rPr>
          <w:rFonts w:hint="eastAsia"/>
        </w:rPr>
        <w:t xml:space="preserve">          日期：___年____月____日        </w:t>
      </w:r>
      <w:r>
        <w:rPr>
          <w:rFonts w:hint="eastAsia"/>
        </w:rPr>
      </w:r>
      <w:r/>
    </w:p>
    <w:p>
      <w:pPr>
        <w:pStyle w:val="982"/>
        <w:ind w:firstLine="480"/>
        <w:spacing w:before="30" w:beforeAutospacing="0" w:after="30" w:afterAutospacing="0" w:line="560" w:lineRule="exact"/>
        <w:rPr>
          <w:rFonts w:hint="eastAsia"/>
        </w:rPr>
      </w:pPr>
      <w:r>
        <w:rPr>
          <w:rFonts w:hint="eastAsia"/>
        </w:rPr>
        <w:t xml:space="preserve">__________________</w:t>
      </w:r>
      <w:r>
        <w:rPr>
          <w:rFonts w:hint="eastAsia"/>
        </w:rPr>
      </w:r>
      <w:r/>
    </w:p>
    <w:p>
      <w:pPr>
        <w:pStyle w:val="982"/>
        <w:ind w:firstLine="480"/>
        <w:spacing w:before="30" w:beforeAutospacing="0" w:after="30" w:afterAutospacing="0" w:line="560" w:lineRule="exact"/>
        <w:rPr>
          <w:rFonts w:hint="eastAsia"/>
        </w:rPr>
      </w:pPr>
      <w:r>
        <w:rPr>
          <w:rFonts w:hint="eastAsia"/>
        </w:rPr>
        <w:t xml:space="preserve">1.产品如有型号，请在“产品名称”栏一并填写。</w:t>
      </w:r>
      <w:r>
        <w:rPr>
          <w:rFonts w:hint="eastAsia"/>
        </w:rPr>
      </w:r>
      <w:r/>
    </w:p>
    <w:p>
      <w:pPr>
        <w:pStyle w:val="982"/>
        <w:ind w:firstLine="480"/>
        <w:spacing w:before="30" w:beforeAutospacing="0" w:after="30" w:afterAutospacing="0" w:line="560" w:lineRule="exact"/>
        <w:rPr>
          <w:rFonts w:hint="eastAsia"/>
        </w:rPr>
      </w:pPr>
      <w:r>
        <w:rPr>
          <w:rFonts w:hint="eastAsia"/>
        </w:rPr>
        <w:t xml:space="preserve">2.生产厂名与厂址应与生产厂营业执照载明的相关信息保持一致。</w:t>
      </w:r>
      <w:r>
        <w:rPr>
          <w:rFonts w:hint="eastAsia"/>
        </w:rPr>
      </w:r>
      <w:r/>
    </w:p>
    <w:p>
      <w:pPr>
        <w:pStyle w:val="982"/>
        <w:ind w:firstLine="480"/>
        <w:spacing w:before="30" w:beforeAutospacing="0" w:after="30" w:afterAutospacing="0" w:line="560" w:lineRule="exact"/>
        <w:rPr>
          <w:rFonts w:hint="eastAsia"/>
        </w:rPr>
      </w:pPr>
      <w:r>
        <w:rPr>
          <w:rFonts w:hint="eastAsia"/>
        </w:rPr>
        <w:t xml:space="preserve">3.该产品的中国境内生产的组件成本占比相关要求实施前，“规定比例”栏可不填，下同。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4.该产品的关键组件要求实施前，“关键组件”栏可不填，下同。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5.该产品的关键工序要求实施前，“关键工序”栏可不填，下同。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6.《声明函》中标注“</w:t>
      </w:r>
      <w:r>
        <w:rPr>
          <w:rFonts w:hint="eastAsia"/>
          <w:u w:val="single"/>
        </w:rPr>
        <w:t xml:space="preserve">  </w:t>
      </w:r>
      <w:r>
        <w:rPr>
          <w:rStyle w:val="912"/>
          <w:rFonts w:hint="eastAsia"/>
        </w:rPr>
        <w:t xml:space="preserve">/  </w:t>
      </w:r>
      <w:r>
        <w:rPr>
          <w:rFonts w:hint="eastAsia"/>
        </w:rPr>
        <w:t xml:space="preserve">”的地方无需填写。</w:t>
      </w:r>
      <w:r>
        <w:rPr>
          <w:rFonts w:hint="eastAsia"/>
        </w:rPr>
      </w:r>
      <w:r/>
    </w:p>
    <w:p>
      <w:pPr>
        <w:pStyle w:val="895"/>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宋体" w:hAnsi="宋体"/>
          <w:b/>
          <w:sz w:val="24"/>
          <w:szCs w:val="24"/>
        </w:rPr>
      </w:pPr>
      <w:r>
        <w:rPr>
          <w:rFonts w:hint="eastAsia" w:ascii="宋体" w:hAnsi="宋体"/>
          <w:b/>
          <w:sz w:val="24"/>
          <w:szCs w:val="24"/>
        </w:rPr>
        <w:t xml:space="preserve">附件14  提供服务的人员均为订立劳动合同的从业人员的书面声明</w:t>
      </w: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本企业(本联合体，如项目采购包接受联合体参加的)参加江苏省政府采购中心组织的项目编号为</w:t>
      </w:r>
      <w:r>
        <w:rPr>
          <w:rFonts w:ascii="Times New Roman" w:hAnsi="Times New Roman" w:cs="Times New Roman"/>
        </w:rPr>
        <w:t xml:space="preserve">JSZC-320000-SCZX-G(C、T、K)20XX-XXXX</w:t>
      </w:r>
      <w:r>
        <w:rPr>
          <w:rFonts w:hint="eastAsia"/>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rPr>
      </w:r>
      <w:r/>
    </w:p>
    <w:p>
      <w:pPr>
        <w:pStyle w:val="982"/>
        <w:ind w:firstLine="480"/>
        <w:spacing w:before="0" w:beforeAutospacing="0" w:after="0" w:afterAutospacing="0" w:line="560" w:lineRule="exact"/>
        <w:rPr>
          <w:rFonts w:hint="eastAsia"/>
        </w:rPr>
      </w:pPr>
      <w:r>
        <w:rPr>
          <w:rFonts w:hint="eastAsia"/>
        </w:rPr>
        <w:t xml:space="preserve">本企业(联合体)对上述声明的真实性负责。如有虚假，将依法承担相应责任。</w:t>
      </w:r>
      <w:r>
        <w:rPr>
          <w:rFonts w:hint="eastAsia"/>
        </w:rPr>
      </w:r>
      <w:r/>
    </w:p>
    <w:p>
      <w:pPr>
        <w:pStyle w:val="982"/>
        <w:ind w:firstLine="480"/>
        <w:spacing w:before="0" w:beforeAutospacing="0" w:after="0" w:afterAutospacing="0" w:line="560" w:lineRule="exact"/>
        <w:rPr>
          <w:rFonts w:hint="eastAsia"/>
        </w:rPr>
      </w:pPr>
      <w:r>
        <w:rPr>
          <w:rFonts w:hint="eastAsia"/>
        </w:rPr>
      </w:r>
      <w:r/>
    </w:p>
    <w:p>
      <w:pPr>
        <w:pStyle w:val="982"/>
        <w:ind w:firstLine="482"/>
        <w:spacing w:before="0" w:beforeAutospacing="0" w:after="0" w:afterAutospacing="0" w:line="560" w:lineRule="exact"/>
        <w:rPr>
          <w:rFonts w:hint="eastAsia"/>
          <w:b/>
          <w:bCs/>
        </w:rPr>
      </w:pPr>
      <w:r>
        <w:rPr>
          <w:rFonts w:hint="eastAsia"/>
          <w:b/>
          <w:bCs/>
        </w:rPr>
        <w:t xml:space="preserve">注:专门面向中小微型企业采购的采购项目采购包，投标人(供应商)未提供该书面声明的，投标(响应)无效。</w:t>
      </w:r>
      <w:r>
        <w:rPr>
          <w:rFonts w:hint="eastAsia"/>
          <w:b/>
          <w:bCs/>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rPr>
          <w:rFonts w:hint="eastAsia" w:ascii="黑体" w:hAnsi="黑体" w:eastAsia="黑体"/>
          <w:b/>
          <w:sz w:val="32"/>
          <w:szCs w:val="32"/>
        </w:rPr>
      </w:pPr>
      <w:r>
        <w:rPr>
          <w:rFonts w:hint="eastAsia" w:ascii="黑体" w:hAnsi="黑体" w:eastAsia="黑体"/>
          <w:b/>
          <w:sz w:val="32"/>
          <w:szCs w:val="32"/>
        </w:rPr>
      </w:r>
      <w:r/>
    </w:p>
    <w:p>
      <w:pPr>
        <w:pStyle w:val="895"/>
        <w:rPr>
          <w:rFonts w:hint="eastAsia" w:ascii="宋体" w:hAnsi="宋体" w:cs="仿宋"/>
          <w:b/>
          <w:bCs/>
          <w:sz w:val="32"/>
          <w:szCs w:val="32"/>
        </w:rPr>
      </w:pPr>
      <w:r/>
      <w:bookmarkEnd w:id="189"/>
      <w:r/>
      <w:bookmarkEnd w:id="190"/>
      <w:r/>
      <w:bookmarkEnd w:id="233"/>
      <w:r>
        <w:rPr>
          <w:rFonts w:hint="eastAsia" w:ascii="宋体" w:hAnsi="宋体" w:cs="仿宋"/>
          <w:b/>
          <w:bCs/>
          <w:sz w:val="32"/>
          <w:szCs w:val="32"/>
        </w:rPr>
      </w:r>
      <w:r/>
    </w:p>
    <w:p>
      <w:pPr>
        <w:pStyle w:val="89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60"/>
        <w:rPr>
          <w:rFonts w:hint="eastAsia"/>
          <w:sz w:val="24"/>
          <w:szCs w:val="24"/>
        </w:rPr>
      </w:pPr>
      <w:r>
        <w:rPr>
          <w:rFonts w:hint="eastAsia"/>
          <w:sz w:val="24"/>
          <w:szCs w:val="24"/>
        </w:rPr>
      </w:r>
      <w:r/>
    </w:p>
    <w:p>
      <w:pPr>
        <w:pStyle w:val="96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Sun">
    <w:panose1 w:val="02010600030101010101"/>
  </w:font>
  <w:font w:name="仿宋">
    <w:panose1 w:val="02010609060101010101"/>
  </w:font>
  <w:font w:name="FangSong">
    <w:panose1 w:val="02010609060101010101"/>
  </w:font>
  <w:font w:name="华文新魏">
    <w:panose1 w:val="02010800040101010101"/>
  </w:font>
  <w:font w:name="方正魏碑_GBK">
    <w:panose1 w:val="020B0503020202020204"/>
  </w:font>
  <w:font w:name="Showcard Gothic">
    <w:panose1 w:val="04020904020102020604"/>
  </w:font>
  <w:font w:name="KaiTi">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30</w:t>
    </w:r>
    <w:r>
      <w:rPr>
        <w:rFonts w:ascii="宋体" w:hAnsi="宋体"/>
      </w:rPr>
      <w:fldChar w:fldCharType="end"/>
    </w:r>
    <w:r>
      <w:rPr>
        <w:rStyle w:val="913"/>
        <w:rFonts w:ascii="宋体" w:hAnsi="宋体"/>
      </w:rPr>
    </w:r>
    <w:r/>
  </w:p>
  <w:p>
    <w:pPr>
      <w:pStyle w:val="95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rPr>
        <w:rStyle w:val="913"/>
      </w:rPr>
    </w:r>
    <w:r/>
  </w:p>
  <w:p>
    <w:pPr>
      <w:pStyle w:val="95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7"/>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5">
    <w:multiLevelType w:val="hybridMultilevel"/>
    <w:lvl w:ilvl="0">
      <w:start w:val="1"/>
      <w:numFmt w:val="ideographEnclosedCircle"/>
      <w:isLgl w:val="false"/>
      <w:suff w:val="tab"/>
      <w:lvlText w:val="%1"/>
      <w:lvlJc w:val="left"/>
      <w:pPr>
        <w:pStyle w:val="895"/>
        <w:ind w:left="780" w:hanging="360"/>
      </w:pPr>
      <w:rPr>
        <w:color w:val="000000"/>
      </w:rPr>
    </w:lvl>
    <w:lvl w:ilvl="1">
      <w:start w:val="1"/>
      <w:numFmt w:val="lowerLetter"/>
      <w:isLgl w:val="false"/>
      <w:suff w:val="tab"/>
      <w:lvlText w:val="%2)"/>
      <w:lvlJc w:val="left"/>
      <w:pPr>
        <w:pStyle w:val="895"/>
        <w:ind w:left="1260" w:hanging="420"/>
      </w:pPr>
    </w:lvl>
    <w:lvl w:ilvl="2">
      <w:start w:val="1"/>
      <w:numFmt w:val="lowerRoman"/>
      <w:isLgl w:val="false"/>
      <w:suff w:val="tab"/>
      <w:lvlText w:val="%3."/>
      <w:lvlJc w:val="right"/>
      <w:pPr>
        <w:pStyle w:val="895"/>
        <w:ind w:left="1680" w:hanging="420"/>
      </w:pPr>
    </w:lvl>
    <w:lvl w:ilvl="3">
      <w:start w:val="1"/>
      <w:numFmt w:val="decimal"/>
      <w:isLgl w:val="false"/>
      <w:suff w:val="tab"/>
      <w:lvlText w:val="%4."/>
      <w:lvlJc w:val="left"/>
      <w:pPr>
        <w:pStyle w:val="895"/>
        <w:ind w:left="2100" w:hanging="420"/>
      </w:pPr>
    </w:lvl>
    <w:lvl w:ilvl="4">
      <w:start w:val="1"/>
      <w:numFmt w:val="lowerLetter"/>
      <w:isLgl w:val="false"/>
      <w:suff w:val="tab"/>
      <w:lvlText w:val="%5)"/>
      <w:lvlJc w:val="left"/>
      <w:pPr>
        <w:pStyle w:val="895"/>
        <w:ind w:left="2520" w:hanging="420"/>
      </w:pPr>
    </w:lvl>
    <w:lvl w:ilvl="5">
      <w:start w:val="1"/>
      <w:numFmt w:val="lowerRoman"/>
      <w:isLgl w:val="false"/>
      <w:suff w:val="tab"/>
      <w:lvlText w:val="%6."/>
      <w:lvlJc w:val="right"/>
      <w:pPr>
        <w:pStyle w:val="895"/>
        <w:ind w:left="2940" w:hanging="420"/>
      </w:pPr>
    </w:lvl>
    <w:lvl w:ilvl="6">
      <w:start w:val="1"/>
      <w:numFmt w:val="decimal"/>
      <w:isLgl w:val="false"/>
      <w:suff w:val="tab"/>
      <w:lvlText w:val="%7."/>
      <w:lvlJc w:val="left"/>
      <w:pPr>
        <w:pStyle w:val="895"/>
        <w:ind w:left="3360" w:hanging="420"/>
      </w:pPr>
    </w:lvl>
    <w:lvl w:ilvl="7">
      <w:start w:val="1"/>
      <w:numFmt w:val="lowerLetter"/>
      <w:isLgl w:val="false"/>
      <w:suff w:val="tab"/>
      <w:lvlText w:val="%8)"/>
      <w:lvlJc w:val="left"/>
      <w:pPr>
        <w:pStyle w:val="895"/>
        <w:ind w:left="3780" w:hanging="420"/>
      </w:pPr>
    </w:lvl>
    <w:lvl w:ilvl="8">
      <w:start w:val="1"/>
      <w:numFmt w:val="lowerRoman"/>
      <w:isLgl w:val="false"/>
      <w:suff w:val="tab"/>
      <w:lvlText w:val="%9."/>
      <w:lvlJc w:val="right"/>
      <w:pPr>
        <w:pStyle w:val="895"/>
        <w:ind w:left="4200" w:hanging="420"/>
      </w:pPr>
    </w:lvl>
  </w:abstractNum>
  <w:abstractNum w:abstractNumId="6">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7"/>
  </w:num>
  <w:num w:numId="5">
    <w:abstractNumId w:val="5"/>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84"/>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41"/>
    <w:qFormat/>
    <w:pPr>
      <w:jc w:val="center"/>
      <w:keepNext/>
      <w:outlineLvl w:val="0"/>
    </w:pPr>
    <w:rPr>
      <w:rFonts w:ascii="楷体_GB2312" w:eastAsia="楷体_GB2312"/>
      <w:sz w:val="28"/>
      <w:szCs w:val="28"/>
    </w:rPr>
  </w:style>
  <w:style w:type="paragraph" w:styleId="897">
    <w:name w:val="标题 2"/>
    <w:basedOn w:val="895"/>
    <w:next w:val="895"/>
    <w:link w:val="920"/>
    <w:qFormat/>
    <w:pPr>
      <w:jc w:val="center"/>
      <w:keepLines/>
      <w:keepNext/>
      <w:spacing w:before="260" w:after="260" w:line="416" w:lineRule="auto"/>
      <w:outlineLvl w:val="1"/>
    </w:pPr>
    <w:rPr>
      <w:rFonts w:ascii="Arial" w:hAnsi="Arial" w:eastAsia="幼圆"/>
      <w:b/>
      <w:bCs/>
      <w:sz w:val="44"/>
      <w:szCs w:val="44"/>
    </w:rPr>
  </w:style>
  <w:style w:type="paragraph" w:styleId="898">
    <w:name w:val="标题 3"/>
    <w:basedOn w:val="895"/>
    <w:next w:val="960"/>
    <w:link w:val="919"/>
    <w:qFormat/>
    <w:pPr>
      <w:keepLines/>
      <w:keepNext/>
      <w:spacing w:before="260" w:after="260" w:line="416" w:lineRule="auto"/>
      <w:outlineLvl w:val="2"/>
    </w:pPr>
    <w:rPr>
      <w:b/>
      <w:bCs/>
      <w:sz w:val="32"/>
      <w:szCs w:val="32"/>
    </w:rPr>
  </w:style>
  <w:style w:type="paragraph" w:styleId="899">
    <w:name w:val="标题 4"/>
    <w:basedOn w:val="895"/>
    <w:next w:val="960"/>
    <w:link w:val="930"/>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960"/>
    <w:link w:val="925"/>
    <w:qFormat/>
    <w:pPr>
      <w:keepNext/>
      <w:outlineLvl w:val="4"/>
    </w:pPr>
    <w:rPr>
      <w:rFonts w:ascii="宋体"/>
      <w:color w:val="000000"/>
      <w:sz w:val="28"/>
      <w:szCs w:val="28"/>
    </w:rPr>
  </w:style>
  <w:style w:type="paragraph" w:styleId="901">
    <w:name w:val="标题 6"/>
    <w:basedOn w:val="895"/>
    <w:next w:val="895"/>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31"/>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32"/>
    <w:qFormat/>
    <w:pPr>
      <w:numPr>
        <w:ilvl w:val="8"/>
        <w:numId w:val="1"/>
      </w:numPr>
      <w:keepLines/>
      <w:keepNext/>
      <w:spacing w:before="240" w:after="64" w:line="320" w:lineRule="auto"/>
      <w:outlineLvl w:val="8"/>
    </w:pPr>
    <w:rPr>
      <w:rFonts w:ascii="Arial" w:hAnsi="Arial" w:eastAsia="黑体"/>
      <w:sz w:val="20"/>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超链接"/>
    <w:next w:val="907"/>
    <w:link w:val="895"/>
    <w:rPr>
      <w:color w:val="0000ff"/>
      <w:u w:val="single"/>
    </w:rPr>
  </w:style>
  <w:style w:type="character" w:styleId="908">
    <w:name w:val="已访问的超链接"/>
    <w:next w:val="908"/>
    <w:link w:val="895"/>
    <w:rPr>
      <w:color w:val="800080"/>
      <w:u w:val="single"/>
    </w:rPr>
  </w:style>
  <w:style w:type="character" w:styleId="909">
    <w:name w:val="要点"/>
    <w:next w:val="909"/>
    <w:link w:val="895"/>
    <w:qFormat/>
    <w:rPr>
      <w:b/>
      <w:bCs/>
    </w:rPr>
  </w:style>
  <w:style w:type="character" w:styleId="910">
    <w:name w:val="批注引用"/>
    <w:next w:val="910"/>
    <w:link w:val="895"/>
    <w:semiHidden/>
    <w:rPr>
      <w:sz w:val="21"/>
      <w:szCs w:val="21"/>
    </w:rPr>
  </w:style>
  <w:style w:type="character" w:styleId="911">
    <w:name w:val="正文文本 2 字符"/>
    <w:next w:val="911"/>
    <w:link w:val="973"/>
    <w:rPr>
      <w:rFonts w:ascii="楷体_GB2312" w:hAnsi="Times New Roman" w:eastAsia="楷体_GB2312" w:cs="Times New Roman"/>
      <w:sz w:val="28"/>
      <w:szCs w:val="28"/>
    </w:rPr>
  </w:style>
  <w:style w:type="character" w:styleId="912">
    <w:name w:val="强调"/>
    <w:next w:val="912"/>
    <w:link w:val="895"/>
    <w:qFormat/>
    <w:rPr>
      <w:i/>
    </w:rPr>
  </w:style>
  <w:style w:type="character" w:styleId="913">
    <w:name w:val="页码"/>
    <w:next w:val="913"/>
    <w:link w:val="895"/>
  </w:style>
  <w:style w:type="character" w:styleId="914">
    <w:name w:val="批注框文本 字符"/>
    <w:next w:val="914"/>
    <w:link w:val="970"/>
    <w:semiHidden/>
    <w:rPr>
      <w:rFonts w:ascii="Times New Roman" w:hAnsi="Times New Roman" w:eastAsia="宋体" w:cs="Times New Roman"/>
      <w:sz w:val="18"/>
      <w:szCs w:val="18"/>
    </w:rPr>
  </w:style>
  <w:style w:type="character" w:styleId="915">
    <w:name w:val="纯文本 字符"/>
    <w:next w:val="915"/>
    <w:link w:val="965"/>
    <w:rPr>
      <w:rFonts w:ascii="宋体" w:hAnsi="Courier New" w:eastAsia="宋体" w:cs="Courier New"/>
      <w:szCs w:val="21"/>
    </w:rPr>
  </w:style>
  <w:style w:type="character" w:styleId="916">
    <w:name w:val="正文文本 字符"/>
    <w:next w:val="916"/>
    <w:link w:val="988"/>
    <w:rPr>
      <w:rFonts w:ascii="楷体_GB2312" w:hAnsi="Arial" w:eastAsia="楷体_GB2312" w:cs="Times New Roman"/>
      <w:sz w:val="28"/>
      <w:szCs w:val="28"/>
    </w:rPr>
  </w:style>
  <w:style w:type="character" w:styleId="917">
    <w:name w:val="标题 6 字符"/>
    <w:next w:val="917"/>
    <w:link w:val="901"/>
    <w:rPr>
      <w:rFonts w:ascii="Arial" w:hAnsi="Arial" w:eastAsia="黑体" w:cs="Times New Roman"/>
      <w:b/>
      <w:bCs/>
      <w:sz w:val="24"/>
      <w:szCs w:val="24"/>
    </w:rPr>
  </w:style>
  <w:style w:type="character" w:styleId="918">
    <w:name w:val="页脚 字符"/>
    <w:next w:val="918"/>
    <w:link w:val="954"/>
    <w:uiPriority w:val="99"/>
    <w:rPr>
      <w:rFonts w:ascii="Times New Roman" w:hAnsi="Times New Roman" w:eastAsia="宋体" w:cs="Times New Roman"/>
      <w:sz w:val="18"/>
      <w:szCs w:val="18"/>
    </w:rPr>
  </w:style>
  <w:style w:type="character" w:styleId="919">
    <w:name w:val="标题 3 字符"/>
    <w:next w:val="919"/>
    <w:link w:val="898"/>
    <w:rPr>
      <w:rFonts w:ascii="Times New Roman" w:hAnsi="Times New Roman" w:eastAsia="宋体" w:cs="Times New Roman"/>
      <w:b/>
      <w:bCs/>
      <w:sz w:val="32"/>
      <w:szCs w:val="32"/>
    </w:rPr>
  </w:style>
  <w:style w:type="character" w:styleId="920">
    <w:name w:val="标题 2 字符"/>
    <w:next w:val="920"/>
    <w:link w:val="897"/>
    <w:rPr>
      <w:rFonts w:ascii="Arial" w:hAnsi="Arial" w:eastAsia="幼圆" w:cs="Arial"/>
      <w:b/>
      <w:bCs/>
      <w:sz w:val="44"/>
      <w:szCs w:val="44"/>
    </w:rPr>
  </w:style>
  <w:style w:type="character" w:styleId="921">
    <w:name w:val="日期 字符"/>
    <w:next w:val="921"/>
    <w:link w:val="949"/>
    <w:rPr>
      <w:rFonts w:ascii="Times New Roman" w:hAnsi="Times New Roman" w:eastAsia="宋体" w:cs="Times New Roman"/>
      <w:sz w:val="24"/>
      <w:szCs w:val="24"/>
    </w:rPr>
  </w:style>
  <w:style w:type="character" w:styleId="922">
    <w:name w:val="正文文本缩进 字符"/>
    <w:next w:val="922"/>
    <w:link w:val="979"/>
    <w:rPr>
      <w:rFonts w:ascii="楷体_GB2312" w:hAnsi="Times New Roman" w:eastAsia="楷体_GB2312" w:cs="Times New Roman"/>
      <w:sz w:val="32"/>
      <w:szCs w:val="32"/>
    </w:rPr>
  </w:style>
  <w:style w:type="character" w:styleId="923">
    <w:name w:val="列出段落 Char,Bullet List Char,numbered Char,FooterText Char,List Paragraph1 Char,Paragraphe de liste1 Char"/>
    <w:next w:val="923"/>
    <w:link w:val="944"/>
    <w:rPr>
      <w:rFonts w:ascii="Calibri" w:hAnsi="Calibri"/>
      <w:sz w:val="24"/>
      <w:szCs w:val="24"/>
      <w:lang w:eastAsia="en-US" w:bidi="en-US"/>
    </w:rPr>
  </w:style>
  <w:style w:type="character" w:styleId="924">
    <w:name w:val="正文文本缩进 2 字符"/>
    <w:next w:val="924"/>
    <w:link w:val="976"/>
    <w:rPr>
      <w:rFonts w:ascii="Arial" w:hAnsi="Arial" w:eastAsia="仿宋_GB2312" w:cs="Arial"/>
      <w:sz w:val="32"/>
      <w:szCs w:val="32"/>
    </w:rPr>
  </w:style>
  <w:style w:type="character" w:styleId="925">
    <w:name w:val="标题 5 字符"/>
    <w:next w:val="925"/>
    <w:link w:val="900"/>
    <w:rPr>
      <w:rFonts w:ascii="宋体" w:hAnsi="Times New Roman" w:eastAsia="宋体" w:cs="Times New Roman"/>
      <w:color w:val="000000"/>
      <w:sz w:val="28"/>
      <w:szCs w:val="28"/>
    </w:rPr>
  </w:style>
  <w:style w:type="character" w:styleId="926">
    <w:name w:val="页眉 字符"/>
    <w:next w:val="926"/>
    <w:link w:val="992"/>
    <w:rPr>
      <w:rFonts w:ascii="Times New Roman" w:hAnsi="Times New Roman" w:eastAsia="宋体" w:cs="Times New Roman"/>
      <w:sz w:val="18"/>
      <w:szCs w:val="18"/>
    </w:rPr>
  </w:style>
  <w:style w:type="character" w:styleId="927">
    <w:name w:val="批注主题 字符"/>
    <w:next w:val="927"/>
    <w:link w:val="980"/>
    <w:semiHidden/>
    <w:rPr>
      <w:rFonts w:ascii="Times New Roman" w:hAnsi="Times New Roman" w:eastAsia="宋体" w:cs="Times New Roman"/>
      <w:b/>
      <w:bCs/>
      <w:szCs w:val="21"/>
    </w:rPr>
  </w:style>
  <w:style w:type="character" w:styleId="928">
    <w:name w:val="正文文本首行缩进 2 字符"/>
    <w:next w:val="928"/>
    <w:link w:val="961"/>
    <w:rPr>
      <w:rFonts w:ascii="宋体" w:hAnsi="宋体" w:eastAsia="宋体" w:cs="Times New Roman"/>
      <w:sz w:val="32"/>
      <w:szCs w:val="20"/>
    </w:rPr>
  </w:style>
  <w:style w:type="character" w:styleId="929">
    <w:name w:val="二级目录 Char"/>
    <w:next w:val="929"/>
    <w:link w:val="956"/>
    <w:rPr>
      <w:b/>
      <w:sz w:val="30"/>
      <w:szCs w:val="28"/>
      <w:lang w:val="en-US" w:eastAsia="zh-CN" w:bidi="ar-SA"/>
    </w:rPr>
  </w:style>
  <w:style w:type="character" w:styleId="930">
    <w:name w:val="标题 4 字符"/>
    <w:next w:val="930"/>
    <w:link w:val="899"/>
    <w:rPr>
      <w:rFonts w:ascii="Arial" w:hAnsi="Arial" w:eastAsia="黑体" w:cs="Arial"/>
      <w:b/>
      <w:bCs/>
      <w:sz w:val="28"/>
      <w:szCs w:val="28"/>
    </w:rPr>
  </w:style>
  <w:style w:type="character" w:styleId="931">
    <w:name w:val="标题 7 字符"/>
    <w:next w:val="931"/>
    <w:link w:val="902"/>
    <w:rPr>
      <w:rFonts w:ascii="Times New Roman" w:hAnsi="Times New Roman" w:eastAsia="宋体" w:cs="Times New Roman"/>
      <w:b/>
      <w:bCs/>
      <w:sz w:val="24"/>
      <w:szCs w:val="24"/>
    </w:rPr>
  </w:style>
  <w:style w:type="character" w:styleId="932">
    <w:name w:val="标题 9 字符"/>
    <w:next w:val="932"/>
    <w:link w:val="904"/>
    <w:rPr>
      <w:rFonts w:ascii="Arial" w:hAnsi="Arial" w:eastAsia="黑体" w:cs="Times New Roman"/>
      <w:szCs w:val="21"/>
    </w:rPr>
  </w:style>
  <w:style w:type="character" w:styleId="933">
    <w:name w:val="正文文本首行缩进 字符"/>
    <w:next w:val="933"/>
    <w:link w:val="943"/>
    <w:rPr>
      <w:rFonts w:ascii="仿宋_GB2312" w:hAnsi="Times New Roman" w:eastAsia="仿宋_GB2312" w:cs="Times New Roman"/>
      <w:sz w:val="30"/>
      <w:szCs w:val="30"/>
    </w:rPr>
  </w:style>
  <w:style w:type="character" w:styleId="934">
    <w:name w:val="文档结构图 字符"/>
    <w:next w:val="934"/>
    <w:link w:val="958"/>
    <w:semiHidden/>
    <w:rPr>
      <w:rFonts w:ascii="Times New Roman" w:hAnsi="Times New Roman" w:eastAsia="宋体" w:cs="Times New Roman"/>
      <w:szCs w:val="21"/>
      <w:shd w:val="clear" w:color="auto" w:fill="000080"/>
    </w:rPr>
  </w:style>
  <w:style w:type="character" w:styleId="935">
    <w:name w:val="批注文字 字符"/>
    <w:next w:val="935"/>
    <w:link w:val="994"/>
    <w:semiHidden/>
    <w:rPr>
      <w:rFonts w:ascii="Times New Roman" w:hAnsi="Times New Roman" w:eastAsia="宋体" w:cs="Times New Roman"/>
      <w:szCs w:val="21"/>
    </w:rPr>
  </w:style>
  <w:style w:type="character" w:styleId="936">
    <w:name w:val="正文文本 3 字符"/>
    <w:next w:val="936"/>
    <w:link w:val="942"/>
    <w:rPr>
      <w:rFonts w:ascii="仿宋_GB2312" w:hAnsi="Arial" w:eastAsia="仿宋_GB2312" w:cs="Times New Roman"/>
      <w:sz w:val="32"/>
      <w:szCs w:val="32"/>
    </w:rPr>
  </w:style>
  <w:style w:type="character" w:styleId="937">
    <w:name w:val="font5 Char"/>
    <w:next w:val="937"/>
    <w:link w:val="895"/>
    <w:rPr>
      <w:rFonts w:ascii="宋体" w:hAnsi="宋体" w:eastAsia="宋体"/>
      <w:sz w:val="28"/>
      <w:szCs w:val="28"/>
      <w:lang w:val="en-US" w:eastAsia="zh-CN" w:bidi="ar-SA"/>
    </w:rPr>
  </w:style>
  <w:style w:type="character" w:styleId="938">
    <w:name w:val="正文缩进 字符"/>
    <w:next w:val="938"/>
    <w:link w:val="960"/>
    <w:rPr>
      <w:rFonts w:ascii="Times New Roman" w:hAnsi="Times New Roman" w:eastAsia="宋体" w:cs="Times New Roman"/>
      <w:szCs w:val="21"/>
    </w:rPr>
  </w:style>
  <w:style w:type="character" w:styleId="939">
    <w:name w:val="标题 8 字符"/>
    <w:next w:val="939"/>
    <w:link w:val="903"/>
    <w:rPr>
      <w:rFonts w:ascii="Arial" w:hAnsi="Arial" w:eastAsia="黑体" w:cs="Times New Roman"/>
      <w:sz w:val="24"/>
      <w:szCs w:val="24"/>
    </w:rPr>
  </w:style>
  <w:style w:type="character" w:styleId="940">
    <w:name w:val="正文文本缩进 3 字符"/>
    <w:next w:val="940"/>
    <w:link w:val="951"/>
    <w:rPr>
      <w:rFonts w:ascii="Arial" w:hAnsi="Arial" w:eastAsia="仿宋_GB2312" w:cs="Arial"/>
      <w:color w:val="ffff00"/>
      <w:sz w:val="32"/>
      <w:szCs w:val="32"/>
    </w:rPr>
  </w:style>
  <w:style w:type="character" w:styleId="941">
    <w:name w:val="标题 1 字符"/>
    <w:next w:val="941"/>
    <w:link w:val="896"/>
    <w:rPr>
      <w:rFonts w:ascii="楷体_GB2312" w:hAnsi="Times New Roman" w:eastAsia="楷体_GB2312" w:cs="Times New Roman"/>
      <w:sz w:val="28"/>
      <w:szCs w:val="28"/>
    </w:rPr>
  </w:style>
  <w:style w:type="paragraph" w:styleId="942">
    <w:name w:val="正文文本 3"/>
    <w:basedOn w:val="895"/>
    <w:next w:val="942"/>
    <w:link w:val="936"/>
    <w:rPr>
      <w:rFonts w:ascii="仿宋_GB2312" w:hAnsi="Arial" w:eastAsia="仿宋_GB2312"/>
      <w:sz w:val="32"/>
      <w:szCs w:val="32"/>
    </w:rPr>
  </w:style>
  <w:style w:type="paragraph" w:styleId="943">
    <w:name w:val="正文首行缩进"/>
    <w:basedOn w:val="895"/>
    <w:next w:val="943"/>
    <w:link w:val="933"/>
    <w:pPr>
      <w:ind w:firstLine="200"/>
      <w:spacing w:line="360" w:lineRule="auto"/>
    </w:pPr>
    <w:rPr>
      <w:rFonts w:ascii="仿宋_GB2312" w:eastAsia="仿宋_GB2312"/>
      <w:sz w:val="30"/>
      <w:szCs w:val="30"/>
    </w:rPr>
  </w:style>
  <w:style w:type="paragraph" w:styleId="944">
    <w:name w:val="列出段落1"/>
    <w:basedOn w:val="895"/>
    <w:next w:val="944"/>
    <w:link w:val="923"/>
    <w:qFormat/>
    <w:pPr>
      <w:contextualSpacing/>
      <w:ind w:left="720"/>
      <w:jc w:val="left"/>
      <w:widowControl/>
    </w:pPr>
    <w:rPr>
      <w:rFonts w:ascii="Calibri" w:hAnsi="Calibri"/>
      <w:sz w:val="24"/>
      <w:szCs w:val="24"/>
      <w:lang w:eastAsia="en-US" w:bidi="en-US"/>
    </w:rPr>
  </w:style>
  <w:style w:type="paragraph" w:styleId="945">
    <w:name w:val="索引 1"/>
    <w:basedOn w:val="895"/>
    <w:next w:val="895"/>
    <w:link w:val="895"/>
    <w:semiHidden/>
    <w:pPr>
      <w:spacing w:line="240" w:lineRule="atLeast"/>
    </w:pPr>
    <w:rPr>
      <w:b/>
      <w:bCs/>
    </w:rPr>
  </w:style>
  <w:style w:type="paragraph" w:styleId="946">
    <w:name w:val="xl29"/>
    <w:basedOn w:val="895"/>
    <w:next w:val="946"/>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name w:val="目录 3"/>
    <w:basedOn w:val="895"/>
    <w:next w:val="895"/>
    <w:link w:val="895"/>
    <w:semiHidden/>
    <w:pPr>
      <w:ind w:left="420"/>
      <w:jc w:val="left"/>
    </w:pPr>
    <w:rPr>
      <w:i/>
      <w:iCs/>
      <w:szCs w:val="24"/>
    </w:rPr>
  </w:style>
  <w:style w:type="paragraph" w:styleId="948">
    <w:name w:val="xl28"/>
    <w:basedOn w:val="895"/>
    <w:next w:val="94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name w:val="日期"/>
    <w:basedOn w:val="895"/>
    <w:next w:val="895"/>
    <w:link w:val="921"/>
    <w:rPr>
      <w:sz w:val="24"/>
      <w:szCs w:val="24"/>
    </w:rPr>
  </w:style>
  <w:style w:type="paragraph" w:styleId="950">
    <w:name w:val="Body Text(ch)"/>
    <w:basedOn w:val="895"/>
    <w:next w:val="988"/>
    <w:link w:val="895"/>
    <w:pPr>
      <w:spacing w:after="120"/>
    </w:pPr>
    <w:rPr>
      <w:rFonts w:ascii="宋体" w:hAnsi="Arial"/>
      <w:bCs/>
      <w:iCs/>
      <w:szCs w:val="24"/>
    </w:rPr>
  </w:style>
  <w:style w:type="paragraph" w:styleId="951">
    <w:name w:val="正文文本缩进 3"/>
    <w:basedOn w:val="895"/>
    <w:next w:val="951"/>
    <w:link w:val="940"/>
    <w:pPr>
      <w:ind w:left="645" w:firstLine="645"/>
    </w:pPr>
    <w:rPr>
      <w:rFonts w:ascii="Arial" w:hAnsi="Arial" w:eastAsia="仿宋_GB2312"/>
      <w:color w:val="ffff00"/>
      <w:sz w:val="32"/>
      <w:szCs w:val="32"/>
    </w:rPr>
  </w:style>
  <w:style w:type="paragraph" w:styleId="952">
    <w:name w:val="列表段落"/>
    <w:basedOn w:val="895"/>
    <w:next w:val="952"/>
    <w:link w:val="895"/>
    <w:qFormat/>
    <w:pPr>
      <w:contextualSpacing/>
      <w:ind w:left="720"/>
      <w:jc w:val="left"/>
      <w:widowControl/>
    </w:pPr>
    <w:rPr>
      <w:rFonts w:ascii="Calibri" w:hAnsi="Calibri"/>
      <w:sz w:val="24"/>
      <w:szCs w:val="24"/>
      <w:lang w:eastAsia="en-US" w:bidi="en-US"/>
    </w:rPr>
  </w:style>
  <w:style w:type="paragraph" w:styleId="953">
    <w:name w:val="Char Char Char Char Char Char Char Char"/>
    <w:basedOn w:val="895"/>
    <w:next w:val="953"/>
    <w:link w:val="895"/>
    <w:pPr>
      <w:jc w:val="left"/>
      <w:spacing w:after="160" w:line="240" w:lineRule="exact"/>
      <w:widowControl/>
    </w:pPr>
    <w:rPr>
      <w:rFonts w:ascii="Verdana" w:hAnsi="Verdana"/>
      <w:sz w:val="20"/>
      <w:szCs w:val="20"/>
      <w:lang w:eastAsia="en-US"/>
    </w:rPr>
  </w:style>
  <w:style w:type="paragraph" w:styleId="954">
    <w:name w:val="页脚"/>
    <w:basedOn w:val="895"/>
    <w:next w:val="954"/>
    <w:link w:val="918"/>
    <w:uiPriority w:val="99"/>
    <w:pPr>
      <w:jc w:val="left"/>
      <w:tabs>
        <w:tab w:val="center" w:pos="4153" w:leader="none"/>
        <w:tab w:val="right" w:pos="8306" w:leader="none"/>
      </w:tabs>
    </w:pPr>
    <w:rPr>
      <w:sz w:val="18"/>
      <w:szCs w:val="18"/>
    </w:rPr>
  </w:style>
  <w:style w:type="paragraph" w:styleId="955">
    <w:name w:val="图表目录"/>
    <w:basedOn w:val="895"/>
    <w:next w:val="895"/>
    <w:link w:val="895"/>
    <w:semiHidden/>
    <w:pPr>
      <w:ind w:left="840" w:hanging="420"/>
    </w:pPr>
  </w:style>
  <w:style w:type="paragraph" w:styleId="956">
    <w:name w:val="二级目录"/>
    <w:next w:val="895"/>
    <w:link w:val="929"/>
    <w:pPr>
      <w:numPr>
        <w:ilvl w:val="0"/>
        <w:numId w:val="2"/>
      </w:numPr>
      <w:tabs>
        <w:tab w:val="left" w:pos="907" w:leader="none"/>
        <w:tab w:val="left" w:pos="1145" w:leader="none"/>
      </w:tabs>
      <w:outlineLvl w:val="1"/>
    </w:pPr>
    <w:rPr>
      <w:b/>
      <w:sz w:val="30"/>
      <w:szCs w:val="28"/>
      <w:lang w:val="en-US" w:eastAsia="zh-CN" w:bidi="ar-SA"/>
    </w:rPr>
  </w:style>
  <w:style w:type="paragraph" w:styleId="957">
    <w:name w:val="目录 6"/>
    <w:basedOn w:val="895"/>
    <w:next w:val="895"/>
    <w:link w:val="895"/>
    <w:semiHidden/>
    <w:pPr>
      <w:ind w:left="1050"/>
      <w:jc w:val="left"/>
    </w:pPr>
  </w:style>
  <w:style w:type="paragraph" w:styleId="958">
    <w:name w:val="文档结构图"/>
    <w:basedOn w:val="895"/>
    <w:next w:val="958"/>
    <w:link w:val="934"/>
    <w:semiHidden/>
    <w:pPr>
      <w:shd w:val="clear" w:color="auto" w:fill="000080"/>
    </w:pPr>
    <w:rPr>
      <w:sz w:val="20"/>
    </w:rPr>
  </w:style>
  <w:style w:type="paragraph" w:styleId="959">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name w:val="正文缩进"/>
    <w:basedOn w:val="895"/>
    <w:next w:val="960"/>
    <w:link w:val="938"/>
    <w:pPr>
      <w:ind w:firstLine="420"/>
    </w:pPr>
    <w:rPr>
      <w:sz w:val="20"/>
    </w:rPr>
  </w:style>
  <w:style w:type="paragraph" w:styleId="961">
    <w:name w:val="正文首行缩进 2"/>
    <w:basedOn w:val="979"/>
    <w:next w:val="961"/>
    <w:link w:val="928"/>
    <w:pPr>
      <w:ind w:firstLine="420"/>
      <w:spacing w:line="360" w:lineRule="auto"/>
    </w:pPr>
    <w:rPr>
      <w:rFonts w:ascii="宋体" w:hAnsi="宋体" w:eastAsia="宋体"/>
      <w:szCs w:val="20"/>
    </w:rPr>
  </w:style>
  <w:style w:type="paragraph" w:styleId="962">
    <w:name w:val="Char"/>
    <w:basedOn w:val="895"/>
    <w:next w:val="962"/>
    <w:link w:val="895"/>
    <w:pPr>
      <w:ind w:firstLine="200"/>
      <w:tabs>
        <w:tab w:val="left" w:pos="360" w:leader="none"/>
      </w:tabs>
    </w:pPr>
    <w:rPr>
      <w:sz w:val="28"/>
      <w:szCs w:val="30"/>
    </w:rPr>
  </w:style>
  <w:style w:type="paragraph" w:styleId="963">
    <w:name w:val="目录 9"/>
    <w:basedOn w:val="895"/>
    <w:next w:val="895"/>
    <w:link w:val="895"/>
    <w:semiHidden/>
    <w:pPr>
      <w:ind w:left="1680"/>
      <w:jc w:val="left"/>
    </w:pPr>
  </w:style>
  <w:style w:type="paragraph" w:styleId="964">
    <w:name w:val="列表"/>
    <w:basedOn w:val="895"/>
    <w:next w:val="964"/>
    <w:link w:val="895"/>
    <w:pPr>
      <w:ind w:left="200" w:hanging="200"/>
    </w:pPr>
  </w:style>
  <w:style w:type="paragraph" w:styleId="965">
    <w:name w:val="纯文本"/>
    <w:basedOn w:val="895"/>
    <w:next w:val="965"/>
    <w:link w:val="915"/>
    <w:rPr>
      <w:rFonts w:ascii="宋体" w:hAnsi="Courier New"/>
      <w:sz w:val="20"/>
    </w:rPr>
  </w:style>
  <w:style w:type="paragraph" w:styleId="966">
    <w:name w:val="xl24"/>
    <w:basedOn w:val="895"/>
    <w:next w:val="96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95"/>
    <w:next w:val="967"/>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table_lines"/>
    <w:basedOn w:val="895"/>
    <w:next w:val="968"/>
    <w:link w:val="895"/>
    <w:pPr>
      <w:jc w:val="left"/>
      <w:widowControl/>
    </w:pPr>
    <w:rPr>
      <w:sz w:val="20"/>
      <w:szCs w:val="20"/>
      <w:lang w:val="de-DE" w:eastAsia="de-DE"/>
    </w:rPr>
  </w:style>
  <w:style w:type="paragraph" w:styleId="969">
    <w:name w:val=" Char Char Char Char Char Char Char Char Char Char"/>
    <w:basedOn w:val="895"/>
    <w:next w:val="969"/>
    <w:link w:val="895"/>
    <w:pPr>
      <w:spacing w:line="360" w:lineRule="auto"/>
    </w:pPr>
    <w:rPr>
      <w:sz w:val="24"/>
      <w:szCs w:val="20"/>
    </w:rPr>
  </w:style>
  <w:style w:type="paragraph" w:styleId="970">
    <w:name w:val="批注框文本"/>
    <w:basedOn w:val="895"/>
    <w:next w:val="970"/>
    <w:link w:val="914"/>
    <w:semiHidden/>
    <w:rPr>
      <w:sz w:val="18"/>
      <w:szCs w:val="18"/>
    </w:rPr>
  </w:style>
  <w:style w:type="paragraph" w:styleId="971">
    <w:name w:val="font5"/>
    <w:basedOn w:val="895"/>
    <w:next w:val="971"/>
    <w:link w:val="895"/>
    <w:pPr>
      <w:jc w:val="left"/>
      <w:spacing w:before="100" w:beforeAutospacing="1" w:after="100" w:afterAutospacing="1"/>
      <w:widowControl/>
    </w:pPr>
    <w:rPr>
      <w:rFonts w:hint="eastAsia" w:ascii="宋体" w:hAnsi="宋体"/>
      <w:sz w:val="28"/>
      <w:szCs w:val="28"/>
    </w:rPr>
  </w:style>
  <w:style w:type="paragraph" w:styleId="972">
    <w:name w:val="列表 3"/>
    <w:basedOn w:val="895"/>
    <w:next w:val="972"/>
    <w:link w:val="895"/>
    <w:pPr>
      <w:ind w:left="100" w:hanging="200"/>
    </w:pPr>
  </w:style>
  <w:style w:type="paragraph" w:styleId="973">
    <w:name w:val="正文文本 2"/>
    <w:basedOn w:val="895"/>
    <w:next w:val="973"/>
    <w:link w:val="911"/>
    <w:pPr>
      <w:jc w:val="center"/>
      <w:widowControl/>
    </w:pPr>
    <w:rPr>
      <w:rFonts w:ascii="楷体_GB2312" w:eastAsia="楷体_GB2312"/>
      <w:sz w:val="28"/>
      <w:szCs w:val="28"/>
    </w:rPr>
  </w:style>
  <w:style w:type="paragraph" w:styleId="974">
    <w:name w:val="目录 4"/>
    <w:basedOn w:val="895"/>
    <w:next w:val="895"/>
    <w:link w:val="895"/>
    <w:semiHidden/>
    <w:pPr>
      <w:ind w:left="630"/>
      <w:jc w:val="left"/>
    </w:pPr>
  </w:style>
  <w:style w:type="paragraph" w:styleId="975">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76">
    <w:name w:val="正文文本缩进 2"/>
    <w:basedOn w:val="895"/>
    <w:next w:val="976"/>
    <w:link w:val="924"/>
    <w:pPr>
      <w:ind w:left="630" w:firstLine="645"/>
    </w:pPr>
    <w:rPr>
      <w:rFonts w:ascii="Arial" w:hAnsi="Arial" w:eastAsia="仿宋_GB2312"/>
      <w:sz w:val="32"/>
      <w:szCs w:val="32"/>
    </w:rPr>
  </w:style>
  <w:style w:type="paragraph" w:styleId="977">
    <w:name w:val="列表 2"/>
    <w:basedOn w:val="895"/>
    <w:next w:val="977"/>
    <w:link w:val="895"/>
    <w:pPr>
      <w:ind w:left="100" w:hanging="200"/>
    </w:pPr>
  </w:style>
  <w:style w:type="paragraph" w:styleId="978">
    <w:name w:val=" Char"/>
    <w:basedOn w:val="958"/>
    <w:next w:val="978"/>
    <w:link w:val="895"/>
    <w:rPr>
      <w:rFonts w:ascii="Tahoma" w:hAnsi="Tahoma"/>
      <w:sz w:val="24"/>
      <w:szCs w:val="24"/>
    </w:rPr>
  </w:style>
  <w:style w:type="paragraph" w:styleId="979">
    <w:name w:val="正文文本缩进"/>
    <w:basedOn w:val="895"/>
    <w:next w:val="979"/>
    <w:link w:val="922"/>
    <w:pPr>
      <w:ind w:firstLine="645"/>
    </w:pPr>
    <w:rPr>
      <w:rFonts w:ascii="楷体_GB2312" w:eastAsia="楷体_GB2312"/>
      <w:sz w:val="32"/>
      <w:szCs w:val="32"/>
    </w:rPr>
  </w:style>
  <w:style w:type="paragraph" w:styleId="980">
    <w:name w:val="批注主题"/>
    <w:basedOn w:val="994"/>
    <w:next w:val="994"/>
    <w:link w:val="927"/>
    <w:semiHidden/>
    <w:rPr>
      <w:b/>
      <w:bCs/>
      <w:sz w:val="20"/>
    </w:rPr>
  </w:style>
  <w:style w:type="paragraph" w:styleId="981">
    <w:name w:val="目录 7"/>
    <w:basedOn w:val="895"/>
    <w:next w:val="895"/>
    <w:link w:val="895"/>
    <w:semiHidden/>
    <w:pPr>
      <w:ind w:left="1260"/>
      <w:jc w:val="left"/>
    </w:pPr>
  </w:style>
  <w:style w:type="paragraph" w:styleId="982">
    <w:name w:val="普通(网站)"/>
    <w:basedOn w:val="895"/>
    <w:next w:val="982"/>
    <w:link w:val="895"/>
    <w:uiPriority w:val="99"/>
    <w:pPr>
      <w:jc w:val="left"/>
      <w:spacing w:before="100" w:beforeAutospacing="1" w:after="100" w:afterAutospacing="1"/>
      <w:widowControl/>
    </w:pPr>
    <w:rPr>
      <w:rFonts w:ascii="宋体" w:hAnsi="宋体" w:cs="宋体"/>
      <w:sz w:val="24"/>
      <w:szCs w:val="24"/>
    </w:rPr>
  </w:style>
  <w:style w:type="paragraph" w:styleId="983">
    <w:name w:val="目录 8"/>
    <w:basedOn w:val="895"/>
    <w:next w:val="895"/>
    <w:link w:val="895"/>
    <w:semiHidden/>
    <w:pPr>
      <w:ind w:left="1470"/>
      <w:jc w:val="left"/>
    </w:pPr>
  </w:style>
  <w:style w:type="paragraph" w:styleId="984">
    <w:name w:val="索引 41"/>
    <w:basedOn w:val="895"/>
    <w:next w:val="895"/>
    <w:link w:val="895"/>
    <w:qFormat/>
    <w:pPr>
      <w:ind w:left="600"/>
      <w:jc w:val="both"/>
    </w:pPr>
    <w:rPr>
      <w:rFonts w:ascii="Calibri" w:hAnsi="Calibri" w:cs="Times New Roman"/>
      <w:sz w:val="21"/>
    </w:rPr>
  </w:style>
  <w:style w:type="paragraph" w:styleId="985">
    <w:name w:val="标题3"/>
    <w:basedOn w:val="895"/>
    <w:next w:val="895"/>
    <w:link w:val="895"/>
    <w:pPr>
      <w:ind w:firstLine="624"/>
      <w:spacing w:line="590" w:lineRule="atLeast"/>
    </w:pPr>
    <w:rPr>
      <w:rFonts w:ascii="方正黑体_GBK" w:eastAsia="方正黑体_GBK"/>
      <w:sz w:val="32"/>
      <w:szCs w:val="32"/>
    </w:rPr>
  </w:style>
  <w:style w:type="paragraph" w:styleId="986">
    <w:name w:val=" Char Char Char Char Char Char Char Char"/>
    <w:basedOn w:val="895"/>
    <w:next w:val="986"/>
    <w:link w:val="895"/>
    <w:pPr>
      <w:jc w:val="left"/>
      <w:spacing w:after="160" w:line="240" w:lineRule="exact"/>
      <w:widowControl/>
    </w:pPr>
    <w:rPr>
      <w:rFonts w:ascii="Verdana" w:hAnsi="Verdana"/>
      <w:sz w:val="20"/>
      <w:szCs w:val="20"/>
      <w:lang w:eastAsia="en-US"/>
    </w:rPr>
  </w:style>
  <w:style w:type="paragraph" w:styleId="987">
    <w:name w:val="样式1"/>
    <w:basedOn w:val="895"/>
    <w:next w:val="987"/>
    <w:link w:val="895"/>
    <w:pPr>
      <w:numPr>
        <w:ilvl w:val="0"/>
        <w:numId w:val="3"/>
      </w:numPr>
      <w:tabs>
        <w:tab w:val="left" w:pos="709" w:leader="none"/>
      </w:tabs>
    </w:pPr>
    <w:rPr>
      <w:rFonts w:ascii="宋体" w:hAnsi="宋体"/>
    </w:rPr>
  </w:style>
  <w:style w:type="paragraph" w:styleId="988">
    <w:name w:val="正文文本"/>
    <w:basedOn w:val="895"/>
    <w:next w:val="988"/>
    <w:link w:val="916"/>
    <w:rPr>
      <w:rFonts w:ascii="楷体_GB2312" w:hAnsi="Arial" w:eastAsia="楷体_GB2312"/>
      <w:sz w:val="28"/>
      <w:szCs w:val="28"/>
    </w:rPr>
  </w:style>
  <w:style w:type="paragraph" w:styleId="989">
    <w:name w:val="xl25"/>
    <w:basedOn w:val="895"/>
    <w:next w:val="989"/>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目录 2"/>
    <w:basedOn w:val="895"/>
    <w:next w:val="895"/>
    <w:link w:val="895"/>
    <w:semiHidden/>
    <w:pPr>
      <w:ind w:left="210"/>
      <w:jc w:val="left"/>
    </w:pPr>
    <w:rPr>
      <w:smallCaps/>
      <w:szCs w:val="24"/>
    </w:rPr>
  </w:style>
  <w:style w:type="paragraph" w:styleId="991">
    <w:name w:val="修订"/>
    <w:next w:val="991"/>
    <w:link w:val="895"/>
    <w:uiPriority w:val="99"/>
    <w:semiHidden/>
    <w:rPr>
      <w:rFonts w:ascii="Times New Roman" w:hAnsi="Times New Roman"/>
      <w:sz w:val="21"/>
      <w:szCs w:val="21"/>
      <w:lang w:val="en-US" w:eastAsia="zh-CN" w:bidi="ar-SA"/>
    </w:rPr>
  </w:style>
  <w:style w:type="paragraph" w:styleId="992">
    <w:name w:val="页眉"/>
    <w:basedOn w:val="895"/>
    <w:next w:val="992"/>
    <w:link w:val="926"/>
    <w:pPr>
      <w:jc w:val="center"/>
      <w:tabs>
        <w:tab w:val="center" w:pos="4153" w:leader="none"/>
        <w:tab w:val="right" w:pos="8306" w:leader="none"/>
      </w:tabs>
      <w:pBdr>
        <w:bottom w:val="single" w:color="000000" w:sz="6" w:space="1"/>
      </w:pBdr>
    </w:pPr>
    <w:rPr>
      <w:sz w:val="18"/>
      <w:szCs w:val="18"/>
    </w:rPr>
  </w:style>
  <w:style w:type="paragraph" w:styleId="993">
    <w:name w:val="目录 5"/>
    <w:basedOn w:val="895"/>
    <w:next w:val="895"/>
    <w:link w:val="895"/>
    <w:semiHidden/>
    <w:pPr>
      <w:ind w:left="840"/>
      <w:jc w:val="left"/>
    </w:pPr>
  </w:style>
  <w:style w:type="paragraph" w:styleId="994">
    <w:name w:val="批注文字"/>
    <w:basedOn w:val="895"/>
    <w:next w:val="994"/>
    <w:link w:val="935"/>
    <w:semiHidden/>
    <w:pPr>
      <w:jc w:val="left"/>
    </w:pPr>
    <w:rPr>
      <w:sz w:val="20"/>
    </w:rPr>
  </w:style>
  <w:style w:type="paragraph" w:styleId="995">
    <w:name w:val="附录1"/>
    <w:next w:val="995"/>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6">
    <w:name w:val="xl27"/>
    <w:basedOn w:val="895"/>
    <w:next w:val="99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30"/>
    <w:basedOn w:val="895"/>
    <w:next w:val="997"/>
    <w:link w:val="895"/>
    <w:pPr>
      <w:jc w:val="center"/>
      <w:spacing w:before="100" w:beforeAutospacing="1" w:after="100" w:afterAutospacing="1"/>
      <w:widowControl/>
    </w:pPr>
    <w:rPr>
      <w:rFonts w:ascii="宋体" w:hAnsi="宋体"/>
      <w:b/>
      <w:bCs/>
      <w:sz w:val="36"/>
      <w:szCs w:val="36"/>
    </w:rPr>
  </w:style>
  <w:style w:type="paragraph" w:styleId="998">
    <w:name w:val="font7"/>
    <w:basedOn w:val="895"/>
    <w:next w:val="998"/>
    <w:link w:val="895"/>
    <w:pPr>
      <w:jc w:val="left"/>
      <w:spacing w:before="100" w:beforeAutospacing="1" w:after="100" w:afterAutospacing="1"/>
      <w:widowControl/>
    </w:pPr>
    <w:rPr>
      <w:rFonts w:hint="eastAsia" w:ascii="宋体" w:hAnsi="宋体"/>
      <w:sz w:val="18"/>
      <w:szCs w:val="18"/>
    </w:rPr>
  </w:style>
  <w:style w:type="paragraph" w:styleId="999">
    <w:name w:val="table_1stline"/>
    <w:basedOn w:val="895"/>
    <w:next w:val="999"/>
    <w:link w:val="895"/>
    <w:pPr>
      <w:jc w:val="left"/>
      <w:spacing w:before="120"/>
      <w:widowControl/>
    </w:pPr>
    <w:rPr>
      <w:bCs/>
      <w:sz w:val="20"/>
      <w:szCs w:val="20"/>
      <w:lang w:val="de-DE" w:eastAsia="de-DE"/>
    </w:rPr>
  </w:style>
  <w:style w:type="paragraph" w:styleId="1000">
    <w:name w:val="Char Char Char Char"/>
    <w:basedOn w:val="958"/>
    <w:next w:val="1000"/>
    <w:link w:val="895"/>
    <w:pPr>
      <w:spacing w:line="360" w:lineRule="auto"/>
    </w:pPr>
    <w:rPr>
      <w:rFonts w:ascii="Tahoma" w:hAnsi="Tahoma"/>
      <w:sz w:val="24"/>
      <w:szCs w:val="24"/>
    </w:rPr>
  </w:style>
  <w:style w:type="paragraph" w:styleId="1001">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普通正文"/>
    <w:basedOn w:val="895"/>
    <w:next w:val="1002"/>
    <w:link w:val="895"/>
    <w:pPr>
      <w:ind w:firstLine="480"/>
      <w:jc w:val="left"/>
      <w:spacing w:before="120" w:after="120" w:line="360" w:lineRule="auto"/>
    </w:pPr>
    <w:rPr>
      <w:rFonts w:ascii="Arial" w:hAnsi="Arial"/>
      <w:sz w:val="24"/>
      <w:szCs w:val="24"/>
    </w:rPr>
  </w:style>
  <w:style w:type="paragraph" w:styleId="1003">
    <w:name w:val="普通 (Web)"/>
    <w:basedOn w:val="895"/>
    <w:next w:val="1003"/>
    <w:link w:val="895"/>
    <w:pPr>
      <w:jc w:val="left"/>
      <w:spacing w:before="100" w:beforeAutospacing="1" w:after="100" w:afterAutospacing="1"/>
      <w:widowControl/>
    </w:pPr>
    <w:rPr>
      <w:rFonts w:ascii="宋体" w:hAnsi="宋体"/>
      <w:sz w:val="24"/>
      <w:szCs w:val="24"/>
    </w:rPr>
  </w:style>
  <w:style w:type="paragraph" w:styleId="1004">
    <w:name w:val="font6"/>
    <w:basedOn w:val="895"/>
    <w:next w:val="1004"/>
    <w:link w:val="895"/>
    <w:pPr>
      <w:jc w:val="left"/>
      <w:spacing w:before="100" w:beforeAutospacing="1" w:after="100" w:afterAutospacing="1"/>
      <w:widowControl/>
    </w:pPr>
    <w:rPr>
      <w:rFonts w:hint="eastAsia" w:ascii="宋体" w:hAnsi="宋体"/>
      <w:sz w:val="28"/>
      <w:szCs w:val="28"/>
      <w:u w:val="single"/>
    </w:rPr>
  </w:style>
  <w:style w:type="paragraph" w:styleId="1005">
    <w:name w:val="4"/>
    <w:basedOn w:val="895"/>
    <w:next w:val="951"/>
    <w:link w:val="895"/>
    <w:pPr>
      <w:ind w:firstLine="420"/>
      <w:spacing w:line="360" w:lineRule="auto"/>
    </w:pPr>
    <w:rPr>
      <w:color w:val="ff0000"/>
      <w:sz w:val="24"/>
      <w:szCs w:val="24"/>
    </w:rPr>
  </w:style>
  <w:style w:type="paragraph" w:styleId="1006">
    <w:name w:val="无间隔"/>
    <w:next w:val="1006"/>
    <w:link w:val="895"/>
    <w:uiPriority w:val="99"/>
    <w:qFormat/>
    <w:pPr>
      <w:jc w:val="both"/>
      <w:widowControl w:val="off"/>
    </w:pPr>
    <w:rPr>
      <w:rFonts w:ascii="Times New Roman" w:hAnsi="Times New Roman"/>
      <w:sz w:val="21"/>
      <w:szCs w:val="21"/>
      <w:lang w:val="en-US" w:eastAsia="zh-CN" w:bidi="ar-SA"/>
    </w:rPr>
  </w:style>
  <w:style w:type="paragraph" w:styleId="1007">
    <w:name w:val=" Char Char Char Char"/>
    <w:basedOn w:val="958"/>
    <w:next w:val="1007"/>
    <w:link w:val="895"/>
    <w:pPr>
      <w:spacing w:line="360" w:lineRule="auto"/>
    </w:pPr>
    <w:rPr>
      <w:rFonts w:ascii="Tahoma" w:hAnsi="Tahoma"/>
      <w:sz w:val="24"/>
      <w:szCs w:val="24"/>
    </w:rPr>
  </w:style>
  <w:style w:type="table" w:styleId="1008">
    <w:name w:val="网格型"/>
    <w:basedOn w:val="906"/>
    <w:next w:val="1008"/>
    <w:link w:val="895"/>
    <w:pPr>
      <w:jc w:val="both"/>
      <w:widowControl w:val="off"/>
    </w:pPr>
    <w:rPr>
      <w:rFonts w:ascii="Times New Roman" w:hAnsi="Times New Roman" w:eastAsia="宋体" w:cs="Times New Roman"/>
      <w:sz w:val="20"/>
      <w:szCs w:val="20"/>
    </w:rPr>
    <w:tblPr/>
  </w:style>
  <w:style w:type="table" w:styleId="1009">
    <w:name w:val="Table Normal"/>
    <w:next w:val="1009"/>
    <w:link w:val="895"/>
    <w:unhideWhenUsed/>
    <w:qFormat/>
    <w:rPr>
      <w:lang w:val="en-US" w:eastAsia="zh-CN" w:bidi="ar-SA"/>
    </w:rPr>
    <w:tbl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16</cp:revision>
  <dcterms:created xsi:type="dcterms:W3CDTF">2023-03-16T02:16:00Z</dcterms:created>
  <dcterms:modified xsi:type="dcterms:W3CDTF">2026-11-03T07:14:49Z</dcterms:modified>
</cp:coreProperties>
</file>