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6"/>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超高清腹腔镜系统</w:t>
      </w:r>
      <w:r>
        <w:rPr>
          <w:rFonts w:hint="eastAsia" w:ascii="宋体" w:hAnsi="宋体"/>
          <w:bCs/>
          <w:color w:val="000000"/>
          <w:sz w:val="36"/>
          <w:szCs w:val="36"/>
          <w:highlight w:val="none"/>
          <w:lang w:val="en-US" w:eastAsia="zh-CN"/>
        </w:rPr>
        <w:t xml:space="preserve">采购项目</w:t>
      </w:r>
      <w:r>
        <w:rPr>
          <w:rFonts w:ascii="宋体" w:hAnsi="宋体" w:eastAsia="宋体"/>
          <w:bCs/>
          <w:color w:val="000000"/>
          <w:sz w:val="36"/>
          <w:szCs w:val="36"/>
          <w:highlight w:val="none"/>
          <w:lang w:val="en-US" w:eastAsia="zh-CN"/>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JSZC-320400-CTZB-G2026-0138</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6"/>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6"/>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138"/>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1"/>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1"/>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1"/>
          <w:color w:val="000000"/>
          <w:sz w:val="32"/>
          <w:szCs w:val="32"/>
          <w:highlight w:val="none"/>
        </w:rPr>
        <w:t xml:space="preserve">第三章   资</w:t>
      </w:r>
      <w:bookmarkStart w:id="1" w:name="_Hlt100754117"/>
      <w:r>
        <w:rPr>
          <w:rStyle w:val="1161"/>
          <w:color w:val="000000"/>
          <w:sz w:val="32"/>
          <w:szCs w:val="32"/>
          <w:highlight w:val="none"/>
        </w:rPr>
        <w:t xml:space="preserve">格</w:t>
      </w:r>
      <w:bookmarkEnd w:id="1"/>
      <w:r>
        <w:rPr>
          <w:rStyle w:val="1161"/>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1"/>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1"/>
          <w:color w:val="000000"/>
          <w:sz w:val="32"/>
          <w:szCs w:val="32"/>
          <w:highlight w:val="none"/>
        </w:rPr>
        <w:t xml:space="preserve">第五章   采购</w:t>
      </w:r>
      <w:bookmarkStart w:id="2" w:name="_Hlt100754103"/>
      <w:r/>
      <w:bookmarkStart w:id="3" w:name="_Hlt100754102"/>
      <w:r>
        <w:rPr>
          <w:rStyle w:val="1161"/>
          <w:color w:val="000000"/>
          <w:sz w:val="32"/>
          <w:szCs w:val="32"/>
          <w:highlight w:val="none"/>
        </w:rPr>
        <w:t xml:space="preserve">需</w:t>
      </w:r>
      <w:bookmarkEnd w:id="2"/>
      <w:r/>
      <w:bookmarkEnd w:id="3"/>
      <w:r>
        <w:rPr>
          <w:rStyle w:val="1161"/>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1"/>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1"/>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超高清腹腔镜系统</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02</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790"/>
      <w:r/>
      <w:bookmarkStart w:id="7" w:name="_Toc28359002"/>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JSZC-320400-CTZB-G2026-0138</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超高清腹腔镜系统</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340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340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903"/>
        <w:gridCol w:w="1508"/>
        <w:gridCol w:w="1064"/>
        <w:gridCol w:w="4055"/>
      </w:tblGrid>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1030"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16"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76"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195" w:type="dxa"/>
            <w:vAlign w:val="center"/>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390"/>
        </w:trPr>
        <w:tc>
          <w:tcPr>
            <w:tcW w:w="382" w:type="dxa"/>
            <w:vAlign w:val="center"/>
            <w:textDirection w:val="lrTb"/>
            <w:noWrap w:val="false"/>
          </w:tcPr>
          <w:p>
            <w:pPr>
              <w:pStyle w:val="1086"/>
              <w:jc w:val="center"/>
              <w:rPr>
                <w:rFonts w:ascii="仿宋" w:hAnsi="仿宋" w:eastAsia="仿宋"/>
                <w:bCs/>
                <w:color w:val="000000"/>
                <w:sz w:val="32"/>
                <w:szCs w:val="32"/>
                <w:highlight w:val="none"/>
                <w:lang w:val="en-US" w:eastAsia="zh-CN" w:bidi="ar-SA"/>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lang w:val="en-US" w:eastAsia="zh-CN" w:bidi="ar-SA"/>
              </w:rPr>
            </w:r>
            <w:r/>
          </w:p>
        </w:tc>
        <w:tc>
          <w:tcPr>
            <w:tcW w:w="1030" w:type="dxa"/>
            <w:vAlign w:val="center"/>
            <w:textDirection w:val="lrTb"/>
            <w:noWrap w:val="false"/>
          </w:tcPr>
          <w:p>
            <w:pPr>
              <w:pStyle w:val="1086"/>
              <w:jc w:val="center"/>
              <w:rPr>
                <w:rFonts w:hint="eastAsia" w:ascii="仿宋" w:hAnsi="仿宋" w:eastAsia="仿宋"/>
                <w:bCs/>
                <w:color w:val="000000"/>
                <w:sz w:val="32"/>
                <w:szCs w:val="32"/>
                <w:highlight w:val="none"/>
                <w:lang w:val="en-US" w:eastAsia="zh-CN" w:bidi="ar-SA"/>
              </w:rPr>
            </w:pPr>
            <w:r>
              <w:rPr>
                <w:rFonts w:hint="eastAsia" w:ascii="仿宋" w:hAnsi="仿宋" w:eastAsia="仿宋"/>
                <w:bCs/>
                <w:color w:val="000000"/>
                <w:sz w:val="32"/>
                <w:szCs w:val="32"/>
                <w:highlight w:val="none"/>
                <w:lang w:eastAsia="zh-CN"/>
              </w:rPr>
              <w:t xml:space="preserve">超高清腹腔镜系统</w:t>
            </w:r>
            <w:r>
              <w:rPr>
                <w:rFonts w:hint="eastAsia" w:ascii="仿宋" w:hAnsi="仿宋" w:eastAsia="仿宋"/>
                <w:bCs/>
                <w:color w:val="000000"/>
                <w:sz w:val="32"/>
                <w:szCs w:val="32"/>
                <w:highlight w:val="none"/>
                <w:lang w:val="en-US" w:eastAsia="zh-CN" w:bidi="ar-SA"/>
              </w:rPr>
            </w:r>
            <w:r/>
          </w:p>
        </w:tc>
        <w:tc>
          <w:tcPr>
            <w:tcW w:w="81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340</w:t>
            </w:r>
            <w:r>
              <w:rPr>
                <w:rFonts w:ascii="仿宋" w:hAnsi="仿宋" w:eastAsia="仿宋"/>
                <w:bCs/>
                <w:color w:val="000000"/>
                <w:sz w:val="32"/>
                <w:szCs w:val="32"/>
                <w:highlight w:val="none"/>
                <w:lang w:val="en-US" w:eastAsia="zh-CN"/>
              </w:rPr>
            </w:r>
            <w:r/>
          </w:p>
        </w:tc>
        <w:tc>
          <w:tcPr>
            <w:tcW w:w="57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2台</w:t>
            </w:r>
            <w:r>
              <w:rPr>
                <w:rFonts w:ascii="仿宋" w:hAnsi="仿宋" w:eastAsia="仿宋"/>
                <w:bCs/>
                <w:color w:val="000000"/>
                <w:sz w:val="32"/>
                <w:szCs w:val="32"/>
                <w:highlight w:val="none"/>
                <w:lang w:val="en-US" w:eastAsia="zh-CN"/>
              </w:rPr>
            </w:r>
            <w:r/>
          </w:p>
        </w:tc>
        <w:tc>
          <w:tcPr>
            <w:tcW w:w="2195" w:type="dxa"/>
            <w:vAlign w:val="center"/>
            <w:textDirection w:val="lrTb"/>
            <w:noWrap w:val="false"/>
          </w:tcPr>
          <w:p>
            <w:pPr>
              <w:pStyle w:val="1086"/>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86"/>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eastAsia="zh-CN"/>
        </w:rPr>
        <w:t xml:space="preserve">合同签订之日起接到医院通知后3个月内货物运抵医院</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u w:val="singl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88"/>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791"/>
      <w:r/>
      <w:bookmarkStart w:id="12" w:name="_Toc35393622"/>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6"/>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bookmarkEnd w:id="14"/>
      <w:r/>
      <w:bookmarkEnd w:id="15"/>
      <w:r/>
      <w:bookmarkStart w:id="16" w:name="_Toc35393792"/>
      <w:r/>
      <w:bookmarkStart w:id="17" w:name="_Toc35393623"/>
      <w:r>
        <w:rPr>
          <w:rFonts w:hint="eastAsia" w:ascii="仿宋" w:hAnsi="仿宋" w:eastAsia="仿宋" w:cs="Times New Roman"/>
          <w:b/>
          <w:bCs/>
          <w:color w:val="000000"/>
          <w:sz w:val="32"/>
          <w:szCs w:val="32"/>
          <w:highlight w:val="none"/>
          <w:lang w:val="en-US" w:eastAsia="zh-CN"/>
        </w:rPr>
        <w:t xml:space="preserve">（1）满足以下两项中任意一项要求：</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①投标人为所投产品制造商：具有有效期内的医疗器械生产许可证；</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②投标人为所投产品经销商：具有有效期内的医疗器械经营许可证；</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（2）提供所投产品的有效的医疗器械注册证。</w:t>
      </w:r>
      <w:r>
        <w:rPr>
          <w:rFonts w:hint="eastAsia" w:ascii="仿宋" w:hAnsi="仿宋" w:eastAsia="仿宋" w:cs="Times New Roman"/>
          <w:b/>
          <w:bCs/>
          <w:color w:val="000000"/>
          <w:sz w:val="32"/>
          <w:szCs w:val="32"/>
          <w:highlight w:val="none"/>
          <w:lang w:val="en-US" w:eastAsia="zh-CN"/>
        </w:rPr>
        <w:tab/>
      </w:r>
      <w:r>
        <w:rPr>
          <w:rFonts w:hint="eastAsia" w:ascii="仿宋" w:hAnsi="仿宋" w:eastAsia="仿宋" w:cs="Times New Roman"/>
          <w:b/>
          <w:bCs/>
          <w:color w:val="000000"/>
          <w:sz w:val="32"/>
          <w:szCs w:val="32"/>
          <w:highlight w:val="none"/>
          <w:lang w:val="en-US" w:eastAsia="zh-CN"/>
        </w:rPr>
      </w:r>
      <w:r/>
    </w:p>
    <w:p>
      <w:pPr>
        <w:pStyle w:val="1088"/>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6"/>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6"/>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88"/>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86"/>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02</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6"/>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84"/>
      <w:r/>
      <w:bookmarkStart w:id="24" w:name="_Toc28359007"/>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6"/>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88"/>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08"/>
      <w:r/>
      <w:bookmarkStart w:id="30" w:name="_Toc35393796"/>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6"/>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6"/>
        <w:ind w:firstLine="640"/>
        <w:spacing w:line="360" w:lineRule="auto"/>
        <w:rPr>
          <w:rFonts w:ascii="仿宋" w:hAnsi="仿宋" w:eastAsia="仿宋" w:cs="Times New Roman"/>
          <w:color w:val="000000"/>
          <w:sz w:val="32"/>
          <w:szCs w:val="32"/>
          <w:highlight w:val="none"/>
          <w:lang w:val="en-US" w:eastAsia="zh-CN"/>
        </w:rPr>
      </w:pPr>
      <w:r/>
      <w:bookmarkStart w:id="32" w:name="_Toc28359009"/>
      <w:r/>
      <w:bookmarkStart w:id="33" w:name="_Toc28359086"/>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6"/>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w:t>
      </w:r>
      <w:r>
        <w:rPr>
          <w:rFonts w:hint="eastAsia"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rPr>
        <w:t xml:space="preserve">0519-81080985</w:t>
      </w:r>
      <w:r>
        <w:rPr>
          <w:rFonts w:hint="eastAsia" w:ascii="仿宋" w:hAnsi="仿宋" w:eastAsia="仿宋"/>
          <w:color w:val="000000"/>
          <w:sz w:val="32"/>
          <w:szCs w:val="32"/>
          <w:highlight w:val="none"/>
        </w:rPr>
      </w:r>
      <w:r/>
    </w:p>
    <w:p>
      <w:pPr>
        <w:pStyle w:val="1086"/>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6"/>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6"/>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26965856"/>
      <w:r/>
      <w:bookmarkStart w:id="37" w:name="_Toc99301420"/>
      <w:r/>
      <w:bookmarkStart w:id="38" w:name="_Toc353873938"/>
      <w:r/>
      <w:bookmarkStart w:id="39" w:name="_Toc265228423"/>
      <w:r/>
      <w:bookmarkStart w:id="40" w:name="_Toc264969275"/>
      <w:r/>
      <w:bookmarkStart w:id="41" w:name="_Toc353825548"/>
      <w:r/>
      <w:bookmarkStart w:id="42" w:name="_Toc305158854"/>
      <w:r/>
      <w:bookmarkStart w:id="43" w:name="_Toc195842950"/>
      <w:r/>
      <w:bookmarkStart w:id="44" w:name="_Toc512937850"/>
      <w:r/>
      <w:bookmarkStart w:id="45" w:name="_Toc127161488"/>
      <w:r/>
      <w:bookmarkStart w:id="46" w:name="_Toc150774783"/>
      <w:r/>
      <w:bookmarkStart w:id="47" w:name="_Toc127151777"/>
      <w:r/>
      <w:bookmarkStart w:id="48" w:name="_Toc30515892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88"/>
        <w:spacing w:before="0" w:line="360" w:lineRule="auto"/>
        <w:tabs>
          <w:tab w:val="center" w:pos="4592" w:leader="none"/>
          <w:tab w:val="left" w:pos="7860" w:leader="none"/>
        </w:tabs>
        <w:rPr>
          <w:rFonts w:ascii="宋体" w:hAnsi="宋体" w:eastAsia="宋体"/>
          <w:color w:val="000000"/>
          <w:sz w:val="28"/>
          <w:highlight w:val="none"/>
        </w:rPr>
      </w:pPr>
      <w:r/>
      <w:bookmarkStart w:id="49" w:name="_Toc127161433"/>
      <w:r/>
      <w:bookmarkStart w:id="50" w:name="_Toc150774724"/>
      <w:r/>
      <w:bookmarkStart w:id="51" w:name="_Toc164229360"/>
      <w:r/>
      <w:bookmarkStart w:id="52" w:name="_Toc226309763"/>
      <w:r/>
      <w:bookmarkStart w:id="53" w:name="_Toc127151720"/>
      <w:r/>
      <w:bookmarkStart w:id="54" w:name="_Toc127151519"/>
      <w:r/>
      <w:bookmarkStart w:id="55" w:name="_Toc226337215"/>
      <w:r/>
      <w:bookmarkStart w:id="56" w:name="_Toc164351613"/>
      <w:r/>
      <w:bookmarkStart w:id="57" w:name="_Toc164608633"/>
      <w:r/>
      <w:bookmarkStart w:id="58" w:name="_Toc150774619"/>
      <w:r/>
      <w:bookmarkStart w:id="59" w:name="_Toc195842884"/>
      <w:r/>
      <w:bookmarkStart w:id="60" w:name="_Toc149720812"/>
      <w:r/>
      <w:bookmarkStart w:id="61" w:name="_Toc151193833"/>
      <w:r/>
      <w:bookmarkStart w:id="62" w:name="_Toc150480757"/>
      <w:r/>
      <w:bookmarkStart w:id="63" w:name="_Toc151190146"/>
      <w:r/>
      <w:bookmarkStart w:id="64" w:name="_Toc151193761"/>
      <w:r/>
      <w:bookmarkStart w:id="65" w:name="_Toc151193689"/>
      <w:r/>
      <w:bookmarkStart w:id="66" w:name="_Toc164229214"/>
      <w:r/>
      <w:bookmarkStart w:id="67" w:name="_Toc151193907"/>
      <w:r/>
      <w:bookmarkStart w:id="68" w:name="_Toc150509270"/>
      <w:r/>
      <w:bookmarkStart w:id="69" w:name="_Toc520356144"/>
      <w:r/>
      <w:bookmarkStart w:id="70" w:name="_Toc164608788"/>
      <w:r/>
      <w:bookmarkStart w:id="71" w:name="_Toc151193617"/>
      <w:r/>
      <w:bookmarkStart w:id="72" w:name="_Toc142311021"/>
      <w:r/>
      <w:bookmarkStart w:id="73" w:name="_Toc226965792"/>
      <w:r/>
      <w:bookmarkStart w:id="74" w:name="_Toc22696570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6"/>
        <w:jc w:val="center"/>
        <w:rPr>
          <w:rFonts w:ascii="宋体" w:hAnsi="宋体"/>
          <w:b/>
          <w:color w:val="000000"/>
          <w:sz w:val="28"/>
          <w:szCs w:val="28"/>
          <w:highlight w:val="none"/>
        </w:rPr>
      </w:pPr>
      <w:r>
        <w:rPr>
          <w:rFonts w:ascii="宋体" w:hAnsi="宋体"/>
          <w:b/>
          <w:color w:val="000000"/>
          <w:sz w:val="28"/>
          <w:szCs w:val="28"/>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5"/>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5"/>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6"/>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6"/>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5"/>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6"/>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6"/>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88"/>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20</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6"/>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numPr>
                <w:ilvl w:val="0"/>
                <w:numId w:val="0"/>
              </w:numPr>
              <w:jc w:val="left"/>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（二）</w:t>
            </w: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中标金额（单位：万元）</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货物类</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 以下</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100-500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500-1000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0.8%</w:t>
                  </w:r>
                  <w:r>
                    <w:rPr>
                      <w:rFonts w:ascii="宋体" w:hAnsi="宋体"/>
                      <w:color w:val="000000"/>
                      <w:sz w:val="24"/>
                      <w:szCs w:val="24"/>
                      <w:highlight w:val="none"/>
                    </w:rPr>
                  </w:r>
                  <w:r/>
                </w:p>
              </w:tc>
            </w:tr>
            <w:tr>
              <w:trPr/>
              <w:tc>
                <w:tcPr>
                  <w:gridSpan w:val="3"/>
                  <w:tcW w:w="7313" w:type="dxa"/>
                  <w:vAlign w:val="center"/>
                  <w:textDirection w:val="lrTb"/>
                  <w:noWrap w:val="false"/>
                </w:tcPr>
                <w:p>
                  <w:pPr>
                    <w:pStyle w:val="1086"/>
                    <w:jc w:val="center"/>
                    <w:keepLines w:val="0"/>
                    <w:keepNext w:val="0"/>
                    <w:pageBreakBefore w:val="0"/>
                    <w:spacing w:line="36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注：①成交服务收费按差额定率累进法计算；②服务费按照上述标准的50%收取，</w:t>
                  </w:r>
                  <w:r>
                    <w:rPr>
                      <w:rFonts w:hint="eastAsia" w:ascii="宋体" w:hAnsi="宋体"/>
                      <w:color w:val="000000"/>
                      <w:sz w:val="24"/>
                      <w:szCs w:val="24"/>
                      <w:highlight w:val="none"/>
                    </w:rPr>
                    <w:t xml:space="preserve">按上述计算方法不足</w:t>
                  </w:r>
                  <w:r>
                    <w:rPr>
                      <w:rFonts w:hint="eastAsia" w:ascii="宋体" w:hAnsi="宋体"/>
                      <w:color w:val="000000"/>
                      <w:sz w:val="24"/>
                      <w:szCs w:val="24"/>
                      <w:highlight w:val="none"/>
                      <w:lang w:val="en-US" w:eastAsia="zh-CN"/>
                    </w:rPr>
                    <w:t xml:space="preserve">3000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val="en-US" w:eastAsia="zh-CN"/>
                    </w:rPr>
                    <w:t xml:space="preserve">的按3000元收取</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bl>
          <w:p>
            <w:pPr>
              <w:pStyle w:val="1086"/>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6"/>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6"/>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6"/>
        <w:jc w:val="center"/>
        <w:spacing w:before="240" w:after="240"/>
        <w:rPr>
          <w:rFonts w:hint="eastAsia" w:ascii="宋体" w:hAnsi="宋体" w:cs="宋体"/>
          <w:b/>
          <w:color w:val="000000"/>
          <w:sz w:val="28"/>
          <w:szCs w:val="28"/>
          <w:highlight w:val="none"/>
        </w:rPr>
      </w:pPr>
      <w:r/>
      <w:bookmarkStart w:id="75" w:name="_Toc353873932"/>
      <w:r/>
      <w:bookmarkStart w:id="76" w:name="_Toc195842882"/>
      <w:r/>
      <w:bookmarkStart w:id="77" w:name="_Toc305158859"/>
      <w:r/>
      <w:bookmarkStart w:id="78" w:name="_Toc265228355"/>
      <w:r/>
      <w:bookmarkStart w:id="79" w:name="_Toc150480755"/>
      <w:r/>
      <w:bookmarkStart w:id="80" w:name="_Toc305158785"/>
      <w:r/>
      <w:bookmarkStart w:id="81" w:name="_Toc142311019"/>
      <w:r/>
      <w:bookmarkStart w:id="82" w:name="_Toc353825542"/>
      <w:r/>
      <w:bookmarkStart w:id="83" w:name="_Toc264969207"/>
      <w:r/>
      <w:bookmarkStart w:id="84" w:name="_Toc353873662"/>
      <w:r/>
      <w:bookmarkStart w:id="85" w:name="_Toc150774722"/>
      <w:r/>
      <w:bookmarkStart w:id="86" w:name="_Toc226337213"/>
      <w:r/>
      <w:bookmarkStart w:id="87" w:name="_Toc127151517"/>
      <w:r/>
      <w:bookmarkStart w:id="88" w:name="_Toc226965790"/>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88"/>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1193616"/>
      <w:r/>
      <w:bookmarkStart w:id="92" w:name="_Toc226965708"/>
      <w:r/>
      <w:bookmarkStart w:id="93" w:name="_Toc150774723"/>
      <w:r/>
      <w:bookmarkStart w:id="94" w:name="_Toc226337214"/>
      <w:r/>
      <w:bookmarkStart w:id="95" w:name="_Toc226965791"/>
      <w:r/>
      <w:bookmarkStart w:id="96" w:name="_Toc151193906"/>
      <w:r/>
      <w:bookmarkStart w:id="97" w:name="_Toc226309762"/>
      <w:r/>
      <w:bookmarkStart w:id="98" w:name="_Toc142311020"/>
      <w:r/>
      <w:bookmarkStart w:id="99" w:name="_Toc265228356"/>
      <w:r/>
      <w:bookmarkStart w:id="100" w:name="_Toc151193688"/>
      <w:r/>
      <w:bookmarkStart w:id="101" w:name="_Toc151193760"/>
      <w:r/>
      <w:bookmarkStart w:id="102" w:name="_Toc150480756"/>
      <w:r/>
      <w:bookmarkStart w:id="103" w:name="_Toc151190145"/>
      <w:r/>
      <w:bookmarkStart w:id="104" w:name="_Toc264969208"/>
      <w:r/>
      <w:bookmarkStart w:id="105" w:name="_Toc151193832"/>
      <w:r/>
      <w:bookmarkStart w:id="106" w:name="_Toc305158786"/>
      <w:r/>
      <w:bookmarkStart w:id="107" w:name="_Toc195842883"/>
      <w:r/>
      <w:bookmarkStart w:id="108" w:name="_Toc150509269"/>
      <w:r/>
      <w:bookmarkStart w:id="109" w:name="_Toc305158860"/>
      <w:r/>
      <w:bookmarkStart w:id="110" w:name="_Toc15077461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5228357"/>
      <w:r/>
      <w:bookmarkStart w:id="112" w:name="_Toc305158787"/>
      <w:r/>
      <w:bookmarkStart w:id="113" w:name="_Toc305158861"/>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0774725"/>
      <w:r/>
      <w:bookmarkStart w:id="116" w:name="_Toc151193908"/>
      <w:r/>
      <w:bookmarkStart w:id="117" w:name="_Toc164608789"/>
      <w:r/>
      <w:bookmarkStart w:id="118" w:name="_Toc226965793"/>
      <w:r/>
      <w:bookmarkStart w:id="119" w:name="_Toc150774620"/>
      <w:r/>
      <w:bookmarkStart w:id="120" w:name="_Toc127151520"/>
      <w:r/>
      <w:bookmarkStart w:id="121" w:name="_Toc226309764"/>
      <w:r/>
      <w:bookmarkStart w:id="122" w:name="_Toc265228358"/>
      <w:r/>
      <w:bookmarkStart w:id="123" w:name="_Toc164608634"/>
      <w:r/>
      <w:bookmarkStart w:id="124" w:name="_Toc127161434"/>
      <w:r/>
      <w:bookmarkStart w:id="125" w:name="_Toc195842885"/>
      <w:r/>
      <w:bookmarkStart w:id="126" w:name="_Toc164229215"/>
      <w:r/>
      <w:bookmarkStart w:id="127" w:name="_Toc226337216"/>
      <w:r/>
      <w:bookmarkStart w:id="128" w:name="_Toc164351614"/>
      <w:r/>
      <w:bookmarkStart w:id="129" w:name="_Toc150509271"/>
      <w:r/>
      <w:bookmarkStart w:id="130" w:name="_Toc305158862"/>
      <w:r/>
      <w:bookmarkStart w:id="131" w:name="_Toc127151721"/>
      <w:r/>
      <w:bookmarkStart w:id="132" w:name="_Toc226965710"/>
      <w:r/>
      <w:bookmarkStart w:id="133" w:name="_Toc264969210"/>
      <w:r/>
      <w:bookmarkStart w:id="134" w:name="_Toc151193834"/>
      <w:r/>
      <w:bookmarkStart w:id="135" w:name="_Toc151190147"/>
      <w:r/>
      <w:bookmarkStart w:id="136" w:name="_Toc142311022"/>
      <w:r/>
      <w:bookmarkStart w:id="137" w:name="_Toc305158788"/>
      <w:r/>
      <w:bookmarkStart w:id="138" w:name="_Toc150480758"/>
      <w:r/>
      <w:bookmarkStart w:id="139" w:name="_Toc151193762"/>
      <w:r/>
      <w:bookmarkStart w:id="140" w:name="_Toc164229361"/>
      <w:r/>
      <w:bookmarkStart w:id="141" w:name="_Toc151193690"/>
      <w:r/>
      <w:bookmarkStart w:id="142" w:name="_Toc151193618"/>
      <w:r/>
      <w:bookmarkStart w:id="143" w:name="_Toc149720813"/>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27151522"/>
      <w:r/>
      <w:bookmarkStart w:id="145" w:name="_Toc264969212"/>
      <w:r/>
      <w:bookmarkStart w:id="146" w:name="_Toc142311024"/>
      <w:r/>
      <w:bookmarkStart w:id="147" w:name="_Toc151193836"/>
      <w:r/>
      <w:bookmarkStart w:id="148" w:name="_Toc226965712"/>
      <w:r/>
      <w:bookmarkStart w:id="149" w:name="_Toc305158864"/>
      <w:r/>
      <w:bookmarkStart w:id="150" w:name="_Toc150509273"/>
      <w:r/>
      <w:bookmarkStart w:id="151" w:name="_Toc151193620"/>
      <w:r/>
      <w:bookmarkStart w:id="152" w:name="_Toc520356146"/>
      <w:r/>
      <w:bookmarkStart w:id="153" w:name="_Toc265228360"/>
      <w:r/>
      <w:bookmarkStart w:id="154" w:name="_Toc226965795"/>
      <w:r/>
      <w:bookmarkStart w:id="155" w:name="_Toc150774727"/>
      <w:r/>
      <w:bookmarkStart w:id="156" w:name="_Toc150480760"/>
      <w:r/>
      <w:bookmarkStart w:id="157" w:name="_Toc151193910"/>
      <w:r/>
      <w:bookmarkStart w:id="158" w:name="_Toc226309766"/>
      <w:r/>
      <w:bookmarkStart w:id="159" w:name="_Toc226337218"/>
      <w:r/>
      <w:bookmarkStart w:id="160" w:name="_Toc195842887"/>
      <w:r/>
      <w:bookmarkStart w:id="161" w:name="_Toc151190149"/>
      <w:r/>
      <w:bookmarkStart w:id="162" w:name="_Toc150774622"/>
      <w:r/>
      <w:bookmarkStart w:id="163" w:name="_Toc151193764"/>
      <w:r/>
      <w:bookmarkStart w:id="164" w:name="_Toc151193692"/>
      <w:r/>
      <w:bookmarkStart w:id="165" w:name="_Toc305158790"/>
      <w:r>
        <w:rPr>
          <w:rFonts w:hint="eastAsia" w:ascii="宋体" w:hAnsi="宋体" w:cs="宋体"/>
          <w:color w:val="000000"/>
          <w:sz w:val="28"/>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6"/>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6"/>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6"/>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305158791"/>
      <w:r/>
      <w:bookmarkStart w:id="168" w:name="_Toc150774623"/>
      <w:r/>
      <w:bookmarkStart w:id="169" w:name="_Toc149720816"/>
      <w:r/>
      <w:bookmarkStart w:id="170" w:name="_Toc142311025"/>
      <w:r/>
      <w:bookmarkStart w:id="171" w:name="_Toc226965713"/>
      <w:r/>
      <w:bookmarkStart w:id="172" w:name="_Toc195842888"/>
      <w:r/>
      <w:bookmarkStart w:id="173" w:name="_Toc164229364"/>
      <w:r/>
      <w:bookmarkStart w:id="174" w:name="_Toc265228361"/>
      <w:r/>
      <w:bookmarkStart w:id="175" w:name="_Toc151193621"/>
      <w:r/>
      <w:bookmarkStart w:id="176" w:name="_Toc127151523"/>
      <w:r/>
      <w:bookmarkStart w:id="177" w:name="_Toc151190150"/>
      <w:r/>
      <w:bookmarkStart w:id="178" w:name="_Toc151193693"/>
      <w:r/>
      <w:bookmarkStart w:id="179" w:name="_Toc151193911"/>
      <w:r/>
      <w:bookmarkStart w:id="180" w:name="_Toc264969213"/>
      <w:r/>
      <w:bookmarkStart w:id="181" w:name="_Toc127151724"/>
      <w:r/>
      <w:bookmarkStart w:id="182" w:name="_Toc151193765"/>
      <w:r/>
      <w:bookmarkStart w:id="183" w:name="_Toc164351617"/>
      <w:r/>
      <w:bookmarkStart w:id="184" w:name="_Toc226965796"/>
      <w:r/>
      <w:bookmarkStart w:id="185" w:name="_Toc305158865"/>
      <w:r/>
      <w:bookmarkStart w:id="186" w:name="_Toc150509274"/>
      <w:r/>
      <w:bookmarkStart w:id="187" w:name="_Toc150774728"/>
      <w:r/>
      <w:bookmarkStart w:id="188" w:name="_Toc127161437"/>
      <w:r/>
      <w:bookmarkStart w:id="189" w:name="_Toc164608637"/>
      <w:r/>
      <w:bookmarkStart w:id="190" w:name="_Toc150480761"/>
      <w:r/>
      <w:bookmarkStart w:id="191" w:name="_Toc151193837"/>
      <w:r/>
      <w:bookmarkStart w:id="192" w:name="_Toc226309767"/>
      <w:r/>
      <w:bookmarkStart w:id="193" w:name="_Toc520356147"/>
      <w:r/>
      <w:bookmarkStart w:id="194" w:name="_Toc164229218"/>
      <w:r/>
      <w:bookmarkStart w:id="195" w:name="_Toc164608792"/>
      <w:r/>
      <w:bookmarkStart w:id="196" w:name="_Toc226337219"/>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197" w:name="_Toc151190153"/>
      <w:r/>
      <w:bookmarkStart w:id="198" w:name="_Toc226337222"/>
      <w:r/>
      <w:bookmarkStart w:id="199" w:name="_Toc142311028"/>
      <w:r/>
      <w:bookmarkStart w:id="200" w:name="_Toc150480764"/>
      <w:r/>
      <w:bookmarkStart w:id="201" w:name="_Toc305158794"/>
      <w:r/>
      <w:bookmarkStart w:id="202" w:name="_Toc151193840"/>
      <w:r/>
      <w:bookmarkStart w:id="203" w:name="_Toc264969216"/>
      <w:r/>
      <w:bookmarkStart w:id="204" w:name="_Toc151193768"/>
      <w:r/>
      <w:bookmarkStart w:id="205" w:name="_Toc195842891"/>
      <w:r/>
      <w:bookmarkStart w:id="206" w:name="_Toc151193696"/>
      <w:r/>
      <w:bookmarkStart w:id="207" w:name="_Toc127151526"/>
      <w:r/>
      <w:bookmarkStart w:id="208" w:name="_Toc226965799"/>
      <w:r/>
      <w:bookmarkStart w:id="209" w:name="_Toc226965716"/>
      <w:r/>
      <w:bookmarkStart w:id="210" w:name="_Toc516367020"/>
      <w:r/>
      <w:bookmarkStart w:id="211" w:name="_Toc151193914"/>
      <w:r/>
      <w:bookmarkStart w:id="212" w:name="_Toc520356150"/>
      <w:r/>
      <w:bookmarkStart w:id="213" w:name="_Toc150774731"/>
      <w:r/>
      <w:bookmarkStart w:id="214" w:name="_Toc305158868"/>
      <w:r/>
      <w:bookmarkStart w:id="215" w:name="_Toc265228364"/>
      <w:r/>
      <w:bookmarkStart w:id="216" w:name="_Toc226309770"/>
      <w:r/>
      <w:bookmarkStart w:id="217" w:name="_Toc150509277"/>
      <w:r/>
      <w:bookmarkStart w:id="218" w:name="_Toc151193624"/>
      <w:r/>
      <w:bookmarkStart w:id="219" w:name="_Toc150774626"/>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3915"/>
      <w:r/>
      <w:bookmarkStart w:id="221" w:name="_Toc164351621"/>
      <w:r/>
      <w:bookmarkStart w:id="222" w:name="_Toc226965800"/>
      <w:r/>
      <w:bookmarkStart w:id="223" w:name="_Toc164229222"/>
      <w:r/>
      <w:bookmarkStart w:id="224" w:name="_Toc150509278"/>
      <w:r/>
      <w:bookmarkStart w:id="225" w:name="_Toc149720820"/>
      <w:r/>
      <w:bookmarkStart w:id="226" w:name="_Toc195842892"/>
      <w:r/>
      <w:bookmarkStart w:id="227" w:name="_Toc151193625"/>
      <w:r/>
      <w:bookmarkStart w:id="228" w:name="_Toc151193697"/>
      <w:r/>
      <w:bookmarkStart w:id="229" w:name="_Toc150774627"/>
      <w:r/>
      <w:bookmarkStart w:id="230" w:name="_Toc226309771"/>
      <w:r/>
      <w:bookmarkStart w:id="231" w:name="_Toc164608641"/>
      <w:r/>
      <w:bookmarkStart w:id="232" w:name="_Toc164608796"/>
      <w:r/>
      <w:bookmarkStart w:id="233" w:name="_Toc226337223"/>
      <w:r/>
      <w:bookmarkStart w:id="234" w:name="_Toc264969217"/>
      <w:r/>
      <w:bookmarkStart w:id="235" w:name="_Toc127161441"/>
      <w:r/>
      <w:bookmarkStart w:id="236" w:name="_Toc151190154"/>
      <w:r/>
      <w:bookmarkStart w:id="237" w:name="_Toc520356151"/>
      <w:r/>
      <w:bookmarkStart w:id="238" w:name="_Toc265228365"/>
      <w:r/>
      <w:bookmarkStart w:id="239" w:name="_Toc127151728"/>
      <w:r/>
      <w:bookmarkStart w:id="240" w:name="_Toc516367021"/>
      <w:r/>
      <w:bookmarkStart w:id="241" w:name="_Toc127151527"/>
      <w:r/>
      <w:bookmarkStart w:id="242" w:name="_Toc151193841"/>
      <w:r/>
      <w:bookmarkStart w:id="243" w:name="_Toc151193769"/>
      <w:r/>
      <w:bookmarkStart w:id="244" w:name="_Toc226965717"/>
      <w:r/>
      <w:bookmarkStart w:id="245" w:name="_Toc142311029"/>
      <w:r/>
      <w:bookmarkStart w:id="246" w:name="_Toc305158869"/>
      <w:r/>
      <w:bookmarkStart w:id="247" w:name="_Toc150480765"/>
      <w:r/>
      <w:bookmarkStart w:id="248" w:name="_Toc150774732"/>
      <w:r/>
      <w:bookmarkStart w:id="249" w:name="_Toc305158795"/>
      <w:r/>
      <w:bookmarkStart w:id="250" w:name="_Toc164229368"/>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265228366"/>
      <w:r/>
      <w:bookmarkStart w:id="252" w:name="_Toc151193626"/>
      <w:r/>
      <w:bookmarkStart w:id="253" w:name="_Toc150509279"/>
      <w:r/>
      <w:bookmarkStart w:id="254" w:name="_Toc305158796"/>
      <w:r/>
      <w:bookmarkStart w:id="255" w:name="_Toc164608797"/>
      <w:r/>
      <w:bookmarkStart w:id="256" w:name="_Toc127151528"/>
      <w:r/>
      <w:bookmarkStart w:id="257" w:name="_Toc226965718"/>
      <w:r/>
      <w:bookmarkStart w:id="258" w:name="_Toc516367022"/>
      <w:r/>
      <w:bookmarkStart w:id="259" w:name="_Ref467306195"/>
      <w:r/>
      <w:bookmarkStart w:id="260" w:name="_Ref467306676"/>
      <w:r/>
      <w:bookmarkStart w:id="261" w:name="_Toc164608642"/>
      <w:r/>
      <w:bookmarkStart w:id="262" w:name="_Toc150774733"/>
      <w:r/>
      <w:bookmarkStart w:id="263" w:name="_Toc305158870"/>
      <w:r/>
      <w:bookmarkStart w:id="264" w:name="_Toc149720821"/>
      <w:r/>
      <w:bookmarkStart w:id="265" w:name="_Toc520356152"/>
      <w:r/>
      <w:bookmarkStart w:id="266" w:name="_Toc164229369"/>
      <w:r/>
      <w:bookmarkStart w:id="267" w:name="_Toc127151729"/>
      <w:r/>
      <w:bookmarkStart w:id="268" w:name="_Toc226337224"/>
      <w:r/>
      <w:bookmarkStart w:id="269" w:name="_Toc127161442"/>
      <w:r/>
      <w:bookmarkStart w:id="270" w:name="_Toc226965801"/>
      <w:r/>
      <w:bookmarkStart w:id="271" w:name="_Toc164351622"/>
      <w:r/>
      <w:bookmarkStart w:id="272" w:name="_Toc226309772"/>
      <w:r/>
      <w:bookmarkStart w:id="273" w:name="_Toc151193842"/>
      <w:r/>
      <w:bookmarkStart w:id="274" w:name="_Toc142311030"/>
      <w:r/>
      <w:bookmarkStart w:id="275" w:name="_Toc195842893"/>
      <w:r/>
      <w:bookmarkStart w:id="276" w:name="_Toc151193770"/>
      <w:r/>
      <w:bookmarkStart w:id="277" w:name="_Toc150480766"/>
      <w:r/>
      <w:bookmarkStart w:id="278" w:name="_Toc151193916"/>
      <w:r/>
      <w:bookmarkStart w:id="279" w:name="_Toc151190155"/>
      <w:r/>
      <w:bookmarkStart w:id="280" w:name="_Toc164229223"/>
      <w:r/>
      <w:bookmarkStart w:id="281" w:name="_Toc264969218"/>
      <w:r/>
      <w:bookmarkStart w:id="282" w:name="_Toc150774628"/>
      <w:r/>
      <w:bookmarkStart w:id="283" w:name="_Toc151193698"/>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42311032"/>
      <w:r/>
      <w:bookmarkStart w:id="286" w:name="_Toc520356155"/>
      <w:r/>
      <w:bookmarkStart w:id="287" w:name="_Toc127161444"/>
      <w:r/>
      <w:bookmarkStart w:id="288" w:name="_Toc127151731"/>
      <w:r/>
      <w:bookmarkStart w:id="289" w:name="_Toc164351624"/>
      <w:r/>
      <w:bookmarkStart w:id="290" w:name="_Toc150774735"/>
      <w:r/>
      <w:bookmarkStart w:id="291" w:name="_Toc150774630"/>
      <w:r/>
      <w:bookmarkStart w:id="292" w:name="_Toc164229371"/>
      <w:r/>
      <w:bookmarkStart w:id="293" w:name="_Toc151193844"/>
      <w:r/>
      <w:bookmarkStart w:id="294" w:name="_Toc151193918"/>
      <w:r/>
      <w:bookmarkStart w:id="295" w:name="_Toc164608799"/>
      <w:r/>
      <w:bookmarkStart w:id="296" w:name="_Toc151193700"/>
      <w:r/>
      <w:bookmarkStart w:id="297" w:name="_Toc127151530"/>
      <w:r/>
      <w:bookmarkStart w:id="298" w:name="_Toc164229225"/>
      <w:r/>
      <w:bookmarkStart w:id="299" w:name="_Toc150509281"/>
      <w:r/>
      <w:bookmarkStart w:id="300" w:name="_Toc151190157"/>
      <w:r/>
      <w:bookmarkStart w:id="301" w:name="_Toc151193772"/>
      <w:r/>
      <w:bookmarkStart w:id="302" w:name="_Toc149720823"/>
      <w:r/>
      <w:bookmarkStart w:id="303" w:name="_Toc164608644"/>
      <w:r/>
      <w:bookmarkStart w:id="304" w:name="_Toc150480768"/>
      <w:r/>
      <w:bookmarkStart w:id="305" w:name="_Toc151193628"/>
      <w:r/>
      <w:bookmarkStart w:id="306" w:name="_Toc19584289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608645"/>
      <w:r/>
      <w:bookmarkStart w:id="308" w:name="_Toc195842896"/>
      <w:r/>
      <w:bookmarkStart w:id="309" w:name="_Toc264969221"/>
      <w:r/>
      <w:bookmarkStart w:id="310" w:name="_Toc164229226"/>
      <w:r/>
      <w:bookmarkStart w:id="311" w:name="_Ref467306513"/>
      <w:r/>
      <w:bookmarkStart w:id="312" w:name="_Toc127151531"/>
      <w:r/>
      <w:bookmarkStart w:id="313" w:name="_Toc164351625"/>
      <w:r/>
      <w:bookmarkStart w:id="314" w:name="_Toc127151732"/>
      <w:r/>
      <w:bookmarkStart w:id="315" w:name="_Toc127161445"/>
      <w:r/>
      <w:bookmarkStart w:id="316" w:name="_Toc305158873"/>
      <w:r/>
      <w:bookmarkStart w:id="317" w:name="_Toc150774736"/>
      <w:r/>
      <w:bookmarkStart w:id="318" w:name="_Toc164229372"/>
      <w:r/>
      <w:bookmarkStart w:id="319" w:name="_Toc151193701"/>
      <w:r/>
      <w:bookmarkStart w:id="320" w:name="_Toc226309775"/>
      <w:r/>
      <w:bookmarkStart w:id="321" w:name="_Toc226965804"/>
      <w:r/>
      <w:bookmarkStart w:id="322" w:name="_Toc151193773"/>
      <w:r/>
      <w:bookmarkStart w:id="323" w:name="_Toc305158799"/>
      <w:r/>
      <w:bookmarkStart w:id="324" w:name="_Toc164608800"/>
      <w:r/>
      <w:bookmarkStart w:id="325" w:name="_Toc265228369"/>
      <w:r/>
      <w:bookmarkStart w:id="326" w:name="_Toc151190158"/>
      <w:r/>
      <w:bookmarkStart w:id="327" w:name="_Toc520356156"/>
      <w:r/>
      <w:bookmarkStart w:id="328" w:name="_Toc150509282"/>
      <w:r/>
      <w:bookmarkStart w:id="329" w:name="_Toc150774631"/>
      <w:r/>
      <w:bookmarkStart w:id="330" w:name="_Toc149720824"/>
      <w:r/>
      <w:bookmarkStart w:id="331" w:name="_Toc151193919"/>
      <w:r/>
      <w:bookmarkStart w:id="332" w:name="_Toc151193845"/>
      <w:r/>
      <w:bookmarkStart w:id="333" w:name="_Toc226965721"/>
      <w:r/>
      <w:bookmarkStart w:id="334" w:name="_Toc226337227"/>
      <w:r/>
      <w:bookmarkStart w:id="335" w:name="_Toc150480769"/>
      <w:r/>
      <w:bookmarkStart w:id="336" w:name="_Toc142311033"/>
      <w:r/>
      <w:bookmarkStart w:id="337" w:name="_Toc151193629"/>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6"/>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305158800"/>
      <w:r/>
      <w:bookmarkStart w:id="339" w:name="_Toc265228370"/>
      <w:r/>
      <w:bookmarkStart w:id="340" w:name="_Toc226965805"/>
      <w:r/>
      <w:bookmarkStart w:id="341" w:name="_Toc151193920"/>
      <w:r/>
      <w:bookmarkStart w:id="342" w:name="_Toc127161446"/>
      <w:r/>
      <w:bookmarkStart w:id="343" w:name="_Toc164351626"/>
      <w:r/>
      <w:bookmarkStart w:id="344" w:name="_Toc164229373"/>
      <w:r/>
      <w:bookmarkStart w:id="345" w:name="_Toc127151532"/>
      <w:r/>
      <w:bookmarkStart w:id="346" w:name="_Toc151190159"/>
      <w:r/>
      <w:bookmarkStart w:id="347" w:name="_Toc164608646"/>
      <w:r/>
      <w:bookmarkStart w:id="348" w:name="_Toc142311034"/>
      <w:r/>
      <w:bookmarkStart w:id="349" w:name="_Toc226337228"/>
      <w:r/>
      <w:bookmarkStart w:id="350" w:name="_Toc151193630"/>
      <w:r/>
      <w:bookmarkStart w:id="351" w:name="_Toc150774632"/>
      <w:r/>
      <w:bookmarkStart w:id="352" w:name="_Toc151193774"/>
      <w:r/>
      <w:bookmarkStart w:id="353" w:name="_Toc226309776"/>
      <w:r/>
      <w:bookmarkStart w:id="354" w:name="_Toc127151733"/>
      <w:r/>
      <w:bookmarkStart w:id="355" w:name="_Toc305158874"/>
      <w:r/>
      <w:bookmarkStart w:id="356" w:name="_Toc150509283"/>
      <w:r/>
      <w:bookmarkStart w:id="357" w:name="_Toc195842897"/>
      <w:r/>
      <w:bookmarkStart w:id="358" w:name="_Toc151193702"/>
      <w:r/>
      <w:bookmarkStart w:id="359" w:name="_Toc264969222"/>
      <w:r/>
      <w:bookmarkStart w:id="360" w:name="_Toc149720825"/>
      <w:r/>
      <w:bookmarkStart w:id="361" w:name="_Toc151193846"/>
      <w:r/>
      <w:bookmarkStart w:id="362" w:name="_Toc226965722"/>
      <w:r/>
      <w:bookmarkStart w:id="363" w:name="_Toc164229227"/>
      <w:r/>
      <w:bookmarkStart w:id="364" w:name="_Toc520356157"/>
      <w:r/>
      <w:bookmarkStart w:id="365" w:name="_Toc164608801"/>
      <w:r/>
      <w:bookmarkStart w:id="366" w:name="_Toc150774737"/>
      <w:r/>
      <w:bookmarkStart w:id="367" w:name="_Toc15048077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64229374"/>
      <w:r/>
      <w:bookmarkStart w:id="369" w:name="_Toc151193631"/>
      <w:r/>
      <w:bookmarkStart w:id="370" w:name="_Toc150480771"/>
      <w:r/>
      <w:bookmarkStart w:id="371" w:name="_Toc127151533"/>
      <w:r/>
      <w:bookmarkStart w:id="372" w:name="_Toc127161447"/>
      <w:r/>
      <w:bookmarkStart w:id="373" w:name="_Toc164608647"/>
      <w:r/>
      <w:bookmarkStart w:id="374" w:name="_Toc164229228"/>
      <w:r/>
      <w:bookmarkStart w:id="375" w:name="_Toc520356158"/>
      <w:r/>
      <w:bookmarkStart w:id="376" w:name="_Toc151193775"/>
      <w:r/>
      <w:bookmarkStart w:id="377" w:name="_Toc164351627"/>
      <w:r/>
      <w:bookmarkStart w:id="378" w:name="_Toc305158801"/>
      <w:r/>
      <w:bookmarkStart w:id="379" w:name="_Toc150774738"/>
      <w:r/>
      <w:bookmarkStart w:id="380" w:name="_Toc226965723"/>
      <w:r/>
      <w:bookmarkStart w:id="381" w:name="_Toc142311035"/>
      <w:r/>
      <w:bookmarkStart w:id="382" w:name="_Toc305158875"/>
      <w:r/>
      <w:bookmarkStart w:id="383" w:name="_Toc264969223"/>
      <w:r/>
      <w:bookmarkStart w:id="384" w:name="_Toc151193703"/>
      <w:r/>
      <w:bookmarkStart w:id="385" w:name="_Toc226309777"/>
      <w:r/>
      <w:bookmarkStart w:id="386" w:name="_Toc150509284"/>
      <w:r/>
      <w:bookmarkStart w:id="387" w:name="_Toc226337229"/>
      <w:r/>
      <w:bookmarkStart w:id="388" w:name="_Toc164608802"/>
      <w:r/>
      <w:bookmarkStart w:id="389" w:name="_Toc195842898"/>
      <w:r/>
      <w:bookmarkStart w:id="390" w:name="_Toc149720826"/>
      <w:r/>
      <w:bookmarkStart w:id="391" w:name="_Toc127151734"/>
      <w:r/>
      <w:bookmarkStart w:id="392" w:name="_Toc151190160"/>
      <w:r/>
      <w:bookmarkStart w:id="393" w:name="_Toc226965806"/>
      <w:r/>
      <w:bookmarkStart w:id="394" w:name="_Toc265228371"/>
      <w:r/>
      <w:bookmarkStart w:id="395" w:name="_Toc151193847"/>
      <w:r/>
      <w:bookmarkStart w:id="396" w:name="_Toc151193921"/>
      <w:r/>
      <w:bookmarkStart w:id="397" w:name="_Toc150774633"/>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64969224"/>
      <w:r/>
      <w:bookmarkStart w:id="399" w:name="_Toc305158802"/>
      <w:r/>
      <w:bookmarkStart w:id="400" w:name="_Toc127151534"/>
      <w:r/>
      <w:bookmarkStart w:id="401" w:name="_Toc226309778"/>
      <w:r/>
      <w:bookmarkStart w:id="402" w:name="_Toc151193848"/>
      <w:r/>
      <w:bookmarkStart w:id="403" w:name="_Toc151193776"/>
      <w:r/>
      <w:bookmarkStart w:id="404" w:name="_Toc151193632"/>
      <w:r/>
      <w:bookmarkStart w:id="405" w:name="_Toc226965724"/>
      <w:r/>
      <w:bookmarkStart w:id="406" w:name="_Toc226965807"/>
      <w:r/>
      <w:bookmarkStart w:id="407" w:name="_Toc265228372"/>
      <w:r/>
      <w:bookmarkStart w:id="408" w:name="_Toc151193922"/>
      <w:r/>
      <w:bookmarkStart w:id="409" w:name="_Toc150480772"/>
      <w:r/>
      <w:bookmarkStart w:id="410" w:name="_Toc150509285"/>
      <w:r/>
      <w:bookmarkStart w:id="411" w:name="_Toc520356159"/>
      <w:r/>
      <w:bookmarkStart w:id="412" w:name="_Toc142311036"/>
      <w:r/>
      <w:bookmarkStart w:id="413" w:name="_Toc226337230"/>
      <w:r/>
      <w:bookmarkStart w:id="414" w:name="_Toc195842899"/>
      <w:r/>
      <w:bookmarkStart w:id="415" w:name="_Toc151190161"/>
      <w:r/>
      <w:bookmarkStart w:id="416" w:name="_Toc150774739"/>
      <w:r/>
      <w:bookmarkStart w:id="417" w:name="_Toc150774634"/>
      <w:r/>
      <w:bookmarkStart w:id="418" w:name="_Toc151193704"/>
      <w:r/>
      <w:bookmarkStart w:id="419" w:name="_Toc30515887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6"/>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64608649"/>
      <w:r/>
      <w:bookmarkStart w:id="421" w:name="_Toc151193777"/>
      <w:r/>
      <w:bookmarkStart w:id="422" w:name="_Toc151190162"/>
      <w:r/>
      <w:bookmarkStart w:id="423" w:name="_Toc305158803"/>
      <w:r/>
      <w:bookmarkStart w:id="424" w:name="_Toc127151736"/>
      <w:r/>
      <w:bookmarkStart w:id="425" w:name="_Toc264969225"/>
      <w:r/>
      <w:bookmarkStart w:id="426" w:name="_Toc164351629"/>
      <w:r/>
      <w:bookmarkStart w:id="427" w:name="_Toc226309779"/>
      <w:r/>
      <w:bookmarkStart w:id="428" w:name="_Toc151193849"/>
      <w:r/>
      <w:bookmarkStart w:id="429" w:name="_Toc226337231"/>
      <w:r/>
      <w:bookmarkStart w:id="430" w:name="_Toc164229230"/>
      <w:r/>
      <w:bookmarkStart w:id="431" w:name="_Toc305158877"/>
      <w:r/>
      <w:bookmarkStart w:id="432" w:name="_Toc150509286"/>
      <w:r/>
      <w:bookmarkStart w:id="433" w:name="_Toc520356160"/>
      <w:r/>
      <w:bookmarkStart w:id="434" w:name="_Toc151193633"/>
      <w:r/>
      <w:bookmarkStart w:id="435" w:name="_Toc265228373"/>
      <w:r/>
      <w:bookmarkStart w:id="436" w:name="_Toc149720828"/>
      <w:r/>
      <w:bookmarkStart w:id="437" w:name="_Toc195842900"/>
      <w:r/>
      <w:bookmarkStart w:id="438" w:name="_Toc151193923"/>
      <w:r/>
      <w:bookmarkStart w:id="439" w:name="_Toc226965725"/>
      <w:r/>
      <w:bookmarkStart w:id="440" w:name="_Toc150774740"/>
      <w:r/>
      <w:bookmarkStart w:id="441" w:name="_Toc127161449"/>
      <w:r/>
      <w:bookmarkStart w:id="442" w:name="_Toc150774635"/>
      <w:r/>
      <w:bookmarkStart w:id="443" w:name="_Toc127151535"/>
      <w:r/>
      <w:bookmarkStart w:id="444" w:name="_Toc151193705"/>
      <w:r/>
      <w:bookmarkStart w:id="445" w:name="_Toc164229376"/>
      <w:r/>
      <w:bookmarkStart w:id="446" w:name="_Toc164608804"/>
      <w:r/>
      <w:bookmarkStart w:id="447" w:name="_Toc226965808"/>
      <w:r/>
      <w:bookmarkStart w:id="448" w:name="_Toc142311037"/>
      <w:r/>
      <w:bookmarkStart w:id="449" w:name="_Toc150480773"/>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65228374"/>
      <w:r/>
      <w:bookmarkStart w:id="451" w:name="_Toc164229231"/>
      <w:r/>
      <w:bookmarkStart w:id="452" w:name="_Toc264969226"/>
      <w:r/>
      <w:bookmarkStart w:id="453" w:name="_Toc151193778"/>
      <w:r/>
      <w:bookmarkStart w:id="454" w:name="_Toc226337232"/>
      <w:r/>
      <w:bookmarkStart w:id="455" w:name="_Toc127161450"/>
      <w:r/>
      <w:bookmarkStart w:id="456" w:name="_Toc127151536"/>
      <w:r/>
      <w:bookmarkStart w:id="457" w:name="_Toc150509287"/>
      <w:r/>
      <w:bookmarkStart w:id="458" w:name="_Toc150774741"/>
      <w:r/>
      <w:bookmarkStart w:id="459" w:name="_Toc151193850"/>
      <w:r/>
      <w:bookmarkStart w:id="460" w:name="_Toc195842901"/>
      <w:r/>
      <w:bookmarkStart w:id="461" w:name="_Toc150774636"/>
      <w:r/>
      <w:bookmarkStart w:id="462" w:name="_Toc127151737"/>
      <w:r/>
      <w:bookmarkStart w:id="463" w:name="_Toc151190163"/>
      <w:r/>
      <w:bookmarkStart w:id="464" w:name="_Toc151193634"/>
      <w:r/>
      <w:bookmarkStart w:id="465" w:name="_Toc226965726"/>
      <w:r/>
      <w:bookmarkStart w:id="466" w:name="_Toc142311038"/>
      <w:r/>
      <w:bookmarkStart w:id="467" w:name="_Toc164608805"/>
      <w:r/>
      <w:bookmarkStart w:id="468" w:name="_Toc305158804"/>
      <w:r/>
      <w:bookmarkStart w:id="469" w:name="_Toc164608650"/>
      <w:r/>
      <w:bookmarkStart w:id="470" w:name="_Toc149720829"/>
      <w:r/>
      <w:bookmarkStart w:id="471" w:name="_Toc150480774"/>
      <w:r/>
      <w:bookmarkStart w:id="472" w:name="_Toc520356161"/>
      <w:r/>
      <w:bookmarkStart w:id="473" w:name="_Toc305158878"/>
      <w:r/>
      <w:bookmarkStart w:id="474" w:name="_Toc226309780"/>
      <w:r/>
      <w:bookmarkStart w:id="475" w:name="_Toc226965809"/>
      <w:r/>
      <w:bookmarkStart w:id="476" w:name="_Toc164229377"/>
      <w:r/>
      <w:bookmarkStart w:id="477" w:name="_Toc151193924"/>
      <w:r/>
      <w:bookmarkStart w:id="478" w:name="_Toc151193706"/>
      <w:r/>
      <w:bookmarkStart w:id="479" w:name="_Toc164351630"/>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520356162"/>
      <w:r/>
      <w:bookmarkStart w:id="481" w:name="_Toc127151738"/>
      <w:r/>
      <w:bookmarkStart w:id="482" w:name="_Toc151193779"/>
      <w:r/>
      <w:bookmarkStart w:id="483" w:name="_Toc226965810"/>
      <w:r/>
      <w:bookmarkStart w:id="484" w:name="_Toc127151537"/>
      <w:r/>
      <w:bookmarkStart w:id="485" w:name="_Toc195842902"/>
      <w:r/>
      <w:bookmarkStart w:id="486" w:name="_Toc164351631"/>
      <w:r/>
      <w:bookmarkStart w:id="487" w:name="_Toc150480775"/>
      <w:r/>
      <w:bookmarkStart w:id="488" w:name="_Toc142311039"/>
      <w:r/>
      <w:bookmarkStart w:id="489" w:name="_Toc264969227"/>
      <w:r/>
      <w:bookmarkStart w:id="490" w:name="_Toc305158805"/>
      <w:r/>
      <w:bookmarkStart w:id="491" w:name="_Toc151193635"/>
      <w:r/>
      <w:bookmarkStart w:id="492" w:name="_Toc127161451"/>
      <w:r/>
      <w:bookmarkStart w:id="493" w:name="_Toc226309781"/>
      <w:r/>
      <w:bookmarkStart w:id="494" w:name="_Toc149720830"/>
      <w:r/>
      <w:bookmarkStart w:id="495" w:name="_Toc151193707"/>
      <w:r/>
      <w:bookmarkStart w:id="496" w:name="_Toc305158879"/>
      <w:r/>
      <w:bookmarkStart w:id="497" w:name="_Toc164229232"/>
      <w:r/>
      <w:bookmarkStart w:id="498" w:name="_Toc150774637"/>
      <w:r/>
      <w:bookmarkStart w:id="499" w:name="_Toc151190164"/>
      <w:r/>
      <w:bookmarkStart w:id="500" w:name="_Toc150774742"/>
      <w:r/>
      <w:bookmarkStart w:id="501" w:name="_Toc265228375"/>
      <w:r/>
      <w:bookmarkStart w:id="502" w:name="_Toc151193925"/>
      <w:r/>
      <w:bookmarkStart w:id="503" w:name="_Toc164608651"/>
      <w:r/>
      <w:bookmarkStart w:id="504" w:name="_Toc164608806"/>
      <w:r/>
      <w:bookmarkStart w:id="505" w:name="_Toc226337233"/>
      <w:r/>
      <w:bookmarkStart w:id="506" w:name="_Toc150509288"/>
      <w:r/>
      <w:bookmarkStart w:id="507" w:name="_Toc226965727"/>
      <w:r/>
      <w:bookmarkStart w:id="508" w:name="_Toc151193851"/>
      <w:r/>
      <w:bookmarkStart w:id="509" w:name="_Toc164229378"/>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10" w:name="_Toc150480776"/>
      <w:r/>
      <w:bookmarkStart w:id="511" w:name="_Toc305158806"/>
      <w:r/>
      <w:bookmarkStart w:id="512" w:name="_Toc195842903"/>
      <w:r/>
      <w:bookmarkStart w:id="513" w:name="_Toc151193780"/>
      <w:r/>
      <w:bookmarkStart w:id="514" w:name="_Toc226965728"/>
      <w:r/>
      <w:bookmarkStart w:id="515" w:name="_Toc520356163"/>
      <w:r/>
      <w:bookmarkStart w:id="516" w:name="_Toc226337234"/>
      <w:r/>
      <w:bookmarkStart w:id="517" w:name="_Toc305158880"/>
      <w:r/>
      <w:bookmarkStart w:id="518" w:name="_Toc151193636"/>
      <w:r/>
      <w:bookmarkStart w:id="519" w:name="_Toc264969228"/>
      <w:r/>
      <w:bookmarkStart w:id="520" w:name="_Toc265228376"/>
      <w:r/>
      <w:bookmarkStart w:id="521" w:name="_Toc142311040"/>
      <w:r/>
      <w:bookmarkStart w:id="522" w:name="_Toc151193852"/>
      <w:r/>
      <w:bookmarkStart w:id="523" w:name="_Toc150509289"/>
      <w:r/>
      <w:bookmarkStart w:id="524" w:name="_Toc226309782"/>
      <w:r/>
      <w:bookmarkStart w:id="525" w:name="_Toc226965811"/>
      <w:r/>
      <w:bookmarkStart w:id="526" w:name="_Toc150774638"/>
      <w:r/>
      <w:bookmarkStart w:id="527" w:name="_Toc127151538"/>
      <w:r/>
      <w:bookmarkStart w:id="528" w:name="_Toc151193708"/>
      <w:r/>
      <w:bookmarkStart w:id="529" w:name="_Toc150774743"/>
      <w:r/>
      <w:bookmarkStart w:id="530" w:name="_Toc151193926"/>
      <w:r/>
      <w:bookmarkStart w:id="531" w:name="_Toc151190165"/>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3853"/>
      <w:r/>
      <w:bookmarkStart w:id="533" w:name="_Toc164351633"/>
      <w:r/>
      <w:bookmarkStart w:id="534" w:name="_Toc520356164"/>
      <w:r/>
      <w:bookmarkStart w:id="535" w:name="_Toc142311041"/>
      <w:r/>
      <w:bookmarkStart w:id="536" w:name="_Toc127151740"/>
      <w:r/>
      <w:bookmarkStart w:id="537" w:name="_Toc149720832"/>
      <w:r/>
      <w:bookmarkStart w:id="538" w:name="_Toc164608653"/>
      <w:r/>
      <w:bookmarkStart w:id="539" w:name="_Toc264969229"/>
      <w:r/>
      <w:bookmarkStart w:id="540" w:name="_Toc164229380"/>
      <w:r/>
      <w:bookmarkStart w:id="541" w:name="_Toc226309783"/>
      <w:r/>
      <w:bookmarkStart w:id="542" w:name="_Toc164229234"/>
      <w:r/>
      <w:bookmarkStart w:id="543" w:name="_Toc127161453"/>
      <w:r/>
      <w:bookmarkStart w:id="544" w:name="_Toc305158881"/>
      <w:r/>
      <w:bookmarkStart w:id="545" w:name="_Toc195842904"/>
      <w:r/>
      <w:bookmarkStart w:id="546" w:name="_Toc151193927"/>
      <w:r/>
      <w:bookmarkStart w:id="547" w:name="_Toc127151539"/>
      <w:r/>
      <w:bookmarkStart w:id="548" w:name="_Toc151190166"/>
      <w:r/>
      <w:bookmarkStart w:id="549" w:name="_Toc150774639"/>
      <w:r/>
      <w:bookmarkStart w:id="550" w:name="_Toc151193781"/>
      <w:r/>
      <w:bookmarkStart w:id="551" w:name="_Toc150774744"/>
      <w:r/>
      <w:bookmarkStart w:id="552" w:name="_Toc226337235"/>
      <w:r/>
      <w:bookmarkStart w:id="553" w:name="_Toc226965729"/>
      <w:r/>
      <w:bookmarkStart w:id="554" w:name="_Toc164608808"/>
      <w:r/>
      <w:bookmarkStart w:id="555" w:name="_Toc151193709"/>
      <w:r/>
      <w:bookmarkStart w:id="556" w:name="_Toc151193637"/>
      <w:r/>
      <w:bookmarkStart w:id="557" w:name="_Toc226965812"/>
      <w:r/>
      <w:bookmarkStart w:id="558" w:name="_Toc150509290"/>
      <w:r/>
      <w:bookmarkStart w:id="559" w:name="_Toc265228377"/>
      <w:r/>
      <w:bookmarkStart w:id="560" w:name="_Toc305158807"/>
      <w:r/>
      <w:bookmarkStart w:id="561" w:name="_Toc150480777"/>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6"/>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65228378"/>
      <w:r/>
      <w:bookmarkStart w:id="564" w:name="_Toc264969230"/>
      <w:r/>
      <w:bookmarkStart w:id="565" w:name="_Toc149720833"/>
      <w:r/>
      <w:bookmarkStart w:id="566" w:name="_Toc226337236"/>
      <w:r/>
      <w:bookmarkStart w:id="567" w:name="_Toc151193710"/>
      <w:r/>
      <w:bookmarkStart w:id="568" w:name="_Toc164351634"/>
      <w:r/>
      <w:bookmarkStart w:id="569" w:name="_Toc127151741"/>
      <w:r/>
      <w:bookmarkStart w:id="570" w:name="_Toc150774745"/>
      <w:r/>
      <w:bookmarkStart w:id="571" w:name="_Toc164229381"/>
      <w:r/>
      <w:bookmarkStart w:id="572" w:name="_Toc195842905"/>
      <w:r/>
      <w:bookmarkStart w:id="573" w:name="_Toc226965730"/>
      <w:r/>
      <w:bookmarkStart w:id="574" w:name="_Toc164608654"/>
      <w:r/>
      <w:bookmarkStart w:id="575" w:name="_Toc305158808"/>
      <w:r/>
      <w:bookmarkStart w:id="576" w:name="_Toc150774640"/>
      <w:r/>
      <w:bookmarkStart w:id="577" w:name="_Toc164229235"/>
      <w:r/>
      <w:bookmarkStart w:id="578" w:name="_Toc151190167"/>
      <w:r/>
      <w:bookmarkStart w:id="579" w:name="_Toc151193782"/>
      <w:r/>
      <w:bookmarkStart w:id="580" w:name="_Toc151193638"/>
      <w:r/>
      <w:bookmarkStart w:id="581" w:name="_Toc127161454"/>
      <w:r/>
      <w:bookmarkStart w:id="582" w:name="_Toc151193854"/>
      <w:r/>
      <w:bookmarkStart w:id="583" w:name="_Toc127151540"/>
      <w:r/>
      <w:bookmarkStart w:id="584" w:name="_Toc150480778"/>
      <w:r/>
      <w:bookmarkStart w:id="585" w:name="_Toc226965813"/>
      <w:r/>
      <w:bookmarkStart w:id="586" w:name="_Toc226309784"/>
      <w:r/>
      <w:bookmarkStart w:id="587" w:name="_Toc151193928"/>
      <w:r/>
      <w:bookmarkStart w:id="588" w:name="_Toc305158882"/>
      <w:r/>
      <w:bookmarkStart w:id="589" w:name="_Toc150509291"/>
      <w:r/>
      <w:bookmarkStart w:id="590" w:name="_Toc142311042"/>
      <w:r/>
      <w:bookmarkStart w:id="591" w:name="_Toc164608809"/>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6"/>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94" w:name="_Toc150480783"/>
      <w:r/>
      <w:bookmarkStart w:id="595" w:name="_Toc151193787"/>
      <w:r/>
      <w:bookmarkStart w:id="596" w:name="_Toc226965818"/>
      <w:r/>
      <w:bookmarkStart w:id="597" w:name="_Toc150509296"/>
      <w:r/>
      <w:bookmarkStart w:id="598" w:name="_Toc226965735"/>
      <w:r/>
      <w:bookmarkStart w:id="599" w:name="_Toc226337241"/>
      <w:r/>
      <w:bookmarkStart w:id="600" w:name="_Toc151190172"/>
      <w:r/>
      <w:bookmarkStart w:id="601" w:name="_Toc195842910"/>
      <w:r/>
      <w:bookmarkStart w:id="602" w:name="_Toc150774645"/>
      <w:r/>
      <w:bookmarkStart w:id="603" w:name="_Toc142311047"/>
      <w:r/>
      <w:bookmarkStart w:id="604" w:name="_Toc151193859"/>
      <w:r/>
      <w:bookmarkStart w:id="605" w:name="_Toc151193715"/>
      <w:r/>
      <w:bookmarkStart w:id="606" w:name="_Toc151193933"/>
      <w:r/>
      <w:bookmarkStart w:id="607" w:name="_Toc151193643"/>
      <w:r/>
      <w:bookmarkStart w:id="608" w:name="_Toc264969235"/>
      <w:r/>
      <w:bookmarkStart w:id="609" w:name="_Toc305158887"/>
      <w:r/>
      <w:bookmarkStart w:id="610" w:name="_Toc305158813"/>
      <w:r/>
      <w:bookmarkStart w:id="611" w:name="_Toc226309789"/>
      <w:r/>
      <w:bookmarkStart w:id="612" w:name="_Toc127151545"/>
      <w:r/>
      <w:bookmarkStart w:id="613" w:name="_Toc150774750"/>
      <w:r/>
      <w:bookmarkStart w:id="614" w:name="_Toc26522838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737"/>
      <w:r/>
      <w:bookmarkStart w:id="616" w:name="_Toc265228385"/>
      <w:r/>
      <w:bookmarkStart w:id="617" w:name="_Toc149720840"/>
      <w:r/>
      <w:bookmarkStart w:id="618" w:name="_Toc195842912"/>
      <w:r/>
      <w:bookmarkStart w:id="619" w:name="_Toc226309791"/>
      <w:r/>
      <w:bookmarkStart w:id="620" w:name="_Toc164229388"/>
      <w:r/>
      <w:bookmarkStart w:id="621" w:name="_Toc151193935"/>
      <w:r/>
      <w:bookmarkStart w:id="622" w:name="_Toc150774752"/>
      <w:r/>
      <w:bookmarkStart w:id="623" w:name="_Toc305158889"/>
      <w:r/>
      <w:bookmarkStart w:id="624" w:name="_Toc151193645"/>
      <w:r/>
      <w:bookmarkStart w:id="625" w:name="_Toc164229242"/>
      <w:r/>
      <w:bookmarkStart w:id="626" w:name="_Toc127151547"/>
      <w:r/>
      <w:bookmarkStart w:id="627" w:name="_Toc151193789"/>
      <w:r/>
      <w:bookmarkStart w:id="628" w:name="_Toc264969237"/>
      <w:r/>
      <w:bookmarkStart w:id="629" w:name="_Toc305158815"/>
      <w:r/>
      <w:bookmarkStart w:id="630" w:name="_Toc127151748"/>
      <w:r/>
      <w:bookmarkStart w:id="631" w:name="_Toc164608661"/>
      <w:r/>
      <w:bookmarkStart w:id="632" w:name="_Toc164351641"/>
      <w:r/>
      <w:bookmarkStart w:id="633" w:name="_Toc150480785"/>
      <w:r/>
      <w:bookmarkStart w:id="634" w:name="_Toc151193717"/>
      <w:r/>
      <w:bookmarkStart w:id="635" w:name="_Toc164608816"/>
      <w:r/>
      <w:bookmarkStart w:id="636" w:name="_Toc150509298"/>
      <w:r/>
      <w:bookmarkStart w:id="637" w:name="_Toc142311049"/>
      <w:r/>
      <w:bookmarkStart w:id="638" w:name="_Toc226965820"/>
      <w:r/>
      <w:bookmarkStart w:id="639" w:name="_Toc151193861"/>
      <w:r/>
      <w:bookmarkStart w:id="640" w:name="_Toc226337243"/>
      <w:r/>
      <w:bookmarkStart w:id="641" w:name="_Toc127161461"/>
      <w:r/>
      <w:bookmarkStart w:id="642" w:name="_Toc151190174"/>
      <w:r/>
      <w:bookmarkStart w:id="643" w:name="_Toc150774647"/>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0509300"/>
      <w:r/>
      <w:bookmarkStart w:id="645" w:name="_Toc195842914"/>
      <w:r/>
      <w:bookmarkStart w:id="646" w:name="_Toc151193791"/>
      <w:r/>
      <w:bookmarkStart w:id="647" w:name="_Toc305158817"/>
      <w:r/>
      <w:bookmarkStart w:id="648" w:name="_Toc151193937"/>
      <w:r/>
      <w:bookmarkStart w:id="649" w:name="_Toc127161463"/>
      <w:r/>
      <w:bookmarkStart w:id="650" w:name="_Toc164229390"/>
      <w:r/>
      <w:bookmarkStart w:id="651" w:name="_Toc164608818"/>
      <w:r/>
      <w:bookmarkStart w:id="652" w:name="_Ref467306425"/>
      <w:r/>
      <w:bookmarkStart w:id="653" w:name="_Toc520356176"/>
      <w:r/>
      <w:bookmarkStart w:id="654" w:name="_Ref467307090"/>
      <w:r/>
      <w:bookmarkStart w:id="655" w:name="_Toc226965822"/>
      <w:r/>
      <w:bookmarkStart w:id="656" w:name="_Toc150774754"/>
      <w:r/>
      <w:bookmarkStart w:id="657" w:name="_Toc226309793"/>
      <w:r/>
      <w:bookmarkStart w:id="658" w:name="_Toc142311051"/>
      <w:r/>
      <w:bookmarkStart w:id="659" w:name="_Toc226337245"/>
      <w:r/>
      <w:bookmarkStart w:id="660" w:name="_Toc164229244"/>
      <w:r/>
      <w:bookmarkStart w:id="661" w:name="_Toc305158891"/>
      <w:r/>
      <w:bookmarkStart w:id="662" w:name="_Toc127151549"/>
      <w:r/>
      <w:bookmarkStart w:id="663" w:name="_Toc264969239"/>
      <w:r/>
      <w:bookmarkStart w:id="664" w:name="_Toc150774649"/>
      <w:r/>
      <w:bookmarkStart w:id="665" w:name="_Toc150480787"/>
      <w:r/>
      <w:bookmarkStart w:id="666" w:name="_Toc151190176"/>
      <w:r/>
      <w:bookmarkStart w:id="667" w:name="_Toc151193719"/>
      <w:r/>
      <w:bookmarkStart w:id="668" w:name="_Toc226965739"/>
      <w:r/>
      <w:bookmarkStart w:id="669" w:name="_Toc149720842"/>
      <w:r/>
      <w:bookmarkStart w:id="670" w:name="_Toc164351643"/>
      <w:r/>
      <w:bookmarkStart w:id="671" w:name="_Toc164608663"/>
      <w:r/>
      <w:bookmarkStart w:id="672" w:name="_Toc127151750"/>
      <w:r/>
      <w:bookmarkStart w:id="673" w:name="_Toc151193863"/>
      <w:r/>
      <w:bookmarkStart w:id="674" w:name="_Toc151193647"/>
      <w:r/>
      <w:bookmarkStart w:id="675" w:name="_Toc265228387"/>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6"/>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6978"/>
      <w:r/>
      <w:bookmarkStart w:id="677" w:name="_Toc142311052"/>
      <w:r/>
      <w:bookmarkStart w:id="678" w:name="_Toc150774650"/>
      <w:r/>
      <w:bookmarkStart w:id="679" w:name="_Toc226337246"/>
      <w:r/>
      <w:bookmarkStart w:id="680" w:name="_Toc150480788"/>
      <w:r/>
      <w:bookmarkStart w:id="681" w:name="_Toc226965740"/>
      <w:r/>
      <w:bookmarkStart w:id="682" w:name="_Toc226965823"/>
      <w:r/>
      <w:bookmarkStart w:id="683" w:name="_Toc150509301"/>
      <w:r/>
      <w:bookmarkStart w:id="684" w:name="_Toc305158818"/>
      <w:r/>
      <w:bookmarkStart w:id="685" w:name="_Toc195842915"/>
      <w:r/>
      <w:bookmarkStart w:id="686" w:name="_Toc164351644"/>
      <w:r/>
      <w:bookmarkStart w:id="687" w:name="_Toc164229245"/>
      <w:r/>
      <w:bookmarkStart w:id="688" w:name="_Toc151193938"/>
      <w:r/>
      <w:bookmarkStart w:id="689" w:name="_Toc305158892"/>
      <w:r/>
      <w:bookmarkStart w:id="690" w:name="_Ref467307204"/>
      <w:r/>
      <w:bookmarkStart w:id="691" w:name="_Toc226309794"/>
      <w:r/>
      <w:bookmarkStart w:id="692" w:name="_Toc151193864"/>
      <w:r/>
      <w:bookmarkStart w:id="693" w:name="_Toc127161464"/>
      <w:r/>
      <w:bookmarkStart w:id="694" w:name="_Toc150774755"/>
      <w:r/>
      <w:bookmarkStart w:id="695" w:name="_Ref467307062"/>
      <w:r/>
      <w:bookmarkStart w:id="696" w:name="_Toc265228388"/>
      <w:r/>
      <w:bookmarkStart w:id="697" w:name="_Toc164608819"/>
      <w:r/>
      <w:bookmarkStart w:id="698" w:name="_Toc149720843"/>
      <w:r/>
      <w:bookmarkStart w:id="699" w:name="_Toc151190177"/>
      <w:r/>
      <w:bookmarkStart w:id="700" w:name="_Toc127151550"/>
      <w:r/>
      <w:bookmarkStart w:id="701" w:name="_Toc164229391"/>
      <w:r/>
      <w:bookmarkStart w:id="702" w:name="_Toc520356175"/>
      <w:r/>
      <w:bookmarkStart w:id="703" w:name="_Ref467306377"/>
      <w:r/>
      <w:bookmarkStart w:id="704" w:name="_Toc151193792"/>
      <w:r/>
      <w:bookmarkStart w:id="705" w:name="_Toc151193648"/>
      <w:r/>
      <w:bookmarkStart w:id="706" w:name="_Toc264969240"/>
      <w:r/>
      <w:bookmarkStart w:id="707" w:name="_Toc127151751"/>
      <w:r/>
      <w:bookmarkStart w:id="708" w:name="_Toc164608664"/>
      <w:r/>
      <w:bookmarkStart w:id="709" w:name="_Toc15119372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6"/>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1"/>
          <w:rFonts w:hint="eastAsia" w:ascii="宋体" w:hAnsi="宋体" w:cs="宋体"/>
          <w:color w:val="000000"/>
          <w:highlight w:val="none"/>
        </w:rPr>
        <w:t xml:space="preserve">http://gk</w:t>
      </w:r>
      <w:bookmarkStart w:id="710" w:name="_Hlt100654014"/>
      <w:r>
        <w:rPr>
          <w:rStyle w:val="1161"/>
          <w:rFonts w:hint="eastAsia" w:ascii="宋体" w:hAnsi="宋体" w:cs="宋体"/>
          <w:color w:val="000000"/>
          <w:highlight w:val="none"/>
        </w:rPr>
        <w:t xml:space="preserve">s</w:t>
      </w:r>
      <w:bookmarkEnd w:id="710"/>
      <w:r>
        <w:rPr>
          <w:rStyle w:val="1161"/>
          <w:rFonts w:hint="eastAsia" w:ascii="宋体" w:hAnsi="宋体" w:cs="宋体"/>
          <w:color w:val="000000"/>
          <w:highlight w:val="none"/>
        </w:rPr>
        <w:t xml:space="preserve">.m</w:t>
      </w:r>
      <w:bookmarkStart w:id="711" w:name="_Hlt100653993"/>
      <w:r/>
      <w:bookmarkStart w:id="712" w:name="_Hlt100653994"/>
      <w:r>
        <w:rPr>
          <w:rStyle w:val="1161"/>
          <w:rFonts w:hint="eastAsia" w:ascii="宋体" w:hAnsi="宋体" w:cs="宋体"/>
          <w:color w:val="000000"/>
          <w:highlight w:val="none"/>
        </w:rPr>
        <w:t xml:space="preserve">o</w:t>
      </w:r>
      <w:bookmarkEnd w:id="711"/>
      <w:r/>
      <w:bookmarkEnd w:id="712"/>
      <w:r>
        <w:rPr>
          <w:rStyle w:val="1161"/>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6"/>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13" w:name="_Toc353825544"/>
      <w:r/>
      <w:bookmarkStart w:id="714" w:name="_Toc127151554"/>
      <w:r/>
      <w:bookmarkStart w:id="715" w:name="_Toc226337250"/>
      <w:r/>
      <w:bookmarkStart w:id="716" w:name="_Toc264969244"/>
      <w:r/>
      <w:bookmarkStart w:id="717" w:name="_Toc150774759"/>
      <w:r/>
      <w:bookmarkStart w:id="718" w:name="_Toc305158822"/>
      <w:r/>
      <w:bookmarkStart w:id="719" w:name="_Toc353873664"/>
      <w:r/>
      <w:bookmarkStart w:id="720" w:name="_Toc142311056"/>
      <w:r/>
      <w:bookmarkStart w:id="721" w:name="_Toc353873934"/>
      <w:r/>
      <w:bookmarkStart w:id="722" w:name="_Toc150480792"/>
      <w:r/>
      <w:bookmarkStart w:id="723" w:name="_Toc226965827"/>
      <w:r/>
      <w:bookmarkStart w:id="724" w:name="_Toc265228392"/>
      <w:r/>
      <w:bookmarkStart w:id="725" w:name="_Toc30515889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6"/>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25550"/>
      <w:r/>
      <w:bookmarkStart w:id="732" w:name="_Toc127161490"/>
      <w:r/>
      <w:bookmarkStart w:id="733" w:name="_Toc127151779"/>
      <w:r/>
      <w:bookmarkStart w:id="734"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6"/>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27161455"/>
      <w:r/>
      <w:bookmarkStart w:id="738" w:name="_Toc265228379"/>
      <w:r/>
      <w:bookmarkStart w:id="739" w:name="_Toc226965814"/>
      <w:r/>
      <w:bookmarkStart w:id="740" w:name="_Toc305158883"/>
      <w:r/>
      <w:bookmarkStart w:id="741" w:name="_Toc151193783"/>
      <w:r/>
      <w:bookmarkStart w:id="742" w:name="_Toc164351635"/>
      <w:r/>
      <w:bookmarkStart w:id="743" w:name="_Toc164229382"/>
      <w:r/>
      <w:bookmarkStart w:id="744" w:name="_Toc151190168"/>
      <w:r/>
      <w:bookmarkStart w:id="745" w:name="_Toc151193711"/>
      <w:r/>
      <w:bookmarkStart w:id="746" w:name="_Toc150509292"/>
      <w:r/>
      <w:bookmarkStart w:id="747" w:name="_Toc305158809"/>
      <w:r/>
      <w:bookmarkStart w:id="748" w:name="_Toc127151541"/>
      <w:r/>
      <w:bookmarkStart w:id="749" w:name="_Toc195842906"/>
      <w:r/>
      <w:bookmarkStart w:id="750" w:name="_Toc150480779"/>
      <w:r/>
      <w:bookmarkStart w:id="751" w:name="_Toc150774746"/>
      <w:r/>
      <w:bookmarkStart w:id="752" w:name="_Toc151193639"/>
      <w:r/>
      <w:bookmarkStart w:id="753" w:name="_Toc151193929"/>
      <w:r/>
      <w:bookmarkStart w:id="754" w:name="_Toc164608810"/>
      <w:r/>
      <w:bookmarkStart w:id="755" w:name="_Toc226965731"/>
      <w:r/>
      <w:bookmarkStart w:id="756" w:name="_Toc127151742"/>
      <w:r/>
      <w:bookmarkStart w:id="757" w:name="_Toc151193855"/>
      <w:r/>
      <w:bookmarkStart w:id="758" w:name="_Toc142311043"/>
      <w:r/>
      <w:bookmarkStart w:id="759" w:name="_Toc226309785"/>
      <w:r/>
      <w:bookmarkStart w:id="760" w:name="_Toc164608655"/>
      <w:r/>
      <w:bookmarkStart w:id="761" w:name="_Toc226337237"/>
      <w:r/>
      <w:bookmarkStart w:id="762" w:name="_Toc150774641"/>
      <w:r/>
      <w:bookmarkStart w:id="763" w:name="_Toc149720834"/>
      <w:r/>
      <w:bookmarkStart w:id="764" w:name="_Toc164229236"/>
      <w:r/>
      <w:bookmarkStart w:id="765" w:name="_Toc264969231"/>
      <w:r/>
      <w:bookmarkStart w:id="766" w:name="_Toc353873941"/>
      <w:r/>
      <w:bookmarkStart w:id="767" w:name="_Toc353825551"/>
      <w:r/>
      <w:bookmarkStart w:id="768" w:name="_Toc150480793"/>
      <w:r/>
      <w:bookmarkStart w:id="769" w:name="_Toc353873665"/>
      <w:r/>
      <w:bookmarkStart w:id="770" w:name="_Toc150774760"/>
      <w:r/>
      <w:bookmarkStart w:id="771" w:name="_Toc305158823"/>
      <w:r/>
      <w:bookmarkStart w:id="772" w:name="_Toc142311057"/>
      <w:r/>
      <w:bookmarkStart w:id="773" w:name="_Toc226965828"/>
      <w:r/>
      <w:bookmarkStart w:id="774" w:name="_Toc264969245"/>
      <w:r/>
      <w:bookmarkStart w:id="775" w:name="_Toc226337251"/>
      <w:r/>
      <w:bookmarkStart w:id="776" w:name="_Toc353873935"/>
      <w:r/>
      <w:bookmarkStart w:id="777" w:name="_Toc127151555"/>
      <w:r/>
      <w:bookmarkStart w:id="778" w:name="_Toc353825545"/>
      <w:r/>
      <w:bookmarkStart w:id="779" w:name="_Toc195842920"/>
      <w:r/>
      <w:bookmarkStart w:id="780" w:name="_Toc305158897"/>
      <w:r/>
      <w:bookmarkStart w:id="781" w:name="_Toc265228393"/>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6"/>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.7项规定修正。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27151546"/>
      <w:r/>
      <w:bookmarkStart w:id="784" w:name="_Ref467307010"/>
      <w:r/>
      <w:bookmarkStart w:id="785" w:name="_Toc150480784"/>
      <w:r/>
      <w:bookmarkStart w:id="786" w:name="_Toc164351640"/>
      <w:r/>
      <w:bookmarkStart w:id="787" w:name="_Toc142311048"/>
      <w:r/>
      <w:bookmarkStart w:id="788" w:name="_Toc151193716"/>
      <w:r/>
      <w:bookmarkStart w:id="789" w:name="_Toc164608815"/>
      <w:r/>
      <w:bookmarkStart w:id="790" w:name="_Toc226965819"/>
      <w:r/>
      <w:bookmarkStart w:id="791" w:name="_Toc150774646"/>
      <w:r/>
      <w:bookmarkStart w:id="792" w:name="_Toc520356170"/>
      <w:r/>
      <w:bookmarkStart w:id="793" w:name="_Toc195842911"/>
      <w:r/>
      <w:bookmarkStart w:id="794" w:name="_Toc305158814"/>
      <w:r/>
      <w:bookmarkStart w:id="795" w:name="_Toc226337242"/>
      <w:r/>
      <w:bookmarkStart w:id="796" w:name="_Toc150774751"/>
      <w:r/>
      <w:bookmarkStart w:id="797" w:name="_Toc127151747"/>
      <w:r/>
      <w:bookmarkStart w:id="798" w:name="_Toc151190173"/>
      <w:r/>
      <w:bookmarkStart w:id="799" w:name="_Toc264969236"/>
      <w:r/>
      <w:bookmarkStart w:id="800" w:name="_Toc164608660"/>
      <w:r/>
      <w:bookmarkStart w:id="801" w:name="_Toc226965736"/>
      <w:r/>
      <w:bookmarkStart w:id="802" w:name="_Toc164229241"/>
      <w:r/>
      <w:bookmarkStart w:id="803" w:name="_Toc265228384"/>
      <w:r/>
      <w:bookmarkStart w:id="804" w:name="_Toc127161460"/>
      <w:r/>
      <w:bookmarkStart w:id="805" w:name="_Toc151193788"/>
      <w:r/>
      <w:bookmarkStart w:id="806" w:name="_Toc151193934"/>
      <w:r/>
      <w:bookmarkStart w:id="807" w:name="_Toc151193644"/>
      <w:r/>
      <w:bookmarkStart w:id="808" w:name="_Toc151193860"/>
      <w:r/>
      <w:bookmarkStart w:id="809" w:name="_Toc164229387"/>
      <w:r/>
      <w:bookmarkStart w:id="810" w:name="_Toc226309790"/>
      <w:r/>
      <w:bookmarkStart w:id="811" w:name="_Toc305158888"/>
      <w:r/>
      <w:bookmarkStart w:id="812" w:name="_Toc150509297"/>
      <w:r/>
      <w:bookmarkStart w:id="813" w:name="_Toc149720839"/>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6"/>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58"/>
        <w:gridCol w:w="883"/>
        <w:gridCol w:w="3289"/>
        <w:gridCol w:w="2905"/>
      </w:tblGrid>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bookmarkStart w:id="814" w:name="OLE_LINK39"/>
            <w:r/>
            <w:bookmarkStart w:id="815" w:name="_Hlk194326212"/>
            <w:r/>
            <w:bookmarkStart w:id="816" w:name="OLE_LINK38"/>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40</w:t>
            </w:r>
            <w:r>
              <w:rPr>
                <w:rFonts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36</w:t>
            </w:r>
            <w:r>
              <w:rPr>
                <w:rFonts w:ascii="宋体" w:hAnsi="宋体" w:cs="宋体"/>
                <w:color w:val="000000"/>
                <w:sz w:val="24"/>
                <w:highlight w:val="none"/>
                <w:lang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技术要求的符合性，即对提供货物的技术参数、配置、性能是否符合或优于招标文件要求进行评价。符合技术要求的得36分；技术要求中带“</w:t>
            </w:r>
            <w:r>
              <w:rPr>
                <w:rFonts w:hint="eastAsia" w:ascii="宋体" w:hAnsi="宋体"/>
                <w:bCs/>
                <w:color w:val="000000"/>
                <w:sz w:val="24"/>
                <w:highlight w:val="none"/>
              </w:rPr>
              <w:t xml:space="preserve">★</w:t>
            </w:r>
            <w:r>
              <w:rPr>
                <w:rFonts w:hint="eastAsia" w:ascii="宋体" w:hAnsi="宋体" w:cs="宋体"/>
                <w:color w:val="000000"/>
                <w:sz w:val="24"/>
                <w:highlight w:val="none"/>
                <w:lang w:bidi="ar"/>
              </w:rPr>
              <w:t xml:space="preserve">”参数为实质性响应参数，</w:t>
            </w:r>
            <w:r>
              <w:rPr>
                <w:rFonts w:hint="eastAsia" w:ascii="宋体" w:hAnsi="宋体" w:cs="宋体"/>
                <w:color w:val="000000"/>
                <w:sz w:val="24"/>
                <w:highlight w:val="none"/>
                <w:lang w:val="en-US" w:eastAsia="zh-CN" w:bidi="ar"/>
              </w:rPr>
              <w:t xml:space="preserve">如有负偏离，投标无效；</w:t>
            </w:r>
            <w:r>
              <w:rPr>
                <w:rFonts w:hint="eastAsia" w:ascii="宋体" w:hAnsi="宋体" w:cs="宋体"/>
                <w:color w:val="000000"/>
                <w:sz w:val="24"/>
                <w:highlight w:val="none"/>
                <w:lang w:bidi="ar"/>
              </w:rPr>
              <w:t xml:space="preserve">带“▲”参数为重要参数，每有一项负偏离的，扣4分；其他参数为一般参数，每有一项负偏离的，扣0.5分；扣完为止。</w:t>
            </w:r>
            <w:r>
              <w:rPr>
                <w:rFonts w:hint="eastAsia" w:ascii="宋体" w:hAnsi="宋体" w:cs="宋体"/>
                <w:color w:val="000000"/>
                <w:sz w:val="24"/>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w:t>
            </w:r>
            <w:r>
              <w:rPr>
                <w:rFonts w:hint="eastAsia" w:ascii="宋体" w:hAnsi="宋体" w:cs="宋体"/>
                <w:b/>
                <w:color w:val="000000"/>
                <w:sz w:val="24"/>
                <w:highlight w:val="none"/>
                <w:lang w:val="en-US" w:eastAsia="zh-CN" w:bidi="ar"/>
              </w:rPr>
              <w:t xml:space="preserve">的</w:t>
            </w:r>
            <w:r>
              <w:rPr>
                <w:rFonts w:hint="eastAsia" w:ascii="宋体" w:hAnsi="宋体" w:cs="宋体"/>
                <w:b/>
                <w:color w:val="000000"/>
                <w:sz w:val="24"/>
                <w:highlight w:val="none"/>
                <w:lang w:bidi="ar"/>
              </w:rPr>
              <w:t xml:space="preserve">产品说明书或注册证附件所载产品技术要求或检测报告作为证明材料。未提供或提供的证明材料不符合要求的，将视为负偏离处理。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），每提供一份有效合同得0.5分，最多得1分。</w:t>
            </w:r>
            <w:r>
              <w:rPr>
                <w:rFonts w:hint="eastAsia"/>
                <w:b/>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bookmarkStart w:id="821" w:name="OLE_LINK24"/>
            <w:r/>
            <w:bookmarkStart w:id="822" w:name="OLE_LINK41"/>
            <w:r>
              <w:rPr>
                <w:rFonts w:hint="eastAsia" w:ascii="宋体" w:hAnsi="宋体" w:cs="宋体"/>
                <w:color w:val="000000"/>
                <w:sz w:val="24"/>
                <w:highlight w:val="none"/>
                <w:lang w:bidi="ar"/>
              </w:rPr>
              <w:t xml:space="preserve">免费质保期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投标产品的免费质保期满足招标文件要求的基础上，免费质保期延长1年得1分</w:t>
            </w:r>
            <w:bookmarkEnd w:id="823"/>
            <w:r>
              <w:rPr>
                <w:rFonts w:hint="eastAsia"/>
                <w:color w:val="000000"/>
                <w:highlight w:val="none"/>
                <w:lang w:bidi="ar"/>
              </w:rPr>
              <w:t xml:space="preserve">，</w:t>
            </w:r>
            <w:r>
              <w:rPr>
                <w:rFonts w:hint="eastAsia"/>
                <w:bCs/>
                <w:color w:val="000000"/>
                <w:highlight w:val="none"/>
              </w:rPr>
              <w:t xml:space="preserve">最多得2分。</w:t>
            </w:r>
            <w:r>
              <w:rPr>
                <w:rFonts w:hint="eastAsia"/>
                <w:color w:val="000000"/>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rPr>
              <w:t xml:space="preserve">情况比较</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投标产品性能稳定、质量可靠的，得5分；性能稳定性、质量可靠性较高的，得3分；性能稳定性差、质量可靠性低的，得1分。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投标人提供项目实施方案，包括但不限于项目整体管理方案、人员组织管理及架构设置、项目整体实施进度计划及推进方案等。方案内容全面，详细合理，针对性强，技术保障措施完善，得5分；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方案内容较全面合理，针对性一般，技术保障措施较为完善，得3分；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86"/>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3分；方案所包含的要点齐全、内容与要点相符，但仅有纲要内容简略，未展开阐述的得2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64"/>
              <w:spacing w:line="360" w:lineRule="exact"/>
              <w:tabs>
                <w:tab w:val="left" w:pos="1200" w:leader="none"/>
              </w:tabs>
              <w:rPr>
                <w:rFonts w:hint="eastAsia" w:ascii="宋体" w:hAnsi="宋体" w:cs="宋体"/>
                <w:color w:val="000000"/>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highlight w:val="none"/>
              </w:rPr>
            </w:r>
            <w:r/>
          </w:p>
        </w:tc>
        <w:tc>
          <w:tcPr>
            <w:tcW w:w="475" w:type="dxa"/>
            <w:vAlign w:val="center"/>
            <w:textDirection w:val="lrTb"/>
            <w:noWrap w:val="false"/>
          </w:tcPr>
          <w:p>
            <w:pPr>
              <w:pStyle w:val="1086"/>
              <w:ind w:firstLine="28"/>
              <w:jc w:val="center"/>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rPr>
              <w:t xml:space="preserve">4</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3.7</w:t>
            </w:r>
            <w:r>
              <w:rPr>
                <w:rFonts w:ascii="宋体" w:hAnsi="宋体" w:cs="宋体"/>
                <w:color w:val="000000"/>
                <w:sz w:val="24"/>
                <w:highlight w:val="none"/>
                <w:lang w:bidi="ar"/>
              </w:rPr>
            </w:r>
            <w:r/>
          </w:p>
        </w:tc>
        <w:tc>
          <w:tcPr>
            <w:tcW w:w="677" w:type="dxa"/>
            <w:vAlign w:val="center"/>
            <w:textDirection w:val="lrTb"/>
            <w:noWrap w:val="false"/>
          </w:tcPr>
          <w:p>
            <w:pPr>
              <w:pStyle w:val="1086"/>
              <w:jc w:val="left"/>
              <w:widowControl/>
              <w:rPr>
                <w:rFonts w:hint="eastAsia"/>
                <w:color w:val="000000"/>
                <w:highlight w:val="none"/>
                <w:lang w:bidi="ar"/>
              </w:rPr>
            </w:pPr>
            <w:r>
              <w:rPr>
                <w:rFonts w:hint="eastAsia" w:ascii="宋体" w:hAnsi="宋体" w:cs="宋体"/>
                <w:color w:val="000000"/>
                <w:sz w:val="24"/>
                <w:highlight w:val="none"/>
              </w:rPr>
              <w:t xml:space="preserve">保修期满后的</w:t>
            </w:r>
            <w:r>
              <w:rPr>
                <w:rFonts w:hint="eastAsia" w:ascii="宋体" w:hAnsi="宋体" w:cs="宋体"/>
                <w:b/>
                <w:bCs/>
                <w:color w:val="000000"/>
                <w:sz w:val="24"/>
                <w:highlight w:val="none"/>
              </w:rPr>
              <w:t xml:space="preserve">维修成本方案</w:t>
            </w:r>
            <w:r>
              <w:rPr>
                <w:rFonts w:hint="eastAsia"/>
                <w:color w:val="000000"/>
                <w:highlight w:val="none"/>
                <w:lang w:bidi="ar"/>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保修期满后的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1"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4"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99301424"/>
      <w:r>
        <w:rPr>
          <w:rFonts w:ascii="宋体" w:hAnsi="宋体"/>
          <w:b/>
          <w:color w:val="000000"/>
          <w:sz w:val="36"/>
          <w:szCs w:val="36"/>
          <w:highlight w:val="none"/>
        </w:rPr>
        <w:t xml:space="preserve">第五章   采购需求</w:t>
      </w:r>
      <w:bookmarkEnd w:id="827"/>
      <w:r>
        <w:rPr>
          <w:rFonts w:ascii="宋体" w:hAnsi="宋体"/>
          <w:b/>
          <w:color w:val="000000"/>
          <w:sz w:val="36"/>
          <w:szCs w:val="36"/>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ascii="宋体" w:hAnsi="宋体"/>
          <w:b/>
          <w:color w:val="000000"/>
          <w:sz w:val="24"/>
          <w:szCs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超高清腹腔镜系统</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0"/>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2403"/>
        <w:gridCol w:w="878"/>
        <w:gridCol w:w="5023"/>
      </w:tblGrid>
      <w:tr>
        <w:trPr>
          <w:trHeight w:val="454"/>
        </w:trPr>
        <w:tc>
          <w:tcPr>
            <w:tcW w:w="526" w:type="dxa"/>
            <w:vAlign w:val="center"/>
            <w:textDirection w:val="lrTb"/>
            <w:noWrap w:val="false"/>
          </w:tcPr>
          <w:p>
            <w:pPr>
              <w:pStyle w:val="1086"/>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1294"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473"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705" w:type="dxa"/>
            <w:vAlign w:val="center"/>
            <w:textDirection w:val="lrTb"/>
            <w:noWrap w:val="false"/>
          </w:tcPr>
          <w:p>
            <w:pPr>
              <w:pStyle w:val="1086"/>
              <w:jc w:val="center"/>
              <w:rPr>
                <w:rFonts w:hint="eastAsia" w:ascii="宋体" w:hAnsi="宋体" w:cs="宋体"/>
                <w:b/>
                <w:bCs/>
                <w:i/>
                <w:iCs/>
                <w:color w:val="000000"/>
                <w:sz w:val="24"/>
                <w:highlight w:val="none"/>
              </w:rPr>
            </w:pPr>
            <w:r>
              <w:rPr>
                <w:rFonts w:hint="eastAsia" w:ascii="宋体" w:hAnsi="宋体" w:eastAsia="宋体" w:cs="宋体"/>
                <w:b/>
                <w:bCs/>
                <w:i/>
                <w:iCs/>
                <w:color w:val="000000"/>
                <w:sz w:val="22"/>
                <w:szCs w:val="22"/>
                <w:highlight w:val="none"/>
                <w:u w:val="none"/>
                <w:lang w:val="en-US" w:eastAsia="zh-CN" w:bidi="ar"/>
              </w:rPr>
              <w:t xml:space="preserve">★</w:t>
            </w:r>
            <w:r>
              <w:rPr>
                <w:rFonts w:hint="eastAsia" w:ascii="宋体" w:hAnsi="宋体" w:cs="宋体"/>
                <w:b/>
                <w:bCs/>
                <w:i/>
                <w:iCs/>
                <w:color w:val="000000"/>
                <w:sz w:val="24"/>
                <w:highlight w:val="none"/>
                <w:lang w:val="en-US" w:eastAsia="zh-CN"/>
              </w:rPr>
              <w:t xml:space="preserve">单套配置要求</w:t>
            </w:r>
            <w:r>
              <w:rPr>
                <w:rFonts w:hint="eastAsia" w:ascii="宋体" w:hAnsi="宋体" w:cs="宋体"/>
                <w:b/>
                <w:bCs/>
                <w:i/>
                <w:iCs/>
                <w:color w:val="000000"/>
                <w:sz w:val="24"/>
                <w:highlight w:val="none"/>
              </w:rPr>
            </w:r>
            <w:r/>
          </w:p>
        </w:tc>
      </w:tr>
      <w:tr>
        <w:trPr>
          <w:trHeight w:val="454"/>
        </w:trPr>
        <w:tc>
          <w:tcPr>
            <w:tcW w:w="526" w:type="dxa"/>
            <w:vAlign w:val="center"/>
            <w:textDirection w:val="lrTb"/>
            <w:noWrap w:val="false"/>
          </w:tcPr>
          <w:p>
            <w:pPr>
              <w:pStyle w:val="1086"/>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01</w:t>
            </w:r>
            <w:r>
              <w:rPr>
                <w:rFonts w:ascii="宋体" w:hAnsi="宋体" w:eastAsia="宋体" w:cs="宋体"/>
                <w:bCs/>
                <w:color w:val="000000"/>
                <w:sz w:val="24"/>
                <w:highlight w:val="none"/>
                <w:lang w:val="en-US" w:eastAsia="zh-CN"/>
              </w:rPr>
            </w:r>
            <w:r/>
          </w:p>
        </w:tc>
        <w:tc>
          <w:tcPr>
            <w:tcW w:w="1294"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超高清腹腔镜系统</w:t>
            </w:r>
            <w:r>
              <w:rPr>
                <w:rFonts w:hint="eastAsia" w:ascii="宋体" w:hAnsi="宋体" w:eastAsia="宋体" w:cs="宋体"/>
                <w:bCs/>
                <w:color w:val="000000"/>
                <w:sz w:val="24"/>
                <w:highlight w:val="none"/>
                <w:lang w:val="en-US" w:eastAsia="zh-CN"/>
              </w:rPr>
            </w:r>
            <w:r/>
          </w:p>
        </w:tc>
        <w:tc>
          <w:tcPr>
            <w:tcW w:w="473" w:type="dxa"/>
            <w:vAlign w:val="center"/>
            <w:textDirection w:val="lrTb"/>
            <w:noWrap w:val="false"/>
          </w:tcPr>
          <w:p>
            <w:pPr>
              <w:pStyle w:val="1086"/>
              <w:jc w:val="center"/>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2台</w:t>
            </w:r>
            <w:r>
              <w:rPr>
                <w:rFonts w:ascii="宋体" w:hAnsi="宋体" w:eastAsia="宋体" w:cs="宋体"/>
                <w:bCs/>
                <w:color w:val="000000"/>
                <w:sz w:val="24"/>
                <w:highlight w:val="none"/>
                <w:lang w:val="en-US" w:eastAsia="zh-CN"/>
              </w:rPr>
            </w:r>
            <w:r/>
          </w:p>
        </w:tc>
        <w:tc>
          <w:tcPr>
            <w:tcW w:w="2705" w:type="dxa"/>
            <w:vAlign w:val="center"/>
            <w:textDirection w:val="lrTb"/>
            <w:noWrap w:val="false"/>
          </w:tcPr>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1.4K三维内窥镜荧光摄像系统*1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2.医用内窥镜冷光源*1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3.医用显示器*1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4.4K荧光摄像头*1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5.荧光胸腹腔内窥镜*2</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6.导光束（φ4.8*3M）*5</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7.腹腔镜气腹机(含气腹管)*1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8.消毒盒*2</w:t>
            </w:r>
            <w:r>
              <w:rPr>
                <w:rFonts w:hint="eastAsia" w:ascii="宋体" w:hAnsi="宋体" w:cs="宋体"/>
                <w:b/>
                <w:bCs/>
                <w:i/>
                <w:iCs/>
                <w:color w:val="000000"/>
                <w:sz w:val="24"/>
                <w:highlight w:val="none"/>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rPr>
              <w:t xml:space="preserve">9.台车*1</w:t>
            </w:r>
            <w:r>
              <w:rPr>
                <w:rFonts w:hint="eastAsia" w:ascii="宋体" w:hAnsi="宋体" w:cs="宋体"/>
                <w:b/>
                <w:bCs/>
                <w:i/>
                <w:iCs/>
                <w:color w:val="000000"/>
                <w:sz w:val="24"/>
                <w:highlight w:val="none"/>
                <w:lang w:val="en-US" w:eastAsia="zh-CN"/>
              </w:rPr>
            </w:r>
            <w:r/>
          </w:p>
        </w:tc>
      </w:tr>
    </w:tbl>
    <w:p>
      <w:pPr>
        <w:pStyle w:val="1180"/>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1.摄像主机</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1.1 具备4K图像处理性能，可处理3D荧光和2D荧光画面信号，能够输出3840×2160超高清像素影像；</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1.2 摄像主机内置硬盘，存储容量≥1T；</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▲1.3主机自带刻录系统，内置硬盘，支持U盘、移动硬盘存储设备即插即用，便于存储手术视频和照片，术中主机可通过摄像头按键、脚踏开关等方式进行拍照或录像；</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1.4 具有荧光灵敏度调节功能，荧光灵敏度调节等级≥30级可调，荧光亮度调节≥26档；</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1.5主机具有病人信息管理功能并设置有密码保护，防止数据泄露，可录入≥50条病人信息，可通过外接鼠标和键盘进行文字输入，编辑病人信息；</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▲1.6 主机具备多种视频传输接口，其中HDMI接口≥3个，12G-SDI接口≥1，DVI 接口≥1；主机具备≥3个USB接口，其中支持 USB3.0 协议的接口≥2个；</w:t>
      </w:r>
      <w:r>
        <w:rPr>
          <w:rFonts w:hint="eastAsia" w:ascii="宋体" w:hAnsi="宋体"/>
          <w:b/>
          <w:color w:val="000000"/>
          <w:sz w:val="24"/>
          <w:highlight w:val="none"/>
        </w:rPr>
        <w:t xml:space="preserve">（需提供主机实物的接口图片）</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1.7 电子放大功能≥10级可调，图像亮度增强≥7级可调；</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1.8 具有≥2种光谱染色功能，有针对性地对黏膜层血管网进行深度透视，便于区分异形血管，辅助临床诊断；</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1.9 主机具备电气安全CF级别I类防护，具有防除颤标识；</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1.10 为满足多科室临床使用需求，符合集约化设备配置规划，对主机兼容性要求如下：</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▲①主机可兼容≥4种高清摄像头；</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▲②主机可兼容同品牌3D电子镜；</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i/>
          <w:iCs/>
          <w:color w:val="000000"/>
          <w:sz w:val="24"/>
          <w:highlight w:val="none"/>
        </w:rPr>
      </w:pPr>
      <w:r>
        <w:rPr>
          <w:rFonts w:hint="eastAsia" w:ascii="宋体" w:hAnsi="宋体"/>
          <w:b/>
          <w:i/>
          <w:iCs/>
          <w:color w:val="000000"/>
          <w:sz w:val="24"/>
          <w:highlight w:val="none"/>
        </w:rPr>
        <w:t xml:space="preserve">★③主机可兼容同品牌电切镜以及电子输尿管镜；（提供国家药品监督管理局注册证截图）</w:t>
      </w:r>
      <w:r>
        <w:rPr>
          <w:rFonts w:hint="eastAsia" w:ascii="宋体" w:hAnsi="宋体"/>
          <w:b/>
          <w:i/>
          <w:i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▲④可与同品牌膀胱镜硬镜、宫腔镜硬镜配合使用。</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2.摄像头</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2.1 摄像头≥4个按键，可自定义按键≥3个，可设置包括调整白光、荧光亮度、白平衡、拍照、录像、计时器在内≥10种快捷功能；具有一键自动对焦按键；</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▲2.2 摄像头按键可对冷光源、气腹机、冲洗吸引系统进行控制，并在监视器上显示气腹机、冲洗吸引系统运行状态；</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3.光源</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3.1 设备支持同时输出近红外激光和白光，激光为3R级医用激光光源，白光为LED光源；</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3.2 白光冷光源的输出总光通量≥2000lm；LED灯泡工作寿命≥60000小时；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cs="宋体"/>
          <w:bCs/>
          <w:color w:val="000000"/>
          <w:sz w:val="24"/>
          <w:highlight w:val="none"/>
        </w:rPr>
      </w:pPr>
      <w:r>
        <w:rPr>
          <w:rFonts w:hint="eastAsia" w:ascii="宋体" w:hAnsi="宋体"/>
          <w:bCs/>
          <w:color w:val="000000"/>
          <w:sz w:val="24"/>
          <w:highlight w:val="none"/>
        </w:rPr>
        <w:t xml:space="preserve">3.3光源具备电气安全CF级别I类防护，具有防除颤标识。</w:t>
      </w:r>
      <w:r>
        <w:rPr>
          <w:rFonts w:hint="eastAsia" w:ascii="宋体" w:hAnsi="宋体" w:cs="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4.光学镜</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4.1 镜体直径≤10mm，支持压力蒸汽灭菌、低温等离子灭菌、环氧乙烷灭菌等多种消毒灭菌方式，高温高压灭菌次数≥600次；</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4.2 有效景深3mm-200mm，景深范围最小≤3mm，最大≥200mm，光学镜有效光度率D</w:t>
      </w:r>
      <w:r>
        <w:rPr>
          <w:rFonts w:hint="eastAsia" w:ascii="宋体" w:hAnsi="宋体"/>
          <w:bCs/>
          <w:color w:val="000000"/>
          <w:sz w:val="24"/>
          <w:highlight w:val="none"/>
          <w:vertAlign w:val="subscript"/>
        </w:rPr>
        <w:t xml:space="preserve">M</w:t>
      </w:r>
      <w:r>
        <w:rPr>
          <w:rFonts w:hint="eastAsia" w:ascii="宋体" w:hAnsi="宋体"/>
          <w:bCs/>
          <w:color w:val="000000"/>
          <w:sz w:val="24"/>
          <w:highlight w:val="none"/>
        </w:rPr>
        <w:t xml:space="preserve">≤400；</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color w:val="000000"/>
          <w:sz w:val="24"/>
          <w:highlight w:val="none"/>
        </w:rPr>
      </w:pPr>
      <w:r>
        <w:rPr>
          <w:rFonts w:hint="eastAsia" w:ascii="宋体" w:hAnsi="宋体"/>
          <w:b/>
          <w:color w:val="000000"/>
          <w:sz w:val="24"/>
          <w:highlight w:val="none"/>
        </w:rPr>
        <w:t xml:space="preserve">5.显示器</w:t>
      </w:r>
      <w:r>
        <w:rPr>
          <w:rFonts w:hint="eastAsia" w:ascii="宋体" w:hAnsi="宋体"/>
          <w:b/>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5.1 4K医用监视器，尺寸≥30寸, 支持4K 60Hz超高清显示；具有HDMI或12G-SDI或DP的4K接口；</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5.2最大背光亮度≥800cd/m2，能更清晰显示暗部细节，提升手术安全性；</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color w:val="000000"/>
          <w:sz w:val="24"/>
          <w:highlight w:val="none"/>
        </w:rPr>
      </w:pPr>
      <w:r>
        <w:rPr>
          <w:rFonts w:hint="eastAsia" w:ascii="宋体" w:hAnsi="宋体"/>
          <w:b/>
          <w:color w:val="000000"/>
          <w:sz w:val="24"/>
          <w:highlight w:val="none"/>
        </w:rPr>
        <w:t xml:space="preserve">6.气腹机</w:t>
      </w:r>
      <w:r>
        <w:rPr>
          <w:rFonts w:hint="eastAsia" w:ascii="宋体" w:hAnsi="宋体"/>
          <w:b/>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▲6.1 流速≥50升/分钟，流量调节范围包含0.1-50L/min；具备少儿模式、成人模式、肥胖模式、后腹腔等模式；气腹机具有加热、排烟功能，可通过脚踏进行控制；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cs="宋体"/>
          <w:b/>
          <w:color w:val="000000"/>
          <w:sz w:val="24"/>
          <w:highlight w:val="none"/>
          <w:lang w:bidi="ar"/>
        </w:rPr>
      </w:pPr>
      <w:r>
        <w:rPr>
          <w:rFonts w:hint="eastAsia" w:ascii="宋体" w:hAnsi="宋体"/>
          <w:bCs/>
          <w:color w:val="000000"/>
          <w:sz w:val="24"/>
          <w:highlight w:val="none"/>
        </w:rPr>
        <w:t xml:space="preserve">6.2气体加热后出气口处气体温度不超高40°C；</w:t>
      </w:r>
      <w:r>
        <w:rPr>
          <w:rFonts w:hint="eastAsia" w:ascii="宋体" w:hAnsi="宋体" w:cs="宋体"/>
          <w:b/>
          <w:color w:val="000000"/>
          <w:sz w:val="24"/>
          <w:highlight w:val="none"/>
          <w:lang w:bidi="ar"/>
        </w:rPr>
      </w:r>
      <w:r/>
    </w:p>
    <w:p>
      <w:pPr>
        <w:pStyle w:val="1086"/>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合同签订之日起接到医院通知后3个月内货物运抵医院</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6"/>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bookmarkStart w:id="828" w:name="_Toc99301425"/>
      <w:r>
        <w:rPr>
          <w:rFonts w:ascii="宋体" w:hAnsi="宋体"/>
          <w:b/>
          <w:color w:val="000000"/>
          <w:sz w:val="36"/>
          <w:szCs w:val="36"/>
          <w:highlight w:val="none"/>
        </w:rPr>
        <w:t xml:space="preserve">第六章   拟签订的合同文本</w:t>
      </w:r>
      <w:bookmarkEnd w:id="828"/>
      <w:r>
        <w:rPr>
          <w:rFonts w:ascii="宋体" w:hAnsi="宋体"/>
          <w:b/>
          <w:color w:val="000000"/>
          <w:sz w:val="36"/>
          <w:szCs w:val="36"/>
          <w:highlight w:val="none"/>
        </w:rPr>
      </w:r>
      <w:r/>
    </w:p>
    <w:p>
      <w:pPr>
        <w:pStyle w:val="1086"/>
        <w:spacing w:line="360" w:lineRule="auto"/>
        <w:rPr>
          <w:color w:val="000000"/>
          <w:szCs w:val="21"/>
          <w:highlight w:val="none"/>
        </w:rPr>
      </w:pPr>
      <w:r/>
      <w:bookmarkStart w:id="829" w:name="_Toc99301426"/>
      <w:r>
        <w:rPr>
          <w:color w:val="000000"/>
          <w:szCs w:val="21"/>
          <w:highlight w:val="none"/>
        </w:rPr>
        <w:t xml:space="preserve">甲    方：  </w:t>
      </w:r>
      <w:r>
        <w:rPr>
          <w:b/>
          <w:color w:val="000000"/>
          <w:szCs w:val="21"/>
          <w:highlight w:val="none"/>
          <w:u w:val="single"/>
        </w:rPr>
        <w:t xml:space="preserve">常州市第二人民医院</w:t>
      </w:r>
      <w:r>
        <w:rPr>
          <w:color w:val="000000"/>
          <w:szCs w:val="21"/>
          <w:highlight w:val="none"/>
          <w:u w:val="single"/>
        </w:rPr>
        <w:t xml:space="preserve">     </w:t>
      </w:r>
      <w:r>
        <w:rPr>
          <w:color w:val="000000"/>
          <w:szCs w:val="21"/>
          <w:highlight w:val="none"/>
        </w:rPr>
        <w:t xml:space="preserve">    </w:t>
      </w:r>
      <w:r>
        <w:rPr>
          <w:color w:val="000000"/>
          <w:szCs w:val="21"/>
          <w:highlight w:val="none"/>
        </w:rPr>
        <w:tab/>
      </w:r>
      <w:r>
        <w:rPr>
          <w:color w:val="000000"/>
          <w:szCs w:val="21"/>
          <w:highlight w:val="none"/>
        </w:rPr>
        <w:tab/>
      </w:r>
      <w:r>
        <w:rPr>
          <w:color w:val="000000"/>
          <w:szCs w:val="21"/>
          <w:highlight w:val="none"/>
        </w:rPr>
        <w:t xml:space="preserve">   乙方：  </w:t>
      </w:r>
      <w:r>
        <w:rPr>
          <w:b/>
          <w:color w:val="000000"/>
          <w:szCs w:val="21"/>
          <w:highlight w:val="none"/>
          <w:u w:val="single"/>
        </w:rPr>
        <w:t xml:space="preserve">                         </w:t>
      </w:r>
      <w:r>
        <w:rPr>
          <w:color w:val="000000"/>
          <w:szCs w:val="21"/>
          <w:highlight w:val="none"/>
        </w:rPr>
      </w:r>
      <w:r/>
    </w:p>
    <w:p>
      <w:pPr>
        <w:pStyle w:val="1086"/>
        <w:spacing w:line="360" w:lineRule="auto"/>
        <w:rPr>
          <w:color w:val="000000"/>
          <w:szCs w:val="21"/>
          <w:highlight w:val="none"/>
        </w:rPr>
      </w:pPr>
      <w:r>
        <w:rPr>
          <w:color w:val="000000"/>
          <w:szCs w:val="21"/>
          <w:highlight w:val="none"/>
        </w:rPr>
        <w:t xml:space="preserve">招标编号:   </w:t>
      </w:r>
      <w:r>
        <w:rPr>
          <w:b/>
          <w:color w:val="000000"/>
          <w:szCs w:val="21"/>
          <w:highlight w:val="none"/>
          <w:u w:val="single"/>
        </w:rPr>
        <w:t xml:space="preserve">                       </w:t>
      </w:r>
      <w:r>
        <w:rPr>
          <w:b/>
          <w:color w:val="000000"/>
          <w:szCs w:val="21"/>
          <w:highlight w:val="none"/>
        </w:rPr>
        <w:t xml:space="preserve">            </w:t>
      </w:r>
      <w:r>
        <w:rPr>
          <w:color w:val="000000"/>
          <w:szCs w:val="21"/>
          <w:highlight w:val="none"/>
        </w:rPr>
        <w:t xml:space="preserve">中标通知书日期:</w:t>
      </w:r>
      <w:r>
        <w:rPr>
          <w:b/>
          <w:color w:val="000000"/>
          <w:szCs w:val="21"/>
          <w:highlight w:val="none"/>
          <w:u w:val="single"/>
        </w:rPr>
        <w:t xml:space="preserve">      年     月     日</w:t>
      </w:r>
      <w:r>
        <w:rPr>
          <w:color w:val="000000"/>
          <w:szCs w:val="21"/>
          <w:highlight w:val="none"/>
        </w:rPr>
      </w:r>
      <w:r/>
    </w:p>
    <w:p>
      <w:pPr>
        <w:pStyle w:val="1086"/>
        <w:spacing w:line="360" w:lineRule="auto"/>
        <w:rPr>
          <w:b/>
          <w:color w:val="000000"/>
          <w:szCs w:val="21"/>
          <w:highlight w:val="none"/>
          <w:u w:val="single"/>
        </w:rPr>
      </w:pPr>
      <w:r>
        <w:rPr>
          <w:color w:val="000000"/>
          <w:szCs w:val="21"/>
          <w:highlight w:val="none"/>
        </w:rPr>
        <w:t xml:space="preserve">合同签署地：</w:t>
      </w:r>
      <w:r>
        <w:rPr>
          <w:b/>
          <w:color w:val="000000"/>
          <w:szCs w:val="21"/>
          <w:highlight w:val="none"/>
          <w:u w:val="single"/>
        </w:rPr>
        <w:t xml:space="preserve">常州市第二人民医院     </w:t>
      </w:r>
      <w:r>
        <w:rPr>
          <w:b/>
          <w:color w:val="000000"/>
          <w:szCs w:val="21"/>
          <w:highlight w:val="none"/>
        </w:rPr>
        <w:t xml:space="preserve">            </w:t>
      </w:r>
      <w:r>
        <w:rPr>
          <w:color w:val="000000"/>
          <w:szCs w:val="21"/>
          <w:highlight w:val="none"/>
        </w:rPr>
        <w:t xml:space="preserve">合同签订日期：</w:t>
      </w:r>
      <w:r>
        <w:rPr>
          <w:b/>
          <w:color w:val="000000"/>
          <w:szCs w:val="21"/>
          <w:highlight w:val="none"/>
          <w:u w:val="single"/>
        </w:rPr>
        <w:t xml:space="preserve">      年     月     日</w:t>
      </w:r>
      <w:r>
        <w:rPr>
          <w:b/>
          <w:color w:val="000000"/>
          <w:szCs w:val="21"/>
          <w:highlight w:val="none"/>
          <w:u w:val="single"/>
        </w:rPr>
      </w:r>
      <w:r/>
    </w:p>
    <w:p>
      <w:pPr>
        <w:pStyle w:val="1086"/>
        <w:spacing w:line="360" w:lineRule="auto"/>
        <w:rPr>
          <w:b/>
          <w:color w:val="000000"/>
          <w:szCs w:val="21"/>
          <w:highlight w:val="none"/>
          <w:u w:val="single"/>
        </w:rPr>
      </w:pPr>
      <w:r>
        <w:rPr>
          <w:color w:val="000000"/>
          <w:szCs w:val="21"/>
          <w:highlight w:val="none"/>
        </w:rPr>
        <w:t xml:space="preserve">院区：</w:t>
      </w:r>
      <w:r>
        <w:rPr>
          <w:b/>
          <w:color w:val="000000"/>
          <w:szCs w:val="21"/>
          <w:highlight w:val="none"/>
        </w:rPr>
        <w:t xml:space="preserve">     </w:t>
      </w:r>
      <w:r>
        <w:rPr>
          <w:b/>
          <w:color w:val="000000"/>
          <w:szCs w:val="21"/>
          <w:highlight w:val="none"/>
          <w:u w:val="single"/>
        </w:rPr>
        <w:t xml:space="preserve">                       </w:t>
      </w:r>
      <w:r>
        <w:rPr>
          <w:b/>
          <w:color w:val="000000"/>
          <w:szCs w:val="21"/>
          <w:highlight w:val="none"/>
          <w:u w:val="single"/>
        </w:rPr>
      </w:r>
      <w:r/>
    </w:p>
    <w:p>
      <w:pPr>
        <w:pStyle w:val="1086"/>
        <w:ind w:firstLine="420"/>
        <w:jc w:val="left"/>
        <w:spacing w:after="150" w:line="360" w:lineRule="auto"/>
        <w:shd w:val="clear" w:color="auto" w:fill="ffffff"/>
        <w:widowControl/>
        <w:rPr>
          <w:color w:val="000000"/>
          <w:szCs w:val="21"/>
          <w:highlight w:val="none"/>
        </w:rPr>
        <w:outlineLvl w:val="0"/>
      </w:pPr>
      <w:r>
        <w:rPr>
          <w:color w:val="000000"/>
          <w:szCs w:val="21"/>
          <w:highlight w:val="none"/>
        </w:rPr>
        <w:t xml:space="preserve">根据</w:t>
      </w:r>
      <w:r>
        <w:rPr>
          <w:color w:val="000000"/>
          <w:szCs w:val="21"/>
          <w:highlight w:val="none"/>
          <w:u w:val="single"/>
        </w:rPr>
        <w:t xml:space="preserve">                  </w:t>
      </w:r>
      <w:r>
        <w:rPr>
          <w:color w:val="000000"/>
          <w:szCs w:val="21"/>
          <w:highlight w:val="none"/>
        </w:rPr>
        <w:t xml:space="preserve">(招标机构)于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日进行的</w:t>
      </w:r>
      <w:r>
        <w:rPr>
          <w:color w:val="000000"/>
          <w:szCs w:val="21"/>
          <w:highlight w:val="none"/>
          <w:u w:val="single"/>
        </w:rPr>
        <w:t xml:space="preserve">                  </w:t>
      </w:r>
      <w:r>
        <w:rPr>
          <w:color w:val="000000"/>
          <w:szCs w:val="21"/>
          <w:highlight w:val="none"/>
        </w:rPr>
        <w:t xml:space="preserve">号招标，甲、乙双方就乙方中标的</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w:t>
      </w:r>
      <w:r>
        <w:rPr>
          <w:color w:val="000000"/>
          <w:szCs w:val="21"/>
          <w:highlight w:val="none"/>
        </w:rPr>
        <w:t xml:space="preserve">本着平等互利的原则，通过共同协商，根据</w:t>
      </w:r>
      <w:r>
        <w:rPr>
          <w:bCs/>
          <w:color w:val="000000"/>
          <w:szCs w:val="21"/>
          <w:highlight w:val="none"/>
        </w:rPr>
        <w:t xml:space="preserve">《中华人民共和国</w:t>
      </w:r>
      <w:r>
        <w:rPr>
          <w:rFonts w:hint="eastAsia"/>
          <w:bCs/>
          <w:color w:val="000000"/>
          <w:szCs w:val="21"/>
          <w:highlight w:val="none"/>
        </w:rPr>
        <w:t xml:space="preserve">民法典</w:t>
      </w:r>
      <w:r>
        <w:rPr>
          <w:bCs/>
          <w:color w:val="000000"/>
          <w:szCs w:val="21"/>
          <w:highlight w:val="none"/>
        </w:rPr>
        <w:t xml:space="preserve">》、《中华人民</w:t>
      </w:r>
      <w:r>
        <w:rPr>
          <w:color w:val="000000"/>
          <w:szCs w:val="21"/>
          <w:highlight w:val="none"/>
        </w:rPr>
        <w:t xml:space="preserve">共和国政府采购法》及有关法律法规，就相关事宜达成如下合同。                 </w:t>
      </w:r>
      <w:r>
        <w:rPr>
          <w:color w:val="000000"/>
          <w:szCs w:val="21"/>
          <w:highlight w:val="none"/>
        </w:rPr>
      </w:r>
      <w:r/>
    </w:p>
    <w:p>
      <w:pPr>
        <w:pStyle w:val="1086"/>
        <w:numPr>
          <w:ilvl w:val="0"/>
          <w:numId w:val="14"/>
        </w:numPr>
        <w:ind w:left="567" w:hanging="567"/>
        <w:spacing w:line="400" w:lineRule="exact"/>
        <w:rPr>
          <w:color w:val="000000"/>
          <w:szCs w:val="21"/>
          <w:highlight w:val="none"/>
        </w:rPr>
      </w:pPr>
      <w:r>
        <w:rPr>
          <w:rFonts w:hint="eastAsia"/>
          <w:b/>
          <w:color w:val="000000"/>
          <w:szCs w:val="21"/>
          <w:highlight w:val="none"/>
        </w:rPr>
        <w:t xml:space="preserve">合同</w:t>
      </w:r>
      <w:r>
        <w:rPr>
          <w:b/>
          <w:color w:val="000000"/>
          <w:szCs w:val="21"/>
          <w:highlight w:val="none"/>
        </w:rPr>
        <w:t xml:space="preserve">标的</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根据甲方需求提供下列产品：</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，产品名称、品牌、规格及数量详见招标响应文件。</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合同价格：</w:t>
      </w:r>
      <w:r>
        <w:rPr>
          <w:color w:val="000000"/>
          <w:szCs w:val="21"/>
          <w:highlight w:val="none"/>
        </w:rPr>
        <w:t xml:space="preserve">签约合同总价格（人民币）：</w:t>
      </w:r>
      <w:r>
        <w:rPr>
          <w:color w:val="000000"/>
          <w:szCs w:val="21"/>
          <w:highlight w:val="none"/>
          <w:u w:val="single"/>
        </w:rPr>
        <w:t xml:space="preserve">                          </w:t>
      </w:r>
      <w:r>
        <w:rPr>
          <w:color w:val="000000"/>
          <w:szCs w:val="21"/>
          <w:highlight w:val="none"/>
        </w:rPr>
        <w:t xml:space="preserve">（小写：</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本合同总价</w:t>
      </w:r>
      <w:r>
        <w:rPr>
          <w:rFonts w:hint="eastAsia"/>
          <w:color w:val="000000"/>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szCs w:val="21"/>
          <w:highlight w:val="none"/>
        </w:rPr>
        <w:t xml:space="preserve">本次报价还包括成交供应商办理与本货物相关的进口、运输、免税等手续所产生的费用。</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合同文件</w:t>
      </w:r>
      <w:r>
        <w:rPr>
          <w:color w:val="000000"/>
          <w:szCs w:val="21"/>
          <w:highlight w:val="none"/>
        </w:rPr>
        <w:t xml:space="preserve">：下列文件是构成合同不可分割的部分，并与本合同具有同等法律效力，</w:t>
      </w:r>
      <w:r>
        <w:rPr>
          <w:bCs/>
          <w:color w:val="000000"/>
          <w:szCs w:val="21"/>
          <w:highlight w:val="none"/>
        </w:rPr>
        <w:t xml:space="preserve">这些文件包括但不限于：</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1、招标采购文件（编号：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2、乙方提交的投标文件；</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3、乙方投标的其他资料及承诺；</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4、甲乙双方商定的其他文件等。</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付款方式</w:t>
      </w:r>
      <w:r>
        <w:rPr>
          <w:color w:val="000000"/>
          <w:szCs w:val="21"/>
          <w:highlight w:val="none"/>
        </w:rPr>
        <w:t xml:space="preserve">：</w:t>
      </w:r>
      <w:r>
        <w:rPr>
          <w:rFonts w:hint="eastAsia"/>
          <w:color w:val="000000"/>
          <w:szCs w:val="21"/>
          <w:highlight w:val="none"/>
          <w:u w:val="single"/>
        </w:rPr>
        <w:t xml:space="preserve">满足合同约定支付条件的，自安装调试验收合格收到发票后</w:t>
      </w:r>
      <w:r>
        <w:rPr>
          <w:rFonts w:hint="eastAsia"/>
          <w:b/>
          <w:color w:val="000000"/>
          <w:szCs w:val="21"/>
          <w:highlight w:val="none"/>
          <w:u w:val="single"/>
        </w:rPr>
        <w:t xml:space="preserve">四个月付全款</w:t>
      </w:r>
      <w:r>
        <w:rPr>
          <w:rFonts w:hint="eastAsia"/>
          <w:color w:val="000000"/>
          <w:szCs w:val="21"/>
          <w:highlight w:val="none"/>
          <w:u w:val="single"/>
        </w:rPr>
        <w:t xml:space="preserve">。乙方向甲方申请付款需提供等额的正规税务发票</w:t>
      </w:r>
      <w:r>
        <w:rPr>
          <w:rFonts w:hint="eastAsia"/>
          <w:color w:val="000000"/>
          <w:szCs w:val="21"/>
          <w:highlight w:val="none"/>
          <w:u w:val="single"/>
          <w:lang w:eastAsia="zh-CN"/>
        </w:rPr>
        <w:t xml:space="preserve">，开票单位必须为乙方，任何乙方分公司、子公司、联合体开具的发票均视为无效发票</w:t>
      </w:r>
      <w:r>
        <w:rPr>
          <w:rFonts w:hint="eastAsia"/>
          <w:color w:val="000000"/>
          <w:szCs w:val="21"/>
          <w:highlight w:val="none"/>
          <w:u w:val="single"/>
        </w:rPr>
        <w:t xml:space="preserve">。</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交货期</w:t>
      </w:r>
      <w:r>
        <w:rPr>
          <w:color w:val="000000"/>
          <w:szCs w:val="21"/>
          <w:highlight w:val="none"/>
        </w:rPr>
        <w:t xml:space="preserve">：合同签订之日起接到医院通知后</w:t>
      </w:r>
      <w:r>
        <w:rPr>
          <w:rFonts w:hint="eastAsia"/>
          <w:b/>
          <w:color w:val="000000"/>
          <w:szCs w:val="21"/>
          <w:highlight w:val="none"/>
          <w:u w:val="single"/>
          <w:lang w:val="en-US" w:eastAsia="zh-CN"/>
        </w:rPr>
        <w:t xml:space="preserve">     </w:t>
      </w:r>
      <w:r>
        <w:rPr>
          <w:b/>
          <w:color w:val="000000"/>
          <w:szCs w:val="21"/>
          <w:highlight w:val="none"/>
          <w:u w:val="single"/>
        </w:rPr>
        <w:t xml:space="preserve">天</w:t>
      </w:r>
      <w:r>
        <w:rPr>
          <w:color w:val="000000"/>
          <w:szCs w:val="21"/>
          <w:highlight w:val="none"/>
        </w:rPr>
        <w:t xml:space="preserve">之内货物运抵医院。</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交货地点</w:t>
      </w:r>
      <w:r>
        <w:rPr>
          <w:color w:val="000000"/>
          <w:szCs w:val="21"/>
          <w:highlight w:val="none"/>
        </w:rPr>
        <w:t xml:space="preserve">：常州市第二人民医院指定地点。</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质保期：</w:t>
      </w:r>
      <w:r>
        <w:rPr>
          <w:color w:val="000000"/>
          <w:szCs w:val="21"/>
          <w:highlight w:val="none"/>
        </w:rPr>
        <w:t xml:space="preserve">上述设备免费原厂保修 </w:t>
      </w:r>
      <w:r>
        <w:rPr>
          <w:b/>
          <w:color w:val="000000"/>
          <w:szCs w:val="21"/>
          <w:highlight w:val="none"/>
          <w:u w:val="single"/>
        </w:rPr>
        <w:t xml:space="preserve">      </w:t>
      </w:r>
      <w:r>
        <w:rPr>
          <w:color w:val="000000"/>
          <w:szCs w:val="21"/>
          <w:highlight w:val="none"/>
        </w:rPr>
        <w:t xml:space="preserve">年，保修期内同一故障经两次维修仍无法修复的，乙方负责包换或退货；</w:t>
      </w:r>
      <w:r>
        <w:rPr>
          <w:rFonts w:hint="eastAsia"/>
          <w:color w:val="000000"/>
          <w:szCs w:val="21"/>
          <w:highlight w:val="none"/>
          <w:lang w:val="en-US" w:eastAsia="zh-CN"/>
        </w:rPr>
        <w:t xml:space="preserve">乙方承诺设备验收时提供原厂保修卡或质保承诺书；</w:t>
      </w:r>
      <w:r>
        <w:rPr>
          <w:color w:val="000000"/>
          <w:szCs w:val="21"/>
          <w:highlight w:val="none"/>
        </w:rPr>
        <w:t xml:space="preserve">保修期外乙方对本设备终身负责维修。</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过保后整机年维保</w:t>
      </w:r>
      <w:r>
        <w:rPr>
          <w:rFonts w:hint="eastAsia"/>
          <w:color w:val="000000"/>
          <w:szCs w:val="21"/>
          <w:highlight w:val="none"/>
          <w:lang w:eastAsia="zh-CN"/>
        </w:rPr>
        <w:t xml:space="preserve">（</w:t>
      </w:r>
      <w:r>
        <w:rPr>
          <w:rFonts w:hint="eastAsia"/>
          <w:color w:val="000000"/>
          <w:szCs w:val="21"/>
          <w:highlight w:val="none"/>
          <w:lang w:val="en-US" w:eastAsia="zh-CN"/>
        </w:rPr>
        <w:t xml:space="preserve">承诺原厂维保服务</w:t>
      </w:r>
      <w:r>
        <w:rPr>
          <w:rFonts w:hint="eastAsia"/>
          <w:color w:val="000000"/>
          <w:szCs w:val="21"/>
          <w:highlight w:val="none"/>
          <w:lang w:eastAsia="zh-CN"/>
        </w:rPr>
        <w:t xml:space="preserve">）</w:t>
      </w:r>
      <w:r>
        <w:rPr>
          <w:color w:val="000000"/>
          <w:szCs w:val="21"/>
          <w:highlight w:val="none"/>
        </w:rPr>
        <w:t xml:space="preserve">参考价格</w:t>
      </w:r>
      <w:r>
        <w:rPr>
          <w:rFonts w:hint="eastAsia"/>
          <w:color w:val="000000"/>
          <w:szCs w:val="21"/>
          <w:highlight w:val="none"/>
          <w:lang w:val="en-US" w:eastAsia="zh-CN"/>
        </w:rPr>
        <w:t xml:space="preserve">不高于</w:t>
      </w:r>
      <w:r>
        <w:rPr>
          <w:color w:val="000000"/>
          <w:szCs w:val="21"/>
          <w:highlight w:val="none"/>
          <w:u w:val="single"/>
        </w:rPr>
        <w:t xml:space="preserve">         </w:t>
      </w:r>
      <w:r>
        <w:rPr>
          <w:color w:val="000000"/>
          <w:szCs w:val="21"/>
          <w:highlight w:val="none"/>
        </w:rPr>
        <w:t xml:space="preserve">万元，或参考单台设备成交总金额的</w:t>
      </w:r>
      <w:r>
        <w:rPr>
          <w:color w:val="000000"/>
          <w:szCs w:val="21"/>
          <w:highlight w:val="none"/>
          <w:u w:val="single"/>
        </w:rPr>
        <w:t xml:space="preserve">        </w:t>
      </w:r>
      <w:r>
        <w:rPr>
          <w:color w:val="000000"/>
          <w:szCs w:val="21"/>
          <w:highlight w:val="none"/>
        </w:rPr>
        <w:t xml:space="preserve">%，主要配件更换参考价格请附页说明。</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资质、质量要求及技术标准：</w:t>
      </w:r>
      <w:r>
        <w:rPr>
          <w:b/>
          <w:color w:val="000000"/>
          <w:szCs w:val="21"/>
          <w:highlight w:val="none"/>
        </w:rPr>
      </w:r>
      <w:r/>
    </w:p>
    <w:p>
      <w:pPr>
        <w:pStyle w:val="1086"/>
        <w:numPr>
          <w:ilvl w:val="0"/>
          <w:numId w:val="15"/>
        </w:numPr>
        <w:spacing w:line="400" w:lineRule="exact"/>
        <w:rPr>
          <w:b/>
          <w:color w:val="000000"/>
          <w:szCs w:val="21"/>
          <w:highlight w:val="none"/>
        </w:rPr>
      </w:pPr>
      <w:r>
        <w:rPr>
          <w:color w:val="000000"/>
          <w:szCs w:val="21"/>
          <w:highlight w:val="none"/>
        </w:rPr>
        <w:t xml:space="preserve">特别提醒条款：</w:t>
      </w:r>
      <w:r>
        <w:rPr>
          <w:b/>
          <w:color w:val="000000"/>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乙方保证所供设备按规定材料和工艺制成、全新，并严格保持原包装，否则造成的一切损失由乙方负全部责任。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乙方保证货物不存在危及人身及财产安全的产品缺陷，否则应承担全部法律责任。</w:t>
      </w:r>
      <w:r>
        <w:rPr>
          <w:color w:val="000000"/>
          <w:szCs w:val="21"/>
          <w:highlight w:val="none"/>
        </w:rPr>
      </w:r>
      <w:r/>
    </w:p>
    <w:p>
      <w:pPr>
        <w:pStyle w:val="1086"/>
        <w:numPr>
          <w:ilvl w:val="0"/>
          <w:numId w:val="15"/>
        </w:numPr>
        <w:spacing w:line="360" w:lineRule="exact"/>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乙方所供设备如验收不合格，根据甲方的要求，乙方必须无条件换货或退货，由此引起的一切损失由乙方承担。</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设备安装和验收要求：</w:t>
      </w:r>
      <w:r>
        <w:rPr>
          <w:b/>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如乙方提供的设备设有维修软件密码，乙方应保证无条件的为甲方永久免费打开。</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设备安装、调试结束后，甲方对设备试用后进行验收（时间由甲、乙双方商定），乙方免费派工程师到达现场协助验收工作，双方共同填写验收报告。</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保修期自我院验收合格之日算起。</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售后服务要求：</w:t>
      </w:r>
      <w:r>
        <w:rPr>
          <w:b/>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乙方应按照国家有关法律法规规章和“三包”规定以及合同所附的“服务承诺”提供服务。</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szCs w:val="21"/>
          <w:highlight w:val="none"/>
        </w:rPr>
        <w:t xml:space="preserve">地震</w:t>
      </w:r>
      <w:r>
        <w:rPr>
          <w:color w:val="000000"/>
          <w:szCs w:val="21"/>
          <w:highlight w:val="none"/>
        </w:rPr>
        <w:t xml:space="preserve">等）造成的故障除外。</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确保设备保修期内开机率为９５％，如设备故障停机率超过５％（一年按３６５天计算，每年１８天），每超过一天，保修期延长两周。</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乙方免费提供全套技术资料（维修说明书包括详细电路图、操作说明书及光盘），如技术资料不全，甲方有权不支付货款。　</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技术培训：</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在安装过程中或安装结束后，乙方工程师或有关人员有义务对甲方工程师和操作人员进行现场操作、保养、维修培训，并解答甲方人员提出的问题。</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廉政建设：</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合同生效：</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本合同经双方盖章签字后生效，如有变动，必须经双方协商一致后，方可更改。</w:t>
      </w:r>
      <w:bookmarkStart w:id="830" w:name="_Hlk214885099"/>
      <w:r>
        <w:rPr>
          <w:b/>
          <w:color w:val="000000"/>
          <w:szCs w:val="21"/>
          <w:highlight w:val="none"/>
        </w:rPr>
        <w:t xml:space="preserve">本合同一式</w:t>
      </w:r>
      <w:r>
        <w:rPr>
          <w:rFonts w:hint="eastAsia"/>
          <w:b/>
          <w:color w:val="000000"/>
          <w:szCs w:val="21"/>
          <w:highlight w:val="none"/>
        </w:rPr>
        <w:t xml:space="preserve">伍</w:t>
      </w:r>
      <w:r>
        <w:rPr>
          <w:b/>
          <w:color w:val="000000"/>
          <w:szCs w:val="21"/>
          <w:highlight w:val="none"/>
        </w:rPr>
        <w:t xml:space="preserve">份，甲方</w:t>
      </w:r>
      <w:r>
        <w:rPr>
          <w:rFonts w:hint="eastAsia"/>
          <w:b/>
          <w:color w:val="000000"/>
          <w:szCs w:val="21"/>
          <w:highlight w:val="none"/>
        </w:rPr>
        <w:t xml:space="preserve">叁</w:t>
      </w:r>
      <w:r>
        <w:rPr>
          <w:b/>
          <w:color w:val="000000"/>
          <w:szCs w:val="21"/>
          <w:highlight w:val="none"/>
        </w:rPr>
        <w:t xml:space="preserve">份，乙方壹份，招标代理机构壹份</w:t>
      </w:r>
      <w:r>
        <w:rPr>
          <w:color w:val="000000"/>
          <w:szCs w:val="21"/>
          <w:highlight w:val="none"/>
        </w:rPr>
        <w:t xml:space="preserve">。</w:t>
      </w:r>
      <w:bookmarkEnd w:id="830"/>
      <w:r>
        <w:rPr>
          <w:color w:val="000000"/>
          <w:szCs w:val="21"/>
          <w:highlight w:val="none"/>
        </w:rPr>
      </w:r>
      <w:r/>
    </w:p>
    <w:p>
      <w:pPr>
        <w:pStyle w:val="1086"/>
        <w:ind w:firstLine="600"/>
        <w:jc w:val="left"/>
        <w:spacing w:line="360" w:lineRule="auto"/>
        <w:rPr>
          <w:color w:val="000000"/>
          <w:szCs w:val="21"/>
          <w:highlight w:val="none"/>
        </w:rPr>
      </w:pPr>
      <w:r>
        <w:rPr>
          <w:color w:val="000000"/>
          <w:szCs w:val="21"/>
          <w:highlight w:val="none"/>
        </w:rPr>
        <w:t xml:space="preserve">其他未尽事宜，参照相关法律，双方协商解决。</w:t>
      </w:r>
      <w:r>
        <w:rPr>
          <w:color w:val="000000"/>
          <w:szCs w:val="21"/>
          <w:highlight w:val="none"/>
        </w:rPr>
      </w:r>
      <w:r/>
    </w:p>
    <w:p>
      <w:pPr>
        <w:pStyle w:val="1086"/>
        <w:spacing w:line="400" w:lineRule="exact"/>
        <w:rPr>
          <w:color w:val="000000"/>
          <w:szCs w:val="21"/>
          <w:highlight w:val="none"/>
        </w:rPr>
      </w:pPr>
      <w:r/>
      <w:bookmarkStart w:id="831" w:name="_Hlk214885154"/>
      <w:r/>
      <w:bookmarkStart w:id="832" w:name="_Hlk214885337"/>
      <w:r>
        <w:rPr>
          <w:rFonts w:hAnsi="宋体"/>
          <w:color w:val="000000"/>
          <w:szCs w:val="21"/>
          <w:highlight w:val="none"/>
        </w:rPr>
        <w:t xml:space="preserve">甲方（盖章）：常州市第二人民医院</w:t>
      </w:r>
      <w:r>
        <w:rPr>
          <w:color w:val="000000"/>
          <w:szCs w:val="21"/>
          <w:highlight w:val="none"/>
        </w:rPr>
        <w:tab/>
      </w:r>
      <w:r>
        <w:rPr>
          <w:color w:val="000000"/>
          <w:szCs w:val="21"/>
          <w:highlight w:val="none"/>
        </w:rPr>
        <w:tab/>
      </w:r>
      <w:r>
        <w:rPr>
          <w:color w:val="000000"/>
          <w:szCs w:val="21"/>
          <w:highlight w:val="none"/>
        </w:rPr>
        <w:t xml:space="preserve">           </w:t>
      </w:r>
      <w:r>
        <w:rPr>
          <w:rFonts w:hAnsi="宋体"/>
          <w:color w:val="000000"/>
          <w:szCs w:val="21"/>
          <w:highlight w:val="none"/>
        </w:rPr>
        <w:t xml:space="preserve">乙方（盖章）：</w:t>
      </w:r>
      <w:r>
        <w:rPr>
          <w:b/>
          <w:color w:val="000000"/>
          <w:szCs w:val="21"/>
          <w:highlight w:val="none"/>
          <w:u w:val="single"/>
        </w:rPr>
        <w:t xml:space="preserve">***</w:t>
      </w:r>
      <w:r>
        <w:rPr>
          <w:rFonts w:hAnsi="宋体"/>
          <w:color w:val="000000"/>
          <w:szCs w:val="21"/>
          <w:highlight w:val="none"/>
        </w:rPr>
        <w:t xml:space="preserve">有限公司</w:t>
      </w:r>
      <w:r>
        <w:rPr>
          <w:color w:val="000000"/>
          <w:szCs w:val="21"/>
          <w:highlight w:val="none"/>
        </w:rPr>
      </w:r>
      <w:r/>
    </w:p>
    <w:p>
      <w:pPr>
        <w:pStyle w:val="1086"/>
        <w:ind w:firstLine="420"/>
        <w:spacing w:after="156" w:line="400" w:lineRule="exact"/>
        <w:rPr>
          <w:color w:val="000000"/>
          <w:szCs w:val="21"/>
          <w:highlight w:val="none"/>
        </w:rPr>
      </w:pP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firstLine="420"/>
        <w:spacing w:after="156" w:line="400" w:lineRule="exact"/>
        <w:rPr>
          <w:color w:val="000000"/>
          <w:szCs w:val="21"/>
          <w:highlight w:val="none"/>
        </w:rPr>
      </w:pPr>
      <w:r/>
      <w:bookmarkStart w:id="833" w:name="_Hlk214885142"/>
      <w:r>
        <w:rPr>
          <w:rFonts w:hAnsi="宋体"/>
          <w:color w:val="000000"/>
          <w:szCs w:val="21"/>
          <w:highlight w:val="none"/>
        </w:rPr>
        <w:t xml:space="preserve">甲方代表：</w:t>
      </w:r>
      <w:r>
        <w:rPr>
          <w:rFonts w:hint="eastAsia" w:hAnsi="宋体"/>
          <w:color w:val="000000"/>
          <w:szCs w:val="21"/>
          <w:highlight w:val="none"/>
        </w:rPr>
        <w:t xml:space="preserve"> </w:t>
      </w:r>
      <w:r>
        <w:rPr>
          <w:rFonts w:hAnsi="宋体"/>
          <w:color w:val="000000"/>
          <w:szCs w:val="21"/>
          <w:highlight w:val="none"/>
        </w:rPr>
        <w:t xml:space="preserve">                                乙方代表：</w:t>
      </w:r>
      <w:r>
        <w:rPr>
          <w:color w:val="000000"/>
          <w:szCs w:val="21"/>
          <w:highlight w:val="none"/>
        </w:rPr>
      </w:r>
      <w:r/>
    </w:p>
    <w:p>
      <w:pPr>
        <w:pStyle w:val="1086"/>
        <w:ind w:firstLine="1470"/>
        <w:spacing w:after="156" w:line="400" w:lineRule="exact"/>
        <w:rPr>
          <w:rFonts w:hint="eastAsia"/>
          <w:color w:val="000000"/>
          <w:szCs w:val="21"/>
          <w:highlight w:val="none"/>
        </w:rPr>
      </w:pPr>
      <w:r>
        <w:rPr>
          <w:rFonts w:hAnsi="宋体"/>
          <w:color w:val="000000"/>
          <w:szCs w:val="21"/>
          <w:highlight w:val="none"/>
        </w:rPr>
        <w:t xml:space="preserve">　　　　　　　　　　　　　　　</w:t>
      </w:r>
      <w:r>
        <w:rPr>
          <w:color w:val="000000"/>
          <w:szCs w:val="21"/>
          <w:highlight w:val="none"/>
        </w:rPr>
        <w:t xml:space="preserve">   </w:t>
      </w:r>
      <w:r>
        <w:rPr>
          <w:rFonts w:hint="eastAsia"/>
          <w:color w:val="000000"/>
          <w:szCs w:val="21"/>
          <w:highlight w:val="none"/>
        </w:rPr>
      </w:r>
      <w:r/>
    </w:p>
    <w:p>
      <w:pPr>
        <w:pStyle w:val="1086"/>
        <w:ind w:firstLine="420"/>
        <w:spacing w:after="156" w:line="400" w:lineRule="exact"/>
        <w:rPr>
          <w:color w:val="000000"/>
          <w:szCs w:val="21"/>
          <w:highlight w:val="none"/>
        </w:rPr>
      </w:pPr>
      <w:r/>
      <w:bookmarkStart w:id="834" w:name="_Hlk214884917"/>
      <w:r>
        <w:rPr>
          <w:rFonts w:hint="eastAsia" w:hAnsi="宋体"/>
          <w:color w:val="000000"/>
          <w:szCs w:val="21"/>
          <w:highlight w:val="none"/>
        </w:rPr>
        <w:t xml:space="preserve">项目归口分管院长</w:t>
      </w:r>
      <w:r>
        <w:rPr>
          <w:rFonts w:hAnsi="宋体"/>
          <w:color w:val="000000"/>
          <w:szCs w:val="21"/>
          <w:highlight w:val="none"/>
        </w:rPr>
        <w:t xml:space="preserve">：</w:t>
      </w:r>
      <w:r>
        <w:rPr>
          <w:rFonts w:hint="eastAsia"/>
          <w:color w:val="000000"/>
          <w:szCs w:val="21"/>
          <w:highlight w:val="none"/>
        </w:rPr>
        <w:t xml:space="preserve">                                </w:t>
      </w:r>
      <w:r>
        <w:rPr>
          <w:color w:val="000000"/>
          <w:szCs w:val="21"/>
          <w:highlight w:val="none"/>
        </w:rPr>
      </w:r>
      <w:r/>
    </w:p>
    <w:p>
      <w:pPr>
        <w:pStyle w:val="1086"/>
        <w:ind w:firstLine="420"/>
        <w:spacing w:line="400" w:lineRule="exact"/>
        <w:rPr>
          <w:color w:val="000000"/>
          <w:szCs w:val="21"/>
          <w:highlight w:val="none"/>
        </w:rPr>
      </w:pPr>
      <w:r>
        <w:rPr>
          <w:color w:val="000000"/>
          <w:szCs w:val="21"/>
          <w:highlight w:val="none"/>
        </w:rPr>
      </w:r>
      <w:r/>
    </w:p>
    <w:p>
      <w:pPr>
        <w:pStyle w:val="1086"/>
        <w:ind w:firstLine="420"/>
        <w:spacing w:line="400" w:lineRule="exact"/>
        <w:rPr>
          <w:color w:val="000000"/>
          <w:szCs w:val="21"/>
          <w:highlight w:val="none"/>
        </w:rPr>
      </w:pPr>
      <w:r>
        <w:rPr>
          <w:rFonts w:hint="eastAsia" w:hAnsi="宋体"/>
          <w:color w:val="000000"/>
          <w:szCs w:val="21"/>
          <w:highlight w:val="none"/>
        </w:rPr>
        <w:t xml:space="preserve">项目归口职能</w:t>
      </w:r>
      <w:r>
        <w:rPr>
          <w:rFonts w:hAnsi="宋体"/>
          <w:color w:val="000000"/>
          <w:szCs w:val="21"/>
          <w:highlight w:val="none"/>
        </w:rPr>
        <w:t xml:space="preserve">科室：</w:t>
      </w:r>
      <w:bookmarkEnd w:id="834"/>
      <w:r>
        <w:rPr>
          <w:rFonts w:hAnsi="宋体"/>
          <w:color w:val="000000"/>
          <w:szCs w:val="21"/>
          <w:highlight w:val="none"/>
        </w:rPr>
        <w:t xml:space="preserve">　　</w:t>
      </w:r>
      <w:bookmarkEnd w:id="832"/>
      <w:r>
        <w:rPr>
          <w:rFonts w:hAnsi="宋体"/>
          <w:color w:val="000000"/>
          <w:szCs w:val="21"/>
          <w:highlight w:val="none"/>
        </w:rPr>
        <w:t xml:space="preserve">　　　　　　　　　　　</w:t>
      </w:r>
      <w:r>
        <w:rPr>
          <w:color w:val="000000"/>
          <w:szCs w:val="21"/>
          <w:highlight w:val="none"/>
        </w:rPr>
        <w:t xml:space="preserve">  </w:t>
      </w:r>
      <w:bookmarkEnd w:id="833"/>
      <w:r>
        <w:rPr>
          <w:rFonts w:hint="eastAsia"/>
          <w:color w:val="000000"/>
          <w:szCs w:val="21"/>
          <w:highlight w:val="none"/>
        </w:rPr>
        <w:t xml:space="preserve"> </w:t>
      </w:r>
      <w:r>
        <w:rPr>
          <w:color w:val="000000"/>
          <w:szCs w:val="21"/>
          <w:highlight w:val="none"/>
        </w:rPr>
      </w:r>
      <w:r/>
    </w:p>
    <w:p>
      <w:pPr>
        <w:pStyle w:val="1086"/>
        <w:spacing w:line="400" w:lineRule="exact"/>
        <w:rPr>
          <w:b/>
          <w:color w:val="000000"/>
          <w:szCs w:val="21"/>
          <w:highlight w:val="none"/>
        </w:rPr>
      </w:pPr>
      <w:r>
        <w:rPr>
          <w:b/>
          <w:color w:val="000000"/>
          <w:szCs w:val="21"/>
          <w:highlight w:val="none"/>
        </w:rPr>
      </w:r>
      <w:r/>
    </w:p>
    <w:p>
      <w:pPr>
        <w:pStyle w:val="1086"/>
        <w:spacing w:line="400" w:lineRule="exact"/>
        <w:rPr>
          <w:b/>
          <w:color w:val="000000"/>
          <w:szCs w:val="21"/>
          <w:highlight w:val="none"/>
        </w:rPr>
      </w:pPr>
      <w:r>
        <w:rPr>
          <w:b/>
          <w:color w:val="000000"/>
          <w:szCs w:val="21"/>
          <w:highlight w:val="none"/>
        </w:rPr>
        <w:t xml:space="preserve">见证方：</w:t>
      </w:r>
      <w:r>
        <w:rPr>
          <w:color w:val="000000"/>
          <w:szCs w:val="21"/>
          <w:highlight w:val="none"/>
        </w:rPr>
        <w:t xml:space="preserve">招标代理机构（章）： </w:t>
      </w:r>
      <w:r>
        <w:rPr>
          <w:b/>
          <w:color w:val="000000"/>
          <w:szCs w:val="21"/>
          <w:highlight w:val="none"/>
        </w:rPr>
      </w:r>
      <w:r/>
    </w:p>
    <w:p>
      <w:pPr>
        <w:pStyle w:val="1086"/>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1086"/>
        <w:ind w:firstLine="577"/>
        <w:spacing w:line="400" w:lineRule="exact"/>
        <w:rPr>
          <w:color w:val="000000"/>
          <w:szCs w:val="21"/>
          <w:highlight w:val="none"/>
        </w:rPr>
      </w:pPr>
      <w:r>
        <w:rPr>
          <w:color w:val="000000"/>
          <w:szCs w:val="21"/>
          <w:highlight w:val="none"/>
        </w:rPr>
        <w:t xml:space="preserve">经办人：</w:t>
      </w:r>
      <w:r>
        <w:rPr>
          <w:color w:val="000000"/>
          <w:szCs w:val="21"/>
          <w:highlight w:val="none"/>
        </w:rPr>
      </w:r>
      <w:r/>
    </w:p>
    <w:p>
      <w:pPr>
        <w:pStyle w:val="1086"/>
        <w:ind w:left="567"/>
        <w:spacing w:line="400" w:lineRule="exact"/>
        <w:rPr>
          <w:color w:val="000000"/>
          <w:szCs w:val="21"/>
          <w:highlight w:val="none"/>
        </w:rPr>
      </w:pPr>
      <w:r>
        <w:rPr>
          <w:rFonts w:hAnsi="宋体"/>
          <w:color w:val="000000"/>
          <w:szCs w:val="21"/>
          <w:highlight w:val="none"/>
        </w:rPr>
        <w:br w:type="page" w:clear="all"/>
      </w:r>
      <w:bookmarkEnd w:id="831"/>
      <w:r>
        <w:rPr>
          <w:rFonts w:hint="eastAsia"/>
          <w:color w:val="000000"/>
          <w:sz w:val="24"/>
          <w:highlight w:val="none"/>
        </w:rPr>
        <w:t xml:space="preserve">附件：</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ascii="微软雅黑" w:hAnsi="微软雅黑" w:eastAsia="微软雅黑"/>
          <w:b/>
          <w:color w:val="000000"/>
          <w:sz w:val="40"/>
          <w:highlight w:val="none"/>
        </w:rPr>
        <w:t xml:space="preserve">分项报价清单</w:t>
      </w:r>
      <w:r>
        <w:rPr>
          <w:color w:val="000000"/>
          <w:szCs w:val="21"/>
          <w:highlight w:val="none"/>
        </w:rPr>
      </w:r>
      <w:r/>
    </w:p>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b/>
          <w:color w:val="000000"/>
          <w:szCs w:val="21"/>
          <w:highlight w:val="none"/>
        </w:rPr>
      </w:pPr>
      <w:r>
        <w:rPr>
          <w:b/>
          <w:color w:val="000000"/>
          <w:szCs w:val="21"/>
          <w:highlight w:val="none"/>
        </w:rPr>
        <w:t xml:space="preserve">设备名称、型号、数量和价格</w:t>
      </w:r>
      <w:r>
        <w:rPr>
          <w:b/>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  </w:t>
      </w:r>
      <w:r>
        <w:rPr>
          <w:color w:val="000000"/>
          <w:szCs w:val="21"/>
          <w:highlight w:val="none"/>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设备名称</w:t>
            </w: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品牌</w:t>
            </w: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规格型号</w:t>
            </w: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数  量</w:t>
            </w: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单价（元）</w:t>
            </w: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成交总价（元）</w:t>
            </w:r>
            <w:r>
              <w:rPr>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024"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502"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107"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319"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730"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r>
      <w:tr>
        <w:trPr/>
        <w:tc>
          <w:tcPr>
            <w:gridSpan w:val="6"/>
            <w:tcW w:w="8595" w:type="dxa"/>
            <w:vAlign w:val="center"/>
            <w:textDirection w:val="lrTb"/>
            <w:noWrap w:val="false"/>
          </w:tcPr>
          <w:p>
            <w:pPr>
              <w:pStyle w:val="1086"/>
              <w:jc w:val="left"/>
              <w:spacing w:line="400" w:lineRule="exact"/>
              <w:widowControl/>
              <w:rPr>
                <w:color w:val="000000"/>
                <w:szCs w:val="21"/>
                <w:highlight w:val="none"/>
              </w:rPr>
            </w:pPr>
            <w:r>
              <w:rPr>
                <w:color w:val="000000"/>
                <w:szCs w:val="21"/>
                <w:highlight w:val="none"/>
              </w:rPr>
              <w:t xml:space="preserve">总价（大写）：</w:t>
            </w:r>
            <w:r>
              <w:rPr>
                <w:b/>
                <w:color w:val="000000"/>
                <w:szCs w:val="21"/>
                <w:highlight w:val="none"/>
              </w:rPr>
              <w:t xml:space="preserve">人民币万仟佰圆整</w:t>
            </w:r>
            <w:r>
              <w:rPr>
                <w:rFonts w:hint="eastAsia"/>
                <w:b/>
                <w:color w:val="000000"/>
                <w:szCs w:val="21"/>
                <w:highlight w:val="none"/>
              </w:rPr>
              <w:t xml:space="preserve"> </w:t>
            </w:r>
            <w:r>
              <w:rPr>
                <w:b/>
                <w:color w:val="000000"/>
                <w:szCs w:val="21"/>
                <w:highlight w:val="none"/>
              </w:rPr>
              <w:t xml:space="preserve">                       </w:t>
            </w:r>
            <w:r>
              <w:rPr>
                <w:color w:val="000000"/>
                <w:szCs w:val="21"/>
                <w:highlight w:val="none"/>
              </w:rPr>
              <w:t xml:space="preserve">总价（</w:t>
            </w:r>
            <w:r>
              <w:rPr>
                <w:rFonts w:hint="eastAsia"/>
                <w:color w:val="000000"/>
                <w:szCs w:val="21"/>
                <w:highlight w:val="none"/>
              </w:rPr>
              <w:t xml:space="preserve">小</w:t>
            </w:r>
            <w:r>
              <w:rPr>
                <w:color w:val="000000"/>
                <w:szCs w:val="21"/>
                <w:highlight w:val="none"/>
              </w:rPr>
              <w:t xml:space="preserve">写）：</w:t>
            </w:r>
            <w:r>
              <w:rPr>
                <w:color w:val="000000"/>
                <w:szCs w:val="21"/>
                <w:highlight w:val="none"/>
              </w:rPr>
            </w:r>
            <w:r/>
          </w:p>
        </w:tc>
      </w:tr>
    </w:tbl>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color w:val="000000"/>
          <w:szCs w:val="21"/>
          <w:highlight w:val="none"/>
        </w:rPr>
      </w:pPr>
      <w:r>
        <w:rPr>
          <w:b/>
          <w:color w:val="000000"/>
          <w:szCs w:val="21"/>
          <w:highlight w:val="none"/>
        </w:rPr>
        <w:t xml:space="preserve">备注</w:t>
      </w:r>
      <w:r>
        <w:rPr>
          <w:color w:val="000000"/>
          <w:szCs w:val="21"/>
          <w:highlight w:val="none"/>
        </w:rPr>
        <w:t xml:space="preserve">：配置及耗材见附页。</w:t>
      </w:r>
      <w:r>
        <w:rPr>
          <w:color w:val="000000"/>
          <w:szCs w:val="21"/>
          <w:highlight w:val="none"/>
        </w:rPr>
      </w:r>
      <w:r/>
    </w:p>
    <w:p>
      <w:pPr>
        <w:pStyle w:val="1180"/>
        <w:spacing w:line="360" w:lineRule="auto"/>
        <w:rPr>
          <w:rFonts w:hint="eastAsia" w:ascii="微软雅黑" w:hAnsi="微软雅黑" w:eastAsia="微软雅黑"/>
          <w:b/>
          <w:color w:val="000000"/>
          <w:sz w:val="40"/>
          <w:highlight w:val="none"/>
        </w:rPr>
      </w:pPr>
      <w:r>
        <w:rPr>
          <w:rFonts w:hint="eastAsia"/>
          <w:color w:val="000000"/>
          <w:sz w:val="24"/>
          <w:highlight w:val="none"/>
        </w:rPr>
        <w:t xml:space="preserve">                 </w:t>
      </w:r>
      <w:r>
        <w:rPr>
          <w:color w:val="000000"/>
          <w:sz w:val="24"/>
          <w:highlight w:val="none"/>
        </w:rPr>
        <w:br w:type="page" w:clear="all"/>
      </w:r>
      <w:r>
        <w:rPr>
          <w:rFonts w:hint="eastAsia"/>
          <w:color w:val="000000"/>
          <w:sz w:val="24"/>
          <w:highlight w:val="none"/>
        </w:rPr>
        <w:t xml:space="preserve">附件： </w:t>
      </w:r>
      <w:r>
        <w:rPr>
          <w:color w:val="000000"/>
          <w:sz w:val="24"/>
          <w:highlight w:val="none"/>
        </w:rPr>
        <w:t xml:space="preserve">                       </w:t>
      </w:r>
      <w:r>
        <w:rPr>
          <w:rFonts w:hint="eastAsia"/>
          <w:color w:val="000000"/>
          <w:sz w:val="24"/>
          <w:highlight w:val="none"/>
        </w:rPr>
        <w:t xml:space="preserve"> </w:t>
      </w:r>
      <w:r>
        <w:rPr>
          <w:rFonts w:hint="eastAsia" w:ascii="微软雅黑" w:hAnsi="微软雅黑" w:eastAsia="微软雅黑"/>
          <w:b/>
          <w:color w:val="000000"/>
          <w:sz w:val="40"/>
          <w:highlight w:val="none"/>
        </w:rPr>
        <w:t xml:space="preserve">配置清单</w:t>
      </w:r>
      <w:r>
        <w:rPr>
          <w:rFonts w:hint="eastAsia" w:ascii="微软雅黑" w:hAnsi="微软雅黑" w:eastAsia="微软雅黑"/>
          <w:b/>
          <w:color w:val="000000"/>
          <w:sz w:val="40"/>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color w:val="000000"/>
          <w:sz w:val="24"/>
          <w:highlight w:val="none"/>
        </w:rPr>
        <w:br w:type="page" w:clear="all"/>
      </w: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设备主要配件更换参考价格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配件名称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设备所用耗材目录及参考价格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耗材名称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086"/>
        <w:ind w:firstLine="577"/>
        <w:spacing w:line="720" w:lineRule="auto"/>
        <w:rPr>
          <w:rFonts w:ascii="微软雅黑" w:hAnsi="微软雅黑" w:eastAsia="微软雅黑"/>
          <w:b/>
          <w:color w:val="000000"/>
          <w:sz w:val="40"/>
          <w:highlight w:val="none"/>
        </w:rPr>
      </w:pPr>
      <w:r>
        <w:rPr>
          <w:color w:val="000000"/>
          <w:szCs w:val="21"/>
          <w:highlight w:val="non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售后服务承诺书</w:t>
      </w:r>
      <w:r>
        <w:rPr>
          <w:rFonts w:ascii="微软雅黑" w:hAnsi="微软雅黑" w:eastAsia="微软雅黑"/>
          <w:b/>
          <w:color w:val="000000"/>
          <w:sz w:val="40"/>
          <w:highlight w:val="none"/>
        </w:rPr>
      </w:r>
      <w:r/>
    </w:p>
    <w:p>
      <w:pPr>
        <w:pStyle w:val="1086"/>
        <w:ind w:firstLine="420"/>
        <w:spacing w:line="360" w:lineRule="auto"/>
        <w:rPr>
          <w:color w:val="000000"/>
          <w:szCs w:val="21"/>
          <w:highlight w:val="none"/>
        </w:rPr>
      </w:pPr>
      <w:r>
        <w:rPr>
          <w:color w:val="000000"/>
          <w:szCs w:val="21"/>
          <w:highlight w:val="none"/>
        </w:rPr>
      </w:r>
      <w:r/>
    </w:p>
    <w:p>
      <w:pPr>
        <w:pStyle w:val="1086"/>
        <w:ind w:firstLine="420"/>
        <w:spacing w:line="360" w:lineRule="auto"/>
        <w:rPr>
          <w:color w:val="000000"/>
          <w:szCs w:val="21"/>
          <w:highlight w:val="none"/>
        </w:rPr>
      </w:pPr>
      <w:r>
        <w:rPr>
          <w:color w:val="000000"/>
          <w:szCs w:val="21"/>
          <w:highlight w:val="none"/>
        </w:rPr>
        <w:t xml:space="preserve">我公司就</w:t>
      </w:r>
      <w:r>
        <w:rPr>
          <w:b/>
          <w:color w:val="000000"/>
          <w:szCs w:val="21"/>
          <w:highlight w:val="none"/>
        </w:rPr>
        <w:t xml:space="preserve">常州市第二人民医院</w:t>
      </w:r>
      <w:r>
        <w:rPr>
          <w:color w:val="000000"/>
          <w:szCs w:val="21"/>
          <w:highlight w:val="none"/>
        </w:rPr>
        <w:t xml:space="preserve">采购</w:t>
      </w:r>
      <w:r>
        <w:rPr>
          <w:color w:val="000000"/>
          <w:szCs w:val="21"/>
          <w:highlight w:val="none"/>
          <w:u w:val="single"/>
        </w:rPr>
        <w:t xml:space="preserve">                      </w:t>
      </w:r>
      <w:r>
        <w:rPr>
          <w:color w:val="000000"/>
          <w:szCs w:val="21"/>
          <w:highlight w:val="none"/>
        </w:rPr>
        <w:t xml:space="preserve">项目的服务承诺如下：</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质保期内的售后服务</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设备免费原厂保修期为：</w:t>
      </w:r>
      <w:r>
        <w:rPr>
          <w:color w:val="000000"/>
          <w:szCs w:val="21"/>
          <w:highlight w:val="none"/>
          <w:u w:val="single"/>
        </w:rPr>
        <w:t xml:space="preserve">       </w:t>
      </w:r>
      <w:r>
        <w:rPr>
          <w:color w:val="000000"/>
          <w:szCs w:val="21"/>
          <w:highlight w:val="none"/>
        </w:rPr>
        <w:t xml:space="preserve">年</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质保期内：</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免费送货上门至采购人指定地点，进行安装调试并及时对具体使用人员进行操作培训；</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维保期内将按照本承诺提供优质的免费上门服务；</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如设备出现故障，承诺</w:t>
      </w:r>
      <w:r>
        <w:rPr>
          <w:color w:val="000000"/>
          <w:szCs w:val="21"/>
          <w:highlight w:val="none"/>
          <w:u w:val="single"/>
        </w:rPr>
        <w:t xml:space="preserve">       </w:t>
      </w:r>
      <w:r>
        <w:rPr>
          <w:color w:val="000000"/>
          <w:szCs w:val="21"/>
          <w:highlight w:val="none"/>
        </w:rPr>
        <w:t xml:space="preserve">小时响应，</w:t>
      </w:r>
      <w:r>
        <w:rPr>
          <w:color w:val="000000"/>
          <w:szCs w:val="21"/>
          <w:highlight w:val="none"/>
          <w:u w:val="single"/>
        </w:rPr>
        <w:t xml:space="preserve">       </w:t>
      </w:r>
      <w:r>
        <w:rPr>
          <w:color w:val="000000"/>
          <w:szCs w:val="21"/>
          <w:highlight w:val="none"/>
        </w:rPr>
        <w:t xml:space="preserve">小时内维修工程师到达现场。</w:t>
      </w:r>
      <w:r>
        <w:rPr>
          <w:color w:val="000000"/>
          <w:szCs w:val="21"/>
          <w:highlight w:val="none"/>
        </w:rPr>
      </w:r>
      <w:r/>
    </w:p>
    <w:p>
      <w:pPr>
        <w:pStyle w:val="1086"/>
        <w:numPr>
          <w:ilvl w:val="0"/>
          <w:numId w:val="19"/>
        </w:numPr>
        <w:spacing w:line="360" w:lineRule="auto"/>
        <w:rPr>
          <w:color w:val="000000"/>
          <w:szCs w:val="21"/>
          <w:highlight w:val="none"/>
        </w:rPr>
      </w:pPr>
      <w:r>
        <w:rPr>
          <w:rFonts w:hint="eastAsia"/>
          <w:color w:val="000000"/>
          <w:szCs w:val="21"/>
          <w:highlight w:val="none"/>
        </w:rPr>
        <w:t xml:space="preserve">所有医疗设备必须提供符合国家标准的电源线，插头制式必须为中国标准制式，保证安全接地，不接受欧标、美标等制式电源线，</w:t>
      </w:r>
      <w:r>
        <w:rPr>
          <w:rFonts w:hint="eastAsia"/>
          <w:b/>
          <w:bCs/>
          <w:color w:val="000000"/>
          <w:szCs w:val="21"/>
          <w:highlight w:val="none"/>
        </w:rPr>
        <w:t xml:space="preserve">设备出厂时间不能早于采购合同签约日期超过壹年</w:t>
      </w:r>
      <w:r>
        <w:rPr>
          <w:rFonts w:hint="eastAsia"/>
          <w:color w:val="000000"/>
          <w:szCs w:val="21"/>
          <w:highlight w:val="none"/>
        </w:rPr>
        <w:t xml:space="preserve">。</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质保期外提供设备终身维</w:t>
      </w:r>
      <w:r>
        <w:rPr>
          <w:rFonts w:hint="eastAsia"/>
          <w:color w:val="000000"/>
          <w:szCs w:val="21"/>
          <w:highlight w:val="none"/>
          <w:lang w:val="en-US" w:eastAsia="zh-CN"/>
        </w:rPr>
        <w:t xml:space="preserve">修</w:t>
      </w:r>
      <w:r>
        <w:rPr>
          <w:color w:val="000000"/>
          <w:szCs w:val="21"/>
          <w:highlight w:val="none"/>
        </w:rPr>
        <w:t xml:space="preserve">服务，在设备设计的使用生命周期内，保证使用方能及时更换到原厂正宗的零配件，确保设备正常使用，维修只收取配件材料费。</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售后服务联系方式</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原厂售后服务电话：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手   机：</w:t>
      </w:r>
      <w:r>
        <w:rPr>
          <w:color w:val="000000"/>
          <w:szCs w:val="21"/>
          <w:highlight w:val="none"/>
          <w:u w:val="single"/>
        </w:rPr>
        <w:t xml:space="preserve">                          </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如未能充分履行上述承诺，采购人可采取必要的补救措施，其费用和风险由本公司承担。</w:t>
      </w:r>
      <w:r>
        <w:rPr>
          <w:color w:val="000000"/>
          <w:szCs w:val="21"/>
          <w:highlight w:val="none"/>
        </w:rPr>
      </w:r>
      <w:r/>
    </w:p>
    <w:p>
      <w:pPr>
        <w:pStyle w:val="1086"/>
        <w:spacing w:line="360" w:lineRule="auto"/>
        <w:rPr>
          <w:rFonts w:hint="eastAsia"/>
          <w:color w:val="000000"/>
          <w:szCs w:val="21"/>
          <w:highlight w:val="none"/>
        </w:rPr>
      </w:pPr>
      <w:r>
        <w:rPr>
          <w:rFonts w:hint="eastAsia"/>
          <w:color w:val="000000"/>
          <w:szCs w:val="21"/>
          <w:highlight w:val="none"/>
        </w:rPr>
      </w:r>
      <w:r/>
    </w:p>
    <w:p>
      <w:pPr>
        <w:pStyle w:val="1086"/>
        <w:ind w:right="94" w:firstLine="4095"/>
        <w:jc w:val="right"/>
        <w:spacing w:line="360" w:lineRule="auto"/>
        <w:rPr>
          <w:b/>
          <w:color w:val="000000"/>
          <w:szCs w:val="21"/>
          <w:highlight w:val="none"/>
          <w:u w:val="single"/>
        </w:rPr>
      </w:pPr>
      <w:r>
        <w:rPr>
          <w:rFonts w:hint="eastAsia" w:hAnsi="宋体"/>
          <w:color w:val="000000"/>
          <w:szCs w:val="21"/>
          <w:highlight w:val="none"/>
        </w:rPr>
        <w:t xml:space="preserve">承诺公司</w:t>
      </w:r>
      <w:r>
        <w:rPr>
          <w:rFonts w:hAnsi="宋体"/>
          <w:color w:val="000000"/>
          <w:szCs w:val="21"/>
          <w:highlight w:val="none"/>
        </w:rPr>
        <w:t xml:space="preserve">（盖章）：</w:t>
      </w:r>
      <w:r>
        <w:rPr>
          <w:rFonts w:hint="eastAsia" w:hAnsi="宋体"/>
          <w:color w:val="000000"/>
          <w:szCs w:val="21"/>
          <w:highlight w:val="none"/>
          <w:u w:val="single"/>
        </w:rPr>
        <w:t xml:space="preserve"> </w:t>
      </w:r>
      <w:r>
        <w:rPr>
          <w:rFonts w:hAnsi="宋体"/>
          <w:color w:val="000000"/>
          <w:szCs w:val="21"/>
          <w:highlight w:val="none"/>
          <w:u w:val="single"/>
        </w:rPr>
        <w:t xml:space="preserve">            </w:t>
      </w:r>
      <w:r>
        <w:rPr>
          <w:b/>
          <w:color w:val="000000"/>
          <w:szCs w:val="21"/>
          <w:highlight w:val="none"/>
          <w:u w:val="single"/>
        </w:rPr>
        <w:t xml:space="preserve">           </w:t>
      </w:r>
      <w:r>
        <w:rPr>
          <w:b/>
          <w:color w:val="000000"/>
          <w:szCs w:val="21"/>
          <w:highlight w:val="none"/>
          <w:u w:val="single"/>
        </w:rPr>
      </w:r>
      <w:r/>
    </w:p>
    <w:p>
      <w:pPr>
        <w:pStyle w:val="1086"/>
        <w:ind w:right="94" w:firstLine="4111"/>
        <w:jc w:val="right"/>
        <w:spacing w:line="360" w:lineRule="auto"/>
        <w:rPr>
          <w:b/>
          <w:color w:val="000000"/>
          <w:szCs w:val="21"/>
          <w:highlight w:val="none"/>
          <w:u w:val="single"/>
        </w:rPr>
      </w:pPr>
      <w:r>
        <w:rPr>
          <w:b/>
          <w:color w:val="000000"/>
          <w:szCs w:val="21"/>
          <w:highlight w:val="none"/>
          <w:u w:val="single"/>
        </w:rPr>
      </w:r>
      <w:r/>
    </w:p>
    <w:p>
      <w:pPr>
        <w:pStyle w:val="1086"/>
        <w:ind w:right="94"/>
        <w:jc w:val="left"/>
        <w:spacing w:line="360" w:lineRule="auto"/>
        <w:rPr>
          <w:rFonts w:hint="eastAsia"/>
          <w:color w:val="000000"/>
          <w:szCs w:val="21"/>
          <w:highlight w:val="none"/>
        </w:rPr>
      </w:pPr>
      <w:r>
        <w:rPr>
          <w:b/>
          <w:color w:val="000000"/>
          <w:szCs w:val="21"/>
          <w:highlight w:val="none"/>
          <w:u w:val="singl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（中标通知书）</w:t>
      </w:r>
      <w:r>
        <w:rPr>
          <w:rFonts w:hint="eastAsia"/>
          <w:color w:val="000000"/>
          <w:szCs w:val="21"/>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6"/>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6"/>
        <w:rPr>
          <w:rFonts w:ascii="宋体" w:hAnsi="宋体"/>
          <w:b/>
          <w:color w:val="000000"/>
          <w:spacing w:val="20"/>
          <w:szCs w:val="21"/>
          <w:highlight w:val="none"/>
        </w:rPr>
      </w:pPr>
      <w:r>
        <w:rPr>
          <w:rFonts w:ascii="宋体" w:hAnsi="宋体"/>
          <w:b/>
          <w:color w:val="000000"/>
          <w:spacing w:val="20"/>
          <w:szCs w:val="21"/>
          <w:highlight w:val="none"/>
        </w:rPr>
      </w:r>
      <w:r/>
    </w:p>
    <w:p>
      <w:pPr>
        <w:pStyle w:val="1086"/>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6"/>
        <w:jc w:val="center"/>
        <w:rPr>
          <w:rFonts w:ascii="宋体" w:hAnsi="宋体"/>
          <w:color w:val="000000"/>
          <w:szCs w:val="21"/>
          <w:highlight w:val="none"/>
        </w:rPr>
      </w:pPr>
      <w:r>
        <w:rPr>
          <w:rFonts w:ascii="宋体" w:hAnsi="宋体"/>
          <w:color w:val="000000"/>
          <w:szCs w:val="21"/>
          <w:highlight w:val="none"/>
        </w:rPr>
      </w:r>
      <w:r/>
    </w:p>
    <w:p>
      <w:pPr>
        <w:pStyle w:val="108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jc w:val="center"/>
        <w:rPr>
          <w:rFonts w:ascii="宋体" w:hAnsi="宋体"/>
          <w:b/>
          <w:color w:val="000000"/>
          <w:sz w:val="32"/>
          <w:szCs w:val="32"/>
          <w:highlight w:val="none"/>
        </w:rPr>
      </w:pPr>
      <w:r>
        <w:rPr>
          <w:rFonts w:ascii="宋体" w:hAnsi="宋体"/>
          <w:b/>
          <w:color w:val="000000"/>
          <w:sz w:val="32"/>
          <w:szCs w:val="32"/>
          <w:highlight w:val="none"/>
        </w:rPr>
      </w:r>
      <w:r/>
    </w:p>
    <w:p>
      <w:pPr>
        <w:pStyle w:val="1086"/>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6"/>
        <w:rPr>
          <w:rFonts w:ascii="宋体" w:hAnsi="宋体"/>
          <w:b/>
          <w:color w:val="000000"/>
          <w:highlight w:val="none"/>
        </w:rPr>
      </w:pPr>
      <w:r>
        <w:rPr>
          <w:rFonts w:ascii="宋体" w:hAnsi="宋体"/>
          <w:b/>
          <w:color w:val="000000"/>
          <w:highlight w:val="none"/>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89"/>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0"/>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0"/>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6"/>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5" w:name="_Toc150480794"/>
      <w:r/>
      <w:bookmarkStart w:id="836" w:name="_Toc520356217"/>
      <w:r/>
      <w:bookmarkStart w:id="837" w:name="_Toc226337252"/>
      <w:r/>
      <w:bookmarkStart w:id="838" w:name="_Toc226965746"/>
      <w:r/>
      <w:bookmarkStart w:id="839" w:name="_Toc150774761"/>
      <w:r/>
      <w:bookmarkStart w:id="840" w:name="_Toc195842921"/>
      <w:r/>
      <w:bookmarkStart w:id="841" w:name="_Ref467988698"/>
      <w:r/>
      <w:bookmarkStart w:id="842" w:name="_Toc142311058"/>
      <w:r/>
      <w:bookmarkStart w:id="843" w:name="_Toc480942349"/>
      <w:r/>
      <w:bookmarkStart w:id="844" w:name="_Toc226965829"/>
      <w:r/>
      <w:bookmarkStart w:id="845" w:name="_Toc127151556"/>
      <w:r/>
      <w:bookmarkStart w:id="846" w:name="_Toc226309800"/>
      <w:r>
        <w:rPr>
          <w:rFonts w:hint="eastAsia" w:ascii="宋体" w:hAnsi="宋体"/>
          <w:b/>
          <w:color w:val="000000"/>
          <w:sz w:val="32"/>
          <w:szCs w:val="32"/>
          <w:highlight w:val="none"/>
        </w:rPr>
      </w:r>
      <w:r/>
    </w:p>
    <w:p>
      <w:pPr>
        <w:pStyle w:val="108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6"/>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6"/>
        <w:jc w:val="left"/>
        <w:widowControl/>
        <w:rPr>
          <w:rFonts w:hint="eastAsia" w:ascii="宋体" w:hAnsi="宋体"/>
          <w:b/>
          <w:color w:val="000000"/>
          <w:sz w:val="24"/>
          <w:highlight w:val="none"/>
        </w:rPr>
      </w:pPr>
      <w:r/>
      <w:bookmarkStart w:id="847" w:name="_Hlt520355938"/>
      <w:r/>
      <w:bookmarkEnd w:id="847"/>
      <w:r/>
      <w:bookmarkStart w:id="848" w:name="_Hlt520356243"/>
      <w:r/>
      <w:bookmarkEnd w:id="848"/>
      <w:r>
        <w:rPr>
          <w:rFonts w:ascii="宋体" w:hAnsi="宋体"/>
          <w:color w:val="000000"/>
          <w:sz w:val="24"/>
          <w:highlight w:val="none"/>
        </w:rPr>
        <w:br w:type="page" w:clear="all"/>
      </w:r>
      <w:r>
        <w:rPr>
          <w:rFonts w:hint="eastAsia" w:ascii="宋体" w:hAnsi="宋体"/>
          <w:b/>
          <w:color w:val="000000"/>
          <w:sz w:val="24"/>
          <w:highlight w:val="none"/>
        </w:rPr>
      </w:r>
      <w:r/>
    </w:p>
    <w:p>
      <w:pPr>
        <w:pStyle w:val="1086"/>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ascii="宋体" w:hAnsi="宋体"/>
          <w:color w:val="000000"/>
          <w:sz w:val="24"/>
          <w:highlight w:val="none"/>
        </w:rPr>
      </w:r>
      <w:r/>
    </w:p>
    <w:p>
      <w:pPr>
        <w:pStyle w:val="111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3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6"/>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7"/>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7"/>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38"/>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6"/>
        <w:ind w:firstLine="640"/>
        <w:rPr>
          <w:rFonts w:ascii="宋体" w:hAnsi="宋体"/>
          <w:color w:val="000000"/>
          <w:highlight w:val="none"/>
        </w:rPr>
      </w:pPr>
      <w:r>
        <w:rPr>
          <w:rFonts w:ascii="宋体" w:hAnsi="宋体"/>
          <w:color w:val="000000"/>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49" w:name="_Hlt520274121"/>
      <w:r/>
      <w:bookmarkEnd w:id="849"/>
      <w:r/>
      <w:bookmarkStart w:id="850" w:name="_Hlt520271212"/>
      <w:r/>
      <w:bookmarkEnd w:id="850"/>
      <w:r/>
      <w:bookmarkStart w:id="851" w:name="_Hlt520350918"/>
      <w:r/>
      <w:bookmarkEnd w:id="851"/>
      <w:r/>
      <w:bookmarkStart w:id="852" w:name="_Hlt520274065"/>
      <w:r/>
      <w:bookmarkEnd w:id="852"/>
      <w:r/>
      <w:bookmarkStart w:id="853" w:name="_Hlt520343392"/>
      <w:r/>
      <w:bookmarkEnd w:id="853"/>
      <w:r/>
      <w:bookmarkStart w:id="854" w:name="_Hlt520355504"/>
      <w:r/>
      <w:bookmarkEnd w:id="854"/>
      <w:r/>
      <w:bookmarkStart w:id="855" w:name="_Hlt520274407"/>
      <w:r/>
      <w:bookmarkEnd w:id="855"/>
      <w:r/>
      <w:bookmarkStart w:id="856" w:name="_Hlt520274393"/>
      <w:r/>
      <w:bookmarkEnd w:id="856"/>
      <w:r/>
      <w:bookmarkStart w:id="857" w:name="_Hlt520343000"/>
      <w:r/>
      <w:bookmarkEnd w:id="857"/>
      <w:r/>
      <w:bookmarkStart w:id="858" w:name="_Hlt520273711"/>
      <w:r/>
      <w:bookmarkEnd w:id="858"/>
      <w:r/>
      <w:bookmarkStart w:id="859" w:name="_Toc195842922"/>
      <w:r/>
      <w:bookmarkStart w:id="860" w:name="_Toc305158825"/>
      <w:r/>
      <w:bookmarkStart w:id="861" w:name="_Toc142311059"/>
      <w:r/>
      <w:bookmarkStart w:id="862" w:name="_Toc226337253"/>
      <w:r/>
      <w:bookmarkStart w:id="863" w:name="_Toc305158899"/>
      <w:r/>
      <w:bookmarkStart w:id="864" w:name="_Toc226965747"/>
      <w:r/>
      <w:bookmarkStart w:id="865" w:name="_Toc480942350"/>
      <w:r/>
      <w:bookmarkStart w:id="866" w:name="_Toc127151557"/>
      <w:r/>
      <w:bookmarkStart w:id="867" w:name="_Toc150480795"/>
      <w:r/>
      <w:bookmarkStart w:id="868" w:name="_Toc265228395"/>
      <w:r/>
      <w:bookmarkStart w:id="869" w:name="_Toc264969247"/>
      <w:r/>
      <w:bookmarkStart w:id="870" w:name="_Toc520356218"/>
      <w:r/>
      <w:bookmarkStart w:id="871" w:name="_Toc150774762"/>
      <w:r/>
      <w:bookmarkStart w:id="872" w:name="_Toc226309801"/>
      <w:r/>
      <w:bookmarkStart w:id="873" w:name="_Ref467988705"/>
      <w:r/>
      <w:bookmarkStart w:id="874"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b/>
          <w:color w:val="000000"/>
          <w:sz w:val="36"/>
          <w:szCs w:val="36"/>
          <w:highlight w:val="none"/>
        </w:rPr>
      </w:pPr>
      <w:r/>
      <w:bookmarkStart w:id="875" w:name="_Toc305158900"/>
      <w:r/>
      <w:bookmarkStart w:id="876" w:name="_Toc226965831"/>
      <w:r/>
      <w:bookmarkStart w:id="877" w:name="_Toc226337254"/>
      <w:r/>
      <w:bookmarkStart w:id="878" w:name="_Toc265228396"/>
      <w:r/>
      <w:bookmarkStart w:id="879" w:name="_Toc195842923"/>
      <w:r/>
      <w:bookmarkStart w:id="880" w:name="_Toc164608827"/>
      <w:r/>
      <w:bookmarkStart w:id="881" w:name="_Toc226965748"/>
      <w:r/>
      <w:bookmarkStart w:id="882" w:name="_Toc264969248"/>
      <w:r/>
      <w:bookmarkStart w:id="883" w:name="_Toc164608672"/>
      <w:r/>
      <w:bookmarkStart w:id="884" w:name="_Toc226309802"/>
      <w:r/>
      <w:bookmarkStart w:id="885" w:name="_Toc305158826"/>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108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6"/>
        <w:jc w:val="left"/>
        <w:rPr>
          <w:rFonts w:ascii="宋体" w:hAnsi="宋体"/>
          <w:color w:val="000000"/>
          <w:sz w:val="24"/>
          <w:highlight w:val="none"/>
        </w:rPr>
      </w:pPr>
      <w:r>
        <w:rPr>
          <w:rFonts w:ascii="宋体" w:hAnsi="宋体"/>
          <w:color w:val="000000"/>
          <w:sz w:val="24"/>
          <w:highlight w:val="none"/>
        </w:rPr>
      </w:r>
      <w:r/>
    </w:p>
    <w:p>
      <w:pPr>
        <w:pStyle w:val="1086"/>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6"/>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86" w:name="_Toc150774763"/>
      <w:r/>
      <w:bookmarkStart w:id="887" w:name="_Toc226337255"/>
      <w:r/>
      <w:bookmarkStart w:id="888" w:name="_Toc305158901"/>
      <w:r/>
      <w:bookmarkStart w:id="889" w:name="_Toc226965832"/>
      <w:r/>
      <w:bookmarkStart w:id="890" w:name="_Toc305158827"/>
      <w:r/>
      <w:bookmarkStart w:id="891" w:name="_Toc142311060"/>
      <w:r/>
      <w:bookmarkStart w:id="892" w:name="_Toc195842924"/>
      <w:r/>
      <w:bookmarkStart w:id="893" w:name="_Toc265228397"/>
      <w:r/>
      <w:bookmarkStart w:id="894" w:name="_Toc150480796"/>
      <w:r/>
      <w:bookmarkStart w:id="895" w:name="_Toc226309803"/>
      <w:r/>
      <w:bookmarkStart w:id="896" w:name="_Toc127151558"/>
      <w:r/>
      <w:bookmarkStart w:id="897" w:name="_Toc226965749"/>
      <w:r/>
      <w:bookmarkStart w:id="898" w:name="_Toc2649692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6"/>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6"/>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6"/>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6"/>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6"/>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spacing w:line="360" w:lineRule="auto"/>
        <w:rPr>
          <w:rFonts w:ascii="宋体" w:hAnsi="宋体"/>
          <w:b/>
          <w:color w:val="000000"/>
          <w:sz w:val="24"/>
          <w:szCs w:val="20"/>
          <w:highlight w:val="none"/>
        </w:rPr>
        <w:outlineLvl w:val="2"/>
      </w:pPr>
      <w:r/>
      <w:bookmarkStart w:id="899" w:name="_Toc226337258"/>
      <w:r/>
      <w:bookmarkStart w:id="900" w:name="_Toc226309806"/>
      <w:r/>
      <w:bookmarkStart w:id="901" w:name="_Toc150774765"/>
      <w:r/>
      <w:bookmarkStart w:id="902" w:name="_Toc305158904"/>
      <w:r/>
      <w:bookmarkStart w:id="903" w:name="_Toc264969252"/>
      <w:r/>
      <w:bookmarkStart w:id="904" w:name="_Toc305158830"/>
      <w:r/>
      <w:bookmarkStart w:id="905" w:name="_Toc265228400"/>
      <w:r/>
      <w:bookmarkStart w:id="906" w:name="_Toc195842927"/>
      <w:r/>
      <w:bookmarkStart w:id="907" w:name="_Toc226965752"/>
      <w:r/>
      <w:bookmarkStart w:id="908" w:name="_Toc226965835"/>
      <w:r/>
      <w:bookmarkStart w:id="909" w:name="_Toc150480798"/>
      <w:r/>
      <w:bookmarkStart w:id="910" w:name="_Toc142311062"/>
      <w:r/>
      <w:bookmarkStart w:id="911" w:name="_Toc127151562"/>
      <w:r/>
      <w:bookmarkStart w:id="912" w:name="_Toc142311061"/>
      <w:r/>
      <w:bookmarkStart w:id="913" w:name="_Toc305158829"/>
      <w:r/>
      <w:bookmarkStart w:id="914" w:name="_Toc226965834"/>
      <w:r/>
      <w:bookmarkStart w:id="915" w:name="_Toc150774764"/>
      <w:r/>
      <w:bookmarkStart w:id="916" w:name="_Toc226965751"/>
      <w:r/>
      <w:bookmarkStart w:id="917" w:name="_Toc127151561"/>
      <w:r/>
      <w:bookmarkStart w:id="918" w:name="_Toc305158903"/>
      <w:r/>
      <w:bookmarkStart w:id="919" w:name="_Toc150480797"/>
      <w:r/>
      <w:bookmarkStart w:id="920" w:name="_Toc265228399"/>
      <w:r/>
      <w:bookmarkStart w:id="921" w:name="_Toc226309805"/>
      <w:r/>
      <w:bookmarkStart w:id="922" w:name="_Toc264969251"/>
      <w:r/>
      <w:bookmarkStart w:id="923" w:name="_Toc195842926"/>
      <w:r/>
      <w:bookmarkStart w:id="924" w:name="_Toc226337257"/>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6"/>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1"/>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6"/>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6"/>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6"/>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6"/>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6"/>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6"/>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6"/>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6"/>
        <w:ind w:firstLine="420"/>
        <w:jc w:val="left"/>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Style w:val="1160"/>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Style w:val="1160"/>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0"/>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Style w:val="1160"/>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w:t>
      </w:r>
      <w:r>
        <w:rPr>
          <w:rStyle w:val="1160"/>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7"/>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6"/>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6"/>
        <w:spacing w:line="360" w:lineRule="auto"/>
        <w:rPr>
          <w:rFonts w:ascii="宋体" w:hAnsi="宋体"/>
          <w:color w:val="000000"/>
          <w:sz w:val="22"/>
          <w:highlight w:val="none"/>
        </w:rPr>
      </w:pPr>
      <w:r>
        <w:rPr>
          <w:rFonts w:ascii="宋体" w:hAnsi="宋体"/>
          <w:color w:val="000000"/>
          <w:sz w:val="22"/>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5" w:name="_Toc288738839"/>
      <w:r/>
      <w:bookmarkStart w:id="926"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8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6"/>
        <w:spacing w:line="360" w:lineRule="auto"/>
        <w:rPr>
          <w:rFonts w:ascii="宋体" w:hAnsi="宋体" w:cs="宋体"/>
          <w:color w:val="000000"/>
          <w:sz w:val="24"/>
          <w:highlight w:val="none"/>
        </w:rPr>
      </w:pPr>
      <w:r>
        <w:rPr>
          <w:rFonts w:ascii="宋体" w:hAnsi="宋体" w:cs="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6"/>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360"/>
      <w:tabs>
        <w:tab w:val="center" w:pos="4153" w:leader="none"/>
        <w:tab w:val="right" w:pos="8306" w:leader="none"/>
      </w:tabs>
      <w:rPr>
        <w:rStyle w:val="1158"/>
      </w:rPr>
      <w:framePr w:wrap="around" w:vAnchor="text" w:hAnchor="margin" w:y="1"/>
    </w:pPr>
    <w:r>
      <w:rPr>
        <w:rStyle w:val="1158"/>
      </w:rPr>
    </w:r>
    <w:r/>
  </w:p>
  <w:p>
    <w:pPr>
      <w:pStyle w:val="113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center" w:y="1"/>
    </w:pPr>
    <w:r>
      <w:fldChar w:fldCharType="begin"/>
    </w:r>
    <w:r>
      <w:rPr>
        <w:rStyle w:val="1158"/>
      </w:rPr>
      <w:instrText xml:space="preserve">PAGE  </w:instrText>
    </w:r>
    <w:r>
      <w:fldChar w:fldCharType="end"/>
    </w:r>
    <w:r>
      <w:rPr>
        <w:rStyle w:val="1158"/>
      </w:rPr>
    </w:r>
    <w:r/>
  </w:p>
  <w:p>
    <w:pPr>
      <w:pStyle w:val="113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r>
    <w:r/>
  </w:p>
  <w:p>
    <w:pPr>
      <w:pStyle w:val="113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p>
    <w:pPr>
      <w:pStyle w:val="108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p>
    <w:pPr>
      <w:pStyle w:val="108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6"/>
        <w:ind w:left="4941" w:hanging="1140"/>
        <w:tabs>
          <w:tab w:val="num" w:pos="4941" w:leader="none"/>
        </w:tabs>
      </w:pPr>
      <w:rPr>
        <w:rFonts w:hint="eastAsia"/>
      </w:rPr>
    </w:lvl>
    <w:lvl w:ilvl="1">
      <w:start w:val="1"/>
      <w:numFmt w:val="lowerLetter"/>
      <w:isLgl w:val="false"/>
      <w:suff w:val="tab"/>
      <w:lvlText w:val="%2)"/>
      <w:lvlJc w:val="left"/>
      <w:pPr>
        <w:pStyle w:val="1086"/>
        <w:ind w:left="4641" w:hanging="420"/>
        <w:tabs>
          <w:tab w:val="num" w:pos="4641" w:leader="none"/>
        </w:tabs>
      </w:pPr>
    </w:lvl>
    <w:lvl w:ilvl="2">
      <w:start w:val="1"/>
      <w:numFmt w:val="lowerRoman"/>
      <w:isLgl w:val="false"/>
      <w:suff w:val="tab"/>
      <w:lvlText w:val="%3."/>
      <w:lvlJc w:val="right"/>
      <w:pPr>
        <w:pStyle w:val="1086"/>
        <w:ind w:left="5061" w:hanging="420"/>
        <w:tabs>
          <w:tab w:val="num" w:pos="5061" w:leader="none"/>
        </w:tabs>
      </w:pPr>
    </w:lvl>
    <w:lvl w:ilvl="3">
      <w:start w:val="1"/>
      <w:numFmt w:val="decimal"/>
      <w:isLgl w:val="false"/>
      <w:suff w:val="tab"/>
      <w:lvlText w:val="%4."/>
      <w:lvlJc w:val="left"/>
      <w:pPr>
        <w:pStyle w:val="1086"/>
        <w:ind w:left="5481" w:hanging="420"/>
        <w:tabs>
          <w:tab w:val="num" w:pos="5481" w:leader="none"/>
        </w:tabs>
      </w:pPr>
    </w:lvl>
    <w:lvl w:ilvl="4">
      <w:start w:val="1"/>
      <w:numFmt w:val="lowerLetter"/>
      <w:isLgl w:val="false"/>
      <w:suff w:val="tab"/>
      <w:lvlText w:val="%5)"/>
      <w:lvlJc w:val="left"/>
      <w:pPr>
        <w:pStyle w:val="1086"/>
        <w:ind w:left="5901" w:hanging="420"/>
        <w:tabs>
          <w:tab w:val="num" w:pos="5901" w:leader="none"/>
        </w:tabs>
      </w:pPr>
    </w:lvl>
    <w:lvl w:ilvl="5">
      <w:start w:val="1"/>
      <w:numFmt w:val="lowerRoman"/>
      <w:isLgl w:val="false"/>
      <w:suff w:val="tab"/>
      <w:lvlText w:val="%6."/>
      <w:lvlJc w:val="right"/>
      <w:pPr>
        <w:pStyle w:val="1086"/>
        <w:ind w:left="6321" w:hanging="420"/>
        <w:tabs>
          <w:tab w:val="num" w:pos="6321" w:leader="none"/>
        </w:tabs>
      </w:pPr>
    </w:lvl>
    <w:lvl w:ilvl="6">
      <w:start w:val="1"/>
      <w:numFmt w:val="decimal"/>
      <w:isLgl w:val="false"/>
      <w:suff w:val="tab"/>
      <w:lvlText w:val="%7."/>
      <w:lvlJc w:val="left"/>
      <w:pPr>
        <w:pStyle w:val="1086"/>
        <w:ind w:left="6741" w:hanging="420"/>
        <w:tabs>
          <w:tab w:val="num" w:pos="6741" w:leader="none"/>
        </w:tabs>
      </w:pPr>
    </w:lvl>
    <w:lvl w:ilvl="7">
      <w:start w:val="1"/>
      <w:numFmt w:val="lowerLetter"/>
      <w:isLgl w:val="false"/>
      <w:suff w:val="tab"/>
      <w:lvlText w:val="%8)"/>
      <w:lvlJc w:val="left"/>
      <w:pPr>
        <w:pStyle w:val="1086"/>
        <w:ind w:left="7161" w:hanging="420"/>
        <w:tabs>
          <w:tab w:val="num" w:pos="7161" w:leader="none"/>
        </w:tabs>
      </w:pPr>
    </w:lvl>
    <w:lvl w:ilvl="8">
      <w:start w:val="1"/>
      <w:numFmt w:val="lowerRoman"/>
      <w:isLgl w:val="false"/>
      <w:suff w:val="tab"/>
      <w:lvlText w:val="%9."/>
      <w:lvlJc w:val="right"/>
      <w:pPr>
        <w:pStyle w:val="1086"/>
        <w:ind w:left="7581" w:hanging="420"/>
        <w:tabs>
          <w:tab w:val="num" w:pos="7581" w:leader="none"/>
        </w:tabs>
      </w:pPr>
    </w:lvl>
  </w:abstractNum>
  <w:abstractNum w:abstractNumId="1">
    <w:multiLevelType w:val="hybridMultilevel"/>
    <w:lvl w:ilvl="0">
      <w:start w:val="1"/>
      <w:numFmt w:val="decimal"/>
      <w:pStyle w:val="1194"/>
      <w:isLgl w:val="false"/>
      <w:suff w:val="tab"/>
      <w:lvlText w:val="%1."/>
      <w:lvlJc w:val="left"/>
      <w:pPr>
        <w:pStyle w:val="1086"/>
        <w:ind w:left="420" w:hanging="420"/>
      </w:pPr>
    </w:lvl>
    <w:lvl w:ilvl="1">
      <w:start w:val="1"/>
      <w:numFmt w:val="decimal"/>
      <w:isLgl w:val="false"/>
      <w:suff w:val="tab"/>
      <w:lvlText w:val="（%2）"/>
      <w:lvlJc w:val="left"/>
      <w:pPr>
        <w:pStyle w:val="1086"/>
        <w:ind w:left="1140" w:hanging="720"/>
        <w:tabs>
          <w:tab w:val="num" w:pos="1140" w:leader="none"/>
        </w:tabs>
      </w:pPr>
      <w:rPr>
        <w:rFonts w:hint="eastAsia"/>
      </w:r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2">
    <w:multiLevelType w:val="hybridMultilevel"/>
    <w:lvl w:ilvl="0">
      <w:start w:val="1"/>
      <w:numFmt w:val="lowerLetter"/>
      <w:pStyle w:val="1269"/>
      <w:isLgl w:val="false"/>
      <w:suff w:val="tab"/>
      <w:lvlText w:val="%1)"/>
      <w:lvlJc w:val="left"/>
      <w:pPr>
        <w:pStyle w:val="1086"/>
        <w:ind w:left="902" w:hanging="420"/>
      </w:pPr>
      <w:rPr>
        <w:color w:val="000000"/>
      </w:rPr>
    </w:lvl>
    <w:lvl w:ilvl="1">
      <w:start w:val="1"/>
      <w:numFmt w:val="lowerLetter"/>
      <w:isLgl w:val="false"/>
      <w:suff w:val="tab"/>
      <w:lvlText w:val="%2)"/>
      <w:lvlJc w:val="left"/>
      <w:pPr>
        <w:pStyle w:val="1086"/>
        <w:ind w:left="1322" w:hanging="420"/>
      </w:pPr>
    </w:lvl>
    <w:lvl w:ilvl="2">
      <w:start w:val="1"/>
      <w:numFmt w:val="lowerRoman"/>
      <w:isLgl w:val="false"/>
      <w:suff w:val="tab"/>
      <w:lvlText w:val="%3."/>
      <w:lvlJc w:val="right"/>
      <w:pPr>
        <w:pStyle w:val="1086"/>
        <w:ind w:left="1742" w:hanging="420"/>
      </w:pPr>
    </w:lvl>
    <w:lvl w:ilvl="3">
      <w:start w:val="1"/>
      <w:numFmt w:val="decimal"/>
      <w:isLgl w:val="false"/>
      <w:suff w:val="tab"/>
      <w:lvlText w:val="%4."/>
      <w:lvlJc w:val="left"/>
      <w:pPr>
        <w:pStyle w:val="1086"/>
        <w:ind w:left="2162" w:hanging="420"/>
      </w:pPr>
    </w:lvl>
    <w:lvl w:ilvl="4">
      <w:start w:val="1"/>
      <w:numFmt w:val="lowerLetter"/>
      <w:isLgl w:val="false"/>
      <w:suff w:val="tab"/>
      <w:lvlText w:val="%5)"/>
      <w:lvlJc w:val="left"/>
      <w:pPr>
        <w:pStyle w:val="1086"/>
        <w:ind w:left="2582" w:hanging="420"/>
      </w:pPr>
    </w:lvl>
    <w:lvl w:ilvl="5">
      <w:start w:val="1"/>
      <w:numFmt w:val="lowerRoman"/>
      <w:isLgl w:val="false"/>
      <w:suff w:val="tab"/>
      <w:lvlText w:val="%6."/>
      <w:lvlJc w:val="right"/>
      <w:pPr>
        <w:pStyle w:val="1086"/>
        <w:ind w:left="3002" w:hanging="420"/>
      </w:pPr>
    </w:lvl>
    <w:lvl w:ilvl="6">
      <w:start w:val="1"/>
      <w:numFmt w:val="decimal"/>
      <w:isLgl w:val="false"/>
      <w:suff w:val="tab"/>
      <w:lvlText w:val="%7."/>
      <w:lvlJc w:val="left"/>
      <w:pPr>
        <w:pStyle w:val="1086"/>
        <w:ind w:left="3422" w:hanging="420"/>
      </w:pPr>
    </w:lvl>
    <w:lvl w:ilvl="7">
      <w:start w:val="1"/>
      <w:numFmt w:val="lowerLetter"/>
      <w:isLgl w:val="false"/>
      <w:suff w:val="tab"/>
      <w:lvlText w:val="%8)"/>
      <w:lvlJc w:val="left"/>
      <w:pPr>
        <w:pStyle w:val="1086"/>
        <w:ind w:left="3842" w:hanging="420"/>
      </w:pPr>
    </w:lvl>
    <w:lvl w:ilvl="8">
      <w:start w:val="1"/>
      <w:numFmt w:val="lowerRoman"/>
      <w:isLgl w:val="false"/>
      <w:suff w:val="tab"/>
      <w:lvlText w:val="%9."/>
      <w:lvlJc w:val="right"/>
      <w:pPr>
        <w:pStyle w:val="1086"/>
        <w:ind w:left="4262" w:hanging="420"/>
      </w:pPr>
    </w:lvl>
  </w:abstractNum>
  <w:abstractNum w:abstractNumId="3">
    <w:multiLevelType w:val="hybridMultilevel"/>
    <w:lvl w:ilvl="0">
      <w:start w:val="1"/>
      <w:numFmt w:val="decimal"/>
      <w:pStyle w:val="1239"/>
      <w:isLgl w:val="false"/>
      <w:suff w:val="tab"/>
      <w:lvlText w:val="%1."/>
      <w:lvlJc w:val="left"/>
      <w:pPr>
        <w:pStyle w:val="108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8"/>
      <w:isLgl w:val="false"/>
      <w:suff w:val="nothing"/>
      <w:lvlText w:val="%1　"/>
      <w:lvlJc w:val="left"/>
      <w:pPr>
        <w:pStyle w:val="108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6"/>
        <w:ind w:left="-25" w:firstLine="0"/>
      </w:pPr>
      <w:rPr>
        <w:rFonts w:ascii="Times New Roman" w:hAnsi="Times New Roman" w:eastAsia="黑体"/>
        <w:b/>
        <w:i w:val="0"/>
        <w:sz w:val="28"/>
      </w:rPr>
    </w:lvl>
    <w:lvl w:ilvl="3">
      <w:start w:val="1"/>
      <w:numFmt w:val="decimal"/>
      <w:pStyle w:val="1224"/>
      <w:isLgl w:val="false"/>
      <w:suff w:val="nothing"/>
      <w:lvlText w:val="%1.%2.%3.%4　"/>
      <w:lvlJc w:val="left"/>
      <w:pPr>
        <w:pStyle w:val="108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6"/>
        <w:ind w:left="-25" w:firstLine="0"/>
      </w:pPr>
      <w:rPr>
        <w:rFonts w:ascii="Times New Roman" w:hAnsi="Times New Roman" w:eastAsia="宋体"/>
        <w:b/>
        <w:i w:val="0"/>
        <w:sz w:val="28"/>
      </w:rPr>
    </w:lvl>
    <w:lvl w:ilvl="6">
      <w:start w:val="1"/>
      <w:numFmt w:val="lowerLetter"/>
      <w:pStyle w:val="1245"/>
      <w:isLgl w:val="false"/>
      <w:suff w:val="tab"/>
      <w:lvlText w:val="%7) "/>
      <w:lvlJc w:val="left"/>
      <w:pPr>
        <w:pStyle w:val="1086"/>
        <w:ind w:left="-125" w:firstLine="400"/>
        <w:tabs>
          <w:tab w:val="num" w:pos="635" w:leader="none"/>
        </w:tabs>
      </w:pPr>
      <w:rPr>
        <w:rFonts w:ascii="Times New Roman" w:hAnsi="Times New Roman" w:eastAsia="宋体"/>
        <w:b/>
        <w:i w:val="0"/>
        <w:color w:val="000000"/>
        <w:sz w:val="28"/>
        <w:u w:val="none"/>
      </w:rPr>
    </w:lvl>
    <w:lvl w:ilvl="7">
      <w:start w:val="1"/>
      <w:numFmt w:val="decimal"/>
      <w:pStyle w:val="1208"/>
      <w:isLgl w:val="false"/>
      <w:suff w:val="tab"/>
      <w:lvlText w:val="%8) "/>
      <w:lvlJc w:val="left"/>
      <w:pPr>
        <w:pStyle w:val="108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6"/>
        <w:ind w:left="768" w:hanging="360"/>
        <w:tabs>
          <w:tab w:val="num" w:pos="768" w:leader="none"/>
        </w:tabs>
      </w:pPr>
      <w:rPr>
        <w:rFonts w:hint="eastAsia"/>
      </w:rPr>
    </w:lvl>
    <w:lvl w:ilvl="1">
      <w:start w:val="1"/>
      <w:numFmt w:val="decimal"/>
      <w:pStyle w:val="1226"/>
      <w:isLgl w:val="false"/>
      <w:suff w:val="tab"/>
      <w:lvlText w:val="%2、"/>
      <w:lvlJc w:val="left"/>
      <w:pPr>
        <w:pStyle w:val="1086"/>
        <w:ind w:left="1188" w:hanging="360"/>
        <w:tabs>
          <w:tab w:val="num" w:pos="1188" w:leader="none"/>
        </w:tabs>
      </w:pPr>
      <w:rPr>
        <w:rFonts w:hint="eastAsia"/>
      </w:rPr>
    </w:lvl>
    <w:lvl w:ilvl="2">
      <w:start w:val="1"/>
      <w:numFmt w:val="decimal"/>
      <w:isLgl w:val="false"/>
      <w:suff w:val="tab"/>
      <w:lvlText w:val="（%3）"/>
      <w:lvlJc w:val="left"/>
      <w:pPr>
        <w:pStyle w:val="1086"/>
        <w:ind w:left="1968" w:hanging="720"/>
        <w:tabs>
          <w:tab w:val="num" w:pos="1968" w:leader="none"/>
        </w:tabs>
      </w:pPr>
      <w:rPr>
        <w:rFonts w:hint="eastAsia"/>
        <w:u w:val="none"/>
      </w:rPr>
    </w:lvl>
    <w:lvl w:ilvl="3">
      <w:start w:val="1"/>
      <w:numFmt w:val="decimal"/>
      <w:isLgl w:val="false"/>
      <w:suff w:val="tab"/>
      <w:lvlText w:val="%4."/>
      <w:lvlJc w:val="left"/>
      <w:pPr>
        <w:pStyle w:val="1086"/>
        <w:ind w:left="2088" w:hanging="420"/>
        <w:tabs>
          <w:tab w:val="num" w:pos="2088" w:leader="none"/>
        </w:tabs>
      </w:pPr>
    </w:lvl>
    <w:lvl w:ilvl="4">
      <w:start w:val="1"/>
      <w:numFmt w:val="lowerLetter"/>
      <w:isLgl w:val="false"/>
      <w:suff w:val="tab"/>
      <w:lvlText w:val="%5)"/>
      <w:lvlJc w:val="left"/>
      <w:pPr>
        <w:pStyle w:val="1086"/>
        <w:ind w:left="2508" w:hanging="420"/>
        <w:tabs>
          <w:tab w:val="num" w:pos="2508" w:leader="none"/>
        </w:tabs>
      </w:pPr>
    </w:lvl>
    <w:lvl w:ilvl="5">
      <w:start w:val="1"/>
      <w:numFmt w:val="lowerRoman"/>
      <w:isLgl w:val="false"/>
      <w:suff w:val="tab"/>
      <w:lvlText w:val="%6."/>
      <w:lvlJc w:val="right"/>
      <w:pPr>
        <w:pStyle w:val="1086"/>
        <w:ind w:left="2928" w:hanging="420"/>
        <w:tabs>
          <w:tab w:val="num" w:pos="2928" w:leader="none"/>
        </w:tabs>
      </w:pPr>
    </w:lvl>
    <w:lvl w:ilvl="6">
      <w:start w:val="1"/>
      <w:numFmt w:val="decimal"/>
      <w:isLgl w:val="false"/>
      <w:suff w:val="tab"/>
      <w:lvlText w:val="%7."/>
      <w:lvlJc w:val="left"/>
      <w:pPr>
        <w:pStyle w:val="1086"/>
        <w:ind w:left="3348" w:hanging="420"/>
        <w:tabs>
          <w:tab w:val="num" w:pos="3348" w:leader="none"/>
        </w:tabs>
      </w:pPr>
    </w:lvl>
    <w:lvl w:ilvl="7">
      <w:start w:val="1"/>
      <w:numFmt w:val="lowerLetter"/>
      <w:isLgl w:val="false"/>
      <w:suff w:val="tab"/>
      <w:lvlText w:val="%8)"/>
      <w:lvlJc w:val="left"/>
      <w:pPr>
        <w:pStyle w:val="1086"/>
        <w:ind w:left="3768" w:hanging="420"/>
        <w:tabs>
          <w:tab w:val="num" w:pos="3768" w:leader="none"/>
        </w:tabs>
      </w:pPr>
    </w:lvl>
    <w:lvl w:ilvl="8">
      <w:start w:val="1"/>
      <w:numFmt w:val="lowerRoman"/>
      <w:isLgl w:val="false"/>
      <w:suff w:val="tab"/>
      <w:lvlText w:val="%9."/>
      <w:lvlJc w:val="right"/>
      <w:pPr>
        <w:pStyle w:val="108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6"/>
        <w:ind w:left="900" w:hanging="900"/>
        <w:tabs>
          <w:tab w:val="num" w:pos="900" w:leader="none"/>
        </w:tabs>
      </w:pPr>
      <w:rPr>
        <w:rFonts w:hint="eastAsia"/>
        <w:b/>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7">
    <w:multiLevelType w:val="hybridMultilevel"/>
    <w:lvl w:ilvl="0">
      <w:start w:val="1"/>
      <w:numFmt w:val="decimal"/>
      <w:pStyle w:val="1193"/>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8">
    <w:multiLevelType w:val="hybridMultilevel"/>
    <w:lvl w:ilvl="0">
      <w:start w:val="1"/>
      <w:numFmt w:val="decimal"/>
      <w:pStyle w:val="1294"/>
      <w:isLgl w:val="false"/>
      <w:suff w:val="tab"/>
      <w:lvlText w:val="%1"/>
      <w:lvlJc w:val="left"/>
      <w:pPr>
        <w:pStyle w:val="1086"/>
        <w:ind w:left="680" w:hanging="680"/>
      </w:pPr>
      <w:rPr>
        <w:rFonts w:hint="eastAsia" w:ascii="宋体" w:hAnsi="宋体" w:eastAsia="宋体"/>
      </w:rPr>
    </w:lvl>
    <w:lvl w:ilvl="1">
      <w:start w:val="1"/>
      <w:numFmt w:val="decimal"/>
      <w:pStyle w:val="1295"/>
      <w:isLgl w:val="false"/>
      <w:suff w:val="tab"/>
      <w:lvlText w:val="%1.%2"/>
      <w:lvlJc w:val="left"/>
      <w:pPr>
        <w:pStyle w:val="1086"/>
        <w:ind w:left="851" w:hanging="851"/>
      </w:pPr>
      <w:rPr>
        <w:rFonts w:hint="eastAsia" w:ascii="宋体" w:hAnsi="宋体" w:eastAsia="宋体"/>
        <w:color w:val="000000"/>
      </w:rPr>
    </w:lvl>
    <w:lvl w:ilvl="2">
      <w:start w:val="1"/>
      <w:numFmt w:val="decimal"/>
      <w:pStyle w:val="1296"/>
      <w:isLgl w:val="false"/>
      <w:suff w:val="tab"/>
      <w:lvlText w:val="%1.%2.%3"/>
      <w:lvlJc w:val="left"/>
      <w:pPr>
        <w:pStyle w:val="1086"/>
        <w:ind w:left="851" w:hanging="851"/>
      </w:pPr>
      <w:rPr>
        <w:rFonts w:hint="eastAsia"/>
      </w:rPr>
    </w:lvl>
    <w:lvl w:ilvl="3">
      <w:start w:val="1"/>
      <w:numFmt w:val="decimal"/>
      <w:isLgl w:val="false"/>
      <w:suff w:val="tab"/>
      <w:lvlText w:val="%1.%2.%3.%4"/>
      <w:lvlJc w:val="left"/>
      <w:pPr>
        <w:pStyle w:val="1086"/>
        <w:ind w:left="680" w:hanging="680"/>
      </w:pPr>
      <w:rPr>
        <w:rFonts w:hint="eastAsia"/>
      </w:rPr>
    </w:lvl>
    <w:lvl w:ilvl="4">
      <w:start w:val="1"/>
      <w:numFmt w:val="decimal"/>
      <w:isLgl w:val="false"/>
      <w:suff w:val="tab"/>
      <w:lvlText w:val="%1.%2.%3.%4.%5"/>
      <w:lvlJc w:val="left"/>
      <w:pPr>
        <w:pStyle w:val="1086"/>
        <w:ind w:left="680" w:hanging="680"/>
      </w:pPr>
      <w:rPr>
        <w:rFonts w:hint="eastAsia"/>
      </w:rPr>
    </w:lvl>
    <w:lvl w:ilvl="5">
      <w:start w:val="1"/>
      <w:numFmt w:val="decimal"/>
      <w:isLgl w:val="false"/>
      <w:suff w:val="tab"/>
      <w:lvlText w:val="%1.%2.%3.%4.%5.%6"/>
      <w:lvlJc w:val="left"/>
      <w:pPr>
        <w:pStyle w:val="1086"/>
        <w:ind w:left="680" w:hanging="680"/>
      </w:pPr>
      <w:rPr>
        <w:rFonts w:hint="eastAsia"/>
      </w:rPr>
    </w:lvl>
    <w:lvl w:ilvl="6">
      <w:start w:val="1"/>
      <w:numFmt w:val="decimal"/>
      <w:isLgl w:val="false"/>
      <w:suff w:val="tab"/>
      <w:lvlText w:val="%1.%2.%3.%4.%5.%6.%7"/>
      <w:lvlJc w:val="left"/>
      <w:pPr>
        <w:pStyle w:val="1086"/>
        <w:ind w:left="680" w:hanging="680"/>
      </w:pPr>
      <w:rPr>
        <w:rFonts w:hint="eastAsia"/>
      </w:rPr>
    </w:lvl>
    <w:lvl w:ilvl="7">
      <w:start w:val="1"/>
      <w:numFmt w:val="decimal"/>
      <w:isLgl w:val="false"/>
      <w:suff w:val="tab"/>
      <w:lvlText w:val="%1.%2.%3.%4.%5.%6.%7.%8"/>
      <w:lvlJc w:val="left"/>
      <w:pPr>
        <w:pStyle w:val="1086"/>
        <w:ind w:left="680" w:hanging="680"/>
      </w:pPr>
      <w:rPr>
        <w:rFonts w:hint="eastAsia"/>
      </w:rPr>
    </w:lvl>
    <w:lvl w:ilvl="8">
      <w:start w:val="1"/>
      <w:numFmt w:val="decimal"/>
      <w:isLgl w:val="false"/>
      <w:suff w:val="tab"/>
      <w:lvlText w:val="%1.%2.%3.%4.%5.%6.%7.%8.%9"/>
      <w:lvlJc w:val="left"/>
      <w:pPr>
        <w:pStyle w:val="1086"/>
        <w:ind w:left="680" w:hanging="680"/>
      </w:pPr>
      <w:rPr>
        <w:rFonts w:hint="eastAsia"/>
      </w:rPr>
    </w:lvl>
  </w:abstractNum>
  <w:abstractNum w:abstractNumId="9">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0">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6"/>
        <w:ind w:left="1260" w:hanging="420"/>
      </w:p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3">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4">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5">
    <w:multiLevelType w:val="hybridMultilevel"/>
    <w:lvl w:ilvl="0">
      <w:start w:val="1"/>
      <w:numFmt w:val="chineseCountingThousand"/>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6">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86"/>
        <w:ind w:left="205" w:hanging="322"/>
      </w:pPr>
      <w:rPr>
        <w:rFonts w:ascii="仿宋" w:hAnsi="仿宋" w:eastAsia="仿宋" w:cs="仿宋"/>
        <w:spacing w:val="-46"/>
        <w:sz w:val="30"/>
        <w:szCs w:val="30"/>
      </w:r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8">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86"/>
        <w:ind w:left="840" w:hanging="420"/>
      </w:pPr>
    </w:lvl>
    <w:lvl w:ilvl="1">
      <w:start w:val="1"/>
      <w:numFmt w:val="lowerLetter"/>
      <w:isLgl w:val="false"/>
      <w:suff w:val="tab"/>
      <w:lvlText w:val="%2)"/>
      <w:lvlJc w:val="left"/>
      <w:pPr>
        <w:pStyle w:val="1086"/>
        <w:ind w:left="1260" w:hanging="420"/>
      </w:pPr>
    </w:lvl>
    <w:lvl w:ilvl="2">
      <w:start w:val="1"/>
      <w:numFmt w:val="lowerRoman"/>
      <w:isLgl w:val="false"/>
      <w:suff w:val="tab"/>
      <w:lvlText w:val="%3."/>
      <w:lvlJc w:val="right"/>
      <w:pPr>
        <w:pStyle w:val="1086"/>
        <w:ind w:left="1680" w:hanging="420"/>
      </w:pPr>
    </w:lvl>
    <w:lvl w:ilvl="3">
      <w:start w:val="1"/>
      <w:numFmt w:val="decimal"/>
      <w:isLgl w:val="false"/>
      <w:suff w:val="tab"/>
      <w:lvlText w:val="%4."/>
      <w:lvlJc w:val="left"/>
      <w:pPr>
        <w:pStyle w:val="1086"/>
        <w:ind w:left="2100" w:hanging="420"/>
      </w:pPr>
    </w:lvl>
    <w:lvl w:ilvl="4">
      <w:start w:val="1"/>
      <w:numFmt w:val="lowerLetter"/>
      <w:isLgl w:val="false"/>
      <w:suff w:val="tab"/>
      <w:lvlText w:val="%5)"/>
      <w:lvlJc w:val="left"/>
      <w:pPr>
        <w:pStyle w:val="1086"/>
        <w:ind w:left="2520" w:hanging="420"/>
      </w:pPr>
    </w:lvl>
    <w:lvl w:ilvl="5">
      <w:start w:val="1"/>
      <w:numFmt w:val="lowerRoman"/>
      <w:isLgl w:val="false"/>
      <w:suff w:val="tab"/>
      <w:lvlText w:val="%6."/>
      <w:lvlJc w:val="right"/>
      <w:pPr>
        <w:pStyle w:val="1086"/>
        <w:ind w:left="2940" w:hanging="420"/>
      </w:pPr>
    </w:lvl>
    <w:lvl w:ilvl="6">
      <w:start w:val="1"/>
      <w:numFmt w:val="decimal"/>
      <w:isLgl w:val="false"/>
      <w:suff w:val="tab"/>
      <w:lvlText w:val="%7."/>
      <w:lvlJc w:val="left"/>
      <w:pPr>
        <w:pStyle w:val="1086"/>
        <w:ind w:left="3360" w:hanging="420"/>
      </w:pPr>
    </w:lvl>
    <w:lvl w:ilvl="7">
      <w:start w:val="1"/>
      <w:numFmt w:val="lowerLetter"/>
      <w:isLgl w:val="false"/>
      <w:suff w:val="tab"/>
      <w:lvlText w:val="%8)"/>
      <w:lvlJc w:val="left"/>
      <w:pPr>
        <w:pStyle w:val="1086"/>
        <w:ind w:left="3780" w:hanging="420"/>
      </w:pPr>
    </w:lvl>
    <w:lvl w:ilvl="8">
      <w:start w:val="1"/>
      <w:numFmt w:val="lowerRoman"/>
      <w:isLgl w:val="false"/>
      <w:suff w:val="tab"/>
      <w:lvlText w:val="%9."/>
      <w:lvlJc w:val="right"/>
      <w:pPr>
        <w:pStyle w:val="1086"/>
        <w:ind w:left="4200" w:hanging="420"/>
      </w:pPr>
    </w:lvl>
  </w:abstractNum>
  <w:abstractNum w:abstractNumId="20">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21">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6"/>
  </w:num>
  <w:num w:numId="12">
    <w:abstractNumId w:val="10"/>
  </w:num>
  <w:num w:numId="13">
    <w:abstractNumId w:val="18"/>
  </w:num>
  <w:num w:numId="14">
    <w:abstractNumId w:val="15"/>
  </w:num>
  <w:num w:numId="15">
    <w:abstractNumId w:val="14"/>
  </w:num>
  <w:num w:numId="16">
    <w:abstractNumId w:val="9"/>
  </w:num>
  <w:num w:numId="17">
    <w:abstractNumId w:val="21"/>
  </w:num>
  <w:num w:numId="18">
    <w:abstractNumId w:val="19"/>
  </w:num>
  <w:num w:numId="19">
    <w:abstractNumId w:val="12"/>
  </w:num>
  <w:num w:numId="20">
    <w:abstractNumId w:val="2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86"/>
    <w:next w:val="1086"/>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86"/>
    <w:next w:val="1086"/>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6"/>
    <w:next w:val="1086"/>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6"/>
    <w:next w:val="1086"/>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6"/>
    <w:next w:val="1086"/>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6"/>
    <w:next w:val="1086"/>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6"/>
    <w:next w:val="1086"/>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6"/>
    <w:next w:val="1086"/>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6"/>
    <w:next w:val="1086"/>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List Paragraph"/>
    <w:basedOn w:val="1086"/>
    <w:uiPriority w:val="34"/>
    <w:qFormat/>
    <w:pPr>
      <w:contextualSpacing/>
      <w:ind w:left="720"/>
    </w:pPr>
  </w:style>
  <w:style w:type="paragraph" w:styleId="927">
    <w:name w:val="No Spacing"/>
    <w:uiPriority w:val="1"/>
    <w:qFormat/>
    <w:pPr>
      <w:spacing w:before="0" w:after="0" w:line="240" w:lineRule="auto"/>
    </w:pPr>
  </w:style>
  <w:style w:type="paragraph" w:styleId="928">
    <w:name w:val="Title"/>
    <w:basedOn w:val="1086"/>
    <w:next w:val="1086"/>
    <w:link w:val="929"/>
    <w:uiPriority w:val="10"/>
    <w:qFormat/>
    <w:pPr>
      <w:contextualSpacing/>
      <w:spacing w:before="300" w:after="200"/>
    </w:pPr>
    <w:rPr>
      <w:sz w:val="48"/>
      <w:szCs w:val="48"/>
    </w:rPr>
  </w:style>
  <w:style w:type="character" w:styleId="929">
    <w:name w:val="Title Char"/>
    <w:link w:val="928"/>
    <w:uiPriority w:val="10"/>
    <w:rPr>
      <w:sz w:val="48"/>
      <w:szCs w:val="48"/>
    </w:rPr>
  </w:style>
  <w:style w:type="paragraph" w:styleId="930">
    <w:name w:val="Subtitle"/>
    <w:basedOn w:val="1086"/>
    <w:next w:val="1086"/>
    <w:link w:val="931"/>
    <w:uiPriority w:val="11"/>
    <w:qFormat/>
    <w:pPr>
      <w:spacing w:before="200" w:after="200"/>
    </w:pPr>
    <w:rPr>
      <w:sz w:val="24"/>
      <w:szCs w:val="24"/>
    </w:rPr>
  </w:style>
  <w:style w:type="character" w:styleId="931">
    <w:name w:val="Subtitle Char"/>
    <w:link w:val="930"/>
    <w:uiPriority w:val="11"/>
    <w:rPr>
      <w:sz w:val="24"/>
      <w:szCs w:val="24"/>
    </w:rPr>
  </w:style>
  <w:style w:type="paragraph" w:styleId="932">
    <w:name w:val="Quote"/>
    <w:basedOn w:val="1086"/>
    <w:next w:val="1086"/>
    <w:link w:val="933"/>
    <w:uiPriority w:val="29"/>
    <w:qFormat/>
    <w:pPr>
      <w:ind w:left="720" w:right="720"/>
    </w:pPr>
    <w:rPr>
      <w:i/>
    </w:rPr>
  </w:style>
  <w:style w:type="character" w:styleId="933">
    <w:name w:val="Quote Char"/>
    <w:link w:val="932"/>
    <w:uiPriority w:val="29"/>
    <w:rPr>
      <w:i/>
    </w:rPr>
  </w:style>
  <w:style w:type="paragraph" w:styleId="934">
    <w:name w:val="Intense Quote"/>
    <w:basedOn w:val="1086"/>
    <w:next w:val="1086"/>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name w:val="Intense Quote Char"/>
    <w:link w:val="934"/>
    <w:uiPriority w:val="30"/>
    <w:rPr>
      <w:i/>
    </w:rPr>
  </w:style>
  <w:style w:type="paragraph" w:styleId="936">
    <w:name w:val="Header"/>
    <w:basedOn w:val="1086"/>
    <w:link w:val="937"/>
    <w:uiPriority w:val="99"/>
    <w:unhideWhenUsed/>
    <w:pPr>
      <w:spacing w:after="0" w:line="240" w:lineRule="auto"/>
      <w:tabs>
        <w:tab w:val="center" w:pos="7143" w:leader="none"/>
        <w:tab w:val="right" w:pos="14287" w:leader="none"/>
      </w:tabs>
    </w:pPr>
  </w:style>
  <w:style w:type="character" w:styleId="937">
    <w:name w:val="Header Char"/>
    <w:link w:val="936"/>
    <w:uiPriority w:val="99"/>
  </w:style>
  <w:style w:type="paragraph" w:styleId="938">
    <w:name w:val="Footer"/>
    <w:basedOn w:val="1086"/>
    <w:link w:val="941"/>
    <w:uiPriority w:val="99"/>
    <w:unhideWhenUsed/>
    <w:pPr>
      <w:spacing w:after="0" w:line="240" w:lineRule="auto"/>
      <w:tabs>
        <w:tab w:val="center" w:pos="7143" w:leader="none"/>
        <w:tab w:val="right" w:pos="14287" w:leader="none"/>
      </w:tabs>
    </w:pPr>
  </w:style>
  <w:style w:type="character" w:styleId="939">
    <w:name w:val="Footer Char"/>
    <w:link w:val="938"/>
    <w:uiPriority w:val="99"/>
  </w:style>
  <w:style w:type="paragraph" w:styleId="940">
    <w:name w:val="Caption"/>
    <w:basedOn w:val="1086"/>
    <w:next w:val="1086"/>
    <w:uiPriority w:val="35"/>
    <w:semiHidden/>
    <w:unhideWhenUsed/>
    <w:qFormat/>
    <w:pPr>
      <w:spacing w:line="276" w:lineRule="auto"/>
    </w:pPr>
    <w:rPr>
      <w:b/>
      <w:bCs/>
      <w:color w:val="4f81bd" w:themeColor="accent1"/>
      <w:sz w:val="18"/>
      <w:szCs w:val="18"/>
    </w:rPr>
  </w:style>
  <w:style w:type="character" w:styleId="941">
    <w:name w:val="Caption Char"/>
    <w:basedOn w:val="940"/>
    <w:link w:val="938"/>
    <w:uiPriority w:val="99"/>
  </w:style>
  <w:style w:type="table" w:styleId="9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8">
    <w:name w:val="Hyperlink"/>
    <w:uiPriority w:val="99"/>
    <w:unhideWhenUsed/>
    <w:rPr>
      <w:color w:val="0000ff" w:themeColor="hyperlink"/>
      <w:u w:val="single"/>
    </w:rPr>
  </w:style>
  <w:style w:type="paragraph" w:styleId="1069">
    <w:name w:val="footnote text"/>
    <w:basedOn w:val="1086"/>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uiPriority w:val="99"/>
    <w:unhideWhenUsed/>
    <w:rPr>
      <w:vertAlign w:val="superscript"/>
    </w:rPr>
  </w:style>
  <w:style w:type="paragraph" w:styleId="1072">
    <w:name w:val="endnote text"/>
    <w:basedOn w:val="1086"/>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uiPriority w:val="99"/>
    <w:semiHidden/>
    <w:unhideWhenUsed/>
    <w:rPr>
      <w:vertAlign w:val="superscript"/>
    </w:rPr>
  </w:style>
  <w:style w:type="paragraph" w:styleId="1075">
    <w:name w:val="toc 1"/>
    <w:basedOn w:val="1086"/>
    <w:next w:val="1086"/>
    <w:uiPriority w:val="39"/>
    <w:unhideWhenUsed/>
    <w:pPr>
      <w:ind w:left="0" w:right="0" w:firstLine="0"/>
      <w:spacing w:after="57"/>
    </w:pPr>
  </w:style>
  <w:style w:type="paragraph" w:styleId="1076">
    <w:name w:val="toc 2"/>
    <w:basedOn w:val="1086"/>
    <w:next w:val="1086"/>
    <w:uiPriority w:val="39"/>
    <w:unhideWhenUsed/>
    <w:pPr>
      <w:ind w:left="283" w:right="0" w:firstLine="0"/>
      <w:spacing w:after="57"/>
    </w:pPr>
  </w:style>
  <w:style w:type="paragraph" w:styleId="1077">
    <w:name w:val="toc 3"/>
    <w:basedOn w:val="1086"/>
    <w:next w:val="1086"/>
    <w:uiPriority w:val="39"/>
    <w:unhideWhenUsed/>
    <w:pPr>
      <w:ind w:left="567" w:right="0" w:firstLine="0"/>
      <w:spacing w:after="57"/>
    </w:pPr>
  </w:style>
  <w:style w:type="paragraph" w:styleId="1078">
    <w:name w:val="toc 4"/>
    <w:basedOn w:val="1086"/>
    <w:next w:val="1086"/>
    <w:uiPriority w:val="39"/>
    <w:unhideWhenUsed/>
    <w:pPr>
      <w:ind w:left="850" w:right="0" w:firstLine="0"/>
      <w:spacing w:after="57"/>
    </w:pPr>
  </w:style>
  <w:style w:type="paragraph" w:styleId="1079">
    <w:name w:val="toc 5"/>
    <w:basedOn w:val="1086"/>
    <w:next w:val="1086"/>
    <w:uiPriority w:val="39"/>
    <w:unhideWhenUsed/>
    <w:pPr>
      <w:ind w:left="1134" w:right="0" w:firstLine="0"/>
      <w:spacing w:after="57"/>
    </w:pPr>
  </w:style>
  <w:style w:type="paragraph" w:styleId="1080">
    <w:name w:val="toc 6"/>
    <w:basedOn w:val="1086"/>
    <w:next w:val="1086"/>
    <w:uiPriority w:val="39"/>
    <w:unhideWhenUsed/>
    <w:pPr>
      <w:ind w:left="1417" w:right="0" w:firstLine="0"/>
      <w:spacing w:after="57"/>
    </w:pPr>
  </w:style>
  <w:style w:type="paragraph" w:styleId="1081">
    <w:name w:val="toc 7"/>
    <w:basedOn w:val="1086"/>
    <w:next w:val="1086"/>
    <w:uiPriority w:val="39"/>
    <w:unhideWhenUsed/>
    <w:pPr>
      <w:ind w:left="1701" w:right="0" w:firstLine="0"/>
      <w:spacing w:after="57"/>
    </w:pPr>
  </w:style>
  <w:style w:type="paragraph" w:styleId="1082">
    <w:name w:val="toc 8"/>
    <w:basedOn w:val="1086"/>
    <w:next w:val="1086"/>
    <w:uiPriority w:val="39"/>
    <w:unhideWhenUsed/>
    <w:pPr>
      <w:ind w:left="1984" w:right="0" w:firstLine="0"/>
      <w:spacing w:after="57"/>
    </w:pPr>
  </w:style>
  <w:style w:type="paragraph" w:styleId="1083">
    <w:name w:val="toc 9"/>
    <w:basedOn w:val="1086"/>
    <w:next w:val="1086"/>
    <w:uiPriority w:val="39"/>
    <w:unhideWhenUsed/>
    <w:pPr>
      <w:ind w:left="2268" w:right="0" w:firstLine="0"/>
      <w:spacing w:after="57"/>
    </w:pPr>
  </w:style>
  <w:style w:type="paragraph" w:styleId="1084">
    <w:name w:val="TOC Heading"/>
    <w:uiPriority w:val="39"/>
    <w:unhideWhenUsed/>
  </w:style>
  <w:style w:type="paragraph" w:styleId="1085">
    <w:name w:val="table of figures"/>
    <w:basedOn w:val="1086"/>
    <w:next w:val="1086"/>
    <w:uiPriority w:val="99"/>
    <w:unhideWhenUsed/>
    <w:pPr>
      <w:spacing w:after="0" w:afterAutospacing="0"/>
    </w:pPr>
  </w:style>
  <w:style w:type="paragraph" w:styleId="1086" w:default="1">
    <w:name w:val="Normal"/>
    <w:next w:val="1086"/>
    <w:link w:val="1086"/>
    <w:qFormat/>
    <w:pPr>
      <w:jc w:val="both"/>
      <w:widowControl w:val="off"/>
    </w:pPr>
    <w:rPr>
      <w:sz w:val="21"/>
      <w:szCs w:val="24"/>
      <w:lang w:val="en-US" w:eastAsia="zh-CN" w:bidi="ar-SA"/>
    </w:rPr>
  </w:style>
  <w:style w:type="paragraph" w:styleId="1087">
    <w:name w:val="标题 1"/>
    <w:basedOn w:val="1086"/>
    <w:next w:val="1086"/>
    <w:link w:val="1098"/>
    <w:qFormat/>
    <w:pPr>
      <w:jc w:val="center"/>
      <w:keepLines/>
      <w:keepNext/>
      <w:spacing w:before="240" w:after="120" w:line="300" w:lineRule="auto"/>
      <w:outlineLvl w:val="0"/>
    </w:pPr>
    <w:rPr>
      <w:rFonts w:ascii="宋体"/>
      <w:b/>
      <w:sz w:val="32"/>
      <w:szCs w:val="20"/>
    </w:rPr>
  </w:style>
  <w:style w:type="paragraph" w:styleId="1088">
    <w:name w:val="标题 2"/>
    <w:basedOn w:val="1086"/>
    <w:next w:val="1100"/>
    <w:link w:val="1099"/>
    <w:qFormat/>
    <w:pPr>
      <w:jc w:val="center"/>
      <w:keepLines/>
      <w:keepNext/>
      <w:spacing w:before="120" w:line="300" w:lineRule="auto"/>
      <w:outlineLvl w:val="1"/>
    </w:pPr>
    <w:rPr>
      <w:rFonts w:ascii="Arial" w:hAnsi="Arial" w:eastAsia="黑体"/>
      <w:b/>
      <w:sz w:val="30"/>
      <w:szCs w:val="20"/>
    </w:rPr>
  </w:style>
  <w:style w:type="paragraph" w:styleId="1089">
    <w:name w:val="标题 3"/>
    <w:basedOn w:val="1086"/>
    <w:next w:val="1100"/>
    <w:link w:val="1102"/>
    <w:qFormat/>
    <w:pPr>
      <w:jc w:val="left"/>
      <w:keepLines/>
      <w:keepNext/>
      <w:spacing w:before="360" w:after="120"/>
      <w:outlineLvl w:val="2"/>
    </w:pPr>
    <w:rPr>
      <w:rFonts w:ascii="宋体"/>
      <w:b/>
      <w:sz w:val="24"/>
      <w:szCs w:val="20"/>
      <w:u w:val="single"/>
    </w:rPr>
  </w:style>
  <w:style w:type="paragraph" w:styleId="1090">
    <w:name w:val="标题 4"/>
    <w:basedOn w:val="1086"/>
    <w:next w:val="1086"/>
    <w:link w:val="1103"/>
    <w:qFormat/>
    <w:pPr>
      <w:keepLines/>
      <w:keepNext/>
      <w:spacing w:before="280" w:after="290" w:line="376" w:lineRule="atLeast"/>
      <w:outlineLvl w:val="3"/>
    </w:pPr>
    <w:rPr>
      <w:rFonts w:ascii="Arial" w:hAnsi="Arial" w:eastAsia="黑体"/>
      <w:b/>
      <w:sz w:val="28"/>
      <w:szCs w:val="20"/>
    </w:rPr>
  </w:style>
  <w:style w:type="paragraph" w:styleId="1091">
    <w:name w:val="标题 5"/>
    <w:basedOn w:val="1086"/>
    <w:next w:val="1086"/>
    <w:link w:val="1104"/>
    <w:qFormat/>
    <w:pPr>
      <w:keepLines/>
      <w:keepNext/>
      <w:spacing w:before="280" w:after="290" w:line="376" w:lineRule="atLeast"/>
      <w:outlineLvl w:val="4"/>
    </w:pPr>
    <w:rPr>
      <w:b/>
      <w:sz w:val="28"/>
      <w:szCs w:val="20"/>
    </w:rPr>
  </w:style>
  <w:style w:type="paragraph" w:styleId="1092">
    <w:name w:val="标题 6"/>
    <w:basedOn w:val="1086"/>
    <w:next w:val="1086"/>
    <w:link w:val="1105"/>
    <w:qFormat/>
    <w:pPr>
      <w:keepLines/>
      <w:keepNext/>
      <w:spacing w:before="240" w:after="64" w:line="320" w:lineRule="atLeast"/>
      <w:outlineLvl w:val="5"/>
    </w:pPr>
    <w:rPr>
      <w:rFonts w:ascii="Arial" w:hAnsi="Arial" w:eastAsia="黑体"/>
      <w:b/>
      <w:sz w:val="24"/>
      <w:szCs w:val="20"/>
    </w:rPr>
  </w:style>
  <w:style w:type="paragraph" w:styleId="1093">
    <w:name w:val="标题 7"/>
    <w:basedOn w:val="1086"/>
    <w:next w:val="1086"/>
    <w:link w:val="1106"/>
    <w:qFormat/>
    <w:pPr>
      <w:keepLines/>
      <w:keepNext/>
      <w:spacing w:before="240" w:after="64" w:line="320" w:lineRule="atLeast"/>
      <w:outlineLvl w:val="6"/>
    </w:pPr>
    <w:rPr>
      <w:b/>
      <w:sz w:val="24"/>
      <w:szCs w:val="20"/>
    </w:rPr>
  </w:style>
  <w:style w:type="paragraph" w:styleId="1094">
    <w:name w:val="标题 8"/>
    <w:basedOn w:val="1086"/>
    <w:next w:val="1086"/>
    <w:link w:val="1107"/>
    <w:qFormat/>
    <w:pPr>
      <w:keepLines/>
      <w:keepNext/>
      <w:spacing w:before="240" w:after="64" w:line="320" w:lineRule="atLeast"/>
      <w:outlineLvl w:val="7"/>
    </w:pPr>
    <w:rPr>
      <w:rFonts w:ascii="Arial" w:hAnsi="Arial" w:eastAsia="黑体"/>
      <w:sz w:val="24"/>
      <w:szCs w:val="20"/>
    </w:rPr>
  </w:style>
  <w:style w:type="paragraph" w:styleId="1095">
    <w:name w:val="标题 9"/>
    <w:basedOn w:val="1086"/>
    <w:next w:val="1086"/>
    <w:link w:val="1108"/>
    <w:qFormat/>
    <w:pPr>
      <w:keepLines/>
      <w:keepNext/>
      <w:spacing w:before="240" w:after="64" w:line="320" w:lineRule="atLeast"/>
      <w:outlineLvl w:val="8"/>
    </w:pPr>
    <w:rPr>
      <w:rFonts w:ascii="Arial" w:hAnsi="Arial" w:eastAsia="黑体"/>
      <w:szCs w:val="20"/>
    </w:rPr>
  </w:style>
  <w:style w:type="character" w:styleId="1096">
    <w:name w:val="默认段落字体"/>
    <w:next w:val="1096"/>
    <w:link w:val="1086"/>
    <w:uiPriority w:val="1"/>
    <w:unhideWhenUsed/>
    <w:qFormat/>
  </w:style>
  <w:style w:type="table" w:styleId="1097">
    <w:name w:val="普通表格"/>
    <w:next w:val="1097"/>
    <w:link w:val="1086"/>
    <w:uiPriority w:val="99"/>
    <w:unhideWhenUsed/>
    <w:qFormat/>
    <w:tblPr/>
  </w:style>
  <w:style w:type="character" w:styleId="1098">
    <w:name w:val="标题 1 字符"/>
    <w:next w:val="1098"/>
    <w:link w:val="1087"/>
    <w:qFormat/>
    <w:rPr>
      <w:rFonts w:ascii="宋体"/>
      <w:b/>
      <w:sz w:val="32"/>
    </w:rPr>
  </w:style>
  <w:style w:type="character" w:styleId="1099">
    <w:name w:val="标题 2 字符"/>
    <w:next w:val="1099"/>
    <w:link w:val="1088"/>
    <w:qFormat/>
    <w:rPr>
      <w:rFonts w:ascii="Arial" w:hAnsi="Arial" w:eastAsia="黑体"/>
      <w:b/>
      <w:sz w:val="30"/>
      <w:lang w:val="en-US" w:eastAsia="zh-CN" w:bidi="ar-SA"/>
    </w:rPr>
  </w:style>
  <w:style w:type="paragraph" w:styleId="1100">
    <w:name w:val="正文缩进"/>
    <w:basedOn w:val="1086"/>
    <w:next w:val="1100"/>
    <w:link w:val="1101"/>
    <w:uiPriority w:val="99"/>
    <w:qFormat/>
    <w:pPr>
      <w:ind w:firstLine="420"/>
      <w:jc w:val="left"/>
    </w:pPr>
    <w:rPr>
      <w:rFonts w:ascii="宋体"/>
      <w:sz w:val="24"/>
    </w:rPr>
  </w:style>
  <w:style w:type="character" w:styleId="1101">
    <w:name w:val="正文缩进 字符1"/>
    <w:next w:val="1101"/>
    <w:link w:val="1100"/>
    <w:qFormat/>
    <w:rPr>
      <w:rFonts w:ascii="宋体" w:eastAsia="宋体"/>
      <w:sz w:val="24"/>
      <w:szCs w:val="24"/>
      <w:lang w:val="en-US" w:eastAsia="zh-CN" w:bidi="ar-SA"/>
    </w:rPr>
  </w:style>
  <w:style w:type="character" w:styleId="1102">
    <w:name w:val="标题 3 字符"/>
    <w:next w:val="1102"/>
    <w:link w:val="1089"/>
    <w:qFormat/>
    <w:rPr>
      <w:rFonts w:ascii="宋体" w:eastAsia="宋体"/>
      <w:b/>
      <w:sz w:val="24"/>
      <w:u w:val="single"/>
      <w:lang w:val="en-US" w:eastAsia="zh-CN" w:bidi="ar-SA"/>
    </w:rPr>
  </w:style>
  <w:style w:type="character" w:styleId="1103">
    <w:name w:val="标题 4 字符"/>
    <w:next w:val="1103"/>
    <w:link w:val="1090"/>
    <w:qFormat/>
    <w:rPr>
      <w:rFonts w:ascii="Arial" w:hAnsi="Arial" w:eastAsia="黑体"/>
      <w:b/>
      <w:sz w:val="28"/>
    </w:rPr>
  </w:style>
  <w:style w:type="character" w:styleId="1104">
    <w:name w:val="标题 5 字符"/>
    <w:next w:val="1104"/>
    <w:link w:val="1091"/>
    <w:qFormat/>
    <w:rPr>
      <w:b/>
      <w:sz w:val="28"/>
    </w:rPr>
  </w:style>
  <w:style w:type="character" w:styleId="1105">
    <w:name w:val="标题 6 字符"/>
    <w:next w:val="1105"/>
    <w:link w:val="1092"/>
    <w:qFormat/>
    <w:rPr>
      <w:rFonts w:ascii="Arial" w:hAnsi="Arial" w:eastAsia="黑体"/>
      <w:b/>
      <w:sz w:val="24"/>
    </w:rPr>
  </w:style>
  <w:style w:type="character" w:styleId="1106">
    <w:name w:val="标题 7 字符"/>
    <w:next w:val="1106"/>
    <w:link w:val="1093"/>
    <w:qFormat/>
    <w:rPr>
      <w:b/>
      <w:sz w:val="24"/>
    </w:rPr>
  </w:style>
  <w:style w:type="character" w:styleId="1107">
    <w:name w:val="标题 8 字符"/>
    <w:next w:val="1107"/>
    <w:link w:val="1094"/>
    <w:qFormat/>
    <w:rPr>
      <w:rFonts w:ascii="Arial" w:hAnsi="Arial" w:eastAsia="黑体"/>
      <w:sz w:val="24"/>
    </w:rPr>
  </w:style>
  <w:style w:type="character" w:styleId="1108">
    <w:name w:val="标题 9 字符"/>
    <w:next w:val="1108"/>
    <w:link w:val="1095"/>
    <w:qFormat/>
    <w:rPr>
      <w:rFonts w:ascii="Arial" w:hAnsi="Arial" w:eastAsia="黑体"/>
      <w:sz w:val="21"/>
    </w:rPr>
  </w:style>
  <w:style w:type="paragraph" w:styleId="1109">
    <w:name w:val="目录 7"/>
    <w:basedOn w:val="1086"/>
    <w:next w:val="1086"/>
    <w:link w:val="1086"/>
    <w:qFormat/>
    <w:pPr>
      <w:ind w:left="2520"/>
    </w:pPr>
  </w:style>
  <w:style w:type="paragraph" w:styleId="1110">
    <w:name w:val="题注"/>
    <w:basedOn w:val="1086"/>
    <w:next w:val="1086"/>
    <w:link w:val="1086"/>
    <w:qFormat/>
    <w:pPr>
      <w:spacing w:line="480" w:lineRule="auto"/>
    </w:pPr>
    <w:rPr>
      <w:rFonts w:ascii="华文中宋" w:hAnsi="华文中宋" w:eastAsia="华文中宋"/>
      <w:sz w:val="36"/>
      <w:szCs w:val="20"/>
    </w:rPr>
  </w:style>
  <w:style w:type="paragraph" w:styleId="1111">
    <w:name w:val="文档结构图"/>
    <w:basedOn w:val="1086"/>
    <w:next w:val="1111"/>
    <w:link w:val="1112"/>
    <w:qFormat/>
    <w:pPr>
      <w:shd w:val="clear" w:color="auto" w:fill="000080"/>
    </w:pPr>
  </w:style>
  <w:style w:type="character" w:styleId="1112">
    <w:name w:val="文档结构图 字符"/>
    <w:next w:val="1112"/>
    <w:link w:val="1111"/>
    <w:qFormat/>
    <w:rPr>
      <w:sz w:val="21"/>
      <w:szCs w:val="24"/>
      <w:shd w:val="clear" w:color="auto" w:fill="000080"/>
    </w:rPr>
  </w:style>
  <w:style w:type="paragraph" w:styleId="1113">
    <w:name w:val="批注文字"/>
    <w:basedOn w:val="1086"/>
    <w:next w:val="1113"/>
    <w:link w:val="1114"/>
    <w:uiPriority w:val="99"/>
    <w:qFormat/>
    <w:pPr>
      <w:jc w:val="left"/>
    </w:pPr>
  </w:style>
  <w:style w:type="character" w:styleId="1114">
    <w:name w:val="批注文字 字符1"/>
    <w:next w:val="1114"/>
    <w:link w:val="1113"/>
    <w:uiPriority w:val="99"/>
    <w:qFormat/>
    <w:rPr>
      <w:sz w:val="21"/>
      <w:szCs w:val="24"/>
    </w:rPr>
  </w:style>
  <w:style w:type="paragraph" w:styleId="1115">
    <w:name w:val="正文文本 3"/>
    <w:basedOn w:val="1086"/>
    <w:next w:val="1115"/>
    <w:link w:val="1116"/>
    <w:qFormat/>
    <w:pPr>
      <w:spacing w:after="120"/>
    </w:pPr>
    <w:rPr>
      <w:sz w:val="16"/>
      <w:szCs w:val="16"/>
    </w:rPr>
  </w:style>
  <w:style w:type="character" w:styleId="1116">
    <w:name w:val="正文文本 3 字符"/>
    <w:next w:val="1116"/>
    <w:link w:val="1115"/>
    <w:qFormat/>
    <w:rPr>
      <w:sz w:val="16"/>
      <w:szCs w:val="16"/>
    </w:rPr>
  </w:style>
  <w:style w:type="paragraph" w:styleId="1117">
    <w:name w:val="正文文本"/>
    <w:basedOn w:val="1086"/>
    <w:next w:val="1117"/>
    <w:link w:val="1118"/>
    <w:qFormat/>
    <w:pPr>
      <w:spacing w:before="120" w:line="22" w:lineRule="atLeast"/>
      <w:tabs>
        <w:tab w:val="left" w:pos="567" w:leader="none"/>
      </w:tabs>
    </w:pPr>
    <w:rPr>
      <w:rFonts w:ascii="宋体" w:hAnsi="宋体"/>
      <w:sz w:val="24"/>
    </w:rPr>
  </w:style>
  <w:style w:type="character" w:styleId="1118">
    <w:name w:val="正文文本 字符1"/>
    <w:next w:val="1118"/>
    <w:link w:val="1117"/>
    <w:qFormat/>
    <w:rPr>
      <w:rFonts w:ascii="宋体" w:hAnsi="宋体"/>
      <w:sz w:val="24"/>
      <w:szCs w:val="24"/>
    </w:rPr>
  </w:style>
  <w:style w:type="paragraph" w:styleId="1119">
    <w:name w:val="正文文本缩进"/>
    <w:basedOn w:val="1086"/>
    <w:next w:val="1119"/>
    <w:link w:val="1120"/>
    <w:qFormat/>
    <w:pPr>
      <w:ind w:firstLine="570"/>
      <w:spacing w:line="360" w:lineRule="auto"/>
    </w:pPr>
    <w:rPr>
      <w:sz w:val="24"/>
    </w:rPr>
  </w:style>
  <w:style w:type="character" w:styleId="1120">
    <w:name w:val="正文文本缩进 字符"/>
    <w:next w:val="1120"/>
    <w:link w:val="1119"/>
    <w:qFormat/>
    <w:rPr>
      <w:rFonts w:eastAsia="宋体"/>
      <w:sz w:val="24"/>
      <w:szCs w:val="24"/>
      <w:lang w:val="en-US" w:eastAsia="zh-CN" w:bidi="ar-SA"/>
    </w:rPr>
  </w:style>
  <w:style w:type="paragraph" w:styleId="1121">
    <w:name w:val="列表 2"/>
    <w:basedOn w:val="1086"/>
    <w:next w:val="1121"/>
    <w:link w:val="1086"/>
    <w:qFormat/>
    <w:pPr>
      <w:ind w:left="100" w:hanging="200"/>
    </w:pPr>
  </w:style>
  <w:style w:type="paragraph" w:styleId="1122">
    <w:name w:val="文本块"/>
    <w:basedOn w:val="1086"/>
    <w:next w:val="1122"/>
    <w:link w:val="1086"/>
    <w:qFormat/>
    <w:pPr>
      <w:ind w:left="480" w:right="-341" w:firstLine="513"/>
      <w:widowControl/>
    </w:pPr>
    <w:rPr>
      <w:sz w:val="24"/>
      <w:szCs w:val="20"/>
    </w:rPr>
  </w:style>
  <w:style w:type="paragraph" w:styleId="1123">
    <w:name w:val="目录 5"/>
    <w:basedOn w:val="1086"/>
    <w:next w:val="1086"/>
    <w:link w:val="1086"/>
    <w:qFormat/>
    <w:pPr>
      <w:ind w:left="1680"/>
    </w:pPr>
  </w:style>
  <w:style w:type="paragraph" w:styleId="1124">
    <w:name w:val="目录 3"/>
    <w:basedOn w:val="1086"/>
    <w:next w:val="1086"/>
    <w:link w:val="1086"/>
    <w:uiPriority w:val="39"/>
    <w:qFormat/>
    <w:pPr>
      <w:ind w:left="840"/>
    </w:pPr>
  </w:style>
  <w:style w:type="paragraph" w:styleId="1125">
    <w:name w:val="纯文本"/>
    <w:basedOn w:val="1086"/>
    <w:next w:val="1125"/>
    <w:link w:val="1126"/>
    <w:uiPriority w:val="99"/>
    <w:qFormat/>
    <w:rPr>
      <w:rFonts w:hint="eastAsia" w:ascii="宋体" w:hAnsi="Courier New"/>
      <w:szCs w:val="20"/>
    </w:rPr>
  </w:style>
  <w:style w:type="character" w:styleId="1126">
    <w:name w:val="纯文本 字符2"/>
    <w:next w:val="1126"/>
    <w:link w:val="1125"/>
    <w:qFormat/>
    <w:rPr>
      <w:rFonts w:hint="eastAsia" w:ascii="宋体" w:hAnsi="Courier New" w:eastAsia="宋体" w:cs="宋体"/>
      <w:sz w:val="21"/>
    </w:rPr>
  </w:style>
  <w:style w:type="paragraph" w:styleId="1127">
    <w:name w:val="目录 8"/>
    <w:basedOn w:val="1086"/>
    <w:next w:val="1086"/>
    <w:link w:val="1086"/>
    <w:qFormat/>
    <w:pPr>
      <w:ind w:left="2940"/>
    </w:pPr>
  </w:style>
  <w:style w:type="paragraph" w:styleId="1128">
    <w:name w:val="日期"/>
    <w:basedOn w:val="1086"/>
    <w:next w:val="1086"/>
    <w:link w:val="1129"/>
    <w:qFormat/>
    <w:pPr>
      <w:ind w:left="100"/>
    </w:pPr>
    <w:rPr>
      <w:rFonts w:ascii="仿宋_GB2312" w:hAnsi="宋体" w:eastAsia="仿宋_GB2312"/>
      <w:color w:val="000000"/>
      <w:sz w:val="24"/>
    </w:rPr>
  </w:style>
  <w:style w:type="character" w:styleId="1129">
    <w:name w:val="日期 字符"/>
    <w:next w:val="1129"/>
    <w:link w:val="1128"/>
    <w:qFormat/>
    <w:rPr>
      <w:rFonts w:ascii="仿宋_GB2312" w:hAnsi="宋体" w:eastAsia="仿宋_GB2312"/>
      <w:color w:val="000000"/>
      <w:sz w:val="24"/>
      <w:szCs w:val="24"/>
    </w:rPr>
  </w:style>
  <w:style w:type="paragraph" w:styleId="1130">
    <w:name w:val="正文文本缩进 2"/>
    <w:basedOn w:val="1086"/>
    <w:next w:val="1130"/>
    <w:link w:val="1131"/>
    <w:qFormat/>
    <w:pPr>
      <w:ind w:firstLine="480"/>
    </w:pPr>
    <w:rPr>
      <w:rFonts w:ascii="仿宋_GB2312" w:eastAsia="仿宋_GB2312"/>
      <w:sz w:val="24"/>
    </w:rPr>
  </w:style>
  <w:style w:type="character" w:styleId="1131">
    <w:name w:val="正文文本缩进 2 字符"/>
    <w:next w:val="1131"/>
    <w:link w:val="1130"/>
    <w:qFormat/>
    <w:rPr>
      <w:rFonts w:ascii="仿宋_GB2312" w:eastAsia="仿宋_GB2312"/>
      <w:sz w:val="24"/>
      <w:szCs w:val="24"/>
    </w:rPr>
  </w:style>
  <w:style w:type="paragraph" w:styleId="1132">
    <w:name w:val="批注框文本"/>
    <w:basedOn w:val="1086"/>
    <w:next w:val="1132"/>
    <w:link w:val="1133"/>
    <w:qFormat/>
    <w:rPr>
      <w:sz w:val="18"/>
      <w:szCs w:val="18"/>
    </w:rPr>
  </w:style>
  <w:style w:type="character" w:styleId="1133">
    <w:name w:val="批注框文本 字符"/>
    <w:next w:val="1133"/>
    <w:link w:val="1132"/>
    <w:qFormat/>
    <w:rPr>
      <w:sz w:val="18"/>
      <w:szCs w:val="18"/>
    </w:rPr>
  </w:style>
  <w:style w:type="paragraph" w:styleId="1134">
    <w:name w:val="页脚"/>
    <w:basedOn w:val="1086"/>
    <w:next w:val="1134"/>
    <w:link w:val="1135"/>
    <w:uiPriority w:val="99"/>
    <w:qFormat/>
    <w:pPr>
      <w:jc w:val="left"/>
      <w:tabs>
        <w:tab w:val="center" w:pos="4153" w:leader="none"/>
        <w:tab w:val="right" w:pos="8306" w:leader="none"/>
      </w:tabs>
    </w:pPr>
    <w:rPr>
      <w:rFonts w:ascii="宋体"/>
      <w:sz w:val="18"/>
      <w:szCs w:val="20"/>
    </w:rPr>
  </w:style>
  <w:style w:type="character" w:styleId="1135">
    <w:name w:val="页脚 字符"/>
    <w:next w:val="1135"/>
    <w:link w:val="1134"/>
    <w:uiPriority w:val="99"/>
    <w:qFormat/>
    <w:rPr>
      <w:rFonts w:ascii="宋体" w:eastAsia="宋体"/>
      <w:sz w:val="18"/>
      <w:lang w:val="en-US" w:eastAsia="zh-CN" w:bidi="ar-SA"/>
    </w:rPr>
  </w:style>
  <w:style w:type="paragraph" w:styleId="1136">
    <w:name w:val="页眉"/>
    <w:basedOn w:val="1086"/>
    <w:next w:val="1136"/>
    <w:link w:val="1137"/>
    <w:qFormat/>
    <w:pPr>
      <w:jc w:val="center"/>
      <w:tabs>
        <w:tab w:val="center" w:pos="4153" w:leader="none"/>
        <w:tab w:val="right" w:pos="8306" w:leader="none"/>
      </w:tabs>
      <w:pBdr>
        <w:bottom w:val="single" w:color="000000" w:sz="6" w:space="1"/>
      </w:pBdr>
    </w:pPr>
    <w:rPr>
      <w:sz w:val="18"/>
      <w:szCs w:val="18"/>
    </w:rPr>
  </w:style>
  <w:style w:type="character" w:styleId="1137">
    <w:name w:val="页眉 字符"/>
    <w:next w:val="1137"/>
    <w:link w:val="1136"/>
    <w:qFormat/>
    <w:rPr>
      <w:rFonts w:eastAsia="宋体"/>
      <w:sz w:val="18"/>
      <w:szCs w:val="18"/>
      <w:lang w:val="en-US" w:eastAsia="zh-CN" w:bidi="ar-SA"/>
    </w:rPr>
  </w:style>
  <w:style w:type="paragraph" w:styleId="1138">
    <w:name w:val="目录 1"/>
    <w:basedOn w:val="1086"/>
    <w:next w:val="1086"/>
    <w:link w:val="1086"/>
    <w:uiPriority w:val="39"/>
    <w:qFormat/>
    <w:pPr>
      <w:spacing w:line="300" w:lineRule="auto"/>
      <w:tabs>
        <w:tab w:val="left" w:pos="1050" w:leader="none"/>
        <w:tab w:val="right" w:pos="8937" w:leader="dot"/>
      </w:tabs>
    </w:pPr>
    <w:rPr>
      <w:rFonts w:ascii="宋体" w:hAnsi="宋体"/>
      <w:b/>
      <w:sz w:val="24"/>
    </w:rPr>
  </w:style>
  <w:style w:type="paragraph" w:styleId="1139">
    <w:name w:val="目录 4"/>
    <w:basedOn w:val="1086"/>
    <w:next w:val="1086"/>
    <w:link w:val="1086"/>
    <w:qFormat/>
    <w:pPr>
      <w:ind w:left="1260"/>
    </w:pPr>
  </w:style>
  <w:style w:type="paragraph" w:styleId="1140">
    <w:name w:val="目录 6"/>
    <w:basedOn w:val="1086"/>
    <w:next w:val="1086"/>
    <w:link w:val="1086"/>
    <w:qFormat/>
    <w:pPr>
      <w:ind w:left="2100"/>
    </w:pPr>
  </w:style>
  <w:style w:type="paragraph" w:styleId="1141">
    <w:name w:val="正文文本缩进 3"/>
    <w:basedOn w:val="1086"/>
    <w:next w:val="1141"/>
    <w:link w:val="1142"/>
    <w:qFormat/>
    <w:pPr>
      <w:ind w:left="720" w:firstLine="480"/>
      <w:jc w:val="left"/>
      <w:spacing w:before="120" w:line="22" w:lineRule="atLeast"/>
    </w:pPr>
    <w:rPr>
      <w:rFonts w:ascii="宋体"/>
      <w:sz w:val="24"/>
      <w:szCs w:val="20"/>
    </w:rPr>
  </w:style>
  <w:style w:type="character" w:styleId="1142">
    <w:name w:val="正文文本缩进 3 字符"/>
    <w:next w:val="1142"/>
    <w:link w:val="1141"/>
    <w:qFormat/>
    <w:rPr>
      <w:rFonts w:ascii="宋体"/>
      <w:sz w:val="24"/>
    </w:rPr>
  </w:style>
  <w:style w:type="paragraph" w:styleId="1143">
    <w:name w:val="目录 2"/>
    <w:basedOn w:val="1086"/>
    <w:next w:val="1086"/>
    <w:link w:val="1086"/>
    <w:uiPriority w:val="39"/>
    <w:qFormat/>
    <w:pPr>
      <w:ind w:left="420"/>
      <w:spacing w:line="312" w:lineRule="auto"/>
      <w:tabs>
        <w:tab w:val="right" w:pos="8937" w:leader="dot"/>
      </w:tabs>
    </w:pPr>
  </w:style>
  <w:style w:type="paragraph" w:styleId="1144">
    <w:name w:val="目录 9"/>
    <w:basedOn w:val="1086"/>
    <w:next w:val="1086"/>
    <w:link w:val="1086"/>
    <w:qFormat/>
    <w:pPr>
      <w:ind w:left="3360"/>
    </w:pPr>
  </w:style>
  <w:style w:type="paragraph" w:styleId="1145">
    <w:name w:val="HTML 预设格式"/>
    <w:basedOn w:val="1086"/>
    <w:next w:val="1145"/>
    <w:link w:val="11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name w:val="HTML 预设格式 字符"/>
    <w:next w:val="1146"/>
    <w:link w:val="1145"/>
    <w:qFormat/>
    <w:rPr>
      <w:rFonts w:ascii="宋体" w:hAnsi="宋体" w:cs="宋体"/>
      <w:sz w:val="24"/>
      <w:szCs w:val="24"/>
    </w:rPr>
  </w:style>
  <w:style w:type="paragraph" w:styleId="1147">
    <w:name w:val="普通(网站)"/>
    <w:basedOn w:val="1086"/>
    <w:next w:val="1147"/>
    <w:link w:val="1086"/>
    <w:uiPriority w:val="99"/>
    <w:unhideWhenUsed/>
    <w:qFormat/>
    <w:pPr>
      <w:jc w:val="left"/>
      <w:spacing w:before="100" w:beforeAutospacing="1" w:after="100" w:afterAutospacing="1"/>
      <w:widowControl/>
    </w:pPr>
    <w:rPr>
      <w:rFonts w:ascii="宋体" w:hAnsi="宋体" w:cs="宋体"/>
      <w:sz w:val="24"/>
    </w:rPr>
  </w:style>
  <w:style w:type="paragraph" w:styleId="1148">
    <w:name w:val="索引 1"/>
    <w:basedOn w:val="1086"/>
    <w:next w:val="1086"/>
    <w:link w:val="1086"/>
    <w:qFormat/>
    <w:rPr>
      <w:szCs w:val="20"/>
    </w:rPr>
  </w:style>
  <w:style w:type="paragraph" w:styleId="1149">
    <w:name w:val="标题"/>
    <w:basedOn w:val="1086"/>
    <w:next w:val="1149"/>
    <w:link w:val="1150"/>
    <w:qFormat/>
    <w:pPr>
      <w:jc w:val="center"/>
      <w:outlineLvl w:val="0"/>
    </w:pPr>
    <w:rPr>
      <w:b/>
      <w:sz w:val="32"/>
      <w:szCs w:val="20"/>
    </w:rPr>
  </w:style>
  <w:style w:type="character" w:styleId="1150">
    <w:name w:val="标题 字符"/>
    <w:next w:val="1150"/>
    <w:link w:val="1149"/>
    <w:qFormat/>
    <w:rPr>
      <w:b/>
      <w:sz w:val="32"/>
    </w:rPr>
  </w:style>
  <w:style w:type="paragraph" w:styleId="1151">
    <w:name w:val="批注主题"/>
    <w:basedOn w:val="1113"/>
    <w:next w:val="1113"/>
    <w:link w:val="1152"/>
    <w:qFormat/>
    <w:rPr>
      <w:b/>
      <w:bCs/>
    </w:rPr>
  </w:style>
  <w:style w:type="character" w:styleId="1152">
    <w:name w:val="批注主题 字符"/>
    <w:next w:val="1152"/>
    <w:link w:val="1151"/>
    <w:qFormat/>
    <w:rPr>
      <w:rFonts w:ascii="Times New Roman" w:hAnsi="Times New Roman" w:eastAsia="宋体" w:cs="Times New Roman"/>
      <w:b/>
      <w:bCs/>
      <w:sz w:val="21"/>
      <w:szCs w:val="24"/>
      <w:lang w:val="en-US" w:eastAsia="zh-CN" w:bidi="ar-SA"/>
    </w:rPr>
  </w:style>
  <w:style w:type="paragraph" w:styleId="1153">
    <w:name w:val="正文首行缩进 2"/>
    <w:basedOn w:val="1119"/>
    <w:next w:val="1153"/>
    <w:link w:val="1154"/>
    <w:qFormat/>
    <w:pPr>
      <w:ind w:left="420" w:firstLine="420"/>
      <w:spacing w:after="120" w:line="480" w:lineRule="exact"/>
    </w:pPr>
    <w:rPr>
      <w:szCs w:val="20"/>
    </w:rPr>
  </w:style>
  <w:style w:type="character" w:styleId="1154">
    <w:name w:val="正文文本首行缩进 2 字符"/>
    <w:next w:val="1154"/>
    <w:link w:val="1153"/>
    <w:qFormat/>
    <w:rPr>
      <w:rFonts w:eastAsia="宋体"/>
      <w:sz w:val="24"/>
      <w:szCs w:val="24"/>
      <w:lang w:val="en-US" w:eastAsia="zh-CN" w:bidi="ar-SA"/>
    </w:rPr>
  </w:style>
  <w:style w:type="table" w:styleId="1155">
    <w:name w:val="网格型"/>
    <w:basedOn w:val="1097"/>
    <w:next w:val="1155"/>
    <w:link w:val="1086"/>
    <w:uiPriority w:val="39"/>
    <w:qFormat/>
    <w:tblPr/>
  </w:style>
  <w:style w:type="table" w:styleId="1156">
    <w:name w:val="中等深浅网格 1 - 强调文字颜色 2"/>
    <w:basedOn w:val="1097"/>
    <w:next w:val="1156"/>
    <w:link w:val="1086"/>
    <w:qFormat/>
    <w:rPr>
      <w:sz w:val="21"/>
      <w:szCs w:val="24"/>
    </w:rPr>
    <w:tblPr/>
  </w:style>
  <w:style w:type="character" w:styleId="1157">
    <w:name w:val="要点"/>
    <w:next w:val="1157"/>
    <w:link w:val="1086"/>
    <w:qFormat/>
    <w:rPr>
      <w:b/>
      <w:bCs/>
    </w:rPr>
  </w:style>
  <w:style w:type="character" w:styleId="1158">
    <w:name w:val="页码"/>
    <w:next w:val="1158"/>
    <w:link w:val="1086"/>
    <w:qFormat/>
  </w:style>
  <w:style w:type="character" w:styleId="1159">
    <w:name w:val="已访问的超链接"/>
    <w:next w:val="1159"/>
    <w:link w:val="1086"/>
    <w:qFormat/>
    <w:rPr>
      <w:color w:val="800080"/>
      <w:u w:val="single"/>
    </w:rPr>
  </w:style>
  <w:style w:type="character" w:styleId="1160">
    <w:name w:val="强调"/>
    <w:next w:val="1160"/>
    <w:link w:val="1086"/>
    <w:qFormat/>
    <w:rPr>
      <w:color w:val="cc0033"/>
    </w:rPr>
  </w:style>
  <w:style w:type="character" w:styleId="1161">
    <w:name w:val="超链接"/>
    <w:next w:val="1161"/>
    <w:link w:val="1086"/>
    <w:uiPriority w:val="99"/>
    <w:qFormat/>
    <w:rPr>
      <w:color w:val="0000ff"/>
      <w:u w:val="single"/>
    </w:rPr>
  </w:style>
  <w:style w:type="character" w:styleId="1162">
    <w:name w:val="批注引用"/>
    <w:next w:val="1162"/>
    <w:link w:val="1086"/>
    <w:uiPriority w:val="99"/>
    <w:qFormat/>
    <w:rPr>
      <w:sz w:val="21"/>
      <w:szCs w:val="21"/>
    </w:rPr>
  </w:style>
  <w:style w:type="character" w:styleId="1163">
    <w:name w:val="HTML 引文"/>
    <w:next w:val="1163"/>
    <w:link w:val="1086"/>
    <w:qFormat/>
    <w:rPr>
      <w:i/>
      <w:iCs/>
    </w:rPr>
  </w:style>
  <w:style w:type="character" w:styleId="1164">
    <w:name w:val="批注文字 字符"/>
    <w:next w:val="1164"/>
    <w:link w:val="1086"/>
    <w:uiPriority w:val="99"/>
    <w:qFormat/>
    <w:rPr>
      <w:rFonts w:ascii="Times New Roman" w:hAnsi="Times New Roman" w:eastAsia="宋体" w:cs="Times New Roman"/>
      <w:sz w:val="24"/>
      <w:lang w:val="en-US" w:eastAsia="zh-CN" w:bidi="ar-SA"/>
    </w:rPr>
  </w:style>
  <w:style w:type="character" w:styleId="1165">
    <w:name w:val="c21"/>
    <w:next w:val="1165"/>
    <w:link w:val="1086"/>
    <w:qFormat/>
    <w:rPr>
      <w:rFonts w:ascii="ˎ̥" w:hAnsi="ˎ̥"/>
      <w:color w:val="000000"/>
      <w:sz w:val="20"/>
      <w:szCs w:val="20"/>
      <w:u w:val="none"/>
    </w:rPr>
  </w:style>
  <w:style w:type="character" w:styleId="1166">
    <w:name w:val="title4"/>
    <w:next w:val="1166"/>
    <w:link w:val="1086"/>
    <w:qFormat/>
    <w:rPr>
      <w:b/>
      <w:bCs/>
      <w:color w:val="1d87b3"/>
      <w:sz w:val="15"/>
      <w:szCs w:val="15"/>
    </w:rPr>
  </w:style>
  <w:style w:type="character" w:styleId="1167">
    <w:name w:val="标题 2 Char Char"/>
    <w:next w:val="1167"/>
    <w:link w:val="1086"/>
    <w:qFormat/>
    <w:rPr>
      <w:rFonts w:ascii="Arial" w:hAnsi="Arial" w:eastAsia="黑体"/>
      <w:b/>
      <w:bCs/>
      <w:sz w:val="32"/>
      <w:szCs w:val="32"/>
      <w:lang w:val="en-US" w:eastAsia="zh-CN" w:bidi="ar-SA"/>
    </w:rPr>
  </w:style>
  <w:style w:type="character" w:styleId="1168">
    <w:name w:val="black1"/>
    <w:next w:val="1168"/>
    <w:link w:val="1086"/>
    <w:qFormat/>
    <w:rPr>
      <w:color w:val="000000"/>
    </w:rPr>
  </w:style>
  <w:style w:type="character" w:styleId="1169">
    <w:name w:val="street-address"/>
    <w:next w:val="1169"/>
    <w:link w:val="1086"/>
    <w:qFormat/>
  </w:style>
  <w:style w:type="character" w:styleId="1170">
    <w:name w:val="locality"/>
    <w:next w:val="1170"/>
    <w:link w:val="1086"/>
    <w:qFormat/>
  </w:style>
  <w:style w:type="character" w:styleId="1171">
    <w:name w:val="正文文本缩进 Char1"/>
    <w:next w:val="1171"/>
    <w:link w:val="1172"/>
    <w:qFormat/>
    <w:rPr>
      <w:rFonts w:ascii="宋体" w:hAnsi="宋体" w:eastAsia="宋体"/>
      <w:sz w:val="24"/>
      <w:szCs w:val="24"/>
      <w:lang w:bidi="ar-SA"/>
    </w:rPr>
  </w:style>
  <w:style w:type="paragraph" w:styleId="1172">
    <w:name w:val="正文文本缩进1"/>
    <w:basedOn w:val="1086"/>
    <w:next w:val="1172"/>
    <w:link w:val="1171"/>
    <w:qFormat/>
    <w:pPr>
      <w:ind w:firstLine="480"/>
      <w:spacing w:line="480" w:lineRule="exact"/>
    </w:pPr>
    <w:rPr>
      <w:rFonts w:ascii="宋体" w:hAnsi="宋体"/>
      <w:sz w:val="24"/>
    </w:rPr>
  </w:style>
  <w:style w:type="character" w:styleId="1173">
    <w:name w:val="Char Char11"/>
    <w:next w:val="1173"/>
    <w:link w:val="1086"/>
    <w:qFormat/>
    <w:rPr>
      <w:rFonts w:ascii="宋体" w:eastAsia="宋体"/>
      <w:b/>
      <w:sz w:val="24"/>
      <w:u w:val="single"/>
      <w:lang w:val="en-US" w:eastAsia="zh-CN" w:bidi="ar-SA"/>
    </w:rPr>
  </w:style>
  <w:style w:type="character" w:styleId="1174">
    <w:name w:val="txt"/>
    <w:next w:val="1174"/>
    <w:link w:val="1086"/>
    <w:qFormat/>
  </w:style>
  <w:style w:type="character" w:styleId="1175">
    <w:name w:val="正文缩进 Char Char"/>
    <w:next w:val="1175"/>
    <w:link w:val="1176"/>
    <w:qFormat/>
    <w:rPr>
      <w:rFonts w:ascii="宋体" w:eastAsia="宋体"/>
      <w:color w:val="000000"/>
      <w:sz w:val="28"/>
      <w:lang w:bidi="ar-SA"/>
    </w:rPr>
  </w:style>
  <w:style w:type="paragraph" w:styleId="1176">
    <w:name w:val="正文缩进1"/>
    <w:basedOn w:val="1086"/>
    <w:next w:val="1176"/>
    <w:link w:val="1175"/>
    <w:qFormat/>
    <w:pPr>
      <w:ind w:firstLine="567"/>
      <w:spacing w:line="480" w:lineRule="exact"/>
      <w:widowControl/>
    </w:pPr>
    <w:rPr>
      <w:rFonts w:ascii="宋体"/>
      <w:color w:val="000000"/>
      <w:sz w:val="28"/>
      <w:szCs w:val="20"/>
    </w:rPr>
  </w:style>
  <w:style w:type="character" w:styleId="1177">
    <w:name w:val="普通文字1 Char1"/>
    <w:next w:val="1177"/>
    <w:link w:val="1086"/>
    <w:qFormat/>
    <w:rPr>
      <w:rFonts w:ascii="宋体" w:hAnsi="Courier New" w:eastAsia="宋体"/>
      <w:sz w:val="21"/>
      <w:lang w:val="en-US" w:eastAsia="zh-CN" w:bidi="ar-SA"/>
    </w:rPr>
  </w:style>
  <w:style w:type="character" w:styleId="1178">
    <w:name w:val="chanpin1"/>
    <w:next w:val="1178"/>
    <w:link w:val="1086"/>
    <w:qFormat/>
    <w:rPr>
      <w:rFonts w:ascii="ˎ̥" w:hAnsi="ˎ̥"/>
      <w:color w:val="000000"/>
      <w:sz w:val="20"/>
      <w:szCs w:val="20"/>
      <w:u w:val="none"/>
    </w:rPr>
  </w:style>
  <w:style w:type="character" w:styleId="1179">
    <w:name w:val="列表段落 字符"/>
    <w:next w:val="1179"/>
    <w:link w:val="1180"/>
    <w:uiPriority w:val="34"/>
    <w:qFormat/>
    <w:rPr>
      <w:rFonts w:ascii="Calibri" w:hAnsi="Calibri" w:eastAsia="宋体"/>
      <w:sz w:val="21"/>
      <w:szCs w:val="22"/>
      <w:lang w:val="en-US" w:eastAsia="zh-CN" w:bidi="ar-SA"/>
    </w:rPr>
  </w:style>
  <w:style w:type="paragraph" w:styleId="1180">
    <w:name w:val="列表段落"/>
    <w:basedOn w:val="1086"/>
    <w:next w:val="1180"/>
    <w:link w:val="1179"/>
    <w:uiPriority w:val="34"/>
    <w:qFormat/>
    <w:pPr>
      <w:ind w:firstLine="420"/>
    </w:pPr>
    <w:rPr>
      <w:rFonts w:ascii="Calibri" w:hAnsi="Calibri"/>
      <w:szCs w:val="22"/>
    </w:rPr>
  </w:style>
  <w:style w:type="character" w:styleId="1181">
    <w:name w:val="标题 3 Char Char"/>
    <w:next w:val="1181"/>
    <w:link w:val="1086"/>
    <w:qFormat/>
    <w:rPr>
      <w:rFonts w:eastAsia="宋体"/>
      <w:b/>
      <w:bCs/>
      <w:sz w:val="32"/>
      <w:szCs w:val="32"/>
      <w:lang w:val="en-US" w:eastAsia="zh-CN" w:bidi="ar-SA"/>
    </w:rPr>
  </w:style>
  <w:style w:type="character" w:styleId="1182">
    <w:name w:val="段1 Char"/>
    <w:next w:val="1182"/>
    <w:link w:val="1086"/>
    <w:qFormat/>
    <w:rPr>
      <w:rFonts w:ascii="宋体" w:eastAsia="宋体"/>
      <w:sz w:val="24"/>
      <w:lang w:val="en-US" w:eastAsia="zh-CN" w:bidi="ar-SA"/>
    </w:rPr>
  </w:style>
  <w:style w:type="character" w:styleId="1183">
    <w:name w:val="chanpin拷贝"/>
    <w:next w:val="1183"/>
    <w:link w:val="1086"/>
    <w:qFormat/>
  </w:style>
  <w:style w:type="character" w:styleId="1184">
    <w:name w:val="纯文本 Char1"/>
    <w:next w:val="1184"/>
    <w:link w:val="1086"/>
    <w:uiPriority w:val="99"/>
    <w:qFormat/>
    <w:rPr>
      <w:rFonts w:ascii="宋体" w:hAnsi="Courier New" w:eastAsia="宋体"/>
      <w:sz w:val="21"/>
      <w:lang w:val="en-US" w:eastAsia="zh-CN" w:bidi="ar-SA"/>
    </w:rPr>
  </w:style>
  <w:style w:type="character" w:styleId="1185">
    <w:name w:val="apple-style-span"/>
    <w:next w:val="1185"/>
    <w:link w:val="1086"/>
    <w:qFormat/>
    <w:rPr>
      <w:rFonts w:cs="Times New Roman"/>
    </w:rPr>
  </w:style>
  <w:style w:type="paragraph" w:styleId="1186">
    <w:name w:val="二级条标题"/>
    <w:basedOn w:val="1187"/>
    <w:next w:val="1086"/>
    <w:link w:val="1086"/>
    <w:qFormat/>
    <w:pPr>
      <w:numPr>
        <w:ilvl w:val="0"/>
        <w:numId w:val="0"/>
      </w:numPr>
      <w:ind w:hanging="840"/>
      <w:tabs>
        <w:tab w:val="left" w:pos="360" w:leader="none"/>
        <w:tab w:val="left" w:pos="840" w:leader="none"/>
      </w:tabs>
      <w:outlineLvl w:val="2"/>
    </w:pPr>
    <w:rPr>
      <w:rFonts w:ascii="宋体" w:eastAsia="宋体"/>
      <w:b w:val="0"/>
    </w:rPr>
  </w:style>
  <w:style w:type="paragraph" w:styleId="1187">
    <w:name w:val="一级条标题"/>
    <w:basedOn w:val="1188"/>
    <w:next w:val="1086"/>
    <w:link w:val="1086"/>
    <w:qFormat/>
    <w:pPr>
      <w:numPr>
        <w:ilvl w:val="1"/>
      </w:numPr>
      <w:ind w:left="0" w:hanging="840"/>
      <w:tabs>
        <w:tab w:val="left" w:pos="360" w:leader="none"/>
        <w:tab w:val="left" w:pos="840" w:leader="none"/>
      </w:tabs>
      <w:outlineLvl w:val="1"/>
    </w:pPr>
  </w:style>
  <w:style w:type="paragraph" w:styleId="1188">
    <w:name w:val="章标题"/>
    <w:next w:val="1086"/>
    <w:link w:val="108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9">
    <w:name w:val="font7"/>
    <w:basedOn w:val="1086"/>
    <w:next w:val="1189"/>
    <w:link w:val="1086"/>
    <w:qFormat/>
    <w:pPr>
      <w:jc w:val="left"/>
      <w:spacing w:before="100" w:beforeAutospacing="1" w:after="100" w:afterAutospacing="1"/>
      <w:widowControl/>
    </w:pPr>
    <w:rPr>
      <w:rFonts w:eastAsia="Arial Unicode MS"/>
      <w:b/>
      <w:bCs/>
      <w:color w:val="000000"/>
      <w:sz w:val="20"/>
      <w:szCs w:val="20"/>
    </w:rPr>
  </w:style>
  <w:style w:type="paragraph" w:styleId="1190">
    <w:name w:val="字元 字元"/>
    <w:basedOn w:val="1086"/>
    <w:next w:val="1190"/>
    <w:link w:val="1086"/>
    <w:qFormat/>
    <w:rPr>
      <w:rFonts w:ascii="Tahoma" w:hAnsi="Tahoma"/>
      <w:sz w:val="24"/>
      <w:szCs w:val="20"/>
    </w:rPr>
  </w:style>
  <w:style w:type="paragraph" w:styleId="1191">
    <w:name w:val="Char3 Char Char Char"/>
    <w:basedOn w:val="1086"/>
    <w:next w:val="1191"/>
    <w:link w:val="1086"/>
    <w:qFormat/>
    <w:rPr>
      <w:rFonts w:ascii="Tahoma" w:hAnsi="Tahoma"/>
      <w:sz w:val="24"/>
      <w:szCs w:val="20"/>
    </w:rPr>
  </w:style>
  <w:style w:type="paragraph" w:styleId="1192">
    <w:name w:val="font6"/>
    <w:basedOn w:val="1086"/>
    <w:next w:val="1192"/>
    <w:link w:val="1086"/>
    <w:qFormat/>
    <w:pPr>
      <w:jc w:val="left"/>
      <w:spacing w:before="100" w:beforeAutospacing="1" w:after="100" w:afterAutospacing="1"/>
      <w:widowControl/>
    </w:pPr>
    <w:rPr>
      <w:rFonts w:ascii="宋体" w:hAnsi="宋体" w:cs="宋体"/>
      <w:sz w:val="20"/>
      <w:szCs w:val="20"/>
    </w:rPr>
  </w:style>
  <w:style w:type="paragraph" w:styleId="1193">
    <w:name w:val="项目编号2"/>
    <w:basedOn w:val="1194"/>
    <w:next w:val="1193"/>
    <w:link w:val="1086"/>
    <w:qFormat/>
    <w:pPr>
      <w:numPr>
        <w:numId w:val="3"/>
      </w:numPr>
    </w:pPr>
  </w:style>
  <w:style w:type="paragraph" w:styleId="1194">
    <w:name w:val="项目编号1"/>
    <w:basedOn w:val="1086"/>
    <w:next w:val="1194"/>
    <w:link w:val="1086"/>
    <w:qFormat/>
    <w:pPr>
      <w:numPr>
        <w:ilvl w:val="0"/>
        <w:numId w:val="2"/>
      </w:numPr>
      <w:spacing w:before="100" w:beforeAutospacing="1" w:after="100" w:afterAutospacing="1" w:line="360" w:lineRule="auto"/>
    </w:pPr>
    <w:rPr>
      <w:sz w:val="24"/>
    </w:rPr>
  </w:style>
  <w:style w:type="paragraph" w:styleId="1195">
    <w:name w:val="图中文字"/>
    <w:basedOn w:val="1086"/>
    <w:next w:val="1195"/>
    <w:link w:val="1086"/>
    <w:qFormat/>
    <w:pPr>
      <w:jc w:val="center"/>
      <w:spacing w:line="0" w:lineRule="atLeast"/>
    </w:pPr>
    <w:rPr>
      <w:sz w:val="24"/>
      <w:szCs w:val="20"/>
    </w:rPr>
  </w:style>
  <w:style w:type="paragraph" w:styleId="1196">
    <w:name w:val="xl46"/>
    <w:basedOn w:val="1086"/>
    <w:next w:val="1196"/>
    <w:link w:val="10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name w:val="xl25"/>
    <w:basedOn w:val="1086"/>
    <w:next w:val="1197"/>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2"/>
    <w:basedOn w:val="1086"/>
    <w:next w:val="1198"/>
    <w:link w:val="1086"/>
    <w:qFormat/>
    <w:rPr>
      <w:rFonts w:ascii="Tahoma" w:hAnsi="Tahoma"/>
      <w:sz w:val="24"/>
      <w:szCs w:val="20"/>
    </w:rPr>
  </w:style>
  <w:style w:type="paragraph" w:styleId="1199">
    <w:name w:val="xl35"/>
    <w:basedOn w:val="1086"/>
    <w:next w:val="1199"/>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40"/>
    <w:basedOn w:val="1086"/>
    <w:next w:val="1200"/>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52"/>
    <w:basedOn w:val="1086"/>
    <w:next w:val="120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2">
    <w:name w:val="xl43"/>
    <w:basedOn w:val="1086"/>
    <w:next w:val="1202"/>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background1"/>
    <w:basedOn w:val="1086"/>
    <w:next w:val="1203"/>
    <w:link w:val="1086"/>
    <w:qFormat/>
    <w:pPr>
      <w:jc w:val="left"/>
      <w:spacing w:before="100" w:beforeAutospacing="1" w:after="100" w:afterAutospacing="1"/>
      <w:widowControl/>
    </w:pPr>
    <w:rPr>
      <w:rFonts w:ascii="宋体" w:hAnsi="宋体" w:cs="宋体"/>
      <w:sz w:val="24"/>
    </w:rPr>
  </w:style>
  <w:style w:type="paragraph" w:styleId="1204">
    <w:name w:val="Char Char Char Char Char Char Char"/>
    <w:basedOn w:val="1086"/>
    <w:next w:val="1204"/>
    <w:link w:val="1086"/>
    <w:qFormat/>
    <w:pPr>
      <w:ind w:firstLine="200"/>
      <w:spacing w:line="360" w:lineRule="auto"/>
    </w:pPr>
    <w:rPr>
      <w:rFonts w:eastAsia="仿宋_GB2312"/>
      <w:sz w:val="24"/>
    </w:rPr>
  </w:style>
  <w:style w:type="paragraph" w:styleId="1205">
    <w:name w:val="xl38"/>
    <w:basedOn w:val="1086"/>
    <w:next w:val="120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6">
    <w:name w:val="xl36"/>
    <w:basedOn w:val="1086"/>
    <w:next w:val="1206"/>
    <w:link w:val="10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正文 + 宋体"/>
    <w:basedOn w:val="1086"/>
    <w:next w:val="1207"/>
    <w:link w:val="1086"/>
    <w:qFormat/>
    <w:pPr>
      <w:ind w:left="360" w:hanging="360"/>
      <w:jc w:val="left"/>
      <w:widowControl/>
    </w:pPr>
    <w:rPr>
      <w:rFonts w:ascii="宋体" w:hAnsi="宋体" w:cs="宋体"/>
      <w:b/>
      <w:bCs/>
      <w:color w:val="000000"/>
      <w:sz w:val="18"/>
      <w:szCs w:val="18"/>
    </w:rPr>
  </w:style>
  <w:style w:type="paragraph" w:styleId="1208">
    <w:name w:val="正文列项_数字"/>
    <w:basedOn w:val="1086"/>
    <w:next w:val="1208"/>
    <w:link w:val="1086"/>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name w:val="xl39"/>
    <w:basedOn w:val="1086"/>
    <w:next w:val="120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37"/>
    <w:basedOn w:val="1086"/>
    <w:next w:val="1210"/>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name w:val="xl32"/>
    <w:basedOn w:val="1086"/>
    <w:next w:val="121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font8"/>
    <w:basedOn w:val="1086"/>
    <w:next w:val="1212"/>
    <w:link w:val="1086"/>
    <w:qFormat/>
    <w:pPr>
      <w:jc w:val="left"/>
      <w:spacing w:before="100" w:beforeAutospacing="1" w:after="100" w:afterAutospacing="1"/>
      <w:widowControl/>
    </w:pPr>
    <w:rPr>
      <w:sz w:val="36"/>
      <w:szCs w:val="36"/>
    </w:rPr>
  </w:style>
  <w:style w:type="paragraph" w:styleId="1213">
    <w:name w:val="Char"/>
    <w:basedOn w:val="1086"/>
    <w:next w:val="1213"/>
    <w:link w:val="1086"/>
    <w:qFormat/>
    <w:pPr>
      <w:tabs>
        <w:tab w:val="left" w:pos="360" w:leader="none"/>
      </w:tabs>
    </w:pPr>
    <w:rPr>
      <w:sz w:val="24"/>
    </w:rPr>
  </w:style>
  <w:style w:type="paragraph" w:styleId="1214">
    <w:name w:val="Char Char Char Char Char Char Char Char Char Char Char Char Char Char Char Char"/>
    <w:basedOn w:val="1086"/>
    <w:next w:val="1214"/>
    <w:link w:val="1086"/>
    <w:qFormat/>
    <w:pPr>
      <w:jc w:val="center"/>
      <w:spacing w:after="160" w:line="240" w:lineRule="exact"/>
      <w:widowControl/>
    </w:pPr>
    <w:rPr>
      <w:rFonts w:ascii="宋体" w:hAnsi="宋体"/>
      <w:b/>
      <w:sz w:val="30"/>
      <w:szCs w:val="30"/>
      <w:lang w:eastAsia="en-US"/>
    </w:rPr>
  </w:style>
  <w:style w:type="paragraph" w:styleId="1215">
    <w:name w:val="xl45"/>
    <w:basedOn w:val="1086"/>
    <w:next w:val="1215"/>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6">
    <w:name w:val="Char Char1 Char Char Char Char Char Char"/>
    <w:basedOn w:val="1086"/>
    <w:next w:val="1216"/>
    <w:link w:val="1086"/>
    <w:qFormat/>
    <w:pPr>
      <w:jc w:val="left"/>
      <w:spacing w:after="160" w:line="240" w:lineRule="exact"/>
      <w:widowControl/>
    </w:pPr>
    <w:rPr>
      <w:rFonts w:ascii="Verdana" w:hAnsi="Verdana" w:eastAsia="仿宋_GB2312"/>
      <w:sz w:val="24"/>
      <w:szCs w:val="20"/>
      <w:lang w:eastAsia="en-US"/>
    </w:rPr>
  </w:style>
  <w:style w:type="paragraph" w:styleId="1217">
    <w:name w:val="Char Char1"/>
    <w:basedOn w:val="1111"/>
    <w:next w:val="1217"/>
    <w:link w:val="1086"/>
    <w:qFormat/>
    <w:rPr>
      <w:rFonts w:ascii="Tahoma" w:hAnsi="Tahoma"/>
      <w:sz w:val="24"/>
    </w:rPr>
  </w:style>
  <w:style w:type="paragraph" w:styleId="1218">
    <w:name w:val="xl26"/>
    <w:basedOn w:val="1086"/>
    <w:next w:val="1218"/>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9">
    <w:name w:val="xl30"/>
    <w:basedOn w:val="1086"/>
    <w:next w:val="121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1"/>
    <w:basedOn w:val="1086"/>
    <w:next w:val="1220"/>
    <w:link w:val="10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name w:val="样式 宋体 五号 行距: 单倍行距"/>
    <w:basedOn w:val="1086"/>
    <w:next w:val="1221"/>
    <w:link w:val="1086"/>
    <w:qFormat/>
    <w:pPr>
      <w:jc w:val="left"/>
    </w:pPr>
    <w:rPr>
      <w:rFonts w:ascii="宋体" w:hAnsi="宋体"/>
      <w:szCs w:val="20"/>
    </w:rPr>
  </w:style>
  <w:style w:type="paragraph" w:styleId="1222">
    <w:name w:val="Char1 Char Char Char1"/>
    <w:basedOn w:val="1086"/>
    <w:next w:val="1222"/>
    <w:link w:val="1086"/>
    <w:qFormat/>
    <w:rPr>
      <w:rFonts w:ascii="Tahoma" w:hAnsi="Tahoma" w:cs="仿宋_GB2312"/>
      <w:sz w:val="24"/>
      <w:szCs w:val="28"/>
    </w:rPr>
  </w:style>
  <w:style w:type="paragraph" w:styleId="1223">
    <w:name w:val="四级条标题"/>
    <w:basedOn w:val="1224"/>
    <w:next w:val="1086"/>
    <w:link w:val="1086"/>
    <w:qFormat/>
    <w:pPr>
      <w:numPr>
        <w:ilvl w:val="4"/>
      </w:numPr>
      <w:ind w:left="0" w:hanging="840"/>
      <w:tabs>
        <w:tab w:val="left" w:pos="360" w:leader="none"/>
        <w:tab w:val="left" w:pos="840" w:leader="none"/>
      </w:tabs>
      <w:outlineLvl w:val="4"/>
    </w:pPr>
  </w:style>
  <w:style w:type="paragraph" w:styleId="1224">
    <w:name w:val="三级条标题"/>
    <w:basedOn w:val="1186"/>
    <w:next w:val="1086"/>
    <w:link w:val="1086"/>
    <w:qFormat/>
    <w:pPr>
      <w:numPr>
        <w:ilvl w:val="3"/>
        <w:numId w:val="1"/>
      </w:numPr>
      <w:ind w:left="0" w:hanging="840"/>
      <w:tabs>
        <w:tab w:val="left" w:pos="360" w:leader="none"/>
        <w:tab w:val="left" w:pos="840" w:leader="none"/>
      </w:tabs>
      <w:outlineLvl w:val="3"/>
    </w:pPr>
  </w:style>
  <w:style w:type="paragraph" w:styleId="1225">
    <w:name w:val="??"/>
    <w:next w:val="1225"/>
    <w:link w:val="1086"/>
    <w:qFormat/>
    <w:pPr>
      <w:jc w:val="both"/>
      <w:widowControl w:val="off"/>
    </w:pPr>
    <w:rPr>
      <w:sz w:val="21"/>
      <w:lang w:val="en-US" w:eastAsia="en-US" w:bidi="ar-SA"/>
    </w:rPr>
  </w:style>
  <w:style w:type="paragraph" w:styleId="1226">
    <w:name w:val="样式 标题 2 + 宋体 五号 行距: 单倍行距"/>
    <w:basedOn w:val="1088"/>
    <w:next w:val="1226"/>
    <w:link w:val="10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name w:val="List Paragraph1"/>
    <w:basedOn w:val="1086"/>
    <w:next w:val="1227"/>
    <w:link w:val="1086"/>
    <w:qFormat/>
    <w:pPr>
      <w:ind w:firstLine="420"/>
    </w:pPr>
    <w:rPr>
      <w:rFonts w:ascii="Calibri" w:hAnsi="Calibri"/>
      <w:szCs w:val="22"/>
    </w:rPr>
  </w:style>
  <w:style w:type="paragraph" w:styleId="1228">
    <w:name w:val="项目符号1"/>
    <w:basedOn w:val="1229"/>
    <w:next w:val="1228"/>
    <w:link w:val="1086"/>
    <w:qFormat/>
    <w:pPr>
      <w:ind w:left="-25" w:firstLine="0"/>
    </w:pPr>
  </w:style>
  <w:style w:type="paragraph" w:styleId="1229">
    <w:name w:val="正文文本样式"/>
    <w:basedOn w:val="1086"/>
    <w:next w:val="1229"/>
    <w:link w:val="1086"/>
    <w:qFormat/>
    <w:pPr>
      <w:ind w:firstLine="482"/>
      <w:spacing w:line="360" w:lineRule="auto"/>
    </w:pPr>
    <w:rPr>
      <w:rFonts w:cs="宋体"/>
      <w:sz w:val="24"/>
      <w:szCs w:val="20"/>
    </w:rPr>
  </w:style>
  <w:style w:type="paragraph" w:styleId="1230">
    <w:name w:val="xl27"/>
    <w:basedOn w:val="1086"/>
    <w:next w:val="123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font5"/>
    <w:basedOn w:val="1086"/>
    <w:next w:val="1231"/>
    <w:link w:val="1086"/>
    <w:qFormat/>
    <w:pPr>
      <w:jc w:val="left"/>
      <w:spacing w:before="100" w:beforeAutospacing="1" w:after="100" w:afterAutospacing="1"/>
      <w:widowControl/>
    </w:pPr>
    <w:rPr>
      <w:rFonts w:ascii="宋体" w:hAnsi="宋体" w:cs="宋体"/>
      <w:sz w:val="18"/>
      <w:szCs w:val="18"/>
    </w:rPr>
  </w:style>
  <w:style w:type="paragraph" w:styleId="1232">
    <w:name w:val="五级条标题"/>
    <w:basedOn w:val="1223"/>
    <w:next w:val="1086"/>
    <w:link w:val="1086"/>
    <w:qFormat/>
    <w:pPr>
      <w:numPr>
        <w:ilvl w:val="5"/>
      </w:numPr>
      <w:ind w:left="0" w:hanging="840"/>
      <w:tabs>
        <w:tab w:val="left" w:pos="360" w:leader="none"/>
        <w:tab w:val="left" w:pos="840" w:leader="none"/>
      </w:tabs>
      <w:outlineLvl w:val="5"/>
    </w:pPr>
  </w:style>
  <w:style w:type="paragraph" w:styleId="1233">
    <w:name w:val="xl49"/>
    <w:basedOn w:val="1086"/>
    <w:next w:val="1233"/>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4">
    <w:name w:val="文档正文"/>
    <w:basedOn w:val="1086"/>
    <w:next w:val="1234"/>
    <w:link w:val="1086"/>
    <w:qFormat/>
    <w:pPr>
      <w:spacing w:before="120" w:after="120" w:line="180" w:lineRule="auto"/>
    </w:pPr>
    <w:rPr>
      <w:rFonts w:ascii="Arial" w:hAnsi="Arial"/>
      <w:szCs w:val="20"/>
    </w:rPr>
  </w:style>
  <w:style w:type="paragraph" w:styleId="1235">
    <w:name w:val="xl33"/>
    <w:basedOn w:val="1086"/>
    <w:next w:val="123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42"/>
    <w:basedOn w:val="1086"/>
    <w:next w:val="123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7">
    <w:name w:val="Char Char Char1 Char"/>
    <w:basedOn w:val="1086"/>
    <w:next w:val="1237"/>
    <w:link w:val="1086"/>
    <w:qFormat/>
    <w:rPr>
      <w:rFonts w:ascii="Tahoma" w:hAnsi="Tahoma"/>
      <w:sz w:val="24"/>
      <w:szCs w:val="20"/>
    </w:rPr>
  </w:style>
  <w:style w:type="paragraph" w:styleId="1238">
    <w:name w:val="xl44"/>
    <w:basedOn w:val="1086"/>
    <w:next w:val="1238"/>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name w:val="1名"/>
    <w:basedOn w:val="1086"/>
    <w:next w:val="1239"/>
    <w:link w:val="1086"/>
    <w:qFormat/>
    <w:pPr>
      <w:numPr>
        <w:ilvl w:val="0"/>
        <w:numId w:val="5"/>
      </w:numPr>
      <w:spacing w:before="120"/>
      <w:tabs>
        <w:tab w:val="left" w:pos="360" w:leader="none"/>
      </w:tabs>
    </w:pPr>
    <w:rPr>
      <w:rFonts w:ascii="宋体"/>
      <w:sz w:val="28"/>
      <w:szCs w:val="20"/>
    </w:rPr>
  </w:style>
  <w:style w:type="paragraph" w:styleId="1240">
    <w:name w:val="font9"/>
    <w:basedOn w:val="1086"/>
    <w:next w:val="1240"/>
    <w:link w:val="1086"/>
    <w:qFormat/>
    <w:pPr>
      <w:jc w:val="left"/>
      <w:spacing w:before="100" w:beforeAutospacing="1" w:after="100" w:afterAutospacing="1"/>
      <w:widowControl/>
    </w:pPr>
    <w:rPr>
      <w:rFonts w:hint="eastAsia" w:ascii="宋体" w:hAnsi="宋体" w:cs="Arial Unicode MS"/>
      <w:color w:val="000000"/>
      <w:sz w:val="20"/>
      <w:szCs w:val="20"/>
    </w:rPr>
  </w:style>
  <w:style w:type="paragraph" w:styleId="1241">
    <w:name w:val="Char Char Char1 Char1"/>
    <w:basedOn w:val="1086"/>
    <w:next w:val="1241"/>
    <w:link w:val="1086"/>
    <w:qFormat/>
    <w:rPr>
      <w:rFonts w:ascii="Tahoma" w:hAnsi="Tahoma"/>
      <w:sz w:val="24"/>
      <w:szCs w:val="20"/>
    </w:rPr>
  </w:style>
  <w:style w:type="paragraph" w:styleId="1242">
    <w:name w:val="Char Char Char Char Char Char Char Char Char Char"/>
    <w:basedOn w:val="1086"/>
    <w:next w:val="1242"/>
    <w:link w:val="1086"/>
    <w:qFormat/>
  </w:style>
  <w:style w:type="paragraph" w:styleId="1243">
    <w:name w:val="Char Char1 Char Char Char Char Char Char Char Char"/>
    <w:basedOn w:val="1086"/>
    <w:next w:val="1243"/>
    <w:link w:val="1086"/>
    <w:qFormat/>
    <w:pPr>
      <w:jc w:val="left"/>
      <w:spacing w:after="160" w:line="240" w:lineRule="exact"/>
      <w:widowControl/>
    </w:pPr>
    <w:rPr>
      <w:rFonts w:ascii="Verdana" w:hAnsi="Verdana"/>
      <w:sz w:val="20"/>
      <w:szCs w:val="20"/>
      <w:lang w:eastAsia="en-US"/>
    </w:rPr>
  </w:style>
  <w:style w:type="paragraph" w:styleId="1244">
    <w:name w:val="Char1"/>
    <w:basedOn w:val="1086"/>
    <w:next w:val="1244"/>
    <w:link w:val="1086"/>
    <w:qFormat/>
    <w:pPr>
      <w:tabs>
        <w:tab w:val="left" w:pos="360" w:leader="none"/>
      </w:tabs>
    </w:pPr>
    <w:rPr>
      <w:sz w:val="24"/>
    </w:rPr>
  </w:style>
  <w:style w:type="paragraph" w:styleId="1245">
    <w:name w:val="正文列项_字母"/>
    <w:basedOn w:val="1086"/>
    <w:next w:val="1245"/>
    <w:link w:val="1086"/>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name w:val="xl28"/>
    <w:basedOn w:val="1086"/>
    <w:next w:val="124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name w:val="xl47"/>
    <w:basedOn w:val="1086"/>
    <w:next w:val="1247"/>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默认段落字体 Para Char Char Char Char"/>
    <w:basedOn w:val="1086"/>
    <w:next w:val="1248"/>
    <w:link w:val="1086"/>
    <w:qFormat/>
    <w:rPr>
      <w:rFonts w:ascii="Arial" w:hAnsi="Arial" w:cs="Arial"/>
      <w:szCs w:val="21"/>
    </w:rPr>
  </w:style>
  <w:style w:type="paragraph" w:styleId="1249">
    <w:name w:val="xl48"/>
    <w:basedOn w:val="1086"/>
    <w:next w:val="124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0">
    <w:name w:val="xl31"/>
    <w:basedOn w:val="1086"/>
    <w:next w:val="1250"/>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53"/>
    <w:basedOn w:val="1086"/>
    <w:next w:val="1251"/>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name w:val="Char Char Char"/>
    <w:basedOn w:val="1086"/>
    <w:next w:val="1252"/>
    <w:link w:val="1086"/>
    <w:qFormat/>
    <w:rPr>
      <w:rFonts w:ascii="Tahoma" w:hAnsi="Tahoma"/>
      <w:sz w:val="24"/>
      <w:szCs w:val="20"/>
    </w:rPr>
  </w:style>
  <w:style w:type="paragraph" w:styleId="1253">
    <w:name w:val="xl50"/>
    <w:basedOn w:val="1086"/>
    <w:next w:val="1253"/>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4">
    <w:name w:val="缺省文本"/>
    <w:basedOn w:val="1086"/>
    <w:next w:val="1254"/>
    <w:link w:val="1086"/>
    <w:qFormat/>
    <w:pPr>
      <w:jc w:val="left"/>
    </w:pPr>
    <w:rPr>
      <w:sz w:val="24"/>
    </w:rPr>
  </w:style>
  <w:style w:type="paragraph" w:styleId="1255">
    <w:name w:val="Char Char Char1"/>
    <w:basedOn w:val="1086"/>
    <w:next w:val="1255"/>
    <w:link w:val="1086"/>
    <w:qFormat/>
    <w:rPr>
      <w:rFonts w:ascii="Tahoma" w:hAnsi="Tahoma"/>
      <w:sz w:val="24"/>
      <w:szCs w:val="20"/>
    </w:rPr>
  </w:style>
  <w:style w:type="paragraph" w:styleId="1256">
    <w:name w:val="Char Char Char Char Char Char Char1"/>
    <w:basedOn w:val="1086"/>
    <w:next w:val="1256"/>
    <w:link w:val="1086"/>
    <w:qFormat/>
    <w:pPr>
      <w:ind w:firstLine="200"/>
      <w:spacing w:line="360" w:lineRule="auto"/>
    </w:pPr>
    <w:rPr>
      <w:rFonts w:eastAsia="仿宋_GB2312"/>
      <w:sz w:val="24"/>
    </w:rPr>
  </w:style>
  <w:style w:type="paragraph" w:styleId="1257">
    <w:name w:val="xl51"/>
    <w:basedOn w:val="1086"/>
    <w:next w:val="1257"/>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name w:val="样式2"/>
    <w:basedOn w:val="1148"/>
    <w:next w:val="1258"/>
    <w:link w:val="1086"/>
    <w:qFormat/>
    <w:pPr>
      <w:jc w:val="center"/>
      <w:spacing w:line="360" w:lineRule="auto"/>
    </w:pPr>
    <w:rPr>
      <w:sz w:val="24"/>
    </w:rPr>
  </w:style>
  <w:style w:type="paragraph" w:styleId="1259">
    <w:name w:val="xl24"/>
    <w:basedOn w:val="1086"/>
    <w:next w:val="125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xl29"/>
    <w:basedOn w:val="1086"/>
    <w:next w:val="126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 + 楷体_GB2312"/>
    <w:basedOn w:val="1086"/>
    <w:next w:val="1261"/>
    <w:link w:val="1086"/>
    <w:qFormat/>
    <w:pPr>
      <w:jc w:val="left"/>
      <w:widowControl/>
    </w:pPr>
    <w:rPr>
      <w:rFonts w:ascii="楷体_GB2312" w:eastAsia="楷体_GB2312" w:cs="Arial"/>
      <w:sz w:val="24"/>
    </w:rPr>
  </w:style>
  <w:style w:type="paragraph" w:styleId="1262">
    <w:name w:val="xl34"/>
    <w:basedOn w:val="1086"/>
    <w:next w:val="1262"/>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3">
    <w:name w:val="1 Char Char Char Char"/>
    <w:basedOn w:val="1086"/>
    <w:next w:val="1263"/>
    <w:link w:val="1086"/>
    <w:qFormat/>
    <w:rPr>
      <w:rFonts w:ascii="Tahoma" w:hAnsi="Tahoma"/>
      <w:sz w:val="24"/>
      <w:szCs w:val="20"/>
    </w:rPr>
  </w:style>
  <w:style w:type="paragraph" w:styleId="1264">
    <w:name w:val="Default"/>
    <w:next w:val="1264"/>
    <w:link w:val="1086"/>
    <w:qFormat/>
    <w:pPr>
      <w:widowControl w:val="off"/>
    </w:pPr>
    <w:rPr>
      <w:rFonts w:ascii="Symbol" w:hAnsi="Symbol" w:cs="Symbol"/>
      <w:color w:val="000000"/>
      <w:sz w:val="24"/>
      <w:szCs w:val="24"/>
      <w:lang w:val="en-US" w:eastAsia="zh-CN" w:bidi="ar-SA"/>
    </w:rPr>
  </w:style>
  <w:style w:type="paragraph" w:styleId="1265">
    <w:name w:val="列出段落1"/>
    <w:basedOn w:val="1086"/>
    <w:next w:val="1265"/>
    <w:link w:val="1086"/>
    <w:qFormat/>
    <w:pPr>
      <w:ind w:firstLine="420"/>
    </w:pPr>
    <w:rPr>
      <w:rFonts w:ascii="Calibri" w:hAnsi="Calibri"/>
      <w:szCs w:val="22"/>
    </w:rPr>
  </w:style>
  <w:style w:type="paragraph" w:styleId="1266">
    <w:name w:val="default"/>
    <w:basedOn w:val="1086"/>
    <w:next w:val="1266"/>
    <w:link w:val="1086"/>
    <w:qFormat/>
    <w:pPr>
      <w:jc w:val="left"/>
      <w:spacing w:before="100" w:beforeAutospacing="1" w:after="100" w:afterAutospacing="1"/>
      <w:widowControl/>
    </w:pPr>
    <w:rPr>
      <w:rFonts w:ascii="宋体" w:hAnsi="宋体" w:cs="宋体"/>
      <w:sz w:val="24"/>
    </w:rPr>
  </w:style>
  <w:style w:type="paragraph" w:styleId="1267">
    <w:name w:val="字元 字元1"/>
    <w:basedOn w:val="1086"/>
    <w:next w:val="1267"/>
    <w:link w:val="1086"/>
    <w:qFormat/>
    <w:rPr>
      <w:rFonts w:ascii="Tahoma" w:hAnsi="Tahoma"/>
      <w:sz w:val="24"/>
      <w:szCs w:val="20"/>
    </w:rPr>
  </w:style>
  <w:style w:type="paragraph" w:styleId="1268">
    <w:name w:val="_Style 160"/>
    <w:next w:val="1268"/>
    <w:link w:val="1086"/>
    <w:qFormat/>
    <w:rPr>
      <w:sz w:val="21"/>
      <w:szCs w:val="24"/>
      <w:lang w:val="en-US" w:eastAsia="zh-CN" w:bidi="ar-SA"/>
    </w:rPr>
  </w:style>
  <w:style w:type="paragraph" w:styleId="1269">
    <w:name w:val="项目编号3"/>
    <w:basedOn w:val="1229"/>
    <w:next w:val="1269"/>
    <w:link w:val="1086"/>
    <w:qFormat/>
    <w:pPr>
      <w:numPr>
        <w:ilvl w:val="0"/>
        <w:numId w:val="6"/>
      </w:numPr>
    </w:pPr>
  </w:style>
  <w:style w:type="paragraph" w:styleId="1270">
    <w:name w:val="Char21"/>
    <w:basedOn w:val="1086"/>
    <w:next w:val="1270"/>
    <w:link w:val="1086"/>
    <w:qFormat/>
    <w:rPr>
      <w:rFonts w:ascii="Tahoma" w:hAnsi="Tahoma"/>
      <w:sz w:val="24"/>
      <w:szCs w:val="20"/>
    </w:rPr>
  </w:style>
  <w:style w:type="paragraph" w:styleId="1271">
    <w:name w:val="表格文字"/>
    <w:basedOn w:val="1119"/>
    <w:next w:val="1271"/>
    <w:link w:val="1086"/>
    <w:qFormat/>
    <w:pPr>
      <w:ind w:firstLine="0"/>
      <w:spacing w:before="20" w:after="20" w:line="240" w:lineRule="auto"/>
    </w:pPr>
    <w:rPr>
      <w:rFonts w:ascii="Century Gothic" w:hAnsi="Century Gothic"/>
      <w:sz w:val="20"/>
      <w:szCs w:val="20"/>
    </w:rPr>
  </w:style>
  <w:style w:type="paragraph" w:styleId="1272">
    <w:name w:val="Char Char Char Char Char Char Char Char Char Char1"/>
    <w:basedOn w:val="1086"/>
    <w:next w:val="1272"/>
    <w:link w:val="1086"/>
    <w:qFormat/>
    <w:rPr>
      <w:rFonts w:ascii="宋体" w:hAnsi="宋体" w:cs="Courier New"/>
      <w:sz w:val="32"/>
      <w:szCs w:val="32"/>
    </w:rPr>
  </w:style>
  <w:style w:type="paragraph" w:styleId="1273">
    <w:name w:val="正文文本样式 加粗"/>
    <w:basedOn w:val="1229"/>
    <w:next w:val="1273"/>
    <w:link w:val="1086"/>
    <w:qFormat/>
    <w:rPr>
      <w:b/>
    </w:rPr>
  </w:style>
  <w:style w:type="paragraph" w:styleId="1274">
    <w:name w:val="Char2 Char Char Char Char Char Char"/>
    <w:basedOn w:val="1086"/>
    <w:next w:val="1274"/>
    <w:link w:val="1086"/>
    <w:qFormat/>
    <w:pPr>
      <w:jc w:val="center"/>
      <w:spacing w:line="400" w:lineRule="exact"/>
      <w:widowControl/>
    </w:pPr>
  </w:style>
  <w:style w:type="paragraph" w:styleId="1275">
    <w:name w:val="Char Char4"/>
    <w:basedOn w:val="1086"/>
    <w:next w:val="1275"/>
    <w:link w:val="1086"/>
    <w:qFormat/>
    <w:pPr>
      <w:jc w:val="center"/>
      <w:spacing w:line="400" w:lineRule="exact"/>
      <w:widowControl/>
    </w:pPr>
  </w:style>
  <w:style w:type="paragraph" w:styleId="1276">
    <w:name w:val="Char3 Char Char Char1"/>
    <w:basedOn w:val="1086"/>
    <w:next w:val="1276"/>
    <w:link w:val="1086"/>
    <w:qFormat/>
    <w:rPr>
      <w:rFonts w:ascii="Tahoma" w:hAnsi="Tahoma"/>
      <w:sz w:val="24"/>
      <w:szCs w:val="20"/>
    </w:rPr>
  </w:style>
  <w:style w:type="paragraph" w:styleId="1277">
    <w:name w:val="无间隔"/>
    <w:next w:val="1277"/>
    <w:link w:val="1086"/>
    <w:qFormat/>
    <w:pPr>
      <w:jc w:val="both"/>
      <w:widowControl w:val="off"/>
    </w:pPr>
    <w:rPr>
      <w:sz w:val="21"/>
      <w:szCs w:val="24"/>
      <w:lang w:val="en-US" w:eastAsia="zh-CN" w:bidi="ar-SA"/>
    </w:rPr>
  </w:style>
  <w:style w:type="paragraph" w:styleId="1278">
    <w:name w:val="22222222222222"/>
    <w:basedOn w:val="1086"/>
    <w:next w:val="1278"/>
    <w:link w:val="1086"/>
    <w:qFormat/>
    <w:pPr>
      <w:ind w:firstLine="480"/>
      <w:jc w:val="left"/>
      <w:spacing w:line="360" w:lineRule="auto"/>
      <w:widowControl/>
    </w:pPr>
    <w:rPr>
      <w:color w:val="ff0000"/>
      <w:sz w:val="24"/>
      <w:szCs w:val="20"/>
    </w:rPr>
  </w:style>
  <w:style w:type="character" w:styleId="1279">
    <w:name w:val="中等深浅网格 1 - 强调文字颜色 2 Char"/>
    <w:next w:val="1279"/>
    <w:link w:val="1280"/>
    <w:qFormat/>
    <w:rPr>
      <w:sz w:val="21"/>
      <w:szCs w:val="24"/>
      <w:lang w:val="zh-CN" w:eastAsia="zh-CN" w:bidi="ar-SA"/>
    </w:rPr>
  </w:style>
  <w:style w:type="paragraph" w:styleId="1280">
    <w:name w:val="1"/>
    <w:next w:val="1280"/>
    <w:link w:val="1279"/>
    <w:qFormat/>
    <w:rPr>
      <w:sz w:val="21"/>
      <w:szCs w:val="24"/>
      <w:lang w:val="zh-CN" w:eastAsia="zh-CN" w:bidi="ar-SA"/>
    </w:rPr>
  </w:style>
  <w:style w:type="paragraph" w:styleId="1281">
    <w:name w:val="图文"/>
    <w:basedOn w:val="1086"/>
    <w:next w:val="1281"/>
    <w:link w:val="1086"/>
    <w:qFormat/>
    <w:pPr>
      <w:spacing w:after="50" w:line="360" w:lineRule="auto"/>
    </w:pPr>
    <w:rPr>
      <w:sz w:val="24"/>
    </w:rPr>
  </w:style>
  <w:style w:type="paragraph" w:styleId="1282">
    <w:name w:val="xl23"/>
    <w:basedOn w:val="1086"/>
    <w:next w:val="1282"/>
    <w:link w:val="1086"/>
    <w:qFormat/>
    <w:pPr>
      <w:spacing w:before="100" w:beforeAutospacing="1" w:after="100" w:afterAutospacing="1" w:line="360" w:lineRule="auto"/>
      <w:widowControl/>
    </w:pPr>
    <w:rPr>
      <w:sz w:val="24"/>
      <w:szCs w:val="20"/>
    </w:rPr>
  </w:style>
  <w:style w:type="paragraph" w:styleId="1283">
    <w:name w:val="正文表格"/>
    <w:basedOn w:val="1086"/>
    <w:next w:val="1283"/>
    <w:link w:val="1284"/>
    <w:qFormat/>
    <w:pPr>
      <w:jc w:val="left"/>
    </w:pPr>
    <w:rPr>
      <w:rFonts w:ascii="宋体" w:hAnsi="宋体"/>
      <w:color w:val="000000"/>
      <w:szCs w:val="21"/>
    </w:rPr>
  </w:style>
  <w:style w:type="character" w:styleId="1284">
    <w:name w:val="正文表格 Char"/>
    <w:next w:val="1284"/>
    <w:link w:val="1283"/>
    <w:qFormat/>
    <w:rPr>
      <w:rFonts w:ascii="宋体" w:hAnsi="宋体"/>
      <w:color w:val="000000"/>
      <w:sz w:val="21"/>
      <w:szCs w:val="21"/>
    </w:rPr>
  </w:style>
  <w:style w:type="paragraph" w:styleId="1285">
    <w:name w:val="正文重点"/>
    <w:basedOn w:val="1086"/>
    <w:next w:val="1285"/>
    <w:link w:val="1286"/>
    <w:qFormat/>
    <w:pPr>
      <w:ind w:firstLine="482"/>
      <w:jc w:val="left"/>
      <w:spacing w:line="360" w:lineRule="auto"/>
    </w:pPr>
    <w:rPr>
      <w:b/>
      <w:sz w:val="24"/>
      <w:szCs w:val="20"/>
    </w:rPr>
  </w:style>
  <w:style w:type="character" w:styleId="1286">
    <w:name w:val="正文重点 Char"/>
    <w:next w:val="1286"/>
    <w:link w:val="1285"/>
    <w:qFormat/>
    <w:rPr>
      <w:b/>
      <w:sz w:val="24"/>
    </w:rPr>
  </w:style>
  <w:style w:type="paragraph" w:styleId="1287">
    <w:name w:val="标题1-附件"/>
    <w:basedOn w:val="1087"/>
    <w:next w:val="1287"/>
    <w:link w:val="1086"/>
    <w:qFormat/>
    <w:pPr>
      <w:jc w:val="left"/>
    </w:pPr>
    <w:rPr>
      <w:sz w:val="24"/>
      <w:szCs w:val="24"/>
    </w:rPr>
  </w:style>
  <w:style w:type="paragraph" w:styleId="1288">
    <w:name w:val="正文小标题"/>
    <w:basedOn w:val="1086"/>
    <w:next w:val="1100"/>
    <w:link w:val="1289"/>
    <w:qFormat/>
    <w:pPr>
      <w:ind w:firstLine="482"/>
      <w:jc w:val="left"/>
      <w:spacing w:before="312" w:after="312"/>
    </w:pPr>
    <w:rPr>
      <w:rFonts w:ascii="宋体" w:hAnsi="宋体"/>
      <w:b/>
      <w:i/>
      <w:color w:val="ff0000"/>
      <w:sz w:val="24"/>
      <w:szCs w:val="20"/>
    </w:rPr>
  </w:style>
  <w:style w:type="character" w:styleId="1289">
    <w:name w:val="正文小标题 Char"/>
    <w:next w:val="1289"/>
    <w:link w:val="1288"/>
    <w:qFormat/>
    <w:rPr>
      <w:rFonts w:ascii="宋体" w:hAnsi="宋体"/>
      <w:b/>
      <w:i/>
      <w:color w:val="ff0000"/>
      <w:sz w:val="24"/>
    </w:rPr>
  </w:style>
  <w:style w:type="paragraph" w:styleId="1290">
    <w:name w:val="正文大标题"/>
    <w:basedOn w:val="1288"/>
    <w:next w:val="1100"/>
    <w:link w:val="1291"/>
    <w:qFormat/>
    <w:pPr>
      <w:jc w:val="center"/>
    </w:pPr>
    <w:rPr>
      <w:i w:val="0"/>
      <w:color w:val="000000"/>
      <w:sz w:val="28"/>
      <w:szCs w:val="21"/>
    </w:rPr>
  </w:style>
  <w:style w:type="character" w:styleId="1291">
    <w:name w:val="正文大标题 Char"/>
    <w:next w:val="1291"/>
    <w:link w:val="1290"/>
    <w:qFormat/>
    <w:rPr>
      <w:rFonts w:ascii="宋体" w:hAnsi="宋体"/>
      <w:b/>
      <w:color w:val="000000"/>
      <w:sz w:val="28"/>
      <w:szCs w:val="21"/>
    </w:rPr>
  </w:style>
  <w:style w:type="paragraph" w:styleId="1292">
    <w:name w:val="注释"/>
    <w:basedOn w:val="1086"/>
    <w:next w:val="1292"/>
    <w:link w:val="1293"/>
    <w:qFormat/>
    <w:pPr>
      <w:ind w:left="420" w:hanging="420"/>
      <w:jc w:val="left"/>
    </w:pPr>
    <w:rPr>
      <w:rFonts w:ascii="宋体" w:hAnsi="宋体"/>
      <w:szCs w:val="21"/>
    </w:rPr>
  </w:style>
  <w:style w:type="character" w:styleId="1293">
    <w:name w:val="注释 Char"/>
    <w:next w:val="1293"/>
    <w:link w:val="1292"/>
    <w:qFormat/>
    <w:rPr>
      <w:rFonts w:ascii="宋体" w:hAnsi="宋体"/>
      <w:sz w:val="21"/>
      <w:szCs w:val="21"/>
    </w:rPr>
  </w:style>
  <w:style w:type="paragraph" w:styleId="1294">
    <w:name w:val="正文须知-1级"/>
    <w:basedOn w:val="1086"/>
    <w:next w:val="1086"/>
    <w:link w:val="1086"/>
    <w:qFormat/>
    <w:pPr>
      <w:numPr>
        <w:ilvl w:val="0"/>
        <w:numId w:val="7"/>
      </w:numPr>
      <w:spacing w:line="300" w:lineRule="auto"/>
    </w:pPr>
    <w:rPr>
      <w:rFonts w:ascii="宋体" w:hAnsi="Calibri"/>
      <w:sz w:val="24"/>
      <w:szCs w:val="21"/>
    </w:rPr>
  </w:style>
  <w:style w:type="paragraph" w:styleId="1295">
    <w:name w:val="正文须知-2级"/>
    <w:basedOn w:val="1086"/>
    <w:next w:val="1295"/>
    <w:link w:val="1086"/>
    <w:qFormat/>
    <w:pPr>
      <w:numPr>
        <w:ilvl w:val="1"/>
        <w:numId w:val="7"/>
      </w:numPr>
      <w:spacing w:line="300" w:lineRule="auto"/>
    </w:pPr>
    <w:rPr>
      <w:rFonts w:ascii="宋体" w:hAnsi="Calibri"/>
      <w:sz w:val="24"/>
      <w:szCs w:val="21"/>
    </w:rPr>
  </w:style>
  <w:style w:type="paragraph" w:styleId="1296">
    <w:name w:val="正文须知-3级"/>
    <w:basedOn w:val="1086"/>
    <w:next w:val="1296"/>
    <w:link w:val="1086"/>
    <w:qFormat/>
    <w:pPr>
      <w:numPr>
        <w:ilvl w:val="2"/>
        <w:numId w:val="7"/>
      </w:numPr>
      <w:ind w:hanging="355"/>
      <w:spacing w:line="300" w:lineRule="auto"/>
    </w:pPr>
    <w:rPr>
      <w:rFonts w:ascii="宋体" w:hAnsi="Calibri"/>
      <w:sz w:val="24"/>
      <w:szCs w:val="21"/>
    </w:rPr>
  </w:style>
  <w:style w:type="character" w:styleId="1297">
    <w:name w:val="纯文本 字符"/>
    <w:next w:val="1297"/>
    <w:link w:val="1086"/>
    <w:uiPriority w:val="99"/>
    <w:qFormat/>
    <w:rPr>
      <w:rFonts w:ascii="宋体" w:hAnsi="Courier New" w:eastAsia="宋体" w:cs="Times New Roman"/>
      <w:sz w:val="21"/>
      <w:szCs w:val="21"/>
      <w:lang w:val="en-US" w:eastAsia="zh-CN" w:bidi="ar-SA"/>
    </w:rPr>
  </w:style>
  <w:style w:type="paragraph" w:styleId="1298">
    <w:name w:val="表格1"/>
    <w:basedOn w:val="1086"/>
    <w:next w:val="1298"/>
    <w:link w:val="1086"/>
    <w:qFormat/>
    <w:pPr>
      <w:ind w:firstLine="480"/>
      <w:jc w:val="center"/>
    </w:pPr>
    <w:rPr>
      <w:sz w:val="24"/>
      <w:szCs w:val="20"/>
    </w:rPr>
  </w:style>
  <w:style w:type="character" w:styleId="1299">
    <w:name w:val="纯文本 字符1"/>
    <w:next w:val="1299"/>
    <w:link w:val="1086"/>
    <w:qFormat/>
    <w:rPr>
      <w:rFonts w:ascii="宋体" w:hAnsi="Courier New"/>
    </w:rPr>
  </w:style>
  <w:style w:type="character" w:styleId="1300">
    <w:name w:val="bjh-p"/>
    <w:next w:val="1300"/>
    <w:link w:val="1086"/>
    <w:qFormat/>
  </w:style>
  <w:style w:type="paragraph" w:styleId="1301">
    <w:name w:val="无标题条"/>
    <w:next w:val="1086"/>
    <w:link w:val="1086"/>
    <w:qFormat/>
    <w:pPr>
      <w:jc w:val="both"/>
    </w:pPr>
    <w:rPr>
      <w:sz w:val="21"/>
      <w:lang w:val="en-US" w:eastAsia="zh-CN" w:bidi="ar-SA"/>
    </w:rPr>
  </w:style>
  <w:style w:type="character" w:styleId="1302">
    <w:name w:val="正文格式 Char"/>
    <w:next w:val="1302"/>
    <w:link w:val="1303"/>
    <w:qFormat/>
    <w:rPr>
      <w:rFonts w:ascii="宋体" w:hAnsi="宋体"/>
      <w:sz w:val="24"/>
      <w:szCs w:val="24"/>
      <w:lang w:val="en-GB"/>
    </w:rPr>
  </w:style>
  <w:style w:type="paragraph" w:styleId="1303">
    <w:name w:val="正文格式"/>
    <w:basedOn w:val="1086"/>
    <w:next w:val="1303"/>
    <w:link w:val="1302"/>
    <w:qFormat/>
    <w:pPr>
      <w:ind w:firstLine="480"/>
      <w:spacing w:line="360" w:lineRule="auto"/>
    </w:pPr>
    <w:rPr>
      <w:rFonts w:ascii="宋体" w:hAnsi="宋体"/>
      <w:sz w:val="24"/>
      <w:lang w:val="en-GB"/>
    </w:rPr>
  </w:style>
  <w:style w:type="character" w:styleId="1304">
    <w:name w:val="标题 3 Char"/>
    <w:next w:val="1304"/>
    <w:link w:val="1086"/>
    <w:qFormat/>
    <w:rPr>
      <w:rFonts w:ascii="宋体" w:eastAsia="宋体"/>
      <w:b/>
      <w:sz w:val="24"/>
      <w:u w:val="single"/>
      <w:lang w:val="en-US" w:eastAsia="zh-CN" w:bidi="ar-SA"/>
    </w:rPr>
  </w:style>
  <w:style w:type="character" w:styleId="1305">
    <w:name w:val="正文缩进 Char"/>
    <w:next w:val="1305"/>
    <w:link w:val="1086"/>
    <w:qFormat/>
    <w:rPr>
      <w:rFonts w:ascii="宋体" w:eastAsia="宋体"/>
      <w:sz w:val="24"/>
      <w:szCs w:val="24"/>
      <w:lang w:val="en-US" w:eastAsia="zh-CN" w:bidi="ar-SA"/>
    </w:rPr>
  </w:style>
  <w:style w:type="character" w:styleId="1306">
    <w:name w:val="Char Char111"/>
    <w:next w:val="1306"/>
    <w:link w:val="1086"/>
    <w:qFormat/>
    <w:rPr>
      <w:rFonts w:ascii="宋体" w:eastAsia="宋体"/>
      <w:b/>
      <w:sz w:val="24"/>
      <w:u w:val="single"/>
      <w:lang w:val="en-US" w:eastAsia="zh-CN" w:bidi="ar-SA"/>
    </w:rPr>
  </w:style>
  <w:style w:type="character" w:styleId="1307">
    <w:name w:val="正文文本缩进 Char"/>
    <w:next w:val="1307"/>
    <w:link w:val="1086"/>
    <w:qFormat/>
    <w:rPr>
      <w:rFonts w:eastAsia="宋体"/>
      <w:sz w:val="24"/>
      <w:szCs w:val="24"/>
      <w:lang w:val="en-US" w:eastAsia="zh-CN" w:bidi="ar-SA"/>
    </w:rPr>
  </w:style>
  <w:style w:type="character" w:styleId="1308">
    <w:name w:val="列出段落 Char"/>
    <w:next w:val="1308"/>
    <w:link w:val="1086"/>
    <w:qFormat/>
    <w:rPr>
      <w:rFonts w:ascii="Calibri" w:hAnsi="Calibri" w:eastAsia="宋体"/>
      <w:sz w:val="21"/>
      <w:szCs w:val="22"/>
      <w:lang w:val="en-US" w:eastAsia="zh-CN" w:bidi="ar-SA"/>
    </w:rPr>
  </w:style>
  <w:style w:type="character" w:styleId="1309">
    <w:name w:val="页眉 Char"/>
    <w:next w:val="1309"/>
    <w:link w:val="1086"/>
    <w:qFormat/>
    <w:rPr>
      <w:rFonts w:eastAsia="宋体"/>
      <w:sz w:val="18"/>
      <w:szCs w:val="18"/>
      <w:lang w:val="en-US" w:eastAsia="zh-CN" w:bidi="ar-SA"/>
    </w:rPr>
  </w:style>
  <w:style w:type="character" w:styleId="1310">
    <w:name w:val="标题 2 Char"/>
    <w:next w:val="1310"/>
    <w:link w:val="1086"/>
    <w:qFormat/>
    <w:rPr>
      <w:rFonts w:ascii="Arial" w:hAnsi="Arial" w:eastAsia="黑体"/>
      <w:b/>
      <w:sz w:val="30"/>
      <w:lang w:val="en-US" w:eastAsia="zh-CN" w:bidi="ar-SA"/>
    </w:rPr>
  </w:style>
  <w:style w:type="paragraph" w:styleId="1311">
    <w:name w:val="字元 字元2"/>
    <w:basedOn w:val="1086"/>
    <w:next w:val="1311"/>
    <w:link w:val="1086"/>
    <w:qFormat/>
    <w:rPr>
      <w:rFonts w:ascii="Tahoma" w:hAnsi="Tahoma"/>
      <w:sz w:val="24"/>
      <w:szCs w:val="20"/>
    </w:rPr>
  </w:style>
  <w:style w:type="paragraph" w:styleId="1312">
    <w:name w:val="Char3 Char Char Char2"/>
    <w:basedOn w:val="1086"/>
    <w:next w:val="1312"/>
    <w:link w:val="1086"/>
    <w:qFormat/>
    <w:rPr>
      <w:rFonts w:ascii="Tahoma" w:hAnsi="Tahoma"/>
      <w:sz w:val="24"/>
      <w:szCs w:val="20"/>
    </w:rPr>
  </w:style>
  <w:style w:type="paragraph" w:styleId="1313">
    <w:name w:val="正文文本缩进2"/>
    <w:basedOn w:val="1086"/>
    <w:next w:val="1313"/>
    <w:link w:val="1086"/>
    <w:qFormat/>
    <w:pPr>
      <w:ind w:firstLine="480"/>
      <w:spacing w:line="480" w:lineRule="exact"/>
    </w:pPr>
    <w:rPr>
      <w:rFonts w:ascii="宋体" w:hAnsi="宋体"/>
      <w:sz w:val="24"/>
      <w:lang w:val="zh-CN" w:eastAsia="zh-CN"/>
    </w:rPr>
  </w:style>
  <w:style w:type="paragraph" w:styleId="1314">
    <w:name w:val="Char3"/>
    <w:basedOn w:val="1086"/>
    <w:next w:val="1314"/>
    <w:link w:val="1086"/>
    <w:qFormat/>
    <w:pPr>
      <w:tabs>
        <w:tab w:val="left" w:pos="360" w:leader="none"/>
      </w:tabs>
    </w:pPr>
    <w:rPr>
      <w:sz w:val="24"/>
    </w:rPr>
  </w:style>
  <w:style w:type="paragraph" w:styleId="1315">
    <w:name w:val="Char Char Char Char Char Char Char Char Char Char Char Char Char Char Char Char1"/>
    <w:basedOn w:val="1086"/>
    <w:next w:val="1315"/>
    <w:link w:val="1086"/>
    <w:qFormat/>
    <w:pPr>
      <w:jc w:val="center"/>
      <w:spacing w:after="160" w:line="240" w:lineRule="exact"/>
      <w:widowControl/>
    </w:pPr>
    <w:rPr>
      <w:rFonts w:ascii="宋体" w:hAnsi="宋体"/>
      <w:b/>
      <w:sz w:val="30"/>
      <w:szCs w:val="30"/>
      <w:lang w:eastAsia="en-US"/>
    </w:rPr>
  </w:style>
  <w:style w:type="paragraph" w:styleId="1316">
    <w:name w:val="Char Char1 Char Char Char Char Char Char1"/>
    <w:basedOn w:val="1086"/>
    <w:next w:val="1316"/>
    <w:link w:val="1086"/>
    <w:qFormat/>
    <w:pPr>
      <w:jc w:val="left"/>
      <w:spacing w:after="160" w:line="240" w:lineRule="exact"/>
      <w:widowControl/>
    </w:pPr>
    <w:rPr>
      <w:rFonts w:ascii="Verdana" w:hAnsi="Verdana" w:eastAsia="仿宋_GB2312"/>
      <w:sz w:val="24"/>
      <w:szCs w:val="20"/>
      <w:lang w:eastAsia="en-US"/>
    </w:rPr>
  </w:style>
  <w:style w:type="paragraph" w:styleId="1317">
    <w:name w:val="列出段落2"/>
    <w:basedOn w:val="1086"/>
    <w:next w:val="1317"/>
    <w:link w:val="1086"/>
    <w:qFormat/>
    <w:pPr>
      <w:ind w:firstLine="420"/>
    </w:pPr>
    <w:rPr>
      <w:rFonts w:ascii="Calibri" w:hAnsi="Calibri"/>
      <w:szCs w:val="22"/>
    </w:rPr>
  </w:style>
  <w:style w:type="paragraph" w:styleId="1318">
    <w:name w:val="Char Char Char1 Char2"/>
    <w:basedOn w:val="1086"/>
    <w:next w:val="1318"/>
    <w:link w:val="1086"/>
    <w:qFormat/>
    <w:rPr>
      <w:rFonts w:ascii="Tahoma" w:hAnsi="Tahoma"/>
      <w:sz w:val="24"/>
      <w:szCs w:val="20"/>
    </w:rPr>
  </w:style>
  <w:style w:type="paragraph" w:styleId="1319">
    <w:name w:val="Char Char Char2"/>
    <w:basedOn w:val="1086"/>
    <w:next w:val="1319"/>
    <w:link w:val="1086"/>
    <w:qFormat/>
    <w:rPr>
      <w:rFonts w:ascii="Tahoma" w:hAnsi="Tahoma"/>
      <w:sz w:val="24"/>
      <w:szCs w:val="20"/>
    </w:rPr>
  </w:style>
  <w:style w:type="paragraph" w:styleId="1320">
    <w:name w:val="Char Char Char Char Char Char Char2"/>
    <w:basedOn w:val="1086"/>
    <w:next w:val="1320"/>
    <w:link w:val="1086"/>
    <w:qFormat/>
    <w:pPr>
      <w:ind w:firstLine="200"/>
      <w:spacing w:line="360" w:lineRule="auto"/>
    </w:pPr>
    <w:rPr>
      <w:rFonts w:eastAsia="仿宋_GB2312"/>
      <w:sz w:val="24"/>
    </w:rPr>
  </w:style>
  <w:style w:type="paragraph" w:styleId="1321">
    <w:name w:val="正文缩进2"/>
    <w:basedOn w:val="1086"/>
    <w:next w:val="1321"/>
    <w:link w:val="1086"/>
    <w:qFormat/>
    <w:pPr>
      <w:ind w:firstLine="567"/>
      <w:spacing w:line="480" w:lineRule="exact"/>
      <w:widowControl/>
    </w:pPr>
    <w:rPr>
      <w:rFonts w:ascii="宋体"/>
      <w:color w:val="000000"/>
      <w:sz w:val="28"/>
      <w:szCs w:val="20"/>
      <w:lang w:val="zh-CN" w:eastAsia="zh-CN"/>
    </w:rPr>
  </w:style>
  <w:style w:type="paragraph" w:styleId="1322">
    <w:name w:val="Revision"/>
    <w:next w:val="1322"/>
    <w:link w:val="1086"/>
    <w:qFormat/>
    <w:rPr>
      <w:sz w:val="21"/>
      <w:szCs w:val="24"/>
      <w:lang w:val="en-US" w:eastAsia="zh-CN" w:bidi="ar-SA"/>
    </w:rPr>
  </w:style>
  <w:style w:type="paragraph" w:styleId="1323">
    <w:name w:val="Char22"/>
    <w:basedOn w:val="1086"/>
    <w:next w:val="1323"/>
    <w:link w:val="1086"/>
    <w:qFormat/>
    <w:rPr>
      <w:rFonts w:ascii="Tahoma" w:hAnsi="Tahoma"/>
      <w:sz w:val="24"/>
      <w:szCs w:val="20"/>
    </w:rPr>
  </w:style>
  <w:style w:type="paragraph" w:styleId="1324">
    <w:name w:val="Char Char Char Char Char Char Char Char Char Char2"/>
    <w:basedOn w:val="1086"/>
    <w:next w:val="1324"/>
    <w:link w:val="1086"/>
    <w:qFormat/>
    <w:rPr>
      <w:rFonts w:ascii="宋体" w:hAnsi="宋体" w:cs="Courier New"/>
      <w:sz w:val="32"/>
      <w:szCs w:val="32"/>
    </w:rPr>
  </w:style>
  <w:style w:type="paragraph" w:styleId="1325">
    <w:name w:val="Char2 Char Char Char Char Char Char1"/>
    <w:basedOn w:val="1086"/>
    <w:next w:val="1325"/>
    <w:link w:val="1086"/>
    <w:qFormat/>
    <w:pPr>
      <w:jc w:val="center"/>
      <w:spacing w:line="400" w:lineRule="exact"/>
      <w:widowControl/>
    </w:pPr>
  </w:style>
  <w:style w:type="character" w:styleId="1326">
    <w:name w:val="页脚 Char"/>
    <w:next w:val="1326"/>
    <w:link w:val="1086"/>
    <w:qFormat/>
    <w:rPr>
      <w:rFonts w:ascii="宋体" w:eastAsia="宋体"/>
      <w:sz w:val="18"/>
      <w:lang w:val="en-US" w:eastAsia="zh-CN" w:bidi="ar-SA"/>
    </w:rPr>
  </w:style>
  <w:style w:type="paragraph" w:styleId="1327">
    <w:name w:val="Char Char41"/>
    <w:basedOn w:val="1086"/>
    <w:next w:val="1327"/>
    <w:link w:val="1086"/>
    <w:qFormat/>
    <w:pPr>
      <w:jc w:val="center"/>
      <w:spacing w:line="400" w:lineRule="exact"/>
      <w:widowControl/>
    </w:pPr>
  </w:style>
  <w:style w:type="character" w:styleId="1328">
    <w:name w:val="批注文字 Char"/>
    <w:next w:val="1328"/>
    <w:link w:val="1086"/>
    <w:uiPriority w:val="99"/>
    <w:qFormat/>
    <w:rPr>
      <w:sz w:val="21"/>
      <w:szCs w:val="24"/>
    </w:rPr>
  </w:style>
  <w:style w:type="character" w:styleId="1329">
    <w:name w:val="标题 Char"/>
    <w:next w:val="1329"/>
    <w:link w:val="1086"/>
    <w:qFormat/>
    <w:rPr>
      <w:b/>
      <w:sz w:val="32"/>
    </w:rPr>
  </w:style>
  <w:style w:type="paragraph" w:styleId="1330">
    <w:name w:val="图例"/>
    <w:basedOn w:val="1086"/>
    <w:next w:val="1330"/>
    <w:link w:val="1086"/>
    <w:qFormat/>
    <w:pPr>
      <w:jc w:val="center"/>
      <w:spacing w:before="120" w:after="120" w:line="360" w:lineRule="auto"/>
    </w:pPr>
    <w:rPr>
      <w:rFonts w:eastAsia="仿宋_GB2312"/>
      <w:b/>
      <w:sz w:val="24"/>
      <w:szCs w:val="20"/>
    </w:rPr>
  </w:style>
  <w:style w:type="table" w:styleId="1331">
    <w:name w:val="Table Normal"/>
    <w:next w:val="1331"/>
    <w:link w:val="1086"/>
    <w:uiPriority w:val="2"/>
    <w:unhideWhenUsed/>
    <w:qFormat/>
    <w:pPr>
      <w:widowControl w:val="off"/>
    </w:pPr>
    <w:rPr>
      <w:rFonts w:ascii="Calibri" w:hAnsi="Calibri"/>
      <w:sz w:val="22"/>
      <w:szCs w:val="22"/>
      <w:lang w:val="en-US" w:eastAsia="en-US" w:bidi="ar-SA"/>
    </w:rPr>
    <w:tblPr/>
  </w:style>
  <w:style w:type="paragraph" w:styleId="1332">
    <w:name w:val="Table Paragraph"/>
    <w:basedOn w:val="1086"/>
    <w:next w:val="1332"/>
    <w:link w:val="1086"/>
    <w:uiPriority w:val="1"/>
    <w:qFormat/>
    <w:pPr>
      <w:jc w:val="left"/>
    </w:pPr>
    <w:rPr>
      <w:rFonts w:ascii="宋体" w:hAnsi="宋体" w:cs="宋体"/>
      <w:sz w:val="22"/>
      <w:szCs w:val="22"/>
      <w:lang w:eastAsia="en-US"/>
    </w:rPr>
  </w:style>
  <w:style w:type="paragraph" w:styleId="1333">
    <w:name w:val="成文日期"/>
    <w:basedOn w:val="1086"/>
    <w:next w:val="1333"/>
    <w:link w:val="1334"/>
    <w:qFormat/>
    <w:pPr>
      <w:ind w:right="400" w:firstLine="200"/>
      <w:jc w:val="right"/>
      <w:spacing w:line="570" w:lineRule="exact"/>
    </w:pPr>
    <w:rPr>
      <w:rFonts w:ascii="仿宋_GB2312" w:eastAsia="仿宋_GB2312"/>
      <w:sz w:val="32"/>
      <w:szCs w:val="20"/>
    </w:rPr>
  </w:style>
  <w:style w:type="character" w:styleId="1334">
    <w:name w:val="成文日期 Char"/>
    <w:next w:val="1334"/>
    <w:link w:val="1333"/>
    <w:rPr>
      <w:rFonts w:ascii="仿宋_GB2312" w:eastAsia="仿宋_GB2312"/>
      <w:sz w:val="32"/>
    </w:rPr>
  </w:style>
  <w:style w:type="paragraph" w:styleId="1335">
    <w:name w:val="修订"/>
    <w:next w:val="1335"/>
    <w:link w:val="1086"/>
    <w:uiPriority w:val="99"/>
    <w:unhideWhenUsed/>
    <w:rPr>
      <w:sz w:val="21"/>
      <w:szCs w:val="24"/>
      <w:lang w:val="en-US" w:eastAsia="zh-CN" w:bidi="ar-SA"/>
    </w:rPr>
  </w:style>
  <w:style w:type="character" w:styleId="1336">
    <w:name w:val="正文缩进 字符"/>
    <w:next w:val="1336"/>
    <w:link w:val="1086"/>
    <w:uiPriority w:val="99"/>
    <w:qFormat/>
    <w:rPr>
      <w:rFonts w:ascii="宋体" w:hAnsi="Times New Roman" w:eastAsia="宋体" w:cs="Times New Roman"/>
      <w:sz w:val="24"/>
    </w:rPr>
  </w:style>
  <w:style w:type="character" w:styleId="1337">
    <w:name w:val="正文文本 字符"/>
    <w:next w:val="1337"/>
    <w:link w:val="1086"/>
    <w:qFormat/>
    <w:rPr>
      <w:rFonts w:ascii="宋体" w:hAnsi="宋体"/>
      <w:sz w:val="24"/>
      <w:szCs w:val="24"/>
    </w:rPr>
  </w:style>
  <w:style w:type="paragraph" w:styleId="1338">
    <w:name w:val="纯文本1"/>
    <w:next w:val="1139"/>
    <w:link w:val="1086"/>
    <w:qFormat/>
    <w:pPr>
      <w:jc w:val="both"/>
      <w:widowControl w:val="off"/>
    </w:pPr>
    <w:rPr>
      <w:rFonts w:ascii="宋体" w:hAnsi="宋体"/>
      <w:sz w:val="26"/>
      <w:szCs w:val="24"/>
      <w:lang w:val="en-US" w:eastAsia="zh-CN" w:bidi="ar-SA"/>
    </w:rPr>
  </w:style>
  <w:style w:type="paragraph" w:styleId="1339">
    <w:name w:val="AONormal"/>
    <w:next w:val="1339"/>
    <w:link w:val="1086"/>
    <w:qFormat/>
    <w:pPr>
      <w:ind w:firstLine="440"/>
      <w:spacing w:line="400" w:lineRule="exact"/>
    </w:pPr>
    <w:rPr>
      <w:rFonts w:ascii="华文楷体" w:hAnsi="华文楷体" w:eastAsia="华文楷体" w:cs="华文楷体"/>
      <w:sz w:val="22"/>
      <w:szCs w:val="21"/>
      <w:lang w:val="en-US" w:eastAsia="zh-CN" w:bidi="ar-SA"/>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2026-10-12T01:01:44Z</dcterms:modified>
</cp:coreProperties>
</file>