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rPr>
      </w:pPr>
      <w:r>
        <w:rPr>
          <w:rFonts w:hint="eastAsia"/>
        </w:rPr>
        <w:t xml:space="preserve"> </w:t>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ind w:firstLine="1506"/>
        <w:rPr>
          <w:rFonts w:hint="eastAsia" w:eastAsia="宋体"/>
          <w:b/>
          <w:sz w:val="30"/>
          <w:szCs w:val="30"/>
          <w:lang w:eastAsia="zh-CN"/>
        </w:rPr>
      </w:pPr>
      <w:r>
        <w:rPr>
          <w:rFonts w:hint="eastAsia" w:ascii="Times New Roman" w:hAnsi="Times New Roman" w:cs="宋体"/>
          <w:b/>
          <w:sz w:val="30"/>
          <w:szCs w:val="30"/>
          <w:lang w:bidi="ar"/>
        </w:rPr>
        <w:t xml:space="preserve">项目名称：</w:t>
      </w:r>
      <w:r>
        <w:rPr>
          <w:rFonts w:hint="eastAsia" w:ascii="Times New Roman" w:hAnsi="Times New Roman"/>
          <w:b/>
          <w:sz w:val="30"/>
          <w:szCs w:val="30"/>
          <w:lang w:eastAsia="zh-CN" w:bidi="ar"/>
        </w:rPr>
        <w:t xml:space="preserve">宿迁市公安局三重四极杆液质联用仪采购项目</w:t>
      </w:r>
      <w:r/>
    </w:p>
    <w:p>
      <w:pPr>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lang w:eastAsia="zh-CN" w:bidi="ar"/>
        </w:rPr>
        <w:t xml:space="preserve">JSZC-321300-SQTY-G2026-0017</w:t>
      </w:r>
      <w:r>
        <w:rPr>
          <w:rFonts w:hint="eastAsia" w:ascii="Times New Roman" w:hAnsi="Times New Roman" w:cs="宋体"/>
          <w:b/>
          <w:sz w:val="30"/>
          <w:szCs w:val="30"/>
          <w:lang w:bidi="ar"/>
        </w:rPr>
        <w:t xml:space="preserve"> </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793"/>
        <w:tblpPr w:horzAnchor="page" w:tblpX="2413" w:vertAnchor="text" w:tblpY="466"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4"/>
                <w:szCs w:val="24"/>
              </w:rPr>
            </w:pPr>
            <w:r>
              <w:rPr>
                <w:rFonts w:hint="eastAsia" w:ascii="Times New Roman" w:hAnsi="Times New Roman"/>
                <w:b/>
                <w:sz w:val="30"/>
                <w:szCs w:val="30"/>
                <w:lang w:bidi="ar"/>
              </w:rPr>
              <w:t xml:space="preserve">宿迁市公安局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4"/>
                <w:szCs w:val="24"/>
                <w:highlight w:val="yellow"/>
              </w:rPr>
            </w:pPr>
            <w:r>
              <w:rPr>
                <w:rFonts w:hint="eastAsia" w:ascii="Times New Roman" w:hAnsi="Times New Roman"/>
                <w:b/>
                <w:bCs/>
                <w:sz w:val="32"/>
                <w:szCs w:val="24"/>
                <w:highlight w:val="none"/>
                <w:lang w:eastAsia="zh-CN"/>
              </w:rPr>
              <w:t xml:space="preserve">宿迁泰元建设管理咨询有限公司</w:t>
            </w:r>
            <w:r/>
          </w:p>
        </w:tc>
      </w:tr>
    </w:tbl>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hint="eastAsia" w:ascii="Arial" w:hAnsi="Arial" w:cs="宋体"/>
          <w:b/>
          <w:sz w:val="32"/>
          <w:szCs w:val="24"/>
          <w:lang w:val="en-US" w:eastAsia="zh-CN" w:bidi="ar"/>
        </w:rPr>
        <w:t xml:space="preserve">11</w:t>
      </w:r>
      <w:r>
        <w:rPr>
          <w:rFonts w:hint="eastAsia" w:ascii="Arial" w:hAnsi="Arial" w:cs="宋体"/>
          <w:b/>
          <w:sz w:val="32"/>
          <w:szCs w:val="24"/>
          <w:lang w:bidi="ar"/>
        </w:rPr>
        <w:t xml:space="preserve">月</w:t>
      </w:r>
      <w:r>
        <w:rPr>
          <w:rFonts w:hint="eastAsia" w:ascii="Arial" w:hAnsi="Arial" w:cs="宋体"/>
          <w:b/>
          <w:sz w:val="32"/>
          <w:szCs w:val="24"/>
          <w:lang w:val="en-US" w:eastAsia="zh-CN" w:bidi="ar"/>
        </w:rPr>
        <w:t xml:space="preserve">2</w:t>
      </w:r>
      <w:r>
        <w:rPr>
          <w:rFonts w:hint="eastAsia" w:ascii="Arial" w:hAnsi="Arial" w:cs="宋体"/>
          <w:b/>
          <w:sz w:val="32"/>
          <w:szCs w:val="24"/>
          <w:lang w:bidi="ar"/>
        </w:rPr>
        <w:t xml:space="preserve">日</w:t>
      </w:r>
      <w:r/>
    </w:p>
    <w:p>
      <w:pPr>
        <w:jc w:val="center"/>
        <w:spacing w:before="120" w:after="120" w:line="360" w:lineRule="auto"/>
        <w:rPr>
          <w:rFonts w:ascii="Arial" w:hAnsi="Arial" w:eastAsia="Arial" w:cs="Arial"/>
          <w:color w:val="333333"/>
          <w:sz w:val="24"/>
          <w:szCs w:val="24"/>
          <w:shd w:val="clear" w:color="auto" w:fill="ffffff"/>
        </w:rPr>
      </w:pPr>
      <w:r>
        <w:rPr>
          <w:rFonts w:ascii="Arial" w:hAnsi="Arial" w:eastAsia="Arial" w:cs="Arial"/>
          <w:color w:val="333333"/>
          <w:sz w:val="24"/>
          <w:szCs w:val="24"/>
          <w:shd w:val="clear" w:color="auto" w:fill="ffffff"/>
        </w:rPr>
      </w:r>
      <w:r/>
    </w:p>
    <w:p>
      <w:pPr>
        <w:jc w:val="center"/>
        <w:keepLines/>
        <w:keepNext/>
        <w:pageBreakBefore/>
        <w:spacing w:before="300" w:after="300"/>
        <w:rPr>
          <w:b/>
          <w:sz w:val="44"/>
          <w:szCs w:val="44"/>
        </w:rPr>
      </w:pPr>
      <w:r>
        <w:rPr>
          <w:rFonts w:hint="eastAsia"/>
          <w:b/>
          <w:sz w:val="44"/>
          <w:szCs w:val="44"/>
        </w:rPr>
        <w:t xml:space="preserve">目 录</w:t>
      </w:r>
      <w:r/>
    </w:p>
    <w:p>
      <w:pPr>
        <w:pStyle w:val="809"/>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9"/>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9"/>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9"/>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25</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9"/>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hint="eastAsia" w:ascii="Times New Roman" w:hAnsi="Times New Roman" w:eastAsia="黑体"/>
          <w:b w:val="0"/>
          <w:caps w:val="0"/>
          <w:sz w:val="32"/>
        </w:rPr>
        <w:t xml:space="preserve">40</w:t>
      </w:r>
      <w:r>
        <w:rPr>
          <w:rFonts w:ascii="Times New Roman" w:hAnsi="Times New Roman" w:eastAsia="黑体"/>
          <w:b w:val="0"/>
          <w:caps w:val="0"/>
          <w:sz w:val="32"/>
        </w:rPr>
        <w:fldChar w:fldCharType="end"/>
      </w:r>
      <w:r/>
    </w:p>
    <w:p>
      <w:pPr>
        <w:pStyle w:val="809"/>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hint="eastAsia" w:ascii="Times New Roman" w:hAnsi="Times New Roman" w:eastAsia="黑体"/>
          <w:b w:val="0"/>
          <w:caps w:val="0"/>
          <w:sz w:val="32"/>
        </w:rPr>
        <w:t xml:space="preserve">57</w:t>
      </w:r>
      <w:r>
        <w:rPr>
          <w:rFonts w:ascii="Times New Roman" w:hAnsi="Times New Roman" w:eastAsia="黑体"/>
          <w:b w:val="0"/>
          <w:caps w:val="0"/>
          <w:sz w:val="32"/>
        </w:rPr>
        <w:fldChar w:fldCharType="end"/>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52"/>
      <w:r/>
      <w:bookmarkStart w:id="3" w:name="_Toc81575189"/>
      <w:r/>
      <w:r/>
    </w:p>
    <w:p>
      <w:pPr>
        <w:pStyle w:val="826"/>
        <w:jc w:val="center"/>
        <w:spacing w:before="200"/>
        <w:rPr>
          <w:rFonts w:hint="eastAsia" w:eastAsia="黑体"/>
          <w:sz w:val="44"/>
        </w:rPr>
      </w:pPr>
      <w:r/>
      <w:bookmarkStart w:id="4" w:name="_Toc12738"/>
      <w:r/>
      <w:bookmarkStart w:id="5" w:name="_Toc30943"/>
      <w:r/>
      <w:bookmarkStart w:id="6" w:name="_Toc25722"/>
      <w:r/>
      <w:r/>
    </w:p>
    <w:p>
      <w:pPr>
        <w:pStyle w:val="826"/>
        <w:jc w:val="center"/>
        <w:spacing w:before="200"/>
        <w:rPr>
          <w:rFonts w:hint="eastAsia" w:eastAsia="黑体"/>
          <w:sz w:val="44"/>
        </w:rPr>
      </w:pPr>
      <w:r>
        <w:rPr>
          <w:rFonts w:hint="eastAsia" w:eastAsia="黑体"/>
          <w:sz w:val="44"/>
        </w:rPr>
      </w:r>
      <w:r/>
    </w:p>
    <w:p>
      <w:pPr>
        <w:pStyle w:val="826"/>
        <w:jc w:val="center"/>
        <w:spacing w:before="200"/>
        <w:rPr>
          <w:rFonts w:hint="eastAsia" w:eastAsia="黑体"/>
          <w:sz w:val="44"/>
        </w:rPr>
      </w:pPr>
      <w:r>
        <w:rPr>
          <w:rFonts w:hint="eastAsia" w:eastAsia="黑体"/>
          <w:sz w:val="44"/>
        </w:rPr>
      </w:r>
      <w:r/>
    </w:p>
    <w:p>
      <w:pPr>
        <w:pStyle w:val="826"/>
        <w:jc w:val="center"/>
        <w:spacing w:before="200"/>
        <w:rPr>
          <w:rFonts w:hint="eastAsia" w:eastAsia="黑体"/>
          <w:sz w:val="44"/>
        </w:rPr>
      </w:pPr>
      <w:r>
        <w:rPr>
          <w:rFonts w:hint="eastAsia" w:eastAsia="黑体"/>
          <w:sz w:val="44"/>
        </w:rPr>
      </w:r>
      <w:r/>
    </w:p>
    <w:p>
      <w:pPr>
        <w:pStyle w:val="826"/>
        <w:jc w:val="center"/>
        <w:spacing w:before="200"/>
        <w:rPr>
          <w:rFonts w:hint="eastAsia" w:eastAsia="黑体"/>
          <w:sz w:val="44"/>
        </w:rPr>
      </w:pPr>
      <w:r>
        <w:rPr>
          <w:rFonts w:hint="eastAsia" w:eastAsia="黑体"/>
          <w:sz w:val="44"/>
        </w:rPr>
      </w:r>
      <w:r/>
    </w:p>
    <w:p>
      <w:pPr>
        <w:pStyle w:val="826"/>
        <w:jc w:val="center"/>
        <w:spacing w:before="200"/>
        <w:rPr>
          <w:rFonts w:hint="eastAsia" w:eastAsia="黑体"/>
          <w:sz w:val="44"/>
        </w:rPr>
      </w:pPr>
      <w:r>
        <w:rPr>
          <w:rFonts w:hint="eastAsia" w:eastAsia="黑体"/>
          <w:sz w:val="44"/>
        </w:rPr>
      </w:r>
      <w:r/>
    </w:p>
    <w:p>
      <w:pPr>
        <w:pStyle w:val="826"/>
        <w:jc w:val="center"/>
        <w:spacing w:before="200"/>
        <w:rPr>
          <w:rFonts w:hint="eastAsia" w:eastAsia="黑体"/>
          <w:sz w:val="44"/>
        </w:rPr>
      </w:pPr>
      <w:r>
        <w:rPr>
          <w:rFonts w:hint="eastAsia" w:eastAsia="黑体"/>
          <w:sz w:val="44"/>
        </w:rPr>
      </w:r>
      <w:r/>
    </w:p>
    <w:p>
      <w:pPr>
        <w:pStyle w:val="826"/>
        <w:jc w:val="center"/>
        <w:spacing w:before="200"/>
        <w:rPr>
          <w:rFonts w:hint="eastAsia" w:eastAsia="黑体"/>
          <w:sz w:val="44"/>
        </w:rPr>
      </w:pPr>
      <w:r>
        <w:rPr>
          <w:rFonts w:hint="eastAsia" w:eastAsia="黑体"/>
          <w:sz w:val="44"/>
        </w:rPr>
      </w:r>
      <w:r/>
    </w:p>
    <w:p>
      <w:pPr>
        <w:pStyle w:val="826"/>
        <w:jc w:val="center"/>
        <w:spacing w:before="200"/>
        <w:rPr>
          <w:rFonts w:hint="eastAsia" w:eastAsia="黑体"/>
          <w:sz w:val="44"/>
        </w:rPr>
      </w:pPr>
      <w:r>
        <w:rPr>
          <w:rFonts w:hint="eastAsia" w:eastAsia="黑体"/>
          <w:sz w:val="44"/>
        </w:rPr>
      </w:r>
      <w:r/>
    </w:p>
    <w:p>
      <w:pPr>
        <w:pStyle w:val="826"/>
        <w:jc w:val="center"/>
        <w:spacing w:before="200"/>
        <w:rPr>
          <w:rFonts w:hint="eastAsia" w:eastAsia="黑体"/>
          <w:sz w:val="44"/>
        </w:rPr>
      </w:pPr>
      <w:r>
        <w:rPr>
          <w:rFonts w:hint="eastAsia" w:eastAsia="黑体"/>
          <w:sz w:val="44"/>
        </w:rPr>
      </w:r>
      <w:r/>
    </w:p>
    <w:p>
      <w:pPr>
        <w:pStyle w:val="826"/>
        <w:jc w:val="center"/>
        <w:spacing w:before="200"/>
        <w:rPr>
          <w:rFonts w:hint="eastAsia" w:eastAsia="黑体"/>
          <w:sz w:val="44"/>
        </w:rPr>
      </w:pPr>
      <w:r>
        <w:rPr>
          <w:rFonts w:hint="eastAsia" w:eastAsia="黑体"/>
          <w:sz w:val="44"/>
        </w:rPr>
      </w:r>
      <w:r/>
    </w:p>
    <w:p>
      <w:pPr>
        <w:pStyle w:val="826"/>
        <w:jc w:val="center"/>
        <w:spacing w:before="200"/>
        <w:rPr>
          <w:rFonts w:hint="eastAsia" w:eastAsia="黑体"/>
          <w:sz w:val="44"/>
        </w:rPr>
      </w:pPr>
      <w:r>
        <w:rPr>
          <w:rFonts w:hint="eastAsia" w:eastAsia="黑体"/>
          <w:sz w:val="44"/>
        </w:rPr>
      </w:r>
      <w:r/>
    </w:p>
    <w:p>
      <w:pPr>
        <w:pStyle w:val="826"/>
        <w:jc w:val="center"/>
        <w:spacing w:before="200"/>
        <w:rPr>
          <w:rFonts w:hint="eastAsia" w:eastAsia="黑体"/>
          <w:sz w:val="44"/>
        </w:rPr>
      </w:pPr>
      <w:r>
        <w:rPr>
          <w:rFonts w:hint="eastAsia" w:eastAsia="黑体"/>
          <w:sz w:val="44"/>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宿迁市公安局</w:t>
      </w:r>
      <w:r>
        <w:rPr>
          <w:rFonts w:hint="eastAsia" w:ascii="宋体" w:hAnsi="宋体"/>
          <w:sz w:val="24"/>
          <w:szCs w:val="24"/>
        </w:rPr>
        <w:t xml:space="preserve">的委托，</w:t>
      </w:r>
      <w:r>
        <w:rPr>
          <w:rFonts w:hint="eastAsia" w:ascii="宋体" w:hAnsi="宋体" w:eastAsia="宋体" w:cs="宋体"/>
          <w:sz w:val="24"/>
          <w:szCs w:val="24"/>
          <w:highlight w:val="none"/>
          <w:u w:val="single"/>
          <w:lang w:eastAsia="zh-CN"/>
        </w:rPr>
        <w:t xml:space="preserve">宿迁泰元建设管理咨询有限公司</w:t>
      </w:r>
      <w:r>
        <w:rPr>
          <w:rFonts w:hint="eastAsia" w:ascii="Times New Roman" w:hAnsi="Times New Roman" w:cs="方正仿宋_GBK"/>
          <w:sz w:val="24"/>
          <w:szCs w:val="24"/>
        </w:rPr>
        <w:t xml:space="preserve">就</w:t>
      </w:r>
      <w:r>
        <w:rPr>
          <w:rFonts w:hint="eastAsia" w:ascii="宋体" w:hAnsi="宋体"/>
          <w:sz w:val="24"/>
          <w:szCs w:val="24"/>
          <w:u w:val="single"/>
          <w:lang w:eastAsia="zh-CN"/>
        </w:rPr>
        <w:t xml:space="preserve">宿迁市公安局三重四极杆液质联用仪采购项目</w:t>
      </w:r>
      <w:r>
        <w:rPr>
          <w:rFonts w:hint="eastAsia" w:ascii="宋体" w:hAnsi="宋体"/>
          <w:sz w:val="24"/>
          <w:szCs w:val="24"/>
        </w:rPr>
        <w:t xml:space="preserve">(</w:t>
      </w:r>
      <w:r>
        <w:rPr>
          <w:rFonts w:hint="eastAsia" w:ascii="宋体" w:hAnsi="宋体"/>
          <w:bCs/>
          <w:sz w:val="24"/>
          <w:szCs w:val="24"/>
          <w:u w:val="single"/>
          <w:lang w:eastAsia="zh-CN"/>
        </w:rPr>
        <w:t xml:space="preserve">JSZC-321300-SQTY-G2026-0017</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宿迁市公安局三重四极杆液质联用仪采购项目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获取招标文件，并于2026年</w:t>
      </w:r>
      <w:r>
        <w:rPr>
          <w:rFonts w:hint="eastAsia" w:ascii="Times New Roman" w:hAnsi="Times New Roman" w:cs="方正仿宋_GBK"/>
          <w:sz w:val="24"/>
          <w:szCs w:val="24"/>
          <w:lang w:val="en-US" w:eastAsia="zh-CN"/>
        </w:rPr>
        <w:t xml:space="preserve">11 </w:t>
      </w:r>
      <w:r>
        <w:rPr>
          <w:rFonts w:hint="eastAsia" w:ascii="Times New Roman" w:hAnsi="Times New Roman" w:cs="方正仿宋_GBK"/>
          <w:sz w:val="24"/>
          <w:szCs w:val="24"/>
        </w:rPr>
        <w:t xml:space="preserve">月</w:t>
      </w:r>
      <w:r>
        <w:rPr>
          <w:rFonts w:hint="eastAsia" w:ascii="Times New Roman" w:hAnsi="Times New Roman" w:cs="方正仿宋_GBK"/>
          <w:sz w:val="24"/>
          <w:szCs w:val="24"/>
          <w:lang w:val="en-US" w:eastAsia="zh-CN"/>
        </w:rPr>
        <w:t xml:space="preserve">24</w:t>
      </w:r>
      <w:r>
        <w:rPr>
          <w:rFonts w:hint="eastAsia" w:ascii="Times New Roman" w:hAnsi="Times New Roman" w:cs="方正仿宋_GBK"/>
          <w:sz w:val="24"/>
          <w:szCs w:val="24"/>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27"/>
        <w:ind w:firstLine="643"/>
        <w:spacing w:before="0" w:after="0" w:line="480" w:lineRule="exact"/>
        <w:rPr>
          <w:rFonts w:hint="eastAsia" w:eastAsia="宋体" w:cs="Arial"/>
          <w:bCs/>
          <w:szCs w:val="22"/>
        </w:rPr>
      </w:pPr>
      <w:r/>
      <w:bookmarkStart w:id="7" w:name="_Toc35393790"/>
      <w:r/>
      <w:bookmarkStart w:id="8" w:name="_Toc28359002"/>
      <w:r/>
      <w:bookmarkStart w:id="9" w:name="_Toc35393621"/>
      <w:r/>
      <w:bookmarkStart w:id="10" w:name="_Toc38985263"/>
      <w:r/>
      <w:bookmarkStart w:id="11" w:name="_Toc2584"/>
      <w:r/>
      <w:bookmarkStart w:id="12" w:name="_Toc28359079"/>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cs="仿宋"/>
          <w:bCs/>
          <w:sz w:val="24"/>
          <w:szCs w:val="24"/>
          <w:lang w:eastAsia="zh-CN"/>
        </w:rPr>
        <w:t xml:space="preserve">JSZC-321300-SQTY-G2026-0017</w:t>
      </w:r>
      <w:r/>
    </w:p>
    <w:p>
      <w:pPr>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2.项目名称：</w:t>
      </w:r>
      <w:bookmarkEnd w:id="13"/>
      <w:r/>
      <w:bookmarkStart w:id="14" w:name="OLE_LINK19"/>
      <w:r>
        <w:rPr>
          <w:rFonts w:hint="eastAsia" w:ascii="Times New Roman" w:hAnsi="Times New Roman" w:cs="仿宋"/>
          <w:sz w:val="24"/>
          <w:szCs w:val="24"/>
          <w:lang w:eastAsia="zh-CN"/>
        </w:rPr>
        <w:t xml:space="preserve">宿迁市公安局三重四极杆液质联用仪采购项目</w:t>
      </w:r>
      <w:bookmarkEnd w:id="14"/>
      <w:r/>
      <w:r/>
    </w:p>
    <w:p>
      <w:pPr>
        <w:ind w:firstLine="480"/>
        <w:spacing w:line="480" w:lineRule="exact"/>
        <w:rPr>
          <w:rFonts w:hint="eastAsia" w:ascii="宋体" w:hAnsi="宋体" w:eastAsia="宋体" w:cs="宋体"/>
          <w:sz w:val="24"/>
          <w:szCs w:val="24"/>
        </w:rPr>
      </w:pPr>
      <w:r>
        <w:rPr>
          <w:rFonts w:hint="eastAsia" w:ascii="Times New Roman" w:hAnsi="Times New Roman" w:cs="仿宋"/>
          <w:sz w:val="24"/>
          <w:szCs w:val="24"/>
        </w:rPr>
        <w:t xml:space="preserve">3.预算金额：</w:t>
      </w:r>
      <w:r>
        <w:rPr>
          <w:rFonts w:hint="eastAsia" w:ascii="宋体" w:hAnsi="宋体" w:cs="宋体"/>
          <w:sz w:val="24"/>
          <w:szCs w:val="24"/>
          <w:lang w:val="en-US" w:eastAsia="zh-CN"/>
        </w:rPr>
        <w:t xml:space="preserve">740</w:t>
      </w:r>
      <w:r>
        <w:rPr>
          <w:rFonts w:hint="eastAsia" w:ascii="宋体" w:hAnsi="宋体" w:eastAsia="宋体" w:cs="宋体"/>
          <w:sz w:val="24"/>
          <w:szCs w:val="24"/>
        </w:rPr>
        <w:t xml:space="preserve">万元（采购包1：</w:t>
      </w:r>
      <w:r>
        <w:rPr>
          <w:rFonts w:hint="eastAsia" w:ascii="宋体" w:hAnsi="宋体" w:cs="宋体"/>
          <w:sz w:val="24"/>
          <w:szCs w:val="24"/>
          <w:lang w:val="en-US" w:eastAsia="zh-CN"/>
        </w:rPr>
        <w:t xml:space="preserve">450</w:t>
      </w:r>
      <w:r>
        <w:rPr>
          <w:rFonts w:hint="eastAsia" w:ascii="宋体" w:hAnsi="宋体" w:eastAsia="宋体" w:cs="宋体"/>
          <w:sz w:val="24"/>
          <w:szCs w:val="24"/>
        </w:rPr>
        <w:t xml:space="preserve">万元；采购包2：</w:t>
      </w:r>
      <w:r>
        <w:rPr>
          <w:rFonts w:hint="eastAsia" w:ascii="宋体" w:hAnsi="宋体" w:cs="宋体"/>
          <w:sz w:val="24"/>
          <w:szCs w:val="24"/>
          <w:lang w:val="en-US" w:eastAsia="zh-CN"/>
        </w:rPr>
        <w:t xml:space="preserve">290</w:t>
      </w:r>
      <w:r>
        <w:rPr>
          <w:rFonts w:hint="eastAsia" w:ascii="宋体" w:hAnsi="宋体" w:eastAsia="宋体" w:cs="宋体"/>
          <w:sz w:val="24"/>
          <w:szCs w:val="24"/>
        </w:rPr>
        <w:t xml:space="preserve">万元）</w:t>
      </w:r>
      <w:r/>
    </w:p>
    <w:p>
      <w:pPr>
        <w:ind w:firstLine="480"/>
        <w:spacing w:line="480" w:lineRule="exact"/>
        <w:rPr>
          <w:rFonts w:hint="eastAsia" w:ascii="宋体" w:hAnsi="宋体" w:eastAsia="宋体" w:cs="宋体"/>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r>
        <w:rPr>
          <w:rFonts w:hint="eastAsia" w:ascii="宋体" w:hAnsi="宋体" w:cs="宋体"/>
          <w:sz w:val="24"/>
          <w:szCs w:val="24"/>
          <w:lang w:val="en-US" w:eastAsia="zh-CN"/>
        </w:rPr>
        <w:t xml:space="preserve">740</w:t>
      </w:r>
      <w:r>
        <w:rPr>
          <w:rFonts w:hint="eastAsia" w:ascii="宋体" w:hAnsi="宋体" w:eastAsia="宋体" w:cs="宋体"/>
          <w:sz w:val="24"/>
          <w:szCs w:val="24"/>
        </w:rPr>
        <w:t xml:space="preserve">万元（</w:t>
      </w:r>
      <w:r>
        <w:rPr>
          <w:rFonts w:hint="eastAsia" w:ascii="Times New Roman" w:hAnsi="Times New Roman" w:cs="仿宋"/>
          <w:sz w:val="24"/>
          <w:szCs w:val="24"/>
        </w:rPr>
        <w:t xml:space="preserve">采购包1最高限价为</w:t>
      </w:r>
      <w:r>
        <w:rPr>
          <w:rFonts w:hint="eastAsia" w:ascii="Times New Roman" w:hAnsi="Times New Roman" w:cs="仿宋"/>
          <w:sz w:val="24"/>
          <w:szCs w:val="24"/>
          <w:lang w:val="en-US" w:eastAsia="zh-CN"/>
        </w:rPr>
        <w:t xml:space="preserve">450</w:t>
      </w:r>
      <w:r>
        <w:rPr>
          <w:rFonts w:hint="eastAsia" w:ascii="Times New Roman" w:hAnsi="Times New Roman" w:cs="仿宋"/>
          <w:sz w:val="24"/>
          <w:szCs w:val="24"/>
        </w:rPr>
        <w:t xml:space="preserve">万元；采购包2最高限价为</w:t>
      </w:r>
      <w:r>
        <w:rPr>
          <w:rFonts w:hint="eastAsia" w:ascii="Times New Roman" w:hAnsi="Times New Roman" w:cs="仿宋"/>
          <w:sz w:val="24"/>
          <w:szCs w:val="24"/>
          <w:lang w:val="en-US" w:eastAsia="zh-CN"/>
        </w:rPr>
        <w:t xml:space="preserve">290</w:t>
      </w:r>
      <w:r>
        <w:rPr>
          <w:rFonts w:hint="eastAsia" w:ascii="Times New Roman" w:hAnsi="Times New Roman" w:cs="仿宋"/>
          <w:sz w:val="24"/>
          <w:szCs w:val="24"/>
        </w:rPr>
        <w:t xml:space="preserve">万元</w:t>
      </w:r>
      <w:r>
        <w:rPr>
          <w:rFonts w:hint="eastAsia" w:ascii="宋体" w:hAnsi="宋体" w:eastAsia="宋体" w:cs="宋体"/>
          <w:sz w:val="24"/>
          <w:szCs w:val="24"/>
        </w:rPr>
        <w:t xml:space="preserve">）</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5.采购需求（简介）：</w:t>
      </w:r>
      <w:bookmarkStart w:id="15" w:name="OLE_LINK15"/>
      <w:r>
        <w:rPr>
          <w:rFonts w:hint="eastAsia" w:ascii="Times New Roman" w:hAnsi="Times New Roman" w:cs="仿宋"/>
          <w:sz w:val="24"/>
          <w:szCs w:val="24"/>
          <w:lang w:eastAsia="zh-CN"/>
        </w:rPr>
        <w:t xml:space="preserve">宿迁市公安</w:t>
      </w:r>
      <w:r>
        <w:rPr>
          <w:rFonts w:hint="eastAsia" w:ascii="Times New Roman" w:hAnsi="Times New Roman" w:eastAsia="宋体" w:cs="仿宋"/>
          <w:sz w:val="24"/>
          <w:szCs w:val="24"/>
          <w:lang w:val="en-US" w:eastAsia="zh-CN"/>
        </w:rPr>
        <w:t xml:space="preserve">局拟采购三重四极杆液质联用仪</w:t>
      </w:r>
      <w:r>
        <w:rPr>
          <w:rFonts w:hint="eastAsia" w:ascii="Times New Roman" w:hAnsi="Times New Roman" w:cs="仿宋"/>
          <w:sz w:val="24"/>
          <w:szCs w:val="24"/>
        </w:rPr>
        <w:t xml:space="preserve">，具体详见采购需求。</w:t>
      </w:r>
      <w:bookmarkEnd w:id="15"/>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6.合同履行期限：合同签订后</w:t>
      </w:r>
      <w:r>
        <w:rPr>
          <w:rFonts w:hint="eastAsia" w:ascii="Times New Roman" w:hAnsi="Times New Roman" w:cs="仿宋"/>
          <w:sz w:val="24"/>
          <w:szCs w:val="24"/>
          <w:lang w:val="en-US" w:eastAsia="zh-CN"/>
        </w:rPr>
        <w:t xml:space="preserve">60日历天</w:t>
      </w:r>
      <w:r>
        <w:rPr>
          <w:rFonts w:hint="eastAsia" w:ascii="Times New Roman" w:hAnsi="Times New Roman" w:cs="仿宋"/>
          <w:sz w:val="24"/>
          <w:szCs w:val="24"/>
        </w:rPr>
        <w:t xml:space="preserve">内完成供货</w:t>
      </w:r>
      <w:r>
        <w:rPr>
          <w:rFonts w:hint="eastAsia" w:ascii="Times New Roman" w:hAnsi="Times New Roman" w:cs="仿宋"/>
          <w:sz w:val="24"/>
          <w:szCs w:val="24"/>
          <w:lang w:val="en-US" w:eastAsia="zh-CN"/>
        </w:rPr>
        <w:t xml:space="preserve">并</w:t>
      </w:r>
      <w:r>
        <w:rPr>
          <w:rFonts w:hint="eastAsia" w:ascii="Times New Roman" w:hAnsi="Times New Roman" w:cs="仿宋"/>
          <w:sz w:val="24"/>
          <w:szCs w:val="24"/>
        </w:rPr>
        <w:t xml:space="preserve">全部安装调试</w:t>
      </w:r>
      <w:r>
        <w:rPr>
          <w:rFonts w:hint="eastAsia" w:ascii="Times New Roman" w:hAnsi="Times New Roman" w:cs="仿宋"/>
          <w:sz w:val="24"/>
          <w:szCs w:val="24"/>
          <w:lang w:val="en-US" w:eastAsia="zh-CN"/>
        </w:rPr>
        <w:t xml:space="preserve">完毕；</w:t>
      </w:r>
      <w:r>
        <w:rPr>
          <w:rFonts w:hint="eastAsia" w:ascii="宋体" w:hAnsi="宋体"/>
          <w:sz w:val="24"/>
          <w:szCs w:val="24"/>
        </w:rPr>
        <w:t xml:space="preserve">自项目验收合格之日起售后质保</w:t>
      </w:r>
      <w:r>
        <w:rPr>
          <w:rFonts w:ascii="宋体" w:hAnsi="宋体"/>
          <w:sz w:val="24"/>
          <w:szCs w:val="24"/>
        </w:rPr>
        <w:t xml:space="preserve">3</w:t>
      </w:r>
      <w:r>
        <w:rPr>
          <w:rFonts w:hint="eastAsia" w:ascii="宋体" w:hAnsi="宋体"/>
          <w:sz w:val="24"/>
          <w:szCs w:val="24"/>
        </w:rPr>
        <w:t xml:space="preserve">年。</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27"/>
        <w:ind w:firstLine="643"/>
        <w:spacing w:before="0" w:after="0" w:line="480" w:lineRule="exact"/>
        <w:rPr>
          <w:rFonts w:hint="eastAsia" w:eastAsia="宋体" w:cs="Arial"/>
          <w:bCs/>
          <w:szCs w:val="22"/>
        </w:rPr>
      </w:pPr>
      <w:r/>
      <w:bookmarkStart w:id="16" w:name="_Toc27291"/>
      <w:r/>
      <w:bookmarkStart w:id="17" w:name="_Toc35393791"/>
      <w:r/>
      <w:bookmarkStart w:id="18" w:name="_Toc28359080"/>
      <w:r/>
      <w:bookmarkStart w:id="19" w:name="_Toc38985264"/>
      <w:r/>
      <w:bookmarkStart w:id="20" w:name="_Toc28359003"/>
      <w:r/>
      <w:bookmarkStart w:id="21" w:name="_Toc35393622"/>
      <w:r>
        <w:rPr>
          <w:rFonts w:hint="eastAsia" w:eastAsia="宋体" w:cs="Arial"/>
          <w:bCs/>
          <w:szCs w:val="22"/>
        </w:rPr>
        <w:t xml:space="preserve">二、申请人的资格要求</w:t>
      </w:r>
      <w:bookmarkEnd w:id="16"/>
      <w:r/>
      <w:bookmarkEnd w:id="17"/>
      <w:r/>
      <w:bookmarkEnd w:id="18"/>
      <w:r/>
      <w:bookmarkEnd w:id="19"/>
      <w:r/>
      <w:bookmarkEnd w:id="20"/>
      <w:r/>
      <w:bookmarkEnd w:id="21"/>
      <w:r/>
      <w:r/>
    </w:p>
    <w:p>
      <w:pPr>
        <w:ind w:firstLine="480"/>
        <w:spacing w:line="480" w:lineRule="exact"/>
        <w:rPr>
          <w:rFonts w:hint="eastAsia" w:ascii="Times New Roman" w:hAnsi="Times New Roman" w:cs="仿宋"/>
          <w:sz w:val="24"/>
          <w:szCs w:val="24"/>
        </w:rPr>
      </w:pPr>
      <w:r/>
      <w:bookmarkStart w:id="22" w:name="_Toc35393792"/>
      <w:r/>
      <w:bookmarkStart w:id="23" w:name="_Toc28359004"/>
      <w:r/>
      <w:bookmarkStart w:id="24" w:name="_Toc35393623"/>
      <w:r/>
      <w:bookmarkStart w:id="25" w:name="_Toc28359081"/>
      <w:r/>
      <w:bookmarkStart w:id="26" w:name="_Toc38985265"/>
      <w:r>
        <w:rPr>
          <w:rFonts w:hint="eastAsia" w:ascii="Times New Roman" w:hAnsi="Times New Roman" w:cs="仿宋"/>
          <w:sz w:val="24"/>
          <w:szCs w:val="24"/>
        </w:rPr>
        <w:t xml:space="preserve">（一）通用资格要求</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w:t>
      </w:r>
      <w:bookmarkStart w:id="27" w:name="OLE_LINK25"/>
      <w:r>
        <w:rPr>
          <w:rFonts w:hint="eastAsia" w:ascii="Times New Roman" w:hAnsi="Times New Roman" w:cs="仿宋"/>
          <w:sz w:val="24"/>
          <w:szCs w:val="24"/>
        </w:rPr>
        <w:t xml:space="preserve">具备《中华人民共和国政府采购法》第二十二条第一款规定的6项条件（按要求提供投标函）。</w:t>
      </w:r>
      <w:bookmarkEnd w:id="27"/>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w:t>
      </w:r>
      <w:bookmarkStart w:id="28" w:name="OLE_LINK29"/>
      <w:r>
        <w:rPr>
          <w:rFonts w:hint="eastAsia" w:ascii="Times New Roman" w:hAnsi="Times New Roman" w:cs="仿宋"/>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8"/>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3.落实政府采购政策需满足的资格要求：</w:t>
      </w:r>
      <w:r>
        <w:rPr>
          <w:rFonts w:hint="eastAsia" w:ascii="Times New Roman" w:hAnsi="Times New Roman" w:cs="仿宋"/>
          <w:sz w:val="24"/>
          <w:szCs w:val="24"/>
          <w:lang w:val="en-US" w:eastAsia="zh-CN"/>
        </w:rPr>
        <w:t xml:space="preserve">无</w:t>
      </w:r>
      <w:r>
        <w:rPr>
          <w:rFonts w:hint="eastAsia" w:ascii="Times New Roman" w:hAnsi="Times New Roman" w:cs="仿宋"/>
          <w:sz w:val="24"/>
          <w:szCs w:val="24"/>
        </w:rPr>
        <w:t xml:space="preserve">。</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w:t>
      </w:r>
      <w:bookmarkStart w:id="29" w:name="OLE_LINK39"/>
      <w:r>
        <w:rPr>
          <w:rFonts w:hint="eastAsia" w:ascii="Times New Roman" w:hAnsi="Times New Roman" w:cs="仿宋"/>
          <w:sz w:val="24"/>
          <w:szCs w:val="24"/>
        </w:rPr>
        <w:t xml:space="preserve">本项目的特定资格要求</w:t>
      </w:r>
      <w:bookmarkEnd w:id="29"/>
      <w:r>
        <w:rPr>
          <w:rFonts w:hint="eastAsia" w:ascii="Times New Roman" w:hAnsi="Times New Roman" w:cs="仿宋"/>
          <w:sz w:val="24"/>
          <w:szCs w:val="24"/>
        </w:rPr>
        <w:t xml:space="preserve">：</w:t>
      </w:r>
      <w:bookmarkStart w:id="30" w:name="OLE_LINK41"/>
      <w:r>
        <w:rPr>
          <w:rFonts w:hint="eastAsia" w:ascii="Times New Roman" w:hAnsi="Times New Roman" w:cs="仿宋"/>
          <w:sz w:val="24"/>
          <w:szCs w:val="24"/>
          <w:lang w:val="en-US" w:eastAsia="zh-CN"/>
        </w:rPr>
        <w:t xml:space="preserve">无</w:t>
      </w:r>
      <w:r>
        <w:rPr>
          <w:rFonts w:hint="eastAsia" w:ascii="Times New Roman" w:hAnsi="Times New Roman" w:cs="仿宋"/>
          <w:sz w:val="24"/>
          <w:szCs w:val="24"/>
        </w:rPr>
        <w:t xml:space="preserve">。</w:t>
      </w:r>
      <w:bookmarkEnd w:id="30"/>
      <w:r/>
      <w:r/>
    </w:p>
    <w:p>
      <w:pPr>
        <w:pStyle w:val="827"/>
        <w:ind w:firstLine="643"/>
        <w:spacing w:before="0" w:after="0" w:line="480" w:lineRule="exact"/>
        <w:rPr>
          <w:rFonts w:hint="eastAsia" w:eastAsia="宋体" w:cs="Arial"/>
          <w:bCs/>
          <w:szCs w:val="22"/>
        </w:rPr>
      </w:pPr>
      <w:r/>
      <w:bookmarkStart w:id="31" w:name="_Toc22204"/>
      <w:r>
        <w:rPr>
          <w:rFonts w:hint="eastAsia" w:eastAsia="宋体" w:cs="Arial"/>
          <w:bCs/>
          <w:szCs w:val="22"/>
        </w:rPr>
        <w:t xml:space="preserve">三、获取招标文件</w:t>
      </w:r>
      <w:bookmarkEnd w:id="22"/>
      <w:r/>
      <w:bookmarkEnd w:id="23"/>
      <w:r/>
      <w:bookmarkEnd w:id="24"/>
      <w:r/>
      <w:bookmarkEnd w:id="25"/>
      <w:r/>
      <w:bookmarkEnd w:id="26"/>
      <w:r/>
      <w:bookmarkEnd w:id="31"/>
      <w:r/>
      <w:r/>
    </w:p>
    <w:p>
      <w:pPr>
        <w:ind w:firstLine="480"/>
        <w:spacing w:line="480" w:lineRule="exact"/>
        <w:rPr>
          <w:rFonts w:ascii="Times New Roman" w:hAnsi="Times New Roman" w:cs="仿宋"/>
          <w:sz w:val="24"/>
          <w:szCs w:val="24"/>
        </w:rPr>
      </w:pPr>
      <w:r/>
      <w:bookmarkStart w:id="32" w:name="_Toc28359005"/>
      <w:r/>
      <w:bookmarkStart w:id="33" w:name="_Toc28359082"/>
      <w:r/>
      <w:bookmarkStart w:id="34" w:name="_Toc38985266"/>
      <w:r/>
      <w:bookmarkStart w:id="35" w:name="_Toc35393624"/>
      <w:r/>
      <w:bookmarkStart w:id="36" w:name="_Toc35393793"/>
      <w:r>
        <w:rPr>
          <w:rFonts w:hint="eastAsia" w:ascii="Times New Roman" w:hAnsi="Times New Roman" w:cs="仿宋"/>
          <w:sz w:val="24"/>
          <w:szCs w:val="24"/>
        </w:rPr>
        <w:t xml:space="preserve">1.时间：招标公告发布之日起5个工作</w:t>
      </w:r>
      <w:r>
        <w:rPr>
          <w:rFonts w:hint="eastAsia" w:ascii="Times New Roman" w:hAnsi="Times New Roman" w:cs="仿宋"/>
          <w:sz w:val="24"/>
          <w:szCs w:val="24"/>
          <w:lang w:eastAsia="zh-CN"/>
        </w:rPr>
        <w:t xml:space="preserve">日</w:t>
      </w:r>
      <w:r>
        <w:rPr>
          <w:rFonts w:hint="eastAsia" w:ascii="Times New Roman" w:hAnsi="Times New Roman" w:cs="仿宋"/>
          <w:sz w:val="24"/>
          <w:szCs w:val="24"/>
        </w:rPr>
        <w:t xml:space="preserve">。</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https://jszfcg.jsczt.cn/），使用CA锁登录系统后，找到本项目获取招标文件（后缀名为“.kedt”）。</w:t>
      </w:r>
      <w:r/>
    </w:p>
    <w:p>
      <w:pPr>
        <w:pStyle w:val="827"/>
        <w:ind w:firstLine="643"/>
        <w:spacing w:before="0" w:after="0" w:line="480" w:lineRule="exact"/>
        <w:rPr>
          <w:rFonts w:hint="eastAsia" w:eastAsia="宋体" w:cs="Arial"/>
          <w:bCs/>
          <w:szCs w:val="22"/>
        </w:rPr>
      </w:pPr>
      <w:r/>
      <w:bookmarkStart w:id="37" w:name="_Toc19148"/>
      <w:r>
        <w:rPr>
          <w:rFonts w:hint="eastAsia" w:eastAsia="宋体" w:cs="Arial"/>
          <w:bCs/>
          <w:szCs w:val="22"/>
        </w:rPr>
        <w:t xml:space="preserve">四、提交投标文件</w:t>
      </w:r>
      <w:bookmarkEnd w:id="32"/>
      <w:r/>
      <w:bookmarkEnd w:id="33"/>
      <w:r>
        <w:rPr>
          <w:rFonts w:hint="eastAsia" w:eastAsia="宋体" w:cs="Arial"/>
          <w:bCs/>
          <w:szCs w:val="22"/>
        </w:rPr>
        <w:t xml:space="preserve">截止时间、开标时间和地点</w:t>
      </w:r>
      <w:bookmarkEnd w:id="34"/>
      <w:r/>
      <w:bookmarkEnd w:id="35"/>
      <w:r/>
      <w:bookmarkEnd w:id="36"/>
      <w:r/>
      <w:bookmarkEnd w:id="37"/>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lang w:val="en-US" w:eastAsia="zh-CN"/>
        </w:rPr>
        <w:t xml:space="preserve">11</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24</w:t>
      </w:r>
      <w:r>
        <w:rPr>
          <w:rFonts w:hint="eastAsia" w:ascii="Times New Roman" w:hAnsi="Times New Roman" w:cs="仿宋"/>
          <w:sz w:val="24"/>
          <w:szCs w:val="24"/>
        </w:rPr>
        <w:t xml:space="preserve">日09点30分（北京时间）</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27"/>
        <w:ind w:firstLine="643"/>
        <w:spacing w:before="0" w:after="0" w:line="480" w:lineRule="exact"/>
        <w:rPr>
          <w:rFonts w:hint="eastAsia" w:eastAsia="宋体" w:cs="Arial"/>
          <w:bCs/>
          <w:szCs w:val="22"/>
        </w:rPr>
      </w:pPr>
      <w:r/>
      <w:bookmarkStart w:id="38" w:name="_Toc38985267"/>
      <w:r/>
      <w:bookmarkStart w:id="39" w:name="_Toc28359084"/>
      <w:r/>
      <w:bookmarkStart w:id="40" w:name="_Toc35393625"/>
      <w:r/>
      <w:bookmarkStart w:id="41" w:name="_Toc35393794"/>
      <w:r/>
      <w:bookmarkStart w:id="42" w:name="_Toc28359007"/>
      <w:r/>
      <w:bookmarkStart w:id="43" w:name="_Toc24820"/>
      <w:r>
        <w:rPr>
          <w:rFonts w:hint="eastAsia" w:eastAsia="宋体" w:cs="Arial"/>
          <w:bCs/>
          <w:szCs w:val="22"/>
        </w:rPr>
        <w:t xml:space="preserve">五、公告期限</w:t>
      </w:r>
      <w:bookmarkEnd w:id="38"/>
      <w:r/>
      <w:bookmarkEnd w:id="39"/>
      <w:r/>
      <w:bookmarkEnd w:id="40"/>
      <w:r/>
      <w:bookmarkEnd w:id="41"/>
      <w:r/>
      <w:bookmarkEnd w:id="42"/>
      <w:r/>
      <w:bookmarkEnd w:id="43"/>
      <w:r/>
      <w:r/>
    </w:p>
    <w:p>
      <w:pPr>
        <w:ind w:firstLine="480"/>
        <w:spacing w:line="480" w:lineRule="exact"/>
        <w:rPr>
          <w:rFonts w:hint="eastAsia" w:ascii="Times New Roman" w:hAnsi="Times New Roman" w:cs="仿宋"/>
          <w:sz w:val="24"/>
          <w:szCs w:val="24"/>
        </w:rPr>
      </w:pPr>
      <w:r/>
      <w:bookmarkStart w:id="44" w:name="_Toc35393795"/>
      <w:r/>
      <w:bookmarkStart w:id="45" w:name="_Toc38985268"/>
      <w:r/>
      <w:bookmarkStart w:id="46" w:name="_Toc35393626"/>
      <w:r>
        <w:rPr>
          <w:rFonts w:hint="eastAsia" w:ascii="Times New Roman" w:hAnsi="Times New Roman" w:cs="仿宋"/>
          <w:sz w:val="24"/>
          <w:szCs w:val="24"/>
        </w:rPr>
        <w:t xml:space="preserve">招标公告及招标文件公告期限为自本公告发布之日起5个工作日。</w:t>
      </w:r>
      <w:r/>
    </w:p>
    <w:p>
      <w:pPr>
        <w:pStyle w:val="827"/>
        <w:ind w:firstLine="643"/>
        <w:spacing w:before="0" w:after="0" w:line="480" w:lineRule="exact"/>
        <w:rPr>
          <w:rFonts w:hint="eastAsia" w:eastAsia="宋体" w:cs="Arial"/>
          <w:bCs/>
          <w:szCs w:val="22"/>
        </w:rPr>
      </w:pPr>
      <w:r/>
      <w:bookmarkStart w:id="47" w:name="_Toc13415"/>
      <w:r>
        <w:rPr>
          <w:rFonts w:hint="eastAsia" w:eastAsia="宋体" w:cs="Arial"/>
          <w:bCs/>
          <w:szCs w:val="22"/>
        </w:rPr>
        <w:t xml:space="preserve">六、其他补充事宜</w:t>
      </w:r>
      <w:bookmarkEnd w:id="44"/>
      <w:r/>
      <w:bookmarkEnd w:id="45"/>
      <w:r/>
      <w:bookmarkEnd w:id="46"/>
      <w:r/>
      <w:bookmarkEnd w:id="47"/>
      <w:r/>
      <w:r/>
    </w:p>
    <w:p>
      <w:pPr>
        <w:ind w:firstLine="480"/>
        <w:spacing w:line="480" w:lineRule="exact"/>
        <w:rPr>
          <w:rFonts w:hint="eastAsia" w:ascii="Times New Roman" w:hAnsi="Times New Roman" w:cs="仿宋"/>
          <w:sz w:val="24"/>
          <w:szCs w:val="24"/>
        </w:rPr>
      </w:pPr>
      <w:r/>
      <w:bookmarkStart w:id="48" w:name="EB64e1f522fd8c43fcb4d3ba471386b3e7"/>
      <w:r/>
      <w:bookmarkStart w:id="49" w:name="_Toc38985269"/>
      <w:r/>
      <w:bookmarkStart w:id="50" w:name="_Toc35393796"/>
      <w:r/>
      <w:bookmarkStart w:id="51" w:name="_Toc35393627"/>
      <w:r/>
      <w:bookmarkStart w:id="52" w:name="_Toc28359008"/>
      <w:r/>
      <w:bookmarkStart w:id="53" w:name="_Toc28359085"/>
      <w:r>
        <w:rPr>
          <w:rFonts w:hint="eastAsia" w:ascii="Times New Roman" w:hAnsi="Times New Roman" w:cs="仿宋"/>
          <w:sz w:val="24"/>
          <w:szCs w:val="24"/>
        </w:rPr>
        <w:t xml:space="preserve">1.招标公告发布媒体：</w:t>
      </w:r>
      <w:bookmarkStart w:id="54" w:name="OLE_LINK3"/>
      <w:r>
        <w:rPr>
          <w:rFonts w:hint="eastAsia" w:ascii="Times New Roman" w:hAnsi="Times New Roman" w:cs="仿宋"/>
          <w:sz w:val="24"/>
          <w:szCs w:val="24"/>
        </w:rPr>
        <w:t xml:space="preserve">江苏政府采购网</w:t>
      </w:r>
      <w:bookmarkEnd w:id="54"/>
      <w:r>
        <w:rPr>
          <w:rFonts w:hint="eastAsia" w:ascii="Times New Roman" w:hAnsi="Times New Roman" w:cs="仿宋"/>
          <w:sz w:val="24"/>
          <w:szCs w:val="24"/>
        </w:rPr>
        <w:t xml:space="preserve">、宿迁市政府采购网等。</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8"/>
      <w:r/>
      <w:r/>
    </w:p>
    <w:p>
      <w:pPr>
        <w:ind w:firstLine="480"/>
        <w:spacing w:line="480" w:lineRule="exact"/>
        <w:rPr>
          <w:rFonts w:hint="eastAsia" w:ascii="Times New Roman" w:hAnsi="Times New Roman" w:cs="仿宋"/>
          <w:sz w:val="24"/>
        </w:rPr>
      </w:pPr>
      <w:r/>
      <w:bookmarkStart w:id="55" w:name="_Toc29049"/>
      <w:r>
        <w:rPr>
          <w:rFonts w:hint="eastAsia" w:ascii="Times New Roman" w:hAnsi="Times New Roman" w:cs="仿宋"/>
          <w:sz w:val="24"/>
          <w:szCs w:val="24"/>
          <w:lang w:val="en-US" w:eastAsia="zh-CN"/>
        </w:rPr>
        <w:t xml:space="preserve">4.</w:t>
      </w:r>
      <w:r>
        <w:rPr>
          <w:rFonts w:hint="eastAsia" w:ascii="Times New Roman" w:hAnsi="Times New Roman" w:cs="仿宋"/>
          <w:sz w:val="24"/>
          <w:szCs w:val="24"/>
        </w:rPr>
        <w:t xml:space="preserve">财政部门投诉受理电话：0527-84363063。</w:t>
      </w:r>
      <w:r/>
    </w:p>
    <w:p>
      <w:pPr>
        <w:pStyle w:val="827"/>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49"/>
      <w:r/>
      <w:bookmarkEnd w:id="50"/>
      <w:r/>
      <w:bookmarkEnd w:id="51"/>
      <w:r/>
      <w:bookmarkEnd w:id="52"/>
      <w:r/>
      <w:bookmarkEnd w:id="53"/>
      <w:r/>
      <w:bookmarkEnd w:id="55"/>
      <w:r/>
      <w:r/>
    </w:p>
    <w:p>
      <w:pPr>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p>
    <w:p>
      <w:pPr>
        <w:ind w:firstLine="480"/>
        <w:spacing w:line="480" w:lineRule="exact"/>
        <w:rPr>
          <w:rFonts w:hint="eastAsia" w:ascii="宋体" w:hAnsi="宋体" w:eastAsia="宋体" w:cs="宋体"/>
          <w:sz w:val="24"/>
          <w:lang w:val="en-US" w:eastAsia="zh-CN"/>
        </w:rPr>
      </w:pPr>
      <w:r>
        <w:rPr>
          <w:rFonts w:hint="eastAsia" w:ascii="宋体" w:hAnsi="宋体"/>
          <w:sz w:val="24"/>
          <w:szCs w:val="24"/>
        </w:rPr>
        <w:t xml:space="preserve">名   称</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宿迁市公安局</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eastAsia="zh-CN"/>
        </w:rPr>
        <w:t xml:space="preserve">地   址：</w:t>
      </w:r>
      <w:r>
        <w:rPr>
          <w:rFonts w:hint="eastAsia" w:ascii="宋体" w:hAnsi="宋体" w:eastAsia="宋体" w:cs="宋体"/>
          <w:sz w:val="24"/>
          <w:lang w:val="en-US" w:eastAsia="zh-CN"/>
        </w:rPr>
        <w:t xml:space="preserve">宿迁市洪泽湖路865号</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lang w:eastAsia="zh-CN"/>
        </w:rPr>
        <w:t xml:space="preserve">联 系 人：</w:t>
      </w:r>
      <w:r>
        <w:rPr>
          <w:rFonts w:hint="eastAsia" w:ascii="宋体" w:hAnsi="宋体" w:eastAsia="宋体" w:cs="宋体"/>
          <w:sz w:val="24"/>
          <w:lang w:val="en-US" w:eastAsia="zh-CN"/>
        </w:rPr>
        <w:t xml:space="preserve">徐海华</w:t>
      </w:r>
      <w:r/>
    </w:p>
    <w:p>
      <w:pPr>
        <w:ind w:firstLine="480"/>
        <w:spacing w:line="480" w:lineRule="exact"/>
        <w:rPr>
          <w:rFonts w:hint="default" w:ascii="宋体" w:hAnsi="宋体" w:eastAsia="宋体" w:cs="宋体"/>
          <w:sz w:val="24"/>
          <w:lang w:val="en-US" w:eastAsia="zh-CN"/>
        </w:rPr>
      </w:pPr>
      <w:r>
        <w:rPr>
          <w:rFonts w:hint="eastAsia" w:ascii="宋体" w:hAnsi="宋体" w:eastAsia="宋体" w:cs="宋体"/>
          <w:sz w:val="24"/>
          <w:lang w:eastAsia="zh-CN"/>
        </w:rPr>
        <w:t xml:space="preserve">联系方式：</w:t>
      </w:r>
      <w:bookmarkStart w:id="56" w:name="_Toc28359086"/>
      <w:r/>
      <w:bookmarkStart w:id="57" w:name="_Toc28359009"/>
      <w:r>
        <w:rPr>
          <w:rFonts w:hint="eastAsia" w:ascii="宋体" w:hAnsi="宋体" w:eastAsia="宋体" w:cs="宋体"/>
          <w:sz w:val="24"/>
          <w:lang w:val="en-US" w:eastAsia="zh-CN"/>
        </w:rPr>
        <w:t xml:space="preserve">0527-84352173</w:t>
      </w:r>
      <w:bookmarkEnd w:id="56"/>
      <w:r/>
      <w:bookmarkEnd w:id="57"/>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名称：</w:t>
      </w:r>
      <w:r>
        <w:rPr>
          <w:rFonts w:hint="eastAsia" w:ascii="宋体" w:hAnsi="宋体" w:eastAsia="宋体" w:cs="宋体"/>
          <w:sz w:val="24"/>
          <w:lang w:eastAsia="zh-CN"/>
        </w:rPr>
        <w:t xml:space="preserve">宿迁泰元建设管理咨询有限公司</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rPr>
        <w:t xml:space="preserve">地　址：宿迁市</w:t>
      </w:r>
      <w:r>
        <w:rPr>
          <w:rFonts w:hint="eastAsia" w:ascii="宋体" w:hAnsi="宋体" w:eastAsia="宋体" w:cs="宋体"/>
          <w:sz w:val="24"/>
          <w:lang w:val="en-US" w:eastAsia="zh-CN"/>
        </w:rPr>
        <w:t xml:space="preserve">太湖路79号</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eastAsia="宋体" w:cs="宋体"/>
          <w:sz w:val="24"/>
          <w:lang w:val="en-US" w:eastAsia="zh-CN"/>
        </w:rPr>
        <w:t xml:space="preserve">屠贵敏</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联系方式：</w:t>
      </w:r>
      <w:r>
        <w:rPr>
          <w:rFonts w:hint="eastAsia" w:ascii="宋体" w:hAnsi="宋体" w:eastAsia="宋体" w:cs="宋体"/>
          <w:sz w:val="24"/>
          <w:lang w:val="en-US" w:eastAsia="zh-CN"/>
        </w:rPr>
        <w:t xml:space="preserve">15250756668</w:t>
      </w:r>
      <w:r/>
    </w:p>
    <w:p>
      <w:pPr>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58" w:name="_Toc81575153"/>
      <w:r/>
      <w:bookmarkStart w:id="59" w:name="_Toc9624"/>
      <w:r/>
      <w:bookmarkStart w:id="60" w:name="_Toc15265"/>
      <w:r/>
      <w:bookmarkStart w:id="61" w:name="_Toc81575190"/>
      <w:r/>
      <w:bookmarkStart w:id="62" w:name="_Toc11687"/>
      <w:r>
        <w:rPr>
          <w:rFonts w:hint="eastAsia" w:eastAsia="黑体"/>
          <w:sz w:val="44"/>
        </w:rPr>
        <w:t xml:space="preserve">第二章  投标人须知</w:t>
      </w:r>
      <w:bookmarkEnd w:id="58"/>
      <w:r/>
      <w:bookmarkEnd w:id="59"/>
      <w:r/>
      <w:bookmarkEnd w:id="60"/>
      <w:r/>
      <w:bookmarkEnd w:id="61"/>
      <w:r/>
      <w:bookmarkEnd w:id="62"/>
      <w:r/>
      <w:r/>
    </w:p>
    <w:p>
      <w:pPr>
        <w:pStyle w:val="827"/>
        <w:spacing w:before="0" w:after="120" w:line="520" w:lineRule="exact"/>
        <w:rPr>
          <w:rFonts w:hint="eastAsia" w:eastAsia="宋体" w:cs="Arial"/>
          <w:bCs/>
          <w:szCs w:val="22"/>
        </w:rPr>
      </w:pPr>
      <w:r/>
      <w:bookmarkStart w:id="63" w:name="_Toc4529"/>
      <w:r>
        <w:rPr>
          <w:rFonts w:hint="eastAsia" w:eastAsia="宋体" w:cs="Arial"/>
          <w:bCs/>
          <w:szCs w:val="22"/>
        </w:rPr>
        <w:t xml:space="preserve">投标人须知前附表：</w:t>
      </w:r>
      <w:bookmarkEnd w:id="63"/>
      <w:r/>
      <w:r/>
    </w:p>
    <w:tbl>
      <w:tblPr>
        <w:tblStyle w:val="793"/>
        <w:tblpPr w:horzAnchor="page" w:tblpX="1530" w:vertAnchor="text" w:tblpY="22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仿宋_GB2312" w:hAnsi="仿宋"/>
                <w:b/>
                <w:sz w:val="24"/>
                <w:szCs w:val="24"/>
              </w:rPr>
            </w:pPr>
            <w:r/>
            <w:bookmarkStart w:id="64" w:name="_Toc29262"/>
            <w:r/>
            <w:bookmarkStart w:id="65" w:name="_Toc81575191"/>
            <w:r/>
            <w:bookmarkStart w:id="66" w:name="_Toc81575154"/>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67" w:name="EB9a5853ee094f4f0ea6ec3169265f6f2c"/>
            <w:r>
              <w:rPr>
                <w:rFonts w:hint="eastAsia" w:ascii="Times New Roman" w:hAnsi="Times New Roman" w:cs="仿宋"/>
                <w:sz w:val="24"/>
                <w:szCs w:val="24"/>
              </w:rPr>
              <w:t xml:space="preserve">属性按以下第</w:t>
            </w:r>
            <w:bookmarkEnd w:id="67"/>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1.货物</w:t>
            </w:r>
            <w:bookmarkStart w:id="68" w:name="EBd5c6c026f9674c39b21b31ecd0c1e7fa"/>
            <w:r>
              <w:rPr>
                <w:rFonts w:hint="eastAsia" w:ascii="Times New Roman" w:hAnsi="Times New Roman" w:cs="仿宋"/>
                <w:sz w:val="24"/>
                <w:szCs w:val="24"/>
              </w:rPr>
              <w:t xml:space="preserve">采购；2.</w:t>
            </w:r>
            <w:bookmarkEnd w:id="68"/>
            <w:r>
              <w:rPr>
                <w:rFonts w:hint="eastAsia" w:ascii="Times New Roman" w:hAnsi="Times New Roman" w:cs="仿宋"/>
                <w:sz w:val="24"/>
                <w:szCs w:val="24"/>
              </w:rPr>
              <w:t xml:space="preserve">服务</w:t>
            </w:r>
            <w:bookmarkStart w:id="69" w:name="EBf7d2a4f44ecb4166a93ea852e73be69f"/>
            <w:r>
              <w:rPr>
                <w:rFonts w:hint="eastAsia" w:ascii="Times New Roman" w:hAnsi="Times New Roman" w:cs="仿宋"/>
                <w:sz w:val="24"/>
                <w:szCs w:val="24"/>
              </w:rPr>
              <w:t xml:space="preserve">采购；3.</w:t>
            </w:r>
            <w:bookmarkEnd w:id="69"/>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bookmarkStart w:id="70" w:name="EBd40b5fb42f2944a3b45e579ce3941f02"/>
            <w:r/>
            <w:bookmarkEnd w:id="70"/>
            <w:r>
              <w:rPr>
                <w:rFonts w:hint="eastAsia" w:ascii="Times New Roman" w:hAnsi="Times New Roman" w:cs="仿宋"/>
                <w:sz w:val="24"/>
                <w:szCs w:val="24"/>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bookmarkStart w:id="71" w:name="EBebac1462c5d9459fbda8a75065c2455d"/>
            <w:r>
              <w:rPr>
                <w:rFonts w:hint="eastAsia" w:ascii="Times New Roman" w:hAnsi="Times New Roman" w:cs="仿宋"/>
                <w:sz w:val="24"/>
                <w:szCs w:val="24"/>
              </w:rPr>
              <w:t xml:space="preserve">本项目的非主体、非关键性工作是否允许分包</w:t>
            </w:r>
            <w:bookmarkEnd w:id="71"/>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1.允许分包，</w:t>
            </w:r>
            <w:bookmarkStart w:id="72"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72"/>
            <w:r>
              <w:rPr>
                <w:rFonts w:hint="eastAsia" w:ascii="Times New Roman" w:hAnsi="Times New Roman" w:cs="仿宋"/>
                <w:sz w:val="24"/>
                <w:szCs w:val="24"/>
              </w:rPr>
              <w:t xml:space="preserve">无</w:t>
            </w:r>
            <w:r/>
          </w:p>
          <w:p>
            <w:p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360" w:lineRule="exact"/>
              <w:rPr>
                <w:rFonts w:hint="eastAsia" w:ascii="Times New Roman" w:hAnsi="Times New Roman" w:eastAsia="宋体" w:cs="仿宋"/>
                <w:sz w:val="24"/>
                <w:szCs w:val="24"/>
                <w:lang w:eastAsia="zh-CN"/>
              </w:rPr>
            </w:pPr>
            <w:r>
              <w:rPr>
                <w:rFonts w:hint="eastAsia" w:ascii="Times New Roman" w:hAnsi="Times New Roman" w:cs="仿宋"/>
                <w:sz w:val="24"/>
                <w:szCs w:val="24"/>
                <w:lang w:val="en-US" w:eastAsia="zh-CN"/>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360" w:lineRule="exact"/>
              <w:rPr>
                <w:rFonts w:hint="eastAsia"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Times New Roman" w:hAnsi="Times New Roman" w:cs="仿宋"/>
                <w:sz w:val="24"/>
                <w:szCs w:val="24"/>
              </w:rPr>
            </w:pPr>
            <w:r>
              <w:rPr>
                <w:rFonts w:hint="eastAsia" w:ascii="Times New Roman" w:hAnsi="Times New Roman" w:cs="仿宋"/>
                <w:sz w:val="24"/>
                <w:szCs w:val="24"/>
                <w:lang w:val="en-US" w:eastAsia="zh-CN"/>
              </w:rPr>
              <w:t xml:space="preserve"> </w:t>
            </w:r>
            <w:r>
              <w:rPr>
                <w:rFonts w:hint="eastAsia" w:ascii="Times New Roman" w:hAnsi="Times New Roman" w:cs="仿宋"/>
                <w:sz w:val="24"/>
                <w:szCs w:val="24"/>
                <w:lang w:eastAsia="zh-CN"/>
              </w:rPr>
              <w:t xml:space="preserve">为提高采购效率、简化资金支付流程，本项目代理服务费由</w:t>
            </w:r>
            <w:r>
              <w:rPr>
                <w:rFonts w:hint="eastAsia" w:ascii="Times New Roman" w:hAnsi="Times New Roman" w:cs="仿宋"/>
                <w:sz w:val="24"/>
                <w:szCs w:val="24"/>
              </w:rPr>
              <w:t xml:space="preserve">成交</w:t>
            </w:r>
            <w:r>
              <w:rPr>
                <w:rFonts w:hint="eastAsia" w:ascii="Times New Roman" w:hAnsi="Times New Roman" w:cs="仿宋"/>
                <w:sz w:val="24"/>
                <w:szCs w:val="24"/>
                <w:lang w:val="en-US" w:eastAsia="zh-CN"/>
              </w:rPr>
              <w:t xml:space="preserve">供应商</w:t>
            </w:r>
            <w:r>
              <w:rPr>
                <w:rFonts w:hint="eastAsia" w:ascii="Times New Roman" w:hAnsi="Times New Roman" w:cs="仿宋"/>
                <w:sz w:val="24"/>
                <w:szCs w:val="24"/>
              </w:rPr>
              <w:t xml:space="preserve">支付，收费标准：按照《江苏省招标代理服务收费指导意见》苏招协</w:t>
            </w:r>
            <w:r>
              <w:rPr>
                <w:rFonts w:hint="eastAsia" w:ascii="Times New Roman" w:hAnsi="Times New Roman" w:cs="仿宋"/>
                <w:sz w:val="24"/>
                <w:szCs w:val="24"/>
                <w:lang w:eastAsia="zh-CN"/>
              </w:rPr>
              <w:t xml:space="preserve">〔2022〕2号</w:t>
            </w:r>
            <w:r>
              <w:rPr>
                <w:rFonts w:hint="eastAsia" w:ascii="Times New Roman" w:hAnsi="Times New Roman" w:cs="仿宋"/>
                <w:sz w:val="24"/>
                <w:szCs w:val="24"/>
              </w:rPr>
              <w:t xml:space="preserve">文件收费标准</w:t>
            </w:r>
            <w:r>
              <w:rPr>
                <w:rFonts w:hint="eastAsia" w:ascii="Times New Roman" w:hAnsi="Times New Roman" w:cs="仿宋"/>
                <w:sz w:val="24"/>
                <w:szCs w:val="24"/>
                <w:lang w:val="en-US" w:eastAsia="zh-CN"/>
              </w:rPr>
              <w:t xml:space="preserve">的50%</w:t>
            </w:r>
            <w:r>
              <w:rPr>
                <w:rFonts w:hint="eastAsia" w:ascii="Times New Roman" w:hAnsi="Times New Roman" w:cs="仿宋"/>
                <w:sz w:val="24"/>
                <w:szCs w:val="24"/>
              </w:rPr>
              <w:t xml:space="preserve">收取。本项费用包含在投标报价中，无需在投标报价表中单列。供应商应综合考虑在投标报价中</w:t>
            </w:r>
            <w:r>
              <w:rPr>
                <w:rFonts w:hint="eastAsia" w:ascii="Times New Roman" w:hAnsi="Times New Roman" w:cs="仿宋"/>
                <w:sz w:val="24"/>
                <w:szCs w:val="24"/>
                <w:lang w:val="zh-CN"/>
              </w:rPr>
              <w:t xml:space="preserve">。</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仿宋"/>
                <w:sz w:val="24"/>
                <w:szCs w:val="24"/>
                <w:lang w:val="en-US" w:eastAsia="zh-CN"/>
              </w:rPr>
            </w:pPr>
            <w:r>
              <w:rPr>
                <w:rFonts w:hint="eastAsia" w:ascii="Times New Roman" w:hAnsi="Times New Roman" w:cs="仿宋"/>
                <w:sz w:val="24"/>
                <w:szCs w:val="24"/>
                <w:lang w:val="en-US" w:eastAsia="zh-CN"/>
              </w:rPr>
              <w:t xml:space="preserve">10</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360" w:lineRule="exact"/>
              <w:rPr>
                <w:rFonts w:hint="eastAsia" w:ascii="Times New Roman" w:hAnsi="Times New Roman" w:cs="仿宋"/>
                <w:sz w:val="24"/>
                <w:szCs w:val="24"/>
              </w:rPr>
            </w:pPr>
            <w:r>
              <w:rPr>
                <w:rFonts w:hint="eastAsia" w:ascii="Times New Roman" w:hAnsi="Times New Roman" w:cs="仿宋"/>
                <w:sz w:val="24"/>
                <w:szCs w:val="24"/>
              </w:rPr>
              <w:t xml:space="preserve">其他</w:t>
            </w:r>
            <w:bookmarkEnd w:id="64"/>
            <w:r/>
            <w:bookmarkEnd w:id="65"/>
            <w:r/>
            <w:bookmarkEnd w:id="66"/>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numPr>
                <w:ilvl w:val="0"/>
                <w:numId w:val="3"/>
              </w:numPr>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p>
            <w:pPr>
              <w:jc w:val="left"/>
              <w:spacing w:line="400" w:lineRule="exact"/>
              <w:rPr>
                <w:rFonts w:hint="eastAsia" w:ascii="宋体" w:hAnsi="宋体" w:eastAsia="宋体" w:cs="宋体"/>
                <w:sz w:val="24"/>
                <w:szCs w:val="24"/>
                <w:lang w:val="en-US" w:eastAsia="zh-CN"/>
              </w:rPr>
            </w:pPr>
            <w:r>
              <w:rPr>
                <w:rFonts w:hint="eastAsia" w:ascii="Times New Roman" w:hAnsi="Times New Roman" w:cs="方正仿宋_GBK"/>
                <w:sz w:val="24"/>
                <w:lang w:val="en-US" w:eastAsia="zh-CN"/>
              </w:rPr>
              <w:t xml:space="preserve">2.</w:t>
            </w:r>
            <w:r>
              <w:rPr>
                <w:rFonts w:hint="eastAsia" w:ascii="宋体" w:hAnsi="宋体" w:eastAsia="宋体" w:cs="宋体"/>
                <w:sz w:val="24"/>
                <w:szCs w:val="24"/>
                <w:lang w:val="en-US" w:eastAsia="zh-CN"/>
              </w:rPr>
              <w:t xml:space="preserve">本项目共分</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个采购包。投标人应针对不同采购包分别编制投标文件，并上传至对应的采购包。如若未按要求操作和上传失误，自行负责。</w:t>
            </w:r>
            <w:r/>
          </w:p>
          <w:p>
            <w:pPr>
              <w:jc w:val="left"/>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本次采购共分为2个采购包，按“兼投不兼中”的原则，即投标人可参与任意采购包或全部采购包的投标，但同一投标人最多只能中标其中一个采购包。评标、中标的顺序为：包1、包2，已被推荐为前面采购包第一中标候选人的投标人参与后面采购包的评审，但不再被推荐为中标候选人。</w:t>
            </w:r>
            <w:r/>
          </w:p>
          <w:p>
            <w:pPr>
              <w:jc w:val="left"/>
              <w:spacing w:line="40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评审结束后，若其中一个分包受到质疑投诉等原因，导致该分包评审结果改变，但不影响其他分包的评审结果。</w:t>
            </w:r>
            <w:r/>
          </w:p>
        </w:tc>
      </w:tr>
    </w:tbl>
    <w:p>
      <w:pPr>
        <w:pStyle w:val="827"/>
        <w:ind w:firstLine="321"/>
        <w:spacing w:before="0" w:after="0" w:line="480" w:lineRule="exact"/>
        <w:rPr>
          <w:rFonts w:hint="eastAsia" w:eastAsia="宋体" w:cs="Arial"/>
          <w:bCs/>
          <w:szCs w:val="22"/>
        </w:rPr>
      </w:pPr>
      <w:r/>
      <w:bookmarkStart w:id="73" w:name="EB6eaaf474639940df900ef4965d71f450"/>
      <w:r/>
      <w:bookmarkEnd w:id="73"/>
      <w:r/>
      <w:bookmarkStart w:id="74" w:name="_Toc8239"/>
      <w:r/>
      <w:bookmarkStart w:id="75" w:name="_Toc81575192"/>
      <w:r/>
      <w:bookmarkStart w:id="76" w:name="_Toc30953"/>
      <w:r/>
      <w:bookmarkStart w:id="77" w:name="_Toc81575155"/>
      <w:r>
        <w:rPr>
          <w:rFonts w:hint="eastAsia" w:eastAsia="宋体" w:cs="Arial"/>
          <w:bCs/>
          <w:szCs w:val="22"/>
        </w:rPr>
        <w:br w:type="page" w:clear="all"/>
      </w:r>
      <w:r>
        <w:rPr>
          <w:rFonts w:hint="eastAsia" w:eastAsia="宋体" w:cs="Arial"/>
          <w:bCs/>
          <w:szCs w:val="22"/>
        </w:rPr>
        <w:t xml:space="preserve">一、总 则</w:t>
      </w:r>
      <w:bookmarkEnd w:id="74"/>
      <w:r/>
      <w:bookmarkEnd w:id="75"/>
      <w:r/>
      <w:bookmarkEnd w:id="76"/>
      <w:r/>
      <w:bookmarkEnd w:id="77"/>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27"/>
        <w:ind w:firstLine="321"/>
        <w:spacing w:before="0" w:after="0" w:line="480" w:lineRule="exact"/>
        <w:rPr>
          <w:rFonts w:hint="eastAsia" w:eastAsia="宋体" w:cs="Arial"/>
          <w:bCs/>
          <w:szCs w:val="22"/>
        </w:rPr>
      </w:pPr>
      <w:r/>
      <w:bookmarkStart w:id="78" w:name="_Toc81575193"/>
      <w:r/>
      <w:bookmarkStart w:id="79" w:name="_Toc29306"/>
      <w:r/>
      <w:bookmarkStart w:id="80" w:name="_Toc15995"/>
      <w:r/>
      <w:bookmarkStart w:id="81" w:name="_Toc81575156"/>
      <w:r>
        <w:rPr>
          <w:rFonts w:hint="eastAsia" w:eastAsia="宋体" w:cs="Arial"/>
          <w:bCs/>
          <w:szCs w:val="22"/>
        </w:rPr>
        <w:t xml:space="preserve">二、招标文件</w:t>
      </w:r>
      <w:bookmarkEnd w:id="78"/>
      <w:r/>
      <w:bookmarkEnd w:id="79"/>
      <w:r/>
      <w:bookmarkEnd w:id="80"/>
      <w:r/>
      <w:bookmarkEnd w:id="81"/>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ascii="宋体" w:hAnsi="宋体" w:cs="仿宋"/>
          <w:b/>
          <w:bCs/>
          <w:sz w:val="24"/>
          <w:u w:val="single"/>
        </w:rPr>
        <w:t xml:space="preserve">6.1、6.2</w:t>
      </w:r>
      <w:r>
        <w:rPr>
          <w:rFonts w:hint="eastAsia" w:ascii="宋体" w:hAnsi="宋体" w:cs="仿宋"/>
          <w:b/>
          <w:bCs/>
          <w:sz w:val="24"/>
          <w:u w:val="single"/>
        </w:rPr>
        <w:t xml:space="preserve">、6.4.1</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10%</w:t>
      </w:r>
      <w:r>
        <w:rPr>
          <w:rFonts w:hint="eastAsia" w:ascii="Times New Roman" w:hAnsi="Times New Roman" w:cs="仿宋"/>
          <w:sz w:val="24"/>
        </w:rPr>
        <w:t xml:space="preserve">扣除，用扣除后的价格参加评审。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6.2.1</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82"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82"/>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6.2.4投标人需按照招标文件的要求提供《关于符合本国产品标准的声明函》，如不提供将不享受本国产品价格评审优惠。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p>
    <w:p>
      <w:pPr>
        <w:pStyle w:val="827"/>
        <w:ind w:firstLine="321"/>
        <w:spacing w:before="0" w:after="0" w:line="480" w:lineRule="exact"/>
        <w:rPr>
          <w:rFonts w:hint="eastAsia" w:eastAsia="宋体" w:cs="Arial"/>
          <w:bCs/>
          <w:szCs w:val="22"/>
        </w:rPr>
      </w:pPr>
      <w:r/>
      <w:bookmarkStart w:id="83" w:name="_Toc81575194"/>
      <w:r/>
      <w:bookmarkStart w:id="84" w:name="_Toc11461"/>
      <w:r/>
      <w:bookmarkStart w:id="85" w:name="_Toc5574"/>
      <w:r/>
      <w:bookmarkStart w:id="86" w:name="_Toc81575157"/>
      <w:r>
        <w:rPr>
          <w:rFonts w:hint="eastAsia" w:eastAsia="宋体" w:cs="Arial"/>
          <w:bCs/>
          <w:szCs w:val="22"/>
        </w:rPr>
        <w:t xml:space="preserve">三、投标文件的编制</w:t>
      </w:r>
      <w:bookmarkEnd w:id="83"/>
      <w:r/>
      <w:bookmarkEnd w:id="84"/>
      <w:r/>
      <w:bookmarkEnd w:id="85"/>
      <w:r/>
      <w:bookmarkEnd w:id="86"/>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7"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7"/>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88"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8"/>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27"/>
        <w:ind w:firstLine="321"/>
        <w:spacing w:before="0" w:after="0" w:line="480" w:lineRule="exact"/>
        <w:rPr>
          <w:rFonts w:hint="eastAsia" w:eastAsia="宋体" w:cs="Arial"/>
          <w:bCs/>
          <w:szCs w:val="22"/>
        </w:rPr>
      </w:pPr>
      <w:r/>
      <w:bookmarkStart w:id="89" w:name="_Toc81575195"/>
      <w:r/>
      <w:bookmarkStart w:id="90" w:name="_Toc81575158"/>
      <w:r/>
      <w:bookmarkStart w:id="91" w:name="_Toc23443"/>
      <w:r/>
      <w:bookmarkStart w:id="92" w:name="_Toc2773"/>
      <w:r>
        <w:rPr>
          <w:rFonts w:hint="eastAsia" w:eastAsia="宋体" w:cs="Arial"/>
          <w:bCs/>
          <w:szCs w:val="22"/>
        </w:rPr>
        <w:t xml:space="preserve">四、投标文件的提交</w:t>
      </w:r>
      <w:bookmarkEnd w:id="89"/>
      <w:r/>
      <w:bookmarkEnd w:id="90"/>
      <w:r/>
      <w:bookmarkEnd w:id="91"/>
      <w:r/>
      <w:bookmarkEnd w:id="92"/>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27"/>
        <w:ind w:firstLine="321"/>
        <w:spacing w:before="0" w:after="0" w:line="520" w:lineRule="exact"/>
        <w:rPr>
          <w:rFonts w:hint="eastAsia" w:eastAsia="宋体" w:cs="Arial"/>
          <w:bCs/>
          <w:szCs w:val="22"/>
        </w:rPr>
      </w:pPr>
      <w:r/>
      <w:bookmarkStart w:id="93" w:name="_Toc81575197"/>
      <w:r/>
      <w:bookmarkStart w:id="94" w:name="_Toc959"/>
      <w:r/>
      <w:bookmarkStart w:id="95" w:name="_Toc81575160"/>
      <w:r/>
      <w:bookmarkStart w:id="96" w:name="_Toc20026"/>
      <w:r>
        <w:rPr>
          <w:rFonts w:hint="eastAsia" w:eastAsia="宋体" w:cs="Arial"/>
          <w:bCs/>
          <w:szCs w:val="22"/>
        </w:rPr>
        <w:t xml:space="preserve">五、开标、评标程序</w:t>
      </w:r>
      <w:bookmarkEnd w:id="93"/>
      <w:r/>
      <w:bookmarkEnd w:id="94"/>
      <w:r/>
      <w:bookmarkEnd w:id="95"/>
      <w:r/>
      <w:bookmarkEnd w:id="96"/>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97" w:name="EBa9c0a2c9e523494487594c65b2a92370"/>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7"/>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8"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8"/>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9" w:name="OLE_LINK10"/>
      <w:r>
        <w:rPr>
          <w:rFonts w:hint="eastAsia" w:ascii="Times New Roman" w:hAnsi="Times New Roman" w:cs="仿宋"/>
          <w:sz w:val="24"/>
        </w:rPr>
        <w:t xml:space="preserve">多家投标人提供的核心产品品牌相同的，</w:t>
      </w:r>
      <w:bookmarkEnd w:id="99"/>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w:t>
      </w:r>
      <w:r>
        <w:rPr>
          <w:rFonts w:hint="eastAsia" w:ascii="Times New Roman" w:hAnsi="Times New Roman" w:cs="仿宋"/>
          <w:b/>
          <w:bCs/>
          <w:sz w:val="24"/>
        </w:rPr>
        <w:t xml:space="preserve">65%</w:t>
      </w:r>
      <w:r>
        <w:rPr>
          <w:rFonts w:hint="eastAsia" w:ascii="Times New Roman" w:hAnsi="Times New Roman" w:cs="仿宋"/>
          <w:sz w:val="24"/>
        </w:rPr>
        <w:t xml:space="preserve">的，即投标报价&lt;全部通过符合性审查供应商投标报价平均值</w:t>
      </w:r>
      <w:r>
        <w:rPr>
          <w:rFonts w:hint="eastAsia" w:ascii="Times New Roman" w:hAnsi="Times New Roman" w:cs="仿宋"/>
          <w:b/>
          <w:bCs/>
          <w:sz w:val="24"/>
        </w:rPr>
        <w:t xml:space="preserve">×65%</w:t>
      </w:r>
      <w:r>
        <w:rPr>
          <w:rFonts w:hint="eastAsia" w:ascii="Times New Roman" w:hAnsi="Times New Roman" w:cs="仿宋"/>
          <w:sz w:val="24"/>
        </w:rPr>
        <w:t xml:space="preserve">；</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w:t>
      </w:r>
      <w:r>
        <w:rPr>
          <w:rFonts w:hint="eastAsia" w:ascii="Times New Roman" w:hAnsi="Times New Roman" w:cs="仿宋"/>
          <w:b/>
          <w:bCs/>
          <w:sz w:val="24"/>
        </w:rPr>
        <w:t xml:space="preserve">65%</w:t>
      </w:r>
      <w:r>
        <w:rPr>
          <w:rFonts w:hint="eastAsia" w:ascii="Times New Roman" w:hAnsi="Times New Roman" w:cs="仿宋"/>
          <w:sz w:val="24"/>
        </w:rPr>
        <w:t xml:space="preserve">的，即投标报价&lt;通过符合性审查的次低报价供应商投标报价×</w:t>
      </w:r>
      <w:r>
        <w:rPr>
          <w:rFonts w:hint="eastAsia" w:ascii="Times New Roman" w:hAnsi="Times New Roman" w:cs="仿宋"/>
          <w:b/>
          <w:bCs/>
          <w:sz w:val="24"/>
        </w:rPr>
        <w:t xml:space="preserve">65%</w:t>
      </w:r>
      <w:r>
        <w:rPr>
          <w:rFonts w:hint="eastAsia" w:ascii="Times New Roman" w:hAnsi="Times New Roman" w:cs="仿宋"/>
          <w:sz w:val="24"/>
        </w:rPr>
        <w:t xml:space="preserve">；</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w:t>
      </w:r>
      <w:r>
        <w:rPr>
          <w:rFonts w:hint="eastAsia" w:ascii="Times New Roman" w:hAnsi="Times New Roman" w:cs="仿宋"/>
          <w:b/>
          <w:bCs/>
          <w:sz w:val="24"/>
        </w:rPr>
        <w:t xml:space="preserve">65%</w:t>
      </w:r>
      <w:r>
        <w:rPr>
          <w:rFonts w:hint="eastAsia" w:ascii="Times New Roman" w:hAnsi="Times New Roman" w:cs="仿宋"/>
          <w:sz w:val="24"/>
        </w:rPr>
        <w:t xml:space="preserve">的，即投标报价&lt;采购项目最高限价×65%；</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cs="仿宋"/>
          <w:bCs/>
          <w:i/>
          <w:sz w:val="24"/>
        </w:rPr>
      </w:pPr>
      <w:r>
        <w:rPr>
          <w:rFonts w:hint="eastAsia" w:ascii="Times New Roman" w:hAnsi="Times New Roman" w:cs="仿宋"/>
          <w:i/>
          <w:iCs/>
          <w:sz w:val="24"/>
        </w:rPr>
        <w:t xml:space="preserve">17.7.2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i/>
          <w:iCs/>
        </w:rPr>
      </w:r>
      <w:r/>
    </w:p>
    <w:p>
      <w:pPr>
        <w:ind w:firstLine="480"/>
        <w:spacing w:line="480" w:lineRule="exact"/>
        <w:rPr>
          <w:rFonts w:ascii="Times New Roman" w:hAnsi="Times New Roman" w:cs="仿宋"/>
          <w:bCs/>
          <w:i/>
          <w:sz w:val="24"/>
        </w:rPr>
      </w:pPr>
      <w:r>
        <w:rPr>
          <w:rFonts w:hint="eastAsia" w:ascii="Times New Roman" w:hAnsi="Times New Roman" w:cs="仿宋"/>
          <w:i/>
          <w:iCs/>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i/>
          <w:iCs/>
        </w:rPr>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27"/>
        <w:ind w:firstLine="321"/>
        <w:spacing w:before="0" w:after="0" w:line="480" w:lineRule="exact"/>
        <w:rPr>
          <w:rFonts w:hint="eastAsia" w:eastAsia="宋体" w:cs="Arial"/>
          <w:bCs/>
          <w:color w:val="000000"/>
          <w:szCs w:val="22"/>
        </w:rPr>
      </w:pPr>
      <w:r/>
      <w:bookmarkStart w:id="100" w:name="_Toc81575159"/>
      <w:r/>
      <w:bookmarkStart w:id="101" w:name="_Toc8841"/>
      <w:r/>
      <w:bookmarkStart w:id="102" w:name="_Toc81575196"/>
      <w:r/>
      <w:bookmarkStart w:id="103" w:name="_Toc8712"/>
      <w:r>
        <w:rPr>
          <w:rFonts w:hint="eastAsia" w:eastAsia="宋体" w:cs="Arial"/>
          <w:bCs/>
          <w:color w:val="000000"/>
          <w:szCs w:val="22"/>
        </w:rPr>
        <w:t xml:space="preserve">六、无效投标、废标、串通投标</w:t>
      </w:r>
      <w:bookmarkEnd w:id="100"/>
      <w:r/>
      <w:bookmarkEnd w:id="101"/>
      <w:r/>
      <w:bookmarkEnd w:id="102"/>
      <w:r/>
      <w:bookmarkEnd w:id="103"/>
      <w:r>
        <w:rPr>
          <w:rFonts w:hint="eastAsia" w:eastAsia="宋体" w:cs="Arial"/>
          <w:bCs/>
          <w:color w:val="000000"/>
          <w:szCs w:val="22"/>
        </w:rPr>
        <w:t xml:space="preserve">及取消中标候选人资格情形</w:t>
      </w:r>
      <w:r/>
    </w:p>
    <w:p>
      <w:pPr>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04" w:name="OLE_LINK4"/>
      <w:r>
        <w:rPr>
          <w:rFonts w:hint="eastAsia" w:ascii="Times New Roman" w:hAnsi="Times New Roman" w:cs="仿宋"/>
          <w:b/>
          <w:sz w:val="24"/>
        </w:rPr>
        <w:t xml:space="preserve">取消中标候选人资格情形</w:t>
      </w:r>
      <w:bookmarkEnd w:id="104"/>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05" w:name="_Toc6494"/>
      <w:r/>
      <w:bookmarkStart w:id="106" w:name="_Toc2391"/>
      <w:r/>
      <w:bookmarkStart w:id="107" w:name="_Toc81575198"/>
      <w:r/>
      <w:bookmarkStart w:id="108" w:name="_Toc81575161"/>
      <w:r/>
      <w:r/>
    </w:p>
    <w:p>
      <w:pPr>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05"/>
      <w:r/>
      <w:bookmarkEnd w:id="106"/>
      <w:r/>
      <w:bookmarkEnd w:id="107"/>
      <w:r/>
      <w:bookmarkEnd w:id="108"/>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9" w:name="OLE_LINK5"/>
      <w:r>
        <w:rPr>
          <w:rFonts w:hint="eastAsia" w:ascii="Times New Roman" w:hAnsi="Times New Roman" w:cs="仿宋"/>
          <w:sz w:val="24"/>
        </w:rPr>
        <w:t xml:space="preserve">自己的评审得分及排序情况。</w:t>
      </w:r>
      <w:bookmarkEnd w:id="109"/>
      <w:r/>
      <w:r/>
    </w:p>
    <w:p>
      <w:pPr>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hint="eastAsia"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10 </w:t>
      </w:r>
      <w:r>
        <w:rPr>
          <w:rFonts w:hint="eastAsia" w:ascii="Times New Roman" w:hAnsi="Times New Roman" w:cs="仿宋"/>
          <w:sz w:val="24"/>
        </w:rPr>
        <w:t xml:space="preserve">%提交。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%（履约保证金原提交金额的6折）提交。办理流程、偿付等内容见江苏省政府采购网“保险保函”模块。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827"/>
        <w:spacing w:before="0" w:after="0" w:line="520" w:lineRule="exact"/>
        <w:rPr>
          <w:rFonts w:hint="eastAsia" w:eastAsia="宋体" w:cs="Arial"/>
          <w:bCs/>
          <w:szCs w:val="22"/>
        </w:rPr>
      </w:pPr>
      <w:r/>
      <w:bookmarkStart w:id="110" w:name="_Toc81575162"/>
      <w:r/>
      <w:bookmarkStart w:id="111" w:name="_Toc81575199"/>
      <w:r/>
      <w:bookmarkStart w:id="112" w:name="_Toc22084"/>
      <w:r/>
      <w:bookmarkStart w:id="113" w:name="_Toc7550"/>
      <w:r>
        <w:rPr>
          <w:rFonts w:hint="eastAsia" w:eastAsia="宋体" w:cs="Arial"/>
          <w:bCs/>
          <w:szCs w:val="22"/>
        </w:rPr>
        <w:t xml:space="preserve">八、</w:t>
      </w:r>
      <w:bookmarkEnd w:id="110"/>
      <w:r/>
      <w:bookmarkEnd w:id="111"/>
      <w:r/>
      <w:bookmarkEnd w:id="112"/>
      <w:r/>
      <w:bookmarkEnd w:id="113"/>
      <w:r/>
      <w:bookmarkStart w:id="114" w:name="_Toc12263"/>
      <w:r/>
      <w:bookmarkStart w:id="115" w:name="_Toc81575163"/>
      <w:r/>
      <w:bookmarkStart w:id="116" w:name="_Toc81575200"/>
      <w:r/>
      <w:bookmarkStart w:id="117" w:name="_Toc31888"/>
      <w:r>
        <w:rPr>
          <w:rFonts w:hint="eastAsia" w:eastAsia="宋体" w:cs="Arial"/>
          <w:bCs/>
          <w:szCs w:val="22"/>
        </w:rPr>
        <w:t xml:space="preserve">质疑与投诉</w:t>
      </w:r>
      <w:bookmarkEnd w:id="114"/>
      <w:r/>
      <w:bookmarkEnd w:id="115"/>
      <w:r/>
      <w:bookmarkEnd w:id="116"/>
      <w:r/>
      <w:bookmarkEnd w:id="117"/>
      <w: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ind w:firstLine="480"/>
        <w:spacing w:line="500" w:lineRule="exact"/>
        <w:rPr>
          <w:rFonts w:hint="eastAsia" w:ascii="Times New Roman" w:hAnsi="Times New Roman" w:eastAsia="宋体" w:cs="仿宋"/>
          <w:sz w:val="24"/>
        </w:rPr>
      </w:pPr>
      <w:r>
        <w:rPr>
          <w:rFonts w:hint="eastAsia" w:ascii="Times New Roman" w:hAnsi="Times New Roman" w:cs="仿宋"/>
          <w:sz w:val="24"/>
        </w:rPr>
        <w:t xml:space="preserve">29.1投标人认为采购文件</w:t>
      </w:r>
      <w:r>
        <w:rPr>
          <w:rFonts w:hint="eastAsia" w:ascii="Times New Roman" w:hAnsi="Times New Roman" w:eastAsia="宋体" w:cs="仿宋"/>
          <w:sz w:val="24"/>
        </w:rPr>
        <w:t xml:space="preserve">、采购过程和中标结果使自己的权益受到损害的，可以在知道或者应知其权益受到损害之日起七个工作日内，</w:t>
      </w:r>
      <w:bookmarkStart w:id="118" w:name="OLE_LINK2"/>
      <w:r>
        <w:rPr>
          <w:rFonts w:hint="eastAsia" w:ascii="Times New Roman" w:hAnsi="Times New Roman" w:cs="仿宋"/>
          <w:sz w:val="24"/>
          <w:lang w:eastAsia="zh-CN"/>
        </w:rPr>
        <w:t xml:space="preserve">以书面形式</w:t>
      </w:r>
      <w:r>
        <w:rPr>
          <w:rFonts w:hint="eastAsia" w:ascii="Times New Roman" w:hAnsi="Times New Roman" w:eastAsia="宋体" w:cs="仿宋"/>
          <w:sz w:val="24"/>
        </w:rPr>
        <w:t xml:space="preserve">（原件）向采购人或采购代理机构提出质疑。</w:t>
      </w:r>
      <w:bookmarkEnd w:id="118"/>
      <w:r/>
      <w:bookmarkStart w:id="119" w:name="OLE_LINK1"/>
      <w:r>
        <w:rPr>
          <w:rFonts w:hint="eastAsia" w:ascii="Times New Roman" w:hAnsi="Times New Roman" w:eastAsia="宋体" w:cs="仿宋"/>
          <w:sz w:val="24"/>
        </w:rPr>
        <w:t xml:space="preserve">质疑超出采购机构代理范围的，供应商应当向采购人提出。</w:t>
      </w:r>
      <w:bookmarkEnd w:id="119"/>
      <w:r/>
      <w:r/>
    </w:p>
    <w:p>
      <w:pPr>
        <w:ind w:firstLine="480"/>
        <w:spacing w:line="500" w:lineRule="exact"/>
        <w:rPr>
          <w:rFonts w:hint="eastAsia" w:ascii="Times New Roman" w:hAnsi="Times New Roman" w:eastAsia="宋体" w:cs="仿宋"/>
          <w:sz w:val="24"/>
        </w:rPr>
      </w:pPr>
      <w:r>
        <w:rPr>
          <w:rFonts w:hint="eastAsia" w:ascii="Times New Roman" w:hAnsi="Times New Roman" w:eastAsia="宋体" w:cs="仿宋"/>
          <w:sz w:val="24"/>
        </w:rPr>
        <w:t xml:space="preserve">本项目接收质疑函的方式：</w:t>
      </w:r>
      <w:bookmarkStart w:id="120" w:name="EB56bd2a40e102476eadbb1fc6a9202461"/>
      <w:r/>
      <w:bookmarkEnd w:id="120"/>
      <w:r>
        <w:rPr>
          <w:rFonts w:hint="eastAsia" w:ascii="Times New Roman" w:hAnsi="Times New Roman" w:eastAsia="宋体" w:cs="仿宋"/>
          <w:sz w:val="24"/>
        </w:rPr>
        <w:t xml:space="preserve">现场接收或邮寄接收。</w:t>
      </w:r>
      <w:r/>
    </w:p>
    <w:p>
      <w:pPr>
        <w:ind w:firstLine="480"/>
        <w:spacing w:line="500" w:lineRule="exact"/>
        <w:rPr>
          <w:rFonts w:hint="eastAsia" w:ascii="Times New Roman" w:hAnsi="Times New Roman" w:eastAsia="宋体" w:cs="仿宋"/>
          <w:sz w:val="24"/>
          <w:lang w:val="en-US" w:eastAsia="zh-CN"/>
        </w:rPr>
      </w:pPr>
      <w:r>
        <w:rPr>
          <w:rFonts w:hint="eastAsia" w:ascii="Times New Roman" w:hAnsi="Times New Roman" w:eastAsia="宋体" w:cs="仿宋"/>
          <w:sz w:val="24"/>
        </w:rPr>
        <w:t xml:space="preserve">联系部门：</w:t>
      </w:r>
      <w:bookmarkStart w:id="121" w:name="EB587bd491a3fd493c8e729d1eaa56203a"/>
      <w:r/>
      <w:bookmarkEnd w:id="121"/>
      <w:r>
        <w:rPr>
          <w:rFonts w:hint="eastAsia" w:ascii="Times New Roman" w:hAnsi="Times New Roman" w:eastAsia="宋体" w:cs="仿宋"/>
          <w:sz w:val="24"/>
        </w:rPr>
        <w:t xml:space="preserve"> </w:t>
      </w:r>
      <w:r>
        <w:rPr>
          <w:rFonts w:hint="eastAsia" w:ascii="Times New Roman" w:hAnsi="Times New Roman" w:eastAsia="宋体" w:cs="仿宋"/>
          <w:sz w:val="24"/>
          <w:lang w:val="en-US" w:eastAsia="zh-CN"/>
        </w:rPr>
        <w:t xml:space="preserve">宿迁市公安局、宿迁泰元建设管理咨询有限公司</w:t>
      </w:r>
      <w:r/>
    </w:p>
    <w:p>
      <w:pPr>
        <w:ind w:firstLine="480"/>
        <w:spacing w:line="500" w:lineRule="exact"/>
        <w:rPr>
          <w:rFonts w:hint="eastAsia" w:ascii="Times New Roman" w:hAnsi="Times New Roman" w:eastAsia="宋体" w:cs="仿宋"/>
          <w:sz w:val="24"/>
          <w:lang w:val="en-US" w:eastAsia="zh-CN"/>
        </w:rPr>
      </w:pPr>
      <w:r>
        <w:rPr>
          <w:rFonts w:hint="eastAsia" w:ascii="Times New Roman" w:hAnsi="Times New Roman" w:eastAsia="宋体" w:cs="仿宋"/>
          <w:sz w:val="24"/>
        </w:rPr>
        <w:t xml:space="preserve">联系电话：</w:t>
      </w:r>
      <w:bookmarkStart w:id="122" w:name="EBac24332b85d642ddb6b4a1fa61c8735b"/>
      <w:r>
        <w:rPr>
          <w:rFonts w:hint="eastAsia" w:ascii="Times New Roman" w:hAnsi="Times New Roman" w:eastAsia="宋体" w:cs="仿宋"/>
          <w:sz w:val="24"/>
        </w:rPr>
        <w:t xml:space="preserve">宿迁市公安局：0527-8435</w:t>
      </w:r>
      <w:r>
        <w:rPr>
          <w:rFonts w:hint="eastAsia" w:ascii="Times New Roman" w:hAnsi="Times New Roman" w:cs="仿宋"/>
          <w:sz w:val="24"/>
          <w:lang w:val="en-US" w:eastAsia="zh-CN"/>
        </w:rPr>
        <w:t xml:space="preserve">2</w:t>
      </w:r>
      <w:r>
        <w:rPr>
          <w:rFonts w:hint="eastAsia" w:ascii="Times New Roman" w:hAnsi="Times New Roman" w:eastAsia="宋体" w:cs="仿宋"/>
          <w:sz w:val="24"/>
          <w:lang w:val="en-US" w:eastAsia="zh-CN"/>
        </w:rPr>
        <w:t xml:space="preserve">173；</w:t>
      </w:r>
      <w:r/>
    </w:p>
    <w:p>
      <w:pPr>
        <w:ind w:firstLine="480"/>
        <w:spacing w:line="500" w:lineRule="exact"/>
        <w:rPr>
          <w:rFonts w:hint="eastAsia" w:ascii="Times New Roman" w:hAnsi="Times New Roman" w:eastAsia="宋体" w:cs="仿宋"/>
          <w:sz w:val="24"/>
        </w:rPr>
      </w:pPr>
      <w:r>
        <w:rPr>
          <w:rFonts w:hint="eastAsia" w:ascii="Times New Roman" w:hAnsi="Times New Roman" w:eastAsia="宋体" w:cs="仿宋"/>
          <w:sz w:val="24"/>
        </w:rPr>
        <w:t xml:space="preserve">宿迁泰元建设管理咨询有限公司：15250756668</w:t>
      </w:r>
      <w:bookmarkEnd w:id="122"/>
      <w:r/>
      <w:r/>
    </w:p>
    <w:p>
      <w:pPr>
        <w:ind w:firstLine="480"/>
        <w:spacing w:line="500" w:lineRule="exact"/>
        <w:rPr>
          <w:rFonts w:hint="eastAsia" w:ascii="Times New Roman" w:hAnsi="Times New Roman" w:eastAsia="宋体" w:cs="仿宋"/>
          <w:sz w:val="24"/>
        </w:rPr>
      </w:pPr>
      <w:r>
        <w:rPr>
          <w:rFonts w:hint="eastAsia" w:ascii="Times New Roman" w:hAnsi="Times New Roman" w:eastAsia="宋体" w:cs="仿宋"/>
          <w:sz w:val="24"/>
        </w:rPr>
        <w:t xml:space="preserve">通讯地址：</w:t>
      </w:r>
      <w:bookmarkStart w:id="123" w:name="EBbc4de356f0dc436eb73023cf20f4397b"/>
      <w:r>
        <w:rPr>
          <w:rFonts w:hint="eastAsia" w:ascii="Times New Roman" w:hAnsi="Times New Roman" w:eastAsia="宋体" w:cs="仿宋"/>
          <w:sz w:val="24"/>
        </w:rPr>
        <w:t xml:space="preserve">宿迁市公安局、宿迁泰元建设管理咨询有限公司均联系：宿迁市洪泽湖路865号；</w:t>
      </w:r>
      <w:bookmarkEnd w:id="123"/>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rPr>
          <w:rFonts w:hint="eastAsia" w:ascii="Times New Roman" w:hAnsi="Times New Roman" w:eastAsia="宋体" w:cs="仿宋"/>
          <w:sz w:val="24"/>
          <w:lang w:val="en-US" w:eastAsia="zh-CN"/>
        </w:rPr>
        <w:t xml:space="preserve">投标人</w:t>
      </w:r>
      <w:r>
        <w:rPr>
          <w:rFonts w:hint="eastAsia" w:ascii="Times New Roman" w:hAnsi="Times New Roman" w:eastAsia="宋体" w:cs="仿宋"/>
          <w:sz w:val="24"/>
        </w:rPr>
        <w:t xml:space="preserve">如在法定期限内对同一采购程序环节提出多次质疑的，采购代理机构、采购人将只对供应商第一次质疑作出答复。</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rPr>
        <w:t xml:space="preserve">29.4投标人提出质疑应当提交质疑函和必要的证明材料。质疑函的必备内容：</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rPr>
        <w:t xml:space="preserve">（1）投标人的姓名或者名称、地址、邮编、联系人及联系电话；</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rPr>
        <w:t xml:space="preserve">（2）质疑项目的名称、编号；</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rPr>
        <w:t xml:space="preserve">（3）获取采购文件的时间；</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rPr>
        <w:t xml:space="preserve">（4）具体、明确的质疑事项和质疑事项相关的请求；</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rPr>
        <w:t xml:space="preserve">（5）事实依据；</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rPr>
        <w:t xml:space="preserve">（6）必要的法律依据；</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rPr>
        <w:t xml:space="preserve">（7）提出质疑的日期；</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rPr>
        <w:t xml:space="preserve">（8）投标人为自然人的，由本人签字；投标人为法人或者其他组织的，应当由法定代表人、主要负责人，或者其授权代表签字或者盖章，并加盖公章；</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rPr>
        <w:t xml:space="preserve">29.5采购人</w:t>
      </w:r>
      <w:r>
        <w:rPr>
          <w:rFonts w:hint="eastAsia" w:ascii="Times New Roman" w:hAnsi="Times New Roman" w:eastAsia="宋体" w:cs="仿宋"/>
          <w:sz w:val="24"/>
          <w:lang w:val="en-US" w:eastAsia="zh-CN"/>
        </w:rPr>
        <w:t xml:space="preserve">或采购代理机构</w:t>
      </w:r>
      <w:r>
        <w:rPr>
          <w:rFonts w:hint="eastAsia" w:ascii="Times New Roman" w:hAnsi="Times New Roman" w:eastAsia="宋体" w:cs="仿宋"/>
          <w:sz w:val="24"/>
        </w:rPr>
        <w:t xml:space="preserve">在收到质疑函后7个工作日内作出答复，并以书面形式通知质疑投标人和其他有关投标人，但质疑答复的内容不涉及商业秘密。</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lang w:val="en-US" w:eastAsia="zh-CN"/>
        </w:rPr>
        <w:t xml:space="preserve">29.6</w:t>
      </w:r>
      <w:r>
        <w:rPr>
          <w:rFonts w:hint="eastAsia" w:ascii="Times New Roman" w:hAnsi="Times New Roman" w:eastAsia="宋体" w:cs="仿宋"/>
          <w:sz w:val="24"/>
        </w:rPr>
        <w:t xml:space="preserve">以下情形的质疑不予受理</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lang w:val="en-US" w:eastAsia="zh-CN"/>
        </w:rPr>
        <w:t xml:space="preserve">29.6</w:t>
      </w:r>
      <w:r>
        <w:rPr>
          <w:rFonts w:hint="eastAsia" w:ascii="Times New Roman" w:hAnsi="Times New Roman" w:eastAsia="宋体" w:cs="仿宋"/>
          <w:sz w:val="24"/>
        </w:rPr>
        <w:t xml:space="preserve">.1内容不符合《政府采购质疑和投诉办法》第十二条规定的质疑。</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lang w:val="en-US" w:eastAsia="zh-CN"/>
        </w:rPr>
        <w:t xml:space="preserve">29.6</w:t>
      </w:r>
      <w:r>
        <w:rPr>
          <w:rFonts w:hint="eastAsia" w:ascii="Times New Roman" w:hAnsi="Times New Roman" w:eastAsia="宋体" w:cs="仿宋"/>
          <w:sz w:val="24"/>
        </w:rPr>
        <w:t xml:space="preserve">.2超出政府采购法定期限的质疑。</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lang w:val="en-US" w:eastAsia="zh-CN"/>
        </w:rPr>
        <w:t xml:space="preserve">29.6</w:t>
      </w:r>
      <w:r>
        <w:rPr>
          <w:rFonts w:hint="eastAsia" w:ascii="Times New Roman" w:hAnsi="Times New Roman" w:eastAsia="宋体" w:cs="仿宋"/>
          <w:sz w:val="24"/>
        </w:rPr>
        <w:t xml:space="preserve">.3以传真、电子邮件等方式递交的非原件形式的质疑。</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lang w:val="en-US" w:eastAsia="zh-CN"/>
        </w:rPr>
        <w:t xml:space="preserve">29.6</w:t>
      </w:r>
      <w:r>
        <w:rPr>
          <w:rFonts w:hint="eastAsia" w:ascii="Times New Roman" w:hAnsi="Times New Roman" w:eastAsia="宋体" w:cs="仿宋"/>
          <w:sz w:val="24"/>
        </w:rPr>
        <w:t xml:space="preserve">.4未参加投标活动的投标人或在投标活动中自身权益未受到损害的投标人所提出的质疑。</w:t>
      </w:r>
      <w:r/>
    </w:p>
    <w:p>
      <w:pPr>
        <w:ind w:firstLine="420"/>
        <w:spacing w:line="360" w:lineRule="auto"/>
        <w:shd w:val="clear" w:color="auto" w:fill="ffffff"/>
        <w:widowControl/>
        <w:rPr>
          <w:rFonts w:hint="eastAsia" w:ascii="Times New Roman" w:hAnsi="Times New Roman" w:eastAsia="宋体" w:cs="仿宋"/>
          <w:sz w:val="24"/>
        </w:rPr>
      </w:pPr>
      <w:r>
        <w:rPr>
          <w:rFonts w:hint="eastAsia" w:ascii="Times New Roman" w:hAnsi="Times New Roman" w:eastAsia="宋体" w:cs="仿宋"/>
          <w:sz w:val="24"/>
          <w:lang w:val="en-US" w:eastAsia="zh-CN"/>
        </w:rPr>
        <w:t xml:space="preserve">29.7</w:t>
      </w:r>
      <w:r>
        <w:rPr>
          <w:rFonts w:hint="eastAsia" w:ascii="Times New Roman" w:hAnsi="Times New Roman" w:eastAsia="宋体" w:cs="仿宋"/>
          <w:sz w:val="24"/>
        </w:rPr>
        <w:t xml:space="preserve">投标人提出书面质疑必须有理、有据，不得捏造事实、提供虚假材料进行恶意质疑。否则，一经查实，</w:t>
      </w:r>
      <w:r>
        <w:rPr>
          <w:rFonts w:hint="eastAsia" w:ascii="Times New Roman" w:hAnsi="Times New Roman" w:eastAsia="宋体" w:cs="仿宋"/>
          <w:sz w:val="24"/>
          <w:lang w:val="en-US" w:eastAsia="zh-CN"/>
        </w:rPr>
        <w:t xml:space="preserve">采购人或</w:t>
      </w:r>
      <w:r>
        <w:rPr>
          <w:rFonts w:hint="eastAsia" w:ascii="Times New Roman" w:hAnsi="Times New Roman" w:eastAsia="宋体" w:cs="仿宋"/>
          <w:sz w:val="24"/>
        </w:rPr>
        <w:t xml:space="preserve">采购代理机构有权依据政府采购的有关规定，报请政府采购监管部门对该投标人进行相应的行政处罚和记录该投标人的失信信息。</w:t>
      </w:r>
      <w:r/>
      <w:r>
        <w:rPr>
          <w:rFonts w:hint="eastAsia"/>
        </w:rPr>
      </w:r>
      <w:r/>
      <w:r>
        <w:rPr>
          <w:rFonts w:hint="eastAsia" w:ascii="Times New Roman" w:hAnsi="Times New Roman" w:eastAsia="宋体" w:cs="仿宋"/>
          <w:sz w:val="24"/>
        </w:rPr>
      </w:r>
    </w:p>
    <w:p>
      <w:pPr>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pStyle w:val="826"/>
        <w:jc w:val="center"/>
        <w:spacing w:before="200"/>
      </w:pPr>
      <w:r/>
      <w:bookmarkStart w:id="124" w:name="EB4d341233595e4bf8ad7006b4bd78d974"/>
      <w:r/>
      <w:bookmarkEnd w:id="124"/>
      <w:r/>
      <w:bookmarkStart w:id="125" w:name="_Toc81575201"/>
      <w:r/>
      <w:bookmarkStart w:id="126" w:name="_Toc81575164"/>
      <w:r/>
      <w:bookmarkStart w:id="127" w:name="_Toc17961"/>
      <w:r/>
      <w:bookmarkStart w:id="128" w:name="_Hlk166141273"/>
      <w:r>
        <w:rPr>
          <w:rFonts w:hint="eastAsia" w:ascii="Calibri" w:hAnsi="Calibri" w:eastAsia="宋体" w:cs="Times New Roman"/>
          <w:b/>
          <w:sz w:val="44"/>
          <w:szCs w:val="44"/>
        </w:rPr>
        <w:t xml:space="preserve">第三章  资格审查及评标</w:t>
      </w:r>
      <w:bookmarkEnd w:id="125"/>
      <w:r/>
      <w:bookmarkEnd w:id="126"/>
      <w:r>
        <w:rPr>
          <w:rFonts w:hint="eastAsia" w:ascii="Calibri" w:hAnsi="Calibri" w:eastAsia="宋体" w:cs="Times New Roman"/>
          <w:b/>
          <w:sz w:val="44"/>
          <w:szCs w:val="44"/>
        </w:rPr>
        <w:t xml:space="preserve">方法</w:t>
      </w:r>
      <w:bookmarkEnd w:id="127"/>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793"/>
        <w:tblW w:w="0" w:type="auto"/>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hint="eastAsia" w:ascii="Times New Roman" w:hAnsi="Times New Roman" w:cs="仿宋"/>
                <w:b/>
                <w:bCs/>
              </w:rPr>
            </w:pPr>
            <w:r>
              <w:rPr>
                <w:rFonts w:hint="eastAsia" w:ascii="Times New Roman" w:hAnsi="Times New Roman" w:cs="仿宋"/>
                <w:b/>
                <w:bCs/>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hint="eastAsia" w:ascii="Times New Roman" w:hAnsi="Times New Roman" w:cs="仿宋"/>
                <w:b/>
                <w:bCs/>
              </w:rPr>
            </w:pPr>
            <w:r>
              <w:rPr>
                <w:rFonts w:hint="eastAsia" w:ascii="Times New Roman" w:hAnsi="Times New Roman" w:cs="仿宋"/>
                <w:b/>
                <w:bCs/>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投标声明及承诺函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sz w:val="24"/>
          <w:szCs w:val="28"/>
        </w:rPr>
      </w:pPr>
      <w:r>
        <w:rPr>
          <w:rFonts w:hint="eastAsia"/>
          <w:sz w:val="24"/>
          <w:szCs w:val="28"/>
        </w:rPr>
        <w:t xml:space="preserve">评标委员会对符合资格的投标人的投标文件进行符合性审查，未通过审查的为无效标，不再参与评审。</w:t>
      </w:r>
      <w:r/>
    </w:p>
    <w:tbl>
      <w:tblPr>
        <w:tblStyle w:val="793"/>
        <w:tblW w:w="0" w:type="auto"/>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b/>
                <w:bCs/>
              </w:rPr>
            </w:pPr>
            <w:r>
              <w:rPr>
                <w:rFonts w:hint="eastAsia" w:ascii="Times New Roman" w:hAnsi="Times New Roman" w:cs="仿宋"/>
                <w:b/>
                <w:bCs/>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b/>
                <w:bCs/>
              </w:rPr>
            </w:pPr>
            <w:r>
              <w:rPr>
                <w:rFonts w:hint="eastAsia" w:ascii="Times New Roman" w:hAnsi="Times New Roman" w:cs="仿宋"/>
                <w:b/>
                <w:bCs/>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bookmarkStart w:id="129" w:name="OLE_LINK48"/>
            <w:r>
              <w:rPr>
                <w:rFonts w:hint="eastAsia" w:ascii="Times New Roman" w:hAnsi="Times New Roman" w:cs="仿宋"/>
              </w:rPr>
              <w:t xml:space="preserve">法人授权书</w:t>
            </w:r>
            <w:bookmarkEnd w:id="129"/>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ascii="Times New Roman" w:hAnsi="Times New Roman" w:cs="仿宋"/>
              </w:rPr>
            </w:pPr>
            <w:r/>
            <w:bookmarkStart w:id="130" w:name="OLE_LINK51"/>
            <w:r>
              <w:rPr>
                <w:rFonts w:hint="eastAsia" w:ascii="Times New Roman" w:hAnsi="Times New Roman" w:cs="仿宋"/>
              </w:rPr>
              <w:t xml:space="preserve">其他</w:t>
            </w:r>
            <w:bookmarkEnd w:id="130"/>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hint="eastAsia"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ind w:firstLine="480"/>
        <w:jc w:val="left"/>
        <w:spacing w:line="480" w:lineRule="exact"/>
        <w:rPr>
          <w:rFonts w:hint="eastAsia" w:ascii="Times New Roman" w:hAnsi="Times New Roman" w:cs="仿宋"/>
          <w:sz w:val="24"/>
        </w:rPr>
      </w:pPr>
      <w:r>
        <w:rPr>
          <w:rFonts w:hint="eastAsia" w:ascii="Times New Roman" w:hAnsi="Times New Roman" w:cs="仿宋"/>
          <w:color w:val="000000"/>
          <w:sz w:val="24"/>
          <w:u w:val="none"/>
        </w:rPr>
        <w:t xml:space="preserve">评标的顺序：</w:t>
      </w:r>
      <w:r>
        <w:rPr>
          <w:rFonts w:hint="eastAsia" w:ascii="Times New Roman" w:hAnsi="Times New Roman" w:cs="仿宋"/>
          <w:color w:val="000000"/>
          <w:sz w:val="24"/>
          <w:u w:val="none"/>
          <w:lang w:eastAsia="zh-CN"/>
        </w:rPr>
        <w:t xml:space="preserve">采购包1</w:t>
      </w:r>
      <w:r>
        <w:rPr>
          <w:rFonts w:hint="eastAsia" w:ascii="Times New Roman" w:hAnsi="Times New Roman" w:cs="仿宋"/>
          <w:color w:val="000000"/>
          <w:sz w:val="24"/>
          <w:u w:val="none"/>
        </w:rPr>
        <w:t xml:space="preserve">、</w:t>
      </w:r>
      <w:r>
        <w:rPr>
          <w:rFonts w:hint="eastAsia" w:ascii="Times New Roman" w:hAnsi="Times New Roman" w:cs="仿宋"/>
          <w:color w:val="000000"/>
          <w:sz w:val="24"/>
          <w:u w:val="none"/>
          <w:lang w:eastAsia="zh-CN"/>
        </w:rPr>
        <w:t xml:space="preserve">采购包2</w:t>
      </w:r>
      <w:r>
        <w:rPr>
          <w:rFonts w:hint="eastAsia" w:ascii="Times New Roman" w:hAnsi="Times New Roman" w:cs="仿宋"/>
          <w:color w:val="000000"/>
          <w:sz w:val="24"/>
          <w:u w:val="none"/>
        </w:rPr>
        <w:t xml:space="preserve">。已被推荐为</w:t>
      </w:r>
      <w:r>
        <w:rPr>
          <w:rFonts w:hint="eastAsia" w:ascii="Times New Roman" w:hAnsi="Times New Roman" w:cs="仿宋"/>
          <w:color w:val="000000"/>
          <w:sz w:val="24"/>
          <w:u w:val="none"/>
          <w:lang w:eastAsia="zh-CN"/>
        </w:rPr>
        <w:t xml:space="preserve">采购包1</w:t>
      </w:r>
      <w:r>
        <w:rPr>
          <w:rFonts w:hint="eastAsia" w:ascii="Times New Roman" w:hAnsi="Times New Roman" w:cs="仿宋"/>
          <w:color w:val="000000"/>
          <w:sz w:val="24"/>
          <w:u w:val="none"/>
        </w:rPr>
        <w:t xml:space="preserve">的中标候选人不再参与</w:t>
      </w:r>
      <w:r>
        <w:rPr>
          <w:rFonts w:hint="eastAsia" w:ascii="Times New Roman" w:hAnsi="Times New Roman" w:cs="仿宋"/>
          <w:color w:val="000000"/>
          <w:sz w:val="24"/>
          <w:u w:val="none"/>
          <w:lang w:eastAsia="zh-CN"/>
        </w:rPr>
        <w:t xml:space="preserve">采购包2</w:t>
      </w:r>
      <w:r>
        <w:rPr>
          <w:rFonts w:hint="eastAsia" w:ascii="Times New Roman" w:hAnsi="Times New Roman" w:cs="仿宋"/>
          <w:color w:val="000000"/>
          <w:sz w:val="24"/>
          <w:u w:val="none"/>
        </w:rPr>
        <w:t xml:space="preserve">的评审。</w:t>
      </w:r>
      <w:r/>
    </w:p>
    <w:p>
      <w:pPr>
        <w:numPr>
          <w:ilvl w:val="0"/>
          <w:numId w:val="0"/>
        </w:numPr>
        <w:ind w:firstLine="482"/>
        <w:jc w:val="left"/>
        <w:spacing w:line="480" w:lineRule="exact"/>
        <w:rPr>
          <w:rFonts w:hint="eastAsia" w:ascii="Times New Roman" w:hAnsi="Times New Roman" w:cs="仿宋"/>
          <w:b/>
          <w:bCs/>
          <w:sz w:val="24"/>
        </w:rPr>
      </w:pPr>
      <w:r>
        <w:rPr>
          <w:rFonts w:hint="eastAsia" w:ascii="Times New Roman" w:hAnsi="Times New Roman" w:eastAsia="宋体" w:cs="仿宋"/>
          <w:b/>
          <w:bCs/>
          <w:sz w:val="24"/>
          <w:szCs w:val="22"/>
          <w:lang w:val="en-US" w:eastAsia="zh-CN" w:bidi="ar-SA"/>
        </w:rPr>
        <w:t xml:space="preserve">四、</w:t>
      </w:r>
      <w:r>
        <w:rPr>
          <w:rFonts w:hint="eastAsia" w:ascii="Times New Roman" w:hAnsi="Times New Roman" w:cs="仿宋"/>
          <w:b/>
          <w:bCs/>
          <w:sz w:val="24"/>
        </w:rPr>
        <w:t xml:space="preserve">评标标准</w:t>
      </w:r>
      <w:r/>
    </w:p>
    <w:p>
      <w:pPr>
        <w:ind w:firstLine="480"/>
        <w:jc w:val="left"/>
        <w:spacing w:line="480" w:lineRule="exact"/>
        <w:rPr>
          <w:rFonts w:hint="default" w:ascii="Times New Roman" w:hAnsi="Times New Roman" w:cs="仿宋"/>
          <w:color w:val="000000"/>
          <w:sz w:val="24"/>
          <w:u w:val="none"/>
          <w:lang w:val="en-US" w:eastAsia="zh-CN"/>
        </w:rPr>
      </w:pPr>
      <w:r>
        <w:rPr>
          <w:rFonts w:hint="eastAsia" w:ascii="Times New Roman" w:hAnsi="Times New Roman" w:cs="仿宋"/>
          <w:color w:val="000000"/>
          <w:sz w:val="24"/>
          <w:u w:val="none"/>
          <w:lang w:val="en-US" w:eastAsia="zh-CN"/>
        </w:rPr>
        <w:t xml:space="preserve">采购包1、采购包2评标标准</w:t>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3"/>
        <w:gridCol w:w="1243"/>
        <w:gridCol w:w="6264"/>
      </w:tblGrid>
      <w:tr>
        <w:trPr>
          <w:jc w:val="center"/>
          <w:trHeight w:val="572"/>
        </w:trPr>
        <w:tc>
          <w:tcPr>
            <w:tcW w:w="1443" w:type="dxa"/>
            <w:vAlign w:val="center"/>
            <w:textDirection w:val="lrTb"/>
            <w:noWrap w:val="false"/>
          </w:tcPr>
          <w:p>
            <w:pPr>
              <w:jc w:val="center"/>
              <w:spacing w:line="360" w:lineRule="exact"/>
              <w:widowControl/>
              <w:rPr>
                <w:rFonts w:hint="eastAsia" w:ascii="宋体" w:hAnsi="宋体" w:eastAsia="宋体" w:cs="宋体"/>
                <w:sz w:val="24"/>
                <w:szCs w:val="24"/>
              </w:rPr>
            </w:pPr>
            <w:r/>
            <w:bookmarkStart w:id="131" w:name="RANGE!A1"/>
            <w:r>
              <w:rPr>
                <w:rFonts w:hint="eastAsia" w:ascii="宋体" w:hAnsi="宋体" w:eastAsia="宋体" w:cs="宋体"/>
                <w:sz w:val="24"/>
                <w:szCs w:val="24"/>
              </w:rPr>
              <w:t xml:space="preserve">评审因素</w:t>
            </w:r>
            <w:bookmarkEnd w:id="131"/>
            <w:r/>
            <w:r/>
          </w:p>
        </w:tc>
        <w:tc>
          <w:tcPr>
            <w:tcW w:w="1243"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分数</w:t>
            </w:r>
            <w:r/>
          </w:p>
        </w:tc>
        <w:tc>
          <w:tcPr>
            <w:tcW w:w="6264"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评审标准</w:t>
            </w:r>
            <w:r/>
          </w:p>
        </w:tc>
      </w:tr>
      <w:tr>
        <w:trPr>
          <w:jc w:val="center"/>
          <w:trHeight w:val="274"/>
        </w:trPr>
        <w:tc>
          <w:tcPr>
            <w:tcW w:w="1443"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投标报价</w:t>
            </w:r>
            <w:r/>
          </w:p>
        </w:tc>
        <w:tc>
          <w:tcPr>
            <w:tcW w:w="1243"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30.00分</w:t>
            </w:r>
            <w:r/>
          </w:p>
        </w:tc>
        <w:tc>
          <w:tcPr>
            <w:tcW w:w="6264" w:type="dxa"/>
            <w:vAlign w:val="center"/>
            <w:textDirection w:val="lrTb"/>
            <w:noWrap w:val="false"/>
          </w:tcPr>
          <w:p>
            <w:pPr>
              <w:pStyle w:val="886"/>
              <w:jc w:val="both"/>
              <w:spacing w:before="0" w:beforeAutospacing="0" w:after="0" w:afterAutospacing="0" w:line="360" w:lineRule="exact"/>
              <w:widowControl w:val="off"/>
              <w:rPr>
                <w:rFonts w:hint="eastAsia" w:ascii="宋体" w:hAnsi="宋体" w:eastAsia="宋体" w:cs="宋体"/>
                <w:sz w:val="24"/>
                <w:szCs w:val="24"/>
              </w:rPr>
            </w:pPr>
            <w:r/>
            <w:bookmarkStart w:id="132" w:name="OLE_LINK52"/>
            <w:r>
              <w:rPr>
                <w:rFonts w:hint="eastAsia" w:ascii="宋体" w:hAnsi="宋体" w:eastAsia="宋体" w:cs="宋体"/>
                <w:sz w:val="24"/>
                <w:szCs w:val="24"/>
              </w:rPr>
              <w:t xml:space="preserve">采用低价优先法计算，即满足招标文件要求且投标价格最低的投标报价为评标基准价，其价格分为满分。其他投标人投标报价得分＝（评标基准价/投标报价）*30。</w:t>
            </w:r>
            <w:r/>
          </w:p>
          <w:p>
            <w:pPr>
              <w:pStyle w:val="886"/>
              <w:jc w:val="both"/>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注：1.符合规定的小微企业（含监狱企业和残疾人福利单位）报价给予10%的扣除，用扣除后的价格参加评审。</w:t>
            </w:r>
            <w:r/>
          </w:p>
          <w:p>
            <w:pPr>
              <w:pStyle w:val="886"/>
              <w:jc w:val="both"/>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符合规定的本国产品的报价给予20%的价格扣除，用扣除后的价格参与评审。</w:t>
            </w:r>
            <w:bookmarkEnd w:id="132"/>
            <w:r/>
            <w:r/>
          </w:p>
        </w:tc>
      </w:tr>
      <w:tr>
        <w:trPr>
          <w:jc w:val="center"/>
          <w:trHeight w:val="859"/>
        </w:trPr>
        <w:tc>
          <w:tcPr>
            <w:tcW w:w="1443" w:type="dxa"/>
            <w:vAlign w:val="center"/>
            <w:textDirection w:val="lrTb"/>
            <w:noWrap w:val="false"/>
          </w:tcPr>
          <w:p>
            <w:pPr>
              <w:jc w:val="center"/>
              <w:spacing w:line="360" w:lineRule="exact"/>
              <w:widowControl/>
              <w:rPr>
                <w:rFonts w:hint="eastAsia" w:ascii="宋体" w:hAnsi="宋体" w:eastAsia="宋体" w:cs="宋体"/>
                <w:sz w:val="24"/>
                <w:szCs w:val="24"/>
              </w:rPr>
            </w:pPr>
            <w:r/>
            <w:bookmarkStart w:id="133" w:name="OLE_LINK53"/>
            <w:r>
              <w:rPr>
                <w:rFonts w:hint="eastAsia" w:ascii="宋体" w:hAnsi="宋体" w:eastAsia="宋体" w:cs="宋体"/>
                <w:sz w:val="24"/>
                <w:szCs w:val="24"/>
              </w:rPr>
              <w:t xml:space="preserve">技术参数响应</w:t>
            </w:r>
            <w:bookmarkEnd w:id="133"/>
            <w:r/>
            <w:r/>
          </w:p>
        </w:tc>
        <w:tc>
          <w:tcPr>
            <w:tcW w:w="1243" w:type="dxa"/>
            <w:vAlign w:val="center"/>
            <w:textDirection w:val="lrTb"/>
            <w:noWrap w:val="false"/>
          </w:tcPr>
          <w:p>
            <w:pPr>
              <w:jc w:val="both"/>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.0</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tc>
        <w:tc>
          <w:tcPr>
            <w:tcW w:w="6264" w:type="dxa"/>
            <w:vAlign w:val="center"/>
            <w:textDirection w:val="lrTb"/>
            <w:noWrap w:val="false"/>
          </w:tcPr>
          <w:p>
            <w:pPr>
              <w:pStyle w:val="886"/>
              <w:jc w:val="both"/>
              <w:spacing w:before="0" w:beforeAutospacing="0" w:after="0" w:afterAutospacing="0" w:line="360" w:lineRule="exact"/>
              <w:widowControl w:val="off"/>
              <w:rPr>
                <w:rFonts w:hint="eastAsia" w:ascii="宋体" w:hAnsi="宋体" w:eastAsia="宋体" w:cs="宋体"/>
                <w:sz w:val="24"/>
                <w:szCs w:val="24"/>
              </w:rPr>
            </w:pPr>
            <w:r/>
            <w:bookmarkStart w:id="134" w:name="OLE_LINK54"/>
            <w:r>
              <w:rPr>
                <w:rFonts w:hint="eastAsia" w:ascii="宋体" w:hAnsi="宋体" w:eastAsia="宋体" w:cs="宋体"/>
                <w:sz w:val="24"/>
                <w:szCs w:val="24"/>
              </w:rPr>
              <w:t xml:space="preserve">针对招标文件“第四章 采购需求-</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、技术参数要求”内容（★项除外）进行评分，所投产品技术参数性能、质量等完全满足或优于招标文件技术参数要求的得</w:t>
            </w: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分。一般参数项目，每有一项（一个句号的完整内容为一“项”，共</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项）不满足的扣0.</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分；“▲”为重点参数要求，每有一项（一个句号的完整内容为一“项”，共</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项）</w:t>
            </w:r>
            <w:r>
              <w:rPr>
                <w:rFonts w:hint="eastAsia" w:ascii="宋体" w:hAnsi="宋体" w:eastAsia="宋体" w:cs="宋体"/>
                <w:color w:val="000000"/>
                <w:sz w:val="24"/>
                <w:szCs w:val="24"/>
              </w:rPr>
              <w:t xml:space="preserve">不满足的扣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sz w:val="24"/>
                <w:szCs w:val="24"/>
              </w:rPr>
              <w:t xml:space="preserve">。</w:t>
            </w:r>
            <w:r/>
          </w:p>
          <w:p>
            <w:pPr>
              <w:pStyle w:val="886"/>
              <w:jc w:val="both"/>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bookmarkEnd w:id="134"/>
            <w:r/>
            <w:r/>
          </w:p>
        </w:tc>
      </w:tr>
      <w:tr>
        <w:trPr>
          <w:jc w:val="center"/>
          <w:trHeight w:val="859"/>
        </w:trPr>
        <w:tc>
          <w:tcPr>
            <w:tcW w:w="1443"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企业</w:t>
            </w:r>
            <w:r/>
          </w:p>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1243" w:type="dxa"/>
            <w:vAlign w:val="center"/>
            <w:textDirection w:val="lrTb"/>
            <w:noWrap w:val="false"/>
          </w:tcPr>
          <w:p>
            <w:pPr>
              <w:jc w:val="center"/>
              <w:spacing w:line="360" w:lineRule="exact"/>
              <w:widowControl/>
              <w:rPr>
                <w:rFonts w:hint="eastAsia" w:ascii="宋体" w:hAnsi="宋体" w:eastAsia="宋体" w:cs="宋体"/>
                <w:sz w:val="24"/>
                <w:szCs w:val="24"/>
                <w:highlight w:val="yellow"/>
              </w:rPr>
            </w:pPr>
            <w:r>
              <w:rPr>
                <w:rFonts w:hint="eastAsia" w:ascii="宋体" w:hAnsi="宋体" w:eastAsia="宋体" w:cs="宋体"/>
                <w:sz w:val="24"/>
                <w:szCs w:val="24"/>
              </w:rPr>
              <w:t xml:space="preserve">6.00分</w:t>
            </w:r>
            <w:r/>
          </w:p>
        </w:tc>
        <w:tc>
          <w:tcPr>
            <w:tcW w:w="6264" w:type="dxa"/>
            <w:vAlign w:val="center"/>
            <w:textDirection w:val="lrTb"/>
            <w:noWrap w:val="false"/>
          </w:tcPr>
          <w:p>
            <w:pPr>
              <w:pStyle w:val="886"/>
              <w:jc w:val="both"/>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投标人自2023年1月1日以来（以合同签订时间为准）承担过类似项目业绩的，每有一个得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cs="宋体"/>
                <w:sz w:val="24"/>
                <w:szCs w:val="24"/>
                <w:lang w:val="en-US" w:eastAsia="zh-CN"/>
              </w:rPr>
              <w:t xml:space="preserve">本项</w:t>
            </w:r>
            <w:r>
              <w:rPr>
                <w:rFonts w:hint="eastAsia" w:ascii="宋体" w:hAnsi="宋体" w:eastAsia="宋体" w:cs="宋体"/>
                <w:sz w:val="24"/>
                <w:szCs w:val="24"/>
              </w:rPr>
              <w:t xml:space="preserve">最高得6分。</w:t>
            </w:r>
            <w:r/>
          </w:p>
          <w:p>
            <w:pPr>
              <w:pStyle w:val="886"/>
              <w:jc w:val="both"/>
              <w:spacing w:before="0" w:beforeAutospacing="0" w:after="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注：提供中标（成交）通知书</w:t>
            </w:r>
            <w:r>
              <w:rPr>
                <w:rFonts w:hint="eastAsia" w:cs="宋体"/>
                <w:sz w:val="24"/>
                <w:szCs w:val="24"/>
                <w:lang w:val="en-US" w:eastAsia="zh-CN"/>
              </w:rPr>
              <w:t xml:space="preserve">原件</w:t>
            </w:r>
            <w:r>
              <w:rPr>
                <w:rFonts w:hint="eastAsia" w:ascii="宋体" w:hAnsi="宋体" w:eastAsia="宋体" w:cs="宋体"/>
                <w:sz w:val="24"/>
                <w:szCs w:val="24"/>
              </w:rPr>
              <w:t xml:space="preserve">电子件、合同（主要内容清晰可见</w:t>
            </w:r>
            <w:r>
              <w:rPr>
                <w:rFonts w:hint="eastAsia" w:ascii="宋体" w:hAnsi="宋体" w:eastAsia="宋体" w:cs="宋体"/>
                <w:sz w:val="24"/>
                <w:szCs w:val="24"/>
                <w:lang w:eastAsia="zh-CN"/>
              </w:rPr>
              <w:t xml:space="preserve">，</w:t>
            </w:r>
            <w:r>
              <w:rPr>
                <w:rFonts w:hint="eastAsia" w:ascii="宋体" w:hAnsi="宋体" w:eastAsia="宋体" w:cs="宋体"/>
                <w:sz w:val="24"/>
                <w:szCs w:val="24"/>
                <w:rtl w:val="0"/>
                <w:lang w:val="en-US" w:eastAsia="zh-CN"/>
              </w:rPr>
              <w:t xml:space="preserve">含合同服务内容、合同金额、合同盖章页等</w:t>
            </w:r>
            <w:r>
              <w:rPr>
                <w:rFonts w:hint="eastAsia" w:ascii="宋体" w:hAnsi="宋体" w:eastAsia="宋体" w:cs="宋体"/>
                <w:sz w:val="24"/>
                <w:szCs w:val="24"/>
              </w:rPr>
              <w:t xml:space="preserve">）</w:t>
            </w:r>
            <w:r>
              <w:rPr>
                <w:rFonts w:hint="eastAsia" w:cs="宋体"/>
                <w:sz w:val="24"/>
                <w:szCs w:val="24"/>
                <w:lang w:val="en-US" w:eastAsia="zh-CN"/>
              </w:rPr>
              <w:t xml:space="preserve">原件</w:t>
            </w:r>
            <w:r>
              <w:rPr>
                <w:rFonts w:hint="eastAsia" w:ascii="宋体" w:hAnsi="宋体" w:eastAsia="宋体" w:cs="宋体"/>
                <w:sz w:val="24"/>
                <w:szCs w:val="24"/>
              </w:rPr>
              <w:t xml:space="preserve">电子件、验收证明材料</w:t>
            </w:r>
            <w:r>
              <w:rPr>
                <w:rFonts w:hint="eastAsia" w:cs="宋体"/>
                <w:sz w:val="24"/>
                <w:szCs w:val="24"/>
                <w:lang w:val="en-US" w:eastAsia="zh-CN"/>
              </w:rPr>
              <w:t xml:space="preserve">原件</w:t>
            </w:r>
            <w:r>
              <w:rPr>
                <w:rFonts w:hint="eastAsia" w:ascii="宋体" w:hAnsi="宋体" w:eastAsia="宋体" w:cs="宋体"/>
                <w:sz w:val="24"/>
                <w:szCs w:val="24"/>
              </w:rPr>
              <w:t xml:space="preserve">电子件，未提供或提供不全不得分。</w:t>
            </w:r>
            <w:r/>
          </w:p>
        </w:tc>
      </w:tr>
      <w:tr>
        <w:trPr>
          <w:jc w:val="center"/>
          <w:trHeight w:val="859"/>
        </w:trPr>
        <w:tc>
          <w:tcPr>
            <w:tcW w:w="1443" w:type="dxa"/>
            <w:vAlign w:val="center"/>
            <w:textDirection w:val="lrTb"/>
            <w:noWrap w:val="false"/>
          </w:tcPr>
          <w:p>
            <w:pPr>
              <w:jc w:val="center"/>
              <w:spacing w:line="360" w:lineRule="exact"/>
              <w:widowControl/>
              <w:rPr>
                <w:rFonts w:hint="eastAsia" w:ascii="宋体" w:hAnsi="宋体" w:eastAsia="宋体" w:cs="宋体"/>
                <w:sz w:val="24"/>
                <w:szCs w:val="24"/>
              </w:rPr>
            </w:pPr>
            <w:r/>
            <w:bookmarkStart w:id="135" w:name="OLE_LINK57"/>
            <w:r>
              <w:rPr>
                <w:rFonts w:hint="eastAsia" w:ascii="宋体" w:hAnsi="宋体" w:eastAsia="宋体" w:cs="宋体"/>
                <w:sz w:val="24"/>
                <w:szCs w:val="24"/>
              </w:rPr>
              <w:t xml:space="preserve">项目实施</w:t>
            </w:r>
            <w:r/>
          </w:p>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方案</w:t>
            </w:r>
            <w:r/>
          </w:p>
        </w:tc>
        <w:tc>
          <w:tcPr>
            <w:tcW w:w="1243"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.00分</w:t>
            </w:r>
            <w:r/>
          </w:p>
        </w:tc>
        <w:tc>
          <w:tcPr>
            <w:tcW w:w="6264"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针对采购文件“第四章 采购需求-</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、项目实施</w:t>
            </w:r>
            <w:r>
              <w:rPr>
                <w:rFonts w:hint="eastAsia" w:ascii="宋体" w:hAnsi="宋体" w:eastAsia="宋体" w:cs="宋体"/>
                <w:sz w:val="24"/>
                <w:szCs w:val="24"/>
                <w:lang w:val="en-US" w:eastAsia="zh-CN"/>
              </w:rPr>
              <w:t xml:space="preserve">要求</w:t>
            </w:r>
            <w:r>
              <w:rPr>
                <w:rFonts w:hint="eastAsia" w:ascii="宋体" w:hAnsi="宋体" w:eastAsia="宋体" w:cs="宋体"/>
                <w:sz w:val="24"/>
                <w:szCs w:val="24"/>
              </w:rPr>
              <w:t xml:space="preserve">”提供项目实施方案。优于采购需求，得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分；满足采购需求，</w:t>
            </w:r>
            <w:r>
              <w:rPr>
                <w:rFonts w:hint="eastAsia" w:ascii="宋体" w:hAnsi="宋体" w:eastAsia="宋体" w:cs="宋体"/>
                <w:sz w:val="24"/>
                <w:szCs w:val="24"/>
                <w:lang w:val="en-US" w:eastAsia="zh-CN"/>
              </w:rPr>
              <w:t xml:space="preserve">得4</w:t>
            </w:r>
            <w:r>
              <w:rPr>
                <w:rFonts w:hint="eastAsia" w:ascii="宋体" w:hAnsi="宋体" w:eastAsia="宋体" w:cs="宋体"/>
                <w:sz w:val="24"/>
                <w:szCs w:val="24"/>
              </w:rPr>
              <w:t xml:space="preserve">分；其他情况不得分。</w:t>
            </w:r>
            <w:r/>
          </w:p>
        </w:tc>
      </w:tr>
      <w:tr>
        <w:trPr>
          <w:jc w:val="center"/>
          <w:trHeight w:val="859"/>
        </w:trPr>
        <w:tc>
          <w:tcPr>
            <w:tcW w:w="1443"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备品备件方案</w:t>
            </w:r>
            <w:r/>
          </w:p>
        </w:tc>
        <w:tc>
          <w:tcPr>
            <w:tcW w:w="1243"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.00分</w:t>
            </w:r>
            <w:r/>
          </w:p>
        </w:tc>
        <w:tc>
          <w:tcPr>
            <w:tcW w:w="6264"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针对采购文件“第四章 采购需求-</w:t>
            </w:r>
            <w:r>
              <w:rPr>
                <w:rFonts w:hint="eastAsia" w:ascii="宋体" w:hAnsi="宋体" w:eastAsia="宋体" w:cs="宋体"/>
                <w:sz w:val="24"/>
                <w:szCs w:val="24"/>
                <w:lang w:eastAsia="zh-CN"/>
              </w:rPr>
              <w:t xml:space="preserve">七</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备品备件要求</w:t>
            </w:r>
            <w:r>
              <w:rPr>
                <w:rFonts w:hint="eastAsia" w:ascii="宋体" w:hAnsi="宋体" w:eastAsia="宋体" w:cs="宋体"/>
                <w:sz w:val="24"/>
                <w:szCs w:val="24"/>
              </w:rPr>
              <w:t xml:space="preserve">”提供</w:t>
            </w:r>
            <w:r>
              <w:rPr>
                <w:rFonts w:hint="eastAsia" w:ascii="宋体" w:hAnsi="宋体" w:eastAsia="宋体" w:cs="宋体"/>
                <w:sz w:val="24"/>
                <w:szCs w:val="24"/>
                <w:lang w:val="en-US" w:eastAsia="zh-CN"/>
              </w:rPr>
              <w:t xml:space="preserve">备品备件</w:t>
            </w:r>
            <w:r>
              <w:rPr>
                <w:rFonts w:hint="eastAsia" w:ascii="宋体" w:hAnsi="宋体" w:eastAsia="宋体" w:cs="宋体"/>
                <w:sz w:val="24"/>
                <w:szCs w:val="24"/>
              </w:rPr>
              <w:t xml:space="preserve">方案。优于采购需求，得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分；满足采购需求，得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分；其他情况不得分。</w:t>
            </w:r>
            <w:r/>
          </w:p>
        </w:tc>
      </w:tr>
      <w:tr>
        <w:trPr>
          <w:jc w:val="center"/>
          <w:trHeight w:val="859"/>
        </w:trPr>
        <w:tc>
          <w:tcPr>
            <w:tcW w:w="1443"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质量保障方案</w:t>
            </w:r>
            <w:r/>
          </w:p>
        </w:tc>
        <w:tc>
          <w:tcPr>
            <w:tcW w:w="1243"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.00分</w:t>
            </w:r>
            <w:r/>
          </w:p>
        </w:tc>
        <w:tc>
          <w:tcPr>
            <w:tcW w:w="6264"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针对采购文件“第四章 采购需求”中“</w:t>
            </w: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、质量保障要求”，提供项目实施方案。优于采购需求的得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分；满足采购需求的得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分；其他情况不得分。</w:t>
            </w:r>
            <w:r/>
          </w:p>
        </w:tc>
      </w:tr>
      <w:tr>
        <w:trPr>
          <w:jc w:val="center"/>
          <w:trHeight w:val="859"/>
        </w:trPr>
        <w:tc>
          <w:tcPr>
            <w:tcW w:w="1443" w:type="dxa"/>
            <w:vAlign w:val="center"/>
            <w:textDirection w:val="lrTb"/>
            <w:noWrap w:val="false"/>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应急响应方案</w:t>
            </w:r>
            <w:r/>
          </w:p>
        </w:tc>
        <w:tc>
          <w:tcPr>
            <w:tcW w:w="1243" w:type="dxa"/>
            <w:vAlign w:val="center"/>
            <w:textDirection w:val="lrTb"/>
            <w:noWrap w:val="false"/>
          </w:tcPr>
          <w:p>
            <w:pPr>
              <w:jc w:val="center"/>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5.00分</w:t>
            </w:r>
            <w:r/>
          </w:p>
        </w:tc>
        <w:tc>
          <w:tcPr>
            <w:tcW w:w="6264"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针对采购文件“第四章 采购需求”中“九、应急响应要求”，提供项目实施方案。优于采购需求的得5分；满足采购需求的得3分；其他情况不得分。</w:t>
            </w:r>
            <w:r/>
          </w:p>
        </w:tc>
      </w:tr>
      <w:tr>
        <w:trPr>
          <w:jc w:val="center"/>
          <w:trHeight w:val="859"/>
        </w:trPr>
        <w:tc>
          <w:tcPr>
            <w:tcW w:w="1443" w:type="dxa"/>
            <w:vAlign w:val="center"/>
            <w:textDirection w:val="lrTb"/>
            <w:noWrap w:val="false"/>
          </w:tcPr>
          <w:p>
            <w:pPr>
              <w:jc w:val="center"/>
              <w:spacing w:line="36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培训方案</w:t>
            </w:r>
            <w:r/>
          </w:p>
        </w:tc>
        <w:tc>
          <w:tcPr>
            <w:tcW w:w="1243" w:type="dxa"/>
            <w:vAlign w:val="center"/>
            <w:textDirection w:val="lrTb"/>
            <w:noWrap w:val="false"/>
          </w:tcPr>
          <w:p>
            <w:pPr>
              <w:jc w:val="center"/>
              <w:spacing w:line="36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5.00分</w:t>
            </w:r>
            <w:r/>
          </w:p>
        </w:tc>
        <w:tc>
          <w:tcPr>
            <w:tcW w:w="6264"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针对采购文件“第四章 采购需求”中“</w:t>
            </w:r>
            <w:r>
              <w:rPr>
                <w:rFonts w:hint="eastAsia" w:ascii="宋体" w:hAnsi="宋体" w:eastAsia="宋体" w:cs="宋体"/>
                <w:sz w:val="24"/>
                <w:szCs w:val="24"/>
                <w:lang w:val="en-US" w:eastAsia="zh-CN"/>
              </w:rPr>
              <w:t xml:space="preserve">十</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培训</w:t>
            </w:r>
            <w:r>
              <w:rPr>
                <w:rFonts w:hint="eastAsia" w:ascii="宋体" w:hAnsi="宋体" w:eastAsia="宋体" w:cs="宋体"/>
                <w:sz w:val="24"/>
                <w:szCs w:val="24"/>
              </w:rPr>
              <w:t xml:space="preserve">要求”，提供项目</w:t>
            </w:r>
            <w:r>
              <w:rPr>
                <w:rFonts w:hint="eastAsia" w:ascii="宋体" w:hAnsi="宋体" w:eastAsia="宋体" w:cs="宋体"/>
                <w:sz w:val="24"/>
                <w:szCs w:val="24"/>
                <w:lang w:val="en-US" w:eastAsia="zh-CN"/>
              </w:rPr>
              <w:t xml:space="preserve">培训</w:t>
            </w:r>
            <w:r>
              <w:rPr>
                <w:rFonts w:hint="eastAsia" w:ascii="宋体" w:hAnsi="宋体" w:eastAsia="宋体" w:cs="宋体"/>
                <w:sz w:val="24"/>
                <w:szCs w:val="24"/>
              </w:rPr>
              <w:t xml:space="preserve">方案。优于采购需求的得5分；满足采购需求的得3分；其他情况不得分。</w:t>
            </w:r>
            <w:r/>
          </w:p>
        </w:tc>
      </w:tr>
      <w:tr>
        <w:trPr>
          <w:jc w:val="center"/>
          <w:trHeight w:val="859"/>
        </w:trPr>
        <w:tc>
          <w:tcPr>
            <w:tcW w:w="1443"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售后服务方案</w:t>
            </w:r>
            <w:r/>
          </w:p>
        </w:tc>
        <w:tc>
          <w:tcPr>
            <w:tcW w:w="1243"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.00分</w:t>
            </w:r>
            <w:r/>
          </w:p>
        </w:tc>
        <w:tc>
          <w:tcPr>
            <w:tcW w:w="6264"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针对采购文件“第四章 采购需求-</w:t>
            </w:r>
            <w:r>
              <w:rPr>
                <w:rFonts w:hint="eastAsia" w:ascii="宋体" w:hAnsi="宋体" w:eastAsia="宋体" w:cs="宋体"/>
                <w:sz w:val="24"/>
                <w:szCs w:val="24"/>
                <w:lang w:val="en-US" w:eastAsia="zh-CN"/>
              </w:rPr>
              <w:t xml:space="preserve">十一</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售后服务</w:t>
            </w:r>
            <w:r>
              <w:rPr>
                <w:rFonts w:hint="eastAsia" w:ascii="宋体" w:hAnsi="宋体" w:eastAsia="宋体" w:cs="宋体"/>
                <w:sz w:val="24"/>
                <w:szCs w:val="24"/>
              </w:rPr>
              <w:t xml:space="preserve">”提供</w:t>
            </w:r>
            <w:r>
              <w:rPr>
                <w:rFonts w:hint="eastAsia" w:ascii="宋体" w:hAnsi="宋体" w:eastAsia="宋体" w:cs="宋体"/>
                <w:sz w:val="24"/>
                <w:szCs w:val="24"/>
                <w:lang w:val="en-US" w:eastAsia="zh-CN"/>
              </w:rPr>
              <w:t xml:space="preserve">售后服务</w:t>
            </w:r>
            <w:r>
              <w:rPr>
                <w:rFonts w:hint="eastAsia" w:ascii="宋体" w:hAnsi="宋体" w:eastAsia="宋体" w:cs="宋体"/>
                <w:sz w:val="24"/>
                <w:szCs w:val="24"/>
              </w:rPr>
              <w:t xml:space="preserve">方案。优于采购需求，得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分；满足采购需求，得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分；其他情况不得分。</w:t>
            </w:r>
            <w:bookmarkEnd w:id="135"/>
            <w:r/>
            <w:r/>
          </w:p>
        </w:tc>
      </w:tr>
    </w:tbl>
    <w:p>
      <w:pPr>
        <w:ind w:firstLine="480"/>
        <w:jc w:val="left"/>
        <w:spacing w:line="480" w:lineRule="exact"/>
        <w:rPr>
          <w:rFonts w:hint="eastAsia" w:ascii="Times New Roman" w:hAnsi="Times New Roman" w:cs="仿宋"/>
          <w:color w:val="000000"/>
          <w:sz w:val="24"/>
          <w:u w:val="none"/>
          <w:lang w:val="en-US" w:eastAsia="zh-CN"/>
        </w:rPr>
      </w:pPr>
      <w:r/>
      <w:bookmarkStart w:id="136" w:name="_Toc14442"/>
      <w:r/>
      <w:bookmarkStart w:id="137" w:name="_Toc81575205"/>
      <w:r/>
      <w:bookmarkStart w:id="138" w:name="_Toc2916"/>
      <w:r/>
      <w:bookmarkStart w:id="139" w:name="_Toc81575168"/>
      <w:r/>
      <w:bookmarkStart w:id="140" w:name="_Toc12255"/>
      <w:r/>
      <w:bookmarkEnd w:id="128"/>
      <w:r/>
      <w:bookmarkEnd w:id="136"/>
      <w:r/>
      <w:bookmarkEnd w:id="137"/>
      <w:r/>
      <w:bookmarkEnd w:id="138"/>
      <w:r/>
      <w:bookmarkEnd w:id="139"/>
      <w:r/>
      <w:bookmarkEnd w:id="140"/>
      <w:r/>
      <w:r/>
    </w:p>
    <w:p>
      <w:pPr>
        <w:jc w:val="center"/>
        <w:keepLines/>
        <w:keepNext/>
        <w:pageBreakBefore/>
        <w:rPr>
          <w:rFonts w:hint="eastAsia" w:ascii="宋体" w:hAnsi="宋体"/>
          <w:b/>
          <w:sz w:val="24"/>
          <w:szCs w:val="24"/>
        </w:rPr>
        <w:outlineLvl w:val="0"/>
      </w:pPr>
      <w:r>
        <w:rPr>
          <w:rFonts w:hint="eastAsia"/>
          <w:b/>
          <w:sz w:val="44"/>
          <w:szCs w:val="44"/>
        </w:rPr>
        <w:t xml:space="preserve">第四章</w:t>
      </w:r>
      <w:r>
        <w:rPr>
          <w:b/>
          <w:sz w:val="44"/>
          <w:szCs w:val="44"/>
        </w:rPr>
        <w:t xml:space="preserve">  </w:t>
      </w:r>
      <w:r>
        <w:rPr>
          <w:rFonts w:hint="eastAsia"/>
          <w:b/>
          <w:sz w:val="44"/>
          <w:szCs w:val="44"/>
        </w:rPr>
        <w:t xml:space="preserve">采购需求</w:t>
      </w:r>
      <w:r/>
    </w:p>
    <w:p>
      <w:pPr>
        <w:ind w:firstLine="482"/>
        <w:spacing w:line="480" w:lineRule="exact"/>
        <w:rPr>
          <w:rFonts w:hint="eastAsia"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p>
      <w:pPr>
        <w:ind w:firstLine="482"/>
        <w:spacing w:line="480" w:lineRule="exact"/>
        <w:rPr>
          <w:rFonts w:hint="eastAsia" w:ascii="宋体" w:hAnsi="宋体"/>
          <w:b/>
          <w:sz w:val="24"/>
          <w:szCs w:val="24"/>
        </w:rPr>
      </w:pPr>
      <w:r>
        <w:rPr>
          <w:rFonts w:hint="eastAsia" w:ascii="Times New Roman" w:hAnsi="Times New Roman" w:cs="仿宋"/>
          <w:sz w:val="24"/>
          <w:szCs w:val="24"/>
          <w:lang w:val="en-US" w:eastAsia="zh-CN"/>
        </w:rPr>
        <w:t xml:space="preserve">采购包1：</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4549"/>
        <w:gridCol w:w="2816"/>
      </w:tblGrid>
      <w:tr>
        <w:trPr>
          <w:cantSplit/>
          <w:jc w:val="center"/>
        </w:trPr>
        <w:tc>
          <w:tcPr>
            <w:tcW w:w="107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549"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标的</w:t>
            </w:r>
            <w:r/>
          </w:p>
        </w:tc>
        <w:tc>
          <w:tcPr>
            <w:tcW w:w="2816"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cantSplit/>
          <w:jc w:val="center"/>
          <w:trHeight w:val="291"/>
        </w:trPr>
        <w:tc>
          <w:tcPr>
            <w:tcW w:w="107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4549" w:type="dxa"/>
            <w:vAlign w:val="center"/>
            <w:textDirection w:val="lrTb"/>
            <w:noWrap w:val="false"/>
          </w:tcPr>
          <w:p>
            <w:pPr>
              <w:jc w:val="center"/>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三重四极杆液质联用仪</w:t>
            </w:r>
            <w:r/>
          </w:p>
        </w:tc>
        <w:tc>
          <w:tcPr>
            <w:tcW w:w="2816"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工业</w:t>
            </w:r>
            <w:r/>
          </w:p>
        </w:tc>
      </w:tr>
      <w:tr>
        <w:trPr>
          <w:cantSplit/>
          <w:jc w:val="center"/>
          <w:trHeight w:val="291"/>
        </w:trPr>
        <w:tc>
          <w:tcPr>
            <w:tcW w:w="1070"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4549" w:type="dxa"/>
            <w:vAlign w:val="center"/>
            <w:textDirection w:val="lrTb"/>
            <w:noWrap w:val="false"/>
          </w:tcPr>
          <w:p>
            <w:pPr>
              <w:jc w:val="center"/>
              <w:spacing w:line="3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污水毒情监测水样自动采集器</w:t>
            </w:r>
            <w:r/>
          </w:p>
        </w:tc>
        <w:tc>
          <w:tcPr>
            <w:tcW w:w="2816"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工业</w:t>
            </w:r>
            <w:r/>
          </w:p>
        </w:tc>
      </w:tr>
    </w:tbl>
    <w:p>
      <w:pPr>
        <w:ind w:firstLine="482"/>
        <w:spacing w:line="480" w:lineRule="exact"/>
        <w:rPr>
          <w:rFonts w:hint="eastAsia" w:ascii="宋体" w:hAnsi="宋体"/>
          <w:b/>
          <w:sz w:val="24"/>
          <w:szCs w:val="24"/>
        </w:rPr>
      </w:pPr>
      <w:r>
        <w:rPr>
          <w:rFonts w:hint="eastAsia" w:ascii="Times New Roman" w:hAnsi="Times New Roman" w:cs="仿宋"/>
          <w:sz w:val="24"/>
          <w:szCs w:val="24"/>
          <w:lang w:val="en-US" w:eastAsia="zh-CN"/>
        </w:rPr>
        <w:t xml:space="preserve">采购包2：</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4549"/>
        <w:gridCol w:w="2816"/>
      </w:tblGrid>
      <w:tr>
        <w:trPr>
          <w:cantSplit/>
          <w:jc w:val="center"/>
        </w:trPr>
        <w:tc>
          <w:tcPr>
            <w:tcW w:w="107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54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标的</w:t>
            </w:r>
            <w:r/>
          </w:p>
        </w:tc>
        <w:tc>
          <w:tcPr>
            <w:tcW w:w="2816"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cantSplit/>
          <w:jc w:val="center"/>
          <w:trHeight w:val="291"/>
        </w:trPr>
        <w:tc>
          <w:tcPr>
            <w:tcW w:w="107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549"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液相色谱质谱仪</w:t>
            </w:r>
            <w:r>
              <w:rPr>
                <w:rFonts w:hint="eastAsia" w:ascii="宋体" w:hAnsi="宋体" w:eastAsia="宋体" w:cs="宋体"/>
                <w:sz w:val="24"/>
                <w:szCs w:val="24"/>
                <w:lang w:val="en-US" w:eastAsia="zh-CN"/>
              </w:rPr>
              <w:t xml:space="preserve"> </w:t>
            </w:r>
            <w:r/>
          </w:p>
        </w:tc>
        <w:tc>
          <w:tcPr>
            <w:tcW w:w="2816" w:type="dxa"/>
            <w:vAlign w:val="center"/>
            <w:textDirection w:val="lrTb"/>
            <w:noWrap w:val="false"/>
          </w:tcPr>
          <w:p>
            <w:pPr>
              <w:ind w:firstLine="42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r>
        <w:trPr>
          <w:cantSplit/>
          <w:jc w:val="center"/>
          <w:trHeight w:val="420"/>
        </w:trPr>
        <w:tc>
          <w:tcPr>
            <w:tcW w:w="107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4549"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全自动毛发清洗仪 </w:t>
            </w:r>
            <w:r/>
          </w:p>
        </w:tc>
        <w:tc>
          <w:tcPr>
            <w:tcW w:w="2816" w:type="dxa"/>
            <w:vAlign w:val="center"/>
            <w:textDirection w:val="lrTb"/>
            <w:noWrap w:val="false"/>
          </w:tcPr>
          <w:p>
            <w:pPr>
              <w:ind w:firstLine="42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工业</w:t>
            </w:r>
            <w:r/>
          </w:p>
        </w:tc>
      </w:tr>
    </w:tbl>
    <w:p>
      <w:pPr>
        <w:ind w:firstLine="482"/>
        <w:spacing w:line="480" w:lineRule="exact"/>
        <w:rPr>
          <w:rFonts w:hint="default" w:ascii="宋体" w:hAnsi="宋体"/>
          <w:b/>
          <w:sz w:val="24"/>
          <w:szCs w:val="24"/>
          <w:lang w:val="en-US" w:eastAsia="zh-CN"/>
        </w:rPr>
      </w:pPr>
      <w:r>
        <w:rPr>
          <w:rFonts w:hint="eastAsia" w:ascii="宋体" w:hAnsi="宋体"/>
          <w:b/>
          <w:sz w:val="24"/>
          <w:szCs w:val="24"/>
          <w:lang w:val="en-US" w:eastAsia="zh-CN"/>
        </w:rPr>
        <w:t xml:space="preserve">二、</w:t>
      </w:r>
      <w:r>
        <w:rPr>
          <w:rFonts w:hint="eastAsia" w:ascii="宋体" w:hAnsi="宋体"/>
          <w:b/>
          <w:sz w:val="24"/>
          <w:szCs w:val="24"/>
        </w:rPr>
        <w:t xml:space="preserve">采购清单</w:t>
      </w:r>
      <w:r/>
    </w:p>
    <w:p>
      <w:pPr>
        <w:ind w:firstLine="482"/>
        <w:spacing w:line="480" w:lineRule="exact"/>
        <w:rPr>
          <w:rFonts w:hint="eastAsia" w:ascii="Times New Roman" w:hAnsi="Times New Roman" w:cs="仿宋"/>
          <w:sz w:val="24"/>
          <w:szCs w:val="24"/>
          <w:lang w:val="en-US" w:eastAsia="zh-CN"/>
        </w:rPr>
      </w:pPr>
      <w:r>
        <w:rPr>
          <w:rFonts w:hint="eastAsia" w:ascii="Times New Roman" w:hAnsi="Times New Roman" w:cs="仿宋"/>
          <w:sz w:val="24"/>
          <w:szCs w:val="24"/>
          <w:lang w:val="en-US" w:eastAsia="zh-CN"/>
        </w:rPr>
        <w:t xml:space="preserve">采购包1：</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3855"/>
        <w:gridCol w:w="1380"/>
        <w:gridCol w:w="2379"/>
      </w:tblGrid>
      <w:tr>
        <w:trPr>
          <w:cantSplit/>
          <w:jc w:val="center"/>
        </w:trPr>
        <w:tc>
          <w:tcPr>
            <w:tcW w:w="879"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855" w:type="dxa"/>
            <w:vAlign w:val="center"/>
            <w:textDirection w:val="lrTb"/>
            <w:noWrap w:val="false"/>
          </w:tcPr>
          <w:p>
            <w:pPr>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设备名称</w:t>
            </w:r>
            <w:r/>
          </w:p>
        </w:tc>
        <w:tc>
          <w:tcPr>
            <w:tcW w:w="138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数量</w:t>
            </w:r>
            <w:r/>
          </w:p>
        </w:tc>
        <w:tc>
          <w:tcPr>
            <w:tcW w:w="2379" w:type="dxa"/>
            <w:vAlign w:val="center"/>
            <w:textDirection w:val="lrTb"/>
            <w:noWrap w:val="false"/>
          </w:tcPr>
          <w:p>
            <w:pPr>
              <w:jc w:val="center"/>
              <w:spacing w:line="360" w:lineRule="exact"/>
              <w:widowControl/>
              <w:rPr>
                <w:rFonts w:hint="eastAsia" w:ascii="宋体" w:hAnsi="宋体" w:eastAsia="宋体" w:cs="宋体"/>
                <w:sz w:val="24"/>
                <w:szCs w:val="24"/>
                <w:lang w:eastAsia="zh-CN"/>
              </w:rPr>
            </w:pPr>
            <w:r>
              <w:rPr>
                <w:rFonts w:hint="eastAsia" w:ascii="Times New Roman" w:hAnsi="Times New Roman" w:cs="仿宋"/>
                <w:sz w:val="24"/>
                <w:szCs w:val="24"/>
                <w:lang w:val="en-US" w:eastAsia="zh-CN"/>
              </w:rPr>
              <w:t xml:space="preserve">是否核心产品</w:t>
            </w:r>
            <w:r/>
          </w:p>
        </w:tc>
      </w:tr>
      <w:tr>
        <w:trPr>
          <w:cantSplit/>
          <w:jc w:val="center"/>
          <w:trHeight w:val="291"/>
        </w:trPr>
        <w:tc>
          <w:tcPr>
            <w:tcW w:w="879"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3855" w:type="dxa"/>
            <w:vAlign w:val="center"/>
            <w:textDirection w:val="lrTb"/>
            <w:noWrap w:val="false"/>
          </w:tcPr>
          <w:p>
            <w:pPr>
              <w:jc w:val="center"/>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三重四极杆液质联用仪</w:t>
            </w:r>
            <w:r/>
          </w:p>
        </w:tc>
        <w:tc>
          <w:tcPr>
            <w:tcW w:w="1380" w:type="dxa"/>
            <w:vAlign w:val="center"/>
            <w:textDirection w:val="lrTb"/>
            <w:noWrap w:val="false"/>
          </w:tcPr>
          <w:p>
            <w:pPr>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1台</w:t>
            </w:r>
            <w:r/>
          </w:p>
        </w:tc>
        <w:tc>
          <w:tcPr>
            <w:tcW w:w="237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Times New Roman" w:hAnsi="Times New Roman" w:cs="仿宋"/>
                <w:sz w:val="24"/>
                <w:szCs w:val="24"/>
                <w:lang w:val="en-US" w:eastAsia="zh-CN"/>
              </w:rPr>
              <w:t xml:space="preserve">是</w:t>
            </w:r>
            <w:r/>
          </w:p>
        </w:tc>
      </w:tr>
      <w:tr>
        <w:trPr>
          <w:cantSplit/>
          <w:jc w:val="center"/>
          <w:trHeight w:val="291"/>
        </w:trPr>
        <w:tc>
          <w:tcPr>
            <w:tcW w:w="879"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3855" w:type="dxa"/>
            <w:vAlign w:val="center"/>
            <w:textDirection w:val="lrTb"/>
            <w:noWrap w:val="false"/>
          </w:tcPr>
          <w:p>
            <w:pPr>
              <w:jc w:val="center"/>
              <w:spacing w:line="3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污水毒情监测水样自动采集器</w:t>
            </w:r>
            <w:r/>
          </w:p>
        </w:tc>
        <w:tc>
          <w:tcPr>
            <w:tcW w:w="1380" w:type="dxa"/>
            <w:vAlign w:val="center"/>
            <w:textDirection w:val="lrTb"/>
            <w:noWrap w:val="false"/>
          </w:tcPr>
          <w:p>
            <w:pPr>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2台</w:t>
            </w:r>
            <w:r/>
          </w:p>
        </w:tc>
        <w:tc>
          <w:tcPr>
            <w:tcW w:w="237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Times New Roman" w:hAnsi="Times New Roman" w:cs="仿宋"/>
                <w:sz w:val="24"/>
                <w:szCs w:val="24"/>
                <w:lang w:val="en-US" w:eastAsia="zh-CN"/>
              </w:rPr>
              <w:t xml:space="preserve">否</w:t>
            </w:r>
            <w:r/>
          </w:p>
        </w:tc>
      </w:tr>
    </w:tbl>
    <w:p>
      <w:pPr>
        <w:ind w:firstLine="482"/>
        <w:spacing w:line="480" w:lineRule="exact"/>
        <w:rPr>
          <w:rFonts w:hint="default" w:ascii="Times New Roman" w:hAnsi="Times New Roman" w:cs="仿宋"/>
          <w:sz w:val="24"/>
          <w:szCs w:val="24"/>
          <w:lang w:val="en-US" w:eastAsia="zh-CN"/>
        </w:rPr>
      </w:pPr>
      <w:r>
        <w:rPr>
          <w:rFonts w:hint="eastAsia" w:ascii="Times New Roman" w:hAnsi="Times New Roman" w:cs="仿宋"/>
          <w:sz w:val="24"/>
          <w:szCs w:val="24"/>
          <w:lang w:val="en-US" w:eastAsia="zh-CN"/>
        </w:rPr>
        <w:t xml:space="preserve">采购包2：</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3855"/>
        <w:gridCol w:w="1380"/>
        <w:gridCol w:w="2379"/>
      </w:tblGrid>
      <w:tr>
        <w:trPr>
          <w:cantSplit/>
          <w:jc w:val="center"/>
        </w:trPr>
        <w:tc>
          <w:tcPr>
            <w:tcW w:w="879"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855"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cs="宋体"/>
                <w:sz w:val="24"/>
                <w:szCs w:val="24"/>
                <w:lang w:val="en-US" w:eastAsia="zh-CN"/>
              </w:rPr>
              <w:t xml:space="preserve">设备名称</w:t>
            </w:r>
            <w:r/>
          </w:p>
        </w:tc>
        <w:tc>
          <w:tcPr>
            <w:tcW w:w="138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数量</w:t>
            </w:r>
            <w:r/>
          </w:p>
        </w:tc>
        <w:tc>
          <w:tcPr>
            <w:tcW w:w="2379" w:type="dxa"/>
            <w:vAlign w:val="center"/>
            <w:textDirection w:val="lrTb"/>
            <w:noWrap w:val="false"/>
          </w:tcPr>
          <w:p>
            <w:pPr>
              <w:jc w:val="center"/>
              <w:spacing w:line="360" w:lineRule="exact"/>
              <w:widowControl/>
              <w:rPr>
                <w:rFonts w:hint="eastAsia" w:ascii="宋体" w:hAnsi="宋体" w:eastAsia="宋体" w:cs="宋体"/>
                <w:sz w:val="24"/>
                <w:szCs w:val="24"/>
                <w:lang w:eastAsia="zh-CN"/>
              </w:rPr>
            </w:pPr>
            <w:r>
              <w:rPr>
                <w:rFonts w:hint="eastAsia" w:ascii="Times New Roman" w:hAnsi="Times New Roman" w:cs="仿宋"/>
                <w:sz w:val="24"/>
                <w:szCs w:val="24"/>
                <w:lang w:val="en-US" w:eastAsia="zh-CN"/>
              </w:rPr>
              <w:t xml:space="preserve">是否核心产品</w:t>
            </w:r>
            <w:r/>
          </w:p>
        </w:tc>
      </w:tr>
      <w:tr>
        <w:trPr>
          <w:cantSplit/>
          <w:jc w:val="center"/>
          <w:trHeight w:val="291"/>
        </w:trPr>
        <w:tc>
          <w:tcPr>
            <w:tcW w:w="879"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3855"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Times New Roman" w:hAnsi="Times New Roman" w:cs="仿宋"/>
                <w:sz w:val="24"/>
                <w:szCs w:val="24"/>
                <w:lang w:eastAsia="zh-CN"/>
              </w:rPr>
              <w:t xml:space="preserve">液相色谱质谱仪</w:t>
            </w:r>
            <w:r>
              <w:rPr>
                <w:rFonts w:hint="eastAsia" w:ascii="Times New Roman" w:hAnsi="Times New Roman" w:cs="宋体"/>
                <w:szCs w:val="16"/>
                <w:lang w:val="en-US" w:eastAsia="zh-CN"/>
              </w:rPr>
              <w:t xml:space="preserve"> </w:t>
            </w:r>
            <w:r/>
          </w:p>
        </w:tc>
        <w:tc>
          <w:tcPr>
            <w:tcW w:w="1380"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Times New Roman" w:hAnsi="Times New Roman" w:cs="仿宋"/>
                <w:sz w:val="24"/>
                <w:szCs w:val="24"/>
                <w:lang w:val="en-US" w:eastAsia="zh-CN"/>
              </w:rPr>
              <w:t xml:space="preserve">1台</w:t>
            </w:r>
            <w:r/>
          </w:p>
        </w:tc>
        <w:tc>
          <w:tcPr>
            <w:tcW w:w="237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Times New Roman" w:hAnsi="Times New Roman" w:cs="仿宋"/>
                <w:sz w:val="24"/>
                <w:szCs w:val="24"/>
                <w:lang w:val="en-US" w:eastAsia="zh-CN"/>
              </w:rPr>
              <w:t xml:space="preserve">是</w:t>
            </w:r>
            <w:r/>
          </w:p>
        </w:tc>
      </w:tr>
      <w:tr>
        <w:trPr>
          <w:cantSplit/>
          <w:jc w:val="center"/>
          <w:trHeight w:val="291"/>
        </w:trPr>
        <w:tc>
          <w:tcPr>
            <w:tcW w:w="879"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3855"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Times New Roman" w:hAnsi="Times New Roman" w:cs="宋体"/>
                <w:szCs w:val="16"/>
                <w:lang w:val="en-US" w:eastAsia="zh-CN"/>
              </w:rPr>
              <w:t xml:space="preserve">全自动毛发清洗仪 </w:t>
            </w:r>
            <w:r/>
          </w:p>
        </w:tc>
        <w:tc>
          <w:tcPr>
            <w:tcW w:w="1380" w:type="dxa"/>
            <w:vAlign w:val="center"/>
            <w:textDirection w:val="lrTb"/>
            <w:noWrap w:val="false"/>
          </w:tcPr>
          <w:p>
            <w:pPr>
              <w:jc w:val="center"/>
              <w:spacing w:line="360" w:lineRule="exact"/>
              <w:rPr>
                <w:rFonts w:hint="default" w:ascii="宋体" w:hAnsi="宋体" w:eastAsia="宋体" w:cs="宋体"/>
                <w:sz w:val="24"/>
                <w:szCs w:val="24"/>
                <w:lang w:val="en-US" w:eastAsia="zh-CN"/>
              </w:rPr>
            </w:pPr>
            <w:r>
              <w:rPr>
                <w:rFonts w:hint="eastAsia" w:ascii="Times New Roman" w:hAnsi="Times New Roman" w:cs="仿宋"/>
                <w:sz w:val="24"/>
                <w:szCs w:val="24"/>
                <w:lang w:val="en-US" w:eastAsia="zh-CN"/>
              </w:rPr>
              <w:t xml:space="preserve">1台</w:t>
            </w:r>
            <w:r/>
          </w:p>
        </w:tc>
        <w:tc>
          <w:tcPr>
            <w:tcW w:w="237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Times New Roman" w:hAnsi="Times New Roman" w:cs="仿宋"/>
                <w:sz w:val="24"/>
                <w:szCs w:val="24"/>
                <w:lang w:val="en-US" w:eastAsia="zh-CN"/>
              </w:rPr>
              <w:t xml:space="preserve">否</w:t>
            </w:r>
            <w:r/>
          </w:p>
        </w:tc>
      </w:tr>
    </w:tbl>
    <w:p>
      <w:pPr>
        <w:ind w:firstLine="480"/>
        <w:jc w:val="left"/>
        <w:spacing w:line="480" w:lineRule="exact"/>
        <w:widowControl/>
        <w:rPr>
          <w:rFonts w:hint="eastAsia" w:ascii="宋体" w:hAnsi="宋体"/>
          <w:b/>
          <w:sz w:val="24"/>
          <w:szCs w:val="24"/>
          <w:lang w:val="en-US" w:eastAsia="zh-CN"/>
        </w:rPr>
      </w:pPr>
      <w:r>
        <w:rPr>
          <w:rFonts w:hint="eastAsia" w:ascii="Times New Roman" w:hAnsi="Times New Roman" w:cs="仿宋"/>
          <w:sz w:val="24"/>
          <w:lang w:val="en-US" w:eastAsia="zh-CN"/>
        </w:rPr>
        <w:t xml:space="preserve">注：货物</w:t>
      </w:r>
      <w:r>
        <w:rPr>
          <w:rFonts w:hint="eastAsia" w:ascii="Times New Roman" w:hAnsi="Times New Roman" w:cs="仿宋"/>
          <w:sz w:val="24"/>
        </w:rPr>
        <w:t xml:space="preserve">验收时，将由采购人、技术专家联合组成的验收小组对每台</w:t>
      </w:r>
      <w:r>
        <w:rPr>
          <w:rFonts w:hint="eastAsia" w:ascii="Times New Roman" w:hAnsi="Times New Roman" w:cs="仿宋"/>
          <w:sz w:val="24"/>
          <w:lang w:val="en-US" w:eastAsia="zh-CN"/>
        </w:rPr>
        <w:t xml:space="preserve">设备</w:t>
      </w:r>
      <w:r>
        <w:rPr>
          <w:rFonts w:hint="eastAsia" w:ascii="Times New Roman" w:hAnsi="Times New Roman" w:cs="仿宋"/>
          <w:sz w:val="24"/>
        </w:rPr>
        <w:t xml:space="preserve">进行</w:t>
      </w:r>
      <w:r>
        <w:rPr>
          <w:rFonts w:hint="eastAsia" w:ascii="Times New Roman" w:hAnsi="Times New Roman" w:cs="仿宋"/>
          <w:sz w:val="24"/>
          <w:lang w:val="en-US" w:eastAsia="zh-CN"/>
        </w:rPr>
        <w:t xml:space="preserve">验收</w:t>
      </w:r>
      <w:r>
        <w:rPr>
          <w:rFonts w:hint="eastAsia" w:ascii="Times New Roman" w:hAnsi="Times New Roman" w:cs="仿宋"/>
          <w:sz w:val="24"/>
        </w:rPr>
        <w:t xml:space="preserve">，如发现</w:t>
      </w:r>
      <w:r>
        <w:rPr>
          <w:rFonts w:hint="eastAsia" w:ascii="Times New Roman" w:hAnsi="Times New Roman" w:cs="仿宋"/>
          <w:sz w:val="24"/>
          <w:lang w:eastAsia="zh-CN"/>
        </w:rPr>
        <w:t xml:space="preserve">供应商</w:t>
      </w:r>
      <w:r>
        <w:rPr>
          <w:rFonts w:hint="eastAsia" w:ascii="Times New Roman" w:hAnsi="Times New Roman" w:cs="仿宋"/>
          <w:sz w:val="24"/>
        </w:rPr>
        <w:t xml:space="preserve">所提供</w:t>
      </w:r>
      <w:r>
        <w:rPr>
          <w:rFonts w:hint="eastAsia" w:ascii="Times New Roman" w:hAnsi="Times New Roman" w:cs="仿宋"/>
          <w:sz w:val="24"/>
          <w:lang w:val="en-US" w:eastAsia="zh-CN"/>
        </w:rPr>
        <w:t xml:space="preserve">设备</w:t>
      </w:r>
      <w:r>
        <w:rPr>
          <w:rFonts w:hint="eastAsia" w:ascii="Times New Roman" w:hAnsi="Times New Roman" w:cs="仿宋"/>
          <w:sz w:val="24"/>
        </w:rPr>
        <w:t xml:space="preserve">性能不符合招标要求，存在虚假应标行为，采购人有权停止验收同时报送至财政监管部门，取消其中标资格并追究其相关责任。</w:t>
      </w:r>
      <w:bookmarkStart w:id="207" w:name="_GoBack"/>
      <w:r/>
      <w:bookmarkEnd w:id="207"/>
      <w:r/>
      <w:r/>
    </w:p>
    <w:p>
      <w:pPr>
        <w:ind w:firstLine="482"/>
        <w:spacing w:line="480" w:lineRule="exact"/>
        <w:rPr>
          <w:rFonts w:hint="default" w:ascii="宋体" w:hAnsi="宋体" w:cs="宋体"/>
          <w:b w:val="0"/>
          <w:bCs/>
          <w:color w:val="auto"/>
          <w:sz w:val="24"/>
          <w:szCs w:val="24"/>
          <w:highlight w:val="none"/>
          <w:lang w:val="en-US" w:eastAsia="zh-CN"/>
        </w:rPr>
      </w:pPr>
      <w:r>
        <w:rPr>
          <w:rFonts w:hint="eastAsia" w:ascii="宋体" w:hAnsi="宋体"/>
          <w:b/>
          <w:sz w:val="24"/>
          <w:szCs w:val="24"/>
          <w:lang w:val="en-US" w:eastAsia="zh-CN"/>
        </w:rPr>
        <w:t xml:space="preserve">三、技术参数要求</w:t>
      </w:r>
      <w:r/>
    </w:p>
    <w:p>
      <w:pPr>
        <w:ind w:firstLine="480"/>
        <w:spacing w:line="50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采购包1</w:t>
      </w:r>
      <w:r>
        <w:rPr>
          <w:rFonts w:hint="eastAsia" w:ascii="宋体" w:hAnsi="宋体" w:cs="宋体"/>
          <w:b/>
          <w:bCs w:val="0"/>
          <w:color w:val="auto"/>
          <w:sz w:val="24"/>
          <w:szCs w:val="24"/>
          <w:highlight w:val="none"/>
          <w:lang w:val="en-US" w:eastAsia="zh-CN"/>
        </w:rPr>
        <w:t xml:space="preserve">技术参数</w:t>
      </w:r>
      <w:r>
        <w:rPr>
          <w:rFonts w:hint="eastAsia" w:ascii="宋体" w:hAnsi="宋体" w:eastAsia="宋体" w:cs="宋体"/>
          <w:b w:val="0"/>
          <w:bCs/>
          <w:color w:val="auto"/>
          <w:sz w:val="24"/>
          <w:szCs w:val="24"/>
          <w:highlight w:val="none"/>
          <w:lang w:val="en-US"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1、工作条件：</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1.1工作电压：220±5%V</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1.2操作温度：15–30℃</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1.3湿度：&lt;85%。</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2、系统配置及性能指标</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2.1液相色谱仪部分</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2.1.1溶剂输送单元：</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2.1.1.1二元泵系统，并联双柱塞；</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2.1.1.2耐压≥15000psi。</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▲2.1.1.3流速范围：0.0001-10.000mL/min，0.0001mL/min步进。</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2.1.1.4流速准确度：±1%；</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2.1.1.5含5路真空在线脱气装置；</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2.1.1.6标配自动清洗组件；</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2.1.1.7溶剂切换阀：4通道</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2.1.1.8混合器</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可控温实现流动相快速、稳定混合。</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2.1.2高通量自动进样器</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2.1.2.1最大耐压：≥15000psi</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2.1.2.2自动进样器交叉污染：≤0.003%</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2.1.2.3自动进样器样品数量：可容纳2ml样品瓶，不低于160位</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2.1.2.4单进样周期：≤6.7秒；</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2.1.2.5样品冷却温度设定范围：4-45℃。</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2.1.3柱温箱</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2.1.3.1柱容量：可放6根25cm色谱柱，或3根30cm色谱柱</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2.1.3.2温度控制范围：室温-10℃-100℃</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2.1.3.3温度准确度：±0.5℃</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2.1.3.4漏液传感器：有液体和气体传感器。</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2.2质谱仪部分</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▲2.2.1离子源接口适应性：100％有机相到100％水相，耐用一定浓度的缓冲液。ESI电喷雾离子源流速范围：在确保灵敏度不损失的前提下实现高流速，不分流条件下不低于3ml/min</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投标文件中提供流速软件截图</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2.2.2离子源不少于两路的辅助加热雾化气，确保系统有稳定可靠的灵敏度，确保离子化更为充分,辅助加热气温度≥700℃，该温度可以在控制软件上进行设定并被运行（投标文件中提供温度设置为700℃以上的软件界面截图）。</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2.2.3离子源温度设置对灵敏度的要求：其他条件不变的前提下，300~750℃范围内，随着离子源温度升高，多反应监测模式下测定喹乙醇灵敏度升高，必须包含700℃以上温度点。</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2.2.4离子源具有废气主动排放功能，最大流速10L/min，以防止气体在密闭的离子源腔体中的回流，降低离子源的记忆效应和污染，降低机械泵的负荷，延长机械泵泵油使用时间。</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2.2.5离子源接口采用带反吹气技术的锥孔结构，带有主动排废气装置，接口及离子传输通道不含毛细管或离子传输管等设计，需能保证无需消耗更换，同时保持高灵敏度和优异的抗污染能力（投标文件中提供产品彩页或官网截图或第三方检测机构出具检验报告原件扫描件）。</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▲2.2.6碰撞室：弯曲碰撞池设计，弯曲度大于90°。</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▲2.2.7为了减少使用成本，除了采用高纯氮气作为雾化气和碰撞气外，无需任何额外工作气体（投标文件中提供产品彩页或官网截图或第三方检测机构出具检验报告原件扫描件）。</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▲2.2.8质量分析器：硬件上具备四极杆和线性离子阱结构。</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2.2.9四极杆采用陶瓷镀金技术，具有良好的热稳定性、导电性和惰性，无需额外加热来维持稳定性，减少因温度变化等外来的不稳定因素而造成实验结果的不确定性。</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2.2.10检测器系统：采用电子倍增检测器（非光电倍增检测器），能够满足长期大量脏样品定量分析的数据可靠性和重复性，无负离子歧视效应（投标文件中提供产品彩页或官网截图或第三方检测机构出具检验报告原件扫描件）。</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▲2.2.11真空系统：由两台抽溶剂大抽速机械泵和一台长寿命涡轮分子泵组合差分抽气高真空系统，无需额外水冷却系统，自动断电保护功能</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2.2.12质量数范围：m/z5-2000amu</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2.2.13MRM采集速度不小于700MRM/s，一针进样可实现1000种以上目标物定性、定量检验</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2.2.14正负切换速度：</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5ms</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2.2.15MRM最小驻留时间（dwelltime）≤0.8ms</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2.2.16质量稳定性：±0.1amu/24hr</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2.2.17正负切换和单一极性模式下检测，灵敏度一致（通道数不少于3000个）</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2.2.18</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MRM模式下定量灵敏度</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▲2.2.18.1</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ESI+模式：实际柱上进样1pg利血平，信噪比≥6500000：1。1pg利血平分别连续进样10次，峰面积重复性小于3%。实际柱上量1fg的利血平，IDL≤0.14fg（</w:t>
      </w:r>
      <w:r>
        <w:rPr>
          <w:rFonts w:hint="eastAsia" w:ascii="宋体" w:hAnsi="宋体" w:eastAsia="宋体" w:cs="宋体"/>
          <w:b w:val="0"/>
          <w:bCs/>
          <w:color w:val="auto"/>
          <w:sz w:val="24"/>
          <w:szCs w:val="24"/>
          <w:highlight w:val="none"/>
          <w:lang w:val="en-US" w:eastAsia="zh-CN"/>
        </w:rPr>
        <w:t xml:space="preserve">投标文件中提供</w:t>
      </w:r>
      <w:r>
        <w:rPr>
          <w:rFonts w:hint="eastAsia" w:ascii="宋体" w:hAnsi="宋体" w:eastAsia="宋体" w:cs="宋体"/>
          <w:b w:val="0"/>
          <w:bCs/>
          <w:color w:val="auto"/>
          <w:sz w:val="24"/>
          <w:szCs w:val="24"/>
          <w:highlight w:val="none"/>
        </w:rPr>
        <w:t xml:space="preserve">第三方检测机构出具检验报告原件扫描件）</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▲2.2.18.2</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ESI-模式：实际柱上进样1pg氯霉素，信噪比≥6500000：1。1pg氯霉素分别连续进样10次，峰面积重复性小于3%。实际柱上量1fg的氯霉素，IDL≤0.14fg（</w:t>
      </w:r>
      <w:r>
        <w:rPr>
          <w:rFonts w:hint="eastAsia" w:ascii="宋体" w:hAnsi="宋体" w:eastAsia="宋体" w:cs="宋体"/>
          <w:b w:val="0"/>
          <w:bCs/>
          <w:color w:val="auto"/>
          <w:sz w:val="24"/>
          <w:szCs w:val="24"/>
          <w:highlight w:val="none"/>
          <w:lang w:val="en-US" w:eastAsia="zh-CN"/>
        </w:rPr>
        <w:t xml:space="preserve">投标文件中提供</w:t>
      </w:r>
      <w:r>
        <w:rPr>
          <w:rFonts w:hint="eastAsia" w:ascii="宋体" w:hAnsi="宋体" w:eastAsia="宋体" w:cs="宋体"/>
          <w:b w:val="0"/>
          <w:bCs/>
          <w:color w:val="auto"/>
          <w:sz w:val="24"/>
          <w:szCs w:val="24"/>
          <w:highlight w:val="none"/>
        </w:rPr>
        <w:t xml:space="preserve">第三方检测机构出具检验报告原件扫描件）</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2.2.19全氟类化合物定量</w:t>
      </w:r>
      <w:r>
        <w:rPr>
          <w:rFonts w:hint="eastAsia" w:ascii="宋体" w:hAnsi="宋体" w:eastAsia="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▲2.2.19.1全氟类化合物定量灵敏度：全氟-2-丙氧基丙酸多重反应监测（m/z329--169）定量灵敏度：ESI-模式下，定量限不大于20ng/L</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▲2.2.19.2全氟类化合物线性范围：全氟-2-丙氧基丙酸多重反应监测（m/z329--169）线性范围：ESI-模式下，定量曲线在（50-10000）ng/L范围内线性良好，线性相关系数γ＞0.99</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▲2.2.19.3全氟类化合物测量重复性：全氟-2-丙氧基丙酸多重反应监测（m/z329--169）测量重复性：ESI-模式下，浓度为20ng/L，连续6次进样，RSD＜5%。</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2.2.20污水样品调节PH后过滤膜，直接进样30ul，无需固相萃取富集，检测污水中11种毒品及其代谢物MAMP，AMP，MDMA，MDA，MOR，6-AM，COD，COC，BZE，KET和NK，其中MAMP，COC，BZE，KET和NK的检测限LOD可达到0.4ng/L，且1-500ng/L浓度范围内的校正曲线线性相关系数R2＞0.999；重现性：污水基质加标1ng/L，NK连续进样6次的日内重现性RSD%＜6%，4天的日间重现性＜8%。（</w:t>
      </w:r>
      <w:r>
        <w:rPr>
          <w:rFonts w:hint="eastAsia" w:ascii="宋体" w:hAnsi="宋体" w:eastAsia="宋体" w:cs="宋体"/>
          <w:b w:val="0"/>
          <w:bCs/>
          <w:color w:val="auto"/>
          <w:sz w:val="24"/>
          <w:szCs w:val="24"/>
          <w:highlight w:val="none"/>
          <w:lang w:val="en-US" w:eastAsia="zh-CN"/>
        </w:rPr>
        <w:t xml:space="preserve">投标文件中提供</w:t>
      </w:r>
      <w:r>
        <w:rPr>
          <w:rFonts w:hint="eastAsia" w:ascii="宋体" w:hAnsi="宋体" w:eastAsia="宋体" w:cs="宋体"/>
          <w:b w:val="0"/>
          <w:bCs/>
          <w:color w:val="auto"/>
          <w:sz w:val="24"/>
          <w:szCs w:val="24"/>
          <w:highlight w:val="none"/>
        </w:rPr>
        <w:t xml:space="preserve">产品彩页或官网截图</w:t>
      </w:r>
      <w:r>
        <w:rPr>
          <w:rFonts w:hint="eastAsia" w:ascii="宋体" w:hAnsi="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第三方检测机构出具检验报告原件扫描件</w:t>
      </w:r>
      <w:r>
        <w:rPr>
          <w:rFonts w:hint="eastAsia" w:ascii="宋体" w:hAnsi="宋体" w:eastAsia="宋体" w:cs="宋体"/>
          <w:b w:val="0"/>
          <w:bCs/>
          <w:color w:val="auto"/>
          <w:sz w:val="24"/>
          <w:szCs w:val="24"/>
          <w:highlight w:val="none"/>
          <w:lang w:val="en-US" w:eastAsia="zh-CN"/>
        </w:rPr>
        <w:t xml:space="preserve">或相关实验数据</w:t>
      </w: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2.2.21高选择性三级离子定量线性要求：进样克伦特罗浓度为0.2ppb、0.5ppb、2ppb、5ppb、20ppb的标准曲线，质谱方法必须依次提取母离子277，子离子203，三级子离子132，采用三级离子拟合标准曲线，要求标准曲线r＞0.99（</w:t>
      </w:r>
      <w:r>
        <w:rPr>
          <w:rFonts w:hint="eastAsia" w:ascii="宋体" w:hAnsi="宋体" w:eastAsia="宋体" w:cs="宋体"/>
          <w:b w:val="0"/>
          <w:bCs/>
          <w:color w:val="auto"/>
          <w:sz w:val="24"/>
          <w:szCs w:val="24"/>
          <w:highlight w:val="none"/>
          <w:lang w:val="en-US" w:eastAsia="zh-CN"/>
        </w:rPr>
        <w:t xml:space="preserve">投标文件中提供</w:t>
      </w:r>
      <w:r>
        <w:rPr>
          <w:rFonts w:hint="eastAsia" w:ascii="宋体" w:hAnsi="宋体" w:eastAsia="宋体" w:cs="宋体"/>
          <w:b w:val="0"/>
          <w:bCs/>
          <w:color w:val="auto"/>
          <w:sz w:val="24"/>
          <w:szCs w:val="24"/>
          <w:highlight w:val="none"/>
        </w:rPr>
        <w:t xml:space="preserve">产品彩页或官网截图</w:t>
      </w:r>
      <w:r>
        <w:rPr>
          <w:rFonts w:hint="eastAsia" w:ascii="宋体" w:hAnsi="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第三方检测机构出具检验报告原件扫描件</w:t>
      </w:r>
      <w:r>
        <w:rPr>
          <w:rFonts w:hint="eastAsia" w:ascii="宋体" w:hAnsi="宋体" w:eastAsia="宋体" w:cs="宋体"/>
          <w:b w:val="0"/>
          <w:bCs/>
          <w:color w:val="auto"/>
          <w:sz w:val="24"/>
          <w:szCs w:val="24"/>
          <w:highlight w:val="none"/>
          <w:lang w:val="en-US" w:eastAsia="zh-CN"/>
        </w:rPr>
        <w:t xml:space="preserve">或相关实验数据</w:t>
      </w: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▲2.2.22在数据采集过程中具有动态背景扣除功能，保证低含量化合物也能采集到有效的二级谱图（投标文件中提供仪器操作软件截图）。</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2.2.23质谱可以直接进样快速方便，同时质谱端配备6通阀，软件可以编程自动反控6通阀</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对高盐组分或者复杂机体可以进行自动化切割分离，避免进入质谱端</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2.2.24质谱外接兼容性：质谱系统能与离子色谱在线联机使用，测定草甘膦、卤代乙酸、高氯酸盐、溴酸盐、有机酸、有机胺等。</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2.2.25工作站软件</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2.2.25.1自动实现仪器的功能配置、条件优化、数据采集、数据处理和快速定量</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软件能同时控制液相和质谱系统</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能自动地确保系统待用，进行质量校正和设置质谱分辨率；能通过监测系统参数和解析系统报警使系统的运行时间最大化，中文语言可选</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2.2.25.2质谱工作站软件具备高通量定量功能，可处理大批量样品，同时分析上千种化合物</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要求能自动标识离子比率、异常值等</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积分可靠，减少积分误差</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智能的多化合物多重反应监测方法设置，可根据每个多重反应监测目标物的保留时间自动设置多重反应监测窗口，无需手动设置多重反应监测采集窗口的起止时间段。</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2.3氮气发生器</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2.3.1采用超细化中空纤维膜分离技术，中空纤维膜具有自动再生功能无需更换</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2.3.2膜分离器采用螺旋卷式分离结构，提高氮气发生器分离效率</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2.3.3提供三路气源分别作为雾化气、干燥气和碰撞气，气源包含一路氮气和两路零级空气</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2.3.4具有双压力保护装置：当氮气发生器内部压力异常时，系统具有自我保护功能</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2.3.5内置由两台空气压缩机集成的超空压系统，交替式给氮气发生器提供压缩气源</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2.3.6具有智能待机模式，终端停止用气时空压机进入待机模式，具有断电保护和高温自动停机保护</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2.3.7内置两个对流扇，延长氮气发生器使用寿命</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2.3.8氮气发生器：内置消音器及一体式真空隔音机箱，系统（包括主机和压缩机）噪音水平：≤50dB@1m</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2.3.9氮气压力露点低:≤－40℃</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2.3.10无悬浮液体，无邻苯二甲酸酯</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2.3.11空压机和氮气发生器连接方式：空压机内置式</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2.3.12氮气发生器可实时显示空压机的实际运行时间。</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3、污水毒情监测水样自动采集器</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3.1.采集器远程操控功能：采集器设备可实现物联网功能，手机端可实时监控设备状态并进行远程操控；可以联接毒监测研发的物联网统平台</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3.2远程升级功能：采集器开机连接成功后，手机端可以对该采集器进行远程设置，远程连接升级</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3.3样品保存箱可通过手机端进行远程开锁</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在未授权开启的情况下，样品保存箱处于锁止状态，且异常开启后，采集器可报警并及时反馈给用户端</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3.4样品瓶信息绑定功能：样品瓶和瓶盖具有可溯源功能，即一瓶一码一盖</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bookmarkStart w:id="141" w:name="_Hlk208255034"/>
      <w:r>
        <w:rPr>
          <w:rFonts w:hint="eastAsia" w:ascii="宋体" w:hAnsi="宋体" w:eastAsia="宋体" w:cs="宋体"/>
          <w:b w:val="0"/>
          <w:bCs/>
          <w:color w:val="auto"/>
          <w:sz w:val="24"/>
          <w:szCs w:val="24"/>
          <w:highlight w:val="none"/>
        </w:rPr>
        <w:t xml:space="preserve">3.5.采集器尺寸需小于650mmX500mmX550mm，采集器产品重量≤30公斤</w:t>
      </w:r>
      <w:r>
        <w:rPr>
          <w:rFonts w:hint="eastAsia" w:ascii="宋体" w:hAnsi="宋体" w:cs="宋体"/>
          <w:b w:val="0"/>
          <w:bCs/>
          <w:color w:val="auto"/>
          <w:sz w:val="24"/>
          <w:szCs w:val="24"/>
          <w:highlight w:val="none"/>
          <w:lang w:eastAsia="zh-CN"/>
        </w:rPr>
        <w:t xml:space="preserve">。</w:t>
      </w:r>
      <w:bookmarkEnd w:id="141"/>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3.6.采样垂直高度≥9米，水平采样距离≥50米；</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3.7.支持样品瓶个数≥12个，支持样品瓶最大容量≥500mL；</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3.8.采集器具有集群控制功能，能通过手机端控制软件同时控制两台及以上设备进行水样采集</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3.9.样品瓶取样完成，使用瓶盖密封后，瓶盖首次开启后瓶身会留下防盗环作为开启非首次开启标志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3.10采集器具有管路润洗功能，采集器可以在启动采样前进行管路润洗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3.11.采集器具有定位功能，可将位置信息上传至后台服务器或手机控制端；</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3.12.采集器应可以实现多种采样逻辑：如单瓶多次采样、多瓶单次循环采样、间隔采样、定时启动采样、整点启动采样等</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3.13.采集器的所在地区的海拔、气压等各种状态信息可传至后台服务器或手机控制端；</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3.14.样本存储箱温度可通过移动终端软件远程控制，支持远程设置冷冻温度，其最低温度不小于22℃，可实现采样冷冻一体化，同时可远程获取样本存储箱温度；</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3.15.采集器可在样本存储箱处于零度以下低温状态时对进样口管路进行加热，防止进样口管路冻结，保障顺利采样至采样瓶</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3.16.外置360°全景摄像头，可以对采样环境进行实时监控，并具有移动侦测功能，对采样过程进行监控报警，具备红外补光，红外摄像功能，具有弱光环境摄像功能；</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3.17.内置可充电电池，内置电池容量≥5000mAh，可以提供异常断电以及电池低量报警功能</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3.18.采集器实际采样量误差与设定采样量误差不大于±5%；</w:t>
      </w:r>
      <w:r/>
    </w:p>
    <w:p>
      <w:pPr>
        <w:ind w:firstLine="480"/>
        <w:spacing w:line="500" w:lineRule="exact"/>
        <w:rPr>
          <w:rFonts w:hint="eastAsia" w:ascii="宋体" w:hAnsi="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3.19.设备的主控部分以及采样泵位于设备侧面，从结构设计上保证较好的防潮防水能力</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三重四极杆液质联用仪</w:t>
      </w:r>
      <w:r>
        <w:rPr>
          <w:rFonts w:hint="eastAsia" w:ascii="宋体" w:hAnsi="宋体" w:eastAsia="宋体" w:cs="宋体"/>
          <w:b w:val="0"/>
          <w:bCs/>
          <w:color w:val="auto"/>
          <w:sz w:val="24"/>
          <w:szCs w:val="24"/>
          <w:highlight w:val="none"/>
          <w:lang w:val="en-US" w:eastAsia="zh-CN"/>
        </w:rPr>
        <w:t xml:space="preserve">配置要求</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4.1、</w:t>
      </w:r>
      <w:r>
        <w:rPr>
          <w:rFonts w:hint="eastAsia" w:ascii="宋体" w:hAnsi="宋体" w:eastAsia="宋体" w:cs="宋体"/>
          <w:b w:val="0"/>
          <w:bCs/>
          <w:color w:val="auto"/>
          <w:sz w:val="24"/>
          <w:szCs w:val="24"/>
          <w:highlight w:val="none"/>
        </w:rPr>
        <w:t xml:space="preserve">超高压液相色谱系统一套，包括：</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4.1.1</w:t>
      </w:r>
      <w:r>
        <w:rPr>
          <w:rFonts w:hint="eastAsia" w:ascii="宋体" w:hAnsi="宋体" w:eastAsia="宋体" w:cs="宋体"/>
          <w:b w:val="0"/>
          <w:bCs/>
          <w:color w:val="auto"/>
          <w:sz w:val="24"/>
          <w:szCs w:val="24"/>
          <w:highlight w:val="none"/>
        </w:rPr>
        <w:t xml:space="preserve">超高压二元梯度泵一套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4.1.2</w:t>
      </w:r>
      <w:r>
        <w:rPr>
          <w:rFonts w:hint="eastAsia" w:ascii="宋体" w:hAnsi="宋体" w:eastAsia="宋体" w:cs="宋体"/>
          <w:b w:val="0"/>
          <w:bCs/>
          <w:color w:val="auto"/>
          <w:sz w:val="24"/>
          <w:szCs w:val="24"/>
          <w:highlight w:val="none"/>
        </w:rPr>
        <w:t xml:space="preserve">溶剂切换阀一套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4.1.3</w:t>
      </w:r>
      <w:r>
        <w:rPr>
          <w:rFonts w:hint="eastAsia" w:ascii="宋体" w:hAnsi="宋体" w:eastAsia="宋体" w:cs="宋体"/>
          <w:b w:val="0"/>
          <w:bCs/>
          <w:color w:val="auto"/>
          <w:sz w:val="24"/>
          <w:szCs w:val="24"/>
          <w:highlight w:val="none"/>
        </w:rPr>
        <w:t xml:space="preserve">在线五路脱气机一套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4.1.4</w:t>
      </w:r>
      <w:r>
        <w:rPr>
          <w:rFonts w:hint="eastAsia" w:ascii="宋体" w:hAnsi="宋体" w:eastAsia="宋体" w:cs="宋体"/>
          <w:b w:val="0"/>
          <w:bCs/>
          <w:color w:val="auto"/>
          <w:sz w:val="24"/>
          <w:szCs w:val="24"/>
          <w:highlight w:val="none"/>
        </w:rPr>
        <w:t xml:space="preserve">混合器一套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4.1.5</w:t>
      </w:r>
      <w:r>
        <w:rPr>
          <w:rFonts w:hint="eastAsia" w:ascii="宋体" w:hAnsi="宋体" w:eastAsia="宋体" w:cs="宋体"/>
          <w:b w:val="0"/>
          <w:bCs/>
          <w:color w:val="auto"/>
          <w:sz w:val="24"/>
          <w:szCs w:val="24"/>
          <w:highlight w:val="none"/>
        </w:rPr>
        <w:t xml:space="preserve">自动进样器一套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4.1.6</w:t>
      </w:r>
      <w:r>
        <w:rPr>
          <w:rFonts w:hint="eastAsia" w:ascii="宋体" w:hAnsi="宋体" w:eastAsia="宋体" w:cs="宋体"/>
          <w:b w:val="0"/>
          <w:bCs/>
          <w:color w:val="auto"/>
          <w:sz w:val="24"/>
          <w:szCs w:val="24"/>
          <w:highlight w:val="none"/>
        </w:rPr>
        <w:t xml:space="preserve">制冷型柱温箱一套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4.1.7</w:t>
      </w:r>
      <w:r>
        <w:rPr>
          <w:rFonts w:hint="eastAsia" w:ascii="宋体" w:hAnsi="宋体" w:eastAsia="宋体" w:cs="宋体"/>
          <w:b w:val="0"/>
          <w:bCs/>
          <w:color w:val="auto"/>
          <w:sz w:val="24"/>
          <w:szCs w:val="24"/>
          <w:highlight w:val="none"/>
        </w:rPr>
        <w:t xml:space="preserve">溶剂托盘一套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4.2、</w:t>
      </w:r>
      <w:r>
        <w:rPr>
          <w:rFonts w:hint="eastAsia" w:ascii="宋体" w:hAnsi="宋体" w:eastAsia="宋体" w:cs="宋体"/>
          <w:b w:val="0"/>
          <w:bCs/>
          <w:color w:val="auto"/>
          <w:sz w:val="24"/>
          <w:szCs w:val="24"/>
          <w:highlight w:val="none"/>
        </w:rPr>
        <w:t xml:space="preserve">三重串联四极杆质谱系统一套，包括：</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2.1独立的ESI离子源一套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2.2串联四极杆质谱主机一套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2.3中/英文质谱工作站一套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2.4机械泵两套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2.5配套的液相、离子色谱联机组件一套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4.3、</w:t>
      </w:r>
      <w:r>
        <w:rPr>
          <w:rFonts w:hint="eastAsia" w:ascii="宋体" w:hAnsi="宋体" w:eastAsia="宋体" w:cs="宋体"/>
          <w:b w:val="0"/>
          <w:bCs/>
          <w:color w:val="auto"/>
          <w:sz w:val="24"/>
          <w:szCs w:val="24"/>
          <w:highlight w:val="none"/>
        </w:rPr>
        <w:t xml:space="preserve">官方配套数据处理工作站</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4.3.1</w:t>
      </w:r>
      <w:r>
        <w:rPr>
          <w:rFonts w:hint="eastAsia" w:ascii="宋体" w:hAnsi="宋体" w:eastAsia="宋体" w:cs="宋体"/>
          <w:b w:val="0"/>
          <w:bCs/>
          <w:color w:val="auto"/>
          <w:sz w:val="24"/>
          <w:szCs w:val="24"/>
          <w:highlight w:val="none"/>
        </w:rPr>
        <w:t xml:space="preserve">高纯氮气发生器一套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4.3.2</w:t>
      </w:r>
      <w:r>
        <w:rPr>
          <w:rFonts w:hint="eastAsia" w:ascii="宋体" w:hAnsi="宋体" w:eastAsia="宋体" w:cs="宋体"/>
          <w:b w:val="0"/>
          <w:bCs/>
          <w:color w:val="auto"/>
          <w:sz w:val="24"/>
          <w:szCs w:val="24"/>
          <w:highlight w:val="none"/>
        </w:rPr>
        <w:t xml:space="preserve">常用耗材，包括：</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3.</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.1质谱端6通阀组件一套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3.</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.2泵油（1L）三瓶</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3.</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.3</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ESI喷针五根</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3.</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.4</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2mL样品瓶两盒（100个/盒）</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3.</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.5</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溶剂瓶五个</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3.</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.6色谱柱3根：C18色谱柱（4μm，2mm×50mm）一根、C18色谱柱（1.6μm，2.1mm×100mm）一根、联苯色谱柱（2.6μm，3mm×100mm）一根</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3.</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.7安装调谐液一套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3.</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.8系统校正化学品及联机试剂各一套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采购包</w:t>
      </w:r>
      <w:r>
        <w:rPr>
          <w:rFonts w:hint="eastAsia" w:ascii="宋体" w:hAnsi="宋体" w:cs="宋体"/>
          <w:b/>
          <w:bCs w:val="0"/>
          <w:color w:val="auto"/>
          <w:sz w:val="24"/>
          <w:szCs w:val="24"/>
          <w:highlight w:val="none"/>
          <w:lang w:val="en-US" w:eastAsia="zh-CN"/>
        </w:rPr>
        <w:t xml:space="preserve">2技术参数：</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1、工作条件及安全性要求符合中国及国际有关标准或规定</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1.1电源电压：220V±10%；</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1.2最佳使用温度：18℃～28℃；</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1.3最佳使用湿度：40%～70%。</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2、液相色谱部分</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▲2.1系统要求：超高效液相色谱主机一套，可扩展全二维液相、超临界液相等系统</w:t>
      </w:r>
      <w:r>
        <w:rPr>
          <w:rFonts w:hint="eastAsia" w:ascii="宋体" w:hAnsi="宋体" w:eastAsia="宋体" w:cs="宋体"/>
          <w:b w:val="0"/>
          <w:bCs/>
          <w:color w:val="auto"/>
          <w:sz w:val="24"/>
          <w:szCs w:val="24"/>
          <w:highlight w:val="none"/>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包含：独立二元输液泵、在线脱气机（包括清洗液脱气功能）、高压混合器、输液泵清洗组件、可降温型自动进样器、可降温型柱温箱、二极管阵列检测器、系统控制器、流动相智能管理包、色谱柱、超高压色谱方法与常规色谱方法转换软件一套（可嵌入）。</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2.3独立二元输液泵</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2.3.1液相前端组成方式：两台独立高压输液泵构成的二元梯度系统。</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▲2.3.2流速范围：0.0001-</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.000mL/min，可实现0.1μL/min步进（投标文件中提供产品彩页或官网截图</w:t>
      </w:r>
      <w:r>
        <w:rPr>
          <w:rFonts w:hint="eastAsia" w:ascii="宋体" w:hAnsi="宋体" w:eastAsia="宋体" w:cs="宋体"/>
          <w:b w:val="0"/>
          <w:bCs/>
          <w:color w:val="auto"/>
          <w:sz w:val="24"/>
          <w:szCs w:val="24"/>
          <w:highlight w:val="none"/>
          <w:lang w:val="en-US" w:eastAsia="zh-CN"/>
        </w:rPr>
        <w:t xml:space="preserve">或第三方检测机构出具的检验报告原件电子件</w:t>
      </w:r>
      <w:r>
        <w:rPr>
          <w:rFonts w:hint="eastAsia" w:ascii="宋体" w:hAnsi="宋体" w:eastAsia="宋体" w:cs="宋体"/>
          <w:b w:val="0"/>
          <w:bCs/>
          <w:color w:val="auto"/>
          <w:sz w:val="24"/>
          <w:szCs w:val="24"/>
          <w:highlight w:val="none"/>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2.3.3流速准确度：≤1%</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2.3.4流速精密度：≤0.062%</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2.3.5梯度变化步进:0.1%</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2.3.6最高耐压：</w:t>
      </w:r>
      <w:r>
        <w:rPr>
          <w:rFonts w:hint="eastAsia" w:ascii="宋体" w:hAnsi="宋体" w:cs="宋体"/>
          <w:b w:val="0"/>
          <w:bCs/>
          <w:color w:val="auto"/>
          <w:sz w:val="24"/>
          <w:szCs w:val="24"/>
          <w:highlight w:val="none"/>
          <w:lang w:val="en-US" w:eastAsia="zh-CN"/>
        </w:rPr>
        <w:t xml:space="preserve">＞15000</w:t>
      </w:r>
      <w:r>
        <w:rPr>
          <w:rFonts w:hint="eastAsia" w:ascii="宋体" w:hAnsi="宋体" w:eastAsia="宋体" w:cs="宋体"/>
          <w:b w:val="0"/>
          <w:bCs/>
          <w:color w:val="auto"/>
          <w:sz w:val="24"/>
          <w:szCs w:val="24"/>
          <w:highlight w:val="none"/>
        </w:rPr>
        <w:t xml:space="preserve">psi</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2.4在线脱气机</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2.4.1流路数目：流动相脱气≥3路，其中1路为清洗液脱气</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2.5高压混合器：两个独立泵混合，可选择不同规格</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2.6输液泵清洗组件</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2.6.1自动清洗组件：标配</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2.7可降温型自动进样器</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2.7.1样品盘容量：≥于160位(1.5mL/2mL样品瓶)；</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2.7.2样品数量扩展：最多可扩展至16000个样品；</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2.7.3进样速度：可根据样品状态调整进样速度，适合澄清、粘稠等多状态样品。</w:t>
      </w:r>
      <w:r/>
    </w:p>
    <w:p>
      <w:pPr>
        <w:ind w:firstLine="480"/>
        <w:spacing w:line="500" w:lineRule="exact"/>
        <w:rPr>
          <w:rFonts w:hint="eastAsia" w:ascii="宋体" w:hAnsi="宋体" w:eastAsia="宋体" w:cs="宋体"/>
          <w:b w:val="0"/>
          <w:bCs/>
          <w:strike/>
          <w:color w:val="auto"/>
          <w:sz w:val="24"/>
          <w:szCs w:val="24"/>
          <w:highlight w:val="none"/>
          <w:lang w:eastAsia="zh-CN"/>
        </w:rPr>
      </w:pPr>
      <w:r>
        <w:rPr>
          <w:rFonts w:hint="eastAsia" w:ascii="宋体" w:hAnsi="宋体" w:eastAsia="宋体" w:cs="宋体"/>
          <w:b w:val="0"/>
          <w:bCs/>
          <w:color w:val="auto"/>
          <w:sz w:val="24"/>
          <w:szCs w:val="24"/>
          <w:highlight w:val="none"/>
        </w:rPr>
        <w:t xml:space="preserve">2.7.4耐压：</w:t>
      </w:r>
      <w:r>
        <w:rPr>
          <w:rFonts w:hint="eastAsia" w:ascii="宋体" w:hAnsi="宋体" w:cs="宋体"/>
          <w:b w:val="0"/>
          <w:bCs/>
          <w:color w:val="auto"/>
          <w:sz w:val="24"/>
          <w:szCs w:val="24"/>
          <w:highlight w:val="none"/>
          <w:lang w:val="en-US" w:eastAsia="zh-CN"/>
        </w:rPr>
        <w:t xml:space="preserve">＞15000</w:t>
      </w:r>
      <w:r>
        <w:rPr>
          <w:rFonts w:hint="eastAsia" w:ascii="宋体" w:hAnsi="宋体" w:eastAsia="宋体" w:cs="宋体"/>
          <w:b w:val="0"/>
          <w:bCs/>
          <w:color w:val="auto"/>
          <w:sz w:val="24"/>
          <w:szCs w:val="24"/>
          <w:highlight w:val="none"/>
        </w:rPr>
        <w:t xml:space="preserve">psi</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2.7.5交叉污染：&lt;0.0003%；</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2.7.6针外壁润洗和进样口冲洗：标配；</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2.7.7针外壁送液清洗：标配2路清洗液；</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2.7.8针内壁清洗：</w:t>
      </w:r>
      <w:bookmarkStart w:id="142" w:name="OLE_LINK9"/>
      <w:r>
        <w:rPr>
          <w:rFonts w:hint="eastAsia" w:ascii="宋体" w:hAnsi="宋体" w:eastAsia="宋体" w:cs="宋体"/>
          <w:b w:val="0"/>
          <w:bCs/>
          <w:color w:val="auto"/>
          <w:sz w:val="24"/>
          <w:szCs w:val="24"/>
          <w:highlight w:val="none"/>
        </w:rPr>
        <w:t xml:space="preserve">标配3路清洗液</w:t>
      </w:r>
      <w:bookmarkEnd w:id="142"/>
      <w:r>
        <w:rPr>
          <w:rFonts w:hint="eastAsia" w:ascii="宋体" w:hAnsi="宋体" w:eastAsia="宋体" w:cs="宋体"/>
          <w:b w:val="0"/>
          <w:bCs/>
          <w:color w:val="auto"/>
          <w:sz w:val="24"/>
          <w:szCs w:val="24"/>
          <w:highlight w:val="none"/>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2.7.9双进样模式：可扩展为支持两条独立流路同时分析</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提高</w:t>
      </w:r>
      <w:r>
        <w:rPr>
          <w:rFonts w:hint="eastAsia" w:ascii="宋体" w:hAnsi="宋体" w:cs="宋体"/>
          <w:b w:val="0"/>
          <w:bCs/>
          <w:color w:val="auto"/>
          <w:sz w:val="24"/>
          <w:szCs w:val="24"/>
          <w:highlight w:val="none"/>
          <w:lang w:val="en-US" w:eastAsia="zh-CN"/>
        </w:rPr>
        <w:t xml:space="preserve">质谱利用</w:t>
      </w:r>
      <w:r>
        <w:rPr>
          <w:rFonts w:hint="eastAsia" w:ascii="宋体" w:hAnsi="宋体" w:eastAsia="宋体" w:cs="宋体"/>
          <w:b w:val="0"/>
          <w:bCs/>
          <w:color w:val="auto"/>
          <w:sz w:val="24"/>
          <w:szCs w:val="24"/>
          <w:highlight w:val="none"/>
        </w:rPr>
        <w:t xml:space="preserve">效率。</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2.7.10支持多种自动前处理功能：样品稀释、添加、混合、自动衍生等，可实现在线自动稀释完成标准曲线、有效防止溶剂效应、在线衍生等功能。</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▲2.7.11样品控温设定范围：4~45℃（投标文件中提供产品彩页或官网截图</w:t>
      </w:r>
      <w:r>
        <w:rPr>
          <w:rFonts w:hint="eastAsia" w:ascii="宋体" w:hAnsi="宋体" w:eastAsia="宋体" w:cs="宋体"/>
          <w:b w:val="0"/>
          <w:bCs/>
          <w:color w:val="auto"/>
          <w:sz w:val="24"/>
          <w:szCs w:val="24"/>
          <w:highlight w:val="none"/>
          <w:lang w:val="en-US" w:eastAsia="zh-CN"/>
        </w:rPr>
        <w:t xml:space="preserve">或第三方检测机构出具的检验报告原件电子件</w:t>
      </w: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2.8可降温型柱温箱</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2.8.1温度控制类型：采用双重控温方式，包含帕尔贴和强制空气循环两种方式，柱温箱内可放置混合器、切换阀（数量≥2），以保证混合过程及阀的切换过程均受柱温箱温控，保证样品分离过程的稳定性</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2.8.2温度控制范围：室温-10℃~95℃；</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2.8.3双重漏液传感器：含气体和液体双重传感器；</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2.8.4色谱柱容量：单个柱温箱内可放置250mm×5根；300mm×3根；</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2.8.5内置混合器：支持。</w:t>
      </w:r>
      <w:r/>
    </w:p>
    <w:p>
      <w:pPr>
        <w:ind w:left="479" w:firstLine="64"/>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2.9网络化系统控制器</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2.9.1控制单元数：8-12个单元；</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2.9.2扩展板：最多两块扩展模拟信号板；</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2.9.3数据缓存：约24小时/每次分析（500ms采样速率）</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2.10流动相管理系统：自动计算批处理分析所需流动相总量，实时监测流动相余量并可推送提醒信息至智能终端</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智能流量控制功能：无需人员看守仪器，自动平衡色谱柱，流速可缓慢上升至设定值的一半，保持该流速至柱温箱到达“就绪”状态后，流速再缓慢上升至设定值，防止瞬间高压损害色谱柱，延长色谱柱使用寿命；智能运行样品分析及序列分析，色谱柱达到平衡状态后，可自动执行样品分析功能。</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2.11色谱柱</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2.11.1原厂色谱柱两根（毛发分析，污水直接进样）</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2.12超高压色谱方法与常规色谱方法转换软件一套（可嵌入）</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2.12.1可以使用同一厂家工作站控制所有可扩展部件（包括输液泵、检测器等），进行数据采集和分析处理。</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3：质谱部分</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3.1质量范围m/z：涵盖5-2000amu或更宽。</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3.2灵敏度：</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▲3.2.1</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ESI源正离子方式：1pg利血平，MRM（609&gt;195），信噪比S/N&gt;5000000:1（RMS）；ESI源正离子方式：利血平，MRM（609&gt;195），仪器检出限IDL&lt;0.3fg（投标文件中提供产品彩页或官网截图或第三方检测机构出具检验报告原件扫描件）。</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▲3.2.2</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ESI源负离子方式：1pg氯霉素，MRM（321&gt;152），信噪比&gt;5000000:1(RMS)；ESI源负离子方式：氯霉素，MRM（321&gt;152），仪器检出限IDL&lt;0.3fg（投标文件中提供产品彩页或官网截图或第三方检测机构出具检验报告原件扫描件）。</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3.3定量重复性：氯霉素，进样量50fg，6次重复进样，RSD≤2%；</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3.4质谱分辨率（FWHM):样品(利血平)，结果m/z609处FWHM≤0.4u；</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3.5质量准确度:样品(利血平)实测值与理论值之间的误差≤0.15u</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▲3.6质谱最大扫描速度：≥30000u/sec（投标文件中提供质谱软件扫描速度截图)。</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3.7正负离子切换速度：≤5ms(不损失灵敏度的情况下)，实现正、负离子同时采集；</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3.8交叉污染crosstalk（串扰）：&lt;0.0005%；</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3.9质谱最小延迟时间：不超过1ms。</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▲3.10质谱MRM最小驻留时间（DwellTime）：&lt;1ms（投标文件中提供质谱软件驻留时间参数在线设置截图)。</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3.11MS到MS/MS切换时间：≤1ms；</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3.12质量稳定性:＜0.</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u/24hr；</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3.13MRM通道数量：一次进样，不分时间段，可以至少同时检测30000个MRM离子对，并保证灵敏度和重复性不受损失</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▲3.14MRM通道速度：＞500MRM/s</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▲3.15满足《毛发中55种滥用药物及代谢物检验液相色谱-质谱法》（GB/T43240-2023）分析要求</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▲3.16满足JD/YJY02.15-2023《水样中依托咪酯等71种精神活性物质和代谢物及可替宁检验》测试要求</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3.17离子源接口：独立的ESI电喷雾离子源、可选配原厂APCI大气压电离离子源、复合离子源（APCI&amp;ESI）、原位探针离子源等，能够进一步扩展其分析能力，且更换简单，接口具有真空锁定装置，离子源的清洁、维护、切换方便、快速，无需卸除质谱真空系统。</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3.18离子源流速范围：正/负ESI接口：1μL/min～2000μL/min。</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▲3.19ESI离子源加热气设计：独立的离子源加热辅助气采用与喷雾针同轴的设计，脱溶剂温度≥650℃。</w:t>
      </w:r>
      <w:r/>
    </w:p>
    <w:p>
      <w:pPr>
        <w:ind w:firstLine="480"/>
        <w:jc w:val="left"/>
        <w:spacing w:line="480" w:lineRule="exac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3.20质量分析器：串联四极杆型质量分析器，双曲面全金属钼四极杆，不需要控温即可保证质量准确度的稳定性</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3.21高灵敏度检测器：离轴连续打拿电子倍增器，动态范围&gt;8×10</w:t>
      </w:r>
      <w:r>
        <w:rPr>
          <w:rFonts w:hint="eastAsia" w:ascii="宋体" w:hAnsi="宋体" w:eastAsia="宋体" w:cs="宋体"/>
          <w:b w:val="0"/>
          <w:bCs/>
          <w:color w:val="auto"/>
          <w:sz w:val="24"/>
          <w:szCs w:val="24"/>
          <w:highlight w:val="none"/>
          <w:vertAlign w:val="superscript"/>
        </w:rPr>
        <w:t xml:space="preserve">6</w:t>
      </w:r>
      <w:r>
        <w:rPr>
          <w:rFonts w:hint="eastAsia" w:ascii="宋体" w:hAnsi="宋体" w:eastAsia="宋体" w:cs="宋体"/>
          <w:b w:val="0"/>
          <w:bCs/>
          <w:color w:val="auto"/>
          <w:sz w:val="24"/>
          <w:szCs w:val="24"/>
          <w:highlight w:val="none"/>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3.22工作站软件：软件能控制液相色谱和质谱部分，自动实现仪器的功能配置、条件优化、数据采集、数据处理、自动定量功能、质谱数据解析和谱库建立和检索等功能；</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3.23扫描功能：具有全扫描、选择离子扫描、选择反应串联质谱扫描、产物离子扫描、前体离子扫描、中性丢失扫描、多反应监测扫描、混合扫描、同步调查扫描、正/负离子快速切换扫描</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3.24质谱调谐：可实现全自动质谱调谐和校正，在正离子和负离子模式均可以进行灵敏度和分辨率的自动优化，进行质量校正。</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3.25生态模式功能：在一定时间内不使用时LC可自动关机，质谱离子源自动降温和关气，仪器自动执行休眠待机模式，降低能耗，有效提高仪器各部件的寿命。</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3.26氮气发生器</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3.26.1采用中空纤维膜气体分离技术制气；</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3.26.2氮气流量：0-25L/min,氮气纯度：Upto99%，干燥度：-60℃/-76℉、氮气输出气压：100psi</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干燥空气流量：25L/min，干燥度：－15℃/5℉，空气输出气压：100psi；</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3.26.3前置彩色触摸液晶屏显示</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显示内容：整机运行状态、整机运行时间、空压机运行时间、服务/故障提醒等</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3.26.4采用气体冷凝除湿技术干燥氮气</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氮气干燥度（压力露点）：-60℃/－76℉</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空气干燥度（压力露点）：－15℃/5℉</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氮气和空气干燥度数值可通过水分分析仪做干燥度现场测试；</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3.26.5内置式双空压机</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空压机最大输出气压：116psi</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最大总排气量为：≥150L/min、8000小时免维护。</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▲3.26.6内置消音器，氮气发生器内腔隔音海绵覆盖降噪，大功率风扇加大空气对流，加强机箱内部散热，发生器噪音水平：≤50dB@1m(投标文件中提供第三方检测机构出具检验报告原件扫描件）。</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3.27十万分位电子天平</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3.27.1量程：52/120g；</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3.27.2精度：0.01/0.1mg；</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3.27.3重复性(mg)：</w:t>
      </w:r>
      <w:bookmarkStart w:id="143" w:name="_Hlk184050230"/>
      <w:r>
        <w:rPr>
          <w:rFonts w:hint="eastAsia" w:ascii="宋体" w:hAnsi="宋体" w:eastAsia="宋体" w:cs="宋体"/>
          <w:b w:val="0"/>
          <w:bCs/>
          <w:color w:val="auto"/>
          <w:sz w:val="24"/>
          <w:szCs w:val="24"/>
          <w:highlight w:val="none"/>
        </w:rPr>
        <w:t xml:space="preserve">≤0.02（十万分之一设置），≤0.1（万分之一设置）</w:t>
      </w:r>
      <w:bookmarkEnd w:id="143"/>
      <w:r>
        <w:rPr>
          <w:rFonts w:hint="eastAsia" w:ascii="宋体" w:hAnsi="宋体" w:eastAsia="宋体" w:cs="宋体"/>
          <w:b w:val="0"/>
          <w:bCs/>
          <w:color w:val="auto"/>
          <w:sz w:val="24"/>
          <w:szCs w:val="24"/>
          <w:highlight w:val="none"/>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▲3.27.4标配3面自动感应门，平稳而快速的开关玻璃门，开关时间仅为1秒</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可选3种开关玻璃门方法，带有自动记忆功能，可自由设置全玻璃门的开关范围，将外部空气影响降至最低，提高作业效率。</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▲3.27.5标配内置静电消除器（投标文件中提供产品彩页或功能截图）。</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3.27.6内置≥13种高效液相HPLC常用的缓冲溶液配方，无需进行繁琐计算，轻松制备缓冲溶液。</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4.全自动毛发清洗仪</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4.1</w:t>
      </w:r>
      <w:r>
        <w:rPr>
          <w:rFonts w:hint="eastAsia" w:ascii="宋体" w:hAnsi="宋体" w:eastAsia="宋体" w:cs="宋体"/>
          <w:b w:val="0"/>
          <w:bCs/>
          <w:color w:val="auto"/>
          <w:sz w:val="24"/>
          <w:szCs w:val="24"/>
          <w:highlight w:val="none"/>
        </w:rPr>
        <w:t xml:space="preserve">烘干温度：室温~60℃；</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4.2</w:t>
      </w:r>
      <w:r>
        <w:rPr>
          <w:rFonts w:hint="eastAsia" w:ascii="宋体" w:hAnsi="宋体" w:eastAsia="宋体" w:cs="宋体"/>
          <w:b w:val="0"/>
          <w:bCs/>
          <w:color w:val="auto"/>
          <w:sz w:val="24"/>
          <w:szCs w:val="24"/>
          <w:highlight w:val="none"/>
        </w:rPr>
        <w:t xml:space="preserve">最大连续清洗数量：24个；</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4.3</w:t>
      </w:r>
      <w:r>
        <w:rPr>
          <w:rFonts w:hint="eastAsia" w:ascii="宋体" w:hAnsi="宋体" w:eastAsia="宋体" w:cs="宋体"/>
          <w:b w:val="0"/>
          <w:bCs/>
          <w:color w:val="auto"/>
          <w:sz w:val="24"/>
          <w:szCs w:val="24"/>
          <w:highlight w:val="none"/>
        </w:rPr>
        <w:t xml:space="preserve">加液精度：5±0.5ml；</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4.4</w:t>
      </w:r>
      <w:r>
        <w:rPr>
          <w:rFonts w:hint="eastAsia" w:ascii="宋体" w:hAnsi="宋体" w:eastAsia="宋体" w:cs="宋体"/>
          <w:b w:val="0"/>
          <w:bCs/>
          <w:color w:val="auto"/>
          <w:sz w:val="24"/>
          <w:szCs w:val="24"/>
          <w:highlight w:val="none"/>
        </w:rPr>
        <w:t xml:space="preserve">加液时长：0-999s；</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4.5</w:t>
      </w:r>
      <w:r>
        <w:rPr>
          <w:rFonts w:hint="eastAsia" w:ascii="宋体" w:hAnsi="宋体" w:eastAsia="宋体" w:cs="宋体"/>
          <w:b w:val="0"/>
          <w:bCs/>
          <w:color w:val="auto"/>
          <w:sz w:val="24"/>
          <w:szCs w:val="24"/>
          <w:highlight w:val="none"/>
        </w:rPr>
        <w:t xml:space="preserve">单组超声时长：0~999s；</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4.6  </w:t>
      </w:r>
      <w:r>
        <w:rPr>
          <w:rFonts w:hint="eastAsia" w:ascii="宋体" w:hAnsi="宋体" w:eastAsia="宋体" w:cs="宋体"/>
          <w:b w:val="0"/>
          <w:bCs/>
          <w:color w:val="auto"/>
          <w:sz w:val="24"/>
          <w:szCs w:val="24"/>
          <w:highlight w:val="none"/>
          <w:lang w:eastAsia="zh-Hans"/>
        </w:rPr>
        <w:t xml:space="preserve">24</w:t>
      </w:r>
      <w:r>
        <w:rPr>
          <w:rFonts w:hint="eastAsia" w:ascii="宋体" w:hAnsi="宋体" w:eastAsia="宋体" w:cs="宋体"/>
          <w:b w:val="0"/>
          <w:bCs/>
          <w:color w:val="auto"/>
          <w:sz w:val="24"/>
          <w:szCs w:val="24"/>
          <w:highlight w:val="none"/>
        </w:rPr>
        <w:t xml:space="preserve">组独立清洗控制；</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4.7</w:t>
      </w:r>
      <w:r>
        <w:rPr>
          <w:rFonts w:hint="eastAsia" w:ascii="宋体" w:hAnsi="宋体" w:eastAsia="宋体" w:cs="宋体"/>
          <w:b w:val="0"/>
          <w:bCs/>
          <w:color w:val="auto"/>
          <w:sz w:val="24"/>
          <w:szCs w:val="24"/>
          <w:highlight w:val="none"/>
        </w:rPr>
        <w:t xml:space="preserve">仪器主机可增配远程控制及多级客户管理机制</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4.8</w:t>
      </w:r>
      <w:r>
        <w:rPr>
          <w:rFonts w:hint="eastAsia" w:ascii="宋体" w:hAnsi="宋体" w:eastAsia="宋体" w:cs="宋体"/>
          <w:b w:val="0"/>
          <w:bCs/>
          <w:color w:val="auto"/>
          <w:sz w:val="24"/>
          <w:szCs w:val="24"/>
          <w:highlight w:val="none"/>
        </w:rPr>
        <w:t xml:space="preserve">全自动清洗：通过内置程序和操作界面，实现一键全自动清洗，无需耗费过多人力，提高工作效率</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4.9</w:t>
      </w:r>
      <w:r>
        <w:rPr>
          <w:rFonts w:hint="eastAsia" w:ascii="宋体" w:hAnsi="宋体" w:eastAsia="宋体" w:cs="宋体"/>
          <w:b w:val="0"/>
          <w:bCs/>
          <w:color w:val="auto"/>
          <w:sz w:val="24"/>
          <w:szCs w:val="24"/>
          <w:highlight w:val="none"/>
        </w:rPr>
        <w:t xml:space="preserve">高效洗净：利用先进的清洗技术，能够深入清洁毛发样本，快速去除污染物质，保证样本的纯净性</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4.10</w:t>
      </w:r>
      <w:r>
        <w:rPr>
          <w:rFonts w:hint="eastAsia" w:ascii="宋体" w:hAnsi="宋体" w:eastAsia="宋体" w:cs="宋体"/>
          <w:b w:val="0"/>
          <w:bCs/>
          <w:color w:val="auto"/>
          <w:sz w:val="24"/>
          <w:szCs w:val="24"/>
          <w:highlight w:val="none"/>
        </w:rPr>
        <w:t xml:space="preserve">多功能设置：可根据不同实验需求进行多种清洗模式的选择，满足各类毛发测毒实验的要求</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4.11</w:t>
      </w:r>
      <w:r>
        <w:rPr>
          <w:rFonts w:hint="eastAsia" w:ascii="宋体" w:hAnsi="宋体" w:eastAsia="宋体" w:cs="宋体"/>
          <w:b w:val="0"/>
          <w:bCs/>
          <w:color w:val="auto"/>
          <w:sz w:val="24"/>
          <w:szCs w:val="24"/>
          <w:highlight w:val="none"/>
        </w:rPr>
        <w:t xml:space="preserve">可靠安全：采用安全材料和设计，确保操作过程安全可靠，不会对样本造成污染或损害</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4.12</w:t>
      </w:r>
      <w:r>
        <w:rPr>
          <w:rFonts w:hint="eastAsia" w:ascii="宋体" w:hAnsi="宋体" w:eastAsia="宋体" w:cs="宋体"/>
          <w:b w:val="0"/>
          <w:bCs/>
          <w:color w:val="auto"/>
          <w:sz w:val="24"/>
          <w:szCs w:val="24"/>
          <w:highlight w:val="none"/>
        </w:rPr>
        <w:t xml:space="preserve">防腐蚀：BPT材质清洗管路，更耐腐蚀，寿命更长</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4.13</w:t>
      </w:r>
      <w:r>
        <w:rPr>
          <w:rFonts w:hint="eastAsia" w:ascii="宋体" w:hAnsi="宋体" w:eastAsia="宋体" w:cs="宋体"/>
          <w:b w:val="0"/>
          <w:bCs/>
          <w:color w:val="auto"/>
          <w:sz w:val="24"/>
          <w:szCs w:val="24"/>
          <w:highlight w:val="none"/>
        </w:rPr>
        <w:t xml:space="preserve">批量化：一次可同时处理24份毛发样品</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bCs/>
          <w:sz w:val="24"/>
          <w:szCs w:val="24"/>
          <w:lang w:val="en-US" w:eastAsia="zh-CN"/>
        </w:rPr>
      </w:pPr>
      <w:r>
        <w:rPr>
          <w:rFonts w:hint="eastAsia" w:ascii="宋体" w:hAnsi="宋体" w:cs="宋体"/>
          <w:b w:val="0"/>
          <w:bCs/>
          <w:color w:val="auto"/>
          <w:sz w:val="24"/>
          <w:szCs w:val="24"/>
          <w:highlight w:val="none"/>
          <w:lang w:val="en-US" w:eastAsia="zh-CN"/>
        </w:rPr>
        <w:t xml:space="preserve">4.14</w:t>
      </w:r>
      <w:r>
        <w:rPr>
          <w:rFonts w:hint="eastAsia" w:ascii="宋体" w:hAnsi="宋体" w:eastAsia="宋体" w:cs="宋体"/>
          <w:b w:val="0"/>
          <w:bCs/>
          <w:color w:val="auto"/>
          <w:sz w:val="24"/>
          <w:szCs w:val="24"/>
          <w:highlight w:val="none"/>
        </w:rPr>
        <w:t xml:space="preserve">高效率：10分钟内完成标准化清洗流程。</w:t>
      </w:r>
      <w:r/>
    </w:p>
    <w:p>
      <w:pPr>
        <w:ind w:firstLine="480"/>
        <w:spacing w:line="500" w:lineRule="exact"/>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液相色谱质谱仪</w:t>
      </w:r>
      <w:r>
        <w:rPr>
          <w:rFonts w:hint="eastAsia" w:ascii="宋体" w:hAnsi="宋体" w:eastAsia="宋体" w:cs="宋体"/>
          <w:b w:val="0"/>
          <w:bCs/>
          <w:color w:val="auto"/>
          <w:sz w:val="24"/>
          <w:szCs w:val="24"/>
          <w:highlight w:val="none"/>
          <w:lang w:val="en-US" w:eastAsia="zh-CN"/>
        </w:rPr>
        <w:t xml:space="preserve">配置要求</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主机配置要求</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.1独立二元输液泵1套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w:t>
      </w:r>
      <w:r>
        <w:rPr>
          <w:rFonts w:hint="eastAsia" w:ascii="宋体" w:hAnsi="宋体" w:eastAsia="宋体" w:cs="宋体"/>
          <w:b w:val="0"/>
          <w:bCs/>
          <w:color w:val="auto"/>
          <w:sz w:val="24"/>
          <w:szCs w:val="24"/>
          <w:highlight w:val="none"/>
        </w:rPr>
        <w:t xml:space="preserve">.2在线脱气机1套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w:t>
      </w:r>
      <w:r>
        <w:rPr>
          <w:rFonts w:hint="eastAsia" w:ascii="宋体" w:hAnsi="宋体" w:eastAsia="宋体" w:cs="宋体"/>
          <w:b w:val="0"/>
          <w:bCs/>
          <w:color w:val="auto"/>
          <w:sz w:val="24"/>
          <w:szCs w:val="24"/>
          <w:highlight w:val="none"/>
        </w:rPr>
        <w:t xml:space="preserve">.3高压混合器1套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w:t>
      </w:r>
      <w:r>
        <w:rPr>
          <w:rFonts w:hint="eastAsia" w:ascii="宋体" w:hAnsi="宋体" w:eastAsia="宋体" w:cs="宋体"/>
          <w:b w:val="0"/>
          <w:bCs/>
          <w:color w:val="auto"/>
          <w:sz w:val="24"/>
          <w:szCs w:val="24"/>
          <w:highlight w:val="none"/>
        </w:rPr>
        <w:t xml:space="preserve">.4输液泵清洗组件1套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w:t>
      </w:r>
      <w:r>
        <w:rPr>
          <w:rFonts w:hint="eastAsia" w:ascii="宋体" w:hAnsi="宋体" w:eastAsia="宋体" w:cs="宋体"/>
          <w:b w:val="0"/>
          <w:bCs/>
          <w:color w:val="auto"/>
          <w:sz w:val="24"/>
          <w:szCs w:val="24"/>
          <w:highlight w:val="none"/>
        </w:rPr>
        <w:t xml:space="preserve">.5可降温型自动进样器1套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w:t>
      </w:r>
      <w:r>
        <w:rPr>
          <w:rFonts w:hint="eastAsia" w:ascii="宋体" w:hAnsi="宋体" w:eastAsia="宋体" w:cs="宋体"/>
          <w:b w:val="0"/>
          <w:bCs/>
          <w:color w:val="auto"/>
          <w:sz w:val="24"/>
          <w:szCs w:val="24"/>
          <w:highlight w:val="none"/>
        </w:rPr>
        <w:t xml:space="preserve">.6可降温型柱温箱1套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w:t>
      </w:r>
      <w:r>
        <w:rPr>
          <w:rFonts w:hint="eastAsia" w:ascii="宋体" w:hAnsi="宋体" w:eastAsia="宋体" w:cs="宋体"/>
          <w:b w:val="0"/>
          <w:bCs/>
          <w:color w:val="auto"/>
          <w:sz w:val="24"/>
          <w:szCs w:val="24"/>
          <w:highlight w:val="none"/>
        </w:rPr>
        <w:t xml:space="preserve">.7网络化系统控制器1套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w:t>
      </w:r>
      <w:r>
        <w:rPr>
          <w:rFonts w:hint="eastAsia" w:ascii="宋体" w:hAnsi="宋体" w:eastAsia="宋体" w:cs="宋体"/>
          <w:b w:val="0"/>
          <w:bCs/>
          <w:color w:val="auto"/>
          <w:sz w:val="24"/>
          <w:szCs w:val="24"/>
          <w:highlight w:val="none"/>
        </w:rPr>
        <w:t xml:space="preserve">.8色谱柱3根（两根毛发，一根污水）</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w:t>
      </w:r>
      <w:r>
        <w:rPr>
          <w:rFonts w:hint="eastAsia" w:ascii="宋体" w:hAnsi="宋体" w:eastAsia="宋体" w:cs="宋体"/>
          <w:b w:val="0"/>
          <w:bCs/>
          <w:color w:val="auto"/>
          <w:sz w:val="24"/>
          <w:szCs w:val="24"/>
          <w:highlight w:val="none"/>
        </w:rPr>
        <w:t xml:space="preserve">.9超高压色谱方法与常规色谱方法转换软件一套（可嵌入）</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5.1.10</w:t>
      </w:r>
      <w:r>
        <w:rPr>
          <w:rFonts w:hint="eastAsia" w:ascii="宋体" w:hAnsi="宋体" w:eastAsia="宋体" w:cs="宋体"/>
          <w:b w:val="0"/>
          <w:bCs/>
          <w:color w:val="auto"/>
          <w:sz w:val="24"/>
          <w:szCs w:val="24"/>
          <w:highlight w:val="none"/>
        </w:rPr>
        <w:t xml:space="preserve">三重四极杆液质主机一台</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5.1.11</w:t>
      </w:r>
      <w:r>
        <w:rPr>
          <w:rFonts w:hint="eastAsia" w:ascii="宋体" w:hAnsi="宋体" w:eastAsia="宋体" w:cs="宋体"/>
          <w:b w:val="0"/>
          <w:bCs/>
          <w:color w:val="auto"/>
          <w:sz w:val="24"/>
          <w:szCs w:val="24"/>
          <w:highlight w:val="none"/>
        </w:rPr>
        <w:t xml:space="preserve">液质接口离子源ESI源</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5.1.12</w:t>
      </w:r>
      <w:r>
        <w:rPr>
          <w:rFonts w:hint="eastAsia" w:ascii="宋体" w:hAnsi="宋体" w:eastAsia="宋体" w:cs="宋体"/>
          <w:b w:val="0"/>
          <w:bCs/>
          <w:color w:val="auto"/>
          <w:sz w:val="24"/>
          <w:szCs w:val="24"/>
          <w:highlight w:val="none"/>
        </w:rPr>
        <w:t xml:space="preserve">跟液质配套用氮气发生器1台</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5.1.13</w:t>
      </w:r>
      <w:r>
        <w:rPr>
          <w:rFonts w:hint="eastAsia" w:ascii="宋体" w:hAnsi="宋体" w:eastAsia="宋体" w:cs="宋体"/>
          <w:b w:val="0"/>
          <w:bCs/>
          <w:color w:val="auto"/>
          <w:sz w:val="24"/>
          <w:szCs w:val="24"/>
          <w:highlight w:val="none"/>
        </w:rPr>
        <w:t xml:space="preserve">原厂质谱中文工作站软件一套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5.1.14</w:t>
      </w:r>
      <w:r>
        <w:rPr>
          <w:rFonts w:hint="eastAsia" w:ascii="宋体" w:hAnsi="宋体" w:eastAsia="宋体" w:cs="宋体"/>
          <w:b w:val="0"/>
          <w:bCs/>
          <w:color w:val="auto"/>
          <w:sz w:val="24"/>
          <w:szCs w:val="24"/>
          <w:highlight w:val="none"/>
        </w:rPr>
        <w:t xml:space="preserve">中文串联质谱滥用药物数据库一套，精神活性物质数据库一套</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5.1.15</w:t>
      </w:r>
      <w:r>
        <w:rPr>
          <w:rFonts w:hint="eastAsia" w:ascii="宋体" w:hAnsi="宋体" w:eastAsia="宋体" w:cs="宋体"/>
          <w:b w:val="0"/>
          <w:bCs/>
          <w:color w:val="auto"/>
          <w:sz w:val="24"/>
          <w:szCs w:val="24"/>
          <w:highlight w:val="none"/>
        </w:rPr>
        <w:t xml:space="preserve">十万分位电子天平1台</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5.2、</w:t>
      </w:r>
      <w:r>
        <w:rPr>
          <w:rFonts w:hint="eastAsia" w:ascii="宋体" w:hAnsi="宋体" w:eastAsia="宋体" w:cs="宋体"/>
          <w:b w:val="0"/>
          <w:bCs/>
          <w:color w:val="auto"/>
          <w:sz w:val="24"/>
          <w:szCs w:val="24"/>
          <w:highlight w:val="none"/>
        </w:rPr>
        <w:t xml:space="preserve">全自动毛发清洗仪配置要求：</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5.2.1</w:t>
      </w:r>
      <w:r>
        <w:rPr>
          <w:rFonts w:hint="eastAsia" w:ascii="宋体" w:hAnsi="宋体" w:eastAsia="宋体" w:cs="宋体"/>
          <w:b w:val="0"/>
          <w:bCs/>
          <w:color w:val="auto"/>
          <w:sz w:val="24"/>
          <w:szCs w:val="24"/>
          <w:highlight w:val="none"/>
        </w:rPr>
        <w:t xml:space="preserve">主机一台</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5.2.2</w:t>
      </w:r>
      <w:r>
        <w:rPr>
          <w:rFonts w:hint="eastAsia" w:ascii="宋体" w:hAnsi="宋体" w:eastAsia="宋体" w:cs="宋体"/>
          <w:b w:val="0"/>
          <w:bCs/>
          <w:color w:val="auto"/>
          <w:sz w:val="24"/>
          <w:szCs w:val="24"/>
          <w:highlight w:val="none"/>
          <w:lang w:eastAsia="zh-Hans"/>
        </w:rPr>
        <w:t xml:space="preserve">保险丝</w:t>
      </w:r>
      <w:r>
        <w:rPr>
          <w:rFonts w:hint="eastAsia" w:ascii="宋体" w:hAnsi="宋体" w:eastAsia="宋体" w:cs="宋体"/>
          <w:b w:val="0"/>
          <w:bCs/>
          <w:color w:val="auto"/>
          <w:sz w:val="24"/>
          <w:szCs w:val="24"/>
          <w:highlight w:val="none"/>
        </w:rPr>
        <w:t xml:space="preserve">两</w:t>
      </w:r>
      <w:r>
        <w:rPr>
          <w:rFonts w:hint="eastAsia" w:ascii="宋体" w:hAnsi="宋体" w:eastAsia="宋体" w:cs="宋体"/>
          <w:b w:val="0"/>
          <w:bCs/>
          <w:color w:val="auto"/>
          <w:sz w:val="24"/>
          <w:szCs w:val="24"/>
          <w:highlight w:val="none"/>
          <w:lang w:eastAsia="zh-Hans"/>
        </w:rPr>
        <w:t xml:space="preserve">个</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5.2.3</w:t>
      </w:r>
      <w:r>
        <w:rPr>
          <w:rFonts w:hint="eastAsia" w:ascii="宋体" w:hAnsi="宋体" w:eastAsia="宋体" w:cs="宋体"/>
          <w:b w:val="0"/>
          <w:bCs/>
          <w:color w:val="auto"/>
          <w:sz w:val="24"/>
          <w:szCs w:val="24"/>
          <w:highlight w:val="none"/>
          <w:lang w:eastAsia="zh-Hans"/>
        </w:rPr>
        <w:t xml:space="preserve">超声管一袋</w:t>
      </w:r>
      <w:r>
        <w:rPr>
          <w:rFonts w:hint="eastAsia" w:ascii="宋体" w:hAnsi="宋体" w:cs="宋体"/>
          <w:b w:val="0"/>
          <w:bCs/>
          <w:color w:val="auto"/>
          <w:sz w:val="24"/>
          <w:szCs w:val="24"/>
          <w:highlight w:val="none"/>
          <w:lang w:eastAsia="zh-CN"/>
        </w:rPr>
        <w:t xml:space="preserve">；</w:t>
      </w:r>
      <w:r/>
    </w:p>
    <w:p>
      <w:pPr>
        <w:ind w:firstLine="480"/>
        <w:spacing w:line="500" w:lineRule="exact"/>
        <w:rPr>
          <w:rFonts w:hint="eastAsia" w:ascii="宋体" w:hAnsi="宋体" w:eastAsia="宋体"/>
          <w:b/>
          <w:sz w:val="24"/>
          <w:szCs w:val="24"/>
          <w:lang w:eastAsia="zh-CN"/>
        </w:rPr>
      </w:pPr>
      <w:r>
        <w:rPr>
          <w:rFonts w:hint="eastAsia" w:ascii="宋体" w:hAnsi="宋体" w:cs="宋体"/>
          <w:b w:val="0"/>
          <w:bCs/>
          <w:color w:val="auto"/>
          <w:sz w:val="24"/>
          <w:szCs w:val="24"/>
          <w:highlight w:val="none"/>
          <w:lang w:val="en-US" w:eastAsia="zh-CN"/>
        </w:rPr>
        <w:t xml:space="preserve">5.2.4</w:t>
      </w:r>
      <w:r>
        <w:rPr>
          <w:rFonts w:hint="eastAsia" w:ascii="宋体" w:hAnsi="宋体" w:eastAsia="宋体" w:cs="宋体"/>
          <w:b w:val="0"/>
          <w:bCs/>
          <w:color w:val="auto"/>
          <w:sz w:val="24"/>
          <w:szCs w:val="24"/>
          <w:highlight w:val="none"/>
          <w:lang w:eastAsia="zh-Hans"/>
        </w:rPr>
        <w:t xml:space="preserve">触摸笔1根</w:t>
      </w:r>
      <w:r>
        <w:rPr>
          <w:rFonts w:hint="eastAsia" w:ascii="宋体" w:hAnsi="宋体" w:cs="宋体"/>
          <w:b w:val="0"/>
          <w:bCs/>
          <w:color w:val="auto"/>
          <w:sz w:val="24"/>
          <w:szCs w:val="24"/>
          <w:highlight w:val="none"/>
          <w:lang w:eastAsia="zh-CN"/>
        </w:rPr>
        <w:t xml:space="preserve">。</w:t>
      </w:r>
      <w:r/>
    </w:p>
    <w:p>
      <w:pPr>
        <w:ind w:firstLine="482"/>
        <w:spacing w:line="400" w:lineRule="exact"/>
        <w:rPr>
          <w:rFonts w:hint="eastAsia" w:ascii="宋体" w:hAnsi="宋体"/>
          <w:b/>
          <w:sz w:val="24"/>
          <w:szCs w:val="24"/>
          <w:lang w:val="en-US" w:eastAsia="zh-CN"/>
        </w:rPr>
      </w:pPr>
      <w:r>
        <w:rPr>
          <w:rFonts w:hint="eastAsia" w:ascii="宋体" w:hAnsi="宋体"/>
          <w:b/>
          <w:sz w:val="24"/>
          <w:szCs w:val="24"/>
          <w:lang w:val="en-US" w:eastAsia="zh-CN"/>
        </w:rPr>
        <w:t xml:space="preserve">四、交货期限及地点</w:t>
      </w:r>
      <w:r/>
    </w:p>
    <w:p>
      <w:pPr>
        <w:pStyle w:val="1012"/>
        <w:ind w:firstLine="482"/>
        <w:spacing w:line="460" w:lineRule="exact"/>
        <w:widowControl/>
        <w:rPr>
          <w:rFonts w:hint="eastAsia" w:ascii="宋体" w:hAnsi="宋体" w:eastAsia="宋体" w:cs="方正仿宋_GBK"/>
          <w:bCs/>
        </w:rPr>
      </w:pPr>
      <w:r>
        <w:rPr>
          <w:rFonts w:hint="eastAsia" w:ascii="宋体" w:hAnsi="宋体" w:eastAsia="宋体" w:cs="方正仿宋_GBK"/>
          <w:bCs/>
        </w:rPr>
        <w:t xml:space="preserve">1.</w:t>
      </w:r>
      <w:r>
        <w:rPr>
          <w:rFonts w:hint="eastAsia" w:ascii="宋体" w:hAnsi="宋体" w:eastAsia="宋体" w:cs="方正仿宋_GBK"/>
          <w:bCs/>
          <w:lang w:val="en-US" w:eastAsia="zh-CN"/>
        </w:rPr>
        <w:t xml:space="preserve">合同履行期限</w:t>
      </w:r>
      <w:r>
        <w:rPr>
          <w:rFonts w:hint="eastAsia" w:ascii="宋体" w:hAnsi="宋体" w:eastAsia="宋体" w:cs="方正仿宋_GBK"/>
          <w:bCs/>
        </w:rPr>
        <w:t xml:space="preserve">：合同签订后</w:t>
      </w:r>
      <w:r>
        <w:rPr>
          <w:rFonts w:hint="eastAsia" w:ascii="宋体" w:hAnsi="宋体" w:eastAsia="宋体" w:cs="方正仿宋_GBK"/>
          <w:bCs/>
          <w:lang w:val="en-US" w:eastAsia="zh-CN"/>
        </w:rPr>
        <w:t xml:space="preserve">60日历天</w:t>
      </w:r>
      <w:r>
        <w:rPr>
          <w:rFonts w:hint="eastAsia" w:ascii="宋体" w:hAnsi="宋体" w:eastAsia="宋体" w:cs="方正仿宋_GBK"/>
          <w:bCs/>
        </w:rPr>
        <w:t xml:space="preserve">内完成供货</w:t>
      </w:r>
      <w:r>
        <w:rPr>
          <w:rFonts w:hint="eastAsia" w:ascii="宋体" w:hAnsi="宋体" w:eastAsia="宋体" w:cs="方正仿宋_GBK"/>
          <w:bCs/>
          <w:lang w:val="en-US" w:eastAsia="zh-CN"/>
        </w:rPr>
        <w:t xml:space="preserve">并</w:t>
      </w:r>
      <w:r>
        <w:rPr>
          <w:rFonts w:hint="eastAsia" w:ascii="宋体" w:hAnsi="宋体" w:eastAsia="宋体" w:cs="方正仿宋_GBK"/>
          <w:bCs/>
        </w:rPr>
        <w:t xml:space="preserve">全部安装调试</w:t>
      </w:r>
      <w:r>
        <w:rPr>
          <w:rFonts w:hint="eastAsia" w:ascii="宋体" w:hAnsi="宋体" w:eastAsia="宋体" w:cs="方正仿宋_GBK"/>
          <w:bCs/>
          <w:lang w:val="en-US" w:eastAsia="zh-CN"/>
        </w:rPr>
        <w:t xml:space="preserve">完毕；</w:t>
      </w:r>
      <w:r>
        <w:rPr>
          <w:rFonts w:hint="eastAsia" w:ascii="宋体" w:hAnsi="宋体" w:eastAsia="宋体" w:cs="方正仿宋_GBK"/>
          <w:bCs/>
        </w:rPr>
        <w:t xml:space="preserve">自项目验收合格之日起售后质保服务3年。</w:t>
      </w:r>
      <w:r/>
    </w:p>
    <w:p>
      <w:pPr>
        <w:pStyle w:val="1012"/>
        <w:ind w:firstLine="482"/>
        <w:spacing w:line="460" w:lineRule="exact"/>
        <w:widowControl/>
        <w:rPr>
          <w:rFonts w:hint="eastAsia" w:ascii="宋体" w:hAnsi="宋体" w:eastAsia="宋体" w:cs="方正仿宋_GBK"/>
          <w:bCs/>
        </w:rPr>
      </w:pPr>
      <w:r>
        <w:rPr>
          <w:rFonts w:hint="eastAsia" w:ascii="宋体" w:hAnsi="宋体" w:eastAsia="宋体" w:cs="方正仿宋_GBK"/>
          <w:bCs/>
        </w:rPr>
        <w:t xml:space="preserve">2.交货地点：</w:t>
      </w:r>
      <w:r>
        <w:rPr>
          <w:rFonts w:hint="eastAsia" w:ascii="宋体" w:hAnsi="宋体" w:eastAsia="宋体" w:cs="方正仿宋_GBK"/>
          <w:bCs/>
          <w:lang w:val="en-US" w:eastAsia="zh-CN"/>
        </w:rPr>
        <w:t xml:space="preserve">采购人指定</w:t>
      </w:r>
      <w:r>
        <w:rPr>
          <w:rFonts w:hint="eastAsia" w:ascii="宋体" w:hAnsi="宋体" w:eastAsia="宋体" w:cs="方正仿宋_GBK"/>
          <w:bCs/>
        </w:rPr>
        <w:t xml:space="preserve">。</w:t>
      </w:r>
      <w:r/>
    </w:p>
    <w:p>
      <w:pPr>
        <w:pStyle w:val="1012"/>
        <w:ind w:firstLine="482"/>
        <w:spacing w:line="460" w:lineRule="exact"/>
        <w:widowControl/>
        <w:rPr>
          <w:rFonts w:hint="eastAsia" w:ascii="宋体" w:hAnsi="宋体" w:eastAsia="宋体" w:cs="方正仿宋_GBK"/>
          <w:bCs/>
        </w:rPr>
      </w:pPr>
      <w:r>
        <w:rPr>
          <w:rFonts w:hint="eastAsia" w:ascii="宋体" w:hAnsi="宋体" w:eastAsia="宋体" w:cs="方正仿宋_GBK"/>
          <w:bCs/>
        </w:rPr>
        <w:t xml:space="preserve">3.交货方式：交货时甲乙双方均要有项目负责人现场清点移交。</w:t>
      </w:r>
      <w:r/>
    </w:p>
    <w:p>
      <w:pPr>
        <w:ind w:firstLine="482"/>
        <w:spacing w:line="400" w:lineRule="exact"/>
        <w:rPr>
          <w:rFonts w:hint="eastAsia" w:ascii="宋体" w:hAnsi="宋体"/>
          <w:b/>
          <w:sz w:val="24"/>
          <w:szCs w:val="24"/>
          <w:lang w:val="en-US" w:eastAsia="zh-CN"/>
        </w:rPr>
      </w:pPr>
      <w:r>
        <w:rPr>
          <w:rFonts w:hint="eastAsia" w:ascii="宋体" w:hAnsi="宋体"/>
          <w:b/>
          <w:sz w:val="24"/>
          <w:szCs w:val="24"/>
          <w:lang w:val="en-US" w:eastAsia="zh-CN"/>
        </w:rPr>
        <w:t xml:space="preserve">五、付款方式</w:t>
      </w:r>
      <w:r/>
    </w:p>
    <w:p>
      <w:pPr>
        <w:ind w:firstLine="480"/>
        <w:spacing w:line="500" w:lineRule="exact"/>
        <w:rPr>
          <w:rFonts w:hint="eastAsia" w:ascii="宋体" w:hAnsi="宋体" w:cs="方正仿宋_GBK"/>
          <w:bCs/>
          <w:sz w:val="24"/>
          <w:szCs w:val="24"/>
        </w:rPr>
      </w:pPr>
      <w:r>
        <w:rPr>
          <w:rFonts w:hint="eastAsia" w:ascii="宋体" w:hAnsi="宋体" w:cs="方正仿宋_GBK"/>
          <w:bCs/>
          <w:sz w:val="24"/>
          <w:szCs w:val="24"/>
        </w:rPr>
        <w:t xml:space="preserve">合同签订且采购单位在收到供应商发票后10个工作日内，支付至合同总额的</w:t>
      </w:r>
      <w:r>
        <w:rPr>
          <w:rFonts w:ascii="宋体" w:hAnsi="宋体" w:cs="方正仿宋_GBK"/>
          <w:bCs/>
          <w:sz w:val="24"/>
          <w:szCs w:val="24"/>
        </w:rPr>
        <w:t xml:space="preserve">3</w:t>
      </w:r>
      <w:r>
        <w:rPr>
          <w:rFonts w:hint="eastAsia" w:ascii="宋体" w:hAnsi="宋体" w:cs="方正仿宋_GBK"/>
          <w:bCs/>
          <w:sz w:val="24"/>
          <w:szCs w:val="24"/>
        </w:rPr>
        <w:t xml:space="preserve">0%</w:t>
      </w:r>
      <w:r>
        <w:rPr>
          <w:rFonts w:hint="eastAsia" w:ascii="宋体" w:hAnsi="宋体" w:cs="方正仿宋_GBK"/>
          <w:bCs/>
          <w:sz w:val="24"/>
          <w:szCs w:val="24"/>
          <w:lang w:val="en-US" w:eastAsia="zh-CN"/>
        </w:rPr>
        <w:t xml:space="preserve">;设备安装调试完成后，试运行3个月后无其他问题，供应商提出验收申请，经采购人组织</w:t>
      </w:r>
      <w:r>
        <w:rPr>
          <w:rFonts w:hint="eastAsia" w:ascii="宋体" w:hAnsi="宋体" w:cs="方正仿宋_GBK"/>
          <w:bCs/>
          <w:sz w:val="24"/>
          <w:szCs w:val="24"/>
        </w:rPr>
        <w:t xml:space="preserve">验收合格</w:t>
      </w:r>
      <w:r>
        <w:rPr>
          <w:rFonts w:hint="eastAsia" w:ascii="宋体" w:hAnsi="宋体" w:cs="方正仿宋_GBK"/>
          <w:bCs/>
          <w:sz w:val="24"/>
          <w:szCs w:val="24"/>
          <w:lang w:val="en-US" w:eastAsia="zh-CN"/>
        </w:rPr>
        <w:t xml:space="preserve">后</w:t>
      </w:r>
      <w:r>
        <w:rPr>
          <w:rFonts w:hint="eastAsia" w:ascii="宋体" w:hAnsi="宋体" w:cs="方正仿宋_GBK"/>
          <w:bCs/>
          <w:sz w:val="24"/>
          <w:szCs w:val="24"/>
        </w:rPr>
        <w:t xml:space="preserve">，采购</w:t>
      </w:r>
      <w:r>
        <w:rPr>
          <w:rFonts w:hint="eastAsia" w:ascii="宋体" w:hAnsi="宋体" w:cs="方正仿宋_GBK"/>
          <w:bCs/>
          <w:sz w:val="24"/>
          <w:szCs w:val="24"/>
          <w:lang w:val="en-US" w:eastAsia="zh-CN"/>
        </w:rPr>
        <w:t xml:space="preserve">人</w:t>
      </w:r>
      <w:r>
        <w:rPr>
          <w:rFonts w:hint="eastAsia" w:ascii="宋体" w:hAnsi="宋体" w:cs="方正仿宋_GBK"/>
          <w:bCs/>
          <w:sz w:val="24"/>
          <w:szCs w:val="24"/>
        </w:rPr>
        <w:t xml:space="preserve">在收到供应商发票后10个工作日内，支付至合同总额的100%。</w:t>
      </w:r>
      <w:r/>
    </w:p>
    <w:p>
      <w:pPr>
        <w:pStyle w:val="1012"/>
        <w:ind w:firstLine="482"/>
        <w:spacing w:line="460" w:lineRule="exact"/>
        <w:widowControl/>
        <w:rPr>
          <w:rFonts w:cs="方正仿宋_GBK"/>
        </w:rPr>
      </w:pPr>
      <w:r>
        <w:rPr>
          <w:rFonts w:hint="eastAsia" w:cs="方正仿宋_GBK"/>
          <w:b/>
          <w:bCs/>
        </w:rPr>
        <w:t xml:space="preserve">注</w:t>
      </w:r>
      <w:r>
        <w:rPr>
          <w:rFonts w:hint="eastAsia" w:cs="方正仿宋_GBK"/>
          <w:bCs/>
        </w:rPr>
        <w:t xml:space="preserve">：1.在签订合同时，中标人明确表示无需预付款或者主动要求降低预付款比例的金额，采购人可不适用预付款规定。</w:t>
      </w:r>
      <w:r/>
    </w:p>
    <w:p>
      <w:pPr>
        <w:ind w:firstLine="482"/>
        <w:spacing w:line="400" w:lineRule="exact"/>
        <w:rPr>
          <w:rFonts w:hint="eastAsia" w:ascii="宋体" w:hAnsi="宋体"/>
          <w:sz w:val="24"/>
          <w:szCs w:val="24"/>
        </w:rPr>
      </w:pPr>
      <w:r/>
      <w:bookmarkStart w:id="144" w:name="OLE_LINK98"/>
      <w:r/>
      <w:bookmarkStart w:id="145" w:name="_Toc10912"/>
      <w:r/>
      <w:bookmarkStart w:id="146" w:name="_Toc24224"/>
      <w:r/>
      <w:bookmarkStart w:id="147" w:name="_Toc15206"/>
      <w:r/>
      <w:bookmarkStart w:id="148" w:name="_Toc31847"/>
      <w:r/>
      <w:bookmarkStart w:id="149" w:name="OLE_LINK123"/>
      <w:r/>
      <w:bookmarkStart w:id="150" w:name="_Toc3028"/>
      <w:r>
        <w:rPr>
          <w:rFonts w:hint="eastAsia" w:ascii="宋体" w:hAnsi="宋体"/>
          <w:b/>
          <w:sz w:val="24"/>
          <w:szCs w:val="24"/>
          <w:lang w:val="en-US" w:eastAsia="zh-CN"/>
        </w:rPr>
        <w:t xml:space="preserve">六、</w:t>
      </w:r>
      <w:bookmarkEnd w:id="144"/>
      <w:r>
        <w:rPr>
          <w:rFonts w:hint="eastAsia" w:ascii="宋体" w:hAnsi="宋体"/>
          <w:b/>
          <w:sz w:val="24"/>
          <w:szCs w:val="24"/>
          <w:lang w:val="en-US" w:eastAsia="zh-CN"/>
        </w:rPr>
        <w:t xml:space="preserve">项目实施要求 </w:t>
      </w:r>
      <w:bookmarkEnd w:id="145"/>
      <w:r/>
      <w:bookmarkEnd w:id="146"/>
      <w:r/>
      <w:bookmarkEnd w:id="147"/>
      <w:r/>
      <w:bookmarkEnd w:id="148"/>
      <w:r/>
      <w:bookmarkEnd w:id="149"/>
      <w:r/>
      <w:bookmarkEnd w:id="150"/>
      <w:r/>
      <w:bookmarkStart w:id="151" w:name="OLE_LINK75"/>
      <w:r/>
      <w:bookmarkStart w:id="152" w:name="_Hlk187855282"/>
      <w:r/>
      <w:r/>
    </w:p>
    <w:p>
      <w:pPr>
        <w:ind w:firstLine="480"/>
        <w:spacing w:line="500" w:lineRule="exact"/>
        <w:rPr>
          <w:rFonts w:hint="eastAsia" w:ascii="宋体" w:hAnsi="宋体"/>
          <w:sz w:val="24"/>
          <w:szCs w:val="24"/>
        </w:rPr>
      </w:pPr>
      <w:r>
        <w:rPr>
          <w:rFonts w:hint="eastAsia" w:ascii="宋体" w:hAnsi="宋体"/>
          <w:sz w:val="24"/>
          <w:szCs w:val="24"/>
        </w:rPr>
        <w:t xml:space="preserve">1.投标人应在投标文件中提供完备的项目供货方案、实施计划，包括进度安排、现场管理、配送方案等。</w:t>
      </w:r>
      <w:r/>
    </w:p>
    <w:p>
      <w:pPr>
        <w:ind w:firstLine="480"/>
        <w:spacing w:line="500" w:lineRule="exact"/>
        <w:rPr>
          <w:rFonts w:hint="eastAsia" w:ascii="宋体" w:hAnsi="宋体"/>
          <w:sz w:val="24"/>
          <w:szCs w:val="24"/>
        </w:rPr>
      </w:pPr>
      <w:r>
        <w:rPr>
          <w:rFonts w:hint="eastAsia" w:ascii="宋体" w:hAnsi="宋体"/>
          <w:sz w:val="24"/>
          <w:szCs w:val="24"/>
        </w:rPr>
        <w:t xml:space="preserve">2.进度安排要求：投标文件中需包含一份详尽的项目进度计划，有明确的时间节点和进度安排，展示项目各阶段的起止时间、关键过程等。</w:t>
      </w:r>
      <w:r/>
    </w:p>
    <w:p>
      <w:pPr>
        <w:ind w:firstLine="480"/>
        <w:spacing w:line="500" w:lineRule="exact"/>
        <w:rPr>
          <w:rFonts w:hint="eastAsia" w:ascii="宋体" w:hAnsi="宋体"/>
          <w:sz w:val="24"/>
          <w:szCs w:val="24"/>
        </w:rPr>
      </w:pPr>
      <w:r>
        <w:rPr>
          <w:rFonts w:hint="eastAsia" w:ascii="宋体" w:hAnsi="宋体"/>
          <w:sz w:val="24"/>
          <w:szCs w:val="24"/>
        </w:rPr>
        <w:t xml:space="preserve">3.现场管理要求：描述现场管理策略，包括安全生产措施、环境保护措施以及日常现场管理流程等，以及现场安装人员管理要求。</w:t>
      </w:r>
      <w:r/>
    </w:p>
    <w:p>
      <w:pPr>
        <w:ind w:firstLine="480"/>
        <w:spacing w:line="5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4.合同签订后，中标人应在5日内寄送专业的实验室准备条件，并给出专业的实验室建设建议。</w:t>
      </w:r>
      <w:r/>
    </w:p>
    <w:p>
      <w:pPr>
        <w:ind w:firstLine="480"/>
        <w:spacing w:line="500" w:lineRule="exact"/>
        <w:rPr>
          <w:rFonts w:hint="eastAsia" w:ascii="宋体" w:hAnsi="宋体"/>
          <w:sz w:val="24"/>
          <w:szCs w:val="24"/>
        </w:rPr>
      </w:pPr>
      <w:r>
        <w:rPr>
          <w:rFonts w:hint="eastAsia" w:ascii="宋体" w:hAnsi="宋体"/>
          <w:sz w:val="24"/>
          <w:szCs w:val="24"/>
          <w:lang w:val="en-US" w:eastAsia="zh-CN"/>
        </w:rPr>
        <w:t xml:space="preserve">5.配送要求：a.中标人在设备出厂前，应提供明细的设备清单交由采购人进行确认，包含设备名称、详细规格、材质、颜色等内容，由采购人确认后，方可进行供货；b.货物为原厂制造的全新产品，整机无污染，无侵权行为，表面无划损、无任何缺陷隐患。具备出厂合格证，中标人应将所供设备的用户手册、保修手册、有关资料及配件、随机工具等交付给采购人；c。</w:t>
      </w:r>
      <w:r>
        <w:rPr>
          <w:rFonts w:hint="eastAsia" w:ascii="宋体" w:hAnsi="宋体"/>
          <w:sz w:val="24"/>
          <w:szCs w:val="24"/>
        </w:rPr>
        <w:t xml:space="preserve">所投货物的名称、品牌/制造商名称、型号、规格、配置（包括备品备件）、产地、数量等信息必须准确无误，且应与机器（机身铭牌）上的信息完全一致。</w:t>
      </w:r>
      <w:r>
        <w:rPr>
          <w:rFonts w:hint="eastAsia" w:ascii="宋体" w:hAnsi="宋体"/>
          <w:sz w:val="24"/>
          <w:szCs w:val="24"/>
          <w:lang w:val="en-US" w:eastAsia="zh-CN"/>
        </w:rPr>
        <w:t xml:space="preserve">d</w:t>
      </w:r>
      <w:r>
        <w:rPr>
          <w:rFonts w:hint="eastAsia" w:ascii="宋体" w:hAnsi="宋体"/>
          <w:sz w:val="24"/>
          <w:szCs w:val="24"/>
        </w:rPr>
        <w:t xml:space="preserve">.中标人负责货物的包装、保险、运输至</w:t>
      </w:r>
      <w:r>
        <w:rPr>
          <w:rFonts w:hint="eastAsia" w:ascii="宋体" w:hAnsi="宋体"/>
          <w:sz w:val="24"/>
          <w:szCs w:val="24"/>
          <w:lang w:val="en-US" w:eastAsia="zh-CN"/>
        </w:rPr>
        <w:t xml:space="preserve">采购人</w:t>
      </w:r>
      <w:r>
        <w:rPr>
          <w:rFonts w:hint="eastAsia" w:ascii="宋体" w:hAnsi="宋体"/>
          <w:sz w:val="24"/>
          <w:szCs w:val="24"/>
        </w:rPr>
        <w:t xml:space="preserve">指定的交货地点。零散及易损件需用木箱包装，确保防盗、防震、防潮、防破损、运输方式确定，并且由于运输造成的设备损坏，丢失均由中标人负责处理；</w:t>
      </w:r>
      <w:r>
        <w:rPr>
          <w:rFonts w:hint="eastAsia" w:ascii="宋体" w:hAnsi="宋体"/>
          <w:sz w:val="24"/>
          <w:szCs w:val="24"/>
          <w:lang w:val="en-US" w:eastAsia="zh-CN"/>
        </w:rPr>
        <w:t xml:space="preserve">e</w:t>
      </w:r>
      <w:r>
        <w:rPr>
          <w:rFonts w:hint="eastAsia" w:ascii="宋体" w:hAnsi="宋体"/>
          <w:sz w:val="24"/>
          <w:szCs w:val="24"/>
        </w:rPr>
        <w:t xml:space="preserve">.中标人负责货物装卸车、就位、组装、调试等工作，保证交给采购人货物的完好性。</w:t>
      </w:r>
      <w:r/>
    </w:p>
    <w:p>
      <w:pPr>
        <w:ind w:firstLine="48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5.安装结束后，中标人派专人完成产品整体的调试工作。所有测试工作都必须由经过产品制造商认证的工程师参与进行，测试时应采用符合相应精度要求的仪表，测试工作所需的仪器仪表、工具、材料均由投标人负责。</w:t>
      </w:r>
      <w:r/>
    </w:p>
    <w:p>
      <w:pPr>
        <w:ind w:firstLine="48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6.试运行 </w:t>
      </w:r>
      <w:r/>
    </w:p>
    <w:p>
      <w:pPr>
        <w:ind w:firstLine="48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6.1中标人派专人负责产品试运行的全过程； </w:t>
      </w:r>
      <w:r/>
    </w:p>
    <w:p>
      <w:pPr>
        <w:ind w:firstLine="48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6.2试运行是考核产品质量和可靠性的重要步骤，当主要指标（设备性能、可靠性、稳定性）在试运行验收满足要求后，最终验收才能进行，如果上述条件不满足，需重新进行试运行； </w:t>
      </w:r>
      <w:r/>
    </w:p>
    <w:p>
      <w:pPr>
        <w:ind w:firstLine="48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6.3中标人需要提交操作和维护手册，使采购人及有关人员能事前熟悉所安装的产品。手册内应包括控制程序、操作和维修的程序。每一本手册应包括不少于以下资料： </w:t>
      </w:r>
      <w:r/>
    </w:p>
    <w:p>
      <w:pPr>
        <w:ind w:firstLine="48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6.3.1所有产品的规格及详细的中文版操作手册、调试手册及质量保证书； </w:t>
      </w:r>
      <w:r/>
    </w:p>
    <w:p>
      <w:pPr>
        <w:ind w:firstLine="48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6.3.2产品主要部件常见故障说明，包括配件及装配图、一般事故说明。说明书需包括操作手册和常见备件清单；建议的定期保养期及项目等。</w:t>
      </w:r>
      <w:r/>
    </w:p>
    <w:p>
      <w:pPr>
        <w:ind w:firstLine="48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7.项目团队</w:t>
      </w:r>
      <w:r/>
    </w:p>
    <w:p>
      <w:pPr>
        <w:ind w:firstLine="480"/>
        <w:spacing w:line="500" w:lineRule="exact"/>
        <w:rPr>
          <w:rFonts w:hint="default" w:ascii="宋体" w:hAnsi="宋体"/>
          <w:sz w:val="24"/>
          <w:szCs w:val="24"/>
          <w:lang w:val="en-US" w:eastAsia="zh-CN"/>
        </w:rPr>
      </w:pPr>
      <w:r>
        <w:rPr>
          <w:rFonts w:hint="eastAsia" w:ascii="宋体" w:hAnsi="宋体"/>
          <w:sz w:val="24"/>
          <w:szCs w:val="24"/>
          <w:lang w:val="en-US" w:eastAsia="zh-CN"/>
        </w:rPr>
        <w:t xml:space="preserve">针对本项目配备项目经理1名及技术负责人1名（项目经理不得兼任技术负责人），此外，配备不少于4人的项目组成员。</w:t>
      </w:r>
      <w:r/>
    </w:p>
    <w:p>
      <w:pPr>
        <w:ind w:firstLine="482"/>
        <w:spacing w:line="480" w:lineRule="exact"/>
        <w:rPr>
          <w:rFonts w:hint="eastAsia" w:ascii="宋体" w:hAnsi="宋体"/>
          <w:b/>
          <w:sz w:val="24"/>
          <w:szCs w:val="24"/>
          <w:lang w:val="en-US" w:eastAsia="zh-CN"/>
        </w:rPr>
      </w:pPr>
      <w:r>
        <w:rPr>
          <w:rFonts w:hint="eastAsia" w:ascii="宋体" w:hAnsi="宋体"/>
          <w:b/>
          <w:sz w:val="24"/>
          <w:szCs w:val="24"/>
          <w:lang w:val="en-US" w:eastAsia="zh-CN"/>
        </w:rPr>
        <w:t xml:space="preserve">七、备品备件要求</w:t>
      </w:r>
      <w:r/>
    </w:p>
    <w:p>
      <w:pPr>
        <w:ind w:firstLine="48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1.投标人应提供对所供产品运行和维护所必需的备品备件。保证备品备件长期稳定供货。</w:t>
      </w:r>
      <w:r/>
    </w:p>
    <w:p>
      <w:pPr>
        <w:ind w:firstLine="48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2.投标人在投标文件中应对备品备件有详细的说明（如在哪些部位使用、存放期限、是否需干燥剂等），以便采购人了解这些备品备件用于哪些具体项目上。 </w:t>
      </w:r>
      <w:r/>
    </w:p>
    <w:p>
      <w:pPr>
        <w:ind w:firstLine="480"/>
        <w:spacing w:line="500" w:lineRule="exact"/>
        <w:rPr>
          <w:rFonts w:hint="eastAsia" w:ascii="宋体" w:hAnsi="宋体"/>
          <w:sz w:val="24"/>
          <w:szCs w:val="24"/>
          <w:lang w:val="en-US" w:eastAsia="zh-CN"/>
        </w:rPr>
      </w:pPr>
      <w:r>
        <w:rPr>
          <w:rFonts w:hint="eastAsia" w:ascii="宋体" w:hAnsi="宋体"/>
          <w:sz w:val="24"/>
          <w:szCs w:val="24"/>
          <w:lang w:val="en-US" w:eastAsia="zh-CN"/>
        </w:rPr>
        <w:t xml:space="preserve">3.所有备品备件的一些主要部件在发运前都应进行测试，以保证正常运行。 </w:t>
      </w:r>
      <w:r/>
    </w:p>
    <w:p>
      <w:pPr>
        <w:ind w:firstLine="480"/>
        <w:spacing w:line="500" w:lineRule="exact"/>
        <w:rPr>
          <w:rFonts w:hint="default"/>
          <w:lang w:val="en-US" w:eastAsia="zh-CN"/>
        </w:rPr>
      </w:pPr>
      <w:r>
        <w:rPr>
          <w:rFonts w:hint="eastAsia" w:ascii="宋体" w:hAnsi="宋体"/>
          <w:sz w:val="24"/>
          <w:szCs w:val="24"/>
          <w:lang w:val="en-US" w:eastAsia="zh-CN"/>
        </w:rPr>
        <w:t xml:space="preserve">4. 正式交付运行前损坏的部件或产品由投标人提供，所需费用均包含在本次报价中。 </w:t>
      </w:r>
      <w:r/>
    </w:p>
    <w:p>
      <w:pPr>
        <w:ind w:firstLine="482"/>
        <w:spacing w:line="480" w:lineRule="exact"/>
        <w:rPr>
          <w:rFonts w:hint="default" w:ascii="宋体" w:hAnsi="宋体"/>
          <w:b/>
          <w:sz w:val="24"/>
          <w:szCs w:val="24"/>
          <w:lang w:val="en-US" w:eastAsia="zh-CN"/>
        </w:rPr>
      </w:pPr>
      <w:r>
        <w:rPr>
          <w:rFonts w:hint="eastAsia" w:ascii="宋体" w:hAnsi="宋体"/>
          <w:b/>
          <w:sz w:val="24"/>
          <w:szCs w:val="24"/>
          <w:lang w:val="en-US" w:eastAsia="zh-CN"/>
        </w:rPr>
        <w:t xml:space="preserve">八、</w:t>
      </w:r>
      <w:bookmarkStart w:id="153" w:name="OLE_LINK72"/>
      <w:r>
        <w:rPr>
          <w:rFonts w:hint="eastAsia" w:ascii="宋体" w:hAnsi="宋体"/>
          <w:b/>
          <w:sz w:val="24"/>
          <w:szCs w:val="24"/>
          <w:lang w:val="en-US" w:eastAsia="zh-CN"/>
        </w:rPr>
        <w:t xml:space="preserve">质量保障</w:t>
      </w:r>
      <w:bookmarkEnd w:id="153"/>
      <w:r>
        <w:rPr>
          <w:rFonts w:hint="eastAsia" w:ascii="宋体" w:hAnsi="宋体"/>
          <w:b/>
          <w:sz w:val="24"/>
          <w:szCs w:val="24"/>
          <w:lang w:val="en-US" w:eastAsia="zh-CN"/>
        </w:rPr>
        <w:t xml:space="preserve">要求</w:t>
      </w:r>
      <w:r/>
    </w:p>
    <w:p>
      <w:pPr>
        <w:ind w:firstLine="480"/>
        <w:spacing w:line="500" w:lineRule="exact"/>
        <w:rPr>
          <w:rFonts w:eastAsia="宋体"/>
          <w:bCs/>
          <w:color w:val="000000"/>
        </w:rPr>
      </w:pPr>
      <w:r>
        <w:rPr>
          <w:rFonts w:hint="eastAsia" w:ascii="宋体" w:hAnsi="宋体"/>
          <w:sz w:val="24"/>
          <w:szCs w:val="24"/>
          <w:lang w:val="en-US" w:eastAsia="zh-CN"/>
        </w:rPr>
        <w:t xml:space="preserve">1. 质量保障措施：投标人应在投标文件中提出详细的产品生产质量管理计划，计划应包含质量控制措施、出厂检验标准以及测试程序。</w:t>
      </w:r>
      <w:r/>
    </w:p>
    <w:p>
      <w:pPr>
        <w:pStyle w:val="941"/>
        <w:ind w:firstLine="480"/>
        <w:jc w:val="both"/>
        <w:spacing w:before="0" w:beforeAutospacing="0" w:after="0" w:afterAutospacing="0" w:line="460" w:lineRule="exact"/>
        <w:widowControl w:val="off"/>
        <w:rPr>
          <w:rFonts w:hint="eastAsia" w:eastAsia="宋体"/>
          <w:bCs/>
          <w:color w:val="000000"/>
        </w:rPr>
      </w:pPr>
      <w:r>
        <w:rPr>
          <w:rFonts w:hint="eastAsia" w:eastAsia="宋体"/>
          <w:bCs/>
          <w:color w:val="000000"/>
          <w:lang w:val="en-US" w:eastAsia="zh-CN"/>
        </w:rPr>
        <w:t xml:space="preserve">2.</w:t>
      </w:r>
      <w:r>
        <w:rPr>
          <w:rFonts w:eastAsia="宋体"/>
          <w:bCs/>
          <w:color w:val="000000"/>
        </w:rPr>
        <w:t xml:space="preserve">严格执行国家及行业标准组织生产，</w:t>
      </w:r>
      <w:r>
        <w:rPr>
          <w:rFonts w:hint="eastAsia" w:eastAsia="宋体"/>
          <w:bCs/>
          <w:color w:val="000000"/>
          <w:lang w:val="en-US" w:eastAsia="zh-CN"/>
        </w:rPr>
        <w:t xml:space="preserve">设备</w:t>
      </w:r>
      <w:r>
        <w:rPr>
          <w:rFonts w:eastAsia="宋体"/>
          <w:bCs/>
          <w:color w:val="000000"/>
        </w:rPr>
        <w:t xml:space="preserve">及关键部件提供合格证明与检测报告；建立质量追溯机制，实行出厂检验与到货复检双重把关，关键部件留存合格记录。质保期内实行免费保修，出现质量问题免费维修更换，并提供及时的技术支持与售后服务，确保</w:t>
      </w:r>
      <w:r>
        <w:rPr>
          <w:rFonts w:hint="eastAsia" w:eastAsia="宋体"/>
          <w:bCs/>
          <w:color w:val="000000"/>
          <w:lang w:val="en-US" w:eastAsia="zh-CN"/>
        </w:rPr>
        <w:t xml:space="preserve">设备</w:t>
      </w:r>
      <w:r>
        <w:rPr>
          <w:rFonts w:eastAsia="宋体"/>
          <w:bCs/>
          <w:color w:val="000000"/>
        </w:rPr>
        <w:t xml:space="preserve">安全可靠、性能稳定。全面覆盖</w:t>
      </w:r>
      <w:r>
        <w:rPr>
          <w:rFonts w:hint="eastAsia" w:eastAsia="宋体"/>
          <w:bCs/>
          <w:color w:val="000000"/>
          <w:lang w:val="en-US" w:eastAsia="zh-CN"/>
        </w:rPr>
        <w:t xml:space="preserve">设备</w:t>
      </w:r>
      <w:r>
        <w:rPr>
          <w:rFonts w:eastAsia="宋体"/>
          <w:bCs/>
          <w:color w:val="000000"/>
        </w:rPr>
        <w:t xml:space="preserve">生产材料、生产过程、</w:t>
      </w:r>
      <w:r>
        <w:rPr>
          <w:rFonts w:hint="eastAsia" w:eastAsia="宋体"/>
          <w:bCs/>
          <w:color w:val="000000"/>
        </w:rPr>
        <w:t xml:space="preserve">出厂检验、测试、</w:t>
      </w:r>
      <w:r>
        <w:rPr>
          <w:rFonts w:eastAsia="宋体"/>
          <w:bCs/>
          <w:color w:val="000000"/>
        </w:rPr>
        <w:t xml:space="preserve">仓储保管、运输防护、安装调试等全流程质量保障，各项保障措施清晰具体、可操作、落地性强和符合本项目实际情况。</w:t>
      </w:r>
      <w:r/>
    </w:p>
    <w:p>
      <w:pPr>
        <w:pStyle w:val="941"/>
        <w:ind w:firstLine="480"/>
        <w:jc w:val="both"/>
        <w:spacing w:before="0" w:beforeAutospacing="0" w:after="0" w:afterAutospacing="0" w:line="460" w:lineRule="exact"/>
        <w:widowControl w:val="off"/>
        <w:rPr>
          <w:rFonts w:hint="eastAsia" w:ascii="宋体" w:hAnsi="宋体" w:eastAsia="宋体" w:cs="宋体"/>
          <w:b/>
          <w:bCs/>
        </w:rPr>
      </w:pPr>
      <w:r>
        <w:rPr>
          <w:rFonts w:hint="eastAsia" w:eastAsia="宋体"/>
          <w:bCs/>
          <w:color w:val="000000"/>
          <w:lang w:val="en-US" w:eastAsia="zh-CN"/>
        </w:rPr>
        <w:t xml:space="preserve">3</w:t>
      </w:r>
      <w:r>
        <w:rPr>
          <w:rFonts w:hint="eastAsia" w:eastAsia="宋体"/>
          <w:bCs/>
          <w:color w:val="000000"/>
        </w:rPr>
        <w:t xml:space="preserve">.</w:t>
      </w:r>
      <w:bookmarkStart w:id="154" w:name="OLE_LINK79"/>
      <w:r>
        <w:rPr>
          <w:rFonts w:hint="eastAsia" w:eastAsia="宋体"/>
          <w:bCs/>
          <w:color w:val="000000"/>
        </w:rPr>
        <w:t xml:space="preserve">供应商</w:t>
      </w:r>
      <w:bookmarkEnd w:id="154"/>
      <w:r>
        <w:rPr>
          <w:rFonts w:hint="eastAsia" w:eastAsia="宋体"/>
          <w:bCs/>
          <w:color w:val="000000"/>
        </w:rPr>
        <w:t xml:space="preserve">提供的</w:t>
      </w:r>
      <w:r>
        <w:rPr>
          <w:rFonts w:hint="eastAsia" w:eastAsia="宋体"/>
          <w:bCs/>
          <w:color w:val="000000"/>
          <w:lang w:val="en-US" w:eastAsia="zh-CN"/>
        </w:rPr>
        <w:t xml:space="preserve">设备</w:t>
      </w:r>
      <w:r>
        <w:rPr>
          <w:rFonts w:hint="eastAsia" w:eastAsia="宋体"/>
          <w:bCs/>
          <w:color w:val="000000"/>
        </w:rPr>
        <w:t xml:space="preserve">符合国家颁布的质量标准和投标文件的相关技术要求。</w:t>
      </w:r>
      <w:bookmarkEnd w:id="151"/>
      <w:r/>
      <w:bookmarkEnd w:id="152"/>
      <w:r/>
      <w:r/>
    </w:p>
    <w:p>
      <w:pPr>
        <w:ind w:firstLine="482"/>
        <w:spacing w:line="480" w:lineRule="exact"/>
        <w:rPr>
          <w:rFonts w:hint="default" w:ascii="宋体" w:hAnsi="宋体"/>
          <w:b/>
          <w:sz w:val="24"/>
          <w:szCs w:val="24"/>
          <w:lang w:val="en-US" w:eastAsia="zh-CN"/>
        </w:rPr>
      </w:pPr>
      <w:r>
        <w:rPr>
          <w:rFonts w:hint="eastAsia" w:ascii="宋体" w:hAnsi="宋体"/>
          <w:b/>
          <w:sz w:val="24"/>
          <w:szCs w:val="24"/>
          <w:lang w:val="en-US" w:eastAsia="zh-CN"/>
        </w:rPr>
        <w:t xml:space="preserve">九、应急响应要求</w:t>
      </w:r>
      <w:r/>
    </w:p>
    <w:p>
      <w:pPr>
        <w:ind w:firstLine="480"/>
        <w:jc w:val="left"/>
        <w:spacing w:line="460" w:lineRule="exact"/>
        <w:rPr>
          <w:rFonts w:hint="eastAsia" w:ascii="宋体" w:hAnsi="宋体"/>
          <w:bCs/>
          <w:color w:val="000000"/>
          <w:sz w:val="24"/>
          <w:szCs w:val="24"/>
        </w:rPr>
      </w:pPr>
      <w:r>
        <w:rPr>
          <w:rFonts w:ascii="宋体" w:hAnsi="宋体" w:cs="宋体"/>
          <w:color w:val="000000"/>
          <w:sz w:val="24"/>
        </w:rPr>
        <w:t xml:space="preserve">1.</w:t>
      </w:r>
      <w:r>
        <w:rPr>
          <w:rFonts w:hint="eastAsia" w:ascii="宋体" w:hAnsi="宋体" w:cs="宋体"/>
          <w:color w:val="000000"/>
          <w:sz w:val="24"/>
        </w:rPr>
        <w:t xml:space="preserve">投标人针对本项目提供应急和重大故障解决方案，包括应急和重大故障预防措施，以及出现问题的补救措施等，应急和重大故障解决方案内容阐述全面无缺项、合理、内容详细，符合项目实际情况。</w:t>
      </w:r>
      <w:r/>
    </w:p>
    <w:p>
      <w:pPr>
        <w:ind w:firstLine="480"/>
        <w:spacing w:line="480" w:lineRule="exact"/>
        <w:tabs>
          <w:tab w:val="left" w:pos="0" w:leader="none"/>
        </w:tabs>
        <w:rPr>
          <w:rFonts w:hint="eastAsia" w:ascii="宋体" w:hAnsi="宋体" w:cs="宋体"/>
          <w:color w:val="000000"/>
          <w:sz w:val="24"/>
        </w:rPr>
      </w:pPr>
      <w:r>
        <w:rPr>
          <w:rFonts w:ascii="宋体" w:hAnsi="宋体"/>
          <w:bCs/>
          <w:color w:val="000000"/>
          <w:sz w:val="24"/>
          <w:szCs w:val="24"/>
        </w:rPr>
        <w:t xml:space="preserve">2</w:t>
      </w:r>
      <w:r>
        <w:rPr>
          <w:rFonts w:hint="eastAsia" w:ascii="宋体" w:hAnsi="宋体"/>
          <w:bCs/>
          <w:color w:val="000000"/>
          <w:sz w:val="24"/>
          <w:szCs w:val="24"/>
        </w:rPr>
        <w:t xml:space="preserve">．供应商应针对各阶段工作内容和要求，制定完善的应急风险管理措施。</w:t>
      </w:r>
      <w:r>
        <w:rPr>
          <w:rFonts w:ascii="宋体" w:hAnsi="宋体" w:cs="宋体"/>
          <w:color w:val="000000"/>
          <w:sz w:val="24"/>
        </w:rPr>
        <w:t xml:space="preserve">接到培训等临时任务需求时，及时安排技术人员到队支持。</w:t>
      </w:r>
      <w:r/>
    </w:p>
    <w:p>
      <w:pPr>
        <w:ind w:firstLine="480"/>
        <w:jc w:val="left"/>
        <w:spacing w:line="460" w:lineRule="exact"/>
        <w:rPr>
          <w:rFonts w:ascii="宋体" w:hAnsi="宋体"/>
          <w:bCs/>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供应商需建立完善的项目应急管理体系及高效的服务响应机制，保障项目突发问题快速处置、产品质量、服务质量高效可控。</w:t>
      </w:r>
      <w:r/>
    </w:p>
    <w:p>
      <w:pPr>
        <w:ind w:firstLine="480"/>
        <w:jc w:val="left"/>
        <w:spacing w:line="460" w:lineRule="exact"/>
        <w:rPr>
          <w:rFonts w:hint="eastAsia" w:ascii="宋体" w:hAnsi="宋体" w:eastAsia="宋体" w:cs="宋体"/>
          <w:color w:val="000000"/>
          <w:sz w:val="24"/>
          <w:lang w:eastAsia="zh-CN"/>
        </w:rPr>
      </w:pPr>
      <w:r>
        <w:rPr>
          <w:rFonts w:ascii="宋体" w:hAnsi="宋体"/>
          <w:bCs/>
          <w:color w:val="000000"/>
          <w:sz w:val="24"/>
          <w:szCs w:val="24"/>
        </w:rPr>
        <w:t xml:space="preserve">4.</w:t>
      </w:r>
      <w:r>
        <w:rPr>
          <w:rFonts w:hint="eastAsia" w:ascii="宋体" w:hAnsi="宋体"/>
          <w:bCs/>
          <w:color w:val="000000"/>
          <w:sz w:val="24"/>
          <w:szCs w:val="24"/>
        </w:rPr>
        <w:t xml:space="preserve">供应商应建立7×24应急响应机制，配备专职安全质保团队。</w:t>
      </w:r>
      <w:r>
        <w:rPr>
          <w:rFonts w:ascii="宋体" w:hAnsi="宋体" w:cs="宋体"/>
          <w:color w:val="000000"/>
          <w:sz w:val="24"/>
        </w:rPr>
        <w:t xml:space="preserve">重大故障无法现场修复的，需提供应急备用方案或替代</w:t>
      </w:r>
      <w:r>
        <w:rPr>
          <w:rFonts w:hint="eastAsia" w:ascii="宋体" w:hAnsi="宋体" w:cs="宋体"/>
          <w:color w:val="000000"/>
          <w:sz w:val="24"/>
          <w:lang w:val="en-US" w:eastAsia="zh-CN"/>
        </w:rPr>
        <w:t xml:space="preserve">设备</w:t>
      </w:r>
      <w:r>
        <w:rPr>
          <w:rFonts w:ascii="宋体" w:hAnsi="宋体" w:cs="宋体"/>
          <w:color w:val="000000"/>
          <w:sz w:val="24"/>
        </w:rPr>
        <w:t xml:space="preserve">，保障</w:t>
      </w:r>
      <w:r>
        <w:rPr>
          <w:rFonts w:hint="eastAsia" w:ascii="宋体" w:hAnsi="宋体" w:cs="宋体"/>
          <w:color w:val="000000"/>
          <w:sz w:val="24"/>
          <w:lang w:val="en-US" w:eastAsia="zh-CN"/>
        </w:rPr>
        <w:t xml:space="preserve">采购人使用需求</w:t>
      </w:r>
      <w:r>
        <w:rPr>
          <w:rFonts w:ascii="宋体" w:hAnsi="宋体" w:cs="宋体"/>
          <w:color w:val="000000"/>
          <w:sz w:val="24"/>
        </w:rPr>
        <w:t xml:space="preserve">不受影响</w:t>
      </w:r>
      <w:r>
        <w:rPr>
          <w:rFonts w:hint="eastAsia" w:ascii="宋体" w:hAnsi="宋体" w:cs="宋体"/>
          <w:color w:val="000000"/>
          <w:sz w:val="24"/>
          <w:lang w:eastAsia="zh-CN"/>
        </w:rPr>
        <w:t xml:space="preserve">。</w:t>
      </w:r>
      <w:r/>
    </w:p>
    <w:p>
      <w:pPr>
        <w:ind w:firstLine="482"/>
        <w:spacing w:line="480" w:lineRule="exact"/>
        <w:rPr>
          <w:rFonts w:hint="eastAsia" w:ascii="宋体" w:hAnsi="宋体"/>
          <w:b/>
          <w:sz w:val="24"/>
          <w:szCs w:val="24"/>
          <w:lang w:val="en-US" w:eastAsia="zh-CN"/>
        </w:rPr>
      </w:pPr>
      <w:r>
        <w:rPr>
          <w:rFonts w:hint="eastAsia" w:ascii="宋体" w:hAnsi="宋体"/>
          <w:b/>
          <w:sz w:val="24"/>
          <w:szCs w:val="24"/>
          <w:lang w:val="en-US" w:eastAsia="zh-CN"/>
        </w:rPr>
        <w:t xml:space="preserve">十、培训方案</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cs="宋体"/>
          <w:sz w:val="24"/>
          <w:lang w:val="en-US" w:eastAsia="zh-CN"/>
        </w:rPr>
        <w:t xml:space="preserve">.中标人</w:t>
      </w:r>
      <w:r>
        <w:rPr>
          <w:rFonts w:hint="eastAsia" w:ascii="宋体" w:hAnsi="宋体" w:cs="宋体"/>
          <w:sz w:val="24"/>
        </w:rPr>
        <w:t xml:space="preserve">有义务对采购人采购设备的正常使用和维护提供必要的培训。</w:t>
      </w:r>
      <w:r/>
    </w:p>
    <w:p>
      <w:pPr>
        <w:ind w:firstLine="480"/>
        <w:jc w:val="left"/>
        <w:spacing w:line="480" w:lineRule="exact"/>
        <w:rPr>
          <w:rFonts w:hint="eastAsia" w:ascii="宋体" w:hAnsi="宋体" w:cs="宋体"/>
          <w:sz w:val="24"/>
          <w:lang w:val="en-US" w:eastAsia="zh-CN"/>
        </w:rPr>
      </w:pPr>
      <w:r>
        <w:rPr>
          <w:rFonts w:hint="eastAsia" w:ascii="宋体" w:hAnsi="宋体" w:cs="宋体"/>
          <w:sz w:val="24"/>
          <w:lang w:val="en-US" w:eastAsia="zh-CN"/>
        </w:rPr>
        <w:t xml:space="preserve">2.中标人对采购人采购设备的使用和维护提供培训，培训的内容包括但不限于设备的原理、结构及功能简单介绍设备的操作，系统硬件、软件的操作运用，设备的日常维护和故障排除。</w:t>
      </w:r>
      <w:r/>
    </w:p>
    <w:p>
      <w:pPr>
        <w:ind w:firstLine="480"/>
        <w:jc w:val="left"/>
        <w:spacing w:line="480" w:lineRule="exact"/>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对于所有培训，投标供应商必须派出具有相应专业资格和实际工作经验的人员进行培训。投标供应商应按照采购人要求在用户地培训。</w:t>
      </w:r>
      <w:r/>
    </w:p>
    <w:p>
      <w:pPr>
        <w:pStyle w:val="941"/>
        <w:ind w:firstLine="480"/>
        <w:jc w:val="both"/>
        <w:spacing w:before="0" w:beforeAutospacing="0" w:after="0" w:afterAutospacing="0" w:line="460" w:lineRule="exact"/>
        <w:widowControl w:val="off"/>
        <w:rPr>
          <w:rFonts w:hint="default" w:ascii="宋体" w:hAnsi="宋体" w:eastAsia="宋体" w:cs="宋体"/>
          <w:sz w:val="24"/>
          <w:lang w:val="en-US" w:eastAsia="zh-CN"/>
        </w:rPr>
      </w:pPr>
      <w:r>
        <w:rPr>
          <w:rFonts w:hint="eastAsia" w:ascii="宋体" w:hAnsi="宋体" w:cs="宋体"/>
          <w:sz w:val="24"/>
          <w:lang w:val="en-US" w:eastAsia="zh-CN"/>
        </w:rPr>
        <w:t xml:space="preserve">4.</w:t>
      </w:r>
      <w:r>
        <w:rPr>
          <w:rFonts w:hint="eastAsia"/>
        </w:rPr>
        <w:t xml:space="preserve">投标人针对本项目特点，结合采购人的需求，制定包括但不限于培训内容、培训方式、培训计划、培训对象、培训团队配备等技术培训方案，方案合理、详尽，能贴合</w:t>
      </w:r>
      <w:r>
        <w:rPr>
          <w:rFonts w:hint="eastAsia" w:eastAsia="宋体"/>
          <w:lang w:val="en-US" w:eastAsia="zh-CN"/>
        </w:rPr>
        <w:t xml:space="preserve">本项目</w:t>
      </w:r>
      <w:r>
        <w:rPr>
          <w:rFonts w:hint="eastAsia"/>
        </w:rPr>
        <w:t xml:space="preserve">用户使用需求。</w:t>
      </w:r>
      <w:r/>
    </w:p>
    <w:p>
      <w:pPr>
        <w:ind w:firstLine="480"/>
        <w:jc w:val="left"/>
        <w:spacing w:line="480" w:lineRule="exact"/>
        <w:widowControl/>
        <w:rPr>
          <w:rFonts w:hint="eastAsia" w:ascii="宋体" w:hAnsi="宋体" w:eastAsia="宋体" w:cs="宋体"/>
          <w:sz w:val="24"/>
        </w:rPr>
      </w:pPr>
      <w:r>
        <w:rPr>
          <w:rFonts w:hint="eastAsia" w:ascii="宋体" w:hAnsi="宋体" w:cs="宋体"/>
          <w:sz w:val="24"/>
          <w:lang w:val="en-US" w:eastAsia="zh-CN"/>
        </w:rPr>
        <w:t xml:space="preserve">5.</w:t>
      </w:r>
      <w:r>
        <w:rPr>
          <w:rFonts w:hint="eastAsia" w:ascii="宋体" w:hAnsi="宋体" w:eastAsia="宋体" w:cs="宋体"/>
          <w:sz w:val="24"/>
        </w:rPr>
        <w:t xml:space="preserve">制定全面培训计划，要求分为使用培训、教学应用培训。方案中需提供具体培训安排、内容、讲义、考核计划等。 </w:t>
      </w:r>
      <w:r/>
    </w:p>
    <w:p>
      <w:pPr>
        <w:pStyle w:val="941"/>
        <w:ind w:firstLine="480"/>
        <w:jc w:val="both"/>
        <w:spacing w:before="0" w:beforeAutospacing="0" w:after="0" w:afterAutospacing="0" w:line="460" w:lineRule="exact"/>
        <w:widowControl w:val="off"/>
        <w:rPr>
          <w:rFonts w:hint="default"/>
          <w:lang w:val="en-US" w:eastAsia="zh-CN"/>
        </w:rPr>
      </w:pPr>
      <w:r>
        <w:rPr>
          <w:rFonts w:hint="eastAsia" w:eastAsia="宋体"/>
          <w:bCs/>
          <w:color w:val="000000"/>
          <w:lang w:val="en-US" w:eastAsia="zh-CN"/>
        </w:rPr>
        <w:t xml:space="preserve">6.</w:t>
      </w:r>
      <w:r>
        <w:rPr>
          <w:rFonts w:hint="eastAsia" w:eastAsia="宋体"/>
          <w:bCs/>
          <w:color w:val="000000"/>
        </w:rPr>
        <w:t xml:space="preserve">培训过程中涉及到人工费、讲课费、培训材料费、差旅费等一切费用均由中标人承担</w:t>
      </w:r>
      <w:r>
        <w:rPr>
          <w:rFonts w:hint="eastAsia" w:eastAsia="宋体"/>
          <w:bCs/>
          <w:color w:val="000000"/>
          <w:lang w:eastAsia="zh-CN"/>
        </w:rPr>
        <w:t xml:space="preserve">，</w:t>
      </w:r>
      <w:r>
        <w:rPr>
          <w:rFonts w:hint="eastAsia" w:eastAsia="宋体"/>
          <w:bCs/>
          <w:color w:val="000000"/>
          <w:lang w:val="en-US" w:eastAsia="zh-CN"/>
        </w:rPr>
        <w:t xml:space="preserve">所需费用均包含在本次报价中</w:t>
      </w:r>
      <w:r>
        <w:rPr>
          <w:rFonts w:hint="eastAsia" w:eastAsia="宋体"/>
          <w:bCs/>
          <w:color w:val="000000"/>
        </w:rPr>
        <w:t xml:space="preserve">。</w:t>
      </w:r>
      <w:r/>
    </w:p>
    <w:p>
      <w:pPr>
        <w:ind w:firstLine="482"/>
        <w:spacing w:line="480" w:lineRule="exact"/>
        <w:rPr>
          <w:rFonts w:hint="eastAsia" w:ascii="宋体" w:hAnsi="宋体"/>
          <w:b/>
          <w:sz w:val="24"/>
          <w:szCs w:val="24"/>
          <w:lang w:val="en-US" w:eastAsia="zh-CN"/>
        </w:rPr>
      </w:pPr>
      <w:r>
        <w:rPr>
          <w:rFonts w:hint="eastAsia" w:ascii="宋体" w:hAnsi="宋体"/>
          <w:b/>
          <w:sz w:val="24"/>
          <w:szCs w:val="24"/>
          <w:lang w:val="en-US" w:eastAsia="zh-CN"/>
        </w:rPr>
        <w:t xml:space="preserve">十一、售后服务</w:t>
      </w:r>
      <w:r/>
    </w:p>
    <w:p>
      <w:pPr>
        <w:ind w:firstLine="480"/>
        <w:jc w:val="left"/>
        <w:spacing w:line="460" w:lineRule="exact"/>
        <w:rPr>
          <w:rFonts w:ascii="宋体" w:hAnsi="宋体" w:cs="宋体"/>
          <w:sz w:val="24"/>
          <w:szCs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供应商在投标文件中提供维保方案，应包括但不限于售后服务收费（包括零配件、备品、备件价格）清单及价格、整个售后服务具体内容、流程、规范标准、档案等情况，收费清单涵盖全面，价格优惠力度合理，服务内容涵盖全面不少于以上要求，流程及规范科学合理，可实施性强，档案建立标准规范。</w:t>
      </w:r>
      <w:r/>
    </w:p>
    <w:p>
      <w:pPr>
        <w:ind w:firstLine="480"/>
        <w:jc w:val="left"/>
        <w:spacing w:line="46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．供应商应按采购文件规定的货物性能、技术要求、质量标准向采购人提供未经使用的全新产品。供应商保证向采购人供应全寿命周期的主要耗损件、易损件及更换总成且价格合理。 </w:t>
      </w:r>
      <w:r/>
    </w:p>
    <w:p>
      <w:pPr>
        <w:ind w:firstLine="480"/>
        <w:jc w:val="left"/>
        <w:spacing w:line="460" w:lineRule="exact"/>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所有设备均须由中标人提供不少于</w:t>
      </w:r>
      <w:r>
        <w:rPr>
          <w:rFonts w:hint="eastAsia" w:ascii="宋体" w:hAnsi="宋体" w:cs="宋体"/>
          <w:sz w:val="24"/>
          <w:lang w:val="en-US" w:eastAsia="zh-CN"/>
        </w:rPr>
        <w:t xml:space="preserve">3</w:t>
      </w:r>
      <w:r>
        <w:rPr>
          <w:rFonts w:hint="eastAsia" w:ascii="宋体" w:hAnsi="宋体" w:cs="宋体"/>
          <w:sz w:val="24"/>
        </w:rPr>
        <w:t xml:space="preserve">年的整机保修服务，质保期自验收合格之日起计算。关键设备享有原生产厂家的技术支持和售后服务，费用包含在合同价之中。货物制造商或投标人必须有专业的售后服务力量，提供售后服务联系电话及联系人。质保期内中标人提供技术支持和培训服务，承担所有上门人工费、配件维修及更换服务（质保期内如需更换配件，配件需是全新的），如发现潜在问题，应负责排除，如果无法解决则质保期顺延，相关费用包含于投标总价中。仪器配备的操作软件终身免费更新。</w:t>
      </w:r>
      <w:r/>
    </w:p>
    <w:p>
      <w:pPr>
        <w:ind w:firstLine="480"/>
        <w:jc w:val="left"/>
        <w:spacing w:line="460" w:lineRule="exact"/>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免费保修期内设备维护服务要求（自然灾害等非中标人设备质量原因的除外）：接到报障电话后，在2个小时内进行答复、确定派人修理，在</w:t>
      </w:r>
      <w:r>
        <w:rPr>
          <w:rFonts w:hint="eastAsia" w:ascii="宋体" w:hAnsi="宋体" w:cs="宋体"/>
          <w:sz w:val="24"/>
          <w:lang w:val="en-US" w:eastAsia="zh-CN"/>
        </w:rPr>
        <w:t xml:space="preserve">12</w:t>
      </w:r>
      <w:r>
        <w:rPr>
          <w:rFonts w:hint="eastAsia" w:ascii="宋体" w:hAnsi="宋体" w:cs="宋体"/>
          <w:sz w:val="24"/>
        </w:rPr>
        <w:t xml:space="preserve">小时内上门服务并解决问题；如果设备故障在检修</w:t>
      </w:r>
      <w:r>
        <w:rPr>
          <w:rFonts w:hint="eastAsia" w:ascii="宋体" w:hAnsi="宋体" w:cs="宋体"/>
          <w:sz w:val="24"/>
          <w:lang w:val="en-US" w:eastAsia="zh-CN"/>
        </w:rPr>
        <w:t xml:space="preserve">18</w:t>
      </w:r>
      <w:r>
        <w:rPr>
          <w:rFonts w:hint="eastAsia" w:ascii="宋体" w:hAnsi="宋体" w:cs="宋体"/>
          <w:sz w:val="24"/>
        </w:rPr>
        <w:t xml:space="preserve">小时后仍无法排除，则中标人必须在双方协商的时间内提供相同规格的替代设备部件，以免影响正常的工作。在</w:t>
      </w:r>
      <w:r>
        <w:rPr>
          <w:rFonts w:hint="eastAsia" w:ascii="宋体" w:hAnsi="宋体" w:cs="宋体"/>
          <w:sz w:val="24"/>
          <w:lang w:val="en-US" w:eastAsia="zh-CN"/>
        </w:rPr>
        <w:t xml:space="preserve">2</w:t>
      </w:r>
      <w:r>
        <w:rPr>
          <w:rFonts w:hint="eastAsia" w:ascii="宋体" w:hAnsi="宋体" w:cs="宋体"/>
          <w:sz w:val="24"/>
        </w:rPr>
        <w:t xml:space="preserve">个工作日内仍无法修复设备故障，采购人有权要求中标人无条件更换该设备的零部件；免费质保期内同一硬件一个月内连续2次出现同一故障，中标人无偿更换同一规格的设备或部件。所有设备保修服务方式均为上门保修由此产生的一切费用均由中标人承担。 </w:t>
      </w:r>
      <w:r/>
    </w:p>
    <w:p>
      <w:pPr>
        <w:ind w:firstLine="480"/>
        <w:jc w:val="left"/>
        <w:spacing w:line="460" w:lineRule="exact"/>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中标人在质保期内负责软硬件系统运行的稳定性，负责更换硬件故障部件或修改出错的软件系统，费用包含在合同价之中。若中标人提供的软硬件系统在功能上、性能上达不到使用要求，采购人有权要求中标人进行及时完善和修改。如果在质量保证期内中标人未能按上述约定承担维修责任，采购人有权对由此引起的损失要求中标人进行赔偿。 </w:t>
      </w:r>
      <w:r/>
    </w:p>
    <w:p>
      <w:pPr>
        <w:ind w:firstLine="480"/>
        <w:jc w:val="left"/>
        <w:spacing w:line="460" w:lineRule="exact"/>
        <w:rPr>
          <w:rFonts w:hint="eastAsia" w:ascii="宋体" w:hAnsi="宋体" w:cs="宋体"/>
          <w:sz w:val="24"/>
          <w:lang w:val="en-US" w:eastAsia="zh-CN"/>
        </w:rPr>
      </w:pPr>
      <w:r>
        <w:rPr>
          <w:rFonts w:hint="eastAsia" w:ascii="宋体" w:hAnsi="宋体" w:cs="宋体"/>
          <w:sz w:val="24"/>
          <w:lang w:val="en-US" w:eastAsia="zh-CN"/>
        </w:rPr>
        <w:t xml:space="preserve">6.</w:t>
      </w:r>
      <w:r>
        <w:rPr>
          <w:rFonts w:hint="eastAsia" w:ascii="宋体" w:hAnsi="宋体" w:cs="宋体"/>
          <w:sz w:val="24"/>
        </w:rPr>
        <w:t xml:space="preserve">如果在质量保证期内中标人未能按上述约定承担维修责任，采购人对由此引起的损失要求中标人进行赔偿。中标人负责向采购人提供现场安全操作及必要的维护保养培训。</w:t>
      </w:r>
      <w:r/>
    </w:p>
    <w:p>
      <w:pPr>
        <w:ind w:firstLine="480"/>
        <w:jc w:val="left"/>
        <w:spacing w:line="460" w:lineRule="exact"/>
        <w:rPr>
          <w:rFonts w:hint="eastAsia" w:ascii="宋体" w:hAnsi="宋体" w:cs="宋体"/>
          <w:sz w:val="24"/>
          <w:lang w:val="en-US" w:eastAsia="zh-CN"/>
        </w:rPr>
      </w:pPr>
      <w:r>
        <w:rPr>
          <w:rFonts w:hint="eastAsia" w:ascii="宋体" w:hAnsi="宋体" w:cs="宋体"/>
          <w:sz w:val="24"/>
          <w:lang w:val="en-US" w:eastAsia="zh-CN"/>
        </w:rPr>
        <w:t xml:space="preserve">7.质保期内</w:t>
      </w:r>
      <w:r>
        <w:rPr>
          <w:rFonts w:hint="eastAsia" w:ascii="宋体" w:hAnsi="宋体" w:cs="宋体"/>
          <w:sz w:val="24"/>
        </w:rPr>
        <w:t xml:space="preserve">中标人至少每半年对本项目设备进行全面的巡检（巡检内容包括设备整体检测、设备保养评估、故障隐患排查等），对巡检过程中发现的故障及隐患进行及时处理，并生成巡检报告提交采购人</w:t>
      </w:r>
      <w:r>
        <w:rPr>
          <w:rFonts w:hint="eastAsia" w:ascii="宋体" w:hAnsi="宋体" w:cs="宋体"/>
          <w:sz w:val="24"/>
          <w:lang w:eastAsia="zh-CN"/>
        </w:rPr>
        <w:t xml:space="preserve">。</w:t>
      </w:r>
      <w:r/>
    </w:p>
    <w:p>
      <w:pPr>
        <w:ind w:firstLine="482"/>
        <w:spacing w:line="480" w:lineRule="exact"/>
        <w:rPr>
          <w:rFonts w:hint="eastAsia" w:ascii="宋体" w:hAnsi="宋体"/>
          <w:b/>
          <w:sz w:val="24"/>
          <w:szCs w:val="24"/>
          <w:lang w:val="en-US" w:eastAsia="zh-CN"/>
        </w:rPr>
      </w:pPr>
      <w:r>
        <w:rPr>
          <w:rFonts w:hint="eastAsia" w:ascii="宋体" w:hAnsi="宋体"/>
          <w:b/>
          <w:sz w:val="24"/>
          <w:szCs w:val="24"/>
          <w:lang w:val="en-US" w:eastAsia="zh-CN"/>
        </w:rPr>
        <w:t xml:space="preserve">十二、验收要求</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1．验收前产品保护</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验收前，中标人负责全部设备的保护和清洁工作，直至设备验收合格并正常运行后为止。在安装过程中，如由于中标方原因导致其它设备被损坏，中标人将要负责修理或赔偿损失。</w:t>
      </w:r>
      <w:r/>
    </w:p>
    <w:p>
      <w:pPr>
        <w:ind w:firstLine="480"/>
        <w:jc w:val="left"/>
        <w:spacing w:line="460" w:lineRule="exact"/>
        <w:rPr>
          <w:rFonts w:hint="eastAsia"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由采购人按约定时间及条件组织履约验收。中标人配合采购人做好项目验收，提供与验收相关的生产、技术、服务、数量、质量、安全等资料，根据实际需要做好技术说明、测试演示或场景应用情况分析等工作，并对所提供资料和材料的真实性负责。</w:t>
      </w:r>
      <w:r/>
    </w:p>
    <w:p>
      <w:pPr>
        <w:ind w:firstLine="480"/>
        <w:spacing w:line="500" w:lineRule="exact"/>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在发货前，中标人应对该批次货物的质量、规格、性能、数量或重量等进行准确而全面的检验，并出具一份证明货物符合合同规定的检验合格证书，但该证书不应视为最终检验。检验的结果和细节应附在检验证书后面。</w:t>
      </w:r>
      <w:r/>
    </w:p>
    <w:p>
      <w:pPr>
        <w:ind w:firstLine="480"/>
        <w:spacing w:line="500" w:lineRule="exact"/>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.货物交付后，在安装前应仔细检查货物自身无缺陷后方可安装，如果存在货物破损、自身材质、规格等质量缺陷，采购人有权要求将货物退场，由此引起的一切后果由中标人承担。</w:t>
      </w:r>
      <w:r/>
    </w:p>
    <w:p>
      <w:pPr>
        <w:ind w:firstLine="480"/>
        <w:spacing w:line="500" w:lineRule="exact"/>
        <w:rPr>
          <w:rFonts w:hint="eastAsia"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.货物进场后，中标人继续负责对货物的看管工作，如因看管不善所造成的一切损失由中标人承担，中标人准备好相关初步验收资料，验收内容包括</w:t>
      </w:r>
      <w:r>
        <w:rPr>
          <w:rFonts w:hint="eastAsia" w:ascii="宋体" w:hAnsi="宋体"/>
          <w:bCs/>
          <w:sz w:val="24"/>
          <w:szCs w:val="24"/>
          <w:lang w:val="en-US" w:eastAsia="zh-CN"/>
        </w:rPr>
        <w:t xml:space="preserve">但不限于</w:t>
      </w:r>
      <w:r>
        <w:rPr>
          <w:rFonts w:hint="eastAsia" w:ascii="宋体" w:hAnsi="宋体"/>
          <w:bCs/>
          <w:sz w:val="24"/>
          <w:szCs w:val="24"/>
        </w:rPr>
        <w:t xml:space="preserve">：产地、货号、规格、数量、外观质量及货物包装是否完好。</w:t>
      </w:r>
      <w:r/>
    </w:p>
    <w:p>
      <w:pPr>
        <w:ind w:firstLine="480"/>
        <w:spacing w:line="500" w:lineRule="exact"/>
        <w:rPr>
          <w:rFonts w:hint="default" w:ascii="宋体" w:hAnsi="宋体" w:cs="宋体"/>
          <w:sz w:val="24"/>
          <w:szCs w:val="24"/>
          <w:lang w:val="en-US" w:eastAsia="zh-CN"/>
        </w:rPr>
      </w:pPr>
      <w:r>
        <w:rPr>
          <w:rFonts w:hint="eastAsia" w:ascii="宋体" w:hAnsi="宋体"/>
          <w:bCs/>
          <w:sz w:val="24"/>
          <w:szCs w:val="24"/>
          <w:lang w:val="en-US" w:eastAsia="zh-CN"/>
        </w:rPr>
        <w:t xml:space="preserve">6</w:t>
      </w:r>
      <w:r>
        <w:rPr>
          <w:rFonts w:hint="eastAsia" w:ascii="宋体" w:hAnsi="宋体"/>
          <w:bCs/>
          <w:sz w:val="24"/>
          <w:szCs w:val="24"/>
        </w:rPr>
        <w:t xml:space="preserve">.中标人货物全部进场安装调试，并提供相关初步验收资料后，采购人组织验收并出具验收报告。如果货物的质量、规格与合同规定不符，或在质量保证期内发现货物是有缺陷的（包括潜在缺陷或使用不符合要求的材料），采购人报请法定检验机构进行检测（检测费由中标人承担），有权凭其出具的检验报告向中标人提出索赔。</w:t>
      </w:r>
      <w:r/>
    </w:p>
    <w:p>
      <w:pPr>
        <w:ind w:firstLine="482"/>
        <w:spacing w:line="480" w:lineRule="exact"/>
        <w:rPr>
          <w:rFonts w:hint="eastAsia" w:ascii="宋体" w:hAnsi="宋体"/>
          <w:b/>
          <w:sz w:val="24"/>
          <w:szCs w:val="24"/>
          <w:lang w:val="en-US" w:eastAsia="zh-CN"/>
        </w:rPr>
      </w:pPr>
      <w:r>
        <w:rPr>
          <w:rFonts w:hint="eastAsia" w:ascii="宋体" w:hAnsi="宋体"/>
          <w:b/>
          <w:sz w:val="24"/>
          <w:szCs w:val="24"/>
          <w:lang w:val="en-US" w:eastAsia="zh-CN"/>
        </w:rPr>
        <w:t xml:space="preserve">十三、商品包装环保要求</w:t>
      </w:r>
      <w:r/>
    </w:p>
    <w:p>
      <w:pPr>
        <w:ind w:firstLine="200"/>
        <w:spacing w:line="460" w:lineRule="exact"/>
        <w:rPr>
          <w:rFonts w:ascii="宋体" w:hAnsi="宋体"/>
          <w:sz w:val="24"/>
          <w:szCs w:val="24"/>
        </w:rPr>
      </w:pPr>
      <w:r>
        <w:rPr>
          <w:rFonts w:hint="eastAsia" w:ascii="宋体" w:hAnsi="宋体"/>
          <w:sz w:val="24"/>
          <w:szCs w:val="24"/>
        </w:rPr>
        <w:t xml:space="preserve">1、商品包装层数不得超过 3 层，空隙率不大于40%； </w:t>
      </w:r>
      <w:r/>
    </w:p>
    <w:p>
      <w:pPr>
        <w:ind w:firstLine="200"/>
        <w:spacing w:line="460" w:lineRule="exact"/>
        <w:rPr>
          <w:rFonts w:ascii="宋体" w:hAnsi="宋体"/>
          <w:sz w:val="24"/>
          <w:szCs w:val="24"/>
        </w:rPr>
      </w:pPr>
      <w:r>
        <w:rPr>
          <w:rFonts w:hint="eastAsia" w:ascii="宋体" w:hAnsi="宋体"/>
          <w:sz w:val="24"/>
          <w:szCs w:val="24"/>
        </w:rPr>
        <w:t xml:space="preserve">2、商品包装尽可能使用单一材质的包装材料，如因功能需求必需使用不同材质，不同材质间应便于分离； </w:t>
      </w:r>
      <w:r/>
    </w:p>
    <w:p>
      <w:pPr>
        <w:ind w:firstLine="200"/>
        <w:spacing w:line="460" w:lineRule="exact"/>
        <w:rPr>
          <w:rFonts w:ascii="宋体" w:hAnsi="宋体"/>
          <w:sz w:val="24"/>
          <w:szCs w:val="24"/>
        </w:rPr>
      </w:pPr>
      <w:r>
        <w:rPr>
          <w:rFonts w:hint="eastAsia" w:ascii="宋体" w:hAnsi="宋体"/>
          <w:sz w:val="24"/>
          <w:szCs w:val="24"/>
        </w:rPr>
        <w:t xml:space="preserve">3、商品包装中铅、汞、镉、六价铬的总含量应不大于100mg/kg； </w:t>
      </w:r>
      <w:r/>
    </w:p>
    <w:p>
      <w:pPr>
        <w:ind w:firstLine="200"/>
        <w:spacing w:line="460" w:lineRule="exact"/>
        <w:rPr>
          <w:rFonts w:ascii="宋体" w:hAnsi="宋体"/>
          <w:sz w:val="24"/>
          <w:szCs w:val="24"/>
        </w:rPr>
      </w:pPr>
      <w:r>
        <w:rPr>
          <w:rFonts w:hint="eastAsia" w:ascii="宋体" w:hAnsi="宋体"/>
          <w:sz w:val="24"/>
          <w:szCs w:val="24"/>
        </w:rPr>
        <w:t xml:space="preserve">4、商品包装印刷使用的油墨中挥发性有机化合物(VOCs) 含量应不大于 5%（以重量计）； </w:t>
      </w:r>
      <w:r/>
    </w:p>
    <w:p>
      <w:pPr>
        <w:ind w:firstLine="200"/>
        <w:spacing w:line="460" w:lineRule="exact"/>
        <w:rPr>
          <w:rFonts w:ascii="宋体" w:hAnsi="宋体"/>
          <w:sz w:val="24"/>
          <w:szCs w:val="24"/>
        </w:rPr>
      </w:pPr>
      <w:r>
        <w:rPr>
          <w:rFonts w:hint="eastAsia" w:ascii="宋体" w:hAnsi="宋体"/>
          <w:sz w:val="24"/>
          <w:szCs w:val="24"/>
        </w:rPr>
        <w:t xml:space="preserve">5、塑料材质商品包装上呈现的印刷颜色不得超过 6 色； </w:t>
      </w:r>
      <w:r/>
    </w:p>
    <w:p>
      <w:pPr>
        <w:ind w:firstLine="200"/>
        <w:spacing w:line="460" w:lineRule="exact"/>
        <w:rPr>
          <w:rFonts w:ascii="宋体" w:hAnsi="宋体"/>
          <w:sz w:val="24"/>
          <w:szCs w:val="24"/>
        </w:rPr>
      </w:pPr>
      <w:r>
        <w:rPr>
          <w:rFonts w:hint="eastAsia" w:ascii="宋体" w:hAnsi="宋体"/>
          <w:sz w:val="24"/>
          <w:szCs w:val="24"/>
        </w:rPr>
        <w:t xml:space="preserve">6、纸质商品包装应使用75%以上的可再生纤维原料生产； </w:t>
      </w:r>
      <w:r/>
    </w:p>
    <w:p>
      <w:pPr>
        <w:ind w:firstLine="200"/>
        <w:spacing w:line="460" w:lineRule="exact"/>
        <w:rPr>
          <w:rFonts w:ascii="宋体" w:hAnsi="宋体"/>
          <w:sz w:val="24"/>
          <w:szCs w:val="24"/>
        </w:rPr>
      </w:pPr>
      <w:r>
        <w:rPr>
          <w:rFonts w:hint="eastAsia" w:ascii="宋体" w:hAnsi="宋体"/>
          <w:sz w:val="24"/>
          <w:szCs w:val="24"/>
        </w:rPr>
        <w:t xml:space="preserve">7、木质商品包装的原料应来源于可持续性森林。 </w:t>
      </w:r>
      <w:r/>
    </w:p>
    <w:p>
      <w:pPr>
        <w:ind w:firstLine="200"/>
        <w:spacing w:line="460" w:lineRule="exact"/>
        <w:rPr>
          <w:rFonts w:ascii="宋体" w:hAnsi="宋体"/>
          <w:sz w:val="24"/>
          <w:szCs w:val="24"/>
        </w:rPr>
      </w:pPr>
      <w:r>
        <w:rPr>
          <w:rFonts w:hint="eastAsia" w:ascii="宋体" w:hAnsi="宋体"/>
          <w:sz w:val="24"/>
          <w:szCs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ind w:firstLine="482"/>
        <w:spacing w:line="480" w:lineRule="exact"/>
        <w:rPr>
          <w:rFonts w:hint="eastAsia" w:ascii="宋体" w:hAnsi="宋体"/>
          <w:b/>
          <w:sz w:val="24"/>
          <w:szCs w:val="24"/>
          <w:lang w:val="en-US" w:eastAsia="zh-CN"/>
        </w:rPr>
      </w:pPr>
      <w:r>
        <w:rPr>
          <w:rFonts w:hint="eastAsia" w:ascii="宋体" w:hAnsi="宋体"/>
          <w:b/>
          <w:sz w:val="24"/>
          <w:szCs w:val="24"/>
          <w:lang w:val="en-US" w:eastAsia="zh-CN"/>
        </w:rPr>
        <w:t xml:space="preserve">十四、快递包装环保要求</w:t>
      </w:r>
      <w:r/>
    </w:p>
    <w:p>
      <w:pPr>
        <w:ind w:firstLine="200"/>
        <w:spacing w:line="460" w:lineRule="exact"/>
        <w:rPr>
          <w:rFonts w:ascii="宋体" w:hAnsi="宋体"/>
          <w:sz w:val="24"/>
          <w:szCs w:val="24"/>
        </w:rPr>
      </w:pPr>
      <w:r>
        <w:rPr>
          <w:rFonts w:hint="eastAsia" w:ascii="宋体" w:hAnsi="宋体"/>
          <w:sz w:val="24"/>
          <w:szCs w:val="24"/>
        </w:rPr>
        <w:t xml:space="preserve">1、快递包装中重金属（铅、汞、镉、六价铬）总量应不大于100mg/kg；</w:t>
      </w:r>
      <w:r/>
    </w:p>
    <w:p>
      <w:pPr>
        <w:ind w:firstLine="200"/>
        <w:spacing w:line="460" w:lineRule="exact"/>
        <w:rPr>
          <w:rFonts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ind w:firstLine="200"/>
        <w:spacing w:line="460" w:lineRule="exact"/>
        <w:rPr>
          <w:rFonts w:ascii="宋体" w:hAnsi="宋体"/>
          <w:sz w:val="24"/>
          <w:szCs w:val="24"/>
        </w:rPr>
      </w:pPr>
      <w:r>
        <w:rPr>
          <w:rFonts w:hint="eastAsia" w:ascii="宋体" w:hAnsi="宋体"/>
          <w:sz w:val="24"/>
          <w:szCs w:val="24"/>
        </w:rPr>
        <w:t xml:space="preserve">3、快递包装中使用纸基材的包装材料，纸基材中的有机氯的含量应不大于150 mg/kg；</w:t>
      </w:r>
      <w:r/>
    </w:p>
    <w:p>
      <w:pPr>
        <w:ind w:firstLine="200"/>
        <w:spacing w:line="460" w:lineRule="exact"/>
        <w:rPr>
          <w:rFonts w:ascii="宋体" w:hAnsi="宋体"/>
          <w:sz w:val="24"/>
          <w:szCs w:val="24"/>
        </w:rPr>
      </w:pPr>
      <w:r>
        <w:rPr>
          <w:rFonts w:hint="eastAsia" w:ascii="宋体" w:hAnsi="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200"/>
        <w:spacing w:line="460" w:lineRule="exact"/>
        <w:rPr>
          <w:rFonts w:ascii="宋体" w:hAnsi="宋体"/>
          <w:sz w:val="24"/>
          <w:szCs w:val="24"/>
        </w:rPr>
      </w:pPr>
      <w:r>
        <w:rPr>
          <w:rFonts w:hint="eastAsia" w:ascii="宋体" w:hAnsi="宋体"/>
          <w:sz w:val="24"/>
          <w:szCs w:val="24"/>
        </w:rPr>
        <w:t xml:space="preserve">5、快递中使用的塑料包装袋不得使用聚氯乙烯作为原料，且原料应为单一材质制成，生物分解率大于60%；</w:t>
      </w:r>
      <w:r/>
    </w:p>
    <w:p>
      <w:pPr>
        <w:ind w:firstLine="200"/>
        <w:spacing w:line="460" w:lineRule="exact"/>
        <w:rPr>
          <w:rFonts w:ascii="宋体" w:hAnsi="宋体"/>
          <w:sz w:val="24"/>
          <w:szCs w:val="24"/>
        </w:rPr>
      </w:pPr>
      <w:r>
        <w:rPr>
          <w:rFonts w:hint="eastAsia" w:ascii="宋体" w:hAnsi="宋体"/>
          <w:sz w:val="24"/>
          <w:szCs w:val="24"/>
        </w:rPr>
        <w:t xml:space="preserve">6、快递中使用的充气类填充物不得使用聚氯乙烯作为原料，且原料为单一材质制成，生物分解率大于60%；</w:t>
      </w:r>
      <w:r/>
    </w:p>
    <w:p>
      <w:pPr>
        <w:ind w:firstLine="200"/>
        <w:spacing w:line="460" w:lineRule="exact"/>
        <w:rPr>
          <w:rFonts w:ascii="宋体" w:hAnsi="宋体"/>
          <w:sz w:val="24"/>
          <w:szCs w:val="24"/>
        </w:rPr>
      </w:pPr>
      <w:r>
        <w:rPr>
          <w:rFonts w:hint="eastAsia" w:ascii="宋体" w:hAnsi="宋体"/>
          <w:sz w:val="24"/>
          <w:szCs w:val="24"/>
        </w:rPr>
        <w:t xml:space="preserve">7、快递中使用的集装袋应为单一材质制成，其重复使用次数应不小于80次；</w:t>
      </w:r>
      <w:r/>
    </w:p>
    <w:p>
      <w:pPr>
        <w:ind w:firstLine="200"/>
        <w:spacing w:line="460" w:lineRule="exact"/>
        <w:rPr>
          <w:rFonts w:ascii="宋体" w:hAnsi="宋体"/>
          <w:sz w:val="24"/>
          <w:szCs w:val="24"/>
        </w:rPr>
      </w:pPr>
      <w:r>
        <w:rPr>
          <w:rFonts w:hint="eastAsia" w:ascii="宋体" w:hAnsi="宋体"/>
          <w:sz w:val="24"/>
          <w:szCs w:val="24"/>
        </w:rPr>
        <w:t xml:space="preserve">8、快递中应使用幅宽不大于45mm 的生物降解胶带；</w:t>
      </w:r>
      <w:r/>
    </w:p>
    <w:p>
      <w:pPr>
        <w:ind w:firstLine="200"/>
        <w:spacing w:line="460" w:lineRule="exact"/>
        <w:rPr>
          <w:rFonts w:ascii="宋体" w:hAnsi="宋体"/>
          <w:sz w:val="24"/>
          <w:szCs w:val="24"/>
        </w:rPr>
      </w:pPr>
      <w:r>
        <w:rPr>
          <w:rFonts w:hint="eastAsia" w:ascii="宋体" w:hAnsi="宋体"/>
          <w:sz w:val="24"/>
          <w:szCs w:val="24"/>
        </w:rPr>
        <w:t xml:space="preserve">9、快递包装中不得使用溶剂型胶粘剂；</w:t>
      </w:r>
      <w:r/>
    </w:p>
    <w:p>
      <w:pPr>
        <w:ind w:firstLine="200"/>
        <w:spacing w:line="460" w:lineRule="exact"/>
        <w:rPr>
          <w:rFonts w:ascii="宋体" w:hAnsi="宋体"/>
          <w:sz w:val="24"/>
          <w:szCs w:val="24"/>
        </w:rPr>
      </w:pPr>
      <w:r>
        <w:rPr>
          <w:rFonts w:hint="eastAsia" w:ascii="宋体" w:hAnsi="宋体"/>
          <w:sz w:val="24"/>
          <w:szCs w:val="24"/>
        </w:rPr>
        <w:t xml:space="preserve">10、快递应使用电子面单；</w:t>
      </w:r>
      <w:r/>
    </w:p>
    <w:p>
      <w:pPr>
        <w:ind w:firstLine="200"/>
        <w:spacing w:line="460" w:lineRule="exact"/>
        <w:rPr>
          <w:rFonts w:ascii="宋体" w:hAnsi="宋体"/>
          <w:sz w:val="24"/>
          <w:szCs w:val="24"/>
        </w:rPr>
      </w:pPr>
      <w:r>
        <w:rPr>
          <w:rFonts w:hint="eastAsia" w:ascii="宋体" w:hAnsi="宋体"/>
          <w:sz w:val="24"/>
          <w:szCs w:val="24"/>
        </w:rPr>
        <w:t xml:space="preserve">11、直接使用商品包装作为快递包装的商品，其商品包装满足《商品包装政府采购需求标准（试行）》即可；</w:t>
      </w:r>
      <w:r/>
    </w:p>
    <w:p>
      <w:pPr>
        <w:ind w:firstLine="200"/>
        <w:spacing w:line="460" w:lineRule="exact"/>
        <w:rPr>
          <w:rFonts w:hint="eastAsia" w:ascii="Times New Roman" w:hAnsi="Times New Roman" w:eastAsia="等线" w:cs="仿宋"/>
          <w:highlight w:val="yellow"/>
        </w:rPr>
      </w:pPr>
      <w:r>
        <w:rPr>
          <w:rFonts w:hint="eastAsia" w:ascii="宋体" w:hAnsi="宋体"/>
          <w:sz w:val="24"/>
          <w:szCs w:val="24"/>
        </w:rPr>
        <w:t xml:space="preserve">12、快递包装产品质量和封装方式应符合相关国家或行业标准技术指标要求。</w:t>
      </w:r>
      <w:r/>
    </w:p>
    <w:p>
      <w:pPr>
        <w:pStyle w:val="829"/>
        <w:rPr>
          <w:rFonts w:hint="eastAsia" w:ascii="宋体" w:hAnsi="宋体" w:eastAsia="宋体" w:cs="宋体"/>
          <w:b/>
          <w:bCs/>
        </w:rPr>
      </w:pPr>
      <w:r>
        <w:rPr>
          <w:rFonts w:hint="eastAsia" w:ascii="宋体" w:hAnsi="宋体" w:eastAsia="宋体" w:cs="宋体"/>
          <w:b/>
          <w:bCs/>
        </w:rPr>
        <w:t xml:space="preserve">十</w:t>
      </w:r>
      <w:r>
        <w:rPr>
          <w:rFonts w:hint="eastAsia" w:ascii="宋体" w:hAnsi="宋体" w:eastAsia="宋体" w:cs="宋体"/>
          <w:b/>
          <w:bCs/>
          <w:lang w:val="en-US" w:eastAsia="zh-CN"/>
        </w:rPr>
        <w:t xml:space="preserve">四</w:t>
      </w:r>
      <w:r>
        <w:rPr>
          <w:rFonts w:hint="eastAsia" w:ascii="宋体" w:hAnsi="宋体" w:eastAsia="宋体" w:cs="宋体"/>
          <w:b/>
          <w:bCs/>
        </w:rPr>
        <w:t xml:space="preserve">、其它要求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全部投标产品必须符合国家标准、行业标准。采购人在接收货物时如发现产品、配件的品牌、技术参数与投标文件中不一致，或产品不符合相关国家、行业标准等情况，有权拒绝接收，并要求中标人在规定期限内无偿更换为与投标文件一致的符合国家、行业标准的产品。中标人拒绝更换或在规定期限内不能更换到位的，采购人有权终止合同，并按相关规定予以处理。实施中，对存在疑问的产品，采购人可申请当地质检部门进行检测，检测费用由中标人支付,检测费用含在报价内。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合同签署前，采购人有权核验中标供应商投标相关证明材料原件，核查供应商投标承诺的</w:t>
      </w:r>
      <w:r>
        <w:rPr>
          <w:rFonts w:hint="eastAsia" w:ascii="宋体" w:hAnsi="宋体" w:cs="宋体"/>
          <w:sz w:val="24"/>
          <w:lang w:val="en-US" w:eastAsia="zh-CN"/>
        </w:rPr>
        <w:t xml:space="preserve">设备</w:t>
      </w:r>
      <w:r>
        <w:rPr>
          <w:rFonts w:hint="eastAsia" w:ascii="宋体" w:hAnsi="宋体" w:cs="宋体"/>
          <w:sz w:val="24"/>
        </w:rPr>
        <w:t xml:space="preserve">供货、安装、售后等履约保障能力。如供应商无法提供对应原件，或核查确认无法实质性履行投标承诺的，采购人有权终止合同签订流程，并按政府采购相关规定向主管监管部门报送情况。</w:t>
      </w:r>
      <w:r/>
    </w:p>
    <w:p>
      <w:pPr>
        <w:ind w:firstLine="480"/>
        <w:jc w:val="left"/>
        <w:spacing w:line="360" w:lineRule="auto"/>
        <w:widowControl/>
        <w:rPr>
          <w:rFonts w:hint="eastAsia" w:ascii="宋体" w:hAnsi="宋体" w:cs="宋体"/>
          <w:sz w:val="24"/>
        </w:rPr>
      </w:pPr>
      <w:r>
        <w:rPr>
          <w:rFonts w:hint="eastAsia" w:ascii="宋体" w:hAnsi="宋体" w:cs="宋体"/>
          <w:sz w:val="24"/>
          <w:lang w:val="en-US" w:eastAsia="zh-CN"/>
        </w:rPr>
        <w:t xml:space="preserve">3.货物</w:t>
      </w:r>
      <w:r>
        <w:rPr>
          <w:rFonts w:hint="eastAsia" w:ascii="宋体" w:hAnsi="宋体" w:cs="宋体"/>
          <w:sz w:val="24"/>
        </w:rPr>
        <w:t xml:space="preserve">验收时，将由采购人、技术专家联合组成的验收小组对每台</w:t>
      </w:r>
      <w:r>
        <w:rPr>
          <w:rFonts w:hint="eastAsia" w:ascii="宋体" w:hAnsi="宋体" w:cs="宋体"/>
          <w:sz w:val="24"/>
          <w:lang w:val="en-US" w:eastAsia="zh-CN"/>
        </w:rPr>
        <w:t xml:space="preserve">设备</w:t>
      </w:r>
      <w:r>
        <w:rPr>
          <w:rFonts w:hint="eastAsia" w:ascii="宋体" w:hAnsi="宋体" w:cs="宋体"/>
          <w:sz w:val="24"/>
        </w:rPr>
        <w:t xml:space="preserve">进行</w:t>
      </w:r>
      <w:r>
        <w:rPr>
          <w:rFonts w:hint="eastAsia" w:ascii="宋体" w:hAnsi="宋体" w:cs="宋体"/>
          <w:sz w:val="24"/>
          <w:lang w:val="en-US" w:eastAsia="zh-CN"/>
        </w:rPr>
        <w:t xml:space="preserve">验收</w:t>
      </w:r>
      <w:r>
        <w:rPr>
          <w:rFonts w:hint="eastAsia" w:ascii="宋体" w:hAnsi="宋体" w:cs="宋体"/>
          <w:sz w:val="24"/>
        </w:rPr>
        <w:t xml:space="preserve">，如发现</w:t>
      </w:r>
      <w:r>
        <w:rPr>
          <w:rFonts w:hint="eastAsia" w:ascii="宋体" w:hAnsi="宋体" w:cs="宋体"/>
          <w:sz w:val="24"/>
          <w:lang w:eastAsia="zh-CN"/>
        </w:rPr>
        <w:t xml:space="preserve">供应商</w:t>
      </w:r>
      <w:r>
        <w:rPr>
          <w:rFonts w:hint="eastAsia" w:ascii="宋体" w:hAnsi="宋体" w:cs="宋体"/>
          <w:sz w:val="24"/>
        </w:rPr>
        <w:t xml:space="preserve">所提供</w:t>
      </w:r>
      <w:r>
        <w:rPr>
          <w:rFonts w:hint="eastAsia" w:ascii="宋体" w:hAnsi="宋体" w:cs="宋体"/>
          <w:sz w:val="24"/>
          <w:lang w:val="en-US" w:eastAsia="zh-CN"/>
        </w:rPr>
        <w:t xml:space="preserve">设备</w:t>
      </w:r>
      <w:r>
        <w:rPr>
          <w:rFonts w:hint="eastAsia" w:ascii="宋体" w:hAnsi="宋体" w:cs="宋体"/>
          <w:sz w:val="24"/>
        </w:rPr>
        <w:t xml:space="preserve">性能不符合招标要求，存在虚假应标行为，采购人有权停止验收同时报送至财政监管部门，取消其中标资格并追究其相关责任。</w:t>
      </w:r>
      <w:r/>
    </w:p>
    <w:p>
      <w:pPr>
        <w:ind w:firstLine="480"/>
        <w:jc w:val="left"/>
        <w:spacing w:line="360" w:lineRule="auto"/>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履约期间，如发生中标人工作人员工伤或遇中标人工作人员人身伤亡事故，均由中标人负责；由于中标人人员在相关操作过程中安全防护不当导致工人或其他人员发生人身安全损害及事故的，一切后果与法律责任均由中标人承担。</w:t>
      </w:r>
      <w:r/>
    </w:p>
    <w:p>
      <w:pPr>
        <w:ind w:firstLine="480"/>
        <w:jc w:val="left"/>
        <w:spacing w:line="360"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付款前，中标人应向采购人提供符合要求的增值税发票等，否则，采购人有权拒绝付款，同时不免除中标人合同履行义务。采购人可从应付款中直接扣除中标人应承担的违约金或其他费用。</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中标人索赔。 </w:t>
      </w:r>
      <w:r/>
    </w:p>
    <w:p>
      <w:pPr>
        <w:pStyle w:val="941"/>
        <w:ind w:firstLine="480"/>
        <w:jc w:val="both"/>
        <w:spacing w:before="0" w:beforeAutospacing="0" w:after="0" w:afterAutospacing="0" w:line="400" w:lineRule="exact"/>
        <w:widowControl w:val="off"/>
        <w:rPr>
          <w:rFonts w:ascii="Times New Roman" w:hAnsi="Times New Roman" w:eastAsia="等线" w:cs="仿宋"/>
          <w:highlight w:val="yellow"/>
        </w:rPr>
      </w:pPr>
      <w:r>
        <w:rPr>
          <w:rFonts w:ascii="Times New Roman" w:hAnsi="Times New Roman" w:eastAsia="等线" w:cs="仿宋"/>
          <w:highlight w:val="yellow"/>
        </w:rPr>
      </w:r>
      <w:r/>
    </w:p>
    <w:p>
      <w:r/>
      <w:bookmarkStart w:id="155" w:name="_Toc22098"/>
      <w:r/>
      <w:bookmarkStart w:id="156" w:name="_Toc31499"/>
      <w:r/>
      <w:bookmarkStart w:id="157" w:name="_Toc81575169"/>
      <w:r/>
      <w:bookmarkStart w:id="158" w:name="_Toc81575206"/>
      <w:r/>
      <w:r/>
    </w:p>
    <w:p>
      <w:r/>
      <w:r/>
    </w:p>
    <w:p>
      <w:r/>
      <w:r/>
    </w:p>
    <w:p>
      <w:r/>
      <w:r/>
    </w:p>
    <w:p>
      <w:pPr>
        <w:rPr>
          <w:rFonts w:hint="eastAsia"/>
        </w:rPr>
      </w:pPr>
      <w:r>
        <w:rPr>
          <w:rFonts w:hint="eastAsia"/>
        </w:rPr>
      </w:r>
      <w:r/>
    </w:p>
    <w:p>
      <w:pPr>
        <w:pStyle w:val="826"/>
        <w:jc w:val="center"/>
        <w:spacing w:before="200"/>
        <w:rPr>
          <w:rFonts w:hint="eastAsia" w:ascii="Calibri" w:hAnsi="Calibri" w:eastAsia="宋体" w:cs="Times New Roman"/>
          <w:b/>
          <w:sz w:val="44"/>
          <w:szCs w:val="44"/>
        </w:rPr>
      </w:pPr>
      <w:r/>
      <w:bookmarkStart w:id="159" w:name="_Toc19774"/>
      <w:r/>
      <w:r/>
    </w:p>
    <w:p>
      <w:pPr>
        <w:pStyle w:val="826"/>
        <w:jc w:val="both"/>
        <w:spacing w:before="200"/>
        <w:rPr>
          <w:rFonts w:hint="eastAsia" w:ascii="Calibri" w:hAnsi="Calibri" w:eastAsia="宋体" w:cs="Times New Roman"/>
          <w:b/>
          <w:sz w:val="44"/>
          <w:szCs w:val="44"/>
        </w:rPr>
      </w:pPr>
      <w:r>
        <w:rPr>
          <w:rFonts w:hint="eastAsia" w:ascii="Calibri" w:hAnsi="Calibri" w:eastAsia="宋体" w:cs="Times New Roman"/>
          <w:b/>
          <w:sz w:val="44"/>
          <w:szCs w:val="44"/>
        </w:rPr>
      </w:r>
      <w:r/>
    </w:p>
    <w:p>
      <w:pPr>
        <w:pStyle w:val="826"/>
        <w:jc w:val="center"/>
        <w:spacing w:before="200"/>
        <w:rPr>
          <w:rFonts w:hint="eastAsia" w:ascii="Calibri" w:hAnsi="Calibri" w:eastAsia="宋体" w:cs="Times New Roman"/>
          <w:b/>
          <w:sz w:val="44"/>
          <w:szCs w:val="44"/>
        </w:rPr>
      </w:pPr>
      <w:r>
        <w:rPr>
          <w:rFonts w:hint="eastAsia" w:ascii="Calibri" w:hAnsi="Calibri" w:eastAsia="宋体" w:cs="Times New Roman"/>
          <w:b/>
          <w:sz w:val="44"/>
          <w:szCs w:val="44"/>
        </w:rPr>
      </w:r>
      <w:r/>
    </w:p>
    <w:p>
      <w:pPr>
        <w:pStyle w:val="826"/>
        <w:jc w:val="center"/>
        <w:spacing w:before="200"/>
        <w:rPr>
          <w:rFonts w:hint="eastAsia" w:ascii="Calibri" w:hAnsi="Calibri" w:eastAsia="宋体" w:cs="Times New Roman"/>
          <w:b/>
          <w:sz w:val="44"/>
          <w:szCs w:val="44"/>
        </w:rPr>
      </w:pPr>
      <w:r>
        <w:rPr>
          <w:rFonts w:hint="eastAsia" w:ascii="Calibri" w:hAnsi="Calibri" w:eastAsia="宋体" w:cs="Times New Roman"/>
          <w:b/>
          <w:sz w:val="44"/>
          <w:szCs w:val="44"/>
        </w:rPr>
      </w:r>
      <w:r/>
    </w:p>
    <w:p>
      <w:pPr>
        <w:pStyle w:val="826"/>
        <w:jc w:val="both"/>
        <w:spacing w:before="200"/>
        <w:rPr>
          <w:rFonts w:hint="eastAsia" w:ascii="Calibri" w:hAnsi="Calibri" w:eastAsia="宋体" w:cs="Times New Roman"/>
          <w:b/>
          <w:sz w:val="44"/>
          <w:szCs w:val="44"/>
        </w:rPr>
      </w:pPr>
      <w:r>
        <w:rPr>
          <w:rFonts w:hint="eastAsia" w:ascii="Calibri" w:hAnsi="Calibri" w:eastAsia="宋体" w:cs="Times New Roman"/>
          <w:b/>
          <w:sz w:val="44"/>
          <w:szCs w:val="44"/>
        </w:rPr>
      </w:r>
      <w:r/>
    </w:p>
    <w:p>
      <w:pPr>
        <w:pStyle w:val="826"/>
        <w:jc w:val="center"/>
        <w:spacing w:before="200"/>
        <w:rPr>
          <w:rFonts w:hint="eastAsia" w:ascii="Calibri" w:hAnsi="Calibri" w:eastAsia="宋体" w:cs="Times New Roman"/>
          <w:b/>
          <w:sz w:val="44"/>
          <w:szCs w:val="44"/>
        </w:rPr>
      </w:pPr>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55"/>
      <w:r/>
      <w:bookmarkEnd w:id="156"/>
      <w:r/>
      <w:bookmarkEnd w:id="157"/>
      <w:r/>
      <w:bookmarkEnd w:id="158"/>
      <w:r/>
      <w:bookmarkEnd w:id="159"/>
      <w:r/>
      <w:bookmarkStart w:id="160" w:name="_Toc513029243"/>
      <w:r/>
      <w:bookmarkStart w:id="161" w:name="_Toc20823315"/>
      <w:r/>
      <w:bookmarkStart w:id="162" w:name="_Toc16938559"/>
      <w:r>
        <w:rPr>
          <w:rFonts w:hint="eastAsia" w:ascii="Calibri" w:hAnsi="Calibri" w:eastAsia="宋体" w:cs="Times New Roman"/>
          <w:b/>
          <w:sz w:val="44"/>
          <w:szCs w:val="44"/>
        </w:rPr>
        <w:br/>
      </w:r>
      <w:r>
        <w:rPr>
          <w:rFonts w:hint="eastAsia" w:ascii="Calibri" w:hAnsi="Calibri" w:eastAsia="宋体" w:cs="Times New Roman"/>
          <w:b/>
          <w:sz w:val="44"/>
          <w:szCs w:val="44"/>
        </w:rPr>
        <w:t xml:space="preserve">（草案）</w:t>
      </w:r>
      <w:r/>
    </w:p>
    <w:p>
      <w:pPr>
        <w:spacing w:line="400" w:lineRule="exact"/>
        <w:rPr>
          <w:rFonts w:ascii="宋体" w:hAnsi="宋体"/>
          <w:bCs/>
          <w:sz w:val="24"/>
          <w:szCs w:val="24"/>
        </w:rPr>
      </w:pPr>
      <w:r>
        <w:rPr>
          <w:rFonts w:ascii="宋体" w:hAnsi="宋体"/>
          <w:bCs/>
          <w:sz w:val="24"/>
          <w:szCs w:val="24"/>
        </w:rPr>
      </w:r>
      <w:r/>
    </w:p>
    <w:p>
      <w:pPr>
        <w:spacing w:line="500" w:lineRule="exact"/>
        <w:rPr>
          <w:rFonts w:hint="eastAsia" w:ascii="宋体" w:hAnsi="宋体"/>
          <w:bCs/>
          <w:sz w:val="24"/>
          <w:szCs w:val="24"/>
        </w:rPr>
      </w:pPr>
      <w:r>
        <w:rPr>
          <w:rFonts w:hint="eastAsia" w:ascii="宋体" w:hAnsi="宋体"/>
          <w:bCs/>
          <w:sz w:val="24"/>
          <w:szCs w:val="24"/>
        </w:rPr>
      </w:r>
      <w:r/>
    </w:p>
    <w:p>
      <w:pPr>
        <w:pStyle w:val="783"/>
        <w:jc w:val="center"/>
        <w:rPr>
          <w:rFonts w:hint="eastAsia" w:ascii="宋体" w:hAnsi="宋体" w:eastAsia="宋体" w:cs="宋体"/>
          <w:color w:val="auto"/>
        </w:rPr>
      </w:pPr>
      <w:r/>
      <w:bookmarkStart w:id="163" w:name="_Toc2875"/>
      <w:r>
        <w:rPr>
          <w:rFonts w:hint="eastAsia" w:ascii="宋体" w:hAnsi="宋体" w:eastAsia="宋体" w:cs="宋体"/>
          <w:color w:val="auto"/>
        </w:rPr>
        <w:t xml:space="preserve">政府采购合同参考范本</w:t>
      </w:r>
      <w:bookmarkEnd w:id="163"/>
      <w:r/>
      <w:r/>
    </w:p>
    <w:p>
      <w:pPr>
        <w:jc w:val="center"/>
        <w:spacing w:line="560" w:lineRule="exact"/>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w:t>
      </w:r>
      <w:r>
        <w:rPr>
          <w:rFonts w:hint="eastAsia" w:ascii="宋体" w:hAnsi="宋体" w:eastAsia="宋体" w:cs="宋体"/>
          <w:b/>
          <w:sz w:val="28"/>
          <w:szCs w:val="28"/>
          <w:lang w:val="en-US" w:eastAsia="zh-CN"/>
        </w:rPr>
        <w:t xml:space="preserve">货物类</w:t>
      </w:r>
      <w:r>
        <w:rPr>
          <w:rFonts w:hint="eastAsia" w:ascii="宋体" w:hAnsi="宋体" w:eastAsia="宋体" w:cs="宋体"/>
          <w:b/>
          <w:sz w:val="28"/>
          <w:szCs w:val="28"/>
          <w:lang w:eastAsia="zh-CN"/>
        </w:rPr>
        <w:t xml:space="preserve">）</w:t>
      </w:r>
      <w:r/>
    </w:p>
    <w:p>
      <w:pPr>
        <w:jc w:val="center"/>
        <w:spacing w:line="560" w:lineRule="exact"/>
        <w:rPr>
          <w:rFonts w:hint="eastAsia" w:ascii="宋体" w:hAnsi="宋体" w:eastAsia="宋体" w:cs="宋体"/>
          <w:b/>
          <w:sz w:val="28"/>
          <w:szCs w:val="28"/>
        </w:rPr>
      </w:pPr>
      <w:r>
        <w:rPr>
          <w:rFonts w:hint="eastAsia" w:ascii="宋体" w:hAnsi="宋体" w:eastAsia="宋体" w:cs="宋体"/>
          <w:b/>
          <w:sz w:val="28"/>
          <w:szCs w:val="28"/>
        </w:rPr>
      </w:r>
      <w:r/>
    </w:p>
    <w:p>
      <w:pPr>
        <w:spacing w:before="120" w:line="560" w:lineRule="exact"/>
        <w:rPr>
          <w:rFonts w:hint="eastAsia" w:ascii="宋体" w:hAnsi="宋体" w:eastAsia="宋体" w:cs="宋体"/>
          <w:sz w:val="28"/>
          <w:szCs w:val="28"/>
        </w:rPr>
      </w:pPr>
      <w:r>
        <w:rPr>
          <w:rFonts w:hint="eastAsia" w:ascii="宋体" w:hAnsi="宋体" w:eastAsia="宋体" w:cs="宋体"/>
          <w:sz w:val="28"/>
          <w:szCs w:val="28"/>
        </w:rPr>
      </w:r>
      <w:r/>
    </w:p>
    <w:p>
      <w:pPr>
        <w:pStyle w:val="784"/>
        <w:spacing w:line="560" w:lineRule="exact"/>
        <w:tabs>
          <w:tab w:val="left" w:pos="432" w:leader="none"/>
        </w:tabs>
        <w:rPr>
          <w:rFonts w:hint="eastAsia" w:ascii="宋体" w:hAnsi="宋体" w:eastAsia="宋体" w:cs="宋体"/>
          <w:sz w:val="28"/>
        </w:rPr>
      </w:pPr>
      <w:r>
        <w:rPr>
          <w:rFonts w:hint="eastAsia" w:ascii="宋体" w:hAnsi="宋体" w:eastAsia="宋体" w:cs="宋体"/>
          <w:sz w:val="28"/>
        </w:rPr>
      </w:r>
      <w:r/>
    </w:p>
    <w:p>
      <w:pPr>
        <w:ind w:left="96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left="960"/>
        <w:spacing w:before="120" w:line="560" w:lineRule="exact"/>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合同编号：</w:t>
      </w:r>
      <w:r>
        <w:rPr>
          <w:rFonts w:hint="eastAsia" w:ascii="宋体" w:hAnsi="宋体" w:eastAsia="宋体" w:cs="宋体"/>
          <w:sz w:val="28"/>
          <w:szCs w:val="28"/>
          <w:u w:val="single"/>
          <w:lang w:val="en-US" w:eastAsia="zh-CN"/>
        </w:rPr>
        <w:t xml:space="preserve">                                 </w:t>
      </w:r>
      <w:r/>
    </w:p>
    <w:p>
      <w:pPr>
        <w:ind w:left="96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甲方：</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left="96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乙方：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left="960"/>
        <w:spacing w:before="120" w:line="560" w:lineRule="exact"/>
        <w:rPr>
          <w:rFonts w:hint="eastAsia" w:ascii="宋体" w:hAnsi="宋体" w:eastAsia="宋体" w:cs="宋体"/>
          <w:sz w:val="28"/>
          <w:szCs w:val="28"/>
          <w:u w:val="single"/>
        </w:rPr>
      </w:pPr>
      <w:r>
        <w:rPr>
          <w:rFonts w:hint="eastAsia" w:ascii="宋体" w:hAnsi="宋体" w:eastAsia="宋体" w:cs="宋体"/>
          <w:sz w:val="28"/>
          <w:szCs w:val="28"/>
        </w:rPr>
        <w:t xml:space="preserve">签订日期：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jc w:val="left"/>
        <w:spacing w:line="560" w:lineRule="exact"/>
        <w:widowControl/>
        <w:rPr>
          <w:rFonts w:hint="eastAsia" w:ascii="宋体" w:hAnsi="宋体" w:eastAsia="宋体" w:cs="宋体"/>
          <w:sz w:val="28"/>
          <w:szCs w:val="28"/>
        </w:rPr>
        <w:sectPr>
          <w:footnotePr/>
          <w:endnotePr/>
          <w:type w:val="continuous"/>
          <w:pgSz w:w="11907" w:h="16840" w:orient="portrait"/>
          <w:pgMar w:top="1474" w:right="1814" w:bottom="1474" w:left="1814" w:header="851" w:footer="851" w:gutter="0"/>
          <w:cols w:num="1" w:sep="0" w:space="720" w:equalWidth="1"/>
          <w:docGrid w:linePitch="360"/>
        </w:sectPr>
      </w:pPr>
      <w:r>
        <w:rPr>
          <w:rFonts w:hint="eastAsia" w:ascii="宋体" w:hAnsi="宋体" w:eastAsia="宋体" w:cs="宋体"/>
          <w:sz w:val="28"/>
          <w:szCs w:val="28"/>
        </w:rPr>
      </w:r>
      <w:r/>
    </w:p>
    <w:p>
      <w:pPr>
        <w:ind w:left="-420" w:right="-420" w:firstLine="482"/>
        <w:jc w:val="center"/>
        <w:pageBreakBefore/>
        <w:spacing w:line="440" w:lineRule="exact"/>
        <w:rPr>
          <w:rFonts w:hint="eastAsia" w:ascii="宋体" w:hAnsi="宋体" w:eastAsia="宋体" w:cs="宋体"/>
          <w:sz w:val="24"/>
          <w:szCs w:val="20"/>
        </w:rPr>
      </w:pPr>
      <w:r>
        <w:rPr>
          <w:rFonts w:hint="eastAsia" w:ascii="宋体" w:hAnsi="宋体" w:eastAsia="宋体" w:cs="宋体"/>
          <w:b/>
          <w:bCs/>
          <w:sz w:val="24"/>
          <w:szCs w:val="20"/>
        </w:rPr>
        <w:t xml:space="preserve">第一节 政府采购合同协议书</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p>
      <w:pPr>
        <w:ind w:right="-346"/>
        <w:spacing w:line="440" w:lineRule="exact"/>
        <w:rPr>
          <w:rFonts w:hint="eastAsia" w:ascii="宋体" w:hAnsi="宋体" w:eastAsia="宋体" w:cs="宋体"/>
          <w:sz w:val="24"/>
          <w:szCs w:val="20"/>
        </w:rPr>
      </w:pPr>
      <w:r>
        <w:rPr>
          <w:rFonts w:hint="eastAsia" w:ascii="宋体" w:hAnsi="宋体" w:eastAsia="宋体" w:cs="宋体"/>
          <w:sz w:val="24"/>
          <w:szCs w:val="20"/>
        </w:rPr>
        <w:t xml:space="preserve">甲方（全称）：</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（采购人）</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乙方（全称）：</w:t>
      </w:r>
      <w:r>
        <w:rPr>
          <w:rFonts w:hint="eastAsia" w:ascii="宋体" w:hAnsi="宋体" w:eastAsia="宋体" w:cs="宋体"/>
          <w:sz w:val="24"/>
          <w:szCs w:val="20"/>
          <w:u w:val="single"/>
          <w:lang w:val="en-US" w:eastAsia="zh-CN"/>
        </w:rPr>
        <w:t xml:space="preserve">                    </w:t>
      </w:r>
      <w:r>
        <w:rPr>
          <w:rFonts w:hint="eastAsia" w:ascii="宋体" w:hAnsi="宋体" w:eastAsia="宋体" w:cs="宋体"/>
          <w:sz w:val="24"/>
          <w:szCs w:val="20"/>
        </w:rPr>
        <w:t xml:space="preserve">（供应商）</w:t>
      </w:r>
      <w:r/>
    </w:p>
    <w:p>
      <w:pPr>
        <w:ind w:left="-210" w:right="-346"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left="-210" w:right="-420" w:firstLine="723"/>
        <w:spacing w:line="440" w:lineRule="exact"/>
        <w:rPr>
          <w:rFonts w:hint="eastAsia" w:ascii="宋体" w:hAnsi="宋体" w:eastAsia="宋体" w:cs="宋体"/>
          <w:sz w:val="24"/>
          <w:szCs w:val="20"/>
        </w:rPr>
      </w:pPr>
      <w:r>
        <w:rPr>
          <w:rFonts w:hint="eastAsia" w:ascii="宋体" w:hAnsi="宋体" w:eastAsia="宋体" w:cs="宋体"/>
          <w:b/>
          <w:bCs/>
          <w:sz w:val="24"/>
          <w:szCs w:val="20"/>
        </w:rPr>
        <w:t xml:space="preserve">项目信息</w:t>
      </w:r>
      <w:r/>
    </w:p>
    <w:p>
      <w:pPr>
        <w:numPr>
          <w:ilvl w:val="255"/>
          <w:numId w:val="0"/>
        </w:numPr>
        <w:ind w:left="420" w:right="-4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（1）采购项目名称：</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采购项目编号：</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p>
    <w:p>
      <w:pPr>
        <w:numPr>
          <w:ilvl w:val="255"/>
          <w:numId w:val="0"/>
        </w:numPr>
        <w:ind w:left="420" w:right="-420"/>
        <w:spacing w:line="440" w:lineRule="exact"/>
        <w:rPr>
          <w:rFonts w:hint="eastAsia" w:ascii="宋体" w:hAnsi="宋体" w:eastAsia="宋体" w:cs="宋体"/>
          <w:sz w:val="24"/>
          <w:szCs w:val="20"/>
        </w:rPr>
      </w:pPr>
      <w:r>
        <w:rPr>
          <w:rFonts w:ascii="Times New Roman" w:hAnsi="Times New Roman"/>
          <w:sz w:val="24"/>
          <w:szCs w:val="24"/>
        </w:rPr>
        <w:t xml:space="preserve">（2）采购计划编号： </w:t>
      </w:r>
      <w:r>
        <w:rPr>
          <w:rFonts w:hint="eastAsia" w:ascii="宋体" w:hAnsi="宋体" w:eastAsia="宋体" w:cs="宋体"/>
          <w:sz w:val="24"/>
          <w:szCs w:val="20"/>
        </w:rPr>
        <w:t xml:space="preserve"> </w:t>
      </w:r>
      <w:r/>
    </w:p>
    <w:p>
      <w:pPr>
        <w:numPr>
          <w:ilvl w:val="0"/>
          <w:numId w:val="0"/>
        </w:numPr>
        <w:ind w:left="420" w:right="-420"/>
        <w:spacing w:line="440" w:lineRule="exact"/>
        <w:rPr>
          <w:rFonts w:hint="eastAsia" w:ascii="宋体" w:hAnsi="宋体" w:eastAsia="宋体" w:cs="宋体"/>
          <w:sz w:val="24"/>
          <w:szCs w:val="20"/>
        </w:rPr>
      </w:pP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3</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项目内容：</w:t>
      </w:r>
      <w:r/>
    </w:p>
    <w:p>
      <w:pPr>
        <w:ind w:firstLine="480"/>
        <w:spacing w:line="400" w:lineRule="exact"/>
        <w:rPr>
          <w:rFonts w:ascii="Times New Roman" w:hAnsi="Times New Roman"/>
          <w:sz w:val="24"/>
          <w:szCs w:val="24"/>
        </w:rPr>
      </w:pPr>
      <w:r>
        <w:rPr>
          <w:rFonts w:hint="eastAsia" w:ascii="宋体" w:hAnsi="宋体" w:eastAsia="宋体" w:cs="宋体"/>
          <w:sz w:val="24"/>
          <w:szCs w:val="20"/>
        </w:rPr>
        <w:t xml:space="preserve">      </w:t>
      </w:r>
      <w:r>
        <w:rPr>
          <w:rFonts w:ascii="Times New Roman" w:hAnsi="Times New Roman"/>
          <w:sz w:val="24"/>
          <w:szCs w:val="24"/>
        </w:rPr>
        <w:t xml:space="preserve">采购标的及数量（台/套/个/架/组等）：                      </w:t>
      </w:r>
      <w:r/>
    </w:p>
    <w:p>
      <w:pPr>
        <w:ind w:left="-420" w:right="-420" w:firstLine="1742"/>
        <w:spacing w:line="440" w:lineRule="exact"/>
        <w:rPr>
          <w:rFonts w:ascii="Times New Roman" w:hAnsi="Times New Roman"/>
          <w:sz w:val="24"/>
          <w:szCs w:val="24"/>
        </w:rPr>
      </w:pPr>
      <w:r>
        <w:rPr>
          <w:rFonts w:ascii="Times New Roman" w:hAnsi="Times New Roman"/>
          <w:sz w:val="24"/>
          <w:szCs w:val="24"/>
        </w:rPr>
        <w:t xml:space="preserve">品牌：                    规格型号：               </w:t>
      </w:r>
      <w:r/>
    </w:p>
    <w:p>
      <w:pPr>
        <w:ind w:firstLine="1262"/>
        <w:spacing w:line="400" w:lineRule="exact"/>
        <w:rPr>
          <w:rFonts w:ascii="Times New Roman" w:hAnsi="Times New Roman"/>
          <w:sz w:val="24"/>
          <w:szCs w:val="24"/>
        </w:rPr>
      </w:pPr>
      <w:r>
        <w:rPr>
          <w:rFonts w:ascii="Times New Roman" w:hAnsi="Times New Roman"/>
          <w:sz w:val="24"/>
          <w:szCs w:val="24"/>
        </w:rPr>
        <w:t xml:space="preserve">采购标的的技术要求、商务要求具体见附件。</w:t>
      </w:r>
      <w:r/>
    </w:p>
    <w:p>
      <w:pPr>
        <w:numPr>
          <w:ilvl w:val="255"/>
          <w:numId w:val="0"/>
        </w:numPr>
        <w:ind w:left="420" w:right="-420"/>
        <w:spacing w:line="440" w:lineRule="exact"/>
        <w:rPr>
          <w:rFonts w:hint="eastAsia" w:ascii="宋体" w:hAnsi="宋体" w:eastAsia="宋体" w:cs="宋体"/>
          <w:sz w:val="24"/>
          <w:szCs w:val="20"/>
        </w:rPr>
      </w:pPr>
      <w:r>
        <w:rPr>
          <w:rFonts w:hint="eastAsia" w:ascii="宋体" w:hAnsi="宋体" w:eastAsia="宋体" w:cs="宋体"/>
          <w:sz w:val="24"/>
          <w:szCs w:val="20"/>
        </w:rPr>
        <w:t xml:space="preserve">（</w:t>
      </w: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）政府采购组织形式：</w:t>
      </w:r>
      <w:r>
        <w:rPr>
          <w:rFonts w:ascii="Wingdings" w:hAnsi="Wingdings" w:eastAsia="Wingdings" w:cs="Wingdings"/>
          <w:sz w:val="24"/>
          <w:szCs w:val="24"/>
        </w:rPr>
        <w:t xml:space="preserve">¨</w:t>
      </w:r>
      <w:r>
        <w:rPr>
          <w:rFonts w:ascii="Times New Roman" w:hAnsi="Times New Roman"/>
          <w:sz w:val="24"/>
          <w:szCs w:val="24"/>
        </w:rPr>
        <w:t xml:space="preserve">政府集中采购  </w:t>
      </w:r>
      <w:r>
        <w:rPr>
          <w:rFonts w:ascii="Wingdings" w:hAnsi="Wingdings" w:eastAsia="Wingdings" w:cs="Wingdings"/>
          <w:sz w:val="24"/>
          <w:szCs w:val="24"/>
        </w:rPr>
        <w:t xml:space="preserve">¨</w:t>
      </w:r>
      <w:r>
        <w:rPr>
          <w:rFonts w:ascii="Times New Roman" w:hAnsi="Times New Roman"/>
          <w:sz w:val="24"/>
          <w:szCs w:val="24"/>
        </w:rPr>
        <w:t xml:space="preserve">部门集中采购  </w:t>
      </w:r>
      <w:r>
        <w:rPr>
          <w:rFonts w:ascii="Wingdings" w:hAnsi="Wingdings" w:eastAsia="Wingdings" w:cs="Wingdings"/>
          <w:sz w:val="24"/>
          <w:szCs w:val="24"/>
        </w:rPr>
        <w:t xml:space="preserve">þ</w:t>
      </w:r>
      <w:r>
        <w:rPr>
          <w:rFonts w:ascii="Times New Roman" w:hAnsi="Times New Roman"/>
          <w:sz w:val="24"/>
          <w:szCs w:val="24"/>
        </w:rPr>
        <w:t xml:space="preserve">分散采购</w:t>
      </w:r>
      <w:r/>
    </w:p>
    <w:p>
      <w:pPr>
        <w:ind w:firstLine="480"/>
        <w:spacing w:line="400" w:lineRule="exact"/>
        <w:rPr>
          <w:rFonts w:ascii="Times New Roman" w:hAnsi="Times New Roman"/>
          <w:sz w:val="24"/>
          <w:szCs w:val="24"/>
        </w:rPr>
      </w:pPr>
      <w:r>
        <w:rPr>
          <w:rFonts w:ascii="Times New Roman" w:hAnsi="Times New Roman"/>
          <w:sz w:val="24"/>
          <w:szCs w:val="24"/>
        </w:rPr>
        <w:t xml:space="preserve">（5）政府采购方式：</w:t>
      </w:r>
      <w:r>
        <w:rPr>
          <w:rFonts w:ascii="Wingdings" w:hAnsi="Wingdings" w:eastAsia="Wingdings" w:cs="Wingdings"/>
          <w:sz w:val="24"/>
          <w:szCs w:val="24"/>
        </w:rPr>
        <w:t xml:space="preserve">þ</w:t>
      </w:r>
      <w:r>
        <w:rPr>
          <w:rFonts w:ascii="Times New Roman" w:hAnsi="Times New Roman"/>
          <w:sz w:val="24"/>
          <w:szCs w:val="24"/>
        </w:rPr>
        <w:t xml:space="preserve">公开招标 </w:t>
      </w:r>
      <w:r>
        <w:rPr>
          <w:rFonts w:ascii="Wingdings" w:hAnsi="Wingdings" w:eastAsia="Wingdings" w:cs="Wingdings"/>
          <w:sz w:val="24"/>
          <w:szCs w:val="24"/>
        </w:rPr>
        <w:t xml:space="preserve">¨</w:t>
      </w:r>
      <w:r>
        <w:rPr>
          <w:rFonts w:ascii="Times New Roman" w:hAnsi="Times New Roman"/>
          <w:sz w:val="24"/>
          <w:szCs w:val="24"/>
        </w:rPr>
        <w:t xml:space="preserve">邀请招标 </w:t>
      </w:r>
      <w:r>
        <w:rPr>
          <w:rFonts w:ascii="Wingdings" w:hAnsi="Wingdings" w:eastAsia="Wingdings" w:cs="Wingdings"/>
          <w:sz w:val="24"/>
          <w:szCs w:val="24"/>
        </w:rPr>
        <w:t xml:space="preserve">¨</w:t>
      </w:r>
      <w:r>
        <w:rPr>
          <w:rFonts w:ascii="Times New Roman" w:hAnsi="Times New Roman"/>
          <w:sz w:val="24"/>
          <w:szCs w:val="24"/>
        </w:rPr>
        <w:t xml:space="preserve">竞争性谈判 </w:t>
      </w:r>
      <w:r>
        <w:rPr>
          <w:rFonts w:ascii="Wingdings" w:hAnsi="Wingdings" w:eastAsia="Wingdings" w:cs="Wingdings"/>
          <w:sz w:val="24"/>
          <w:szCs w:val="24"/>
        </w:rPr>
        <w:t xml:space="preserve">¨</w:t>
      </w:r>
      <w:r>
        <w:rPr>
          <w:rFonts w:ascii="Times New Roman" w:hAnsi="Times New Roman"/>
          <w:sz w:val="24"/>
          <w:szCs w:val="24"/>
        </w:rPr>
        <w:t xml:space="preserve">竞争性磋商</w:t>
      </w:r>
      <w:r/>
    </w:p>
    <w:p>
      <w:pPr>
        <w:ind w:right="-420" w:firstLine="480"/>
        <w:spacing w:line="440" w:lineRule="exact"/>
        <w:rPr>
          <w:rFonts w:ascii="Times New Roman" w:hAnsi="Times New Roman"/>
          <w:sz w:val="24"/>
          <w:szCs w:val="24"/>
        </w:rPr>
      </w:pPr>
      <w:r>
        <w:rPr>
          <w:rFonts w:ascii="Wingdings" w:hAnsi="Wingdings" w:eastAsia="Wingdings" w:cs="Wingdings"/>
          <w:sz w:val="24"/>
          <w:szCs w:val="24"/>
        </w:rPr>
        <w:t xml:space="preserve">¨</w:t>
      </w:r>
      <w:r>
        <w:rPr>
          <w:rFonts w:ascii="Times New Roman" w:hAnsi="Times New Roman"/>
          <w:sz w:val="24"/>
          <w:szCs w:val="24"/>
        </w:rPr>
        <w:t xml:space="preserve">询价 </w:t>
      </w:r>
      <w:r>
        <w:rPr>
          <w:rFonts w:ascii="Wingdings" w:hAnsi="Wingdings" w:eastAsia="Wingdings" w:cs="Wingdings"/>
          <w:sz w:val="24"/>
          <w:szCs w:val="24"/>
        </w:rPr>
        <w:t xml:space="preserve">¨</w:t>
      </w:r>
      <w:r>
        <w:rPr>
          <w:rFonts w:ascii="Times New Roman" w:hAnsi="Times New Roman"/>
          <w:sz w:val="24"/>
          <w:szCs w:val="24"/>
        </w:rPr>
        <w:t xml:space="preserve">单一来源</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框架协议</w:t>
      </w:r>
      <w:r>
        <w:rPr>
          <w:rFonts w:hint="eastAsia" w:ascii="Times New Roman" w:hAnsi="Times New Roman"/>
          <w:sz w:val="24"/>
          <w:szCs w:val="24"/>
        </w:rPr>
        <w:t xml:space="preserve"> </w:t>
      </w:r>
      <w:r>
        <w:rPr>
          <w:rFonts w:ascii="Wingdings" w:hAnsi="Wingdings" w:eastAsia="Wingdings" w:cs="Wingdings"/>
          <w:sz w:val="24"/>
          <w:szCs w:val="24"/>
        </w:rPr>
        <w:t xml:space="preserve">¨</w:t>
      </w:r>
      <w:r>
        <w:rPr>
          <w:rFonts w:ascii="Times New Roman" w:hAnsi="Times New Roman"/>
          <w:sz w:val="24"/>
          <w:szCs w:val="24"/>
        </w:rPr>
        <w:t xml:space="preserve">其他： </w:t>
      </w:r>
      <w:r/>
    </w:p>
    <w:p>
      <w:pPr>
        <w:ind w:firstLine="480"/>
        <w:spacing w:line="400" w:lineRule="exact"/>
        <w:rPr>
          <w:rFonts w:ascii="Times New Roman" w:hAnsi="Times New Roman"/>
          <w:sz w:val="24"/>
          <w:szCs w:val="24"/>
        </w:rPr>
      </w:pPr>
      <w:r>
        <w:rPr>
          <w:rFonts w:hint="eastAsia" w:ascii="宋体" w:hAnsi="宋体" w:eastAsia="宋体" w:cs="宋体"/>
          <w:sz w:val="24"/>
          <w:szCs w:val="20"/>
        </w:rPr>
        <w:t xml:space="preserve">（</w:t>
      </w:r>
      <w:r>
        <w:rPr>
          <w:rFonts w:hint="eastAsia" w:ascii="宋体" w:hAnsi="宋体" w:eastAsia="宋体" w:cs="宋体"/>
          <w:sz w:val="24"/>
          <w:szCs w:val="20"/>
          <w:lang w:val="en-US" w:eastAsia="zh-CN"/>
        </w:rPr>
        <w:t xml:space="preserve">6</w:t>
      </w:r>
      <w:r>
        <w:rPr>
          <w:rFonts w:hint="eastAsia" w:ascii="宋体" w:hAnsi="宋体" w:eastAsia="宋体" w:cs="宋体"/>
          <w:sz w:val="24"/>
          <w:szCs w:val="20"/>
        </w:rPr>
        <w:t xml:space="preserve">）合同是否分包：</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þ</w:t>
      </w:r>
      <w:r>
        <w:rPr>
          <w:rFonts w:ascii="Times New Roman" w:hAnsi="Times New Roman"/>
          <w:sz w:val="24"/>
          <w:szCs w:val="24"/>
        </w:rPr>
        <w:t xml:space="preserve">否</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w:t>
      </w:r>
      <w:r>
        <w:rPr>
          <w:rFonts w:hint="eastAsia" w:ascii="宋体" w:hAnsi="宋体" w:eastAsia="宋体" w:cs="宋体"/>
          <w:sz w:val="24"/>
          <w:szCs w:val="20"/>
          <w:lang w:val="en-US" w:eastAsia="zh-CN"/>
        </w:rPr>
        <w:t xml:space="preserve">7</w:t>
      </w:r>
      <w:r>
        <w:rPr>
          <w:rFonts w:hint="eastAsia" w:ascii="宋体" w:hAnsi="宋体" w:eastAsia="宋体" w:cs="宋体"/>
          <w:sz w:val="24"/>
          <w:szCs w:val="20"/>
        </w:rPr>
        <w:t xml:space="preserve">）涉及商品包装和快递包装的，是否参考《商品包装政府采购需求标准（试行）》、《快递包装政府采购需求标准（试行）》明确产品及相关快递服务的具体包装要求：</w:t>
      </w:r>
      <w:r/>
    </w:p>
    <w:p>
      <w:pPr>
        <w:ind w:right="-420" w:firstLine="480"/>
        <w:spacing w:line="440" w:lineRule="exact"/>
        <w:rPr>
          <w:rFonts w:ascii="Times New Roman" w:hAnsi="Times New Roman"/>
          <w:sz w:val="24"/>
          <w:szCs w:val="24"/>
        </w:rPr>
      </w:pPr>
      <w:r>
        <w:rPr>
          <w:rFonts w:ascii="Wingdings" w:hAnsi="Wingdings" w:eastAsia="Wingdings" w:cs="Wingdings"/>
          <w:sz w:val="24"/>
          <w:szCs w:val="24"/>
        </w:rPr>
        <w:t xml:space="preserve">þ</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      </w:t>
      </w:r>
      <w:r>
        <w:rPr>
          <w:rFonts w:ascii="Wingdings" w:hAnsi="Wingdings" w:eastAsia="Wingdings" w:cs="Wingdings"/>
          <w:sz w:val="24"/>
          <w:szCs w:val="24"/>
        </w:rPr>
        <w:t xml:space="preserve">¨</w:t>
      </w:r>
      <w:r>
        <w:rPr>
          <w:rFonts w:ascii="Times New Roman" w:hAnsi="Times New Roman"/>
          <w:sz w:val="24"/>
          <w:szCs w:val="24"/>
        </w:rPr>
        <w:t xml:space="preserve">不涉及</w:t>
      </w:r>
      <w:r/>
    </w:p>
    <w:p>
      <w:pPr>
        <w:ind w:left="-420" w:right="-420" w:firstLine="1084"/>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2.合同金额</w:t>
      </w:r>
      <w:r/>
    </w:p>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（1）合同金额小写：</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大写：</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w:t>
      </w:r>
      <w:r>
        <w:rPr>
          <w:rFonts w:hint="eastAsia" w:ascii="宋体" w:hAnsi="宋体" w:eastAsia="宋体" w:cs="宋体"/>
          <w:sz w:val="24"/>
          <w:szCs w:val="20"/>
          <w:lang w:val="en-US" w:eastAsia="zh-CN"/>
        </w:rPr>
        <w:t xml:space="preserve">2</w:t>
      </w:r>
      <w:r>
        <w:rPr>
          <w:rFonts w:hint="eastAsia" w:ascii="宋体" w:hAnsi="宋体" w:eastAsia="宋体" w:cs="宋体"/>
          <w:sz w:val="24"/>
          <w:szCs w:val="20"/>
        </w:rPr>
        <w:t xml:space="preserve">）付款方式（按项目实际勾选填写）：</w:t>
      </w:r>
      <w:r/>
    </w:p>
    <w:p>
      <w:pPr>
        <w:ind w:left="-420" w:right="-420" w:firstLine="2160"/>
        <w:jc w:val="left"/>
        <w:spacing w:line="440" w:lineRule="exact"/>
        <w:widowControl/>
        <w:rPr>
          <w:rFonts w:hint="eastAsia" w:ascii="宋体" w:hAnsi="宋体" w:eastAsia="宋体" w:cs="宋体"/>
          <w:sz w:val="24"/>
          <w:szCs w:val="20"/>
        </w:rPr>
      </w:pPr>
      <w:r>
        <w:rPr>
          <w:rFonts w:hint="eastAsia" w:ascii="宋体" w:hAnsi="宋体" w:eastAsia="宋体" w:cs="宋体"/>
          <w:sz w:val="24"/>
          <w:szCs w:val="20"/>
          <w:u w:val="none"/>
          <w:lang w:val="en-US" w:eastAsia="zh-CN"/>
        </w:rPr>
        <w:t xml:space="preserve">见采购需求部分</w:t>
      </w:r>
      <w:r>
        <w:rPr>
          <w:rFonts w:hint="eastAsia" w:ascii="宋体" w:hAnsi="宋体" w:eastAsia="宋体" w:cs="宋体"/>
          <w:sz w:val="24"/>
          <w:szCs w:val="20"/>
        </w:rPr>
        <w:t xml:space="preserve">。</w:t>
      </w:r>
      <w:r/>
    </w:p>
    <w:p>
      <w:pPr>
        <w:ind w:left="-420" w:right="-420" w:firstLine="964"/>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3.合同履行</w:t>
      </w:r>
      <w:r/>
    </w:p>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（1）</w:t>
      </w:r>
      <w:r>
        <w:rPr>
          <w:rFonts w:hint="eastAsia" w:ascii="宋体" w:hAnsi="宋体" w:eastAsia="宋体" w:cs="宋体"/>
          <w:sz w:val="24"/>
          <w:szCs w:val="20"/>
          <w:lang w:val="en-US" w:eastAsia="zh-CN"/>
        </w:rPr>
        <w:t xml:space="preserve">合同履行期限</w:t>
      </w:r>
      <w:r>
        <w:rPr>
          <w:rFonts w:hint="eastAsia" w:ascii="宋体" w:hAnsi="宋体" w:eastAsia="宋体" w:cs="宋体"/>
          <w:sz w:val="24"/>
          <w:szCs w:val="20"/>
        </w:rPr>
        <w:t xml:space="preserve">：</w:t>
      </w:r>
      <w:r>
        <w:rPr>
          <w:rFonts w:hint="eastAsia" w:ascii="宋体" w:hAnsi="宋体" w:eastAsia="宋体" w:cs="宋体"/>
          <w:sz w:val="34"/>
          <w:szCs w:val="21"/>
          <w:u w:val="single"/>
          <w:lang w:val="en-US" w:eastAsia="zh-CN"/>
        </w:rPr>
        <w:t xml:space="preserve">           </w:t>
      </w:r>
      <w:r>
        <w:rPr>
          <w:rFonts w:hint="eastAsia" w:ascii="宋体" w:hAnsi="宋体" w:eastAsia="宋体" w:cs="宋体"/>
          <w:sz w:val="34"/>
          <w:szCs w:val="21"/>
          <w:u w:val="none"/>
          <w:lang w:val="en-US" w:eastAsia="zh-CN"/>
        </w:rPr>
        <w:t xml:space="preserve">  </w:t>
      </w:r>
      <w:r>
        <w:rPr>
          <w:rFonts w:hint="eastAsia" w:ascii="宋体" w:hAnsi="宋体" w:eastAsia="宋体" w:cs="宋体"/>
          <w:sz w:val="24"/>
          <w:szCs w:val="20"/>
        </w:rPr>
        <w:t xml:space="preserve">。</w:t>
      </w:r>
      <w:r/>
    </w:p>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（2）履约地点：</w:t>
      </w:r>
      <w:r>
        <w:rPr>
          <w:rFonts w:hint="eastAsia" w:ascii="宋体" w:hAnsi="宋体" w:eastAsia="宋体" w:cs="宋体"/>
          <w:sz w:val="34"/>
          <w:szCs w:val="21"/>
          <w:u w:val="single"/>
        </w:rPr>
        <w:t xml:space="preserve">                      </w:t>
      </w:r>
      <w:r>
        <w:rPr>
          <w:rFonts w:hint="eastAsia" w:ascii="宋体" w:hAnsi="宋体" w:eastAsia="宋体" w:cs="宋体"/>
          <w:sz w:val="24"/>
          <w:szCs w:val="20"/>
        </w:rPr>
        <w:t xml:space="preserve">      </w:t>
      </w:r>
      <w:r/>
    </w:p>
    <w:p>
      <w:pPr>
        <w:ind w:firstLine="480"/>
        <w:spacing w:line="400" w:lineRule="exact"/>
        <w:rPr>
          <w:rFonts w:ascii="Times New Roman" w:hAnsi="Times New Roman"/>
          <w:sz w:val="24"/>
          <w:szCs w:val="24"/>
        </w:rPr>
      </w:pPr>
      <w:r>
        <w:rPr>
          <w:rFonts w:hint="eastAsia" w:ascii="宋体" w:hAnsi="宋体" w:eastAsia="宋体" w:cs="宋体"/>
          <w:sz w:val="24"/>
          <w:szCs w:val="20"/>
        </w:rPr>
        <w:t xml:space="preserve">（3）履约担保：是否收取履约保证金：</w:t>
      </w:r>
      <w:r>
        <w:rPr>
          <w:rFonts w:ascii="Wingdings" w:hAnsi="Wingdings" w:eastAsia="Wingdings" w:cs="Wingdings"/>
          <w:sz w:val="24"/>
          <w:szCs w:val="24"/>
        </w:rPr>
        <w:t xml:space="preserve">þ</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  </w:t>
      </w:r>
      <w:r/>
    </w:p>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r>
      <w:r/>
    </w:p>
    <w:p>
      <w:pPr>
        <w:ind w:firstLine="480"/>
        <w:spacing w:line="400" w:lineRule="exact"/>
        <w:rPr>
          <w:rFonts w:ascii="Times New Roman" w:hAnsi="Times New Roman"/>
          <w:sz w:val="24"/>
          <w:szCs w:val="24"/>
        </w:rPr>
      </w:pPr>
      <w:r>
        <w:rPr>
          <w:rFonts w:ascii="Times New Roman" w:hAnsi="Times New Roman"/>
          <w:bCs/>
          <w:sz w:val="24"/>
          <w:szCs w:val="24"/>
        </w:rPr>
        <w:t xml:space="preserve">履约保证金提交金额：按采购合同总价的</w:t>
      </w:r>
      <w:r>
        <w:rPr>
          <w:rFonts w:hint="eastAsia" w:ascii="Times New Roman" w:hAnsi="Times New Roman"/>
          <w:bCs/>
          <w:sz w:val="24"/>
          <w:szCs w:val="24"/>
          <w:u w:val="single"/>
          <w:lang w:val="en-US" w:eastAsia="zh-CN"/>
        </w:rPr>
        <w:t xml:space="preserve">10</w:t>
      </w:r>
      <w:r>
        <w:rPr>
          <w:rFonts w:ascii="Times New Roman" w:hAnsi="Times New Roman"/>
          <w:bCs/>
          <w:sz w:val="24"/>
          <w:szCs w:val="24"/>
          <w:u w:val="single"/>
        </w:rPr>
        <w:t xml:space="preserve"> </w:t>
      </w:r>
      <w:r>
        <w:rPr>
          <w:rFonts w:ascii="Times New Roman" w:hAnsi="Times New Roman"/>
          <w:bCs/>
          <w:sz w:val="24"/>
          <w:szCs w:val="24"/>
        </w:rPr>
        <w:t xml:space="preserve">%提交。</w:t>
      </w:r>
      <w:r/>
    </w:p>
    <w:p>
      <w:pPr>
        <w:ind w:firstLine="480"/>
        <w:spacing w:line="400" w:lineRule="exact"/>
        <w:rPr>
          <w:rFonts w:ascii="Times New Roman" w:hAnsi="Times New Roman"/>
          <w:sz w:val="24"/>
          <w:szCs w:val="24"/>
        </w:rPr>
      </w:pPr>
      <w:r>
        <w:rPr>
          <w:rFonts w:ascii="Times New Roman" w:hAnsi="Times New Roman"/>
          <w:bCs/>
          <w:sz w:val="24"/>
          <w:szCs w:val="24"/>
        </w:rPr>
        <w:t xml:space="preserve">履约保证金提交形式：履约保证金应在采购合同签订前提交，除银行电汇、网上银行、数字人民币外，</w:t>
      </w:r>
      <w:r>
        <w:rPr>
          <w:rFonts w:hint="eastAsia" w:ascii="Times New Roman" w:hAnsi="Times New Roman"/>
          <w:bCs/>
          <w:sz w:val="24"/>
          <w:szCs w:val="24"/>
        </w:rPr>
        <w:t xml:space="preserve">乙方</w:t>
      </w:r>
      <w:r>
        <w:rPr>
          <w:rFonts w:ascii="Times New Roman" w:hAnsi="Times New Roman"/>
          <w:bCs/>
          <w:sz w:val="24"/>
          <w:szCs w:val="24"/>
        </w:rPr>
        <w:t xml:space="preserve">还可选用银行保函、担保公司的保证担保或保险公司的保证保险等多种形式向采购人缴纳。</w:t>
      </w:r>
      <w:r/>
    </w:p>
    <w:p>
      <w:pPr>
        <w:ind w:firstLine="480"/>
        <w:spacing w:line="400" w:lineRule="exact"/>
        <w:rPr>
          <w:rFonts w:ascii="Times New Roman" w:hAnsi="Times New Roman"/>
          <w:sz w:val="24"/>
          <w:szCs w:val="24"/>
        </w:rPr>
      </w:pPr>
      <w:r>
        <w:rPr>
          <w:rFonts w:ascii="Times New Roman" w:hAnsi="Times New Roman"/>
          <w:bCs/>
          <w:sz w:val="24"/>
          <w:szCs w:val="24"/>
        </w:rPr>
        <w:t xml:space="preserve">支持和鼓励</w:t>
      </w:r>
      <w:r>
        <w:rPr>
          <w:rFonts w:hint="eastAsia" w:ascii="Times New Roman" w:hAnsi="Times New Roman"/>
          <w:bCs/>
          <w:sz w:val="24"/>
          <w:szCs w:val="24"/>
        </w:rPr>
        <w:t xml:space="preserve">乙方</w:t>
      </w:r>
      <w:r>
        <w:rPr>
          <w:rFonts w:ascii="Times New Roman" w:hAnsi="Times New Roman"/>
          <w:bCs/>
          <w:sz w:val="24"/>
          <w:szCs w:val="24"/>
        </w:rPr>
        <w:t xml:space="preserve">使用江苏政府采购电子履约保函（保险）代替缴纳履约保证金，</w:t>
      </w:r>
      <w:r>
        <w:rPr>
          <w:rFonts w:hint="eastAsia" w:ascii="Times New Roman" w:hAnsi="Times New Roman"/>
          <w:bCs/>
          <w:sz w:val="24"/>
          <w:szCs w:val="24"/>
        </w:rPr>
        <w:t xml:space="preserve">乙方</w:t>
      </w:r>
      <w:r>
        <w:rPr>
          <w:rFonts w:ascii="Times New Roman" w:hAnsi="Times New Roman"/>
          <w:bCs/>
          <w:sz w:val="24"/>
          <w:szCs w:val="24"/>
        </w:rPr>
        <w:t xml:space="preserve">如使用江苏政府采购电子履约保函（保险）的，可按采购合同总价的</w:t>
      </w:r>
      <w:r>
        <w:rPr>
          <w:rFonts w:hint="eastAsia" w:ascii="Times New Roman" w:hAnsi="Times New Roman"/>
          <w:bCs/>
          <w:sz w:val="24"/>
          <w:szCs w:val="24"/>
          <w:u w:val="single"/>
          <w:lang w:val="en-US" w:eastAsia="zh-CN"/>
        </w:rPr>
        <w:t xml:space="preserve">7</w:t>
      </w:r>
      <w:r>
        <w:rPr>
          <w:rFonts w:ascii="Times New Roman" w:hAnsi="Times New Roman"/>
          <w:bCs/>
          <w:sz w:val="24"/>
          <w:szCs w:val="24"/>
          <w:u w:val="single"/>
        </w:rPr>
        <w:t xml:space="preserve"> </w:t>
      </w:r>
      <w:r>
        <w:rPr>
          <w:rFonts w:ascii="Times New Roman" w:hAnsi="Times New Roman"/>
          <w:bCs/>
          <w:sz w:val="24"/>
          <w:szCs w:val="24"/>
        </w:rPr>
        <w:t xml:space="preserve">%提交。</w:t>
      </w:r>
      <w:bookmarkStart w:id="164" w:name="_Hlk187853678"/>
      <w:r>
        <w:rPr>
          <w:rFonts w:ascii="Times New Roman" w:hAnsi="Times New Roman"/>
          <w:bCs/>
          <w:sz w:val="24"/>
          <w:szCs w:val="24"/>
        </w:rPr>
        <w:t xml:space="preserve">办理流程、偿付等内容详见江苏政府采购网</w:t>
      </w:r>
      <w:r>
        <w:rPr>
          <w:rFonts w:hint="eastAsia" w:ascii="Times New Roman" w:hAnsi="Times New Roman"/>
          <w:bCs/>
          <w:sz w:val="24"/>
          <w:szCs w:val="24"/>
        </w:rPr>
        <w:t xml:space="preserve">“</w:t>
      </w:r>
      <w:r>
        <w:rPr>
          <w:rFonts w:ascii="Times New Roman" w:hAnsi="Times New Roman"/>
          <w:bCs/>
          <w:sz w:val="24"/>
          <w:szCs w:val="24"/>
        </w:rPr>
        <w:t xml:space="preserve">保险保函</w:t>
      </w:r>
      <w:r>
        <w:rPr>
          <w:rFonts w:hint="eastAsia" w:ascii="Times New Roman" w:hAnsi="Times New Roman"/>
          <w:bCs/>
          <w:sz w:val="24"/>
          <w:szCs w:val="24"/>
        </w:rPr>
        <w:t xml:space="preserve">”</w:t>
      </w:r>
      <w:r>
        <w:rPr>
          <w:rFonts w:ascii="Times New Roman" w:hAnsi="Times New Roman"/>
          <w:bCs/>
          <w:sz w:val="24"/>
          <w:szCs w:val="24"/>
        </w:rPr>
        <w:t xml:space="preserve">模块。</w:t>
      </w:r>
      <w:bookmarkEnd w:id="164"/>
      <w:r/>
      <w:r/>
    </w:p>
    <w:p>
      <w:pPr>
        <w:ind w:firstLine="480"/>
        <w:spacing w:line="400" w:lineRule="exact"/>
        <w:rPr>
          <w:rFonts w:ascii="Times New Roman" w:hAnsi="Times New Roman"/>
          <w:sz w:val="24"/>
          <w:szCs w:val="24"/>
        </w:rPr>
      </w:pPr>
      <w:r>
        <w:rPr>
          <w:rFonts w:ascii="Times New Roman" w:hAnsi="Times New Roman"/>
          <w:bCs/>
          <w:sz w:val="24"/>
          <w:szCs w:val="24"/>
        </w:rPr>
        <w:t xml:space="preserve">履约保证金退还方式：以银行电汇、网上银行、数字人民币形式缴纳履约保证金的，退回至</w:t>
      </w:r>
      <w:r>
        <w:rPr>
          <w:rFonts w:hint="eastAsia" w:ascii="Times New Roman" w:hAnsi="Times New Roman"/>
          <w:bCs/>
          <w:sz w:val="24"/>
          <w:szCs w:val="24"/>
        </w:rPr>
        <w:t xml:space="preserve">乙方</w:t>
      </w:r>
      <w:r>
        <w:rPr>
          <w:rFonts w:ascii="Times New Roman" w:hAnsi="Times New Roman"/>
          <w:bCs/>
          <w:sz w:val="24"/>
          <w:szCs w:val="24"/>
        </w:rPr>
        <w:t xml:space="preserve">存款账户或数字人民币账户；以保函、担保、保险等形式缴纳履约保证金的，在保函、担保、保险约定的保证期限届满之日起自行失效。</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履约保证金退还条件：具有验收合格相关证明材料。</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履约保证金退还时间：</w:t>
      </w:r>
      <w:r>
        <w:rPr>
          <w:rFonts w:hint="eastAsia" w:ascii="Times New Roman" w:hAnsi="Times New Roman"/>
          <w:bCs/>
          <w:sz w:val="24"/>
          <w:szCs w:val="24"/>
        </w:rPr>
        <w:t xml:space="preserve">甲方</w:t>
      </w:r>
      <w:r>
        <w:rPr>
          <w:rFonts w:ascii="Times New Roman" w:hAnsi="Times New Roman"/>
          <w:bCs/>
          <w:sz w:val="24"/>
          <w:szCs w:val="24"/>
        </w:rPr>
        <w:t xml:space="preserve">收到</w:t>
      </w:r>
      <w:r>
        <w:rPr>
          <w:rFonts w:hint="eastAsia" w:ascii="Times New Roman" w:hAnsi="Times New Roman"/>
          <w:bCs/>
          <w:sz w:val="24"/>
          <w:szCs w:val="24"/>
        </w:rPr>
        <w:t xml:space="preserve">乙方</w:t>
      </w:r>
      <w:r>
        <w:rPr>
          <w:rFonts w:ascii="Times New Roman" w:hAnsi="Times New Roman"/>
          <w:bCs/>
          <w:sz w:val="24"/>
          <w:szCs w:val="24"/>
        </w:rPr>
        <w:t xml:space="preserve">退付申请后5个工作日内退还。</w:t>
      </w:r>
      <w:r/>
    </w:p>
    <w:p>
      <w:pPr>
        <w:ind w:firstLine="480"/>
        <w:spacing w:line="400" w:lineRule="exact"/>
        <w:rPr>
          <w:rFonts w:ascii="Times New Roman" w:hAnsi="Times New Roman"/>
          <w:bCs/>
          <w:sz w:val="24"/>
          <w:szCs w:val="24"/>
        </w:rPr>
      </w:pPr>
      <w:r>
        <w:rPr>
          <w:rFonts w:ascii="Times New Roman" w:hAnsi="Times New Roman"/>
          <w:bCs/>
          <w:sz w:val="24"/>
          <w:szCs w:val="24"/>
        </w:rPr>
        <w:t xml:space="preserve">履约保证金不予退还情形：除不可抗力外，</w:t>
      </w:r>
      <w:r>
        <w:rPr>
          <w:rFonts w:hint="eastAsia" w:ascii="Times New Roman" w:hAnsi="Times New Roman"/>
          <w:bCs/>
          <w:sz w:val="24"/>
          <w:szCs w:val="24"/>
        </w:rPr>
        <w:t xml:space="preserve">乙方</w:t>
      </w:r>
      <w:r>
        <w:rPr>
          <w:rFonts w:ascii="Times New Roman" w:hAnsi="Times New Roman"/>
          <w:bCs/>
          <w:sz w:val="24"/>
          <w:szCs w:val="24"/>
        </w:rPr>
        <w:t xml:space="preserve">不履行与采购人订立的采购合同的，履约保证金不予退还，给采购人造成的损失超过履约保证金数额的，还应对超过部分予以赔偿。</w:t>
      </w:r>
      <w:r/>
    </w:p>
    <w:p>
      <w:pPr>
        <w:ind w:firstLine="480"/>
        <w:spacing w:line="400" w:lineRule="exact"/>
        <w:rPr>
          <w:rFonts w:hint="eastAsia" w:ascii="宋体" w:hAnsi="宋体" w:eastAsia="宋体" w:cs="宋体"/>
          <w:sz w:val="24"/>
          <w:szCs w:val="20"/>
        </w:rPr>
      </w:pPr>
      <w:r>
        <w:rPr>
          <w:rFonts w:ascii="Times New Roman" w:hAnsi="Times New Roman"/>
          <w:bCs/>
          <w:sz w:val="24"/>
          <w:szCs w:val="24"/>
        </w:rPr>
        <w:t xml:space="preserve">逾期退还履约保证金违约责任：采购人逾期退还履约保证金的，除应退还履约保证金外，还应按中国人民银行同期贷款基准利率上浮20％后的利率支付超期资金占用费，但因</w:t>
      </w:r>
      <w:r>
        <w:rPr>
          <w:rFonts w:hint="eastAsia" w:ascii="Times New Roman" w:hAnsi="Times New Roman"/>
          <w:bCs/>
          <w:sz w:val="24"/>
          <w:szCs w:val="24"/>
        </w:rPr>
        <w:t xml:space="preserve">投标人</w:t>
      </w:r>
      <w:r>
        <w:rPr>
          <w:rFonts w:ascii="Times New Roman" w:hAnsi="Times New Roman"/>
          <w:bCs/>
          <w:sz w:val="24"/>
          <w:szCs w:val="24"/>
        </w:rPr>
        <w:t xml:space="preserve">自身原因导致无法及时退还的除外。</w:t>
      </w:r>
      <w:r>
        <w:rPr>
          <w:rFonts w:hint="eastAsia" w:ascii="宋体" w:hAnsi="宋体" w:eastAsia="宋体" w:cs="宋体"/>
          <w:sz w:val="24"/>
          <w:szCs w:val="20"/>
        </w:rPr>
        <w:t xml:space="preserve">        </w:t>
      </w:r>
      <w:r/>
    </w:p>
    <w:p>
      <w:pPr>
        <w:ind w:left="-420" w:right="-420" w:firstLine="964"/>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4.合同验收</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.1甲方依法组织履约验收工作。</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.3对于实际使用人和甲方分离的项目，甲方邀请实际使用人参与验收。</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.4如有必要，甲方可邀请参加本项目投标的其他供应商或第三方专业机构及专家参与验收，相关意见将作为验收结论的参考。</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420" w:right="-420" w:firstLine="843"/>
        <w:spacing w:line="440" w:lineRule="exact"/>
        <w:rPr>
          <w:rFonts w:hint="eastAsia" w:ascii="宋体" w:hAnsi="宋体" w:eastAsia="宋体" w:cs="宋体"/>
          <w:b/>
          <w:bCs/>
          <w:sz w:val="24"/>
          <w:szCs w:val="20"/>
          <w:lang w:val="en-US"/>
        </w:rPr>
      </w:pPr>
      <w:r>
        <w:rPr>
          <w:rFonts w:hint="eastAsia" w:ascii="宋体" w:hAnsi="宋体" w:eastAsia="宋体" w:cs="宋体"/>
          <w:b/>
          <w:bCs/>
          <w:sz w:val="24"/>
          <w:szCs w:val="20"/>
          <w:lang w:val="en-US" w:eastAsia="zh-CN"/>
        </w:rPr>
        <w:t xml:space="preserve">5.</w:t>
      </w:r>
      <w:r>
        <w:rPr>
          <w:rFonts w:hint="eastAsia" w:ascii="宋体" w:hAnsi="宋体" w:eastAsia="宋体" w:cs="宋体"/>
          <w:b/>
          <w:bCs/>
          <w:sz w:val="24"/>
          <w:szCs w:val="20"/>
          <w:lang w:val="en-US"/>
        </w:rPr>
        <w:t xml:space="preserve">技术资料</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3.1乙方应按招标文件规定的时间向甲方提供使用货物(包含与货物相关的服务)的有关技术资料。</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3年为止，以两者孰长为准。</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6.质量保修范围和保修期及售后服务</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6.1乙方应按招标文件规定的货物性能、技术要求、质量标准向甲方提供未经使用的全新产品。</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6.2乙方提供的货物在售后服务期内因货物本身的质量问题发生故障，乙方应负责免费更换。对达不到技术要求者，根据实际情况，经双方协商可按以下方式处理：</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6.2.1 更换：由乙方承担所发生的全部费用。</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6.2.2 贬值处理：由甲乙双方合议定价。</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6.2.3退货处理：乙方应退还甲方支付的合同款，同时应承担该货物的直接费用（运输、保险、检验、货款利息及银行手续费等）。</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6.3如在使用过程中发生质量问题，乙方应在接到甲方通知后3小时内到达甲方现场。</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6.4售后服务期内，乙方应对货物出现的质量及安全问题负责处理解决并承担一切费用。</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6.5 售后服务期为自交货验收合格之日起</w:t>
      </w:r>
      <w:r>
        <w:rPr>
          <w:rFonts w:hint="eastAsia" w:ascii="宋体" w:hAnsi="宋体" w:eastAsia="宋体" w:cs="宋体"/>
          <w:sz w:val="24"/>
          <w:szCs w:val="20"/>
          <w:u w:val="single"/>
          <w:lang w:val="en-US" w:eastAsia="zh-CN"/>
        </w:rPr>
        <w:t xml:space="preserve">  </w:t>
      </w:r>
      <w:r>
        <w:rPr>
          <w:rFonts w:hint="eastAsia" w:ascii="宋体" w:hAnsi="宋体" w:eastAsia="宋体" w:cs="宋体"/>
          <w:sz w:val="24"/>
          <w:szCs w:val="20"/>
          <w:lang w:val="en-US" w:eastAsia="zh-CN"/>
        </w:rPr>
        <w:t xml:space="preserve">年，因人为因素出现的故障不在质保范围内。超过质保期的乙方负责终生维修，维修时只收取部件成本费。</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7.商品包装环保要求</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7.1商品包装层数不得超过 3 层，空隙率不大于 40%；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7.2商品包装尽可能使用单一材质的包装材料，如因功能需求必需使用不同材质，不同材质间应便于分离；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7.3商品包装中铅、汞、镉、六价铬的总含量应不大于100mg/kg；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7.4商品包装印刷使用的油墨中挥发性有机化合物(VOCs) 含量应不大于 5%（以重量计）；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7.5塑料材质商品包装上呈现的印刷颜色不得超过6色；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7.6纸质商品包装应使用75%以上的可再生纤维原料生产；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7.7木质商品包装的原料应来源于可持续性森林。 </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8.快递包装环保要求</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8.1快递包装中重金属（铅、汞、镉、六价铬）总量应不大于100mg/kg；</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8.2快递包装印刷使用的油墨中不应添加邻苯二甲酸酯，其挥发性有机化合物(VOCs)含量应不大于5%（以重量计）；</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8.3快递包装中使用纸基材的包装材料，纸基材中的有机氯的含量应不大于150 mg/kg；</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8.4快递包装中使用塑料基材的包装材料不得使用邻苯二甲酸二异壬酯、邻苯二甲酸二正辛酯、邻苯二甲酸二(2-乙基)己酯、邻苯二甲酸二异癸酯、邻苯二甲酸丁基苄基酯、邻苯二甲酸二丁酯等作为增塑剂；</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8.5快递中使用的塑料包装袋不得使用聚氯乙烯作为原料，且原料应为单一材质制成，生物分解率大于60%；</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8.6快递中使用的充气类填充物不得使用聚氯乙烯作为原料，且原料为单一材质制成，生物分解率大于60%；</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8.7快递中使用的集装袋应为单一材质制成，其重复使用次数应不小于80次；</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8.8快递中应使用幅宽不大于45mm 的生物降解胶带；</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8.9快递包装中不得使用溶剂型胶粘剂；</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8.10快递应使用电子面单；</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8.11直接使用商品包装作为快递包装的商品，其商品包装满足《商品包装政府采购需求标准（试行）》即可；</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8.12快递包装产品质量和封装方式应符合相关国家或行业标准技术指标要求。</w:t>
      </w:r>
      <w:r/>
    </w:p>
    <w:p>
      <w:pPr>
        <w:ind w:right="-420" w:firstLine="482"/>
        <w:spacing w:line="440" w:lineRule="exact"/>
        <w:rPr>
          <w:rFonts w:hint="eastAsia" w:ascii="宋体" w:hAnsi="宋体" w:eastAsia="宋体" w:cs="宋体"/>
          <w:b/>
          <w:bCs/>
          <w:sz w:val="24"/>
          <w:szCs w:val="20"/>
          <w:lang w:val="en-US" w:eastAsia="zh-CN"/>
        </w:rPr>
      </w:pPr>
      <w:r>
        <w:rPr>
          <w:rFonts w:hint="eastAsia" w:ascii="宋体" w:hAnsi="宋体" w:eastAsia="宋体" w:cs="宋体"/>
          <w:b/>
          <w:bCs/>
          <w:sz w:val="24"/>
          <w:szCs w:val="20"/>
          <w:lang w:val="en-US" w:eastAsia="zh-CN"/>
        </w:rPr>
        <w:t xml:space="preserve">9.违约责任</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9.1 除不可抗力外，如果乙方没有按照本合同约定的期限、地点和方式交付服务成果或者实施服务，那么甲方可要求乙方支付违约金，迟延履行违约金按每迟延履行一日的合同总金额的千分之三计算，逾期15日以上的，甲方有权终止合同，由此造成的甲方经济损失由乙方承担；</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9.2货物中涉及的服务，除不可抗力外，如果乙方没有按照本合同约定的期限、交付服务，那么甲方可要求乙方支付违约金，违约金按每迟延一日的合同总金额的千分之三计算，逾期15日以上的，甲方有权终止合同，由此造成的甲方经济损失由乙方承担；</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9.3除不可抗力外，如果甲方没有按照本合同约定的付款方式付款，那么乙方可要求甲方支付违约金，违约金按每迟延付款一日的应付而未付款的0.03%计算，最高限额为本合同总价的3%；迟延付款的违约金计算数额达到前述最高限额之日起，乙方有权在要求甲方支付违约金的同时，书面通知甲方解除本合同；</w:t>
      </w:r>
      <w:r/>
    </w:p>
    <w:p>
      <w:pPr>
        <w:ind w:right="-420" w:firstLine="480"/>
        <w:spacing w:line="440" w:lineRule="exact"/>
        <w:rPr>
          <w:rFonts w:hint="eastAsia" w:ascii="宋体" w:hAnsi="宋体" w:eastAsia="宋体" w:cs="宋体"/>
          <w:sz w:val="24"/>
          <w:szCs w:val="20"/>
          <w:lang w:val="en-US" w:eastAsia="zh-CN"/>
        </w:rPr>
      </w:pPr>
      <w:r/>
      <w:bookmarkStart w:id="165" w:name="_Toc26807"/>
      <w:r/>
      <w:bookmarkStart w:id="166" w:name="_Toc32454"/>
      <w:r/>
      <w:bookmarkStart w:id="167" w:name="_Toc18683"/>
      <w:r/>
      <w:bookmarkStart w:id="168" w:name="_Toc9497"/>
      <w:r/>
      <w:bookmarkStart w:id="169" w:name="_Toc30329"/>
      <w:r>
        <w:rPr>
          <w:rFonts w:hint="eastAsia" w:ascii="宋体" w:hAnsi="宋体" w:eastAsia="宋体" w:cs="宋体"/>
          <w:sz w:val="24"/>
          <w:szCs w:val="20"/>
          <w:lang w:val="en-US" w:eastAsia="zh-CN"/>
        </w:rPr>
        <w:t xml:space="preserve">9.4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9.5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9.6如果出现政府采购监督管理部门在处理投诉事项期间，书面通知甲方暂停采购活动的情形，或者询问或质疑事项可能影响中标或者成交结果的，导致甲方中止履行合同的情形，均不视为甲方违约。</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9.7</w:t>
      </w:r>
      <w:bookmarkEnd w:id="165"/>
      <w:r/>
      <w:bookmarkEnd w:id="166"/>
      <w:r/>
      <w:bookmarkEnd w:id="167"/>
      <w:r/>
      <w:bookmarkEnd w:id="168"/>
      <w:r/>
      <w:bookmarkEnd w:id="169"/>
      <w:r>
        <w:rPr>
          <w:rFonts w:hint="eastAsia" w:ascii="宋体" w:hAnsi="宋体" w:eastAsia="宋体" w:cs="宋体"/>
          <w:sz w:val="24"/>
          <w:szCs w:val="20"/>
          <w:lang w:val="en-US" w:eastAsia="zh-CN"/>
        </w:rPr>
        <w:t xml:space="preserve">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9.8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right="-420" w:firstLine="480"/>
        <w:spacing w:line="440" w:lineRule="exact"/>
        <w:rPr>
          <w:rFonts w:hint="eastAsia" w:ascii="宋体" w:hAnsi="宋体" w:eastAsia="宋体" w:cs="宋体"/>
          <w:lang w:val="en-US" w:eastAsia="zh-CN"/>
        </w:rPr>
      </w:pPr>
      <w:r>
        <w:rPr>
          <w:rFonts w:hint="eastAsia" w:ascii="宋体" w:hAnsi="宋体" w:eastAsia="宋体" w:cs="宋体"/>
          <w:sz w:val="24"/>
          <w:szCs w:val="20"/>
          <w:lang w:val="en-US" w:eastAsia="zh-CN"/>
        </w:rPr>
        <w:t xml:space="preserve">9.9违约责任合同专用条款另有约定的，从其约定。</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10、不可抗力事件处理</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10.1在合同有效期内，任何一方因不可抗力事件导致不能履行合同，则合同履行期可延长，其延长期与不可抗力影响期相同。</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10.2不可抗力事件发生后，应立即通知对方并寄送有关权威机构出具的证明。</w:t>
      </w:r>
      <w:r/>
    </w:p>
    <w:p>
      <w:pPr>
        <w:ind w:right="-420" w:firstLine="480"/>
        <w:spacing w:line="440" w:lineRule="exact"/>
        <w:rPr>
          <w:rFonts w:hint="eastAsia" w:ascii="宋体" w:hAnsi="宋体" w:eastAsia="宋体" w:cs="宋体"/>
          <w:lang w:val="en-US" w:eastAsia="zh-CN"/>
        </w:rPr>
      </w:pPr>
      <w:r>
        <w:rPr>
          <w:rFonts w:hint="eastAsia" w:ascii="宋体" w:hAnsi="宋体" w:eastAsia="宋体" w:cs="宋体"/>
          <w:sz w:val="24"/>
          <w:szCs w:val="20"/>
          <w:lang w:val="en-US" w:eastAsia="zh-CN"/>
        </w:rPr>
        <w:t xml:space="preserve">10.3不可抗力事件延续120天以上，双方应通过友好协商确定是否继续履行合同。</w:t>
      </w:r>
      <w:r/>
    </w:p>
    <w:p>
      <w:pPr>
        <w:ind w:left="-420" w:right="-420" w:firstLine="843"/>
        <w:spacing w:line="440" w:lineRule="exact"/>
        <w:rPr>
          <w:rFonts w:hint="eastAsia" w:ascii="宋体" w:hAnsi="宋体" w:eastAsia="宋体" w:cs="宋体"/>
          <w:b/>
          <w:bCs/>
          <w:sz w:val="24"/>
          <w:szCs w:val="20"/>
        </w:rPr>
      </w:pPr>
      <w:r>
        <w:rPr>
          <w:rFonts w:hint="eastAsia" w:ascii="宋体" w:hAnsi="宋体" w:eastAsia="宋体" w:cs="宋体"/>
          <w:b/>
          <w:bCs/>
          <w:sz w:val="24"/>
          <w:szCs w:val="20"/>
          <w:lang w:val="en-US" w:eastAsia="zh-CN"/>
        </w:rPr>
        <w:t xml:space="preserve">11</w:t>
      </w:r>
      <w:r>
        <w:rPr>
          <w:rFonts w:hint="eastAsia" w:ascii="宋体" w:hAnsi="宋体" w:eastAsia="宋体" w:cs="宋体"/>
          <w:b/>
          <w:bCs/>
          <w:sz w:val="24"/>
          <w:szCs w:val="20"/>
        </w:rPr>
        <w:t xml:space="preserve">.组成合同的文件</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下列文件为本合同的组成部分，并构成一个整体，需综合解释、相互补充。如果下列文件内容出现不一致的情形，那么在保证按照采购文件确定的事项的前提下，应按以下顺序解释：</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1.1.1本合同合同及其变更、补充协议；</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1.1.2政府采购合同专用条款；</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1.1.3政府采购合同通用条款；</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1.1.4中标（成交）通知书；</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1.1.5投标或者响应文件（含澄清或者说明文件）；</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1.1.6采购文件（含澄清或者修改文件）；</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1.1.7标准、规范及有关技术文件</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1.1.8但如乙方在投标时作为竞争条件而在投标文件及其附件中作出比招标文件及答疑纪要和本合同更有利于甲方的响应，则投标文件及其附件中更有利于甲方的相关条款内容的解释顺序优于招标文件及答疑纪要和本合同，乙方须按这些响应承诺履行。</w:t>
      </w:r>
      <w:r/>
    </w:p>
    <w:p>
      <w:pPr>
        <w:ind w:left="-420" w:right="-420" w:firstLine="843"/>
        <w:spacing w:line="440" w:lineRule="exact"/>
        <w:rPr>
          <w:rFonts w:hint="eastAsia" w:ascii="宋体" w:hAnsi="宋体" w:eastAsia="宋体" w:cs="宋体"/>
          <w:b/>
          <w:bCs/>
          <w:sz w:val="24"/>
          <w:szCs w:val="20"/>
        </w:rPr>
      </w:pPr>
      <w:r>
        <w:rPr>
          <w:rFonts w:hint="eastAsia" w:ascii="宋体" w:hAnsi="宋体" w:eastAsia="宋体" w:cs="宋体"/>
          <w:b/>
          <w:bCs/>
          <w:sz w:val="24"/>
          <w:szCs w:val="20"/>
          <w:lang w:val="en-US" w:eastAsia="zh-CN"/>
        </w:rPr>
        <w:t xml:space="preserve">12</w:t>
      </w:r>
      <w:r>
        <w:rPr>
          <w:rFonts w:hint="eastAsia" w:ascii="宋体" w:hAnsi="宋体" w:eastAsia="宋体" w:cs="宋体"/>
          <w:b/>
          <w:bCs/>
          <w:sz w:val="24"/>
          <w:szCs w:val="20"/>
        </w:rPr>
        <w:t xml:space="preserve">.合同生效</w:t>
      </w:r>
      <w:r/>
    </w:p>
    <w:p>
      <w:pPr>
        <w:ind w:right="-420" w:firstLine="480"/>
        <w:spacing w:line="440" w:lineRule="exact"/>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本合同自双方当事人盖章签字时生效。</w:t>
      </w:r>
      <w:r/>
    </w:p>
    <w:p>
      <w:pPr>
        <w:ind w:left="-420" w:right="-420" w:firstLine="843"/>
        <w:spacing w:line="440" w:lineRule="exact"/>
        <w:rPr>
          <w:rFonts w:hint="eastAsia" w:ascii="宋体" w:hAnsi="宋体" w:eastAsia="宋体" w:cs="宋体"/>
          <w:b/>
          <w:bCs/>
          <w:sz w:val="24"/>
          <w:szCs w:val="20"/>
        </w:rPr>
      </w:pPr>
      <w:r>
        <w:rPr>
          <w:rFonts w:hint="eastAsia" w:ascii="宋体" w:hAnsi="宋体" w:eastAsia="宋体" w:cs="宋体"/>
          <w:b/>
          <w:bCs/>
          <w:sz w:val="24"/>
          <w:szCs w:val="20"/>
          <w:lang w:val="en-US" w:eastAsia="zh-CN"/>
        </w:rPr>
        <w:t xml:space="preserve">13</w:t>
      </w:r>
      <w:r>
        <w:rPr>
          <w:rFonts w:hint="eastAsia" w:ascii="宋体" w:hAnsi="宋体" w:eastAsia="宋体" w:cs="宋体"/>
          <w:b/>
          <w:bCs/>
          <w:sz w:val="24"/>
          <w:szCs w:val="20"/>
        </w:rPr>
        <w:t xml:space="preserve">.合同份数</w:t>
      </w:r>
      <w:r/>
    </w:p>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本合同一式</w:t>
      </w:r>
      <w:r>
        <w:rPr>
          <w:rFonts w:hint="eastAsia" w:ascii="宋体" w:hAnsi="宋体" w:eastAsia="宋体" w:cs="宋体"/>
          <w:bCs/>
          <w:sz w:val="24"/>
          <w:u w:val="single"/>
          <w:lang w:val="en-US" w:eastAsia="zh-CN"/>
        </w:rPr>
        <w:t xml:space="preserve">四</w:t>
      </w:r>
      <w:r>
        <w:rPr>
          <w:rFonts w:hint="eastAsia" w:ascii="宋体" w:hAnsi="宋体" w:eastAsia="宋体" w:cs="宋体"/>
          <w:sz w:val="24"/>
          <w:szCs w:val="20"/>
        </w:rPr>
        <w:t xml:space="preserve">份，甲方执 </w:t>
      </w:r>
      <w:r>
        <w:rPr>
          <w:rFonts w:hint="eastAsia" w:ascii="宋体" w:hAnsi="宋体" w:eastAsia="宋体" w:cs="宋体"/>
          <w:bCs/>
          <w:sz w:val="24"/>
          <w:u w:val="single"/>
          <w:lang w:val="en-US" w:eastAsia="zh-CN"/>
        </w:rPr>
        <w:t xml:space="preserve">二</w:t>
      </w:r>
      <w:r>
        <w:rPr>
          <w:rFonts w:hint="eastAsia" w:ascii="宋体" w:hAnsi="宋体" w:eastAsia="宋体" w:cs="宋体"/>
          <w:sz w:val="24"/>
          <w:szCs w:val="20"/>
        </w:rPr>
        <w:t xml:space="preserve">份，乙方执</w:t>
      </w:r>
      <w:r>
        <w:rPr>
          <w:rFonts w:hint="eastAsia" w:ascii="宋体" w:hAnsi="宋体" w:eastAsia="宋体" w:cs="宋体"/>
          <w:bCs/>
          <w:sz w:val="24"/>
          <w:u w:val="single"/>
          <w:lang w:val="en-US" w:eastAsia="zh-CN"/>
        </w:rPr>
        <w:t xml:space="preserve">二</w:t>
      </w:r>
      <w:r>
        <w:rPr>
          <w:rFonts w:hint="eastAsia" w:ascii="宋体" w:hAnsi="宋体" w:eastAsia="宋体" w:cs="宋体"/>
          <w:sz w:val="24"/>
          <w:szCs w:val="20"/>
        </w:rPr>
        <w:t xml:space="preserve">份，均具有同等法律效力。</w:t>
      </w:r>
      <w:r/>
    </w:p>
    <w:tbl>
      <w:tblPr>
        <w:tblStyle w:val="79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84"/>
        <w:gridCol w:w="2460"/>
        <w:gridCol w:w="2182"/>
        <w:gridCol w:w="2337"/>
      </w:tblGrid>
      <w:tr>
        <w:trPr>
          <w:trHeight w:val="490"/>
        </w:trPr>
        <w:tc>
          <w:tcPr>
            <w:gridSpan w:val="2"/>
            <w:tcBorders>
              <w:bottom w:val="single" w:color="auto" w:sz="2" w:space="0"/>
              <w:right w:val="single" w:color="auto" w:sz="2" w:space="0"/>
            </w:tcBorders>
            <w:tcW w:w="2561" w:type="pct"/>
            <w:vAlign w:val="center"/>
            <w:textDirection w:val="lrTb"/>
            <w:noWrap w:val="false"/>
          </w:tcPr>
          <w:p>
            <w:pPr>
              <w:ind w:left="-420" w:right="-420" w:firstLine="1050"/>
              <w:spacing w:line="440" w:lineRule="exact"/>
              <w:rPr>
                <w:rFonts w:hint="eastAsia" w:ascii="宋体" w:hAnsi="宋体" w:eastAsia="宋体" w:cs="宋体"/>
                <w:sz w:val="24"/>
                <w:szCs w:val="20"/>
              </w:rPr>
            </w:pPr>
            <w:r>
              <w:rPr>
                <w:rFonts w:hint="eastAsia" w:ascii="宋体" w:hAnsi="宋体" w:eastAsia="宋体" w:cs="宋体"/>
                <w:szCs w:val="21"/>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ind w:left="-420" w:right="-420" w:firstLine="1680"/>
              <w:spacing w:line="440" w:lineRule="exact"/>
              <w:rPr>
                <w:rFonts w:hint="eastAsia" w:ascii="宋体" w:hAnsi="宋体" w:eastAsia="宋体" w:cs="宋体"/>
                <w:sz w:val="24"/>
                <w:szCs w:val="20"/>
              </w:rPr>
            </w:pPr>
            <w:r>
              <w:rPr>
                <w:rFonts w:hint="eastAsia" w:ascii="宋体" w:hAnsi="宋体" w:eastAsia="宋体" w:cs="宋体"/>
                <w:sz w:val="24"/>
                <w:szCs w:val="20"/>
              </w:rPr>
              <w:t xml:space="preserve">乙方（供应商）</w:t>
            </w:r>
            <w:r/>
          </w:p>
        </w:tc>
      </w:tr>
      <w:tr>
        <w:trPr>
          <w:trHeight w:val="917"/>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单位名称</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（公章或合同章）</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right="-420" w:firstLine="360"/>
              <w:spacing w:line="440" w:lineRule="exact"/>
              <w:rPr>
                <w:rFonts w:hint="eastAsia" w:ascii="宋体" w:hAnsi="宋体" w:eastAsia="宋体" w:cs="宋体"/>
                <w:sz w:val="24"/>
                <w:szCs w:val="20"/>
              </w:rPr>
            </w:pPr>
            <w:r>
              <w:rPr>
                <w:rFonts w:hint="eastAsia" w:ascii="宋体" w:hAnsi="宋体" w:eastAsia="宋体" w:cs="宋体"/>
                <w:sz w:val="24"/>
                <w:szCs w:val="20"/>
              </w:rPr>
              <w:t xml:space="preserve">单位名称</w:t>
            </w:r>
            <w:r/>
          </w:p>
          <w:p>
            <w:pPr>
              <w:ind w:right="-420"/>
              <w:spacing w:line="440" w:lineRule="exact"/>
              <w:rPr>
                <w:rFonts w:hint="eastAsia" w:ascii="宋体" w:hAnsi="宋体" w:eastAsia="宋体" w:cs="宋体"/>
                <w:sz w:val="24"/>
                <w:szCs w:val="20"/>
              </w:rPr>
            </w:pPr>
            <w:r>
              <w:rPr>
                <w:rFonts w:hint="eastAsia" w:ascii="宋体" w:hAnsi="宋体" w:eastAsia="宋体" w:cs="宋体"/>
                <w:sz w:val="24"/>
                <w:szCs w:val="20"/>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1171"/>
        </w:trPr>
        <w:tc>
          <w:tcPr>
            <w:tcBorders>
              <w:top w:val="single" w:color="auto" w:sz="2" w:space="0"/>
              <w:right w:val="single" w:color="auto" w:sz="2" w:space="0"/>
            </w:tcBorders>
            <w:tcW w:w="1233" w:type="pct"/>
            <w:vAlign w:val="center"/>
            <w:vMerge w:val="restart"/>
            <w:textDirection w:val="lrTb"/>
            <w:noWrap w:val="false"/>
          </w:tcPr>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法定代表人</w:t>
            </w:r>
            <w:r/>
          </w:p>
          <w:p>
            <w:pPr>
              <w:ind w:right="-420"/>
              <w:spacing w:line="440" w:lineRule="exact"/>
              <w:rPr>
                <w:rFonts w:hint="eastAsia" w:ascii="宋体" w:hAnsi="宋体" w:eastAsia="宋体" w:cs="宋体"/>
                <w:sz w:val="24"/>
                <w:szCs w:val="20"/>
              </w:rPr>
            </w:pPr>
            <w:r>
              <w:rPr>
                <w:rFonts w:hint="eastAsia" w:ascii="宋体" w:hAnsi="宋体" w:eastAsia="宋体" w:cs="宋体"/>
                <w:sz w:val="24"/>
                <w:szCs w:val="20"/>
              </w:rPr>
              <w:t xml:space="preserve">或其委托代理人</w:t>
            </w:r>
            <w:r>
              <w:rPr>
                <w:rFonts w:hint="eastAsia" w:ascii="宋体" w:hAnsi="宋体" w:eastAsia="宋体" w:cs="宋体"/>
                <w:sz w:val="24"/>
                <w:szCs w:val="20"/>
              </w:rPr>
              <w:br/>
            </w:r>
            <w:r>
              <w:rPr>
                <w:rFonts w:hint="eastAsia" w:ascii="宋体" w:hAnsi="宋体" w:eastAsia="宋体" w:cs="宋体"/>
                <w:sz w:val="24"/>
                <w:szCs w:val="20"/>
              </w:rPr>
              <w:t xml:space="preserve">（签章）</w:t>
            </w:r>
            <w:r/>
          </w:p>
        </w:tc>
        <w:tc>
          <w:tcPr>
            <w:tcBorders>
              <w:top w:val="single" w:color="auto" w:sz="2" w:space="0"/>
              <w:left w:val="single" w:color="auto" w:sz="2" w:space="0"/>
              <w:right w:val="single" w:color="auto" w:sz="2" w:space="0"/>
            </w:tcBorders>
            <w:tcW w:w="1328" w:type="pct"/>
            <w:vAlign w:val="center"/>
            <w:vMerge w:val="restart"/>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420" w:right="-420" w:firstLine="600"/>
              <w:spacing w:line="440" w:lineRule="exact"/>
              <w:rPr>
                <w:rFonts w:hint="eastAsia" w:ascii="宋体" w:hAnsi="宋体" w:eastAsia="宋体" w:cs="宋体"/>
                <w:sz w:val="24"/>
                <w:szCs w:val="20"/>
              </w:rPr>
            </w:pPr>
            <w:r>
              <w:rPr>
                <w:rFonts w:hint="eastAsia" w:ascii="宋体" w:hAnsi="宋体" w:eastAsia="宋体" w:cs="宋体"/>
                <w:sz w:val="24"/>
                <w:szCs w:val="20"/>
              </w:rPr>
              <w:t xml:space="preserve">法定代表人或其</w:t>
            </w:r>
            <w:r>
              <w:rPr>
                <w:rFonts w:hint="eastAsia" w:ascii="宋体" w:hAnsi="宋体" w:eastAsia="宋体" w:cs="宋体"/>
                <w:sz w:val="24"/>
                <w:szCs w:val="20"/>
              </w:rPr>
              <w:br/>
            </w:r>
            <w:r>
              <w:rPr>
                <w:rFonts w:hint="eastAsia" w:ascii="宋体" w:hAnsi="宋体" w:eastAsia="宋体" w:cs="宋体"/>
                <w:sz w:val="24"/>
                <w:szCs w:val="20"/>
              </w:rPr>
              <w:t xml:space="preserve">委 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bottom w:val="single" w:color="auto" w:sz="2" w:space="0"/>
              <w:right w:val="single" w:color="auto" w:sz="2" w:space="0"/>
            </w:tcBorders>
            <w:tcW w:w="1233" w:type="pct"/>
            <w:vAlign w:val="center"/>
            <w:vMerge w:val="continue"/>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left w:val="single" w:color="auto" w:sz="2" w:space="0"/>
              <w:bottom w:val="single" w:color="auto" w:sz="2" w:space="0"/>
              <w:right w:val="single" w:color="auto" w:sz="2" w:space="0"/>
            </w:tcBorders>
            <w:tcW w:w="1328" w:type="pct"/>
            <w:vAlign w:val="center"/>
            <w:vMerge w:val="continue"/>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1080"/>
              <w:spacing w:line="440" w:lineRule="exact"/>
              <w:rPr>
                <w:rFonts w:hint="eastAsia" w:ascii="宋体" w:hAnsi="宋体" w:eastAsia="宋体" w:cs="宋体"/>
                <w:sz w:val="24"/>
                <w:szCs w:val="20"/>
              </w:rPr>
            </w:pPr>
            <w:r>
              <w:rPr>
                <w:rFonts w:hint="eastAsia" w:ascii="宋体" w:hAnsi="宋体" w:eastAsia="宋体" w:cs="宋体"/>
                <w:sz w:val="24"/>
                <w:szCs w:val="20"/>
              </w:rPr>
              <w:t xml:space="preserve">住  所</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联 系 人</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联系电话</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通信地址</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邮政编码</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960"/>
              <w:spacing w:line="440" w:lineRule="exact"/>
              <w:rPr>
                <w:rFonts w:hint="eastAsia" w:ascii="宋体" w:hAnsi="宋体" w:eastAsia="宋体" w:cs="宋体"/>
                <w:sz w:val="24"/>
                <w:szCs w:val="20"/>
              </w:rPr>
            </w:pPr>
            <w:r>
              <w:rPr>
                <w:rFonts w:hint="eastAsia" w:ascii="宋体" w:hAnsi="宋体" w:eastAsia="宋体" w:cs="宋体"/>
                <w:sz w:val="24"/>
                <w:szCs w:val="20"/>
              </w:rPr>
              <w:t xml:space="preserve">电子邮箱</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80" w:right="-420" w:hanging="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统一社会信用代码</w:t>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80" w:right="-420" w:hanging="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483"/>
        </w:trPr>
        <w:tc>
          <w:tcPr>
            <w:tcBorders>
              <w:top w:val="single" w:color="auto" w:sz="2" w:space="0"/>
              <w:bottom w:val="single" w:color="auto" w:sz="2" w:space="0"/>
              <w:right w:val="single" w:color="auto" w:sz="2" w:space="0"/>
            </w:tcBorders>
            <w:tcW w:w="1233"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328"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420" w:right="-420" w:firstLine="840"/>
              <w:spacing w:line="440" w:lineRule="exact"/>
              <w:rPr>
                <w:rFonts w:hint="eastAsia" w:ascii="宋体" w:hAnsi="宋体" w:eastAsia="宋体" w:cs="宋体"/>
                <w:sz w:val="24"/>
                <w:szCs w:val="20"/>
              </w:rPr>
            </w:pPr>
            <w:r>
              <w:rPr>
                <w:rFonts w:hint="eastAsia" w:ascii="宋体" w:hAnsi="宋体" w:eastAsia="宋体" w:cs="宋体"/>
                <w:sz w:val="24"/>
                <w:szCs w:val="20"/>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r>
            <w:r/>
          </w:p>
        </w:tc>
      </w:tr>
      <w:tr>
        <w:trPr>
          <w:trHeight w:val="586"/>
        </w:trPr>
        <w:tc>
          <w:tcPr>
            <w:gridSpan w:val="4"/>
            <w:tcBorders>
              <w:top w:val="single" w:color="auto" w:sz="2" w:space="0"/>
            </w:tcBorders>
            <w:tcW w:w="5000" w:type="pct"/>
            <w:vAlign w:val="center"/>
            <w:textDirection w:val="lrTb"/>
            <w:noWrap w:val="false"/>
          </w:tcPr>
          <w:p>
            <w:pPr>
              <w:ind w:left="-420" w:right="-420" w:firstLine="600"/>
              <w:spacing w:line="440" w:lineRule="exact"/>
              <w:rPr>
                <w:rFonts w:hint="eastAsia" w:ascii="宋体" w:hAnsi="宋体" w:eastAsia="宋体" w:cs="宋体"/>
                <w:sz w:val="24"/>
                <w:szCs w:val="20"/>
              </w:rPr>
            </w:pPr>
            <w:r>
              <w:rPr>
                <w:rFonts w:hint="eastAsia" w:ascii="宋体" w:hAnsi="宋体" w:eastAsia="宋体" w:cs="宋体"/>
                <w:sz w:val="24"/>
                <w:szCs w:val="20"/>
              </w:rPr>
            </w:r>
            <w:r/>
          </w:p>
        </w:tc>
      </w:tr>
    </w:tbl>
    <w:p>
      <w:pPr>
        <w:numPr>
          <w:ilvl w:val="0"/>
          <w:numId w:val="5"/>
        </w:numPr>
        <w:ind w:left="-420" w:right="-420" w:firstLine="480"/>
        <w:jc w:val="center"/>
        <w:spacing w:line="440" w:lineRule="exact"/>
        <w:rPr>
          <w:rFonts w:hint="eastAsia" w:ascii="宋体" w:hAnsi="宋体" w:eastAsia="宋体" w:cs="宋体"/>
          <w:b/>
          <w:bCs/>
          <w:sz w:val="24"/>
          <w:szCs w:val="20"/>
        </w:rPr>
      </w:pPr>
      <w:r>
        <w:rPr>
          <w:rFonts w:hint="eastAsia" w:ascii="宋体" w:hAnsi="宋体" w:eastAsia="宋体" w:cs="宋体"/>
          <w:sz w:val="24"/>
          <w:szCs w:val="20"/>
        </w:rPr>
        <w:br w:type="page" w:clear="all"/>
      </w:r>
      <w:bookmarkStart w:id="170" w:name="_Toc27624"/>
      <w:r>
        <w:rPr>
          <w:rFonts w:hint="eastAsia" w:ascii="宋体" w:hAnsi="宋体" w:eastAsia="宋体" w:cs="宋体"/>
          <w:b/>
          <w:bCs/>
          <w:sz w:val="24"/>
          <w:szCs w:val="20"/>
        </w:rPr>
        <w:t xml:space="preserve">政府采购合同通用条款</w:t>
      </w:r>
      <w:bookmarkEnd w:id="170"/>
      <w:r/>
      <w:r/>
    </w:p>
    <w:p>
      <w:pPr>
        <w:numPr>
          <w:ilvl w:val="255"/>
          <w:numId w:val="0"/>
        </w:num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1.定义</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1.1合同当事人</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（1）采购人（以下称甲方）是指使用财政性资金，通过政府采购</w:t>
      </w:r>
      <w:r>
        <w:rPr>
          <w:rFonts w:hint="eastAsia" w:ascii="宋体" w:hAnsi="宋体" w:cs="宋体"/>
          <w:sz w:val="24"/>
          <w:szCs w:val="20"/>
          <w:lang w:val="en-US" w:eastAsia="zh-CN"/>
        </w:rPr>
        <w:t xml:space="preserve">方</w:t>
      </w:r>
      <w:r>
        <w:rPr>
          <w:rFonts w:hint="eastAsia" w:ascii="宋体" w:hAnsi="宋体" w:eastAsia="宋体" w:cs="宋体"/>
          <w:sz w:val="24"/>
          <w:szCs w:val="20"/>
        </w:rPr>
        <w:t xml:space="preserve">式向供应商购买货物及其相关服务的国家机关、事业单位、团体组织。</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（2）供应商（以下称乙方）是指参加政府采购活动并且中标（成交），向采购人提供合同约定的货物及其相关服务的法人、非法人组织或者自然人。</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（3）其他合同主体是指除采购人和供应商以外，依法参与合同缔结或履行，享有权利、承担义务的合同当事人。</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1.2本合同下列术语应解释为：</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（2）“合同价款”系指根据本合同规定乙方在全面履行合同义务后甲方应支付给乙方的价款。</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（3）“货物”系指乙方根据本合同规定须向甲方提供的各种形态和种类的物品，包括原材料、设备、产品（包括软件）及相关的其备品备件、工具、手册及其他技术资料和材料等。</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（5）“分包”系指中标（成交）供应商按采购文件、投标（响应）文件的规定，根据分包意向协议，将中标（成交）项目中的部分履约内容，分给具有相应资质条件的供应商履行合同的行为。</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2.合同标的及金额</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2.1 合同标的及金额应与中标（成交）结果一致。乙方为履行本合同而发生的所有费用均应包含在合同价款中，甲方不再另行支付其他任何费用。</w:t>
      </w:r>
      <w:r/>
    </w:p>
    <w:p>
      <w:pPr>
        <w:ind w:left="-420" w:right="-420" w:firstLine="723"/>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3.履行合同的时间、地点和方式</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3.1 乙方应当在约定的时间、地点，按照约定方式履行合同。</w:t>
      </w:r>
      <w:r/>
    </w:p>
    <w:p>
      <w:pPr>
        <w:ind w:left="-420" w:right="-420" w:firstLine="723"/>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4.甲方的权利和义务</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4.2 甲方有权要求乙方按时提交各阶段有关安排计划，并有权定期核对乙方提供货物数量、规格、质量等内容。甲方有权督促乙方工作并要求乙方更换不符合要求的货物。</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4.3 甲方有权要求乙方对缺陷部分予以修复，并按合同约定享有货物保修及其他合同约定的权利。</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4.4 甲方应当按照合同约定及时对交付的货物进行验收。</w:t>
      </w:r>
      <w:r/>
    </w:p>
    <w:p>
      <w:pPr>
        <w:numPr>
          <w:ilvl w:val="255"/>
          <w:numId w:val="0"/>
        </w:num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4.5 甲方应当根据合同约定及时向乙方支付合同价款，不得以内部人员变更、履行内部付款流程等为由，拒绝或迟延支付。</w:t>
      </w:r>
      <w:r/>
    </w:p>
    <w:p>
      <w:pPr>
        <w:numPr>
          <w:ilvl w:val="255"/>
          <w:numId w:val="0"/>
        </w:num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4.6 国家法律法规规定及</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约定应由甲方承担的其他义务和责任。</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5.乙方的权利和义务</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5.1 签署合同后，乙方应确定项目负责人（或项目联系人），负责与本合同有关的事务。</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5.3乙方有权根据合同约定向甲方收取合同价款。</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5.4国家法律法规规定及</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约定应由乙方承担的其他义务和责任。</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6.合同履行</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6.1 甲乙双方应当按照</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约定顺序履行合同义务；如果没有先后顺序的，应当同时履行。</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7.货物包装、运输、保险和交付要求</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7.1 本合同涉及商品包装、快递包装的，除</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另有约定外，包装应适应远距离运输、防潮、防震、防锈和防野蛮装卸等要求，确保货物安全无损地运抵约定的指定现场。</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7.2 除</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另有约定外，乙方负责办理将货物运抵本合同规定的交货地点，并装卸、交付至甲方的一切运输</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验收</w:t>
      </w:r>
      <w:r>
        <w:rPr>
          <w:rFonts w:hint="eastAsia" w:ascii="宋体" w:hAnsi="宋体" w:eastAsia="宋体" w:cs="宋体"/>
          <w:sz w:val="24"/>
          <w:szCs w:val="20"/>
        </w:rPr>
        <w:t xml:space="preserve">事项，相关费用应包含在合同价款中。</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7.3 货物保险要求按规定执行。</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7.5 乙方在运输到达之前应提前通知甲方，并提示货物运输装卸的注意事项，甲方配合乙方做好货物的接收工作。</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7.6 如因包装、运输问题导致货物损毁、丢失或者品质下降，甲方有权要求降价、换货、拒收部分或整批货物，由此产生的费用和损失，均由乙方承担。</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8.质量标准和保证</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8.1 质量标准</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（2）采用中华人民共和国法定计量单位。</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（3）乙方所提供的货物应符合国家有关安全、环保、卫生的规定。</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（4）乙方应向甲方提交所提供货物的技术文件，包括相应的中文技术文件，如：产品目录、图纸、操作手册、使用说明、维护手册或服务指南等。上述文件应包装好随货物一同发运。</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8.2 保证</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规定或乙方书面承诺（两者以较长的为准）的质量保证期内，本保证保持有效。</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（2）在质量保证期内所发现的缺陷，甲方应尽快以书面形式通知乙方。</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（3）乙方收到通知后，应在</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规定的响应时间内以合理的速度免费维修或更换有缺陷的货物或部件。</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（5）乙方在约定的时间内未能弥补缺陷，甲方可采取必要的补救措施，但其风险和费用将由乙方承担，甲方根据合同约定对乙方行使的其他权利不受影响。</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9.权利瑕疵担保</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9.1 乙方保证对其出售的货物享有合法的权利。</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9.2 乙方保证在交付的货物上不存在抵押权等担保物权。</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9.3 如甲方使用上述货物构成对第三人侵权的，则由乙方承担全部责任。</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10.知识产权保护</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10.1 乙方对其所销售的货物应当享有知识产权或经权利人合法授权，保证没有侵犯任何第三人的知识产权等权利。</w:t>
      </w:r>
      <w:bookmarkStart w:id="171" w:name="_Hlk163047038"/>
      <w:r>
        <w:rPr>
          <w:rFonts w:hint="eastAsia" w:ascii="宋体" w:hAnsi="宋体" w:eastAsia="宋体" w:cs="宋体"/>
          <w:sz w:val="24"/>
          <w:szCs w:val="20"/>
        </w:rPr>
        <w:t xml:space="preserve">因违反前述约定对第三人构成侵权的，应当由乙方向第三人承担法律责任；甲方依法向第三人赔偿后，有权向乙方追偿。甲方有其他损失的，乙方应当赔偿</w:t>
      </w:r>
      <w:bookmarkEnd w:id="171"/>
      <w:r>
        <w:rPr>
          <w:rFonts w:hint="eastAsia" w:ascii="宋体" w:hAnsi="宋体" w:eastAsia="宋体" w:cs="宋体"/>
          <w:sz w:val="24"/>
          <w:szCs w:val="20"/>
        </w:rPr>
        <w:t xml:space="preserve">。</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11.保密义务</w:t>
      </w:r>
      <w:r/>
    </w:p>
    <w:p>
      <w:pPr>
        <w:ind w:left="-20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中约定。</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12. 合同价款支付</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12.1 合同价款支付按照国库集中支付制度及财政管理相关规定执行。</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12.2 对于满足合同约定支付条件的，甲方原则上应当自收到发票后7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中约定。</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13.履约保证金</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13.1</w:t>
      </w:r>
      <w:r>
        <w:rPr>
          <w:rFonts w:hint="eastAsia" w:ascii="宋体" w:hAnsi="宋体" w:eastAsia="宋体" w:cs="宋体"/>
          <w:sz w:val="24"/>
          <w:szCs w:val="20"/>
        </w:rPr>
        <w:t xml:space="preserve">履约保证金应在采购合同签订前提交，除银行电汇、网上银行、数字人民币外，</w:t>
      </w:r>
      <w:r>
        <w:rPr>
          <w:rFonts w:hint="eastAsia" w:ascii="宋体" w:hAnsi="宋体" w:eastAsia="宋体" w:cs="宋体"/>
          <w:sz w:val="24"/>
          <w:szCs w:val="20"/>
          <w:lang w:eastAsia="zh-CN"/>
        </w:rPr>
        <w:t xml:space="preserve">供应商</w:t>
      </w:r>
      <w:r>
        <w:rPr>
          <w:rFonts w:hint="eastAsia" w:ascii="宋体" w:hAnsi="宋体" w:eastAsia="宋体" w:cs="宋体"/>
          <w:sz w:val="24"/>
          <w:szCs w:val="20"/>
        </w:rPr>
        <w:t xml:space="preserve">还可选用银行保函、担保公司的保证担保或保险公司的保证保险等多种形式向采购人缴纳。</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w:t>
      </w:r>
      <w:r>
        <w:rPr>
          <w:rFonts w:hint="eastAsia" w:ascii="宋体" w:hAnsi="宋体" w:eastAsia="宋体" w:cs="宋体"/>
          <w:sz w:val="24"/>
          <w:szCs w:val="20"/>
        </w:rPr>
        <w:t xml:space="preserve">.2履约保证金提交金额</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按采购合同总价的 5 %提交。</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支持和鼓励</w:t>
      </w:r>
      <w:r>
        <w:rPr>
          <w:rFonts w:hint="eastAsia" w:ascii="宋体" w:hAnsi="宋体" w:eastAsia="宋体" w:cs="宋体"/>
          <w:sz w:val="24"/>
          <w:szCs w:val="20"/>
          <w:lang w:eastAsia="zh-CN"/>
        </w:rPr>
        <w:t xml:space="preserve">供应商</w:t>
      </w:r>
      <w:r>
        <w:rPr>
          <w:rFonts w:hint="eastAsia" w:ascii="宋体" w:hAnsi="宋体" w:eastAsia="宋体" w:cs="宋体"/>
          <w:sz w:val="24"/>
          <w:szCs w:val="20"/>
        </w:rPr>
        <w:t xml:space="preserve">使用江苏政府采购电子履约保函（保险）代替缴纳履约保证金，</w:t>
      </w:r>
      <w:r>
        <w:rPr>
          <w:rFonts w:hint="eastAsia" w:ascii="宋体" w:hAnsi="宋体" w:eastAsia="宋体" w:cs="宋体"/>
          <w:sz w:val="24"/>
          <w:szCs w:val="20"/>
          <w:lang w:eastAsia="zh-CN"/>
        </w:rPr>
        <w:t xml:space="preserve">供应商</w:t>
      </w:r>
      <w:r>
        <w:rPr>
          <w:rFonts w:hint="eastAsia" w:ascii="宋体" w:hAnsi="宋体" w:eastAsia="宋体" w:cs="宋体"/>
          <w:sz w:val="24"/>
          <w:szCs w:val="20"/>
        </w:rPr>
        <w:t xml:space="preserve">如使用江苏政府采购电子履约保函（保险）的，可按采购合同总价的 3  %（履约保证金原提交金额的6折）提交。办理流程、偿付等内容见江苏政府采购网“保险保函”模块。</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w:t>
      </w:r>
      <w:r>
        <w:rPr>
          <w:rFonts w:hint="eastAsia" w:ascii="宋体" w:hAnsi="宋体" w:eastAsia="宋体" w:cs="宋体"/>
          <w:sz w:val="24"/>
          <w:szCs w:val="20"/>
        </w:rPr>
        <w:t xml:space="preserve">.3履约保证金退还方式</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以银行电汇、网上银行、数字人民币形式缴纳履约保证金的，退回至</w:t>
      </w:r>
      <w:r>
        <w:rPr>
          <w:rFonts w:hint="eastAsia" w:ascii="宋体" w:hAnsi="宋体" w:eastAsia="宋体" w:cs="宋体"/>
          <w:sz w:val="24"/>
          <w:szCs w:val="20"/>
          <w:lang w:eastAsia="zh-CN"/>
        </w:rPr>
        <w:t xml:space="preserve">供应商</w:t>
      </w:r>
      <w:r>
        <w:rPr>
          <w:rFonts w:hint="eastAsia" w:ascii="宋体" w:hAnsi="宋体" w:eastAsia="宋体" w:cs="宋体"/>
          <w:sz w:val="24"/>
          <w:szCs w:val="20"/>
        </w:rPr>
        <w:t xml:space="preserve">存款账户或数字人民币账户；以保函、担保、保险等形式缴纳履约保证金的，在保函、担保、保险约定的保证期限届满之日起自行失效。</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w:t>
      </w:r>
      <w:r>
        <w:rPr>
          <w:rFonts w:hint="eastAsia" w:ascii="宋体" w:hAnsi="宋体" w:eastAsia="宋体" w:cs="宋体"/>
          <w:sz w:val="24"/>
          <w:szCs w:val="20"/>
        </w:rPr>
        <w:t xml:space="preserve">.4履约保证金退还条件</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具有验收合格相关证明材料。</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w:t>
      </w:r>
      <w:r>
        <w:rPr>
          <w:rFonts w:hint="eastAsia" w:ascii="宋体" w:hAnsi="宋体" w:eastAsia="宋体" w:cs="宋体"/>
          <w:sz w:val="24"/>
          <w:szCs w:val="20"/>
        </w:rPr>
        <w:t xml:space="preserve">.5履约保证金退还时间</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采购人收到</w:t>
      </w:r>
      <w:r>
        <w:rPr>
          <w:rFonts w:hint="eastAsia" w:ascii="宋体" w:hAnsi="宋体" w:eastAsia="宋体" w:cs="宋体"/>
          <w:sz w:val="24"/>
          <w:szCs w:val="20"/>
          <w:lang w:eastAsia="zh-CN"/>
        </w:rPr>
        <w:t xml:space="preserve">供应商</w:t>
      </w:r>
      <w:r>
        <w:rPr>
          <w:rFonts w:hint="eastAsia" w:ascii="宋体" w:hAnsi="宋体" w:eastAsia="宋体" w:cs="宋体"/>
          <w:sz w:val="24"/>
          <w:szCs w:val="20"/>
        </w:rPr>
        <w:t xml:space="preserve">退付申请后5个工作日内退还。</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w:t>
      </w:r>
      <w:r>
        <w:rPr>
          <w:rFonts w:hint="eastAsia" w:ascii="宋体" w:hAnsi="宋体" w:eastAsia="宋体" w:cs="宋体"/>
          <w:sz w:val="24"/>
          <w:szCs w:val="20"/>
        </w:rPr>
        <w:t xml:space="preserve">.6履约保证金不予退还情形</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除不可抗力外，中标人不履行与采购人订立的采购合同的，履约保证金不予退还，给采购人造成的损失超过履约保证金数额的，还应对超过部分予以赔偿。</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lang w:val="en-US" w:eastAsia="zh-CN"/>
        </w:rPr>
        <w:t xml:space="preserve">13</w:t>
      </w:r>
      <w:r>
        <w:rPr>
          <w:rFonts w:hint="eastAsia" w:ascii="宋体" w:hAnsi="宋体" w:eastAsia="宋体" w:cs="宋体"/>
          <w:sz w:val="24"/>
          <w:szCs w:val="20"/>
        </w:rPr>
        <w:t xml:space="preserve">.7逾期退还履约保证金违约责任</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采购人逾期退还履约保证金的，除应退还履约保证金外，还应按中国人民银行同期贷款基准利率上浮20％后的利率支付超期资金占用费，但因</w:t>
      </w:r>
      <w:r>
        <w:rPr>
          <w:rFonts w:hint="eastAsia" w:ascii="宋体" w:hAnsi="宋体" w:eastAsia="宋体" w:cs="宋体"/>
          <w:sz w:val="24"/>
          <w:szCs w:val="20"/>
          <w:lang w:eastAsia="zh-CN"/>
        </w:rPr>
        <w:t xml:space="preserve">供应商</w:t>
      </w:r>
      <w:r>
        <w:rPr>
          <w:rFonts w:hint="eastAsia" w:ascii="宋体" w:hAnsi="宋体" w:eastAsia="宋体" w:cs="宋体"/>
          <w:sz w:val="24"/>
          <w:szCs w:val="20"/>
        </w:rPr>
        <w:t xml:space="preserve">自身原因导致无法及时退还的除外。</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14.售后服务</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14.1 除项目不涉及或采购活动中明确约定无须承担外，乙方还应提供下列服务：</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（1）货物的现场移动、安装、调试、启动监督及技术支持；</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（2）提供货物组装和维修所需的专用工具和辅助材料；</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（3）在</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约定的期限内对所有的货物实施运行监督、维修，但前提条件是该服务并不能免除乙方在质量保证期内所承担的义务；</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（4）在制造商所在地或指定现场就货物的安装、启动、运营、维护、废弃处置等对甲方操作人员进行培训；</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（5）依照法律、行政法规的规定或者按照</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约定，货物在有效使用年限届满后应予回收的，乙方负有自行或者委托第三人对货物予以回收的义务；</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（6）</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规定由乙方提供的其他服务。</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14.2 乙方提供的售后服务的费用已包含在合同价款中，甲方不再另行支付。</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15.违约责任</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15.1质量瑕疵的违约责任</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乙方提供的产品不符合合同约定的质量标准或存在产品质量缺陷，甲方有权要求乙方根据</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要求及时修理、重作、更换，并承担由此给甲方造成的损失。</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15.2 迟延交货的违约责任</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规定执行。如果涉及公共利益，且赔偿金额无法弥补公共利益损失，甲方可要求继续履行或者采取其他补救措施。</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15.3 迟延支付的违约责任</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甲方存在迟延支付乙方合同款项的，应当承担规定的逾期付款利息。</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15.4其他违约责任根据项目实际需要按</w:t>
      </w:r>
      <w:r>
        <w:rPr>
          <w:rFonts w:hint="eastAsia" w:ascii="宋体" w:hAnsi="宋体" w:eastAsia="宋体" w:cs="宋体"/>
          <w:sz w:val="24"/>
          <w:szCs w:val="20"/>
          <w:lang w:val="en-US" w:eastAsia="zh-CN"/>
        </w:rPr>
        <w:t xml:space="preserve">合同</w:t>
      </w:r>
      <w:r>
        <w:rPr>
          <w:rFonts w:hint="eastAsia" w:ascii="宋体" w:hAnsi="宋体" w:eastAsia="宋体" w:cs="宋体"/>
          <w:sz w:val="24"/>
          <w:szCs w:val="20"/>
        </w:rPr>
        <w:t xml:space="preserve">规定执行。</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16.合同变更、中止与终止</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16.1合同的变更</w:t>
      </w:r>
      <w:r/>
    </w:p>
    <w:p>
      <w:pPr>
        <w:ind w:left="-199" w:right="-420" w:firstLine="259"/>
        <w:spacing w:line="440" w:lineRule="exact"/>
        <w:rPr>
          <w:rFonts w:hint="eastAsia" w:ascii="宋体" w:hAnsi="宋体" w:eastAsia="宋体" w:cs="宋体"/>
          <w:sz w:val="24"/>
          <w:szCs w:val="20"/>
        </w:rPr>
      </w:pPr>
      <w:r>
        <w:rPr>
          <w:rFonts w:hint="eastAsia" w:ascii="宋体" w:hAnsi="宋体" w:eastAsia="宋体" w:cs="宋体"/>
          <w:sz w:val="24"/>
          <w:szCs w:val="20"/>
        </w:rPr>
        <w:t xml:space="preserve">政府采购合同履行中，在不改变合同其他条款的前提下，甲方可以在合同价款10%的范围内追加与合同标的相同的货物，并就此与乙方协商一致后签订补充协议。</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16.2合同的中止</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（1）合同履行过程中因供应商就采购文件、采购过程或结果提起投诉的，甲方认为有必要的，可以中止合同的履行。</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（3）乙方分立、合并或者变更住所的，应当及时以书面形式告知甲方。乙方没有及时告知甲方，致使合同履行发生困难的，甲方可以中止合同履行并要求乙方承担由此给甲方造成的损失。</w:t>
      </w:r>
      <w:r/>
    </w:p>
    <w:p>
      <w:pPr>
        <w:ind w:left="-199"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（4）甲方不得以行政区划调整、政府换届、机构或者职能调整以及相关责任人更替为由中止合同。</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16.3合同的终止</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（1）合同因有效期限届满而终止；</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（2）乙方未按合同约定履行，构成根本性违约的，甲方有权终止合同，并追究乙方的违约责任。</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16.4 涉及国家利益、社会公共利益的情形</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政府采购合同继续履行将损害国家利益和社会公共利益的，双方当事人应当变更、中止或者终止合同。有过错的一方应当承担赔偿责任，双方都有过错的，各自承担相应的责任。</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17.合同分包</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17.1 乙方不得将合同转包给其他供应商。涉及合同分包的，乙方应根据采购文件和投标（响应）文件规定进行合同分包。</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17.2 乙方执行政府采购政策向中小企业依法分包的，乙方应当按采购文件和投标（响应）文件签订分包意向协议，分包意向协议属于本合同组成部分。</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18.不可抗力</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18.1 不可抗力是指合同双方不能预见、不能避免且不能克服的客观情况。</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18.2 任何一方对由于不可抗力造成的部分或全部不能履行合同不承担违约责任。但迟延履行后发生不可抗力的，不能免除责任。</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19.解决争议的方法</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19.1 因本合同及合同有关事项发生的争议，由甲乙双方友好协商解决。协商不成时，可以向有关组织申请调解。合同一方或双方不愿调解或调解不成的，可以通过仲裁的方式解决争议，将争议提交</w:t>
      </w:r>
      <w:r>
        <w:rPr>
          <w:rFonts w:hint="eastAsia" w:ascii="宋体" w:hAnsi="宋体" w:eastAsia="宋体" w:cs="宋体"/>
          <w:sz w:val="24"/>
          <w:szCs w:val="20"/>
          <w:lang w:val="en-US" w:eastAsia="zh-CN"/>
        </w:rPr>
        <w:t xml:space="preserve">宿迁</w:t>
      </w:r>
      <w:r>
        <w:rPr>
          <w:rFonts w:hint="eastAsia" w:ascii="宋体" w:hAnsi="宋体" w:eastAsia="宋体" w:cs="宋体"/>
          <w:sz w:val="24"/>
          <w:szCs w:val="20"/>
        </w:rPr>
        <w:t xml:space="preserve">仲裁委员会仲裁。</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19.2 如甲乙双方有争议的事项不影响合同其他部分的履行，在争议解决期间，合同其他部分应当继续履行。</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20.政府采购政策</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20.1 </w:t>
      </w:r>
      <w:r>
        <w:rPr>
          <w:rFonts w:hint="eastAsia" w:ascii="宋体" w:hAnsi="宋体" w:eastAsia="宋体" w:cs="宋体"/>
          <w:sz w:val="24"/>
          <w:szCs w:val="20"/>
          <w:lang w:val="en-GB"/>
        </w:rPr>
        <w:t xml:space="preserve">本合同应当按照规定执行政府采购政策。</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20.2 本合同依法执行政府采购政策的方式和内容，属于合同履约验收的范围。甲乙双方</w:t>
      </w:r>
      <w:r>
        <w:rPr>
          <w:rFonts w:hint="eastAsia" w:ascii="宋体" w:hAnsi="宋体" w:eastAsia="宋体" w:cs="宋体"/>
          <w:sz w:val="24"/>
          <w:szCs w:val="20"/>
          <w:lang w:val="en-GB"/>
        </w:rPr>
        <w:t xml:space="preserve">未按规定要求执行政府采购政策造成损失的</w:t>
      </w:r>
      <w:r>
        <w:rPr>
          <w:rFonts w:hint="eastAsia" w:ascii="宋体" w:hAnsi="宋体" w:eastAsia="宋体" w:cs="宋体"/>
          <w:sz w:val="24"/>
          <w:szCs w:val="20"/>
        </w:rPr>
        <w:t xml:space="preserve">，有过错的一方应当承担赔偿责任，双方都有过错的，各自承担相应的责任。</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21.法律适用</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21.1 本合同的订立、生效、解释、履行及与本合同有关的争议解决，均适用法律、行政法规。</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21.2 本合同条款与法律、行政法规的强制性规定不一致的，双方当事人应</w:t>
      </w:r>
      <w:r>
        <w:rPr>
          <w:rFonts w:hint="eastAsia" w:ascii="宋体" w:hAnsi="宋体" w:cs="宋体"/>
          <w:sz w:val="24"/>
          <w:szCs w:val="20"/>
          <w:lang w:val="en-US" w:eastAsia="zh-CN"/>
        </w:rPr>
        <w:t xml:space="preserve">当</w:t>
      </w:r>
      <w:r>
        <w:rPr>
          <w:rFonts w:hint="eastAsia" w:ascii="宋体" w:hAnsi="宋体" w:eastAsia="宋体" w:cs="宋体"/>
          <w:sz w:val="24"/>
          <w:szCs w:val="20"/>
        </w:rPr>
        <w:t xml:space="preserve">按照法律、行政法规的强制性规定修改本合同的相关条款。</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22.通知</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22.1 本合同任何一方向对方发出的通知、信件、数据电文等，应当发送至本合同第一部分《政府采购合同协议书》所约定的通讯地址、联系人、联系电话或电子邮箱。</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22.2 一方当事人变更名称、住所、联系人、联系电话或电子邮箱等信息的，应当在变更后3日内及时书面通知对方，对方实际收到变更通知前的送达仍为有效送达。</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22.3本合同一方给另一方的通知均应采用书面形式，传真或快递送到本合同中规定的对方的地址和办理签收手续。</w:t>
      </w:r>
      <w:r/>
    </w:p>
    <w:p>
      <w:pPr>
        <w:ind w:left="-420" w:right="-420" w:firstLine="720"/>
        <w:spacing w:line="440" w:lineRule="exact"/>
        <w:rPr>
          <w:rFonts w:hint="eastAsia" w:ascii="宋体" w:hAnsi="宋体" w:eastAsia="宋体" w:cs="宋体"/>
          <w:sz w:val="24"/>
          <w:szCs w:val="20"/>
        </w:rPr>
      </w:pPr>
      <w:r>
        <w:rPr>
          <w:rFonts w:hint="eastAsia" w:ascii="宋体" w:hAnsi="宋体" w:eastAsia="宋体" w:cs="宋体"/>
          <w:sz w:val="24"/>
          <w:szCs w:val="20"/>
        </w:rPr>
        <w:t xml:space="preserve">22.4通知以送达之日或通知书中规定的生效之日起生效，两者中以较迟之日为准。</w:t>
      </w:r>
      <w:r/>
    </w:p>
    <w:p>
      <w:pPr>
        <w:ind w:left="-200" w:right="-420" w:firstLine="482"/>
        <w:spacing w:line="440" w:lineRule="exact"/>
        <w:rPr>
          <w:rFonts w:hint="eastAsia" w:ascii="宋体" w:hAnsi="宋体" w:eastAsia="宋体" w:cs="宋体"/>
          <w:b/>
          <w:bCs/>
          <w:sz w:val="24"/>
          <w:szCs w:val="20"/>
        </w:rPr>
      </w:pPr>
      <w:r>
        <w:rPr>
          <w:rFonts w:hint="eastAsia" w:ascii="宋体" w:hAnsi="宋体" w:eastAsia="宋体" w:cs="宋体"/>
          <w:b/>
          <w:bCs/>
          <w:sz w:val="24"/>
          <w:szCs w:val="20"/>
        </w:rPr>
        <w:t xml:space="preserve">23.合同未尽事项</w:t>
      </w:r>
      <w:r/>
    </w:p>
    <w:p>
      <w:pPr>
        <w:ind w:left="-199" w:right="-420" w:firstLine="499"/>
        <w:spacing w:line="440" w:lineRule="exact"/>
        <w:rPr>
          <w:rFonts w:hint="eastAsia" w:ascii="宋体" w:hAnsi="宋体" w:eastAsia="宋体" w:cs="宋体"/>
          <w:sz w:val="24"/>
          <w:szCs w:val="20"/>
        </w:rPr>
      </w:pPr>
      <w:r>
        <w:rPr>
          <w:rFonts w:hint="eastAsia" w:ascii="宋体" w:hAnsi="宋体" w:eastAsia="宋体" w:cs="宋体"/>
          <w:sz w:val="24"/>
          <w:szCs w:val="20"/>
        </w:rPr>
        <w:t xml:space="preserve">23.1合同未尽事</w:t>
      </w:r>
      <w:r>
        <w:rPr>
          <w:rFonts w:hint="eastAsia" w:ascii="宋体" w:hAnsi="宋体" w:cs="宋体"/>
          <w:sz w:val="24"/>
          <w:szCs w:val="20"/>
          <w:lang w:val="en-US" w:eastAsia="zh-CN"/>
        </w:rPr>
        <w:t xml:space="preserve">宜</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遵照《民法典》合同编有关条文执行。</w:t>
      </w:r>
      <w:r/>
    </w:p>
    <w:p>
      <w:pPr>
        <w:ind w:left="-420" w:right="-420" w:firstLine="480"/>
        <w:spacing w:line="440" w:lineRule="exact"/>
        <w:rPr>
          <w:rFonts w:hint="eastAsia" w:ascii="宋体" w:hAnsi="宋体" w:eastAsia="宋体" w:cs="宋体"/>
          <w:sz w:val="24"/>
          <w:szCs w:val="20"/>
        </w:rPr>
      </w:pPr>
      <w:r>
        <w:rPr>
          <w:rFonts w:hint="eastAsia" w:ascii="宋体" w:hAnsi="宋体" w:eastAsia="宋体" w:cs="宋体"/>
          <w:sz w:val="24"/>
          <w:szCs w:val="20"/>
        </w:rPr>
        <w:t xml:space="preserve">  23.2 合同附件与合同正文具有同等的法律效力。</w:t>
      </w:r>
      <w:bookmarkStart w:id="172" w:name="_Toc20313"/>
      <w:r/>
      <w:bookmarkEnd w:id="172"/>
      <w:r/>
      <w:r/>
    </w:p>
    <w:p>
      <w:pPr>
        <w:pStyle w:val="856"/>
        <w:jc w:val="center"/>
        <w:rPr>
          <w:rFonts w:ascii="宋体" w:hAnsi="宋体" w:eastAsia="宋体" w:cs="宋体"/>
          <w:b/>
          <w:bCs/>
          <w:spacing w:val="-20"/>
          <w:lang w:eastAsia="zh-CN"/>
        </w:rPr>
      </w:pPr>
      <w:r>
        <w:rPr>
          <w:rFonts w:ascii="宋体" w:hAnsi="宋体" w:eastAsia="宋体" w:cs="宋体"/>
          <w:b/>
          <w:bCs/>
          <w:spacing w:val="-20"/>
          <w:lang w:eastAsia="zh-CN"/>
        </w:rPr>
      </w:r>
      <w:r/>
    </w:p>
    <w:p>
      <w:pPr>
        <w:pStyle w:val="856"/>
        <w:jc w:val="center"/>
        <w:rPr>
          <w:rFonts w:ascii="宋体" w:hAnsi="宋体" w:eastAsia="宋体" w:cs="宋体"/>
          <w:b/>
          <w:bCs/>
          <w:spacing w:val="-20"/>
          <w:lang w:eastAsia="zh-CN"/>
        </w:rPr>
      </w:pPr>
      <w:r/>
      <w:bookmarkStart w:id="173" w:name="_Hlk187856708"/>
      <w:r/>
      <w:bookmarkEnd w:id="160"/>
      <w:r/>
      <w:bookmarkEnd w:id="161"/>
      <w:r/>
      <w:bookmarkEnd w:id="162"/>
      <w:r/>
      <w:bookmarkEnd w:id="173"/>
      <w:r/>
      <w:r/>
    </w:p>
    <w:p>
      <w:pPr>
        <w:jc w:val="center"/>
        <w:keepLines/>
        <w:keepNext/>
        <w:pageBreakBefore/>
        <w:rPr>
          <w:b/>
          <w:sz w:val="44"/>
          <w:szCs w:val="44"/>
        </w:rPr>
        <w:outlineLvl w:val="0"/>
      </w:pPr>
      <w:r/>
      <w:bookmarkStart w:id="174" w:name="_Toc19649"/>
      <w:r/>
      <w:bookmarkStart w:id="175" w:name="_Toc81575170"/>
      <w:r/>
      <w:bookmarkStart w:id="176" w:name="_Toc81575207"/>
      <w:r/>
      <w:bookmarkStart w:id="177" w:name="_Toc22853"/>
      <w:r/>
      <w:bookmarkStart w:id="178" w:name="_Toc21933"/>
      <w:r/>
      <w:bookmarkStart w:id="179" w:name="_Toc9003"/>
      <w:r>
        <w:rPr>
          <w:rFonts w:hint="eastAsia"/>
          <w:b/>
          <w:sz w:val="44"/>
          <w:szCs w:val="44"/>
        </w:rPr>
        <w:t xml:space="preserve">第六章  投标文件格式</w:t>
      </w:r>
      <w:bookmarkEnd w:id="174"/>
      <w:r/>
      <w:bookmarkEnd w:id="175"/>
      <w:r/>
      <w:bookmarkEnd w:id="176"/>
      <w:r/>
      <w:bookmarkEnd w:id="177"/>
      <w:r/>
      <w:bookmarkEnd w:id="178"/>
      <w:r/>
      <w:bookmarkEnd w:id="179"/>
      <w:r/>
      <w:r/>
    </w:p>
    <w:p>
      <w:r/>
      <w:bookmarkStart w:id="180" w:name="EB819316f773b24a75aef829f9b72900c0"/>
      <w:r/>
      <w:r/>
    </w:p>
    <w:p>
      <w:pPr>
        <w:rPr>
          <w:rFonts w:ascii="Times New Roman" w:hAnsi="Times New Roman"/>
          <w:b/>
          <w:sz w:val="72"/>
        </w:rPr>
      </w:pPr>
      <w:r/>
      <w:bookmarkStart w:id="181"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hint="eastAsia" w:ascii="Times New Roman" w:hAnsi="Times New Roman" w:eastAsia="宋体"/>
          <w:b/>
          <w:sz w:val="36"/>
          <w:lang w:eastAsia="zh-CN"/>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hint="eastAsia" w:ascii="Times New Roman" w:hAnsi="Times New Roman"/>
          <w:b/>
          <w:sz w:val="36"/>
          <w:u w:val="single"/>
          <w:lang w:eastAsia="zh-CN"/>
        </w:rPr>
        <w:t xml:space="preserve">宿迁市公安局三重四极杆液质联用仪采购项目</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hint="eastAsia" w:ascii="Times New Roman" w:hAnsi="Times New Roman"/>
          <w:b/>
          <w:sz w:val="36"/>
          <w:u w:val="single"/>
          <w:lang w:eastAsia="zh-CN"/>
        </w:rPr>
        <w:t xml:space="preserve">JSZC-321300-SQTY-G2026-0017</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81"/>
      <w:r/>
      <w:r/>
    </w:p>
    <w:p>
      <w:pPr>
        <w:pStyle w:val="1050"/>
        <w:rPr>
          <w:rFonts w:ascii="宋体" w:hAnsi="宋体" w:eastAsia="宋体" w:cs="宋体"/>
        </w:rPr>
      </w:pPr>
      <w:r>
        <w:rPr>
          <w:rFonts w:ascii="宋体" w:hAnsi="宋体" w:eastAsia="宋体" w:cs="宋体"/>
        </w:rPr>
      </w:r>
      <w:r/>
    </w:p>
    <w:p>
      <w:pPr>
        <w:pStyle w:val="1050"/>
        <w:rPr>
          <w:rFonts w:ascii="宋体" w:hAnsi="宋体" w:eastAsia="宋体" w:cs="宋体"/>
        </w:rPr>
      </w:pPr>
      <w:r>
        <w:rPr>
          <w:rFonts w:ascii="宋体" w:hAnsi="宋体" w:eastAsia="宋体" w:cs="宋体"/>
        </w:rPr>
      </w:r>
      <w:r/>
    </w:p>
    <w:p>
      <w:pPr>
        <w:pStyle w:val="1050"/>
        <w:rPr>
          <w:rFonts w:ascii="宋体" w:hAnsi="宋体" w:eastAsia="宋体" w:cs="宋体"/>
        </w:rPr>
      </w:pPr>
      <w:r>
        <w:rPr>
          <w:rFonts w:ascii="宋体" w:hAnsi="宋体" w:eastAsia="宋体" w:cs="宋体"/>
        </w:rPr>
      </w:r>
      <w:r/>
    </w:p>
    <w:p>
      <w:pPr>
        <w:pStyle w:val="1050"/>
        <w:rPr>
          <w:rFonts w:ascii="宋体" w:hAnsi="宋体" w:eastAsia="宋体" w:cs="宋体"/>
        </w:rPr>
      </w:pPr>
      <w:r>
        <w:rPr>
          <w:rFonts w:ascii="宋体" w:hAnsi="宋体" w:eastAsia="宋体" w:cs="宋体"/>
        </w:rPr>
      </w:r>
      <w:r/>
    </w:p>
    <w:p>
      <w:pPr>
        <w:pStyle w:val="1050"/>
        <w:rPr>
          <w:rFonts w:ascii="宋体" w:hAnsi="宋体" w:eastAsia="宋体" w:cs="宋体"/>
        </w:rPr>
      </w:pPr>
      <w:r>
        <w:rPr>
          <w:rFonts w:ascii="宋体" w:hAnsi="宋体" w:eastAsia="宋体" w:cs="宋体"/>
        </w:rPr>
      </w:r>
      <w:r/>
    </w:p>
    <w:p>
      <w:pPr>
        <w:pStyle w:val="1050"/>
        <w:rPr>
          <w:rFonts w:ascii="宋体" w:hAnsi="宋体" w:eastAsia="宋体" w:cs="宋体"/>
        </w:rPr>
      </w:pPr>
      <w:r>
        <w:rPr>
          <w:rFonts w:ascii="宋体" w:hAnsi="宋体" w:eastAsia="宋体" w:cs="宋体"/>
        </w:rPr>
      </w:r>
      <w:bookmarkEnd w:id="180"/>
      <w:r/>
      <w:r/>
    </w:p>
    <w:p>
      <w:pPr>
        <w:pStyle w:val="105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50"/>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50"/>
        <w:spacing w:line="360" w:lineRule="auto"/>
        <w:rPr>
          <w:rFonts w:ascii="宋体" w:hAnsi="宋体" w:eastAsia="宋体" w:cs="宋体"/>
          <w:sz w:val="28"/>
          <w:szCs w:val="28"/>
        </w:rPr>
      </w:pPr>
      <w:r>
        <w:rPr>
          <w:rFonts w:ascii="宋体" w:hAnsi="宋体" w:eastAsia="宋体" w:cs="宋体"/>
          <w:sz w:val="28"/>
          <w:szCs w:val="28"/>
        </w:rPr>
      </w:r>
      <w:r/>
    </w:p>
    <w:p>
      <w:pPr>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三、开标一览表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六、关于符合本国产品标准的声明函</w:t>
      </w:r>
      <w:r/>
    </w:p>
    <w:p>
      <w:pPr>
        <w:spacing w:line="360" w:lineRule="auto"/>
        <w:rPr>
          <w:rFonts w:ascii="Times New Roman" w:hAnsi="Times New Roman"/>
          <w:sz w:val="28"/>
          <w:szCs w:val="28"/>
        </w:rPr>
      </w:pPr>
      <w:r>
        <w:rPr>
          <w:rFonts w:hint="eastAsia" w:ascii="Times New Roman" w:hAnsi="Times New Roman"/>
          <w:sz w:val="28"/>
          <w:szCs w:val="28"/>
        </w:rPr>
        <w:t xml:space="preserve">七、技术响应偏离表</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w:t>
      </w:r>
      <w:r>
        <w:rPr>
          <w:rFonts w:ascii="Times New Roman" w:hAnsi="Times New Roman"/>
          <w:sz w:val="28"/>
          <w:szCs w:val="28"/>
        </w:rPr>
        <w:t xml:space="preserve">项目组人员</w:t>
      </w:r>
      <w:r/>
    </w:p>
    <w:p>
      <w:pPr>
        <w:spacing w:line="360" w:lineRule="auto"/>
        <w:rPr>
          <w:rFonts w:ascii="宋体" w:hAnsi="宋体" w:cs="宋体"/>
          <w:sz w:val="28"/>
          <w:szCs w:val="28"/>
        </w:rPr>
      </w:pPr>
      <w:r>
        <w:rPr>
          <w:rFonts w:hint="eastAsia" w:ascii="Times New Roman" w:hAnsi="Times New Roman"/>
          <w:sz w:val="28"/>
          <w:szCs w:val="28"/>
        </w:rPr>
        <w:t xml:space="preserve">十、投标所需其他材料</w:t>
      </w:r>
      <w:r/>
    </w:p>
    <w:p>
      <w:r/>
      <w:bookmarkStart w:id="182" w:name="_Toc26005"/>
      <w:r/>
      <w:bookmarkStart w:id="183" w:name="_Toc20577"/>
      <w:r/>
      <w:r/>
    </w:p>
    <w:p>
      <w:r/>
      <w:r/>
    </w:p>
    <w:p>
      <w:r/>
      <w:r/>
    </w:p>
    <w:p>
      <w:r/>
      <w:r/>
    </w:p>
    <w:p>
      <w:r/>
      <w:r/>
    </w:p>
    <w:p>
      <w:r/>
      <w:r/>
    </w:p>
    <w:p>
      <w:r/>
      <w:r/>
    </w:p>
    <w:p>
      <w:r/>
      <w:r/>
    </w:p>
    <w:p>
      <w:r/>
      <w:r/>
    </w:p>
    <w:p>
      <w:r/>
      <w:r/>
    </w:p>
    <w:p>
      <w:r/>
      <w:r/>
    </w:p>
    <w:p>
      <w:r/>
      <w:r/>
    </w:p>
    <w:p>
      <w:r/>
      <w:r/>
    </w:p>
    <w:p>
      <w:r/>
      <w:r/>
    </w:p>
    <w:p>
      <w:r/>
      <w:r/>
    </w:p>
    <w:p>
      <w:r/>
      <w:r/>
    </w:p>
    <w:p>
      <w:r/>
      <w:r/>
    </w:p>
    <w:p>
      <w:r/>
      <w:r/>
    </w:p>
    <w:p>
      <w:r/>
      <w:r/>
    </w:p>
    <w:p>
      <w:pPr>
        <w:pStyle w:val="1030"/>
        <w:rPr>
          <w:b w:val="0"/>
          <w:bCs/>
        </w:rPr>
        <w:outlineLvl w:val="1"/>
      </w:pPr>
      <w:r/>
      <w:bookmarkStart w:id="184" w:name="_Toc8978"/>
      <w:r>
        <w:rPr>
          <w:rFonts w:hint="eastAsia"/>
          <w:b w:val="0"/>
          <w:bCs/>
        </w:rPr>
        <w:br w:type="page" w:clear="all"/>
      </w:r>
      <w:r>
        <w:rPr>
          <w:rFonts w:hint="eastAsia"/>
          <w:b w:val="0"/>
          <w:bCs/>
        </w:rPr>
        <w:t xml:space="preserve">一</w:t>
      </w:r>
      <w:r>
        <w:rPr>
          <w:b w:val="0"/>
          <w:bCs/>
        </w:rPr>
        <w:t xml:space="preserve">、投标函</w:t>
      </w:r>
      <w:bookmarkEnd w:id="182"/>
      <w:r/>
      <w:bookmarkEnd w:id="183"/>
      <w:r/>
      <w:bookmarkEnd w:id="184"/>
      <w:r/>
      <w:r/>
    </w:p>
    <w:p>
      <w:pPr>
        <w:pStyle w:val="955"/>
        <w:jc w:val="center"/>
        <w:rPr>
          <w:rFonts w:ascii="方正小标宋_GBK" w:eastAsia="方正小标宋_GBK"/>
          <w:bCs/>
          <w:sz w:val="32"/>
          <w:szCs w:val="32"/>
        </w:rPr>
      </w:pPr>
      <w:r>
        <w:rPr>
          <w:rFonts w:ascii="方正小标宋_GBK" w:eastAsia="方正小标宋_GBK"/>
          <w:bCs/>
          <w:sz w:val="32"/>
          <w:szCs w:val="32"/>
        </w:rPr>
      </w:r>
      <w:r/>
    </w:p>
    <w:p>
      <w:pPr>
        <w:pStyle w:val="955"/>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955"/>
        <w:jc w:val="left"/>
        <w:spacing w:line="500" w:lineRule="exact"/>
        <w:rPr>
          <w:rFonts w:ascii="宋体" w:hAnsi="宋体"/>
          <w:sz w:val="24"/>
          <w:szCs w:val="24"/>
          <w:u w:val="single"/>
        </w:rPr>
      </w:pPr>
      <w:r>
        <w:rPr>
          <w:rFonts w:hint="eastAsia" w:ascii="宋体" w:hAnsi="宋体"/>
          <w:sz w:val="24"/>
          <w:szCs w:val="24"/>
          <w:u w:val="single"/>
        </w:rPr>
        <w:t xml:space="preserve">宿迁市公安局：</w:t>
      </w:r>
      <w:r/>
    </w:p>
    <w:p>
      <w:pPr>
        <w:pStyle w:val="955"/>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bCs/>
          <w:sz w:val="24"/>
          <w:szCs w:val="24"/>
          <w:u w:val="single"/>
          <w:lang w:eastAsia="zh-CN"/>
        </w:rPr>
        <w:t xml:space="preserve">JSZC-321300-SQTY-G2026-0017</w:t>
      </w:r>
      <w:r>
        <w:rPr>
          <w:rFonts w:hint="eastAsia" w:ascii="宋体" w:hAnsi="宋体"/>
          <w:sz w:val="24"/>
          <w:szCs w:val="24"/>
        </w:rPr>
        <w:t xml:space="preserve">的</w:t>
      </w:r>
      <w:r>
        <w:rPr>
          <w:rFonts w:hint="eastAsia" w:ascii="宋体" w:hAnsi="宋体"/>
          <w:bCs/>
          <w:sz w:val="24"/>
          <w:szCs w:val="24"/>
          <w:u w:val="single"/>
          <w:lang w:eastAsia="zh-CN"/>
        </w:rPr>
        <w:t xml:space="preserve">宿迁市公安局三重四极杆液质联用仪采购项目</w:t>
      </w:r>
      <w:r>
        <w:rPr>
          <w:rFonts w:hint="eastAsia" w:ascii="宋体" w:hAnsi="宋体"/>
          <w:sz w:val="24"/>
          <w:szCs w:val="24"/>
        </w:rPr>
        <w:t xml:space="preserve">的招标文件，我方在参加本项目招投标活动中，特作出如下承诺：</w:t>
      </w:r>
      <w:r/>
    </w:p>
    <w:p>
      <w:pPr>
        <w:pStyle w:val="955"/>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955"/>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55"/>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955"/>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955"/>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955"/>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p>
    <w:p>
      <w:pPr>
        <w:pStyle w:val="955"/>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955"/>
        <w:jc w:val="left"/>
        <w:spacing w:line="500" w:lineRule="exact"/>
        <w:rPr>
          <w:rFonts w:ascii="宋体" w:hAnsi="宋体"/>
          <w:sz w:val="24"/>
          <w:szCs w:val="24"/>
        </w:rPr>
      </w:pPr>
      <w:r>
        <w:rPr>
          <w:rFonts w:ascii="宋体" w:hAnsi="宋体"/>
          <w:sz w:val="24"/>
          <w:szCs w:val="24"/>
        </w:rPr>
      </w:r>
      <w:r/>
    </w:p>
    <w:p>
      <w:pPr>
        <w:pStyle w:val="955"/>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955"/>
        <w:ind w:firstLine="480"/>
        <w:rPr>
          <w:rFonts w:ascii="宋体" w:hAnsi="宋体"/>
          <w:sz w:val="24"/>
          <w:szCs w:val="24"/>
        </w:rPr>
      </w:pPr>
      <w:r>
        <w:rPr>
          <w:rFonts w:ascii="宋体" w:hAnsi="宋体"/>
          <w:sz w:val="24"/>
          <w:szCs w:val="24"/>
        </w:rPr>
      </w:r>
      <w:r/>
    </w:p>
    <w:p>
      <w:pPr>
        <w:pStyle w:val="955"/>
        <w:ind w:firstLine="480"/>
        <w:rPr>
          <w:rFonts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pPr>
        <w:rPr>
          <w:rFonts w:hint="eastAsia"/>
        </w:rPr>
      </w:pPr>
      <w:r>
        <w:rPr>
          <w:rFonts w:hint="eastAsia"/>
        </w:rPr>
      </w:r>
      <w:r/>
    </w:p>
    <w:p>
      <w:pPr>
        <w:outlineLvl w:val="1"/>
      </w:pPr>
      <w:r>
        <w:rPr>
          <w:rFonts w:hint="eastAsia"/>
        </w:rPr>
        <w:br w:type="page" w:clear="all"/>
      </w:r>
      <w:bookmarkStart w:id="185" w:name="_Toc3680"/>
      <w:r/>
      <w:bookmarkStart w:id="186" w:name="_Toc29506"/>
      <w:r/>
      <w:bookmarkStart w:id="187" w:name="_Toc27409"/>
      <w:r>
        <w:rPr>
          <w:rFonts w:hint="eastAsia" w:ascii="黑体" w:hAnsi="黑体" w:eastAsia="黑体" w:cs="黑体"/>
          <w:bCs/>
          <w:sz w:val="32"/>
          <w:szCs w:val="24"/>
        </w:rPr>
        <w:t xml:space="preserve">二、</w:t>
      </w:r>
      <w:bookmarkEnd w:id="185"/>
      <w:r/>
      <w:bookmarkEnd w:id="186"/>
      <w:r>
        <w:rPr>
          <w:rFonts w:hint="eastAsia" w:ascii="黑体" w:hAnsi="黑体" w:eastAsia="黑体" w:cs="黑体"/>
          <w:bCs/>
          <w:sz w:val="32"/>
          <w:szCs w:val="24"/>
        </w:rPr>
        <w:t xml:space="preserve">法人授权书</w:t>
      </w:r>
      <w:bookmarkEnd w:id="187"/>
      <w:r/>
      <w:r/>
    </w:p>
    <w:p>
      <w:pPr>
        <w:pStyle w:val="955"/>
        <w:jc w:val="center"/>
        <w:rPr>
          <w:rFonts w:ascii="方正小标宋_GBK" w:eastAsia="方正小标宋_GBK"/>
          <w:bCs/>
          <w:sz w:val="32"/>
          <w:szCs w:val="32"/>
        </w:rPr>
      </w:pPr>
      <w:r/>
      <w:bookmarkStart w:id="188" w:name="OLE_LINK6"/>
      <w:r>
        <w:rPr>
          <w:rFonts w:hint="eastAsia" w:ascii="方正小标宋_GBK" w:eastAsia="方正小标宋_GBK"/>
          <w:bCs/>
          <w:sz w:val="32"/>
          <w:szCs w:val="32"/>
        </w:rPr>
        <w:t xml:space="preserve">法人授权书</w:t>
      </w:r>
      <w:bookmarkEnd w:id="188"/>
      <w:r/>
      <w:r/>
    </w:p>
    <w:p>
      <w:pPr>
        <w:pStyle w:val="1064"/>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bCs/>
          <w:sz w:val="24"/>
          <w:szCs w:val="24"/>
          <w:u w:val="single"/>
          <w:lang w:eastAsia="zh-CN"/>
        </w:rPr>
        <w:t xml:space="preserve">JSZC-321300-SQTY-G2026-0017</w:t>
      </w:r>
      <w:r>
        <w:rPr>
          <w:rFonts w:hint="eastAsia" w:ascii="宋体" w:hAnsi="宋体"/>
          <w:sz w:val="24"/>
          <w:szCs w:val="24"/>
        </w:rPr>
        <w:t xml:space="preserve">号</w:t>
      </w:r>
      <w:r>
        <w:rPr>
          <w:rFonts w:hint="eastAsia" w:ascii="宋体" w:hAnsi="宋体"/>
          <w:bCs/>
          <w:sz w:val="24"/>
          <w:szCs w:val="24"/>
          <w:u w:val="single"/>
          <w:lang w:eastAsia="zh-CN"/>
        </w:rPr>
        <w:t xml:space="preserve">宿迁市公安局三重四极杆液质联用仪采购项目</w:t>
      </w:r>
      <w:r>
        <w:rPr>
          <w:rFonts w:hint="eastAsia" w:ascii="宋体" w:hAnsi="宋体"/>
          <w:sz w:val="24"/>
          <w:szCs w:val="24"/>
        </w:rPr>
        <w:t xml:space="preserve">采购活动的合法代理人，以本单位名义全权处理一切与该项目采购有关的事务。</w:t>
      </w:r>
      <w:r/>
    </w:p>
    <w:p>
      <w:pPr>
        <w:pStyle w:val="1064"/>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p>
    <w:p>
      <w:pPr>
        <w:pStyle w:val="1064"/>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064"/>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064"/>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064"/>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064"/>
        <w:ind w:firstLine="482"/>
        <w:spacing w:line="480" w:lineRule="exact"/>
        <w:rPr>
          <w:rFonts w:hint="eastAsia" w:ascii="宋体" w:hAnsi="宋体"/>
          <w:sz w:val="24"/>
          <w:szCs w:val="24"/>
        </w:rPr>
      </w:pPr>
      <w:r>
        <w:rPr>
          <w:rFonts w:hint="eastAsia"/>
          <w:sz w:val="24"/>
          <w:szCs w:val="24"/>
        </w:rPr>
        <w:t xml:space="preserve">日期：</w:t>
      </w:r>
      <w:bookmarkStart w:id="189" w:name="_格式3__银行出具的资信证明"/>
      <w:r/>
      <w:bookmarkEnd w:id="189"/>
      <w:r/>
      <w:bookmarkStart w:id="190" w:name="_Hlt26671380"/>
      <w:r/>
      <w:bookmarkEnd w:id="190"/>
      <w:r/>
      <w:bookmarkStart w:id="191" w:name="_Hlt26955070"/>
      <w:r/>
      <w:bookmarkEnd w:id="191"/>
      <w:r>
        <w:rPr>
          <w:rFonts w:hint="eastAsia"/>
          <w:sz w:val="24"/>
          <w:szCs w:val="24"/>
          <w:u w:val="single"/>
        </w:rPr>
        <w:t xml:space="preserve">                                         </w:t>
      </w:r>
      <w:r/>
    </w:p>
    <w:p>
      <w:pPr>
        <w:pStyle w:val="1016"/>
        <w:ind w:firstLine="629"/>
        <w:spacing w:line="700" w:lineRule="exact"/>
        <w:rPr>
          <w:rFonts w:ascii="方正仿宋_GBK" w:eastAsia="方正仿宋_GBK"/>
          <w:sz w:val="24"/>
        </w:rPr>
      </w:pPr>
      <w:r>
        <w:rPr>
          <w:rFonts w:ascii="方正仿宋_GBK" w:eastAsia="方正仿宋_GBK"/>
          <w:sz w:val="24"/>
        </w:rPr>
      </w:r>
      <w:r/>
    </w:p>
    <w:p>
      <w:pPr>
        <w:pStyle w:val="1070"/>
        <w:outlineLvl w:val="1"/>
      </w:pPr>
      <w:r>
        <w:br w:type="page" w:clear="all"/>
      </w:r>
      <w:bookmarkStart w:id="192" w:name="_Toc13550"/>
      <w:r/>
      <w:bookmarkStart w:id="193" w:name="_Toc30543"/>
      <w:r/>
      <w:bookmarkStart w:id="194" w:name="_Toc27199"/>
      <w:r>
        <w:rPr>
          <w:rFonts w:hint="eastAsia"/>
          <w:b w:val="0"/>
          <w:bCs/>
        </w:rPr>
        <w:t xml:space="preserve">三</w:t>
      </w:r>
      <w:r>
        <w:rPr>
          <w:b w:val="0"/>
          <w:bCs/>
        </w:rPr>
        <w:t xml:space="preserve">、开标一览表</w:t>
      </w:r>
      <w:bookmarkEnd w:id="192"/>
      <w:r/>
      <w:bookmarkEnd w:id="193"/>
      <w:r/>
      <w:bookmarkEnd w:id="194"/>
      <w:r/>
      <w:r/>
    </w:p>
    <w:p>
      <w:pPr>
        <w:pStyle w:val="1034"/>
        <w:rPr>
          <w:rFonts w:hint="eastAsia" w:ascii="宋体" w:hAnsi="宋体" w:eastAsia="宋体" w:cs="宋体"/>
        </w:rPr>
      </w:pPr>
      <w:r>
        <w:rPr>
          <w:rFonts w:hint="eastAsia" w:ascii="宋体" w:hAnsi="宋体" w:eastAsia="宋体" w:cs="宋体"/>
        </w:rPr>
      </w:r>
      <w:r/>
    </w:p>
    <w:p>
      <w:pPr>
        <w:pStyle w:val="978"/>
        <w:ind w:firstLine="442"/>
        <w:spacing w:line="480" w:lineRule="exact"/>
        <w:rPr>
          <w:rFonts w:ascii="Times New Roman" w:hAnsi="Times New Roman"/>
          <w:sz w:val="24"/>
          <w:szCs w:val="24"/>
        </w:rPr>
      </w:pPr>
      <w:r/>
      <w:bookmarkStart w:id="195" w:name="_Toc26543"/>
      <w:r/>
      <w:bookmarkStart w:id="196" w:name="_Toc956"/>
      <w:r/>
      <w:bookmarkStart w:id="197" w:name="_Toc12614"/>
      <w:r>
        <w:rPr>
          <w:rFonts w:hint="eastAsia" w:ascii="宋体" w:hAnsi="宋体" w:cs="宋体"/>
          <w:sz w:val="32"/>
        </w:rPr>
        <w:t xml:space="preserve">格式详见投标文件制作工具</w:t>
      </w:r>
      <w:r/>
    </w:p>
    <w:p>
      <w:pPr>
        <w:pStyle w:val="1108"/>
        <w:rPr>
          <w:rFonts w:hint="eastAsia"/>
        </w:rPr>
        <w:outlineLvl w:val="1"/>
      </w:pPr>
      <w:r>
        <w:rPr>
          <w:rFonts w:hint="eastAsia"/>
          <w:b w:val="0"/>
          <w:bCs/>
        </w:rPr>
        <w:br w:type="page" w:clear="all"/>
      </w:r>
      <w:r>
        <w:rPr>
          <w:rFonts w:hint="eastAsia"/>
          <w:b w:val="0"/>
          <w:bCs/>
        </w:rPr>
        <w:t xml:space="preserve">四</w:t>
      </w:r>
      <w:r>
        <w:rPr>
          <w:b w:val="0"/>
          <w:bCs/>
        </w:rPr>
        <w:t xml:space="preserve">、</w:t>
      </w:r>
      <w:bookmarkEnd w:id="195"/>
      <w:r/>
      <w:bookmarkEnd w:id="196"/>
      <w:r>
        <w:rPr>
          <w:rFonts w:hint="eastAsia"/>
          <w:b w:val="0"/>
          <w:bCs/>
        </w:rPr>
        <w:t xml:space="preserve">分项报价表</w:t>
      </w:r>
      <w:bookmarkEnd w:id="197"/>
      <w:r/>
      <w:r/>
    </w:p>
    <w:p>
      <w:pPr>
        <w:pStyle w:val="955"/>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p>
    <w:p>
      <w:pPr>
        <w:pStyle w:val="955"/>
        <w:jc w:val="center"/>
        <w:rPr>
          <w:rFonts w:hint="eastAsia"/>
          <w:b/>
          <w:bCs/>
        </w:rPr>
      </w:pPr>
      <w:r>
        <w:rPr>
          <w:rFonts w:hint="eastAsia" w:ascii="方正小标宋_GBK" w:eastAsia="方正小标宋_GBK"/>
          <w:bCs/>
          <w:sz w:val="32"/>
          <w:szCs w:val="32"/>
        </w:rPr>
        <w:t xml:space="preserve">（货物类）</w:t>
      </w:r>
      <w:r/>
    </w:p>
    <w:tbl>
      <w:tblPr>
        <w:tblStyle w:val="79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3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3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0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05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33"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953"/>
              <w:jc w:val="center"/>
              <w:spacing w:line="500" w:lineRule="exact"/>
              <w:rPr>
                <w:rFonts w:hint="eastAsia" w:ascii="宋体" w:hAnsi="宋体"/>
                <w:b/>
                <w:bCs/>
                <w:sz w:val="24"/>
              </w:rPr>
            </w:pPr>
            <w:r>
              <w:rPr>
                <w:rFonts w:hint="eastAsia" w:ascii="宋体" w:hAnsi="宋体"/>
                <w:b/>
                <w:bCs/>
                <w:sz w:val="28"/>
                <w:szCs w:val="28"/>
              </w:rPr>
              <w:t xml:space="preserve">投标总报价</w:t>
            </w:r>
            <w:r/>
          </w:p>
        </w:tc>
        <w:tc>
          <w:tcPr>
            <w:gridSpan w:val="6"/>
            <w:tcW w:w="6911" w:type="dxa"/>
            <w:vAlign w:val="center"/>
            <w:textDirection w:val="lrTb"/>
            <w:noWrap w:val="false"/>
          </w:tcPr>
          <w:p>
            <w:pPr>
              <w:pStyle w:val="953"/>
              <w:spacing w:line="500" w:lineRule="exact"/>
              <w:rPr>
                <w:rFonts w:hint="eastAsia" w:ascii="宋体" w:hAnsi="宋体"/>
                <w:b/>
                <w:bCs/>
                <w:sz w:val="24"/>
              </w:rPr>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p>
          <w:p>
            <w:pPr>
              <w:pStyle w:val="953"/>
              <w:spacing w:line="500" w:lineRule="exact"/>
              <w:rPr>
                <w:rFonts w:hint="eastAsia" w:ascii="宋体" w:hAnsi="宋体"/>
                <w:b/>
                <w:bCs/>
                <w:sz w:val="24"/>
              </w:rPr>
            </w:pPr>
            <w:r>
              <w:rPr>
                <w:rFonts w:hint="eastAsia" w:ascii="宋体" w:hAnsi="宋体"/>
                <w:b/>
                <w:bCs/>
                <w:sz w:val="24"/>
              </w:rPr>
              <w:t xml:space="preserve">人民币（大写）：</w:t>
            </w:r>
            <w:r>
              <w:rPr>
                <w:rFonts w:hint="eastAsia" w:ascii="宋体" w:hAnsi="宋体"/>
                <w:b/>
                <w:bCs/>
                <w:sz w:val="24"/>
                <w:u w:val="single"/>
              </w:rPr>
              <w:t xml:space="preserve"> </w:t>
            </w:r>
            <w:r>
              <w:rPr>
                <w:rFonts w:ascii="宋体" w:hAnsi="宋体"/>
                <w:b/>
                <w:bCs/>
                <w:sz w:val="24"/>
                <w:u w:val="single"/>
              </w:rPr>
              <w:t xml:space="preserve">    </w:t>
            </w:r>
            <w:r>
              <w:rPr>
                <w:rFonts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p>
        </w:tc>
      </w:tr>
      <w:tr>
        <w:trPr>
          <w:cantSplit/>
          <w:trHeight w:val="677"/>
        </w:trPr>
        <w:tc>
          <w:tcPr>
            <w:gridSpan w:val="9"/>
            <w:tcW w:w="9277" w:type="dxa"/>
            <w:vAlign w:val="top"/>
            <w:textDirection w:val="lrTb"/>
            <w:noWrap w:val="false"/>
          </w:tcPr>
          <w:p>
            <w:pPr>
              <w:pStyle w:val="886"/>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Times New Roman" w:hAnsi="Times New Roman"/>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采用总承包方式，“投标总报价”应包括所投货物（包含与货物相关的服务）费用、安装调试费、</w:t>
      </w:r>
      <w:r>
        <w:rPr>
          <w:rFonts w:hint="eastAsia" w:ascii="Times New Roman" w:hAnsi="Times New Roman"/>
          <w:color w:val="ff0000"/>
          <w:sz w:val="24"/>
          <w:szCs w:val="21"/>
        </w:rPr>
        <w:t xml:space="preserve">特检院新梯验收监督检验费、</w:t>
      </w:r>
      <w:r>
        <w:rPr>
          <w:rFonts w:hint="eastAsia" w:ascii="Times New Roman" w:hAnsi="Times New Roman"/>
          <w:sz w:val="24"/>
          <w:szCs w:val="21"/>
        </w:rPr>
        <w:t xml:space="preserve">测试验收费、培训费、</w:t>
      </w:r>
      <w:r>
        <w:rPr>
          <w:rFonts w:hint="eastAsia" w:ascii="Times New Roman" w:hAnsi="Times New Roman"/>
          <w:b/>
          <w:bCs/>
          <w:color w:val="ee0000"/>
          <w:sz w:val="24"/>
          <w:szCs w:val="21"/>
        </w:rPr>
        <w:t xml:space="preserve">运行维护费用</w:t>
      </w:r>
      <w:r>
        <w:rPr>
          <w:rFonts w:hint="eastAsia" w:ascii="Times New Roman" w:hAnsi="Times New Roman"/>
          <w:sz w:val="24"/>
          <w:szCs w:val="21"/>
        </w:rPr>
        <w:t xml:space="preserve">、税金、国际（如果</w:t>
      </w:r>
      <w:r>
        <w:rPr>
          <w:rFonts w:ascii="Times New Roman" w:hAnsi="Times New Roman"/>
          <w:sz w:val="24"/>
          <w:szCs w:val="21"/>
        </w:rPr>
        <w:t xml:space="preserve">有</w:t>
      </w:r>
      <w:r>
        <w:rPr>
          <w:rFonts w:hint="eastAsia" w:ascii="Times New Roman" w:hAnsi="Times New Roman"/>
          <w:sz w:val="24"/>
          <w:szCs w:val="21"/>
        </w:rPr>
        <w:t xml:space="preserve">）国内运输保险、报关清关（如果</w:t>
      </w:r>
      <w:r>
        <w:rPr>
          <w:rFonts w:ascii="Times New Roman" w:hAnsi="Times New Roman"/>
          <w:sz w:val="24"/>
          <w:szCs w:val="21"/>
        </w:rPr>
        <w:t xml:space="preserve">有</w:t>
      </w:r>
      <w:r>
        <w:rPr>
          <w:rFonts w:hint="eastAsia" w:ascii="Times New Roman" w:hAnsi="Times New Roman"/>
          <w:sz w:val="24"/>
          <w:szCs w:val="21"/>
        </w:rPr>
        <w:t xml:space="preserve">）、开证（如果</w:t>
      </w:r>
      <w:r>
        <w:rPr>
          <w:rFonts w:ascii="Times New Roman" w:hAnsi="Times New Roman"/>
          <w:sz w:val="24"/>
          <w:szCs w:val="21"/>
        </w:rPr>
        <w:t xml:space="preserve">有</w:t>
      </w:r>
      <w:r>
        <w:rPr>
          <w:rFonts w:hint="eastAsia" w:ascii="Times New Roman" w:hAnsi="Times New Roman"/>
          <w:sz w:val="24"/>
          <w:szCs w:val="21"/>
        </w:rPr>
        <w:t xml:space="preserve">）、办理全套免税手续费用（如果</w:t>
      </w:r>
      <w:r>
        <w:rPr>
          <w:rFonts w:ascii="Times New Roman" w:hAnsi="Times New Roman"/>
          <w:sz w:val="24"/>
          <w:szCs w:val="21"/>
        </w:rPr>
        <w:t xml:space="preserve">有</w:t>
      </w:r>
      <w:r>
        <w:rPr>
          <w:rFonts w:hint="eastAsia" w:ascii="Times New Roman" w:hAnsi="Times New Roman"/>
          <w:sz w:val="24"/>
          <w:szCs w:val="21"/>
        </w:rPr>
        <w:t xml:space="preserve">）及其他有关的为完成本项目发生的所有费用，招标文件中另有规定的除外。“投标总报价”数额为各“分项总价”之和。</w:t>
      </w:r>
      <w:r/>
    </w:p>
    <w:p>
      <w:pPr>
        <w:ind w:firstLine="480"/>
        <w:spacing w:line="400" w:lineRule="exact"/>
        <w:rPr>
          <w:rFonts w:hint="eastAsia"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ind w:firstLine="480"/>
        <w:spacing w:line="400" w:lineRule="exact"/>
        <w:rPr>
          <w:rFonts w:hint="eastAsia" w:ascii="Times New Roman" w:hAnsi="Times New Roman"/>
          <w:sz w:val="24"/>
          <w:szCs w:val="21"/>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ascii="宋体" w:hAnsi="宋体"/>
          <w:sz w:val="24"/>
          <w:szCs w:val="24"/>
        </w:rPr>
      </w:pPr>
      <w:r>
        <w:rPr>
          <w:rFonts w:ascii="宋体" w:hAnsi="宋体"/>
          <w:sz w:val="24"/>
          <w:szCs w:val="24"/>
        </w:rPr>
      </w:r>
      <w:r/>
    </w:p>
    <w:p>
      <w:pPr>
        <w:spacing w:line="480" w:lineRule="exact"/>
      </w:pPr>
      <w:r/>
      <w:r/>
    </w:p>
    <w:p>
      <w:pPr>
        <w:pStyle w:val="955"/>
        <w:jc w:val="center"/>
        <w:rPr>
          <w:rFonts w:hint="eastAsia" w:ascii="方正小标宋_GBK" w:eastAsia="方正小标宋_GBK"/>
          <w:bCs/>
          <w:sz w:val="32"/>
          <w:szCs w:val="32"/>
        </w:rPr>
      </w:pPr>
      <w:r>
        <w:rPr>
          <w:rFonts w:hint="eastAsia" w:ascii="方正小标宋_GBK" w:eastAsia="方正小标宋_GBK"/>
          <w:bCs/>
          <w:sz w:val="32"/>
          <w:szCs w:val="32"/>
        </w:rPr>
      </w:r>
      <w:r/>
    </w:p>
    <w:p>
      <w:pPr>
        <w:pStyle w:val="1062"/>
        <w:rPr>
          <w:rFonts w:hint="eastAsia"/>
          <w:b w:val="0"/>
          <w:bCs/>
        </w:rPr>
        <w:outlineLvl w:val="1"/>
      </w:pPr>
      <w:r/>
      <w:bookmarkStart w:id="198" w:name="_Toc2747"/>
      <w:r/>
      <w:bookmarkStart w:id="199" w:name="_Toc17418"/>
      <w:r/>
      <w:bookmarkStart w:id="200" w:name="_Toc21129"/>
      <w:r>
        <w:rPr>
          <w:rFonts w:hint="eastAsia"/>
          <w:b w:val="0"/>
          <w:bCs/>
        </w:rPr>
        <w:t xml:space="preserve">五、中小企业或残疾人福利性单位声明函</w:t>
      </w:r>
      <w:bookmarkEnd w:id="198"/>
      <w:r/>
      <w:bookmarkEnd w:id="199"/>
      <w:r/>
      <w:bookmarkEnd w:id="200"/>
      <w:r/>
      <w:r/>
    </w:p>
    <w:p>
      <w:pPr>
        <w:pStyle w:val="955"/>
        <w:jc w:val="center"/>
        <w:rPr>
          <w:rFonts w:ascii="方正小标宋_GBK" w:eastAsia="方正小标宋_GBK"/>
          <w:bCs/>
          <w:sz w:val="32"/>
          <w:szCs w:val="32"/>
        </w:rPr>
      </w:pPr>
      <w:r>
        <w:rPr>
          <w:rFonts w:ascii="方正小标宋_GBK" w:eastAsia="方正小标宋_GBK"/>
          <w:bCs/>
          <w:sz w:val="32"/>
          <w:szCs w:val="32"/>
        </w:rPr>
      </w:r>
      <w:r/>
    </w:p>
    <w:p>
      <w:pPr>
        <w:pStyle w:val="978"/>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978"/>
        <w:spacing w:line="480" w:lineRule="exact"/>
        <w:rPr>
          <w:rFonts w:hint="eastAsia" w:ascii="Times New Roman" w:hAnsi="Times New Roman"/>
          <w:sz w:val="24"/>
          <w:szCs w:val="24"/>
        </w:rPr>
      </w:pPr>
      <w:r>
        <w:rPr>
          <w:rFonts w:hint="eastAsia"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ascii="Times New Roman" w:hAnsi="Times New Roman"/>
          <w:sz w:val="24"/>
          <w:szCs w:val="24"/>
        </w:rPr>
      </w:pPr>
      <w:r>
        <w:rPr>
          <w:rFonts w:ascii="Times New Roman" w:hAnsi="Times New Roman"/>
          <w:sz w:val="24"/>
          <w:szCs w:val="24"/>
        </w:rPr>
      </w:r>
      <w:r/>
    </w:p>
    <w:p>
      <w:pPr>
        <w:pStyle w:val="978"/>
        <w:spacing w:line="480" w:lineRule="exact"/>
        <w:rPr>
          <w:rFonts w:hint="eastAsia" w:ascii="Times New Roman" w:hAnsi="Times New Roman"/>
          <w:sz w:val="24"/>
          <w:szCs w:val="24"/>
        </w:rPr>
      </w:pPr>
      <w:r>
        <w:rPr>
          <w:rFonts w:hint="eastAsia" w:ascii="Times New Roman" w:hAnsi="Times New Roman"/>
          <w:sz w:val="24"/>
          <w:szCs w:val="24"/>
        </w:rPr>
      </w:r>
      <w:r/>
    </w:p>
    <w:p>
      <w:pPr>
        <w:pStyle w:val="827"/>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p>
    <w:p>
      <w:pPr>
        <w:jc w:val="cente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 </w:t>
      </w:r>
      <w:r/>
    </w:p>
    <w:p>
      <w:pPr>
        <w:pStyle w:val="978"/>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p>
    <w:p>
      <w:pPr>
        <w:pStyle w:val="827"/>
        <w:spacing w:before="0" w:after="0" w:line="520" w:lineRule="exact"/>
        <w:rPr>
          <w:rFonts w:hint="eastAsia" w:ascii="宋体" w:hAnsi="宋体" w:eastAsia="宋体" w:cs="宋体"/>
          <w:bCs/>
          <w:szCs w:val="32"/>
        </w:rPr>
      </w:pPr>
      <w:r>
        <w:rPr>
          <w:rFonts w:hint="eastAsia" w:ascii="宋体" w:hAnsi="宋体"/>
          <w:bCs/>
        </w:rPr>
        <w:br w:type="page" w:clear="all"/>
      </w:r>
      <w:r>
        <w:rPr>
          <w:rFonts w:hint="eastAsia" w:ascii="宋体" w:hAnsi="宋体"/>
          <w:bCs/>
        </w:rPr>
        <w:t xml:space="preserve">七、</w:t>
      </w:r>
      <w:r>
        <w:rPr>
          <w:rFonts w:hint="eastAsia" w:ascii="宋体" w:hAnsi="宋体" w:eastAsia="宋体" w:cs="宋体"/>
          <w:bCs/>
          <w:szCs w:val="32"/>
        </w:rPr>
        <w:t xml:space="preserve">技术响应偏离表（技术参数响应）</w:t>
      </w:r>
      <w:r/>
    </w:p>
    <w:tbl>
      <w:tblPr>
        <w:tblStyle w:val="793"/>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rPr>
            </w:pPr>
            <w:r>
              <w:rPr>
                <w:rFonts w:hint="eastAsia" w:ascii="宋体" w:hAnsi="宋体"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rPr>
            </w:pPr>
            <w:r>
              <w:rPr>
                <w:rFonts w:hint="eastAsia" w:ascii="宋体" w:hAnsi="宋体"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sz w:val="28"/>
              </w:rPr>
            </w:pPr>
            <w:r>
              <w:rPr>
                <w:rFonts w:hint="eastAsia" w:ascii="宋体" w:hAnsi="宋体" w:cs="仿宋"/>
                <w:sz w:val="28"/>
              </w:rPr>
              <w:t xml:space="preserve">偏离情况</w:t>
            </w:r>
            <w:r/>
          </w:p>
          <w:p>
            <w:pPr>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bl>
    <w:p>
      <w:pPr>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pStyle w:val="886"/>
        <w:ind w:firstLine="482"/>
        <w:jc w:val="both"/>
        <w:spacing w:before="0" w:beforeAutospacing="0" w:after="0" w:afterAutospacing="0" w:line="400" w:lineRule="exact"/>
        <w:widowControl w:val="off"/>
        <w:rPr>
          <w:rFonts w:cs="仿宋"/>
          <w:b/>
          <w:bCs/>
          <w:szCs w:val="28"/>
        </w:rPr>
      </w:pPr>
      <w:r>
        <w:rPr>
          <w:rFonts w:cs="仿宋"/>
          <w:b/>
          <w:bCs/>
          <w:szCs w:val="28"/>
        </w:rPr>
      </w:r>
      <w:r/>
    </w:p>
    <w:p>
      <w:pPr>
        <w:pStyle w:val="886"/>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p>
    <w:p>
      <w:pPr>
        <w:pStyle w:val="886"/>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p>
    <w:p>
      <w:pPr>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rPr>
          <w:rFonts w:hint="eastAsia" w:ascii="仿宋" w:hAnsi="仿宋" w:eastAsia="仿宋" w:cs="仿宋"/>
          <w:color w:val="ff0000"/>
          <w:szCs w:val="21"/>
        </w:rPr>
      </w:pPr>
      <w:r>
        <w:rPr>
          <w:rFonts w:hint="eastAsia" w:ascii="仿宋" w:hAnsi="仿宋" w:eastAsia="仿宋" w:cs="仿宋"/>
          <w:color w:val="ff0000"/>
          <w:szCs w:val="21"/>
        </w:rPr>
      </w:r>
      <w:r/>
    </w:p>
    <w:p>
      <w:pPr>
        <w:ind w:firstLine="210"/>
        <w:rPr>
          <w:rFonts w:hint="eastAsia" w:ascii="仿宋" w:hAnsi="仿宋" w:eastAsia="仿宋" w:cs="仿宋"/>
          <w:szCs w:val="21"/>
        </w:rPr>
      </w:pPr>
      <w:r>
        <w:rPr>
          <w:rFonts w:hint="eastAsia" w:ascii="仿宋" w:hAnsi="仿宋" w:eastAsia="仿宋" w:cs="仿宋"/>
          <w:szCs w:val="21"/>
        </w:rPr>
      </w:r>
      <w:r/>
    </w:p>
    <w:p>
      <w:pPr>
        <w:pStyle w:val="1062"/>
        <w:ind w:left="210"/>
        <w:rPr>
          <w:rFonts w:hint="eastAsia" w:ascii="宋体"/>
          <w:b w:val="0"/>
          <w:szCs w:val="32"/>
        </w:rPr>
        <w:outlineLvl w:val="1"/>
      </w:pPr>
      <w:r>
        <w:rPr>
          <w:rFonts w:hint="eastAsia" w:ascii="宋体"/>
          <w:b w:val="0"/>
          <w:szCs w:val="32"/>
        </w:rPr>
        <w:br w:type="page" w:clear="all"/>
      </w:r>
      <w:bookmarkStart w:id="201" w:name="OLE_LINK80"/>
      <w:r>
        <w:rPr>
          <w:rFonts w:hint="eastAsia" w:ascii="宋体"/>
          <w:b w:val="0"/>
          <w:szCs w:val="32"/>
        </w:rPr>
        <w:t xml:space="preserve">八、企业业绩</w:t>
      </w:r>
      <w:bookmarkEnd w:id="201"/>
      <w:r/>
      <w:r/>
    </w:p>
    <w:p>
      <w:pPr>
        <w:pStyle w:val="1107"/>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202"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107"/>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bookmarkEnd w:id="202"/>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vAlign w:val="top"/>
            <w:textDirection w:val="lrTb"/>
            <w:noWrap w:val="false"/>
          </w:tcPr>
          <w:p>
            <w:pPr>
              <w:pStyle w:val="1077"/>
              <w:jc w:val="center"/>
              <w:spacing w:line="500" w:lineRule="exact"/>
              <w:widowControl/>
              <w:rPr>
                <w:rFonts w:ascii="宋体" w:hAnsi="宋体" w:cs="仿宋"/>
                <w:sz w:val="28"/>
                <w:szCs w:val="28"/>
              </w:rPr>
            </w:pPr>
            <w:r>
              <w:rPr>
                <w:rFonts w:hint="eastAsia" w:ascii="宋体" w:hAnsi="宋体" w:cs="仿宋"/>
                <w:sz w:val="28"/>
                <w:szCs w:val="28"/>
              </w:rPr>
              <w:t xml:space="preserve">序</w:t>
            </w:r>
            <w:r/>
          </w:p>
          <w:p>
            <w:pPr>
              <w:pStyle w:val="1077"/>
              <w:jc w:val="center"/>
              <w:spacing w:line="500" w:lineRule="exact"/>
              <w:widowControl/>
              <w:rPr>
                <w:rFonts w:ascii="宋体" w:hAnsi="宋体" w:cs="仿宋"/>
                <w:sz w:val="28"/>
                <w:szCs w:val="28"/>
              </w:rPr>
            </w:pPr>
            <w:r>
              <w:rPr>
                <w:rFonts w:hint="eastAsia" w:ascii="宋体" w:hAnsi="宋体" w:cs="仿宋"/>
                <w:sz w:val="28"/>
                <w:szCs w:val="28"/>
              </w:rPr>
              <w:t xml:space="preserve">号</w:t>
            </w:r>
            <w:r/>
          </w:p>
        </w:tc>
        <w:tc>
          <w:tcPr>
            <w:tcW w:w="3583" w:type="dxa"/>
            <w:vAlign w:val="center"/>
            <w:textDirection w:val="lrTb"/>
            <w:noWrap w:val="false"/>
          </w:tcPr>
          <w:p>
            <w:pPr>
              <w:pStyle w:val="1077"/>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p>
        </w:tc>
        <w:tc>
          <w:tcPr>
            <w:tcW w:w="1417" w:type="dxa"/>
            <w:vAlign w:val="center"/>
            <w:textDirection w:val="lrTb"/>
            <w:noWrap w:val="false"/>
          </w:tcPr>
          <w:p>
            <w:pPr>
              <w:pStyle w:val="1077"/>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p>
        </w:tc>
        <w:tc>
          <w:tcPr>
            <w:tcW w:w="1701" w:type="dxa"/>
            <w:vAlign w:val="center"/>
            <w:textDirection w:val="lrTb"/>
            <w:noWrap w:val="false"/>
          </w:tcPr>
          <w:p>
            <w:pPr>
              <w:pStyle w:val="1077"/>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p>
        </w:tc>
        <w:tc>
          <w:tcPr>
            <w:tcW w:w="954" w:type="dxa"/>
            <w:vAlign w:val="center"/>
            <w:textDirection w:val="lrTb"/>
            <w:noWrap w:val="false"/>
          </w:tcPr>
          <w:p>
            <w:pPr>
              <w:pStyle w:val="1077"/>
              <w:jc w:val="center"/>
              <w:spacing w:line="500" w:lineRule="exact"/>
              <w:widowControl/>
              <w:rPr>
                <w:rFonts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vAlign w:val="top"/>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vAlign w:val="top"/>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vAlign w:val="top"/>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vAlign w:val="top"/>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15"/>
              <w:jc w:val="center"/>
              <w:spacing w:line="560" w:lineRule="exact"/>
              <w:rPr>
                <w:rFonts w:ascii="仿宋_GB2312" w:eastAsia="仿宋_GB2312"/>
                <w:sz w:val="28"/>
              </w:rPr>
            </w:pPr>
            <w:r>
              <w:rPr>
                <w:rFonts w:ascii="仿宋_GB2312" w:eastAsia="仿宋_GB2312"/>
                <w:sz w:val="28"/>
              </w:rPr>
            </w:r>
            <w:r/>
          </w:p>
        </w:tc>
      </w:tr>
    </w:tbl>
    <w:p>
      <w:pPr>
        <w:ind w:firstLine="210"/>
        <w:spacing w:line="480" w:lineRule="exact"/>
        <w:rPr>
          <w:rFonts w:ascii="宋体" w:hAnsi="宋体"/>
          <w:bCs/>
          <w:sz w:val="24"/>
        </w:rPr>
      </w:pPr>
      <w:r>
        <w:rPr>
          <w:rFonts w:hint="eastAsia" w:ascii="宋体" w:hAnsi="宋体"/>
          <w:bCs/>
          <w:sz w:val="24"/>
        </w:rPr>
        <w:t xml:space="preserve">注：1.请填写此表，并按要求上传业绩资料电子件。</w:t>
      </w:r>
      <w:r/>
    </w:p>
    <w:p>
      <w:pPr>
        <w:ind w:firstLine="210"/>
        <w:spacing w:line="480" w:lineRule="exact"/>
        <w:rPr>
          <w:rFonts w:ascii="宋体" w:hAnsi="宋体"/>
          <w:bCs/>
          <w:sz w:val="24"/>
        </w:rPr>
      </w:pPr>
      <w:r>
        <w:rPr>
          <w:rFonts w:ascii="宋体" w:hAnsi="宋体"/>
          <w:bCs/>
          <w:sz w:val="24"/>
        </w:rPr>
      </w:r>
      <w:r/>
    </w:p>
    <w:p>
      <w:pPr>
        <w:ind w:firstLine="210"/>
        <w:spacing w:line="480" w:lineRule="exact"/>
        <w:rPr>
          <w:rFonts w:ascii="宋体" w:hAnsi="宋体"/>
          <w:bCs/>
          <w:sz w:val="24"/>
        </w:rPr>
      </w:pPr>
      <w:r>
        <w:rPr>
          <w:rFonts w:ascii="宋体" w:hAnsi="宋体"/>
          <w:bCs/>
          <w:sz w:val="24"/>
        </w:rPr>
      </w:r>
      <w:r/>
    </w:p>
    <w:p>
      <w:pPr>
        <w:ind w:firstLine="210"/>
        <w:spacing w:line="480" w:lineRule="exact"/>
        <w:rPr>
          <w:rFonts w:ascii="宋体" w:hAnsi="宋体"/>
          <w:bCs/>
          <w:sz w:val="24"/>
        </w:rPr>
      </w:pPr>
      <w:r>
        <w:rPr>
          <w:rFonts w:ascii="宋体" w:hAnsi="宋体"/>
          <w:bCs/>
          <w:sz w:val="24"/>
        </w:rPr>
      </w:r>
      <w:r/>
    </w:p>
    <w:p>
      <w:pPr>
        <w:ind w:firstLine="210"/>
        <w:spacing w:line="480" w:lineRule="exact"/>
        <w:rPr>
          <w:rFonts w:ascii="宋体" w:hAnsi="宋体"/>
          <w:bCs/>
          <w:sz w:val="24"/>
        </w:rPr>
      </w:pPr>
      <w:r>
        <w:rPr>
          <w:rFonts w:ascii="宋体" w:hAnsi="宋体"/>
          <w:bCs/>
          <w:sz w:val="24"/>
        </w:rPr>
      </w:r>
      <w:r/>
    </w:p>
    <w:p>
      <w:pPr>
        <w:ind w:firstLine="210"/>
        <w:spacing w:line="480" w:lineRule="exact"/>
        <w:rPr>
          <w:rFonts w:ascii="宋体" w:hAnsi="宋体"/>
          <w:bCs/>
          <w:sz w:val="24"/>
        </w:rPr>
      </w:pPr>
      <w:r>
        <w:rPr>
          <w:rFonts w:ascii="宋体" w:hAnsi="宋体"/>
          <w:bCs/>
          <w:sz w:val="24"/>
        </w:rPr>
      </w:r>
      <w:r/>
    </w:p>
    <w:p>
      <w:pPr>
        <w:ind w:firstLine="210"/>
        <w:spacing w:line="480" w:lineRule="exact"/>
        <w:rPr>
          <w:rFonts w:ascii="宋体" w:hAnsi="宋体"/>
          <w:bCs/>
          <w:sz w:val="24"/>
        </w:rPr>
      </w:pPr>
      <w:r>
        <w:rPr>
          <w:rFonts w:ascii="宋体" w:hAnsi="宋体"/>
          <w:bCs/>
          <w:sz w:val="24"/>
        </w:rPr>
      </w:r>
      <w:r/>
    </w:p>
    <w:p>
      <w:pPr>
        <w:ind w:firstLine="210"/>
        <w:spacing w:line="480" w:lineRule="exact"/>
        <w:rPr>
          <w:rFonts w:ascii="宋体" w:hAnsi="宋体"/>
          <w:bCs/>
          <w:sz w:val="24"/>
        </w:rPr>
      </w:pPr>
      <w:r>
        <w:rPr>
          <w:rFonts w:ascii="宋体" w:hAnsi="宋体"/>
          <w:bCs/>
          <w:sz w:val="24"/>
        </w:rPr>
      </w:r>
      <w:r/>
    </w:p>
    <w:p>
      <w:pPr>
        <w:spacing w:line="480" w:lineRule="exact"/>
        <w:rPr>
          <w:rFonts w:hint="eastAsia" w:ascii="宋体" w:hAnsi="宋体"/>
          <w:bCs/>
          <w:sz w:val="24"/>
        </w:rPr>
      </w:pPr>
      <w:r>
        <w:rPr>
          <w:rFonts w:hint="eastAsia" w:ascii="宋体" w:hAnsi="宋体"/>
          <w:bCs/>
          <w:sz w:val="24"/>
        </w:rPr>
      </w:r>
      <w:r/>
    </w:p>
    <w:p>
      <w:pPr>
        <w:pStyle w:val="827"/>
        <w:rPr>
          <w:rFonts w:hint="eastAsia" w:ascii="黑体" w:hAnsi="黑体" w:eastAsia="黑体" w:cs="黑体"/>
          <w:b w:val="0"/>
          <w:bCs w:val="0"/>
        </w:rPr>
      </w:pPr>
      <w:r>
        <w:rPr>
          <w:rFonts w:hint="eastAsia" w:ascii="宋体" w:hAnsi="黑体" w:eastAsia="黑体" w:cs="黑体"/>
          <w:sz w:val="32"/>
          <w:szCs w:val="32"/>
        </w:rPr>
        <w:t xml:space="preserve">九、</w:t>
      </w:r>
      <w:bookmarkStart w:id="203" w:name="_Toc9275"/>
      <w:r/>
      <w:bookmarkStart w:id="204" w:name="_Toc26048"/>
      <w:r>
        <w:rPr>
          <w:rFonts w:hint="eastAsia" w:ascii="黑体" w:hAnsi="黑体" w:eastAsia="黑体" w:cs="黑体"/>
          <w:b w:val="0"/>
          <w:bCs w:val="0"/>
        </w:rPr>
        <w:t xml:space="preserve">项目组人员</w:t>
      </w:r>
      <w:r/>
    </w:p>
    <w:tbl>
      <w:tblPr>
        <w:tblStyle w:val="793"/>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7"/>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姓名</w:t>
            </w:r>
            <w:r/>
          </w:p>
        </w:tc>
        <w:tc>
          <w:tcPr>
            <w:tcW w:w="1843" w:type="dxa"/>
            <w:vAlign w:val="center"/>
            <w:textDirection w:val="lrTb"/>
            <w:noWrap w:val="false"/>
          </w:tcPr>
          <w:p>
            <w:pPr>
              <w:pStyle w:val="1077"/>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职务</w:t>
            </w:r>
            <w:r/>
          </w:p>
        </w:tc>
        <w:tc>
          <w:tcPr>
            <w:tcW w:w="992" w:type="dxa"/>
            <w:vAlign w:val="center"/>
            <w:textDirection w:val="lrTb"/>
            <w:noWrap w:val="false"/>
          </w:tcPr>
          <w:p>
            <w:pPr>
              <w:pStyle w:val="1077"/>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学历</w:t>
            </w:r>
            <w:r/>
          </w:p>
        </w:tc>
        <w:tc>
          <w:tcPr>
            <w:tcW w:w="1984" w:type="dxa"/>
            <w:vAlign w:val="center"/>
            <w:textDirection w:val="lrTb"/>
            <w:noWrap w:val="false"/>
          </w:tcPr>
          <w:p>
            <w:pPr>
              <w:pStyle w:val="1077"/>
              <w:ind w:firstLine="280"/>
              <w:spacing w:beforeAutospacing="1" w:line="560" w:lineRule="exact"/>
              <w:widowControl/>
              <w:rPr>
                <w:rFonts w:hint="eastAsia" w:ascii="宋体" w:hAnsi="宋体" w:cs="仿宋"/>
                <w:sz w:val="28"/>
                <w:szCs w:val="28"/>
              </w:rPr>
            </w:pPr>
            <w:r>
              <w:rPr>
                <w:rFonts w:hint="eastAsia" w:ascii="宋体" w:hAnsi="宋体" w:cs="仿宋"/>
                <w:sz w:val="28"/>
                <w:szCs w:val="28"/>
              </w:rPr>
              <w:t xml:space="preserve">身份证号</w:t>
            </w:r>
            <w:r/>
          </w:p>
        </w:tc>
        <w:tc>
          <w:tcPr>
            <w:tcW w:w="1702" w:type="dxa"/>
            <w:vAlign w:val="center"/>
            <w:textDirection w:val="lrTb"/>
            <w:noWrap w:val="false"/>
          </w:tcPr>
          <w:p>
            <w:pPr>
              <w:pStyle w:val="1077"/>
              <w:jc w:val="center"/>
              <w:spacing w:beforeAutospacing="1" w:line="560" w:lineRule="exact"/>
              <w:widowControl/>
              <w:rPr>
                <w:rFonts w:hint="eastAsia" w:ascii="宋体" w:hAnsi="宋体" w:cs="仿宋"/>
                <w:sz w:val="28"/>
                <w:szCs w:val="28"/>
              </w:rPr>
            </w:pPr>
            <w:r>
              <w:rPr>
                <w:rFonts w:hint="eastAsia" w:ascii="宋体" w:hAnsi="宋体" w:cs="仿宋"/>
                <w:sz w:val="28"/>
                <w:szCs w:val="28"/>
              </w:rPr>
              <w:t xml:space="preserve">相关证书</w:t>
            </w:r>
            <w:r/>
          </w:p>
        </w:tc>
        <w:tc>
          <w:tcPr>
            <w:tcW w:w="962" w:type="dxa"/>
            <w:vAlign w:val="center"/>
            <w:textDirection w:val="lrTb"/>
            <w:noWrap w:val="false"/>
          </w:tcPr>
          <w:p>
            <w:pPr>
              <w:pStyle w:val="1077"/>
              <w:spacing w:beforeAutospacing="1" w:line="560" w:lineRule="exact"/>
              <w:widowControl/>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W w:w="959"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060"/>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060"/>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060"/>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060"/>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060"/>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060"/>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060"/>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pStyle w:val="1060"/>
              <w:jc w:val="cente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pStyle w:val="10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注：如投标人中标，项目组成员按本表承诺人员操作，不得随意更换。</w:t>
      </w:r>
      <w:bookmarkStart w:id="205" w:name="_格式2__法定代表人授权书"/>
      <w:r/>
      <w:bookmarkEnd w:id="205"/>
      <w:r/>
      <w:bookmarkStart w:id="206" w:name="OLE_LINK8"/>
      <w:r/>
      <w:bookmarkEnd w:id="206"/>
      <w:r/>
      <w:r/>
    </w:p>
    <w:p>
      <w:pPr>
        <w:rPr>
          <w:rFonts w:hint="eastAsia" w:ascii="仿宋" w:hAnsi="仿宋" w:eastAsia="仿宋" w:cs="仿宋"/>
          <w:color w:val="ff0000"/>
          <w:szCs w:val="21"/>
        </w:rPr>
      </w:pPr>
      <w:r>
        <w:rPr>
          <w:rFonts w:hint="eastAsia" w:ascii="仿宋" w:hAnsi="仿宋" w:eastAsia="仿宋" w:cs="仿宋"/>
          <w:color w:val="ff0000"/>
          <w:szCs w:val="21"/>
        </w:rPr>
      </w:r>
      <w:r/>
    </w:p>
    <w:p>
      <w:pPr>
        <w:ind w:firstLine="210"/>
        <w:rPr>
          <w:rFonts w:hint="eastAsia" w:ascii="仿宋" w:hAnsi="仿宋" w:eastAsia="仿宋" w:cs="仿宋"/>
          <w:szCs w:val="21"/>
        </w:rPr>
      </w:pPr>
      <w:r>
        <w:rPr>
          <w:rFonts w:hint="eastAsia" w:ascii="仿宋" w:hAnsi="仿宋" w:eastAsia="仿宋" w:cs="仿宋"/>
          <w:szCs w:val="21"/>
        </w:rPr>
      </w:r>
      <w:r/>
    </w:p>
    <w:p>
      <w:pPr>
        <w:spacing w:line="480" w:lineRule="exact"/>
        <w:rPr>
          <w:rFonts w:hint="eastAsia" w:ascii="宋体" w:hAnsi="黑体" w:eastAsia="黑体" w:cs="黑体"/>
          <w:sz w:val="32"/>
          <w:szCs w:val="32"/>
        </w:rPr>
        <w:outlineLvl w:val="1"/>
      </w:pPr>
      <w:r>
        <w:rPr>
          <w:rFonts w:hint="eastAsia" w:ascii="宋体" w:hAnsi="黑体" w:eastAsia="黑体" w:cs="黑体"/>
          <w:sz w:val="32"/>
          <w:szCs w:val="32"/>
        </w:rPr>
      </w:r>
      <w:r/>
    </w:p>
    <w:p>
      <w:pPr>
        <w:spacing w:line="480" w:lineRule="exact"/>
        <w:rPr>
          <w:rFonts w:hint="eastAsia" w:ascii="宋体"/>
          <w:szCs w:val="32"/>
        </w:rPr>
        <w:outlineLvl w:val="1"/>
      </w:pPr>
      <w:r>
        <w:rPr>
          <w:rFonts w:hint="eastAsia" w:ascii="宋体" w:hAnsi="黑体" w:eastAsia="黑体" w:cs="黑体"/>
          <w:sz w:val="32"/>
          <w:szCs w:val="32"/>
          <w:lang w:val="en-US" w:eastAsia="zh-CN"/>
        </w:rPr>
        <w:t xml:space="preserve">十、</w:t>
      </w:r>
      <w:r>
        <w:rPr>
          <w:rFonts w:hint="eastAsia" w:ascii="宋体" w:hAnsi="黑体" w:eastAsia="黑体" w:cs="黑体"/>
          <w:sz w:val="32"/>
          <w:szCs w:val="32"/>
        </w:rPr>
        <w:t xml:space="preserve">投标所需其他材料</w:t>
      </w:r>
      <w:bookmarkEnd w:id="203"/>
      <w:r/>
      <w:bookmarkEnd w:id="204"/>
      <w:r/>
      <w:r/>
    </w:p>
    <w:p>
      <w:pPr>
        <w:pStyle w:val="1118"/>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0"/>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0"/>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106"/>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908"/>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Normal"/>
    <w:link w:val="940"/>
    <w:uiPriority w:val="0"/>
    <w:qFormat/>
    <w:pPr>
      <w:jc w:val="both"/>
      <w:widowControl w:val="off"/>
    </w:pPr>
    <w:rPr>
      <w:rFonts w:hint="default" w:ascii="Calibri" w:hAnsi="Calibri" w:eastAsia="宋体" w:cs="Times New Roman"/>
      <w:sz w:val="21"/>
      <w:szCs w:val="22"/>
      <w:lang w:val="en-US" w:eastAsia="zh-CN" w:bidi="ar-SA"/>
    </w:rPr>
  </w:style>
  <w:style w:type="paragraph" w:styleId="783">
    <w:name w:val="Heading 1"/>
    <w:basedOn w:val="782"/>
    <w:next w:val="782"/>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94"/>
    <w:uiPriority w:val="9"/>
    <w:unhideWhenUsed/>
    <w:qFormat/>
    <w:pPr>
      <w:keepLines/>
      <w:keepNext/>
      <w:spacing w:before="360" w:after="200"/>
      <w:outlineLvl w:val="1"/>
    </w:pPr>
    <w:rPr>
      <w:rFonts w:ascii="Arial" w:hAnsi="Arial" w:eastAsia="Arial" w:cs="Arial"/>
      <w:sz w:val="34"/>
    </w:rPr>
  </w:style>
  <w:style w:type="paragraph" w:styleId="785">
    <w:name w:val="Heading 3"/>
    <w:basedOn w:val="795"/>
    <w:next w:val="796"/>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uiPriority w:val="9"/>
    <w:unhideWhenUsed/>
    <w:qFormat/>
    <w:pPr>
      <w:keepLines/>
      <w:keepNext/>
      <w:spacing w:before="320" w:after="200"/>
      <w:outlineLvl w:val="8"/>
    </w:pPr>
    <w:rPr>
      <w:rFonts w:ascii="Arial" w:hAnsi="Arial" w:eastAsia="Arial" w:cs="Arial"/>
      <w:i/>
      <w:iCs/>
      <w:sz w:val="21"/>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Normal Indent"/>
    <w:basedOn w:val="782"/>
    <w:uiPriority w:val="99"/>
    <w:qFormat/>
    <w:pPr>
      <w:ind w:firstLine="420"/>
    </w:pPr>
    <w:rPr>
      <w:rFonts w:ascii="宋体"/>
      <w:color w:val="000000"/>
      <w:sz w:val="24"/>
      <w:szCs w:val="20"/>
    </w:rPr>
  </w:style>
  <w:style w:type="paragraph" w:styleId="795" w:customStyle="1">
    <w:name w:val="Normal1"/>
    <w:next w:val="785"/>
    <w:uiPriority w:val="0"/>
    <w:qFormat/>
    <w:pPr>
      <w:jc w:val="both"/>
      <w:widowControl w:val="off"/>
    </w:pPr>
    <w:rPr>
      <w:rFonts w:hint="default" w:ascii="Calibri" w:hAnsi="Calibri" w:eastAsia="宋体" w:cs="Times New Roman"/>
      <w:sz w:val="21"/>
      <w:szCs w:val="22"/>
      <w:lang w:val="en-US" w:eastAsia="zh-CN" w:bidi="ar-SA"/>
    </w:rPr>
  </w:style>
  <w:style w:type="paragraph" w:styleId="796" w:customStyle="1">
    <w:name w:val="Normal_19"/>
    <w:next w:val="797"/>
    <w:uiPriority w:val="0"/>
    <w:qFormat/>
    <w:rPr>
      <w:rFonts w:hint="default" w:ascii="黑体" w:hAnsi="黑体" w:eastAsia="黑体" w:cs="黑体"/>
      <w:b/>
      <w:sz w:val="32"/>
      <w:szCs w:val="24"/>
      <w:lang w:val="en-US" w:eastAsia="zh-CN" w:bidi="ar-SA"/>
    </w:rPr>
  </w:style>
  <w:style w:type="paragraph" w:styleId="797" w:customStyle="1">
    <w:name w:val="Normal"/>
    <w:next w:val="798"/>
    <w:uiPriority w:val="0"/>
    <w:qFormat/>
    <w:pPr>
      <w:jc w:val="both"/>
      <w:widowControl w:val="off"/>
    </w:pPr>
    <w:rPr>
      <w:rFonts w:ascii="Times New Roman" w:hAnsi="Times New Roman" w:eastAsia="宋体" w:cs="Times New Roman"/>
      <w:szCs w:val="21"/>
      <w:lang w:val="en-US" w:eastAsia="zh-CN" w:bidi="ar-SA"/>
    </w:rPr>
  </w:style>
  <w:style w:type="paragraph" w:styleId="798" w:customStyle="1">
    <w:name w:val="Body Text First Indent1"/>
    <w:basedOn w:val="799"/>
    <w:uiPriority w:val="99"/>
    <w:unhideWhenUsed/>
    <w:qFormat/>
    <w:pPr>
      <w:ind w:firstLine="420"/>
    </w:pPr>
  </w:style>
  <w:style w:type="paragraph" w:styleId="799" w:customStyle="1">
    <w:name w:val="Body Text1"/>
    <w:basedOn w:val="800"/>
    <w:uiPriority w:val="99"/>
    <w:unhideWhenUsed/>
    <w:qFormat/>
    <w:pPr>
      <w:spacing w:after="120"/>
    </w:pPr>
  </w:style>
  <w:style w:type="paragraph" w:styleId="800" w:customStyle="1">
    <w:name w:val="Normal11"/>
    <w:next w:val="798"/>
    <w:uiPriority w:val="0"/>
    <w:qFormat/>
    <w:pPr>
      <w:jc w:val="both"/>
      <w:widowControl w:val="off"/>
    </w:pPr>
    <w:rPr>
      <w:rFonts w:hint="default" w:ascii="Times New Roman" w:hAnsi="Times New Roman" w:eastAsia="宋体" w:cs="Times New Roman"/>
      <w:szCs w:val="21"/>
      <w:lang w:val="en-US" w:eastAsia="zh-CN" w:bidi="ar-SA"/>
    </w:rPr>
  </w:style>
  <w:style w:type="paragraph" w:styleId="801">
    <w:name w:val="toc 7"/>
    <w:basedOn w:val="782"/>
    <w:next w:val="782"/>
    <w:uiPriority w:val="0"/>
    <w:unhideWhenUsed/>
    <w:qFormat/>
    <w:pPr>
      <w:ind w:left="1701"/>
      <w:spacing w:after="57"/>
    </w:pPr>
  </w:style>
  <w:style w:type="paragraph" w:styleId="802">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toc 5"/>
    <w:basedOn w:val="782"/>
    <w:next w:val="782"/>
    <w:uiPriority w:val="0"/>
    <w:unhideWhenUsed/>
    <w:qFormat/>
    <w:pPr>
      <w:ind w:left="1134"/>
      <w:spacing w:after="57"/>
    </w:pPr>
  </w:style>
  <w:style w:type="paragraph" w:styleId="804">
    <w:name w:val="toc 3"/>
    <w:basedOn w:val="782"/>
    <w:next w:val="782"/>
    <w:uiPriority w:val="0"/>
    <w:unhideWhenUsed/>
    <w:qFormat/>
    <w:pPr>
      <w:ind w:left="567"/>
      <w:spacing w:after="57"/>
    </w:pPr>
  </w:style>
  <w:style w:type="paragraph" w:styleId="805">
    <w:name w:val="toc 8"/>
    <w:basedOn w:val="782"/>
    <w:next w:val="782"/>
    <w:uiPriority w:val="0"/>
    <w:unhideWhenUsed/>
    <w:qFormat/>
    <w:pPr>
      <w:ind w:left="1984"/>
      <w:spacing w:after="57"/>
    </w:pPr>
  </w:style>
  <w:style w:type="paragraph" w:styleId="806">
    <w:name w:val="endnote text"/>
    <w:basedOn w:val="782"/>
    <w:uiPriority w:val="99"/>
    <w:semiHidden/>
    <w:unhideWhenUsed/>
    <w:qFormat/>
    <w:pPr>
      <w:spacing w:after="0" w:line="240" w:lineRule="auto"/>
    </w:pPr>
    <w:rPr>
      <w:sz w:val="20"/>
    </w:rPr>
  </w:style>
  <w:style w:type="paragraph" w:styleId="807">
    <w:name w:val="Footer"/>
    <w:basedOn w:val="782"/>
    <w:uiPriority w:val="99"/>
    <w:unhideWhenUsed/>
    <w:qFormat/>
    <w:pPr>
      <w:spacing w:after="0" w:line="240" w:lineRule="auto"/>
      <w:tabs>
        <w:tab w:val="center" w:pos="7143" w:leader="none"/>
        <w:tab w:val="right" w:pos="14287" w:leader="none"/>
      </w:tabs>
    </w:pPr>
  </w:style>
  <w:style w:type="paragraph" w:styleId="808">
    <w:name w:val="Header"/>
    <w:basedOn w:val="782"/>
    <w:uiPriority w:val="99"/>
    <w:unhideWhenUsed/>
    <w:qFormat/>
    <w:pPr>
      <w:spacing w:after="0" w:line="240" w:lineRule="auto"/>
      <w:tabs>
        <w:tab w:val="center" w:pos="7143" w:leader="none"/>
        <w:tab w:val="right" w:pos="14287" w:leader="none"/>
      </w:tabs>
    </w:pPr>
  </w:style>
  <w:style w:type="paragraph" w:styleId="809">
    <w:name w:val="toc 1"/>
    <w:basedOn w:val="782"/>
    <w:next w:val="782"/>
    <w:uiPriority w:val="0"/>
    <w:qFormat/>
    <w:pPr>
      <w:jc w:val="left"/>
      <w:spacing w:before="120" w:after="120"/>
    </w:pPr>
    <w:rPr>
      <w:rFonts w:cs="Calibri"/>
      <w:b/>
      <w:bCs/>
      <w:caps/>
      <w:sz w:val="20"/>
      <w:szCs w:val="20"/>
    </w:rPr>
  </w:style>
  <w:style w:type="paragraph" w:styleId="810">
    <w:name w:val="toc 4"/>
    <w:basedOn w:val="782"/>
    <w:next w:val="782"/>
    <w:uiPriority w:val="0"/>
    <w:unhideWhenUsed/>
    <w:qFormat/>
    <w:pPr>
      <w:ind w:left="850"/>
      <w:spacing w:after="57"/>
    </w:pPr>
  </w:style>
  <w:style w:type="paragraph" w:styleId="811">
    <w:name w:val="Subtitle"/>
    <w:basedOn w:val="782"/>
    <w:next w:val="782"/>
    <w:uiPriority w:val="11"/>
    <w:qFormat/>
    <w:pPr>
      <w:spacing w:before="200" w:after="200"/>
    </w:pPr>
    <w:rPr>
      <w:sz w:val="24"/>
      <w:szCs w:val="24"/>
    </w:rPr>
  </w:style>
  <w:style w:type="paragraph" w:styleId="812">
    <w:name w:val="footnote text"/>
    <w:basedOn w:val="782"/>
    <w:uiPriority w:val="99"/>
    <w:semiHidden/>
    <w:unhideWhenUsed/>
    <w:qFormat/>
    <w:pPr>
      <w:spacing w:after="40" w:line="240" w:lineRule="auto"/>
    </w:pPr>
    <w:rPr>
      <w:sz w:val="18"/>
    </w:rPr>
  </w:style>
  <w:style w:type="paragraph" w:styleId="813">
    <w:name w:val="toc 6"/>
    <w:basedOn w:val="782"/>
    <w:next w:val="782"/>
    <w:uiPriority w:val="0"/>
    <w:unhideWhenUsed/>
    <w:qFormat/>
    <w:pPr>
      <w:ind w:left="1417"/>
      <w:spacing w:after="57"/>
    </w:pPr>
  </w:style>
  <w:style w:type="paragraph" w:styleId="814">
    <w:name w:val="table of figures"/>
    <w:basedOn w:val="782"/>
    <w:next w:val="782"/>
    <w:uiPriority w:val="99"/>
    <w:unhideWhenUsed/>
    <w:qFormat/>
    <w:pPr>
      <w:spacing w:after="0" w:afterAutospacing="0"/>
    </w:pPr>
  </w:style>
  <w:style w:type="paragraph" w:styleId="815">
    <w:name w:val="toc 2"/>
    <w:basedOn w:val="782"/>
    <w:next w:val="782"/>
    <w:uiPriority w:val="0"/>
    <w:qFormat/>
    <w:pPr>
      <w:ind w:left="210"/>
      <w:jc w:val="left"/>
    </w:pPr>
    <w:rPr>
      <w:rFonts w:cs="Calibri"/>
      <w:smallCaps/>
      <w:sz w:val="20"/>
      <w:szCs w:val="20"/>
    </w:rPr>
  </w:style>
  <w:style w:type="paragraph" w:styleId="816">
    <w:name w:val="toc 9"/>
    <w:basedOn w:val="782"/>
    <w:next w:val="782"/>
    <w:uiPriority w:val="0"/>
    <w:unhideWhenUsed/>
    <w:qFormat/>
    <w:pPr>
      <w:ind w:left="2268"/>
      <w:spacing w:after="57"/>
    </w:pPr>
  </w:style>
  <w:style w:type="paragraph" w:styleId="817">
    <w:name w:val="Title"/>
    <w:basedOn w:val="782"/>
    <w:next w:val="782"/>
    <w:uiPriority w:val="10"/>
    <w:qFormat/>
    <w:pPr>
      <w:contextualSpacing/>
      <w:spacing w:before="300" w:after="200"/>
    </w:pPr>
    <w:rPr>
      <w:sz w:val="48"/>
      <w:szCs w:val="48"/>
    </w:rPr>
  </w:style>
  <w:style w:type="table" w:styleId="8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themeColor="hyperlink"/>
      <w:u w:val="single"/>
      <w14:textFill>
        <w14:solidFill>
          <w14:schemeClr w14:val="hlink"/>
        </w14:solidFill>
      </w14:textFill>
    </w:rPr>
  </w:style>
  <w:style w:type="character" w:styleId="821">
    <w:name w:val="footnote reference"/>
    <w:uiPriority w:val="99"/>
    <w:unhideWhenUsed/>
    <w:qFormat/>
    <w:rPr>
      <w:vertAlign w:val="superscript"/>
    </w:rPr>
  </w:style>
  <w:style w:type="paragraph" w:styleId="822">
    <w:name w:val="List Paragraph"/>
    <w:basedOn w:val="782"/>
    <w:uiPriority w:val="34"/>
    <w:qFormat/>
    <w:pPr>
      <w:contextualSpacing/>
      <w:ind w:left="720"/>
    </w:pPr>
  </w:style>
  <w:style w:type="paragraph" w:styleId="823">
    <w:name w:val="No Spacing"/>
    <w:uiPriority w:val="1"/>
    <w:qFormat/>
    <w:pPr>
      <w:spacing w:before="0" w:after="0" w:line="240" w:lineRule="auto"/>
    </w:pPr>
    <w:rPr>
      <w:rFonts w:hint="default" w:ascii="Times New Roman" w:hAnsi="Times New Roman" w:eastAsia="宋体" w:cs="Times New Roman"/>
    </w:rPr>
  </w:style>
  <w:style w:type="paragraph" w:styleId="824">
    <w:name w:val="Quote"/>
    <w:basedOn w:val="782"/>
    <w:next w:val="782"/>
    <w:uiPriority w:val="29"/>
    <w:qFormat/>
    <w:pPr>
      <w:ind w:left="720" w:right="720"/>
    </w:pPr>
    <w:rPr>
      <w:i/>
    </w:rPr>
  </w:style>
  <w:style w:type="paragraph" w:styleId="825">
    <w:name w:val="Intense Quote"/>
    <w:basedOn w:val="782"/>
    <w:next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6" w:customStyle="1">
    <w:name w:val="标题 11"/>
    <w:basedOn w:val="782"/>
    <w:next w:val="782"/>
    <w:link w:val="838"/>
    <w:uiPriority w:val="0"/>
    <w:qFormat/>
    <w:pPr>
      <w:keepLines/>
      <w:keepNext/>
      <w:spacing w:before="480" w:after="200"/>
      <w:outlineLvl w:val="0"/>
    </w:pPr>
    <w:rPr>
      <w:rFonts w:ascii="Arial" w:hAnsi="Arial" w:eastAsia="Arial" w:cs="Arial"/>
      <w:sz w:val="40"/>
      <w:szCs w:val="40"/>
    </w:rPr>
  </w:style>
  <w:style w:type="paragraph" w:styleId="827" w:customStyle="1">
    <w:name w:val="标题 211"/>
    <w:basedOn w:val="782"/>
    <w:next w:val="828"/>
    <w:link w:val="839"/>
    <w:uiPriority w:val="0"/>
    <w:qFormat/>
    <w:pPr>
      <w:keepLines/>
      <w:keepNext/>
      <w:spacing w:before="260" w:after="260" w:line="413" w:lineRule="auto"/>
      <w:outlineLvl w:val="1"/>
    </w:pPr>
    <w:rPr>
      <w:rFonts w:ascii="Arial" w:hAnsi="Arial" w:eastAsia="黑体"/>
      <w:b/>
      <w:sz w:val="32"/>
      <w:szCs w:val="20"/>
    </w:rPr>
  </w:style>
  <w:style w:type="paragraph" w:styleId="828" w:customStyle="1">
    <w:name w:val="正文缩进11"/>
    <w:basedOn w:val="782"/>
    <w:link w:val="840"/>
    <w:uiPriority w:val="0"/>
    <w:qFormat/>
    <w:pPr>
      <w:ind w:firstLine="420"/>
    </w:pPr>
    <w:rPr>
      <w:rFonts w:ascii="宋体"/>
      <w:color w:val="000000"/>
      <w:sz w:val="24"/>
      <w:szCs w:val="20"/>
    </w:rPr>
  </w:style>
  <w:style w:type="paragraph" w:styleId="829" w:customStyle="1">
    <w:name w:val="标题 311"/>
    <w:basedOn w:val="795"/>
    <w:next w:val="796"/>
    <w:link w:val="841"/>
    <w:uiPriority w:val="0"/>
    <w:qFormat/>
    <w:pPr>
      <w:keepLines/>
      <w:keepNext/>
      <w:spacing w:before="320" w:after="200"/>
      <w:outlineLvl w:val="2"/>
    </w:pPr>
    <w:rPr>
      <w:rFonts w:ascii="Arial" w:hAnsi="Arial" w:eastAsia="Arial" w:cs="Arial"/>
      <w:sz w:val="30"/>
      <w:szCs w:val="30"/>
    </w:rPr>
  </w:style>
  <w:style w:type="paragraph" w:styleId="830" w:customStyle="1">
    <w:name w:val="标题 411"/>
    <w:basedOn w:val="782"/>
    <w:next w:val="782"/>
    <w:link w:val="842"/>
    <w:uiPriority w:val="0"/>
    <w:qFormat/>
    <w:pPr>
      <w:jc w:val="center"/>
      <w:keepNext/>
      <w:outlineLvl w:val="3"/>
    </w:pPr>
    <w:rPr>
      <w:rFonts w:eastAsia="新宋体"/>
      <w:sz w:val="30"/>
      <w:szCs w:val="21"/>
    </w:rPr>
  </w:style>
  <w:style w:type="paragraph" w:styleId="831" w:customStyle="1">
    <w:name w:val="标题 51"/>
    <w:basedOn w:val="782"/>
    <w:next w:val="782"/>
    <w:link w:val="843"/>
    <w:uiPriority w:val="0"/>
    <w:qFormat/>
    <w:pPr>
      <w:keepLines/>
      <w:keepNext/>
      <w:spacing w:before="320" w:after="200"/>
      <w:outlineLvl w:val="4"/>
    </w:pPr>
    <w:rPr>
      <w:rFonts w:ascii="Arial" w:hAnsi="Arial" w:eastAsia="Arial" w:cs="Arial"/>
      <w:b/>
      <w:bCs/>
      <w:sz w:val="24"/>
      <w:szCs w:val="24"/>
    </w:rPr>
  </w:style>
  <w:style w:type="paragraph" w:styleId="832" w:customStyle="1">
    <w:name w:val="标题 61"/>
    <w:basedOn w:val="782"/>
    <w:next w:val="782"/>
    <w:link w:val="844"/>
    <w:uiPriority w:val="0"/>
    <w:qFormat/>
    <w:pPr>
      <w:keepLines/>
      <w:keepNext/>
      <w:spacing w:before="320" w:after="200"/>
      <w:outlineLvl w:val="5"/>
    </w:pPr>
    <w:rPr>
      <w:rFonts w:ascii="Arial" w:hAnsi="Arial" w:eastAsia="Arial" w:cs="Arial"/>
      <w:b/>
      <w:bCs/>
      <w:sz w:val="22"/>
    </w:rPr>
  </w:style>
  <w:style w:type="paragraph" w:styleId="833" w:customStyle="1">
    <w:name w:val="标题 71"/>
    <w:basedOn w:val="782"/>
    <w:next w:val="782"/>
    <w:link w:val="845"/>
    <w:uiPriority w:val="0"/>
    <w:qFormat/>
    <w:pPr>
      <w:keepLines/>
      <w:keepNext/>
      <w:spacing w:before="320" w:after="200"/>
      <w:outlineLvl w:val="6"/>
    </w:pPr>
    <w:rPr>
      <w:rFonts w:ascii="Arial" w:hAnsi="Arial" w:eastAsia="Arial" w:cs="Arial"/>
      <w:b/>
      <w:bCs/>
      <w:i/>
      <w:iCs/>
      <w:sz w:val="22"/>
    </w:rPr>
  </w:style>
  <w:style w:type="paragraph" w:styleId="834" w:customStyle="1">
    <w:name w:val="标题 81"/>
    <w:basedOn w:val="782"/>
    <w:next w:val="782"/>
    <w:link w:val="846"/>
    <w:uiPriority w:val="0"/>
    <w:qFormat/>
    <w:pPr>
      <w:keepLines/>
      <w:keepNext/>
      <w:spacing w:before="320" w:after="200"/>
      <w:outlineLvl w:val="7"/>
    </w:pPr>
    <w:rPr>
      <w:rFonts w:ascii="Arial" w:hAnsi="Arial" w:eastAsia="Arial" w:cs="Arial"/>
      <w:i/>
      <w:iCs/>
      <w:sz w:val="22"/>
    </w:rPr>
  </w:style>
  <w:style w:type="paragraph" w:styleId="835" w:customStyle="1">
    <w:name w:val="标题 91"/>
    <w:basedOn w:val="782"/>
    <w:next w:val="782"/>
    <w:link w:val="847"/>
    <w:uiPriority w:val="0"/>
    <w:qFormat/>
    <w:pPr>
      <w:keepLines/>
      <w:keepNext/>
      <w:spacing w:before="320" w:after="200"/>
      <w:outlineLvl w:val="8"/>
    </w:pPr>
    <w:rPr>
      <w:rFonts w:ascii="Arial" w:hAnsi="Arial" w:eastAsia="Arial" w:cs="Arial"/>
      <w:i/>
      <w:iCs/>
      <w:szCs w:val="21"/>
    </w:rPr>
  </w:style>
  <w:style w:type="character" w:styleId="836" w:customStyle="1">
    <w:name w:val="默认段落字体1"/>
    <w:link w:val="782"/>
    <w:uiPriority w:val="1"/>
    <w:unhideWhenUsed/>
    <w:qFormat/>
  </w:style>
  <w:style w:type="table" w:styleId="837" w:customStyle="1">
    <w:name w:val="普通表格1"/>
    <w:uiPriority w:val="99"/>
    <w:unhideWhenUsed/>
    <w:qFormat/>
    <w:tblPr/>
  </w:style>
  <w:style w:type="character" w:styleId="838" w:customStyle="1">
    <w:name w:val="标题 1 字符"/>
    <w:link w:val="826"/>
    <w:uiPriority w:val="0"/>
    <w:qFormat/>
    <w:rPr>
      <w:rFonts w:ascii="Arial" w:hAnsi="Arial" w:eastAsia="Arial" w:cs="Arial"/>
      <w:sz w:val="40"/>
      <w:szCs w:val="40"/>
    </w:rPr>
  </w:style>
  <w:style w:type="character" w:styleId="839" w:customStyle="1">
    <w:name w:val="标题 2 字符"/>
    <w:link w:val="827"/>
    <w:uiPriority w:val="0"/>
    <w:qFormat/>
    <w:rPr>
      <w:rFonts w:ascii="Arial" w:hAnsi="Arial" w:eastAsia="Arial" w:cs="Arial"/>
      <w:sz w:val="34"/>
    </w:rPr>
  </w:style>
  <w:style w:type="character" w:styleId="840" w:customStyle="1">
    <w:name w:val="正文缩进 字符"/>
    <w:link w:val="828"/>
    <w:uiPriority w:val="0"/>
    <w:qFormat/>
    <w:rPr>
      <w:rFonts w:ascii="宋体" w:hAnsi="Calibri"/>
      <w:color w:val="000000"/>
      <w:sz w:val="24"/>
    </w:rPr>
  </w:style>
  <w:style w:type="character" w:styleId="841" w:customStyle="1">
    <w:name w:val="标题 3 字符"/>
    <w:link w:val="829"/>
    <w:uiPriority w:val="0"/>
    <w:qFormat/>
    <w:rPr>
      <w:rFonts w:ascii="Arial" w:hAnsi="Arial" w:eastAsia="Arial" w:cs="Arial"/>
      <w:sz w:val="30"/>
      <w:szCs w:val="30"/>
    </w:rPr>
  </w:style>
  <w:style w:type="character" w:styleId="842" w:customStyle="1">
    <w:name w:val="标题 4 字符"/>
    <w:link w:val="830"/>
    <w:uiPriority w:val="0"/>
    <w:qFormat/>
    <w:rPr>
      <w:rFonts w:ascii="Arial" w:hAnsi="Arial" w:eastAsia="Arial" w:cs="Arial"/>
      <w:b/>
      <w:bCs/>
      <w:sz w:val="26"/>
      <w:szCs w:val="26"/>
    </w:rPr>
  </w:style>
  <w:style w:type="character" w:styleId="843" w:customStyle="1">
    <w:name w:val="标题 5 字符"/>
    <w:link w:val="831"/>
    <w:uiPriority w:val="0"/>
    <w:qFormat/>
    <w:rPr>
      <w:rFonts w:ascii="Arial" w:hAnsi="Arial" w:eastAsia="Arial" w:cs="Arial"/>
      <w:b/>
      <w:bCs/>
      <w:sz w:val="24"/>
      <w:szCs w:val="24"/>
    </w:rPr>
  </w:style>
  <w:style w:type="character" w:styleId="844" w:customStyle="1">
    <w:name w:val="标题 6 字符"/>
    <w:link w:val="832"/>
    <w:uiPriority w:val="0"/>
    <w:qFormat/>
    <w:rPr>
      <w:rFonts w:ascii="Arial" w:hAnsi="Arial" w:eastAsia="Arial" w:cs="Arial"/>
      <w:b/>
      <w:bCs/>
      <w:sz w:val="22"/>
      <w:szCs w:val="22"/>
    </w:rPr>
  </w:style>
  <w:style w:type="character" w:styleId="845" w:customStyle="1">
    <w:name w:val="标题 7 字符"/>
    <w:link w:val="833"/>
    <w:uiPriority w:val="0"/>
    <w:qFormat/>
    <w:rPr>
      <w:rFonts w:ascii="Arial" w:hAnsi="Arial" w:eastAsia="Arial" w:cs="Arial"/>
      <w:b/>
      <w:bCs/>
      <w:i/>
      <w:iCs/>
      <w:sz w:val="22"/>
      <w:szCs w:val="22"/>
    </w:rPr>
  </w:style>
  <w:style w:type="character" w:styleId="846" w:customStyle="1">
    <w:name w:val="标题 8 字符"/>
    <w:link w:val="834"/>
    <w:uiPriority w:val="0"/>
    <w:qFormat/>
    <w:rPr>
      <w:rFonts w:ascii="Arial" w:hAnsi="Arial" w:eastAsia="Arial" w:cs="Arial"/>
      <w:i/>
      <w:iCs/>
      <w:sz w:val="22"/>
      <w:szCs w:val="22"/>
    </w:rPr>
  </w:style>
  <w:style w:type="character" w:styleId="847" w:customStyle="1">
    <w:name w:val="标题 9 字符"/>
    <w:link w:val="835"/>
    <w:uiPriority w:val="0"/>
    <w:qFormat/>
    <w:rPr>
      <w:rFonts w:ascii="Arial" w:hAnsi="Arial" w:eastAsia="Arial" w:cs="Arial"/>
      <w:i/>
      <w:iCs/>
      <w:sz w:val="21"/>
      <w:szCs w:val="21"/>
    </w:rPr>
  </w:style>
  <w:style w:type="paragraph" w:styleId="848" w:customStyle="1">
    <w:name w:val="列表 31"/>
    <w:basedOn w:val="782"/>
    <w:uiPriority w:val="0"/>
    <w:qFormat/>
    <w:pPr>
      <w:ind w:left="100" w:hanging="200"/>
    </w:pPr>
    <w:rPr>
      <w:rFonts w:ascii="Times New Roman" w:hAnsi="Times New Roman"/>
      <w:szCs w:val="21"/>
    </w:rPr>
  </w:style>
  <w:style w:type="paragraph" w:styleId="849" w:customStyle="1">
    <w:name w:val="题注1"/>
    <w:basedOn w:val="782"/>
    <w:next w:val="782"/>
    <w:uiPriority w:val="35"/>
    <w:qFormat/>
    <w:pPr>
      <w:spacing w:line="276" w:lineRule="auto"/>
    </w:pPr>
    <w:rPr>
      <w:b/>
      <w:bCs/>
      <w:color w:val="5b9bd5"/>
      <w:sz w:val="18"/>
      <w:szCs w:val="18"/>
    </w:rPr>
  </w:style>
  <w:style w:type="paragraph" w:styleId="850" w:customStyle="1">
    <w:name w:val="文档结构图1"/>
    <w:basedOn w:val="782"/>
    <w:link w:val="851"/>
    <w:uiPriority w:val="0"/>
    <w:semiHidden/>
    <w:qFormat/>
    <w:pPr>
      <w:shd w:val="clear" w:color="auto" w:fill="000080"/>
    </w:pPr>
    <w:rPr>
      <w:rFonts w:ascii="Times New Roman" w:hAnsi="Times New Roman"/>
      <w:szCs w:val="21"/>
    </w:rPr>
  </w:style>
  <w:style w:type="character" w:styleId="851" w:customStyle="1">
    <w:name w:val="文档结构图 字符"/>
    <w:link w:val="850"/>
    <w:uiPriority w:val="0"/>
    <w:semiHidden/>
    <w:qFormat/>
    <w:rPr>
      <w:sz w:val="21"/>
      <w:szCs w:val="21"/>
      <w:shd w:val="clear" w:color="auto" w:fill="000080"/>
    </w:rPr>
  </w:style>
  <w:style w:type="paragraph" w:styleId="852" w:customStyle="1">
    <w:name w:val="批注文字1"/>
    <w:basedOn w:val="782"/>
    <w:link w:val="853"/>
    <w:uiPriority w:val="0"/>
    <w:semiHidden/>
    <w:qFormat/>
    <w:pPr>
      <w:jc w:val="left"/>
    </w:pPr>
    <w:rPr>
      <w:rFonts w:ascii="Times New Roman" w:hAnsi="Times New Roman"/>
      <w:szCs w:val="21"/>
    </w:rPr>
  </w:style>
  <w:style w:type="character" w:styleId="853" w:customStyle="1">
    <w:name w:val="批注文字 字符"/>
    <w:link w:val="852"/>
    <w:uiPriority w:val="0"/>
    <w:semiHidden/>
    <w:qFormat/>
    <w:rPr>
      <w:sz w:val="21"/>
      <w:szCs w:val="21"/>
    </w:rPr>
  </w:style>
  <w:style w:type="paragraph" w:styleId="854" w:customStyle="1">
    <w:name w:val="正文文本 31"/>
    <w:basedOn w:val="782"/>
    <w:link w:val="855"/>
    <w:uiPriority w:val="0"/>
    <w:qFormat/>
    <w:rPr>
      <w:rFonts w:ascii="仿宋_GB2312" w:hAnsi="Arial" w:eastAsia="仿宋_GB2312"/>
      <w:sz w:val="32"/>
      <w:szCs w:val="32"/>
    </w:rPr>
  </w:style>
  <w:style w:type="character" w:styleId="855" w:customStyle="1">
    <w:name w:val="正文文本 3 字符"/>
    <w:link w:val="854"/>
    <w:uiPriority w:val="0"/>
    <w:qFormat/>
    <w:rPr>
      <w:rFonts w:ascii="仿宋_GB2312" w:hAnsi="Arial" w:eastAsia="仿宋_GB2312"/>
      <w:sz w:val="32"/>
      <w:szCs w:val="32"/>
    </w:rPr>
  </w:style>
  <w:style w:type="paragraph" w:styleId="856" w:customStyle="1">
    <w:name w:val="正文文本11"/>
    <w:basedOn w:val="782"/>
    <w:uiPriority w:val="0"/>
    <w:semiHidden/>
    <w:qFormat/>
    <w:rPr>
      <w:rFonts w:ascii="仿宋" w:hAnsi="仿宋" w:eastAsia="仿宋" w:cs="仿宋"/>
      <w:sz w:val="32"/>
      <w:szCs w:val="32"/>
      <w:lang w:val="en-US" w:eastAsia="en-US" w:bidi="ar-SA"/>
    </w:rPr>
  </w:style>
  <w:style w:type="paragraph" w:styleId="857" w:customStyle="1">
    <w:name w:val="正文文本缩进11"/>
    <w:basedOn w:val="782"/>
    <w:link w:val="858"/>
    <w:uiPriority w:val="0"/>
    <w:qFormat/>
    <w:pPr>
      <w:ind w:firstLine="225"/>
    </w:pPr>
    <w:rPr>
      <w:rFonts w:ascii="仿宋_GB2312" w:eastAsia="仿宋_GB2312"/>
      <w:sz w:val="32"/>
    </w:rPr>
  </w:style>
  <w:style w:type="character" w:styleId="858" w:customStyle="1">
    <w:name w:val="正文文本缩进 字符1"/>
    <w:link w:val="857"/>
    <w:uiPriority w:val="0"/>
    <w:qFormat/>
    <w:rPr>
      <w:rFonts w:ascii="仿宋_GB2312" w:hAnsi="Calibri" w:eastAsia="仿宋_GB2312"/>
      <w:sz w:val="32"/>
      <w:szCs w:val="22"/>
    </w:rPr>
  </w:style>
  <w:style w:type="paragraph" w:styleId="859" w:customStyle="1">
    <w:name w:val="列表 21"/>
    <w:basedOn w:val="782"/>
    <w:uiPriority w:val="0"/>
    <w:qFormat/>
    <w:pPr>
      <w:ind w:left="100" w:hanging="200"/>
    </w:pPr>
    <w:rPr>
      <w:rFonts w:ascii="Times New Roman" w:hAnsi="Times New Roman"/>
      <w:szCs w:val="21"/>
    </w:rPr>
  </w:style>
  <w:style w:type="paragraph" w:styleId="860" w:customStyle="1">
    <w:name w:val="纯文本11"/>
    <w:basedOn w:val="782"/>
    <w:link w:val="861"/>
    <w:uiPriority w:val="0"/>
    <w:qFormat/>
    <w:rPr>
      <w:rFonts w:ascii="宋体" w:hAnsi="Courier New" w:cs="Courier New"/>
      <w:szCs w:val="21"/>
    </w:rPr>
  </w:style>
  <w:style w:type="character" w:styleId="861" w:customStyle="1">
    <w:name w:val="纯文本 字符"/>
    <w:link w:val="860"/>
    <w:uiPriority w:val="0"/>
    <w:qFormat/>
    <w:rPr>
      <w:rFonts w:ascii="宋体" w:hAnsi="Courier New" w:cs="Courier New"/>
      <w:sz w:val="21"/>
      <w:szCs w:val="21"/>
    </w:rPr>
  </w:style>
  <w:style w:type="paragraph" w:styleId="862" w:customStyle="1">
    <w:name w:val="日期1"/>
    <w:basedOn w:val="782"/>
    <w:next w:val="782"/>
    <w:link w:val="863"/>
    <w:uiPriority w:val="0"/>
    <w:qFormat/>
    <w:rPr>
      <w:rFonts w:ascii="Times New Roman" w:hAnsi="Times New Roman"/>
      <w:sz w:val="24"/>
      <w:szCs w:val="24"/>
    </w:rPr>
  </w:style>
  <w:style w:type="character" w:styleId="863" w:customStyle="1">
    <w:name w:val="日期 字符"/>
    <w:link w:val="862"/>
    <w:uiPriority w:val="0"/>
    <w:qFormat/>
    <w:rPr>
      <w:sz w:val="24"/>
      <w:szCs w:val="24"/>
    </w:rPr>
  </w:style>
  <w:style w:type="paragraph" w:styleId="864" w:customStyle="1">
    <w:name w:val="正文文本缩进 21"/>
    <w:basedOn w:val="782"/>
    <w:link w:val="865"/>
    <w:uiPriority w:val="0"/>
    <w:qFormat/>
    <w:pPr>
      <w:ind w:left="630" w:firstLine="645"/>
    </w:pPr>
    <w:rPr>
      <w:rFonts w:ascii="Arial" w:hAnsi="Arial" w:eastAsia="仿宋_GB2312" w:cs="Arial"/>
      <w:sz w:val="32"/>
      <w:szCs w:val="32"/>
    </w:rPr>
  </w:style>
  <w:style w:type="character" w:styleId="865" w:customStyle="1">
    <w:name w:val="正文文本缩进 2 字符"/>
    <w:link w:val="864"/>
    <w:uiPriority w:val="0"/>
    <w:qFormat/>
    <w:rPr>
      <w:rFonts w:ascii="Arial" w:hAnsi="Arial" w:eastAsia="仿宋_GB2312" w:cs="Arial"/>
      <w:sz w:val="32"/>
      <w:szCs w:val="32"/>
    </w:rPr>
  </w:style>
  <w:style w:type="paragraph" w:styleId="866" w:customStyle="1">
    <w:name w:val="尾注文本1"/>
    <w:basedOn w:val="782"/>
    <w:link w:val="867"/>
    <w:uiPriority w:val="99"/>
    <w:unhideWhenUsed/>
    <w:qFormat/>
    <w:rPr>
      <w:sz w:val="20"/>
    </w:rPr>
  </w:style>
  <w:style w:type="character" w:styleId="867" w:customStyle="1">
    <w:name w:val="尾注文本 字符"/>
    <w:link w:val="866"/>
    <w:uiPriority w:val="99"/>
    <w:qFormat/>
    <w:rPr>
      <w:sz w:val="20"/>
    </w:rPr>
  </w:style>
  <w:style w:type="paragraph" w:styleId="868" w:customStyle="1">
    <w:name w:val="批注框文本1"/>
    <w:basedOn w:val="782"/>
    <w:link w:val="869"/>
    <w:uiPriority w:val="0"/>
    <w:qFormat/>
    <w:rPr>
      <w:rFonts w:ascii="Times New Roman" w:hAnsi="Times New Roman"/>
      <w:sz w:val="18"/>
      <w:szCs w:val="18"/>
    </w:rPr>
  </w:style>
  <w:style w:type="character" w:styleId="869" w:customStyle="1">
    <w:name w:val="批注框文本 字符"/>
    <w:link w:val="868"/>
    <w:uiPriority w:val="0"/>
    <w:qFormat/>
    <w:rPr>
      <w:sz w:val="18"/>
      <w:szCs w:val="18"/>
    </w:rPr>
  </w:style>
  <w:style w:type="paragraph" w:styleId="870" w:customStyle="1">
    <w:name w:val="页脚11"/>
    <w:basedOn w:val="782"/>
    <w:link w:val="871"/>
    <w:uiPriority w:val="99"/>
    <w:qFormat/>
    <w:pPr>
      <w:jc w:val="left"/>
      <w:tabs>
        <w:tab w:val="center" w:pos="4153" w:leader="none"/>
        <w:tab w:val="right" w:pos="8306" w:leader="none"/>
      </w:tabs>
    </w:pPr>
    <w:rPr>
      <w:sz w:val="18"/>
      <w:szCs w:val="18"/>
    </w:rPr>
  </w:style>
  <w:style w:type="character" w:styleId="871" w:customStyle="1">
    <w:name w:val="页脚 字符"/>
    <w:link w:val="870"/>
    <w:uiPriority w:val="99"/>
    <w:qFormat/>
  </w:style>
  <w:style w:type="paragraph" w:styleId="872" w:customStyle="1">
    <w:name w:val="页眉1"/>
    <w:basedOn w:val="782"/>
    <w:link w:val="873"/>
    <w:uiPriority w:val="0"/>
    <w:qFormat/>
    <w:pPr>
      <w:jc w:val="center"/>
      <w:tabs>
        <w:tab w:val="center" w:pos="4153" w:leader="none"/>
        <w:tab w:val="right" w:pos="8306" w:leader="none"/>
      </w:tabs>
    </w:pPr>
    <w:rPr>
      <w:sz w:val="18"/>
      <w:szCs w:val="18"/>
    </w:rPr>
  </w:style>
  <w:style w:type="character" w:styleId="873" w:customStyle="1">
    <w:name w:val="页眉 字符"/>
    <w:link w:val="872"/>
    <w:uiPriority w:val="0"/>
    <w:qFormat/>
    <w:rPr>
      <w:rFonts w:ascii="Calibri" w:hAnsi="Calibri"/>
      <w:sz w:val="18"/>
      <w:szCs w:val="18"/>
    </w:rPr>
  </w:style>
  <w:style w:type="paragraph" w:styleId="874" w:customStyle="1">
    <w:name w:val="副标题1"/>
    <w:basedOn w:val="782"/>
    <w:next w:val="782"/>
    <w:link w:val="875"/>
    <w:uiPriority w:val="11"/>
    <w:qFormat/>
    <w:pPr>
      <w:spacing w:before="200" w:after="200"/>
    </w:pPr>
    <w:rPr>
      <w:sz w:val="24"/>
      <w:szCs w:val="24"/>
    </w:rPr>
  </w:style>
  <w:style w:type="character" w:styleId="875" w:customStyle="1">
    <w:name w:val="副标题 字符"/>
    <w:link w:val="874"/>
    <w:uiPriority w:val="11"/>
    <w:qFormat/>
    <w:rPr>
      <w:sz w:val="24"/>
      <w:szCs w:val="24"/>
    </w:rPr>
  </w:style>
  <w:style w:type="paragraph" w:styleId="876" w:customStyle="1">
    <w:name w:val="列表1"/>
    <w:basedOn w:val="782"/>
    <w:uiPriority w:val="0"/>
    <w:qFormat/>
    <w:pPr>
      <w:ind w:left="200" w:hanging="200"/>
    </w:pPr>
    <w:rPr>
      <w:rFonts w:ascii="Times New Roman" w:hAnsi="Times New Roman"/>
      <w:szCs w:val="21"/>
    </w:rPr>
  </w:style>
  <w:style w:type="paragraph" w:styleId="877" w:customStyle="1">
    <w:name w:val="脚注文本11"/>
    <w:basedOn w:val="782"/>
    <w:link w:val="878"/>
    <w:uiPriority w:val="99"/>
    <w:unhideWhenUsed/>
    <w:qFormat/>
    <w:pPr>
      <w:spacing w:after="40"/>
    </w:pPr>
    <w:rPr>
      <w:sz w:val="18"/>
    </w:rPr>
  </w:style>
  <w:style w:type="character" w:styleId="878" w:customStyle="1">
    <w:name w:val="脚注文本 字符"/>
    <w:link w:val="877"/>
    <w:uiPriority w:val="99"/>
    <w:qFormat/>
    <w:rPr>
      <w:sz w:val="18"/>
    </w:rPr>
  </w:style>
  <w:style w:type="paragraph" w:styleId="879" w:customStyle="1">
    <w:name w:val="正文文本缩进 31"/>
    <w:basedOn w:val="782"/>
    <w:link w:val="880"/>
    <w:uiPriority w:val="0"/>
    <w:qFormat/>
    <w:pPr>
      <w:ind w:left="645" w:firstLine="645"/>
    </w:pPr>
    <w:rPr>
      <w:rFonts w:ascii="Arial" w:hAnsi="Arial" w:eastAsia="仿宋_GB2312" w:cs="Arial"/>
      <w:color w:val="ffff00"/>
      <w:sz w:val="32"/>
      <w:szCs w:val="32"/>
    </w:rPr>
  </w:style>
  <w:style w:type="character" w:styleId="880" w:customStyle="1">
    <w:name w:val="正文文本缩进 3 字符"/>
    <w:link w:val="879"/>
    <w:uiPriority w:val="0"/>
    <w:qFormat/>
    <w:rPr>
      <w:rFonts w:ascii="Arial" w:hAnsi="Arial" w:eastAsia="仿宋_GB2312" w:cs="Arial"/>
      <w:color w:val="ffff00"/>
      <w:sz w:val="32"/>
      <w:szCs w:val="32"/>
    </w:rPr>
  </w:style>
  <w:style w:type="paragraph" w:styleId="881" w:customStyle="1">
    <w:name w:val="图表目录1"/>
    <w:basedOn w:val="782"/>
    <w:next w:val="782"/>
    <w:uiPriority w:val="0"/>
    <w:unhideWhenUsed/>
    <w:qFormat/>
  </w:style>
  <w:style w:type="paragraph" w:styleId="882" w:customStyle="1">
    <w:name w:val="正文文本 21"/>
    <w:basedOn w:val="782"/>
    <w:link w:val="883"/>
    <w:uiPriority w:val="0"/>
    <w:qFormat/>
    <w:pPr>
      <w:jc w:val="center"/>
      <w:widowControl/>
    </w:pPr>
    <w:rPr>
      <w:rFonts w:ascii="楷体_GB2312" w:hAnsi="Times New Roman" w:eastAsia="楷体_GB2312"/>
      <w:sz w:val="28"/>
      <w:szCs w:val="28"/>
    </w:rPr>
  </w:style>
  <w:style w:type="character" w:styleId="883" w:customStyle="1">
    <w:name w:val="正文文本 2 字符"/>
    <w:link w:val="882"/>
    <w:uiPriority w:val="0"/>
    <w:qFormat/>
    <w:rPr>
      <w:rFonts w:ascii="楷体_GB2312" w:eastAsia="楷体_GB2312"/>
      <w:sz w:val="28"/>
      <w:szCs w:val="28"/>
    </w:rPr>
  </w:style>
  <w:style w:type="paragraph" w:styleId="884" w:customStyle="1">
    <w:name w:val="HTML 预设格式1"/>
    <w:basedOn w:val="782"/>
    <w:link w:val="88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85" w:customStyle="1">
    <w:name w:val="HTML 预设格式 字符"/>
    <w:link w:val="884"/>
    <w:uiPriority w:val="99"/>
    <w:qFormat/>
    <w:rPr>
      <w:rFonts w:ascii="宋体" w:hAnsi="宋体"/>
      <w:sz w:val="24"/>
      <w:szCs w:val="24"/>
    </w:rPr>
  </w:style>
  <w:style w:type="paragraph" w:styleId="886" w:customStyle="1">
    <w:name w:val="普通(网站)111"/>
    <w:basedOn w:val="782"/>
    <w:uiPriority w:val="99"/>
    <w:qFormat/>
    <w:pPr>
      <w:jc w:val="left"/>
      <w:spacing w:before="100" w:beforeAutospacing="1" w:after="100" w:afterAutospacing="1"/>
      <w:widowControl/>
    </w:pPr>
    <w:rPr>
      <w:rFonts w:ascii="宋体" w:hAnsi="宋体" w:cs="宋体"/>
      <w:sz w:val="24"/>
      <w:szCs w:val="24"/>
    </w:rPr>
  </w:style>
  <w:style w:type="paragraph" w:styleId="887" w:customStyle="1">
    <w:name w:val="索引 11"/>
    <w:basedOn w:val="782"/>
    <w:next w:val="782"/>
    <w:uiPriority w:val="0"/>
    <w:semiHidden/>
    <w:qFormat/>
    <w:pPr>
      <w:spacing w:line="240" w:lineRule="atLeast"/>
    </w:pPr>
    <w:rPr>
      <w:rFonts w:ascii="Times New Roman" w:hAnsi="Times New Roman"/>
      <w:b/>
      <w:bCs/>
      <w:szCs w:val="21"/>
    </w:rPr>
  </w:style>
  <w:style w:type="paragraph" w:styleId="888" w:customStyle="1">
    <w:name w:val="标题11"/>
    <w:basedOn w:val="782"/>
    <w:next w:val="782"/>
    <w:link w:val="889"/>
    <w:uiPriority w:val="10"/>
    <w:qFormat/>
    <w:pPr>
      <w:contextualSpacing/>
      <w:spacing w:before="300" w:after="200"/>
    </w:pPr>
    <w:rPr>
      <w:sz w:val="48"/>
      <w:szCs w:val="48"/>
    </w:rPr>
  </w:style>
  <w:style w:type="character" w:styleId="889" w:customStyle="1">
    <w:name w:val="标题 字符"/>
    <w:link w:val="888"/>
    <w:uiPriority w:val="10"/>
    <w:qFormat/>
    <w:rPr>
      <w:sz w:val="48"/>
      <w:szCs w:val="48"/>
    </w:rPr>
  </w:style>
  <w:style w:type="paragraph" w:styleId="890" w:customStyle="1">
    <w:name w:val="批注主题1"/>
    <w:basedOn w:val="852"/>
    <w:next w:val="852"/>
    <w:link w:val="891"/>
    <w:uiPriority w:val="0"/>
    <w:semiHidden/>
    <w:qFormat/>
    <w:rPr>
      <w:b/>
      <w:bCs/>
    </w:rPr>
  </w:style>
  <w:style w:type="character" w:styleId="891" w:customStyle="1">
    <w:name w:val="批注主题 字符"/>
    <w:link w:val="890"/>
    <w:uiPriority w:val="0"/>
    <w:semiHidden/>
    <w:qFormat/>
    <w:rPr>
      <w:b/>
      <w:bCs/>
      <w:sz w:val="21"/>
      <w:szCs w:val="21"/>
    </w:rPr>
  </w:style>
  <w:style w:type="paragraph" w:styleId="892" w:customStyle="1">
    <w:name w:val="正文文本首行缩进 2"/>
    <w:basedOn w:val="857"/>
    <w:link w:val="893"/>
    <w:uiPriority w:val="0"/>
    <w:qFormat/>
    <w:pPr>
      <w:ind w:firstLine="420"/>
      <w:spacing w:line="360" w:lineRule="auto"/>
    </w:pPr>
    <w:rPr>
      <w:rFonts w:ascii="宋体" w:hAnsi="宋体" w:eastAsia="宋体"/>
      <w:sz w:val="21"/>
      <w:szCs w:val="20"/>
    </w:rPr>
  </w:style>
  <w:style w:type="character" w:styleId="893" w:customStyle="1">
    <w:name w:val="正文文本首行缩进 2 字符"/>
    <w:link w:val="892"/>
    <w:uiPriority w:val="0"/>
    <w:qFormat/>
    <w:rPr>
      <w:rFonts w:ascii="宋体" w:hAnsi="宋体" w:eastAsia="仿宋_GB2312"/>
      <w:sz w:val="21"/>
      <w:szCs w:val="22"/>
    </w:rPr>
  </w:style>
  <w:style w:type="table" w:styleId="894" w:customStyle="1">
    <w:name w:val="网格型1"/>
    <w:basedOn w:val="837"/>
    <w:uiPriority w:val="0"/>
    <w:qFormat/>
    <w:pPr>
      <w:jc w:val="both"/>
      <w:widowControl w:val="off"/>
    </w:pPr>
    <w:tblPr/>
  </w:style>
  <w:style w:type="character" w:styleId="895" w:customStyle="1">
    <w:name w:val="要点1"/>
    <w:link w:val="782"/>
    <w:uiPriority w:val="0"/>
    <w:qFormat/>
    <w:rPr>
      <w:b/>
      <w:bCs/>
    </w:rPr>
  </w:style>
  <w:style w:type="character" w:styleId="896" w:customStyle="1">
    <w:name w:val="尾注引用1"/>
    <w:link w:val="782"/>
    <w:uiPriority w:val="99"/>
    <w:unhideWhenUsed/>
    <w:qFormat/>
    <w:rPr>
      <w:vertAlign w:val="superscript"/>
    </w:rPr>
  </w:style>
  <w:style w:type="character" w:styleId="897" w:customStyle="1">
    <w:name w:val="页码11"/>
    <w:link w:val="782"/>
    <w:uiPriority w:val="0"/>
    <w:qFormat/>
  </w:style>
  <w:style w:type="character" w:styleId="898" w:customStyle="1">
    <w:name w:val="访问过的超链接"/>
    <w:link w:val="782"/>
    <w:uiPriority w:val="0"/>
    <w:qFormat/>
    <w:rPr>
      <w:color w:val="800080"/>
      <w:u w:val="single"/>
    </w:rPr>
  </w:style>
  <w:style w:type="character" w:styleId="899" w:customStyle="1">
    <w:name w:val="强调1"/>
    <w:link w:val="782"/>
    <w:uiPriority w:val="0"/>
    <w:qFormat/>
    <w:rPr>
      <w:i/>
    </w:rPr>
  </w:style>
  <w:style w:type="character" w:styleId="900" w:customStyle="1">
    <w:name w:val="超链接1"/>
    <w:link w:val="782"/>
    <w:uiPriority w:val="0"/>
    <w:qFormat/>
    <w:rPr>
      <w:color w:val="0000ff"/>
      <w:u w:val="single"/>
    </w:rPr>
  </w:style>
  <w:style w:type="character" w:styleId="901" w:customStyle="1">
    <w:name w:val="批注引用1"/>
    <w:link w:val="782"/>
    <w:uiPriority w:val="0"/>
    <w:semiHidden/>
    <w:qFormat/>
    <w:rPr>
      <w:sz w:val="21"/>
      <w:szCs w:val="21"/>
    </w:rPr>
  </w:style>
  <w:style w:type="character" w:styleId="902" w:customStyle="1">
    <w:name w:val="脚注引用1"/>
    <w:link w:val="782"/>
    <w:uiPriority w:val="99"/>
    <w:unhideWhenUsed/>
    <w:qFormat/>
    <w:rPr>
      <w:vertAlign w:val="superscript"/>
    </w:rPr>
  </w:style>
  <w:style w:type="character" w:styleId="903" w:customStyle="1">
    <w:name w:val="10"/>
    <w:link w:val="782"/>
    <w:uiPriority w:val="0"/>
    <w:qFormat/>
    <w:rPr>
      <w:rFonts w:ascii="Times New Roman" w:hAnsi="Times New Roman" w:cs="Times New Roman"/>
    </w:rPr>
  </w:style>
  <w:style w:type="character" w:styleId="904" w:customStyle="1">
    <w:name w:val="正文文本首行缩进 字符"/>
    <w:link w:val="782"/>
    <w:uiPriority w:val="0"/>
    <w:qFormat/>
    <w:rPr>
      <w:rFonts w:ascii="仿宋_GB2312" w:hAnsi="Calibri" w:eastAsia="仿宋_GB2312"/>
      <w:sz w:val="30"/>
      <w:szCs w:val="30"/>
    </w:rPr>
  </w:style>
  <w:style w:type="character" w:styleId="905" w:customStyle="1">
    <w:name w:val="Footnote Text Char"/>
    <w:link w:val="782"/>
    <w:uiPriority w:val="99"/>
    <w:qFormat/>
    <w:rPr>
      <w:sz w:val="18"/>
    </w:rPr>
  </w:style>
  <w:style w:type="character" w:styleId="906" w:customStyle="1">
    <w:name w:val="Heading 1 Char"/>
    <w:link w:val="782"/>
    <w:uiPriority w:val="9"/>
    <w:qFormat/>
    <w:rPr>
      <w:rFonts w:ascii="Arial" w:hAnsi="Arial" w:eastAsia="Arial" w:cs="Arial"/>
      <w:sz w:val="40"/>
      <w:szCs w:val="40"/>
    </w:rPr>
  </w:style>
  <w:style w:type="character" w:styleId="907" w:customStyle="1">
    <w:name w:val="二级目录 Char"/>
    <w:link w:val="908"/>
    <w:uiPriority w:val="0"/>
    <w:qFormat/>
    <w:rPr>
      <w:b/>
      <w:sz w:val="30"/>
      <w:szCs w:val="28"/>
    </w:rPr>
  </w:style>
  <w:style w:type="paragraph" w:styleId="908" w:customStyle="1">
    <w:name w:val="二级目录"/>
    <w:next w:val="782"/>
    <w:link w:val="907"/>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09" w:customStyle="1">
    <w:name w:val="Heading 8 Char"/>
    <w:link w:val="782"/>
    <w:uiPriority w:val="9"/>
    <w:qFormat/>
    <w:rPr>
      <w:rFonts w:ascii="Arial" w:hAnsi="Arial" w:eastAsia="Arial" w:cs="Arial"/>
      <w:i/>
      <w:iCs/>
      <w:sz w:val="22"/>
      <w:szCs w:val="22"/>
    </w:rPr>
  </w:style>
  <w:style w:type="character" w:styleId="910" w:customStyle="1">
    <w:name w:val="引用 字符"/>
    <w:link w:val="911"/>
    <w:uiPriority w:val="29"/>
    <w:qFormat/>
    <w:rPr>
      <w:i/>
    </w:rPr>
  </w:style>
  <w:style w:type="paragraph" w:styleId="911" w:customStyle="1">
    <w:name w:val="引用"/>
    <w:basedOn w:val="782"/>
    <w:next w:val="782"/>
    <w:link w:val="910"/>
    <w:uiPriority w:val="29"/>
    <w:qFormat/>
    <w:pPr>
      <w:ind w:left="720" w:right="720"/>
    </w:pPr>
    <w:rPr>
      <w:i/>
    </w:rPr>
  </w:style>
  <w:style w:type="character" w:styleId="912" w:customStyle="1">
    <w:name w:val="Heading 3 Char"/>
    <w:link w:val="782"/>
    <w:uiPriority w:val="9"/>
    <w:qFormat/>
    <w:rPr>
      <w:rFonts w:ascii="Arial" w:hAnsi="Arial" w:eastAsia="Arial" w:cs="Arial"/>
      <w:sz w:val="30"/>
      <w:szCs w:val="30"/>
    </w:rPr>
  </w:style>
  <w:style w:type="character" w:styleId="913" w:customStyle="1">
    <w:name w:val="Heading 6 Char"/>
    <w:link w:val="782"/>
    <w:uiPriority w:val="9"/>
    <w:qFormat/>
    <w:rPr>
      <w:rFonts w:ascii="Arial" w:hAnsi="Arial" w:eastAsia="Arial" w:cs="Arial"/>
      <w:b/>
      <w:bCs/>
      <w:sz w:val="22"/>
      <w:szCs w:val="22"/>
    </w:rPr>
  </w:style>
  <w:style w:type="character" w:styleId="914" w:customStyle="1">
    <w:name w:val="16"/>
    <w:link w:val="782"/>
    <w:uiPriority w:val="0"/>
    <w:qFormat/>
    <w:rPr>
      <w:rFonts w:ascii="Times New Roman" w:hAnsi="Times New Roman"/>
      <w:sz w:val="21"/>
      <w:szCs w:val="21"/>
      <w:lang w:val="en-US" w:eastAsia="zh-CN" w:bidi="ar-SA"/>
    </w:rPr>
  </w:style>
  <w:style w:type="character" w:styleId="915" w:customStyle="1">
    <w:name w:val="Intense Quote Char"/>
    <w:link w:val="782"/>
    <w:uiPriority w:val="30"/>
    <w:qFormat/>
    <w:rPr>
      <w:i/>
    </w:rPr>
  </w:style>
  <w:style w:type="character" w:styleId="916" w:customStyle="1">
    <w:name w:val="正文文本 字符1"/>
    <w:link w:val="782"/>
    <w:uiPriority w:val="0"/>
    <w:qFormat/>
    <w:rPr>
      <w:rFonts w:ascii="Calibri" w:hAnsi="Calibri"/>
      <w:sz w:val="28"/>
      <w:szCs w:val="24"/>
    </w:rPr>
  </w:style>
  <w:style w:type="character" w:styleId="917" w:customStyle="1">
    <w:name w:val="页码1"/>
    <w:link w:val="782"/>
    <w:uiPriority w:val="0"/>
    <w:qFormat/>
  </w:style>
  <w:style w:type="character" w:styleId="918" w:customStyle="1">
    <w:name w:val="明显引用 字符"/>
    <w:link w:val="919"/>
    <w:uiPriority w:val="30"/>
    <w:qFormat/>
    <w:rPr>
      <w:i/>
    </w:rPr>
  </w:style>
  <w:style w:type="paragraph" w:styleId="919" w:customStyle="1">
    <w:name w:val="明显引用"/>
    <w:basedOn w:val="782"/>
    <w:next w:val="782"/>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Endnote Text Char"/>
    <w:link w:val="782"/>
    <w:uiPriority w:val="99"/>
    <w:qFormat/>
    <w:rPr>
      <w:sz w:val="20"/>
    </w:rPr>
  </w:style>
  <w:style w:type="character" w:styleId="921" w:customStyle="1">
    <w:name w:val="font5 Char"/>
    <w:link w:val="782"/>
    <w:uiPriority w:val="0"/>
    <w:qFormat/>
    <w:rPr>
      <w:rFonts w:ascii="宋体" w:hAnsi="宋体" w:eastAsia="宋体"/>
      <w:sz w:val="28"/>
      <w:szCs w:val="28"/>
      <w:lang w:val="en-US" w:eastAsia="zh-CN" w:bidi="ar-SA"/>
    </w:rPr>
  </w:style>
  <w:style w:type="character" w:styleId="922" w:customStyle="1">
    <w:name w:val="Title Char"/>
    <w:link w:val="782"/>
    <w:uiPriority w:val="10"/>
    <w:qFormat/>
    <w:rPr>
      <w:sz w:val="48"/>
      <w:szCs w:val="48"/>
    </w:rPr>
  </w:style>
  <w:style w:type="character" w:styleId="923" w:customStyle="1">
    <w:name w:val="Subtitle Char"/>
    <w:link w:val="782"/>
    <w:uiPriority w:val="11"/>
    <w:qFormat/>
    <w:rPr>
      <w:sz w:val="24"/>
      <w:szCs w:val="24"/>
    </w:rPr>
  </w:style>
  <w:style w:type="character" w:styleId="924" w:customStyle="1">
    <w:name w:val="Heading 7 Char"/>
    <w:link w:val="782"/>
    <w:uiPriority w:val="9"/>
    <w:qFormat/>
    <w:rPr>
      <w:rFonts w:ascii="Arial" w:hAnsi="Arial" w:eastAsia="Arial" w:cs="Arial"/>
      <w:b/>
      <w:bCs/>
      <w:i/>
      <w:iCs/>
      <w:sz w:val="22"/>
      <w:szCs w:val="22"/>
    </w:rPr>
  </w:style>
  <w:style w:type="character" w:styleId="925" w:customStyle="1">
    <w:name w:val="Quote Char"/>
    <w:link w:val="782"/>
    <w:uiPriority w:val="29"/>
    <w:qFormat/>
    <w:rPr>
      <w:i/>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782"/>
    <w:link w:val="926"/>
    <w:uiPriority w:val="0"/>
    <w:qFormat/>
    <w:pPr>
      <w:contextualSpacing/>
      <w:ind w:left="720"/>
      <w:jc w:val="left"/>
      <w:widowControl/>
    </w:pPr>
    <w:rPr>
      <w:sz w:val="24"/>
      <w:szCs w:val="24"/>
      <w:lang w:eastAsia="en-US" w:bidi="en-US"/>
    </w:rPr>
  </w:style>
  <w:style w:type="character" w:styleId="928" w:customStyle="1">
    <w:name w:val="Caption Char"/>
    <w:link w:val="782"/>
    <w:uiPriority w:val="99"/>
    <w:qFormat/>
  </w:style>
  <w:style w:type="character" w:styleId="929" w:customStyle="1">
    <w:name w:val="Heading 5 Char"/>
    <w:link w:val="782"/>
    <w:uiPriority w:val="9"/>
    <w:qFormat/>
    <w:rPr>
      <w:rFonts w:ascii="Arial" w:hAnsi="Arial" w:eastAsia="Arial" w:cs="Arial"/>
      <w:b/>
      <w:bCs/>
      <w:sz w:val="24"/>
      <w:szCs w:val="24"/>
    </w:rPr>
  </w:style>
  <w:style w:type="character" w:styleId="930" w:customStyle="1">
    <w:name w:val="Header Char"/>
    <w:link w:val="782"/>
    <w:uiPriority w:val="99"/>
    <w:qFormat/>
  </w:style>
  <w:style w:type="character" w:styleId="931" w:customStyle="1">
    <w:name w:val="15"/>
    <w:link w:val="782"/>
    <w:uiPriority w:val="0"/>
    <w:qFormat/>
    <w:rPr>
      <w:rFonts w:ascii="Times New Roman" w:hAnsi="Times New Roman" w:cs="Times New Roman"/>
    </w:rPr>
  </w:style>
  <w:style w:type="character" w:styleId="932" w:customStyle="1">
    <w:name w:val="Footer Char"/>
    <w:link w:val="782"/>
    <w:uiPriority w:val="99"/>
    <w:qFormat/>
  </w:style>
  <w:style w:type="character" w:styleId="933" w:customStyle="1">
    <w:name w:val="Heading 2 Char"/>
    <w:link w:val="782"/>
    <w:uiPriority w:val="9"/>
    <w:qFormat/>
    <w:rPr>
      <w:rFonts w:ascii="Arial" w:hAnsi="Arial" w:eastAsia="Arial" w:cs="Arial"/>
      <w:sz w:val="34"/>
    </w:rPr>
  </w:style>
  <w:style w:type="character" w:styleId="934" w:customStyle="1">
    <w:name w:val="Heading 4 Char"/>
    <w:link w:val="782"/>
    <w:uiPriority w:val="9"/>
    <w:qFormat/>
    <w:rPr>
      <w:rFonts w:ascii="Arial" w:hAnsi="Arial" w:eastAsia="Arial" w:cs="Arial"/>
      <w:b/>
      <w:bCs/>
      <w:sz w:val="26"/>
      <w:szCs w:val="26"/>
    </w:rPr>
  </w:style>
  <w:style w:type="character" w:styleId="935" w:customStyle="1">
    <w:name w:val="标题 2 Char_0"/>
    <w:link w:val="936"/>
    <w:uiPriority w:val="0"/>
    <w:qFormat/>
    <w:rPr>
      <w:rFonts w:ascii="Arial" w:hAnsi="Arial" w:eastAsia="黑体"/>
      <w:b/>
      <w:sz w:val="32"/>
      <w:szCs w:val="22"/>
    </w:rPr>
  </w:style>
  <w:style w:type="paragraph" w:styleId="936" w:customStyle="1">
    <w:name w:val="标题 21"/>
    <w:basedOn w:val="796"/>
    <w:next w:val="796"/>
    <w:link w:val="935"/>
    <w:uiPriority w:val="0"/>
    <w:unhideWhenUsed/>
    <w:qFormat/>
    <w:pPr>
      <w:keepLines/>
      <w:keepNext/>
      <w:spacing w:before="260" w:after="260" w:line="413" w:lineRule="auto"/>
      <w:outlineLvl w:val="1"/>
    </w:pPr>
    <w:rPr>
      <w:rFonts w:ascii="Arial" w:hAnsi="Arial"/>
      <w:szCs w:val="22"/>
    </w:rPr>
  </w:style>
  <w:style w:type="character" w:styleId="937" w:customStyle="1">
    <w:name w:val="正文文本 字符"/>
    <w:link w:val="782"/>
    <w:uiPriority w:val="0"/>
    <w:qFormat/>
    <w:rPr>
      <w:rFonts w:ascii="楷体_GB2312" w:hAnsi="Arial" w:eastAsia="楷体_GB2312" w:cs="Times New Roman"/>
      <w:sz w:val="28"/>
      <w:szCs w:val="28"/>
    </w:rPr>
  </w:style>
  <w:style w:type="character" w:styleId="938" w:customStyle="1">
    <w:name w:val="正文文本缩进 字符"/>
    <w:link w:val="782"/>
    <w:uiPriority w:val="0"/>
    <w:qFormat/>
    <w:rPr>
      <w:rFonts w:ascii="楷体_GB2312" w:hAnsi="Times New Roman" w:eastAsia="楷体_GB2312" w:cs="Times New Roman"/>
      <w:sz w:val="32"/>
      <w:szCs w:val="32"/>
    </w:rPr>
  </w:style>
  <w:style w:type="character" w:styleId="939" w:customStyle="1">
    <w:name w:val="custom-tag-placeholder-class"/>
    <w:link w:val="782"/>
    <w:uiPriority w:val="0"/>
    <w:qFormat/>
  </w:style>
  <w:style w:type="character" w:styleId="940" w:customStyle="1">
    <w:name w:val="Heading 9 Char"/>
    <w:link w:val="782"/>
    <w:uiPriority w:val="9"/>
    <w:qFormat/>
    <w:rPr>
      <w:rFonts w:ascii="Arial" w:hAnsi="Arial" w:eastAsia="Arial" w:cs="Arial"/>
      <w:i/>
      <w:iCs/>
      <w:sz w:val="21"/>
      <w:szCs w:val="21"/>
    </w:rPr>
  </w:style>
  <w:style w:type="paragraph" w:styleId="941" w:customStyle="1">
    <w:name w:val="p17_0_0"/>
    <w:basedOn w:val="942"/>
    <w:uiPriority w:val="0"/>
    <w:qFormat/>
    <w:pPr>
      <w:jc w:val="left"/>
      <w:spacing w:before="100" w:beforeAutospacing="1" w:after="100" w:afterAutospacing="1"/>
      <w:widowControl/>
    </w:pPr>
    <w:rPr>
      <w:rFonts w:ascii="宋体" w:hAnsi="宋体" w:eastAsia="Times New Roman" w:cs="宋体"/>
      <w:sz w:val="24"/>
      <w:szCs w:val="24"/>
    </w:rPr>
  </w:style>
  <w:style w:type="paragraph" w:styleId="942" w:customStyle="1">
    <w:name w:val="Normal_19_0"/>
    <w:basedOn w:val="795"/>
    <w:next w:val="943"/>
    <w:uiPriority w:val="0"/>
    <w:qFormat/>
    <w:rPr>
      <w:szCs w:val="24"/>
    </w:rPr>
  </w:style>
  <w:style w:type="paragraph" w:styleId="943" w:customStyle="1">
    <w:name w:val="Body Text First Indent_1_0"/>
    <w:basedOn w:val="942"/>
    <w:uiPriority w:val="0"/>
    <w:qFormat/>
    <w:pPr>
      <w:ind w:firstLine="100"/>
      <w:spacing w:after="120"/>
    </w:pPr>
  </w:style>
  <w:style w:type="paragraph" w:styleId="944"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945" w:customStyle="1">
    <w:name w:val="TOC 标题11"/>
    <w:uiPriority w:val="39"/>
    <w:unhideWhenUsed/>
    <w:qFormat/>
    <w:rPr>
      <w:rFonts w:hint="default" w:ascii="Times New Roman" w:hAnsi="Times New Roman" w:eastAsia="宋体" w:cs="Times New Roman"/>
      <w:lang w:val="en-US" w:eastAsia="zh-CN" w:bidi="ar-SA"/>
    </w:rPr>
  </w:style>
  <w:style w:type="paragraph" w:styleId="94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947" w:customStyle="1">
    <w:name w:val="正文首行缩进1"/>
    <w:basedOn w:val="948"/>
    <w:uiPriority w:val="0"/>
    <w:qFormat/>
    <w:pPr>
      <w:ind w:firstLine="100"/>
      <w:spacing w:after="120" w:line="240" w:lineRule="auto"/>
    </w:pPr>
    <w:rPr>
      <w:rFonts w:ascii="Times New Roman" w:hAnsi="Times New Roman" w:eastAsia="宋体"/>
      <w:sz w:val="21"/>
    </w:rPr>
  </w:style>
  <w:style w:type="paragraph" w:styleId="948" w:customStyle="1">
    <w:name w:val="正文文本1"/>
    <w:basedOn w:val="782"/>
    <w:uiPriority w:val="0"/>
    <w:qFormat/>
    <w:pPr>
      <w:spacing w:line="60" w:lineRule="auto"/>
    </w:pPr>
    <w:rPr>
      <w:rFonts w:ascii="仿宋_GB2312" w:eastAsia="仿宋_GB2312"/>
      <w:sz w:val="32"/>
    </w:rPr>
  </w:style>
  <w:style w:type="paragraph" w:styleId="949" w:customStyle="1">
    <w:name w:val="正文_2"/>
    <w:next w:val="950"/>
    <w:uiPriority w:val="0"/>
    <w:qFormat/>
    <w:pPr>
      <w:jc w:val="both"/>
      <w:widowControl w:val="off"/>
    </w:pPr>
    <w:rPr>
      <w:rFonts w:hint="default" w:ascii="Calibri" w:hAnsi="Calibri" w:eastAsia="宋体" w:cs="Times New Roman"/>
      <w:sz w:val="21"/>
      <w:szCs w:val="22"/>
      <w:lang w:val="en-US" w:eastAsia="zh-CN" w:bidi="ar-SA"/>
    </w:rPr>
  </w:style>
  <w:style w:type="paragraph" w:styleId="950" w:customStyle="1">
    <w:name w:val="正文文本缩进_0"/>
    <w:basedOn w:val="949"/>
    <w:uiPriority w:val="0"/>
    <w:qFormat/>
    <w:pPr>
      <w:ind w:firstLine="225"/>
    </w:pPr>
    <w:rPr>
      <w:rFonts w:ascii="仿宋_GB2312" w:eastAsia="仿宋_GB2312"/>
      <w:sz w:val="32"/>
    </w:rPr>
  </w:style>
  <w:style w:type="paragraph" w:styleId="951" w:customStyle="1">
    <w:name w:val="正文4"/>
    <w:uiPriority w:val="0"/>
    <w:qFormat/>
    <w:pPr>
      <w:jc w:val="both"/>
      <w:widowControl w:val="off"/>
    </w:pPr>
    <w:rPr>
      <w:rFonts w:hint="default" w:ascii="Calibri" w:hAnsi="Calibri" w:eastAsia="宋体" w:cs="Times New Roman"/>
      <w:lang w:val="en-US" w:eastAsia="zh-CN" w:bidi="ar-SA"/>
    </w:rPr>
  </w:style>
  <w:style w:type="paragraph" w:styleId="952" w:customStyle="1">
    <w:name w:val="Normal_19_2"/>
    <w:basedOn w:val="953"/>
    <w:uiPriority w:val="0"/>
    <w:qFormat/>
    <w:rPr>
      <w:rFonts w:ascii="Times New Roman" w:hAnsi="Times New Roman"/>
      <w:szCs w:val="21"/>
    </w:rPr>
  </w:style>
  <w:style w:type="paragraph" w:styleId="95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954"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95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5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957" w:customStyle="1">
    <w:name w:val="Char Char Char Char"/>
    <w:basedOn w:val="850"/>
    <w:uiPriority w:val="0"/>
    <w:qFormat/>
    <w:pPr>
      <w:spacing w:line="360" w:lineRule="auto"/>
    </w:pPr>
    <w:rPr>
      <w:rFonts w:ascii="Tahoma" w:hAnsi="Tahoma"/>
      <w:sz w:val="24"/>
      <w:szCs w:val="24"/>
    </w:rPr>
  </w:style>
  <w:style w:type="paragraph" w:styleId="958" w:customStyle="1">
    <w:name w:val="正文首行缩进3"/>
    <w:basedOn w:val="959"/>
    <w:uiPriority w:val="99"/>
    <w:unhideWhenUsed/>
    <w:qFormat/>
    <w:pPr>
      <w:ind w:firstLine="420"/>
      <w:spacing w:after="120"/>
    </w:pPr>
    <w:rPr>
      <w:sz w:val="20"/>
    </w:rPr>
  </w:style>
  <w:style w:type="paragraph" w:styleId="959" w:customStyle="1">
    <w:name w:val="正文1"/>
    <w:next w:val="798"/>
    <w:uiPriority w:val="0"/>
    <w:qFormat/>
    <w:rPr>
      <w:rFonts w:hint="default" w:ascii="Times New Roman" w:hAnsi="Times New Roman" w:eastAsia="Times New Roman" w:cs="Times New Roman"/>
      <w:sz w:val="24"/>
      <w:szCs w:val="24"/>
      <w:lang w:val="en-US" w:eastAsia="zh-CN" w:bidi="ar-SA"/>
    </w:rPr>
  </w:style>
  <w:style w:type="paragraph" w:styleId="960" w:customStyle="1">
    <w:name w:val="标题 4_0"/>
    <w:basedOn w:val="951"/>
    <w:next w:val="951"/>
    <w:uiPriority w:val="9"/>
    <w:unhideWhenUsed/>
    <w:qFormat/>
    <w:pPr>
      <w:keepLines/>
      <w:keepNext/>
      <w:spacing w:before="280" w:after="290" w:line="372" w:lineRule="auto"/>
      <w:outlineLvl w:val="3"/>
    </w:pPr>
    <w:rPr>
      <w:rFonts w:ascii="Arial" w:hAnsi="Arial" w:eastAsia="黑体"/>
      <w:b/>
      <w:sz w:val="28"/>
    </w:rPr>
  </w:style>
  <w:style w:type="paragraph" w:styleId="961" w:customStyle="1">
    <w:name w:val="Normal_19_0_1"/>
    <w:uiPriority w:val="0"/>
    <w:qFormat/>
    <w:rPr>
      <w:rFonts w:hint="default" w:ascii="Tahoma" w:hAnsi="Tahoma" w:eastAsia="微软雅黑" w:cs="Times New Roman"/>
      <w:lang w:val="en-US" w:eastAsia="zh-CN" w:bidi="ar-SA"/>
    </w:rPr>
  </w:style>
  <w:style w:type="paragraph" w:styleId="962" w:customStyle="1">
    <w:name w:val="Normal_21"/>
    <w:basedOn w:val="963"/>
    <w:next w:val="963"/>
    <w:uiPriority w:val="0"/>
    <w:qFormat/>
    <w:pPr>
      <w:jc w:val="both"/>
      <w:widowControl w:val="off"/>
    </w:pPr>
    <w:rPr>
      <w:rFonts w:ascii="Times New Roman" w:hAnsi="Times New Roman" w:eastAsia="宋体" w:cs="Times New Roman"/>
      <w:sz w:val="21"/>
      <w:szCs w:val="24"/>
      <w:lang w:val="en-US" w:eastAsia="zh-CN" w:bidi="ar-SA"/>
    </w:rPr>
  </w:style>
  <w:style w:type="paragraph" w:styleId="963"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4" w:customStyle="1">
    <w:name w:val="左对齐正文"/>
    <w:uiPriority w:val="99"/>
    <w:qFormat/>
    <w:rPr>
      <w:rFonts w:hint="default" w:ascii="Calibri" w:hAnsi="Calibri" w:eastAsia="仿宋_GB2312" w:cs="Calibri"/>
      <w:sz w:val="32"/>
      <w:szCs w:val="32"/>
      <w:lang w:val="en-US" w:eastAsia="zh-CN" w:bidi="ar-SA"/>
    </w:rPr>
  </w:style>
  <w:style w:type="paragraph" w:styleId="965" w:customStyle="1">
    <w:name w:val="部分1"/>
    <w:basedOn w:val="78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paragraph" w:styleId="966" w:customStyle="1">
    <w:name w:val="List Paragraph_0"/>
    <w:basedOn w:val="949"/>
    <w:uiPriority w:val="0"/>
    <w:qFormat/>
    <w:pPr>
      <w:ind w:firstLine="420"/>
    </w:pPr>
  </w:style>
  <w:style w:type="paragraph" w:styleId="967" w:customStyle="1">
    <w:name w:val="首行缩进"/>
    <w:basedOn w:val="782"/>
    <w:uiPriority w:val="0"/>
    <w:qFormat/>
    <w:pPr>
      <w:ind w:firstLine="480"/>
    </w:pPr>
    <w:rPr>
      <w:rFonts w:ascii="Times New Roman" w:hAnsi="Times New Roman"/>
      <w:szCs w:val="21"/>
      <w:lang w:val="zh-CN"/>
    </w:rPr>
  </w:style>
  <w:style w:type="paragraph" w:styleId="968" w:customStyle="1">
    <w:name w:val="正文_16_0"/>
    <w:basedOn w:val="969"/>
    <w:next w:val="971"/>
    <w:uiPriority w:val="0"/>
    <w:qFormat/>
    <w:rPr>
      <w:rFonts w:ascii="Times New Roman" w:hAnsi="Times New Roman"/>
    </w:rPr>
  </w:style>
  <w:style w:type="paragraph" w:styleId="969" w:customStyle="1">
    <w:name w:val="正文_18"/>
    <w:next w:val="970"/>
    <w:uiPriority w:val="0"/>
    <w:qFormat/>
    <w:pPr>
      <w:jc w:val="both"/>
      <w:widowControl w:val="off"/>
    </w:pPr>
    <w:rPr>
      <w:rFonts w:hint="default" w:ascii="Calibri" w:hAnsi="Calibri" w:eastAsia="宋体" w:cs="Times New Roman"/>
      <w:sz w:val="21"/>
      <w:szCs w:val="22"/>
      <w:lang w:val="en-US" w:eastAsia="zh-CN" w:bidi="ar-SA"/>
    </w:rPr>
  </w:style>
  <w:style w:type="paragraph" w:styleId="970" w:customStyle="1">
    <w:name w:val="正文文本缩进_1"/>
    <w:basedOn w:val="969"/>
    <w:next w:val="971"/>
    <w:uiPriority w:val="0"/>
    <w:qFormat/>
    <w:pPr>
      <w:ind w:firstLine="225"/>
    </w:pPr>
    <w:rPr>
      <w:rFonts w:ascii="仿宋_GB2312" w:eastAsia="仿宋_GB2312"/>
      <w:sz w:val="32"/>
    </w:rPr>
  </w:style>
  <w:style w:type="paragraph" w:styleId="971" w:customStyle="1">
    <w:name w:val="正文首行缩进 2_1"/>
    <w:basedOn w:val="970"/>
    <w:next w:val="972"/>
    <w:uiPriority w:val="0"/>
    <w:qFormat/>
    <w:pPr>
      <w:ind w:left="200" w:firstLine="200"/>
      <w:spacing w:after="120"/>
    </w:pPr>
    <w:rPr>
      <w:rFonts w:ascii="Times New Roman"/>
      <w:szCs w:val="24"/>
    </w:rPr>
  </w:style>
  <w:style w:type="paragraph" w:styleId="972" w:customStyle="1">
    <w:name w:val="xl53_0"/>
    <w:next w:val="97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973" w:customStyle="1">
    <w:name w:val="正文_3"/>
    <w:next w:val="971"/>
    <w:uiPriority w:val="0"/>
    <w:qFormat/>
    <w:pPr>
      <w:jc w:val="both"/>
      <w:widowControl w:val="off"/>
    </w:pPr>
    <w:rPr>
      <w:rFonts w:hint="default" w:ascii="Calibri" w:hAnsi="Calibri" w:eastAsia="宋体" w:cs="Times New Roman"/>
      <w:sz w:val="21"/>
      <w:szCs w:val="22"/>
      <w:lang w:val="en-US" w:eastAsia="zh-CN" w:bidi="ar-SA"/>
    </w:rPr>
  </w:style>
  <w:style w:type="paragraph" w:styleId="974" w:customStyle="1">
    <w:name w:val="Normal_17_0_0"/>
    <w:uiPriority w:val="0"/>
    <w:qFormat/>
    <w:rPr>
      <w:rFonts w:hint="default" w:ascii="黑体" w:hAnsi="黑体" w:eastAsia="黑体" w:cs="Times New Roman"/>
      <w:b/>
      <w:sz w:val="32"/>
      <w:szCs w:val="24"/>
      <w:lang w:val="en-US" w:eastAsia="zh-CN" w:bidi="ar-SA"/>
    </w:rPr>
  </w:style>
  <w:style w:type="paragraph" w:styleId="97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76"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7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97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7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customStyle="1">
    <w:name w:val="Heading 1_0"/>
    <w:basedOn w:val="981"/>
    <w:next w:val="981"/>
    <w:uiPriority w:val="0"/>
    <w:qFormat/>
    <w:pPr>
      <w:jc w:val="center"/>
      <w:keepLines/>
      <w:keepNext/>
      <w:spacing w:before="240" w:after="120" w:line="300" w:lineRule="auto"/>
      <w:outlineLvl w:val="0"/>
    </w:pPr>
    <w:rPr>
      <w:rFonts w:ascii="宋体"/>
      <w:b/>
      <w:sz w:val="32"/>
      <w:szCs w:val="20"/>
    </w:rPr>
  </w:style>
  <w:style w:type="paragraph" w:styleId="981" w:customStyle="1">
    <w:name w:val="Normal_21_0"/>
    <w:next w:val="9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标题 31"/>
    <w:basedOn w:val="983"/>
    <w:next w:val="983"/>
    <w:uiPriority w:val="0"/>
    <w:qFormat/>
    <w:pPr>
      <w:keepLines/>
      <w:keepNext/>
      <w:spacing w:before="260" w:after="260" w:line="413" w:lineRule="auto"/>
      <w:outlineLvl w:val="2"/>
    </w:pPr>
    <w:rPr>
      <w:b/>
      <w:sz w:val="32"/>
      <w:szCs w:val="20"/>
    </w:rPr>
  </w:style>
  <w:style w:type="paragraph" w:styleId="983" w:customStyle="1">
    <w:name w:val="正文3"/>
    <w:next w:val="958"/>
    <w:uiPriority w:val="0"/>
    <w:qFormat/>
    <w:rPr>
      <w:rFonts w:hint="default" w:ascii="Times New Roman" w:hAnsi="Times New Roman" w:eastAsia="Times New Roman" w:cs="Times New Roman"/>
      <w:sz w:val="24"/>
      <w:szCs w:val="24"/>
      <w:lang w:val="en-US" w:eastAsia="zh-CN" w:bidi="ar-SA"/>
    </w:rPr>
  </w:style>
  <w:style w:type="paragraph" w:styleId="984" w:customStyle="1">
    <w:name w:val="正文空2字"/>
    <w:basedOn w:val="964"/>
    <w:uiPriority w:val="99"/>
    <w:qFormat/>
    <w:pPr>
      <w:ind w:firstLine="640"/>
      <w:spacing w:line="560" w:lineRule="exact"/>
      <w:widowControl w:val="off"/>
    </w:pPr>
    <w:rPr>
      <w:rFonts w:ascii="仿宋_GB2312" w:hAnsi="仿宋_GB2312" w:cs="仿宋_GB2312"/>
      <w:lang w:val="zh-TW"/>
    </w:rPr>
  </w:style>
  <w:style w:type="paragraph" w:styleId="98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98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987" w:customStyle="1">
    <w:name w:val="正文首行缩进 21"/>
    <w:basedOn w:val="988"/>
    <w:next w:val="782"/>
    <w:uiPriority w:val="0"/>
    <w:qFormat/>
    <w:pPr>
      <w:ind w:firstLine="420"/>
      <w:spacing w:line="360" w:lineRule="auto"/>
    </w:pPr>
    <w:rPr>
      <w:rFonts w:ascii="宋体" w:hAnsi="宋体" w:eastAsia="宋体"/>
      <w:sz w:val="21"/>
      <w:szCs w:val="20"/>
    </w:rPr>
  </w:style>
  <w:style w:type="paragraph" w:styleId="988" w:customStyle="1">
    <w:name w:val="正文文本缩进1"/>
    <w:basedOn w:val="782"/>
    <w:next w:val="989"/>
    <w:uiPriority w:val="0"/>
    <w:qFormat/>
    <w:pPr>
      <w:ind w:firstLine="645"/>
    </w:pPr>
    <w:rPr>
      <w:rFonts w:ascii="楷体_GB2312" w:eastAsia="楷体_GB2312"/>
      <w:sz w:val="32"/>
      <w:szCs w:val="32"/>
    </w:rPr>
  </w:style>
  <w:style w:type="paragraph" w:styleId="989" w:customStyle="1">
    <w:name w:val="寄信人地址1"/>
    <w:basedOn w:val="782"/>
    <w:uiPriority w:val="0"/>
    <w:qFormat/>
    <w:rPr>
      <w:rFonts w:ascii="Arial" w:hAnsi="Arial"/>
    </w:rPr>
  </w:style>
  <w:style w:type="paragraph" w:styleId="990" w:customStyle="1">
    <w:name w:val="Normal_20"/>
    <w:next w:val="991"/>
    <w:uiPriority w:val="0"/>
    <w:qFormat/>
    <w:rPr>
      <w:rFonts w:hint="default" w:ascii="黑体" w:hAnsi="黑体" w:eastAsia="黑体" w:cs="黑体"/>
      <w:b/>
      <w:sz w:val="32"/>
      <w:szCs w:val="24"/>
      <w:lang w:val="en-US" w:eastAsia="zh-CN" w:bidi="ar-SA"/>
    </w:rPr>
  </w:style>
  <w:style w:type="paragraph" w:styleId="991" w:customStyle="1">
    <w:name w:val="Body Text First Indent_2"/>
    <w:basedOn w:val="990"/>
    <w:uiPriority w:val="0"/>
    <w:qFormat/>
    <w:pPr>
      <w:ind w:firstLine="100"/>
      <w:spacing w:after="120"/>
    </w:pPr>
  </w:style>
  <w:style w:type="paragraph" w:styleId="99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正文1_0_0"/>
    <w:basedOn w:val="796"/>
    <w:uiPriority w:val="0"/>
    <w:qFormat/>
    <w:pPr>
      <w:ind w:left="357" w:firstLine="420"/>
      <w:spacing w:line="360" w:lineRule="auto"/>
    </w:pPr>
    <w:rPr>
      <w:rFonts w:eastAsia="Times New Roman" w:cs="Arial"/>
    </w:rPr>
  </w:style>
  <w:style w:type="paragraph" w:styleId="994" w:customStyle="1">
    <w:name w:val="正文1_0"/>
    <w:basedOn w:val="995"/>
    <w:uiPriority w:val="0"/>
    <w:qFormat/>
    <w:pPr>
      <w:ind w:left="357" w:firstLine="420"/>
      <w:jc w:val="left"/>
      <w:spacing w:line="360" w:lineRule="auto"/>
      <w:widowControl/>
    </w:pPr>
    <w:rPr>
      <w:rFonts w:cs="Arial"/>
      <w:szCs w:val="20"/>
    </w:rPr>
  </w:style>
  <w:style w:type="paragraph" w:styleId="99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996"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997" w:customStyle="1">
    <w:name w:val="正文文本_0"/>
    <w:basedOn w:val="949"/>
    <w:next w:val="998"/>
    <w:uiPriority w:val="0"/>
    <w:qFormat/>
    <w:pPr>
      <w:spacing w:line="60" w:lineRule="auto"/>
    </w:pPr>
    <w:rPr>
      <w:rFonts w:ascii="仿宋_GB2312" w:eastAsia="仿宋_GB2312"/>
      <w:sz w:val="32"/>
    </w:rPr>
  </w:style>
  <w:style w:type="paragraph" w:styleId="998" w:customStyle="1">
    <w:name w:val="正文缩进_1"/>
    <w:basedOn w:val="949"/>
    <w:next w:val="949"/>
    <w:uiPriority w:val="0"/>
    <w:qFormat/>
    <w:pPr>
      <w:ind w:firstLine="420"/>
    </w:pPr>
    <w:rPr>
      <w:rFonts w:ascii="宋体"/>
      <w:color w:val="000000"/>
      <w:sz w:val="24"/>
      <w:szCs w:val="20"/>
    </w:rPr>
  </w:style>
  <w:style w:type="paragraph" w:styleId="999" w:customStyle="1">
    <w:name w:val="4"/>
    <w:basedOn w:val="782"/>
    <w:next w:val="879"/>
    <w:uiPriority w:val="0"/>
    <w:qFormat/>
    <w:pPr>
      <w:ind w:firstLine="420"/>
      <w:spacing w:line="360" w:lineRule="auto"/>
    </w:pPr>
    <w:rPr>
      <w:rFonts w:ascii="Times New Roman" w:hAnsi="Times New Roman"/>
      <w:color w:val="ff0000"/>
      <w:sz w:val="24"/>
      <w:szCs w:val="24"/>
    </w:rPr>
  </w:style>
  <w:style w:type="paragraph" w:styleId="1000" w:customStyle="1">
    <w:name w:val="Normal_19_1"/>
    <w:next w:val="990"/>
    <w:uiPriority w:val="0"/>
    <w:qFormat/>
    <w:pPr>
      <w:jc w:val="both"/>
      <w:widowControl w:val="off"/>
    </w:pPr>
    <w:rPr>
      <w:rFonts w:hint="default" w:ascii="Calibri" w:hAnsi="Calibri" w:eastAsia="宋体" w:cs="Times New Roman"/>
      <w:szCs w:val="24"/>
      <w:lang w:val="en-US" w:eastAsia="zh-CN" w:bidi="ar-SA"/>
    </w:rPr>
  </w:style>
  <w:style w:type="paragraph" w:styleId="1001" w:customStyle="1">
    <w:name w:val="普通(网站)1"/>
    <w:basedOn w:val="782"/>
    <w:uiPriority w:val="0"/>
    <w:qFormat/>
    <w:rPr>
      <w:sz w:val="24"/>
    </w:rPr>
  </w:style>
  <w:style w:type="paragraph" w:styleId="100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Body Text First Indent_1_0_0"/>
    <w:basedOn w:val="1005"/>
    <w:uiPriority w:val="0"/>
    <w:qFormat/>
    <w:pPr>
      <w:ind w:firstLine="100"/>
      <w:spacing w:after="120"/>
    </w:pPr>
    <w:rPr>
      <w:rFonts w:eastAsia="Times New Roman"/>
    </w:rPr>
  </w:style>
  <w:style w:type="paragraph" w:styleId="1005" w:customStyle="1">
    <w:name w:val="Normal_19_0_0"/>
    <w:basedOn w:val="990"/>
    <w:next w:val="1004"/>
    <w:uiPriority w:val="0"/>
    <w:qFormat/>
    <w:rPr>
      <w:rFonts w:ascii="Calibri" w:hAnsi="Calibri" w:eastAsia="Times New Roman"/>
      <w:sz w:val="24"/>
    </w:rPr>
  </w:style>
  <w:style w:type="paragraph" w:styleId="1006" w:customStyle="1">
    <w:name w:val="Char Char Char Char Char Char Char Char1"/>
    <w:basedOn w:val="782"/>
    <w:uiPriority w:val="0"/>
    <w:qFormat/>
    <w:pPr>
      <w:jc w:val="left"/>
      <w:spacing w:after="160" w:line="240" w:lineRule="exact"/>
      <w:widowControl/>
    </w:pPr>
    <w:rPr>
      <w:rFonts w:ascii="Verdana" w:hAnsi="Verdana"/>
      <w:sz w:val="20"/>
      <w:szCs w:val="20"/>
      <w:lang w:eastAsia="en-US"/>
    </w:rPr>
  </w:style>
  <w:style w:type="paragraph" w:styleId="1007" w:customStyle="1">
    <w:name w:val="Body Text(ch)"/>
    <w:basedOn w:val="782"/>
    <w:uiPriority w:val="0"/>
    <w:qFormat/>
    <w:pPr>
      <w:spacing w:after="120"/>
    </w:pPr>
    <w:rPr>
      <w:rFonts w:ascii="宋体" w:hAnsi="Arial"/>
      <w:bCs/>
      <w:iCs/>
      <w:szCs w:val="24"/>
    </w:rPr>
  </w:style>
  <w:style w:type="paragraph" w:styleId="100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011" w:customStyle="1">
    <w:name w:val="图标"/>
    <w:basedOn w:val="782"/>
    <w:next w:val="78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2" w:customStyle="1">
    <w:name w:val="*正文"/>
    <w:basedOn w:val="794"/>
    <w:uiPriority w:val="0"/>
    <w:qFormat/>
    <w:pPr>
      <w:ind w:firstLine="200"/>
    </w:pPr>
    <w:rPr>
      <w:rFonts w:ascii="宋体" w:hAnsi="宋体"/>
      <w:color w:val="000000"/>
      <w:sz w:val="24"/>
      <w:szCs w:val="24"/>
    </w:rPr>
  </w:style>
  <w:style w:type="paragraph" w:styleId="1013" w:customStyle="1">
    <w:name w:val="Normal_0"/>
    <w:uiPriority w:val="0"/>
    <w:qFormat/>
    <w:rPr>
      <w:rFonts w:hint="default" w:ascii="黑体" w:hAnsi="黑体" w:eastAsia="黑体" w:cs="Times New Roman"/>
      <w:b/>
      <w:sz w:val="32"/>
      <w:szCs w:val="24"/>
      <w:lang w:val="en-US" w:eastAsia="zh-CN" w:bidi="ar-SA"/>
    </w:rPr>
  </w:style>
  <w:style w:type="paragraph" w:styleId="1014" w:customStyle="1">
    <w:name w:val="Normal_1_1"/>
    <w:uiPriority w:val="0"/>
    <w:qFormat/>
    <w:rPr>
      <w:rFonts w:hint="default" w:ascii="黑体" w:hAnsi="黑体" w:eastAsia="黑体" w:cs="黑体"/>
      <w:b/>
      <w:sz w:val="32"/>
      <w:szCs w:val="24"/>
      <w:lang w:val="en-US" w:eastAsia="zh-CN" w:bidi="ar-SA"/>
    </w:rPr>
  </w:style>
  <w:style w:type="paragraph" w:styleId="1015" w:customStyle="1">
    <w:name w:val="Normal_6_0"/>
    <w:uiPriority w:val="0"/>
    <w:qFormat/>
    <w:rPr>
      <w:rFonts w:hint="default" w:ascii="黑体" w:hAnsi="黑体" w:eastAsia="黑体" w:cs="黑体"/>
      <w:b/>
      <w:sz w:val="32"/>
      <w:szCs w:val="24"/>
      <w:lang w:val="en-US" w:eastAsia="zh-CN" w:bidi="ar-SA"/>
    </w:rPr>
  </w:style>
  <w:style w:type="paragraph" w:styleId="101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1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9" w:customStyle="1">
    <w:name w:val="table_1stline"/>
    <w:basedOn w:val="782"/>
    <w:uiPriority w:val="0"/>
    <w:qFormat/>
    <w:pPr>
      <w:jc w:val="left"/>
      <w:spacing w:before="120"/>
      <w:widowControl/>
    </w:pPr>
    <w:rPr>
      <w:rFonts w:ascii="Times New Roman" w:hAnsi="Times New Roman"/>
      <w:bCs/>
      <w:sz w:val="20"/>
      <w:szCs w:val="20"/>
      <w:lang w:val="de-DE" w:eastAsia="de-DE"/>
    </w:rPr>
  </w:style>
  <w:style w:type="paragraph" w:styleId="1020" w:customStyle="1">
    <w:name w:val="正文_16_0_0"/>
    <w:next w:val="1021"/>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正文_17"/>
    <w:next w:val="10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2" w:customStyle="1">
    <w:name w:val="标题 4_1"/>
    <w:basedOn w:val="1021"/>
    <w:next w:val="102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023"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024" w:customStyle="1">
    <w:name w:val="Normal_0_1"/>
    <w:next w:val="1025"/>
    <w:uiPriority w:val="0"/>
    <w:qFormat/>
    <w:rPr>
      <w:rFonts w:hint="default" w:ascii="黑体" w:hAnsi="黑体" w:eastAsia="黑体" w:cs="黑体"/>
      <w:b/>
      <w:sz w:val="32"/>
      <w:szCs w:val="24"/>
      <w:lang w:val="en-US" w:eastAsia="zh-CN" w:bidi="ar-SA"/>
    </w:rPr>
  </w:style>
  <w:style w:type="paragraph" w:styleId="1025" w:customStyle="1">
    <w:name w:val="Body Text First Indent_0"/>
    <w:basedOn w:val="983"/>
    <w:uiPriority w:val="99"/>
    <w:unhideWhenUsed/>
    <w:qFormat/>
    <w:pPr>
      <w:ind w:firstLine="420"/>
      <w:spacing w:after="120"/>
    </w:pPr>
    <w:rPr>
      <w:rFonts w:eastAsia="Times New Roman"/>
    </w:rPr>
  </w:style>
  <w:style w:type="paragraph" w:styleId="1026"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027" w:customStyle="1">
    <w:name w:val="Normal_16_1"/>
    <w:uiPriority w:val="0"/>
    <w:qFormat/>
    <w:rPr>
      <w:rFonts w:hint="default" w:ascii="黑体" w:hAnsi="黑体" w:eastAsia="黑体" w:cs="Times New Roman"/>
      <w:b/>
      <w:sz w:val="32"/>
      <w:szCs w:val="24"/>
      <w:lang w:val="en-US" w:eastAsia="zh-CN" w:bidi="ar-SA"/>
    </w:rPr>
  </w:style>
  <w:style w:type="paragraph" w:styleId="1028"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029" w:customStyle="1">
    <w:name w:val="普通正文"/>
    <w:basedOn w:val="782"/>
    <w:uiPriority w:val="0"/>
    <w:qFormat/>
    <w:pPr>
      <w:ind w:firstLine="480"/>
      <w:jc w:val="left"/>
      <w:spacing w:before="120" w:after="120" w:line="360" w:lineRule="auto"/>
    </w:pPr>
    <w:rPr>
      <w:rFonts w:ascii="Arial" w:hAnsi="Arial"/>
      <w:sz w:val="24"/>
      <w:szCs w:val="24"/>
    </w:rPr>
  </w:style>
  <w:style w:type="paragraph" w:styleId="1030" w:customStyle="1">
    <w:name w:val="Normal_4_0"/>
    <w:uiPriority w:val="0"/>
    <w:qFormat/>
    <w:rPr>
      <w:rFonts w:hint="default" w:ascii="黑体" w:hAnsi="黑体" w:eastAsia="黑体" w:cs="黑体"/>
      <w:b/>
      <w:sz w:val="32"/>
      <w:szCs w:val="24"/>
      <w:lang w:val="en-US" w:eastAsia="zh-CN" w:bidi="ar-SA"/>
    </w:rPr>
  </w:style>
  <w:style w:type="paragraph" w:styleId="1031" w:customStyle="1">
    <w:name w:val="标题3"/>
    <w:basedOn w:val="782"/>
    <w:next w:val="782"/>
    <w:uiPriority w:val="0"/>
    <w:qFormat/>
    <w:pPr>
      <w:ind w:firstLine="624"/>
      <w:spacing w:line="590" w:lineRule="atLeast"/>
    </w:pPr>
    <w:rPr>
      <w:rFonts w:ascii="方正黑体_GBK" w:hAnsi="Times New Roman" w:eastAsia="方正黑体_GBK"/>
      <w:sz w:val="32"/>
      <w:szCs w:val="32"/>
    </w:rPr>
  </w:style>
  <w:style w:type="paragraph" w:styleId="1032" w:customStyle="1">
    <w:name w:val="Char Char Char Char Char Char Char Char Char Char"/>
    <w:basedOn w:val="782"/>
    <w:uiPriority w:val="0"/>
    <w:qFormat/>
    <w:pPr>
      <w:spacing w:line="360" w:lineRule="auto"/>
    </w:pPr>
    <w:rPr>
      <w:rFonts w:ascii="Times New Roman" w:hAnsi="Times New Roman"/>
      <w:sz w:val="24"/>
      <w:szCs w:val="20"/>
    </w:rPr>
  </w:style>
  <w:style w:type="paragraph" w:styleId="1033" w:customStyle="1">
    <w:name w:val="正文1_1"/>
    <w:basedOn w:val="1034"/>
    <w:uiPriority w:val="0"/>
    <w:qFormat/>
    <w:pPr>
      <w:jc w:val="both"/>
      <w:widowControl w:val="off"/>
    </w:pPr>
    <w:rPr>
      <w:sz w:val="20"/>
      <w:szCs w:val="20"/>
    </w:rPr>
  </w:style>
  <w:style w:type="paragraph" w:styleId="103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35" w:customStyle="1">
    <w:name w:val="Normal_2_0"/>
    <w:uiPriority w:val="0"/>
    <w:qFormat/>
    <w:rPr>
      <w:rFonts w:hint="default" w:ascii="黑体" w:hAnsi="黑体" w:eastAsia="黑体" w:cs="黑体"/>
      <w:b/>
      <w:sz w:val="32"/>
      <w:szCs w:val="24"/>
      <w:lang w:val="en-US" w:eastAsia="zh-CN" w:bidi="ar-SA"/>
    </w:rPr>
  </w:style>
  <w:style w:type="paragraph" w:styleId="1036" w:customStyle="1">
    <w:name w:val="无间隔1_0_0"/>
    <w:basedOn w:val="973"/>
    <w:uiPriority w:val="0"/>
    <w:qFormat/>
    <w:rPr>
      <w:rFonts w:ascii="Times New Roman" w:hAnsi="Times New Roman"/>
      <w:szCs w:val="21"/>
    </w:rPr>
  </w:style>
  <w:style w:type="paragraph" w:styleId="1037"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列表段落"/>
    <w:basedOn w:val="782"/>
    <w:uiPriority w:val="0"/>
    <w:qFormat/>
    <w:pPr>
      <w:contextualSpacing/>
      <w:ind w:left="720"/>
    </w:pPr>
  </w:style>
  <w:style w:type="paragraph" w:styleId="1039" w:customStyle="1">
    <w:name w:val="正文_16_1"/>
    <w:basedOn w:val="782"/>
    <w:uiPriority w:val="0"/>
    <w:qFormat/>
    <w:rPr>
      <w:rFonts w:ascii="Times New Roman" w:hAnsi="Times New Roman"/>
      <w:szCs w:val="21"/>
    </w:rPr>
  </w:style>
  <w:style w:type="paragraph" w:styleId="1040" w:customStyle="1">
    <w:name w:val="Normal_17_0"/>
    <w:uiPriority w:val="0"/>
    <w:qFormat/>
    <w:rPr>
      <w:rFonts w:hint="default" w:ascii="黑体" w:hAnsi="黑体" w:eastAsia="黑体" w:cs="黑体"/>
      <w:b/>
      <w:sz w:val="32"/>
      <w:szCs w:val="24"/>
      <w:lang w:val="en-US" w:eastAsia="zh-CN" w:bidi="ar-SA"/>
    </w:rPr>
  </w:style>
  <w:style w:type="paragraph" w:styleId="1041" w:customStyle="1">
    <w:name w:val="普通 (Web)"/>
    <w:basedOn w:val="782"/>
    <w:uiPriority w:val="0"/>
    <w:qFormat/>
    <w:pPr>
      <w:jc w:val="left"/>
      <w:spacing w:before="100" w:beforeAutospacing="1" w:after="100" w:afterAutospacing="1"/>
      <w:widowControl/>
    </w:pPr>
    <w:rPr>
      <w:rFonts w:ascii="宋体" w:hAnsi="宋体"/>
      <w:sz w:val="24"/>
      <w:szCs w:val="24"/>
    </w:rPr>
  </w:style>
  <w:style w:type="paragraph" w:styleId="1042" w:customStyle="1">
    <w:name w:val="Table Paragraph"/>
    <w:basedOn w:val="990"/>
    <w:uiPriority w:val="1"/>
    <w:qFormat/>
    <w:rPr>
      <w:rFonts w:ascii="宋体" w:hAnsi="宋体" w:cs="宋体"/>
      <w:sz w:val="22"/>
      <w:lang w:val="zh-CN" w:bidi="zh-CN"/>
    </w:rPr>
  </w:style>
  <w:style w:type="paragraph" w:styleId="104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文本12"/>
    <w:basedOn w:val="782"/>
    <w:uiPriority w:val="1"/>
    <w:qFormat/>
    <w:pPr>
      <w:ind w:left="120"/>
    </w:pPr>
    <w:rPr>
      <w:rFonts w:ascii="宋体" w:hAnsi="宋体" w:cs="宋体"/>
      <w:szCs w:val="21"/>
      <w:lang w:val="zh-CN" w:bidi="zh-CN"/>
    </w:rPr>
  </w:style>
  <w:style w:type="paragraph" w:styleId="104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Normal_19_0_1_0"/>
    <w:uiPriority w:val="0"/>
    <w:qFormat/>
    <w:rPr>
      <w:rFonts w:hint="default" w:ascii="Tahoma" w:hAnsi="Tahoma" w:eastAsia="微软雅黑" w:cs="Times New Roman"/>
      <w:lang w:val="en-US" w:eastAsia="zh-CN" w:bidi="ar-SA"/>
    </w:rPr>
  </w:style>
  <w:style w:type="paragraph" w:styleId="1047" w:customStyle="1">
    <w:name w:val="页脚1"/>
    <w:basedOn w:val="782"/>
    <w:uiPriority w:val="0"/>
    <w:qFormat/>
    <w:pPr>
      <w:jc w:val="left"/>
      <w:tabs>
        <w:tab w:val="center" w:pos="4153" w:leader="none"/>
        <w:tab w:val="right" w:pos="8306" w:leader="none"/>
      </w:tabs>
    </w:pPr>
    <w:rPr>
      <w:sz w:val="18"/>
      <w:szCs w:val="18"/>
    </w:rPr>
  </w:style>
  <w:style w:type="paragraph" w:styleId="1048" w:customStyle="1">
    <w:name w:val="无间隔1"/>
    <w:basedOn w:val="983"/>
    <w:uiPriority w:val="0"/>
    <w:qFormat/>
    <w:rPr>
      <w:rFonts w:ascii="Calibri" w:hAnsi="Calibri" w:cs="Calibri"/>
    </w:rPr>
  </w:style>
  <w:style w:type="paragraph" w:styleId="1049" w:customStyle="1">
    <w:name w:val="标题1"/>
    <w:basedOn w:val="782"/>
    <w:next w:val="78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5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1" w:customStyle="1">
    <w:name w:val="xl28"/>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2"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05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4" w:customStyle="1">
    <w:name w:val="正文文本2"/>
    <w:basedOn w:val="962"/>
    <w:uiPriority w:val="0"/>
    <w:qFormat/>
    <w:pPr>
      <w:spacing w:line="60" w:lineRule="auto"/>
    </w:pPr>
    <w:rPr>
      <w:rFonts w:ascii="仿宋_GB2312" w:eastAsia="仿宋_GB2312"/>
      <w:sz w:val="32"/>
      <w:szCs w:val="22"/>
    </w:rPr>
  </w:style>
  <w:style w:type="paragraph" w:styleId="1055" w:customStyle="1">
    <w:name w:val="xl29"/>
    <w:basedOn w:val="7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6"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057" w:customStyle="1">
    <w:name w:val="Normal_19_1_0_0"/>
    <w:next w:val="1018"/>
    <w:uiPriority w:val="0"/>
    <w:qFormat/>
    <w:pPr>
      <w:jc w:val="both"/>
      <w:widowControl w:val="off"/>
    </w:pPr>
    <w:rPr>
      <w:rFonts w:hint="default" w:ascii="Calibri" w:hAnsi="Calibri" w:eastAsia="宋体" w:cs="Times New Roman"/>
      <w:sz w:val="21"/>
      <w:szCs w:val="24"/>
      <w:lang w:val="en-US" w:eastAsia="zh-CN" w:bidi="ar-SA"/>
    </w:rPr>
  </w:style>
  <w:style w:type="paragraph" w:styleId="1058" w:customStyle="1">
    <w:name w:val="Normal_19_2_0"/>
    <w:basedOn w:val="1028"/>
    <w:uiPriority w:val="0"/>
    <w:qFormat/>
    <w:rPr>
      <w:rFonts w:ascii="Times New Roman" w:hAnsi="Times New Roman"/>
      <w:szCs w:val="21"/>
    </w:rPr>
  </w:style>
  <w:style w:type="paragraph" w:styleId="1059" w:customStyle="1">
    <w:name w:val="Normal_22_0_0"/>
    <w:uiPriority w:val="0"/>
    <w:qFormat/>
    <w:pPr>
      <w:jc w:val="both"/>
      <w:widowControl w:val="off"/>
    </w:pPr>
    <w:rPr>
      <w:rFonts w:hint="default" w:ascii="Calibri" w:hAnsi="Calibri" w:eastAsia="宋体" w:cs="Times New Roman"/>
      <w:szCs w:val="24"/>
      <w:lang w:val="en-US" w:eastAsia="zh-CN" w:bidi="ar-SA"/>
    </w:rPr>
  </w:style>
  <w:style w:type="paragraph" w:styleId="1060" w:customStyle="1">
    <w:name w:val="普通(网站)11"/>
    <w:basedOn w:val="782"/>
    <w:uiPriority w:val="99"/>
    <w:qFormat/>
    <w:rPr>
      <w:sz w:val="24"/>
    </w:rPr>
  </w:style>
  <w:style w:type="paragraph" w:styleId="1061" w:customStyle="1">
    <w:name w:val="正文2"/>
    <w:basedOn w:val="782"/>
    <w:uiPriority w:val="0"/>
    <w:qFormat/>
    <w:pPr>
      <w:ind w:firstLine="510"/>
      <w:spacing w:before="156" w:line="360" w:lineRule="auto"/>
    </w:pPr>
    <w:rPr>
      <w:sz w:val="24"/>
      <w:szCs w:val="20"/>
    </w:rPr>
  </w:style>
  <w:style w:type="paragraph" w:styleId="1062" w:customStyle="1">
    <w:name w:val="Normal_18_0"/>
    <w:uiPriority w:val="0"/>
    <w:qFormat/>
    <w:rPr>
      <w:rFonts w:hint="default" w:ascii="黑体" w:hAnsi="黑体" w:eastAsia="黑体" w:cs="黑体"/>
      <w:b/>
      <w:sz w:val="32"/>
      <w:szCs w:val="24"/>
      <w:lang w:val="en-US" w:eastAsia="zh-CN" w:bidi="ar-SA"/>
    </w:rPr>
  </w:style>
  <w:style w:type="paragraph" w:styleId="1063" w:customStyle="1">
    <w:name w:val="TOC Heading"/>
    <w:uiPriority w:val="39"/>
    <w:unhideWhenUsed/>
    <w:qFormat/>
    <w:rPr>
      <w:rFonts w:hint="default" w:ascii="Times New Roman" w:hAnsi="Times New Roman" w:eastAsia="宋体" w:cs="Times New Roman"/>
      <w:lang w:val="en-US" w:eastAsia="zh-CN" w:bidi="ar-SA"/>
    </w:rPr>
  </w:style>
  <w:style w:type="paragraph" w:styleId="1064" w:customStyle="1">
    <w:name w:val="Char"/>
    <w:basedOn w:val="782"/>
    <w:uiPriority w:val="0"/>
    <w:qFormat/>
    <w:pPr>
      <w:ind w:firstLine="200"/>
      <w:tabs>
        <w:tab w:val="left" w:pos="360" w:leader="none"/>
      </w:tabs>
    </w:pPr>
    <w:rPr>
      <w:rFonts w:ascii="Times New Roman" w:hAnsi="Times New Roman"/>
      <w:sz w:val="28"/>
      <w:szCs w:val="30"/>
    </w:rPr>
  </w:style>
  <w:style w:type="paragraph" w:styleId="1065" w:customStyle="1">
    <w:name w:val="Normal Indent_0"/>
    <w:basedOn w:val="990"/>
    <w:uiPriority w:val="0"/>
    <w:qFormat/>
    <w:pPr>
      <w:ind w:firstLine="420"/>
    </w:pPr>
    <w:rPr>
      <w:rFonts w:ascii="宋体" w:eastAsia="Times New Roman"/>
      <w:color w:val="000000"/>
      <w:sz w:val="24"/>
      <w:szCs w:val="20"/>
    </w:rPr>
  </w:style>
  <w:style w:type="paragraph" w:styleId="1066" w:customStyle="1">
    <w:name w:val="Normal_19_0_0_0"/>
    <w:basedOn w:val="795"/>
    <w:uiPriority w:val="0"/>
    <w:qFormat/>
    <w:rPr>
      <w:rFonts w:cs="黑体"/>
      <w:szCs w:val="24"/>
    </w:rPr>
  </w:style>
  <w:style w:type="paragraph" w:styleId="1067" w:customStyle="1">
    <w:name w:val="Normal_19_1_0"/>
    <w:next w:val="968"/>
    <w:uiPriority w:val="0"/>
    <w:qFormat/>
    <w:pPr>
      <w:jc w:val="both"/>
      <w:widowControl w:val="off"/>
    </w:pPr>
    <w:rPr>
      <w:rFonts w:hint="default" w:ascii="Calibri" w:hAnsi="Calibri" w:eastAsia="宋体" w:cs="Times New Roman"/>
      <w:szCs w:val="24"/>
      <w:lang w:val="en-US" w:eastAsia="zh-CN" w:bidi="ar-SA"/>
    </w:rPr>
  </w:style>
  <w:style w:type="paragraph" w:styleId="1068" w:customStyle="1">
    <w:name w:val="列出段落_2"/>
    <w:basedOn w:val="1043"/>
    <w:uiPriority w:val="34"/>
    <w:qFormat/>
    <w:pPr>
      <w:ind w:firstLine="420"/>
    </w:pPr>
  </w:style>
  <w:style w:type="paragraph" w:styleId="1069" w:customStyle="1">
    <w:name w:val="标题 41"/>
    <w:basedOn w:val="990"/>
    <w:next w:val="78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070" w:customStyle="1">
    <w:name w:val="Normal_7_0"/>
    <w:uiPriority w:val="0"/>
    <w:qFormat/>
    <w:rPr>
      <w:rFonts w:hint="default" w:ascii="黑体" w:hAnsi="黑体" w:eastAsia="黑体" w:cs="黑体"/>
      <w:b/>
      <w:sz w:val="32"/>
      <w:szCs w:val="24"/>
      <w:lang w:val="en-US" w:eastAsia="zh-CN" w:bidi="ar-SA"/>
    </w:rPr>
  </w:style>
  <w:style w:type="paragraph" w:styleId="1071" w:customStyle="1">
    <w:name w:val="Body Text_0"/>
    <w:basedOn w:val="942"/>
    <w:uiPriority w:val="0"/>
    <w:qFormat/>
    <w:pPr>
      <w:spacing w:line="60" w:lineRule="auto"/>
    </w:pPr>
    <w:rPr>
      <w:rFonts w:ascii="仿宋_GB2312" w:eastAsia="仿宋_GB2312"/>
      <w:sz w:val="32"/>
    </w:rPr>
  </w:style>
  <w:style w:type="paragraph" w:styleId="1072" w:customStyle="1">
    <w:name w:val="Char1"/>
    <w:basedOn w:val="850"/>
    <w:uiPriority w:val="0"/>
    <w:qFormat/>
    <w:rPr>
      <w:rFonts w:ascii="Tahoma" w:hAnsi="Tahoma"/>
      <w:sz w:val="24"/>
      <w:szCs w:val="24"/>
    </w:rPr>
  </w:style>
  <w:style w:type="paragraph" w:styleId="1073"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074" w:customStyle="1">
    <w:name w:val="xl30"/>
    <w:basedOn w:val="782"/>
    <w:uiPriority w:val="0"/>
    <w:qFormat/>
    <w:pPr>
      <w:jc w:val="center"/>
      <w:spacing w:before="100" w:beforeAutospacing="1" w:after="100" w:afterAutospacing="1"/>
      <w:widowControl/>
    </w:pPr>
    <w:rPr>
      <w:rFonts w:ascii="宋体" w:hAnsi="宋体"/>
      <w:b/>
      <w:bCs/>
      <w:sz w:val="36"/>
      <w:szCs w:val="36"/>
    </w:rPr>
  </w:style>
  <w:style w:type="paragraph" w:styleId="1075" w:customStyle="1">
    <w:name w:val="正文_11_0"/>
    <w:basedOn w:val="1021"/>
    <w:uiPriority w:val="0"/>
    <w:qFormat/>
    <w:rPr>
      <w:rFonts w:ascii="Calibri" w:hAnsi="Calibri"/>
      <w:szCs w:val="20"/>
    </w:rPr>
  </w:style>
  <w:style w:type="paragraph" w:styleId="1076" w:customStyle="1">
    <w:name w:val="Normal_14_0_0"/>
    <w:uiPriority w:val="0"/>
    <w:qFormat/>
    <w:rPr>
      <w:rFonts w:hint="default" w:ascii="黑体" w:hAnsi="黑体" w:eastAsia="黑体" w:cs="Times New Roman"/>
      <w:b/>
      <w:sz w:val="32"/>
      <w:szCs w:val="24"/>
      <w:lang w:val="en-US" w:eastAsia="zh-CN" w:bidi="ar-SA"/>
    </w:rPr>
  </w:style>
  <w:style w:type="paragraph" w:styleId="1077"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Normal_11_0"/>
    <w:uiPriority w:val="0"/>
    <w:qFormat/>
    <w:rPr>
      <w:rFonts w:hint="default" w:ascii="黑体" w:hAnsi="黑体" w:eastAsia="黑体" w:cs="黑体"/>
      <w:b/>
      <w:sz w:val="32"/>
      <w:szCs w:val="24"/>
      <w:lang w:val="en-US" w:eastAsia="zh-CN" w:bidi="ar-SA"/>
    </w:rPr>
  </w:style>
  <w:style w:type="paragraph" w:styleId="1079" w:customStyle="1">
    <w:name w:val="xl24"/>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0" w:customStyle="1">
    <w:name w:val="纯文本1"/>
    <w:basedOn w:val="963"/>
    <w:next w:val="782"/>
    <w:uiPriority w:val="0"/>
    <w:qFormat/>
    <w:rPr>
      <w:rFonts w:ascii="宋体" w:hAnsi="Courier New" w:eastAsia="宋体" w:cs="Times New Roman"/>
    </w:rPr>
  </w:style>
  <w:style w:type="paragraph" w:styleId="1081" w:customStyle="1">
    <w:name w:val="Heading 3_0"/>
    <w:basedOn w:val="990"/>
    <w:next w:val="990"/>
    <w:uiPriority w:val="0"/>
    <w:qFormat/>
    <w:pPr>
      <w:keepLines/>
      <w:keepNext/>
      <w:spacing w:before="260" w:after="260" w:line="413" w:lineRule="auto"/>
      <w:outlineLvl w:val="2"/>
    </w:pPr>
    <w:rPr>
      <w:rFonts w:ascii="Times New Roman" w:hAnsi="Times New Roman" w:eastAsia="Times New Roman"/>
      <w:szCs w:val="20"/>
    </w:rPr>
  </w:style>
  <w:style w:type="paragraph" w:styleId="1082"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索引 41"/>
    <w:basedOn w:val="782"/>
    <w:next w:val="782"/>
    <w:uiPriority w:val="0"/>
    <w:semiHidden/>
    <w:qFormat/>
    <w:pPr>
      <w:ind w:left="1260"/>
    </w:pPr>
    <w:rPr>
      <w:rFonts w:eastAsia="Calibri" w:cs="宋体"/>
      <w:sz w:val="20"/>
      <w:szCs w:val="21"/>
      <w:lang w:val="zh-CN"/>
    </w:rPr>
  </w:style>
  <w:style w:type="paragraph" w:styleId="1084" w:customStyle="1">
    <w:name w:val="font7"/>
    <w:basedOn w:val="782"/>
    <w:uiPriority w:val="0"/>
    <w:qFormat/>
    <w:pPr>
      <w:jc w:val="left"/>
      <w:spacing w:before="100" w:beforeAutospacing="1" w:after="100" w:afterAutospacing="1"/>
      <w:widowControl/>
    </w:pPr>
    <w:rPr>
      <w:rFonts w:hint="eastAsia" w:ascii="宋体" w:hAnsi="宋体"/>
      <w:sz w:val="18"/>
      <w:szCs w:val="18"/>
    </w:rPr>
  </w:style>
  <w:style w:type="paragraph" w:styleId="1085" w:customStyle="1">
    <w:name w:val="脚注文本1"/>
    <w:basedOn w:val="782"/>
    <w:uiPriority w:val="0"/>
    <w:qFormat/>
    <w:pPr>
      <w:jc w:val="left"/>
    </w:pPr>
    <w:rPr>
      <w:rFonts w:eastAsia="Times New Roman"/>
      <w:sz w:val="18"/>
      <w:szCs w:val="24"/>
    </w:rPr>
  </w:style>
  <w:style w:type="paragraph" w:styleId="108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0_2"/>
    <w:next w:val="1088"/>
    <w:uiPriority w:val="0"/>
    <w:qFormat/>
    <w:rPr>
      <w:rFonts w:hint="default" w:ascii="黑体" w:hAnsi="黑体" w:eastAsia="黑体" w:cs="黑体"/>
      <w:b/>
      <w:sz w:val="32"/>
      <w:szCs w:val="24"/>
      <w:lang w:val="en-US" w:eastAsia="zh-CN" w:bidi="ar-SA"/>
    </w:rPr>
  </w:style>
  <w:style w:type="paragraph" w:styleId="1088" w:customStyle="1">
    <w:name w:val="Body Text First Indent_1"/>
    <w:basedOn w:val="800"/>
    <w:uiPriority w:val="99"/>
    <w:unhideWhenUsed/>
    <w:qFormat/>
    <w:pPr>
      <w:ind w:firstLine="420"/>
      <w:spacing w:after="120"/>
    </w:pPr>
    <w:rPr>
      <w:rFonts w:eastAsia="Times New Roman"/>
      <w:sz w:val="20"/>
    </w:rPr>
  </w:style>
  <w:style w:type="paragraph" w:styleId="1089" w:customStyle="1">
    <w:name w:val="Normal_0_3"/>
    <w:uiPriority w:val="0"/>
    <w:qFormat/>
    <w:rPr>
      <w:rFonts w:hint="default" w:ascii="黑体" w:hAnsi="黑体" w:eastAsia="黑体" w:cs="黑体"/>
      <w:b/>
      <w:sz w:val="32"/>
      <w:szCs w:val="24"/>
      <w:lang w:val="en-US" w:eastAsia="zh-CN" w:bidi="ar-SA"/>
    </w:rPr>
  </w:style>
  <w:style w:type="paragraph" w:styleId="109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91" w:customStyle="1">
    <w:name w:val="xl27"/>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2" w:customStyle="1">
    <w:name w:val="table_lines"/>
    <w:basedOn w:val="782"/>
    <w:uiPriority w:val="0"/>
    <w:qFormat/>
    <w:pPr>
      <w:jc w:val="left"/>
      <w:widowControl/>
    </w:pPr>
    <w:rPr>
      <w:rFonts w:ascii="Times New Roman" w:hAnsi="Times New Roman"/>
      <w:sz w:val="20"/>
      <w:szCs w:val="20"/>
      <w:lang w:val="de-DE" w:eastAsia="de-DE"/>
    </w:rPr>
  </w:style>
  <w:style w:type="paragraph" w:styleId="1093" w:customStyle="1">
    <w:name w:val="font5"/>
    <w:basedOn w:val="782"/>
    <w:uiPriority w:val="0"/>
    <w:qFormat/>
    <w:pPr>
      <w:jc w:val="left"/>
      <w:spacing w:before="100" w:beforeAutospacing="1" w:after="100" w:afterAutospacing="1"/>
      <w:widowControl/>
    </w:pPr>
    <w:rPr>
      <w:rFonts w:hint="eastAsia" w:ascii="宋体" w:hAnsi="宋体"/>
      <w:sz w:val="28"/>
      <w:szCs w:val="28"/>
    </w:rPr>
  </w:style>
  <w:style w:type="paragraph" w:styleId="1094" w:customStyle="1">
    <w:name w:val="TOC 标题1"/>
    <w:uiPriority w:val="39"/>
    <w:unhideWhenUsed/>
    <w:qFormat/>
    <w:rPr>
      <w:rFonts w:hint="default" w:ascii="Times New Roman" w:hAnsi="Times New Roman" w:eastAsia="宋体" w:cs="Times New Roman"/>
      <w:lang w:val="en-US" w:eastAsia="zh-CN" w:bidi="ar-SA"/>
    </w:rPr>
  </w:style>
  <w:style w:type="paragraph" w:styleId="1095" w:customStyle="1">
    <w:name w:val="Normal_16_0"/>
    <w:uiPriority w:val="0"/>
    <w:qFormat/>
    <w:rPr>
      <w:rFonts w:hint="default" w:ascii="黑体" w:hAnsi="黑体" w:eastAsia="黑体" w:cs="黑体"/>
      <w:b/>
      <w:sz w:val="32"/>
      <w:szCs w:val="24"/>
      <w:lang w:val="en-US" w:eastAsia="zh-CN" w:bidi="ar-SA"/>
    </w:rPr>
  </w:style>
  <w:style w:type="paragraph" w:styleId="1096"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Normal_13_0"/>
    <w:uiPriority w:val="0"/>
    <w:qFormat/>
    <w:rPr>
      <w:rFonts w:hint="default" w:ascii="黑体" w:hAnsi="黑体" w:eastAsia="黑体" w:cs="黑体"/>
      <w:b/>
      <w:sz w:val="32"/>
      <w:szCs w:val="24"/>
      <w:lang w:val="en-US" w:eastAsia="zh-CN" w:bidi="ar-SA"/>
    </w:rPr>
  </w:style>
  <w:style w:type="paragraph" w:styleId="1098" w:customStyle="1">
    <w:name w:val="Normal_15_0"/>
    <w:uiPriority w:val="0"/>
    <w:qFormat/>
    <w:rPr>
      <w:rFonts w:hint="default" w:ascii="黑体" w:hAnsi="黑体" w:eastAsia="黑体" w:cs="黑体"/>
      <w:b/>
      <w:sz w:val="32"/>
      <w:szCs w:val="24"/>
      <w:lang w:val="en-US" w:eastAsia="zh-CN" w:bidi="ar-SA"/>
    </w:rPr>
  </w:style>
  <w:style w:type="paragraph" w:styleId="1099"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00" w:customStyle="1">
    <w:name w:val="正文文本缩进 2_0"/>
    <w:basedOn w:val="949"/>
    <w:uiPriority w:val="0"/>
    <w:qFormat/>
    <w:pPr>
      <w:ind w:firstLine="720"/>
      <w:jc w:val="left"/>
      <w:spacing w:line="540" w:lineRule="exact"/>
    </w:pPr>
    <w:rPr>
      <w:rFonts w:ascii="仿宋_GB2312" w:hAnsi="仿宋_GB2312" w:cs="宋体"/>
      <w:sz w:val="32"/>
      <w:szCs w:val="32"/>
    </w:rPr>
  </w:style>
  <w:style w:type="paragraph" w:styleId="1101" w:customStyle="1">
    <w:name w:val="xl26"/>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2" w:customStyle="1">
    <w:name w:val="Char Char Char Char Char Char Char Char"/>
    <w:basedOn w:val="782"/>
    <w:uiPriority w:val="0"/>
    <w:qFormat/>
    <w:pPr>
      <w:jc w:val="left"/>
      <w:spacing w:after="160" w:line="240" w:lineRule="exact"/>
      <w:widowControl/>
    </w:pPr>
    <w:rPr>
      <w:rFonts w:ascii="Verdana" w:hAnsi="Verdana"/>
      <w:sz w:val="20"/>
      <w:szCs w:val="20"/>
      <w:lang w:eastAsia="en-US"/>
    </w:rPr>
  </w:style>
  <w:style w:type="paragraph" w:styleId="1103" w:customStyle="1">
    <w:name w:val="Normal_19_3"/>
    <w:next w:val="944"/>
    <w:uiPriority w:val="0"/>
    <w:qFormat/>
    <w:pPr>
      <w:jc w:val="both"/>
      <w:widowControl w:val="off"/>
    </w:pPr>
    <w:rPr>
      <w:rFonts w:hint="default" w:ascii="Calibri" w:hAnsi="Calibri" w:eastAsia="Times New Roman" w:cs="Times New Roman"/>
      <w:szCs w:val="24"/>
      <w:lang w:val="en-US" w:eastAsia="zh-CN" w:bidi="ar-SA"/>
    </w:rPr>
  </w:style>
  <w:style w:type="paragraph" w:styleId="1104" w:customStyle="1">
    <w:name w:val="正文缩进1"/>
    <w:basedOn w:val="782"/>
    <w:uiPriority w:val="0"/>
    <w:qFormat/>
    <w:pPr>
      <w:ind w:firstLine="420"/>
      <w:jc w:val="left"/>
    </w:pPr>
    <w:rPr>
      <w:rFonts w:ascii="宋体" w:hAnsi="Calibri" w:eastAsia="宋体" w:cs="Times New Roman"/>
      <w:sz w:val="24"/>
    </w:rPr>
  </w:style>
  <w:style w:type="paragraph" w:styleId="1105" w:customStyle="1">
    <w:name w:val="Normal_14_0"/>
    <w:uiPriority w:val="0"/>
    <w:qFormat/>
    <w:rPr>
      <w:rFonts w:hint="default" w:ascii="黑体" w:hAnsi="黑体" w:eastAsia="黑体" w:cs="黑体"/>
      <w:b/>
      <w:sz w:val="32"/>
      <w:szCs w:val="24"/>
      <w:lang w:val="en-US" w:eastAsia="zh-CN" w:bidi="ar-SA"/>
    </w:rPr>
  </w:style>
  <w:style w:type="paragraph" w:styleId="1106" w:customStyle="1">
    <w:name w:val="样式1"/>
    <w:basedOn w:val="782"/>
    <w:uiPriority w:val="0"/>
    <w:qFormat/>
    <w:pPr>
      <w:numPr>
        <w:ilvl w:val="0"/>
        <w:numId w:val="2"/>
      </w:numPr>
      <w:tabs>
        <w:tab w:val="left" w:pos="709" w:leader="none"/>
      </w:tabs>
    </w:pPr>
    <w:rPr>
      <w:rFonts w:ascii="宋体" w:hAnsi="宋体"/>
      <w:szCs w:val="21"/>
    </w:rPr>
  </w:style>
  <w:style w:type="paragraph" w:styleId="110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Normal_10_0"/>
    <w:uiPriority w:val="0"/>
    <w:qFormat/>
    <w:rPr>
      <w:rFonts w:hint="default" w:ascii="黑体" w:hAnsi="黑体" w:eastAsia="黑体" w:cs="黑体"/>
      <w:b/>
      <w:sz w:val="32"/>
      <w:szCs w:val="24"/>
      <w:lang w:val="en-US" w:eastAsia="zh-CN" w:bidi="ar-SA"/>
    </w:rPr>
  </w:style>
  <w:style w:type="paragraph" w:styleId="1109" w:customStyle="1">
    <w:name w:val="纯文本_1"/>
    <w:basedOn w:val="995"/>
    <w:uiPriority w:val="0"/>
    <w:qFormat/>
    <w:rPr>
      <w:rFonts w:ascii="宋体" w:hAnsi="Times New Roman"/>
      <w:sz w:val="20"/>
      <w:szCs w:val="21"/>
    </w:rPr>
  </w:style>
  <w:style w:type="paragraph" w:styleId="1110" w:customStyle="1">
    <w:name w:val="正文首行缩进 2_0"/>
    <w:basedOn w:val="950"/>
    <w:uiPriority w:val="0"/>
    <w:qFormat/>
    <w:pPr>
      <w:ind w:left="200" w:firstLine="200"/>
      <w:spacing w:after="120"/>
    </w:pPr>
    <w:rPr>
      <w:rFonts w:ascii="Times New Roman" w:hAnsi="Times New Roman"/>
      <w:sz w:val="24"/>
      <w:szCs w:val="24"/>
    </w:rPr>
  </w:style>
  <w:style w:type="paragraph" w:styleId="1111" w:customStyle="1">
    <w:name w:val="无间隔"/>
    <w:uiPriority w:val="99"/>
    <w:qFormat/>
    <w:rPr>
      <w:rFonts w:hint="default" w:ascii="Times New Roman" w:hAnsi="Times New Roman" w:eastAsia="宋体" w:cs="Times New Roman"/>
      <w:lang w:val="en-US" w:eastAsia="zh-CN" w:bidi="ar-SA"/>
    </w:rPr>
  </w:style>
  <w:style w:type="paragraph" w:styleId="1112" w:customStyle="1">
    <w:name w:val="*正文_0_0"/>
    <w:basedOn w:val="973"/>
    <w:uiPriority w:val="0"/>
    <w:qFormat/>
    <w:pPr>
      <w:ind w:firstLine="200"/>
      <w:jc w:val="left"/>
      <w:spacing w:line="360" w:lineRule="auto"/>
      <w:widowControl/>
    </w:pPr>
    <w:rPr>
      <w:rFonts w:ascii="宋体" w:hAnsi="宋体" w:eastAsia="Arial" w:cs="Arial"/>
      <w:color w:val="000000"/>
      <w:sz w:val="24"/>
      <w:szCs w:val="24"/>
    </w:rPr>
  </w:style>
  <w:style w:type="paragraph" w:styleId="1113" w:customStyle="1">
    <w:name w:val="纯文本_0_0"/>
    <w:basedOn w:val="956"/>
    <w:uiPriority w:val="0"/>
    <w:unhideWhenUsed/>
    <w:qFormat/>
    <w:rPr>
      <w:rFonts w:ascii="宋体" w:hAnsi="Courier New"/>
      <w:szCs w:val="21"/>
    </w:rPr>
  </w:style>
  <w:style w:type="paragraph" w:styleId="1114" w:customStyle="1">
    <w:name w:val="p17_0"/>
    <w:basedOn w:val="796"/>
    <w:uiPriority w:val="0"/>
    <w:qFormat/>
    <w:pPr>
      <w:jc w:val="left"/>
      <w:spacing w:before="100" w:beforeAutospacing="1" w:after="100" w:afterAutospacing="1"/>
      <w:widowControl/>
    </w:pPr>
    <w:rPr>
      <w:rFonts w:ascii="宋体" w:hAnsi="宋体" w:eastAsia="Times New Roman" w:cs="宋体"/>
      <w:sz w:val="24"/>
      <w:szCs w:val="24"/>
    </w:rPr>
  </w:style>
  <w:style w:type="paragraph" w:styleId="111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正文_0"/>
    <w:basedOn w:val="1117"/>
    <w:uiPriority w:val="0"/>
    <w:qFormat/>
    <w:pPr>
      <w:ind w:firstLine="200"/>
      <w:spacing w:line="360" w:lineRule="auto"/>
    </w:pPr>
    <w:rPr>
      <w:rFonts w:ascii="宋体" w:hAnsi="宋体" w:eastAsia="Arial" w:cs="Arial"/>
      <w:color w:val="000000"/>
      <w:sz w:val="24"/>
    </w:rPr>
  </w:style>
  <w:style w:type="paragraph" w:styleId="1117" w:customStyle="1">
    <w:name w:val="正文缩进_2"/>
    <w:basedOn w:val="973"/>
    <w:uiPriority w:val="0"/>
    <w:unhideWhenUsed/>
    <w:qFormat/>
    <w:pPr>
      <w:ind w:firstLine="420"/>
      <w:jc w:val="left"/>
      <w:widowControl/>
    </w:pPr>
    <w:rPr>
      <w:rFonts w:ascii="Times New Roman" w:hAnsi="Times New Roman"/>
      <w:sz w:val="20"/>
      <w:szCs w:val="24"/>
    </w:rPr>
  </w:style>
  <w:style w:type="paragraph" w:styleId="111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2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21" w:customStyle="1">
    <w:name w:val="Char Char Char Char1"/>
    <w:basedOn w:val="850"/>
    <w:uiPriority w:val="0"/>
    <w:qFormat/>
    <w:pPr>
      <w:spacing w:line="360" w:lineRule="auto"/>
    </w:pPr>
    <w:rPr>
      <w:rFonts w:ascii="Tahoma" w:hAnsi="Tahoma"/>
      <w:sz w:val="24"/>
      <w:szCs w:val="24"/>
    </w:rPr>
  </w:style>
  <w:style w:type="paragraph" w:styleId="1122" w:customStyle="1">
    <w:name w:val="xl25"/>
    <w:basedOn w:val="7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font6"/>
    <w:basedOn w:val="782"/>
    <w:uiPriority w:val="0"/>
    <w:qFormat/>
    <w:pPr>
      <w:jc w:val="left"/>
      <w:spacing w:before="100" w:beforeAutospacing="1" w:after="100" w:afterAutospacing="1"/>
      <w:widowControl/>
    </w:pPr>
    <w:rPr>
      <w:rFonts w:hint="eastAsia" w:ascii="宋体" w:hAnsi="宋体"/>
      <w:sz w:val="28"/>
      <w:szCs w:val="28"/>
      <w:u w:val="single"/>
    </w:rPr>
  </w:style>
  <w:style w:type="paragraph" w:styleId="1126" w:customStyle="1">
    <w:name w:val="Normal_9_0"/>
    <w:uiPriority w:val="0"/>
    <w:qFormat/>
    <w:rPr>
      <w:rFonts w:hint="default" w:ascii="Times New Roman" w:hAnsi="Times New Roman" w:eastAsia="Times New Roman" w:cs="Times New Roman"/>
      <w:sz w:val="24"/>
      <w:szCs w:val="24"/>
      <w:lang w:val="en-US" w:eastAsia="zh-CN" w:bidi="ar-SA"/>
    </w:rPr>
  </w:style>
  <w:style w:type="table" w:styleId="1127" w:customStyle="1">
    <w:name w:val="List Table 3 - Accent 4"/>
    <w:basedOn w:val="837"/>
    <w:uiPriority w:val="99"/>
    <w:qFormat/>
    <w:tblPr/>
  </w:style>
  <w:style w:type="table" w:styleId="1128" w:customStyle="1">
    <w:name w:val="List Table 6 Colorful - Accent 5"/>
    <w:basedOn w:val="837"/>
    <w:uiPriority w:val="99"/>
    <w:qFormat/>
    <w:tblPr/>
  </w:style>
  <w:style w:type="table" w:styleId="1129" w:customStyle="1">
    <w:name w:val="Grid Table 7 Colorful - Accent 6"/>
    <w:basedOn w:val="837"/>
    <w:uiPriority w:val="99"/>
    <w:qFormat/>
    <w:tblPr/>
  </w:style>
  <w:style w:type="table" w:styleId="1130" w:customStyle="1">
    <w:name w:val="Grid Table 7 Colorful - Accent 3"/>
    <w:basedOn w:val="837"/>
    <w:uiPriority w:val="99"/>
    <w:qFormat/>
    <w:tblPr/>
  </w:style>
  <w:style w:type="table" w:styleId="1131" w:customStyle="1">
    <w:name w:val="Bordered &amp; Lined - Accent"/>
    <w:basedOn w:val="837"/>
    <w:uiPriority w:val="99"/>
    <w:qFormat/>
    <w:rPr>
      <w:color w:val="404040"/>
    </w:rPr>
    <w:tblPr/>
  </w:style>
  <w:style w:type="table" w:styleId="1132" w:customStyle="1">
    <w:name w:val="List Table 6 Colorful - Accent 2"/>
    <w:basedOn w:val="837"/>
    <w:uiPriority w:val="99"/>
    <w:qFormat/>
    <w:tblPr/>
  </w:style>
  <w:style w:type="table" w:styleId="1133" w:customStyle="1">
    <w:name w:val="Grid Table 6 Colorful - Accent 2"/>
    <w:basedOn w:val="837"/>
    <w:uiPriority w:val="99"/>
    <w:qFormat/>
    <w:tblPr/>
  </w:style>
  <w:style w:type="table" w:styleId="1134" w:customStyle="1">
    <w:name w:val="Grid Table 4 - Accent 5"/>
    <w:basedOn w:val="837"/>
    <w:uiPriority w:val="59"/>
    <w:qFormat/>
    <w:tblPr/>
  </w:style>
  <w:style w:type="table" w:styleId="1135" w:customStyle="1">
    <w:name w:val="无格式表格 31"/>
    <w:basedOn w:val="837"/>
    <w:uiPriority w:val="99"/>
    <w:qFormat/>
    <w:tblPr/>
  </w:style>
  <w:style w:type="table" w:styleId="1136" w:customStyle="1">
    <w:name w:val="Plain Table 1"/>
    <w:basedOn w:val="837"/>
    <w:uiPriority w:val="59"/>
    <w:qFormat/>
    <w:pPr>
      <w:spacing w:after="0" w:line="240" w:lineRule="auto"/>
    </w:pPr>
    <w:tblPr/>
  </w:style>
  <w:style w:type="table" w:styleId="1137" w:customStyle="1">
    <w:name w:val="Grid Table 6 Colorful"/>
    <w:basedOn w:val="837"/>
    <w:uiPriority w:val="99"/>
    <w:qFormat/>
    <w:pPr>
      <w:spacing w:after="0" w:line="240" w:lineRule="auto"/>
    </w:pPr>
    <w:tblPr/>
  </w:style>
  <w:style w:type="table" w:styleId="1138" w:customStyle="1">
    <w:name w:val="Plain Table 2"/>
    <w:basedOn w:val="837"/>
    <w:uiPriority w:val="59"/>
    <w:qFormat/>
    <w:pPr>
      <w:spacing w:after="0" w:line="240" w:lineRule="auto"/>
    </w:pPr>
    <w:tblPr/>
  </w:style>
  <w:style w:type="table" w:styleId="1139" w:customStyle="1">
    <w:name w:val="无格式表格 11"/>
    <w:basedOn w:val="837"/>
    <w:uiPriority w:val="59"/>
    <w:qFormat/>
    <w:tblPr/>
  </w:style>
  <w:style w:type="table" w:styleId="1140" w:customStyle="1">
    <w:name w:val="Grid Table 4 - Accent 1"/>
    <w:basedOn w:val="837"/>
    <w:uiPriority w:val="59"/>
    <w:qFormat/>
    <w:tblPr/>
  </w:style>
  <w:style w:type="table" w:styleId="1141" w:customStyle="1">
    <w:name w:val="Plain Table 3"/>
    <w:basedOn w:val="837"/>
    <w:uiPriority w:val="99"/>
    <w:qFormat/>
    <w:pPr>
      <w:spacing w:after="0" w:line="240" w:lineRule="auto"/>
    </w:pPr>
    <w:tblPr/>
  </w:style>
  <w:style w:type="table" w:styleId="1142" w:customStyle="1">
    <w:name w:val="List Table 3"/>
    <w:basedOn w:val="837"/>
    <w:uiPriority w:val="99"/>
    <w:qFormat/>
    <w:pPr>
      <w:spacing w:after="0" w:line="240" w:lineRule="auto"/>
    </w:pPr>
    <w:tblPr/>
  </w:style>
  <w:style w:type="table" w:styleId="1143" w:customStyle="1">
    <w:name w:val="网格表 41"/>
    <w:basedOn w:val="837"/>
    <w:uiPriority w:val="59"/>
    <w:qFormat/>
    <w:tblPr/>
  </w:style>
  <w:style w:type="table" w:styleId="1144" w:customStyle="1">
    <w:name w:val="Plain Table 4"/>
    <w:basedOn w:val="837"/>
    <w:uiPriority w:val="99"/>
    <w:qFormat/>
    <w:pPr>
      <w:spacing w:after="0" w:line="240" w:lineRule="auto"/>
    </w:pPr>
    <w:tblPr/>
  </w:style>
  <w:style w:type="table" w:styleId="1145" w:customStyle="1">
    <w:name w:val="Grid Table 4 - Accent 6"/>
    <w:basedOn w:val="837"/>
    <w:uiPriority w:val="59"/>
    <w:qFormat/>
    <w:tblPr/>
  </w:style>
  <w:style w:type="table" w:styleId="1146" w:customStyle="1">
    <w:name w:val="网格表 5 深色1"/>
    <w:basedOn w:val="837"/>
    <w:uiPriority w:val="99"/>
    <w:qFormat/>
    <w:tblPr/>
  </w:style>
  <w:style w:type="table" w:styleId="1147" w:customStyle="1">
    <w:name w:val="Grid Table 7 Colorful"/>
    <w:basedOn w:val="837"/>
    <w:uiPriority w:val="99"/>
    <w:qFormat/>
    <w:pPr>
      <w:spacing w:after="0" w:line="240" w:lineRule="auto"/>
    </w:pPr>
    <w:tblPr/>
  </w:style>
  <w:style w:type="table" w:styleId="1148" w:customStyle="1">
    <w:name w:val="Plain Table 5"/>
    <w:basedOn w:val="837"/>
    <w:uiPriority w:val="99"/>
    <w:qFormat/>
    <w:pPr>
      <w:spacing w:after="0" w:line="240" w:lineRule="auto"/>
    </w:pPr>
    <w:tblPr/>
  </w:style>
  <w:style w:type="table" w:styleId="1149" w:customStyle="1">
    <w:name w:val="List Table 6 Colorful"/>
    <w:basedOn w:val="837"/>
    <w:uiPriority w:val="99"/>
    <w:qFormat/>
    <w:pPr>
      <w:spacing w:after="0" w:line="240" w:lineRule="auto"/>
    </w:pPr>
    <w:tblPr/>
  </w:style>
  <w:style w:type="table" w:styleId="1150" w:customStyle="1">
    <w:name w:val="清单表 1 浅色1"/>
    <w:basedOn w:val="837"/>
    <w:uiPriority w:val="99"/>
    <w:qFormat/>
    <w:tblPr/>
  </w:style>
  <w:style w:type="table" w:styleId="1151" w:customStyle="1">
    <w:name w:val="网格表 1 浅色1"/>
    <w:basedOn w:val="837"/>
    <w:uiPriority w:val="99"/>
    <w:qFormat/>
    <w:tblPr/>
  </w:style>
  <w:style w:type="table" w:styleId="1152" w:customStyle="1">
    <w:name w:val="Grid Table 1 Light"/>
    <w:basedOn w:val="837"/>
    <w:uiPriority w:val="99"/>
    <w:qFormat/>
    <w:pPr>
      <w:spacing w:after="0" w:line="240" w:lineRule="auto"/>
    </w:pPr>
    <w:tblPr/>
  </w:style>
  <w:style w:type="table" w:styleId="1153" w:customStyle="1">
    <w:name w:val="Grid Table 3 - Accent 3"/>
    <w:basedOn w:val="837"/>
    <w:uiPriority w:val="99"/>
    <w:qFormat/>
    <w:tblPr/>
  </w:style>
  <w:style w:type="table" w:styleId="1154" w:customStyle="1">
    <w:name w:val="Grid Table 5 Dark - Accent 6"/>
    <w:basedOn w:val="837"/>
    <w:uiPriority w:val="99"/>
    <w:qFormat/>
    <w:tblPr/>
  </w:style>
  <w:style w:type="table" w:styleId="1155" w:customStyle="1">
    <w:name w:val="List Table 1 Light"/>
    <w:basedOn w:val="837"/>
    <w:uiPriority w:val="99"/>
    <w:qFormat/>
    <w:pPr>
      <w:spacing w:after="0" w:line="240" w:lineRule="auto"/>
    </w:pPr>
    <w:tblPr/>
  </w:style>
  <w:style w:type="table" w:styleId="1156" w:customStyle="1">
    <w:name w:val="Grid Table 2"/>
    <w:basedOn w:val="837"/>
    <w:uiPriority w:val="99"/>
    <w:qFormat/>
    <w:pPr>
      <w:spacing w:after="0" w:line="240" w:lineRule="auto"/>
    </w:pPr>
    <w:tblPr/>
  </w:style>
  <w:style w:type="table" w:styleId="1157" w:customStyle="1">
    <w:name w:val="Grid Table 3"/>
    <w:basedOn w:val="837"/>
    <w:uiPriority w:val="99"/>
    <w:qFormat/>
    <w:pPr>
      <w:spacing w:after="0" w:line="240" w:lineRule="auto"/>
    </w:pPr>
    <w:tblPr/>
  </w:style>
  <w:style w:type="table" w:styleId="1158" w:customStyle="1">
    <w:name w:val="List Table 5 Dark"/>
    <w:basedOn w:val="837"/>
    <w:uiPriority w:val="99"/>
    <w:qFormat/>
    <w:pPr>
      <w:spacing w:after="0" w:line="240" w:lineRule="auto"/>
    </w:pPr>
    <w:tblPr/>
  </w:style>
  <w:style w:type="table" w:styleId="1159" w:customStyle="1">
    <w:name w:val="无格式表格 21"/>
    <w:basedOn w:val="837"/>
    <w:uiPriority w:val="59"/>
    <w:qFormat/>
    <w:tblPr/>
  </w:style>
  <w:style w:type="table" w:styleId="1160" w:customStyle="1">
    <w:name w:val="网格表 7 彩色1"/>
    <w:basedOn w:val="837"/>
    <w:uiPriority w:val="99"/>
    <w:qFormat/>
    <w:tblPr/>
  </w:style>
  <w:style w:type="table" w:styleId="1161" w:customStyle="1">
    <w:name w:val="Grid Table 4"/>
    <w:basedOn w:val="837"/>
    <w:uiPriority w:val="59"/>
    <w:qFormat/>
    <w:pPr>
      <w:spacing w:after="0" w:line="240" w:lineRule="auto"/>
    </w:pPr>
    <w:tblPr/>
  </w:style>
  <w:style w:type="table" w:styleId="1162" w:customStyle="1">
    <w:name w:val="Grid Table 3 - Accent 6"/>
    <w:basedOn w:val="837"/>
    <w:uiPriority w:val="99"/>
    <w:qFormat/>
    <w:tblPr/>
  </w:style>
  <w:style w:type="table" w:styleId="1163" w:customStyle="1">
    <w:name w:val="网格表 31"/>
    <w:basedOn w:val="837"/>
    <w:uiPriority w:val="99"/>
    <w:qFormat/>
    <w:tblPr/>
  </w:style>
  <w:style w:type="table" w:styleId="1164" w:customStyle="1">
    <w:name w:val="List Table 7 Colorful"/>
    <w:basedOn w:val="837"/>
    <w:uiPriority w:val="99"/>
    <w:qFormat/>
    <w:pPr>
      <w:spacing w:after="0" w:line="240" w:lineRule="auto"/>
    </w:pPr>
    <w:tblPr/>
  </w:style>
  <w:style w:type="table" w:styleId="1165" w:customStyle="1">
    <w:name w:val="Grid Table 5 Dark"/>
    <w:basedOn w:val="837"/>
    <w:uiPriority w:val="99"/>
    <w:qFormat/>
    <w:pPr>
      <w:spacing w:after="0" w:line="240" w:lineRule="auto"/>
    </w:pPr>
    <w:tblPr/>
  </w:style>
  <w:style w:type="table" w:styleId="1166" w:customStyle="1">
    <w:name w:val="无格式表格 41"/>
    <w:basedOn w:val="837"/>
    <w:uiPriority w:val="99"/>
    <w:qFormat/>
    <w:tblPr/>
  </w:style>
  <w:style w:type="table" w:styleId="1167" w:customStyle="1">
    <w:name w:val="List Table 2"/>
    <w:basedOn w:val="837"/>
    <w:uiPriority w:val="99"/>
    <w:qFormat/>
    <w:pPr>
      <w:spacing w:after="0" w:line="240" w:lineRule="auto"/>
    </w:pPr>
    <w:tblPr/>
  </w:style>
  <w:style w:type="table" w:styleId="1168" w:customStyle="1">
    <w:name w:val="Grid Table 3 - Accent 1"/>
    <w:basedOn w:val="837"/>
    <w:uiPriority w:val="99"/>
    <w:qFormat/>
    <w:tblPr/>
  </w:style>
  <w:style w:type="table" w:styleId="1169" w:customStyle="1">
    <w:name w:val="Grid Table 5 Dark - Accent 3"/>
    <w:basedOn w:val="837"/>
    <w:uiPriority w:val="99"/>
    <w:qFormat/>
    <w:tblPr/>
  </w:style>
  <w:style w:type="table" w:styleId="1170" w:customStyle="1">
    <w:name w:val="List Table 4"/>
    <w:basedOn w:val="837"/>
    <w:uiPriority w:val="99"/>
    <w:qFormat/>
    <w:pPr>
      <w:spacing w:after="0" w:line="240" w:lineRule="auto"/>
    </w:pPr>
    <w:tblPr/>
  </w:style>
  <w:style w:type="table" w:styleId="1171" w:customStyle="1">
    <w:name w:val="网格表 21"/>
    <w:basedOn w:val="837"/>
    <w:uiPriority w:val="99"/>
    <w:qFormat/>
    <w:tblPr/>
  </w:style>
  <w:style w:type="table" w:styleId="1172" w:customStyle="1">
    <w:name w:val="无格式表格 51"/>
    <w:basedOn w:val="837"/>
    <w:uiPriority w:val="99"/>
    <w:qFormat/>
    <w:tblPr/>
  </w:style>
  <w:style w:type="table" w:styleId="1173" w:customStyle="1">
    <w:name w:val="网格表 6 彩色1"/>
    <w:basedOn w:val="837"/>
    <w:uiPriority w:val="99"/>
    <w:qFormat/>
    <w:tblPr/>
  </w:style>
  <w:style w:type="table" w:styleId="1174" w:customStyle="1">
    <w:name w:val="Grid Table 4 - Accent 3"/>
    <w:basedOn w:val="837"/>
    <w:uiPriority w:val="59"/>
    <w:qFormat/>
    <w:tblPr/>
  </w:style>
  <w:style w:type="table" w:styleId="1175" w:customStyle="1">
    <w:name w:val="Grid Table 3 - Accent 5"/>
    <w:basedOn w:val="837"/>
    <w:uiPriority w:val="99"/>
    <w:qFormat/>
    <w:tblPr/>
  </w:style>
  <w:style w:type="table" w:styleId="1176" w:customStyle="1">
    <w:name w:val="Grid Table 6 Colorful - Accent 5"/>
    <w:basedOn w:val="837"/>
    <w:uiPriority w:val="99"/>
    <w:qFormat/>
    <w:tblPr/>
  </w:style>
  <w:style w:type="table" w:styleId="1177" w:customStyle="1">
    <w:name w:val="List Table 7 Colorful - Accent 6"/>
    <w:basedOn w:val="837"/>
    <w:uiPriority w:val="99"/>
    <w:qFormat/>
    <w:tblPr/>
  </w:style>
  <w:style w:type="table" w:styleId="1178" w:customStyle="1">
    <w:name w:val="List Table 2 - Accent 1"/>
    <w:basedOn w:val="837"/>
    <w:uiPriority w:val="99"/>
    <w:qFormat/>
    <w:tblPr/>
  </w:style>
  <w:style w:type="table" w:styleId="1179" w:customStyle="1">
    <w:name w:val="Bordered"/>
    <w:basedOn w:val="837"/>
    <w:uiPriority w:val="99"/>
    <w:qFormat/>
    <w:tblPr/>
  </w:style>
  <w:style w:type="table" w:styleId="1180" w:customStyle="1">
    <w:name w:val="清单表 21"/>
    <w:basedOn w:val="837"/>
    <w:uiPriority w:val="99"/>
    <w:qFormat/>
    <w:tblPr/>
  </w:style>
  <w:style w:type="table" w:styleId="1181" w:customStyle="1">
    <w:name w:val="List Table 3 - Accent 5"/>
    <w:basedOn w:val="837"/>
    <w:uiPriority w:val="99"/>
    <w:qFormat/>
    <w:tblPr/>
  </w:style>
  <w:style w:type="table" w:styleId="1182" w:customStyle="1">
    <w:name w:val="Lined - Accent 5"/>
    <w:basedOn w:val="837"/>
    <w:uiPriority w:val="99"/>
    <w:qFormat/>
    <w:rPr>
      <w:color w:val="404040"/>
    </w:rPr>
    <w:tblPr/>
  </w:style>
  <w:style w:type="table" w:styleId="1183" w:customStyle="1">
    <w:name w:val="List Table 7 Colorful - Accent 1"/>
    <w:basedOn w:val="837"/>
    <w:uiPriority w:val="99"/>
    <w:qFormat/>
    <w:tblPr/>
  </w:style>
  <w:style w:type="table" w:styleId="1184" w:customStyle="1">
    <w:name w:val="Lined - Accent"/>
    <w:basedOn w:val="837"/>
    <w:uiPriority w:val="99"/>
    <w:qFormat/>
    <w:rPr>
      <w:color w:val="404040"/>
    </w:rPr>
    <w:tblPr/>
  </w:style>
  <w:style w:type="table" w:styleId="1185" w:customStyle="1">
    <w:name w:val="List Table 6 Colorful - Accent 4"/>
    <w:basedOn w:val="837"/>
    <w:uiPriority w:val="99"/>
    <w:qFormat/>
    <w:tblPr/>
  </w:style>
  <w:style w:type="table" w:styleId="1186" w:customStyle="1">
    <w:name w:val="Grid Table 2 - Accent 2"/>
    <w:basedOn w:val="837"/>
    <w:uiPriority w:val="99"/>
    <w:qFormat/>
    <w:tblPr/>
  </w:style>
  <w:style w:type="table" w:styleId="1187" w:customStyle="1">
    <w:name w:val="Bordered - Accent 4"/>
    <w:basedOn w:val="837"/>
    <w:uiPriority w:val="99"/>
    <w:qFormat/>
    <w:tblPr/>
  </w:style>
  <w:style w:type="table" w:styleId="1188" w:customStyle="1">
    <w:name w:val="Bordered &amp; Lined - Accent 6"/>
    <w:basedOn w:val="837"/>
    <w:uiPriority w:val="99"/>
    <w:qFormat/>
    <w:rPr>
      <w:color w:val="404040"/>
    </w:rPr>
    <w:tblPr/>
  </w:style>
  <w:style w:type="table" w:styleId="1189" w:customStyle="1">
    <w:name w:val="Lined - Accent 6"/>
    <w:basedOn w:val="837"/>
    <w:uiPriority w:val="99"/>
    <w:qFormat/>
    <w:rPr>
      <w:color w:val="404040"/>
    </w:rPr>
    <w:tblPr/>
  </w:style>
  <w:style w:type="table" w:styleId="1190" w:customStyle="1">
    <w:name w:val="清单表 31"/>
    <w:basedOn w:val="837"/>
    <w:uiPriority w:val="99"/>
    <w:qFormat/>
    <w:tblPr/>
  </w:style>
  <w:style w:type="table" w:styleId="1191" w:customStyle="1">
    <w:name w:val="List Table 4 - Accent 4"/>
    <w:basedOn w:val="837"/>
    <w:uiPriority w:val="99"/>
    <w:qFormat/>
    <w:tblPr/>
  </w:style>
  <w:style w:type="table" w:styleId="1192" w:customStyle="1">
    <w:name w:val="Grid Table 2 - Accent 6"/>
    <w:basedOn w:val="837"/>
    <w:uiPriority w:val="99"/>
    <w:qFormat/>
    <w:tblPr/>
  </w:style>
  <w:style w:type="table" w:styleId="1193" w:customStyle="1">
    <w:name w:val="List Table 5 Dark - Accent 4"/>
    <w:basedOn w:val="837"/>
    <w:uiPriority w:val="99"/>
    <w:qFormat/>
    <w:tblPr/>
  </w:style>
  <w:style w:type="table" w:styleId="1194" w:customStyle="1">
    <w:name w:val="Bordered - Accent 2"/>
    <w:basedOn w:val="837"/>
    <w:uiPriority w:val="99"/>
    <w:qFormat/>
    <w:tblPr/>
  </w:style>
  <w:style w:type="table" w:styleId="1195" w:customStyle="1">
    <w:name w:val="Bordered - Accent 1"/>
    <w:basedOn w:val="837"/>
    <w:uiPriority w:val="99"/>
    <w:qFormat/>
    <w:tblPr/>
  </w:style>
  <w:style w:type="table" w:styleId="1196" w:customStyle="1">
    <w:name w:val="Bordered - Accent 5"/>
    <w:basedOn w:val="837"/>
    <w:uiPriority w:val="99"/>
    <w:qFormat/>
    <w:tblPr/>
  </w:style>
  <w:style w:type="table" w:styleId="1197" w:customStyle="1">
    <w:name w:val="清单表 41"/>
    <w:basedOn w:val="837"/>
    <w:uiPriority w:val="99"/>
    <w:qFormat/>
    <w:tblPr/>
  </w:style>
  <w:style w:type="table" w:styleId="1198" w:customStyle="1">
    <w:name w:val="Bordered &amp; Lined - Accent 2"/>
    <w:basedOn w:val="837"/>
    <w:uiPriority w:val="99"/>
    <w:qFormat/>
    <w:rPr>
      <w:color w:val="404040"/>
    </w:rPr>
    <w:tblPr/>
  </w:style>
  <w:style w:type="table" w:styleId="1199" w:customStyle="1">
    <w:name w:val="Grid Table 2 - Accent 4"/>
    <w:basedOn w:val="837"/>
    <w:uiPriority w:val="99"/>
    <w:qFormat/>
    <w:tblPr/>
  </w:style>
  <w:style w:type="table" w:styleId="1200" w:customStyle="1">
    <w:name w:val="Grid Table 7 Colorful - Accent 4"/>
    <w:basedOn w:val="837"/>
    <w:uiPriority w:val="99"/>
    <w:qFormat/>
    <w:tblPr/>
  </w:style>
  <w:style w:type="table" w:styleId="1201" w:customStyle="1">
    <w:name w:val="Bordered &amp; Lined - Accent 1"/>
    <w:basedOn w:val="837"/>
    <w:uiPriority w:val="99"/>
    <w:qFormat/>
    <w:rPr>
      <w:color w:val="404040"/>
    </w:rPr>
    <w:tblPr/>
  </w:style>
  <w:style w:type="table" w:styleId="1202" w:customStyle="1">
    <w:name w:val="Grid Table 6 Colorful - Accent 4"/>
    <w:basedOn w:val="837"/>
    <w:uiPriority w:val="99"/>
    <w:qFormat/>
    <w:tblPr/>
  </w:style>
  <w:style w:type="table" w:styleId="1203" w:customStyle="1">
    <w:name w:val="Table Normal"/>
    <w:uiPriority w:val="0"/>
    <w:qFormat/>
    <w:rPr>
      <w:lang w:val="en-US" w:eastAsia="zh-CN" w:bidi="ar-SA"/>
    </w:rPr>
    <w:tblPr/>
  </w:style>
  <w:style w:type="table" w:styleId="1204" w:customStyle="1">
    <w:name w:val="Grid Table 1 Light - Accent 5"/>
    <w:basedOn w:val="837"/>
    <w:uiPriority w:val="99"/>
    <w:qFormat/>
    <w:tblPr/>
  </w:style>
  <w:style w:type="table" w:styleId="1205" w:customStyle="1">
    <w:name w:val="List Table 7 Colorful - Accent 2"/>
    <w:basedOn w:val="837"/>
    <w:uiPriority w:val="99"/>
    <w:qFormat/>
    <w:tblPr/>
  </w:style>
  <w:style w:type="table" w:styleId="1206" w:customStyle="1">
    <w:name w:val="List Table 4 - Accent 2"/>
    <w:basedOn w:val="837"/>
    <w:uiPriority w:val="99"/>
    <w:qFormat/>
    <w:tblPr/>
  </w:style>
  <w:style w:type="table" w:styleId="1207" w:customStyle="1">
    <w:name w:val="Lined - Accent 3"/>
    <w:basedOn w:val="837"/>
    <w:uiPriority w:val="99"/>
    <w:qFormat/>
    <w:rPr>
      <w:color w:val="404040"/>
    </w:rPr>
    <w:tblPr/>
  </w:style>
  <w:style w:type="table" w:styleId="1208" w:customStyle="1">
    <w:name w:val="Grid Table 4 - Accent 2"/>
    <w:basedOn w:val="837"/>
    <w:uiPriority w:val="59"/>
    <w:qFormat/>
    <w:tblPr/>
  </w:style>
  <w:style w:type="table" w:styleId="1209" w:customStyle="1">
    <w:name w:val="清单表 5 深色1"/>
    <w:basedOn w:val="837"/>
    <w:uiPriority w:val="99"/>
    <w:qFormat/>
    <w:tblPr/>
  </w:style>
  <w:style w:type="table" w:styleId="1210" w:customStyle="1">
    <w:name w:val="List Table 3 - Accent 2"/>
    <w:basedOn w:val="837"/>
    <w:uiPriority w:val="99"/>
    <w:qFormat/>
    <w:tblPr/>
  </w:style>
  <w:style w:type="table" w:styleId="1211" w:customStyle="1">
    <w:name w:val="Grid Table 6 Colorful - Accent 6"/>
    <w:basedOn w:val="837"/>
    <w:uiPriority w:val="99"/>
    <w:qFormat/>
    <w:tblPr/>
  </w:style>
  <w:style w:type="table" w:styleId="1212" w:customStyle="1">
    <w:name w:val="Grid Table 5 Dark - Accent 5"/>
    <w:basedOn w:val="837"/>
    <w:uiPriority w:val="99"/>
    <w:qFormat/>
    <w:tblPr/>
  </w:style>
  <w:style w:type="table" w:styleId="1213" w:customStyle="1">
    <w:name w:val="List Table 4 - Accent 3"/>
    <w:basedOn w:val="837"/>
    <w:uiPriority w:val="99"/>
    <w:qFormat/>
    <w:tblPr/>
  </w:style>
  <w:style w:type="table" w:styleId="1214" w:customStyle="1">
    <w:name w:val="清单表 6 彩色1"/>
    <w:basedOn w:val="837"/>
    <w:uiPriority w:val="99"/>
    <w:qFormat/>
    <w:tblPr/>
  </w:style>
  <w:style w:type="table" w:styleId="1215" w:customStyle="1">
    <w:name w:val="List Table 3 - Accent 3"/>
    <w:basedOn w:val="837"/>
    <w:uiPriority w:val="99"/>
    <w:qFormat/>
    <w:tblPr/>
  </w:style>
  <w:style w:type="table" w:styleId="1216" w:customStyle="1">
    <w:name w:val="List Table 1 Light - Accent 5"/>
    <w:basedOn w:val="837"/>
    <w:uiPriority w:val="99"/>
    <w:qFormat/>
    <w:tblPr/>
  </w:style>
  <w:style w:type="table" w:styleId="1217" w:customStyle="1">
    <w:name w:val="Lined - Accent 1"/>
    <w:basedOn w:val="837"/>
    <w:uiPriority w:val="99"/>
    <w:qFormat/>
    <w:rPr>
      <w:color w:val="404040"/>
    </w:rPr>
    <w:tblPr/>
  </w:style>
  <w:style w:type="table" w:styleId="1218" w:customStyle="1">
    <w:name w:val="Grid Table 6 Colorful - Accent 3"/>
    <w:basedOn w:val="837"/>
    <w:uiPriority w:val="99"/>
    <w:qFormat/>
    <w:tblPr/>
  </w:style>
  <w:style w:type="table" w:styleId="1219" w:customStyle="1">
    <w:name w:val="List Table 2 - Accent 4"/>
    <w:basedOn w:val="837"/>
    <w:uiPriority w:val="99"/>
    <w:qFormat/>
    <w:tblPr/>
  </w:style>
  <w:style w:type="table" w:styleId="1220" w:customStyle="1">
    <w:name w:val="List Table 5 Dark - Accent 3"/>
    <w:basedOn w:val="837"/>
    <w:uiPriority w:val="99"/>
    <w:qFormat/>
    <w:tblPr/>
  </w:style>
  <w:style w:type="table" w:styleId="1221" w:customStyle="1">
    <w:name w:val="List Table 5 Dark - Accent 2"/>
    <w:basedOn w:val="837"/>
    <w:uiPriority w:val="99"/>
    <w:qFormat/>
    <w:tblPr/>
  </w:style>
  <w:style w:type="table" w:styleId="1222" w:customStyle="1">
    <w:name w:val="List Table 1 Light - Accent 4"/>
    <w:basedOn w:val="837"/>
    <w:uiPriority w:val="99"/>
    <w:qFormat/>
    <w:tblPr/>
  </w:style>
  <w:style w:type="table" w:styleId="1223" w:customStyle="1">
    <w:name w:val="清单表 7 彩色1"/>
    <w:basedOn w:val="837"/>
    <w:uiPriority w:val="99"/>
    <w:qFormat/>
    <w:tblPr/>
  </w:style>
  <w:style w:type="table" w:styleId="1224" w:customStyle="1">
    <w:name w:val="List Table 2 - Accent 2"/>
    <w:basedOn w:val="837"/>
    <w:uiPriority w:val="99"/>
    <w:qFormat/>
    <w:tblPr/>
  </w:style>
  <w:style w:type="table" w:styleId="1225" w:customStyle="1">
    <w:name w:val="Grid Table 2 - Accent 5"/>
    <w:basedOn w:val="837"/>
    <w:uiPriority w:val="99"/>
    <w:qFormat/>
    <w:tblPr/>
  </w:style>
  <w:style w:type="table" w:styleId="1226" w:customStyle="1">
    <w:name w:val="Grid Table 4 - Accent 4"/>
    <w:basedOn w:val="837"/>
    <w:uiPriority w:val="59"/>
    <w:qFormat/>
    <w:tblPr/>
  </w:style>
  <w:style w:type="table" w:styleId="1227" w:customStyle="1">
    <w:name w:val="List Table 2 - Accent 5"/>
    <w:basedOn w:val="837"/>
    <w:uiPriority w:val="99"/>
    <w:qFormat/>
    <w:tblPr/>
  </w:style>
  <w:style w:type="table" w:styleId="1228" w:customStyle="1">
    <w:name w:val="List Table 6 Colorful - Accent 6"/>
    <w:basedOn w:val="837"/>
    <w:uiPriority w:val="99"/>
    <w:qFormat/>
    <w:tblPr/>
  </w:style>
  <w:style w:type="table" w:styleId="1229" w:customStyle="1">
    <w:name w:val="List Table 7 Colorful - Accent 4"/>
    <w:basedOn w:val="837"/>
    <w:uiPriority w:val="99"/>
    <w:qFormat/>
    <w:tblPr/>
  </w:style>
  <w:style w:type="table" w:styleId="1230" w:customStyle="1">
    <w:name w:val="Grid Table 5 Dark- Accent 1"/>
    <w:basedOn w:val="837"/>
    <w:uiPriority w:val="99"/>
    <w:qFormat/>
    <w:tblPr/>
  </w:style>
  <w:style w:type="table" w:styleId="1231" w:customStyle="1">
    <w:name w:val="Table Grid Light"/>
    <w:basedOn w:val="837"/>
    <w:uiPriority w:val="59"/>
    <w:qFormat/>
    <w:tblPr/>
  </w:style>
  <w:style w:type="table" w:styleId="1232" w:customStyle="1">
    <w:name w:val="List Table 4 - Accent 5"/>
    <w:basedOn w:val="837"/>
    <w:uiPriority w:val="99"/>
    <w:qFormat/>
    <w:tblPr/>
  </w:style>
  <w:style w:type="table" w:styleId="1233" w:customStyle="1">
    <w:name w:val="Grid Table 2 - Accent 3"/>
    <w:basedOn w:val="837"/>
    <w:uiPriority w:val="99"/>
    <w:qFormat/>
    <w:tblPr/>
  </w:style>
  <w:style w:type="table" w:styleId="1234" w:customStyle="1">
    <w:name w:val="Grid Table 5 Dark- Accent 4"/>
    <w:basedOn w:val="837"/>
    <w:uiPriority w:val="99"/>
    <w:qFormat/>
    <w:tblPr/>
  </w:style>
  <w:style w:type="table" w:styleId="1235" w:customStyle="1">
    <w:name w:val="List Table 6 Colorful - Accent 3"/>
    <w:basedOn w:val="837"/>
    <w:uiPriority w:val="99"/>
    <w:qFormat/>
    <w:tblPr/>
  </w:style>
  <w:style w:type="table" w:styleId="1236" w:customStyle="1">
    <w:name w:val="Grid Table 3 - Accent 2"/>
    <w:basedOn w:val="837"/>
    <w:uiPriority w:val="99"/>
    <w:qFormat/>
    <w:tblPr/>
  </w:style>
  <w:style w:type="table" w:styleId="1237" w:customStyle="1">
    <w:name w:val="List Table 5 Dark - Accent 5"/>
    <w:basedOn w:val="837"/>
    <w:uiPriority w:val="99"/>
    <w:qFormat/>
    <w:tblPr/>
  </w:style>
  <w:style w:type="table" w:styleId="1238" w:customStyle="1">
    <w:name w:val="Bordered &amp; Lined - Accent 5"/>
    <w:basedOn w:val="837"/>
    <w:uiPriority w:val="99"/>
    <w:qFormat/>
    <w:rPr>
      <w:color w:val="404040"/>
    </w:rPr>
    <w:tblPr/>
  </w:style>
  <w:style w:type="table" w:styleId="1239" w:customStyle="1">
    <w:name w:val="Bordered &amp; Lined - Accent 3"/>
    <w:basedOn w:val="837"/>
    <w:uiPriority w:val="99"/>
    <w:qFormat/>
    <w:rPr>
      <w:color w:val="404040"/>
    </w:rPr>
    <w:tblPr/>
  </w:style>
  <w:style w:type="table" w:styleId="1240" w:customStyle="1">
    <w:name w:val="Bordered - Accent 6"/>
    <w:basedOn w:val="837"/>
    <w:uiPriority w:val="99"/>
    <w:qFormat/>
    <w:tblPr/>
  </w:style>
  <w:style w:type="table" w:styleId="1241" w:customStyle="1">
    <w:name w:val="Grid Table 1 Light - Accent 1"/>
    <w:basedOn w:val="837"/>
    <w:uiPriority w:val="99"/>
    <w:qFormat/>
    <w:tblPr/>
  </w:style>
  <w:style w:type="table" w:styleId="1242" w:customStyle="1">
    <w:name w:val="List Table 4 - Accent 1"/>
    <w:basedOn w:val="837"/>
    <w:uiPriority w:val="99"/>
    <w:qFormat/>
    <w:tblPr/>
  </w:style>
  <w:style w:type="table" w:styleId="1243" w:customStyle="1">
    <w:name w:val="List Table 3 - Accent 1"/>
    <w:basedOn w:val="837"/>
    <w:uiPriority w:val="99"/>
    <w:qFormat/>
    <w:tblPr/>
  </w:style>
  <w:style w:type="table" w:styleId="1244" w:customStyle="1">
    <w:name w:val="Grid Table 5 Dark - Accent 2"/>
    <w:basedOn w:val="837"/>
    <w:uiPriority w:val="99"/>
    <w:qFormat/>
    <w:tblPr/>
  </w:style>
  <w:style w:type="table" w:styleId="1245" w:customStyle="1">
    <w:name w:val="List Table 3 - Accent 6"/>
    <w:basedOn w:val="837"/>
    <w:uiPriority w:val="99"/>
    <w:qFormat/>
    <w:tblPr/>
  </w:style>
  <w:style w:type="table" w:styleId="1246" w:customStyle="1">
    <w:name w:val="List Table 7 Colorful - Accent 5"/>
    <w:basedOn w:val="837"/>
    <w:uiPriority w:val="99"/>
    <w:qFormat/>
    <w:tblPr/>
  </w:style>
  <w:style w:type="table" w:styleId="1247" w:customStyle="1">
    <w:name w:val="Grid Table 1 Light - Accent 6"/>
    <w:basedOn w:val="837"/>
    <w:uiPriority w:val="99"/>
    <w:qFormat/>
    <w:tblPr/>
  </w:style>
  <w:style w:type="table" w:styleId="1248" w:customStyle="1">
    <w:name w:val="Grid Table 1 Light - Accent 2"/>
    <w:basedOn w:val="837"/>
    <w:uiPriority w:val="99"/>
    <w:qFormat/>
    <w:tblPr/>
  </w:style>
  <w:style w:type="table" w:styleId="1249" w:customStyle="1">
    <w:name w:val="List Table 5 Dark - Accent 1"/>
    <w:basedOn w:val="837"/>
    <w:uiPriority w:val="99"/>
    <w:qFormat/>
    <w:tblPr/>
  </w:style>
  <w:style w:type="table" w:styleId="1250" w:customStyle="1">
    <w:name w:val="Grid Table 7 Colorful - Accent 2"/>
    <w:basedOn w:val="837"/>
    <w:uiPriority w:val="99"/>
    <w:qFormat/>
    <w:tblPr/>
  </w:style>
  <w:style w:type="table" w:styleId="1251" w:customStyle="1">
    <w:name w:val="List Table 1 Light - Accent 3"/>
    <w:basedOn w:val="837"/>
    <w:uiPriority w:val="99"/>
    <w:qFormat/>
    <w:tblPr/>
  </w:style>
  <w:style w:type="table" w:styleId="1252" w:customStyle="1">
    <w:name w:val="List Table 7 Colorful - Accent 3"/>
    <w:basedOn w:val="837"/>
    <w:uiPriority w:val="99"/>
    <w:qFormat/>
    <w:tblPr/>
  </w:style>
  <w:style w:type="table" w:styleId="1253" w:customStyle="1">
    <w:name w:val="Grid Table 2 - Accent 1"/>
    <w:basedOn w:val="837"/>
    <w:uiPriority w:val="99"/>
    <w:qFormat/>
    <w:tblPr/>
  </w:style>
  <w:style w:type="table" w:styleId="1254" w:customStyle="1">
    <w:name w:val="Grid Table 6 Colorful - Accent 1"/>
    <w:basedOn w:val="837"/>
    <w:uiPriority w:val="99"/>
    <w:qFormat/>
    <w:tblPr/>
  </w:style>
  <w:style w:type="table" w:styleId="1255" w:customStyle="1">
    <w:name w:val="Bordered - Accent 3"/>
    <w:basedOn w:val="837"/>
    <w:uiPriority w:val="99"/>
    <w:qFormat/>
    <w:tblPr/>
  </w:style>
  <w:style w:type="table" w:styleId="1256" w:customStyle="1">
    <w:name w:val="Lined - Accent 4"/>
    <w:basedOn w:val="837"/>
    <w:uiPriority w:val="99"/>
    <w:qFormat/>
    <w:rPr>
      <w:color w:val="404040"/>
    </w:rPr>
    <w:tblPr/>
  </w:style>
  <w:style w:type="table" w:styleId="1257" w:customStyle="1">
    <w:name w:val="Grid Table 3 - Accent 4"/>
    <w:basedOn w:val="837"/>
    <w:uiPriority w:val="99"/>
    <w:qFormat/>
    <w:tblPr/>
  </w:style>
  <w:style w:type="table" w:styleId="1258" w:customStyle="1">
    <w:name w:val="Bordered &amp; Lined - Accent 4"/>
    <w:basedOn w:val="837"/>
    <w:uiPriority w:val="99"/>
    <w:qFormat/>
    <w:rPr>
      <w:color w:val="404040"/>
    </w:rPr>
    <w:tblPr/>
  </w:style>
  <w:style w:type="table" w:styleId="1259" w:customStyle="1">
    <w:name w:val="Lined - Accent 2"/>
    <w:basedOn w:val="837"/>
    <w:uiPriority w:val="99"/>
    <w:qFormat/>
    <w:rPr>
      <w:color w:val="404040"/>
    </w:rPr>
    <w:tblPr/>
  </w:style>
  <w:style w:type="table" w:styleId="1260" w:customStyle="1">
    <w:name w:val="List Table 4 - Accent 6"/>
    <w:basedOn w:val="837"/>
    <w:uiPriority w:val="99"/>
    <w:qFormat/>
    <w:tblPr/>
  </w:style>
  <w:style w:type="table" w:styleId="1261" w:customStyle="1">
    <w:name w:val="List Table 5 Dark - Accent 6"/>
    <w:basedOn w:val="837"/>
    <w:uiPriority w:val="99"/>
    <w:qFormat/>
    <w:tblPr/>
  </w:style>
  <w:style w:type="table" w:styleId="1262" w:customStyle="1">
    <w:name w:val="Grid Table 1 Light - Accent 3"/>
    <w:basedOn w:val="837"/>
    <w:uiPriority w:val="99"/>
    <w:qFormat/>
    <w:tblPr/>
  </w:style>
  <w:style w:type="table" w:styleId="1263" w:customStyle="1">
    <w:name w:val="List Table 2 - Accent 6"/>
    <w:basedOn w:val="837"/>
    <w:uiPriority w:val="99"/>
    <w:qFormat/>
    <w:tblPr/>
  </w:style>
  <w:style w:type="table" w:styleId="1264" w:customStyle="1">
    <w:name w:val="Grid Table 7 Colorful - Accent 1"/>
    <w:basedOn w:val="837"/>
    <w:uiPriority w:val="99"/>
    <w:qFormat/>
    <w:tblPr/>
  </w:style>
  <w:style w:type="table" w:styleId="1265" w:customStyle="1">
    <w:name w:val="List Table 1 Light - Accent 1"/>
    <w:basedOn w:val="837"/>
    <w:uiPriority w:val="99"/>
    <w:qFormat/>
    <w:tblPr/>
  </w:style>
  <w:style w:type="table" w:styleId="1266" w:customStyle="1">
    <w:name w:val="List Table 2 - Accent 3"/>
    <w:basedOn w:val="837"/>
    <w:uiPriority w:val="99"/>
    <w:qFormat/>
    <w:tblPr/>
  </w:style>
  <w:style w:type="table" w:styleId="1267" w:customStyle="1">
    <w:name w:val="List Table 6 Colorful - Accent 1"/>
    <w:basedOn w:val="837"/>
    <w:uiPriority w:val="99"/>
    <w:qFormat/>
    <w:tblPr/>
  </w:style>
  <w:style w:type="table" w:styleId="1268" w:customStyle="1">
    <w:name w:val="Grid Table 1 Light - Accent 4"/>
    <w:basedOn w:val="837"/>
    <w:uiPriority w:val="99"/>
    <w:qFormat/>
    <w:tblPr/>
  </w:style>
  <w:style w:type="table" w:styleId="1269" w:customStyle="1">
    <w:name w:val="List Table 1 Light - Accent 6"/>
    <w:basedOn w:val="837"/>
    <w:uiPriority w:val="99"/>
    <w:qFormat/>
    <w:tblPr/>
  </w:style>
  <w:style w:type="table" w:styleId="1270" w:customStyle="1">
    <w:name w:val="Grid Table 7 Colorful - Accent 5"/>
    <w:basedOn w:val="837"/>
    <w:uiPriority w:val="99"/>
    <w:qFormat/>
    <w:tblPr/>
  </w:style>
  <w:style w:type="table" w:styleId="1271" w:customStyle="1">
    <w:name w:val="List Table 1 Light - Accent 2"/>
    <w:basedOn w:val="837"/>
    <w:uiPriority w:val="99"/>
    <w:qFormat/>
    <w:tblPr/>
  </w:style>
  <w:style w:type="numbering" w:styleId="12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宿迁政府采购.晗然</dc:creator>
  <cp:lastModifiedBy>屠贵敏</cp:lastModifiedBy>
  <cp:revision>25</cp:revision>
  <dcterms:created xsi:type="dcterms:W3CDTF">2023-07-23T13:07:00Z</dcterms:created>
  <dcterms:modified xsi:type="dcterms:W3CDTF">2026-11-02T01:32:09Z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eyJoZGlkIjoiZTIwMTY5ODIxZmUxZDYyNWMxZWQzMTI2ZWViMDlkNjkiLCJ1c2VySWQiOiI0NTY3MjY1ODEifQ==</vt:lpwstr>
  </property>
  <property fmtid="{D5CDD505-2E9C-101B-9397-08002B2CF9AE}" pid="3" name="KSOProductBuildVer">
    <vt:lpwstr>2052-12.1.0.29161</vt:lpwstr>
  </property>
  <property fmtid="{D5CDD505-2E9C-101B-9397-08002B2CF9AE}" pid="4" name="ICV">
    <vt:lpwstr>DAEEC13BDD214B819208EDA41C02234D_13</vt:lpwstr>
  </property>
</Properties>
</file>