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highlight w:val="none"/>
        </w:rPr>
      </w:pPr>
    </w:p>
    <w:p w14:paraId="435724AD">
      <w:pPr>
        <w:pStyle w:val="86"/>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346国道（龙潭港至七乡河大道段）地面辅助绿化景观养护项目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2"/>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JSZC-320113-TXJS-G2026-0032</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江苏天信建设项目咨询有限公司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headerReference r:id="rId4" w:type="first"/>
          <w:footerReference r:id="rId6" w:type="first"/>
          <w:headerReference r:id="rId3" w:type="default"/>
          <w:footerReference r:id="rId5"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54D52AB3">
      <w:pPr>
        <w:pStyle w:val="33"/>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13FF5D08">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highlight w:val="none"/>
        </w:rPr>
        <w:fldChar w:fldCharType="begin"/>
      </w:r>
      <w:r>
        <w:rPr>
          <w:highlight w:val="none"/>
        </w:rPr>
        <w:instrText xml:space="preserve"> PAGEREF _Toc7039 \h </w:instrText>
      </w:r>
      <w:r>
        <w:rPr>
          <w:highlight w:val="none"/>
        </w:rPr>
        <w:fldChar w:fldCharType="separate"/>
      </w:r>
      <w:r>
        <w:rPr>
          <w:highlight w:val="none"/>
        </w:rPr>
        <w:t>7</w:t>
      </w:r>
      <w:r>
        <w:rPr>
          <w:highlight w:val="none"/>
        </w:rPr>
        <w:fldChar w:fldCharType="end"/>
      </w:r>
      <w:r>
        <w:rPr>
          <w:rFonts w:hint="eastAsia" w:ascii="宋体" w:hAnsi="宋体" w:cs="宋体"/>
          <w:highlight w:val="none"/>
        </w:rPr>
        <w:fldChar w:fldCharType="end"/>
      </w:r>
    </w:p>
    <w:p w14:paraId="57EBC990">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highlight w:val="none"/>
        </w:rPr>
        <w:fldChar w:fldCharType="begin"/>
      </w:r>
      <w:r>
        <w:rPr>
          <w:highlight w:val="none"/>
        </w:rPr>
        <w:instrText xml:space="preserve"> PAGEREF _Toc32675 \h </w:instrText>
      </w:r>
      <w:r>
        <w:rPr>
          <w:highlight w:val="none"/>
        </w:rPr>
        <w:fldChar w:fldCharType="separate"/>
      </w:r>
      <w:r>
        <w:rPr>
          <w:highlight w:val="none"/>
        </w:rPr>
        <w:t>21</w:t>
      </w:r>
      <w:r>
        <w:rPr>
          <w:highlight w:val="none"/>
        </w:rPr>
        <w:fldChar w:fldCharType="end"/>
      </w:r>
      <w:r>
        <w:rPr>
          <w:rFonts w:hint="eastAsia" w:ascii="宋体" w:hAnsi="宋体" w:cs="宋体"/>
          <w:highlight w:val="none"/>
        </w:rPr>
        <w:fldChar w:fldCharType="end"/>
      </w:r>
    </w:p>
    <w:p w14:paraId="3BFF00C9">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highlight w:val="none"/>
        </w:rPr>
        <w:fldChar w:fldCharType="begin"/>
      </w:r>
      <w:r>
        <w:rPr>
          <w:highlight w:val="none"/>
        </w:rPr>
        <w:instrText xml:space="preserve"> PAGEREF _Toc25308 \h </w:instrText>
      </w:r>
      <w:r>
        <w:rPr>
          <w:highlight w:val="none"/>
        </w:rPr>
        <w:fldChar w:fldCharType="separate"/>
      </w:r>
      <w:r>
        <w:rPr>
          <w:highlight w:val="none"/>
        </w:rPr>
        <w:t>27</w:t>
      </w:r>
      <w:r>
        <w:rPr>
          <w:highlight w:val="none"/>
        </w:rPr>
        <w:fldChar w:fldCharType="end"/>
      </w:r>
      <w:r>
        <w:rPr>
          <w:rFonts w:hint="eastAsia" w:ascii="宋体" w:hAnsi="宋体" w:cs="宋体"/>
          <w:highlight w:val="none"/>
        </w:rPr>
        <w:fldChar w:fldCharType="end"/>
      </w:r>
    </w:p>
    <w:p w14:paraId="61E0CD81">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_Toc1719 \h </w:instrText>
      </w:r>
      <w:r>
        <w:rPr>
          <w:highlight w:val="none"/>
        </w:rPr>
        <w:fldChar w:fldCharType="separate"/>
      </w:r>
      <w:r>
        <w:rPr>
          <w:highlight w:val="none"/>
        </w:rPr>
        <w:t>36</w:t>
      </w:r>
      <w:r>
        <w:rPr>
          <w:highlight w:val="none"/>
        </w:rPr>
        <w:fldChar w:fldCharType="end"/>
      </w:r>
      <w:r>
        <w:rPr>
          <w:rFonts w:hint="eastAsia" w:ascii="宋体" w:hAnsi="宋体" w:cs="宋体"/>
          <w:highlight w:val="none"/>
        </w:rPr>
        <w:fldChar w:fldCharType="end"/>
      </w:r>
    </w:p>
    <w:p w14:paraId="79DE7DFB">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highlight w:val="none"/>
        </w:rPr>
        <w:fldChar w:fldCharType="begin"/>
      </w:r>
      <w:r>
        <w:rPr>
          <w:highlight w:val="none"/>
        </w:rPr>
        <w:instrText xml:space="preserve"> PAGEREF _Toc13466 \h </w:instrText>
      </w:r>
      <w:r>
        <w:rPr>
          <w:highlight w:val="none"/>
        </w:rPr>
        <w:fldChar w:fldCharType="separate"/>
      </w:r>
      <w:r>
        <w:rPr>
          <w:highlight w:val="none"/>
        </w:rPr>
        <w:t>53</w:t>
      </w:r>
      <w:r>
        <w:rPr>
          <w:highlight w:val="none"/>
        </w:rPr>
        <w:fldChar w:fldCharType="end"/>
      </w:r>
      <w:r>
        <w:rPr>
          <w:rFonts w:hint="eastAsia" w:ascii="宋体" w:hAnsi="宋体" w:cs="宋体"/>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7"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346国道（龙潭港至七乡河大道段）地面辅助绿化景观养护项目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30</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w:t>
      </w:r>
      <w:r>
        <w:rPr>
          <w:rFonts w:hint="eastAsia" w:ascii="宋体" w:hAnsi="宋体" w:cs="宋体"/>
          <w:bCs/>
          <w:szCs w:val="21"/>
          <w:highlight w:val="none"/>
          <w:lang w:eastAsia="zh-CN"/>
        </w:rPr>
        <w:t>JSZC-320113-TXJS-G2026-0032</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346国道（龙潭港至七乡河大道段）地面辅助绿化景观养护项目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183.384802</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91.692401</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/年；183.384802</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/2年。投标报价超过最高限价或单项限价的为无效投标，单项限价详见招标文件。</w:t>
      </w:r>
    </w:p>
    <w:p w14:paraId="49609C5D">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采购需求：</w:t>
      </w:r>
      <w:r>
        <w:rPr>
          <w:rFonts w:hint="eastAsia" w:ascii="宋体" w:hAnsi="宋体" w:cs="宋体"/>
          <w:b w:val="0"/>
          <w:bCs/>
          <w:szCs w:val="21"/>
          <w:highlight w:val="none"/>
          <w:lang w:val="en-US" w:eastAsia="zh-CN"/>
        </w:rPr>
        <w:t>346国道（龙潭港至七乡河大道段）地面辅助绿化景观养护项目。</w:t>
      </w:r>
      <w:r>
        <w:rPr>
          <w:rFonts w:hint="eastAsia" w:ascii="宋体" w:hAnsi="宋体" w:cs="宋体"/>
          <w:b w:val="0"/>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二</w:t>
      </w:r>
      <w:r>
        <w:rPr>
          <w:rFonts w:hint="eastAsia" w:ascii="宋体" w:hAnsi="宋体" w:cs="宋体"/>
          <w:bCs/>
          <w:szCs w:val="21"/>
          <w:highlight w:val="none"/>
        </w:rPr>
        <w:t>年，合同一年一签，经考核合格后可续签下一年度合同。</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w:t>
      </w:r>
      <w:r>
        <w:rPr>
          <w:rFonts w:hint="eastAsia" w:ascii="宋体" w:hAnsi="宋体" w:cs="宋体"/>
          <w:bCs/>
          <w:szCs w:val="21"/>
          <w:highlight w:val="none"/>
          <w:lang w:eastAsia="zh-CN"/>
        </w:rPr>
        <w:t>其他未列明行业：</w:t>
      </w:r>
      <w:r>
        <w:rPr>
          <w:rFonts w:hint="eastAsia" w:ascii="宋体" w:hAnsi="宋体" w:cs="Arial"/>
          <w:spacing w:val="8"/>
          <w:kern w:val="0"/>
          <w:highlight w:val="none"/>
        </w:rPr>
        <w:t>水利、环境和公共设施管理业</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spacing w:val="8"/>
          <w:kern w:val="0"/>
          <w:szCs w:val="21"/>
          <w:highlight w:val="none"/>
        </w:rPr>
      </w:pPr>
      <w:r>
        <w:rPr>
          <w:rFonts w:hint="eastAsia" w:ascii="宋体" w:hAnsi="宋体" w:cs="宋体"/>
          <w:b w:val="0"/>
          <w:bCs w:val="0"/>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3.2地点：江苏政府采购网</w:t>
      </w:r>
      <w:r>
        <w:rPr>
          <w:rFonts w:hint="eastAsia" w:ascii="宋体" w:hAnsi="宋体" w:cs="宋体"/>
          <w:bCs/>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3.3方式：</w:t>
      </w:r>
      <w:r>
        <w:rPr>
          <w:rFonts w:hint="eastAsia" w:ascii="宋体" w:hAnsi="宋体" w:cs="宋体"/>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3.4售价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widowControl/>
        <w:spacing w:line="360" w:lineRule="auto"/>
        <w:ind w:firstLine="37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30</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spacing w:val="8"/>
          <w:kern w:val="0"/>
          <w:szCs w:val="21"/>
          <w:highlight w:val="none"/>
        </w:rPr>
        <w:t>（北京时间）</w:t>
      </w:r>
    </w:p>
    <w:p w14:paraId="72F30F8E">
      <w:pPr>
        <w:pStyle w:val="43"/>
        <w:spacing w:before="0" w:beforeAutospacing="0" w:after="0" w:afterAutospacing="0" w:line="360" w:lineRule="auto"/>
        <w:ind w:firstLine="375"/>
        <w:jc w:val="both"/>
        <w:rPr>
          <w:rFonts w:hint="eastAsia"/>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w:t>
      </w:r>
    </w:p>
    <w:p w14:paraId="46B6A30C">
      <w:pPr>
        <w:pStyle w:val="43"/>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60D8242B">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6"/>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8"/>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45BFC0ED">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江苏天信建设项目咨询有限公司</w:t>
      </w:r>
    </w:p>
    <w:p w14:paraId="547C3A9D">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地址：</w:t>
      </w:r>
      <w:r>
        <w:rPr>
          <w:rFonts w:hint="eastAsia" w:ascii="宋体" w:hAnsi="宋体" w:cs="宋体"/>
          <w:bCs/>
          <w:szCs w:val="21"/>
          <w:highlight w:val="none"/>
          <w:lang w:eastAsia="zh-CN"/>
        </w:rPr>
        <w:t>南京市建邺区水西门大街272号金基广场502室（5A02室）</w:t>
      </w:r>
    </w:p>
    <w:p w14:paraId="53007438">
      <w:pPr>
        <w:widowControl/>
        <w:spacing w:line="360" w:lineRule="auto"/>
        <w:ind w:firstLine="363" w:firstLineChars="173"/>
        <w:rPr>
          <w:rFonts w:hint="eastAsia" w:ascii="宋体" w:hAnsi="宋体" w:eastAsia="宋体" w:cs="宋体"/>
          <w:bCs/>
          <w:szCs w:val="21"/>
          <w:highlight w:val="none"/>
          <w:lang w:val="en-US" w:eastAsia="zh-CN"/>
        </w:rPr>
      </w:pPr>
      <w:r>
        <w:rPr>
          <w:rFonts w:hint="eastAsia" w:ascii="宋体" w:hAnsi="宋体" w:cs="宋体"/>
          <w:bCs/>
          <w:szCs w:val="21"/>
          <w:highlight w:val="none"/>
        </w:rPr>
        <w:t>联系人：</w:t>
      </w:r>
      <w:r>
        <w:rPr>
          <w:rFonts w:hint="eastAsia" w:ascii="宋体" w:hAnsi="宋体" w:cs="宋体"/>
          <w:bCs/>
          <w:szCs w:val="21"/>
          <w:highlight w:val="none"/>
          <w:lang w:eastAsia="zh-CN"/>
        </w:rPr>
        <w:t>金佳懿、帅堰</w:t>
      </w:r>
    </w:p>
    <w:p w14:paraId="299B4DF2">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电子邮箱：</w:t>
      </w:r>
      <w:r>
        <w:rPr>
          <w:rFonts w:hint="eastAsia" w:ascii="宋体" w:hAnsi="宋体" w:cs="宋体"/>
          <w:bCs/>
          <w:szCs w:val="21"/>
          <w:highlight w:val="none"/>
          <w:lang w:eastAsia="zh-CN"/>
        </w:rPr>
        <w:t>843065156@qq.com</w:t>
      </w:r>
    </w:p>
    <w:p w14:paraId="43B9CA7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联系方式：</w:t>
      </w:r>
      <w:r>
        <w:rPr>
          <w:rFonts w:hint="eastAsia" w:ascii="宋体" w:hAnsi="宋体" w:cs="宋体"/>
          <w:bCs/>
          <w:szCs w:val="21"/>
          <w:highlight w:val="none"/>
          <w:lang w:eastAsia="zh-CN"/>
        </w:rPr>
        <w:t>025-86556245-8011  18551711989</w:t>
      </w:r>
      <w:r>
        <w:rPr>
          <w:rFonts w:hint="eastAsia" w:ascii="宋体" w:hAnsi="宋体" w:cs="宋体"/>
          <w:bCs/>
          <w:szCs w:val="21"/>
          <w:highlight w:val="none"/>
        </w:rPr>
        <w:t xml:space="preserve">  </w:t>
      </w:r>
    </w:p>
    <w:p w14:paraId="17BBD532">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610F4725">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联系人：</w:t>
      </w:r>
      <w:r>
        <w:rPr>
          <w:rFonts w:hint="eastAsia" w:ascii="宋体" w:hAnsi="宋体" w:cs="宋体"/>
          <w:bCs/>
          <w:szCs w:val="21"/>
          <w:highlight w:val="none"/>
          <w:lang w:eastAsia="zh-CN"/>
        </w:rPr>
        <w:t>金佳懿、帅堰</w:t>
      </w:r>
    </w:p>
    <w:p w14:paraId="40151174">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电话：</w:t>
      </w:r>
      <w:r>
        <w:rPr>
          <w:rFonts w:hint="eastAsia" w:ascii="宋体" w:hAnsi="宋体" w:cs="宋体"/>
          <w:bCs/>
          <w:szCs w:val="21"/>
          <w:highlight w:val="none"/>
          <w:lang w:eastAsia="zh-CN"/>
        </w:rPr>
        <w:t>025-86556245-8011  18551711989</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452625218"/>
      <w:bookmarkStart w:id="5" w:name="_Toc7039"/>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按照《江苏省政府采购代理服务收费指导意见》（苏政采协[2024]20号）收费标准的36.5%取费（不足5000按5000计算）。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7"/>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499"/>
        <w:gridCol w:w="6602"/>
        <w:gridCol w:w="891"/>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序号</w:t>
            </w:r>
          </w:p>
        </w:tc>
        <w:tc>
          <w:tcPr>
            <w:tcW w:w="1499" w:type="dxa"/>
            <w:tcMar>
              <w:top w:w="0" w:type="dxa"/>
              <w:left w:w="108" w:type="dxa"/>
              <w:bottom w:w="0" w:type="dxa"/>
              <w:right w:w="108" w:type="dxa"/>
            </w:tcMar>
            <w:vAlign w:val="center"/>
          </w:tcPr>
          <w:p w14:paraId="6C080005">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评分因素</w:t>
            </w:r>
          </w:p>
        </w:tc>
        <w:tc>
          <w:tcPr>
            <w:tcW w:w="6602" w:type="dxa"/>
            <w:tcMar>
              <w:top w:w="0" w:type="dxa"/>
              <w:left w:w="108" w:type="dxa"/>
              <w:bottom w:w="0" w:type="dxa"/>
              <w:right w:w="108" w:type="dxa"/>
            </w:tcMar>
            <w:vAlign w:val="center"/>
          </w:tcPr>
          <w:p w14:paraId="6D14E751">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评审标准</w:t>
            </w:r>
          </w:p>
        </w:tc>
        <w:tc>
          <w:tcPr>
            <w:tcW w:w="891" w:type="dxa"/>
            <w:tcMar>
              <w:top w:w="0" w:type="dxa"/>
              <w:left w:w="108" w:type="dxa"/>
              <w:bottom w:w="0" w:type="dxa"/>
              <w:right w:w="108" w:type="dxa"/>
            </w:tcMar>
            <w:vAlign w:val="center"/>
          </w:tcPr>
          <w:p w14:paraId="7443E211">
            <w:pPr>
              <w:widowControl/>
              <w:spacing w:line="360" w:lineRule="auto"/>
              <w:jc w:val="center"/>
              <w:rPr>
                <w:rFonts w:ascii="宋体" w:hAnsi="宋体"/>
                <w:color w:val="auto"/>
                <w:kern w:val="0"/>
                <w:highlight w:val="none"/>
              </w:rPr>
            </w:pPr>
            <w:r>
              <w:rPr>
                <w:rFonts w:hint="eastAsia" w:ascii="宋体" w:hAnsi="宋体"/>
                <w:color w:val="auto"/>
                <w:kern w:val="0"/>
                <w:highlight w:val="none"/>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1</w:t>
            </w:r>
          </w:p>
        </w:tc>
        <w:tc>
          <w:tcPr>
            <w:tcW w:w="1499"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价格</w:t>
            </w:r>
          </w:p>
        </w:tc>
        <w:tc>
          <w:tcPr>
            <w:tcW w:w="6602"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rPr>
              <w:t>采用低价优先法计算，即满足招标文件基本要求且投标价格最低的投标报价为评标基准价为满分，即</w:t>
            </w:r>
            <w:r>
              <w:rPr>
                <w:rFonts w:hint="eastAsia" w:ascii="宋体" w:hAnsi="宋体"/>
                <w:b w:val="0"/>
                <w:bCs w:val="0"/>
                <w:color w:val="auto"/>
                <w:kern w:val="0"/>
                <w:highlight w:val="none"/>
                <w:lang w:val="en-US" w:eastAsia="zh-CN"/>
              </w:rPr>
              <w:t>15</w:t>
            </w:r>
            <w:r>
              <w:rPr>
                <w:rFonts w:hint="eastAsia" w:ascii="宋体" w:hAnsi="宋体"/>
                <w:b w:val="0"/>
                <w:bCs w:val="0"/>
                <w:color w:val="auto"/>
                <w:kern w:val="0"/>
                <w:highlight w:val="none"/>
              </w:rPr>
              <w:t>分。其他</w:t>
            </w:r>
            <w:r>
              <w:rPr>
                <w:rFonts w:hint="eastAsia" w:ascii="宋体" w:hAnsi="宋体"/>
                <w:b w:val="0"/>
                <w:bCs w:val="0"/>
                <w:color w:val="auto"/>
                <w:kern w:val="0"/>
                <w:highlight w:val="none"/>
                <w:lang w:eastAsia="zh-CN"/>
              </w:rPr>
              <w:t>投标人</w:t>
            </w:r>
            <w:r>
              <w:rPr>
                <w:rFonts w:hint="eastAsia" w:ascii="宋体" w:hAnsi="宋体"/>
                <w:b w:val="0"/>
                <w:bCs w:val="0"/>
                <w:color w:val="auto"/>
                <w:kern w:val="0"/>
                <w:highlight w:val="none"/>
              </w:rPr>
              <w:t>的价格分按照下列公式计算（小数点保留二位）；投标报价得分=（评标基准价/投标报价）×</w:t>
            </w:r>
            <w:r>
              <w:rPr>
                <w:rFonts w:hint="eastAsia" w:ascii="宋体" w:hAnsi="宋体"/>
                <w:b w:val="0"/>
                <w:bCs w:val="0"/>
                <w:color w:val="auto"/>
                <w:kern w:val="0"/>
                <w:highlight w:val="none"/>
                <w:lang w:val="en-US" w:eastAsia="zh-CN"/>
              </w:rPr>
              <w:t>15。</w:t>
            </w:r>
            <w:bookmarkStart w:id="41" w:name="_GoBack"/>
            <w:bookmarkEnd w:id="41"/>
          </w:p>
        </w:tc>
        <w:tc>
          <w:tcPr>
            <w:tcW w:w="891"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2</w:t>
            </w:r>
          </w:p>
        </w:tc>
        <w:tc>
          <w:tcPr>
            <w:tcW w:w="1499"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业绩</w:t>
            </w:r>
          </w:p>
        </w:tc>
        <w:tc>
          <w:tcPr>
            <w:tcW w:w="6602"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2023年1月1日</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含</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rPr>
              <w:t>以来</w:t>
            </w:r>
            <w:r>
              <w:rPr>
                <w:rFonts w:hint="eastAsia" w:ascii="宋体" w:hAnsi="宋体" w:eastAsia="宋体" w:cs="Times New Roman"/>
                <w:b w:val="0"/>
                <w:bCs w:val="0"/>
                <w:kern w:val="2"/>
                <w:sz w:val="21"/>
                <w:szCs w:val="21"/>
                <w:highlight w:val="none"/>
                <w:lang w:val="en-US" w:eastAsia="zh-CN" w:bidi="ar-SA"/>
              </w:rPr>
              <w:t>投标人</w:t>
            </w:r>
            <w:r>
              <w:rPr>
                <w:rFonts w:hint="eastAsia" w:ascii="宋体" w:hAnsi="宋体"/>
                <w:b w:val="0"/>
                <w:bCs w:val="0"/>
                <w:color w:val="auto"/>
                <w:kern w:val="0"/>
                <w:highlight w:val="none"/>
                <w:lang w:val="en-US" w:eastAsia="zh-CN"/>
              </w:rPr>
              <w:t>承担</w:t>
            </w:r>
            <w:r>
              <w:rPr>
                <w:rFonts w:hint="eastAsia" w:ascii="宋体" w:hAnsi="宋体"/>
                <w:b w:val="0"/>
                <w:bCs w:val="0"/>
                <w:color w:val="auto"/>
                <w:kern w:val="0"/>
                <w:highlight w:val="none"/>
              </w:rPr>
              <w:t>过类似</w:t>
            </w:r>
            <w:r>
              <w:rPr>
                <w:rFonts w:hint="eastAsia" w:ascii="宋体" w:hAnsi="宋体"/>
                <w:b w:val="0"/>
                <w:bCs w:val="0"/>
                <w:color w:val="auto"/>
                <w:kern w:val="0"/>
                <w:highlight w:val="none"/>
                <w:lang w:val="en-US" w:eastAsia="zh-CN"/>
              </w:rPr>
              <w:t>绿化养护</w:t>
            </w:r>
            <w:r>
              <w:rPr>
                <w:rFonts w:hint="eastAsia" w:ascii="宋体" w:hAnsi="宋体"/>
                <w:b w:val="0"/>
                <w:bCs w:val="0"/>
                <w:color w:val="auto"/>
                <w:kern w:val="0"/>
                <w:highlight w:val="none"/>
              </w:rPr>
              <w:t>业绩的，一个得3分，最多得</w:t>
            </w:r>
            <w:r>
              <w:rPr>
                <w:rFonts w:hint="eastAsia" w:ascii="宋体" w:hAnsi="宋体"/>
                <w:b w:val="0"/>
                <w:bCs w:val="0"/>
                <w:color w:val="auto"/>
                <w:kern w:val="0"/>
                <w:highlight w:val="none"/>
                <w:lang w:val="en-US" w:eastAsia="zh-CN"/>
              </w:rPr>
              <w:t>9</w:t>
            </w:r>
            <w:r>
              <w:rPr>
                <w:rFonts w:hint="eastAsia" w:ascii="宋体" w:hAnsi="宋体"/>
                <w:b w:val="0"/>
                <w:bCs w:val="0"/>
                <w:color w:val="auto"/>
                <w:kern w:val="0"/>
                <w:highlight w:val="none"/>
              </w:rPr>
              <w:t>分。</w:t>
            </w:r>
          </w:p>
          <w:p w14:paraId="2672E758">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（注：提供合同扫描件加盖</w:t>
            </w:r>
            <w:r>
              <w:rPr>
                <w:rFonts w:hint="eastAsia" w:ascii="宋体" w:hAnsi="宋体" w:eastAsia="宋体" w:cs="Times New Roman"/>
                <w:b w:val="0"/>
                <w:bCs w:val="0"/>
                <w:kern w:val="2"/>
                <w:sz w:val="21"/>
                <w:szCs w:val="21"/>
                <w:highlight w:val="none"/>
                <w:lang w:val="en-US" w:eastAsia="zh-CN" w:bidi="ar-SA"/>
              </w:rPr>
              <w:t>投标人</w:t>
            </w:r>
            <w:r>
              <w:rPr>
                <w:rFonts w:hint="eastAsia" w:ascii="宋体" w:hAnsi="宋体"/>
                <w:b w:val="0"/>
                <w:bCs w:val="0"/>
                <w:color w:val="auto"/>
                <w:kern w:val="0"/>
                <w:highlight w:val="none"/>
              </w:rPr>
              <w:t>公章编入投标文件中，时间以合同签订时间为准</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无签订时间不得分</w:t>
            </w:r>
            <w:r>
              <w:rPr>
                <w:rFonts w:hint="eastAsia" w:ascii="宋体" w:hAnsi="宋体"/>
                <w:b w:val="0"/>
                <w:bCs w:val="0"/>
                <w:color w:val="auto"/>
                <w:kern w:val="0"/>
                <w:highlight w:val="none"/>
              </w:rPr>
              <w:t>，合同须能反映相关数据和内容，否则不得分。)</w:t>
            </w:r>
          </w:p>
        </w:tc>
        <w:tc>
          <w:tcPr>
            <w:tcW w:w="891"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c>
          <w:tcPr>
            <w:tcW w:w="1499"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车辆及设备</w:t>
            </w:r>
          </w:p>
        </w:tc>
        <w:tc>
          <w:tcPr>
            <w:tcW w:w="6602" w:type="dxa"/>
            <w:tcMar>
              <w:top w:w="0" w:type="dxa"/>
              <w:left w:w="108" w:type="dxa"/>
              <w:bottom w:w="0" w:type="dxa"/>
              <w:right w:w="108" w:type="dxa"/>
            </w:tcMar>
            <w:vAlign w:val="center"/>
          </w:tcPr>
          <w:p w14:paraId="72A1C8DD">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（1）具有洒水车</w:t>
            </w:r>
            <w:r>
              <w:rPr>
                <w:rFonts w:hint="eastAsia" w:ascii="宋体" w:hAnsi="宋体" w:cs="宋体"/>
                <w:b w:val="0"/>
                <w:bCs w:val="0"/>
                <w:color w:val="auto"/>
                <w:sz w:val="21"/>
                <w:szCs w:val="21"/>
                <w:highlight w:val="none"/>
                <w:lang w:val="en-US" w:eastAsia="zh-CN"/>
              </w:rPr>
              <w:t>2辆及以上</w:t>
            </w:r>
            <w:r>
              <w:rPr>
                <w:rFonts w:hint="eastAsia" w:ascii="宋体" w:hAnsi="宋体" w:eastAsia="宋体" w:cs="宋体"/>
                <w:b w:val="0"/>
                <w:bCs w:val="0"/>
                <w:color w:val="auto"/>
                <w:sz w:val="21"/>
                <w:szCs w:val="21"/>
                <w:highlight w:val="none"/>
              </w:rPr>
              <w:t>（</w:t>
            </w:r>
            <w:r>
              <w:rPr>
                <w:rFonts w:hint="eastAsia"/>
                <w:b w:val="0"/>
                <w:bCs w:val="0"/>
                <w:color w:val="auto"/>
                <w:szCs w:val="21"/>
                <w:highlight w:val="none"/>
                <w:lang w:eastAsia="zh-CN"/>
              </w:rPr>
              <w:t>核定载质量</w:t>
            </w:r>
            <w:r>
              <w:rPr>
                <w:rFonts w:hint="eastAsia" w:ascii="宋体" w:hAnsi="宋体" w:eastAsia="宋体" w:cs="宋体"/>
                <w:b w:val="0"/>
                <w:bCs w:val="0"/>
                <w:color w:val="auto"/>
                <w:sz w:val="21"/>
                <w:szCs w:val="21"/>
                <w:highlight w:val="none"/>
              </w:rPr>
              <w:t>8吨及以上）得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1C51E07C">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（2）具有</w:t>
            </w:r>
            <w:r>
              <w:rPr>
                <w:rFonts w:hint="eastAsia" w:ascii="宋体" w:hAnsi="宋体"/>
                <w:b w:val="0"/>
                <w:bCs w:val="0"/>
                <w:color w:val="auto"/>
                <w:kern w:val="0"/>
                <w:highlight w:val="none"/>
              </w:rPr>
              <w:t>运输货车</w:t>
            </w:r>
            <w:r>
              <w:rPr>
                <w:rFonts w:hint="eastAsia" w:ascii="宋体" w:hAnsi="宋体" w:cs="宋体"/>
                <w:b w:val="0"/>
                <w:bCs w:val="0"/>
                <w:color w:val="auto"/>
                <w:sz w:val="21"/>
                <w:szCs w:val="21"/>
                <w:highlight w:val="none"/>
                <w:lang w:val="en-US" w:eastAsia="zh-CN"/>
              </w:rPr>
              <w:t>1辆及以上</w:t>
            </w:r>
            <w:r>
              <w:rPr>
                <w:rFonts w:hint="eastAsia" w:ascii="宋体" w:hAnsi="宋体" w:eastAsia="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72ECCE22">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（3）具有</w:t>
            </w:r>
            <w:r>
              <w:rPr>
                <w:rFonts w:hint="eastAsia" w:ascii="宋体" w:hAnsi="宋体"/>
                <w:b w:val="0"/>
                <w:bCs w:val="0"/>
                <w:color w:val="auto"/>
                <w:kern w:val="0"/>
                <w:highlight w:val="none"/>
              </w:rPr>
              <w:t>巡查应急车</w:t>
            </w:r>
            <w:r>
              <w:rPr>
                <w:rFonts w:hint="eastAsia" w:ascii="宋体" w:hAnsi="宋体" w:cs="宋体"/>
                <w:b w:val="0"/>
                <w:bCs w:val="0"/>
                <w:color w:val="auto"/>
                <w:sz w:val="21"/>
                <w:szCs w:val="21"/>
                <w:highlight w:val="none"/>
                <w:lang w:val="en-US" w:eastAsia="zh-CN"/>
              </w:rPr>
              <w:t>1辆及以上</w:t>
            </w:r>
            <w:r>
              <w:rPr>
                <w:rFonts w:hint="eastAsia" w:ascii="宋体" w:hAnsi="宋体" w:eastAsia="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p>
          <w:p w14:paraId="0B568EE2">
            <w:pPr>
              <w:spacing w:line="360" w:lineRule="auto"/>
              <w:rPr>
                <w:rFonts w:hint="eastAsia" w:ascii="宋体" w:hAnsi="宋体" w:cs="Times New Roman"/>
                <w:b w:val="0"/>
                <w:bCs w:val="0"/>
                <w:color w:val="auto"/>
                <w:kern w:val="0"/>
                <w:highlight w:val="none"/>
                <w:lang w:val="en-US" w:eastAsia="zh-CN"/>
              </w:rPr>
            </w:pPr>
            <w:r>
              <w:rPr>
                <w:rFonts w:hint="eastAsia" w:ascii="宋体" w:hAnsi="宋体" w:cs="Times New Roman"/>
                <w:b w:val="0"/>
                <w:bCs w:val="0"/>
                <w:color w:val="auto"/>
                <w:kern w:val="0"/>
                <w:highlight w:val="none"/>
                <w:lang w:eastAsia="zh-CN"/>
              </w:rPr>
              <w:t>（</w:t>
            </w:r>
            <w:r>
              <w:rPr>
                <w:rFonts w:hint="eastAsia" w:ascii="宋体" w:hAnsi="宋体" w:cs="Times New Roman"/>
                <w:b w:val="0"/>
                <w:bCs w:val="0"/>
                <w:color w:val="auto"/>
                <w:kern w:val="0"/>
                <w:highlight w:val="none"/>
                <w:lang w:val="en-US" w:eastAsia="zh-CN"/>
              </w:rPr>
              <w:t>4</w:t>
            </w:r>
            <w:r>
              <w:rPr>
                <w:rFonts w:hint="eastAsia" w:ascii="宋体" w:hAnsi="宋体" w:cs="Times New Roman"/>
                <w:b w:val="0"/>
                <w:bCs w:val="0"/>
                <w:color w:val="auto"/>
                <w:kern w:val="0"/>
                <w:highlight w:val="none"/>
                <w:lang w:eastAsia="zh-CN"/>
              </w:rPr>
              <w:t>）</w:t>
            </w:r>
            <w:r>
              <w:rPr>
                <w:rFonts w:hint="eastAsia" w:ascii="宋体" w:hAnsi="宋体" w:cs="Times New Roman"/>
                <w:b w:val="0"/>
                <w:bCs w:val="0"/>
                <w:color w:val="auto"/>
                <w:kern w:val="0"/>
                <w:highlight w:val="none"/>
              </w:rPr>
              <w:t>具有油锯</w:t>
            </w:r>
            <w:r>
              <w:rPr>
                <w:rFonts w:hint="eastAsia" w:ascii="宋体" w:hAnsi="宋体" w:cs="Times New Roman"/>
                <w:b w:val="0"/>
                <w:bCs w:val="0"/>
                <w:color w:val="auto"/>
                <w:kern w:val="0"/>
                <w:highlight w:val="none"/>
                <w:lang w:val="en-US" w:eastAsia="zh-CN"/>
              </w:rPr>
              <w:t>得1</w:t>
            </w:r>
            <w:r>
              <w:rPr>
                <w:rFonts w:hint="eastAsia" w:ascii="宋体" w:hAnsi="宋体" w:cs="Times New Roman"/>
                <w:b w:val="0"/>
                <w:bCs w:val="0"/>
                <w:color w:val="auto"/>
                <w:kern w:val="0"/>
                <w:highlight w:val="none"/>
              </w:rPr>
              <w:t>分；</w:t>
            </w:r>
          </w:p>
          <w:p w14:paraId="08B9D8D5">
            <w:pPr>
              <w:spacing w:line="360" w:lineRule="auto"/>
              <w:rPr>
                <w:rFonts w:hint="eastAsia" w:ascii="宋体" w:hAnsi="宋体" w:cs="Times New Roman"/>
                <w:b w:val="0"/>
                <w:bCs w:val="0"/>
                <w:color w:val="auto"/>
                <w:kern w:val="0"/>
                <w:highlight w:val="none"/>
              </w:rPr>
            </w:pPr>
            <w:r>
              <w:rPr>
                <w:rFonts w:hint="eastAsia" w:ascii="宋体" w:hAnsi="宋体" w:cs="Times New Roman"/>
                <w:b w:val="0"/>
                <w:bCs w:val="0"/>
                <w:color w:val="auto"/>
                <w:kern w:val="0"/>
                <w:highlight w:val="none"/>
              </w:rPr>
              <w:t>（</w:t>
            </w:r>
            <w:r>
              <w:rPr>
                <w:rFonts w:hint="eastAsia" w:ascii="宋体" w:hAnsi="宋体" w:cs="Times New Roman"/>
                <w:b w:val="0"/>
                <w:bCs w:val="0"/>
                <w:color w:val="auto"/>
                <w:kern w:val="0"/>
                <w:highlight w:val="none"/>
                <w:lang w:val="en-US" w:eastAsia="zh-CN"/>
              </w:rPr>
              <w:t>5</w:t>
            </w:r>
            <w:r>
              <w:rPr>
                <w:rFonts w:hint="eastAsia" w:ascii="宋体" w:hAnsi="宋体" w:cs="Times New Roman"/>
                <w:b w:val="0"/>
                <w:bCs w:val="0"/>
                <w:color w:val="auto"/>
                <w:kern w:val="0"/>
                <w:highlight w:val="none"/>
              </w:rPr>
              <w:t>）具有高枝锯</w:t>
            </w:r>
            <w:r>
              <w:rPr>
                <w:rFonts w:hint="eastAsia" w:ascii="宋体" w:hAnsi="宋体" w:cs="Times New Roman"/>
                <w:b w:val="0"/>
                <w:bCs w:val="0"/>
                <w:color w:val="auto"/>
                <w:kern w:val="0"/>
                <w:highlight w:val="none"/>
                <w:lang w:val="en-US" w:eastAsia="zh-CN"/>
              </w:rPr>
              <w:t>得1</w:t>
            </w:r>
            <w:r>
              <w:rPr>
                <w:rFonts w:hint="eastAsia" w:ascii="宋体" w:hAnsi="宋体" w:cs="Times New Roman"/>
                <w:b w:val="0"/>
                <w:bCs w:val="0"/>
                <w:color w:val="auto"/>
                <w:kern w:val="0"/>
                <w:highlight w:val="none"/>
              </w:rPr>
              <w:t>分；</w:t>
            </w:r>
          </w:p>
          <w:p w14:paraId="5FC62141">
            <w:pPr>
              <w:spacing w:line="360" w:lineRule="auto"/>
              <w:rPr>
                <w:rFonts w:hint="eastAsia" w:ascii="宋体" w:hAnsi="宋体" w:cs="Times New Roman"/>
                <w:b w:val="0"/>
                <w:bCs w:val="0"/>
                <w:color w:val="auto"/>
                <w:kern w:val="0"/>
                <w:highlight w:val="none"/>
              </w:rPr>
            </w:pPr>
            <w:r>
              <w:rPr>
                <w:rFonts w:hint="eastAsia" w:ascii="宋体" w:hAnsi="宋体" w:cs="Times New Roman"/>
                <w:b w:val="0"/>
                <w:bCs w:val="0"/>
                <w:color w:val="auto"/>
                <w:kern w:val="0"/>
                <w:highlight w:val="none"/>
              </w:rPr>
              <w:t>（</w:t>
            </w:r>
            <w:r>
              <w:rPr>
                <w:rFonts w:hint="eastAsia" w:ascii="宋体" w:hAnsi="宋体" w:cs="Times New Roman"/>
                <w:b w:val="0"/>
                <w:bCs w:val="0"/>
                <w:color w:val="auto"/>
                <w:kern w:val="0"/>
                <w:highlight w:val="none"/>
                <w:lang w:val="en-US" w:eastAsia="zh-CN"/>
              </w:rPr>
              <w:t>6</w:t>
            </w:r>
            <w:r>
              <w:rPr>
                <w:rFonts w:hint="eastAsia" w:ascii="宋体" w:hAnsi="宋体" w:cs="Times New Roman"/>
                <w:b w:val="0"/>
                <w:bCs w:val="0"/>
                <w:color w:val="auto"/>
                <w:kern w:val="0"/>
                <w:highlight w:val="none"/>
              </w:rPr>
              <w:t>）具有</w:t>
            </w:r>
            <w:r>
              <w:rPr>
                <w:rFonts w:hint="eastAsia" w:ascii="宋体" w:hAnsi="宋体" w:cs="Times New Roman"/>
                <w:b w:val="0"/>
                <w:bCs w:val="0"/>
                <w:color w:val="auto"/>
                <w:kern w:val="0"/>
                <w:highlight w:val="none"/>
                <w:lang w:eastAsia="zh-CN"/>
              </w:rPr>
              <w:t>割草机</w:t>
            </w:r>
            <w:r>
              <w:rPr>
                <w:rFonts w:hint="eastAsia" w:ascii="宋体" w:hAnsi="宋体" w:cs="Times New Roman"/>
                <w:b w:val="0"/>
                <w:bCs w:val="0"/>
                <w:color w:val="auto"/>
                <w:kern w:val="0"/>
                <w:highlight w:val="none"/>
                <w:lang w:val="en-US" w:eastAsia="zh-CN"/>
              </w:rPr>
              <w:t>得1</w:t>
            </w:r>
            <w:r>
              <w:rPr>
                <w:rFonts w:hint="eastAsia" w:ascii="宋体" w:hAnsi="宋体" w:cs="Times New Roman"/>
                <w:b w:val="0"/>
                <w:bCs w:val="0"/>
                <w:color w:val="auto"/>
                <w:kern w:val="0"/>
                <w:highlight w:val="none"/>
              </w:rPr>
              <w:t>分；</w:t>
            </w:r>
          </w:p>
          <w:p w14:paraId="3B8EBFD1">
            <w:pPr>
              <w:spacing w:line="360" w:lineRule="auto"/>
              <w:rPr>
                <w:rFonts w:hint="eastAsia" w:ascii="宋体" w:hAnsi="宋体" w:cs="Times New Roman"/>
                <w:b w:val="0"/>
                <w:bCs w:val="0"/>
                <w:color w:val="auto"/>
                <w:kern w:val="0"/>
                <w:highlight w:val="none"/>
              </w:rPr>
            </w:pPr>
            <w:r>
              <w:rPr>
                <w:rFonts w:hint="eastAsia" w:ascii="宋体" w:hAnsi="宋体" w:cs="Times New Roman"/>
                <w:b w:val="0"/>
                <w:bCs w:val="0"/>
                <w:color w:val="auto"/>
                <w:kern w:val="0"/>
                <w:highlight w:val="none"/>
              </w:rPr>
              <w:t>（</w:t>
            </w:r>
            <w:r>
              <w:rPr>
                <w:rFonts w:hint="eastAsia" w:ascii="宋体" w:hAnsi="宋体" w:cs="Times New Roman"/>
                <w:b w:val="0"/>
                <w:bCs w:val="0"/>
                <w:color w:val="auto"/>
                <w:kern w:val="0"/>
                <w:highlight w:val="none"/>
                <w:lang w:val="en-US" w:eastAsia="zh-CN"/>
              </w:rPr>
              <w:t>7</w:t>
            </w:r>
            <w:r>
              <w:rPr>
                <w:rFonts w:hint="eastAsia" w:ascii="宋体" w:hAnsi="宋体" w:cs="Times New Roman"/>
                <w:b w:val="0"/>
                <w:bCs w:val="0"/>
                <w:color w:val="auto"/>
                <w:kern w:val="0"/>
                <w:highlight w:val="none"/>
              </w:rPr>
              <w:t>）具有</w:t>
            </w:r>
            <w:r>
              <w:rPr>
                <w:rFonts w:hint="eastAsia" w:ascii="宋体" w:hAnsi="宋体" w:cs="Times New Roman"/>
                <w:b w:val="0"/>
                <w:bCs w:val="0"/>
                <w:color w:val="auto"/>
                <w:kern w:val="0"/>
                <w:highlight w:val="none"/>
                <w:lang w:eastAsia="zh-CN"/>
              </w:rPr>
              <w:t>绿篱机</w:t>
            </w:r>
            <w:r>
              <w:rPr>
                <w:rFonts w:hint="eastAsia" w:ascii="宋体" w:hAnsi="宋体" w:cs="Times New Roman"/>
                <w:b w:val="0"/>
                <w:bCs w:val="0"/>
                <w:color w:val="auto"/>
                <w:kern w:val="0"/>
                <w:highlight w:val="none"/>
                <w:lang w:val="en-US" w:eastAsia="zh-CN"/>
              </w:rPr>
              <w:t>得1</w:t>
            </w:r>
            <w:r>
              <w:rPr>
                <w:rFonts w:hint="eastAsia" w:ascii="宋体" w:hAnsi="宋体" w:cs="Times New Roman"/>
                <w:b w:val="0"/>
                <w:bCs w:val="0"/>
                <w:color w:val="auto"/>
                <w:kern w:val="0"/>
                <w:highlight w:val="none"/>
              </w:rPr>
              <w:t>分；</w:t>
            </w:r>
          </w:p>
          <w:p w14:paraId="51E57D8C">
            <w:pPr>
              <w:spacing w:line="360" w:lineRule="auto"/>
              <w:rPr>
                <w:rFonts w:hint="eastAsia" w:ascii="宋体" w:hAnsi="宋体" w:cs="Times New Roman"/>
                <w:b w:val="0"/>
                <w:bCs w:val="0"/>
                <w:color w:val="auto"/>
                <w:kern w:val="0"/>
                <w:highlight w:val="none"/>
              </w:rPr>
            </w:pPr>
            <w:r>
              <w:rPr>
                <w:rFonts w:hint="eastAsia" w:ascii="宋体" w:hAnsi="宋体" w:cs="Times New Roman"/>
                <w:b w:val="0"/>
                <w:bCs w:val="0"/>
                <w:color w:val="auto"/>
                <w:kern w:val="0"/>
                <w:highlight w:val="none"/>
              </w:rPr>
              <w:t>（</w:t>
            </w:r>
            <w:r>
              <w:rPr>
                <w:rFonts w:hint="eastAsia" w:ascii="宋体" w:hAnsi="宋体" w:cs="Times New Roman"/>
                <w:b w:val="0"/>
                <w:bCs w:val="0"/>
                <w:color w:val="auto"/>
                <w:kern w:val="0"/>
                <w:highlight w:val="none"/>
                <w:lang w:val="en-US" w:eastAsia="zh-CN"/>
              </w:rPr>
              <w:t>8</w:t>
            </w:r>
            <w:r>
              <w:rPr>
                <w:rFonts w:hint="eastAsia" w:ascii="宋体" w:hAnsi="宋体" w:cs="Times New Roman"/>
                <w:b w:val="0"/>
                <w:bCs w:val="0"/>
                <w:color w:val="auto"/>
                <w:kern w:val="0"/>
                <w:highlight w:val="none"/>
              </w:rPr>
              <w:t>）具有</w:t>
            </w:r>
            <w:r>
              <w:rPr>
                <w:rFonts w:hint="eastAsia" w:ascii="宋体" w:hAnsi="宋体" w:cs="Times New Roman"/>
                <w:b w:val="0"/>
                <w:bCs w:val="0"/>
                <w:color w:val="auto"/>
                <w:kern w:val="0"/>
                <w:highlight w:val="none"/>
                <w:lang w:eastAsia="zh-CN"/>
              </w:rPr>
              <w:t>草坪机</w:t>
            </w:r>
            <w:r>
              <w:rPr>
                <w:rFonts w:hint="eastAsia" w:ascii="宋体" w:hAnsi="宋体" w:cs="Times New Roman"/>
                <w:b w:val="0"/>
                <w:bCs w:val="0"/>
                <w:color w:val="auto"/>
                <w:kern w:val="0"/>
                <w:highlight w:val="none"/>
                <w:lang w:val="en-US" w:eastAsia="zh-CN"/>
              </w:rPr>
              <w:t>得1</w:t>
            </w:r>
            <w:r>
              <w:rPr>
                <w:rFonts w:hint="eastAsia" w:ascii="宋体" w:hAnsi="宋体" w:cs="Times New Roman"/>
                <w:b w:val="0"/>
                <w:bCs w:val="0"/>
                <w:color w:val="auto"/>
                <w:kern w:val="0"/>
                <w:highlight w:val="none"/>
              </w:rPr>
              <w:t>分；</w:t>
            </w:r>
          </w:p>
          <w:p w14:paraId="4E7EA500">
            <w:pPr>
              <w:spacing w:line="360" w:lineRule="auto"/>
              <w:rPr>
                <w:rFonts w:hint="eastAsia" w:ascii="宋体" w:hAnsi="宋体" w:cs="Times New Roman"/>
                <w:b w:val="0"/>
                <w:bCs w:val="0"/>
                <w:color w:val="auto"/>
                <w:kern w:val="0"/>
                <w:highlight w:val="none"/>
              </w:rPr>
            </w:pPr>
            <w:r>
              <w:rPr>
                <w:rFonts w:hint="eastAsia" w:ascii="宋体" w:hAnsi="宋体" w:cs="Times New Roman"/>
                <w:b w:val="0"/>
                <w:bCs w:val="0"/>
                <w:color w:val="auto"/>
                <w:kern w:val="0"/>
                <w:highlight w:val="none"/>
              </w:rPr>
              <w:t>（</w:t>
            </w:r>
            <w:r>
              <w:rPr>
                <w:rFonts w:hint="eastAsia" w:ascii="宋体" w:hAnsi="宋体" w:cs="Times New Roman"/>
                <w:b w:val="0"/>
                <w:bCs w:val="0"/>
                <w:color w:val="auto"/>
                <w:kern w:val="0"/>
                <w:highlight w:val="none"/>
                <w:lang w:val="en-US" w:eastAsia="zh-CN"/>
              </w:rPr>
              <w:t>9</w:t>
            </w:r>
            <w:r>
              <w:rPr>
                <w:rFonts w:hint="eastAsia" w:ascii="宋体" w:hAnsi="宋体" w:cs="Times New Roman"/>
                <w:b w:val="0"/>
                <w:bCs w:val="0"/>
                <w:color w:val="auto"/>
                <w:kern w:val="0"/>
                <w:highlight w:val="none"/>
              </w:rPr>
              <w:t>）具有</w:t>
            </w:r>
            <w:r>
              <w:rPr>
                <w:rFonts w:hint="eastAsia" w:ascii="宋体" w:hAnsi="宋体" w:cs="Times New Roman"/>
                <w:b w:val="0"/>
                <w:bCs w:val="0"/>
                <w:color w:val="auto"/>
                <w:kern w:val="0"/>
                <w:highlight w:val="none"/>
                <w:lang w:eastAsia="zh-CN"/>
              </w:rPr>
              <w:t>园林垃圾粉碎机</w:t>
            </w:r>
            <w:r>
              <w:rPr>
                <w:rFonts w:hint="eastAsia" w:ascii="宋体" w:hAnsi="宋体" w:cs="Times New Roman"/>
                <w:b w:val="0"/>
                <w:bCs w:val="0"/>
                <w:color w:val="auto"/>
                <w:kern w:val="0"/>
                <w:highlight w:val="none"/>
                <w:lang w:val="en-US" w:eastAsia="zh-CN"/>
              </w:rPr>
              <w:t>得1</w:t>
            </w:r>
            <w:r>
              <w:rPr>
                <w:rFonts w:hint="eastAsia" w:ascii="宋体" w:hAnsi="宋体" w:cs="Times New Roman"/>
                <w:b w:val="0"/>
                <w:bCs w:val="0"/>
                <w:color w:val="auto"/>
                <w:kern w:val="0"/>
                <w:highlight w:val="none"/>
              </w:rPr>
              <w:t>分；</w:t>
            </w:r>
          </w:p>
          <w:p w14:paraId="34A1E4E9">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w:t>
            </w:r>
            <w:r>
              <w:rPr>
                <w:rFonts w:hint="eastAsia" w:ascii="宋体" w:hAnsi="宋体" w:cs="宋体"/>
                <w:b w:val="0"/>
                <w:bCs w:val="0"/>
                <w:sz w:val="21"/>
                <w:szCs w:val="21"/>
                <w:highlight w:val="none"/>
                <w:lang w:val="en-US" w:eastAsia="zh-CN"/>
              </w:rPr>
              <w:t>投标人承诺如果中标，须提供自有或租赁或承诺的同等类别和数量的车辆及设备，在服务期限内不挪作他用，承诺书内容完整得1分，不完整或未提供承诺书不得分。（提供承诺书加盖公章）</w:t>
            </w:r>
          </w:p>
          <w:p w14:paraId="1C100AB4">
            <w:pPr>
              <w:spacing w:line="360" w:lineRule="auto"/>
              <w:rPr>
                <w:rFonts w:hint="eastAsia" w:ascii="宋体" w:hAnsi="宋体"/>
                <w:b w:val="0"/>
                <w:bCs w:val="0"/>
                <w:color w:val="auto"/>
                <w:highlight w:val="none"/>
                <w:lang w:val="en-US" w:eastAsia="zh-CN"/>
              </w:rPr>
            </w:pPr>
            <w:r>
              <w:rPr>
                <w:rFonts w:hint="eastAsia" w:ascii="宋体" w:hAnsi="宋体" w:eastAsia="宋体" w:cs="宋体"/>
                <w:b w:val="0"/>
                <w:bCs w:val="0"/>
                <w:color w:val="auto"/>
                <w:sz w:val="21"/>
                <w:szCs w:val="21"/>
                <w:highlight w:val="none"/>
              </w:rPr>
              <w:t>（以上</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r>
              <w:rPr>
                <w:rFonts w:hint="eastAsia" w:ascii="宋体" w:hAnsi="宋体"/>
                <w:b w:val="0"/>
                <w:bCs w:val="0"/>
                <w:color w:val="auto"/>
                <w:highlight w:val="none"/>
              </w:rPr>
              <w:t>车辆或设备需为</w:t>
            </w:r>
            <w:r>
              <w:rPr>
                <w:rFonts w:hint="eastAsia" w:ascii="宋体" w:hAnsi="宋体"/>
                <w:b w:val="0"/>
                <w:bCs w:val="0"/>
                <w:color w:val="auto"/>
                <w:highlight w:val="none"/>
                <w:lang w:val="en-US" w:eastAsia="zh-CN"/>
              </w:rPr>
              <w:t>投标人</w:t>
            </w:r>
            <w:r>
              <w:rPr>
                <w:rFonts w:hint="eastAsia" w:ascii="宋体" w:hAnsi="宋体"/>
                <w:b w:val="0"/>
                <w:bCs w:val="0"/>
                <w:color w:val="auto"/>
                <w:highlight w:val="none"/>
              </w:rPr>
              <w:t>自有或者租赁或承诺</w:t>
            </w:r>
            <w:r>
              <w:rPr>
                <w:rFonts w:hint="eastAsia" w:ascii="宋体" w:hAnsi="宋体"/>
                <w:b w:val="0"/>
                <w:bCs w:val="0"/>
                <w:color w:val="auto"/>
                <w:highlight w:val="none"/>
                <w:lang w:eastAsia="zh-CN"/>
              </w:rPr>
              <w:t>，</w:t>
            </w:r>
            <w:r>
              <w:rPr>
                <w:rFonts w:hint="eastAsia" w:ascii="宋体" w:hAnsi="宋体" w:eastAsia="宋体" w:cs="宋体"/>
                <w:b w:val="0"/>
                <w:bCs w:val="0"/>
                <w:color w:val="auto"/>
                <w:sz w:val="21"/>
                <w:szCs w:val="21"/>
                <w:highlight w:val="none"/>
              </w:rPr>
              <w:t>车辆及设备自有的需提供自有购置发票扫描件加盖公章</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租赁的需提供租赁合同扫描件加盖公章</w:t>
            </w:r>
            <w:r>
              <w:rPr>
                <w:rFonts w:hint="eastAsia" w:ascii="宋体" w:hAnsi="宋体" w:eastAsia="宋体" w:cs="宋体"/>
                <w:b w:val="0"/>
                <w:bCs w:val="0"/>
                <w:color w:val="auto"/>
                <w:sz w:val="21"/>
                <w:szCs w:val="21"/>
                <w:highlight w:val="none"/>
                <w:lang w:eastAsia="zh-CN"/>
              </w:rPr>
              <w:t>，租赁期限需要覆盖服务期，如未覆盖服务期需要</w:t>
            </w:r>
            <w:r>
              <w:rPr>
                <w:rFonts w:hint="eastAsia" w:ascii="宋体" w:hAnsi="宋体" w:eastAsia="宋体" w:cs="宋体"/>
                <w:b w:val="0"/>
                <w:bCs w:val="0"/>
                <w:color w:val="auto"/>
                <w:sz w:val="21"/>
                <w:szCs w:val="21"/>
                <w:highlight w:val="none"/>
                <w:lang w:val="en-US" w:eastAsia="zh-CN"/>
              </w:rPr>
              <w:t>提供</w:t>
            </w:r>
            <w:r>
              <w:rPr>
                <w:rFonts w:hint="eastAsia" w:ascii="宋体" w:hAnsi="宋体" w:eastAsia="宋体" w:cs="宋体"/>
                <w:b w:val="0"/>
                <w:bCs w:val="0"/>
                <w:color w:val="auto"/>
                <w:sz w:val="21"/>
                <w:szCs w:val="21"/>
                <w:highlight w:val="none"/>
                <w:lang w:eastAsia="zh-CN"/>
              </w:rPr>
              <w:t>承诺</w:t>
            </w:r>
            <w:r>
              <w:rPr>
                <w:rFonts w:hint="eastAsia" w:ascii="宋体" w:hAnsi="宋体" w:eastAsia="宋体" w:cs="宋体"/>
                <w:b w:val="0"/>
                <w:bCs w:val="0"/>
                <w:color w:val="auto"/>
                <w:sz w:val="21"/>
                <w:szCs w:val="21"/>
                <w:highlight w:val="none"/>
                <w:lang w:val="en-US" w:eastAsia="zh-CN"/>
              </w:rPr>
              <w:t>书</w:t>
            </w:r>
            <w:r>
              <w:rPr>
                <w:rFonts w:hint="eastAsia" w:ascii="宋体" w:hAnsi="宋体" w:eastAsia="宋体" w:cs="宋体"/>
                <w:b w:val="0"/>
                <w:bCs w:val="0"/>
                <w:color w:val="auto"/>
                <w:sz w:val="21"/>
                <w:szCs w:val="21"/>
                <w:highlight w:val="none"/>
                <w:lang w:eastAsia="zh-CN"/>
              </w:rPr>
              <w:t>到期后续签并覆盖服务期</w:t>
            </w:r>
            <w:r>
              <w:rPr>
                <w:rFonts w:hint="eastAsia" w:ascii="宋体" w:hAnsi="宋体"/>
                <w:b w:val="0"/>
                <w:bCs w:val="0"/>
                <w:highlight w:val="none"/>
                <w:lang w:val="en-US" w:eastAsia="zh-CN"/>
              </w:rPr>
              <w:t>加盖公章</w:t>
            </w:r>
            <w:r>
              <w:rPr>
                <w:rFonts w:hint="eastAsia" w:ascii="宋体" w:hAnsi="宋体" w:cs="宋体"/>
                <w:b w:val="0"/>
                <w:bCs w:val="0"/>
                <w:color w:val="auto"/>
                <w:sz w:val="21"/>
                <w:szCs w:val="21"/>
                <w:highlight w:val="none"/>
                <w:lang w:eastAsia="zh-CN"/>
              </w:rPr>
              <w:t>；</w:t>
            </w:r>
            <w:r>
              <w:rPr>
                <w:rFonts w:hint="eastAsia" w:ascii="宋体" w:hAnsi="宋体"/>
                <w:b w:val="0"/>
                <w:bCs w:val="0"/>
                <w:color w:val="auto"/>
                <w:highlight w:val="none"/>
                <w:lang w:val="en-US" w:eastAsia="zh-CN"/>
              </w:rPr>
              <w:t>承诺的</w:t>
            </w:r>
            <w:r>
              <w:rPr>
                <w:rFonts w:ascii="宋体" w:hAnsi="宋体"/>
                <w:b w:val="0"/>
                <w:bCs w:val="0"/>
                <w:color w:val="auto"/>
                <w:highlight w:val="none"/>
              </w:rPr>
              <w:t>需</w:t>
            </w:r>
            <w:r>
              <w:rPr>
                <w:rFonts w:hint="eastAsia" w:ascii="宋体" w:hAnsi="宋体"/>
                <w:b w:val="0"/>
                <w:bCs w:val="0"/>
                <w:color w:val="auto"/>
                <w:highlight w:val="none"/>
                <w:lang w:val="en-US" w:eastAsia="zh-CN"/>
              </w:rPr>
              <w:t>提供承诺书加盖公章：承诺中标后十日内备齐，否则不得分。</w:t>
            </w:r>
          </w:p>
          <w:p w14:paraId="09B75307">
            <w:pPr>
              <w:pStyle w:val="28"/>
              <w:ind w:left="0" w:leftChars="0" w:firstLine="0" w:firstLineChars="0"/>
              <w:rPr>
                <w:rFonts w:hint="eastAsia"/>
                <w:b w:val="0"/>
                <w:bCs w:val="0"/>
                <w:color w:val="auto"/>
                <w:highlight w:val="none"/>
              </w:rPr>
            </w:pPr>
            <w:r>
              <w:rPr>
                <w:rFonts w:hint="eastAsia" w:ascii="宋体" w:hAnsi="宋体" w:eastAsia="宋体" w:cs="宋体"/>
                <w:b w:val="0"/>
                <w:bCs w:val="0"/>
                <w:color w:val="auto"/>
                <w:sz w:val="21"/>
                <w:szCs w:val="21"/>
                <w:highlight w:val="none"/>
              </w:rPr>
              <w:t>以上车辆及设备扫描件须清晰可辨，能够反映相关信息，否则不得分。</w:t>
            </w:r>
          </w:p>
        </w:tc>
        <w:tc>
          <w:tcPr>
            <w:tcW w:w="891"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12</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3AA9BE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c>
          <w:tcPr>
            <w:tcW w:w="1499" w:type="dxa"/>
            <w:vMerge w:val="restart"/>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人员投入</w:t>
            </w:r>
          </w:p>
        </w:tc>
        <w:tc>
          <w:tcPr>
            <w:tcW w:w="6602" w:type="dxa"/>
            <w:tcMar>
              <w:top w:w="0" w:type="dxa"/>
              <w:left w:w="108" w:type="dxa"/>
              <w:bottom w:w="0" w:type="dxa"/>
              <w:right w:w="108" w:type="dxa"/>
            </w:tcMar>
            <w:vAlign w:val="center"/>
          </w:tcPr>
          <w:p w14:paraId="53402852">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项目负责人：具有园林绿化类相关专业高级及以上技术职称的得4分（如具有园林绿化类相关专业中级技术职称的得2分）。（满分4分）</w:t>
            </w:r>
          </w:p>
          <w:p w14:paraId="0BD92927">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提供①</w:t>
            </w:r>
            <w:r>
              <w:rPr>
                <w:rFonts w:hint="eastAsia" w:ascii="宋体" w:hAnsi="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为其缴纳的近六个月中任意一个月的养老保险证明材料并加盖社保中心章或社保中心参保缴费证明电子专用章（具有可验证的二维码或验证码）②毕业证书</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如需</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③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w:t>
            </w:r>
            <w:r>
              <w:rPr>
                <w:rFonts w:hint="eastAsia" w:ascii="宋体" w:hAnsi="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公章编入投标文件中。</w:t>
            </w:r>
          </w:p>
        </w:tc>
        <w:tc>
          <w:tcPr>
            <w:tcW w:w="891"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r>
      <w:tr w14:paraId="68BA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586E9C84">
            <w:pPr>
              <w:widowControl/>
              <w:spacing w:line="360" w:lineRule="auto"/>
              <w:jc w:val="center"/>
              <w:rPr>
                <w:rFonts w:hint="eastAsia" w:ascii="宋体" w:hAnsi="宋体"/>
                <w:b w:val="0"/>
                <w:bCs w:val="0"/>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39F46705">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0A4294A6">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投标人拟投入本项目的人员中（除项目负责人外）含</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名中级及以上绿化工的得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分，每缺少1人扣1分，扣完为止。</w:t>
            </w:r>
          </w:p>
          <w:p w14:paraId="1B159AF6">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（提供①投标人为其缴纳的近六个月中任意一个月的养老保险证明材料并加盖社保中心章或社保中心参保缴费证明电子专用章（具有可验证的二维码或验证码）②技能证书）</w:t>
            </w:r>
          </w:p>
          <w:p w14:paraId="30E66F4F">
            <w:pPr>
              <w:widowControl/>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注：以上证明材料扫描件加盖投标人公章编入投标文件中。</w:t>
            </w:r>
          </w:p>
        </w:tc>
        <w:tc>
          <w:tcPr>
            <w:tcW w:w="891" w:type="dxa"/>
            <w:tcMar>
              <w:top w:w="0" w:type="dxa"/>
              <w:left w:w="108" w:type="dxa"/>
              <w:bottom w:w="0" w:type="dxa"/>
              <w:right w:w="108" w:type="dxa"/>
            </w:tcMar>
            <w:vAlign w:val="center"/>
          </w:tcPr>
          <w:p w14:paraId="53E6E86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2</w:t>
            </w:r>
          </w:p>
        </w:tc>
      </w:tr>
      <w:tr w14:paraId="6DF7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144C7795">
            <w:pPr>
              <w:widowControl/>
              <w:spacing w:line="360" w:lineRule="auto"/>
              <w:jc w:val="center"/>
              <w:rPr>
                <w:rFonts w:hint="eastAsia" w:ascii="宋体" w:hAnsi="宋体"/>
                <w:b w:val="0"/>
                <w:bCs w:val="0"/>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67A859F7">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23C283DF">
            <w:pPr>
              <w:widowControl/>
              <w:spacing w:line="360" w:lineRule="auto"/>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eastAsia="zh-CN"/>
              </w:rPr>
              <w:t>承诺拟投入人数</w:t>
            </w:r>
            <w:r>
              <w:rPr>
                <w:rFonts w:hint="eastAsia" w:ascii="宋体" w:hAnsi="宋体" w:cs="宋体"/>
                <w:b w:val="0"/>
                <w:bCs w:val="0"/>
                <w:color w:val="auto"/>
                <w:sz w:val="21"/>
                <w:szCs w:val="21"/>
                <w:highlight w:val="none"/>
                <w:lang w:val="en-US" w:eastAsia="zh-CN"/>
              </w:rPr>
              <w:t>不少于25人的，得3分。（须提供承诺书加盖公章，未提供或提供不全的不得分。）</w:t>
            </w:r>
          </w:p>
        </w:tc>
        <w:tc>
          <w:tcPr>
            <w:tcW w:w="891" w:type="dxa"/>
            <w:tcMar>
              <w:top w:w="0" w:type="dxa"/>
              <w:left w:w="108" w:type="dxa"/>
              <w:bottom w:w="0" w:type="dxa"/>
              <w:right w:w="108" w:type="dxa"/>
            </w:tcMar>
            <w:vAlign w:val="center"/>
          </w:tcPr>
          <w:p w14:paraId="1C04697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5</w:t>
            </w:r>
          </w:p>
        </w:tc>
        <w:tc>
          <w:tcPr>
            <w:tcW w:w="1499" w:type="dxa"/>
            <w:vMerge w:val="restart"/>
            <w:tcMar>
              <w:top w:w="0" w:type="dxa"/>
              <w:left w:w="108" w:type="dxa"/>
              <w:bottom w:w="0" w:type="dxa"/>
              <w:right w:w="108" w:type="dxa"/>
            </w:tcMar>
            <w:vAlign w:val="center"/>
          </w:tcPr>
          <w:p w14:paraId="1AC45D9E">
            <w:pPr>
              <w:widowControl/>
              <w:spacing w:line="360" w:lineRule="auto"/>
              <w:rPr>
                <w:rFonts w:ascii="宋体" w:hAnsi="宋体"/>
                <w:b w:val="0"/>
                <w:bCs w:val="0"/>
                <w:color w:val="auto"/>
                <w:kern w:val="0"/>
                <w:highlight w:val="none"/>
              </w:rPr>
            </w:pPr>
            <w:r>
              <w:rPr>
                <w:rFonts w:hint="eastAsia" w:ascii="宋体" w:hAnsi="宋体"/>
                <w:b w:val="0"/>
                <w:bCs w:val="0"/>
                <w:color w:val="auto"/>
                <w:kern w:val="0"/>
                <w:highlight w:val="none"/>
              </w:rPr>
              <w:t>养护组织方案</w:t>
            </w:r>
          </w:p>
        </w:tc>
        <w:tc>
          <w:tcPr>
            <w:tcW w:w="6602" w:type="dxa"/>
            <w:tcMar>
              <w:top w:w="0" w:type="dxa"/>
              <w:left w:w="108" w:type="dxa"/>
              <w:bottom w:w="0" w:type="dxa"/>
              <w:right w:w="108" w:type="dxa"/>
            </w:tcMar>
            <w:vAlign w:val="center"/>
          </w:tcPr>
          <w:p w14:paraId="6FCBFB12">
            <w:pPr>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1、投标人针对本项目的具体情况制定的绿化管理养护方案</w:t>
            </w:r>
            <w:r>
              <w:rPr>
                <w:rFonts w:hint="eastAsia" w:ascii="宋体" w:hAnsi="宋体"/>
                <w:b w:val="0"/>
                <w:bCs w:val="0"/>
                <w:color w:val="auto"/>
                <w:highlight w:val="none"/>
                <w:lang w:eastAsia="zh-CN"/>
              </w:rPr>
              <w:t>。</w:t>
            </w:r>
          </w:p>
          <w:p w14:paraId="7D172E6C">
            <w:pPr>
              <w:widowControl/>
              <w:spacing w:line="360" w:lineRule="auto"/>
              <w:rPr>
                <w:rFonts w:hint="eastAsia" w:ascii="宋体" w:hAnsi="宋体"/>
                <w:b w:val="0"/>
                <w:bCs w:val="0"/>
                <w:color w:val="auto"/>
                <w:highlight w:val="none"/>
              </w:rPr>
            </w:pPr>
            <w:r>
              <w:rPr>
                <w:rFonts w:hint="eastAsia" w:ascii="宋体" w:hAnsi="宋体"/>
                <w:b w:val="0"/>
                <w:bCs w:val="0"/>
                <w:color w:val="auto"/>
                <w:highlight w:val="none"/>
              </w:rPr>
              <w:t>评委依据各投标人针对本项目的具体情况制定的管理养护方案，对其科学性、合理性、针对性进行评价。</w:t>
            </w:r>
          </w:p>
          <w:p w14:paraId="7FC60B97">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方案表述清晰完整，内容详实具体，养护措施完整覆盖采购需求全部要求，部分措施高于采购需求标准，具备落地可行性的，得8分；</w:t>
            </w:r>
          </w:p>
          <w:p w14:paraId="769E72CA">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方案表述较为清晰，内容较为充实，养护措施能够全部满足采购需求要求，具备落地可行性的，得6分；</w:t>
            </w:r>
          </w:p>
          <w:p w14:paraId="244E8E4E">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方案表述清晰度一般，内容基本完整，养护措施基本满足采购需求主要要求，无重大缺项的，得4分；</w:t>
            </w:r>
          </w:p>
          <w:p w14:paraId="7B814B94">
            <w:pPr>
              <w:pStyle w:val="2"/>
              <w:spacing w:line="360" w:lineRule="auto"/>
              <w:ind w:left="0" w:leftChars="0" w:firstLine="0" w:firstLineChars="0"/>
              <w:rPr>
                <w:rFonts w:hint="eastAsia" w:ascii="宋体" w:hAnsi="宋体" w:eastAsia="宋体" w:cs="Times New Roman"/>
                <w:b w:val="0"/>
                <w:bCs w:val="0"/>
                <w:color w:val="auto"/>
                <w:kern w:val="2"/>
                <w:sz w:val="21"/>
                <w:szCs w:val="24"/>
                <w:highlight w:val="none"/>
                <w:lang w:val="en-US" w:eastAsia="zh-CN" w:bidi="ar-SA"/>
              </w:rPr>
            </w:pPr>
            <w:r>
              <w:rPr>
                <w:rFonts w:hint="eastAsia" w:ascii="宋体" w:hAnsi="宋体" w:eastAsia="宋体" w:cs="Times New Roman"/>
                <w:b w:val="0"/>
                <w:bCs w:val="0"/>
                <w:color w:val="auto"/>
                <w:kern w:val="2"/>
                <w:sz w:val="21"/>
                <w:szCs w:val="24"/>
                <w:highlight w:val="none"/>
                <w:lang w:val="en-US" w:eastAsia="zh-CN" w:bidi="ar-SA"/>
              </w:rPr>
              <w:t>方案表述模糊，内容存在缺漏，养护措施部分不满足采购需求，存在偏差的，得2分；</w:t>
            </w:r>
          </w:p>
          <w:p w14:paraId="054F226C">
            <w:pPr>
              <w:pStyle w:val="2"/>
              <w:spacing w:line="360" w:lineRule="auto"/>
              <w:ind w:left="0" w:leftChars="0" w:firstLine="0" w:firstLineChars="0"/>
              <w:rPr>
                <w:b w:val="0"/>
                <w:bCs w:val="0"/>
                <w:color w:val="auto"/>
                <w:highlight w:val="none"/>
              </w:rPr>
            </w:pPr>
            <w:r>
              <w:rPr>
                <w:rFonts w:hint="eastAsia" w:ascii="宋体" w:hAnsi="宋体" w:eastAsia="宋体" w:cs="Times New Roman"/>
                <w:b w:val="0"/>
                <w:bCs w:val="0"/>
                <w:color w:val="auto"/>
                <w:kern w:val="2"/>
                <w:sz w:val="21"/>
                <w:szCs w:val="24"/>
                <w:highlight w:val="none"/>
                <w:lang w:val="en-US" w:eastAsia="zh-CN" w:bidi="ar-SA"/>
              </w:rPr>
              <w:t>未提供本项方案的，本项不得分。</w:t>
            </w:r>
          </w:p>
        </w:tc>
        <w:tc>
          <w:tcPr>
            <w:tcW w:w="891" w:type="dxa"/>
            <w:tcMar>
              <w:top w:w="0" w:type="dxa"/>
              <w:left w:w="108" w:type="dxa"/>
              <w:bottom w:w="0" w:type="dxa"/>
              <w:right w:w="108" w:type="dxa"/>
            </w:tcMar>
            <w:vAlign w:val="center"/>
          </w:tcPr>
          <w:p w14:paraId="299EF9B1">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57CAC93D">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2031E877">
            <w:pPr>
              <w:adjustRightInd w:val="0"/>
              <w:snapToGrid w:val="0"/>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2、绿化管理养护进度计划方案（须包含总进度、年度、季度、月度养护进度安排）</w:t>
            </w:r>
            <w:r>
              <w:rPr>
                <w:rFonts w:hint="eastAsia" w:ascii="宋体" w:hAnsi="宋体"/>
                <w:b w:val="0"/>
                <w:bCs w:val="0"/>
                <w:color w:val="auto"/>
                <w:highlight w:val="none"/>
                <w:lang w:eastAsia="zh-CN"/>
              </w:rPr>
              <w:t>。</w:t>
            </w:r>
          </w:p>
          <w:p w14:paraId="770B65CD">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评委对照采购需求，对投标人养护进度计划的科学性、合理性、针对性进行评审：</w:t>
            </w:r>
          </w:p>
          <w:p w14:paraId="307A9EA8">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进度计划表述清晰完整，内容详实具体，总进度、年度、季度、月度养护安排齐全，进度安排优于采购需求，具备落地可行性的，得8分；</w:t>
            </w:r>
          </w:p>
          <w:p w14:paraId="5C9A767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进度计划表述较为清晰，内容较为充实，总进度、年度、季度、月度养护安排齐全，进度安排能够满足采购需求，具备落地可行性的，得6分；</w:t>
            </w:r>
          </w:p>
          <w:p w14:paraId="4ED2304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进度计划表述清晰度一般，内容基本完整，已涵盖总进度、年度、季度、月度养护安排，进度安排基本满足采购需求主要要求，无重大缺项的，得4分；</w:t>
            </w:r>
          </w:p>
          <w:p w14:paraId="23EA99D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进度计划表述模糊，内容存在缺漏，进度安排不全或与采购需求存在偏差的，得2分；</w:t>
            </w:r>
          </w:p>
          <w:p w14:paraId="14CF2E15">
            <w:pPr>
              <w:adjustRightInd w:val="0"/>
              <w:snapToGrid w:val="0"/>
              <w:spacing w:line="360" w:lineRule="auto"/>
              <w:rPr>
                <w:rFonts w:ascii="宋体" w:hAnsi="宋体"/>
                <w:b w:val="0"/>
                <w:bCs w:val="0"/>
                <w:color w:val="auto"/>
                <w:kern w:val="0"/>
                <w:highlight w:val="none"/>
              </w:rPr>
            </w:pPr>
            <w:r>
              <w:rPr>
                <w:rFonts w:hint="eastAsia" w:ascii="宋体" w:hAnsi="宋体"/>
                <w:b w:val="0"/>
                <w:bCs w:val="0"/>
                <w:color w:val="auto"/>
                <w:highlight w:val="none"/>
              </w:rPr>
              <w:t>未提供本项进度计划方案的，本项不得分。</w:t>
            </w:r>
          </w:p>
        </w:tc>
        <w:tc>
          <w:tcPr>
            <w:tcW w:w="891"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748F2658">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2C6263E3">
            <w:pPr>
              <w:adjustRightInd w:val="0"/>
              <w:snapToGrid w:val="0"/>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3、绿化养护质量保证、安全保证、文明服务保证方案</w:t>
            </w:r>
            <w:r>
              <w:rPr>
                <w:rFonts w:hint="eastAsia" w:ascii="宋体" w:hAnsi="宋体"/>
                <w:b w:val="0"/>
                <w:bCs w:val="0"/>
                <w:color w:val="auto"/>
                <w:highlight w:val="none"/>
                <w:lang w:eastAsia="zh-CN"/>
              </w:rPr>
              <w:t>。</w:t>
            </w:r>
          </w:p>
          <w:p w14:paraId="64182784">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评委对照采购需求，对投标人提交的质量保证措施、安全保障措施、文明服务保障方案的科学性、合理性、针对性进行评审：</w:t>
            </w:r>
          </w:p>
          <w:p w14:paraId="33784FB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方案表述清晰完整，内容详实具体，质量、安全、文明服务三类保障措施齐全，部分措施高于采购需求标准，具备落地可行性的，得8分；</w:t>
            </w:r>
          </w:p>
          <w:p w14:paraId="1B3A281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方案表述较为清晰，内容较为充实，质量、安全、文明服务三类保障措施齐全，能够满足采购需求要求，具备落地可行性的，得6分；</w:t>
            </w:r>
          </w:p>
          <w:p w14:paraId="6C796427">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方案表述清晰度一般，内容基本完整，覆盖质量、安全、文明服务主要保障内容，基本满足采购需求主要要求，无重大缺项的，得4分；</w:t>
            </w:r>
          </w:p>
          <w:p w14:paraId="105AC98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方案表述模糊，内容存在缺漏，质量、安全、文明服务保障措施不全或与采购需求存在偏差的，得2分；</w:t>
            </w:r>
          </w:p>
          <w:p w14:paraId="2C59C513">
            <w:pPr>
              <w:adjustRightInd w:val="0"/>
              <w:snapToGrid w:val="0"/>
              <w:spacing w:line="360" w:lineRule="auto"/>
              <w:rPr>
                <w:b w:val="0"/>
                <w:bCs w:val="0"/>
                <w:color w:val="auto"/>
                <w:highlight w:val="none"/>
              </w:rPr>
            </w:pPr>
            <w:r>
              <w:rPr>
                <w:rFonts w:hint="eastAsia" w:ascii="宋体" w:hAnsi="宋体"/>
                <w:b w:val="0"/>
                <w:bCs w:val="0"/>
                <w:color w:val="auto"/>
                <w:highlight w:val="none"/>
              </w:rPr>
              <w:t>未提供本项方案的，本项不得分。</w:t>
            </w:r>
          </w:p>
        </w:tc>
        <w:tc>
          <w:tcPr>
            <w:tcW w:w="891"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6D78F709">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759EFA20">
            <w:pPr>
              <w:spacing w:line="360" w:lineRule="auto"/>
              <w:rPr>
                <w:rFonts w:hint="eastAsia" w:ascii="宋体" w:hAnsi="宋体" w:eastAsia="宋体"/>
                <w:b w:val="0"/>
                <w:bCs w:val="0"/>
                <w:color w:val="auto"/>
                <w:highlight w:val="none"/>
                <w:lang w:eastAsia="zh-CN"/>
              </w:rPr>
            </w:pPr>
            <w:r>
              <w:rPr>
                <w:rFonts w:hint="eastAsia" w:ascii="宋体" w:hAnsi="宋体"/>
                <w:b w:val="0"/>
                <w:bCs w:val="0"/>
                <w:color w:val="auto"/>
                <w:highlight w:val="none"/>
              </w:rPr>
              <w:t>4、人员配备情况</w:t>
            </w:r>
            <w:r>
              <w:rPr>
                <w:rFonts w:hint="eastAsia" w:ascii="宋体" w:hAnsi="宋体"/>
                <w:b w:val="0"/>
                <w:bCs w:val="0"/>
                <w:color w:val="auto"/>
                <w:highlight w:val="none"/>
                <w:lang w:eastAsia="zh-CN"/>
              </w:rPr>
              <w:t>。</w:t>
            </w:r>
          </w:p>
          <w:p w14:paraId="40126F3B">
            <w:pPr>
              <w:widowControl/>
              <w:spacing w:line="360" w:lineRule="auto"/>
              <w:rPr>
                <w:rFonts w:ascii="宋体" w:hAnsi="宋体"/>
                <w:b w:val="0"/>
                <w:bCs w:val="0"/>
                <w:color w:val="auto"/>
                <w:kern w:val="0"/>
                <w:highlight w:val="none"/>
              </w:rPr>
            </w:pPr>
            <w:r>
              <w:rPr>
                <w:rFonts w:hint="eastAsia" w:ascii="宋体" w:hAnsi="宋体"/>
                <w:b w:val="0"/>
                <w:bCs w:val="0"/>
                <w:color w:val="auto"/>
                <w:kern w:val="0"/>
                <w:highlight w:val="none"/>
              </w:rPr>
              <w:t>对拟投入本项目人员的专业配备、职称能力及养护工人情况进行评价：</w:t>
            </w:r>
          </w:p>
          <w:p w14:paraId="542C3E09">
            <w:pPr>
              <w:adjustRightInd w:val="0"/>
              <w:snapToGrid w:val="0"/>
              <w:spacing w:line="360" w:lineRule="auto"/>
              <w:rPr>
                <w:rFonts w:hint="eastAsia"/>
                <w:b w:val="0"/>
                <w:bCs w:val="0"/>
                <w:color w:val="auto"/>
                <w:highlight w:val="none"/>
              </w:rPr>
            </w:pPr>
            <w:r>
              <w:rPr>
                <w:rFonts w:hint="eastAsia" w:ascii="宋体" w:hAnsi="宋体"/>
                <w:b w:val="0"/>
                <w:bCs w:val="0"/>
                <w:color w:val="auto"/>
                <w:kern w:val="0"/>
                <w:highlight w:val="none"/>
              </w:rPr>
              <w:t>投标人须根据项目情况组建项目管理机构，在投标文件中明确管理人员、技术人员各阶段进场时间（合同签订前、合同履行中）、人数、姓名，包括但不限于：项目</w:t>
            </w:r>
            <w:r>
              <w:rPr>
                <w:rFonts w:hint="eastAsia" w:ascii="宋体" w:hAnsi="宋体"/>
                <w:b w:val="0"/>
                <w:bCs w:val="0"/>
                <w:color w:val="auto"/>
                <w:kern w:val="0"/>
                <w:highlight w:val="none"/>
                <w:lang w:val="en-US" w:eastAsia="zh-CN"/>
              </w:rPr>
              <w:t>负责人</w:t>
            </w:r>
            <w:r>
              <w:rPr>
                <w:rFonts w:hint="eastAsia" w:ascii="宋体" w:hAnsi="宋体"/>
                <w:b w:val="0"/>
                <w:bCs w:val="0"/>
                <w:color w:val="auto"/>
                <w:kern w:val="0"/>
                <w:highlight w:val="none"/>
              </w:rPr>
              <w:t>、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等情况。</w:t>
            </w:r>
            <w:r>
              <w:rPr>
                <w:rFonts w:hint="eastAsia"/>
                <w:b w:val="0"/>
                <w:bCs w:val="0"/>
                <w:color w:val="auto"/>
                <w:highlight w:val="none"/>
              </w:rPr>
              <w:t>能够满足本项目要求，根据所配备人员的专业结构的合理性、针对性对其进行评价。</w:t>
            </w:r>
          </w:p>
          <w:p w14:paraId="3C37510F">
            <w:pPr>
              <w:adjustRightInd w:val="0"/>
              <w:snapToGrid w:val="0"/>
              <w:spacing w:line="360" w:lineRule="auto"/>
              <w:rPr>
                <w:rFonts w:hint="eastAsia"/>
                <w:b w:val="0"/>
                <w:bCs w:val="0"/>
                <w:color w:val="auto"/>
                <w:highlight w:val="none"/>
              </w:rPr>
            </w:pPr>
            <w:r>
              <w:rPr>
                <w:rFonts w:hint="eastAsia"/>
                <w:b w:val="0"/>
                <w:bCs w:val="0"/>
                <w:color w:val="auto"/>
                <w:highlight w:val="none"/>
              </w:rPr>
              <w:t>所投入的人员专业配备合理，经验丰富，能够很好地完成本项目养护要求的得8分；</w:t>
            </w:r>
          </w:p>
          <w:p w14:paraId="7C683626">
            <w:pPr>
              <w:adjustRightInd w:val="0"/>
              <w:snapToGrid w:val="0"/>
              <w:spacing w:line="360" w:lineRule="auto"/>
              <w:rPr>
                <w:rFonts w:hint="eastAsia" w:eastAsia="宋体"/>
                <w:b w:val="0"/>
                <w:bCs w:val="0"/>
                <w:color w:val="auto"/>
                <w:highlight w:val="none"/>
                <w:lang w:eastAsia="zh-CN"/>
              </w:rPr>
            </w:pPr>
            <w:r>
              <w:rPr>
                <w:rFonts w:hint="eastAsia"/>
                <w:b w:val="0"/>
                <w:bCs w:val="0"/>
                <w:color w:val="auto"/>
                <w:highlight w:val="none"/>
              </w:rPr>
              <w:t>所投入的人员专业配备较合理，能够完成本项目养护要求的得</w:t>
            </w:r>
            <w:r>
              <w:rPr>
                <w:rFonts w:hint="eastAsia"/>
                <w:b w:val="0"/>
                <w:bCs w:val="0"/>
                <w:color w:val="auto"/>
                <w:highlight w:val="none"/>
                <w:lang w:val="en-US" w:eastAsia="zh-CN"/>
              </w:rPr>
              <w:t>6</w:t>
            </w:r>
            <w:r>
              <w:rPr>
                <w:rFonts w:hint="eastAsia"/>
                <w:b w:val="0"/>
                <w:bCs w:val="0"/>
                <w:color w:val="auto"/>
                <w:highlight w:val="none"/>
              </w:rPr>
              <w:t>分；所投入人员基本满足项目要求的得</w:t>
            </w:r>
            <w:r>
              <w:rPr>
                <w:rFonts w:hint="eastAsia"/>
                <w:b w:val="0"/>
                <w:bCs w:val="0"/>
                <w:color w:val="auto"/>
                <w:highlight w:val="none"/>
                <w:lang w:val="en-US" w:eastAsia="zh-CN"/>
              </w:rPr>
              <w:t>4</w:t>
            </w:r>
            <w:r>
              <w:rPr>
                <w:rFonts w:hint="eastAsia"/>
                <w:b w:val="0"/>
                <w:bCs w:val="0"/>
                <w:color w:val="auto"/>
                <w:highlight w:val="none"/>
              </w:rPr>
              <w:t>分</w:t>
            </w:r>
            <w:r>
              <w:rPr>
                <w:rFonts w:hint="eastAsia"/>
                <w:b w:val="0"/>
                <w:bCs w:val="0"/>
                <w:color w:val="auto"/>
                <w:highlight w:val="none"/>
                <w:lang w:eastAsia="zh-CN"/>
              </w:rPr>
              <w:t>；</w:t>
            </w:r>
          </w:p>
          <w:p w14:paraId="37E874EE">
            <w:pPr>
              <w:adjustRightInd w:val="0"/>
              <w:snapToGrid w:val="0"/>
              <w:spacing w:line="360" w:lineRule="auto"/>
              <w:rPr>
                <w:rFonts w:hint="eastAsia" w:eastAsia="宋体"/>
                <w:b w:val="0"/>
                <w:bCs w:val="0"/>
                <w:color w:val="auto"/>
                <w:highlight w:val="none"/>
                <w:lang w:val="en-US" w:eastAsia="zh-CN"/>
              </w:rPr>
            </w:pPr>
            <w:r>
              <w:rPr>
                <w:rFonts w:hint="eastAsia"/>
                <w:b w:val="0"/>
                <w:bCs w:val="0"/>
                <w:color w:val="auto"/>
                <w:highlight w:val="none"/>
              </w:rPr>
              <w:t>所投入人员</w:t>
            </w:r>
            <w:r>
              <w:rPr>
                <w:rFonts w:hint="eastAsia"/>
                <w:b w:val="0"/>
                <w:bCs w:val="0"/>
                <w:color w:val="auto"/>
                <w:highlight w:val="none"/>
                <w:lang w:val="en-US" w:eastAsia="zh-CN"/>
              </w:rPr>
              <w:t>与需求偏差较大的</w:t>
            </w:r>
            <w:r>
              <w:rPr>
                <w:rFonts w:hint="eastAsia"/>
                <w:b w:val="0"/>
                <w:bCs w:val="0"/>
                <w:color w:val="auto"/>
                <w:highlight w:val="none"/>
              </w:rPr>
              <w:t>得</w:t>
            </w:r>
            <w:r>
              <w:rPr>
                <w:rFonts w:hint="eastAsia"/>
                <w:b w:val="0"/>
                <w:bCs w:val="0"/>
                <w:color w:val="auto"/>
                <w:highlight w:val="none"/>
                <w:lang w:val="en-US" w:eastAsia="zh-CN"/>
              </w:rPr>
              <w:t>2</w:t>
            </w:r>
            <w:r>
              <w:rPr>
                <w:rFonts w:hint="eastAsia"/>
                <w:b w:val="0"/>
                <w:bCs w:val="0"/>
                <w:color w:val="auto"/>
                <w:highlight w:val="none"/>
              </w:rPr>
              <w:t>分</w:t>
            </w:r>
            <w:r>
              <w:rPr>
                <w:rFonts w:hint="eastAsia"/>
                <w:b w:val="0"/>
                <w:bCs w:val="0"/>
                <w:color w:val="auto"/>
                <w:highlight w:val="none"/>
                <w:lang w:eastAsia="zh-CN"/>
              </w:rPr>
              <w:t>；</w:t>
            </w:r>
          </w:p>
          <w:p w14:paraId="31796E1E">
            <w:pPr>
              <w:adjustRightInd w:val="0"/>
              <w:snapToGrid w:val="0"/>
              <w:spacing w:line="360" w:lineRule="auto"/>
              <w:rPr>
                <w:rFonts w:ascii="宋体" w:hAnsi="宋体"/>
                <w:b w:val="0"/>
                <w:bCs w:val="0"/>
                <w:color w:val="auto"/>
                <w:kern w:val="0"/>
                <w:highlight w:val="none"/>
              </w:rPr>
            </w:pPr>
            <w:r>
              <w:rPr>
                <w:rFonts w:hint="eastAsia"/>
                <w:b w:val="0"/>
                <w:bCs w:val="0"/>
                <w:color w:val="auto"/>
                <w:highlight w:val="none"/>
              </w:rPr>
              <w:t>缺项不得分。</w:t>
            </w:r>
          </w:p>
        </w:tc>
        <w:tc>
          <w:tcPr>
            <w:tcW w:w="891" w:type="dxa"/>
            <w:tcMar>
              <w:top w:w="0" w:type="dxa"/>
              <w:left w:w="108" w:type="dxa"/>
              <w:bottom w:w="0" w:type="dxa"/>
              <w:right w:w="108" w:type="dxa"/>
            </w:tcMar>
            <w:vAlign w:val="center"/>
          </w:tcPr>
          <w:p w14:paraId="58A8F492">
            <w:pPr>
              <w:widowControl/>
              <w:spacing w:line="360" w:lineRule="auto"/>
              <w:jc w:val="center"/>
              <w:rPr>
                <w:rFonts w:ascii="宋体" w:hAnsi="宋体"/>
                <w:b w:val="0"/>
                <w:bCs w:val="0"/>
                <w:color w:val="auto"/>
                <w:kern w:val="0"/>
                <w:highlight w:val="none"/>
              </w:rPr>
            </w:pPr>
            <w:r>
              <w:rPr>
                <w:rFonts w:ascii="宋体" w:hAnsi="宋体"/>
                <w:b w:val="0"/>
                <w:bCs w:val="0"/>
                <w:color w:val="auto"/>
                <w:kern w:val="0"/>
                <w:highlight w:val="none"/>
              </w:rPr>
              <w:t>8</w:t>
            </w:r>
          </w:p>
        </w:tc>
      </w:tr>
      <w:tr w14:paraId="729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30A5CD51">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2E887BCB">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681DA4E2">
            <w:pPr>
              <w:spacing w:line="360" w:lineRule="auto"/>
              <w:rPr>
                <w:rFonts w:ascii="宋体" w:hAnsi="宋体"/>
                <w:b w:val="0"/>
                <w:bCs w:val="0"/>
                <w:color w:val="auto"/>
                <w:highlight w:val="none"/>
              </w:rPr>
            </w:pPr>
            <w:r>
              <w:rPr>
                <w:rFonts w:ascii="宋体" w:hAnsi="宋体"/>
                <w:b w:val="0"/>
                <w:bCs w:val="0"/>
                <w:color w:val="auto"/>
                <w:highlight w:val="none"/>
              </w:rPr>
              <w:t>5</w:t>
            </w:r>
            <w:r>
              <w:rPr>
                <w:rFonts w:hint="eastAsia" w:ascii="宋体" w:hAnsi="宋体"/>
                <w:b w:val="0"/>
                <w:bCs w:val="0"/>
                <w:color w:val="auto"/>
                <w:highlight w:val="none"/>
              </w:rPr>
              <w:t>、服务承诺</w:t>
            </w:r>
          </w:p>
          <w:p w14:paraId="600D071D">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评委对照采购需求，对投标人服务承诺中服务响应时限、服务质量、技术支持等内容的科学性、合理性、针对性进行评审：</w:t>
            </w:r>
          </w:p>
          <w:p w14:paraId="094DB643">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服务承诺内容明确，全部满足采购需求，部分承诺标准高于采购需求的，得 7 分；</w:t>
            </w:r>
          </w:p>
          <w:p w14:paraId="5A197657">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服务承诺内容明确，能够基本满足采购需求主要要求，无重大偏离的，得 5 分；</w:t>
            </w:r>
          </w:p>
          <w:p w14:paraId="369BCEF6">
            <w:pPr>
              <w:adjustRightInd w:val="0"/>
              <w:snapToGrid w:val="0"/>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服务承诺表述模糊、内容不明确的，得 2 分；</w:t>
            </w:r>
          </w:p>
          <w:p w14:paraId="299B9A1E">
            <w:pPr>
              <w:adjustRightInd w:val="0"/>
              <w:snapToGrid w:val="0"/>
              <w:spacing w:line="360" w:lineRule="auto"/>
              <w:rPr>
                <w:rFonts w:ascii="宋体" w:hAnsi="宋体"/>
                <w:b w:val="0"/>
                <w:bCs w:val="0"/>
                <w:color w:val="auto"/>
                <w:kern w:val="0"/>
                <w:highlight w:val="none"/>
              </w:rPr>
            </w:pPr>
            <w:r>
              <w:rPr>
                <w:rFonts w:hint="eastAsia" w:ascii="宋体" w:hAnsi="宋体"/>
                <w:b w:val="0"/>
                <w:bCs w:val="0"/>
                <w:color w:val="auto"/>
                <w:kern w:val="0"/>
                <w:highlight w:val="none"/>
              </w:rPr>
              <w:t>未提供本项服务承诺的，本项不得分。</w:t>
            </w:r>
          </w:p>
        </w:tc>
        <w:tc>
          <w:tcPr>
            <w:tcW w:w="891" w:type="dxa"/>
            <w:tcMar>
              <w:top w:w="0" w:type="dxa"/>
              <w:left w:w="108" w:type="dxa"/>
              <w:bottom w:w="0" w:type="dxa"/>
              <w:right w:w="108" w:type="dxa"/>
            </w:tcMar>
            <w:vAlign w:val="center"/>
          </w:tcPr>
          <w:p w14:paraId="0D95F40C">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7</w:t>
            </w:r>
          </w:p>
        </w:tc>
      </w:tr>
      <w:tr w14:paraId="26A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10653C55">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7F169827">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7E7E7267">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rPr>
              <w:t>6、</w:t>
            </w:r>
            <w:r>
              <w:rPr>
                <w:rFonts w:hint="eastAsia" w:ascii="宋体" w:hAnsi="宋体"/>
                <w:b w:val="0"/>
                <w:bCs w:val="0"/>
                <w:color w:val="auto"/>
                <w:kern w:val="0"/>
                <w:highlight w:val="none"/>
                <w:lang w:val="en-US" w:eastAsia="zh-CN"/>
              </w:rPr>
              <w:t>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p>
          <w:p w14:paraId="6F0CD9EC">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方案表述清晰完整，内容详实具体，各类处置及保障措施齐全，部分措施高于采购需求标准，职责分工明确，落地可行性强的，得8分；</w:t>
            </w:r>
          </w:p>
          <w:p w14:paraId="578D1600">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方案表述较为清晰，内容较为充实，各类处置及保障措施齐全，能够满足采购需求要求，具备落地可行性的，得6分；</w:t>
            </w:r>
          </w:p>
          <w:p w14:paraId="6D6E8000">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方案表述清晰度一般，内容基本完整，覆盖应急、迎检、重大活动、投诉、采购人交办事项主要处置保障内容，基本满足采购需求主要要求，无重大缺项的，得4分；</w:t>
            </w:r>
          </w:p>
          <w:p w14:paraId="6207A069">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方案表述模糊，内容存在缺漏，相关处置及保障措施不全或与采购需求存在偏差的，得2分；</w:t>
            </w:r>
          </w:p>
          <w:p w14:paraId="60E6976A">
            <w:pPr>
              <w:adjustRightInd w:val="0"/>
              <w:snapToGrid w:val="0"/>
              <w:spacing w:line="360" w:lineRule="auto"/>
              <w:rPr>
                <w:rFonts w:hint="eastAsia"/>
                <w:b w:val="0"/>
                <w:bCs w:val="0"/>
                <w:color w:val="auto"/>
                <w:highlight w:val="none"/>
                <w:lang w:eastAsia="zh-CN"/>
              </w:rPr>
            </w:pPr>
            <w:r>
              <w:rPr>
                <w:rFonts w:hint="eastAsia" w:ascii="宋体" w:hAnsi="宋体"/>
                <w:b w:val="0"/>
                <w:bCs w:val="0"/>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35C5EDB4">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val="0"/>
                <w:bCs w:val="0"/>
                <w:color w:val="auto"/>
                <w:kern w:val="0"/>
                <w:highlight w:val="none"/>
              </w:rPr>
            </w:pPr>
          </w:p>
        </w:tc>
        <w:tc>
          <w:tcPr>
            <w:tcW w:w="1499" w:type="dxa"/>
            <w:vMerge w:val="continue"/>
            <w:vAlign w:val="center"/>
          </w:tcPr>
          <w:p w14:paraId="44083DA7">
            <w:pPr>
              <w:widowControl/>
              <w:spacing w:line="360" w:lineRule="auto"/>
              <w:jc w:val="left"/>
              <w:rPr>
                <w:rFonts w:ascii="宋体" w:hAnsi="宋体"/>
                <w:b w:val="0"/>
                <w:bCs w:val="0"/>
                <w:color w:val="auto"/>
                <w:kern w:val="0"/>
                <w:highlight w:val="none"/>
              </w:rPr>
            </w:pPr>
          </w:p>
        </w:tc>
        <w:tc>
          <w:tcPr>
            <w:tcW w:w="6602" w:type="dxa"/>
            <w:tcMar>
              <w:top w:w="0" w:type="dxa"/>
              <w:left w:w="108" w:type="dxa"/>
              <w:bottom w:w="0" w:type="dxa"/>
              <w:right w:w="108" w:type="dxa"/>
            </w:tcMar>
            <w:vAlign w:val="center"/>
          </w:tcPr>
          <w:p w14:paraId="4D6D816D">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7、养护档案资料管理制度及养护台账管理方案（含档案移交流程）评委对照采购需求，对投标人养护档案资料管理制度、档案移交流程、养护台账设置及编制措施的科学性、规范性、针对性、可操作性进行评审：</w:t>
            </w:r>
          </w:p>
          <w:p w14:paraId="05E448ED">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方案表述清晰完整，内容详实具体，档案管理制度、移交流程、台账设置措施齐全规范，部分措施高于采购需求标准，落地可行性强的，得8分；</w:t>
            </w:r>
          </w:p>
          <w:p w14:paraId="12E1FFEE">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方案表述较为清晰，内容较为充实，档案管理制度、移交流程、台账设置措施齐全规范，能够满足采购需求要求，具备落地可行性的，得6分；</w:t>
            </w:r>
          </w:p>
          <w:p w14:paraId="3734DE1A">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方案表述清晰度一般，内容基本完整，覆盖档案管理、档案移交、养护台账主要管理内容，基本满足采购需求主要要求，无重大缺项的，得4分；</w:t>
            </w:r>
          </w:p>
          <w:p w14:paraId="52DD980A">
            <w:pPr>
              <w:adjustRightInd w:val="0"/>
              <w:snapToGrid w:val="0"/>
              <w:spacing w:line="360" w:lineRule="auto"/>
              <w:rPr>
                <w:rFonts w:hint="eastAsia"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方案表述模糊，内容存在缺漏，档案、台账相关管理措施不全或与采购需求存在偏差的，得2分；</w:t>
            </w:r>
          </w:p>
          <w:p w14:paraId="449A0AFD">
            <w:pPr>
              <w:adjustRightInd w:val="0"/>
              <w:snapToGrid w:val="0"/>
              <w:spacing w:line="360" w:lineRule="auto"/>
              <w:rPr>
                <w:b w:val="0"/>
                <w:bCs w:val="0"/>
                <w:color w:val="auto"/>
                <w:highlight w:val="none"/>
              </w:rPr>
            </w:pPr>
            <w:r>
              <w:rPr>
                <w:rFonts w:hint="eastAsia" w:ascii="宋体" w:hAnsi="宋体"/>
                <w:b w:val="0"/>
                <w:bCs w:val="0"/>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val="0"/>
                <w:bCs w:val="0"/>
                <w:color w:val="auto"/>
                <w:kern w:val="0"/>
                <w:highlight w:val="none"/>
                <w:lang w:eastAsia="zh-CN"/>
              </w:rPr>
            </w:pPr>
            <w:r>
              <w:rPr>
                <w:rFonts w:hint="eastAsia" w:ascii="宋体" w:hAnsi="宋体"/>
                <w:b w:val="0"/>
                <w:bCs w:val="0"/>
                <w:color w:val="auto"/>
                <w:kern w:val="0"/>
                <w:highlight w:val="none"/>
                <w:lang w:val="en-US" w:eastAsia="zh-CN"/>
              </w:rPr>
              <w:t>8</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8741" w:type="dxa"/>
            <w:gridSpan w:val="3"/>
            <w:vAlign w:val="center"/>
          </w:tcPr>
          <w:p w14:paraId="1312E7AC">
            <w:pPr>
              <w:widowControl/>
              <w:spacing w:line="360" w:lineRule="auto"/>
              <w:jc w:val="center"/>
              <w:rPr>
                <w:rFonts w:hint="eastAsia" w:ascii="宋体" w:hAnsi="宋体"/>
                <w:b w:val="0"/>
                <w:bCs w:val="0"/>
                <w:color w:val="auto"/>
                <w:highlight w:val="none"/>
              </w:rPr>
            </w:pPr>
            <w:r>
              <w:rPr>
                <w:rFonts w:hint="eastAsia" w:ascii="宋体" w:hAnsi="宋体"/>
                <w:b w:val="0"/>
                <w:bCs w:val="0"/>
                <w:color w:val="auto"/>
                <w:kern w:val="0"/>
                <w:highlight w:val="none"/>
                <w:lang w:val="en-US" w:eastAsia="zh-CN"/>
              </w:rPr>
              <w:t>合计</w:t>
            </w:r>
          </w:p>
        </w:tc>
        <w:tc>
          <w:tcPr>
            <w:tcW w:w="891" w:type="dxa"/>
            <w:tcMar>
              <w:top w:w="0" w:type="dxa"/>
              <w:left w:w="108" w:type="dxa"/>
              <w:bottom w:w="0" w:type="dxa"/>
              <w:right w:w="108" w:type="dxa"/>
            </w:tcMar>
            <w:vAlign w:val="center"/>
          </w:tcPr>
          <w:p w14:paraId="6848D416">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100</w:t>
            </w:r>
          </w:p>
        </w:tc>
      </w:tr>
    </w:tbl>
    <w:p w14:paraId="7B5010D1">
      <w:pPr>
        <w:pStyle w:val="58"/>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52E959E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1、地点及范围：346国道（龙潭港至七乡河大道段）</w:t>
      </w:r>
    </w:p>
    <w:p w14:paraId="648B9AA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工作量</w:t>
      </w:r>
      <w:r>
        <w:rPr>
          <w:rFonts w:hint="eastAsia" w:ascii="宋体" w:hAnsi="宋体" w:eastAsia="宋体" w:cs="宋体"/>
          <w:color w:val="000000" w:themeColor="text1"/>
          <w:sz w:val="21"/>
          <w:szCs w:val="21"/>
          <w:highlight w:val="none"/>
          <w14:textFill>
            <w14:solidFill>
              <w14:schemeClr w14:val="tx1"/>
            </w14:solidFill>
          </w14:textFill>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年，合同一年一签，经考核合格后可续签下一年度合同。</w:t>
      </w:r>
    </w:p>
    <w:p w14:paraId="411DC036">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二、技术部分</w:t>
      </w:r>
    </w:p>
    <w:p w14:paraId="4C7F182C">
      <w:pPr>
        <w:pStyle w:val="2"/>
        <w:spacing w:line="360" w:lineRule="auto"/>
        <w:ind w:left="0" w:leftChars="0"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设施量明细表</w:t>
      </w:r>
    </w:p>
    <w:p w14:paraId="769EFD64">
      <w:pPr>
        <w:pStyle w:val="2"/>
        <w:spacing w:line="360" w:lineRule="auto"/>
        <w:ind w:left="0" w:leftChars="0" w:firstLine="211" w:firstLineChars="100"/>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7"/>
        <w:tblW w:w="8538" w:type="dxa"/>
        <w:tblInd w:w="91" w:type="dxa"/>
        <w:tblLayout w:type="autofit"/>
        <w:tblCellMar>
          <w:top w:w="0" w:type="dxa"/>
          <w:left w:w="108" w:type="dxa"/>
          <w:bottom w:w="0" w:type="dxa"/>
          <w:right w:w="108" w:type="dxa"/>
        </w:tblCellMar>
      </w:tblPr>
      <w:tblGrid>
        <w:gridCol w:w="708"/>
        <w:gridCol w:w="2564"/>
        <w:gridCol w:w="1852"/>
        <w:gridCol w:w="1040"/>
        <w:gridCol w:w="2374"/>
      </w:tblGrid>
      <w:tr w14:paraId="46BBB491">
        <w:tblPrEx>
          <w:tblCellMar>
            <w:top w:w="0" w:type="dxa"/>
            <w:left w:w="108" w:type="dxa"/>
            <w:bottom w:w="0" w:type="dxa"/>
            <w:right w:w="108" w:type="dxa"/>
          </w:tblCellMar>
        </w:tblPrEx>
        <w:trPr>
          <w:trHeight w:val="603"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6351">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8652">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F182">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工作量（暂定）</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D6A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47D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单项限价（一年）</w:t>
            </w:r>
          </w:p>
        </w:tc>
      </w:tr>
      <w:tr w14:paraId="472E17CB">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CE6">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5FA8">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基本绿化养护</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BCEE">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146942.95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50B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3BB0">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6.24元/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bl>
    <w:p w14:paraId="2E7713D3">
      <w:pPr>
        <w:adjustRightInd w:val="0"/>
        <w:snapToGrid w:val="0"/>
        <w:spacing w:line="360" w:lineRule="auto"/>
        <w:ind w:firstLine="420" w:firstLineChars="200"/>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w:t>
      </w:r>
      <w:r>
        <w:rPr>
          <w:rFonts w:hint="eastAsia" w:ascii="宋体" w:hAnsi="宋体" w:cs="宋体"/>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招标代理服务费、设施</w:t>
      </w:r>
      <w:r>
        <w:rPr>
          <w:rFonts w:hint="eastAsia" w:ascii="宋体" w:hAnsi="宋体" w:eastAsia="宋体" w:cs="宋体"/>
          <w:b w:val="0"/>
          <w:bCs/>
          <w:color w:val="auto"/>
          <w:sz w:val="21"/>
          <w:szCs w:val="21"/>
          <w:highlight w:val="none"/>
          <w:lang w:val="en-US" w:eastAsia="zh-CN"/>
        </w:rPr>
        <w:t>第三者责任险、公众责任险等</w:t>
      </w:r>
      <w:r>
        <w:rPr>
          <w:rFonts w:hint="eastAsia" w:ascii="宋体" w:hAnsi="宋体" w:cs="宋体"/>
          <w:b w:val="0"/>
          <w:bCs/>
          <w:color w:val="auto"/>
          <w:sz w:val="21"/>
          <w:szCs w:val="21"/>
          <w:highlight w:val="none"/>
          <w:lang w:val="en-US" w:eastAsia="zh-CN"/>
        </w:rPr>
        <w:t>保险费用</w:t>
      </w:r>
      <w:r>
        <w:rPr>
          <w:rFonts w:hint="eastAsia" w:ascii="宋体" w:hAnsi="宋体" w:eastAsia="宋体" w:cs="宋体"/>
          <w:bCs/>
          <w:color w:val="auto"/>
          <w:sz w:val="21"/>
          <w:szCs w:val="21"/>
          <w:highlight w:val="none"/>
          <w:lang w:val="en-US" w:eastAsia="zh-CN"/>
        </w:rPr>
        <w:t>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场地障碍条件和现场各种不利条件发生的可能性所带来的风险，应仔细阅读和理解招标文件中有关招标养护范围、设施维修养护内容、技术标准、</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3263BF74">
      <w:pPr>
        <w:adjustRightInd w:val="0"/>
        <w:snapToGrid w:val="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（2）日常养护设施量（表中为单年预估量</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p w14:paraId="6840837F">
      <w:pPr>
        <w:pStyle w:val="2"/>
        <w:jc w:val="center"/>
        <w:rPr>
          <w:rFonts w:hint="default" w:eastAsia="黑体"/>
          <w:highlight w:val="none"/>
          <w:lang w:val="en-US" w:eastAsia="zh-CN"/>
        </w:rPr>
      </w:pPr>
      <w:r>
        <w:rPr>
          <w:rFonts w:hint="eastAsia" w:ascii="宋体" w:hAnsi="宋体" w:eastAsia="宋体" w:cs="宋体"/>
          <w:b/>
          <w:bCs/>
          <w:sz w:val="21"/>
          <w:szCs w:val="21"/>
          <w:highlight w:val="none"/>
          <w:lang w:val="en-US" w:eastAsia="zh-CN"/>
        </w:rPr>
        <w:t>基本绿化养护</w:t>
      </w:r>
    </w:p>
    <w:tbl>
      <w:tblPr>
        <w:tblStyle w:val="4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1"/>
        <w:gridCol w:w="5324"/>
        <w:gridCol w:w="2298"/>
      </w:tblGrid>
      <w:tr w14:paraId="76063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34A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3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34DA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38CD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面积（㎡）</w:t>
            </w:r>
          </w:p>
        </w:tc>
      </w:tr>
      <w:tr w14:paraId="63062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A2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3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1B9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346地面辅道绿化</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EF2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146942.95</w:t>
            </w:r>
          </w:p>
        </w:tc>
      </w:tr>
    </w:tbl>
    <w:p w14:paraId="2FF4A9C9">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相关服务要求：</w:t>
      </w:r>
    </w:p>
    <w:p w14:paraId="768AADE7">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养护内容范围具体如下：</w:t>
      </w:r>
    </w:p>
    <w:p w14:paraId="724125D8">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1、严格按照南京市绿化养护管理日常考核标准及要求，完成本项目内绿化养护、秩序维护及卫生保洁等养护管理作业。建立与完善工作台账，如养护方</w:t>
      </w:r>
      <w:r>
        <w:rPr>
          <w:rFonts w:hint="eastAsia" w:ascii="宋体" w:hAnsi="宋体" w:cs="宋体"/>
          <w:color w:val="000000" w:themeColor="text1"/>
          <w:sz w:val="21"/>
          <w:szCs w:val="21"/>
          <w:highlight w:val="none"/>
          <w:lang w:eastAsia="zh-CN"/>
          <w14:textFill>
            <w14:solidFill>
              <w14:schemeClr w14:val="tx1"/>
            </w14:solidFill>
          </w14:textFill>
        </w:rPr>
        <w:t>台账资料</w:t>
      </w:r>
      <w:r>
        <w:rPr>
          <w:rFonts w:hint="eastAsia" w:ascii="宋体" w:hAnsi="宋体" w:eastAsia="宋体" w:cs="宋体"/>
          <w:color w:val="000000" w:themeColor="text1"/>
          <w:sz w:val="21"/>
          <w:szCs w:val="21"/>
          <w:highlight w:val="none"/>
          <w14:textFill>
            <w14:solidFill>
              <w14:schemeClr w14:val="tx1"/>
            </w14:solidFill>
          </w14:textFill>
        </w:rPr>
        <w:t>明显缺失或不满足市、区相关部门的检查要求，未在业主方规定时间内整改完成，每次扣</w:t>
      </w:r>
      <w:r>
        <w:rPr>
          <w:rFonts w:hint="eastAsia" w:ascii="宋体" w:hAnsi="宋体" w:cs="宋体"/>
          <w:color w:val="000000" w:themeColor="text1"/>
          <w:sz w:val="21"/>
          <w:szCs w:val="21"/>
          <w:highlight w:val="none"/>
          <w:lang w:val="en-US" w:eastAsia="zh-CN"/>
          <w14:textFill>
            <w14:solidFill>
              <w14:schemeClr w14:val="tx1"/>
            </w14:solidFill>
          </w14:textFill>
        </w:rPr>
        <w:t>0.1</w:t>
      </w:r>
      <w:r>
        <w:rPr>
          <w:rFonts w:hint="eastAsia" w:ascii="宋体" w:hAnsi="宋体" w:eastAsia="宋体" w:cs="宋体"/>
          <w:color w:val="000000" w:themeColor="text1"/>
          <w:sz w:val="21"/>
          <w:szCs w:val="21"/>
          <w:highlight w:val="none"/>
          <w14:textFill>
            <w14:solidFill>
              <w14:schemeClr w14:val="tx1"/>
            </w14:solidFill>
          </w14:textFill>
        </w:rPr>
        <w:t>分。</w:t>
      </w:r>
    </w:p>
    <w:p w14:paraId="50A29BF2">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2、对</w:t>
      </w:r>
      <w:r>
        <w:rPr>
          <w:rFonts w:hint="eastAsia" w:ascii="宋体" w:hAnsi="宋体" w:cs="宋体"/>
          <w:color w:val="000000" w:themeColor="text1"/>
          <w:sz w:val="21"/>
          <w:szCs w:val="21"/>
          <w:highlight w:val="none"/>
          <w:lang w:eastAsia="zh-CN"/>
          <w14:textFill>
            <w14:solidFill>
              <w14:schemeClr w14:val="tx1"/>
            </w14:solidFill>
          </w14:textFill>
        </w:rPr>
        <w:t>工作量表中</w:t>
      </w:r>
      <w:r>
        <w:rPr>
          <w:rFonts w:hint="eastAsia" w:ascii="宋体" w:hAnsi="宋体" w:eastAsia="宋体" w:cs="宋体"/>
          <w:color w:val="000000" w:themeColor="text1"/>
          <w:sz w:val="21"/>
          <w:szCs w:val="21"/>
          <w:highlight w:val="none"/>
          <w14:textFill>
            <w14:solidFill>
              <w14:schemeClr w14:val="tx1"/>
            </w14:solidFill>
          </w14:textFill>
        </w:rPr>
        <w:t>所列明的设施每天巡查不少于3次（早、中、晚），巡查车辆安装GPS,并纳入车</w:t>
      </w:r>
      <w:r>
        <w:rPr>
          <w:rFonts w:hint="eastAsia" w:ascii="宋体" w:hAnsi="宋体" w:eastAsia="宋体" w:cs="宋体"/>
          <w:color w:val="000000" w:themeColor="text1"/>
          <w:sz w:val="21"/>
          <w:szCs w:val="21"/>
          <w:highlight w:val="none"/>
          <w:lang w:eastAsia="zh-CN"/>
          <w14:textFill>
            <w14:solidFill>
              <w14:schemeClr w14:val="tx1"/>
            </w14:solidFill>
          </w14:textFill>
        </w:rPr>
        <w:t>辆</w:t>
      </w:r>
      <w:r>
        <w:rPr>
          <w:rFonts w:hint="eastAsia" w:ascii="宋体" w:hAnsi="宋体" w:eastAsia="宋体" w:cs="宋体"/>
          <w:color w:val="000000" w:themeColor="text1"/>
          <w:sz w:val="21"/>
          <w:szCs w:val="21"/>
          <w:highlight w:val="none"/>
          <w14:textFill>
            <w14:solidFill>
              <w14:schemeClr w14:val="tx1"/>
            </w14:solidFill>
          </w14:textFill>
        </w:rPr>
        <w:t>管理系统。并每周提供巡查记录。每月按照业主要求提供：月度完成情况及下月计划（针对本项目细化可行的月度养护计划，其中包含拟投入的一线人员、机械设备及材料等明细；月度完成情况汇报，建议以PDCA管理模式进行编写），如不按要求提供，未在业主方规定时间内编制完成，每次扣</w:t>
      </w:r>
      <w:r>
        <w:rPr>
          <w:rFonts w:hint="eastAsia" w:ascii="宋体" w:hAnsi="宋体" w:cs="宋体"/>
          <w:color w:val="000000" w:themeColor="text1"/>
          <w:sz w:val="21"/>
          <w:szCs w:val="21"/>
          <w:highlight w:val="none"/>
          <w:lang w:val="en-US" w:eastAsia="zh-CN"/>
          <w14:textFill>
            <w14:solidFill>
              <w14:schemeClr w14:val="tx1"/>
            </w14:solidFill>
          </w14:textFill>
        </w:rPr>
        <w:t>0.1</w:t>
      </w:r>
      <w:r>
        <w:rPr>
          <w:rFonts w:hint="eastAsia" w:ascii="宋体" w:hAnsi="宋体" w:eastAsia="宋体" w:cs="宋体"/>
          <w:color w:val="000000" w:themeColor="text1"/>
          <w:sz w:val="21"/>
          <w:szCs w:val="21"/>
          <w:highlight w:val="none"/>
          <w14:textFill>
            <w14:solidFill>
              <w14:schemeClr w14:val="tx1"/>
            </w14:solidFill>
          </w14:textFill>
        </w:rPr>
        <w:t>分。</w:t>
      </w:r>
    </w:p>
    <w:p w14:paraId="09D56B00">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破坏绿化设施、影响绿化景观、环境卫生等行为予以制止并及时上报，并对损毁设施及时整改到位；若因监管不力发生人为大面积毁绿或设施破坏，未在业主规定时限内恢复到位，依据南京市绿地占用的相关标准从养护经费中扣除相应费用；对于业主巡查下发的问题整改菜单，需在业主规定时限内及时整改，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不响应行为的处罚权利，整改后的设施量仍由养护方负责养护管理。</w:t>
      </w:r>
    </w:p>
    <w:p w14:paraId="3CD4CDE9">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3、完成项目范围内突发性和重大性保障工作任务，如文明城市检查、重大活动环境保障等任务；制定防汛排涝、</w:t>
      </w:r>
      <w:r>
        <w:rPr>
          <w:rFonts w:hint="eastAsia" w:ascii="宋体" w:hAnsi="宋体" w:eastAsia="宋体" w:cs="宋体"/>
          <w:color w:val="000000" w:themeColor="text1"/>
          <w:sz w:val="21"/>
          <w:szCs w:val="21"/>
          <w:highlight w:val="none"/>
          <w:lang w:val="zh-CN"/>
          <w14:textFill>
            <w14:solidFill>
              <w14:schemeClr w14:val="tx1"/>
            </w14:solidFill>
          </w14:textFill>
        </w:rPr>
        <w:t>抗旱、</w:t>
      </w:r>
      <w:r>
        <w:rPr>
          <w:rFonts w:hint="eastAsia" w:ascii="宋体" w:hAnsi="宋体" w:eastAsia="宋体" w:cs="宋体"/>
          <w:color w:val="000000" w:themeColor="text1"/>
          <w:sz w:val="21"/>
          <w:szCs w:val="21"/>
          <w:highlight w:val="none"/>
          <w14:textFill>
            <w14:solidFill>
              <w14:schemeClr w14:val="tx1"/>
            </w14:solidFill>
          </w14:textFill>
        </w:rPr>
        <w:t>防台风、扫雪、防冻应急预案（成立防汛排涝、</w:t>
      </w:r>
      <w:r>
        <w:rPr>
          <w:rFonts w:hint="eastAsia" w:ascii="宋体" w:hAnsi="宋体" w:eastAsia="宋体" w:cs="宋体"/>
          <w:color w:val="000000" w:themeColor="text1"/>
          <w:sz w:val="21"/>
          <w:szCs w:val="21"/>
          <w:highlight w:val="none"/>
          <w:lang w:val="zh-CN"/>
          <w14:textFill>
            <w14:solidFill>
              <w14:schemeClr w14:val="tx1"/>
            </w14:solidFill>
          </w14:textFill>
        </w:rPr>
        <w:t>抗旱、</w:t>
      </w:r>
      <w:r>
        <w:rPr>
          <w:rFonts w:hint="eastAsia" w:ascii="宋体" w:hAnsi="宋体" w:eastAsia="宋体" w:cs="宋体"/>
          <w:color w:val="000000" w:themeColor="text1"/>
          <w:sz w:val="21"/>
          <w:szCs w:val="21"/>
          <w:highlight w:val="none"/>
          <w14:textFill>
            <w14:solidFill>
              <w14:schemeClr w14:val="tx1"/>
            </w14:solidFill>
          </w14:textFill>
        </w:rPr>
        <w:t>防台风、扫雪、防冻领导小组人员分工及细化的消险保障专项方案），防汛排涝、扫雪及防冻期间及执行重大保障任务期间，养护施工单位须按照业主要求提供24小时保障，重点指令性任务未完成的，每次扣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2分；因防汛排涝、创建迎查工作不力造成社会负面影响的，每次扣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2分；若连续发生三次，业主将有权与其终止合同。如由于养护方保障工作存在缺陷造成业主或第三方损失，一切费用由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承担，同时业主方保留对养护方处罚的权利。</w:t>
      </w:r>
    </w:p>
    <w:p w14:paraId="0532338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完成项目范围内的抢险、消险、救灾工作。在消险过程中严格确保安全作业，并服从业主方的统一指挥和调动，参加全区抢险救灾工作。对突发性事件的应急预案做到定期和不定期演练，以便应对突发性事件。未及时发现安全隐患，因养护不到位造成安全生产责任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2分；突发事件现场处置不当，发生衍生事故的，每次扣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4分；发生重大安全生产责任事故，每次扣</w:t>
      </w:r>
      <w:r>
        <w:rPr>
          <w:rFonts w:hint="eastAsia" w:ascii="宋体" w:hAnsi="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分；以上发生的一切费用由养护方自行承担。</w:t>
      </w:r>
    </w:p>
    <w:p w14:paraId="7BA53A4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5、完成项目范围内各类信访、投诉、媒体曝光、举报，需在业主规定时限内及时整改并回复取得投诉方满意，如在业主规定时限内未完成整改任务，业主方有权利选择第三方进行整改，涉及的整改费用按照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不响应行为的处罚的权利（如因养护方消极响应造成恶劣影响的情况，业主方有权利无条件终止养护合同并对养护方进行处罚），由此造成的所有损失由养护方自行承担。</w:t>
      </w:r>
    </w:p>
    <w:p w14:paraId="7FA7B0AA">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项目负责人、技术负责人、一线养护人员须按投标文件每周不少于6天，每天不少于8个小时在岗从事养护工作，每人每少一天扣0.1分，若项目负责人、技术负责人、当月出勤少于21天，则业主方有权中止合同，由此造成的所有损失由养护方自行承担。</w:t>
      </w:r>
    </w:p>
    <w:p w14:paraId="4BC5D67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highlight w:val="none"/>
        </w:rPr>
        <w:t>本项目的项目经理不得随意变更，如确需变更，应经采购人书面同意，并同时向采购人缴纳违约金2万元/人次。其他用工人员如需变更，需经采购人许可；每年人员变动不得超过总人数的10%。</w:t>
      </w:r>
    </w:p>
    <w:p w14:paraId="5B56716F">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7、养护方须按投标文件要求做好设备到位保障，如因设备不到位造成的养护缺陷产生的整改费用由养护方全部承担，业主方将从养护经费中予以扣除。</w:t>
      </w:r>
    </w:p>
    <w:p w14:paraId="0D8ECED9">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、配备不少于</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名以上中、高级绿化工持证人员作为一线养护班组长进行人员管理</w:t>
      </w:r>
      <w:r>
        <w:rPr>
          <w:rFonts w:hint="eastAsia" w:ascii="宋体" w:hAnsi="宋体" w:cs="宋体"/>
          <w:color w:val="000000" w:themeColor="text1"/>
          <w:sz w:val="21"/>
          <w:szCs w:val="21"/>
          <w:highlight w:val="none"/>
          <w:lang w:eastAsia="zh-CN"/>
          <w14:textFill>
            <w14:solidFill>
              <w14:schemeClr w14:val="tx1"/>
            </w14:solidFill>
          </w14:textFill>
        </w:rPr>
        <w:t>。</w:t>
      </w:r>
    </w:p>
    <w:p w14:paraId="3ECE7E82">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养护人员不少于25人</w:t>
      </w:r>
      <w:r>
        <w:rPr>
          <w:rFonts w:hint="eastAsia" w:ascii="宋体" w:hAnsi="宋体" w:eastAsia="宋体" w:cs="宋体"/>
          <w:color w:val="000000" w:themeColor="text1"/>
          <w:sz w:val="21"/>
          <w:szCs w:val="21"/>
          <w:highlight w:val="none"/>
          <w14:textFill>
            <w14:solidFill>
              <w14:schemeClr w14:val="tx1"/>
            </w14:solidFill>
          </w14:textFill>
        </w:rPr>
        <w:t>。年龄结构合理，男性一线职工配备60岁以下（如专业技能及身体条件较好，可适当放宽至65周岁以下）、女性一线职工配备55岁以下（如专业技能及身体健康，可适当放宽至60周岁以下）。</w:t>
      </w:r>
    </w:p>
    <w:p w14:paraId="731866E2">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购买相关保险。</w:t>
      </w:r>
    </w:p>
    <w:p w14:paraId="2445AAD3">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、合同期内，确保苗木缺失率每年均低于1%。</w:t>
      </w:r>
    </w:p>
    <w:p w14:paraId="20C98559">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每年必须完成4次业务培</w:t>
      </w:r>
      <w:r>
        <w:rPr>
          <w:rFonts w:hint="eastAsia" w:ascii="宋体" w:hAnsi="宋体" w:eastAsia="宋体" w:cs="宋体"/>
          <w:color w:val="000000" w:themeColor="text1"/>
          <w:sz w:val="21"/>
          <w:szCs w:val="21"/>
          <w:highlight w:val="none"/>
          <w:lang w:eastAsia="zh-CN"/>
          <w14:textFill>
            <w14:solidFill>
              <w14:schemeClr w14:val="tx1"/>
            </w14:solidFill>
          </w14:textFill>
        </w:rPr>
        <w:t>训。</w:t>
      </w:r>
    </w:p>
    <w:p w14:paraId="13ADF024">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中标片区需配备一定消防器材，积极配合建成区的消防演练</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B7DF1CD">
      <w:pPr>
        <w:adjustRightInd w:val="0"/>
        <w:snapToGrid w:val="0"/>
        <w:spacing w:line="360" w:lineRule="auto"/>
        <w:ind w:firstLine="413" w:firstLineChars="196"/>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14、中标供应商每年完成</w:t>
      </w: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ascii="宋体" w:hAnsi="宋体" w:cs="宋体"/>
          <w:b/>
          <w:bCs w:val="0"/>
          <w:i w:val="0"/>
          <w:iCs w:val="0"/>
          <w:color w:val="auto"/>
          <w:kern w:val="0"/>
          <w:sz w:val="21"/>
          <w:szCs w:val="21"/>
          <w:highlight w:val="none"/>
          <w:u w:val="none"/>
          <w:lang w:val="en-US" w:eastAsia="zh-CN" w:bidi="ar"/>
        </w:rPr>
        <w:t>不少于1</w:t>
      </w:r>
      <w:r>
        <w:rPr>
          <w:rFonts w:hint="eastAsia" w:ascii="宋体" w:hAnsi="宋体" w:eastAsia="宋体" w:cs="宋体"/>
          <w:b/>
          <w:bCs w:val="0"/>
          <w:i w:val="0"/>
          <w:iCs w:val="0"/>
          <w:color w:val="auto"/>
          <w:kern w:val="0"/>
          <w:sz w:val="21"/>
          <w:szCs w:val="21"/>
          <w:highlight w:val="none"/>
          <w:u w:val="none"/>
          <w:lang w:val="en-US" w:eastAsia="zh-CN" w:bidi="ar"/>
        </w:rPr>
        <w:t>000㎡</w:t>
      </w:r>
      <w:r>
        <w:rPr>
          <w:rFonts w:hint="eastAsia" w:ascii="宋体" w:hAnsi="宋体" w:cs="宋体"/>
          <w:b/>
          <w:bCs w:val="0"/>
          <w:color w:val="auto"/>
          <w:sz w:val="21"/>
          <w:szCs w:val="21"/>
          <w:highlight w:val="none"/>
          <w:lang w:val="en-US" w:eastAsia="zh-CN"/>
        </w:rPr>
        <w:t>，相关费用包含在本次报价中，由供应商自行考虑，后期不再另行支付。</w:t>
      </w:r>
    </w:p>
    <w:p w14:paraId="20F84223">
      <w:pPr>
        <w:pStyle w:val="28"/>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hAnsi="宋体" w:cs="宋体"/>
          <w:b/>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金边麦冬、大吴风草、兰花三七、麦冬(综合考虑规格、种类)地被种植更换以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指令为准，品种经</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确认；地被更换方案需提前报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确认，通过后实施</w:t>
      </w:r>
      <w:r>
        <w:rPr>
          <w:rFonts w:hint="eastAsia" w:hAnsi="宋体" w:cs="宋体"/>
          <w:i w:val="0"/>
          <w:iCs w:val="0"/>
          <w:color w:val="000000"/>
          <w:kern w:val="0"/>
          <w:sz w:val="21"/>
          <w:szCs w:val="21"/>
          <w:highlight w:val="none"/>
          <w:u w:val="none"/>
          <w:lang w:val="en-US" w:eastAsia="zh-CN" w:bidi="ar"/>
        </w:rPr>
        <w:t>。</w:t>
      </w:r>
    </w:p>
    <w:p w14:paraId="4966CEE6">
      <w:pPr>
        <w:adjustRightInd w:val="0"/>
        <w:snapToGrid w:val="0"/>
        <w:spacing w:line="360" w:lineRule="auto"/>
        <w:ind w:firstLine="413" w:firstLineChars="19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三、养护期限及职责</w:t>
      </w:r>
    </w:p>
    <w:p w14:paraId="04C5E434">
      <w:pPr>
        <w:adjustRightInd w:val="0"/>
        <w:snapToGrid w:val="0"/>
        <w:spacing w:line="360" w:lineRule="auto"/>
        <w:ind w:firstLine="457" w:firstLineChars="2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年，合同一年一签，经考核合格后可续签下一年度合同。</w:t>
      </w:r>
    </w:p>
    <w:p w14:paraId="4DA0F4E4">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1、承包养护期限内，</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 xml:space="preserve">应按照《江苏省城市园林绿化植物养护技术规定》上园林绿化养护操作规程及园林绿化养护质量标准，合理组织，精心养护，保质保量完成养护管理任务，并符合相关要求。 </w:t>
      </w:r>
    </w:p>
    <w:p w14:paraId="7A9B8591">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2、绿化设施及主要养护内容 </w:t>
      </w:r>
    </w:p>
    <w:p w14:paraId="5B8567F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修剪：根据各类植物的生长特点、立地环境、景观要求，按照操作规程适时进行。  </w:t>
      </w:r>
    </w:p>
    <w:p w14:paraId="50CCAE5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施肥：根据各类植物的生长特点及植物对肥料的需要，要求年施肥不得少于2次以上，新种植物视生长情况，适时适量进行施肥，以保持各类植物的生长旺盛达到一定景观效果。 </w:t>
      </w:r>
    </w:p>
    <w:p w14:paraId="4115821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除草：各类绿地、树穴、绿带要结合松土及时清理各类杂草。 </w:t>
      </w:r>
    </w:p>
    <w:p w14:paraId="130089C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抹芽：主要用于乔木、大型灌木，对不定芽要及时清除，以保持树木骨架清晰，促使生长形态美观，营养集中。 </w:t>
      </w:r>
    </w:p>
    <w:p w14:paraId="6DB57B8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病虫害防治：病虫害防治是园林植物养护中较为重要的手段和内容，要根据各类植物的寄生对象及时做好预测预报，及时采取措施防治。 </w:t>
      </w:r>
    </w:p>
    <w:p w14:paraId="4F43F68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抗旱、抗台</w:t>
      </w:r>
      <w:r>
        <w:rPr>
          <w:rFonts w:hint="eastAsia" w:ascii="宋体" w:hAnsi="宋体" w:eastAsia="宋体" w:cs="宋体"/>
          <w:color w:val="000000" w:themeColor="text1"/>
          <w:sz w:val="21"/>
          <w:szCs w:val="21"/>
          <w:highlight w:val="none"/>
          <w:lang w:eastAsia="zh-CN"/>
          <w14:textFill>
            <w14:solidFill>
              <w14:schemeClr w14:val="tx1"/>
            </w14:solidFill>
          </w14:textFill>
        </w:rPr>
        <w:t>风</w:t>
      </w:r>
      <w:r>
        <w:rPr>
          <w:rFonts w:hint="eastAsia" w:ascii="宋体" w:hAnsi="宋体" w:eastAsia="宋体" w:cs="宋体"/>
          <w:color w:val="000000" w:themeColor="text1"/>
          <w:sz w:val="21"/>
          <w:szCs w:val="21"/>
          <w:highlight w:val="none"/>
          <w14:textFill>
            <w14:solidFill>
              <w14:schemeClr w14:val="tx1"/>
            </w14:solidFill>
          </w14:textFill>
        </w:rPr>
        <w:t xml:space="preserve">、抗涝：旱季及新种植物要及时进行灌溉，防止植物因脱水而造成枯死。台汛期间要做好加固、排涝抢险工作，防止植物受损。 </w:t>
      </w:r>
    </w:p>
    <w:p w14:paraId="2889BE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清理绿地各种垃圾，保持绿地整洁。</w:t>
      </w:r>
    </w:p>
    <w:p w14:paraId="36F1955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（8）保持绿地中园路及广场的清洁，做到无垃圾、无杂草。</w:t>
      </w:r>
    </w:p>
    <w:p w14:paraId="1617FCB6">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3、养护达一级养护标准</w:t>
      </w:r>
      <w:r>
        <w:rPr>
          <w:rFonts w:hint="eastAsia" w:ascii="宋体" w:hAnsi="宋体" w:eastAsia="宋体" w:cs="宋体"/>
          <w:color w:val="000000" w:themeColor="text1"/>
          <w:sz w:val="21"/>
          <w:szCs w:val="21"/>
          <w:highlight w:val="none"/>
          <w14:textFill>
            <w14:solidFill>
              <w14:schemeClr w14:val="tx1"/>
            </w14:solidFill>
          </w14:textFill>
        </w:rPr>
        <w:t>：</w:t>
      </w:r>
    </w:p>
    <w:p w14:paraId="27629CA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（1）树木</w:t>
      </w:r>
    </w:p>
    <w:p w14:paraId="09418D6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A、生长正常，树冠基本完整，主侧枝分枝基本均匀，数量适宜，内膛通风透光。</w:t>
      </w:r>
    </w:p>
    <w:p w14:paraId="4763406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B、叶色基本正常，有少量黄叶（生长季节）、焦叶、卷叶、有少量虫粪。</w:t>
      </w:r>
    </w:p>
    <w:p w14:paraId="1EB29F3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C、枝干生长正常，无明显枯死枝，病虫害虽有发生，但能及时根除。</w:t>
      </w:r>
    </w:p>
    <w:p w14:paraId="0F6E538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D、开花灌木大部分进行修剪，球类修剪整齐、规整。</w:t>
      </w:r>
    </w:p>
    <w:p w14:paraId="4490AAE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（2）草坪</w:t>
      </w:r>
    </w:p>
    <w:p w14:paraId="46DA2DA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A、生长良好，无明显杂草。</w:t>
      </w:r>
    </w:p>
    <w:p w14:paraId="3843AA7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B、修剪高度符合要求，能及时处理堆料堆物。</w:t>
      </w:r>
    </w:p>
    <w:p w14:paraId="699D7B4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C、草坪边界线切边清晰，</w:t>
      </w:r>
      <w:r>
        <w:rPr>
          <w:rFonts w:hint="eastAsia" w:ascii="宋体" w:hAnsi="宋体" w:eastAsia="宋体" w:cs="宋体"/>
          <w:color w:val="000000" w:themeColor="text1"/>
          <w:sz w:val="21"/>
          <w:szCs w:val="21"/>
          <w:highlight w:val="none"/>
          <w:lang w:eastAsia="zh-CN"/>
          <w14:textFill>
            <w14:solidFill>
              <w14:schemeClr w14:val="tx1"/>
            </w14:solidFill>
          </w14:textFill>
        </w:rPr>
        <w:t>百慕大</w:t>
      </w:r>
      <w:r>
        <w:rPr>
          <w:rFonts w:hint="eastAsia" w:ascii="宋体" w:hAnsi="宋体" w:eastAsia="宋体" w:cs="宋体"/>
          <w:color w:val="000000" w:themeColor="text1"/>
          <w:sz w:val="21"/>
          <w:szCs w:val="21"/>
          <w:highlight w:val="none"/>
          <w14:textFill>
            <w14:solidFill>
              <w14:schemeClr w14:val="tx1"/>
            </w14:solidFill>
          </w14:textFill>
        </w:rPr>
        <w:t>草坪宿根杂草须人工挑除且冬季播种黑麦草。</w:t>
      </w:r>
    </w:p>
    <w:p w14:paraId="4C6470D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D、草籽播撒，保证草坪四季常绿，枯黄期不超过两周；草坪施肥，一年至</w:t>
      </w:r>
      <w:r>
        <w:rPr>
          <w:rFonts w:hint="eastAsia" w:ascii="宋体" w:hAnsi="宋体" w:eastAsia="宋体" w:cs="宋体"/>
          <w:color w:val="000000" w:themeColor="text1"/>
          <w:sz w:val="21"/>
          <w:szCs w:val="21"/>
          <w:highlight w:val="none"/>
          <w:lang w:val="en-US" w:eastAsia="zh-CN"/>
          <w14:textFill>
            <w14:solidFill>
              <w14:schemeClr w14:val="tx1"/>
            </w14:solidFill>
          </w14:textFill>
        </w:rPr>
        <w:t>少三</w:t>
      </w:r>
      <w:r>
        <w:rPr>
          <w:rFonts w:hint="eastAsia" w:ascii="宋体" w:hAnsi="宋体" w:eastAsia="宋体" w:cs="宋体"/>
          <w:color w:val="000000" w:themeColor="text1"/>
          <w:sz w:val="21"/>
          <w:szCs w:val="21"/>
          <w:highlight w:val="none"/>
          <w14:textFill>
            <w14:solidFill>
              <w14:schemeClr w14:val="tx1"/>
            </w14:solidFill>
          </w14:textFill>
        </w:rPr>
        <w:t>次。</w:t>
      </w:r>
    </w:p>
    <w:p w14:paraId="467F46B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（3）花卉</w:t>
      </w:r>
    </w:p>
    <w:p w14:paraId="38B9CD9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A、全年更换花四次。</w:t>
      </w:r>
    </w:p>
    <w:p w14:paraId="07CA87E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B、花卉生长正常，缺株、倒伏不超过3～5处，无枯枝残花。</w:t>
      </w:r>
    </w:p>
    <w:p w14:paraId="63995D9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C、花期基本整齐。</w:t>
      </w:r>
    </w:p>
    <w:p w14:paraId="5B290D0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D、无病虫危害，无枯枝残叶。</w:t>
      </w:r>
    </w:p>
    <w:p w14:paraId="3051A1A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（4）绿篱及地被</w:t>
      </w:r>
    </w:p>
    <w:p w14:paraId="5DBA45D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A、生长正常，无明显枯枝、断枝。</w:t>
      </w:r>
    </w:p>
    <w:p w14:paraId="3A838F2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B、修剪及时，形状较完整。</w:t>
      </w:r>
    </w:p>
    <w:p w14:paraId="3E81D4D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C、无明显病虫害。</w:t>
      </w:r>
    </w:p>
    <w:p w14:paraId="0823AFB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D、基本无垃圾杂物。</w:t>
      </w:r>
    </w:p>
    <w:p w14:paraId="41EDFF2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E、无漏剪现象，杜绝修剪不规范。</w:t>
      </w:r>
    </w:p>
    <w:p w14:paraId="020B746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（5）无较严重的人为损坏，对轻微或偶尔难以控制的人为损坏，能及时发现和处理；绿地、草坪内无堆物堆料，搭棚侵占等。</w:t>
      </w:r>
    </w:p>
    <w:p w14:paraId="50E3B848">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r>
        <w:rPr>
          <w:rFonts w:hint="eastAsia" w:ascii="宋体" w:hAnsi="宋体" w:cs="宋体"/>
          <w:b/>
          <w:color w:val="000000" w:themeColor="text1"/>
          <w:sz w:val="21"/>
          <w:szCs w:val="21"/>
          <w:highlight w:val="none"/>
          <w:lang w:val="en-US" w:eastAsia="zh-CN"/>
          <w14:textFill>
            <w14:solidFill>
              <w14:schemeClr w14:val="tx1"/>
            </w14:solidFill>
          </w14:textFill>
        </w:rPr>
        <w:t>养护</w:t>
      </w:r>
      <w:r>
        <w:rPr>
          <w:rFonts w:hint="eastAsia" w:ascii="宋体" w:hAnsi="宋体" w:eastAsia="宋体" w:cs="宋体"/>
          <w:b/>
          <w:color w:val="000000" w:themeColor="text1"/>
          <w:sz w:val="21"/>
          <w:szCs w:val="21"/>
          <w:highlight w:val="none"/>
          <w14:textFill>
            <w14:solidFill>
              <w14:schemeClr w14:val="tx1"/>
            </w14:solidFill>
          </w14:textFill>
        </w:rPr>
        <w:t>标准</w:t>
      </w:r>
    </w:p>
    <w:p w14:paraId="05C16E2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行道树</w:t>
      </w:r>
    </w:p>
    <w:p w14:paraId="693EFD5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）树木长势茂盛，树冠完整丰满，主侧枝分布匀称</w:t>
      </w:r>
    </w:p>
    <w:p w14:paraId="0BD5538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）无枯枝、伤残枝、交叉枝、过密枝、徒长枝、并生枝，主干上无萌蘖枝。</w:t>
      </w:r>
    </w:p>
    <w:p w14:paraId="3DC74F3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（3）无影响交通、架空线路、路灯、建筑、行人安全的树枝。</w:t>
      </w:r>
    </w:p>
    <w:p w14:paraId="0C40183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）枝条修剪截面要平整，不留短桩。截面直径大于6厘米的伤</w:t>
      </w:r>
      <w:r>
        <w:rPr>
          <w:rFonts w:hint="eastAsia" w:ascii="宋体" w:hAnsi="宋体" w:cs="宋体"/>
          <w:color w:val="000000" w:themeColor="text1"/>
          <w:sz w:val="21"/>
          <w:szCs w:val="21"/>
          <w:highlight w:val="none"/>
          <w:lang w:val="en-US" w:eastAsia="zh-CN"/>
          <w14:textFill>
            <w14:solidFill>
              <w14:schemeClr w14:val="tx1"/>
            </w14:solidFill>
          </w14:textFill>
        </w:rPr>
        <w:t>口</w:t>
      </w:r>
      <w:r>
        <w:rPr>
          <w:rFonts w:hint="eastAsia" w:ascii="宋体" w:hAnsi="宋体" w:eastAsia="宋体" w:cs="宋体"/>
          <w:color w:val="000000" w:themeColor="text1"/>
          <w:sz w:val="21"/>
          <w:szCs w:val="21"/>
          <w:highlight w:val="none"/>
          <w14:textFill>
            <w14:solidFill>
              <w14:schemeClr w14:val="tx1"/>
            </w14:solidFill>
          </w14:textFill>
        </w:rPr>
        <w:t>要涂防腐剂。</w:t>
      </w:r>
    </w:p>
    <w:p w14:paraId="74CE30C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）无明显病虫害迹象，树干无未处理的腐洞，如有需及时处理，及时汇报，及时反馈，达到良好景观效果。</w:t>
      </w:r>
    </w:p>
    <w:p w14:paraId="314531A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）树体无钉挂物、悬挂物。</w:t>
      </w:r>
    </w:p>
    <w:p w14:paraId="347D2B5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）无乱涂写、乱张贴、乱刻画现象。</w:t>
      </w:r>
    </w:p>
    <w:p w14:paraId="125BE40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）树穴内无杂草、杂物、垃圾、粪便、无黄土裸露。</w:t>
      </w:r>
    </w:p>
    <w:p w14:paraId="66089F9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）树木每年冬季树干刷白一次，高度1.2米。</w:t>
      </w:r>
    </w:p>
    <w:p w14:paraId="7DDE59E0">
      <w:pPr>
        <w:adjustRightInd w:val="0"/>
        <w:snapToGrid w:val="0"/>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（10）利用养护周期内的时间对缺损行道树进行补种。</w:t>
      </w:r>
    </w:p>
    <w:p w14:paraId="2D151B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绿篱、球类、色块</w:t>
      </w:r>
    </w:p>
    <w:p w14:paraId="4B635F2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）枝条茂密，生长健壮。</w:t>
      </w:r>
    </w:p>
    <w:p w14:paraId="3F9727C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）修剪成形、层次分明、线条流畅，曲线处弧度圆润丰满。</w:t>
      </w:r>
    </w:p>
    <w:p w14:paraId="65267D8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（3）观花植物按时茂盛开花，观果植物正常结果。</w:t>
      </w:r>
    </w:p>
    <w:p w14:paraId="21B9AAF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）无死株、缺株、断档现象。</w:t>
      </w:r>
    </w:p>
    <w:p w14:paraId="23D2D34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）无枯枝、断枝、枯叶，无脱脚现象。</w:t>
      </w:r>
    </w:p>
    <w:p w14:paraId="33B495B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）无明显病虫危害迹象。</w:t>
      </w:r>
    </w:p>
    <w:p w14:paraId="3E4BCA0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）基部无杂草、杂物、垃圾、粪便等。</w:t>
      </w:r>
    </w:p>
    <w:p w14:paraId="4D644FD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）枝叶表面及球面、篱面无悬挂物、晾晒物。</w:t>
      </w:r>
    </w:p>
    <w:p w14:paraId="122AECB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）与草坪交接处切边整齐，宽度小于15CM。</w:t>
      </w:r>
    </w:p>
    <w:p w14:paraId="409147A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花灌木</w:t>
      </w:r>
    </w:p>
    <w:p w14:paraId="4FB8F5C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）植株生长旺盛，枝叶健壮，分布均匀，造型美观。</w:t>
      </w:r>
    </w:p>
    <w:p w14:paraId="1E9779B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）无枯枝残叶，树枝分布均匀，疏密度合宜，整形修剪与环境要求协调。</w:t>
      </w:r>
    </w:p>
    <w:p w14:paraId="4A8FC50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）无明显病虫危害迹象。</w:t>
      </w:r>
    </w:p>
    <w:p w14:paraId="6ABD51E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）观花植物按时茂盛开花，观果植物正常结果。</w:t>
      </w:r>
    </w:p>
    <w:p w14:paraId="3C2FE55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）植株下无杂草、杂物、垃圾、粪便等。</w:t>
      </w:r>
    </w:p>
    <w:p w14:paraId="305817D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）枝叶上无钉挂物和晾晒物。</w:t>
      </w:r>
    </w:p>
    <w:p w14:paraId="670A9AF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）观花植物每年在休眠期施有机肥（基肥）一次；花前花后各追肥一次。</w:t>
      </w:r>
    </w:p>
    <w:p w14:paraId="477E625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草坪：</w:t>
      </w:r>
    </w:p>
    <w:p w14:paraId="1A1F326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）草坪生长健壮，覆盖率达98%以上，生长期无枯黄现象。</w:t>
      </w:r>
    </w:p>
    <w:p w14:paraId="0BF7A02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）草坪内无低洼积水处，无明显裸露地。</w:t>
      </w:r>
    </w:p>
    <w:p w14:paraId="3510ED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（3）推剪平整，坚持1/3原则，冷季型草高不超过10CM，暖季型草高不超过7CM，修剪后剪口无撕裂现象。</w:t>
      </w:r>
    </w:p>
    <w:p w14:paraId="0552226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）草坪外边缘及树坛、花坛、花境、片植绿篱边缘要边清晰整齐，宽度小于15CM。</w:t>
      </w:r>
    </w:p>
    <w:p w14:paraId="7D9F5EE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）草坪基本无病虫危害状，病虫受害率控制在5%以下。</w:t>
      </w:r>
    </w:p>
    <w:p w14:paraId="04BFC94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）草坪上无修剪残留草屑、杂物，基本无杂草，无乱停乱放现象。</w:t>
      </w:r>
    </w:p>
    <w:p w14:paraId="59ADAF8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）冷季型草视生长情况，平均每月修剪2-3次。</w:t>
      </w:r>
    </w:p>
    <w:p w14:paraId="1EC6D30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花坛花境</w:t>
      </w:r>
    </w:p>
    <w:p w14:paraId="5E7F26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）植株生长健壮，组团结构和群体效果好，高低错落有序。</w:t>
      </w:r>
    </w:p>
    <w:p w14:paraId="2D4A4C7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）观花植物适时开花，保持春、夏、秋三季有花，开花不断，此起彼落，季相变化明显。</w:t>
      </w:r>
    </w:p>
    <w:p w14:paraId="60E12FB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（3）花卉色彩鲜艳，观赏期长。无病虫危害迹象。无死株、缺株。</w:t>
      </w:r>
    </w:p>
    <w:p w14:paraId="7029F9B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）土壤肥沃疏松，无杂草、杂物、残花败叶。</w:t>
      </w:r>
    </w:p>
    <w:p w14:paraId="461FB34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）与草坪交接处切边清晰整齐，宽度小于15CM。</w:t>
      </w:r>
    </w:p>
    <w:p w14:paraId="63415DB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）围栏砌体完好无损，和谐美观。</w:t>
      </w:r>
    </w:p>
    <w:p w14:paraId="43DBDA3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）一、二年生草花及明换花。</w:t>
      </w:r>
    </w:p>
    <w:p w14:paraId="5116B01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）及时整形修剪、更新、换植。</w:t>
      </w:r>
    </w:p>
    <w:p w14:paraId="7A286A9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）按设计要求，保持全年四季有花，无黄土裸露现象。</w:t>
      </w:r>
    </w:p>
    <w:p w14:paraId="0192ECF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）部分品种或全部品种植株衰败时，应及时换花。</w:t>
      </w:r>
    </w:p>
    <w:p w14:paraId="45BD917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盆、钵、花箱、花伞</w:t>
      </w:r>
    </w:p>
    <w:p w14:paraId="6BFD4AC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）植株生长旺盛，枝叶健壮，分布均匀，造型美观。</w:t>
      </w:r>
    </w:p>
    <w:p w14:paraId="68C8703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）无枯枝黄叶、残花。</w:t>
      </w:r>
    </w:p>
    <w:p w14:paraId="5DDF3BB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）无病虫危害迹象。</w:t>
      </w:r>
    </w:p>
    <w:p w14:paraId="1DC85F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）观花植物按时茂盛开花，观果植物正常结果。</w:t>
      </w:r>
    </w:p>
    <w:p w14:paraId="67C51A9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）植株下和容器内无杂草、杂物、叶面清洁。</w:t>
      </w:r>
    </w:p>
    <w:p w14:paraId="11D17FA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）容器完整清洁，容器外观、规格、色彩与植物要协调。</w:t>
      </w:r>
    </w:p>
    <w:p w14:paraId="3AC683E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）排水要畅通，植株不得出现失水萎蔫现象。</w:t>
      </w:r>
    </w:p>
    <w:p w14:paraId="5F79FF5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）换花及时，全年四季有花，花开不断。</w:t>
      </w:r>
    </w:p>
    <w:p w14:paraId="1C51BC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）单位摆放鲜花，设计造型美观，色彩搭配协调，及时维护、及时清除败花盆钵，及时清洗场地，保持路面本色化。</w:t>
      </w:r>
    </w:p>
    <w:p w14:paraId="1FE2A11C">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t>、对本养护项目实施养护管理所用的一切劳动力、材料、设备和服务由</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自行组织，由此产生的一切费用由</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承担。</w:t>
      </w:r>
    </w:p>
    <w:p w14:paraId="2FC6E065">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eastAsia="zh-CN"/>
          <w14:textFill>
            <w14:solidFill>
              <w14:schemeClr w14:val="tx1"/>
            </w14:solidFill>
          </w14:textFill>
        </w:rPr>
        <w:t>服务期</w:t>
      </w:r>
      <w:r>
        <w:rPr>
          <w:rFonts w:hint="eastAsia" w:ascii="宋体" w:hAnsi="宋体" w:eastAsia="宋体" w:cs="宋体"/>
          <w:b/>
          <w:color w:val="000000" w:themeColor="text1"/>
          <w:sz w:val="21"/>
          <w:szCs w:val="21"/>
          <w:highlight w:val="none"/>
          <w14:textFill>
            <w14:solidFill>
              <w14:schemeClr w14:val="tx1"/>
            </w14:solidFill>
          </w14:textFill>
        </w:rPr>
        <w:t>内，本合同养护项目量发生减少及毁损的，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应及时补齐或修复，并自行承担所需费用。</w:t>
      </w:r>
      <w:r>
        <w:rPr>
          <w:rFonts w:hint="eastAsia" w:ascii="宋体" w:hAnsi="宋体" w:eastAsia="宋体" w:cs="宋体"/>
          <w:color w:val="000000" w:themeColor="text1"/>
          <w:sz w:val="21"/>
          <w:szCs w:val="21"/>
          <w:highlight w:val="none"/>
          <w14:textFill>
            <w14:solidFill>
              <w14:schemeClr w14:val="tx1"/>
            </w14:solidFill>
          </w14:textFill>
        </w:rPr>
        <w:t>合同期限届满时，</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应保证本合同养护项目设施量完好无损。未完好的，由</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负责补齐或修复。届时，未补齐或修复的，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可自行或委托他人补齐或修复，费用由</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 xml:space="preserve">负责。 </w:t>
      </w:r>
    </w:p>
    <w:p w14:paraId="574D107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应定期向我方汇报养护管理计划及有关措施。</w:t>
      </w:r>
    </w:p>
    <w:p w14:paraId="580E011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必须重视安全生产，确保全年不出安全责任事故。养护期间，养护工人由于操作不规范等因素造成的安全责任事故，由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承担一切责任及损失。</w:t>
      </w:r>
    </w:p>
    <w:p w14:paraId="5A51955A">
      <w:pPr>
        <w:autoSpaceDE w:val="0"/>
        <w:autoSpaceDN w:val="0"/>
        <w:adjustRightIn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lang w:val="zh-CN"/>
          <w14:textFill>
            <w14:solidFill>
              <w14:schemeClr w14:val="tx1"/>
            </w14:solidFill>
          </w14:textFill>
        </w:rPr>
        <w:t>、养护必须符合质量要求，若不符合其质量要求，由供应商无偿返工。若因供应商原因不能按时保质完成，则采购人有权另外安排单位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完成</w:t>
      </w:r>
      <w:r>
        <w:rPr>
          <w:rFonts w:hint="eastAsia" w:ascii="宋体" w:hAnsi="宋体" w:eastAsia="宋体" w:cs="宋体"/>
          <w:color w:val="000000" w:themeColor="text1"/>
          <w:kern w:val="0"/>
          <w:sz w:val="21"/>
          <w:szCs w:val="21"/>
          <w:highlight w:val="none"/>
          <w:lang w:val="zh-CN"/>
          <w14:textFill>
            <w14:solidFill>
              <w14:schemeClr w14:val="tx1"/>
            </w14:solidFill>
          </w14:textFill>
        </w:rPr>
        <w:t>，其相应养护费用将从供应商养护费用中扣除。</w:t>
      </w:r>
    </w:p>
    <w:p w14:paraId="062556C6">
      <w:pPr>
        <w:adjustRightInd w:val="0"/>
        <w:snapToGrid w:val="0"/>
        <w:spacing w:line="360" w:lineRule="auto"/>
        <w:ind w:firstLine="422" w:firstLineChars="20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四、考核</w:t>
      </w:r>
      <w:r>
        <w:rPr>
          <w:rFonts w:hint="eastAsia" w:ascii="宋体" w:hAnsi="宋体" w:cs="宋体"/>
          <w:b/>
          <w:color w:val="000000" w:themeColor="text1"/>
          <w:sz w:val="21"/>
          <w:szCs w:val="21"/>
          <w:highlight w:val="none"/>
          <w:lang w:val="en-US" w:eastAsia="zh-CN"/>
          <w14:textFill>
            <w14:solidFill>
              <w14:schemeClr w14:val="tx1"/>
            </w14:solidFill>
          </w14:textFill>
        </w:rPr>
        <w:t>办法</w:t>
      </w:r>
    </w:p>
    <w:p w14:paraId="62E2A90F">
      <w:pPr>
        <w:pStyle w:val="21"/>
        <w:ind w:left="426" w:leftChars="203" w:right="109" w:rightChars="52"/>
        <w:jc w:val="center"/>
        <w:rPr>
          <w:rFonts w:hint="eastAsia" w:ascii="宋体" w:hAnsi="宋体" w:eastAsia="宋体" w:cs="宋体"/>
          <w:color w:val="000000" w:themeColor="text1"/>
          <w:sz w:val="21"/>
          <w:szCs w:val="21"/>
          <w:highlight w:val="none"/>
          <w14:textFill>
            <w14:solidFill>
              <w14:schemeClr w14:val="tx1"/>
            </w14:solidFill>
          </w14:textFill>
        </w:rPr>
      </w:pPr>
      <w:bookmarkStart w:id="12" w:name="_Hlk108161350"/>
      <w:r>
        <w:rPr>
          <w:rFonts w:hint="eastAsia" w:ascii="仿宋" w:hAnsi="仿宋" w:eastAsia="仿宋" w:cs="仿宋"/>
          <w:b/>
          <w:sz w:val="21"/>
          <w:szCs w:val="21"/>
          <w:highlight w:val="none"/>
          <w:lang w:val="en-US" w:eastAsia="zh-CN"/>
        </w:rPr>
        <w:t>市场化</w:t>
      </w:r>
      <w:r>
        <w:rPr>
          <w:rFonts w:hint="eastAsia" w:ascii="仿宋" w:hAnsi="仿宋" w:eastAsia="仿宋" w:cs="仿宋"/>
          <w:b/>
          <w:sz w:val="21"/>
          <w:szCs w:val="21"/>
          <w:highlight w:val="none"/>
        </w:rPr>
        <w:t>养护考核办法</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lang w:val="en-US" w:eastAsia="zh-CN"/>
        </w:rPr>
        <w:t>暂定</w:t>
      </w:r>
      <w:r>
        <w:rPr>
          <w:rFonts w:hint="eastAsia" w:ascii="仿宋" w:hAnsi="仿宋" w:eastAsia="仿宋" w:cs="仿宋"/>
          <w:b/>
          <w:sz w:val="21"/>
          <w:szCs w:val="21"/>
          <w:highlight w:val="none"/>
          <w:lang w:eastAsia="zh-CN"/>
        </w:rPr>
        <w:t>）</w:t>
      </w:r>
      <w:bookmarkEnd w:id="12"/>
    </w:p>
    <w:p w14:paraId="58539F7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1B1AA7D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适用于南京经济技术开发区范围内市政设施管养、绿化养护、交通设施维护、桥梁养护</w:t>
      </w:r>
      <w:r>
        <w:rPr>
          <w:rFonts w:hint="eastAsia" w:ascii="仿宋" w:hAnsi="仿宋" w:eastAsia="仿宋" w:cs="仿宋"/>
          <w:bCs/>
          <w:sz w:val="21"/>
          <w:szCs w:val="21"/>
          <w:highlight w:val="none"/>
        </w:rPr>
        <w:t>等。</w:t>
      </w:r>
    </w:p>
    <w:p w14:paraId="68A5179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1303450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南京市栖霞区城市管理局</w:t>
      </w:r>
    </w:p>
    <w:p w14:paraId="5DF7AC3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01958CD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考核分为上级主管部门考核、日常考核、定期考核、资料台账考核四种方式，总分值</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 xml:space="preserve">分。 </w:t>
      </w:r>
    </w:p>
    <w:p w14:paraId="614836E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1、上级主管部门考核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上级考核如有就采用</w:t>
      </w:r>
      <w:r>
        <w:rPr>
          <w:rFonts w:hint="eastAsia" w:ascii="仿宋" w:hAnsi="仿宋" w:eastAsia="仿宋" w:cs="仿宋"/>
          <w:bCs/>
          <w:sz w:val="21"/>
          <w:szCs w:val="21"/>
          <w:highlight w:val="none"/>
          <w:lang w:eastAsia="zh-CN"/>
        </w:rPr>
        <w:t>）</w:t>
      </w:r>
    </w:p>
    <w:p w14:paraId="2A6ECA8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分，末位名次扣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分，其它名次不计分。（例：郊园区组共五组评比，则第一名加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分，第二名、第三名、第四名不计分，第五名扣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w:t>
      </w:r>
    </w:p>
    <w:p w14:paraId="775C927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w:t>
      </w:r>
      <w:r>
        <w:rPr>
          <w:rFonts w:hint="eastAsia" w:ascii="仿宋" w:hAnsi="仿宋" w:eastAsia="仿宋" w:cs="仿宋"/>
          <w:bCs/>
          <w:sz w:val="21"/>
          <w:szCs w:val="21"/>
          <w:highlight w:val="none"/>
          <w:lang w:val="en-US" w:eastAsia="zh-CN"/>
        </w:rPr>
        <w:t>信号灯等</w:t>
      </w:r>
      <w:r>
        <w:rPr>
          <w:rFonts w:hint="eastAsia" w:ascii="仿宋" w:hAnsi="仿宋" w:eastAsia="仿宋" w:cs="仿宋"/>
          <w:bCs/>
          <w:sz w:val="21"/>
          <w:szCs w:val="21"/>
          <w:highlight w:val="none"/>
        </w:rPr>
        <w:t>设施维护。上级业务主管部门当月提出问题的，</w:t>
      </w:r>
      <w:r>
        <w:rPr>
          <w:rFonts w:hint="eastAsia" w:ascii="仿宋" w:hAnsi="仿宋" w:eastAsia="仿宋" w:cs="仿宋"/>
          <w:bCs/>
          <w:sz w:val="21"/>
          <w:szCs w:val="21"/>
          <w:highlight w:val="none"/>
          <w:lang w:val="en-US" w:eastAsia="zh-CN"/>
        </w:rPr>
        <w:t>百</w:t>
      </w:r>
      <w:r>
        <w:rPr>
          <w:rFonts w:hint="eastAsia" w:ascii="仿宋" w:hAnsi="仿宋" w:eastAsia="仿宋" w:cs="仿宋"/>
          <w:bCs/>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356B5E2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7308F63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val="en-US" w:eastAsia="zh-CN"/>
        </w:rPr>
        <w:t>分管领导</w:t>
      </w:r>
      <w:r>
        <w:rPr>
          <w:rFonts w:hint="eastAsia" w:ascii="仿宋" w:hAnsi="仿宋" w:eastAsia="仿宋" w:cs="仿宋"/>
          <w:bCs/>
          <w:sz w:val="21"/>
          <w:szCs w:val="21"/>
          <w:highlight w:val="none"/>
        </w:rPr>
        <w:t>签字同意后，予以调整。</w:t>
      </w:r>
    </w:p>
    <w:p w14:paraId="39DB286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27A8B6E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人员拍摄的工单，每一条扣</w:t>
      </w:r>
      <w:r>
        <w:rPr>
          <w:rFonts w:hint="eastAsia" w:ascii="仿宋" w:hAnsi="仿宋" w:eastAsia="仿宋" w:cs="仿宋"/>
          <w:bCs/>
          <w:sz w:val="21"/>
          <w:szCs w:val="21"/>
          <w:highlight w:val="none"/>
          <w:lang w:val="en-US" w:eastAsia="zh-CN"/>
        </w:rPr>
        <w:t>0.1</w:t>
      </w:r>
      <w:r>
        <w:rPr>
          <w:rFonts w:hint="eastAsia" w:ascii="仿宋" w:hAnsi="仿宋" w:eastAsia="仿宋" w:cs="仿宋"/>
          <w:bCs/>
          <w:sz w:val="21"/>
          <w:szCs w:val="21"/>
          <w:highlight w:val="none"/>
        </w:rPr>
        <w:t>分；局领导拍摄</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交办</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7E89F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w:t>
      </w:r>
      <w:r>
        <w:rPr>
          <w:rFonts w:hint="eastAsia" w:ascii="仿宋" w:hAnsi="仿宋" w:eastAsia="仿宋" w:cs="仿宋"/>
          <w:bCs/>
          <w:sz w:val="21"/>
          <w:szCs w:val="21"/>
          <w:highlight w:val="none"/>
          <w:lang w:val="en-US" w:eastAsia="zh-CN"/>
        </w:rPr>
        <w:t>2-5</w:t>
      </w:r>
      <w:r>
        <w:rPr>
          <w:rFonts w:hint="eastAsia" w:ascii="仿宋" w:hAnsi="仿宋" w:eastAsia="仿宋" w:cs="仿宋"/>
          <w:bCs/>
          <w:sz w:val="21"/>
          <w:szCs w:val="21"/>
          <w:highlight w:val="none"/>
        </w:rPr>
        <w:t>分；区级部门提出批评的，扣</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分；城管局提出批评的，扣</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分。扣分分值由考核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汇报</w:t>
      </w:r>
      <w:r>
        <w:rPr>
          <w:rFonts w:hint="eastAsia" w:ascii="仿宋" w:hAnsi="仿宋" w:eastAsia="仿宋" w:cs="仿宋"/>
          <w:bCs/>
          <w:sz w:val="21"/>
          <w:szCs w:val="21"/>
          <w:highlight w:val="none"/>
          <w:lang w:val="en-US" w:eastAsia="zh-CN"/>
        </w:rPr>
        <w:t>至各业务科室</w:t>
      </w:r>
      <w:r>
        <w:rPr>
          <w:rFonts w:hint="eastAsia" w:ascii="仿宋" w:hAnsi="仿宋" w:eastAsia="仿宋" w:cs="仿宋"/>
          <w:bCs/>
          <w:sz w:val="21"/>
          <w:szCs w:val="21"/>
          <w:highlight w:val="none"/>
        </w:rPr>
        <w:t>，组织相应业务部门确定后，予以扣除。</w:t>
      </w:r>
    </w:p>
    <w:p w14:paraId="277EFFA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组及各业务</w:t>
      </w:r>
      <w:r>
        <w:rPr>
          <w:rFonts w:hint="eastAsia" w:ascii="仿宋" w:hAnsi="仿宋" w:eastAsia="仿宋" w:cs="仿宋"/>
          <w:bCs/>
          <w:sz w:val="21"/>
          <w:szCs w:val="21"/>
          <w:highlight w:val="none"/>
        </w:rPr>
        <w:t>部门沟通工单事宜，不得干扰工单拍摄，一经发现，每次扣除管养单位</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w:t>
      </w:r>
    </w:p>
    <w:p w14:paraId="4E2365D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日常管养中得到</w:t>
      </w:r>
      <w:r>
        <w:rPr>
          <w:rFonts w:hint="eastAsia" w:ascii="仿宋" w:hAnsi="仿宋" w:eastAsia="仿宋" w:cs="仿宋"/>
          <w:bCs/>
          <w:sz w:val="21"/>
          <w:szCs w:val="21"/>
          <w:highlight w:val="none"/>
          <w:lang w:val="en-US" w:eastAsia="zh-CN"/>
        </w:rPr>
        <w:t>区政府部门</w:t>
      </w:r>
      <w:r>
        <w:rPr>
          <w:rFonts w:hint="eastAsia" w:ascii="仿宋" w:hAnsi="仿宋" w:eastAsia="仿宋" w:cs="仿宋"/>
          <w:bCs/>
          <w:sz w:val="21"/>
          <w:szCs w:val="21"/>
          <w:highlight w:val="none"/>
        </w:rPr>
        <w:t>、城管局表扬的，由</w:t>
      </w:r>
      <w:r>
        <w:rPr>
          <w:rFonts w:hint="eastAsia" w:ascii="仿宋" w:hAnsi="仿宋" w:eastAsia="仿宋" w:cs="仿宋"/>
          <w:bCs/>
          <w:sz w:val="21"/>
          <w:szCs w:val="21"/>
          <w:highlight w:val="none"/>
          <w:lang w:val="en-US" w:eastAsia="zh-CN"/>
        </w:rPr>
        <w:t>养护单位</w:t>
      </w:r>
      <w:r>
        <w:rPr>
          <w:rFonts w:hint="eastAsia" w:ascii="仿宋" w:hAnsi="仿宋" w:eastAsia="仿宋" w:cs="仿宋"/>
          <w:bCs/>
          <w:sz w:val="21"/>
          <w:szCs w:val="21"/>
          <w:highlight w:val="none"/>
        </w:rPr>
        <w:t>提出申请，分管副局长签字同意后，视情况加</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分；管养单位自费进行合同约定以外改造的，由</w:t>
      </w:r>
      <w:r>
        <w:rPr>
          <w:rFonts w:hint="eastAsia" w:ascii="仿宋" w:hAnsi="仿宋" w:eastAsia="仿宋" w:cs="仿宋"/>
          <w:bCs/>
          <w:sz w:val="21"/>
          <w:szCs w:val="21"/>
          <w:highlight w:val="none"/>
          <w:lang w:val="en-US" w:eastAsia="zh-CN"/>
        </w:rPr>
        <w:t>该单位</w:t>
      </w:r>
      <w:r>
        <w:rPr>
          <w:rFonts w:hint="eastAsia" w:ascii="仿宋" w:hAnsi="仿宋" w:eastAsia="仿宋" w:cs="仿宋"/>
          <w:bCs/>
          <w:sz w:val="21"/>
          <w:szCs w:val="21"/>
          <w:highlight w:val="none"/>
        </w:rPr>
        <w:t>提出申请，分管副局长签字同意后，视资金投入情况加</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分。（每月加分累计不得超过</w:t>
      </w:r>
      <w:r>
        <w:rPr>
          <w:rFonts w:hint="eastAsia" w:ascii="仿宋" w:hAnsi="仿宋" w:eastAsia="仿宋" w:cs="仿宋"/>
          <w:bCs/>
          <w:sz w:val="21"/>
          <w:szCs w:val="21"/>
          <w:highlight w:val="none"/>
          <w:lang w:val="en-US" w:eastAsia="zh-CN"/>
        </w:rPr>
        <w:t>5</w:t>
      </w:r>
      <w:r>
        <w:rPr>
          <w:rFonts w:hint="eastAsia" w:ascii="仿宋" w:hAnsi="仿宋" w:eastAsia="仿宋" w:cs="仿宋"/>
          <w:bCs/>
          <w:sz w:val="21"/>
          <w:szCs w:val="21"/>
          <w:highlight w:val="none"/>
        </w:rPr>
        <w:t>分）。</w:t>
      </w:r>
    </w:p>
    <w:p w14:paraId="3F07BD3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北斗</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每月由各业务部门在工作时间段，对每个片区的GPS巡查数据随机抽查4次，考核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F25FA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3B4BD1B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w:t>
      </w:r>
      <w:r>
        <w:rPr>
          <w:rFonts w:hint="eastAsia" w:ascii="仿宋" w:hAnsi="仿宋" w:eastAsia="仿宋" w:cs="仿宋"/>
          <w:bCs/>
          <w:sz w:val="21"/>
          <w:szCs w:val="21"/>
          <w:highlight w:val="none"/>
          <w:lang w:val="en-US" w:eastAsia="zh-CN"/>
        </w:rPr>
        <w:t>业务科室</w:t>
      </w:r>
      <w:r>
        <w:rPr>
          <w:rFonts w:hint="eastAsia" w:ascii="仿宋" w:hAnsi="仿宋" w:eastAsia="仿宋" w:cs="仿宋"/>
          <w:bCs/>
          <w:sz w:val="21"/>
          <w:szCs w:val="21"/>
          <w:highlight w:val="none"/>
        </w:rPr>
        <w:t>牵头，</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参与，采用随机抽签的方式选定管养区内一条考核道路或区域，集中评分。定期考核发现的问题，根据考核细则进行扣分，形成定期考核评价表，分数计入月度考核评分。</w:t>
      </w:r>
    </w:p>
    <w:p w14:paraId="66B87F9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牵头，会同</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4F02B8B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3675128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将当天考核情况汇总上报至考核工单日报群。每月考核分值汇总后，由考核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将分值及扣分点公示给各管养单位，公示申诉期为3天，由</w:t>
      </w:r>
      <w:r>
        <w:rPr>
          <w:rFonts w:hint="eastAsia" w:ascii="仿宋" w:hAnsi="仿宋" w:eastAsia="仿宋" w:cs="仿宋"/>
          <w:bCs/>
          <w:sz w:val="21"/>
          <w:szCs w:val="21"/>
          <w:highlight w:val="none"/>
          <w:lang w:val="en-US" w:eastAsia="zh-CN"/>
        </w:rPr>
        <w:t>管养单位</w:t>
      </w:r>
      <w:r>
        <w:rPr>
          <w:rFonts w:hint="eastAsia" w:ascii="仿宋" w:hAnsi="仿宋" w:eastAsia="仿宋" w:cs="仿宋"/>
          <w:bCs/>
          <w:sz w:val="21"/>
          <w:szCs w:val="21"/>
          <w:highlight w:val="none"/>
        </w:rPr>
        <w:t>书面申诉，逾期不予接受。公示结束后由考核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形成月报，上报至城管局领导。</w:t>
      </w:r>
    </w:p>
    <w:p w14:paraId="4455B5C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272AF46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分（每月得分超过100分的，以</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分计分），将1</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的月度绩效款项所对应的分值设置为容错分（月度绩效款*</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/100），该分值内的扣分仅计分，不扣款。</w:t>
      </w:r>
    </w:p>
    <w:p w14:paraId="35EFB35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提供数据，市政</w:t>
      </w:r>
      <w:r>
        <w:rPr>
          <w:rFonts w:hint="eastAsia" w:ascii="仿宋" w:hAnsi="仿宋" w:eastAsia="仿宋" w:cs="仿宋"/>
          <w:bCs/>
          <w:sz w:val="21"/>
          <w:szCs w:val="21"/>
          <w:highlight w:val="none"/>
          <w:lang w:val="en-US" w:eastAsia="zh-CN"/>
        </w:rPr>
        <w:t>科</w:t>
      </w:r>
      <w:r>
        <w:rPr>
          <w:rFonts w:hint="eastAsia" w:ascii="仿宋" w:hAnsi="仿宋" w:eastAsia="仿宋" w:cs="仿宋"/>
          <w:bCs/>
          <w:sz w:val="21"/>
          <w:szCs w:val="21"/>
          <w:highlight w:val="none"/>
        </w:rPr>
        <w:t>在支付养护款时直接予以扣除。</w:t>
      </w:r>
    </w:p>
    <w:p w14:paraId="4261676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w:t>
      </w:r>
      <w:r>
        <w:rPr>
          <w:rFonts w:hint="eastAsia" w:ascii="仿宋" w:hAnsi="仿宋" w:eastAsia="仿宋" w:cs="仿宋"/>
          <w:bCs/>
          <w:sz w:val="21"/>
          <w:szCs w:val="21"/>
          <w:highlight w:val="none"/>
          <w:lang w:val="en-US" w:eastAsia="zh-CN"/>
        </w:rPr>
        <w:t>80</w:t>
      </w:r>
      <w:r>
        <w:rPr>
          <w:rFonts w:hint="eastAsia" w:ascii="仿宋" w:hAnsi="仿宋" w:eastAsia="仿宋" w:cs="仿宋"/>
          <w:bCs/>
          <w:sz w:val="21"/>
          <w:szCs w:val="21"/>
          <w:highlight w:val="none"/>
        </w:rPr>
        <w:t>分的管养单位，视为当月考核不合格，由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南京市栖霞区城市管理局履行有关手续（程序）</w:t>
      </w:r>
      <w:r>
        <w:rPr>
          <w:rFonts w:hint="eastAsia" w:ascii="仿宋" w:hAnsi="仿宋" w:eastAsia="仿宋" w:cs="仿宋"/>
          <w:bCs/>
          <w:sz w:val="21"/>
          <w:szCs w:val="21"/>
          <w:highlight w:val="none"/>
        </w:rPr>
        <w:t>后，于次月终止该片区的管养合同，不再续签后续管养合同。</w:t>
      </w:r>
    </w:p>
    <w:p w14:paraId="5112369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w:t>
      </w:r>
    </w:p>
    <w:p w14:paraId="42C5C60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-月度考核绩效占比；年度考核绩效分数取全年均值。</w:t>
      </w:r>
    </w:p>
    <w:p w14:paraId="3849EB3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06D117B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六、其它说明</w:t>
      </w:r>
    </w:p>
    <w:p w14:paraId="7FB76259">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仿宋" w:hAnsi="仿宋" w:eastAsia="仿宋" w:cs="仿宋"/>
          <w:bCs/>
          <w:sz w:val="21"/>
          <w:szCs w:val="21"/>
          <w:highlight w:val="none"/>
          <w:lang w:val="en-US" w:eastAsia="zh-CN"/>
        </w:rPr>
        <w:t>南京市栖霞区城市管理局</w:t>
      </w:r>
      <w:r>
        <w:rPr>
          <w:rFonts w:hint="eastAsia" w:ascii="仿宋" w:hAnsi="仿宋" w:eastAsia="仿宋" w:cs="仿宋"/>
          <w:bCs/>
          <w:sz w:val="21"/>
          <w:szCs w:val="21"/>
          <w:highlight w:val="none"/>
        </w:rPr>
        <w:t>有权根据管养情况的变化，更新或修改本考核办法及考核细则，修改完毕并告知管养单位后，按新的考核办法及考核细则实施。</w:t>
      </w:r>
    </w:p>
    <w:p w14:paraId="4B710753">
      <w:pPr>
        <w:adjustRightInd w:val="0"/>
        <w:snapToGrid w:val="0"/>
        <w:spacing w:line="360" w:lineRule="auto"/>
        <w:ind w:firstLine="843" w:firstLineChars="40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附件:</w:t>
      </w:r>
      <w:r>
        <w:rPr>
          <w:rFonts w:hint="eastAsia" w:ascii="宋体" w:hAnsi="宋体" w:cs="宋体"/>
          <w:b/>
          <w:color w:val="000000" w:themeColor="text1"/>
          <w:sz w:val="21"/>
          <w:szCs w:val="21"/>
          <w:highlight w:val="none"/>
          <w:lang w:val="en-US" w:eastAsia="zh-CN"/>
          <w14:textFill>
            <w14:solidFill>
              <w14:schemeClr w14:val="tx1"/>
            </w14:solidFill>
          </w14:textFill>
        </w:rPr>
        <w:t>绿化养护</w:t>
      </w:r>
      <w:r>
        <w:rPr>
          <w:rFonts w:hint="eastAsia" w:ascii="宋体" w:hAnsi="宋体" w:eastAsia="宋体" w:cs="宋体"/>
          <w:b/>
          <w:color w:val="000000" w:themeColor="text1"/>
          <w:sz w:val="21"/>
          <w:szCs w:val="21"/>
          <w:highlight w:val="none"/>
          <w:lang w:val="en-US" w:eastAsia="zh-CN"/>
          <w14:textFill>
            <w14:solidFill>
              <w14:schemeClr w14:val="tx1"/>
            </w14:solidFill>
          </w14:textFill>
        </w:rPr>
        <w:t>考核细则(具体考核细则待合同签订时</w:t>
      </w:r>
      <w:r>
        <w:rPr>
          <w:rFonts w:hint="eastAsia" w:ascii="宋体" w:hAnsi="宋体" w:cs="宋体"/>
          <w:b/>
          <w:color w:val="000000" w:themeColor="text1"/>
          <w:sz w:val="21"/>
          <w:szCs w:val="21"/>
          <w:highlight w:val="none"/>
          <w:lang w:val="en-US" w:eastAsia="zh-CN"/>
          <w14:textFill>
            <w14:solidFill>
              <w14:schemeClr w14:val="tx1"/>
            </w14:solidFill>
          </w14:textFill>
        </w:rPr>
        <w:t>明确</w:t>
      </w:r>
      <w:r>
        <w:rPr>
          <w:rFonts w:hint="eastAsia" w:ascii="宋体" w:hAnsi="宋体" w:eastAsia="宋体" w:cs="宋体"/>
          <w:b/>
          <w:color w:val="000000" w:themeColor="text1"/>
          <w:sz w:val="21"/>
          <w:szCs w:val="21"/>
          <w:highlight w:val="none"/>
          <w:lang w:val="en-US" w:eastAsia="zh-CN"/>
          <w14:textFill>
            <w14:solidFill>
              <w14:schemeClr w14:val="tx1"/>
            </w14:solidFill>
          </w14:textFill>
        </w:rPr>
        <w:t>。)</w:t>
      </w:r>
    </w:p>
    <w:p w14:paraId="00EB8FF0">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color w:val="000000" w:themeColor="text1"/>
          <w:sz w:val="21"/>
          <w:szCs w:val="21"/>
          <w:highlight w:val="none"/>
          <w14:textFill>
            <w14:solidFill>
              <w14:schemeClr w14:val="tx1"/>
            </w14:solidFill>
          </w14:textFill>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888687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有权单方终止承包方的管养合同，本年度剩余的养护经费不予结算，取消其下一轮续签养护合同资格且不得参与我局下一轮的养护投标工作。</w:t>
      </w:r>
    </w:p>
    <w:p w14:paraId="51FE7A18">
      <w:pPr>
        <w:keepNext w:val="0"/>
        <w:keepLines w:val="0"/>
        <w:pageBreakBefore w:val="0"/>
        <w:widowControl/>
        <w:shd w:val="clear" w:color="auto" w:fill="FFFFFF"/>
        <w:kinsoku/>
        <w:wordWrap/>
        <w:overflowPunct/>
        <w:topLinePunct w:val="0"/>
        <w:bidi w:val="0"/>
        <w:snapToGrid/>
        <w:spacing w:line="360" w:lineRule="auto"/>
        <w:ind w:firstLine="420" w:firstLineChars="200"/>
        <w:textAlignment w:val="auto"/>
        <w:rPr>
          <w:rFonts w:hint="default" w:ascii="宋体" w:hAnsi="宋体" w:eastAsia="宋体"/>
          <w:b/>
          <w:bCs/>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7841B0A0">
      <w:pPr>
        <w:spacing w:line="360" w:lineRule="auto"/>
        <w:rPr>
          <w:rFonts w:eastAsia="幼圆"/>
          <w:b/>
          <w:bCs/>
          <w:sz w:val="44"/>
          <w:highlight w:val="none"/>
        </w:rPr>
      </w:pPr>
      <w:r>
        <w:rPr>
          <w:highlight w:val="none"/>
        </w:rPr>
        <w:br w:type="page"/>
      </w: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3" w:name="_Toc1719"/>
      <w:bookmarkStart w:id="14" w:name="_Toc26261"/>
      <w:bookmarkStart w:id="15" w:name="_Toc28129"/>
      <w:r>
        <w:rPr>
          <w:rFonts w:hint="eastAsia" w:ascii="宋体" w:hAnsi="宋体" w:cs="宋体"/>
          <w:highlight w:val="none"/>
        </w:rPr>
        <w:t>合同主要条款及格式</w:t>
      </w:r>
      <w:bookmarkEnd w:id="13"/>
      <w:bookmarkEnd w:id="14"/>
      <w:bookmarkEnd w:id="15"/>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5FAE3694">
      <w:pPr>
        <w:rPr>
          <w:rFonts w:ascii="宋体" w:hAnsi="宋体" w:cs="宋体"/>
          <w:b/>
          <w:bCs/>
          <w:color w:val="000000" w:themeColor="text1"/>
          <w:sz w:val="32"/>
          <w:highlight w:val="none"/>
          <w14:textFill>
            <w14:solidFill>
              <w14:schemeClr w14:val="tx1"/>
            </w14:solidFill>
          </w14:textFill>
        </w:rPr>
      </w:pPr>
    </w:p>
    <w:p w14:paraId="350576E7">
      <w:pPr>
        <w:rPr>
          <w:rFonts w:ascii="宋体" w:hAnsi="宋体" w:cs="宋体"/>
          <w:b/>
          <w:bCs/>
          <w:color w:val="000000" w:themeColor="text1"/>
          <w:sz w:val="32"/>
          <w:highlight w:val="non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6" w:name="_Toc16938559"/>
      <w:bookmarkStart w:id="17" w:name="_Toc513029243"/>
      <w:bookmarkStart w:id="18" w:name="_Toc20823315"/>
    </w:p>
    <w:bookmarkEnd w:id="16"/>
    <w:bookmarkEnd w:id="17"/>
    <w:bookmarkEnd w:id="18"/>
    <w:p w14:paraId="76B4861F">
      <w:pPr>
        <w:rPr>
          <w:rFonts w:hint="eastAsia" w:ascii="宋体" w:hAnsi="宋体"/>
          <w:color w:val="000000" w:themeColor="text1"/>
          <w:sz w:val="21"/>
          <w:szCs w:val="21"/>
          <w:highlight w:val="none"/>
          <w14:textFill>
            <w14:solidFill>
              <w14:schemeClr w14:val="tx1"/>
            </w14:solidFill>
          </w14:textFill>
        </w:rPr>
      </w:pPr>
      <w:bookmarkStart w:id="19" w:name="_Toc18944_WPSOffice_Level1"/>
      <w:bookmarkStart w:id="20" w:name="_Hlt16619350"/>
      <w:bookmarkStart w:id="21" w:name="_Toc28381_WPSOffice_Level1"/>
      <w:bookmarkStart w:id="22" w:name="_Toc16938590"/>
      <w:bookmarkStart w:id="23" w:name="_Toc20823346"/>
      <w:bookmarkStart w:id="24" w:name="_Toc120614244"/>
      <w:r>
        <w:rPr>
          <w:rFonts w:ascii="宋体" w:hAnsi="宋体"/>
          <w:color w:val="000000" w:themeColor="text1"/>
          <w:sz w:val="28"/>
          <w:szCs w:val="28"/>
          <w:highlight w:val="none"/>
          <w14:textFill>
            <w14:solidFill>
              <w14:schemeClr w14:val="tx1"/>
            </w14:solidFill>
          </w14:textFill>
        </w:rPr>
        <w:br w:type="page"/>
      </w:r>
      <w:r>
        <w:rPr>
          <w:rFonts w:hint="eastAsia" w:ascii="宋体" w:hAnsi="宋体"/>
          <w:color w:val="000000" w:themeColor="text1"/>
          <w:sz w:val="21"/>
          <w:szCs w:val="21"/>
          <w:highlight w:val="none"/>
          <w14:textFill>
            <w14:solidFill>
              <w14:schemeClr w14:val="tx1"/>
            </w14:solidFill>
          </w14:textFill>
        </w:rPr>
        <w:t>合同编号:</w:t>
      </w:r>
    </w:p>
    <w:p w14:paraId="1AA715A8">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政府采购计划号:</w:t>
      </w:r>
    </w:p>
    <w:p w14:paraId="193DD6E8">
      <w:pPr>
        <w:rPr>
          <w:rFonts w:hint="eastAsia" w:ascii="宋体" w:hAnsi="宋体"/>
          <w:color w:val="000000" w:themeColor="text1"/>
          <w:sz w:val="21"/>
          <w:szCs w:val="21"/>
          <w:highlight w:val="none"/>
          <w14:textFill>
            <w14:solidFill>
              <w14:schemeClr w14:val="tx1"/>
            </w14:solidFill>
          </w14:textFill>
        </w:rPr>
      </w:pPr>
    </w:p>
    <w:p w14:paraId="78C53911">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委托方(简称甲方):</w:t>
      </w:r>
    </w:p>
    <w:p w14:paraId="29749BC8">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住所地:</w:t>
      </w:r>
    </w:p>
    <w:p w14:paraId="1796081F">
      <w:pPr>
        <w:rPr>
          <w:rFonts w:hint="eastAsia" w:ascii="宋体" w:hAnsi="宋体"/>
          <w:color w:val="000000" w:themeColor="text1"/>
          <w:sz w:val="21"/>
          <w:szCs w:val="21"/>
          <w:highlight w:val="none"/>
          <w14:textFill>
            <w14:solidFill>
              <w14:schemeClr w14:val="tx1"/>
            </w14:solidFill>
          </w14:textFill>
        </w:rPr>
      </w:pPr>
    </w:p>
    <w:p w14:paraId="17B8F039">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服务方(简称乙方):</w:t>
      </w:r>
    </w:p>
    <w:p w14:paraId="2231D7FF">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住所地:</w:t>
      </w:r>
    </w:p>
    <w:p w14:paraId="067BE7F3">
      <w:pPr>
        <w:ind w:firstLine="480" w:firstLineChars="200"/>
        <w:rPr>
          <w:rFonts w:ascii="宋体" w:hAnsi="宋体"/>
          <w:bCs/>
          <w:color w:val="000000" w:themeColor="text1"/>
          <w:sz w:val="24"/>
          <w:szCs w:val="24"/>
          <w:highlight w:val="none"/>
          <w14:textFill>
            <w14:solidFill>
              <w14:schemeClr w14:val="tx1"/>
            </w14:solidFill>
          </w14:textFill>
        </w:rPr>
      </w:pPr>
    </w:p>
    <w:p w14:paraId="66EBD0D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根据《中华人民共和国政府采购法》</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《中华人民共和国</w:t>
      </w:r>
      <w:r>
        <w:rPr>
          <w:rFonts w:hint="eastAsia" w:ascii="宋体" w:hAnsi="宋体"/>
          <w:bCs/>
          <w:color w:val="000000" w:themeColor="text1"/>
          <w:highlight w:val="none"/>
          <w:lang w:eastAsia="zh-CN"/>
          <w14:textFill>
            <w14:solidFill>
              <w14:schemeClr w14:val="tx1"/>
            </w14:solidFill>
          </w14:textFill>
        </w:rPr>
        <w:t>民法典</w:t>
      </w:r>
      <w:r>
        <w:rPr>
          <w:rFonts w:hint="eastAsia" w:ascii="宋体" w:hAnsi="宋体"/>
          <w:bCs/>
          <w:color w:val="000000" w:themeColor="text1"/>
          <w:highlight w:val="none"/>
          <w14:textFill>
            <w14:solidFill>
              <w14:schemeClr w14:val="tx1"/>
            </w14:solidFill>
          </w14:textFill>
        </w:rPr>
        <w:t>》等有关法律、法规规定，在平等、自愿、协商一致的基础上，就甲方委托乙方进行养护服务，特订立本合同，以求共同恪守。</w:t>
      </w:r>
    </w:p>
    <w:p w14:paraId="3FA9BB03">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第一条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合同标的及服务期</w:t>
      </w:r>
    </w:p>
    <w:p w14:paraId="7680160B">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bookmarkStart w:id="25" w:name="_Hlk45577003"/>
      <w:bookmarkStart w:id="26" w:name="_Hlk45576590"/>
      <w:r>
        <w:rPr>
          <w:rFonts w:hint="eastAsia" w:ascii="宋体" w:hAnsi="宋体" w:cs="宋体"/>
          <w:bCs/>
          <w:color w:val="000000" w:themeColor="text1"/>
          <w:kern w:val="0"/>
          <w:highlight w:val="none"/>
          <w14:textFill>
            <w14:solidFill>
              <w14:schemeClr w14:val="tx1"/>
            </w14:solidFill>
          </w14:textFill>
        </w:rPr>
        <w:t>本合同第一年服务期暂定为</w:t>
      </w:r>
      <w:r>
        <w:rPr>
          <w:rFonts w:hint="eastAsia" w:ascii="宋体" w:hAnsi="宋体" w:cs="宋体"/>
          <w:bCs/>
          <w:color w:val="000000" w:themeColor="text1"/>
          <w:kern w:val="0"/>
          <w:highlight w:val="none"/>
          <w:lang w:eastAsia="zh-CN"/>
          <w14:textFill>
            <w14:solidFill>
              <w14:schemeClr w14:val="tx1"/>
            </w14:solidFill>
          </w14:textFill>
        </w:rPr>
        <w:t>202</w:t>
      </w:r>
      <w:r>
        <w:rPr>
          <w:rFonts w:hint="eastAsia" w:ascii="宋体" w:hAnsi="宋体" w:cs="宋体"/>
          <w:bCs/>
          <w:color w:val="000000" w:themeColor="text1"/>
          <w:kern w:val="0"/>
          <w:highlight w:val="none"/>
          <w:lang w:val="en-US" w:eastAsia="zh-CN"/>
          <w14:textFill>
            <w14:solidFill>
              <w14:schemeClr w14:val="tx1"/>
            </w14:solidFill>
          </w14:textFill>
        </w:rPr>
        <w:t>6</w:t>
      </w:r>
      <w:r>
        <w:rPr>
          <w:rFonts w:hint="eastAsia" w:ascii="宋体" w:hAnsi="宋体" w:cs="宋体"/>
          <w:bCs/>
          <w:color w:val="000000" w:themeColor="text1"/>
          <w:kern w:val="0"/>
          <w:highlight w:val="none"/>
          <w:lang w:eastAsia="zh-CN"/>
          <w14:textFill>
            <w14:solidFill>
              <w14:schemeClr w14:val="tx1"/>
            </w14:solidFill>
          </w14:textFill>
        </w:rPr>
        <w:t>年</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月</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日至202</w:t>
      </w:r>
      <w:r>
        <w:rPr>
          <w:rFonts w:hint="eastAsia" w:ascii="宋体" w:hAnsi="宋体" w:cs="宋体"/>
          <w:bCs/>
          <w:color w:val="000000" w:themeColor="text1"/>
          <w:kern w:val="0"/>
          <w:highlight w:val="none"/>
          <w:lang w:val="en-US" w:eastAsia="zh-CN"/>
          <w14:textFill>
            <w14:solidFill>
              <w14:schemeClr w14:val="tx1"/>
            </w14:solidFill>
          </w14:textFill>
        </w:rPr>
        <w:t>7</w:t>
      </w:r>
      <w:r>
        <w:rPr>
          <w:rFonts w:hint="eastAsia" w:ascii="宋体" w:hAnsi="宋体" w:cs="宋体"/>
          <w:bCs/>
          <w:color w:val="000000" w:themeColor="text1"/>
          <w:kern w:val="0"/>
          <w:highlight w:val="none"/>
          <w:lang w:eastAsia="zh-CN"/>
          <w14:textFill>
            <w14:solidFill>
              <w14:schemeClr w14:val="tx1"/>
            </w14:solidFill>
          </w14:textFill>
        </w:rPr>
        <w:t>年</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月</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日</w:t>
      </w:r>
      <w:r>
        <w:rPr>
          <w:rFonts w:hint="eastAsia" w:ascii="宋体" w:hAnsi="宋体" w:cs="宋体"/>
          <w:bCs/>
          <w:color w:val="000000" w:themeColor="text1"/>
          <w:kern w:val="0"/>
          <w:highlight w:val="none"/>
          <w14:textFill>
            <w14:solidFill>
              <w14:schemeClr w14:val="tx1"/>
            </w14:solidFill>
          </w14:textFill>
        </w:rPr>
        <w:t>，第一年合同期满后，甲方有权依据年度考核结果决定是否与乙方签订后续服务合同，续签合同的服务期以此类推。</w:t>
      </w:r>
      <w:bookmarkEnd w:id="25"/>
      <w:bookmarkEnd w:id="26"/>
    </w:p>
    <w:p w14:paraId="0B3F69EA">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第二条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委托管理事项</w:t>
      </w:r>
    </w:p>
    <w:p w14:paraId="5FC8A0C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委托</w:t>
      </w:r>
      <w:r>
        <w:rPr>
          <w:rFonts w:hint="eastAsia" w:ascii="宋体" w:hAnsi="宋体"/>
          <w:bCs/>
          <w:color w:val="000000" w:themeColor="text1"/>
          <w:highlight w:val="none"/>
          <w:u w:val="single"/>
          <w:lang w:val="en-US" w:eastAsia="zh-CN"/>
          <w14:textFill>
            <w14:solidFill>
              <w14:schemeClr w14:val="tx1"/>
            </w14:solidFill>
          </w14:textFill>
        </w:rPr>
        <w:t xml:space="preserve">              </w:t>
      </w:r>
      <w:r>
        <w:rPr>
          <w:rFonts w:hint="eastAsia" w:ascii="宋体" w:hAnsi="宋体"/>
          <w:bCs/>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服务事项</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详见招标文件。</w:t>
      </w:r>
    </w:p>
    <w:p w14:paraId="48D2B990">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第三条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合同总价款</w:t>
      </w:r>
    </w:p>
    <w:p w14:paraId="7D868B4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一、本合同项下壹年管理服务费用人民币总价款</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暂估，最终结算以实际甲方审核工作量为准</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为人民币</w:t>
      </w:r>
      <w:r>
        <w:rPr>
          <w:rFonts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元（大写）。</w:t>
      </w:r>
    </w:p>
    <w:p w14:paraId="3DF4CF36">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4FEB75A3">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第四条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组成本合同的有关文件</w:t>
      </w:r>
    </w:p>
    <w:p w14:paraId="2EFBD67D">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下列关于招标文件或与本次招标活动方式相适应的文件及有关附件是本合同不可分割的组成部分，与本合同具有同等法律效力，这些文件包括但不限于：</w:t>
      </w:r>
    </w:p>
    <w:p w14:paraId="7AF9BB41">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一、乙方提供的投标文件和报价表；</w:t>
      </w:r>
    </w:p>
    <w:p w14:paraId="63048E9D">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二、中标通知书；</w:t>
      </w:r>
    </w:p>
    <w:p w14:paraId="748C99E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三、甲乙双方商定的其他文件。</w:t>
      </w:r>
    </w:p>
    <w:p w14:paraId="642DC248">
      <w:pPr>
        <w:spacing w:line="360" w:lineRule="auto"/>
        <w:ind w:firstLine="560"/>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第五条 双方权利义务</w:t>
      </w:r>
    </w:p>
    <w:p w14:paraId="31784D4E">
      <w:pPr>
        <w:autoSpaceDE w:val="0"/>
        <w:autoSpaceDN w:val="0"/>
        <w:adjustRightIn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一、甲方权利和义务</w:t>
      </w:r>
    </w:p>
    <w:p w14:paraId="130CAAD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1、对乙方所承包设施的维护质量、数量（面积）等进行检查考核，按照考核结果进行绿化维护费用拨付。</w:t>
      </w:r>
    </w:p>
    <w:p w14:paraId="7AE1FE1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2、审核乙方提交的绿化维护计划，根据绿化维护需要对乙方维护计划进行核准或调整。</w:t>
      </w:r>
    </w:p>
    <w:p w14:paraId="2F499CE9">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3、督促、指导乙方按照绿化维护规范、规程的要求实施绿化维护、巡查等工作。</w:t>
      </w:r>
    </w:p>
    <w:p w14:paraId="0E304ECF">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4、甲方可根据国家、省、市以及市业务主管部门相关法律法规和管理规定的变动对检查考核规范进行修改和补充。</w:t>
      </w:r>
    </w:p>
    <w:p w14:paraId="09D71725">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5、监督检查乙方落实安全作业措施。</w:t>
      </w:r>
    </w:p>
    <w:p w14:paraId="356471FE">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6、督促乙方为合同项目工作人员办理社保、意外险等，上述费用包含在合同款中。</w:t>
      </w:r>
    </w:p>
    <w:p w14:paraId="19C22A94">
      <w:pPr>
        <w:pStyle w:val="21"/>
        <w:spacing w:line="360" w:lineRule="auto"/>
        <w:ind w:left="0" w:leftChars="0" w:right="-29" w:rightChars="-14" w:firstLine="420" w:firstLineChars="200"/>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7、在乙方不能履行本合同相应责任、义务或未完全履行义务时，甲方有权书面通知乙方终止合同，并按相关法律、法规对乙方追究责任，并扣除未履行义务与之相应的养护费用，乙方须在一周内移交相关资料并撤场。</w:t>
      </w:r>
      <w:bookmarkStart w:id="27" w:name="_Hlk44861278"/>
    </w:p>
    <w:p w14:paraId="034C7DA6">
      <w:pPr>
        <w:pStyle w:val="21"/>
        <w:spacing w:line="360" w:lineRule="auto"/>
        <w:ind w:left="0" w:leftChars="0" w:right="-29" w:rightChars="-14"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8、甲方有权对乙方的工作进行考核，有权按照项目实际需求变更考核细则，但须提前1</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日以书面形式告知乙方。</w:t>
      </w:r>
    </w:p>
    <w:bookmarkEnd w:id="27"/>
    <w:p w14:paraId="1FED41F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二、乙方的权利和义务</w:t>
      </w:r>
    </w:p>
    <w:p w14:paraId="420FBB00">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1、按照绿化养护规范、规程的要求实施并完成各项绿化养护任务，达到甲方有关绿化养护标准，保持所维护设施完好状况的水平，及时进行补种确保绿化完好率不低于9</w:t>
      </w:r>
      <w:r>
        <w:rPr>
          <w:rFonts w:ascii="宋体" w:hAnsi="宋体"/>
          <w:bCs/>
          <w:color w:val="000000" w:themeColor="text1"/>
          <w:kern w:val="0"/>
          <w:highlight w:val="none"/>
          <w14:textFill>
            <w14:solidFill>
              <w14:schemeClr w14:val="tx1"/>
            </w14:solidFill>
          </w14:textFill>
        </w:rPr>
        <w:t>8</w:t>
      </w:r>
      <w:r>
        <w:rPr>
          <w:rFonts w:hint="eastAsia" w:ascii="宋体" w:hAnsi="宋体"/>
          <w:bCs/>
          <w:color w:val="000000" w:themeColor="text1"/>
          <w:kern w:val="0"/>
          <w:highlight w:val="none"/>
          <w14:textFill>
            <w14:solidFill>
              <w14:schemeClr w14:val="tx1"/>
            </w14:solidFill>
          </w14:textFill>
        </w:rPr>
        <w:t>%，依据合同约定条款获得养护经费。</w:t>
      </w:r>
    </w:p>
    <w:p w14:paraId="5498BA4B">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2、按照有关要求实施维护作业施工时，按照甲方要求统一着装，对巡查作业车辆（含洒水车）统一喷涂标志并加装G</w:t>
      </w:r>
      <w:r>
        <w:rPr>
          <w:rFonts w:ascii="宋体" w:hAnsi="宋体"/>
          <w:bCs/>
          <w:color w:val="000000" w:themeColor="text1"/>
          <w:kern w:val="0"/>
          <w:highlight w:val="none"/>
          <w14:textFill>
            <w14:solidFill>
              <w14:schemeClr w14:val="tx1"/>
            </w14:solidFill>
          </w14:textFill>
        </w:rPr>
        <w:t>PS</w:t>
      </w:r>
      <w:r>
        <w:rPr>
          <w:rFonts w:hint="eastAsia" w:ascii="宋体" w:hAnsi="宋体"/>
          <w:bCs/>
          <w:color w:val="000000" w:themeColor="text1"/>
          <w:kern w:val="0"/>
          <w:highlight w:val="none"/>
          <w14:textFill>
            <w14:solidFill>
              <w14:schemeClr w14:val="tx1"/>
            </w14:solidFill>
          </w14:textFill>
        </w:rPr>
        <w:t>。乙方的工作人员及设备的安全由乙方负责。因养护责任而造成所承包养护范围内的设施设备对自身或第三方形成伤害时一切责任由乙方承担。</w:t>
      </w:r>
    </w:p>
    <w:p w14:paraId="13C170D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 xml:space="preserve">3、乙方对所养护的内容有巡查的义务，如发现绿地占用、绿化设施被人为损坏或偷盗事件时，应予以制止，及时向甲方报告。如发现绿化设施养护问题主动整改。 </w:t>
      </w:r>
    </w:p>
    <w:p w14:paraId="11E35FB8">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4、建立健全绿化养护各类</w:t>
      </w:r>
      <w:r>
        <w:rPr>
          <w:rFonts w:hint="eastAsia" w:ascii="宋体" w:hAnsi="宋体"/>
          <w:bCs/>
          <w:color w:val="000000" w:themeColor="text1"/>
          <w:kern w:val="0"/>
          <w:highlight w:val="none"/>
          <w:lang w:eastAsia="zh-CN"/>
          <w14:textFill>
            <w14:solidFill>
              <w14:schemeClr w14:val="tx1"/>
            </w14:solidFill>
          </w14:textFill>
        </w:rPr>
        <w:t>台账资料</w:t>
      </w:r>
      <w:r>
        <w:rPr>
          <w:rFonts w:hint="eastAsia" w:ascii="宋体" w:hAnsi="宋体"/>
          <w:bCs/>
          <w:color w:val="000000" w:themeColor="text1"/>
          <w:kern w:val="0"/>
          <w:highlight w:val="none"/>
          <w14:textFill>
            <w14:solidFill>
              <w14:schemeClr w14:val="tx1"/>
            </w14:solidFill>
          </w14:textFill>
        </w:rPr>
        <w:t>，按规定及时准确地向甲方报送养护计划和养护报表。</w:t>
      </w:r>
    </w:p>
    <w:p w14:paraId="6CAC773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5、依据甲方的要求、技术规范确定防汛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措施，建立防汛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期间的组织网络，组建防汛抢险队伍，准备并且备足常用的防汛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抢险材料，服从甲方调度和管理。</w:t>
      </w:r>
    </w:p>
    <w:p w14:paraId="672A688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6、乙方应及时清扫积雪，保证其承包养护的设施对行人，车辆的安全。</w:t>
      </w:r>
    </w:p>
    <w:p w14:paraId="4F6E266D">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7、重大应急处理：</w:t>
      </w:r>
    </w:p>
    <w:p w14:paraId="4D765DAC">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在不可抗力造成乙方承包养护的设施损坏时，在事发的第一时间内乙方应派人员赶到事发现场，根据设施的损坏情况，拿出处理方案（方案得到甲方批准后），立即组织人员进行处理，力争在最短的时间消除隐患。</w:t>
      </w:r>
    </w:p>
    <w:p w14:paraId="6A3EA4D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8、乙方所采用的维护材料、机具必须符合国家、省、市相关标准和规定，且为合格产品。</w:t>
      </w:r>
    </w:p>
    <w:p w14:paraId="22018AB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9、乙方所聘用的各岗位人员必须经过专业培训，持有上岗证。</w:t>
      </w:r>
    </w:p>
    <w:p w14:paraId="55DF43A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10、乙方不得将所承包维护的设施进行出租、抵押、担保、转包、分包或利用其从事其他经营性行为。</w:t>
      </w:r>
    </w:p>
    <w:p w14:paraId="661C2371">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11、乙方应设立投诉报修电话，实行24小时值班制度，保证24小时通讯畅通。值班表因提前报备甲方，以备抽查。</w:t>
      </w:r>
    </w:p>
    <w:p w14:paraId="0DF32E8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12、乙方须开展行风文明建设，遵守承诺制、首问负责制。</w:t>
      </w:r>
    </w:p>
    <w:p w14:paraId="546B0F3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13、在各项保供、迎检工作中，服从甲方安排，达到各项要求。此费用包含合同款中。</w:t>
      </w:r>
    </w:p>
    <w:p w14:paraId="60FF4DEB">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14、乙方不得私自改动绿化设施或允许他人改动绿化设施。</w:t>
      </w:r>
    </w:p>
    <w:p w14:paraId="5F2B7FCA">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15、如乙方使用新技术、新产品，在养护工作中得到有效利用，并提升养护质量，在当月养护考核中给予适当加分。</w:t>
      </w:r>
    </w:p>
    <w:p w14:paraId="614EC20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16、在合同履行过程中，如果因为乙方人员的责任造成人身伤害和财产损失，由乙方承担全部的赔偿责任。</w:t>
      </w:r>
    </w:p>
    <w:p w14:paraId="0F80D32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17、乙方拟投入项目的人员未经甲方书面同意，不得更换，且需积极响应甲方现场检查、考核、会议等要求。</w:t>
      </w:r>
    </w:p>
    <w:p w14:paraId="44D99C69">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18</w:t>
      </w:r>
      <w:r>
        <w:rPr>
          <w:rFonts w:hint="eastAsia" w:ascii="宋体" w:hAnsi="宋体"/>
          <w:bCs/>
          <w:color w:val="000000" w:themeColor="text1"/>
          <w:kern w:val="0"/>
          <w:highlight w:val="none"/>
          <w14:textFill>
            <w14:solidFill>
              <w14:schemeClr w14:val="tx1"/>
            </w14:solidFill>
          </w14:textFill>
        </w:rPr>
        <w:t>、合同履行期间内逐步完善养护范围内绿化建设。</w:t>
      </w:r>
    </w:p>
    <w:p w14:paraId="460D733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w:t>
      </w:r>
      <w:r>
        <w:rPr>
          <w:rFonts w:ascii="宋体" w:hAnsi="宋体"/>
          <w:bCs/>
          <w:color w:val="000000" w:themeColor="text1"/>
          <w:kern w:val="0"/>
          <w:highlight w:val="none"/>
          <w14:textFill>
            <w14:solidFill>
              <w14:schemeClr w14:val="tx1"/>
            </w14:solidFill>
          </w14:textFill>
        </w:rPr>
        <w:t>9</w:t>
      </w:r>
      <w:r>
        <w:rPr>
          <w:rFonts w:hint="eastAsia" w:ascii="宋体" w:hAnsi="宋体"/>
          <w:bCs/>
          <w:color w:val="000000" w:themeColor="text1"/>
          <w:kern w:val="0"/>
          <w:highlight w:val="none"/>
          <w14:textFill>
            <w14:solidFill>
              <w14:schemeClr w14:val="tx1"/>
            </w14:solidFill>
          </w14:textFill>
        </w:rPr>
        <w:t>、</w:t>
      </w:r>
      <w:bookmarkStart w:id="28" w:name="_Hlk44920549"/>
      <w:r>
        <w:rPr>
          <w:rFonts w:hint="eastAsia"/>
          <w:color w:val="000000" w:themeColor="text1"/>
          <w:highlight w:val="none"/>
          <w14:textFill>
            <w14:solidFill>
              <w14:schemeClr w14:val="tx1"/>
            </w14:solidFill>
          </w14:textFill>
        </w:rPr>
        <w:t>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w:t>
      </w:r>
      <w:bookmarkEnd w:id="28"/>
      <w:r>
        <w:rPr>
          <w:rFonts w:hint="eastAsia" w:ascii="宋体" w:hAnsi="宋体" w:eastAsia="宋体" w:cs="宋体"/>
          <w:color w:val="auto"/>
          <w:sz w:val="21"/>
          <w:szCs w:val="21"/>
          <w:highlight w:val="none"/>
        </w:rPr>
        <w:t>如因乙方发现不及时、报告不及时、看护不当等造成的相关损失及赔偿</w:t>
      </w:r>
      <w:r>
        <w:rPr>
          <w:rFonts w:hint="eastAsia" w:ascii="宋体" w:hAnsi="宋体" w:cs="宋体"/>
          <w:color w:val="auto"/>
          <w:sz w:val="21"/>
          <w:szCs w:val="21"/>
          <w:highlight w:val="none"/>
          <w:lang w:val="en-US" w:eastAsia="zh-CN"/>
        </w:rPr>
        <w:t>由乙方承担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如第三方向甲方主张赔偿的，甲方可要求乙方直接赔偿或向乙方追偿，</w:t>
      </w:r>
      <w:r>
        <w:rPr>
          <w:rFonts w:hint="eastAsia" w:ascii="宋体" w:hAnsi="宋体" w:eastAsia="宋体" w:cs="宋体"/>
          <w:color w:val="auto"/>
          <w:sz w:val="21"/>
          <w:szCs w:val="21"/>
          <w:highlight w:val="none"/>
        </w:rPr>
        <w:t>造成重大事故的将追究乙方责任。</w:t>
      </w:r>
    </w:p>
    <w:p w14:paraId="3AEE5F7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20</w:t>
      </w:r>
      <w:r>
        <w:rPr>
          <w:rFonts w:hint="eastAsia" w:ascii="宋体" w:hAnsi="宋体"/>
          <w:bCs/>
          <w:color w:val="000000" w:themeColor="text1"/>
          <w:kern w:val="0"/>
          <w:highlight w:val="none"/>
          <w14:textFill>
            <w14:solidFill>
              <w14:schemeClr w14:val="tx1"/>
            </w14:solidFill>
          </w14:textFill>
        </w:rPr>
        <w:t>、乙方须积极处理政府平台相关投诉，包括但不限于12345工单等。</w:t>
      </w:r>
    </w:p>
    <w:p w14:paraId="0D8F0078">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w:t>
      </w:r>
      <w:r>
        <w:rPr>
          <w:rFonts w:ascii="宋体" w:hAnsi="宋体"/>
          <w:bCs/>
          <w:color w:val="000000" w:themeColor="text1"/>
          <w:kern w:val="0"/>
          <w:highlight w:val="none"/>
          <w14:textFill>
            <w14:solidFill>
              <w14:schemeClr w14:val="tx1"/>
            </w14:solidFill>
          </w14:textFill>
        </w:rPr>
        <w:t>1</w:t>
      </w:r>
      <w:r>
        <w:rPr>
          <w:rFonts w:hint="eastAsia" w:ascii="宋体" w:hAnsi="宋体"/>
          <w:bCs/>
          <w:color w:val="000000" w:themeColor="text1"/>
          <w:kern w:val="0"/>
          <w:highlight w:val="none"/>
          <w14:textFill>
            <w14:solidFill>
              <w14:schemeClr w14:val="tx1"/>
            </w14:solidFill>
          </w14:textFill>
        </w:rPr>
        <w:t>、完成甲方交办的其他临时性工作。</w:t>
      </w:r>
    </w:p>
    <w:p w14:paraId="77343CB4">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22</w:t>
      </w:r>
      <w:r>
        <w:rPr>
          <w:rFonts w:hint="eastAsia" w:ascii="宋体" w:hAnsi="宋体"/>
          <w:bCs/>
          <w:color w:val="000000" w:themeColor="text1"/>
          <w:kern w:val="0"/>
          <w:highlight w:val="none"/>
          <w14:textFill>
            <w14:solidFill>
              <w14:schemeClr w14:val="tx1"/>
            </w14:solidFill>
          </w14:textFill>
        </w:rPr>
        <w:t>、若遇国家省市区域相关政策调整，乙方须无条件解除合同。</w:t>
      </w:r>
    </w:p>
    <w:p w14:paraId="1588EDAA">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w:t>
      </w:r>
      <w:r>
        <w:rPr>
          <w:rFonts w:ascii="宋体" w:hAnsi="宋体"/>
          <w:bCs/>
          <w:color w:val="000000" w:themeColor="text1"/>
          <w:kern w:val="0"/>
          <w:highlight w:val="none"/>
          <w14:textFill>
            <w14:solidFill>
              <w14:schemeClr w14:val="tx1"/>
            </w14:solidFill>
          </w14:textFill>
        </w:rPr>
        <w:t>3</w:t>
      </w:r>
      <w:r>
        <w:rPr>
          <w:rFonts w:hint="eastAsia" w:ascii="宋体" w:hAnsi="宋体"/>
          <w:bCs/>
          <w:color w:val="000000" w:themeColor="text1"/>
          <w:kern w:val="0"/>
          <w:highlight w:val="none"/>
          <w14:textFill>
            <w14:solidFill>
              <w14:schemeClr w14:val="tx1"/>
            </w14:solidFill>
          </w14:textFill>
        </w:rPr>
        <w:t>、不得分包、转包；一旦甲方发现存在分包或转包的行为，有权直接解除合同并追究乙方的违约责任。</w:t>
      </w:r>
    </w:p>
    <w:p w14:paraId="322D5D71">
      <w:pPr>
        <w:widowControl/>
        <w:shd w:val="clear" w:color="auto" w:fill="FFFFFF"/>
        <w:spacing w:line="360" w:lineRule="auto"/>
        <w:ind w:firstLine="420"/>
        <w:jc w:val="left"/>
        <w:rPr>
          <w:rFonts w:hint="eastAsia"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24</w:t>
      </w:r>
      <w:r>
        <w:rPr>
          <w:rFonts w:hint="eastAsia" w:ascii="宋体" w:hAnsi="宋体"/>
          <w:bCs/>
          <w:color w:val="000000" w:themeColor="text1"/>
          <w:kern w:val="0"/>
          <w:highlight w:val="none"/>
          <w14:textFill>
            <w14:solidFill>
              <w14:schemeClr w14:val="tx1"/>
            </w14:solidFill>
          </w14:textFill>
        </w:rPr>
        <w:t>、乙方应积极主动接受甲方的考核，并对考核结果予以承认，当考核标准有变动时应予以积极配合并按照最新的考核要求开展养护工作。</w:t>
      </w:r>
    </w:p>
    <w:p w14:paraId="4A5FB82E">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第六条 乙方服务的质量保证</w:t>
      </w:r>
    </w:p>
    <w:p w14:paraId="486F374A">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一、建立质量管理体系并有效运行，管理服务能够接受质量审核。</w:t>
      </w:r>
    </w:p>
    <w:p w14:paraId="3684FB90">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二、管理服务逐步达到接受创优评审条件。</w:t>
      </w:r>
    </w:p>
    <w:p w14:paraId="1794174E">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三、各项承诺指标及所采取的措施详见“招标文件”</w:t>
      </w:r>
      <w:r>
        <w:rPr>
          <w:rFonts w:hint="eastAsia" w:ascii="宋体" w:hAnsi="宋体"/>
          <w:color w:val="000000" w:themeColor="text1"/>
          <w:highlight w:val="none"/>
          <w:lang w:val="en-US" w:eastAsia="zh-CN"/>
          <w14:textFill>
            <w14:solidFill>
              <w14:schemeClr w14:val="tx1"/>
            </w14:solidFill>
          </w14:textFill>
        </w:rPr>
        <w:t>和</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投标文件</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p>
    <w:p w14:paraId="51A4389E">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四、其他管理服务质量要求按</w:t>
      </w:r>
      <w:r>
        <w:rPr>
          <w:rFonts w:hint="eastAsia" w:ascii="宋体" w:hAnsi="宋体"/>
          <w:color w:val="000000" w:themeColor="text1"/>
          <w:highlight w:val="none"/>
          <w:lang w:val="en-US" w:eastAsia="zh-CN"/>
          <w14:textFill>
            <w14:solidFill>
              <w14:schemeClr w14:val="tx1"/>
            </w14:solidFill>
          </w14:textFill>
        </w:rPr>
        <w:t>江苏省或</w:t>
      </w:r>
      <w:r>
        <w:rPr>
          <w:rFonts w:hint="eastAsia" w:ascii="宋体" w:hAnsi="宋体"/>
          <w:color w:val="000000" w:themeColor="text1"/>
          <w:highlight w:val="none"/>
          <w14:textFill>
            <w14:solidFill>
              <w14:schemeClr w14:val="tx1"/>
            </w14:solidFill>
          </w14:textFill>
        </w:rPr>
        <w:t>南京市有关标准执行。</w:t>
      </w:r>
    </w:p>
    <w:p w14:paraId="7F4D89EE">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第七条 质保期</w:t>
      </w:r>
    </w:p>
    <w:p w14:paraId="4A6160C3">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按国家规定执行</w:t>
      </w:r>
    </w:p>
    <w:p w14:paraId="59049F43">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w:t>
      </w:r>
      <w:r>
        <w:rPr>
          <w:rFonts w:hint="eastAsia" w:ascii="宋体" w:hAnsi="宋体"/>
          <w:b/>
          <w:color w:val="000000" w:themeColor="text1"/>
          <w:highlight w:val="none"/>
          <w:lang w:eastAsia="zh-CN"/>
          <w14:textFill>
            <w14:solidFill>
              <w14:schemeClr w14:val="tx1"/>
            </w14:solidFill>
          </w14:textFill>
        </w:rPr>
        <w:t>八</w:t>
      </w:r>
      <w:r>
        <w:rPr>
          <w:rFonts w:hint="eastAsia" w:ascii="宋体" w:hAnsi="宋体"/>
          <w:b/>
          <w:color w:val="000000" w:themeColor="text1"/>
          <w:highlight w:val="none"/>
          <w14:textFill>
            <w14:solidFill>
              <w14:schemeClr w14:val="tx1"/>
            </w14:solidFill>
          </w14:textFill>
        </w:rPr>
        <w:t xml:space="preserve">条 款项支付 </w:t>
      </w:r>
      <w:r>
        <w:rPr>
          <w:rFonts w:hint="eastAsia" w:ascii="宋体" w:hAnsi="宋体"/>
          <w:b/>
          <w:color w:val="000000" w:themeColor="text1"/>
          <w:highlight w:val="none"/>
          <w:lang w:eastAsia="zh-CN"/>
          <w14:textFill>
            <w14:solidFill>
              <w14:schemeClr w14:val="tx1"/>
            </w14:solidFill>
          </w14:textFill>
        </w:rPr>
        <w:t>（</w:t>
      </w:r>
      <w:r>
        <w:rPr>
          <w:rFonts w:hint="eastAsia" w:ascii="宋体" w:hAnsi="宋体"/>
          <w:b/>
          <w:color w:val="000000" w:themeColor="text1"/>
          <w:highlight w:val="none"/>
          <w:lang w:val="en-US" w:eastAsia="zh-CN"/>
          <w14:textFill>
            <w14:solidFill>
              <w14:schemeClr w14:val="tx1"/>
            </w14:solidFill>
          </w14:textFill>
        </w:rPr>
        <w:t>注:</w:t>
      </w:r>
      <w:r>
        <w:rPr>
          <w:rFonts w:hint="eastAsia" w:ascii="宋体" w:hAnsi="宋体"/>
          <w:b/>
          <w:color w:val="000000" w:themeColor="text1"/>
          <w:highlight w:val="none"/>
          <w14:textFill>
            <w14:solidFill>
              <w14:schemeClr w14:val="tx1"/>
            </w14:solidFill>
          </w14:textFill>
        </w:rPr>
        <w:t>具体内容以甲方最终确认的《</w:t>
      </w:r>
      <w:r>
        <w:rPr>
          <w:rFonts w:hint="eastAsia" w:ascii="宋体" w:hAnsi="宋体"/>
          <w:b/>
          <w:color w:val="000000" w:themeColor="text1"/>
          <w:highlight w:val="none"/>
          <w:lang w:eastAsia="zh-CN"/>
          <w14:textFill>
            <w14:solidFill>
              <w14:schemeClr w14:val="tx1"/>
            </w14:solidFill>
          </w14:textFill>
        </w:rPr>
        <w:t>市场化养护考核办法（暂定）</w:t>
      </w:r>
      <w:r>
        <w:rPr>
          <w:rFonts w:hint="eastAsia" w:ascii="宋体" w:hAnsi="宋体"/>
          <w:b/>
          <w:color w:val="000000" w:themeColor="text1"/>
          <w:highlight w:val="none"/>
          <w14:textFill>
            <w14:solidFill>
              <w14:schemeClr w14:val="tx1"/>
            </w14:solidFill>
          </w14:textFill>
        </w:rPr>
        <w:t>》为准</w:t>
      </w:r>
      <w:r>
        <w:rPr>
          <w:rFonts w:hint="eastAsia" w:ascii="宋体" w:hAnsi="宋体"/>
          <w:b/>
          <w:color w:val="000000" w:themeColor="text1"/>
          <w:highlight w:val="none"/>
          <w:lang w:eastAsia="zh-CN"/>
          <w14:textFill>
            <w14:solidFill>
              <w14:schemeClr w14:val="tx1"/>
            </w14:solidFill>
          </w14:textFill>
        </w:rPr>
        <w:t>）</w:t>
      </w:r>
    </w:p>
    <w:p w14:paraId="63EC404F">
      <w:pPr>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一、本合同项下所有款项均以人民币支付。</w:t>
      </w:r>
    </w:p>
    <w:p w14:paraId="40179ADC">
      <w:pPr>
        <w:spacing w:line="360" w:lineRule="auto"/>
        <w:ind w:firstLine="420" w:firstLineChars="200"/>
        <w:jc w:val="left"/>
        <w:rPr>
          <w:rFonts w:ascii="宋体" w:hAnsi="宋体"/>
          <w:b/>
          <w:strike w:val="0"/>
          <w:dstrike w:val="0"/>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w:t>
      </w:r>
      <w:r>
        <w:rPr>
          <w:rFonts w:hint="eastAsia" w:ascii="宋体" w:hAnsi="宋体"/>
          <w:color w:val="000000" w:themeColor="text1"/>
          <w:highlight w:val="none"/>
          <w:lang w:val="zh-CN"/>
          <w14:textFill>
            <w14:solidFill>
              <w14:schemeClr w14:val="tx1"/>
            </w14:solidFill>
          </w14:textFill>
        </w:rPr>
        <w:t>本合同项</w:t>
      </w:r>
      <w:r>
        <w:rPr>
          <w:rFonts w:hint="eastAsia" w:ascii="宋体" w:hAnsi="宋体"/>
          <w:strike w:val="0"/>
          <w:dstrike w:val="0"/>
          <w:color w:val="000000" w:themeColor="text1"/>
          <w:highlight w:val="none"/>
          <w:lang w:val="zh-CN"/>
          <w14:textFill>
            <w14:solidFill>
              <w14:schemeClr w14:val="tx1"/>
            </w14:solidFill>
          </w14:textFill>
        </w:rPr>
        <w:t>下的采购资金由甲方自行支付，乙方向甲方开具发票。</w:t>
      </w:r>
    </w:p>
    <w:p w14:paraId="5B59A18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strike w:val="0"/>
          <w:dstrike w:val="0"/>
          <w:color w:val="000000" w:themeColor="text1"/>
          <w:highlight w:val="none"/>
          <w:lang w:val="zh-CN"/>
          <w14:textFill>
            <w14:solidFill>
              <w14:schemeClr w14:val="tx1"/>
            </w14:solidFill>
          </w14:textFill>
        </w:rPr>
        <w:t>三、付款方式：</w:t>
      </w:r>
      <w:r>
        <w:rPr>
          <w:rFonts w:hint="eastAsia" w:ascii="宋体" w:hAnsi="宋体"/>
          <w:color w:val="000000" w:themeColor="text1"/>
          <w:highlight w:val="none"/>
          <w14:textFill>
            <w14:solidFill>
              <w14:schemeClr w14:val="tx1"/>
            </w14:solidFill>
          </w14:textFill>
        </w:rPr>
        <w:t>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w:t>
      </w:r>
      <w:r>
        <w:rPr>
          <w:rFonts w:hint="eastAsia" w:ascii="宋体" w:hAnsi="宋体"/>
          <w:color w:val="000000" w:themeColor="text1"/>
          <w:highlight w:val="none"/>
          <w:lang w:val="en-US" w:eastAsia="zh-CN"/>
          <w14:textFill>
            <w14:solidFill>
              <w14:schemeClr w14:val="tx1"/>
            </w14:solidFill>
          </w14:textFill>
        </w:rPr>
        <w:t>乙方</w:t>
      </w:r>
      <w:r>
        <w:rPr>
          <w:rFonts w:hint="eastAsia" w:ascii="宋体" w:hAnsi="宋体"/>
          <w:color w:val="000000" w:themeColor="text1"/>
          <w:highlight w:val="none"/>
          <w14:textFill>
            <w14:solidFill>
              <w14:schemeClr w14:val="tx1"/>
            </w14:solidFill>
          </w14:textFill>
        </w:rPr>
        <w:t>应当提交付款申请以及同等金额的增值税专用发票，</w:t>
      </w:r>
      <w:r>
        <w:rPr>
          <w:rFonts w:hint="eastAsia" w:ascii="宋体" w:hAnsi="宋体"/>
          <w:color w:val="000000" w:themeColor="text1"/>
          <w:highlight w:val="none"/>
          <w:lang w:val="en-US" w:eastAsia="zh-CN"/>
          <w14:textFill>
            <w14:solidFill>
              <w14:schemeClr w14:val="tx1"/>
            </w14:solidFill>
          </w14:textFill>
        </w:rPr>
        <w:t>甲方</w:t>
      </w:r>
      <w:r>
        <w:rPr>
          <w:rFonts w:hint="eastAsia" w:ascii="宋体" w:hAnsi="宋体"/>
          <w:color w:val="000000" w:themeColor="text1"/>
          <w:highlight w:val="none"/>
          <w14:textFill>
            <w14:solidFill>
              <w14:schemeClr w14:val="tx1"/>
            </w14:solidFill>
          </w14:textFill>
        </w:rPr>
        <w:t>复核无误后将在30日内支付。</w:t>
      </w:r>
    </w:p>
    <w:p w14:paraId="19197D7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2、根据考核制度每月汇总月度考核得分，考核按“</w:t>
      </w:r>
      <w:r>
        <w:rPr>
          <w:rFonts w:hint="eastAsia" w:ascii="宋体" w:hAnsi="宋体"/>
          <w:color w:val="000000" w:themeColor="text1"/>
          <w:highlight w:val="none"/>
          <w:lang w:eastAsia="zh-CN"/>
          <w14:textFill>
            <w14:solidFill>
              <w14:schemeClr w14:val="tx1"/>
            </w14:solidFill>
          </w14:textFill>
        </w:rPr>
        <w:t>市场化养护考核办法（暂定）</w:t>
      </w:r>
      <w:r>
        <w:rPr>
          <w:rFonts w:hint="eastAsia" w:ascii="宋体" w:hAnsi="宋体"/>
          <w:color w:val="000000" w:themeColor="text1"/>
          <w:highlight w:val="none"/>
          <w14:textFill>
            <w14:solidFill>
              <w14:schemeClr w14:val="tx1"/>
            </w14:solidFill>
          </w14:textFill>
        </w:rPr>
        <w:t>”进行评分。满分100分，80分（含80分）以上为合格，80分（不含80分）以下为不合格。</w:t>
      </w:r>
    </w:p>
    <w:p w14:paraId="232BF28B">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择优选择周边片区管养单位临时托管。或管养合同进行转包或未经甲方同意私自分包的，甲方有权单方终止承包方的管养合同，本年度剩余的养护经费不予结算，取消其下一轮续签养护合同资格且不得参与我局下一轮的养护投标工作。</w:t>
      </w:r>
    </w:p>
    <w:p w14:paraId="5F4B8CB0">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color w:val="000000" w:themeColor="text1"/>
          <w:highlight w:val="none"/>
          <w:lang w:val="en-US" w:eastAsia="zh-CN"/>
          <w14:textFill>
            <w14:solidFill>
              <w14:schemeClr w14:val="tx1"/>
            </w14:solidFill>
          </w14:textFill>
        </w:rPr>
        <w:t>一</w:t>
      </w:r>
      <w:r>
        <w:rPr>
          <w:rFonts w:hint="eastAsia" w:ascii="宋体" w:hAnsi="宋体"/>
          <w:color w:val="000000" w:themeColor="text1"/>
          <w:highlight w:val="none"/>
          <w14:textFill>
            <w14:solidFill>
              <w14:schemeClr w14:val="tx1"/>
            </w14:solidFill>
          </w14:textFill>
        </w:rPr>
        <w:t>年，因乙方原因造成安全事故的，甲方拒签下一年度合同。</w:t>
      </w:r>
    </w:p>
    <w:p w14:paraId="5EBF0A7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、甲方将以工程任务通知单形式将所辖市政设施维修工作通知乙方，乙方负责及时修复，所有费用由乙方自行考虑，包含在本次投标总价中，不再额外列支。</w:t>
      </w:r>
    </w:p>
    <w:p w14:paraId="3AC786E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6</w:t>
      </w:r>
      <w:r>
        <w:rPr>
          <w:rFonts w:hint="eastAsia" w:ascii="宋体" w:hAnsi="宋体"/>
          <w:color w:val="000000" w:themeColor="text1"/>
          <w:highlight w:val="none"/>
          <w14:textFill>
            <w14:solidFill>
              <w14:schemeClr w14:val="tx1"/>
            </w14:solidFill>
          </w14:textFill>
        </w:rPr>
        <w:t>、养护必须符合维修质量要求，若不符合其质量要求，由乙方无偿返工。若因乙方原因不能按时保质完成，则甲方有权另外安排单位维修并视情节严重性进行处罚，其相应养护维修费用将从乙方养护费用中扣除。</w:t>
      </w:r>
    </w:p>
    <w:p w14:paraId="2522EB5A">
      <w:pPr>
        <w:spacing w:line="360" w:lineRule="auto"/>
        <w:ind w:firstLine="422" w:firstLineChars="200"/>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w:t>
      </w:r>
      <w:r>
        <w:rPr>
          <w:rFonts w:hint="eastAsia" w:ascii="宋体" w:hAnsi="宋体"/>
          <w:b/>
          <w:color w:val="000000" w:themeColor="text1"/>
          <w:highlight w:val="none"/>
          <w:lang w:eastAsia="zh-CN"/>
          <w14:textFill>
            <w14:solidFill>
              <w14:schemeClr w14:val="tx1"/>
            </w14:solidFill>
          </w14:textFill>
        </w:rPr>
        <w:t>九</w:t>
      </w:r>
      <w:r>
        <w:rPr>
          <w:rFonts w:hint="eastAsia" w:ascii="宋体" w:hAnsi="宋体"/>
          <w:b/>
          <w:color w:val="000000" w:themeColor="text1"/>
          <w:highlight w:val="none"/>
          <w14:textFill>
            <w14:solidFill>
              <w14:schemeClr w14:val="tx1"/>
            </w14:solidFill>
          </w14:textFill>
        </w:rPr>
        <w:t>条 违约责任</w:t>
      </w:r>
    </w:p>
    <w:p w14:paraId="6C6FB0E2">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1、乙方实施下列行为之一的，乙方应向甲方支付合同总价</w:t>
      </w:r>
      <w:r>
        <w:rPr>
          <w:rFonts w:hint="eastAsia" w:ascii="宋体" w:hAnsi="宋体"/>
          <w:color w:val="000000" w:themeColor="text1"/>
          <w:kern w:val="0"/>
          <w:highlight w:val="none"/>
          <w:lang w:val="en-US" w:eastAsia="zh-CN"/>
          <w14:textFill>
            <w14:solidFill>
              <w14:schemeClr w14:val="tx1"/>
            </w14:solidFill>
          </w14:textFill>
        </w:rPr>
        <w:t>1</w:t>
      </w:r>
      <w:r>
        <w:rPr>
          <w:rFonts w:hint="eastAsia" w:ascii="宋体" w:hAnsi="宋体"/>
          <w:color w:val="000000" w:themeColor="text1"/>
          <w:kern w:val="0"/>
          <w:highlight w:val="none"/>
          <w14:textFill>
            <w14:solidFill>
              <w14:schemeClr w14:val="tx1"/>
            </w14:solidFill>
          </w14:textFill>
        </w:rPr>
        <w:t>5%的违约金，甲方有权解除合同，并有权要求乙方赔偿损失。</w:t>
      </w:r>
    </w:p>
    <w:p w14:paraId="1BD9DA9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①提供的服务不满足考核要求。</w:t>
      </w:r>
    </w:p>
    <w:p w14:paraId="0A32D944">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②未完成合同约定的服务任务。</w:t>
      </w:r>
    </w:p>
    <w:p w14:paraId="699BBF27">
      <w:pPr>
        <w:widowControl/>
        <w:shd w:val="clear" w:color="auto" w:fill="FFFFFF"/>
        <w:spacing w:line="360" w:lineRule="auto"/>
        <w:ind w:firstLine="420"/>
        <w:jc w:val="left"/>
        <w:rPr>
          <w:rFonts w:hint="eastAsia"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2、如因乙方养护不当或过错造成甲方的绿化苗木、草坪等毁损的，乙方应予以赔偿；</w:t>
      </w:r>
    </w:p>
    <w:p w14:paraId="5564A468">
      <w:pPr>
        <w:widowControl/>
        <w:shd w:val="clear" w:color="auto" w:fill="FFFFFF"/>
        <w:spacing w:line="360" w:lineRule="auto"/>
        <w:ind w:firstLine="420"/>
        <w:jc w:val="left"/>
        <w:rPr>
          <w:rFonts w:hint="eastAsia"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3、乙方私自转包或分包的，甲方有权单方解除合同，同时乙方按合同总价的</w:t>
      </w:r>
      <w:r>
        <w:rPr>
          <w:rFonts w:hint="eastAsia" w:ascii="宋体" w:hAnsi="宋体"/>
          <w:color w:val="000000" w:themeColor="text1"/>
          <w:kern w:val="0"/>
          <w:highlight w:val="none"/>
          <w:lang w:val="en-US" w:eastAsia="zh-CN"/>
          <w14:textFill>
            <w14:solidFill>
              <w14:schemeClr w14:val="tx1"/>
            </w14:solidFill>
          </w14:textFill>
        </w:rPr>
        <w:t>15</w:t>
      </w:r>
      <w:r>
        <w:rPr>
          <w:rFonts w:hint="eastAsia" w:ascii="宋体" w:hAnsi="宋体"/>
          <w:color w:val="000000" w:themeColor="text1"/>
          <w:kern w:val="0"/>
          <w:highlight w:val="none"/>
          <w14:textFill>
            <w14:solidFill>
              <w14:schemeClr w14:val="tx1"/>
            </w14:solidFill>
          </w14:textFill>
        </w:rPr>
        <w:t>%向甲方支付违约金。</w:t>
      </w:r>
    </w:p>
    <w:p w14:paraId="0D5AACA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4、由于不可抗力原因使甲、乙方无法履约，可不执行违约责任条款，由双方协商解决。</w:t>
      </w:r>
    </w:p>
    <w:p w14:paraId="24213D84">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5、乙方因人员、机械等跟不上管理需要影响工作，未达到质量标准或养护计划，经检查第一次不合格的，甲方要求乙方限期整改；第二次仍不合格的，甲方有权单方终止本合同。</w:t>
      </w:r>
    </w:p>
    <w:p w14:paraId="248EC70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6、上述违约金不能补偿对方损失时，双方有权向对方追索实际损失的赔偿金。</w:t>
      </w:r>
    </w:p>
    <w:p w14:paraId="2625620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7、乙方违反规定的行为均属违约行为，甲方根据其条款规定，视乙方违反规定的情节轻重，做出批评教育、警告、扣罚处理；情况严重者，甲方有权单方终止本合同，乙方自行承担一切经济损失和法律责任。</w:t>
      </w:r>
    </w:p>
    <w:p w14:paraId="77C2F322">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第十条 合同的变更和终止</w:t>
      </w:r>
    </w:p>
    <w:p w14:paraId="408E4C34">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一、本合同一经签订，甲乙双方不得擅自变更、中止或终止合同。</w:t>
      </w:r>
    </w:p>
    <w:p w14:paraId="6E48D34D">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55DDEED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000000" w:themeColor="text1"/>
          <w:kern w:val="0"/>
          <w:highlight w:val="none"/>
          <w14:textFill>
            <w14:solidFill>
              <w14:schemeClr w14:val="tx1"/>
            </w14:solidFill>
          </w14:textFill>
        </w:rPr>
        <w:t>除发生法律规定的不能预见、不能避免并不能克服的客观情况外，甲乙双方不得放弃或拒绝履行合同。乙方放弃或拒绝履行合同，在三年内不得参加甲方的招标活动。</w:t>
      </w:r>
    </w:p>
    <w:p w14:paraId="4105E0B1">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一</w:t>
      </w:r>
      <w:r>
        <w:rPr>
          <w:rFonts w:hint="eastAsia" w:ascii="宋体" w:hAnsi="宋体"/>
          <w:b/>
          <w:color w:val="000000" w:themeColor="text1"/>
          <w:highlight w:val="none"/>
          <w14:textFill>
            <w14:solidFill>
              <w14:schemeClr w14:val="tx1"/>
            </w14:solidFill>
          </w14:textFill>
        </w:rPr>
        <w:t>条 合同的转让</w:t>
      </w:r>
    </w:p>
    <w:p w14:paraId="099A1B68">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乙方不得擅自部分或全部转让其应履行的合同义务。</w:t>
      </w:r>
    </w:p>
    <w:p w14:paraId="692F609B">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二</w:t>
      </w:r>
      <w:r>
        <w:rPr>
          <w:rFonts w:hint="eastAsia" w:ascii="宋体" w:hAnsi="宋体"/>
          <w:b/>
          <w:color w:val="000000" w:themeColor="text1"/>
          <w:highlight w:val="none"/>
          <w14:textFill>
            <w14:solidFill>
              <w14:schemeClr w14:val="tx1"/>
            </w14:solidFill>
          </w14:textFill>
        </w:rPr>
        <w:t>条 争议的解决</w:t>
      </w:r>
    </w:p>
    <w:p w14:paraId="0A34A9DB">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一、因履行本合同引起的或与本合同有关的争议，甲、乙双方应首先通过友好协商解决，如果协商不能解决争议，则采取以下第</w:t>
      </w:r>
      <w:r>
        <w:rPr>
          <w:rFonts w:hint="eastAsia" w:ascii="宋体" w:hAnsi="宋体"/>
          <w:b/>
          <w:bCs/>
          <w:color w:val="000000" w:themeColor="text1"/>
          <w:highlight w:val="none"/>
          <w:lang w:val="en-US" w:eastAsia="zh-CN"/>
          <w14:textFill>
            <w14:solidFill>
              <w14:schemeClr w14:val="tx1"/>
            </w14:solidFill>
          </w14:textFill>
        </w:rPr>
        <w:t>1</w:t>
      </w:r>
      <w:r>
        <w:rPr>
          <w:rFonts w:hint="eastAsia" w:ascii="宋体" w:hAnsi="宋体"/>
          <w:color w:val="000000" w:themeColor="text1"/>
          <w:highlight w:val="none"/>
          <w14:textFill>
            <w14:solidFill>
              <w14:schemeClr w14:val="tx1"/>
            </w14:solidFill>
          </w14:textFill>
        </w:rPr>
        <w:t>种方式解决争议：</w:t>
      </w:r>
    </w:p>
    <w:p w14:paraId="5827A035">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1、向甲方所在地有管辖权的人民法院提起诉讼；</w:t>
      </w:r>
    </w:p>
    <w:p w14:paraId="0265AAC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2、向南京市仲裁委员会按其仲裁规则申请仲裁。</w:t>
      </w:r>
    </w:p>
    <w:p w14:paraId="2AAF9C1C">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二、在仲裁</w:t>
      </w:r>
      <w:r>
        <w:rPr>
          <w:rFonts w:hint="eastAsia" w:ascii="宋体" w:hAnsi="宋体"/>
          <w:color w:val="000000" w:themeColor="text1"/>
          <w:highlight w:val="none"/>
          <w:lang w:val="en-US" w:eastAsia="zh-CN"/>
          <w14:textFill>
            <w14:solidFill>
              <w14:schemeClr w14:val="tx1"/>
            </w14:solidFill>
          </w14:textFill>
        </w:rPr>
        <w:t>或诉讼</w:t>
      </w:r>
      <w:r>
        <w:rPr>
          <w:rFonts w:hint="eastAsia" w:ascii="宋体" w:hAnsi="宋体"/>
          <w:color w:val="000000" w:themeColor="text1"/>
          <w:highlight w:val="none"/>
          <w14:textFill>
            <w14:solidFill>
              <w14:schemeClr w14:val="tx1"/>
            </w14:solidFill>
          </w14:textFill>
        </w:rPr>
        <w:t>期间，本合同应继续履行。</w:t>
      </w:r>
    </w:p>
    <w:p w14:paraId="16488DC8">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三</w:t>
      </w:r>
      <w:r>
        <w:rPr>
          <w:rFonts w:hint="eastAsia" w:ascii="宋体" w:hAnsi="宋体"/>
          <w:b/>
          <w:color w:val="000000" w:themeColor="text1"/>
          <w:highlight w:val="none"/>
          <w14:textFill>
            <w14:solidFill>
              <w14:schemeClr w14:val="tx1"/>
            </w14:solidFill>
          </w14:textFill>
        </w:rPr>
        <w:t>条 诚实信用</w:t>
      </w:r>
    </w:p>
    <w:p w14:paraId="2A11C34B">
      <w:pPr>
        <w:autoSpaceDE w:val="0"/>
        <w:autoSpaceDN w:val="0"/>
        <w:adjustRightInd w:val="0"/>
        <w:spacing w:line="360" w:lineRule="auto"/>
        <w:ind w:firstLine="420" w:firstLineChars="200"/>
        <w:jc w:val="left"/>
        <w:rPr>
          <w:rFonts w:ascii="宋体" w:hAnsi="宋体"/>
          <w:b/>
          <w:bCs/>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乙方应诚实信用，严格按照招标文件要求和承诺履行合同，不向甲方进行商业贿赂或者提供不正当利益。</w:t>
      </w:r>
      <w:r>
        <w:rPr>
          <w:rFonts w:hint="eastAsia" w:ascii="宋体" w:hAnsi="宋体"/>
          <w:b/>
          <w:bCs/>
          <w:color w:val="000000" w:themeColor="text1"/>
          <w:highlight w:val="none"/>
          <w:lang w:val="zh-CN"/>
          <w14:textFill>
            <w14:solidFill>
              <w14:schemeClr w14:val="tx1"/>
            </w14:solidFill>
          </w14:textFill>
        </w:rPr>
        <w:t xml:space="preserve"> </w:t>
      </w:r>
    </w:p>
    <w:p w14:paraId="37D32FEC">
      <w:pPr>
        <w:pStyle w:val="21"/>
        <w:ind w:left="0" w:leftChars="0" w:right="1470" w:firstLine="422" w:firstLineChars="200"/>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四</w:t>
      </w:r>
      <w:r>
        <w:rPr>
          <w:rFonts w:hint="eastAsia" w:ascii="宋体" w:hAnsi="宋体"/>
          <w:b/>
          <w:color w:val="000000" w:themeColor="text1"/>
          <w:highlight w:val="none"/>
          <w14:textFill>
            <w14:solidFill>
              <w14:schemeClr w14:val="tx1"/>
            </w14:solidFill>
          </w14:textFill>
        </w:rPr>
        <w:t>条 其他约定</w:t>
      </w:r>
    </w:p>
    <w:p w14:paraId="30BCEC38">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1、乙方向甲方出示本项目所有人员的劳务合同原件、身份证原件，并将劳务合同复印件、身份证复印件交甲方备案。</w:t>
      </w:r>
    </w:p>
    <w:p w14:paraId="7F981E5A">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2、乙方向甲方出示管理人员资格证书原件（必要时），并将复印件交甲方备案。</w:t>
      </w:r>
    </w:p>
    <w:p w14:paraId="6574D34D">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3、乙方应自觉接受甲方及有关部门对合同履行情况的监督和考核，接受甲方考核制度及奖惩制度的规定。</w:t>
      </w:r>
    </w:p>
    <w:p w14:paraId="4BBBD778">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4、乙方的</w:t>
      </w:r>
      <w:r>
        <w:rPr>
          <w:rFonts w:hint="eastAsia" w:ascii="宋体" w:hAnsi="宋体"/>
          <w:color w:val="000000" w:themeColor="text1"/>
          <w:kern w:val="0"/>
          <w:highlight w:val="none"/>
          <w:u w:val="wave"/>
          <w14:textFill>
            <w14:solidFill>
              <w14:schemeClr w14:val="tx1"/>
            </w14:solidFill>
          </w14:textFill>
        </w:rPr>
        <w:t>管理人员</w:t>
      </w:r>
      <w:r>
        <w:rPr>
          <w:rFonts w:hint="eastAsia" w:ascii="宋体" w:hAnsi="宋体"/>
          <w:color w:val="000000" w:themeColor="text1"/>
          <w:kern w:val="0"/>
          <w:highlight w:val="none"/>
          <w14:textFill>
            <w14:solidFill>
              <w14:schemeClr w14:val="tx1"/>
            </w14:solidFill>
          </w14:textFill>
        </w:rPr>
        <w:t>调整，应提前3天书面通知甲方。经甲方同意后，出示新来</w:t>
      </w:r>
      <w:r>
        <w:rPr>
          <w:rFonts w:hint="eastAsia" w:ascii="宋体" w:hAnsi="宋体"/>
          <w:color w:val="000000" w:themeColor="text1"/>
          <w:kern w:val="0"/>
          <w:highlight w:val="none"/>
          <w:u w:val="wave"/>
          <w14:textFill>
            <w14:solidFill>
              <w14:schemeClr w14:val="tx1"/>
            </w14:solidFill>
          </w14:textFill>
        </w:rPr>
        <w:t>管理人员</w:t>
      </w:r>
      <w:r>
        <w:rPr>
          <w:rFonts w:hint="eastAsia" w:ascii="宋体" w:hAnsi="宋体"/>
          <w:color w:val="000000" w:themeColor="text1"/>
          <w:kern w:val="0"/>
          <w:highlight w:val="none"/>
          <w14:textFill>
            <w14:solidFill>
              <w14:schemeClr w14:val="tx1"/>
            </w14:solidFill>
          </w14:textFill>
        </w:rPr>
        <w:t>的劳务合同原件、身份证原件，并将劳务合同复印件、身份证复印件送甲方备案。未经甲方书面同意，视为违约。</w:t>
      </w:r>
    </w:p>
    <w:p w14:paraId="2459F892">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5、乙方在考核、检查等各项活动中，做到各项检查合格并力争创优争先。</w:t>
      </w:r>
    </w:p>
    <w:p w14:paraId="1F5FCACE">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6、合同期内甲方需增加同类服务工作量的，甲乙双方另行约定。</w:t>
      </w:r>
    </w:p>
    <w:p w14:paraId="607BD0AC">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7、乙方应按规定做好安全作业等相关工作，并承担任何在承包期内所有绿化养护人员（含管理人员）安全责任事故的全部责任。</w:t>
      </w:r>
    </w:p>
    <w:p w14:paraId="36D4DF33">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五</w:t>
      </w:r>
      <w:r>
        <w:rPr>
          <w:rFonts w:hint="eastAsia" w:ascii="宋体" w:hAnsi="宋体"/>
          <w:b/>
          <w:color w:val="000000" w:themeColor="text1"/>
          <w:highlight w:val="none"/>
          <w14:textFill>
            <w14:solidFill>
              <w14:schemeClr w14:val="tx1"/>
            </w14:solidFill>
          </w14:textFill>
        </w:rPr>
        <w:t>条 合同生效及其他</w:t>
      </w:r>
    </w:p>
    <w:p w14:paraId="0C300498">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一、本合同应按照中华人民共和国的现行法律进行解释</w:t>
      </w:r>
    </w:p>
    <w:p w14:paraId="3185A42C">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二、本合同签订后，双方如需要提出修改或增加条款时，需经双方协商一致后，可以签订补充协议，补充协议与本合同具有同等的法律效力。</w:t>
      </w:r>
    </w:p>
    <w:p w14:paraId="7A81220A">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三、本合同一式陆份。甲方执叁份，乙方执叁份。</w:t>
      </w:r>
    </w:p>
    <w:p w14:paraId="2DE87284">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四、本合同双方盖骑缝章。</w:t>
      </w:r>
    </w:p>
    <w:p w14:paraId="09B5227C">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五、本合同自双方签字盖章即生效。</w:t>
      </w:r>
    </w:p>
    <w:p w14:paraId="6FF46780">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附件1：日常管养服务标段绿化明细清单</w:t>
      </w:r>
    </w:p>
    <w:p w14:paraId="03420152">
      <w:pPr>
        <w:autoSpaceDE w:val="0"/>
        <w:autoSpaceDN w:val="0"/>
        <w:adjustRightInd w:val="0"/>
        <w:spacing w:line="360" w:lineRule="auto"/>
        <w:ind w:firstLine="420" w:firstLineChars="200"/>
        <w:jc w:val="left"/>
        <w:rPr>
          <w:rFonts w:hint="eastAsia" w:ascii="宋体" w:hAnsi="宋体"/>
          <w:b w:val="0"/>
          <w:bCs w:val="0"/>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附件2：</w:t>
      </w:r>
      <w:r>
        <w:rPr>
          <w:rFonts w:hint="eastAsia" w:ascii="新宋体" w:hAnsi="新宋体" w:eastAsia="新宋体"/>
          <w:b w:val="0"/>
          <w:bCs w:val="0"/>
          <w:color w:val="000000" w:themeColor="text1"/>
          <w:highlight w:val="none"/>
          <w:lang w:val="en-US" w:eastAsia="zh-CN"/>
          <w14:textFill>
            <w14:solidFill>
              <w14:schemeClr w14:val="tx1"/>
            </w14:solidFill>
          </w14:textFill>
        </w:rPr>
        <w:t>《</w:t>
      </w:r>
      <w:r>
        <w:rPr>
          <w:rFonts w:hint="eastAsia" w:ascii="新宋体" w:hAnsi="新宋体" w:eastAsia="新宋体"/>
          <w:b w:val="0"/>
          <w:bCs w:val="0"/>
          <w:color w:val="000000" w:themeColor="text1"/>
          <w:highlight w:val="none"/>
          <w:lang w:eastAsia="zh-CN"/>
          <w14:textFill>
            <w14:solidFill>
              <w14:schemeClr w14:val="tx1"/>
            </w14:solidFill>
          </w14:textFill>
        </w:rPr>
        <w:t>市场化养护考核办法（暂定）</w:t>
      </w:r>
      <w:r>
        <w:rPr>
          <w:rFonts w:hint="eastAsia" w:ascii="新宋体" w:hAnsi="新宋体" w:eastAsia="新宋体"/>
          <w:b w:val="0"/>
          <w:bCs w:val="0"/>
          <w:color w:val="000000" w:themeColor="text1"/>
          <w:highlight w:val="none"/>
          <w:lang w:val="en-US" w:eastAsia="zh-CN"/>
          <w14:textFill>
            <w14:solidFill>
              <w14:schemeClr w14:val="tx1"/>
            </w14:solidFill>
          </w14:textFill>
        </w:rPr>
        <w:t>》</w:t>
      </w:r>
    </w:p>
    <w:p w14:paraId="59EBF5E3">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附件3：乙方营业执照、人员表、设备表及服务承诺</w:t>
      </w:r>
    </w:p>
    <w:p w14:paraId="162716CA">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附件4：安全施工与文明现场协议书</w:t>
      </w:r>
    </w:p>
    <w:p w14:paraId="6D7865DD">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附件5：廉政管理协议书</w:t>
      </w:r>
    </w:p>
    <w:p w14:paraId="5C8EA358">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附件6：安全生产责任承诺书</w:t>
      </w:r>
    </w:p>
    <w:p w14:paraId="2D99464B">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ascii="宋体" w:hAnsi="宋体"/>
          <w:color w:val="000000" w:themeColor="text1"/>
          <w:highlight w:val="none"/>
          <w:lang w:val="zh-CN"/>
          <w14:textFill>
            <w14:solidFill>
              <w14:schemeClr w14:val="tx1"/>
            </w14:solidFill>
          </w14:textFill>
        </w:rPr>
        <w:br w:type="page"/>
      </w:r>
      <w:r>
        <w:rPr>
          <w:rFonts w:ascii="宋体" w:hAnsi="宋体"/>
          <w:color w:val="000000" w:themeColor="text1"/>
          <w:highlight w:val="none"/>
          <w:lang w:val="zh-CN"/>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lang w:val="zh-CN"/>
          <w14:textFill>
            <w14:solidFill>
              <w14:schemeClr w14:val="tx1"/>
            </w14:solidFill>
          </w14:textFill>
        </w:rPr>
        <w:t>（本页无正文）</w:t>
      </w:r>
    </w:p>
    <w:p w14:paraId="2C55FB08">
      <w:pPr>
        <w:pStyle w:val="21"/>
        <w:rPr>
          <w:color w:val="000000" w:themeColor="text1"/>
          <w:highlight w:val="none"/>
          <w:lang w:val="zh-CN"/>
          <w14:textFill>
            <w14:solidFill>
              <w14:schemeClr w14:val="tx1"/>
            </w14:solidFill>
          </w14:textFill>
        </w:rPr>
      </w:pPr>
    </w:p>
    <w:p w14:paraId="4BD571F1">
      <w:pPr>
        <w:spacing w:line="360" w:lineRule="auto"/>
        <w:ind w:firstLine="1026" w:firstLineChars="426"/>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甲方</w:t>
      </w:r>
      <w:r>
        <w:rPr>
          <w:rFonts w:hint="eastAsia" w:ascii="宋体" w:hAnsi="宋体"/>
          <w:color w:val="000000" w:themeColor="text1"/>
          <w:sz w:val="24"/>
          <w:highlight w:val="none"/>
          <w14:textFill>
            <w14:solidFill>
              <w14:schemeClr w14:val="tx1"/>
            </w14:solidFill>
          </w14:textFill>
        </w:rPr>
        <w:t xml:space="preserve">（盖章）                     </w:t>
      </w:r>
      <w:r>
        <w:rPr>
          <w:rFonts w:hint="eastAsia" w:ascii="宋体" w:hAnsi="宋体"/>
          <w:b/>
          <w:color w:val="000000" w:themeColor="text1"/>
          <w:sz w:val="24"/>
          <w:highlight w:val="none"/>
          <w14:textFill>
            <w14:solidFill>
              <w14:schemeClr w14:val="tx1"/>
            </w14:solidFill>
          </w14:textFill>
        </w:rPr>
        <w:t>乙方</w:t>
      </w:r>
      <w:r>
        <w:rPr>
          <w:rFonts w:hint="eastAsia" w:ascii="宋体" w:hAnsi="宋体"/>
          <w:color w:val="000000" w:themeColor="text1"/>
          <w:sz w:val="24"/>
          <w:highlight w:val="none"/>
          <w14:textFill>
            <w14:solidFill>
              <w14:schemeClr w14:val="tx1"/>
            </w14:solidFill>
          </w14:textFill>
        </w:rPr>
        <w:t>（盖章）</w:t>
      </w:r>
    </w:p>
    <w:p w14:paraId="129D4B65">
      <w:pPr>
        <w:spacing w:line="360" w:lineRule="auto"/>
        <w:ind w:firstLine="1026" w:firstLineChars="426"/>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法定代表人</w:t>
      </w:r>
      <w:r>
        <w:rPr>
          <w:rFonts w:hint="eastAsia" w:ascii="宋体" w:hAnsi="宋体"/>
          <w:color w:val="000000" w:themeColor="text1"/>
          <w:sz w:val="24"/>
          <w:highlight w:val="none"/>
          <w14:textFill>
            <w14:solidFill>
              <w14:schemeClr w14:val="tx1"/>
            </w14:solidFill>
          </w14:textFill>
        </w:rPr>
        <w:t xml:space="preserve">（签字）            </w:t>
      </w:r>
      <w:r>
        <w:rPr>
          <w:rFonts w:hint="eastAsia" w:ascii="宋体" w:hAnsi="宋体"/>
          <w:b/>
          <w:color w:val="000000" w:themeColor="text1"/>
          <w:sz w:val="24"/>
          <w:highlight w:val="none"/>
          <w14:textFill>
            <w14:solidFill>
              <w14:schemeClr w14:val="tx1"/>
            </w14:solidFill>
          </w14:textFill>
        </w:rPr>
        <w:t xml:space="preserve">   法定代表人</w:t>
      </w:r>
      <w:r>
        <w:rPr>
          <w:rFonts w:hint="eastAsia" w:ascii="宋体" w:hAnsi="宋体"/>
          <w:color w:val="000000" w:themeColor="text1"/>
          <w:sz w:val="24"/>
          <w:highlight w:val="none"/>
          <w14:textFill>
            <w14:solidFill>
              <w14:schemeClr w14:val="tx1"/>
            </w14:solidFill>
          </w14:textFill>
        </w:rPr>
        <w:t>（签字）</w:t>
      </w:r>
    </w:p>
    <w:p w14:paraId="30E2DCE5">
      <w:pPr>
        <w:spacing w:line="360" w:lineRule="auto"/>
        <w:ind w:firstLine="1026" w:firstLineChars="42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地址：</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地址：</w:t>
      </w:r>
      <w:r>
        <w:rPr>
          <w:rFonts w:hint="eastAsia" w:ascii="宋体" w:hAnsi="宋体"/>
          <w:color w:val="000000" w:themeColor="text1"/>
          <w:sz w:val="24"/>
          <w:highlight w:val="none"/>
          <w14:textFill>
            <w14:solidFill>
              <w14:schemeClr w14:val="tx1"/>
            </w14:solidFill>
          </w14:textFill>
        </w:rPr>
        <w:t xml:space="preserve">             </w:t>
      </w:r>
    </w:p>
    <w:p w14:paraId="7C0D907D">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开户银行：                       开户银行：</w:t>
      </w:r>
      <w:r>
        <w:rPr>
          <w:rFonts w:hint="eastAsia" w:ascii="宋体" w:hAnsi="宋体"/>
          <w:b/>
          <w:color w:val="000000" w:themeColor="text1"/>
          <w:sz w:val="24"/>
          <w:highlight w:val="none"/>
          <w14:textFill>
            <w14:solidFill>
              <w14:schemeClr w14:val="tx1"/>
            </w14:solidFill>
          </w14:textFill>
        </w:rPr>
        <w:t xml:space="preserve">                     </w:t>
      </w:r>
    </w:p>
    <w:p w14:paraId="1A6206DA">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账号：</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账号：</w:t>
      </w:r>
    </w:p>
    <w:p w14:paraId="3CD8B810">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联系电话：</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p>
    <w:p w14:paraId="24437F4A">
      <w:pPr>
        <w:spacing w:line="360" w:lineRule="auto"/>
        <w:ind w:firstLine="1022" w:firstLineChars="42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    真：</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传    真：</w:t>
      </w:r>
    </w:p>
    <w:p w14:paraId="5C982D25">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邮政编码：</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邮政编码：</w:t>
      </w:r>
    </w:p>
    <w:p w14:paraId="4D3EDFF1">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合同签订地点：                  </w:t>
      </w:r>
    </w:p>
    <w:p w14:paraId="387DF146">
      <w:pPr>
        <w:spacing w:line="360" w:lineRule="auto"/>
        <w:ind w:firstLine="1022" w:firstLineChars="42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合同签订日期：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年  月  日　</w:t>
      </w:r>
    </w:p>
    <w:p w14:paraId="32D45A95">
      <w:pPr>
        <w:pStyle w:val="21"/>
        <w:ind w:left="1470" w:right="1470"/>
        <w:rPr>
          <w:rFonts w:hint="eastAsia"/>
          <w:color w:val="000000" w:themeColor="text1"/>
          <w:highlight w:val="none"/>
          <w14:textFill>
            <w14:solidFill>
              <w14:schemeClr w14:val="tx1"/>
            </w14:solidFill>
          </w14:textFill>
        </w:rPr>
      </w:pPr>
    </w:p>
    <w:p w14:paraId="353F3474">
      <w:pPr>
        <w:spacing w:line="480" w:lineRule="auto"/>
        <w:rPr>
          <w:rFonts w:ascii="新宋体" w:hAnsi="新宋体" w:eastAsia="新宋体"/>
          <w:b/>
          <w:bCs/>
          <w:color w:val="000000" w:themeColor="text1"/>
          <w:sz w:val="21"/>
          <w:szCs w:val="21"/>
          <w:highlight w:val="none"/>
          <w14:textFill>
            <w14:solidFill>
              <w14:schemeClr w14:val="tx1"/>
            </w14:solidFill>
          </w14:textFill>
        </w:rPr>
      </w:pPr>
      <w:r>
        <w:rPr>
          <w:rFonts w:ascii="新宋体" w:hAnsi="新宋体" w:eastAsia="新宋体"/>
          <w:b/>
          <w:bCs/>
          <w:color w:val="000000" w:themeColor="text1"/>
          <w:sz w:val="24"/>
          <w:highlight w:val="none"/>
          <w14:textFill>
            <w14:solidFill>
              <w14:schemeClr w14:val="tx1"/>
            </w14:solidFill>
          </w14:textFill>
        </w:rPr>
        <w:br w:type="page"/>
      </w:r>
      <w:r>
        <w:rPr>
          <w:rFonts w:hint="eastAsia" w:ascii="新宋体" w:hAnsi="新宋体" w:eastAsia="新宋体"/>
          <w:b/>
          <w:bCs/>
          <w:color w:val="000000" w:themeColor="text1"/>
          <w:sz w:val="21"/>
          <w:szCs w:val="21"/>
          <w:highlight w:val="none"/>
          <w14:textFill>
            <w14:solidFill>
              <w14:schemeClr w14:val="tx1"/>
            </w14:solidFill>
          </w14:textFill>
        </w:rPr>
        <w:t>附件1：日常管养服务标段绿化明细清单</w:t>
      </w:r>
    </w:p>
    <w:p w14:paraId="2F996175">
      <w:pP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（截取中标人投标文件中费用明细）</w:t>
      </w:r>
    </w:p>
    <w:p w14:paraId="60E14AE1">
      <w:pPr>
        <w:spacing w:line="480" w:lineRule="auto"/>
        <w:rPr>
          <w:rFonts w:hint="eastAsia" w:ascii="宋体" w:hAnsi="宋体"/>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2</w:t>
      </w:r>
      <w:r>
        <w:rPr>
          <w:rFonts w:hint="eastAsia" w:ascii="新宋体" w:hAnsi="新宋体" w:eastAsia="新宋体"/>
          <w:b/>
          <w:bCs/>
          <w:color w:val="000000" w:themeColor="text1"/>
          <w:sz w:val="21"/>
          <w:szCs w:val="21"/>
          <w:highlight w:val="none"/>
          <w14:textFill>
            <w14:solidFill>
              <w14:schemeClr w14:val="tx1"/>
            </w14:solidFill>
          </w14:textFill>
        </w:rPr>
        <w:t>：</w:t>
      </w:r>
      <w:r>
        <w:rPr>
          <w:rFonts w:hint="eastAsia" w:ascii="新宋体" w:hAnsi="新宋体" w:eastAsia="新宋体"/>
          <w:b/>
          <w:bCs/>
          <w:color w:val="000000" w:themeColor="text1"/>
          <w:szCs w:val="21"/>
          <w:highlight w:val="none"/>
          <w:lang w:val="en-US" w:eastAsia="zh-CN"/>
          <w14:textFill>
            <w14:solidFill>
              <w14:schemeClr w14:val="tx1"/>
            </w14:solidFill>
          </w14:textFill>
        </w:rPr>
        <w:t>《</w:t>
      </w:r>
      <w:r>
        <w:rPr>
          <w:rFonts w:hint="eastAsia" w:ascii="新宋体" w:hAnsi="新宋体" w:eastAsia="新宋体"/>
          <w:b/>
          <w:bCs/>
          <w:color w:val="000000" w:themeColor="text1"/>
          <w:szCs w:val="21"/>
          <w:highlight w:val="none"/>
          <w:lang w:eastAsia="zh-CN"/>
          <w14:textFill>
            <w14:solidFill>
              <w14:schemeClr w14:val="tx1"/>
            </w14:solidFill>
          </w14:textFill>
        </w:rPr>
        <w:t>市场化养护考核办法（暂定）</w:t>
      </w:r>
      <w:r>
        <w:rPr>
          <w:rFonts w:hint="eastAsia" w:ascii="新宋体" w:hAnsi="新宋体" w:eastAsia="新宋体"/>
          <w:b/>
          <w:bCs/>
          <w:color w:val="000000" w:themeColor="text1"/>
          <w:szCs w:val="21"/>
          <w:highlight w:val="none"/>
          <w:lang w:val="en-US" w:eastAsia="zh-CN"/>
          <w14:textFill>
            <w14:solidFill>
              <w14:schemeClr w14:val="tx1"/>
            </w14:solidFill>
          </w14:textFill>
        </w:rPr>
        <w:t>》</w:t>
      </w:r>
    </w:p>
    <w:bookmarkEnd w:id="19"/>
    <w:bookmarkEnd w:id="20"/>
    <w:bookmarkEnd w:id="21"/>
    <w:bookmarkEnd w:id="22"/>
    <w:bookmarkEnd w:id="23"/>
    <w:bookmarkEnd w:id="24"/>
    <w:p w14:paraId="7978201C">
      <w:pPr>
        <w:pStyle w:val="21"/>
        <w:ind w:left="426" w:leftChars="203" w:right="109" w:rightChars="52"/>
        <w:jc w:val="center"/>
        <w:rPr>
          <w:rFonts w:hint="eastAsia" w:ascii="仿宋" w:hAnsi="仿宋" w:eastAsia="仿宋" w:cs="仿宋"/>
          <w:b/>
          <w:sz w:val="21"/>
          <w:szCs w:val="21"/>
          <w:highlight w:val="none"/>
          <w:lang w:eastAsia="zh-CN"/>
        </w:rPr>
      </w:pPr>
      <w:bookmarkStart w:id="29" w:name="_Toc417484160"/>
      <w:r>
        <w:rPr>
          <w:rFonts w:hint="eastAsia" w:ascii="仿宋" w:hAnsi="仿宋" w:eastAsia="仿宋" w:cs="仿宋"/>
          <w:b/>
          <w:sz w:val="21"/>
          <w:szCs w:val="21"/>
          <w:highlight w:val="none"/>
          <w:lang w:val="en-US" w:eastAsia="zh-CN"/>
        </w:rPr>
        <w:t>市场化</w:t>
      </w:r>
      <w:r>
        <w:rPr>
          <w:rFonts w:hint="eastAsia" w:ascii="仿宋" w:hAnsi="仿宋" w:eastAsia="仿宋" w:cs="仿宋"/>
          <w:b/>
          <w:sz w:val="21"/>
          <w:szCs w:val="21"/>
          <w:highlight w:val="none"/>
        </w:rPr>
        <w:t>养护考核办法</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lang w:val="en-US" w:eastAsia="zh-CN"/>
        </w:rPr>
        <w:t>暂定</w:t>
      </w:r>
      <w:r>
        <w:rPr>
          <w:rFonts w:hint="eastAsia" w:ascii="仿宋" w:hAnsi="仿宋" w:eastAsia="仿宋" w:cs="仿宋"/>
          <w:b/>
          <w:sz w:val="21"/>
          <w:szCs w:val="21"/>
          <w:highlight w:val="none"/>
          <w:lang w:eastAsia="zh-CN"/>
        </w:rPr>
        <w:t>）</w:t>
      </w:r>
    </w:p>
    <w:p w14:paraId="5D6492F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647D388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适用于南京经济技术开发区范围内市政设施管养、绿化养护、交通设施维护、桥梁养护</w:t>
      </w:r>
      <w:r>
        <w:rPr>
          <w:rFonts w:hint="eastAsia" w:ascii="仿宋" w:hAnsi="仿宋" w:eastAsia="仿宋" w:cs="仿宋"/>
          <w:bCs/>
          <w:sz w:val="21"/>
          <w:szCs w:val="21"/>
          <w:highlight w:val="none"/>
        </w:rPr>
        <w:t>等。</w:t>
      </w:r>
    </w:p>
    <w:p w14:paraId="00611B8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3F9689A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南京市栖霞区城市管理局</w:t>
      </w:r>
    </w:p>
    <w:p w14:paraId="06BF14E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7C2E7CE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考核分为上级主管部门考核、日常考核、定期考核、资料台账考核四种方式，总分值</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 xml:space="preserve">分。 </w:t>
      </w:r>
    </w:p>
    <w:p w14:paraId="5084C36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1、上级主管部门考核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上级考核如有就采用</w:t>
      </w:r>
      <w:r>
        <w:rPr>
          <w:rFonts w:hint="eastAsia" w:ascii="仿宋" w:hAnsi="仿宋" w:eastAsia="仿宋" w:cs="仿宋"/>
          <w:bCs/>
          <w:sz w:val="21"/>
          <w:szCs w:val="21"/>
          <w:highlight w:val="none"/>
          <w:lang w:eastAsia="zh-CN"/>
        </w:rPr>
        <w:t>）</w:t>
      </w:r>
    </w:p>
    <w:p w14:paraId="00B18E7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分，末位名次扣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分，其它名次不计分。（例：郊园区组共五组评比，则第一名加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分，第二名、第三名、第四名不计分，第五名扣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w:t>
      </w:r>
    </w:p>
    <w:p w14:paraId="4F97C2A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w:t>
      </w:r>
      <w:r>
        <w:rPr>
          <w:rFonts w:hint="eastAsia" w:ascii="仿宋" w:hAnsi="仿宋" w:eastAsia="仿宋" w:cs="仿宋"/>
          <w:bCs/>
          <w:sz w:val="21"/>
          <w:szCs w:val="21"/>
          <w:highlight w:val="none"/>
          <w:lang w:val="en-US" w:eastAsia="zh-CN"/>
        </w:rPr>
        <w:t>信号灯等</w:t>
      </w:r>
      <w:r>
        <w:rPr>
          <w:rFonts w:hint="eastAsia" w:ascii="仿宋" w:hAnsi="仿宋" w:eastAsia="仿宋" w:cs="仿宋"/>
          <w:bCs/>
          <w:sz w:val="21"/>
          <w:szCs w:val="21"/>
          <w:highlight w:val="none"/>
        </w:rPr>
        <w:t>设施维护。上级业务主管部门当月提出问题的，</w:t>
      </w:r>
      <w:r>
        <w:rPr>
          <w:rFonts w:hint="eastAsia" w:ascii="仿宋" w:hAnsi="仿宋" w:eastAsia="仿宋" w:cs="仿宋"/>
          <w:bCs/>
          <w:sz w:val="21"/>
          <w:szCs w:val="21"/>
          <w:highlight w:val="none"/>
          <w:lang w:val="en-US" w:eastAsia="zh-CN"/>
        </w:rPr>
        <w:t>百</w:t>
      </w:r>
      <w:r>
        <w:rPr>
          <w:rFonts w:hint="eastAsia" w:ascii="仿宋" w:hAnsi="仿宋" w:eastAsia="仿宋" w:cs="仿宋"/>
          <w:bCs/>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21172F3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7F09A09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val="en-US" w:eastAsia="zh-CN"/>
        </w:rPr>
        <w:t>分管领导</w:t>
      </w:r>
      <w:r>
        <w:rPr>
          <w:rFonts w:hint="eastAsia" w:ascii="仿宋" w:hAnsi="仿宋" w:eastAsia="仿宋" w:cs="仿宋"/>
          <w:bCs/>
          <w:sz w:val="21"/>
          <w:szCs w:val="21"/>
          <w:highlight w:val="none"/>
        </w:rPr>
        <w:t>签字同意后，予以调整。</w:t>
      </w:r>
    </w:p>
    <w:p w14:paraId="179FB5E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3A18168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人员拍摄的工单，每一条扣</w:t>
      </w:r>
      <w:r>
        <w:rPr>
          <w:rFonts w:hint="eastAsia" w:ascii="仿宋" w:hAnsi="仿宋" w:eastAsia="仿宋" w:cs="仿宋"/>
          <w:bCs/>
          <w:sz w:val="21"/>
          <w:szCs w:val="21"/>
          <w:highlight w:val="none"/>
          <w:lang w:val="en-US" w:eastAsia="zh-CN"/>
        </w:rPr>
        <w:t>0.1</w:t>
      </w:r>
      <w:r>
        <w:rPr>
          <w:rFonts w:hint="eastAsia" w:ascii="仿宋" w:hAnsi="仿宋" w:eastAsia="仿宋" w:cs="仿宋"/>
          <w:bCs/>
          <w:sz w:val="21"/>
          <w:szCs w:val="21"/>
          <w:highlight w:val="none"/>
        </w:rPr>
        <w:t>分；局领导拍摄</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交办</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4D1709B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w:t>
      </w:r>
      <w:r>
        <w:rPr>
          <w:rFonts w:hint="eastAsia" w:ascii="仿宋" w:hAnsi="仿宋" w:eastAsia="仿宋" w:cs="仿宋"/>
          <w:bCs/>
          <w:sz w:val="21"/>
          <w:szCs w:val="21"/>
          <w:highlight w:val="none"/>
          <w:lang w:val="en-US" w:eastAsia="zh-CN"/>
        </w:rPr>
        <w:t>2-5</w:t>
      </w:r>
      <w:r>
        <w:rPr>
          <w:rFonts w:hint="eastAsia" w:ascii="仿宋" w:hAnsi="仿宋" w:eastAsia="仿宋" w:cs="仿宋"/>
          <w:bCs/>
          <w:sz w:val="21"/>
          <w:szCs w:val="21"/>
          <w:highlight w:val="none"/>
        </w:rPr>
        <w:t>分；区级部门提出批评的，扣</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分；城管局提出批评的，扣</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分。扣分分值由考核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汇报</w:t>
      </w:r>
      <w:r>
        <w:rPr>
          <w:rFonts w:hint="eastAsia" w:ascii="仿宋" w:hAnsi="仿宋" w:eastAsia="仿宋" w:cs="仿宋"/>
          <w:bCs/>
          <w:sz w:val="21"/>
          <w:szCs w:val="21"/>
          <w:highlight w:val="none"/>
          <w:lang w:val="en-US" w:eastAsia="zh-CN"/>
        </w:rPr>
        <w:t>至各业务科室</w:t>
      </w:r>
      <w:r>
        <w:rPr>
          <w:rFonts w:hint="eastAsia" w:ascii="仿宋" w:hAnsi="仿宋" w:eastAsia="仿宋" w:cs="仿宋"/>
          <w:bCs/>
          <w:sz w:val="21"/>
          <w:szCs w:val="21"/>
          <w:highlight w:val="none"/>
        </w:rPr>
        <w:t>，组织相应业务部门确定后，予以扣除。</w:t>
      </w:r>
    </w:p>
    <w:p w14:paraId="461CEBF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组及各业务</w:t>
      </w:r>
      <w:r>
        <w:rPr>
          <w:rFonts w:hint="eastAsia" w:ascii="仿宋" w:hAnsi="仿宋" w:eastAsia="仿宋" w:cs="仿宋"/>
          <w:bCs/>
          <w:sz w:val="21"/>
          <w:szCs w:val="21"/>
          <w:highlight w:val="none"/>
        </w:rPr>
        <w:t>部门沟通工单事宜，不得干扰工单拍摄，一经发现，每次扣除管养单位</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w:t>
      </w:r>
    </w:p>
    <w:p w14:paraId="32FB5A6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日常管养中得到</w:t>
      </w:r>
      <w:r>
        <w:rPr>
          <w:rFonts w:hint="eastAsia" w:ascii="仿宋" w:hAnsi="仿宋" w:eastAsia="仿宋" w:cs="仿宋"/>
          <w:bCs/>
          <w:sz w:val="21"/>
          <w:szCs w:val="21"/>
          <w:highlight w:val="none"/>
          <w:lang w:val="en-US" w:eastAsia="zh-CN"/>
        </w:rPr>
        <w:t>区政府部门</w:t>
      </w:r>
      <w:r>
        <w:rPr>
          <w:rFonts w:hint="eastAsia" w:ascii="仿宋" w:hAnsi="仿宋" w:eastAsia="仿宋" w:cs="仿宋"/>
          <w:bCs/>
          <w:sz w:val="21"/>
          <w:szCs w:val="21"/>
          <w:highlight w:val="none"/>
        </w:rPr>
        <w:t>、城管局表扬的，由</w:t>
      </w:r>
      <w:r>
        <w:rPr>
          <w:rFonts w:hint="eastAsia" w:ascii="仿宋" w:hAnsi="仿宋" w:eastAsia="仿宋" w:cs="仿宋"/>
          <w:bCs/>
          <w:sz w:val="21"/>
          <w:szCs w:val="21"/>
          <w:highlight w:val="none"/>
          <w:lang w:val="en-US" w:eastAsia="zh-CN"/>
        </w:rPr>
        <w:t>养护单位</w:t>
      </w:r>
      <w:r>
        <w:rPr>
          <w:rFonts w:hint="eastAsia" w:ascii="仿宋" w:hAnsi="仿宋" w:eastAsia="仿宋" w:cs="仿宋"/>
          <w:bCs/>
          <w:sz w:val="21"/>
          <w:szCs w:val="21"/>
          <w:highlight w:val="none"/>
        </w:rPr>
        <w:t>提出申请，分管副局长签字同意后，视情况加</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分；管养单位自费进行合同约定以外改造的，由</w:t>
      </w:r>
      <w:r>
        <w:rPr>
          <w:rFonts w:hint="eastAsia" w:ascii="仿宋" w:hAnsi="仿宋" w:eastAsia="仿宋" w:cs="仿宋"/>
          <w:bCs/>
          <w:sz w:val="21"/>
          <w:szCs w:val="21"/>
          <w:highlight w:val="none"/>
          <w:lang w:val="en-US" w:eastAsia="zh-CN"/>
        </w:rPr>
        <w:t>该单位</w:t>
      </w:r>
      <w:r>
        <w:rPr>
          <w:rFonts w:hint="eastAsia" w:ascii="仿宋" w:hAnsi="仿宋" w:eastAsia="仿宋" w:cs="仿宋"/>
          <w:bCs/>
          <w:sz w:val="21"/>
          <w:szCs w:val="21"/>
          <w:highlight w:val="none"/>
        </w:rPr>
        <w:t>提出申请，分管副局长签字同意后，视资金投入情况加</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分。（每月加分累计不得超过</w:t>
      </w:r>
      <w:r>
        <w:rPr>
          <w:rFonts w:hint="eastAsia" w:ascii="仿宋" w:hAnsi="仿宋" w:eastAsia="仿宋" w:cs="仿宋"/>
          <w:bCs/>
          <w:sz w:val="21"/>
          <w:szCs w:val="21"/>
          <w:highlight w:val="none"/>
          <w:lang w:val="en-US" w:eastAsia="zh-CN"/>
        </w:rPr>
        <w:t>5</w:t>
      </w:r>
      <w:r>
        <w:rPr>
          <w:rFonts w:hint="eastAsia" w:ascii="仿宋" w:hAnsi="仿宋" w:eastAsia="仿宋" w:cs="仿宋"/>
          <w:bCs/>
          <w:sz w:val="21"/>
          <w:szCs w:val="21"/>
          <w:highlight w:val="none"/>
        </w:rPr>
        <w:t>分）。</w:t>
      </w:r>
    </w:p>
    <w:p w14:paraId="56FE19D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北斗</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每月由各业务部门在工作时间段，对每个片区的GPS巡查数据随机抽查4次，考核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89962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04C378E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w:t>
      </w:r>
      <w:r>
        <w:rPr>
          <w:rFonts w:hint="eastAsia" w:ascii="仿宋" w:hAnsi="仿宋" w:eastAsia="仿宋" w:cs="仿宋"/>
          <w:bCs/>
          <w:sz w:val="21"/>
          <w:szCs w:val="21"/>
          <w:highlight w:val="none"/>
          <w:lang w:val="en-US" w:eastAsia="zh-CN"/>
        </w:rPr>
        <w:t>业务科室</w:t>
      </w:r>
      <w:r>
        <w:rPr>
          <w:rFonts w:hint="eastAsia" w:ascii="仿宋" w:hAnsi="仿宋" w:eastAsia="仿宋" w:cs="仿宋"/>
          <w:bCs/>
          <w:sz w:val="21"/>
          <w:szCs w:val="21"/>
          <w:highlight w:val="none"/>
        </w:rPr>
        <w:t>牵头，</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参与，采用随机抽签的方式选定管养区内一条考核道路或区域，集中评分。定期考核发现的问题，根据考核细则进行扣分，形成定期考核评价表，分数计入月度考核评分。</w:t>
      </w:r>
    </w:p>
    <w:p w14:paraId="0C55969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牵头，会同</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7621EAC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50F0182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将当天考核情况汇总上报至考核工单日报群。每月考核分值汇总后，由考核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将分值及扣分点公示给各管养单位，公示申诉期为3天，由</w:t>
      </w:r>
      <w:r>
        <w:rPr>
          <w:rFonts w:hint="eastAsia" w:ascii="仿宋" w:hAnsi="仿宋" w:eastAsia="仿宋" w:cs="仿宋"/>
          <w:bCs/>
          <w:sz w:val="21"/>
          <w:szCs w:val="21"/>
          <w:highlight w:val="none"/>
          <w:lang w:val="en-US" w:eastAsia="zh-CN"/>
        </w:rPr>
        <w:t>管养单位</w:t>
      </w:r>
      <w:r>
        <w:rPr>
          <w:rFonts w:hint="eastAsia" w:ascii="仿宋" w:hAnsi="仿宋" w:eastAsia="仿宋" w:cs="仿宋"/>
          <w:bCs/>
          <w:sz w:val="21"/>
          <w:szCs w:val="21"/>
          <w:highlight w:val="none"/>
        </w:rPr>
        <w:t>书面申诉，逾期不予接受。公示结束后由考核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形成月报，上报至城管局领导。</w:t>
      </w:r>
    </w:p>
    <w:p w14:paraId="474D529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7CF1740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分（每月得分超过100分的，以</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分计分），将1</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的月度绩效款项所对应的分值设置为容错分（月度绩效款*</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/100），该分值内的扣分仅计分，不扣款。</w:t>
      </w:r>
    </w:p>
    <w:p w14:paraId="3A8AE5C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提供数据，市政</w:t>
      </w:r>
      <w:r>
        <w:rPr>
          <w:rFonts w:hint="eastAsia" w:ascii="仿宋" w:hAnsi="仿宋" w:eastAsia="仿宋" w:cs="仿宋"/>
          <w:bCs/>
          <w:sz w:val="21"/>
          <w:szCs w:val="21"/>
          <w:highlight w:val="none"/>
          <w:lang w:val="en-US" w:eastAsia="zh-CN"/>
        </w:rPr>
        <w:t>科</w:t>
      </w:r>
      <w:r>
        <w:rPr>
          <w:rFonts w:hint="eastAsia" w:ascii="仿宋" w:hAnsi="仿宋" w:eastAsia="仿宋" w:cs="仿宋"/>
          <w:bCs/>
          <w:sz w:val="21"/>
          <w:szCs w:val="21"/>
          <w:highlight w:val="none"/>
        </w:rPr>
        <w:t>在支付养护款时直接予以扣除。</w:t>
      </w:r>
    </w:p>
    <w:p w14:paraId="1398A5C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w:t>
      </w:r>
      <w:r>
        <w:rPr>
          <w:rFonts w:hint="eastAsia" w:ascii="仿宋" w:hAnsi="仿宋" w:eastAsia="仿宋" w:cs="仿宋"/>
          <w:bCs/>
          <w:sz w:val="21"/>
          <w:szCs w:val="21"/>
          <w:highlight w:val="none"/>
          <w:lang w:val="en-US" w:eastAsia="zh-CN"/>
        </w:rPr>
        <w:t>80</w:t>
      </w:r>
      <w:r>
        <w:rPr>
          <w:rFonts w:hint="eastAsia" w:ascii="仿宋" w:hAnsi="仿宋" w:eastAsia="仿宋" w:cs="仿宋"/>
          <w:bCs/>
          <w:sz w:val="21"/>
          <w:szCs w:val="21"/>
          <w:highlight w:val="none"/>
        </w:rPr>
        <w:t>分的管养单位，视为当月考核不合格，由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南京市栖霞区城市管理局履行有关手续（程序）</w:t>
      </w:r>
      <w:r>
        <w:rPr>
          <w:rFonts w:hint="eastAsia" w:ascii="仿宋" w:hAnsi="仿宋" w:eastAsia="仿宋" w:cs="仿宋"/>
          <w:bCs/>
          <w:sz w:val="21"/>
          <w:szCs w:val="21"/>
          <w:highlight w:val="none"/>
        </w:rPr>
        <w:t>后，于次月终止该片区的管养合同，不再续签后续管养合同。</w:t>
      </w:r>
    </w:p>
    <w:p w14:paraId="2D778469">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w:t>
      </w:r>
    </w:p>
    <w:p w14:paraId="15A118A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-月度考核绩效占比；年度考核绩效分数取全年均值。</w:t>
      </w:r>
    </w:p>
    <w:p w14:paraId="3094A0A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5B1FED8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六、其它说明</w:t>
      </w:r>
    </w:p>
    <w:p w14:paraId="222B48D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南京市栖霞区城市管理局</w:t>
      </w:r>
      <w:r>
        <w:rPr>
          <w:rFonts w:hint="eastAsia" w:ascii="仿宋" w:hAnsi="仿宋" w:eastAsia="仿宋" w:cs="仿宋"/>
          <w:bCs/>
          <w:sz w:val="21"/>
          <w:szCs w:val="21"/>
          <w:highlight w:val="none"/>
        </w:rPr>
        <w:t>有权根据管养情况的变化，更新或修改本考核办法及考核细则，修改完毕并告知管养单位后，按新的考核办法及考核细则实施。</w:t>
      </w:r>
    </w:p>
    <w:bookmarkEnd w:id="29"/>
    <w:p w14:paraId="00419C97">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3</w:t>
      </w:r>
      <w:r>
        <w:rPr>
          <w:rFonts w:hint="eastAsia" w:ascii="新宋体" w:hAnsi="新宋体" w:eastAsia="新宋体"/>
          <w:b/>
          <w:bCs/>
          <w:color w:val="000000" w:themeColor="text1"/>
          <w:sz w:val="21"/>
          <w:szCs w:val="21"/>
          <w:highlight w:val="none"/>
          <w14:textFill>
            <w14:solidFill>
              <w14:schemeClr w14:val="tx1"/>
            </w14:solidFill>
          </w14:textFill>
        </w:rPr>
        <w:t>：乙方营业执照、人员表、设备表及服务承诺</w:t>
      </w:r>
    </w:p>
    <w:p w14:paraId="0E17F0C8">
      <w:pPr>
        <w:spacing w:line="480" w:lineRule="auto"/>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（截取中标人投标文件中营业执照、人员表、设备表及服务承诺）</w:t>
      </w:r>
    </w:p>
    <w:p w14:paraId="5BA5CFB2">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4</w:t>
      </w:r>
      <w:r>
        <w:rPr>
          <w:rFonts w:hint="eastAsia" w:ascii="新宋体" w:hAnsi="新宋体" w:eastAsia="新宋体"/>
          <w:b/>
          <w:bCs/>
          <w:color w:val="000000" w:themeColor="text1"/>
          <w:sz w:val="21"/>
          <w:szCs w:val="21"/>
          <w:highlight w:val="none"/>
          <w14:textFill>
            <w14:solidFill>
              <w14:schemeClr w14:val="tx1"/>
            </w14:solidFill>
          </w14:textFill>
        </w:rPr>
        <w:t>：安全施工与文明现场协议书</w:t>
      </w:r>
    </w:p>
    <w:p w14:paraId="40956CD6">
      <w:pPr>
        <w:pStyle w:val="21"/>
        <w:ind w:left="0" w:leftChars="0" w:right="1470"/>
        <w:jc w:val="left"/>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（后附格式，由双方签字盖章作为合同附件）</w:t>
      </w:r>
    </w:p>
    <w:p w14:paraId="00336F91">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5</w:t>
      </w:r>
      <w:r>
        <w:rPr>
          <w:rFonts w:hint="eastAsia" w:ascii="新宋体" w:hAnsi="新宋体" w:eastAsia="新宋体"/>
          <w:b/>
          <w:bCs/>
          <w:color w:val="000000" w:themeColor="text1"/>
          <w:sz w:val="21"/>
          <w:szCs w:val="21"/>
          <w:highlight w:val="none"/>
          <w14:textFill>
            <w14:solidFill>
              <w14:schemeClr w14:val="tx1"/>
            </w14:solidFill>
          </w14:textFill>
        </w:rPr>
        <w:t>：廉政管理协议书</w:t>
      </w:r>
    </w:p>
    <w:p w14:paraId="2A27F868">
      <w:pPr>
        <w:pStyle w:val="21"/>
        <w:ind w:left="0" w:leftChars="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（后附格式，由双方签字盖章作为合同附件）</w:t>
      </w:r>
    </w:p>
    <w:p w14:paraId="68843741">
      <w:pPr>
        <w:pStyle w:val="21"/>
        <w:ind w:left="0" w:leftChars="0" w:right="1470"/>
        <w:jc w:val="left"/>
        <w:rPr>
          <w:rFonts w:hint="eastAsia" w:ascii="新宋体" w:hAnsi="新宋体" w:eastAsia="新宋体"/>
          <w:b/>
          <w:bCs/>
          <w:color w:val="000000" w:themeColor="text1"/>
          <w:sz w:val="21"/>
          <w:szCs w:val="21"/>
          <w:highlight w:val="none"/>
          <w:lang w:eastAsia="zh-CN"/>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附件6：</w:t>
      </w:r>
      <w:r>
        <w:rPr>
          <w:rFonts w:hint="eastAsia" w:ascii="新宋体" w:hAnsi="新宋体" w:eastAsia="新宋体"/>
          <w:b/>
          <w:bCs/>
          <w:color w:val="000000" w:themeColor="text1"/>
          <w:sz w:val="21"/>
          <w:szCs w:val="21"/>
          <w:highlight w:val="none"/>
          <w:lang w:eastAsia="zh-CN"/>
          <w14:textFill>
            <w14:solidFill>
              <w14:schemeClr w14:val="tx1"/>
            </w14:solidFill>
          </w14:textFill>
        </w:rPr>
        <w:t>安全生产责任承诺书</w:t>
      </w:r>
    </w:p>
    <w:p w14:paraId="5C4A87CC">
      <w:pPr>
        <w:pStyle w:val="21"/>
        <w:ind w:left="0" w:leftChars="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（后附格式，由乙方签字盖章作为合同附件）</w:t>
      </w:r>
    </w:p>
    <w:p w14:paraId="67997A52">
      <w:pPr>
        <w:pStyle w:val="21"/>
        <w:ind w:left="0" w:leftChars="0" w:right="1470"/>
        <w:jc w:val="left"/>
        <w:rPr>
          <w:rFonts w:hint="eastAsia" w:ascii="新宋体" w:hAnsi="新宋体" w:eastAsia="新宋体"/>
          <w:b/>
          <w:bCs/>
          <w:color w:val="000000" w:themeColor="text1"/>
          <w:sz w:val="24"/>
          <w:highlight w:val="none"/>
          <w14:textFill>
            <w14:solidFill>
              <w14:schemeClr w14:val="tx1"/>
            </w14:solidFill>
          </w14:textFill>
        </w:rPr>
      </w:pPr>
    </w:p>
    <w:p w14:paraId="4FA54966">
      <w:pPr>
        <w:tabs>
          <w:tab w:val="left" w:pos="5115"/>
        </w:tabs>
        <w:spacing w:line="360" w:lineRule="auto"/>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附件4：</w:t>
      </w:r>
    </w:p>
    <w:p w14:paraId="1317D9B1">
      <w:pPr>
        <w:tabs>
          <w:tab w:val="left" w:pos="5115"/>
        </w:tabs>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安全施工与文明现场协议书</w:t>
      </w:r>
    </w:p>
    <w:p w14:paraId="489B0654">
      <w:pPr>
        <w:tabs>
          <w:tab w:val="left" w:pos="5115"/>
        </w:tabs>
        <w:spacing w:line="360" w:lineRule="auto"/>
        <w:rPr>
          <w:rFonts w:ascii="宋体" w:hAnsi="宋体"/>
          <w:b/>
          <w:color w:val="000000" w:themeColor="text1"/>
          <w:highlight w:val="none"/>
          <w14:textFill>
            <w14:solidFill>
              <w14:schemeClr w14:val="tx1"/>
            </w14:solidFill>
          </w14:textFill>
        </w:rPr>
      </w:pPr>
    </w:p>
    <w:p w14:paraId="6FE515A5">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hint="eastAsia" w:ascii="宋体" w:hAnsi="宋体"/>
          <w:color w:val="000000" w:themeColor="text1"/>
          <w:highlight w:val="none"/>
          <w:u w:val="single"/>
          <w14:textFill>
            <w14:solidFill>
              <w14:schemeClr w14:val="tx1"/>
            </w14:solidFill>
          </w14:textFill>
        </w:rPr>
        <w:t xml:space="preserve">                             </w:t>
      </w:r>
    </w:p>
    <w:p w14:paraId="1EEF53BB">
      <w:pPr>
        <w:tabs>
          <w:tab w:val="left" w:pos="5115"/>
        </w:tabs>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hint="eastAsia" w:ascii="宋体" w:hAnsi="宋体"/>
          <w:color w:val="000000" w:themeColor="text1"/>
          <w:highlight w:val="none"/>
          <w:u w:val="single"/>
          <w14:textFill>
            <w14:solidFill>
              <w14:schemeClr w14:val="tx1"/>
            </w14:solidFill>
          </w14:textFill>
        </w:rPr>
        <w:t xml:space="preserve">                             </w:t>
      </w:r>
    </w:p>
    <w:p w14:paraId="5EA3AB8D">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根据国家相关法律法规及省市有关文件精</w:t>
      </w:r>
      <w:r>
        <w:rPr>
          <w:rFonts w:hint="eastAsia" w:ascii="宋体" w:hAnsi="宋体" w:cs="Times New Roman"/>
          <w:color w:val="000000" w:themeColor="text1"/>
          <w:highlight w:val="none"/>
          <w14:textFill>
            <w14:solidFill>
              <w14:schemeClr w14:val="tx1"/>
            </w14:solidFill>
          </w14:textFill>
        </w:rPr>
        <w:t>神，结合</w:t>
      </w:r>
      <w:r>
        <w:rPr>
          <w:rFonts w:hint="eastAsia" w:ascii="宋体" w:hAnsi="宋体" w:cs="Times New Roman"/>
          <w:color w:val="000000" w:themeColor="text1"/>
          <w:highlight w:val="none"/>
          <w:lang w:val="en-US" w:eastAsia="zh-CN"/>
          <w14:textFill>
            <w14:solidFill>
              <w14:schemeClr w14:val="tx1"/>
            </w14:solidFill>
          </w14:textFill>
        </w:rPr>
        <w:t>项目</w:t>
      </w:r>
      <w:r>
        <w:rPr>
          <w:rFonts w:hint="eastAsia" w:ascii="宋体" w:hAnsi="宋体" w:cs="Times New Roman"/>
          <w:color w:val="000000" w:themeColor="text1"/>
          <w:highlight w:val="none"/>
          <w14:textFill>
            <w14:solidFill>
              <w14:schemeClr w14:val="tx1"/>
            </w14:solidFill>
          </w14:textFill>
        </w:rPr>
        <w:t>的特</w:t>
      </w:r>
      <w:r>
        <w:rPr>
          <w:rFonts w:hint="eastAsia" w:ascii="宋体" w:hAnsi="宋体"/>
          <w:color w:val="000000" w:themeColor="text1"/>
          <w:highlight w:val="none"/>
          <w14:textFill>
            <w14:solidFill>
              <w14:schemeClr w14:val="tx1"/>
            </w14:solidFill>
          </w14:textFill>
        </w:rPr>
        <w:t>点及本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安全施工与文明现场的要求，双方签订本协议。本协议作为甲乙双方合同的附件。</w:t>
      </w:r>
    </w:p>
    <w:p w14:paraId="6DA9ACB9">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一、</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概况：见合同。</w:t>
      </w:r>
    </w:p>
    <w:p w14:paraId="5D5684A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二、</w:t>
      </w:r>
      <w:r>
        <w:rPr>
          <w:rFonts w:hint="eastAsia" w:ascii="宋体" w:hAnsi="宋体"/>
          <w:color w:val="000000" w:themeColor="text1"/>
          <w:highlight w:val="none"/>
          <w14:textFill>
            <w14:solidFill>
              <w14:schemeClr w14:val="tx1"/>
            </w14:solidFill>
          </w14:textFill>
        </w:rPr>
        <w:t>安全生产目标：安全生产无事故。</w:t>
      </w:r>
    </w:p>
    <w:p w14:paraId="619CF44E">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三、</w:t>
      </w:r>
      <w:r>
        <w:rPr>
          <w:rFonts w:hint="eastAsia" w:ascii="宋体" w:hAnsi="宋体"/>
          <w:color w:val="000000" w:themeColor="text1"/>
          <w:highlight w:val="none"/>
          <w14:textFill>
            <w14:solidFill>
              <w14:schemeClr w14:val="tx1"/>
            </w14:solidFill>
          </w14:textFill>
        </w:rPr>
        <w:t>发包人职责：</w:t>
      </w:r>
    </w:p>
    <w:p w14:paraId="44A67A4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1、按规定检查、指导乙方安全文明施工现场管理。</w:t>
      </w:r>
    </w:p>
    <w:p w14:paraId="496A484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2、协调各参与方于</w:t>
      </w:r>
      <w:r>
        <w:rPr>
          <w:rFonts w:hint="eastAsia" w:ascii="宋体" w:hAnsi="宋体"/>
          <w:color w:val="000000" w:themeColor="text1"/>
          <w:highlight w:val="none"/>
          <w:lang w:val="en-US" w:eastAsia="zh-CN"/>
          <w14:textFill>
            <w14:solidFill>
              <w14:schemeClr w14:val="tx1"/>
            </w14:solidFill>
          </w14:textFill>
        </w:rPr>
        <w:t>服务</w:t>
      </w:r>
      <w:r>
        <w:rPr>
          <w:rFonts w:hint="eastAsia" w:ascii="宋体" w:hAnsi="宋体"/>
          <w:color w:val="000000" w:themeColor="text1"/>
          <w:highlight w:val="none"/>
          <w14:textFill>
            <w14:solidFill>
              <w14:schemeClr w14:val="tx1"/>
            </w14:solidFill>
          </w14:textFill>
        </w:rPr>
        <w:t>单位之间的协作关系。</w:t>
      </w:r>
    </w:p>
    <w:p w14:paraId="04F913AD">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四、</w:t>
      </w:r>
      <w:r>
        <w:rPr>
          <w:rFonts w:hint="eastAsia" w:ascii="宋体" w:hAnsi="宋体"/>
          <w:color w:val="000000" w:themeColor="text1"/>
          <w:highlight w:val="none"/>
          <w14:textFill>
            <w14:solidFill>
              <w14:schemeClr w14:val="tx1"/>
            </w14:solidFill>
          </w14:textFill>
        </w:rPr>
        <w:t>承包人职责：</w:t>
      </w:r>
    </w:p>
    <w:p w14:paraId="3B366D1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1、项目负责人是安全文明生产责任人，须建立安全文明生产管理小组。</w:t>
      </w:r>
    </w:p>
    <w:p w14:paraId="0EB26CD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2、结合本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实际情况及相关规定，具体制定并在</w:t>
      </w:r>
      <w:r>
        <w:rPr>
          <w:rFonts w:hint="eastAsia" w:ascii="宋体" w:hAnsi="宋体"/>
          <w:color w:val="000000" w:themeColor="text1"/>
          <w:highlight w:val="none"/>
          <w:lang w:val="en-US" w:eastAsia="zh-CN"/>
          <w14:textFill>
            <w14:solidFill>
              <w14:schemeClr w14:val="tx1"/>
            </w14:solidFill>
          </w14:textFill>
        </w:rPr>
        <w:t>服务期间</w:t>
      </w:r>
      <w:r>
        <w:rPr>
          <w:rFonts w:hint="eastAsia" w:ascii="宋体" w:hAnsi="宋体"/>
          <w:color w:val="000000" w:themeColor="text1"/>
          <w:highlight w:val="none"/>
          <w14:textFill>
            <w14:solidFill>
              <w14:schemeClr w14:val="tx1"/>
            </w14:solidFill>
          </w14:textFill>
        </w:rPr>
        <w:t>认真执行安全生产条例及实施细则。内容须包括以下方面；</w:t>
      </w:r>
    </w:p>
    <w:p w14:paraId="3A1248C0">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①施工现场安全防护工作要按相关规定落实到位；</w:t>
      </w:r>
    </w:p>
    <w:p w14:paraId="27F8F18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②对职工进行安全文明教育；</w:t>
      </w:r>
    </w:p>
    <w:p w14:paraId="7FAA464B">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③严格遵守安全生产纪律及各项规程；</w:t>
      </w:r>
    </w:p>
    <w:p w14:paraId="2626C4F3">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④做好场容场貌，如工地围挡、便道、材料堆放、五牌一图等；</w:t>
      </w:r>
    </w:p>
    <w:p w14:paraId="62F712C4">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⑤保持绿地卫生状况良好；做好卫生防疫工作；</w:t>
      </w:r>
    </w:p>
    <w:p w14:paraId="10F8EE20">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⑥做好爱民便民及其它工作，保持良好的施工环境和氛围；</w:t>
      </w:r>
    </w:p>
    <w:p w14:paraId="582EE65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⑦做好与相关部门和单位的协调与配合；</w:t>
      </w:r>
    </w:p>
    <w:p w14:paraId="59BBD953">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⑧落实法律、法规、及相关管理文件要求的各项工作。</w:t>
      </w:r>
    </w:p>
    <w:p w14:paraId="5E252DFC">
      <w:pPr>
        <w:tabs>
          <w:tab w:val="left" w:pos="900"/>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3、指定专人做好安全管理日志。</w:t>
      </w:r>
    </w:p>
    <w:p w14:paraId="39264D9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合同总价</w:t>
      </w:r>
      <w:r>
        <w:rPr>
          <w:rFonts w:hint="eastAsia" w:ascii="宋体" w:hAnsi="宋体"/>
          <w:color w:val="000000" w:themeColor="text1"/>
          <w:highlight w:val="none"/>
          <w14:textFill>
            <w14:solidFill>
              <w14:schemeClr w14:val="tx1"/>
            </w14:solidFill>
          </w14:textFill>
        </w:rPr>
        <w:t>款中直接扣除），具体如下：</w:t>
      </w:r>
    </w:p>
    <w:p w14:paraId="3E72257B">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1、一般性违章作业每发现一次扣罚违约金人民币500元以上。</w:t>
      </w:r>
    </w:p>
    <w:p w14:paraId="0D04FA3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2、重大违章作业每发现一次扣罚违约金人民币1500元以上。造成后果的，将视情节轻重、根据相关规定进行处理和处罚。</w:t>
      </w:r>
    </w:p>
    <w:p w14:paraId="7639AFAE">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六、</w:t>
      </w:r>
      <w:r>
        <w:rPr>
          <w:rFonts w:hint="eastAsia" w:ascii="宋体" w:hAnsi="宋体"/>
          <w:color w:val="000000" w:themeColor="text1"/>
          <w:highlight w:val="none"/>
          <w14:textFill>
            <w14:solidFill>
              <w14:schemeClr w14:val="tx1"/>
            </w14:solidFill>
          </w14:textFill>
        </w:rPr>
        <w:t>考虑本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能顺利、高效地推进，对承包人作如下要求：</w:t>
      </w:r>
    </w:p>
    <w:p w14:paraId="4BBD25E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1、承包人及其下属各施工队、组人员在与其他部门、单位、个人或在承包人内部之间发生矛盾时，应采取友好协商的形式予以解决。</w:t>
      </w:r>
    </w:p>
    <w:p w14:paraId="3C54972B">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2、承包人须确保自己各</w:t>
      </w:r>
      <w:r>
        <w:rPr>
          <w:rFonts w:hint="eastAsia" w:ascii="宋体" w:hAnsi="宋体"/>
          <w:color w:val="000000" w:themeColor="text1"/>
          <w:highlight w:val="none"/>
          <w:lang w:val="en-US" w:eastAsia="zh-CN"/>
          <w14:textFill>
            <w14:solidFill>
              <w14:schemeClr w14:val="tx1"/>
            </w14:solidFill>
          </w14:textFill>
        </w:rPr>
        <w:t>作业人员</w:t>
      </w:r>
      <w:r>
        <w:rPr>
          <w:rFonts w:hint="eastAsia" w:ascii="宋体" w:hAnsi="宋体"/>
          <w:color w:val="000000" w:themeColor="text1"/>
          <w:highlight w:val="none"/>
          <w14:textFill>
            <w14:solidFill>
              <w14:schemeClr w14:val="tx1"/>
            </w14:solidFill>
          </w14:textFill>
        </w:rPr>
        <w:t>在本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范围内不因任何事由发生暴力行为。</w:t>
      </w:r>
    </w:p>
    <w:p w14:paraId="1C85AF6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现场，同时要扣罚承包人每发生一次不少于1000元人民币（当事人200元以下）的违约金，该违约金将直接从当期的养护款中扣除。</w:t>
      </w:r>
    </w:p>
    <w:p w14:paraId="0CA6C8E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14:textFill>
            <w14:solidFill>
              <w14:schemeClr w14:val="tx1"/>
            </w14:solidFill>
          </w14:textFill>
        </w:rPr>
        <w:t>、本协议经签字盖章后生效。</w:t>
      </w:r>
    </w:p>
    <w:p w14:paraId="033CC11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八</w:t>
      </w:r>
      <w:r>
        <w:rPr>
          <w:rFonts w:hint="eastAsia" w:ascii="宋体" w:hAnsi="宋体"/>
          <w:color w:val="000000" w:themeColor="text1"/>
          <w:highlight w:val="none"/>
          <w14:textFill>
            <w14:solidFill>
              <w14:schemeClr w14:val="tx1"/>
            </w14:solidFill>
          </w14:textFill>
        </w:rPr>
        <w:t>、本协议书作为合同附件，由合同双方共同签署。</w:t>
      </w:r>
    </w:p>
    <w:p w14:paraId="4842E863">
      <w:pPr>
        <w:adjustRightInd w:val="0"/>
        <w:snapToGrid w:val="0"/>
        <w:spacing w:line="360" w:lineRule="auto"/>
        <w:rPr>
          <w:rFonts w:ascii="宋体" w:hAnsi="宋体"/>
          <w:color w:val="000000" w:themeColor="text1"/>
          <w:highlight w:val="none"/>
          <w14:textFill>
            <w14:solidFill>
              <w14:schemeClr w14:val="tx1"/>
            </w14:solidFill>
          </w14:textFill>
        </w:rPr>
      </w:pPr>
    </w:p>
    <w:p w14:paraId="3716D48C">
      <w:pPr>
        <w:adjustRightInd w:val="0"/>
        <w:snapToGrid w:val="0"/>
        <w:spacing w:line="360" w:lineRule="auto"/>
        <w:rPr>
          <w:rFonts w:ascii="宋体" w:hAnsi="宋体"/>
          <w:color w:val="000000" w:themeColor="text1"/>
          <w:highlight w:val="none"/>
          <w14:textFill>
            <w14:solidFill>
              <w14:schemeClr w14:val="tx1"/>
            </w14:solidFill>
          </w14:textFill>
        </w:rPr>
      </w:pPr>
    </w:p>
    <w:p w14:paraId="54F4A208">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 包 人：（公章）                     承 包 人：（公章）</w:t>
      </w:r>
    </w:p>
    <w:p w14:paraId="0FE10FAC">
      <w:pPr>
        <w:adjustRightInd w:val="0"/>
        <w:snapToGrid w:val="0"/>
        <w:spacing w:line="360" w:lineRule="auto"/>
        <w:rPr>
          <w:rFonts w:ascii="宋体" w:hAnsi="宋体"/>
          <w:color w:val="000000" w:themeColor="text1"/>
          <w:highlight w:val="none"/>
          <w14:textFill>
            <w14:solidFill>
              <w14:schemeClr w14:val="tx1"/>
            </w14:solidFill>
          </w14:textFill>
        </w:rPr>
      </w:pPr>
    </w:p>
    <w:p w14:paraId="32492D83">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p>
    <w:p w14:paraId="18724486">
      <w:pPr>
        <w:adjustRightInd w:val="0"/>
        <w:snapToGrid w:val="0"/>
        <w:spacing w:line="360" w:lineRule="auto"/>
        <w:rPr>
          <w:rFonts w:ascii="宋体" w:hAnsi="宋体"/>
          <w:color w:val="000000" w:themeColor="text1"/>
          <w:highlight w:val="none"/>
          <w14:textFill>
            <w14:solidFill>
              <w14:schemeClr w14:val="tx1"/>
            </w14:solidFill>
          </w14:textFill>
        </w:rPr>
      </w:pPr>
    </w:p>
    <w:p w14:paraId="53158570">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p>
    <w:p w14:paraId="45F69354">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p>
    <w:p w14:paraId="40471C0E">
      <w:pPr>
        <w:tabs>
          <w:tab w:val="left" w:pos="5115"/>
        </w:tabs>
        <w:spacing w:line="360" w:lineRule="auto"/>
        <w:rPr>
          <w:rFonts w:ascii="宋体" w:hAnsi="宋体"/>
          <w:color w:val="000000" w:themeColor="text1"/>
          <w:highlight w:val="none"/>
          <w14:textFill>
            <w14:solidFill>
              <w14:schemeClr w14:val="tx1"/>
            </w14:solidFill>
          </w14:textFill>
        </w:rPr>
      </w:pPr>
    </w:p>
    <w:p w14:paraId="753497EC">
      <w:pPr>
        <w:rPr>
          <w:highlight w:val="none"/>
        </w:rPr>
      </w:pPr>
      <w:r>
        <w:rPr>
          <w:rFonts w:hint="eastAsia" w:ascii="宋体" w:hAnsi="宋体"/>
          <w:color w:val="000000" w:themeColor="text1"/>
          <w:highlight w:val="none"/>
          <w14:textFill>
            <w14:solidFill>
              <w14:schemeClr w14:val="tx1"/>
            </w14:solidFill>
          </w14:textFill>
        </w:rPr>
        <w:t>年   月   日                        年   月   日</w:t>
      </w:r>
    </w:p>
    <w:p w14:paraId="25871FE6">
      <w:pPr>
        <w:spacing w:line="360" w:lineRule="auto"/>
        <w:ind w:firstLine="316" w:firstLineChars="150"/>
        <w:rPr>
          <w:rFonts w:ascii="宋体" w:hAnsi="宋体"/>
          <w:b/>
          <w:bCs/>
          <w:color w:val="000000" w:themeColor="text1"/>
          <w:highlight w:val="none"/>
          <w14:textFill>
            <w14:solidFill>
              <w14:schemeClr w14:val="tx1"/>
            </w14:solidFill>
          </w14:textFill>
        </w:rPr>
      </w:pPr>
    </w:p>
    <w:p w14:paraId="1AED2FCE">
      <w:pPr>
        <w:pStyle w:val="21"/>
        <w:ind w:left="1470" w:right="1470"/>
        <w:rPr>
          <w:rFonts w:hint="eastAsia"/>
          <w:color w:val="000000" w:themeColor="text1"/>
          <w:highlight w:val="none"/>
          <w14:textFill>
            <w14:solidFill>
              <w14:schemeClr w14:val="tx1"/>
            </w14:solidFill>
          </w14:textFill>
        </w:rPr>
      </w:pPr>
    </w:p>
    <w:p w14:paraId="0D923F1D">
      <w:pPr>
        <w:pStyle w:val="21"/>
        <w:ind w:left="1470" w:right="1470"/>
        <w:rPr>
          <w:rFonts w:hint="eastAsia"/>
          <w:color w:val="000000" w:themeColor="text1"/>
          <w:highlight w:val="none"/>
          <w14:textFill>
            <w14:solidFill>
              <w14:schemeClr w14:val="tx1"/>
            </w14:solidFill>
          </w14:textFill>
        </w:rPr>
      </w:pPr>
    </w:p>
    <w:p w14:paraId="24192940">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w:t>
      </w:r>
    </w:p>
    <w:p w14:paraId="7B0586BE">
      <w:pPr>
        <w:autoSpaceDE w:val="0"/>
        <w:autoSpaceDN w:val="0"/>
        <w:adjustRightInd w:val="0"/>
        <w:jc w:val="center"/>
        <w:rPr>
          <w:rFonts w:ascii="黑体" w:hAnsi="黑体" w:eastAsia="黑体" w:cs="宋体"/>
          <w:color w:val="000000" w:themeColor="text1"/>
          <w:kern w:val="0"/>
          <w:sz w:val="36"/>
          <w:szCs w:val="36"/>
          <w:highlight w:val="none"/>
          <w14:textFill>
            <w14:solidFill>
              <w14:schemeClr w14:val="tx1"/>
            </w14:solidFill>
          </w14:textFill>
        </w:rPr>
      </w:pPr>
      <w:r>
        <w:rPr>
          <w:rFonts w:hint="eastAsia" w:ascii="黑体" w:hAnsi="黑体" w:eastAsia="黑体" w:cs="宋体"/>
          <w:color w:val="000000" w:themeColor="text1"/>
          <w:kern w:val="0"/>
          <w:sz w:val="36"/>
          <w:szCs w:val="36"/>
          <w:highlight w:val="none"/>
          <w14:textFill>
            <w14:solidFill>
              <w14:schemeClr w14:val="tx1"/>
            </w14:solidFill>
          </w14:textFill>
        </w:rPr>
        <w:t>廉政管理协议书</w:t>
      </w:r>
    </w:p>
    <w:p w14:paraId="422938BA">
      <w:pPr>
        <w:autoSpaceDE w:val="0"/>
        <w:autoSpaceDN w:val="0"/>
        <w:adjustRightInd w:val="0"/>
        <w:spacing w:line="360" w:lineRule="auto"/>
        <w:ind w:firstLine="420" w:firstLineChars="20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w:t>
      </w:r>
      <w:r>
        <w:rPr>
          <w:rFonts w:hint="eastAsia" w:ascii="宋体" w:hAnsi="宋体"/>
          <w:b/>
          <w:color w:val="000000" w:themeColor="text1"/>
          <w:highlight w:val="none"/>
          <w:u w:val="single"/>
          <w14:textFill>
            <w14:solidFill>
              <w14:schemeClr w14:val="tx1"/>
            </w14:solidFill>
          </w14:textFill>
        </w:rPr>
        <w:t xml:space="preserve">                        </w:t>
      </w:r>
    </w:p>
    <w:p w14:paraId="3762FC29">
      <w:pPr>
        <w:autoSpaceDE w:val="0"/>
        <w:autoSpaceDN w:val="0"/>
        <w:adjustRightInd w:val="0"/>
        <w:spacing w:line="360" w:lineRule="auto"/>
        <w:ind w:firstLine="420" w:firstLineChars="200"/>
        <w:jc w:val="left"/>
        <w:rPr>
          <w:rFonts w:ascii="宋体" w:hAnsi="宋体" w:cs="宋体"/>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w:t>
      </w:r>
      <w:r>
        <w:rPr>
          <w:rFonts w:ascii="宋体" w:hAnsi="宋体" w:cs="宋体"/>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u w:val="single"/>
          <w14:textFill>
            <w14:solidFill>
              <w14:schemeClr w14:val="tx1"/>
            </w14:solidFill>
          </w14:textFill>
        </w:rPr>
        <w:t xml:space="preserve">     </w:t>
      </w:r>
    </w:p>
    <w:p w14:paraId="4483FE5E">
      <w:pPr>
        <w:autoSpaceDE w:val="0"/>
        <w:autoSpaceDN w:val="0"/>
        <w:adjustRightInd w:val="0"/>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承包单位服务项目：</w:t>
      </w:r>
      <w:r>
        <w:rPr>
          <w:rFonts w:hint="eastAsia" w:ascii="宋体" w:hAnsi="宋体"/>
          <w:b/>
          <w:bCs/>
          <w:color w:val="000000" w:themeColor="text1"/>
          <w:kern w:val="0"/>
          <w:highlight w:val="none"/>
          <w:u w:val="single"/>
          <w14:textFill>
            <w14:solidFill>
              <w14:schemeClr w14:val="tx1"/>
            </w14:solidFill>
          </w14:textFill>
        </w:rPr>
        <w:t xml:space="preserve">                             </w:t>
      </w:r>
    </w:p>
    <w:p w14:paraId="24C8310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kern w:val="0"/>
          <w:highlight w:val="none"/>
          <w14:textFill>
            <w14:solidFill>
              <w14:schemeClr w14:val="tx1"/>
            </w14:solidFill>
          </w14:textFill>
        </w:rPr>
        <w:t>200-500</w:t>
      </w:r>
      <w:r>
        <w:rPr>
          <w:rFonts w:hint="eastAsia" w:ascii="宋体" w:hAnsi="宋体" w:cs="宋体"/>
          <w:color w:val="000000" w:themeColor="text1"/>
          <w:kern w:val="0"/>
          <w:highlight w:val="none"/>
          <w14:textFill>
            <w14:solidFill>
              <w14:schemeClr w14:val="tx1"/>
            </w14:solidFill>
          </w14:textFill>
        </w:rPr>
        <w:t>元罚款，</w:t>
      </w:r>
      <w:r>
        <w:rPr>
          <w:rFonts w:hint="eastAsia" w:ascii="宋体" w:hAnsi="宋体" w:cs="宋体"/>
          <w:color w:val="000000" w:themeColor="text1"/>
          <w:kern w:val="0"/>
          <w:highlight w:val="none"/>
          <w:lang w:eastAsia="zh-CN"/>
          <w14:textFill>
            <w14:solidFill>
              <w14:schemeClr w14:val="tx1"/>
            </w14:solidFill>
          </w14:textFill>
        </w:rPr>
        <w:t>后果严重</w:t>
      </w:r>
      <w:r>
        <w:rPr>
          <w:rFonts w:hint="eastAsia" w:ascii="宋体" w:hAnsi="宋体" w:cs="宋体"/>
          <w:color w:val="000000" w:themeColor="text1"/>
          <w:kern w:val="0"/>
          <w:highlight w:val="none"/>
          <w14:textFill>
            <w14:solidFill>
              <w14:schemeClr w14:val="tx1"/>
            </w14:solidFill>
          </w14:textFill>
        </w:rPr>
        <w:t>的扣除乙方单位服务项目造价的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乙方在服务项目中采用不正当的手段拉拢甲方人员，损害甲方利益，根据具体情节和造成的后果扣除乙方单位在服务项目总造价的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乙方任何人员向甲方人员行贿，无论是甲方索贿，还是乙方主动行贿，一旦此事被确认，乙方均自愿在原合同基础上让利</w:t>
      </w:r>
      <w:r>
        <w:rPr>
          <w:rFonts w:ascii="宋体" w:hAnsi="宋体" w:cs="宋体"/>
          <w:color w:val="000000" w:themeColor="text1"/>
          <w:kern w:val="0"/>
          <w:highlight w:val="none"/>
          <w14:textFill>
            <w14:solidFill>
              <w14:schemeClr w14:val="tx1"/>
            </w14:solidFill>
          </w14:textFill>
        </w:rPr>
        <w:t>20</w:t>
      </w:r>
      <w:r>
        <w:rPr>
          <w:rFonts w:hint="eastAsia" w:ascii="宋体" w:hAnsi="宋体" w:cs="宋体"/>
          <w:color w:val="000000" w:themeColor="text1"/>
          <w:kern w:val="0"/>
          <w:highlight w:val="none"/>
          <w14:textFill>
            <w14:solidFill>
              <w14:schemeClr w14:val="tx1"/>
            </w14:solidFill>
          </w14:textFill>
        </w:rPr>
        <w:t>万元。</w:t>
      </w:r>
    </w:p>
    <w:p w14:paraId="6DF607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5ECB87A">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采购单位：</w:t>
      </w:r>
      <w:r>
        <w:rPr>
          <w:rFonts w:ascii="宋体" w:hAnsi="宋体" w:cs="宋体"/>
          <w:b/>
          <w:bCs/>
          <w:color w:val="000000" w:themeColor="text1"/>
          <w:kern w:val="0"/>
          <w:highlight w:val="none"/>
          <w14:textFill>
            <w14:solidFill>
              <w14:schemeClr w14:val="tx1"/>
            </w14:solidFill>
          </w14:textFill>
        </w:rPr>
        <w:t xml:space="preserve"> </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lang w:val="en-US" w:eastAsia="zh-CN"/>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服务单位：</w:t>
      </w:r>
      <w:r>
        <w:rPr>
          <w:rFonts w:ascii="宋体" w:hAnsi="宋体" w:cs="宋体"/>
          <w:b/>
          <w:bCs/>
          <w:color w:val="000000" w:themeColor="text1"/>
          <w:kern w:val="0"/>
          <w:highlight w:val="none"/>
          <w:u w:val="single"/>
          <w14:textFill>
            <w14:solidFill>
              <w14:schemeClr w14:val="tx1"/>
            </w14:solidFill>
          </w14:textFill>
        </w:rPr>
        <w:t xml:space="preserve">               </w:t>
      </w:r>
    </w:p>
    <w:p w14:paraId="7304BF54">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34FBA74E">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甲方单位经办人：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乙方单位经办人：</w:t>
      </w:r>
      <w:r>
        <w:rPr>
          <w:rFonts w:ascii="宋体" w:hAnsi="宋体" w:cs="宋体"/>
          <w:b/>
          <w:bCs/>
          <w:color w:val="000000" w:themeColor="text1"/>
          <w:kern w:val="0"/>
          <w:highlight w:val="none"/>
          <w:u w:val="single"/>
          <w14:textFill>
            <w14:solidFill>
              <w14:schemeClr w14:val="tx1"/>
            </w14:solidFill>
          </w14:textFill>
        </w:rPr>
        <w:t xml:space="preserve">         </w:t>
      </w:r>
    </w:p>
    <w:p w14:paraId="29DABC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4138EF4">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甲方单位负责人：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乙方单位负责人：</w:t>
      </w:r>
      <w:r>
        <w:rPr>
          <w:rFonts w:ascii="宋体" w:hAnsi="宋体" w:cs="宋体"/>
          <w:b/>
          <w:bCs/>
          <w:color w:val="000000" w:themeColor="text1"/>
          <w:kern w:val="0"/>
          <w:highlight w:val="none"/>
          <w:u w:val="single"/>
          <w14:textFill>
            <w14:solidFill>
              <w14:schemeClr w14:val="tx1"/>
            </w14:solidFill>
          </w14:textFill>
        </w:rPr>
        <w:t xml:space="preserve">         </w:t>
      </w:r>
    </w:p>
    <w:p w14:paraId="640E2CA3">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7C1965C4">
      <w:pPr>
        <w:autoSpaceDE w:val="0"/>
        <w:autoSpaceDN w:val="0"/>
        <w:adjustRightInd w:val="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p>
    <w:p w14:paraId="1CFF0FA2">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w:t>
      </w:r>
    </w:p>
    <w:p w14:paraId="77279E5F">
      <w:pPr>
        <w:autoSpaceDE w:val="0"/>
        <w:autoSpaceDN w:val="0"/>
        <w:adjustRightInd w:val="0"/>
        <w:jc w:val="center"/>
        <w:rPr>
          <w:rFonts w:ascii="黑体" w:hAnsi="黑体" w:eastAsia="黑体" w:cs="宋体"/>
          <w:b/>
          <w:bCs/>
          <w:color w:val="000000" w:themeColor="text1"/>
          <w:spacing w:val="15"/>
          <w:kern w:val="0"/>
          <w:sz w:val="36"/>
          <w:szCs w:val="36"/>
          <w:highlight w:val="none"/>
          <w14:textFill>
            <w14:solidFill>
              <w14:schemeClr w14:val="tx1"/>
            </w14:solidFill>
          </w14:textFill>
        </w:rPr>
      </w:pPr>
      <w:r>
        <w:rPr>
          <w:rFonts w:hint="eastAsia" w:ascii="黑体" w:hAnsi="黑体" w:eastAsia="黑体" w:cs="宋体"/>
          <w:b/>
          <w:bCs/>
          <w:color w:val="000000" w:themeColor="text1"/>
          <w:spacing w:val="15"/>
          <w:kern w:val="0"/>
          <w:sz w:val="36"/>
          <w:szCs w:val="36"/>
          <w:highlight w:val="none"/>
          <w14:textFill>
            <w14:solidFill>
              <w14:schemeClr w14:val="tx1"/>
            </w14:solidFill>
          </w14:textFill>
        </w:rPr>
        <w:t>安全生产责任承诺书</w:t>
      </w:r>
    </w:p>
    <w:p w14:paraId="0FDC92B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1CC3E069">
      <w:pPr>
        <w:autoSpaceDE w:val="0"/>
        <w:autoSpaceDN w:val="0"/>
        <w:adjustRightInd w:val="0"/>
        <w:spacing w:line="360" w:lineRule="auto"/>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u w:val="single"/>
          <w14:textFill>
            <w14:solidFill>
              <w14:schemeClr w14:val="tx1"/>
            </w14:solidFill>
          </w14:textFill>
        </w:rPr>
        <w:t xml:space="preserve">                     ：</w:t>
      </w:r>
    </w:p>
    <w:p w14:paraId="00E5C8D2">
      <w:pPr>
        <w:autoSpaceDE w:val="0"/>
        <w:autoSpaceDN w:val="0"/>
        <w:adjustRightInd w:val="0"/>
        <w:spacing w:line="360" w:lineRule="auto"/>
        <w:ind w:firstLine="480" w:firstLineChars="200"/>
        <w:jc w:val="left"/>
        <w:rPr>
          <w:rFonts w:ascii="宋体" w:hAnsi="宋体" w:cs="宋体"/>
          <w:color w:val="000000" w:themeColor="text1"/>
          <w:spacing w:val="15"/>
          <w:kern w:val="0"/>
          <w:highlight w:val="non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我</w:t>
      </w:r>
      <w:r>
        <w:rPr>
          <w:rFonts w:ascii="宋体" w:hAnsi="宋体" w:cs="宋体"/>
          <w:color w:val="000000" w:themeColor="text1"/>
          <w:spacing w:val="15"/>
          <w:kern w:val="0"/>
          <w:highlight w:val="none"/>
          <w:u w:val="single"/>
          <w14:textFill>
            <w14:solidFill>
              <w14:schemeClr w14:val="tx1"/>
            </w14:solidFill>
          </w14:textFill>
        </w:rPr>
        <w:t xml:space="preserve">                          </w:t>
      </w:r>
      <w:r>
        <w:rPr>
          <w:rFonts w:hint="eastAsia" w:ascii="宋体" w:hAnsi="宋体" w:cs="宋体"/>
          <w:color w:val="000000" w:themeColor="text1"/>
          <w:spacing w:val="15"/>
          <w:kern w:val="0"/>
          <w:highlight w:val="none"/>
          <w14:textFill>
            <w14:solidFill>
              <w14:schemeClr w14:val="tx1"/>
            </w14:solidFill>
          </w14:textFill>
        </w:rPr>
        <w:t>公司现向贵公司承诺，我公司在</w:t>
      </w:r>
      <w:r>
        <w:rPr>
          <w:rFonts w:hint="eastAsia" w:ascii="宋体" w:hAnsi="宋体"/>
          <w:b/>
          <w:bCs/>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实施</w:t>
      </w:r>
      <w:r>
        <w:rPr>
          <w:rFonts w:hint="eastAsia" w:ascii="宋体" w:hAnsi="宋体" w:cs="宋体"/>
          <w:color w:val="000000" w:themeColor="text1"/>
          <w:spacing w:val="15"/>
          <w:kern w:val="0"/>
          <w:highlight w:val="none"/>
          <w14:textFill>
            <w14:solidFill>
              <w14:schemeClr w14:val="tx1"/>
            </w14:solidFill>
          </w14:textFill>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515C47DC">
      <w:pPr>
        <w:autoSpaceDE w:val="0"/>
        <w:autoSpaceDN w:val="0"/>
        <w:adjustRightInd w:val="0"/>
        <w:jc w:val="left"/>
        <w:rPr>
          <w:rFonts w:ascii="宋体" w:hAnsi="宋体" w:cs="宋体"/>
          <w:color w:val="000000" w:themeColor="text1"/>
          <w:spacing w:val="15"/>
          <w:kern w:val="0"/>
          <w:highlight w:val="none"/>
          <w14:textFill>
            <w14:solidFill>
              <w14:schemeClr w14:val="tx1"/>
            </w14:solidFill>
          </w14:textFill>
        </w:rPr>
      </w:pPr>
      <w:r>
        <w:rPr>
          <w:rFonts w:ascii="宋体" w:hAnsi="宋体" w:cs="宋体"/>
          <w:color w:val="000000" w:themeColor="text1"/>
          <w:spacing w:val="15"/>
          <w:kern w:val="0"/>
          <w:highlight w:val="none"/>
          <w14:textFill>
            <w14:solidFill>
              <w14:schemeClr w14:val="tx1"/>
            </w14:solidFill>
          </w14:textFill>
        </w:rPr>
        <w:t xml:space="preserve">                   </w:t>
      </w:r>
    </w:p>
    <w:p w14:paraId="0319B7F0">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承诺单位（公章）</w:t>
      </w:r>
      <w:r>
        <w:rPr>
          <w:rFonts w:ascii="宋体" w:hAnsi="宋体" w:cs="宋体"/>
          <w:color w:val="000000" w:themeColor="text1"/>
          <w:spacing w:val="15"/>
          <w:kern w:val="0"/>
          <w:highlight w:val="none"/>
          <w:u w:val="single"/>
          <w14:textFill>
            <w14:solidFill>
              <w14:schemeClr w14:val="tx1"/>
            </w14:solidFill>
          </w14:textFill>
        </w:rPr>
        <w:t xml:space="preserve">                  </w:t>
      </w:r>
    </w:p>
    <w:p w14:paraId="3630F8C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25C5FE7">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法定代表人（签字或盖章）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3512B6A7">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9C38FA1">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代理人（签字或盖章）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7247F33F">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2FA776CA">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kern w:val="0"/>
          <w:highlight w:val="none"/>
          <w14:textFill>
            <w14:solidFill>
              <w14:schemeClr w14:val="tx1"/>
            </w14:solidFill>
          </w14:textFill>
        </w:rPr>
        <w:t>日期：</w:t>
      </w:r>
      <w:r>
        <w:rPr>
          <w:rFonts w:ascii="宋体" w:hAnsi="宋体" w:cs="宋体"/>
          <w:color w:val="000000" w:themeColor="text1"/>
          <w:spacing w:val="15"/>
          <w:kern w:val="0"/>
          <w:highlight w:val="none"/>
          <w:u w:val="single"/>
          <w14:textFill>
            <w14:solidFill>
              <w14:schemeClr w14:val="tx1"/>
            </w14:solidFill>
          </w14:textFill>
        </w:rPr>
        <w:t xml:space="preserve">                    </w:t>
      </w:r>
    </w:p>
    <w:p w14:paraId="29940F3A">
      <w:pPr>
        <w:rPr>
          <w:rFonts w:ascii="宋体" w:hAnsi="宋体" w:cs="宋体"/>
          <w:szCs w:val="21"/>
          <w:highlight w:val="none"/>
        </w:rPr>
      </w:pPr>
      <w:r>
        <w:rPr>
          <w:rFonts w:cs="宋体"/>
          <w:highlight w:val="none"/>
        </w:rPr>
        <w:br w:type="page"/>
      </w:r>
    </w:p>
    <w:p w14:paraId="7C5D870B">
      <w:pPr>
        <w:pStyle w:val="3"/>
        <w:numPr>
          <w:ilvl w:val="0"/>
          <w:numId w:val="6"/>
        </w:numPr>
        <w:rPr>
          <w:rFonts w:ascii="宋体" w:hAnsi="宋体" w:cs="宋体"/>
          <w:highlight w:val="none"/>
        </w:rPr>
      </w:pPr>
      <w:bookmarkStart w:id="30" w:name="_Toc13466"/>
      <w:bookmarkStart w:id="31" w:name="_Toc15886"/>
      <w:r>
        <w:rPr>
          <w:rFonts w:hint="eastAsia" w:ascii="宋体" w:hAnsi="宋体" w:cs="宋体"/>
          <w:highlight w:val="none"/>
        </w:rPr>
        <w:t>投标文件格式及附件</w:t>
      </w:r>
      <w:bookmarkEnd w:id="30"/>
      <w:bookmarkEnd w:id="31"/>
    </w:p>
    <w:p w14:paraId="65EF2F96">
      <w:pPr>
        <w:pStyle w:val="58"/>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致：</w:t>
      </w:r>
      <w:r>
        <w:rPr>
          <w:rFonts w:hint="eastAsia" w:ascii="宋体" w:hAnsi="宋体" w:cs="宋体"/>
          <w:kern w:val="0"/>
          <w:szCs w:val="21"/>
          <w:highlight w:val="none"/>
          <w:lang w:eastAsia="zh-CN"/>
        </w:rPr>
        <w:t>江苏天信建设项目咨询有限公司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2" w:name="_Toc26810"/>
      <w:r>
        <w:rPr>
          <w:rFonts w:hint="eastAsia" w:ascii="宋体" w:hAnsi="宋体" w:cs="宋体"/>
          <w:b/>
          <w:bCs/>
          <w:kern w:val="0"/>
          <w:szCs w:val="21"/>
          <w:highlight w:val="none"/>
          <w:lang w:val="zh-CN"/>
        </w:rPr>
        <w:t>附件三、</w:t>
      </w:r>
      <w:bookmarkEnd w:id="32"/>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14"/>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3"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3"/>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7"/>
        <w:tblW w:w="8631" w:type="dxa"/>
        <w:tblInd w:w="91" w:type="dxa"/>
        <w:tblLayout w:type="autofit"/>
        <w:tblCellMar>
          <w:top w:w="0" w:type="dxa"/>
          <w:left w:w="108" w:type="dxa"/>
          <w:bottom w:w="0" w:type="dxa"/>
          <w:right w:w="108" w:type="dxa"/>
        </w:tblCellMar>
      </w:tblPr>
      <w:tblGrid>
        <w:gridCol w:w="560"/>
        <w:gridCol w:w="2028"/>
        <w:gridCol w:w="1465"/>
        <w:gridCol w:w="822"/>
        <w:gridCol w:w="1878"/>
        <w:gridCol w:w="1878"/>
      </w:tblGrid>
      <w:tr w14:paraId="75DA92FC">
        <w:tblPrEx>
          <w:tblCellMar>
            <w:top w:w="0" w:type="dxa"/>
            <w:left w:w="108" w:type="dxa"/>
            <w:bottom w:w="0" w:type="dxa"/>
            <w:right w:w="108" w:type="dxa"/>
          </w:tblCellMar>
        </w:tblPrEx>
        <w:trPr>
          <w:trHeight w:val="603"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EE36">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3E8F">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7184">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工作量</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DD7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3D5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4C88">
            <w:pPr>
              <w:widowControl/>
              <w:jc w:val="center"/>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74B54A42">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2A3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3B48">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基本绿化养护</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0498">
            <w:pPr>
              <w:widowControl/>
              <w:jc w:val="cente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146942.95</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5DA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24F6">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C058">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70D47022">
        <w:tblPrEx>
          <w:tblCellMar>
            <w:top w:w="0" w:type="dxa"/>
            <w:left w:w="108" w:type="dxa"/>
            <w:bottom w:w="0" w:type="dxa"/>
            <w:right w:w="108" w:type="dxa"/>
          </w:tblCellMar>
        </w:tblPrEx>
        <w:trPr>
          <w:trHeight w:val="495" w:hRule="atLeast"/>
        </w:trPr>
        <w:tc>
          <w:tcPr>
            <w:tcW w:w="67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3F12B">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合计（元/年）（一年总价）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D3CA">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0FFE6A0D">
        <w:tblPrEx>
          <w:tblCellMar>
            <w:top w:w="0" w:type="dxa"/>
            <w:left w:w="108" w:type="dxa"/>
            <w:bottom w:w="0" w:type="dxa"/>
            <w:right w:w="108" w:type="dxa"/>
          </w:tblCellMar>
        </w:tblPrEx>
        <w:trPr>
          <w:trHeight w:val="495" w:hRule="atLeast"/>
        </w:trPr>
        <w:tc>
          <w:tcPr>
            <w:tcW w:w="8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ABC258">
            <w:pPr>
              <w:widowControl/>
              <w:jc w:val="both"/>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总价（元/二年）：                                （苏采云开标一览表按此数值填写）</w:t>
            </w:r>
          </w:p>
        </w:tc>
      </w:tr>
    </w:tbl>
    <w:p w14:paraId="464CEA2F">
      <w:pPr>
        <w:widowControl/>
        <w:shd w:val="clear" w:color="auto" w:fill="FFFFFF"/>
        <w:spacing w:line="360" w:lineRule="auto"/>
        <w:jc w:val="center"/>
        <w:rPr>
          <w:rFonts w:hint="default" w:ascii="宋体" w:hAnsi="宋体" w:eastAsia="宋体" w:cs="宋体"/>
          <w:kern w:val="0"/>
          <w:szCs w:val="21"/>
          <w:highlight w:val="none"/>
          <w:lang w:val="en-US" w:eastAsia="zh-CN"/>
        </w:rPr>
      </w:pPr>
    </w:p>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16B39832">
      <w:pPr>
        <w:widowControl/>
        <w:shd w:val="clear" w:color="auto" w:fill="FFFFFF"/>
        <w:spacing w:line="360" w:lineRule="auto"/>
        <w:jc w:val="left"/>
        <w:rPr>
          <w:rFonts w:hint="eastAsia" w:ascii="宋体" w:hAnsi="宋体" w:cs="宋体"/>
          <w:kern w:val="0"/>
          <w:szCs w:val="21"/>
          <w:highlight w:val="none"/>
        </w:rPr>
      </w:pPr>
    </w:p>
    <w:p w14:paraId="55D95DAE">
      <w:pPr>
        <w:widowControl/>
        <w:shd w:val="clear" w:color="auto" w:fill="FFFFFF"/>
        <w:spacing w:line="360" w:lineRule="auto"/>
        <w:jc w:val="left"/>
        <w:rPr>
          <w:rFonts w:hint="eastAsia" w:ascii="宋体" w:hAnsi="宋体" w:cs="宋体"/>
          <w:kern w:val="0"/>
          <w:szCs w:val="21"/>
          <w:highlight w:val="none"/>
        </w:rPr>
      </w:pPr>
    </w:p>
    <w:p w14:paraId="2447E941">
      <w:pPr>
        <w:widowControl/>
        <w:shd w:val="clear" w:color="auto" w:fill="FFFFFF"/>
        <w:spacing w:line="360" w:lineRule="auto"/>
        <w:jc w:val="left"/>
        <w:rPr>
          <w:rFonts w:hint="eastAsia" w:ascii="宋体" w:hAnsi="宋体" w:cs="宋体"/>
          <w:kern w:val="0"/>
          <w:szCs w:val="21"/>
          <w:highlight w:val="none"/>
        </w:rPr>
      </w:pPr>
    </w:p>
    <w:p w14:paraId="77873420">
      <w:pPr>
        <w:widowControl/>
        <w:shd w:val="clear" w:color="auto" w:fill="FFFFFF"/>
        <w:spacing w:line="360" w:lineRule="auto"/>
        <w:jc w:val="left"/>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说明：</w:t>
      </w:r>
    </w:p>
    <w:p w14:paraId="17B8F658">
      <w:pPr>
        <w:widowControl/>
        <w:shd w:val="clear" w:color="auto" w:fill="FFFFFF"/>
        <w:spacing w:line="360" w:lineRule="auto"/>
        <w:jc w:val="left"/>
        <w:rPr>
          <w:rFonts w:hint="eastAsia" w:ascii="宋体" w:hAnsi="宋体" w:cs="宋体"/>
          <w:b/>
          <w:bCs/>
          <w:kern w:val="0"/>
          <w:szCs w:val="21"/>
          <w:highlight w:val="yellow"/>
          <w:lang w:val="en-US" w:eastAsia="zh-CN"/>
        </w:rPr>
      </w:pPr>
      <w:r>
        <w:rPr>
          <w:rFonts w:hint="eastAsia" w:ascii="宋体" w:hAnsi="宋体" w:cs="宋体"/>
          <w:b/>
          <w:bCs/>
          <w:kern w:val="0"/>
          <w:szCs w:val="21"/>
          <w:highlight w:val="yellow"/>
          <w:lang w:val="en-US" w:eastAsia="zh-CN"/>
        </w:rPr>
        <w:t>1、单价不得超过招标文件规定的单项限价，否则作无效标处理。</w:t>
      </w: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yellow"/>
          <w:lang w:val="en-US" w:eastAsia="zh-CN"/>
        </w:rPr>
        <w:t>2、项目、工作量、计量单位不得随意更改，否则作无效标处理。</w:t>
      </w: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7"/>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8"/>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4" w:name="OLE_LINK13"/>
      <w:bookmarkStart w:id="35" w:name="OLE_LINK14"/>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36" w:name="_Toc10552"/>
      <w:r>
        <w:rPr>
          <w:rFonts w:hint="eastAsia" w:ascii="宋体" w:hAnsi="宋体" w:eastAsia="宋体" w:cs="宋体"/>
          <w:kern w:val="0"/>
          <w:szCs w:val="24"/>
          <w:highlight w:val="none"/>
        </w:rPr>
        <w:t>备注：</w:t>
      </w:r>
      <w:bookmarkEnd w:id="36"/>
    </w:p>
    <w:p w14:paraId="50E9F431">
      <w:pPr>
        <w:keepNext/>
        <w:keepLines/>
        <w:ind w:firstLine="630" w:firstLineChars="300"/>
        <w:outlineLvl w:val="9"/>
        <w:rPr>
          <w:rFonts w:ascii="宋体" w:hAnsi="宋体" w:eastAsia="宋体" w:cs="宋体"/>
          <w:kern w:val="0"/>
          <w:szCs w:val="24"/>
          <w:highlight w:val="none"/>
        </w:rPr>
      </w:pPr>
      <w:bookmarkStart w:id="37"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37"/>
    </w:p>
    <w:p w14:paraId="7DB06738">
      <w:pPr>
        <w:keepNext/>
        <w:keepLines/>
        <w:ind w:firstLine="630"/>
        <w:outlineLvl w:val="9"/>
        <w:rPr>
          <w:rFonts w:ascii="宋体" w:hAnsi="宋体" w:eastAsia="宋体" w:cs="宋体"/>
          <w:b/>
          <w:bCs/>
          <w:kern w:val="0"/>
          <w:szCs w:val="24"/>
          <w:highlight w:val="none"/>
        </w:rPr>
      </w:pPr>
      <w:bookmarkStart w:id="38"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38"/>
    </w:p>
    <w:p w14:paraId="51714B38">
      <w:pPr>
        <w:keepNext/>
        <w:keepLines/>
        <w:ind w:firstLine="630"/>
        <w:outlineLvl w:val="9"/>
        <w:rPr>
          <w:rFonts w:ascii="宋体" w:hAnsi="宋体" w:eastAsia="宋体" w:cs="宋体"/>
          <w:b/>
          <w:bCs/>
          <w:kern w:val="0"/>
          <w:szCs w:val="24"/>
          <w:highlight w:val="none"/>
        </w:rPr>
      </w:pPr>
      <w:bookmarkStart w:id="39"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39"/>
    </w:p>
    <w:p w14:paraId="33EED38A">
      <w:pPr>
        <w:keepNext/>
        <w:keepLines/>
        <w:ind w:firstLine="632"/>
        <w:outlineLvl w:val="9"/>
        <w:rPr>
          <w:rFonts w:ascii="宋体" w:hAnsi="宋体" w:eastAsia="宋体" w:cs="宋体"/>
          <w:b/>
          <w:bCs/>
          <w:kern w:val="0"/>
          <w:szCs w:val="24"/>
          <w:highlight w:val="none"/>
        </w:rPr>
      </w:pPr>
      <w:bookmarkStart w:id="40"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0"/>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4"/>
    <w:bookmarkEnd w:id="35"/>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6"/>
        <w:rPr>
          <w:rFonts w:ascii="宋体" w:hAnsi="宋体" w:cs="宋体"/>
          <w:bCs/>
          <w:highlight w:val="none"/>
        </w:rPr>
      </w:pPr>
    </w:p>
    <w:p w14:paraId="523E2959">
      <w:pPr>
        <w:pStyle w:val="86"/>
        <w:rPr>
          <w:rFonts w:ascii="宋体" w:hAnsi="宋体" w:cs="宋体"/>
          <w:bCs/>
          <w:highlight w:val="none"/>
        </w:rPr>
      </w:pPr>
    </w:p>
    <w:p w14:paraId="5B8A0A08">
      <w:pPr>
        <w:pStyle w:val="86"/>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3"/>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3"/>
          <w:rFonts w:hint="eastAsia"/>
          <w:color w:val="000000"/>
          <w:highlight w:val="none"/>
          <w:u w:val="single"/>
          <w:shd w:val="clear" w:color="auto" w:fill="FFFFFF"/>
        </w:rPr>
        <w:t>（产品名称1）</w:t>
      </w:r>
      <w:r>
        <w:rPr>
          <w:rStyle w:val="53"/>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3"/>
          <w:rFonts w:hint="eastAsia"/>
          <w:color w:val="000000"/>
          <w:highlight w:val="none"/>
          <w:u w:val="single"/>
          <w:shd w:val="clear" w:color="auto" w:fill="FFFFFF"/>
        </w:rPr>
        <w:t>（厂名）</w:t>
      </w:r>
      <w:r>
        <w:rPr>
          <w:rStyle w:val="53"/>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3"/>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3"/>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3"/>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3"/>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3"/>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3"/>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3"/>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3"/>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3"/>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3"/>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3"/>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江苏天信建设项目咨询有限公司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6"/>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6"/>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8"/>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6"/>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6"/>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按招标文件要求填写。</w:t>
      </w:r>
    </w:p>
    <w:p w14:paraId="67C4FE2B">
      <w:pPr>
        <w:pStyle w:val="43"/>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footerReference r:id="rId10" w:type="first"/>
      <w:headerReference r:id="rId8" w:type="default"/>
      <w:footerReference r:id="rId9"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AD1FC8D-C540-4CAF-8AED-92F4102E6C45}"/>
  </w:font>
  <w:font w:name="黑体">
    <w:panose1 w:val="02010609060101010101"/>
    <w:charset w:val="86"/>
    <w:family w:val="auto"/>
    <w:pitch w:val="default"/>
    <w:sig w:usb0="800002BF" w:usb1="38CF7CFA" w:usb2="00000016" w:usb3="00000000" w:csb0="00040001" w:csb1="00000000"/>
    <w:embedRegular r:id="rId2" w:fontKey="{5D9B8107-95B3-4DD5-AFC8-F86EF77E5A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3DD333A-81F9-4A23-B752-65C613871961}"/>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embedRegular r:id="rId4" w:fontKey="{E29B6621-F468-458D-814D-40CA10D5DACD}"/>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25C9C2FD-7579-4416-A102-85A7B4D03AE3}"/>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6" w:fontKey="{03E9F7CF-D981-4BC5-A7E4-5FD0BE340D3C}"/>
  </w:font>
  <w:font w:name="方正小标宋简体">
    <w:panose1 w:val="02000000000000000000"/>
    <w:charset w:val="86"/>
    <w:family w:val="auto"/>
    <w:pitch w:val="default"/>
    <w:sig w:usb0="00000001" w:usb1="08000000" w:usb2="00000000" w:usb3="00000000" w:csb0="00040000" w:csb1="00000000"/>
    <w:embedRegular r:id="rId7" w:fontKey="{3EDCBC32-27AE-4DDD-9D19-1F1D135F52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87DB4">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rFonts w:hint="eastAsia"/>
        <w:lang w:val="en-US" w:eastAsia="zh-CN"/>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61E23">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9D820">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4590CD4"/>
    <w:multiLevelType w:val="singleLevel"/>
    <w:tmpl w:val="14590CD4"/>
    <w:lvl w:ilvl="0" w:tentative="0">
      <w:start w:val="5"/>
      <w:numFmt w:val="chineseCounting"/>
      <w:suff w:val="space"/>
      <w:lvlText w:val="第%1章"/>
      <w:lvlJc w:val="left"/>
      <w:rPr>
        <w:rFonts w:hint="eastAsia"/>
      </w:rPr>
    </w:lvl>
  </w:abstractNum>
  <w:abstractNum w:abstractNumId="4">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64B0665D"/>
    <w:multiLevelType w:val="singleLevel"/>
    <w:tmpl w:val="64B0665D"/>
    <w:lvl w:ilvl="0" w:tentative="0">
      <w:start w:val="7"/>
      <w:numFmt w:val="decimal"/>
      <w:suff w:val="nothing"/>
      <w:lvlText w:val="%1、"/>
      <w:lvlJc w:val="left"/>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ADA"/>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724"/>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EB6DDD"/>
    <w:rsid w:val="02F07CB0"/>
    <w:rsid w:val="030105A0"/>
    <w:rsid w:val="030D75EF"/>
    <w:rsid w:val="031168BC"/>
    <w:rsid w:val="03143E06"/>
    <w:rsid w:val="031E451D"/>
    <w:rsid w:val="032D26C5"/>
    <w:rsid w:val="033A0B8B"/>
    <w:rsid w:val="03426C59"/>
    <w:rsid w:val="03433AF1"/>
    <w:rsid w:val="03501AE4"/>
    <w:rsid w:val="0360013E"/>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BB5826"/>
    <w:rsid w:val="04BC5D9C"/>
    <w:rsid w:val="04D17C83"/>
    <w:rsid w:val="04E374DE"/>
    <w:rsid w:val="04FF00EB"/>
    <w:rsid w:val="0501459E"/>
    <w:rsid w:val="050F4EDE"/>
    <w:rsid w:val="05175FCF"/>
    <w:rsid w:val="051D3FFE"/>
    <w:rsid w:val="052263A0"/>
    <w:rsid w:val="05253812"/>
    <w:rsid w:val="0533099F"/>
    <w:rsid w:val="054E23E8"/>
    <w:rsid w:val="05524952"/>
    <w:rsid w:val="05586075"/>
    <w:rsid w:val="05747F8E"/>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8E5E09"/>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482CDB"/>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64DBA"/>
    <w:rsid w:val="080D0CE3"/>
    <w:rsid w:val="083A1AF5"/>
    <w:rsid w:val="083D3D11"/>
    <w:rsid w:val="08447D35"/>
    <w:rsid w:val="086626CB"/>
    <w:rsid w:val="087370B9"/>
    <w:rsid w:val="08790814"/>
    <w:rsid w:val="087B41C0"/>
    <w:rsid w:val="08817F9A"/>
    <w:rsid w:val="08830107"/>
    <w:rsid w:val="08933F38"/>
    <w:rsid w:val="08935065"/>
    <w:rsid w:val="089E56D2"/>
    <w:rsid w:val="08AB4E3F"/>
    <w:rsid w:val="08B338AC"/>
    <w:rsid w:val="08B43F37"/>
    <w:rsid w:val="08B472FE"/>
    <w:rsid w:val="08B614BD"/>
    <w:rsid w:val="08B937A7"/>
    <w:rsid w:val="08BB0F23"/>
    <w:rsid w:val="08CD671D"/>
    <w:rsid w:val="08D5688C"/>
    <w:rsid w:val="08D66EA5"/>
    <w:rsid w:val="08D83875"/>
    <w:rsid w:val="08E078B0"/>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234D"/>
    <w:rsid w:val="0991369C"/>
    <w:rsid w:val="09A858BF"/>
    <w:rsid w:val="09EE2174"/>
    <w:rsid w:val="09F31262"/>
    <w:rsid w:val="09F8752F"/>
    <w:rsid w:val="0A037C2D"/>
    <w:rsid w:val="0A0D439F"/>
    <w:rsid w:val="0A0E459B"/>
    <w:rsid w:val="0A0F0D09"/>
    <w:rsid w:val="0A1D4600"/>
    <w:rsid w:val="0A1F68B2"/>
    <w:rsid w:val="0A210F95"/>
    <w:rsid w:val="0A255506"/>
    <w:rsid w:val="0A275C51"/>
    <w:rsid w:val="0A2836E0"/>
    <w:rsid w:val="0A29194C"/>
    <w:rsid w:val="0A2C39C3"/>
    <w:rsid w:val="0A36214C"/>
    <w:rsid w:val="0A4D7977"/>
    <w:rsid w:val="0A593073"/>
    <w:rsid w:val="0A5F62E5"/>
    <w:rsid w:val="0A8E5529"/>
    <w:rsid w:val="0A934F20"/>
    <w:rsid w:val="0AA0734E"/>
    <w:rsid w:val="0AB44EF5"/>
    <w:rsid w:val="0AB85201"/>
    <w:rsid w:val="0AC159A6"/>
    <w:rsid w:val="0AD572BC"/>
    <w:rsid w:val="0AE34BB1"/>
    <w:rsid w:val="0AED0B6E"/>
    <w:rsid w:val="0B071D99"/>
    <w:rsid w:val="0B16461C"/>
    <w:rsid w:val="0B2A4738"/>
    <w:rsid w:val="0B2E72C7"/>
    <w:rsid w:val="0B3066BC"/>
    <w:rsid w:val="0B316DB7"/>
    <w:rsid w:val="0B3A680E"/>
    <w:rsid w:val="0B3C5C9C"/>
    <w:rsid w:val="0B4B7099"/>
    <w:rsid w:val="0B747542"/>
    <w:rsid w:val="0B7C7FE2"/>
    <w:rsid w:val="0B8E7D02"/>
    <w:rsid w:val="0B9E1A60"/>
    <w:rsid w:val="0BAD70EA"/>
    <w:rsid w:val="0BB93035"/>
    <w:rsid w:val="0BBC2354"/>
    <w:rsid w:val="0BDE2A9B"/>
    <w:rsid w:val="0BDF1202"/>
    <w:rsid w:val="0BE60C5C"/>
    <w:rsid w:val="0BE64446"/>
    <w:rsid w:val="0BF92CAC"/>
    <w:rsid w:val="0C09671A"/>
    <w:rsid w:val="0C296CAE"/>
    <w:rsid w:val="0C326267"/>
    <w:rsid w:val="0C350165"/>
    <w:rsid w:val="0C365370"/>
    <w:rsid w:val="0C3C77C2"/>
    <w:rsid w:val="0C442C80"/>
    <w:rsid w:val="0C4A6383"/>
    <w:rsid w:val="0C4B30F1"/>
    <w:rsid w:val="0C5D71EC"/>
    <w:rsid w:val="0C7376A8"/>
    <w:rsid w:val="0C801F53"/>
    <w:rsid w:val="0C8076E1"/>
    <w:rsid w:val="0C8F51A6"/>
    <w:rsid w:val="0CA97841"/>
    <w:rsid w:val="0CBC0B3E"/>
    <w:rsid w:val="0CCC58BA"/>
    <w:rsid w:val="0CF15084"/>
    <w:rsid w:val="0CF22F65"/>
    <w:rsid w:val="0CFD3771"/>
    <w:rsid w:val="0D001BEA"/>
    <w:rsid w:val="0D0A7F77"/>
    <w:rsid w:val="0D312794"/>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01A10"/>
    <w:rsid w:val="0E7960F6"/>
    <w:rsid w:val="0E7F25F5"/>
    <w:rsid w:val="0E8611C8"/>
    <w:rsid w:val="0E915BD0"/>
    <w:rsid w:val="0E9E4C84"/>
    <w:rsid w:val="0EAA5D5A"/>
    <w:rsid w:val="0EBC43EC"/>
    <w:rsid w:val="0EC33A46"/>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554C5"/>
    <w:rsid w:val="0F7865A2"/>
    <w:rsid w:val="0F7B5DFB"/>
    <w:rsid w:val="0F9A0919"/>
    <w:rsid w:val="0FC11AFA"/>
    <w:rsid w:val="0FC22C67"/>
    <w:rsid w:val="0FCB4B4E"/>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25EA8"/>
    <w:rsid w:val="1073353A"/>
    <w:rsid w:val="10750971"/>
    <w:rsid w:val="107B23CF"/>
    <w:rsid w:val="107E1871"/>
    <w:rsid w:val="10824E25"/>
    <w:rsid w:val="1092654A"/>
    <w:rsid w:val="10947BCD"/>
    <w:rsid w:val="10A10E2A"/>
    <w:rsid w:val="10B71B72"/>
    <w:rsid w:val="10BD5626"/>
    <w:rsid w:val="10C3255D"/>
    <w:rsid w:val="10C85301"/>
    <w:rsid w:val="10CA55F9"/>
    <w:rsid w:val="10D63C01"/>
    <w:rsid w:val="10DB2F38"/>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C8255C"/>
    <w:rsid w:val="11D53F79"/>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7F665A"/>
    <w:rsid w:val="1282388F"/>
    <w:rsid w:val="128572E6"/>
    <w:rsid w:val="128A0F8B"/>
    <w:rsid w:val="129139EE"/>
    <w:rsid w:val="12B105FE"/>
    <w:rsid w:val="12B26461"/>
    <w:rsid w:val="12BF6F7B"/>
    <w:rsid w:val="12C86253"/>
    <w:rsid w:val="12D0549C"/>
    <w:rsid w:val="12D228CA"/>
    <w:rsid w:val="12D442DB"/>
    <w:rsid w:val="12D546F4"/>
    <w:rsid w:val="12D54FFC"/>
    <w:rsid w:val="12DF680F"/>
    <w:rsid w:val="12DF6E63"/>
    <w:rsid w:val="12E84200"/>
    <w:rsid w:val="12E941CE"/>
    <w:rsid w:val="12F36759"/>
    <w:rsid w:val="12F42BA4"/>
    <w:rsid w:val="12F46D05"/>
    <w:rsid w:val="12FE2032"/>
    <w:rsid w:val="1300045E"/>
    <w:rsid w:val="130A6921"/>
    <w:rsid w:val="131E2317"/>
    <w:rsid w:val="131E269C"/>
    <w:rsid w:val="131E73CE"/>
    <w:rsid w:val="13201BEB"/>
    <w:rsid w:val="13274D28"/>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2D644C"/>
    <w:rsid w:val="16392D84"/>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782D5C"/>
    <w:rsid w:val="17B2733D"/>
    <w:rsid w:val="17BA0202"/>
    <w:rsid w:val="17C36FE9"/>
    <w:rsid w:val="17D32110"/>
    <w:rsid w:val="17DF02C7"/>
    <w:rsid w:val="17EF333D"/>
    <w:rsid w:val="17F736BA"/>
    <w:rsid w:val="17FE4C9B"/>
    <w:rsid w:val="180A017E"/>
    <w:rsid w:val="180B1C8C"/>
    <w:rsid w:val="18186FBF"/>
    <w:rsid w:val="182A0E16"/>
    <w:rsid w:val="182E7059"/>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558C8"/>
    <w:rsid w:val="18F733EE"/>
    <w:rsid w:val="190A6030"/>
    <w:rsid w:val="191206D3"/>
    <w:rsid w:val="192E2BD3"/>
    <w:rsid w:val="193470ED"/>
    <w:rsid w:val="19362545"/>
    <w:rsid w:val="1938354B"/>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9F33BB6"/>
    <w:rsid w:val="1A051B3B"/>
    <w:rsid w:val="1A1D2006"/>
    <w:rsid w:val="1A200C49"/>
    <w:rsid w:val="1A206975"/>
    <w:rsid w:val="1A2C7C12"/>
    <w:rsid w:val="1A312E43"/>
    <w:rsid w:val="1A382E26"/>
    <w:rsid w:val="1A3A2210"/>
    <w:rsid w:val="1A4118E9"/>
    <w:rsid w:val="1A414F47"/>
    <w:rsid w:val="1A526576"/>
    <w:rsid w:val="1A5C16D9"/>
    <w:rsid w:val="1A5C6D63"/>
    <w:rsid w:val="1A5F2FF9"/>
    <w:rsid w:val="1A604AA4"/>
    <w:rsid w:val="1A7636B6"/>
    <w:rsid w:val="1A7B17BE"/>
    <w:rsid w:val="1A7C004F"/>
    <w:rsid w:val="1A8B4F58"/>
    <w:rsid w:val="1A907657"/>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2C1"/>
    <w:rsid w:val="1B6F5854"/>
    <w:rsid w:val="1B7E5AA8"/>
    <w:rsid w:val="1B8A22F8"/>
    <w:rsid w:val="1B8D3B96"/>
    <w:rsid w:val="1BA324C2"/>
    <w:rsid w:val="1BA61267"/>
    <w:rsid w:val="1BAD7E75"/>
    <w:rsid w:val="1BAF2B44"/>
    <w:rsid w:val="1BB34046"/>
    <w:rsid w:val="1BB47375"/>
    <w:rsid w:val="1BBB4BA7"/>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35D56"/>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5A5F73"/>
    <w:rsid w:val="1D672B1F"/>
    <w:rsid w:val="1D677311"/>
    <w:rsid w:val="1D864D41"/>
    <w:rsid w:val="1D8B3670"/>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665E8"/>
    <w:rsid w:val="1EDC6093"/>
    <w:rsid w:val="1EFE3118"/>
    <w:rsid w:val="1F0423C1"/>
    <w:rsid w:val="1F091197"/>
    <w:rsid w:val="1F276867"/>
    <w:rsid w:val="1F3233D2"/>
    <w:rsid w:val="1F3868D2"/>
    <w:rsid w:val="1F417E01"/>
    <w:rsid w:val="1F4924CA"/>
    <w:rsid w:val="1F494278"/>
    <w:rsid w:val="1F524DE1"/>
    <w:rsid w:val="1F583D4C"/>
    <w:rsid w:val="1F5C21FD"/>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E0BDF"/>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61CA4"/>
    <w:rsid w:val="214757E3"/>
    <w:rsid w:val="21637A27"/>
    <w:rsid w:val="216C08BA"/>
    <w:rsid w:val="2177570A"/>
    <w:rsid w:val="217F6697"/>
    <w:rsid w:val="21A665AD"/>
    <w:rsid w:val="21B33C19"/>
    <w:rsid w:val="21BA320B"/>
    <w:rsid w:val="21BB34D8"/>
    <w:rsid w:val="21C44C50"/>
    <w:rsid w:val="21D722C1"/>
    <w:rsid w:val="21DF24FF"/>
    <w:rsid w:val="21E309B4"/>
    <w:rsid w:val="21EE6B6B"/>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9D0380"/>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34E8B"/>
    <w:rsid w:val="23C71178"/>
    <w:rsid w:val="23CB43ED"/>
    <w:rsid w:val="23D17044"/>
    <w:rsid w:val="23D172B3"/>
    <w:rsid w:val="23E40684"/>
    <w:rsid w:val="23F23381"/>
    <w:rsid w:val="23F60736"/>
    <w:rsid w:val="240115C5"/>
    <w:rsid w:val="2411563C"/>
    <w:rsid w:val="242447AF"/>
    <w:rsid w:val="24334C53"/>
    <w:rsid w:val="243D6BA4"/>
    <w:rsid w:val="245F149B"/>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61BB3"/>
    <w:rsid w:val="266C04FD"/>
    <w:rsid w:val="266E1364"/>
    <w:rsid w:val="268A4949"/>
    <w:rsid w:val="268E2249"/>
    <w:rsid w:val="2697027E"/>
    <w:rsid w:val="26A67D94"/>
    <w:rsid w:val="26AF355A"/>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F1E9F"/>
    <w:rsid w:val="273C1105"/>
    <w:rsid w:val="274E1A68"/>
    <w:rsid w:val="27545EB0"/>
    <w:rsid w:val="27561C28"/>
    <w:rsid w:val="275F3C6D"/>
    <w:rsid w:val="2764417B"/>
    <w:rsid w:val="27795A37"/>
    <w:rsid w:val="277D0F63"/>
    <w:rsid w:val="278476CC"/>
    <w:rsid w:val="27851DA0"/>
    <w:rsid w:val="278D396C"/>
    <w:rsid w:val="279369D8"/>
    <w:rsid w:val="27A34E59"/>
    <w:rsid w:val="27B92902"/>
    <w:rsid w:val="27C617D8"/>
    <w:rsid w:val="27D36867"/>
    <w:rsid w:val="27DF33C8"/>
    <w:rsid w:val="27E81FE7"/>
    <w:rsid w:val="27EB411E"/>
    <w:rsid w:val="27EE3C0E"/>
    <w:rsid w:val="27EE40EE"/>
    <w:rsid w:val="27F710A0"/>
    <w:rsid w:val="27FC632B"/>
    <w:rsid w:val="280E4562"/>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04068"/>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14818"/>
    <w:rsid w:val="2AB557DB"/>
    <w:rsid w:val="2ADB2B81"/>
    <w:rsid w:val="2B1A174A"/>
    <w:rsid w:val="2B1C4F36"/>
    <w:rsid w:val="2B205491"/>
    <w:rsid w:val="2B2141F9"/>
    <w:rsid w:val="2B225D30"/>
    <w:rsid w:val="2B332625"/>
    <w:rsid w:val="2B361A30"/>
    <w:rsid w:val="2B3C079E"/>
    <w:rsid w:val="2B3C1E41"/>
    <w:rsid w:val="2B455813"/>
    <w:rsid w:val="2B4C2E44"/>
    <w:rsid w:val="2B4E156E"/>
    <w:rsid w:val="2B565E56"/>
    <w:rsid w:val="2B595843"/>
    <w:rsid w:val="2B753532"/>
    <w:rsid w:val="2B7865F9"/>
    <w:rsid w:val="2B7A3C52"/>
    <w:rsid w:val="2B8002E5"/>
    <w:rsid w:val="2B8C374E"/>
    <w:rsid w:val="2B8F46B6"/>
    <w:rsid w:val="2B977AEB"/>
    <w:rsid w:val="2B991DFF"/>
    <w:rsid w:val="2B9C1D21"/>
    <w:rsid w:val="2BA41097"/>
    <w:rsid w:val="2BA956BF"/>
    <w:rsid w:val="2BB948D5"/>
    <w:rsid w:val="2BBE6370"/>
    <w:rsid w:val="2BC90C1A"/>
    <w:rsid w:val="2BF24C23"/>
    <w:rsid w:val="2BFC6B25"/>
    <w:rsid w:val="2C0646C5"/>
    <w:rsid w:val="2C0B151E"/>
    <w:rsid w:val="2C186E9C"/>
    <w:rsid w:val="2C1B0595"/>
    <w:rsid w:val="2C2F4BD1"/>
    <w:rsid w:val="2C300C99"/>
    <w:rsid w:val="2C421FD2"/>
    <w:rsid w:val="2C436E5C"/>
    <w:rsid w:val="2C567BB3"/>
    <w:rsid w:val="2C5B5C73"/>
    <w:rsid w:val="2C632CF4"/>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773C2"/>
    <w:rsid w:val="2D0B78AE"/>
    <w:rsid w:val="2D1142CB"/>
    <w:rsid w:val="2D12007D"/>
    <w:rsid w:val="2D1A734B"/>
    <w:rsid w:val="2D2352B0"/>
    <w:rsid w:val="2D377655"/>
    <w:rsid w:val="2D403484"/>
    <w:rsid w:val="2D430A35"/>
    <w:rsid w:val="2D651E34"/>
    <w:rsid w:val="2D66545A"/>
    <w:rsid w:val="2D6F1178"/>
    <w:rsid w:val="2D9147ED"/>
    <w:rsid w:val="2DAB5DC1"/>
    <w:rsid w:val="2DB31B82"/>
    <w:rsid w:val="2DBE4511"/>
    <w:rsid w:val="2DCF6FB5"/>
    <w:rsid w:val="2DD05EF0"/>
    <w:rsid w:val="2DD5614C"/>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806D6"/>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B69DB"/>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0A1801"/>
    <w:rsid w:val="301306B6"/>
    <w:rsid w:val="303A70C4"/>
    <w:rsid w:val="303F08C7"/>
    <w:rsid w:val="30412492"/>
    <w:rsid w:val="304704C5"/>
    <w:rsid w:val="30594C7A"/>
    <w:rsid w:val="30615FED"/>
    <w:rsid w:val="30664AB1"/>
    <w:rsid w:val="306857C7"/>
    <w:rsid w:val="3069482A"/>
    <w:rsid w:val="306D6698"/>
    <w:rsid w:val="309713C6"/>
    <w:rsid w:val="309B42BA"/>
    <w:rsid w:val="30A232E4"/>
    <w:rsid w:val="30A45AD9"/>
    <w:rsid w:val="30A772E8"/>
    <w:rsid w:val="30C50C66"/>
    <w:rsid w:val="30C61120"/>
    <w:rsid w:val="30C77493"/>
    <w:rsid w:val="30CC7B5D"/>
    <w:rsid w:val="30D836AE"/>
    <w:rsid w:val="30E738F1"/>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4A5592"/>
    <w:rsid w:val="32773851"/>
    <w:rsid w:val="327C20DC"/>
    <w:rsid w:val="32A02E1D"/>
    <w:rsid w:val="32A5173A"/>
    <w:rsid w:val="32AD6C89"/>
    <w:rsid w:val="32BB148C"/>
    <w:rsid w:val="32BB6217"/>
    <w:rsid w:val="32DC365B"/>
    <w:rsid w:val="32E14835"/>
    <w:rsid w:val="32EE71B8"/>
    <w:rsid w:val="32FB4F1E"/>
    <w:rsid w:val="33077BF3"/>
    <w:rsid w:val="33093FF2"/>
    <w:rsid w:val="330D5C4B"/>
    <w:rsid w:val="331A0526"/>
    <w:rsid w:val="33204932"/>
    <w:rsid w:val="33291ACF"/>
    <w:rsid w:val="332C6C4A"/>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2106C"/>
    <w:rsid w:val="34853B4C"/>
    <w:rsid w:val="3489757C"/>
    <w:rsid w:val="34983880"/>
    <w:rsid w:val="34992C7E"/>
    <w:rsid w:val="34B44B7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994EE8"/>
    <w:rsid w:val="35A873D1"/>
    <w:rsid w:val="35AB6533"/>
    <w:rsid w:val="35B95A88"/>
    <w:rsid w:val="35C76FEA"/>
    <w:rsid w:val="35D973F3"/>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846EE5"/>
    <w:rsid w:val="379461DF"/>
    <w:rsid w:val="379C5527"/>
    <w:rsid w:val="379F25AA"/>
    <w:rsid w:val="37A20977"/>
    <w:rsid w:val="37A421DA"/>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13611F"/>
    <w:rsid w:val="382A0185"/>
    <w:rsid w:val="38316343"/>
    <w:rsid w:val="38540962"/>
    <w:rsid w:val="386862CF"/>
    <w:rsid w:val="38727B02"/>
    <w:rsid w:val="38812AD7"/>
    <w:rsid w:val="38926CA6"/>
    <w:rsid w:val="389A4932"/>
    <w:rsid w:val="389C6EEF"/>
    <w:rsid w:val="389F5CD8"/>
    <w:rsid w:val="38A0235A"/>
    <w:rsid w:val="38A87971"/>
    <w:rsid w:val="38AA6BDA"/>
    <w:rsid w:val="38AE7EF7"/>
    <w:rsid w:val="38B279EB"/>
    <w:rsid w:val="38B82AF5"/>
    <w:rsid w:val="38BD445C"/>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9A44C2"/>
    <w:rsid w:val="3AB127B5"/>
    <w:rsid w:val="3AC7728A"/>
    <w:rsid w:val="3ACB380C"/>
    <w:rsid w:val="3AD668BD"/>
    <w:rsid w:val="3AE21C17"/>
    <w:rsid w:val="3AED2353"/>
    <w:rsid w:val="3AED318F"/>
    <w:rsid w:val="3AF6205F"/>
    <w:rsid w:val="3AFE1F63"/>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033F3"/>
    <w:rsid w:val="3BEC0523"/>
    <w:rsid w:val="3BF34A5A"/>
    <w:rsid w:val="3BFC7627"/>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6D49D0"/>
    <w:rsid w:val="3D7778E1"/>
    <w:rsid w:val="3D8E3A72"/>
    <w:rsid w:val="3DA509C7"/>
    <w:rsid w:val="3DAE2673"/>
    <w:rsid w:val="3DBE32B1"/>
    <w:rsid w:val="3DC254CA"/>
    <w:rsid w:val="3DD31485"/>
    <w:rsid w:val="3DD64A42"/>
    <w:rsid w:val="3DD8521E"/>
    <w:rsid w:val="3DF473F7"/>
    <w:rsid w:val="3DFE0BF8"/>
    <w:rsid w:val="3DFF7691"/>
    <w:rsid w:val="3E0C1BA4"/>
    <w:rsid w:val="3E21293C"/>
    <w:rsid w:val="3E2140BF"/>
    <w:rsid w:val="3E2538A4"/>
    <w:rsid w:val="3E30610D"/>
    <w:rsid w:val="3E3703FB"/>
    <w:rsid w:val="3E392133"/>
    <w:rsid w:val="3E415057"/>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4F32"/>
    <w:rsid w:val="3F47541D"/>
    <w:rsid w:val="3F4F53D8"/>
    <w:rsid w:val="3F6009A6"/>
    <w:rsid w:val="3F606DFC"/>
    <w:rsid w:val="3F6B19BB"/>
    <w:rsid w:val="3F6D721C"/>
    <w:rsid w:val="3F6F1681"/>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644F5E"/>
    <w:rsid w:val="407658B9"/>
    <w:rsid w:val="407F7AEC"/>
    <w:rsid w:val="409450AA"/>
    <w:rsid w:val="40952C78"/>
    <w:rsid w:val="40A354D7"/>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20244"/>
    <w:rsid w:val="415C1E5E"/>
    <w:rsid w:val="416B6CB9"/>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436B6D"/>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55BBC"/>
    <w:rsid w:val="42EF3074"/>
    <w:rsid w:val="42F27836"/>
    <w:rsid w:val="42F51935"/>
    <w:rsid w:val="42F531CE"/>
    <w:rsid w:val="42FF4BE0"/>
    <w:rsid w:val="430A6E5A"/>
    <w:rsid w:val="430F6EAD"/>
    <w:rsid w:val="431303D0"/>
    <w:rsid w:val="432809C5"/>
    <w:rsid w:val="43291B47"/>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8B0D0B"/>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46A6A"/>
    <w:rsid w:val="45265484"/>
    <w:rsid w:val="452D1DC2"/>
    <w:rsid w:val="452D74E0"/>
    <w:rsid w:val="45330528"/>
    <w:rsid w:val="45392515"/>
    <w:rsid w:val="45396AC7"/>
    <w:rsid w:val="45536CBB"/>
    <w:rsid w:val="45606FDE"/>
    <w:rsid w:val="45756CBD"/>
    <w:rsid w:val="45777091"/>
    <w:rsid w:val="457C4123"/>
    <w:rsid w:val="457D34BC"/>
    <w:rsid w:val="45855844"/>
    <w:rsid w:val="458B69F6"/>
    <w:rsid w:val="45A40F60"/>
    <w:rsid w:val="45A647C9"/>
    <w:rsid w:val="45A84C46"/>
    <w:rsid w:val="45A94A5A"/>
    <w:rsid w:val="45C325DF"/>
    <w:rsid w:val="45C943D0"/>
    <w:rsid w:val="45CC116E"/>
    <w:rsid w:val="45D71D2E"/>
    <w:rsid w:val="45DA04A4"/>
    <w:rsid w:val="45DA6D30"/>
    <w:rsid w:val="45DE14B8"/>
    <w:rsid w:val="45E16709"/>
    <w:rsid w:val="45EC271B"/>
    <w:rsid w:val="46116C98"/>
    <w:rsid w:val="46232DCE"/>
    <w:rsid w:val="46261627"/>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7F968D8"/>
    <w:rsid w:val="486C3D94"/>
    <w:rsid w:val="487216E8"/>
    <w:rsid w:val="48773D46"/>
    <w:rsid w:val="487877F8"/>
    <w:rsid w:val="487E7587"/>
    <w:rsid w:val="4887459B"/>
    <w:rsid w:val="489549DF"/>
    <w:rsid w:val="48A226AD"/>
    <w:rsid w:val="48A26623"/>
    <w:rsid w:val="48B2699F"/>
    <w:rsid w:val="48B67D8D"/>
    <w:rsid w:val="48C260C0"/>
    <w:rsid w:val="48D26D9A"/>
    <w:rsid w:val="48DA7E13"/>
    <w:rsid w:val="48E47706"/>
    <w:rsid w:val="4902628A"/>
    <w:rsid w:val="490B2882"/>
    <w:rsid w:val="490B41C9"/>
    <w:rsid w:val="49116A8B"/>
    <w:rsid w:val="4912008E"/>
    <w:rsid w:val="49134EAB"/>
    <w:rsid w:val="492412C0"/>
    <w:rsid w:val="49302BF1"/>
    <w:rsid w:val="494E7D53"/>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F04BCB"/>
    <w:rsid w:val="49F17862"/>
    <w:rsid w:val="49FD451C"/>
    <w:rsid w:val="4A037F21"/>
    <w:rsid w:val="4A152F65"/>
    <w:rsid w:val="4A1A3486"/>
    <w:rsid w:val="4A1E617D"/>
    <w:rsid w:val="4A2D6BAB"/>
    <w:rsid w:val="4A3D4856"/>
    <w:rsid w:val="4A3E0914"/>
    <w:rsid w:val="4A3F1207"/>
    <w:rsid w:val="4A4200BE"/>
    <w:rsid w:val="4A484FA8"/>
    <w:rsid w:val="4A4D4DB2"/>
    <w:rsid w:val="4A5527FC"/>
    <w:rsid w:val="4A57472F"/>
    <w:rsid w:val="4A6E0EB3"/>
    <w:rsid w:val="4A715E3D"/>
    <w:rsid w:val="4A9A1CA8"/>
    <w:rsid w:val="4AB72982"/>
    <w:rsid w:val="4AF42A0E"/>
    <w:rsid w:val="4AF64A04"/>
    <w:rsid w:val="4B03235C"/>
    <w:rsid w:val="4B17690E"/>
    <w:rsid w:val="4B1B2082"/>
    <w:rsid w:val="4B224ECB"/>
    <w:rsid w:val="4B2D336A"/>
    <w:rsid w:val="4B336491"/>
    <w:rsid w:val="4B3774F7"/>
    <w:rsid w:val="4B5B530F"/>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21173"/>
    <w:rsid w:val="4BF43EA0"/>
    <w:rsid w:val="4C0B49E3"/>
    <w:rsid w:val="4C180EC0"/>
    <w:rsid w:val="4C2B4BD2"/>
    <w:rsid w:val="4C365A00"/>
    <w:rsid w:val="4C3E4345"/>
    <w:rsid w:val="4C40066C"/>
    <w:rsid w:val="4C4B6676"/>
    <w:rsid w:val="4C4D36BA"/>
    <w:rsid w:val="4C543AEB"/>
    <w:rsid w:val="4C636610"/>
    <w:rsid w:val="4C644C8D"/>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5360E"/>
    <w:rsid w:val="4E2719FC"/>
    <w:rsid w:val="4E41684D"/>
    <w:rsid w:val="4E5E12F1"/>
    <w:rsid w:val="4E616639"/>
    <w:rsid w:val="4E62045F"/>
    <w:rsid w:val="4E66793D"/>
    <w:rsid w:val="4E731B38"/>
    <w:rsid w:val="4E783F31"/>
    <w:rsid w:val="4E881E17"/>
    <w:rsid w:val="4EAC689C"/>
    <w:rsid w:val="4EB25AA5"/>
    <w:rsid w:val="4EB42C0C"/>
    <w:rsid w:val="4ECC32FB"/>
    <w:rsid w:val="4EDD2691"/>
    <w:rsid w:val="4EF911E3"/>
    <w:rsid w:val="4EF94046"/>
    <w:rsid w:val="4F003827"/>
    <w:rsid w:val="4F0048E8"/>
    <w:rsid w:val="4F037C1C"/>
    <w:rsid w:val="4F0C760F"/>
    <w:rsid w:val="4F15188C"/>
    <w:rsid w:val="4F162F8C"/>
    <w:rsid w:val="4F1B205A"/>
    <w:rsid w:val="4F255836"/>
    <w:rsid w:val="4F29165C"/>
    <w:rsid w:val="4F3C7E8D"/>
    <w:rsid w:val="4F3F24FD"/>
    <w:rsid w:val="4F4F67C3"/>
    <w:rsid w:val="4F542EE9"/>
    <w:rsid w:val="4F580453"/>
    <w:rsid w:val="4F602D94"/>
    <w:rsid w:val="4F647CAE"/>
    <w:rsid w:val="4F7F4759"/>
    <w:rsid w:val="4F85685A"/>
    <w:rsid w:val="4F883FE5"/>
    <w:rsid w:val="4F8A3560"/>
    <w:rsid w:val="4F8A6E9D"/>
    <w:rsid w:val="4F9A62A6"/>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C20F4E"/>
    <w:rsid w:val="50C51101"/>
    <w:rsid w:val="50CD4459"/>
    <w:rsid w:val="50D40C4B"/>
    <w:rsid w:val="50E46F54"/>
    <w:rsid w:val="50E87F9F"/>
    <w:rsid w:val="50F26FD7"/>
    <w:rsid w:val="50F27DC3"/>
    <w:rsid w:val="510A0B7F"/>
    <w:rsid w:val="510E0858"/>
    <w:rsid w:val="510F5BEA"/>
    <w:rsid w:val="512978E2"/>
    <w:rsid w:val="512F07EA"/>
    <w:rsid w:val="5130002C"/>
    <w:rsid w:val="514054DD"/>
    <w:rsid w:val="5144267E"/>
    <w:rsid w:val="514D07CA"/>
    <w:rsid w:val="5153670D"/>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A0BDC"/>
    <w:rsid w:val="51E16066"/>
    <w:rsid w:val="51E74EF3"/>
    <w:rsid w:val="520C2961"/>
    <w:rsid w:val="522F500B"/>
    <w:rsid w:val="523852D6"/>
    <w:rsid w:val="523A7DCF"/>
    <w:rsid w:val="523E2509"/>
    <w:rsid w:val="523E768F"/>
    <w:rsid w:val="5242577E"/>
    <w:rsid w:val="52530988"/>
    <w:rsid w:val="52631C79"/>
    <w:rsid w:val="52683892"/>
    <w:rsid w:val="527076ED"/>
    <w:rsid w:val="5278251C"/>
    <w:rsid w:val="52783884"/>
    <w:rsid w:val="52866565"/>
    <w:rsid w:val="529D66D8"/>
    <w:rsid w:val="529E7E5B"/>
    <w:rsid w:val="52A5407B"/>
    <w:rsid w:val="52A87A96"/>
    <w:rsid w:val="52AC28BC"/>
    <w:rsid w:val="52B05067"/>
    <w:rsid w:val="52CC01AE"/>
    <w:rsid w:val="52CC23E6"/>
    <w:rsid w:val="52D05C12"/>
    <w:rsid w:val="52D23FA9"/>
    <w:rsid w:val="52D7787C"/>
    <w:rsid w:val="52E07238"/>
    <w:rsid w:val="52EA11D5"/>
    <w:rsid w:val="52EF49AD"/>
    <w:rsid w:val="5329120F"/>
    <w:rsid w:val="53314CE8"/>
    <w:rsid w:val="53360094"/>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E4EC4"/>
    <w:rsid w:val="55022976"/>
    <w:rsid w:val="550626E2"/>
    <w:rsid w:val="551A2201"/>
    <w:rsid w:val="551C096F"/>
    <w:rsid w:val="55240097"/>
    <w:rsid w:val="552A0691"/>
    <w:rsid w:val="552C3D46"/>
    <w:rsid w:val="554D13EE"/>
    <w:rsid w:val="55651AA0"/>
    <w:rsid w:val="55797798"/>
    <w:rsid w:val="557C57EF"/>
    <w:rsid w:val="558163EB"/>
    <w:rsid w:val="55854A5F"/>
    <w:rsid w:val="559341A6"/>
    <w:rsid w:val="5594298A"/>
    <w:rsid w:val="559F4616"/>
    <w:rsid w:val="55A0213D"/>
    <w:rsid w:val="55A167FB"/>
    <w:rsid w:val="55A45A9F"/>
    <w:rsid w:val="55B17EA6"/>
    <w:rsid w:val="55C57ADE"/>
    <w:rsid w:val="55CE22F2"/>
    <w:rsid w:val="55F936EF"/>
    <w:rsid w:val="55FA0B36"/>
    <w:rsid w:val="56160365"/>
    <w:rsid w:val="56162CC9"/>
    <w:rsid w:val="561717F3"/>
    <w:rsid w:val="561E54E3"/>
    <w:rsid w:val="564D4072"/>
    <w:rsid w:val="56523013"/>
    <w:rsid w:val="565F0360"/>
    <w:rsid w:val="566030D8"/>
    <w:rsid w:val="566539D0"/>
    <w:rsid w:val="566E6821"/>
    <w:rsid w:val="56812FF6"/>
    <w:rsid w:val="5697353F"/>
    <w:rsid w:val="569F32F8"/>
    <w:rsid w:val="56A8416C"/>
    <w:rsid w:val="56AA4508"/>
    <w:rsid w:val="56B63332"/>
    <w:rsid w:val="56B91708"/>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BD5228"/>
    <w:rsid w:val="57C2221D"/>
    <w:rsid w:val="57C42129"/>
    <w:rsid w:val="57D52B76"/>
    <w:rsid w:val="57DC1CDA"/>
    <w:rsid w:val="57E1536E"/>
    <w:rsid w:val="57E25C69"/>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45068"/>
    <w:rsid w:val="5A3526A3"/>
    <w:rsid w:val="5A4033C2"/>
    <w:rsid w:val="5A4A072C"/>
    <w:rsid w:val="5A4E41C1"/>
    <w:rsid w:val="5A6210CC"/>
    <w:rsid w:val="5A654D08"/>
    <w:rsid w:val="5A7348C9"/>
    <w:rsid w:val="5A7521D8"/>
    <w:rsid w:val="5A7E7218"/>
    <w:rsid w:val="5A7F4506"/>
    <w:rsid w:val="5A936069"/>
    <w:rsid w:val="5A961224"/>
    <w:rsid w:val="5A9725BE"/>
    <w:rsid w:val="5AB02E22"/>
    <w:rsid w:val="5AC76508"/>
    <w:rsid w:val="5AD45AFB"/>
    <w:rsid w:val="5AD52888"/>
    <w:rsid w:val="5AD61113"/>
    <w:rsid w:val="5AF72A21"/>
    <w:rsid w:val="5AFC1624"/>
    <w:rsid w:val="5B095493"/>
    <w:rsid w:val="5B115BA8"/>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042FB1"/>
    <w:rsid w:val="5D1341B2"/>
    <w:rsid w:val="5D1405A6"/>
    <w:rsid w:val="5D154AF0"/>
    <w:rsid w:val="5D186A5C"/>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AF5613"/>
    <w:rsid w:val="5DBA0135"/>
    <w:rsid w:val="5DC0337C"/>
    <w:rsid w:val="5DCD5DE5"/>
    <w:rsid w:val="5DD437EF"/>
    <w:rsid w:val="5DF16302"/>
    <w:rsid w:val="5DFB118E"/>
    <w:rsid w:val="5DFF4B46"/>
    <w:rsid w:val="5E1767B1"/>
    <w:rsid w:val="5E191028"/>
    <w:rsid w:val="5E20206C"/>
    <w:rsid w:val="5E227B93"/>
    <w:rsid w:val="5E384714"/>
    <w:rsid w:val="5E3B0A10"/>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6C2424"/>
    <w:rsid w:val="5F6E718C"/>
    <w:rsid w:val="5F767D2F"/>
    <w:rsid w:val="5F946A7C"/>
    <w:rsid w:val="5F964E5F"/>
    <w:rsid w:val="5FBA79B0"/>
    <w:rsid w:val="5FC61813"/>
    <w:rsid w:val="5FD27396"/>
    <w:rsid w:val="5FD57CF6"/>
    <w:rsid w:val="5FDE7B88"/>
    <w:rsid w:val="5FE43EEF"/>
    <w:rsid w:val="5FF50EAD"/>
    <w:rsid w:val="5FFE6E0D"/>
    <w:rsid w:val="600676E3"/>
    <w:rsid w:val="600F4147"/>
    <w:rsid w:val="601C5687"/>
    <w:rsid w:val="60210FF8"/>
    <w:rsid w:val="602219B8"/>
    <w:rsid w:val="60250451"/>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1E8A"/>
    <w:rsid w:val="60E253D9"/>
    <w:rsid w:val="60E82CA1"/>
    <w:rsid w:val="60E97ACC"/>
    <w:rsid w:val="60F15F42"/>
    <w:rsid w:val="60F168D4"/>
    <w:rsid w:val="60F26933"/>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9D1622"/>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5D78BF"/>
    <w:rsid w:val="63641914"/>
    <w:rsid w:val="63743838"/>
    <w:rsid w:val="637455EF"/>
    <w:rsid w:val="637509AF"/>
    <w:rsid w:val="638730C9"/>
    <w:rsid w:val="63A23228"/>
    <w:rsid w:val="63AB5D44"/>
    <w:rsid w:val="63AC528F"/>
    <w:rsid w:val="63B04CF8"/>
    <w:rsid w:val="63BA7188"/>
    <w:rsid w:val="63BF796E"/>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A419D"/>
    <w:rsid w:val="647E5D3F"/>
    <w:rsid w:val="64846083"/>
    <w:rsid w:val="64851089"/>
    <w:rsid w:val="648C0E64"/>
    <w:rsid w:val="649445F6"/>
    <w:rsid w:val="64983CC9"/>
    <w:rsid w:val="64B109D5"/>
    <w:rsid w:val="64C574CA"/>
    <w:rsid w:val="64CB617B"/>
    <w:rsid w:val="64E43E7F"/>
    <w:rsid w:val="64EC2CA8"/>
    <w:rsid w:val="64FE5C71"/>
    <w:rsid w:val="65007BC5"/>
    <w:rsid w:val="650E58CD"/>
    <w:rsid w:val="65107E36"/>
    <w:rsid w:val="65183A9D"/>
    <w:rsid w:val="65354E1B"/>
    <w:rsid w:val="654E476E"/>
    <w:rsid w:val="65631B13"/>
    <w:rsid w:val="6579732B"/>
    <w:rsid w:val="657B11CD"/>
    <w:rsid w:val="6581003A"/>
    <w:rsid w:val="658A6BCD"/>
    <w:rsid w:val="659D0782"/>
    <w:rsid w:val="659D7C90"/>
    <w:rsid w:val="65A74CE3"/>
    <w:rsid w:val="65B07F96"/>
    <w:rsid w:val="65C85C1B"/>
    <w:rsid w:val="65D04EEB"/>
    <w:rsid w:val="65D424B9"/>
    <w:rsid w:val="65DB6E4D"/>
    <w:rsid w:val="65E31DEE"/>
    <w:rsid w:val="65E816C2"/>
    <w:rsid w:val="65F334C9"/>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73320D"/>
    <w:rsid w:val="67827A7F"/>
    <w:rsid w:val="67917B37"/>
    <w:rsid w:val="679C2007"/>
    <w:rsid w:val="67A667D3"/>
    <w:rsid w:val="67A74C82"/>
    <w:rsid w:val="67A95111"/>
    <w:rsid w:val="67B845F6"/>
    <w:rsid w:val="67C365BF"/>
    <w:rsid w:val="67D8341E"/>
    <w:rsid w:val="67E46FF5"/>
    <w:rsid w:val="67E66A6F"/>
    <w:rsid w:val="67EB2D8A"/>
    <w:rsid w:val="67ED6C16"/>
    <w:rsid w:val="680A6C82"/>
    <w:rsid w:val="681A7B2C"/>
    <w:rsid w:val="681C4E3A"/>
    <w:rsid w:val="6824034C"/>
    <w:rsid w:val="68340E40"/>
    <w:rsid w:val="683A1C4F"/>
    <w:rsid w:val="683E3347"/>
    <w:rsid w:val="685E57CE"/>
    <w:rsid w:val="685F4AA0"/>
    <w:rsid w:val="68623D3F"/>
    <w:rsid w:val="68637725"/>
    <w:rsid w:val="68690D12"/>
    <w:rsid w:val="686920FE"/>
    <w:rsid w:val="686A3AA5"/>
    <w:rsid w:val="686A7C53"/>
    <w:rsid w:val="686C7E0A"/>
    <w:rsid w:val="68757042"/>
    <w:rsid w:val="687D6111"/>
    <w:rsid w:val="6886166B"/>
    <w:rsid w:val="688C683F"/>
    <w:rsid w:val="68954A3C"/>
    <w:rsid w:val="689B0DF8"/>
    <w:rsid w:val="689E21E1"/>
    <w:rsid w:val="68B5096E"/>
    <w:rsid w:val="68B655BD"/>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72332"/>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01D2D"/>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2D5008"/>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80792"/>
    <w:rsid w:val="6D82770E"/>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EA5691"/>
    <w:rsid w:val="6EF2710D"/>
    <w:rsid w:val="6F08338C"/>
    <w:rsid w:val="6F0E6B0E"/>
    <w:rsid w:val="6F1D73D4"/>
    <w:rsid w:val="6F492FDA"/>
    <w:rsid w:val="6F561A7D"/>
    <w:rsid w:val="6F5914CB"/>
    <w:rsid w:val="6F6005AE"/>
    <w:rsid w:val="6F63625D"/>
    <w:rsid w:val="6F6629EA"/>
    <w:rsid w:val="6F793301"/>
    <w:rsid w:val="6F843849"/>
    <w:rsid w:val="6FA629B9"/>
    <w:rsid w:val="6FA91B3F"/>
    <w:rsid w:val="6FB05B5D"/>
    <w:rsid w:val="6FB41CDF"/>
    <w:rsid w:val="6FD145CA"/>
    <w:rsid w:val="6FE52B7F"/>
    <w:rsid w:val="6FE81560"/>
    <w:rsid w:val="6FE832DA"/>
    <w:rsid w:val="70017F76"/>
    <w:rsid w:val="70047746"/>
    <w:rsid w:val="70090C45"/>
    <w:rsid w:val="701557A9"/>
    <w:rsid w:val="701B22C2"/>
    <w:rsid w:val="702A0B29"/>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773CEE"/>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F0694"/>
    <w:rsid w:val="722F679F"/>
    <w:rsid w:val="723A2626"/>
    <w:rsid w:val="723D68AF"/>
    <w:rsid w:val="724721AC"/>
    <w:rsid w:val="724E3C2C"/>
    <w:rsid w:val="72513DDF"/>
    <w:rsid w:val="725501DD"/>
    <w:rsid w:val="72620A4E"/>
    <w:rsid w:val="72705108"/>
    <w:rsid w:val="727B38BE"/>
    <w:rsid w:val="729452D5"/>
    <w:rsid w:val="729B2130"/>
    <w:rsid w:val="72B739A4"/>
    <w:rsid w:val="72D0594D"/>
    <w:rsid w:val="72F657B0"/>
    <w:rsid w:val="72FC409A"/>
    <w:rsid w:val="73032FC0"/>
    <w:rsid w:val="73054AAE"/>
    <w:rsid w:val="73094A02"/>
    <w:rsid w:val="730F48D7"/>
    <w:rsid w:val="732206A5"/>
    <w:rsid w:val="73253B84"/>
    <w:rsid w:val="73345810"/>
    <w:rsid w:val="733D0BED"/>
    <w:rsid w:val="734F4226"/>
    <w:rsid w:val="735321EF"/>
    <w:rsid w:val="73613DC2"/>
    <w:rsid w:val="73626265"/>
    <w:rsid w:val="737259EB"/>
    <w:rsid w:val="738707F8"/>
    <w:rsid w:val="738754CA"/>
    <w:rsid w:val="738B6F89"/>
    <w:rsid w:val="73920EBF"/>
    <w:rsid w:val="739D3646"/>
    <w:rsid w:val="73AF1CC4"/>
    <w:rsid w:val="73B05913"/>
    <w:rsid w:val="73B24691"/>
    <w:rsid w:val="73B64537"/>
    <w:rsid w:val="73C056D8"/>
    <w:rsid w:val="73C83268"/>
    <w:rsid w:val="73CB6AC4"/>
    <w:rsid w:val="73ED1A3A"/>
    <w:rsid w:val="73ED4347"/>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036A0"/>
    <w:rsid w:val="76935753"/>
    <w:rsid w:val="76951140"/>
    <w:rsid w:val="76974BD9"/>
    <w:rsid w:val="76977026"/>
    <w:rsid w:val="76A70C95"/>
    <w:rsid w:val="76A93CE9"/>
    <w:rsid w:val="76C03F95"/>
    <w:rsid w:val="76D15D09"/>
    <w:rsid w:val="76D32415"/>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CC088F"/>
    <w:rsid w:val="77DD5D14"/>
    <w:rsid w:val="77F437B1"/>
    <w:rsid w:val="77F85931"/>
    <w:rsid w:val="780738D1"/>
    <w:rsid w:val="78147AD6"/>
    <w:rsid w:val="7819395D"/>
    <w:rsid w:val="781D17B3"/>
    <w:rsid w:val="782226C6"/>
    <w:rsid w:val="78263974"/>
    <w:rsid w:val="783C4141"/>
    <w:rsid w:val="783D4AFF"/>
    <w:rsid w:val="784D30F3"/>
    <w:rsid w:val="785031C4"/>
    <w:rsid w:val="78581022"/>
    <w:rsid w:val="78693C27"/>
    <w:rsid w:val="788A2C6A"/>
    <w:rsid w:val="789860D5"/>
    <w:rsid w:val="789C1B98"/>
    <w:rsid w:val="78A51694"/>
    <w:rsid w:val="78AD0D21"/>
    <w:rsid w:val="78B73B4F"/>
    <w:rsid w:val="78B934ED"/>
    <w:rsid w:val="78C37C8A"/>
    <w:rsid w:val="78DE2D7C"/>
    <w:rsid w:val="790744FA"/>
    <w:rsid w:val="7922596C"/>
    <w:rsid w:val="792F01A6"/>
    <w:rsid w:val="79382965"/>
    <w:rsid w:val="79386064"/>
    <w:rsid w:val="793B3189"/>
    <w:rsid w:val="794C1894"/>
    <w:rsid w:val="795161CA"/>
    <w:rsid w:val="79665BDF"/>
    <w:rsid w:val="79820F11"/>
    <w:rsid w:val="79981173"/>
    <w:rsid w:val="799E6545"/>
    <w:rsid w:val="799F228B"/>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C04563"/>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134B67"/>
    <w:rsid w:val="7C212B16"/>
    <w:rsid w:val="7C344D27"/>
    <w:rsid w:val="7C5331B5"/>
    <w:rsid w:val="7C6034EF"/>
    <w:rsid w:val="7C6F0028"/>
    <w:rsid w:val="7C713B95"/>
    <w:rsid w:val="7C8F3841"/>
    <w:rsid w:val="7C927737"/>
    <w:rsid w:val="7C970076"/>
    <w:rsid w:val="7C991510"/>
    <w:rsid w:val="7CAB244D"/>
    <w:rsid w:val="7CB14283"/>
    <w:rsid w:val="7CB225D2"/>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E354CD"/>
    <w:rsid w:val="7EFC16E4"/>
    <w:rsid w:val="7EFD24F6"/>
    <w:rsid w:val="7F06366D"/>
    <w:rsid w:val="7F13011A"/>
    <w:rsid w:val="7F1633B2"/>
    <w:rsid w:val="7F2F1CB8"/>
    <w:rsid w:val="7F2F3A66"/>
    <w:rsid w:val="7F3814A3"/>
    <w:rsid w:val="7F4A08A0"/>
    <w:rsid w:val="7F536596"/>
    <w:rsid w:val="7F5456A0"/>
    <w:rsid w:val="7F5C0130"/>
    <w:rsid w:val="7F6F3664"/>
    <w:rsid w:val="7F74591C"/>
    <w:rsid w:val="7F79289E"/>
    <w:rsid w:val="7F880FE3"/>
    <w:rsid w:val="7F8F1F7C"/>
    <w:rsid w:val="7FA8445B"/>
    <w:rsid w:val="7FAB7D12"/>
    <w:rsid w:val="7FCA114D"/>
    <w:rsid w:val="7FD338C7"/>
    <w:rsid w:val="7FD422E4"/>
    <w:rsid w:val="7FD90BC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widowControl/>
      <w:ind w:left="720"/>
      <w:contextualSpacing/>
      <w:jc w:val="left"/>
    </w:pPr>
    <w:rPr>
      <w:rFonts w:ascii="Arial" w:hAnsi="Arial" w:eastAsia="黑体"/>
      <w:kern w:val="0"/>
      <w:sz w:val="24"/>
      <w:lang w:eastAsia="en-US"/>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8"/>
    <w:qFormat/>
    <w:uiPriority w:val="0"/>
    <w:rPr>
      <w:rFonts w:ascii="宋体"/>
      <w:sz w:val="18"/>
      <w:szCs w:val="18"/>
    </w:rPr>
  </w:style>
  <w:style w:type="paragraph" w:styleId="17">
    <w:name w:val="annotation text"/>
    <w:basedOn w:val="1"/>
    <w:link w:val="69"/>
    <w:qFormat/>
    <w:uiPriority w:val="99"/>
    <w:pPr>
      <w:jc w:val="left"/>
    </w:pPr>
  </w:style>
  <w:style w:type="paragraph" w:styleId="18">
    <w:name w:val="Body Text 3"/>
    <w:basedOn w:val="1"/>
    <w:link w:val="70"/>
    <w:qFormat/>
    <w:uiPriority w:val="0"/>
    <w:rPr>
      <w:rFonts w:ascii="宋体"/>
      <w:sz w:val="24"/>
      <w:szCs w:val="20"/>
    </w:rPr>
  </w:style>
  <w:style w:type="paragraph" w:styleId="19">
    <w:name w:val="Body Text"/>
    <w:basedOn w:val="1"/>
    <w:next w:val="1"/>
    <w:link w:val="71"/>
    <w:qFormat/>
    <w:uiPriority w:val="0"/>
    <w:pPr>
      <w:jc w:val="center"/>
    </w:pPr>
    <w:rPr>
      <w:rFonts w:eastAsia="幼圆"/>
      <w:b/>
      <w:bCs/>
      <w:sz w:val="44"/>
    </w:rPr>
  </w:style>
  <w:style w:type="paragraph" w:styleId="20">
    <w:name w:val="Body Text Indent"/>
    <w:basedOn w:val="1"/>
    <w:link w:val="72"/>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3"/>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4"/>
    <w:unhideWhenUsed/>
    <w:qFormat/>
    <w:uiPriority w:val="0"/>
  </w:style>
  <w:style w:type="paragraph" w:styleId="28">
    <w:name w:val="Body Text Indent 2"/>
    <w:basedOn w:val="1"/>
    <w:link w:val="75"/>
    <w:unhideWhenUsed/>
    <w:qFormat/>
    <w:uiPriority w:val="99"/>
    <w:pPr>
      <w:spacing w:line="420" w:lineRule="exact"/>
      <w:ind w:firstLine="525"/>
    </w:pPr>
    <w:rPr>
      <w:rFonts w:ascii="宋体"/>
      <w:kern w:val="0"/>
      <w:sz w:val="20"/>
      <w:szCs w:val="20"/>
    </w:rPr>
  </w:style>
  <w:style w:type="paragraph" w:styleId="29">
    <w:name w:val="Balloon Text"/>
    <w:basedOn w:val="1"/>
    <w:link w:val="76"/>
    <w:qFormat/>
    <w:uiPriority w:val="0"/>
    <w:rPr>
      <w:sz w:val="18"/>
      <w:szCs w:val="18"/>
    </w:rPr>
  </w:style>
  <w:style w:type="paragraph" w:styleId="30">
    <w:name w:val="footer"/>
    <w:basedOn w:val="1"/>
    <w:next w:val="31"/>
    <w:link w:val="77"/>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80"/>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Body Text 2"/>
    <w:basedOn w:val="1"/>
    <w:qFormat/>
    <w:uiPriority w:val="0"/>
    <w:pPr>
      <w:widowControl/>
      <w:jc w:val="center"/>
    </w:pPr>
    <w:rPr>
      <w:rFonts w:ascii="楷体_GB2312" w:eastAsia="楷体_GB2312"/>
      <w:sz w:val="28"/>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82"/>
    <w:qFormat/>
    <w:uiPriority w:val="0"/>
    <w:rPr>
      <w:b/>
      <w:bCs/>
    </w:rPr>
  </w:style>
  <w:style w:type="paragraph" w:styleId="46">
    <w:name w:val="Body Text First Indent 2"/>
    <w:basedOn w:val="20"/>
    <w:qFormat/>
    <w:uiPriority w:val="99"/>
    <w:pPr>
      <w:ind w:firstLine="420" w:firstLineChars="200"/>
    </w:pPr>
  </w:style>
  <w:style w:type="table" w:styleId="48">
    <w:name w:val="Table Grid"/>
    <w:basedOn w:val="4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basedOn w:val="49"/>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basedOn w:val="49"/>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color w:val="008000"/>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3"/>
    <w:qFormat/>
    <w:uiPriority w:val="0"/>
    <w:rPr>
      <w:rFonts w:ascii="Times New Roman" w:hAnsi="Times New Roman" w:eastAsia="宋体" w:cs="Times New Roman"/>
      <w:b/>
      <w:bCs/>
      <w:kern w:val="44"/>
      <w:sz w:val="32"/>
      <w:szCs w:val="44"/>
    </w:rPr>
  </w:style>
  <w:style w:type="character" w:customStyle="1" w:styleId="60">
    <w:name w:val="标题 2 字符"/>
    <w:link w:val="4"/>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6"/>
    <w:qFormat/>
    <w:uiPriority w:val="0"/>
    <w:rPr>
      <w:rFonts w:ascii="宋体"/>
      <w:kern w:val="2"/>
      <w:sz w:val="18"/>
      <w:szCs w:val="18"/>
    </w:rPr>
  </w:style>
  <w:style w:type="character" w:customStyle="1" w:styleId="69">
    <w:name w:val="批注文字 字符"/>
    <w:link w:val="17"/>
    <w:qFormat/>
    <w:uiPriority w:val="99"/>
    <w:rPr>
      <w:kern w:val="2"/>
      <w:sz w:val="21"/>
      <w:szCs w:val="24"/>
    </w:rPr>
  </w:style>
  <w:style w:type="character" w:customStyle="1" w:styleId="70">
    <w:name w:val="正文文本 3 字符"/>
    <w:link w:val="18"/>
    <w:qFormat/>
    <w:uiPriority w:val="0"/>
    <w:rPr>
      <w:rFonts w:ascii="宋体"/>
      <w:kern w:val="2"/>
      <w:sz w:val="24"/>
    </w:rPr>
  </w:style>
  <w:style w:type="character" w:customStyle="1" w:styleId="71">
    <w:name w:val="正文文本 字符"/>
    <w:link w:val="19"/>
    <w:qFormat/>
    <w:uiPriority w:val="0"/>
    <w:rPr>
      <w:rFonts w:eastAsia="幼圆"/>
      <w:b/>
      <w:bCs/>
      <w:kern w:val="2"/>
      <w:sz w:val="44"/>
      <w:szCs w:val="24"/>
    </w:rPr>
  </w:style>
  <w:style w:type="character" w:customStyle="1" w:styleId="72">
    <w:name w:val="正文文本缩进 字符"/>
    <w:link w:val="20"/>
    <w:qFormat/>
    <w:uiPriority w:val="0"/>
    <w:rPr>
      <w:kern w:val="2"/>
      <w:sz w:val="21"/>
      <w:szCs w:val="24"/>
    </w:rPr>
  </w:style>
  <w:style w:type="character" w:customStyle="1" w:styleId="73">
    <w:name w:val="纯文本 字符"/>
    <w:link w:val="25"/>
    <w:qFormat/>
    <w:uiPriority w:val="0"/>
    <w:rPr>
      <w:rFonts w:ascii="Ari"/>
      <w:lang w:val="en-US" w:eastAsia="zh-CN" w:bidi="ar-SA"/>
    </w:rPr>
  </w:style>
  <w:style w:type="character" w:customStyle="1" w:styleId="74">
    <w:name w:val="日期 字符"/>
    <w:link w:val="27"/>
    <w:qFormat/>
    <w:uiPriority w:val="0"/>
    <w:rPr>
      <w:kern w:val="2"/>
      <w:sz w:val="21"/>
      <w:szCs w:val="24"/>
    </w:rPr>
  </w:style>
  <w:style w:type="character" w:customStyle="1" w:styleId="75">
    <w:name w:val="正文文本缩进 2 字符"/>
    <w:link w:val="28"/>
    <w:qFormat/>
    <w:uiPriority w:val="99"/>
    <w:rPr>
      <w:rFonts w:ascii="宋体"/>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kern w:val="2"/>
      <w:sz w:val="18"/>
      <w:szCs w:val="18"/>
    </w:rPr>
  </w:style>
  <w:style w:type="character" w:customStyle="1" w:styleId="78">
    <w:name w:val="页眉 字符"/>
    <w:link w:val="32"/>
    <w:qFormat/>
    <w:uiPriority w:val="0"/>
    <w:rPr>
      <w:kern w:val="2"/>
      <w:sz w:val="18"/>
      <w:szCs w:val="18"/>
    </w:rPr>
  </w:style>
  <w:style w:type="character" w:customStyle="1" w:styleId="79">
    <w:name w:val="副标题 字符"/>
    <w:link w:val="37"/>
    <w:qFormat/>
    <w:uiPriority w:val="0"/>
    <w:rPr>
      <w:rFonts w:ascii="Cambria" w:hAnsi="Cambria"/>
      <w:b/>
      <w:bCs/>
      <w:kern w:val="28"/>
      <w:sz w:val="32"/>
      <w:szCs w:val="32"/>
    </w:rPr>
  </w:style>
  <w:style w:type="character" w:customStyle="1" w:styleId="80">
    <w:name w:val="正文文本缩进 3 字符"/>
    <w:link w:val="39"/>
    <w:qFormat/>
    <w:uiPriority w:val="0"/>
    <w:rPr>
      <w:kern w:val="2"/>
      <w:sz w:val="16"/>
    </w:rPr>
  </w:style>
  <w:style w:type="character" w:customStyle="1" w:styleId="81">
    <w:name w:val="标题 字符"/>
    <w:link w:val="44"/>
    <w:qFormat/>
    <w:uiPriority w:val="0"/>
    <w:rPr>
      <w:rFonts w:ascii="Arial" w:hAnsi="Arial"/>
      <w:b/>
      <w:sz w:val="32"/>
    </w:rPr>
  </w:style>
  <w:style w:type="character" w:customStyle="1" w:styleId="82">
    <w:name w:val="批注主题 字符"/>
    <w:link w:val="45"/>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7"/>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9"/>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9"/>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9"/>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9"/>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4"/>
    <w:next w:val="22"/>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basedOn w:val="49"/>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9"/>
    <w:qFormat/>
    <w:uiPriority w:val="0"/>
    <w:rPr>
      <w:bdr w:val="single" w:color="808080" w:sz="4" w:space="0"/>
    </w:rPr>
  </w:style>
  <w:style w:type="character" w:customStyle="1" w:styleId="216">
    <w:name w:val="cke_colorbox1"/>
    <w:basedOn w:val="49"/>
    <w:qFormat/>
    <w:uiPriority w:val="0"/>
  </w:style>
  <w:style w:type="character" w:customStyle="1" w:styleId="217">
    <w:name w:val="pwdtips_alert"/>
    <w:basedOn w:val="49"/>
    <w:qFormat/>
    <w:uiPriority w:val="0"/>
    <w:rPr>
      <w:bdr w:val="single" w:color="FFCB25" w:sz="4" w:space="0"/>
      <w:shd w:val="clear" w:color="auto" w:fill="FFEAA6"/>
    </w:rPr>
  </w:style>
  <w:style w:type="character" w:customStyle="1" w:styleId="218">
    <w:name w:val="l-btn-left"/>
    <w:basedOn w:val="49"/>
    <w:qFormat/>
    <w:uiPriority w:val="0"/>
  </w:style>
  <w:style w:type="character" w:customStyle="1" w:styleId="219">
    <w:name w:val="l-btn-left1"/>
    <w:basedOn w:val="49"/>
    <w:qFormat/>
    <w:uiPriority w:val="0"/>
  </w:style>
  <w:style w:type="character" w:customStyle="1" w:styleId="220">
    <w:name w:val="l-btn-left2"/>
    <w:basedOn w:val="49"/>
    <w:qFormat/>
    <w:uiPriority w:val="0"/>
  </w:style>
  <w:style w:type="character" w:customStyle="1" w:styleId="221">
    <w:name w:val="l-btn-left3"/>
    <w:basedOn w:val="49"/>
    <w:qFormat/>
    <w:uiPriority w:val="0"/>
  </w:style>
  <w:style w:type="character" w:customStyle="1" w:styleId="222">
    <w:name w:val="combo2"/>
    <w:basedOn w:val="49"/>
    <w:qFormat/>
    <w:uiPriority w:val="0"/>
  </w:style>
  <w:style w:type="character" w:customStyle="1" w:styleId="223">
    <w:name w:val="l-btn-empty"/>
    <w:basedOn w:val="49"/>
    <w:qFormat/>
    <w:uiPriority w:val="0"/>
  </w:style>
  <w:style w:type="character" w:customStyle="1" w:styleId="224">
    <w:name w:val="red"/>
    <w:basedOn w:val="49"/>
    <w:qFormat/>
    <w:uiPriority w:val="0"/>
    <w:rPr>
      <w:color w:val="FF0000"/>
    </w:rPr>
  </w:style>
  <w:style w:type="character" w:customStyle="1" w:styleId="225">
    <w:name w:val="l-btn-text"/>
    <w:basedOn w:val="49"/>
    <w:qFormat/>
    <w:uiPriority w:val="0"/>
    <w:rPr>
      <w:color w:val="1864AC"/>
      <w:sz w:val="14"/>
      <w:szCs w:val="14"/>
    </w:rPr>
  </w:style>
  <w:style w:type="character" w:customStyle="1" w:styleId="226">
    <w:name w:val="l-btn-text1"/>
    <w:basedOn w:val="49"/>
    <w:qFormat/>
    <w:uiPriority w:val="0"/>
  </w:style>
  <w:style w:type="character" w:customStyle="1" w:styleId="227">
    <w:name w:val="green"/>
    <w:basedOn w:val="49"/>
    <w:qFormat/>
    <w:uiPriority w:val="0"/>
    <w:rPr>
      <w:color w:val="00A521"/>
    </w:rPr>
  </w:style>
  <w:style w:type="character" w:customStyle="1" w:styleId="228">
    <w:name w:val="valueinfo"/>
    <w:basedOn w:val="49"/>
    <w:qFormat/>
    <w:uiPriority w:val="0"/>
    <w:rPr>
      <w:color w:val="666666"/>
    </w:rPr>
  </w:style>
  <w:style w:type="character" w:customStyle="1" w:styleId="229">
    <w:name w:val="tree-file2"/>
    <w:basedOn w:val="49"/>
    <w:qFormat/>
    <w:uiPriority w:val="0"/>
  </w:style>
  <w:style w:type="character" w:customStyle="1" w:styleId="230">
    <w:name w:val="vainfo"/>
    <w:basedOn w:val="49"/>
    <w:qFormat/>
    <w:uiPriority w:val="0"/>
    <w:rPr>
      <w:color w:val="FF0000"/>
      <w:bdr w:val="single" w:color="FCBCBC" w:sz="4" w:space="0"/>
      <w:shd w:val="clear" w:color="auto" w:fill="FFE4E4"/>
    </w:rPr>
  </w:style>
  <w:style w:type="character" w:customStyle="1" w:styleId="231">
    <w:name w:val="pwdtips_ok"/>
    <w:basedOn w:val="49"/>
    <w:qFormat/>
    <w:uiPriority w:val="0"/>
    <w:rPr>
      <w:bdr w:val="single" w:color="8EFF25" w:sz="4" w:space="0"/>
      <w:shd w:val="clear" w:color="auto" w:fill="B4FFA6"/>
    </w:rPr>
  </w:style>
  <w:style w:type="character" w:customStyle="1" w:styleId="232">
    <w:name w:val="pwdtips_error"/>
    <w:basedOn w:val="49"/>
    <w:qFormat/>
    <w:uiPriority w:val="0"/>
    <w:rPr>
      <w:bdr w:val="single" w:color="FF2525" w:sz="4" w:space="0"/>
      <w:shd w:val="clear" w:color="auto" w:fill="FFA6A6"/>
    </w:rPr>
  </w:style>
  <w:style w:type="character" w:customStyle="1" w:styleId="233">
    <w:name w:val="tree-title4"/>
    <w:basedOn w:val="49"/>
    <w:qFormat/>
    <w:uiPriority w:val="0"/>
    <w:rPr>
      <w:color w:val="1864AC"/>
    </w:rPr>
  </w:style>
  <w:style w:type="character" w:customStyle="1" w:styleId="234">
    <w:name w:val="tree-title5"/>
    <w:basedOn w:val="49"/>
    <w:qFormat/>
    <w:uiPriority w:val="0"/>
    <w:rPr>
      <w:color w:val="FFFFFF"/>
      <w:shd w:val="clear" w:color="auto" w:fill="3366CC"/>
    </w:rPr>
  </w:style>
  <w:style w:type="character" w:customStyle="1" w:styleId="235">
    <w:name w:val="info"/>
    <w:basedOn w:val="49"/>
    <w:qFormat/>
    <w:uiPriority w:val="0"/>
  </w:style>
  <w:style w:type="character" w:customStyle="1" w:styleId="236">
    <w:name w:val="topic"/>
    <w:basedOn w:val="49"/>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9"/>
    <w:qFormat/>
    <w:uiPriority w:val="0"/>
    <w:rPr>
      <w:rFonts w:hint="eastAsia" w:ascii="宋体" w:hAnsi="宋体" w:eastAsia="宋体" w:cs="宋体"/>
      <w:b/>
      <w:bCs/>
      <w:color w:val="000000"/>
      <w:sz w:val="18"/>
      <w:szCs w:val="18"/>
      <w:u w:val="none"/>
    </w:rPr>
  </w:style>
  <w:style w:type="character" w:customStyle="1" w:styleId="251">
    <w:name w:val="font01"/>
    <w:basedOn w:val="49"/>
    <w:qFormat/>
    <w:uiPriority w:val="0"/>
    <w:rPr>
      <w:rFonts w:hint="eastAsia" w:ascii="宋体" w:hAnsi="宋体" w:eastAsia="宋体" w:cs="宋体"/>
      <w:color w:val="000000"/>
      <w:sz w:val="22"/>
      <w:szCs w:val="22"/>
      <w:u w:val="none"/>
    </w:rPr>
  </w:style>
  <w:style w:type="character" w:customStyle="1" w:styleId="252">
    <w:name w:val="font141"/>
    <w:basedOn w:val="49"/>
    <w:qFormat/>
    <w:uiPriority w:val="0"/>
    <w:rPr>
      <w:rFonts w:hint="eastAsia" w:ascii="宋体" w:hAnsi="宋体" w:eastAsia="宋体" w:cs="宋体"/>
      <w:color w:val="000000"/>
      <w:sz w:val="21"/>
      <w:szCs w:val="21"/>
      <w:u w:val="none"/>
    </w:rPr>
  </w:style>
  <w:style w:type="character" w:customStyle="1" w:styleId="253">
    <w:name w:val="font151"/>
    <w:basedOn w:val="49"/>
    <w:qFormat/>
    <w:uiPriority w:val="0"/>
    <w:rPr>
      <w:rFonts w:hint="eastAsia" w:ascii="宋体" w:hAnsi="宋体" w:eastAsia="宋体" w:cs="宋体"/>
      <w:color w:val="FF0000"/>
      <w:sz w:val="22"/>
      <w:szCs w:val="22"/>
      <w:u w:val="none"/>
    </w:rPr>
  </w:style>
  <w:style w:type="character" w:customStyle="1" w:styleId="254">
    <w:name w:val="font51"/>
    <w:basedOn w:val="49"/>
    <w:qFormat/>
    <w:uiPriority w:val="0"/>
    <w:rPr>
      <w:rFonts w:hint="eastAsia" w:ascii="宋体" w:hAnsi="宋体" w:eastAsia="宋体" w:cs="宋体"/>
      <w:color w:val="000000"/>
      <w:sz w:val="22"/>
      <w:szCs w:val="22"/>
      <w:u w:val="none"/>
    </w:rPr>
  </w:style>
  <w:style w:type="character" w:customStyle="1" w:styleId="255">
    <w:name w:val="font171"/>
    <w:basedOn w:val="49"/>
    <w:qFormat/>
    <w:uiPriority w:val="0"/>
    <w:rPr>
      <w:rFonts w:hint="eastAsia" w:ascii="宋体" w:hAnsi="宋体" w:eastAsia="宋体" w:cs="宋体"/>
      <w:color w:val="000000"/>
      <w:sz w:val="24"/>
      <w:szCs w:val="24"/>
      <w:u w:val="none"/>
    </w:rPr>
  </w:style>
  <w:style w:type="character" w:customStyle="1" w:styleId="256">
    <w:name w:val="font41"/>
    <w:basedOn w:val="49"/>
    <w:qFormat/>
    <w:uiPriority w:val="0"/>
    <w:rPr>
      <w:rFonts w:hint="default" w:ascii="Times New Roman" w:hAnsi="Times New Roman" w:cs="Times New Roman"/>
      <w:color w:val="000000"/>
      <w:sz w:val="22"/>
      <w:szCs w:val="22"/>
      <w:u w:val="none"/>
    </w:rPr>
  </w:style>
  <w:style w:type="character" w:customStyle="1" w:styleId="257">
    <w:name w:val="font181"/>
    <w:basedOn w:val="49"/>
    <w:qFormat/>
    <w:uiPriority w:val="0"/>
    <w:rPr>
      <w:rFonts w:hint="eastAsia" w:ascii="宋体" w:hAnsi="宋体" w:eastAsia="宋体" w:cs="宋体"/>
      <w:color w:val="0D0D0D"/>
      <w:sz w:val="24"/>
      <w:szCs w:val="24"/>
      <w:u w:val="none"/>
    </w:rPr>
  </w:style>
  <w:style w:type="character" w:customStyle="1" w:styleId="258">
    <w:name w:val="font191"/>
    <w:basedOn w:val="49"/>
    <w:qFormat/>
    <w:uiPriority w:val="0"/>
    <w:rPr>
      <w:rFonts w:hint="eastAsia" w:ascii="宋体" w:hAnsi="宋体" w:eastAsia="宋体" w:cs="宋体"/>
      <w:color w:val="000000"/>
      <w:sz w:val="20"/>
      <w:szCs w:val="20"/>
      <w:u w:val="none"/>
    </w:rPr>
  </w:style>
  <w:style w:type="character" w:customStyle="1" w:styleId="259">
    <w:name w:val="font201"/>
    <w:basedOn w:val="49"/>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73</Pages>
  <Words>96</Words>
  <Characters>128</Characters>
  <Lines>235</Lines>
  <Paragraphs>66</Paragraphs>
  <TotalTime>14</TotalTime>
  <ScaleCrop>false</ScaleCrop>
  <LinksUpToDate>false</LinksUpToDate>
  <CharactersWithSpaces>128</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一闪一闪亮金金</cp:lastModifiedBy>
  <dcterms:modified xsi:type="dcterms:W3CDTF">2026-11-02T13:28:50Z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33915380147B4037AA236041BAD0B8DD_13</vt:lpwstr>
  </property>
  <property fmtid="{D5CDD505-2E9C-101B-9397-08002B2CF9AE}" pid="4" name="KSOTemplateDocerSaveRecord">
    <vt:lpwstr>eyJoZGlkIjoiZGIxODlhMzQzODM1NmI3NTg4ZWYyNDE3Y2EzNWMxNTgiLCJ1c2VySWQiOiI3NzkyNTczODAifQ==</vt:lpwstr>
  </property>
</Properties>
</file>