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rPr>
          <w:b/>
          <w:bCs/>
          <w:sz w:val="104"/>
          <w:szCs w:val="104"/>
          <w:lang w:eastAsia="zh-CN"/>
        </w:rPr>
      </w:pPr>
      <w:r>
        <w:rPr>
          <w:rFonts w:hint="eastAsia" w:ascii="宋体" w:hAnsi="宋体" w:eastAsia="宋体" w:cs="宋体"/>
          <w:b/>
          <w:bCs/>
          <w:sz w:val="104"/>
          <w:szCs w:val="104"/>
          <w:lang w:eastAsia="zh-CN"/>
        </w:rPr>
        <w:t xml:space="preserve">协</w:t>
      </w:r>
      <w:r>
        <w:rPr>
          <w:b/>
          <w:bCs/>
          <w:sz w:val="104"/>
          <w:szCs w:val="104"/>
          <w:lang w:eastAsia="zh-CN"/>
        </w:rPr>
        <w:t xml:space="preserve">   </w:t>
      </w:r>
      <w:r>
        <w:rPr>
          <w:rFonts w:hint="eastAsia" w:ascii="宋体" w:hAnsi="宋体" w:eastAsia="宋体" w:cs="宋体"/>
          <w:b/>
          <w:bCs/>
          <w:sz w:val="104"/>
          <w:szCs w:val="104"/>
          <w:lang w:eastAsia="zh-CN"/>
        </w:rPr>
        <w:t xml:space="preserve">商</w:t>
      </w:r>
      <w:r>
        <w:rPr>
          <w:b/>
          <w:bCs/>
          <w:sz w:val="104"/>
          <w:szCs w:val="104"/>
          <w:lang w:eastAsia="zh-CN"/>
        </w:rPr>
        <w:t xml:space="preserve">   </w:t>
      </w:r>
      <w:r>
        <w:rPr>
          <w:rFonts w:hint="eastAsia" w:ascii="宋体" w:hAnsi="宋体" w:eastAsia="宋体" w:cs="宋体"/>
          <w:b/>
          <w:bCs/>
          <w:sz w:val="104"/>
          <w:szCs w:val="104"/>
          <w:lang w:eastAsia="zh-CN"/>
        </w:rPr>
        <w:t xml:space="preserve">文</w:t>
      </w:r>
      <w:r>
        <w:rPr>
          <w:b/>
          <w:bCs/>
          <w:sz w:val="104"/>
          <w:szCs w:val="104"/>
          <w:lang w:eastAsia="zh-CN"/>
        </w:rPr>
        <w:t xml:space="preserve">   </w:t>
      </w:r>
      <w:r>
        <w:rPr>
          <w:rFonts w:hint="eastAsia" w:ascii="宋体" w:hAnsi="宋体" w:eastAsia="宋体" w:cs="宋体"/>
          <w:b/>
          <w:bCs/>
          <w:sz w:val="104"/>
          <w:szCs w:val="104"/>
          <w:lang w:eastAsia="zh-CN"/>
        </w:rPr>
        <w:t xml:space="preserve">件</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764"/>
        <w:jc w:val="center"/>
        <w:spacing w:before="101" w:line="360" w:lineRule="auto"/>
        <w:rPr>
          <w:rFonts w:hint="default"/>
          <w:sz w:val="36"/>
          <w:szCs w:val="36"/>
          <w:highlight w:val="none"/>
          <w:lang w:val="en-US" w:eastAsia="zh-CN"/>
        </w:rPr>
      </w:pPr>
      <w:r>
        <w:rPr>
          <w:rFonts w:hint="eastAsia"/>
          <w:color w:val="auto"/>
          <w:spacing w:val="8"/>
          <w:position w:val="23"/>
          <w:sz w:val="36"/>
          <w:szCs w:val="36"/>
          <w:lang w:eastAsia="zh-CN"/>
          <w14:textOutline w14:w="5791" w14:cap="flat" w14:cmpd="sng" w14:algn="ctr">
            <w14:solidFill>
              <w14:srgbClr w14:val="000000"/>
            </w14:solidFill>
            <w14:prstDash w14:val="solid"/>
            <w14:miter/>
          </w14:textOutline>
        </w:rPr>
        <w:t xml:space="preserve">项目</w:t>
      </w:r>
      <w:r>
        <w:rPr>
          <w:rFonts w:hint="eastAsia"/>
          <w:color w:val="auto"/>
          <w:spacing w:val="8"/>
          <w:position w:val="23"/>
          <w:sz w:val="36"/>
          <w:szCs w:val="36"/>
          <w:highlight w:val="none"/>
          <w:lang w:eastAsia="zh-CN"/>
          <w14:textOutline w14:w="5791" w14:cap="flat" w14:cmpd="sng" w14:algn="ctr">
            <w14:solidFill>
              <w14:srgbClr w14:val="000000"/>
            </w14:solidFill>
            <w14:prstDash w14:val="solid"/>
            <w14:miter/>
          </w14:textOutline>
        </w:rPr>
        <w:t xml:space="preserve">编号：JSZC-321100-JSWX-D2026-0038</w:t>
      </w:r>
      <w:r/>
    </w:p>
    <w:p>
      <w:pPr>
        <w:jc w:val="center"/>
        <w:spacing w:line="360" w:lineRule="auto"/>
        <w:rPr>
          <w:rFonts w:ascii="宋体" w:hAnsi="宋体" w:eastAsia="宋体" w:cs="宋体"/>
          <w:sz w:val="36"/>
          <w:szCs w:val="36"/>
          <w:highlight w:val="none"/>
          <w:lang w:eastAsia="zh-CN"/>
        </w:rPr>
      </w:pPr>
      <w:r>
        <w:rPr>
          <w:rFonts w:hint="eastAsia" w:ascii="宋体" w:hAnsi="宋体" w:eastAsia="宋体" w:cs="宋体"/>
          <w:color w:val="auto"/>
          <w:spacing w:val="8"/>
          <w:position w:val="23"/>
          <w:sz w:val="36"/>
          <w:szCs w:val="36"/>
          <w:highlight w:val="none"/>
          <w:lang w:eastAsia="zh-CN"/>
          <w14:textOutline w14:w="5791" w14:cap="flat" w14:cmpd="sng" w14:algn="ctr">
            <w14:solidFill>
              <w14:srgbClr w14:val="000000"/>
            </w14:solidFill>
            <w14:prstDash w14:val="solid"/>
            <w14:miter/>
          </w14:textOutline>
        </w:rPr>
        <w:t xml:space="preserve">项目名称：镇江市第一人民医院医废处置项目</w:t>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spacing w:line="360" w:lineRule="auto"/>
        <w:rPr>
          <w:rFonts w:ascii="宋体" w:hAnsi="宋体" w:eastAsia="宋体" w:cs="宋体"/>
          <w:sz w:val="36"/>
          <w:szCs w:val="36"/>
          <w:lang w:eastAsia="zh-CN"/>
        </w:rPr>
      </w:pPr>
      <w:r>
        <w:rPr>
          <w:rFonts w:ascii="宋体" w:hAnsi="宋体" w:eastAsia="宋体" w:cs="宋体"/>
          <w:sz w:val="36"/>
          <w:szCs w:val="36"/>
          <w:lang w:eastAsia="zh-CN"/>
        </w:rPr>
      </w:r>
      <w:r/>
    </w:p>
    <w:p>
      <w:pPr>
        <w:jc w:val="center"/>
        <w:spacing w:line="360" w:lineRule="auto"/>
        <w:widowControl w:val="off"/>
        <w:rPr>
          <w:rFonts w:ascii="宋体" w:hAnsi="宋体" w:eastAsia="宋体" w:cs="Times New Roman"/>
          <w:b/>
          <w:color w:val="auto"/>
          <w:sz w:val="36"/>
          <w:szCs w:val="36"/>
          <w:lang w:eastAsia="zh-CN"/>
        </w:rPr>
      </w:pPr>
      <w:r/>
      <w:bookmarkStart w:id="0" w:name="_Toc4060"/>
      <w:r/>
      <w:bookmarkStart w:id="1" w:name="_Toc7904"/>
      <w:r/>
      <w:bookmarkStart w:id="2" w:name="_Toc31738"/>
      <w:r/>
      <w:bookmarkStart w:id="3" w:name="_Toc20840"/>
      <w:r>
        <w:rPr>
          <w:rFonts w:hint="eastAsia" w:ascii="宋体" w:hAnsi="宋体" w:eastAsia="宋体" w:cs="Times New Roman"/>
          <w:b/>
          <w:color w:val="auto"/>
          <w:sz w:val="36"/>
          <w:szCs w:val="36"/>
          <w:lang w:eastAsia="zh-CN"/>
        </w:rPr>
        <w:t xml:space="preserve">江苏巍信项目管理有限公司</w:t>
      </w:r>
      <w:bookmarkEnd w:id="0"/>
      <w:r/>
      <w:bookmarkEnd w:id="1"/>
      <w:r/>
      <w:bookmarkEnd w:id="2"/>
      <w:r/>
      <w:bookmarkEnd w:id="3"/>
      <w:r/>
      <w:r/>
    </w:p>
    <w:p>
      <w:pPr>
        <w:jc w:val="center"/>
        <w:spacing w:line="360" w:lineRule="auto"/>
        <w:widowControl w:val="off"/>
        <w:rPr>
          <w:rFonts w:ascii="宋体" w:hAnsi="宋体" w:eastAsia="宋体" w:cs="Times New Roman"/>
          <w:b/>
          <w:color w:val="auto"/>
          <w:sz w:val="36"/>
          <w:szCs w:val="36"/>
          <w:lang w:eastAsia="zh-CN"/>
        </w:rPr>
      </w:pPr>
      <w:r>
        <w:rPr>
          <w:rFonts w:hint="eastAsia" w:ascii="宋体" w:hAnsi="宋体" w:eastAsia="宋体" w:cs="Times New Roman"/>
          <w:b/>
          <w:color w:val="auto"/>
          <w:sz w:val="36"/>
          <w:szCs w:val="36"/>
          <w:lang w:eastAsia="zh-CN"/>
        </w:rPr>
        <w:t xml:space="preserve">二○二</w:t>
      </w:r>
      <w:r>
        <w:rPr>
          <w:rFonts w:hint="eastAsia" w:ascii="宋体" w:hAnsi="宋体" w:eastAsia="宋体" w:cs="Times New Roman"/>
          <w:b/>
          <w:color w:val="auto"/>
          <w:sz w:val="36"/>
          <w:szCs w:val="36"/>
          <w:lang w:val="en-US" w:eastAsia="zh-CN"/>
        </w:rPr>
        <w:t xml:space="preserve">六</w:t>
      </w:r>
      <w:r>
        <w:rPr>
          <w:rFonts w:hint="eastAsia" w:ascii="宋体" w:hAnsi="宋体" w:eastAsia="宋体" w:cs="Times New Roman"/>
          <w:b/>
          <w:color w:val="auto"/>
          <w:sz w:val="36"/>
          <w:szCs w:val="36"/>
          <w:lang w:eastAsia="zh-CN"/>
        </w:rPr>
        <w:t xml:space="preserve">年</w:t>
      </w:r>
      <w:r>
        <w:rPr>
          <w:rFonts w:hint="eastAsia" w:ascii="宋体" w:hAnsi="宋体" w:eastAsia="宋体" w:cs="Times New Roman"/>
          <w:b/>
          <w:color w:val="auto"/>
          <w:sz w:val="36"/>
          <w:szCs w:val="36"/>
          <w:lang w:val="en-US" w:eastAsia="zh-CN"/>
        </w:rPr>
        <w:t xml:space="preserve">十</w:t>
      </w:r>
      <w:r>
        <w:rPr>
          <w:rFonts w:hint="eastAsia" w:ascii="宋体" w:hAnsi="宋体" w:eastAsia="宋体" w:cs="Times New Roman"/>
          <w:b/>
          <w:color w:val="auto"/>
          <w:sz w:val="36"/>
          <w:szCs w:val="36"/>
          <w:lang w:eastAsia="zh-CN"/>
        </w:rPr>
        <w:t xml:space="preserve">月</w:t>
      </w:r>
      <w:r/>
    </w:p>
    <w:p>
      <w:pPr>
        <w:rPr>
          <w:rFonts w:ascii="宋体" w:hAnsi="宋体" w:eastAsia="宋体" w:cs="宋体"/>
          <w:spacing w:val="8"/>
          <w:sz w:val="43"/>
          <w:szCs w:val="43"/>
          <w:lang w:eastAsia="zh-CN"/>
          <w14:textOutline w14:w="7962" w14:cap="flat" w14:cmpd="sng" w14:algn="ctr">
            <w14:solidFill>
              <w14:srgbClr w14:val="000000"/>
            </w14:solidFill>
            <w14:prstDash w14:val="solid"/>
            <w14:miter/>
          </w14:textOutline>
        </w:rPr>
      </w:pPr>
      <w:r>
        <w:rPr>
          <w:rFonts w:hint="eastAsia" w:ascii="宋体" w:hAnsi="宋体" w:eastAsia="宋体" w:cs="宋体"/>
          <w:spacing w:val="8"/>
          <w:sz w:val="43"/>
          <w:szCs w:val="43"/>
          <w:lang w:eastAsia="zh-CN"/>
          <w14:textOutline w14:w="7962" w14:cap="flat" w14:cmpd="sng" w14:algn="ctr">
            <w14:solidFill>
              <w14:srgbClr w14:val="000000"/>
            </w14:solidFill>
            <w14:prstDash w14:val="solid"/>
            <w14:miter/>
          </w14:textOutline>
        </w:rPr>
        <w:br w:type="page" w:clear="all"/>
      </w:r>
      <w:r/>
    </w:p>
    <w:p>
      <w:pPr>
        <w:jc w:val="center"/>
        <w:spacing w:line="360" w:lineRule="auto"/>
        <w:widowControl w:val="off"/>
        <w:rPr>
          <w:rFonts w:ascii="宋体" w:hAnsi="宋体" w:eastAsia="宋体"/>
          <w:sz w:val="43"/>
          <w:szCs w:val="43"/>
          <w:lang w:eastAsia="zh-CN"/>
        </w:rPr>
      </w:pPr>
      <w:r>
        <w:rPr>
          <w:rFonts w:hint="eastAsia" w:ascii="宋体" w:hAnsi="宋体" w:eastAsia="宋体" w:cs="宋体"/>
          <w:spacing w:val="8"/>
          <w:sz w:val="43"/>
          <w:szCs w:val="43"/>
          <w:lang w:eastAsia="zh-CN"/>
          <w14:textOutline w14:w="7962" w14:cap="flat" w14:cmpd="sng" w14:algn="ctr">
            <w14:solidFill>
              <w14:srgbClr w14:val="000000"/>
            </w14:solidFill>
            <w14:prstDash w14:val="solid"/>
            <w14:miter/>
          </w14:textOutline>
        </w:rPr>
        <w:t xml:space="preserve">协商文件目录</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775"/>
        <w:spacing w:line="480" w:lineRule="auto"/>
        <w:tabs>
          <w:tab w:val="right" w:pos="8307" w:leader="dot"/>
        </w:tabs>
        <w:rPr>
          <w:rFonts w:hint="eastAsia" w:ascii="宋体" w:hAnsi="宋体" w:eastAsia="宋体" w:cs="宋体"/>
          <w:sz w:val="28"/>
          <w:szCs w:val="28"/>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TOC \o "1-1" \h \u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HYPERLINK \l _Toc1776 </w:instrText>
      </w:r>
      <w:r>
        <w:rPr>
          <w:rFonts w:hint="eastAsia" w:ascii="宋体" w:hAnsi="宋体" w:eastAsia="宋体" w:cs="宋体"/>
          <w:sz w:val="28"/>
          <w:szCs w:val="28"/>
          <w:lang w:eastAsia="zh-CN"/>
        </w:rPr>
        <w:fldChar w:fldCharType="separate"/>
      </w:r>
      <w:r>
        <w:rPr>
          <w:rFonts w:hint="eastAsia" w:ascii="宋体" w:hAnsi="宋体" w:eastAsia="宋体" w:cs="宋体"/>
          <w:spacing w:val="-1"/>
          <w:sz w:val="28"/>
          <w:szCs w:val="28"/>
          <w14:textOutline w14:w="6527" w14:cap="flat" w14:cmpd="sng" w14:algn="ctr">
            <w14:solidFill>
              <w14:srgbClr w14:val="000000"/>
            </w14:solidFill>
            <w14:prstDash w14:val="solid"/>
            <w14:miter/>
          </w14:textOutline>
        </w:rPr>
        <w:t xml:space="preserve">第一部分</w:t>
      </w:r>
      <w:r>
        <w:rPr>
          <w:rFonts w:hint="eastAsia" w:ascii="宋体" w:hAnsi="宋体" w:eastAsia="宋体" w:cs="宋体"/>
          <w:spacing w:val="-1"/>
          <w:sz w:val="28"/>
          <w:szCs w:val="28"/>
          <w:lang w:eastAsia="zh-CN"/>
        </w:rPr>
        <w:t xml:space="preserve"> </w:t>
      </w:r>
      <w:r>
        <w:rPr>
          <w:rFonts w:hint="eastAsia" w:ascii="宋体" w:hAnsi="宋体" w:eastAsia="宋体" w:cs="宋体"/>
          <w:spacing w:val="-1"/>
          <w:sz w:val="28"/>
          <w:szCs w:val="28"/>
          <w14:textOutline w14:w="6527" w14:cap="flat" w14:cmpd="sng" w14:algn="ctr">
            <w14:solidFill>
              <w14:srgbClr w14:val="000000"/>
            </w14:solidFill>
            <w14:prstDash w14:val="solid"/>
            <w14:miter/>
          </w14:textOutline>
        </w:rPr>
        <w:t xml:space="preserve">协商邀请函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_Toc1776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sz w:val="28"/>
          <w:szCs w:val="28"/>
          <w:lang w:eastAsia="zh-CN"/>
        </w:rPr>
        <w:fldChar w:fldCharType="end"/>
      </w:r>
      <w:r/>
    </w:p>
    <w:p>
      <w:pPr>
        <w:pStyle w:val="775"/>
        <w:spacing w:line="480" w:lineRule="auto"/>
        <w:tabs>
          <w:tab w:val="right" w:pos="8307" w:leader="dot"/>
        </w:tabs>
        <w:rPr>
          <w:rFonts w:hint="eastAsia" w:ascii="宋体" w:hAnsi="宋体" w:eastAsia="宋体" w:cs="宋体"/>
          <w:sz w:val="28"/>
          <w:szCs w:val="28"/>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HYPERLINK \l _Toc17011 </w:instrText>
      </w:r>
      <w:r>
        <w:rPr>
          <w:rFonts w:hint="eastAsia" w:ascii="宋体" w:hAnsi="宋体" w:eastAsia="宋体" w:cs="宋体"/>
          <w:sz w:val="28"/>
          <w:szCs w:val="28"/>
          <w:lang w:eastAsia="zh-CN"/>
        </w:rPr>
        <w:fldChar w:fldCharType="separate"/>
      </w:r>
      <w:r>
        <w:rPr>
          <w:rFonts w:hint="eastAsia" w:ascii="宋体" w:hAnsi="宋体" w:eastAsia="宋体" w:cs="宋体"/>
          <w:spacing w:val="-1"/>
          <w:sz w:val="28"/>
          <w:szCs w:val="28"/>
          <w:lang w:eastAsia="zh-CN"/>
          <w14:textOutline w14:w="6527" w14:cap="flat" w14:cmpd="sng" w14:algn="ctr">
            <w14:solidFill>
              <w14:srgbClr w14:val="000000"/>
            </w14:solidFill>
            <w14:prstDash w14:val="solid"/>
            <w14:miter/>
          </w14:textOutline>
        </w:rPr>
        <w:t xml:space="preserve">第二部分</w:t>
      </w:r>
      <w:r>
        <w:rPr>
          <w:rFonts w:hint="eastAsia" w:ascii="宋体" w:hAnsi="宋体" w:eastAsia="宋体" w:cs="宋体"/>
          <w:spacing w:val="-1"/>
          <w:sz w:val="28"/>
          <w:szCs w:val="28"/>
          <w:lang w:eastAsia="zh-CN"/>
        </w:rPr>
        <w:t xml:space="preserve"> </w:t>
      </w:r>
      <w:r>
        <w:rPr>
          <w:rFonts w:hint="eastAsia" w:ascii="宋体" w:hAnsi="宋体" w:eastAsia="宋体" w:cs="宋体"/>
          <w:spacing w:val="-1"/>
          <w:sz w:val="28"/>
          <w:szCs w:val="28"/>
          <w:lang w:eastAsia="zh-CN"/>
          <w14:textOutline w14:w="6527" w14:cap="flat" w14:cmpd="sng" w14:algn="ctr">
            <w14:solidFill>
              <w14:srgbClr w14:val="000000"/>
            </w14:solidFill>
            <w14:prstDash w14:val="solid"/>
            <w14:miter/>
          </w14:textOutline>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_Toc17011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lang w:eastAsia="zh-CN"/>
        </w:rPr>
        <w:fldChar w:fldCharType="end"/>
      </w:r>
      <w:r/>
    </w:p>
    <w:p>
      <w:pPr>
        <w:pStyle w:val="775"/>
        <w:spacing w:line="480" w:lineRule="auto"/>
        <w:tabs>
          <w:tab w:val="right" w:pos="8307" w:leader="dot"/>
        </w:tabs>
        <w:rPr>
          <w:rFonts w:hint="eastAsia" w:ascii="宋体" w:hAnsi="宋体" w:eastAsia="宋体" w:cs="宋体"/>
          <w:sz w:val="28"/>
          <w:szCs w:val="28"/>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HYPERLINK \l _Toc2855 </w:instrText>
      </w:r>
      <w:r>
        <w:rPr>
          <w:rFonts w:hint="eastAsia" w:ascii="宋体" w:hAnsi="宋体" w:eastAsia="宋体" w:cs="宋体"/>
          <w:sz w:val="28"/>
          <w:szCs w:val="28"/>
          <w:lang w:eastAsia="zh-CN"/>
        </w:rPr>
        <w:fldChar w:fldCharType="separate"/>
      </w:r>
      <w:r>
        <w:rPr>
          <w:rFonts w:hint="eastAsia" w:ascii="宋体" w:hAnsi="宋体" w:eastAsia="宋体" w:cs="宋体"/>
          <w:spacing w:val="-1"/>
          <w:sz w:val="28"/>
          <w:szCs w:val="28"/>
          <w:lang w:eastAsia="zh-CN"/>
          <w14:textOutline w14:w="6527" w14:cap="flat" w14:cmpd="sng" w14:algn="ctr">
            <w14:solidFill>
              <w14:srgbClr w14:val="000000"/>
            </w14:solidFill>
            <w14:prstDash w14:val="solid"/>
            <w14:miter/>
          </w14:textOutline>
        </w:rPr>
        <w:t xml:space="preserve">第三部分</w:t>
      </w:r>
      <w:r>
        <w:rPr>
          <w:rFonts w:hint="eastAsia" w:ascii="宋体" w:hAnsi="宋体" w:eastAsia="宋体" w:cs="宋体"/>
          <w:spacing w:val="-1"/>
          <w:sz w:val="28"/>
          <w:szCs w:val="28"/>
          <w:lang w:eastAsia="zh-CN"/>
        </w:rPr>
        <w:t xml:space="preserve"> </w:t>
      </w:r>
      <w:r>
        <w:rPr>
          <w:rFonts w:hint="eastAsia" w:ascii="宋体" w:hAnsi="宋体" w:eastAsia="宋体" w:cs="宋体"/>
          <w:spacing w:val="-1"/>
          <w:sz w:val="28"/>
          <w:szCs w:val="28"/>
          <w:lang w:eastAsia="zh-CN"/>
          <w14:textOutline w14:w="6527" w14:cap="flat" w14:cmpd="sng" w14:algn="ctr">
            <w14:solidFill>
              <w14:srgbClr w14:val="000000"/>
            </w14:solidFill>
            <w14:prstDash w14:val="solid"/>
            <w14:miter/>
          </w14:textOutline>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_Toc2855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13</w:t>
      </w:r>
      <w:r>
        <w:rPr>
          <w:rFonts w:hint="eastAsia" w:ascii="宋体" w:hAnsi="宋体" w:eastAsia="宋体" w:cs="宋体"/>
          <w:sz w:val="28"/>
          <w:szCs w:val="28"/>
        </w:rPr>
        <w:fldChar w:fldCharType="end"/>
      </w:r>
      <w:r>
        <w:rPr>
          <w:rFonts w:hint="eastAsia" w:ascii="宋体" w:hAnsi="宋体" w:eastAsia="宋体" w:cs="宋体"/>
          <w:sz w:val="28"/>
          <w:szCs w:val="28"/>
          <w:lang w:eastAsia="zh-CN"/>
        </w:rPr>
        <w:fldChar w:fldCharType="end"/>
      </w:r>
      <w:r/>
    </w:p>
    <w:p>
      <w:pPr>
        <w:pStyle w:val="775"/>
        <w:spacing w:line="480" w:lineRule="auto"/>
        <w:tabs>
          <w:tab w:val="right" w:pos="8307" w:leader="dot"/>
        </w:tabs>
        <w:rPr>
          <w:rFonts w:hint="eastAsia" w:ascii="宋体" w:hAnsi="宋体" w:eastAsia="宋体" w:cs="宋体"/>
          <w:sz w:val="28"/>
          <w:szCs w:val="28"/>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HYPERLINK \l _Toc17533 </w:instrText>
      </w:r>
      <w:r>
        <w:rPr>
          <w:rFonts w:hint="eastAsia" w:ascii="宋体" w:hAnsi="宋体" w:eastAsia="宋体" w:cs="宋体"/>
          <w:sz w:val="28"/>
          <w:szCs w:val="28"/>
          <w:lang w:eastAsia="zh-CN"/>
        </w:rPr>
        <w:fldChar w:fldCharType="separate"/>
      </w:r>
      <w:r>
        <w:rPr>
          <w:rFonts w:hint="eastAsia" w:ascii="宋体" w:hAnsi="宋体" w:eastAsia="宋体" w:cs="宋体"/>
          <w:spacing w:val="-1"/>
          <w:sz w:val="28"/>
          <w:szCs w:val="28"/>
          <w:lang w:eastAsia="zh-CN"/>
          <w14:textOutline w14:w="6527" w14:cap="flat" w14:cmpd="sng" w14:algn="ctr">
            <w14:solidFill>
              <w14:srgbClr w14:val="000000"/>
            </w14:solidFill>
            <w14:prstDash w14:val="solid"/>
            <w14:miter/>
          </w14:textOutline>
        </w:rPr>
        <w:t xml:space="preserve">第四部分 合同条款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_Toc17533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15</w:t>
      </w:r>
      <w:r>
        <w:rPr>
          <w:rFonts w:hint="eastAsia" w:ascii="宋体" w:hAnsi="宋体" w:eastAsia="宋体" w:cs="宋体"/>
          <w:sz w:val="28"/>
          <w:szCs w:val="28"/>
        </w:rPr>
        <w:fldChar w:fldCharType="end"/>
      </w:r>
      <w:r>
        <w:rPr>
          <w:rFonts w:hint="eastAsia" w:ascii="宋体" w:hAnsi="宋体" w:eastAsia="宋体" w:cs="宋体"/>
          <w:sz w:val="28"/>
          <w:szCs w:val="28"/>
          <w:lang w:eastAsia="zh-CN"/>
        </w:rPr>
        <w:fldChar w:fldCharType="end"/>
      </w:r>
      <w:r/>
    </w:p>
    <w:p>
      <w:pPr>
        <w:pStyle w:val="775"/>
        <w:spacing w:line="480" w:lineRule="auto"/>
        <w:tabs>
          <w:tab w:val="right" w:pos="8307" w:leader="dot"/>
        </w:tabs>
        <w:rPr>
          <w:rFonts w:hint="eastAsia" w:ascii="宋体" w:hAnsi="宋体" w:eastAsia="宋体" w:cs="宋体"/>
          <w:sz w:val="28"/>
          <w:szCs w:val="28"/>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HYPERLINK \l _Toc3737 </w:instrText>
      </w:r>
      <w:r>
        <w:rPr>
          <w:rFonts w:hint="eastAsia" w:ascii="宋体" w:hAnsi="宋体" w:eastAsia="宋体" w:cs="宋体"/>
          <w:sz w:val="28"/>
          <w:szCs w:val="28"/>
          <w:lang w:eastAsia="zh-CN"/>
        </w:rPr>
        <w:fldChar w:fldCharType="separate"/>
      </w:r>
      <w:r>
        <w:rPr>
          <w:rFonts w:hint="eastAsia" w:ascii="宋体" w:hAnsi="宋体" w:eastAsia="宋体" w:cs="宋体"/>
          <w:spacing w:val="-1"/>
          <w:sz w:val="28"/>
          <w:szCs w:val="28"/>
          <w:lang w:eastAsia="zh-CN"/>
          <w14:textOutline w14:w="6527" w14:cap="flat" w14:cmpd="sng" w14:algn="ctr">
            <w14:solidFill>
              <w14:srgbClr w14:val="000000"/>
            </w14:solidFill>
            <w14:prstDash w14:val="solid"/>
            <w14:miter/>
          </w14:textOutline>
        </w:rPr>
        <w:t xml:space="preserve">第五部分</w:t>
      </w:r>
      <w:r>
        <w:rPr>
          <w:rFonts w:hint="eastAsia" w:ascii="宋体" w:hAnsi="宋体" w:eastAsia="宋体" w:cs="宋体"/>
          <w:spacing w:val="-1"/>
          <w:sz w:val="28"/>
          <w:szCs w:val="28"/>
          <w:lang w:val="en-US" w:eastAsia="zh-CN"/>
          <w14:textOutline w14:w="6527" w14:cap="flat" w14:cmpd="sng" w14:algn="ctr">
            <w14:solidFill>
              <w14:srgbClr w14:val="000000"/>
            </w14:solidFill>
            <w14:prstDash w14:val="solid"/>
            <w14:miter/>
          </w14:textOutline>
        </w:rPr>
        <w:t xml:space="preserve"> </w:t>
      </w:r>
      <w:r>
        <w:rPr>
          <w:rFonts w:hint="eastAsia" w:ascii="宋体" w:hAnsi="宋体" w:eastAsia="宋体" w:cs="宋体"/>
          <w:spacing w:val="-1"/>
          <w:sz w:val="28"/>
          <w:szCs w:val="28"/>
          <w:lang w:eastAsia="zh-CN"/>
          <w14:textOutline w14:w="6527" w14:cap="flat" w14:cmpd="sng" w14:algn="ctr">
            <w14:solidFill>
              <w14:srgbClr w14:val="000000"/>
            </w14:solidFill>
            <w14:prstDash w14:val="solid"/>
            <w14:miter/>
          </w14:textOutline>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_Toc3737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sz w:val="28"/>
          <w:szCs w:val="28"/>
          <w:lang w:eastAsia="zh-CN"/>
        </w:rPr>
        <w:fldChar w:fldCharType="end"/>
      </w:r>
      <w:r/>
    </w:p>
    <w:p>
      <w:pPr>
        <w:spacing w:line="480" w:lineRule="auto"/>
        <w:rPr>
          <w:rFonts w:ascii="宋体" w:hAnsi="宋体" w:eastAsia="宋体"/>
          <w:lang w:eastAsia="zh-CN"/>
        </w:rPr>
        <w:sectPr>
          <w:footnotePr/>
          <w:endnotePr/>
          <w:type w:val="nextPage"/>
          <w:pgSz w:w="11907" w:h="16839" w:orient="portrait"/>
          <w:pgMar w:top="1440" w:right="1800" w:bottom="1440" w:left="1800" w:header="0" w:footer="1212" w:gutter="0"/>
          <w:cols w:num="1" w:sep="0" w:space="720" w:equalWidth="1"/>
          <w:docGrid w:linePitch="360"/>
        </w:sectPr>
      </w:pPr>
      <w:r>
        <w:rPr>
          <w:rFonts w:hint="eastAsia" w:ascii="宋体" w:hAnsi="宋体" w:eastAsia="宋体" w:cs="宋体"/>
          <w:sz w:val="28"/>
          <w:szCs w:val="28"/>
          <w:lang w:eastAsia="zh-CN"/>
        </w:rPr>
        <w:fldChar w:fldCharType="end"/>
      </w:r>
      <w:r/>
    </w:p>
    <w:p>
      <w:pPr>
        <w:rPr>
          <w:spacing w:val="-1"/>
          <w:sz w:val="36"/>
          <w:szCs w:val="36"/>
          <w14:textOutline w14:w="6527" w14:cap="flat" w14:cmpd="sng" w14:algn="ctr">
            <w14:solidFill>
              <w14:srgbClr w14:val="000000"/>
            </w14:solidFill>
            <w14:prstDash w14:val="solid"/>
            <w14:miter/>
          </w14:textOutline>
        </w:rPr>
      </w:pPr>
      <w:r>
        <w:rPr>
          <w:spacing w:val="-1"/>
          <w:sz w:val="36"/>
          <w:szCs w:val="36"/>
          <w14:textOutline w14:w="6527" w14:cap="flat" w14:cmpd="sng" w14:algn="ctr">
            <w14:solidFill>
              <w14:srgbClr w14:val="000000"/>
            </w14:solidFill>
            <w14:prstDash w14:val="solid"/>
            <w14:miter/>
          </w14:textOutline>
        </w:rPr>
        <w:br w:type="page" w:clear="all"/>
      </w:r>
      <w:r/>
    </w:p>
    <w:p>
      <w:pPr>
        <w:pStyle w:val="764"/>
        <w:ind w:left="0" w:firstLine="0"/>
        <w:jc w:val="center"/>
        <w:spacing w:before="49" w:line="360" w:lineRule="auto"/>
        <w:rPr>
          <w:sz w:val="36"/>
          <w:szCs w:val="36"/>
        </w:rPr>
        <w:outlineLvl w:val="0"/>
      </w:pPr>
      <w:r/>
      <w:bookmarkStart w:id="4" w:name="_Toc1776"/>
      <w:r>
        <w:rPr>
          <w:spacing w:val="-1"/>
          <w:sz w:val="36"/>
          <w:szCs w:val="36"/>
          <w14:textOutline w14:w="6527" w14:cap="flat" w14:cmpd="sng" w14:algn="ctr">
            <w14:solidFill>
              <w14:srgbClr w14:val="000000"/>
            </w14:solidFill>
            <w14:prstDash w14:val="solid"/>
            <w14:miter/>
          </w14:textOutline>
        </w:rPr>
        <w:t xml:space="preserve">第一部分</w:t>
      </w:r>
      <w:r>
        <w:rPr>
          <w:rFonts w:hint="eastAsia"/>
          <w:spacing w:val="-1"/>
          <w:sz w:val="36"/>
          <w:szCs w:val="36"/>
          <w:lang w:eastAsia="zh-CN"/>
        </w:rPr>
        <w:t xml:space="preserve"> </w:t>
      </w:r>
      <w:r>
        <w:rPr>
          <w:spacing w:val="-1"/>
          <w:sz w:val="36"/>
          <w:szCs w:val="36"/>
          <w14:textOutline w14:w="6527" w14:cap="flat" w14:cmpd="sng" w14:algn="ctr">
            <w14:solidFill>
              <w14:srgbClr w14:val="000000"/>
            </w14:solidFill>
            <w14:prstDash w14:val="solid"/>
            <w14:miter/>
          </w14:textOutline>
        </w:rPr>
        <w:t xml:space="preserve">协商邀请函</w:t>
      </w:r>
      <w:bookmarkEnd w:id="4"/>
      <w:r/>
      <w:r/>
    </w:p>
    <w:tbl>
      <w:tblPr>
        <w:tblStyle w:val="942"/>
        <w:tblW w:w="5000" w:type="pct"/>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03"/>
      </w:tblGrid>
      <w:tr>
        <w:trPr>
          <w:jc w:val="center"/>
          <w:trHeight w:val="1745"/>
        </w:trPr>
        <w:tc>
          <w:tcPr>
            <w:tcW w:w="5000" w:type="pct"/>
            <w:vAlign w:val="top"/>
            <w:textDirection w:val="lrTb"/>
            <w:noWrap w:val="false"/>
          </w:tcPr>
          <w:p>
            <w:pPr>
              <w:pStyle w:val="943"/>
              <w:ind w:firstLine="468"/>
              <w:spacing w:before="59" w:line="360" w:lineRule="auto"/>
              <w:rPr>
                <w:spacing w:val="-3"/>
                <w:highlight w:val="none"/>
                <w:lang w:eastAsia="zh-CN"/>
              </w:rPr>
            </w:pPr>
            <w:r>
              <w:rPr>
                <w:spacing w:val="-3"/>
                <w:highlight w:val="none"/>
                <w:lang w:eastAsia="zh-CN"/>
              </w:rPr>
              <w:t xml:space="preserve">项目概况</w:t>
            </w:r>
            <w:r/>
          </w:p>
          <w:p>
            <w:pPr>
              <w:pStyle w:val="943"/>
              <w:ind w:firstLine="505"/>
              <w:jc w:val="both"/>
              <w:keepLines w:val="0"/>
              <w:keepNext w:val="0"/>
              <w:pageBreakBefore w:val="0"/>
              <w:spacing w:before="59" w:after="240" w:line="360" w:lineRule="auto"/>
              <w:widowControl/>
              <w:rPr>
                <w:highlight w:val="none"/>
                <w:lang w:eastAsia="zh-CN"/>
              </w:rPr>
            </w:pPr>
            <w:r>
              <w:rPr>
                <w:rFonts w:hint="eastAsia"/>
                <w:spacing w:val="6"/>
                <w:highlight w:val="none"/>
                <w:u w:val="single"/>
                <w:lang w:eastAsia="zh-CN"/>
              </w:rPr>
              <w:t xml:space="preserve">镇江新宇固体废物处置有限公司</w:t>
            </w:r>
            <w:r>
              <w:rPr>
                <w:spacing w:val="6"/>
                <w:highlight w:val="none"/>
                <w:lang w:eastAsia="zh-CN"/>
              </w:rPr>
              <w:t xml:space="preserve">应在</w:t>
            </w:r>
            <w:r>
              <w:rPr>
                <w:rFonts w:hint="eastAsia"/>
                <w:spacing w:val="6"/>
                <w:highlight w:val="none"/>
                <w:u w:val="single"/>
                <w:lang w:eastAsia="zh-CN"/>
              </w:rPr>
              <w:t xml:space="preserve">“苏采云”系统（网址：</w:t>
            </w:r>
            <w:r>
              <w:rPr>
                <w:rFonts w:hint="eastAsia"/>
                <w:color w:val="auto"/>
                <w:spacing w:val="6"/>
                <w:highlight w:val="none"/>
                <w:u w:val="single"/>
                <w:lang w:eastAsia="zh-CN"/>
              </w:rPr>
              <w:t xml:space="preserve">http://jszfcg.jsczt.cn/）</w:t>
            </w:r>
            <w:r>
              <w:rPr>
                <w:spacing w:val="6"/>
                <w:highlight w:val="none"/>
                <w:lang w:eastAsia="zh-CN"/>
              </w:rPr>
              <w:t xml:space="preserve">获取协商文件，并</w:t>
            </w:r>
            <w:r>
              <w:rPr>
                <w:spacing w:val="6"/>
                <w:highlight w:val="white"/>
                <w:lang w:eastAsia="zh-CN"/>
              </w:rPr>
              <w:t xml:space="preserve">于</w:t>
            </w:r>
            <w:r>
              <w:rPr>
                <w:spacing w:val="6"/>
                <w:highlight w:val="white"/>
                <w:u w:val="single"/>
                <w:lang w:eastAsia="zh-CN"/>
              </w:rPr>
              <w:t xml:space="preserve">202</w:t>
            </w:r>
            <w:r>
              <w:rPr>
                <w:rFonts w:hint="eastAsia"/>
                <w:spacing w:val="6"/>
                <w:highlight w:val="white"/>
                <w:u w:val="single"/>
                <w:lang w:val="en-US" w:eastAsia="zh-CN"/>
              </w:rPr>
              <w:t xml:space="preserve">6</w:t>
            </w:r>
            <w:r>
              <w:rPr>
                <w:spacing w:val="6"/>
                <w:highlight w:val="white"/>
                <w:u w:val="single"/>
                <w:lang w:eastAsia="zh-CN"/>
              </w:rPr>
              <w:t xml:space="preserve">年</w:t>
            </w:r>
            <w:r>
              <w:rPr>
                <w:rFonts w:hint="eastAsia"/>
                <w:spacing w:val="6"/>
                <w:highlight w:val="white"/>
                <w:u w:val="single"/>
                <w:lang w:val="en-US" w:eastAsia="zh-CN"/>
              </w:rPr>
              <w:t xml:space="preserve">10</w:t>
            </w:r>
            <w:r>
              <w:rPr>
                <w:spacing w:val="6"/>
                <w:highlight w:val="white"/>
                <w:u w:val="single"/>
                <w:lang w:eastAsia="zh-CN"/>
              </w:rPr>
              <w:t xml:space="preserve">月31</w:t>
            </w:r>
            <w:r>
              <w:rPr>
                <w:spacing w:val="6"/>
                <w:highlight w:val="white"/>
                <w:u w:val="single"/>
                <w:lang w:eastAsia="zh-CN"/>
              </w:rPr>
              <w:t xml:space="preserve">日</w:t>
            </w:r>
            <w:r>
              <w:rPr>
                <w:rFonts w:hint="eastAsia"/>
                <w:spacing w:val="6"/>
                <w:highlight w:val="white"/>
                <w:u w:val="single"/>
                <w:lang w:val="en-US" w:eastAsia="zh-CN"/>
              </w:rPr>
              <w:t xml:space="preserve">10</w:t>
            </w:r>
            <w:r>
              <w:rPr>
                <w:spacing w:val="6"/>
                <w:highlight w:val="white"/>
                <w:u w:val="single"/>
                <w:lang w:eastAsia="zh-CN"/>
              </w:rPr>
              <w:t xml:space="preserve">点</w:t>
            </w:r>
            <w:r>
              <w:rPr>
                <w:rFonts w:hint="eastAsia"/>
                <w:spacing w:val="6"/>
                <w:highlight w:val="white"/>
                <w:u w:val="single"/>
                <w:lang w:eastAsia="zh-CN"/>
              </w:rPr>
              <w:t xml:space="preserve">30</w:t>
            </w:r>
            <w:r>
              <w:rPr>
                <w:spacing w:val="6"/>
                <w:highlight w:val="white"/>
                <w:u w:val="single"/>
                <w:lang w:eastAsia="zh-CN"/>
              </w:rPr>
              <w:t xml:space="preserve">分</w:t>
            </w:r>
            <w:r>
              <w:rPr>
                <w:spacing w:val="6"/>
                <w:highlight w:val="none"/>
                <w:lang w:eastAsia="zh-CN"/>
              </w:rPr>
              <w:t xml:space="preserve">（北京时间）前提交协商响应文件。</w:t>
            </w:r>
            <w:r/>
          </w:p>
        </w:tc>
      </w:tr>
    </w:tbl>
    <w:p>
      <w:pPr>
        <w:pStyle w:val="764"/>
        <w:ind w:left="126"/>
        <w:spacing w:before="182" w:line="360" w:lineRule="auto"/>
        <w:rPr>
          <w:b/>
          <w:bCs/>
          <w:spacing w:val="-2"/>
          <w:sz w:val="24"/>
          <w:szCs w:val="24"/>
          <w:highlight w:val="none"/>
          <w:lang w:eastAsia="zh-CN"/>
        </w:rPr>
        <w:outlineLvl w:val="1"/>
      </w:pPr>
      <w:r/>
      <w:bookmarkStart w:id="5" w:name="_Toc146139430"/>
      <w:r>
        <w:rPr>
          <w:b/>
          <w:bCs/>
          <w:spacing w:val="-2"/>
          <w:sz w:val="24"/>
          <w:szCs w:val="24"/>
          <w:highlight w:val="none"/>
          <w:lang w:eastAsia="zh-CN"/>
        </w:rPr>
        <w:t xml:space="preserve">一、项目基本情况</w:t>
      </w:r>
      <w:bookmarkEnd w:id="5"/>
      <w:r/>
      <w:r/>
    </w:p>
    <w:p>
      <w:pPr>
        <w:ind w:firstLine="505"/>
        <w:keepLines w:val="0"/>
        <w:keepNext w:val="0"/>
        <w:pageBreakBefore w:val="0"/>
        <w:spacing w:line="360" w:lineRule="auto"/>
        <w:widowControl/>
        <w:rPr>
          <w:rFonts w:hint="default" w:ascii="宋体" w:hAnsi="宋体" w:eastAsia="宋体" w:cs="宋体"/>
          <w:spacing w:val="6"/>
          <w:sz w:val="24"/>
          <w:szCs w:val="24"/>
          <w:highlight w:val="none"/>
          <w:lang w:val="en-US" w:eastAsia="zh-CN"/>
        </w:rPr>
      </w:pPr>
      <w:r>
        <w:rPr>
          <w:rFonts w:ascii="宋体" w:hAnsi="宋体" w:eastAsia="宋体" w:cs="宋体"/>
          <w:spacing w:val="6"/>
          <w:sz w:val="24"/>
          <w:szCs w:val="24"/>
          <w:highlight w:val="none"/>
          <w:lang w:eastAsia="zh-CN"/>
        </w:rPr>
        <w:t xml:space="preserve">项目编号：</w:t>
      </w:r>
      <w:r>
        <w:rPr>
          <w:rFonts w:hint="eastAsia" w:ascii="宋体" w:hAnsi="宋体" w:eastAsia="宋体" w:cs="宋体"/>
          <w:spacing w:val="6"/>
          <w:sz w:val="24"/>
          <w:szCs w:val="24"/>
          <w:highlight w:val="none"/>
          <w:lang w:eastAsia="zh-CN"/>
        </w:rPr>
        <w:t xml:space="preserve">JSZC-321100-JSWX-D2026-0038</w:t>
      </w:r>
      <w:r/>
    </w:p>
    <w:p>
      <w:pPr>
        <w:ind w:firstLine="505"/>
        <w:keepLines w:val="0"/>
        <w:keepNext w:val="0"/>
        <w:pageBreakBefore w:val="0"/>
        <w:spacing w:line="360" w:lineRule="auto"/>
        <w:widowControl/>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项目名称：</w:t>
      </w:r>
      <w:r>
        <w:rPr>
          <w:rFonts w:hint="eastAsia" w:ascii="宋体" w:hAnsi="宋体" w:eastAsia="宋体" w:cs="宋体"/>
          <w:spacing w:val="6"/>
          <w:sz w:val="24"/>
          <w:szCs w:val="24"/>
          <w:highlight w:val="none"/>
          <w:lang w:eastAsia="zh-CN"/>
        </w:rPr>
        <w:t xml:space="preserve">镇江市第一人民医院医废处置项目</w:t>
      </w:r>
      <w:r/>
    </w:p>
    <w:p>
      <w:pPr>
        <w:ind w:firstLine="504"/>
        <w:spacing w:line="360" w:lineRule="auto"/>
        <w:rPr>
          <w:rFonts w:hint="eastAsia" w:ascii="宋体" w:hAnsi="宋体" w:cs="宋体"/>
          <w:sz w:val="24"/>
          <w:szCs w:val="24"/>
          <w:highlight w:val="none"/>
        </w:rPr>
      </w:pPr>
      <w:r>
        <w:rPr>
          <w:rFonts w:ascii="宋体" w:hAnsi="宋体" w:eastAsia="宋体" w:cs="宋体"/>
          <w:spacing w:val="6"/>
          <w:sz w:val="24"/>
          <w:szCs w:val="24"/>
          <w:highlight w:val="none"/>
          <w:lang w:eastAsia="zh-CN"/>
        </w:rPr>
        <w:t xml:space="preserve">预算金额：</w:t>
      </w:r>
      <w:r>
        <w:rPr>
          <w:rFonts w:hint="eastAsia" w:ascii="宋体" w:hAnsi="宋体" w:cs="宋体"/>
          <w:sz w:val="24"/>
          <w:szCs w:val="24"/>
          <w:highlight w:val="none"/>
          <w:lang w:eastAsia="zh-CN"/>
        </w:rPr>
        <w:t xml:space="preserve">人民币</w:t>
      </w:r>
      <w:r>
        <w:rPr>
          <w:rFonts w:hint="eastAsia" w:ascii="宋体" w:hAnsi="宋体" w:cs="宋体"/>
          <w:sz w:val="24"/>
          <w:szCs w:val="24"/>
          <w:highlight w:val="none"/>
          <w:lang w:val="en-US" w:eastAsia="zh-CN"/>
        </w:rPr>
        <w:t xml:space="preserve">280</w:t>
      </w:r>
      <w:r>
        <w:rPr>
          <w:rFonts w:hint="eastAsia" w:ascii="宋体" w:hAnsi="宋体" w:cs="宋体"/>
          <w:sz w:val="24"/>
          <w:szCs w:val="24"/>
          <w:highlight w:val="none"/>
          <w:lang w:eastAsia="zh-CN"/>
        </w:rPr>
        <w:t xml:space="preserve">万元（以实际产生量结算）</w:t>
      </w:r>
      <w:r/>
    </w:p>
    <w:p>
      <w:pPr>
        <w:ind w:firstLine="505"/>
        <w:keepLines w:val="0"/>
        <w:keepNext w:val="0"/>
        <w:pageBreakBefore w:val="0"/>
        <w:spacing w:line="360" w:lineRule="auto"/>
        <w:widowControl/>
        <w:rPr>
          <w:rFonts w:hint="default" w:ascii="宋体" w:hAnsi="宋体" w:eastAsia="宋体" w:cs="宋体"/>
          <w:spacing w:val="6"/>
          <w:sz w:val="24"/>
          <w:szCs w:val="24"/>
          <w:highlight w:val="none"/>
          <w:lang w:val="en-US" w:eastAsia="zh-CN"/>
        </w:rPr>
      </w:pPr>
      <w:r>
        <w:rPr>
          <w:rFonts w:hint="eastAsia" w:ascii="宋体" w:hAnsi="宋体" w:cs="宋体"/>
          <w:sz w:val="24"/>
          <w:szCs w:val="24"/>
          <w:highlight w:val="none"/>
        </w:rPr>
        <w:t xml:space="preserve">最高限价：</w:t>
      </w:r>
      <w:bookmarkStart w:id="6" w:name="EB1642f6f282e34fad839d21204c2cc2cb"/>
      <w:r>
        <w:rPr>
          <w:rFonts w:hint="eastAsia" w:ascii="宋体" w:hAnsi="宋体" w:cs="宋体"/>
          <w:sz w:val="24"/>
          <w:szCs w:val="24"/>
          <w:highlight w:val="none"/>
          <w:lang w:val="en-US" w:eastAsia="zh-CN"/>
        </w:rPr>
        <w:t xml:space="preserve">感染性废物不高于4400元/吨、化学性废物不高于6500元/吨</w:t>
      </w:r>
      <w:r>
        <w:rPr>
          <w:rFonts w:hint="eastAsia" w:ascii="宋体" w:hAnsi="宋体" w:cs="宋体"/>
          <w:sz w:val="24"/>
          <w:szCs w:val="24"/>
          <w:highlight w:val="none"/>
        </w:rPr>
        <w:t xml:space="preserve">，</w:t>
      </w:r>
      <w:bookmarkEnd w:id="6"/>
      <w:r>
        <w:rPr>
          <w:rFonts w:hint="eastAsia" w:ascii="宋体" w:hAnsi="宋体" w:cs="宋体"/>
          <w:sz w:val="24"/>
          <w:szCs w:val="24"/>
          <w:highlight w:val="none"/>
          <w:lang w:val="en-US" w:eastAsia="zh-CN"/>
        </w:rPr>
        <w:t xml:space="preserve">报价超过最高限价的视为无效响应</w:t>
      </w:r>
      <w:r/>
    </w:p>
    <w:p>
      <w:pPr>
        <w:ind w:firstLine="505"/>
        <w:keepLines w:val="0"/>
        <w:keepNext w:val="0"/>
        <w:pageBreakBefore w:val="0"/>
        <w:spacing w:line="360" w:lineRule="auto"/>
        <w:widowControl/>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采购需求：详细内容及要求见项目需求</w:t>
      </w:r>
      <w:r/>
    </w:p>
    <w:p>
      <w:pPr>
        <w:ind w:firstLine="505"/>
        <w:keepLines w:val="0"/>
        <w:keepNext w:val="0"/>
        <w:pageBreakBefore w:val="0"/>
        <w:spacing w:line="360" w:lineRule="auto"/>
        <w:widowControl/>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合同履行期限：</w:t>
      </w:r>
      <w:r>
        <w:rPr>
          <w:rFonts w:hint="eastAsia" w:ascii="宋体" w:hAnsi="宋体" w:cs="宋体"/>
          <w:sz w:val="24"/>
          <w:szCs w:val="24"/>
          <w:highlight w:val="none"/>
          <w:lang w:val="en-US" w:eastAsia="zh-CN"/>
        </w:rPr>
        <w:t xml:space="preserve">一年</w:t>
      </w:r>
      <w:r/>
    </w:p>
    <w:p>
      <w:pPr>
        <w:pStyle w:val="764"/>
        <w:numPr>
          <w:ilvl w:val="0"/>
          <w:numId w:val="0"/>
        </w:numPr>
        <w:spacing w:before="182" w:line="360" w:lineRule="auto"/>
        <w:rPr>
          <w:rFonts w:hint="eastAsia"/>
          <w:b/>
          <w:bCs/>
          <w:spacing w:val="-2"/>
          <w:sz w:val="24"/>
          <w:szCs w:val="24"/>
          <w:highlight w:val="none"/>
          <w:lang w:val="en-US" w:eastAsia="zh-CN"/>
        </w:rPr>
        <w:outlineLvl w:val="1"/>
      </w:pPr>
      <w:r/>
      <w:bookmarkStart w:id="7" w:name="_Toc146139431"/>
      <w:r>
        <w:rPr>
          <w:rFonts w:hint="eastAsia"/>
          <w:b/>
          <w:bCs/>
          <w:spacing w:val="-2"/>
          <w:sz w:val="24"/>
          <w:szCs w:val="24"/>
          <w:highlight w:val="none"/>
          <w:lang w:val="en-US" w:eastAsia="zh-CN"/>
        </w:rPr>
        <w:t xml:space="preserve">二、资格要求</w:t>
      </w:r>
      <w:r/>
    </w:p>
    <w:p>
      <w:p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1.满足《中华人民共和国政府采购法》第二十二条规定：</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1.1具有独立承担民事责任的能力（提供法人或者其他组织的营业执照等证明文件扫描件；</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为自然人的，提供其身份证扫描件）；</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1.3具有履行合同所必需的设备和专业技术能力（提供</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相关信息一览表；或提供资格承诺函）；</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1.5参加政府采购活动前三年内，在经营活动中没有重大违法记录（提供投标函；或提供资格承诺函）； </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numPr>
          <w:ilvl w:val="0"/>
          <w:numId w:val="0"/>
        </w:numPr>
        <w:ind w:firstLine="505"/>
        <w:keepLines w:val="0"/>
        <w:keepNext w:val="0"/>
        <w:pageBreakBefore w:val="0"/>
        <w:spacing w:line="360" w:lineRule="auto"/>
        <w:widowControl/>
        <w:rPr>
          <w:rFonts w:hint="eastAsia" w:ascii="宋体" w:hAnsi="宋体" w:eastAsia="宋体" w:cs="宋体"/>
          <w:spacing w:val="6"/>
          <w:sz w:val="24"/>
          <w:szCs w:val="24"/>
          <w:highlight w:val="none"/>
          <w:lang w:eastAsia="zh-CN"/>
        </w:rPr>
      </w:pPr>
      <w:r>
        <w:rPr>
          <w:rFonts w:hint="eastAsia" w:ascii="宋体" w:hAnsi="宋体" w:eastAsia="宋体" w:cs="宋体"/>
          <w:color w:val="000000"/>
          <w:spacing w:val="6"/>
          <w:sz w:val="24"/>
          <w:szCs w:val="24"/>
          <w:lang w:val="en-US" w:eastAsia="zh-CN" w:bidi="ar-SA"/>
        </w:rPr>
        <w:t xml:space="preserve">2.</w:t>
      </w:r>
      <w:r>
        <w:rPr>
          <w:rFonts w:hint="eastAsia" w:ascii="宋体" w:hAnsi="宋体" w:eastAsia="宋体" w:cs="宋体"/>
          <w:spacing w:val="6"/>
          <w:sz w:val="24"/>
          <w:szCs w:val="24"/>
          <w:highlight w:val="none"/>
          <w:lang w:eastAsia="zh-CN"/>
        </w:rPr>
        <w:t xml:space="preserve">落实政府采购政策需满足的资格要求：</w:t>
      </w:r>
      <w:r/>
    </w:p>
    <w:p>
      <w:pPr>
        <w:numPr>
          <w:ilvl w:val="0"/>
          <w:numId w:val="0"/>
        </w:numPr>
        <w:ind w:firstLine="505"/>
        <w:jc w:val="both"/>
        <w:keepLines w:val="0"/>
        <w:keepNext w:val="0"/>
        <w:pageBreakBefore w:val="0"/>
        <w:spacing w:line="360" w:lineRule="auto"/>
        <w:widowControl w:val="off"/>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本项目支持和适用节能环保产品（财库【2019】9号）、（财库【2019】19号）、（财库【2019】18号）；支持中小微企业（财库【2022】19号）、（苏财购【2022】45号）、（工信部联企业【2011】300）等政策。本项目属于服务类项目，采购标的对应的行业为其他未列明行业。</w:t>
      </w:r>
      <w:r>
        <w:rPr>
          <w:rFonts w:hint="eastAsia" w:ascii="宋体" w:hAnsi="宋体" w:eastAsia="宋体" w:cs="宋体"/>
          <w:color w:val="000000"/>
          <w:sz w:val="24"/>
          <w:szCs w:val="24"/>
          <w:highlight w:val="none"/>
          <w:lang w:val="en-US" w:eastAsia="zh-CN"/>
        </w:rPr>
        <w:t xml:space="preserve">本项目专门面向中小企业采购，中小企业划型标准请对照《关于印发中小企业划型标准规定的通知》（工信部联企业〔2011〕300号）。</w:t>
      </w:r>
      <w:r/>
    </w:p>
    <w:p>
      <w:pPr>
        <w:pStyle w:val="952"/>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宋体"/>
          <w:spacing w:val="6"/>
          <w:sz w:val="24"/>
          <w:szCs w:val="24"/>
          <w:highlight w:val="none"/>
          <w:lang w:val="en-US" w:eastAsia="zh-CN"/>
        </w:rPr>
        <w:t xml:space="preserve">3.</w:t>
      </w:r>
      <w:r>
        <w:rPr>
          <w:rFonts w:hint="eastAsia" w:ascii="宋体" w:hAnsi="宋体" w:eastAsia="宋体" w:cs="宋体"/>
          <w:spacing w:val="6"/>
          <w:sz w:val="24"/>
          <w:szCs w:val="24"/>
          <w:highlight w:val="none"/>
          <w:lang w:eastAsia="zh-CN"/>
        </w:rPr>
        <w:t xml:space="preserve">本项目的特定资格要求：</w:t>
      </w:r>
      <w:r>
        <w:rPr>
          <w:rFonts w:hint="eastAsia" w:ascii="宋体" w:hAnsi="宋体" w:eastAsia="宋体" w:cs="Times New Roman"/>
          <w:color w:val="000000"/>
          <w:sz w:val="24"/>
          <w:highlight w:val="none"/>
          <w:lang w:val="en-US" w:eastAsia="zh-CN"/>
        </w:rPr>
        <w:t xml:space="preserve">投标人具备有效的《危险废物经营许可证》，核准经营类别必须包含 HW01（医疗废物）。</w:t>
      </w:r>
      <w:r/>
      <w:r>
        <w:rPr>
          <w:rFonts w:hint="eastAsia" w:ascii="宋体" w:hAnsi="宋体" w:eastAsia="宋体" w:cs="宋体"/>
          <w:spacing w:val="6"/>
          <w:sz w:val="24"/>
          <w:szCs w:val="24"/>
          <w:highlight w:val="none"/>
          <w:lang w:val="en-US" w:eastAsia="zh-CN"/>
        </w:rPr>
      </w:r>
      <w:r/>
      <w:r>
        <w:rPr>
          <w:rFonts w:hint="eastAsia" w:ascii="宋体" w:hAnsi="宋体" w:eastAsia="宋体" w:cs="Times New Roman"/>
          <w:color w:val="000000"/>
          <w:sz w:val="24"/>
          <w:highlight w:val="none"/>
          <w:lang w:val="en-US" w:eastAsia="zh-CN"/>
        </w:rPr>
      </w:r>
    </w:p>
    <w:p>
      <w:pPr>
        <w:pStyle w:val="764"/>
        <w:ind w:left="126"/>
        <w:spacing w:before="182" w:line="360" w:lineRule="auto"/>
        <w:rPr>
          <w:b/>
          <w:bCs/>
          <w:spacing w:val="-2"/>
          <w:sz w:val="24"/>
          <w:szCs w:val="24"/>
          <w:highlight w:val="none"/>
          <w:lang w:eastAsia="zh-CN"/>
        </w:rPr>
        <w:outlineLvl w:val="1"/>
      </w:pPr>
      <w:r>
        <w:rPr>
          <w:rFonts w:hint="eastAsia"/>
          <w:b/>
          <w:bCs/>
          <w:spacing w:val="-2"/>
          <w:sz w:val="24"/>
          <w:szCs w:val="24"/>
          <w:highlight w:val="none"/>
          <w:lang w:val="en-US" w:eastAsia="zh-CN"/>
        </w:rPr>
        <w:t xml:space="preserve">三</w:t>
      </w:r>
      <w:r>
        <w:rPr>
          <w:b/>
          <w:bCs/>
          <w:spacing w:val="-2"/>
          <w:sz w:val="24"/>
          <w:szCs w:val="24"/>
          <w:highlight w:val="none"/>
          <w:lang w:eastAsia="zh-CN"/>
        </w:rPr>
        <w:t xml:space="preserve">、获取协商文件</w:t>
      </w:r>
      <w:bookmarkEnd w:id="7"/>
      <w:r/>
      <w:r/>
    </w:p>
    <w:p>
      <w:pPr>
        <w:ind w:firstLine="504"/>
        <w:spacing w:before="78" w:line="360" w:lineRule="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获取时间：公告之</w:t>
      </w:r>
      <w:r>
        <w:rPr>
          <w:rFonts w:hint="eastAsia" w:ascii="宋体" w:hAnsi="宋体" w:eastAsia="宋体" w:cs="宋体"/>
          <w:spacing w:val="6"/>
          <w:sz w:val="24"/>
          <w:szCs w:val="24"/>
          <w:highlight w:val="none"/>
          <w:lang w:eastAsia="zh-CN"/>
        </w:rPr>
        <w:t xml:space="preserve">日</w:t>
      </w:r>
      <w:r>
        <w:rPr>
          <w:rFonts w:ascii="宋体" w:hAnsi="宋体" w:eastAsia="宋体" w:cs="宋体"/>
          <w:spacing w:val="6"/>
          <w:sz w:val="24"/>
          <w:szCs w:val="24"/>
          <w:highlight w:val="none"/>
          <w:lang w:eastAsia="zh-CN"/>
        </w:rPr>
        <w:t xml:space="preserve">起至 </w:t>
      </w:r>
      <w:r>
        <w:rPr>
          <w:rFonts w:ascii="宋体" w:hAnsi="宋体" w:eastAsia="宋体" w:cs="宋体"/>
          <w:spacing w:val="6"/>
          <w:sz w:val="24"/>
          <w:szCs w:val="24"/>
          <w:highlight w:val="white"/>
          <w:lang w:eastAsia="zh-CN"/>
        </w:rPr>
        <w:t xml:space="preserve">202</w:t>
      </w:r>
      <w:r>
        <w:rPr>
          <w:rFonts w:hint="eastAsia" w:ascii="宋体" w:hAnsi="宋体" w:eastAsia="宋体" w:cs="宋体"/>
          <w:spacing w:val="6"/>
          <w:sz w:val="24"/>
          <w:szCs w:val="24"/>
          <w:highlight w:val="white"/>
          <w:lang w:val="en-US" w:eastAsia="zh-CN"/>
        </w:rPr>
        <w:t xml:space="preserve">6</w:t>
      </w:r>
      <w:r>
        <w:rPr>
          <w:rFonts w:ascii="宋体" w:hAnsi="宋体" w:eastAsia="宋体" w:cs="宋体"/>
          <w:spacing w:val="6"/>
          <w:sz w:val="24"/>
          <w:szCs w:val="24"/>
          <w:highlight w:val="white"/>
          <w:lang w:eastAsia="zh-CN"/>
        </w:rPr>
        <w:t xml:space="preserve">-</w:t>
      </w:r>
      <w:r>
        <w:rPr>
          <w:rFonts w:hint="eastAsia" w:ascii="宋体" w:hAnsi="宋体" w:eastAsia="宋体" w:cs="宋体"/>
          <w:spacing w:val="6"/>
          <w:sz w:val="24"/>
          <w:szCs w:val="24"/>
          <w:highlight w:val="white"/>
          <w:lang w:val="en-US" w:eastAsia="zh-CN"/>
        </w:rPr>
        <w:t xml:space="preserve">10</w:t>
      </w:r>
      <w:r>
        <w:rPr>
          <w:rFonts w:ascii="宋体" w:hAnsi="宋体" w:eastAsia="宋体" w:cs="宋体"/>
          <w:spacing w:val="6"/>
          <w:sz w:val="24"/>
          <w:szCs w:val="24"/>
          <w:highlight w:val="white"/>
          <w:lang w:eastAsia="zh-CN"/>
        </w:rPr>
        <w:t xml:space="preserve">-</w:t>
      </w:r>
      <w:r>
        <w:rPr>
          <w:rFonts w:hint="eastAsia" w:ascii="宋体" w:hAnsi="宋体" w:eastAsia="宋体" w:cs="宋体"/>
          <w:spacing w:val="6"/>
          <w:sz w:val="24"/>
          <w:szCs w:val="24"/>
          <w:highlight w:val="white"/>
          <w:lang w:val="en-US" w:eastAsia="zh-CN"/>
        </w:rPr>
        <w:t xml:space="preserve">31</w:t>
      </w:r>
      <w:r>
        <w:rPr>
          <w:rFonts w:hint="eastAsia" w:ascii="宋体" w:hAnsi="宋体" w:eastAsia="宋体" w:cs="宋体"/>
          <w:spacing w:val="6"/>
          <w:sz w:val="24"/>
          <w:szCs w:val="24"/>
          <w:highlight w:val="white"/>
          <w:lang w:eastAsia="zh-CN"/>
        </w:rPr>
        <w:t xml:space="preserve"> 10</w:t>
      </w:r>
      <w:r>
        <w:rPr>
          <w:rFonts w:ascii="宋体" w:hAnsi="宋体" w:eastAsia="宋体" w:cs="宋体"/>
          <w:spacing w:val="6"/>
          <w:sz w:val="24"/>
          <w:szCs w:val="24"/>
          <w:highlight w:val="white"/>
          <w:lang w:eastAsia="zh-CN"/>
        </w:rPr>
        <w:t xml:space="preserve">:</w:t>
      </w:r>
      <w:r>
        <w:rPr>
          <w:rFonts w:hint="eastAsia" w:ascii="宋体" w:hAnsi="宋体" w:eastAsia="宋体" w:cs="宋体"/>
          <w:spacing w:val="6"/>
          <w:sz w:val="24"/>
          <w:szCs w:val="24"/>
          <w:highlight w:val="white"/>
          <w:lang w:val="en-US" w:eastAsia="zh-CN"/>
        </w:rPr>
        <w:t xml:space="preserve">30</w:t>
      </w:r>
      <w:r>
        <w:rPr>
          <w:rFonts w:ascii="宋体" w:hAnsi="宋体" w:eastAsia="宋体" w:cs="宋体"/>
          <w:spacing w:val="6"/>
          <w:sz w:val="24"/>
          <w:szCs w:val="24"/>
          <w:highlight w:val="none"/>
          <w:lang w:eastAsia="zh-CN"/>
        </w:rPr>
        <w:t xml:space="preserve">（北京时间）</w:t>
      </w:r>
      <w:r/>
    </w:p>
    <w:p>
      <w:pPr>
        <w:ind w:firstLine="504"/>
        <w:spacing w:before="78" w:line="360" w:lineRule="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获取方式：</w:t>
      </w:r>
      <w:r>
        <w:rPr>
          <w:rFonts w:hint="eastAsia" w:ascii="宋体" w:hAnsi="宋体" w:eastAsia="宋体" w:cs="宋体"/>
          <w:spacing w:val="6"/>
          <w:sz w:val="24"/>
          <w:szCs w:val="24"/>
          <w:highlight w:val="none"/>
          <w:lang w:eastAsia="zh-CN"/>
        </w:rPr>
        <w:t xml:space="preserve">“苏采云”系统用户注册--获取“CA数字证书”--CA绑定与登录--网上报名--下载招标文件(后缀名为.kedt”)。</w:t>
      </w:r>
      <w:r/>
    </w:p>
    <w:p>
      <w:pPr>
        <w:ind w:firstLine="504"/>
        <w:spacing w:before="78" w:line="360" w:lineRule="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采购文件售价：免费</w:t>
      </w:r>
      <w:r>
        <w:rPr>
          <w:rFonts w:hint="eastAsia" w:ascii="宋体" w:hAnsi="宋体" w:eastAsia="宋体" w:cs="宋体"/>
          <w:spacing w:val="6"/>
          <w:sz w:val="24"/>
          <w:szCs w:val="24"/>
          <w:highlight w:val="none"/>
          <w:lang w:eastAsia="zh-CN"/>
        </w:rPr>
        <w:t xml:space="preserve">。</w:t>
      </w:r>
      <w:r/>
    </w:p>
    <w:p>
      <w:pPr>
        <w:pStyle w:val="764"/>
        <w:ind w:left="126"/>
        <w:spacing w:before="182" w:line="360" w:lineRule="auto"/>
        <w:rPr>
          <w:b/>
          <w:bCs/>
          <w:spacing w:val="-2"/>
          <w:sz w:val="24"/>
          <w:szCs w:val="24"/>
          <w:highlight w:val="none"/>
          <w:lang w:eastAsia="zh-CN"/>
        </w:rPr>
        <w:outlineLvl w:val="1"/>
      </w:pPr>
      <w:r/>
      <w:bookmarkStart w:id="8" w:name="_Toc146139432"/>
      <w:r>
        <w:rPr>
          <w:rFonts w:hint="eastAsia"/>
          <w:b/>
          <w:bCs/>
          <w:spacing w:val="-2"/>
          <w:sz w:val="24"/>
          <w:szCs w:val="24"/>
          <w:highlight w:val="none"/>
          <w:lang w:val="en-US" w:eastAsia="zh-CN"/>
        </w:rPr>
        <w:t xml:space="preserve">四</w:t>
      </w:r>
      <w:r>
        <w:rPr>
          <w:b/>
          <w:bCs/>
          <w:spacing w:val="-2"/>
          <w:sz w:val="24"/>
          <w:szCs w:val="24"/>
          <w:highlight w:val="none"/>
          <w:lang w:eastAsia="zh-CN"/>
        </w:rPr>
        <w:t xml:space="preserve">、提交</w:t>
      </w:r>
      <w:r>
        <w:rPr>
          <w:rFonts w:hint="eastAsia"/>
          <w:b/>
          <w:bCs/>
          <w:spacing w:val="-2"/>
          <w:sz w:val="24"/>
          <w:szCs w:val="24"/>
          <w:highlight w:val="none"/>
          <w:lang w:eastAsia="zh-CN"/>
        </w:rPr>
        <w:t xml:space="preserve">响应</w:t>
      </w:r>
      <w:r>
        <w:rPr>
          <w:b/>
          <w:bCs/>
          <w:spacing w:val="-2"/>
          <w:sz w:val="24"/>
          <w:szCs w:val="24"/>
          <w:highlight w:val="none"/>
          <w:lang w:eastAsia="zh-CN"/>
        </w:rPr>
        <w:t xml:space="preserve">文件截止时间、开标时间和地点</w:t>
      </w:r>
      <w:bookmarkEnd w:id="8"/>
      <w:r/>
      <w:r/>
    </w:p>
    <w:p>
      <w:pPr>
        <w:ind w:firstLine="504"/>
        <w:spacing w:before="78" w:line="360" w:lineRule="auto"/>
        <w:rPr>
          <w:rFonts w:ascii="宋体" w:hAnsi="宋体" w:eastAsia="宋体" w:cs="宋体"/>
          <w:spacing w:val="6"/>
          <w:sz w:val="24"/>
          <w:szCs w:val="24"/>
          <w:highlight w:val="none"/>
          <w:lang w:eastAsia="zh-CN"/>
        </w:rPr>
      </w:pPr>
      <w:r>
        <w:rPr>
          <w:rFonts w:ascii="宋体" w:hAnsi="宋体" w:eastAsia="宋体" w:cs="宋体"/>
          <w:spacing w:val="6"/>
          <w:sz w:val="24"/>
          <w:szCs w:val="24"/>
          <w:highlight w:val="none"/>
          <w:lang w:eastAsia="zh-CN"/>
        </w:rPr>
        <w:t xml:space="preserve">提交截止时间及开标时间：</w:t>
      </w:r>
      <w:r>
        <w:rPr>
          <w:rFonts w:ascii="宋体" w:hAnsi="宋体" w:eastAsia="宋体" w:cs="宋体"/>
          <w:spacing w:val="6"/>
          <w:sz w:val="24"/>
          <w:szCs w:val="24"/>
          <w:highlight w:val="white"/>
          <w:lang w:eastAsia="zh-CN"/>
        </w:rPr>
        <w:t xml:space="preserve">202</w:t>
      </w:r>
      <w:r>
        <w:rPr>
          <w:rFonts w:hint="eastAsia" w:ascii="宋体" w:hAnsi="宋体" w:eastAsia="宋体" w:cs="宋体"/>
          <w:spacing w:val="6"/>
          <w:sz w:val="24"/>
          <w:szCs w:val="24"/>
          <w:highlight w:val="white"/>
          <w:lang w:val="en-US" w:eastAsia="zh-CN"/>
        </w:rPr>
        <w:t xml:space="preserve">6</w:t>
      </w:r>
      <w:r>
        <w:rPr>
          <w:rFonts w:ascii="宋体" w:hAnsi="宋体" w:eastAsia="宋体" w:cs="宋体"/>
          <w:spacing w:val="6"/>
          <w:sz w:val="24"/>
          <w:szCs w:val="24"/>
          <w:highlight w:val="white"/>
          <w:lang w:eastAsia="zh-CN"/>
        </w:rPr>
        <w:t xml:space="preserve">-10</w:t>
      </w:r>
      <w:r>
        <w:rPr>
          <w:rFonts w:ascii="宋体" w:hAnsi="宋体" w:eastAsia="宋体" w:cs="宋体"/>
          <w:spacing w:val="6"/>
          <w:sz w:val="24"/>
          <w:szCs w:val="24"/>
          <w:highlight w:val="white"/>
          <w:lang w:eastAsia="zh-CN"/>
        </w:rPr>
        <w:t xml:space="preserve">-</w:t>
      </w:r>
      <w:r>
        <w:rPr>
          <w:rFonts w:ascii="宋体" w:hAnsi="宋体" w:eastAsia="宋体" w:cs="宋体"/>
          <w:spacing w:val="6"/>
          <w:sz w:val="24"/>
          <w:szCs w:val="24"/>
          <w:highlight w:val="white"/>
          <w:lang w:eastAsia="zh-CN"/>
        </w:rPr>
        <w:t xml:space="preserve">31 10</w:t>
      </w:r>
      <w:r>
        <w:rPr>
          <w:rFonts w:ascii="宋体" w:hAnsi="宋体" w:eastAsia="宋体" w:cs="宋体"/>
          <w:spacing w:val="6"/>
          <w:sz w:val="24"/>
          <w:szCs w:val="24"/>
          <w:highlight w:val="white"/>
          <w:lang w:eastAsia="zh-CN"/>
        </w:rPr>
        <w:t xml:space="preserve">:</w:t>
      </w:r>
      <w:r>
        <w:rPr>
          <w:rFonts w:hint="eastAsia" w:ascii="宋体" w:hAnsi="宋体" w:eastAsia="宋体" w:cs="宋体"/>
          <w:spacing w:val="6"/>
          <w:sz w:val="24"/>
          <w:szCs w:val="24"/>
          <w:highlight w:val="white"/>
          <w:lang w:eastAsia="zh-CN"/>
        </w:rPr>
        <w:t xml:space="preserve">30</w:t>
      </w:r>
      <w:r>
        <w:rPr>
          <w:rFonts w:ascii="宋体" w:hAnsi="宋体" w:eastAsia="宋体" w:cs="宋体"/>
          <w:spacing w:val="6"/>
          <w:sz w:val="24"/>
          <w:szCs w:val="24"/>
          <w:highlight w:val="none"/>
          <w:lang w:eastAsia="zh-CN"/>
        </w:rPr>
        <w:t xml:space="preserve"> (北京时间</w:t>
      </w:r>
      <w:r>
        <w:rPr>
          <w:rFonts w:hint="eastAsia" w:ascii="宋体" w:hAnsi="宋体" w:eastAsia="宋体" w:cs="宋体"/>
          <w:spacing w:val="6"/>
          <w:sz w:val="24"/>
          <w:szCs w:val="24"/>
          <w:highlight w:val="none"/>
          <w:lang w:eastAsia="zh-CN"/>
        </w:rPr>
        <w:t xml:space="preserve">）。</w:t>
      </w:r>
      <w:r/>
    </w:p>
    <w:p>
      <w:pPr>
        <w:ind w:firstLine="476"/>
        <w:spacing w:before="78" w:line="360" w:lineRule="auto"/>
        <w:rPr>
          <w:rFonts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线上地点：将后缀名为“.kedt”的响应文件导入政府采购客户端工具--制作投标文件--导出加密的投标文件(后缀名为zip) --通过“苏采云”系统上传响应文件。具体详见《江苏省政府采购管理交易系统(苏采云)供应商操作手册》。</w:t>
      </w:r>
      <w:r/>
    </w:p>
    <w:p>
      <w:pPr>
        <w:pStyle w:val="764"/>
        <w:ind w:left="126"/>
        <w:spacing w:before="182" w:line="360" w:lineRule="auto"/>
        <w:rPr>
          <w:b/>
          <w:bCs/>
          <w:spacing w:val="-2"/>
          <w:sz w:val="24"/>
          <w:szCs w:val="24"/>
          <w:highlight w:val="none"/>
          <w:lang w:eastAsia="zh-CN"/>
        </w:rPr>
        <w:outlineLvl w:val="1"/>
      </w:pPr>
      <w:r/>
      <w:bookmarkStart w:id="9" w:name="_Toc146139433"/>
      <w:r>
        <w:rPr>
          <w:rFonts w:hint="eastAsia"/>
          <w:b/>
          <w:bCs/>
          <w:spacing w:val="-2"/>
          <w:sz w:val="24"/>
          <w:szCs w:val="24"/>
          <w:highlight w:val="none"/>
          <w:lang w:val="en-US" w:eastAsia="zh-CN"/>
        </w:rPr>
        <w:t xml:space="preserve">五</w:t>
      </w:r>
      <w:r>
        <w:rPr>
          <w:rFonts w:hint="eastAsia"/>
          <w:b/>
          <w:bCs/>
          <w:spacing w:val="-2"/>
          <w:sz w:val="24"/>
          <w:szCs w:val="24"/>
          <w:highlight w:val="none"/>
          <w:lang w:eastAsia="zh-CN"/>
        </w:rPr>
        <w:t xml:space="preserve">、其他补充事宜</w:t>
      </w:r>
      <w:bookmarkEnd w:id="9"/>
      <w:r/>
      <w:r/>
    </w:p>
    <w:p>
      <w:pPr>
        <w:numPr>
          <w:ilvl w:val="0"/>
          <w:numId w:val="0"/>
        </w:numPr>
        <w:ind w:firstLine="505"/>
        <w:jc w:val="both"/>
        <w:keepLines w:val="0"/>
        <w:keepNext w:val="0"/>
        <w:pageBreakBefore w:val="0"/>
        <w:spacing w:line="360" w:lineRule="auto"/>
        <w:widowControl w:val="off"/>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1.请供应商及时关注和查看“苏采云”系统（网址：http://jszfcg.jsczt.cn/），是否有更正公告。因供应商自身原因未能及时获取的，一切后果由供应商自行承担。</w:t>
      </w:r>
      <w:r/>
    </w:p>
    <w:p>
      <w:pPr>
        <w:numPr>
          <w:ilvl w:val="0"/>
          <w:numId w:val="0"/>
        </w:numPr>
        <w:ind w:firstLine="505"/>
        <w:jc w:val="both"/>
        <w:keepLines w:val="0"/>
        <w:keepNext w:val="0"/>
        <w:pageBreakBefore w:val="0"/>
        <w:spacing w:line="360" w:lineRule="auto"/>
        <w:widowControl w:val="off"/>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2.供应商需办理CA锁，“苏采云”系统目前仅支持“苏采云”系统下的政务CA (意源CA)、方正签章，省内各地区办理的“苏采云”系统下的政务CA (意源CA)、方正签章全省通用。客户端工具及供应商操作手册可至江苏省政府采购网下载《江苏省政府采购交易系统(苏采云)供应商操作手册及政府采购客户端》。镇江地区意源(方正)办理方式:镇江市润州区冠城路8号工人大厦7楼公共资源交易中心大厅CA窗口。工作日办公时间:9:00-12:00、13:30-17:30。</w:t>
      </w:r>
      <w:r/>
    </w:p>
    <w:p>
      <w:pPr>
        <w:ind w:firstLine="505"/>
        <w:jc w:val="both"/>
        <w:keepLines w:val="0"/>
        <w:keepNext w:val="0"/>
        <w:pageBreakBefore w:val="0"/>
        <w:spacing w:line="360" w:lineRule="auto"/>
        <w:widowControl w:val="off"/>
      </w:pPr>
      <w:r>
        <w:rPr>
          <w:rFonts w:hint="eastAsia" w:ascii="宋体" w:hAnsi="宋体" w:eastAsia="宋体" w:cs="宋体"/>
          <w:spacing w:val="6"/>
          <w:sz w:val="24"/>
          <w:szCs w:val="24"/>
          <w:highlight w:val="none"/>
          <w:lang w:val="en-US" w:eastAsia="zh-CN"/>
        </w:rPr>
        <w:t xml:space="preserve">3.本项目通过电子交易平台进行采购，请详细阅读平台操作指南；供应商在使用系统的过程中遇到涉及平台使用的任何问题，可致电交易中心技术支持热线咨询，</w:t>
      </w:r>
      <w:r>
        <w:rPr>
          <w:rFonts w:hint="eastAsia" w:ascii="宋体" w:hAnsi="宋体" w:eastAsia="宋体" w:cs="宋体"/>
          <w:spacing w:val="6"/>
          <w:sz w:val="24"/>
          <w:szCs w:val="24"/>
          <w:highlight w:val="none"/>
          <w:lang w:val="en-US" w:eastAsia="zh-CN"/>
        </w:rPr>
      </w:r>
      <w:r>
        <w:rPr>
          <w:rFonts w:hint="eastAsia" w:ascii="宋体" w:hAnsi="宋体" w:eastAsia="宋体" w:cs="宋体"/>
          <w:spacing w:val="6"/>
          <w:sz w:val="24"/>
          <w:szCs w:val="24"/>
          <w:highlight w:val="none"/>
          <w:lang w:val="en-US" w:eastAsia="zh-CN"/>
        </w:rPr>
        <w:t xml:space="preserve">政务CA技术咨询服务电话：</w:t>
      </w:r>
      <w:r/>
      <w:r>
        <w:rPr>
          <w:rFonts w:hint="eastAsia" w:ascii="宋体" w:hAnsi="宋体" w:eastAsia="宋体" w:cs="宋体"/>
          <w:spacing w:val="6"/>
          <w:sz w:val="24"/>
          <w:szCs w:val="24"/>
          <w:highlight w:val="none"/>
          <w:lang w:val="en-US" w:eastAsia="zh-CN"/>
        </w:rPr>
        <w:t xml:space="preserve">400-608-6099</w:t>
      </w:r>
      <w:r/>
      <w:r>
        <w:rPr>
          <w:rFonts w:hint="eastAsia" w:ascii="宋体" w:hAnsi="宋体" w:eastAsia="宋体" w:cs="宋体"/>
          <w:spacing w:val="6"/>
          <w:sz w:val="24"/>
          <w:szCs w:val="24"/>
          <w:highlight w:val="none"/>
          <w:lang w:val="en-US" w:eastAsia="zh-CN"/>
        </w:rPr>
        <w:t xml:space="preserve">。</w:t>
      </w:r>
      <w:r/>
      <w:r/>
      <w:r>
        <w:rPr>
          <w:rFonts w:hint="eastAsia" w:ascii="宋体" w:hAnsi="宋体" w:eastAsia="宋体" w:cs="宋体"/>
          <w:spacing w:val="6"/>
          <w:sz w:val="24"/>
          <w:szCs w:val="24"/>
          <w:highlight w:val="none"/>
          <w:lang w:val="en-US" w:eastAsia="zh-CN"/>
        </w:rPr>
      </w:r>
    </w:p>
    <w:p>
      <w:pPr>
        <w:numPr>
          <w:ilvl w:val="0"/>
          <w:numId w:val="0"/>
        </w:numPr>
        <w:ind w:firstLine="505"/>
        <w:jc w:val="both"/>
        <w:keepLines w:val="0"/>
        <w:keepNext w:val="0"/>
        <w:pageBreakBefore w:val="0"/>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spacing w:val="6"/>
          <w:sz w:val="24"/>
          <w:szCs w:val="24"/>
          <w:highlight w:val="none"/>
          <w:lang w:val="en-US" w:eastAsia="zh-CN"/>
        </w:rPr>
        <w:t xml:space="preserve">4.开标当日，供应商不必抵达开标现场，仅需在任意地点通过“苏采云”系统(网址:http://jszfcg.jsczt.cn/)“开标大厅”进入系统“开标大厅”参与开标过程。</w:t>
      </w:r>
      <w:r/>
    </w:p>
    <w:p>
      <w:pPr>
        <w:pStyle w:val="764"/>
        <w:ind w:left="126"/>
        <w:spacing w:before="182" w:line="360" w:lineRule="auto"/>
        <w:rPr>
          <w:b/>
          <w:bCs/>
          <w:spacing w:val="-2"/>
          <w:sz w:val="24"/>
          <w:szCs w:val="24"/>
          <w:highlight w:val="none"/>
          <w:lang w:eastAsia="zh-CN"/>
        </w:rPr>
        <w:outlineLvl w:val="1"/>
      </w:pPr>
      <w:r/>
      <w:bookmarkStart w:id="10" w:name="_Toc146139434"/>
      <w:r>
        <w:rPr>
          <w:rFonts w:hint="eastAsia"/>
          <w:b/>
          <w:bCs/>
          <w:spacing w:val="-2"/>
          <w:sz w:val="24"/>
          <w:szCs w:val="24"/>
          <w:highlight w:val="none"/>
          <w:lang w:val="en-US" w:eastAsia="zh-CN"/>
        </w:rPr>
        <w:t xml:space="preserve">六</w:t>
      </w:r>
      <w:r>
        <w:rPr>
          <w:rFonts w:hint="eastAsia"/>
          <w:b/>
          <w:bCs/>
          <w:spacing w:val="-2"/>
          <w:sz w:val="24"/>
          <w:szCs w:val="24"/>
          <w:highlight w:val="none"/>
          <w:lang w:eastAsia="zh-CN"/>
        </w:rPr>
        <w:t xml:space="preserve">、对本次采购提出询问，请按以下方式联系。</w:t>
      </w:r>
      <w:bookmarkEnd w:id="10"/>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名称：镇江市第一人民医院</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地址：镇江市润州区电力路8号</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联系人：杜老师</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联系方式：0511-88917939</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名称：</w:t>
      </w:r>
      <w:bookmarkStart w:id="11" w:name="EB542ca7c52e62423392954f99f6b8b7fe"/>
      <w:r>
        <w:rPr>
          <w:rFonts w:hint="eastAsia" w:ascii="宋体" w:hAnsi="宋体" w:cs="宋体"/>
          <w:sz w:val="24"/>
          <w:szCs w:val="24"/>
          <w:highlight w:val="none"/>
        </w:rPr>
        <w:t xml:space="preserve">江苏巍信项目管理有限公司</w:t>
      </w:r>
      <w:bookmarkEnd w:id="11"/>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地址：</w:t>
      </w:r>
      <w:r>
        <w:rPr>
          <w:rFonts w:hint="eastAsia" w:ascii="宋体" w:hAnsi="宋体" w:cs="宋体"/>
          <w:sz w:val="24"/>
          <w:szCs w:val="24"/>
          <w:highlight w:val="none"/>
          <w:lang w:eastAsia="zh-CN"/>
        </w:rPr>
        <w:t xml:space="preserve">镇江市九华山路江苏科技大学南校区二号楼第四层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0511-80836005</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项目联系人：孙工</w:t>
      </w:r>
      <w:r/>
    </w:p>
    <w:p>
      <w:pPr>
        <w:ind w:firstLine="504"/>
        <w:spacing w:before="78" w:line="360" w:lineRule="auto"/>
        <w:rPr>
          <w:rFonts w:ascii="宋体" w:hAnsi="宋体" w:eastAsia="宋体" w:cs="宋体"/>
          <w:spacing w:val="6"/>
          <w:sz w:val="24"/>
          <w:szCs w:val="24"/>
          <w:lang w:eastAsia="zh-CN"/>
        </w:rPr>
      </w:pPr>
      <w:r>
        <w:rPr>
          <w:rFonts w:hint="eastAsia" w:ascii="宋体" w:hAnsi="宋体" w:cs="宋体"/>
          <w:sz w:val="24"/>
          <w:szCs w:val="24"/>
          <w:highlight w:val="none"/>
        </w:rPr>
        <w:t xml:space="preserve">电话：</w:t>
      </w:r>
      <w:r>
        <w:rPr>
          <w:rFonts w:hint="eastAsia" w:ascii="宋体" w:hAnsi="宋体" w:cs="宋体"/>
          <w:sz w:val="24"/>
          <w:szCs w:val="24"/>
          <w:highlight w:val="none"/>
          <w:lang w:eastAsia="zh-CN"/>
        </w:rPr>
        <w:t xml:space="preserve">0511-80836005</w:t>
      </w:r>
      <w:r/>
    </w:p>
    <w:p>
      <w:pPr>
        <w:rPr>
          <w:spacing w:val="-1"/>
          <w:sz w:val="36"/>
          <w:szCs w:val="36"/>
          <w:lang w:eastAsia="zh-CN"/>
          <w14:textOutline w14:w="6527" w14:cap="flat" w14:cmpd="sng" w14:algn="ctr">
            <w14:solidFill>
              <w14:srgbClr w14:val="000000"/>
            </w14:solidFill>
            <w14:prstDash w14:val="solid"/>
            <w14:miter/>
          </w14:textOutline>
        </w:rPr>
      </w:pPr>
      <w:r>
        <w:rPr>
          <w:spacing w:val="-1"/>
          <w:sz w:val="36"/>
          <w:szCs w:val="36"/>
          <w:lang w:eastAsia="zh-CN"/>
          <w14:textOutline w14:w="6527" w14:cap="flat" w14:cmpd="sng" w14:algn="ctr">
            <w14:solidFill>
              <w14:srgbClr w14:val="000000"/>
            </w14:solidFill>
            <w14:prstDash w14:val="solid"/>
            <w14:miter/>
          </w14:textOutline>
        </w:rPr>
        <w:br w:type="page" w:clear="all"/>
      </w:r>
      <w:r/>
    </w:p>
    <w:p>
      <w:pPr>
        <w:pStyle w:val="764"/>
        <w:jc w:val="center"/>
        <w:spacing w:before="117" w:line="360" w:lineRule="auto"/>
        <w:rPr>
          <w:sz w:val="36"/>
          <w:szCs w:val="36"/>
          <w:lang w:eastAsia="zh-CN"/>
        </w:rPr>
        <w:outlineLvl w:val="0"/>
      </w:pPr>
      <w:r/>
      <w:bookmarkStart w:id="12" w:name="_Toc17011"/>
      <w:r>
        <w:rPr>
          <w:spacing w:val="-1"/>
          <w:sz w:val="36"/>
          <w:szCs w:val="36"/>
          <w:lang w:eastAsia="zh-CN"/>
          <w14:textOutline w14:w="6527" w14:cap="flat" w14:cmpd="sng" w14:algn="ctr">
            <w14:solidFill>
              <w14:srgbClr w14:val="000000"/>
            </w14:solidFill>
            <w14:prstDash w14:val="solid"/>
            <w14:miter/>
          </w14:textOutline>
        </w:rPr>
        <w:t xml:space="preserve">第二部分</w:t>
      </w:r>
      <w:r>
        <w:rPr>
          <w:rFonts w:hint="eastAsia"/>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textOutline>
        </w:rPr>
        <w:t xml:space="preserve">供应商须知</w:t>
      </w:r>
      <w:bookmarkEnd w:id="12"/>
      <w:r/>
      <w:r/>
    </w:p>
    <w:p>
      <w:pPr>
        <w:pStyle w:val="764"/>
        <w:ind w:left="0" w:firstLine="0"/>
        <w:jc w:val="center"/>
        <w:keepLines w:val="0"/>
        <w:keepNext w:val="0"/>
        <w:pageBreakBefore w:val="0"/>
        <w:spacing w:before="181" w:line="360" w:lineRule="auto"/>
        <w:widowControl/>
        <w:rPr>
          <w:sz w:val="24"/>
          <w:szCs w:val="24"/>
          <w:lang w:eastAsia="zh-CN"/>
        </w:rPr>
        <w:outlineLvl w:val="1"/>
      </w:pPr>
      <w:r/>
      <w:bookmarkStart w:id="13" w:name="_Toc146139437"/>
      <w:r>
        <w:rPr>
          <w:spacing w:val="-8"/>
          <w:sz w:val="24"/>
          <w:szCs w:val="24"/>
          <w:lang w:eastAsia="zh-CN"/>
          <w14:textOutline w14:w="4356" w14:cap="flat" w14:cmpd="sng" w14:algn="ctr">
            <w14:solidFill>
              <w14:srgbClr w14:val="000000"/>
            </w14:solidFill>
            <w14:prstDash w14:val="solid"/>
            <w14:miter/>
          </w14:textOutline>
        </w:rPr>
        <w:t xml:space="preserve">一、总则</w:t>
      </w:r>
      <w:bookmarkEnd w:id="13"/>
      <w:r/>
      <w:r/>
    </w:p>
    <w:p>
      <w:pPr>
        <w:pStyle w:val="764"/>
        <w:ind w:left="488"/>
        <w:spacing w:before="184" w:line="360" w:lineRule="auto"/>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1.适用范围</w:t>
      </w:r>
      <w:r/>
    </w:p>
    <w:p>
      <w:pPr>
        <w:pStyle w:val="764"/>
        <w:ind w:firstLine="472"/>
        <w:keepLines w:val="0"/>
        <w:keepNext w:val="0"/>
        <w:pageBreakBefore w:val="0"/>
        <w:spacing w:line="360" w:lineRule="auto"/>
        <w:widowControl/>
        <w:rPr>
          <w:spacing w:val="-2"/>
          <w:position w:val="17"/>
          <w:sz w:val="24"/>
          <w:szCs w:val="24"/>
          <w:lang w:eastAsia="zh-CN"/>
        </w:rPr>
      </w:pPr>
      <w:r>
        <w:rPr>
          <w:spacing w:val="-2"/>
          <w:position w:val="17"/>
          <w:sz w:val="24"/>
          <w:szCs w:val="24"/>
          <w:lang w:eastAsia="zh-CN"/>
        </w:rPr>
        <w:t xml:space="preserve">1.1</w:t>
      </w:r>
      <w:r>
        <w:rPr>
          <w:spacing w:val="-35"/>
          <w:position w:val="17"/>
          <w:sz w:val="24"/>
          <w:szCs w:val="24"/>
          <w:lang w:eastAsia="zh-CN"/>
        </w:rPr>
        <w:t xml:space="preserve"> </w:t>
      </w:r>
      <w:r>
        <w:rPr>
          <w:spacing w:val="-2"/>
          <w:position w:val="17"/>
          <w:sz w:val="24"/>
          <w:szCs w:val="24"/>
          <w:lang w:eastAsia="zh-CN"/>
        </w:rPr>
        <w:t xml:space="preserve">本协商文件仅适用于</w:t>
      </w:r>
      <w:r>
        <w:rPr>
          <w:rFonts w:hint="eastAsia"/>
          <w:b/>
          <w:bCs/>
          <w:spacing w:val="-2"/>
          <w:position w:val="17"/>
          <w:sz w:val="24"/>
          <w:szCs w:val="24"/>
          <w:lang w:eastAsia="zh-CN"/>
        </w:rPr>
        <w:t xml:space="preserve">镇江市第一人民医院医废处置项目</w:t>
      </w:r>
      <w:r>
        <w:rPr>
          <w:rFonts w:hint="eastAsia"/>
          <w:spacing w:val="-2"/>
          <w:position w:val="17"/>
          <w:sz w:val="24"/>
          <w:szCs w:val="24"/>
          <w:lang w:eastAsia="zh-CN"/>
        </w:rPr>
        <w:t xml:space="preserve">。</w:t>
      </w:r>
      <w:r/>
    </w:p>
    <w:p>
      <w:pPr>
        <w:pStyle w:val="764"/>
        <w:ind w:left="1" w:firstLine="472"/>
        <w:keepLines w:val="0"/>
        <w:keepNext w:val="0"/>
        <w:pageBreakBefore w:val="0"/>
        <w:spacing w:line="360" w:lineRule="auto"/>
        <w:widowControl/>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2.定义</w:t>
      </w:r>
      <w:r/>
    </w:p>
    <w:p>
      <w:pPr>
        <w:ind w:firstLine="504"/>
        <w:keepLines w:val="0"/>
        <w:keepNext w:val="0"/>
        <w:pageBreakBefore w:val="0"/>
        <w:spacing w:line="360" w:lineRule="auto"/>
        <w:widowControl/>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2.1“采购组织方”系指组织本次采购项目采购代理机构</w:t>
      </w:r>
      <w:r>
        <w:rPr>
          <w:rFonts w:hint="eastAsia" w:ascii="宋体" w:hAnsi="宋体" w:eastAsia="宋体" w:cs="宋体"/>
          <w:b/>
          <w:bCs/>
          <w:spacing w:val="6"/>
          <w:sz w:val="24"/>
          <w:szCs w:val="24"/>
          <w:u w:val="single"/>
          <w:lang w:eastAsia="zh-CN"/>
        </w:rPr>
        <w:t xml:space="preserve">江苏巍信项目管理有限公司</w:t>
      </w:r>
      <w:r>
        <w:rPr>
          <w:rFonts w:ascii="宋体" w:hAnsi="宋体" w:eastAsia="宋体" w:cs="宋体"/>
          <w:b/>
          <w:bCs/>
          <w:spacing w:val="6"/>
          <w:sz w:val="24"/>
          <w:szCs w:val="24"/>
          <w:u w:val="single"/>
          <w:lang w:eastAsia="zh-CN"/>
        </w:rPr>
        <w:t xml:space="preserve">。</w:t>
      </w:r>
      <w:r/>
    </w:p>
    <w:p>
      <w:pPr>
        <w:ind w:firstLine="504"/>
        <w:keepLines w:val="0"/>
        <w:keepNext w:val="0"/>
        <w:pageBreakBefore w:val="0"/>
        <w:spacing w:line="360" w:lineRule="auto"/>
        <w:widowControl/>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2.2“供应商”系指参加协商的法人、其他组织或者自然人。</w:t>
      </w:r>
      <w:r/>
    </w:p>
    <w:p>
      <w:pPr>
        <w:pStyle w:val="764"/>
        <w:ind w:firstLine="472"/>
        <w:keepLines w:val="0"/>
        <w:keepNext w:val="0"/>
        <w:pageBreakBefore w:val="0"/>
        <w:spacing w:line="360" w:lineRule="auto"/>
        <w:widowControl/>
        <w:rPr>
          <w:b/>
          <w:bCs/>
          <w:spacing w:val="-2"/>
          <w:position w:val="17"/>
          <w:sz w:val="24"/>
          <w:szCs w:val="24"/>
          <w:lang w:eastAsia="zh-CN"/>
        </w:rPr>
      </w:pPr>
      <w:r>
        <w:rPr>
          <w:spacing w:val="-2"/>
          <w:position w:val="17"/>
          <w:sz w:val="24"/>
          <w:szCs w:val="24"/>
          <w:lang w:eastAsia="zh-CN"/>
        </w:rPr>
        <w:t xml:space="preserve">2.3“采购人”系指依法进行政府采购的国家机关、事业单位、团体组织，即</w:t>
      </w:r>
      <w:r>
        <w:rPr>
          <w:rFonts w:hint="eastAsia"/>
          <w:b/>
          <w:bCs/>
          <w:spacing w:val="-2"/>
          <w:position w:val="17"/>
          <w:sz w:val="24"/>
          <w:szCs w:val="24"/>
          <w:u w:val="single"/>
          <w:lang w:eastAsia="zh-CN"/>
        </w:rPr>
        <w:t xml:space="preserve">镇江市第一人民医院</w:t>
      </w:r>
      <w:r>
        <w:rPr>
          <w:rFonts w:hint="eastAsia"/>
          <w:b/>
          <w:bCs/>
          <w:spacing w:val="-2"/>
          <w:position w:val="17"/>
          <w:sz w:val="24"/>
          <w:szCs w:val="24"/>
          <w:lang w:eastAsia="zh-CN"/>
        </w:rPr>
        <w:t xml:space="preserve">。</w:t>
      </w:r>
      <w:r/>
    </w:p>
    <w:p>
      <w:pPr>
        <w:pStyle w:val="764"/>
        <w:ind w:firstLine="464"/>
        <w:keepLines w:val="0"/>
        <w:keepNext w:val="0"/>
        <w:pageBreakBefore w:val="0"/>
        <w:spacing w:line="360" w:lineRule="auto"/>
        <w:widowControl/>
        <w:rPr>
          <w:rFonts w:ascii="宋体" w:hAnsi="宋体" w:eastAsia="宋体" w:cs="宋体"/>
          <w:color w:val="000000"/>
          <w:spacing w:val="-4"/>
          <w:sz w:val="24"/>
          <w:szCs w:val="24"/>
          <w:lang w:val="en-US" w:eastAsia="zh-CN" w:bidi="ar-SA"/>
        </w:rPr>
      </w:pPr>
      <w:r>
        <w:rPr>
          <w:rFonts w:ascii="宋体" w:hAnsi="宋体" w:eastAsia="宋体" w:cs="宋体"/>
          <w:spacing w:val="6"/>
          <w:sz w:val="24"/>
          <w:szCs w:val="24"/>
          <w:lang w:eastAsia="zh-CN"/>
        </w:rPr>
        <w:t xml:space="preserve">2.4</w:t>
      </w:r>
      <w:r>
        <w:rPr>
          <w:rFonts w:hint="eastAsia" w:ascii="宋体" w:hAnsi="宋体" w:cs="宋体"/>
          <w:sz w:val="24"/>
          <w:highlight w:val="white"/>
        </w:rPr>
        <w:t xml:space="preserve">“服务”系指本招标文件所述采购标的，即</w:t>
      </w:r>
      <w:r>
        <w:rPr>
          <w:rFonts w:hint="eastAsia" w:ascii="宋体" w:hAnsi="宋体" w:cs="宋体"/>
          <w:sz w:val="24"/>
          <w:highlight w:val="white"/>
          <w:lang w:eastAsia="zh-CN"/>
        </w:rPr>
        <w:t xml:space="preserve">镇江市第一人民医院医废处置项目</w:t>
      </w:r>
      <w:r>
        <w:rPr>
          <w:rFonts w:ascii="宋体" w:hAnsi="宋体" w:eastAsia="宋体" w:cs="宋体"/>
          <w:color w:val="000000"/>
          <w:spacing w:val="-4"/>
          <w:sz w:val="24"/>
          <w:szCs w:val="24"/>
          <w:lang w:val="en-US" w:eastAsia="zh-CN" w:bidi="ar-SA"/>
        </w:rPr>
        <w:t xml:space="preserve">。</w:t>
      </w:r>
      <w:r/>
    </w:p>
    <w:p>
      <w:pPr>
        <w:pStyle w:val="764"/>
        <w:ind w:left="488"/>
        <w:spacing w:before="184"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3.政策功能</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.1支持中小企业发展</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.1.2在政府采购活动中，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提供的货物、工程或者服务符合下列情形的，享受中小企业扶持政策：</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.1.2.1在货物采购项目中，货物由中小企业制造，即货物由中小企业生产且使用该中小企业商号或者注册商标；</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.1.2.2在工程采购项目中，工程由中小企业承建，即工程施工单位为中小企业；</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在货物采购项目中，</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提供的货物既有中小企业制造货物，也有大型企业制造货物的，不享受中小企业扶持政策。</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.1.3根据《政府采购</w:t>
      </w:r>
      <w:r>
        <w:rPr>
          <w:rFonts w:hint="eastAsia" w:ascii="宋体" w:hAnsi="宋体"/>
          <w:bCs/>
          <w:color w:val="000000"/>
          <w:sz w:val="24"/>
          <w:highlight w:val="whit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应按照招标文件格式要求提供《中小企业声明函》，</w:t>
      </w:r>
      <w:r>
        <w:rPr>
          <w:rFonts w:hint="eastAsia" w:ascii="宋体" w:hAnsi="宋体"/>
          <w:bCs/>
          <w:color w:val="000000"/>
          <w:sz w:val="24"/>
          <w:highlight w:val="white"/>
          <w:lang w:eastAsia="zh-CN"/>
        </w:rPr>
        <w:t xml:space="preserve">供应商</w:t>
      </w:r>
      <w:r>
        <w:rPr>
          <w:rFonts w:hint="eastAsia" w:ascii="宋体" w:hAnsi="宋体"/>
          <w:bCs/>
          <w:color w:val="000000"/>
          <w:sz w:val="24"/>
          <w:highlight w:val="whit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000000"/>
          <w:sz w:val="24"/>
          <w:highlight w:val="white"/>
          <w:lang w:eastAsia="zh-CN"/>
        </w:rPr>
        <w:t xml:space="preserve">〔2011〕300号</w:t>
      </w:r>
      <w:r>
        <w:rPr>
          <w:rFonts w:hint="eastAsia" w:ascii="宋体" w:hAnsi="宋体"/>
          <w:bCs/>
          <w:color w:val="000000"/>
          <w:sz w:val="24"/>
          <w:highlight w:val="white"/>
        </w:rPr>
        <w:t xml:space="preserve">）。</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.2强制采购信息安全产品</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.3支持绿色发展</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.3.3纳入政府采购管理的装修、修缮等项目，鼓励参考财政部办公厅 </w:t>
      </w:r>
      <w:r>
        <w:rPr>
          <w:rFonts w:hint="eastAsia" w:ascii="宋体" w:hAnsi="宋体"/>
          <w:bCs/>
          <w:color w:val="000000"/>
          <w:sz w:val="24"/>
          <w:highlight w:val="white"/>
          <w:lang w:eastAsia="zh-CN"/>
        </w:rPr>
        <w:t xml:space="preserve">住房和城乡建设部</w:t>
      </w:r>
      <w:r>
        <w:rPr>
          <w:rFonts w:hint="eastAsia" w:ascii="宋体" w:hAnsi="宋体"/>
          <w:bCs/>
          <w:color w:val="000000"/>
          <w:sz w:val="24"/>
          <w:highlight w:val="white"/>
        </w:rPr>
        <w:t xml:space="preserve">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.3.4采购人采购数据中心相关设备、运维服务，按照《绿色数据中心政府采购需求标准（试行）》实施相关采购活动。</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.4 根据国家扶持中小企业的有关政策，采购项目中标人在履约过程中如遇到资金困难，凭政府采购合同在相关金融机构办理授信申请，相关事宜请查阅“镇江市公共资源交易平台”网站。</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.5支持创新发展</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.5.1采购人优先采购被认定为重点推广应用、首台（套）重大装备、重点领域首版次软件的自主创新产品。</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.6平等对待内外资企业和符合条件的破产重整企业</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.6.1平等对待内外资企业和符合条件的破产重整企业，切实保障企业公平竞争，平等维护企业的合法利益。</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.7实施本国产品标准及相关政策</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.7.1认定标准</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本国产品应当符合以下条件：</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（一）在中国境内生产</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产品应当在中国境内生产，即在中华人民共和国关境内实现从原材料、组件到产品的属性改变。</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1.为确保产品在运输或者储存期间保持某种状态而进行的操作；</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2.为产品运输或者销售进行的包装或者展示；</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3.在产品或者其包装上粘贴或者印刷品牌、标志、标识以及其他用于区别的标记；</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4.简单的上漆、磨光和分装；</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5.其他不属于属性改变的情形。</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（二）在中国境内生产的组件成本占比达到规定比例</w:t>
      </w:r>
      <w:r/>
    </w:p>
    <w:p>
      <w:pPr>
        <w:ind w:firstLine="480"/>
        <w:spacing w:line="360" w:lineRule="auto"/>
        <w:rPr>
          <w:rFonts w:hint="eastAsia" w:ascii="宋体" w:hAnsi="宋体"/>
          <w:bCs/>
          <w:color w:val="000000"/>
          <w:sz w:val="24"/>
          <w:highlight w:val="white"/>
          <w:lang w:eastAsia="zh-CN"/>
        </w:rPr>
      </w:pPr>
      <w:r>
        <w:rPr>
          <w:rFonts w:hint="eastAsia" w:ascii="宋体" w:hAnsi="宋体"/>
          <w:bCs/>
          <w:color w:val="000000"/>
          <w:sz w:val="24"/>
          <w:highlight w:val="white"/>
        </w:rPr>
        <w:t xml:space="preserve">产品在中国境内生产的组件成本占比应当达到规定比例，计算公式为：</w:t>
      </w:r>
      <w:r/>
    </w:p>
    <w:p>
      <w:pPr>
        <w:ind w:firstLine="480"/>
        <w:spacing w:line="360" w:lineRule="auto"/>
        <w:rPr>
          <w:rFonts w:hint="eastAsia" w:hAnsi="Cambria Math"/>
          <w:bCs/>
          <w:i w:val="0"/>
          <w:color w:val="000000"/>
          <w:sz w:val="24"/>
          <w:highlight w:val="white"/>
          <w:lang w:val="en-US" w:eastAsia="zh-CN"/>
        </w:rPr>
      </w:pPr>
      <w:r/>
      <m:oMathPara>
        <m:oMathParaPr/>
        <m:oMath>
          <m:f>
            <m:fPr>
              <m:ctrlPr>
                <w:rPr>
                  <w:rFonts w:ascii="Cambria Math" w:hAnsi="Cambria Math"/>
                  <w:i/>
                  <w:color w:val="0000ff"/>
                  <w:sz w:val="24"/>
                  <w:highlight w:val="black"/>
                </w:rPr>
              </m:ctrlPr>
            </m:fPr>
            <m:num>
              <m:r>
                <w:rPr>
                  <w:rFonts w:hint="eastAsia" w:ascii="Cambria Math" w:hAnsi="Cambria Math"/>
                  <w:color w:val="0000ff"/>
                  <w:sz w:val="24"/>
                  <w:highlight w:val="black"/>
                  <w:lang w:val="en-US" w:eastAsia="zh-CN"/>
                </w:rPr>
                <m:rPr/>
                <m:t>产品在中国境内生产的组件成本</m:t>
              </m:r>
            </m:num>
            <m:den>
              <m:r>
                <w:rPr>
                  <w:rFonts w:hint="eastAsia" w:ascii="Cambria Math" w:hAnsi="Cambria Math"/>
                  <w:color w:val="0000ff"/>
                  <w:sz w:val="24"/>
                  <w:highlight w:val="black"/>
                  <w:lang w:val="en-US" w:eastAsia="zh-CN"/>
                </w:rPr>
                <m:rPr>
                  <m:sty m:val="p"/>
                </m:rPr>
                <m:t>产品总成本</m:t>
              </m:r>
            </m:den>
          </m:f>
          <m:r>
            <w:rPr>
              <w:rFonts w:hint="eastAsia" w:ascii="Cambria Math" w:hAnsi="Cambria Math"/>
              <w:color w:val="0000ff"/>
              <w:sz w:val="24"/>
              <w:highlight w:val="black"/>
              <w:lang w:val="en-US" w:eastAsia="zh-CN"/>
            </w:rPr>
            <m:rPr/>
            <m:t>≥规定比例</m:t>
          </m:r>
        </m:oMath>
      </m:oMathPara>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（三）特定产品的关键组件、关键工序符合相关要求</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.7.2适用范围</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.7.3对本国产品的支持政策</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bCs/>
          <w:color w:val="000000"/>
          <w:sz w:val="24"/>
          <w:highlight w:val="white"/>
        </w:rPr>
      </w:pPr>
      <w:r>
        <w:rPr>
          <w:rFonts w:hint="eastAsia" w:ascii="宋体" w:hAnsi="宋体" w:eastAsia="宋体"/>
          <w:bCs/>
          <w:color w:val="000000"/>
          <w:sz w:val="24"/>
          <w:highlight w:val="white"/>
          <w:lang w:val="en-US" w:eastAsia="zh-CN"/>
        </w:rPr>
        <w:t xml:space="preserve">3</w:t>
      </w:r>
      <w:r>
        <w:rPr>
          <w:rFonts w:hint="eastAsia" w:ascii="宋体" w:hAnsi="宋体"/>
          <w:bCs/>
          <w:color w:val="000000"/>
          <w:sz w:val="24"/>
          <w:highlight w:val="white"/>
        </w:rPr>
        <w:t xml:space="preserve">.7.4书面澄清、说明或者补正</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bCs/>
          <w:color w:val="000000"/>
          <w:sz w:val="24"/>
          <w:highlight w:val="whit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64"/>
        <w:ind w:left="482"/>
        <w:spacing w:before="184"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4.协商费用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代理</w:t>
      </w:r>
      <w:r>
        <w:rPr>
          <w:rFonts w:hint="eastAsia" w:ascii="宋体" w:hAnsi="宋体" w:eastAsia="宋体" w:cs="宋体"/>
          <w:color w:val="auto"/>
          <w:sz w:val="24"/>
        </w:rPr>
        <w:t xml:space="preserve">服务费</w:t>
      </w:r>
      <w:r>
        <w:rPr>
          <w:rFonts w:hint="eastAsia" w:ascii="宋体" w:hAnsi="宋体" w:eastAsia="宋体" w:cs="宋体"/>
          <w:color w:val="auto"/>
          <w:sz w:val="24"/>
          <w:lang w:val="en-US" w:eastAsia="zh-CN"/>
        </w:rPr>
        <w:t xml:space="preserve">由采购人支付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收费标准：</w:t>
      </w:r>
      <w:r>
        <w:rPr>
          <w:rFonts w:hint="eastAsia" w:ascii="宋体" w:hAnsi="宋体" w:eastAsia="宋体" w:cs="Times New Roman"/>
          <w:sz w:val="24"/>
          <w:highlight w:val="white"/>
          <w:lang w:val="en-US" w:eastAsia="zh-CN"/>
        </w:rPr>
        <w:t xml:space="preserve">按照苏政采协[2024]20号关于印发《江苏省政府采购代理服务收费指导意见》的通知”优惠60%收取</w:t>
      </w:r>
      <w:r>
        <w:rPr>
          <w:rFonts w:hint="eastAsia" w:ascii="宋体" w:hAnsi="宋体" w:eastAsia="宋体" w:cs="宋体"/>
          <w:color w:val="auto"/>
          <w:sz w:val="24"/>
        </w:rPr>
        <w:t xml:space="preserve">。</w:t>
      </w:r>
      <w:r/>
    </w:p>
    <w:p>
      <w:pPr>
        <w:ind w:firstLine="480"/>
        <w:spacing w:line="360" w:lineRule="auto"/>
        <w:rPr>
          <w:rFonts w:hint="eastAsia" w:ascii="宋体" w:hAnsi="宋体" w:cs="宋体"/>
          <w:color w:val="auto"/>
          <w:sz w:val="24"/>
          <w:lang w:val="en-US" w:eastAsia="zh-CN"/>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专家评审费由采购人支付</w:t>
      </w:r>
      <w:r>
        <w:rPr>
          <w:rFonts w:hint="eastAsia" w:ascii="宋体" w:hAnsi="宋体" w:cs="宋体"/>
          <w:color w:val="auto"/>
          <w:sz w:val="24"/>
          <w:lang w:val="en-US" w:eastAsia="zh-CN"/>
        </w:rPr>
        <w:t xml:space="preserve">。</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代理费用收款信息：</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收款单位： 江苏巍信项目管理有限公司 </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收款账号： 10312501040016032</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开户银行： 中国农业银行股份有限公司镇江常发支行</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4.2 不论协商的结果如何，采购组织方在任何情况下均无义务和责任承担上述费用。</w:t>
      </w:r>
      <w:r/>
    </w:p>
    <w:p>
      <w:pPr>
        <w:pStyle w:val="764"/>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4" w:name="_Toc146139438"/>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二、协商文件</w:t>
      </w:r>
      <w:bookmarkEnd w:id="14"/>
      <w:r/>
      <w:r/>
    </w:p>
    <w:p>
      <w:pPr>
        <w:pStyle w:val="764"/>
        <w:ind w:left="548"/>
        <w:spacing w:before="179"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5.协商文件组成</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5.1 协商文件包括： </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（1）协商邀请函</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（2）</w:t>
      </w:r>
      <w:r>
        <w:rPr>
          <w:rFonts w:ascii="宋体" w:hAnsi="宋体" w:eastAsia="宋体" w:cs="宋体"/>
          <w:spacing w:val="-4"/>
          <w:sz w:val="24"/>
          <w:szCs w:val="24"/>
          <w:lang w:eastAsia="zh-CN"/>
        </w:rPr>
        <w:t xml:space="preserve">供应商须知</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（3）</w:t>
      </w:r>
      <w:r>
        <w:rPr>
          <w:rFonts w:ascii="宋体" w:hAnsi="宋体" w:eastAsia="宋体" w:cs="宋体"/>
          <w:spacing w:val="-4"/>
          <w:sz w:val="24"/>
          <w:szCs w:val="24"/>
          <w:lang w:eastAsia="zh-CN"/>
        </w:rPr>
        <w:t xml:space="preserve">采购需求</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（4）合同条款</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（5）响应文件格式</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5.2 供应商获取本文件后，应认真阅读本文件中所有的事项、格式条款和规范等要求。</w:t>
      </w:r>
      <w:r/>
    </w:p>
    <w:p>
      <w:pPr>
        <w:pStyle w:val="764"/>
        <w:ind w:left="545"/>
        <w:spacing w:before="183"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6.协商文件的澄清和修改</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6.1 供应商如要求对协商文件进行澄清，应及时联系项目联系人。</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6.2 在响应文件接收截止时间前，采购组织方均可以对协商文件进行修改。</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6.3 采购代理机构有权按照政府采购的有关要求推迟响应文件接收截止时间和协商开始时间。</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6.4 协商文件的补充文件将作为协商文件的组成部分，并对供应商具有约束力。</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6.5 如澄清或修改公告有重新发布协商文件的，供应商应下载最新发布的协商文件制作响应文件。 因供应商自身原因未能及时获取的，一切后果由供应商自行承担。</w:t>
      </w:r>
      <w:r/>
    </w:p>
    <w:p>
      <w:pPr>
        <w:pStyle w:val="764"/>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5" w:name="_Toc146139439"/>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三、响应文件的编制</w:t>
      </w:r>
      <w:bookmarkEnd w:id="15"/>
      <w:r/>
      <w:r/>
    </w:p>
    <w:p>
      <w:pPr>
        <w:pStyle w:val="764"/>
        <w:ind w:left="489"/>
        <w:spacing w:before="180"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7.编制响应文件的工具</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7.1 供应商须通过</w:t>
      </w:r>
      <w:r>
        <w:rPr>
          <w:rFonts w:hint="eastAsia" w:ascii="宋体" w:hAnsi="宋体" w:eastAsia="宋体" w:cs="宋体"/>
          <w:spacing w:val="-4"/>
          <w:sz w:val="24"/>
          <w:szCs w:val="24"/>
          <w:lang w:eastAsia="zh-CN"/>
        </w:rPr>
        <w:t xml:space="preserve">江苏省政府采购网</w:t>
      </w:r>
      <w:r>
        <w:rPr>
          <w:rFonts w:ascii="宋体" w:hAnsi="宋体" w:eastAsia="宋体" w:cs="宋体"/>
          <w:spacing w:val="-4"/>
          <w:sz w:val="24"/>
          <w:szCs w:val="24"/>
          <w:lang w:eastAsia="zh-CN"/>
        </w:rPr>
        <w:t xml:space="preserve">提供的最新电子响应文件制作软件编制响应文件。</w:t>
      </w:r>
      <w:r/>
    </w:p>
    <w:p>
      <w:pPr>
        <w:pStyle w:val="764"/>
        <w:ind w:left="484"/>
        <w:spacing w:before="180" w:line="360" w:lineRule="auto"/>
        <w:rPr>
          <w:sz w:val="24"/>
          <w:szCs w:val="24"/>
          <w:lang w:eastAsia="zh-CN"/>
          <w14:textOutline w14:w="4356" w14:cap="flat" w14:cmpd="sng" w14:algn="ctr">
            <w14:solidFill>
              <w14:srgbClr w14:val="000000"/>
            </w14:solidFill>
            <w14:prstDash w14:val="solid"/>
            <w14:miter/>
          </w14:textOutline>
        </w:rPr>
      </w:pPr>
      <w:r>
        <w:rPr>
          <w:sz w:val="24"/>
          <w:szCs w:val="24"/>
          <w:lang w:eastAsia="zh-CN"/>
          <w14:textOutline w14:w="4356" w14:cap="flat" w14:cmpd="sng" w14:algn="ctr">
            <w14:solidFill>
              <w14:srgbClr w14:val="000000"/>
            </w14:solidFill>
            <w14:prstDash w14:val="solid"/>
            <w14:miter/>
          </w14:textOutline>
        </w:rPr>
        <w:t xml:space="preserve">8.响应文件的语言及度量衡单位</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8.1 供应商提交的响应文件，以及供应商就有关本次采购的所有来往通知、函件和文件均应使用简体中文。</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8.2 响应文件中所使用的计量单位除协商文件中另有特殊规定外，一律使用法定计量单位。</w:t>
      </w:r>
      <w:r/>
    </w:p>
    <w:p>
      <w:pPr>
        <w:pStyle w:val="764"/>
        <w:ind w:left="484"/>
        <w:spacing w:before="182"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9.响应文件的构成</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9.1 供应商编写的响应文件应按协商文件第五部分“响应文件格式”中的要求进行编写。</w:t>
      </w:r>
      <w:r/>
    </w:p>
    <w:p>
      <w:pPr>
        <w:pStyle w:val="764"/>
        <w:ind w:left="501"/>
        <w:spacing w:before="183"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10.响应文件的编制</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10.1 供应商应仔细阅读协商文件， 按照协商文件的要求编制响应文件。响应文件应当对协商文件提出的要求和条件作出明确响应。</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10.2 供应商在编制响应文件时， 各模块内容须填写或提交到对应位置， 无相应内容可填的项应填写“无”、“没有相应指标”等明确的回答文字。</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10.3 供应商应保证响应文件所提供的全部资料真实可靠。</w:t>
      </w:r>
      <w:r/>
    </w:p>
    <w:p>
      <w:pPr>
        <w:pStyle w:val="764"/>
        <w:ind w:right="22" w:firstLine="472"/>
        <w:jc w:val="both"/>
        <w:spacing w:before="180"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11.协商报价的要求</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11.1 供应商的报价应包含项目实施所涉及的一切费用。</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11.2 供应商应按协商文件所提供的报价表格式报价。</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11.3 协商报价应以人民币为货币单位。</w:t>
      </w:r>
      <w:r/>
    </w:p>
    <w:p>
      <w:pPr>
        <w:pStyle w:val="764"/>
        <w:ind w:left="501"/>
        <w:spacing w:before="185" w:line="360" w:lineRule="auto"/>
        <w:rPr>
          <w:sz w:val="24"/>
          <w:szCs w:val="24"/>
          <w:lang w:eastAsia="zh-CN"/>
        </w:rPr>
      </w:pPr>
      <w:r>
        <w:rPr>
          <w:spacing w:val="-3"/>
          <w:sz w:val="24"/>
          <w:szCs w:val="24"/>
          <w:lang w:eastAsia="zh-CN"/>
          <w14:textOutline w14:w="4356" w14:cap="flat" w14:cmpd="sng" w14:algn="ctr">
            <w14:solidFill>
              <w14:srgbClr w14:val="000000"/>
            </w14:solidFill>
            <w14:prstDash w14:val="solid"/>
            <w14:miter/>
          </w14:textOutline>
        </w:rPr>
        <w:t xml:space="preserve">12.协商有效期</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12.1 协商有效期为协商文件规定的响应文件接收截止之日后 </w:t>
      </w:r>
      <w:r>
        <w:rPr>
          <w:rFonts w:hint="eastAsia" w:cs="宋体"/>
          <w:spacing w:val="-4"/>
          <w:sz w:val="24"/>
          <w:szCs w:val="24"/>
          <w:lang w:val="en-US" w:eastAsia="zh-CN"/>
        </w:rPr>
        <w:t xml:space="preserve">90</w:t>
      </w:r>
      <w:r>
        <w:rPr>
          <w:rFonts w:ascii="宋体" w:hAnsi="宋体" w:eastAsia="宋体" w:cs="宋体"/>
          <w:spacing w:val="-4"/>
          <w:sz w:val="24"/>
          <w:szCs w:val="24"/>
          <w:lang w:eastAsia="zh-CN"/>
        </w:rPr>
        <w:t xml:space="preserve">个日历日。供应商参加协商，即视为接受协商有效期的约定。</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12.2 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w:t>
      </w:r>
      <w:r/>
    </w:p>
    <w:p>
      <w:pPr>
        <w:pStyle w:val="764"/>
        <w:ind w:left="501"/>
        <w:spacing w:before="183"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13.响应文件的式样和签署</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13.1 供应商应通过响应文件制作客户端使用数字证书对响应文件进行合成、电子签章及加密打包。 响应文件制作客户端可在</w:t>
      </w:r>
      <w:r>
        <w:rPr>
          <w:rFonts w:hint="eastAsia" w:ascii="宋体" w:hAnsi="宋体" w:eastAsia="宋体" w:cs="宋体"/>
          <w:spacing w:val="-4"/>
          <w:sz w:val="24"/>
          <w:szCs w:val="24"/>
          <w:lang w:eastAsia="zh-CN"/>
        </w:rPr>
        <w:t xml:space="preserve">江苏省政府采购网</w:t>
      </w:r>
      <w:r>
        <w:rPr>
          <w:rFonts w:ascii="宋体" w:hAnsi="宋体" w:eastAsia="宋体" w:cs="宋体"/>
          <w:spacing w:val="-4"/>
          <w:sz w:val="24"/>
          <w:szCs w:val="24"/>
          <w:lang w:eastAsia="zh-CN"/>
        </w:rPr>
        <w:t xml:space="preserve">下载。请供应商及时关注版本更新情况。</w:t>
      </w:r>
      <w:r/>
    </w:p>
    <w:p>
      <w:pPr>
        <w:pStyle w:val="764"/>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6" w:name="_Toc146139440"/>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四、响应文件的提交</w:t>
      </w:r>
      <w:bookmarkEnd w:id="16"/>
      <w:r/>
      <w:r/>
    </w:p>
    <w:p>
      <w:pPr>
        <w:pStyle w:val="764"/>
        <w:ind w:left="501"/>
        <w:spacing w:before="180" w:line="360" w:lineRule="auto"/>
        <w:rPr>
          <w:spacing w:val="-1"/>
          <w:sz w:val="24"/>
          <w:szCs w:val="24"/>
          <w:lang w:eastAsia="zh-CN"/>
          <w14:textOutline w14:w="4356" w14:cap="flat" w14:cmpd="sng" w14:algn="ctr">
            <w14:solidFill>
              <w14:srgbClr w14:val="000000"/>
            </w14:solidFill>
            <w14:prstDash w14:val="solid"/>
            <w14:miter/>
          </w14:textOutline>
        </w:rPr>
      </w:pPr>
      <w:r>
        <w:rPr>
          <w:spacing w:val="-1"/>
          <w:sz w:val="24"/>
          <w:szCs w:val="24"/>
          <w:lang w:eastAsia="zh-CN"/>
          <w14:textOutline w14:w="4356" w14:cap="flat" w14:cmpd="sng" w14:algn="ctr">
            <w14:solidFill>
              <w14:srgbClr w14:val="000000"/>
            </w14:solidFill>
            <w14:prstDash w14:val="solid"/>
            <w14:miter/>
          </w14:textOutline>
        </w:rPr>
        <w:t xml:space="preserve">14.</w:t>
      </w:r>
      <w:r>
        <w:rPr>
          <w:spacing w:val="-1"/>
          <w:sz w:val="24"/>
          <w:szCs w:val="24"/>
          <w:lang w:eastAsia="zh-CN"/>
        </w:rPr>
        <w:t xml:space="preserve"> </w:t>
      </w:r>
      <w:r>
        <w:rPr>
          <w:spacing w:val="-1"/>
          <w:sz w:val="24"/>
          <w:szCs w:val="24"/>
          <w:lang w:eastAsia="zh-CN"/>
          <w14:textOutline w14:w="4356" w14:cap="flat" w14:cmpd="sng" w14:algn="ctr">
            <w14:solidFill>
              <w14:srgbClr w14:val="000000"/>
            </w14:solidFill>
            <w14:prstDash w14:val="solid"/>
            <w14:miter/>
          </w14:textOutline>
        </w:rPr>
        <w:t xml:space="preserve">响应文件的提交和截止时间</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14.1 供应商应在协商文件规定的电子响应文件接收截止时间前，通过电子响应文件编制软件或 登录电子交易平台在规定时间内完成提交，提交成功后系统将发送回执。时间以电子交易平台时间为准。</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14.2 截止时间以后提交的响应文件，电子交易平台将拒绝接收。供应商应充分考虑网络环境、网络带宽等风险因素。</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14.3 供应商应携带制作该响应文件的同一数字认证证书参加协商</w:t>
      </w:r>
      <w:r>
        <w:rPr>
          <w:rFonts w:hint="eastAsia" w:ascii="宋体" w:hAnsi="宋体" w:eastAsia="宋体" w:cs="宋体"/>
          <w:spacing w:val="-4"/>
          <w:sz w:val="24"/>
          <w:szCs w:val="24"/>
          <w:lang w:eastAsia="zh-CN"/>
        </w:rPr>
        <w:t xml:space="preserve">。</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14.4 提交完成后至解密前，供应商不能对响应文件进行加密时所使用的数字认证证书进行更新、续费，否则可能引起的响应文件解密失败等相关后果由供应商自行承担。</w:t>
      </w:r>
      <w:r/>
    </w:p>
    <w:p>
      <w:pPr>
        <w:pStyle w:val="764"/>
        <w:ind w:firstLine="472"/>
        <w:spacing w:before="180" w:line="360" w:lineRule="auto"/>
        <w:rPr>
          <w:spacing w:val="-2"/>
          <w:sz w:val="24"/>
          <w:szCs w:val="24"/>
          <w:lang w:eastAsia="zh-CN"/>
          <w14:textOutline w14:w="4356" w14:cap="flat" w14:cmpd="sng" w14:algn="ctr">
            <w14:solidFill>
              <w14:srgbClr w14:val="000000"/>
            </w14:solidFill>
            <w14:prstDash w14:val="solid"/>
            <w14:miter/>
          </w14:textOutline>
        </w:rPr>
      </w:pPr>
      <w:r>
        <w:rPr>
          <w:spacing w:val="-2"/>
          <w:sz w:val="24"/>
          <w:szCs w:val="24"/>
          <w:lang w:eastAsia="zh-CN"/>
          <w14:textOutline w14:w="4356" w14:cap="flat" w14:cmpd="sng" w14:algn="ctr">
            <w14:solidFill>
              <w14:srgbClr w14:val="000000"/>
            </w14:solidFill>
            <w14:prstDash w14:val="solid"/>
            <w14:miter/>
          </w14:textOutline>
        </w:rPr>
        <w:t xml:space="preserve">15.响应文件的修改和撤回</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15.1 供应商在响应文件接收截止时间前，可以对所提交的响应文件进行修改或撤回</w:t>
      </w:r>
      <w:r>
        <w:rPr>
          <w:rFonts w:hint="eastAsia" w:ascii="宋体" w:hAnsi="宋体" w:eastAsia="宋体" w:cs="宋体"/>
          <w:spacing w:val="-4"/>
          <w:sz w:val="24"/>
          <w:szCs w:val="24"/>
          <w:lang w:eastAsia="zh-CN"/>
        </w:rPr>
        <w:t xml:space="preserve">。</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15.2 供应商在响应文件接收截止时间前需要对响应文件进行修改的，应当使用响应文件制作工具重新制作并提交。</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15.3 在响应文件接收截止时间至协商文件中规定的协商有效期满之间的这段时间内，供应商不得撤回响应文件，否则将被视为失信行为。</w:t>
      </w:r>
      <w:r/>
    </w:p>
    <w:p>
      <w:pPr>
        <w:pStyle w:val="764"/>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7" w:name="_Toc146139441"/>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五、协商</w:t>
      </w:r>
      <w:bookmarkEnd w:id="17"/>
      <w:r/>
      <w:r/>
    </w:p>
    <w:p>
      <w:pPr>
        <w:pStyle w:val="764"/>
        <w:ind w:left="501"/>
        <w:spacing w:before="180"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16.</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textOutline>
        </w:rPr>
        <w:t xml:space="preserve">协商情况</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16.1 协商小组由 3 人</w:t>
      </w:r>
      <w:r>
        <w:rPr>
          <w:rFonts w:hint="eastAsia" w:ascii="宋体" w:hAnsi="宋体" w:eastAsia="宋体" w:cs="宋体"/>
          <w:spacing w:val="-4"/>
          <w:sz w:val="24"/>
          <w:szCs w:val="24"/>
          <w:lang w:eastAsia="zh-CN"/>
        </w:rPr>
        <w:t xml:space="preserve">及</w:t>
      </w:r>
      <w:r>
        <w:rPr>
          <w:rFonts w:ascii="宋体" w:hAnsi="宋体" w:eastAsia="宋体" w:cs="宋体"/>
          <w:spacing w:val="-4"/>
          <w:sz w:val="24"/>
          <w:szCs w:val="24"/>
          <w:lang w:eastAsia="zh-CN"/>
        </w:rPr>
        <w:t xml:space="preserve">以上单数组成。</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16.2 协商小组应当按照客观、公正、审慎的原则评审供应商的响应文件，与供应商协商采购标的的价格、服务、合同条款等。</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16.3 协商小组、采购人和采购代理机构工作人员、相关监督人员，以及与评审工作有关的人员，对协商情况以及在协商过程中获悉的国家秘密、商业秘密负有保密责任。</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16.4 协商小组有权要求供应商对其响应文件进行澄清。接到协商小组澄清要求的供应商， 应按协商小组通知的时间和地点做出书面澄清并签章，澄清内容作为响应文件的补充部分。</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16.5 供应商应当在协商小组规定的时间内完成最终报价。</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16.6 供应商在采购代理机构工作人员的安排下，使用制作该响应文件的同一数字认证证书登陆交易平台进行最终报价并电子签章。</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16.7 协商终止情形处理</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出现下列情形之一的，采购代理机构将终止采购活动，发布项目终止公告并说明原因：</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（一）因重大变故，采购任务取消的；</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（二）因情况变化，不再符合规定的单一来源采购方式适用情形的；</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（三）出现影响采购公正的违法、违规行为的；</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（四）至协商小组规定的协商截止时间，供应商报价超过采购预算的；</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（五）至协商小组规定的协商截止时间，供应商的最终报价、技术方案、服务承诺等不能满足协商小组要求的；</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（六）法律、法规规定的其他应当终止的情形。</w:t>
      </w:r>
      <w:r/>
    </w:p>
    <w:p>
      <w:pPr>
        <w:pStyle w:val="764"/>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8" w:name="_Toc146139442"/>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六、确定结果</w:t>
      </w:r>
      <w:bookmarkEnd w:id="18"/>
      <w:r/>
      <w:r/>
    </w:p>
    <w:p>
      <w:pPr>
        <w:pStyle w:val="764"/>
        <w:ind w:left="502"/>
        <w:spacing w:before="181" w:line="360" w:lineRule="auto"/>
        <w:rPr>
          <w:sz w:val="24"/>
          <w:szCs w:val="24"/>
          <w:lang w:eastAsia="zh-CN"/>
        </w:rPr>
      </w:pPr>
      <w:r>
        <w:rPr>
          <w:spacing w:val="-2"/>
          <w:sz w:val="24"/>
          <w:szCs w:val="24"/>
          <w:lang w:eastAsia="zh-CN"/>
          <w14:textOutline w14:w="4356" w14:cap="flat" w14:cmpd="sng" w14:algn="ctr">
            <w14:solidFill>
              <w14:srgbClr w14:val="000000"/>
            </w14:solidFill>
            <w14:prstDash w14:val="solid"/>
            <w14:miter/>
          </w14:textOutline>
        </w:rPr>
        <w:t xml:space="preserve">17.确定成交供应商</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17.1 协商小组根据政府采购相关法律、法规的规定，与供应商商定合理的成交价格并保证项目采购质量。</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17.2 协商小组根据协商情况编写协商情况记录，确定成交供应商。</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17.3 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w:t>
      </w:r>
      <w:r/>
    </w:p>
    <w:p>
      <w:pPr>
        <w:pStyle w:val="764"/>
        <w:ind w:left="0" w:firstLine="0"/>
        <w:jc w:val="center"/>
        <w:keepLines w:val="0"/>
        <w:keepNext w:val="0"/>
        <w:pageBreakBefore w:val="0"/>
        <w:spacing w:before="181" w:line="360" w:lineRule="auto"/>
        <w:widowControl/>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outlineLvl w:val="1"/>
      </w:pPr>
      <w:r/>
      <w:bookmarkStart w:id="19" w:name="_Toc146139443"/>
      <w:r>
        <w:rPr>
          <w:rFonts w:ascii="宋体" w:hAnsi="宋体" w:eastAsia="宋体" w:cs="宋体"/>
          <w:spacing w:val="-8"/>
          <w:sz w:val="24"/>
          <w:szCs w:val="24"/>
          <w:lang w:eastAsia="zh-CN"/>
          <w14:textOutline w14:w="4356" w14:cap="flat" w14:cmpd="sng" w14:algn="ctr">
            <w14:solidFill>
              <w14:srgbClr w14:val="000000"/>
            </w14:solidFill>
            <w14:prstDash w14:val="solid"/>
            <w14:miter/>
          </w14:textOutline>
        </w:rPr>
        <w:t xml:space="preserve">七、授予合同</w:t>
      </w:r>
      <w:bookmarkEnd w:id="19"/>
      <w:r/>
      <w:r/>
    </w:p>
    <w:p>
      <w:pPr>
        <w:pStyle w:val="764"/>
        <w:ind w:left="502"/>
        <w:spacing w:before="178" w:line="360" w:lineRule="auto"/>
        <w:rPr>
          <w:sz w:val="24"/>
          <w:szCs w:val="24"/>
          <w:lang w:eastAsia="zh-CN"/>
        </w:rPr>
      </w:pPr>
      <w:r>
        <w:rPr>
          <w:spacing w:val="-5"/>
          <w:sz w:val="24"/>
          <w:szCs w:val="24"/>
          <w:lang w:eastAsia="zh-CN"/>
          <w14:textOutline w14:w="4356" w14:cap="flat" w14:cmpd="sng" w14:algn="ctr">
            <w14:solidFill>
              <w14:srgbClr w14:val="000000"/>
            </w14:solidFill>
            <w14:prstDash w14:val="solid"/>
            <w14:miter/>
          </w14:textOutline>
        </w:rPr>
        <w:t xml:space="preserve">18.</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textOutline>
        </w:rPr>
        <w:t xml:space="preserve">签订合同</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18.1 采购人与供应商应当自成交通知书发出之日起 15 日内，按照协商文件和响应文件的约定签订书面合同。所签订的合同不得对协商文件和响应文件作实质性修改。</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18.2 政府采购合同应当包括采购人与成交供应商的名称和住所、标的、数量、质量、价款或者报酬、履行期限及地点和方式、验收要求、违约责任、解决争议的方法等内容。</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18.3 采购合同履行中，采购人需追加与合同标的相同产品的，在不改变合同其他条款的前提下，可以与供应商协商签订补充合同，但所有补充合同的采购金额不得超过原合同采购金额的百分之十。</w:t>
      </w:r>
      <w:r/>
    </w:p>
    <w:p>
      <w:pPr>
        <w:pStyle w:val="764"/>
        <w:ind w:firstLine="476"/>
        <w:spacing w:before="180" w:line="360" w:lineRule="auto"/>
        <w:rPr>
          <w:sz w:val="24"/>
          <w:szCs w:val="24"/>
          <w:lang w:eastAsia="zh-CN"/>
        </w:rPr>
      </w:pPr>
      <w:r>
        <w:rPr>
          <w:spacing w:val="-1"/>
          <w:sz w:val="24"/>
          <w:szCs w:val="24"/>
          <w:lang w:eastAsia="zh-CN"/>
          <w14:textOutline w14:w="4356" w14:cap="flat" w14:cmpd="sng" w14:algn="ctr">
            <w14:solidFill>
              <w14:srgbClr w14:val="000000"/>
            </w14:solidFill>
            <w14:prstDash w14:val="solid"/>
            <w14:miter/>
          </w14:textOutline>
        </w:rPr>
        <w:t xml:space="preserve">八、诚实信用和解释权</w:t>
      </w:r>
      <w:r/>
    </w:p>
    <w:p>
      <w:pPr>
        <w:pStyle w:val="764"/>
        <w:ind w:left="502"/>
        <w:spacing w:before="180" w:line="360" w:lineRule="auto"/>
        <w:rPr>
          <w:sz w:val="21"/>
          <w:lang w:eastAsia="zh-CN"/>
        </w:rPr>
      </w:pPr>
      <w:r>
        <w:rPr>
          <w:spacing w:val="-3"/>
          <w:sz w:val="24"/>
          <w:szCs w:val="24"/>
          <w:lang w:eastAsia="zh-CN"/>
          <w14:textOutline w14:w="4356" w14:cap="flat" w14:cmpd="sng" w14:algn="ctr">
            <w14:solidFill>
              <w14:srgbClr w14:val="000000"/>
            </w14:solidFill>
            <w14:prstDash w14:val="solid"/>
            <w14:miter/>
          </w14:textOutline>
        </w:rPr>
        <w:t xml:space="preserve">19．诚实信用</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19.1 供应商不得以向采购组织方工作人员、协商小组成员行贿或者采取其他不正当手段谋取成 交。经查实供应商有此行为的， 将在</w:t>
      </w:r>
      <w:r>
        <w:rPr>
          <w:rFonts w:hint="eastAsia" w:ascii="宋体" w:hAnsi="宋体" w:eastAsia="宋体" w:cs="宋体"/>
          <w:spacing w:val="-4"/>
          <w:sz w:val="24"/>
          <w:szCs w:val="24"/>
          <w:lang w:eastAsia="zh-CN"/>
        </w:rPr>
        <w:t xml:space="preserve">“苏采云”系统（网址：http://jszfcg.jsczt.cn/）</w:t>
      </w:r>
      <w:r>
        <w:rPr>
          <w:rFonts w:ascii="宋体" w:hAnsi="宋体" w:eastAsia="宋体" w:cs="宋体"/>
          <w:spacing w:val="-4"/>
          <w:sz w:val="24"/>
          <w:szCs w:val="24"/>
          <w:lang w:eastAsia="zh-CN"/>
        </w:rPr>
        <w:t xml:space="preserve">网站公告， 政府采购管理部门将供应商列入不良行为记录名单，按照政府采购有关规定处理。</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19.2 供应商不得虚假承诺，否则，按照提供虚假材料谋取成交处理。</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19.3 供应商应自觉遵守协商纪律， 扰乱协商现场秩序的，属于失信行为，根据《江苏省政府采购供应商监督管理暂行办法》，失信行为将被记入供应商诚信档案。</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19.4 根据《财政部关于在政府采购活动中查询及使用信息记录有关问题的通知》（财库〔2016〕125 号）、江苏省财政厅《关于做好政府采购信用信息查询使用及登记等工作的通知》（苏财购〔20</w:t>
      </w:r>
      <w:r>
        <w:rPr>
          <w:rFonts w:ascii="宋体" w:hAnsi="宋体" w:eastAsia="宋体" w:cs="宋体"/>
          <w:spacing w:val="-4"/>
          <w:sz w:val="24"/>
          <w:szCs w:val="24"/>
          <w:lang w:eastAsia="zh-CN"/>
        </w:rPr>
        <w:t xml:space="preserve">16〕50号） 等文件精神， 采购人在协商时对参加本项目的供应商进行信用记录查询， 信用记录查询渠道 为“信用中国”网站（www.creditchina.gov.cn ）、中国政府采购网（www.ccgp.gov.cn ），信用记录查询截止时间为协商结束时，信用信息查 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4"/>
        <w:ind w:left="487"/>
        <w:spacing w:before="181" w:line="360" w:lineRule="auto"/>
        <w:rPr>
          <w:sz w:val="24"/>
          <w:szCs w:val="24"/>
          <w:lang w:eastAsia="zh-CN"/>
        </w:rPr>
      </w:pPr>
      <w:r>
        <w:rPr>
          <w:sz w:val="24"/>
          <w:szCs w:val="24"/>
          <w:lang w:eastAsia="zh-CN"/>
          <w14:textOutline w14:w="4356" w14:cap="flat" w14:cmpd="sng" w14:algn="ctr">
            <w14:solidFill>
              <w14:srgbClr w14:val="000000"/>
            </w14:solidFill>
            <w14:prstDash w14:val="solid"/>
            <w14:miter/>
          </w14:textOutline>
        </w:rPr>
        <w:t xml:space="preserve">20．解释权、适用法律及约束力</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20.1 除相关法律、法规规定外，本协商文件的解释权归采购组织方所有。</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20.2 供应商一旦获取了本协商文件并参加协商，即被认为接受了本协商文件的规定和约束。</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20.3 本次采购及由本次采购产生的合同受中华人民共和国法律制约和保护。</w:t>
      </w:r>
      <w:r/>
    </w:p>
    <w:p>
      <w:pPr>
        <w:pStyle w:val="764"/>
        <w:jc w:val="center"/>
        <w:spacing w:before="117" w:line="360" w:lineRule="auto"/>
        <w:rPr>
          <w:sz w:val="36"/>
          <w:szCs w:val="36"/>
          <w:lang w:eastAsia="zh-CN"/>
        </w:rPr>
        <w:outlineLvl w:val="0"/>
      </w:pPr>
      <w:r/>
      <w:bookmarkStart w:id="20" w:name="_Toc2855"/>
      <w:r>
        <w:rPr>
          <w:spacing w:val="-1"/>
          <w:sz w:val="36"/>
          <w:szCs w:val="36"/>
          <w:lang w:eastAsia="zh-CN"/>
          <w14:textOutline w14:w="6527" w14:cap="flat" w14:cmpd="sng" w14:algn="ctr">
            <w14:solidFill>
              <w14:srgbClr w14:val="000000"/>
            </w14:solidFill>
            <w14:prstDash w14:val="solid"/>
            <w14:miter/>
          </w14:textOutline>
        </w:rPr>
        <w:t xml:space="preserve">第三部分</w:t>
      </w:r>
      <w:r>
        <w:rPr>
          <w:rFonts w:hint="eastAsia"/>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textOutline>
        </w:rPr>
        <w:t xml:space="preserve">采购需求</w:t>
      </w:r>
      <w:bookmarkEnd w:id="20"/>
      <w:r/>
      <w:r/>
    </w:p>
    <w:p>
      <w:pPr>
        <w:spacing w:line="360" w:lineRule="auto"/>
        <w:rPr>
          <w:rFonts w:hint="eastAsia" w:ascii="宋体" w:hAnsi="宋体" w:cs="宋体"/>
          <w:b/>
          <w:bCs/>
          <w:sz w:val="24"/>
          <w:szCs w:val="24"/>
        </w:rPr>
        <w:outlineLvl w:val="1"/>
      </w:pPr>
      <w:r/>
      <w:bookmarkStart w:id="21" w:name="_Toc1148"/>
      <w:r>
        <w:rPr>
          <w:rFonts w:hint="eastAsia" w:ascii="宋体" w:hAnsi="宋体" w:cs="宋体"/>
          <w:b/>
          <w:bCs/>
          <w:sz w:val="24"/>
          <w:szCs w:val="24"/>
        </w:rPr>
        <w:t xml:space="preserve">一、项目背景</w:t>
      </w:r>
      <w:bookmarkEnd w:id="21"/>
      <w:r/>
      <w:r/>
    </w:p>
    <w:p>
      <w:pPr>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项目名称：医疗废物处置</w:t>
      </w:r>
      <w:r>
        <w:rPr>
          <w:rFonts w:hint="eastAsia" w:ascii="宋体" w:hAnsi="宋体" w:cs="宋体"/>
          <w:sz w:val="24"/>
          <w:szCs w:val="24"/>
          <w:highlight w:val="none"/>
          <w:lang w:val="en-US" w:eastAsia="zh-CN"/>
        </w:rPr>
        <w:t xml:space="preserve">服务项目</w:t>
      </w:r>
      <w:r/>
    </w:p>
    <w:p>
      <w:pPr>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镇江市第一人民医院</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3、采购方式：政府采购招标</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4、采购</w:t>
      </w:r>
      <w:r>
        <w:rPr>
          <w:rFonts w:hint="eastAsia" w:ascii="宋体" w:hAnsi="宋体" w:cs="宋体"/>
          <w:sz w:val="24"/>
          <w:szCs w:val="24"/>
          <w:highlight w:val="none"/>
          <w:lang w:eastAsia="zh-CN"/>
        </w:rPr>
        <w:t xml:space="preserve">期限：</w:t>
      </w:r>
      <w:r>
        <w:rPr>
          <w:rFonts w:hint="eastAsia" w:ascii="宋体" w:hAnsi="宋体" w:cs="宋体"/>
          <w:sz w:val="24"/>
          <w:szCs w:val="24"/>
          <w:highlight w:val="none"/>
          <w:lang w:val="en-US" w:eastAsia="zh-CN"/>
        </w:rPr>
        <w:t xml:space="preserve">一年</w:t>
      </w:r>
      <w:r/>
    </w:p>
    <w:p>
      <w:pPr>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服务范围：</w:t>
      </w:r>
      <w:r>
        <w:rPr>
          <w:rFonts w:hint="eastAsia" w:ascii="宋体" w:hAnsi="宋体" w:cs="宋体"/>
          <w:sz w:val="24"/>
          <w:szCs w:val="24"/>
          <w:highlight w:val="none"/>
        </w:rPr>
        <w:t xml:space="preserve">镇江市第一人民医院</w:t>
      </w:r>
      <w:r>
        <w:rPr>
          <w:rFonts w:hint="eastAsia" w:ascii="宋体" w:hAnsi="宋体" w:cs="宋体"/>
          <w:sz w:val="24"/>
          <w:szCs w:val="24"/>
          <w:highlight w:val="none"/>
          <w:lang w:val="en-US" w:eastAsia="zh-CN"/>
        </w:rPr>
        <w:t xml:space="preserve">门诊、医技、病区</w:t>
      </w:r>
      <w:r>
        <w:rPr>
          <w:rFonts w:hint="eastAsia" w:ascii="宋体" w:hAnsi="宋体" w:cs="宋体"/>
          <w:sz w:val="24"/>
          <w:szCs w:val="24"/>
          <w:highlight w:val="none"/>
          <w:lang w:eastAsia="zh-CN"/>
        </w:rPr>
        <w:t xml:space="preserve">各点位产生的医疗废物收集</w:t>
      </w:r>
      <w:r>
        <w:rPr>
          <w:rFonts w:hint="eastAsia" w:ascii="宋体" w:hAnsi="宋体" w:cs="宋体"/>
          <w:sz w:val="24"/>
          <w:szCs w:val="24"/>
          <w:highlight w:val="none"/>
          <w:lang w:val="en-US" w:eastAsia="zh-CN"/>
        </w:rPr>
        <w:t xml:space="preserve">装车后的</w:t>
      </w:r>
      <w:r>
        <w:rPr>
          <w:rFonts w:hint="eastAsia" w:ascii="宋体" w:hAnsi="宋体" w:cs="宋体"/>
          <w:sz w:val="24"/>
          <w:szCs w:val="24"/>
          <w:highlight w:val="none"/>
          <w:lang w:eastAsia="zh-CN"/>
        </w:rPr>
        <w:t xml:space="preserve">运输、无害化处置。</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服务的预算金额：人民币</w:t>
      </w:r>
      <w:r>
        <w:rPr>
          <w:rFonts w:hint="eastAsia" w:ascii="宋体" w:hAnsi="宋体" w:cs="宋体"/>
          <w:sz w:val="24"/>
          <w:szCs w:val="24"/>
          <w:highlight w:val="none"/>
          <w:lang w:val="en-US" w:eastAsia="zh-CN"/>
        </w:rPr>
        <w:t xml:space="preserve">280</w:t>
      </w:r>
      <w:r>
        <w:rPr>
          <w:rFonts w:hint="eastAsia" w:ascii="宋体" w:hAnsi="宋体" w:cs="宋体"/>
          <w:sz w:val="24"/>
          <w:szCs w:val="24"/>
          <w:highlight w:val="none"/>
          <w:lang w:eastAsia="zh-CN"/>
        </w:rPr>
        <w:t xml:space="preserve">万元（以实际产生量结算），</w:t>
      </w:r>
      <w:r>
        <w:rPr>
          <w:rFonts w:hint="eastAsia" w:ascii="宋体" w:hAnsi="宋体" w:cs="宋体"/>
          <w:sz w:val="24"/>
          <w:szCs w:val="24"/>
          <w:highlight w:val="none"/>
          <w:lang w:val="en-US" w:eastAsia="zh-CN"/>
        </w:rPr>
        <w:t xml:space="preserve">最高限价：感染性废物不高于4400元/吨、化学性废物不高于6500元/吨</w:t>
      </w:r>
      <w:r>
        <w:rPr>
          <w:rFonts w:hint="eastAsia" w:ascii="宋体" w:hAnsi="宋体" w:cs="宋体"/>
          <w:sz w:val="24"/>
          <w:szCs w:val="24"/>
          <w:highlight w:val="none"/>
          <w:lang w:eastAsia="zh-CN"/>
        </w:rPr>
        <w:t xml:space="preserve">。</w:t>
      </w:r>
      <w:r/>
    </w:p>
    <w:p>
      <w:pPr>
        <w:spacing w:line="360" w:lineRule="auto"/>
        <w:rPr>
          <w:rFonts w:hint="eastAsia" w:ascii="宋体" w:hAnsi="宋体" w:cs="宋体"/>
          <w:b/>
          <w:bCs/>
          <w:sz w:val="24"/>
          <w:szCs w:val="24"/>
        </w:rPr>
        <w:outlineLvl w:val="1"/>
      </w:pPr>
      <w:r/>
      <w:bookmarkStart w:id="22" w:name="_Toc22856"/>
      <w:r>
        <w:rPr>
          <w:rFonts w:hint="eastAsia" w:ascii="宋体" w:hAnsi="宋体" w:cs="宋体"/>
          <w:b/>
          <w:bCs/>
          <w:sz w:val="24"/>
          <w:szCs w:val="24"/>
        </w:rPr>
        <w:t xml:space="preserve">二、</w:t>
      </w:r>
      <w:bookmarkEnd w:id="22"/>
      <w:r>
        <w:rPr>
          <w:rFonts w:hint="eastAsia" w:ascii="宋体" w:hAnsi="宋体" w:cs="宋体"/>
          <w:b/>
          <w:bCs/>
          <w:sz w:val="24"/>
          <w:szCs w:val="24"/>
          <w:lang w:eastAsia="zh-CN"/>
        </w:rPr>
        <w:t xml:space="preserve">医疗废物种类与</w:t>
      </w:r>
      <w:r>
        <w:rPr>
          <w:rFonts w:hint="eastAsia" w:ascii="宋体" w:hAnsi="宋体" w:cs="宋体"/>
          <w:b/>
          <w:bCs/>
          <w:sz w:val="24"/>
          <w:szCs w:val="24"/>
          <w:lang w:val="en-US" w:eastAsia="zh-CN"/>
        </w:rPr>
        <w:t xml:space="preserve">平均</w:t>
      </w:r>
      <w:r>
        <w:rPr>
          <w:rFonts w:hint="eastAsia" w:ascii="宋体" w:hAnsi="宋体" w:cs="宋体"/>
          <w:b/>
          <w:bCs/>
          <w:sz w:val="24"/>
          <w:szCs w:val="24"/>
          <w:lang w:eastAsia="zh-CN"/>
        </w:rPr>
        <w:t xml:space="preserve">量</w:t>
      </w:r>
      <w:r/>
    </w:p>
    <w:p>
      <w:pPr>
        <w:ind w:firstLine="482"/>
        <w:spacing w:line="360" w:lineRule="auto"/>
        <w:rPr>
          <w:rFonts w:hint="default" w:ascii="宋体" w:hAnsi="宋体" w:eastAsia="宋体" w:cs="宋体"/>
          <w:sz w:val="24"/>
          <w:szCs w:val="24"/>
          <w:highlight w:val="none"/>
          <w:lang w:val="en-US" w:eastAsia="zh-CN"/>
        </w:rPr>
      </w:pPr>
      <w:r/>
      <w:bookmarkStart w:id="23" w:name="_Toc15437"/>
      <w:r>
        <w:rPr>
          <w:rFonts w:hint="eastAsia" w:ascii="宋体" w:hAnsi="宋体" w:eastAsia="宋体" w:cs="宋体"/>
          <w:b/>
          <w:bCs/>
          <w:sz w:val="24"/>
          <w:szCs w:val="24"/>
          <w:highlight w:val="none"/>
          <w:lang w:val="en-US" w:eastAsia="zh-CN"/>
        </w:rPr>
        <w:t xml:space="preserve">1、</w:t>
      </w:r>
      <w:r>
        <w:rPr>
          <w:rFonts w:hint="default" w:ascii="宋体" w:hAnsi="宋体" w:eastAsia="宋体" w:cs="宋体"/>
          <w:b/>
          <w:bCs/>
          <w:sz w:val="24"/>
          <w:szCs w:val="24"/>
          <w:highlight w:val="none"/>
          <w:lang w:val="en-US" w:eastAsia="zh-CN"/>
        </w:rPr>
        <w:t xml:space="preserve">种类：</w:t>
      </w:r>
      <w:r>
        <w:rPr>
          <w:rFonts w:hint="default" w:ascii="宋体" w:hAnsi="宋体" w:eastAsia="宋体" w:cs="宋体"/>
          <w:sz w:val="24"/>
          <w:szCs w:val="24"/>
          <w:highlight w:val="none"/>
          <w:lang w:val="en-US" w:eastAsia="zh-CN"/>
        </w:rPr>
        <w:t xml:space="preserve">需处置的医疗废物严格按照《医疗废物分类目录》规定，分别为以下种类：</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（1）医疗废物类别、代码及名称HW01、831-001-01、感染性废物</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（2）医疗废物类别、代码及名称HW01、831-002-01、损伤性废物</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（3）医疗废物类别、代码及名称HW01、841-003-01、病理性废物（不含离体残肢与死胎）</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（4）医疗废物类别、代码及名称HW01、831-004-01、化学性废物</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（5）医疗废物类别、代码及名称HW01、831-005-01、药物性废物</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2、平均</w:t>
      </w:r>
      <w:r>
        <w:rPr>
          <w:rFonts w:hint="default" w:ascii="宋体" w:hAnsi="宋体" w:eastAsia="宋体" w:cs="宋体"/>
          <w:b/>
          <w:bCs/>
          <w:sz w:val="24"/>
          <w:szCs w:val="24"/>
          <w:highlight w:val="none"/>
          <w:lang w:val="en-US" w:eastAsia="zh-CN"/>
        </w:rPr>
        <w:t xml:space="preserve">量：</w:t>
      </w:r>
      <w:r>
        <w:rPr>
          <w:rFonts w:hint="default" w:ascii="宋体" w:hAnsi="宋体" w:eastAsia="宋体" w:cs="宋体"/>
          <w:sz w:val="24"/>
          <w:szCs w:val="24"/>
          <w:highlight w:val="none"/>
          <w:lang w:val="en-US" w:eastAsia="zh-CN"/>
        </w:rPr>
        <w:t xml:space="preserve">基于</w:t>
      </w:r>
      <w:r>
        <w:rPr>
          <w:rFonts w:hint="eastAsia" w:ascii="宋体" w:hAnsi="宋体" w:eastAsia="宋体" w:cs="宋体"/>
          <w:sz w:val="24"/>
          <w:szCs w:val="24"/>
          <w:highlight w:val="none"/>
          <w:lang w:val="en-US" w:eastAsia="zh-CN"/>
        </w:rPr>
        <w:t xml:space="preserve">2023-2025年产生量</w:t>
      </w:r>
      <w:r>
        <w:rPr>
          <w:rFonts w:hint="default" w:ascii="宋体" w:hAnsi="宋体" w:eastAsia="宋体" w:cs="宋体"/>
          <w:sz w:val="24"/>
          <w:szCs w:val="24"/>
          <w:highlight w:val="none"/>
          <w:lang w:val="en-US" w:eastAsia="zh-CN"/>
        </w:rPr>
        <w:t xml:space="preserve">数据，日均产生量约1457公斤，月均约44吨，年均约531吨。</w:t>
      </w:r>
      <w:r/>
    </w:p>
    <w:p>
      <w:pPr>
        <w:spacing w:line="360" w:lineRule="auto"/>
        <w:rPr>
          <w:rFonts w:hint="default" w:ascii="宋体" w:hAnsi="宋体" w:eastAsia="宋体" w:cs="宋体"/>
          <w:b/>
          <w:bCs/>
          <w:sz w:val="24"/>
          <w:szCs w:val="24"/>
          <w:lang w:val="en-US" w:eastAsia="zh-CN"/>
        </w:rPr>
        <w:outlineLvl w:val="1"/>
      </w:pPr>
      <w:r>
        <w:rPr>
          <w:rFonts w:hint="eastAsia" w:ascii="宋体" w:hAnsi="宋体" w:cs="宋体"/>
          <w:b/>
          <w:bCs/>
          <w:sz w:val="24"/>
          <w:szCs w:val="24"/>
        </w:rPr>
        <w:t xml:space="preserve">三、</w:t>
      </w:r>
      <w:bookmarkEnd w:id="23"/>
      <w:r>
        <w:rPr>
          <w:rFonts w:hint="eastAsia" w:ascii="宋体" w:hAnsi="宋体" w:cs="宋体"/>
          <w:b/>
          <w:bCs/>
          <w:sz w:val="24"/>
          <w:szCs w:val="24"/>
          <w:lang w:val="en-US" w:eastAsia="zh-CN"/>
        </w:rPr>
        <w:t xml:space="preserve">服务内容与要求</w:t>
      </w:r>
      <w:r/>
    </w:p>
    <w:p>
      <w:pPr>
        <w:ind w:firstLine="482"/>
        <w:spacing w:line="360" w:lineRule="auto"/>
        <w:rPr>
          <w:rFonts w:hint="default" w:ascii="宋体" w:hAnsi="宋体" w:eastAsia="宋体" w:cs="宋体"/>
          <w:b/>
          <w:bCs/>
          <w:sz w:val="24"/>
          <w:szCs w:val="24"/>
          <w:highlight w:val="none"/>
          <w:lang w:val="en-US" w:eastAsia="zh-CN"/>
        </w:rPr>
      </w:pPr>
      <w:r/>
      <w:bookmarkStart w:id="24" w:name="_Toc9205"/>
      <w:r>
        <w:rPr>
          <w:rFonts w:hint="default" w:ascii="宋体" w:hAnsi="宋体" w:eastAsia="宋体" w:cs="宋体"/>
          <w:b/>
          <w:bCs/>
          <w:sz w:val="24"/>
          <w:szCs w:val="24"/>
          <w:highlight w:val="none"/>
          <w:lang w:val="en-US" w:eastAsia="zh-CN"/>
        </w:rPr>
        <w:t xml:space="preserve">1、收集与周转：</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供应商需提供符合标准的专用医疗废物周转箱供镇江市第一人民医院装箱使用，并安排医疗废物专用车每天11点前停靠至镇江市第一人民医院指定场地（一般是在医疗废物暂存处，特殊情况除外），待镇江市第一人民医院当天产生的医疗废物装箱装车后，供应商的医疗废物专用车第二天早上7点前离开。</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装箱装车过程中镇江市第一人民医院与供应商双方工作人员完成交接、称重、联单填写（《危险废物转移联单》或地方要求的电子联单）等工作，确保记录完整、可追溯。</w:t>
      </w:r>
      <w:r/>
    </w:p>
    <w:p>
      <w:pPr>
        <w:ind w:firstLine="482"/>
        <w:spacing w:line="360" w:lineRule="auto"/>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2、运输要求：</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（1）供应商需使用专用防渗漏、防遗撒的密闭车辆</w:t>
      </w:r>
      <w:r>
        <w:rPr>
          <w:rFonts w:hint="eastAsia" w:ascii="宋体" w:hAnsi="宋体" w:eastAsia="宋体" w:cs="宋体"/>
          <w:sz w:val="24"/>
          <w:szCs w:val="24"/>
          <w:highlight w:val="none"/>
          <w:lang w:val="en-US" w:eastAsia="zh-CN"/>
        </w:rPr>
        <w:t xml:space="preserve">且医废</w:t>
      </w:r>
      <w:r>
        <w:rPr>
          <w:rFonts w:hint="default" w:ascii="宋体" w:hAnsi="宋体" w:eastAsia="宋体" w:cs="宋体"/>
          <w:sz w:val="24"/>
          <w:szCs w:val="24"/>
          <w:highlight w:val="none"/>
          <w:lang w:val="en-US" w:eastAsia="zh-CN"/>
        </w:rPr>
        <w:t xml:space="preserve">标识清晰</w:t>
      </w:r>
      <w:r>
        <w:rPr>
          <w:rFonts w:hint="eastAsia" w:ascii="宋体" w:hAnsi="宋体" w:eastAsia="宋体" w:cs="宋体"/>
          <w:sz w:val="24"/>
          <w:szCs w:val="24"/>
          <w:highlight w:val="none"/>
          <w:lang w:val="en-US" w:eastAsia="zh-CN"/>
        </w:rPr>
        <w:t xml:space="preserve">。</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（2）车辆</w:t>
      </w:r>
      <w:r>
        <w:rPr>
          <w:rFonts w:hint="eastAsia" w:ascii="宋体" w:hAnsi="宋体" w:eastAsia="宋体" w:cs="宋体"/>
          <w:sz w:val="24"/>
          <w:szCs w:val="24"/>
          <w:highlight w:val="none"/>
          <w:lang w:val="en-US" w:eastAsia="zh-CN"/>
        </w:rPr>
        <w:t xml:space="preserve">须</w:t>
      </w:r>
      <w:r>
        <w:rPr>
          <w:rFonts w:hint="default" w:ascii="宋体" w:hAnsi="宋体" w:eastAsia="宋体" w:cs="宋体"/>
          <w:sz w:val="24"/>
          <w:szCs w:val="24"/>
          <w:highlight w:val="none"/>
          <w:lang w:val="en-US" w:eastAsia="zh-CN"/>
        </w:rPr>
        <w:t xml:space="preserve">配备GPS定位系统，运输路线合规，不得中途停靠敏感区域</w:t>
      </w:r>
      <w:r>
        <w:rPr>
          <w:rFonts w:hint="eastAsia" w:ascii="宋体" w:hAnsi="宋体" w:eastAsia="宋体" w:cs="宋体"/>
          <w:sz w:val="24"/>
          <w:szCs w:val="24"/>
          <w:highlight w:val="none"/>
          <w:lang w:val="en-US" w:eastAsia="zh-CN"/>
        </w:rPr>
        <w:t xml:space="preserve">。</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（3）运输人员需经过专业培训，配备必要防护装备</w:t>
      </w:r>
      <w:r>
        <w:rPr>
          <w:rFonts w:hint="eastAsia" w:ascii="宋体" w:hAnsi="宋体" w:eastAsia="宋体" w:cs="宋体"/>
          <w:sz w:val="24"/>
          <w:szCs w:val="24"/>
          <w:highlight w:val="none"/>
          <w:lang w:val="en-US" w:eastAsia="zh-CN"/>
        </w:rPr>
        <w:t xml:space="preserve">。</w:t>
      </w:r>
      <w:r/>
    </w:p>
    <w:p>
      <w:pPr>
        <w:ind w:firstLine="482"/>
        <w:spacing w:line="360" w:lineRule="auto"/>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3、处置要求：</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（1）供应商必须在持有合法有效的《危险废物经营许可证》（核准类别包含医疗废物处置）的设施内进行处置</w:t>
      </w:r>
      <w:r>
        <w:rPr>
          <w:rFonts w:hint="eastAsia" w:ascii="宋体" w:hAnsi="宋体" w:eastAsia="宋体" w:cs="宋体"/>
          <w:sz w:val="24"/>
          <w:szCs w:val="24"/>
          <w:highlight w:val="none"/>
          <w:lang w:val="en-US" w:eastAsia="zh-CN"/>
        </w:rPr>
        <w:t xml:space="preserve">。</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（2）采用国家认可的焚烧、高温蒸煮等工艺，确保无害化处置彻底，排放达标</w:t>
      </w:r>
      <w:r>
        <w:rPr>
          <w:rFonts w:hint="eastAsia" w:ascii="宋体" w:hAnsi="宋体" w:eastAsia="宋体" w:cs="宋体"/>
          <w:sz w:val="24"/>
          <w:szCs w:val="24"/>
          <w:highlight w:val="none"/>
          <w:lang w:val="en-US" w:eastAsia="zh-CN"/>
        </w:rPr>
        <w:t xml:space="preserve">。</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供应商须</w:t>
      </w:r>
      <w:r>
        <w:rPr>
          <w:rFonts w:hint="default" w:ascii="宋体" w:hAnsi="宋体" w:eastAsia="宋体" w:cs="宋体"/>
          <w:sz w:val="24"/>
          <w:szCs w:val="24"/>
          <w:highlight w:val="none"/>
          <w:lang w:val="en-US" w:eastAsia="zh-CN"/>
        </w:rPr>
        <w:t xml:space="preserve">提供每次处置过程的接收凭证或处置证明。</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（4）供应商必须保证医废专用车每日准时或提前到达医院指定地点。</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自供应商专用车辆装载医疗废物完毕驶离医院起，其后环节产生的一切问题，包括但不限于：运输途中因任何原因导致的泄漏、遗失、事故；处置不当引发的环境污染、公共卫生事件；与此相关的任何经济损失、行政处罚、第三方责任及法律纠纷；均完全由供应商负责。</w:t>
      </w:r>
      <w:r/>
    </w:p>
    <w:p>
      <w:pPr>
        <w:ind w:firstLine="482"/>
        <w:spacing w:line="360" w:lineRule="auto"/>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4、应急响应：</w:t>
      </w:r>
      <w:r/>
    </w:p>
    <w:p>
      <w:p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供应商应根据镇江市第一人民医院实际情况制定应急预案，对离开医院后的泄漏、遗撒等突发事件能及时响应与处置。遇采购人重大活动或特殊情况，能配合调整收运计划。</w:t>
      </w:r>
      <w:r/>
    </w:p>
    <w:p>
      <w:pPr>
        <w:ind w:firstLine="482"/>
        <w:spacing w:line="360" w:lineRule="auto"/>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5、环保与安全责任：</w:t>
      </w:r>
      <w:r/>
    </w:p>
    <w:p>
      <w:pPr>
        <w:ind w:firstLine="480"/>
        <w:spacing w:line="360" w:lineRule="auto"/>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供应商须承担从医疗废物离开采购人指定交接点后至最终无害化处置完毕期间的全部安全、环保及法律责任。</w:t>
      </w:r>
      <w:r/>
    </w:p>
    <w:p>
      <w:pPr>
        <w:spacing w:line="360" w:lineRule="auto"/>
        <w:rPr>
          <w:rFonts w:hint="eastAsia" w:ascii="宋体" w:hAnsi="宋体" w:cs="宋体"/>
          <w:b/>
          <w:bCs/>
          <w:sz w:val="24"/>
          <w:szCs w:val="24"/>
        </w:rPr>
        <w:outlineLvl w:val="1"/>
      </w:pPr>
      <w:r>
        <w:rPr>
          <w:rFonts w:hint="eastAsia" w:ascii="宋体" w:hAnsi="宋体" w:cs="宋体"/>
          <w:b/>
          <w:bCs/>
          <w:sz w:val="24"/>
          <w:szCs w:val="24"/>
        </w:rPr>
        <w:t xml:space="preserve">四</w:t>
      </w:r>
      <w:r>
        <w:rPr>
          <w:rFonts w:hint="eastAsia" w:ascii="宋体" w:hAnsi="宋体" w:cs="宋体"/>
          <w:b/>
          <w:bCs/>
          <w:sz w:val="24"/>
          <w:szCs w:val="24"/>
          <w:highlight w:val="none"/>
        </w:rPr>
        <w:t xml:space="preserve">、</w:t>
      </w:r>
      <w:bookmarkEnd w:id="24"/>
      <w:r>
        <w:rPr>
          <w:rFonts w:hint="eastAsia" w:ascii="宋体" w:hAnsi="宋体" w:cs="宋体"/>
          <w:b/>
          <w:bCs/>
          <w:sz w:val="24"/>
          <w:szCs w:val="24"/>
          <w:highlight w:val="none"/>
          <w:lang w:val="en-US" w:eastAsia="zh-CN"/>
        </w:rPr>
        <w:t xml:space="preserve">考核内容</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如供应商服务过程中出现以下情况，医院将依照合同考核条款对供应商进行相应考核，每次考核的具体金额根据实际情节严重程度扣减服务费人民币50-2000元。</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1、未使用专用防渗漏、防遗撒的密闭车辆且医废标识不清晰，影响医院医疗废物正常装车转运的；</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2、使用车辆因未配备GPS定位系统、运输路线不合规、中途停靠敏感区域等被行政处罚整顿，导致医院医疗废物无法正常装车转运的；</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3、运输人员未经过专业培训，运输过程未配备必要防护装备，由此导致医院医疗废物无法正常装车转运的；</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4、医废专用车未能每日准时或提前到达医院指定地点，由此影响当天医疗废物正常装车转运的。</w:t>
      </w:r>
      <w:r/>
    </w:p>
    <w:p>
      <w:pPr>
        <w:spacing w:line="360" w:lineRule="auto"/>
        <w:rPr>
          <w:rFonts w:hint="default" w:ascii="宋体" w:hAnsi="宋体" w:eastAsia="宋体" w:cs="宋体"/>
          <w:b/>
          <w:bCs/>
          <w:color w:val="ff0000"/>
          <w:sz w:val="24"/>
          <w:szCs w:val="24"/>
          <w:lang w:val="en-US" w:eastAsia="zh-CN"/>
        </w:rPr>
        <w:outlineLvl w:val="1"/>
      </w:pPr>
      <w:r/>
      <w:bookmarkStart w:id="25" w:name="_Toc23560"/>
      <w:r>
        <w:rPr>
          <w:rFonts w:hint="eastAsia" w:ascii="宋体" w:hAnsi="宋体" w:cs="宋体"/>
          <w:b/>
          <w:bCs/>
          <w:sz w:val="24"/>
          <w:szCs w:val="24"/>
        </w:rPr>
        <w:t xml:space="preserve">五、</w:t>
      </w:r>
      <w:bookmarkEnd w:id="25"/>
      <w:r>
        <w:rPr>
          <w:rFonts w:hint="eastAsia" w:ascii="宋体" w:hAnsi="宋体" w:cs="宋体"/>
          <w:b/>
          <w:bCs/>
          <w:sz w:val="24"/>
          <w:szCs w:val="24"/>
          <w:lang w:val="en-US" w:eastAsia="zh-CN"/>
        </w:rPr>
        <w:t xml:space="preserve">商务要求</w:t>
      </w:r>
      <w:r/>
    </w:p>
    <w:p>
      <w:pPr>
        <w:ind w:firstLine="48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1、报价方式与构成：</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（1）请按元/公斤或元/吨进行单价报价。报价应包含包装物、运输、处置、税金等成本及合同全部内容的一切费用。</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（2）镇江市第一人民医院经开区分院依照此采购价处置，直接与供应商签合同，不另行采购招标。</w:t>
      </w:r>
      <w:r/>
    </w:p>
    <w:p>
      <w:pPr>
        <w:ind w:firstLine="48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2、结算依据：</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以双方签字确认的交接重量（《危险废物转移联单》或地方要求的电子联单）为准，按月进行结算。</w:t>
      </w:r>
      <w:r/>
    </w:p>
    <w:p>
      <w:pPr>
        <w:ind w:firstLine="480"/>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3、支付方式：</w:t>
      </w:r>
      <w:r/>
    </w:p>
    <w:p>
      <w:pPr>
        <w:ind w:firstLine="480"/>
        <w:spacing w:line="360" w:lineRule="auto"/>
        <w:rPr>
          <w:rFonts w:ascii="宋体" w:hAnsi="宋体" w:eastAsia="宋体" w:cs="宋体"/>
          <w:color w:val="auto"/>
          <w:sz w:val="24"/>
          <w:lang w:eastAsia="zh-CN"/>
        </w:rPr>
      </w:pPr>
      <w:r>
        <w:rPr>
          <w:rFonts w:hint="eastAsia" w:ascii="宋体" w:hAnsi="宋体" w:cs="宋体"/>
          <w:sz w:val="24"/>
          <w:szCs w:val="24"/>
          <w:lang w:val="en-US" w:eastAsia="zh-CN"/>
        </w:rPr>
        <w:t xml:space="preserve">供应商</w:t>
      </w:r>
      <w:r>
        <w:rPr>
          <w:rFonts w:hint="eastAsia" w:ascii="宋体" w:hAnsi="宋体" w:cs="宋体"/>
          <w:sz w:val="24"/>
          <w:szCs w:val="24"/>
          <w:lang w:eastAsia="zh-CN"/>
        </w:rPr>
        <w:t xml:space="preserve">根据医疗废物交接清单每月</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日前向采购人提供上个月的医废处置费用的正式的税务发票，</w:t>
      </w:r>
      <w:r>
        <w:rPr>
          <w:rFonts w:hint="eastAsia" w:ascii="宋体" w:hAnsi="宋体" w:cs="宋体"/>
          <w:sz w:val="24"/>
          <w:szCs w:val="24"/>
          <w:lang w:val="en-US" w:eastAsia="zh-CN"/>
        </w:rPr>
        <w:t xml:space="preserve">采购人收到供应商提供的正式</w:t>
      </w:r>
      <w:r>
        <w:rPr>
          <w:rFonts w:hint="eastAsia" w:ascii="宋体" w:hAnsi="宋体" w:cs="宋体"/>
          <w:sz w:val="24"/>
          <w:szCs w:val="24"/>
          <w:lang w:eastAsia="zh-CN"/>
        </w:rPr>
        <w:t xml:space="preserve">税务发票</w:t>
      </w:r>
      <w:r>
        <w:rPr>
          <w:rFonts w:hint="eastAsia" w:ascii="宋体" w:hAnsi="宋体" w:cs="宋体"/>
          <w:sz w:val="24"/>
          <w:szCs w:val="24"/>
          <w:lang w:val="en-US" w:eastAsia="zh-CN"/>
        </w:rPr>
        <w:t xml:space="preserve">后无特殊情况在当</w:t>
      </w:r>
      <w:r>
        <w:rPr>
          <w:rFonts w:hint="eastAsia" w:ascii="宋体" w:hAnsi="宋体" w:cs="宋体"/>
          <w:sz w:val="24"/>
          <w:szCs w:val="24"/>
          <w:lang w:eastAsia="zh-CN"/>
        </w:rPr>
        <w:t xml:space="preserve">月底前</w:t>
      </w:r>
      <w:r>
        <w:rPr>
          <w:rFonts w:hint="eastAsia" w:ascii="宋体" w:hAnsi="宋体" w:cs="宋体"/>
          <w:sz w:val="24"/>
          <w:szCs w:val="24"/>
          <w:lang w:val="en-US" w:eastAsia="zh-CN"/>
        </w:rPr>
        <w:t xml:space="preserve">向医院财务提交发票报销申请，在次月25日前完成上月服务费支付。</w:t>
      </w:r>
      <w:r/>
    </w:p>
    <w:p>
      <w:pPr>
        <w:ind w:firstLine="480"/>
        <w:spacing w:line="360" w:lineRule="auto"/>
        <w:rPr>
          <w:rFonts w:ascii="宋体" w:hAnsi="宋体" w:eastAsia="宋体" w:cs="宋体"/>
          <w:color w:val="auto"/>
          <w:sz w:val="24"/>
          <w:lang w:eastAsia="zh-CN"/>
        </w:rPr>
      </w:pPr>
      <w:r>
        <w:rPr>
          <w:rFonts w:ascii="宋体" w:hAnsi="宋体" w:eastAsia="宋体" w:cs="宋体"/>
          <w:color w:val="auto"/>
          <w:sz w:val="24"/>
          <w:lang w:eastAsia="zh-CN"/>
        </w:rPr>
      </w:r>
      <w:r/>
    </w:p>
    <w:p>
      <w:pPr>
        <w:ind w:firstLine="480"/>
        <w:spacing w:line="480" w:lineRule="auto"/>
        <w:rPr>
          <w:sz w:val="24"/>
          <w:szCs w:val="24"/>
          <w:lang w:eastAsia="zh-CN"/>
        </w:rPr>
      </w:pPr>
      <w:r>
        <w:rPr>
          <w:sz w:val="24"/>
          <w:szCs w:val="24"/>
          <w:lang w:eastAsia="zh-CN"/>
        </w:rPr>
      </w:r>
      <w:r/>
    </w:p>
    <w:p>
      <w:pPr>
        <w:ind w:firstLine="480"/>
        <w:spacing w:line="480" w:lineRule="auto"/>
        <w:rPr>
          <w:sz w:val="24"/>
          <w:szCs w:val="24"/>
          <w:lang w:eastAsia="zh-CN"/>
        </w:rPr>
      </w:pPr>
      <w:r>
        <w:rPr>
          <w:sz w:val="24"/>
          <w:szCs w:val="24"/>
          <w:lang w:eastAsia="zh-CN"/>
        </w:rPr>
      </w:r>
      <w:r/>
    </w:p>
    <w:p>
      <w:pPr>
        <w:ind w:firstLine="480"/>
        <w:spacing w:line="480" w:lineRule="auto"/>
        <w:rPr>
          <w:sz w:val="24"/>
          <w:szCs w:val="24"/>
          <w:lang w:eastAsia="zh-CN"/>
        </w:rPr>
        <w:sectPr>
          <w:headerReference w:type="default" r:id="rId8"/>
          <w:footerReference w:type="default" r:id="rId9"/>
          <w:footnotePr/>
          <w:endnotePr/>
          <w:type w:val="continuous"/>
          <w:pgSz w:w="11907" w:h="16839" w:orient="portrait"/>
          <w:pgMar w:top="1440" w:right="1800" w:bottom="1440" w:left="1800" w:header="0" w:footer="1215" w:gutter="0"/>
          <w:cols w:num="1" w:sep="0" w:space="425" w:equalWidth="1"/>
          <w:docGrid w:linePitch="360"/>
        </w:sectPr>
      </w:pPr>
      <w:r>
        <w:rPr>
          <w:sz w:val="24"/>
          <w:szCs w:val="24"/>
          <w:lang w:eastAsia="zh-CN"/>
        </w:rPr>
      </w:r>
      <w:r/>
    </w:p>
    <w:p>
      <w:pPr>
        <w:pStyle w:val="764"/>
        <w:jc w:val="center"/>
        <w:spacing w:before="117" w:line="360" w:lineRule="auto"/>
        <w:rPr>
          <w:spacing w:val="-1"/>
          <w:sz w:val="36"/>
          <w:szCs w:val="36"/>
          <w:lang w:eastAsia="zh-CN"/>
          <w14:textOutline w14:w="6527" w14:cap="flat" w14:cmpd="sng" w14:algn="ctr">
            <w14:solidFill>
              <w14:srgbClr w14:val="000000"/>
            </w14:solidFill>
            <w14:prstDash w14:val="solid"/>
            <w14:miter/>
          </w14:textOutline>
        </w:rPr>
        <w:outlineLvl w:val="0"/>
      </w:pPr>
      <w:r/>
      <w:bookmarkStart w:id="26" w:name="_Toc17533"/>
      <w:r>
        <w:rPr>
          <w:rFonts w:hint="eastAsia"/>
          <w:spacing w:val="-1"/>
          <w:sz w:val="36"/>
          <w:szCs w:val="36"/>
          <w:lang w:eastAsia="zh-CN"/>
          <w14:textOutline w14:w="6527" w14:cap="flat" w14:cmpd="sng" w14:algn="ctr">
            <w14:solidFill>
              <w14:srgbClr w14:val="000000"/>
            </w14:solidFill>
            <w14:prstDash w14:val="solid"/>
            <w14:miter/>
          </w14:textOutline>
        </w:rPr>
        <w:t xml:space="preserve">第四部分 合同条款</w:t>
      </w:r>
      <w:bookmarkEnd w:id="26"/>
      <w:r/>
      <w:r/>
    </w:p>
    <w:p>
      <w:pPr>
        <w:pStyle w:val="751"/>
        <w:jc w:val="center"/>
        <w:keepLines w:val="0"/>
        <w:keepNext w:val="0"/>
        <w:spacing w:line="360" w:lineRule="auto"/>
        <w:tabs>
          <w:tab w:val="center" w:pos="4153" w:leader="none"/>
        </w:tabs>
        <w:rPr>
          <w:rFonts w:hint="eastAsia" w:ascii="宋体" w:hAnsi="宋体" w:cs="宋体"/>
          <w:b/>
          <w:bCs w:val="0"/>
          <w:color w:val="000000"/>
        </w:rPr>
      </w:pPr>
      <w:r>
        <w:rPr>
          <w:rFonts w:hint="eastAsia" w:ascii="宋体" w:hAnsi="宋体" w:cs="宋体"/>
          <w:b/>
          <w:bCs w:val="0"/>
          <w:color w:val="000000"/>
          <w:sz w:val="24"/>
          <w:szCs w:val="24"/>
        </w:rPr>
        <w:t xml:space="preserve">（</w:t>
      </w:r>
      <w:r>
        <w:rPr>
          <w:rFonts w:hint="eastAsia" w:ascii="宋体" w:hAnsi="宋体" w:cs="宋体"/>
          <w:b/>
          <w:bCs w:val="0"/>
          <w:sz w:val="24"/>
        </w:rPr>
        <w:t xml:space="preserve">以下为中标后签定本项目合同的通用条款，</w:t>
      </w:r>
      <w:r>
        <w:rPr>
          <w:rFonts w:hint="eastAsia" w:ascii="宋体" w:hAnsi="宋体" w:cs="宋体"/>
          <w:b/>
          <w:bCs w:val="0"/>
          <w:sz w:val="24"/>
          <w:lang w:val="en-US" w:eastAsia="zh-CN"/>
        </w:rPr>
        <w:t xml:space="preserve">最终</w:t>
      </w:r>
      <w:r>
        <w:rPr>
          <w:rFonts w:hint="eastAsia" w:ascii="宋体" w:hAnsi="宋体" w:cs="宋体"/>
          <w:b/>
          <w:bCs w:val="0"/>
          <w:sz w:val="24"/>
        </w:rPr>
        <w:t xml:space="preserve">由采购人与中标人结合本项目具体情况协商后签订</w:t>
      </w:r>
      <w:r>
        <w:rPr>
          <w:rFonts w:hint="eastAsia" w:ascii="宋体" w:hAnsi="宋体" w:cs="宋体"/>
          <w:b/>
          <w:bCs w:val="0"/>
          <w:color w:val="000000"/>
          <w:sz w:val="24"/>
          <w:szCs w:val="24"/>
        </w:rPr>
        <w:t xml:space="preserve">）</w:t>
      </w:r>
      <w:r/>
    </w:p>
    <w:p>
      <w:pPr>
        <w:pStyle w:val="751"/>
        <w:jc w:val="center"/>
        <w:keepLines w:val="0"/>
        <w:keepNext w:val="0"/>
        <w:spacing w:line="360" w:lineRule="auto"/>
        <w:tabs>
          <w:tab w:val="center" w:pos="4153" w:leader="none"/>
        </w:tabs>
        <w:rPr>
          <w:rFonts w:hint="eastAsia" w:ascii="宋体" w:hAnsi="宋体" w:cs="宋体"/>
        </w:rPr>
      </w:pPr>
      <w:r/>
      <w:bookmarkStart w:id="27" w:name="_Toc8164"/>
      <w:r/>
      <w:bookmarkStart w:id="28" w:name="_Toc3737"/>
      <w:r>
        <w:rPr>
          <w:rFonts w:hint="eastAsia" w:ascii="宋体" w:hAnsi="宋体" w:cs="宋体"/>
          <w:lang w:eastAsia="zh-CN"/>
        </w:rPr>
        <w:t xml:space="preserve">医疗废物无害化处置合同</w:t>
      </w:r>
      <w:bookmarkEnd w:id="27"/>
      <w:r/>
    </w:p>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bookmarkStart w:id="29" w:name="PO_UP0"/>
      <w:r>
        <w:rPr>
          <w:rFonts w:hint="eastAsia" w:ascii="宋体" w:hAnsi="宋体" w:eastAsia="宋体" w:cs="宋体"/>
          <w:b/>
          <w:bCs/>
          <w:sz w:val="24"/>
          <w:szCs w:val="24"/>
          <w:lang w:val="en-US" w:eastAsia="zh-CN"/>
        </w:rPr>
        <w:t xml:space="preserve">甲方： 镇江市第一人民医院        （以下简称甲方）</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乙方：                           （以下简称乙方）</w:t>
      </w:r>
      <w:bookmarkStart w:id="30" w:name="PO_T002"/>
      <w:r/>
      <w:bookmarkEnd w:id="30"/>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了加强医疗废物管理，防止医疗废物污染环境，根据【中华人民共和国固体废物污染环境防治法】、【医疗废物管理条例】、【国家危险废物名录】（《医疗废物分类目录》）、【医疗废物高温蒸汽消毒集中处置工程建设技术规范】、【医疗废物集中处置技术规范】、【医院污水处理工程技术规范】、【镇江市医疗废物管理办法】及镇价费【2009】68号文的要求，甲乙双方经友好协商，就甲方委托乙方高温蒸煮无害化处置医疗废物事宜，达成如下协议：</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甲方委托乙方处置甲方在经营服务活动中产生的医疗废物为（HW01,以下简称医疗废物）：感染性废物(831-001-01)、损伤性废物(831-002-01)、病理性废物（不含离体残肢与死胎）(831-003-01)、化学性废物(831-004-01)、药物性废物(831-005-01)。</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二、乙方对甲方委托处置的医疗废物实行有偿服务，按照计重收费：</w:t>
      </w:r>
      <w:bookmarkEnd w:id="29"/>
      <w:r/>
      <w:r/>
    </w:p>
    <w:tbl>
      <w:tblPr>
        <w:tblStyle w:val="759"/>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44"/>
        <w:gridCol w:w="874"/>
        <w:gridCol w:w="1479"/>
        <w:gridCol w:w="1115"/>
        <w:gridCol w:w="1183"/>
        <w:gridCol w:w="1196"/>
        <w:gridCol w:w="1384"/>
      </w:tblGrid>
      <w:tr>
        <w:trPr>
          <w:jc w:val="center"/>
          <w:trHeight w:val="749"/>
        </w:trPr>
        <w:tc>
          <w:tcPr>
            <w:tcW w:w="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bookmarkStart w:id="31" w:name="PO_T001"/>
            <w:r/>
            <w:bookmarkStart w:id="32" w:name="PO_table"/>
            <w:r>
              <w:rPr>
                <w:rFonts w:hint="eastAsia" w:ascii="宋体" w:hAnsi="宋体" w:eastAsia="宋体" w:cs="宋体"/>
                <w:sz w:val="24"/>
                <w:szCs w:val="24"/>
                <w:lang w:val="en-US" w:eastAsia="zh-CN"/>
              </w:rPr>
              <w:t xml:space="preserve">序号</w:t>
            </w:r>
            <w:r/>
          </w:p>
        </w:tc>
        <w:tc>
          <w:tcPr>
            <w:tcW w:w="20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废物名称</w:t>
            </w:r>
            <w:r/>
          </w:p>
        </w:tc>
        <w:tc>
          <w:tcPr>
            <w:tcW w:w="8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废物类别</w:t>
            </w:r>
            <w:r/>
          </w:p>
        </w:tc>
        <w:tc>
          <w:tcPr>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废物代码</w:t>
            </w:r>
            <w:r/>
          </w:p>
        </w:tc>
        <w:tc>
          <w:tcPr>
            <w:tcW w:w="11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数量</w:t>
            </w:r>
            <w:r/>
          </w:p>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(吨/年)</w:t>
            </w:r>
            <w:r/>
          </w:p>
        </w:tc>
        <w:tc>
          <w:tcPr>
            <w:tcW w:w="118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w:t>
            </w:r>
            <w:r/>
          </w:p>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(元/吨)</w:t>
            </w:r>
            <w:r/>
          </w:p>
        </w:tc>
        <w:tc>
          <w:tcPr>
            <w:tcW w:w="11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金额（元）</w:t>
            </w:r>
            <w:r/>
          </w:p>
        </w:tc>
        <w:tc>
          <w:tcPr>
            <w:tcW w:w="13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jc w:val="center"/>
          <w:trHeight w:val="370"/>
        </w:trPr>
        <w:tc>
          <w:tcPr>
            <w:tcW w:w="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20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药物性废物</w:t>
            </w:r>
            <w:r/>
          </w:p>
        </w:tc>
        <w:tc>
          <w:tcPr>
            <w:tcW w:w="8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p>
        </w:tc>
        <w:tc>
          <w:tcPr>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831-005-01</w:t>
            </w:r>
            <w:r/>
          </w:p>
        </w:tc>
        <w:tc>
          <w:tcPr>
            <w:tcW w:w="11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p>
        </w:tc>
        <w:tc>
          <w:tcPr>
            <w:tcW w:w="118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p>
        </w:tc>
        <w:tc>
          <w:tcPr>
            <w:tcW w:w="13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370"/>
        </w:trPr>
        <w:tc>
          <w:tcPr>
            <w:tcW w:w="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20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化学性废物</w:t>
            </w:r>
            <w:r/>
          </w:p>
        </w:tc>
        <w:tc>
          <w:tcPr>
            <w:tcW w:w="8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p>
        </w:tc>
        <w:tc>
          <w:tcPr>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831-004-01</w:t>
            </w:r>
            <w:r/>
          </w:p>
        </w:tc>
        <w:tc>
          <w:tcPr>
            <w:tcW w:w="11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p>
        </w:tc>
        <w:tc>
          <w:tcPr>
            <w:tcW w:w="118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p>
        </w:tc>
        <w:tc>
          <w:tcPr>
            <w:tcW w:w="13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370"/>
        </w:trPr>
        <w:tc>
          <w:tcPr>
            <w:tcW w:w="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20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损伤性废物</w:t>
            </w:r>
            <w:r/>
          </w:p>
        </w:tc>
        <w:tc>
          <w:tcPr>
            <w:tcW w:w="8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p>
        </w:tc>
        <w:tc>
          <w:tcPr>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831-002-01</w:t>
            </w:r>
            <w:r/>
          </w:p>
        </w:tc>
        <w:tc>
          <w:tcPr>
            <w:tcW w:w="11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p>
        </w:tc>
        <w:tc>
          <w:tcPr>
            <w:tcW w:w="118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p>
        </w:tc>
        <w:tc>
          <w:tcPr>
            <w:tcW w:w="13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370"/>
        </w:trPr>
        <w:tc>
          <w:tcPr>
            <w:tcW w:w="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20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感染性废物</w:t>
            </w:r>
            <w:r/>
          </w:p>
        </w:tc>
        <w:tc>
          <w:tcPr>
            <w:tcW w:w="8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p>
        </w:tc>
        <w:tc>
          <w:tcPr>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831-001-01</w:t>
            </w:r>
            <w:r/>
          </w:p>
        </w:tc>
        <w:tc>
          <w:tcPr>
            <w:tcW w:w="11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p>
        </w:tc>
        <w:tc>
          <w:tcPr>
            <w:tcW w:w="118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p>
        </w:tc>
        <w:tc>
          <w:tcPr>
            <w:tcW w:w="13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729"/>
        </w:trPr>
        <w:tc>
          <w:tcPr>
            <w:tcW w:w="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20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病理性废物（不含离体残肢与死胎）</w:t>
            </w:r>
            <w:r/>
          </w:p>
        </w:tc>
        <w:tc>
          <w:tcPr>
            <w:tcW w:w="8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HW01</w:t>
            </w:r>
            <w:r/>
          </w:p>
        </w:tc>
        <w:tc>
          <w:tcPr>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831-003-01</w:t>
            </w:r>
            <w:r/>
          </w:p>
        </w:tc>
        <w:tc>
          <w:tcPr>
            <w:tcW w:w="11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p>
        </w:tc>
        <w:tc>
          <w:tcPr>
            <w:tcW w:w="118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p>
        </w:tc>
        <w:tc>
          <w:tcPr>
            <w:tcW w:w="13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370"/>
        </w:trPr>
        <w:tc>
          <w:tcPr>
            <w:tcW w:w="58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0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8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小计</w:t>
            </w:r>
            <w:r/>
          </w:p>
        </w:tc>
        <w:tc>
          <w:tcPr>
            <w:tcW w:w="14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w:t>
            </w:r>
            <w:r/>
          </w:p>
        </w:tc>
        <w:tc>
          <w:tcPr>
            <w:tcW w:w="118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计重收费</w:t>
            </w:r>
            <w:r/>
          </w:p>
        </w:tc>
        <w:tc>
          <w:tcPr>
            <w:tcW w:w="138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382"/>
        </w:trPr>
        <w:tc>
          <w:tcPr>
            <w:gridSpan w:val="8"/>
            <w:tcW w:w="98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合同金额（大写）：按照实际计重收费结算</w:t>
            </w:r>
            <w:bookmarkEnd w:id="31"/>
            <w:bookmarkEnd w:id="32"/>
            <w:r/>
          </w:p>
        </w:tc>
      </w:tr>
    </w:tbl>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 </w:t>
      </w:r>
      <w:bookmarkStart w:id="33" w:name="PO_UP1"/>
      <w:r>
        <w:rPr>
          <w:rFonts w:hint="eastAsia" w:ascii="宋体" w:hAnsi="宋体" w:eastAsia="宋体" w:cs="宋体"/>
          <w:b/>
          <w:bCs/>
          <w:sz w:val="24"/>
          <w:szCs w:val="24"/>
          <w:lang w:val="en-US" w:eastAsia="zh-CN"/>
        </w:rPr>
        <w:t xml:space="preserve">备注：以上价格包含处置、运输和增值税等所有费用。</w:t>
      </w:r>
      <w:r/>
    </w:p>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三、甲方的义务和责任</w:t>
      </w:r>
      <w:bookmarkEnd w:id="33"/>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bookmarkStart w:id="34" w:name="PO_UP4"/>
      <w:r>
        <w:rPr>
          <w:rFonts w:hint="eastAsia" w:ascii="宋体" w:hAnsi="宋体" w:eastAsia="宋体" w:cs="宋体"/>
          <w:sz w:val="24"/>
          <w:szCs w:val="24"/>
          <w:lang w:val="en-US" w:eastAsia="zh-CN"/>
        </w:rPr>
        <w:t xml:space="preserve">1、甲方必须将医疗废物用规范的包装袋装好放入医疗废物标准收集箱或桶中，并及时封盖。对不符合要求的，乙方按照国家相关规定执行。</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2、损伤性废物必须用专用锐器盒封装。对不符合要求的，乙方按照国家相关规定执行。</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3、甲方将医疗废物送到指定收集点： 本院医废暂存间统一存放。收集点应便于乙方收集车辆进入、停靠、装卸，收集点备有计量台秤。</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4、甲方应按本合同约定及时足额支付处置费用。逾期60日不支付处置费用，乙方依照合同处罚在告知甲方一周后停止收集甲方的医疗废物，终止执行本合同。</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5、甲方在合同期内将医疗废物交由第三方处理，由此产生的环境污染及相关责任由甲方负责。</w:t>
      </w:r>
      <w:r/>
    </w:p>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四、乙方的义务和责任</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1、乙方提供企业基本信息（营业执照、机构代码复印件及汇款账户信息）及《危险废物经营许可证》复印件交甲方存档。</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2、乙方与甲方共同办理所需的相关环保手续，签收危险废物转移联单（医疗废物专用）。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3、乙方严格按照国家相关规定，安全、无害化处置废物，并承担该废物运输和处置过程中引发的环保、安全事故的法律责任和义务。</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4、乙方委托有医疗废物运输资质的运输单位按照双方商定的收集时间和频次到指定收集点收集医疗废物，并负责该废物的运输。甲方在收集点给予必要的装运配合，并指定交接人员按规定办理交接、登记手续。</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5、乙方在规定的时间依据本合同第五条第2款开具符合规定的行业发票。</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6、乙方应按照双方约定时间地点派遣</w:t>
      </w:r>
      <w:r>
        <w:rPr>
          <w:rFonts w:hint="eastAsia" w:ascii="宋体" w:hAnsi="宋体" w:eastAsia="宋体" w:cs="宋体"/>
          <w:sz w:val="24"/>
          <w:szCs w:val="24"/>
          <w:lang w:eastAsia="zh-CN"/>
        </w:rPr>
        <w:t xml:space="preserve">专用防渗漏、防遗撒、配备GPS定位系统</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eastAsia="zh-CN"/>
        </w:rPr>
        <w:t xml:space="preserve">密闭车辆</w:t>
      </w:r>
      <w:r>
        <w:rPr>
          <w:rFonts w:hint="eastAsia" w:ascii="宋体" w:hAnsi="宋体" w:eastAsia="宋体" w:cs="宋体"/>
          <w:sz w:val="24"/>
          <w:szCs w:val="24"/>
          <w:lang w:val="en-US" w:eastAsia="zh-CN"/>
        </w:rPr>
        <w:t xml:space="preserve">且医废</w:t>
      </w:r>
      <w:r>
        <w:rPr>
          <w:rFonts w:hint="eastAsia" w:ascii="宋体" w:hAnsi="宋体" w:eastAsia="宋体" w:cs="宋体"/>
          <w:sz w:val="24"/>
          <w:szCs w:val="24"/>
          <w:lang w:eastAsia="zh-CN"/>
        </w:rPr>
        <w:t xml:space="preserve">标识清晰</w:t>
      </w:r>
      <w:r>
        <w:rPr>
          <w:rFonts w:hint="eastAsia" w:ascii="宋体" w:hAnsi="宋体" w:eastAsia="宋体" w:cs="宋体"/>
          <w:sz w:val="24"/>
          <w:szCs w:val="24"/>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7、乙方配备的</w:t>
      </w:r>
      <w:r>
        <w:rPr>
          <w:rFonts w:hint="eastAsia" w:ascii="宋体" w:hAnsi="宋体" w:eastAsia="宋体" w:cs="宋体"/>
          <w:sz w:val="24"/>
          <w:szCs w:val="24"/>
          <w:lang w:eastAsia="zh-CN"/>
        </w:rPr>
        <w:t xml:space="preserve">运输人员</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eastAsia="zh-CN"/>
        </w:rPr>
        <w:t xml:space="preserve">经过专业培训，</w:t>
      </w:r>
      <w:r>
        <w:rPr>
          <w:rFonts w:hint="eastAsia" w:ascii="宋体" w:hAnsi="宋体" w:eastAsia="宋体" w:cs="宋体"/>
          <w:sz w:val="24"/>
          <w:szCs w:val="24"/>
          <w:lang w:val="en-US" w:eastAsia="zh-CN"/>
        </w:rPr>
        <w:t xml:space="preserve">运输过程需</w:t>
      </w:r>
      <w:r>
        <w:rPr>
          <w:rFonts w:hint="eastAsia" w:ascii="宋体" w:hAnsi="宋体" w:eastAsia="宋体" w:cs="宋体"/>
          <w:sz w:val="24"/>
          <w:szCs w:val="24"/>
          <w:lang w:eastAsia="zh-CN"/>
        </w:rPr>
        <w:t xml:space="preserve">配备必要防护装备。</w:t>
      </w:r>
      <w:r/>
    </w:p>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五、结算方式</w:t>
      </w:r>
      <w:bookmarkStart w:id="35" w:name="PO_UP3"/>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按照实际收集和双方确认的数量（以《危险废物转移联单》（医疗废物专用）确认的数量为准），乙方开具增值税专用发票，甲方于次月25日前结清本月处置费用。</w:t>
      </w:r>
      <w:bookmarkEnd w:id="35"/>
      <w:r/>
      <w:r/>
    </w:p>
    <w:p>
      <w:pPr>
        <w:numPr>
          <w:ilvl w:val="0"/>
          <w:numId w:val="0"/>
        </w:num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六、合同有效期限</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本合同有效期一年：自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日起至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日止。</w:t>
      </w:r>
      <w:r/>
    </w:p>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七、违约责任</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甲乙双方在执行本合同中发生争议时，应友好协商解决；协商未果，向甲方所在地人民法院提起诉讼</w:t>
      </w:r>
      <w:r>
        <w:rPr>
          <w:rFonts w:hint="eastAsia" w:ascii="宋体" w:hAnsi="宋体" w:eastAsia="宋体" w:cs="宋体"/>
          <w:sz w:val="24"/>
          <w:szCs w:val="24"/>
          <w:lang w:val="en-US" w:eastAsia="zh-CN"/>
        </w:rPr>
        <w:t xml:space="preserve">。乙方在本合同项的联系方式是：</w:t>
      </w:r>
      <w:r>
        <w:rPr>
          <w:rFonts w:hint="eastAsia" w:ascii="宋体" w:hAnsi="宋体" w:eastAsia="宋体" w:cs="宋体"/>
          <w:b w:val="0"/>
          <w:bCs w:val="0"/>
          <w:sz w:val="24"/>
          <w:szCs w:val="24"/>
          <w:lang w:val="en-US" w:eastAsia="zh-CN"/>
        </w:rPr>
        <w:t xml:space="preserve">0511-83352275</w:t>
      </w:r>
      <w:r>
        <w:rPr>
          <w:rFonts w:hint="eastAsia" w:ascii="宋体" w:hAnsi="宋体" w:eastAsia="宋体" w:cs="宋体"/>
          <w:sz w:val="24"/>
          <w:szCs w:val="24"/>
          <w:lang w:val="en-US" w:eastAsia="zh-CN"/>
        </w:rPr>
        <w:t xml:space="preserve">；联系地址：镇江新区新材料产业园越河街208号；联系人姓名：曹杰，联系电话：13052901160，该联系方式，既可作为双方送达使用，亦可作为人民法院向乙方送达使用。</w:t>
      </w:r>
      <w:r/>
    </w:p>
    <w:p>
      <w:pPr>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八、其他</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1、合同执行期间，如国家、省、市财税、卫生、环保部门有新的收费政策出台，将按国家、省、市财税、卫生、环保部门新的收费政策、法规执行，若收费单价高于合同价则按合同价执行。</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2、甲乙双方按照危险废物的管理规定，做好医废的称重、登记工作（双方签字确认）。乙方按照规定开具《危险废物转移联单（医疗废物专用）》（执行江苏省危险废物转移网上报告制后停用）。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3、乙方提供在甲方医废集中存放地点的周转箱（桶）200只，甲方不得转作他用，造成遗失、损坏或因甲方要求另增加的周转箱（桶），甲方应按照105元/只支付乙方周转箱费用。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甲方若未取到一般纳税人资格，则乙方向甲方开具增值税普通发票；甲方取得一般纳税人资格并向乙方提供完整的开票信息后，乙方向甲方开具增值税专用发票。增值税普通发票和增值税专用发票执行统一价格。 </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5、合同生效及终止：合同经甲乙双方签字盖章后生效。</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6、本合同在下列情况下终止：乙方未依法取得《危险废物经营许可证》或出现本协议的规定的终止协议的情形。</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7、考核内容：如供应商服务过程中出现以下情况，医院将依照合同考核条款对供应商进行相应考核，每次考核的具体金额根据实际情节严重程度扣减服务费人民币50-2000元。</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7.1未</w:t>
      </w:r>
      <w:r>
        <w:rPr>
          <w:rFonts w:hint="eastAsia" w:ascii="宋体" w:hAnsi="宋体" w:eastAsia="宋体" w:cs="宋体"/>
          <w:sz w:val="24"/>
          <w:szCs w:val="24"/>
          <w:lang w:eastAsia="zh-CN"/>
        </w:rPr>
        <w:t xml:space="preserve">使用专用防渗漏、防遗撒的密闭车辆</w:t>
      </w:r>
      <w:r>
        <w:rPr>
          <w:rFonts w:hint="eastAsia" w:ascii="宋体" w:hAnsi="宋体" w:eastAsia="宋体" w:cs="宋体"/>
          <w:sz w:val="24"/>
          <w:szCs w:val="24"/>
          <w:lang w:val="en-US" w:eastAsia="zh-CN"/>
        </w:rPr>
        <w:t xml:space="preserve">且医废</w:t>
      </w:r>
      <w:r>
        <w:rPr>
          <w:rFonts w:hint="eastAsia" w:ascii="宋体" w:hAnsi="宋体" w:eastAsia="宋体" w:cs="宋体"/>
          <w:sz w:val="24"/>
          <w:szCs w:val="24"/>
          <w:lang w:eastAsia="zh-CN"/>
        </w:rPr>
        <w:t xml:space="preserve">标识</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lang w:eastAsia="zh-CN"/>
        </w:rPr>
        <w:t xml:space="preserve">清晰，</w:t>
      </w:r>
      <w:r>
        <w:rPr>
          <w:rFonts w:hint="eastAsia" w:ascii="宋体" w:hAnsi="宋体" w:eastAsia="宋体" w:cs="宋体"/>
          <w:sz w:val="24"/>
          <w:szCs w:val="24"/>
          <w:lang w:val="en-US" w:eastAsia="zh-CN"/>
        </w:rPr>
        <w:t xml:space="preserve">影响医院医疗废物正常装车转运的；</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w:t>
      </w:r>
      <w:r>
        <w:rPr>
          <w:rFonts w:hint="eastAsia" w:ascii="宋体" w:hAnsi="宋体" w:eastAsia="宋体" w:cs="宋体"/>
          <w:sz w:val="24"/>
          <w:szCs w:val="24"/>
          <w:lang w:eastAsia="zh-CN"/>
        </w:rPr>
        <w:t xml:space="preserve">使用车辆</w:t>
      </w:r>
      <w:r>
        <w:rPr>
          <w:rFonts w:hint="eastAsia" w:ascii="宋体" w:hAnsi="宋体" w:eastAsia="宋体" w:cs="宋体"/>
          <w:sz w:val="24"/>
          <w:szCs w:val="24"/>
          <w:lang w:val="en-US" w:eastAsia="zh-CN"/>
        </w:rPr>
        <w:t xml:space="preserve">因未</w:t>
      </w:r>
      <w:r>
        <w:rPr>
          <w:rFonts w:hint="eastAsia" w:ascii="宋体" w:hAnsi="宋体" w:eastAsia="宋体" w:cs="宋体"/>
          <w:sz w:val="24"/>
          <w:szCs w:val="24"/>
          <w:lang w:eastAsia="zh-CN"/>
        </w:rPr>
        <w:t xml:space="preserve">配备GPS定位系统、运输路线</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lang w:eastAsia="zh-CN"/>
        </w:rPr>
        <w:t xml:space="preserve">合规、中途停靠敏感区域</w:t>
      </w:r>
      <w:r>
        <w:rPr>
          <w:rFonts w:hint="eastAsia" w:ascii="宋体" w:hAnsi="宋体" w:eastAsia="宋体" w:cs="宋体"/>
          <w:sz w:val="24"/>
          <w:szCs w:val="24"/>
          <w:lang w:val="en-US" w:eastAsia="zh-CN"/>
        </w:rPr>
        <w:t xml:space="preserve">等被行政处罚整顿，导致医院医疗废物无法正常装车转运的；</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7.3</w:t>
      </w:r>
      <w:r>
        <w:rPr>
          <w:rFonts w:hint="eastAsia" w:ascii="宋体" w:hAnsi="宋体" w:eastAsia="宋体" w:cs="宋体"/>
          <w:sz w:val="24"/>
          <w:szCs w:val="24"/>
          <w:lang w:eastAsia="zh-CN"/>
        </w:rPr>
        <w:t xml:space="preserve">运输人员</w:t>
      </w:r>
      <w:r>
        <w:rPr>
          <w:rFonts w:hint="eastAsia" w:ascii="宋体" w:hAnsi="宋体" w:eastAsia="宋体" w:cs="宋体"/>
          <w:sz w:val="24"/>
          <w:szCs w:val="24"/>
          <w:lang w:val="en-US" w:eastAsia="zh-CN"/>
        </w:rPr>
        <w:t xml:space="preserve">未</w:t>
      </w:r>
      <w:r>
        <w:rPr>
          <w:rFonts w:hint="eastAsia" w:ascii="宋体" w:hAnsi="宋体" w:eastAsia="宋体" w:cs="宋体"/>
          <w:sz w:val="24"/>
          <w:szCs w:val="24"/>
          <w:lang w:eastAsia="zh-CN"/>
        </w:rPr>
        <w:t xml:space="preserve">经过专业培训，</w:t>
      </w:r>
      <w:r>
        <w:rPr>
          <w:rFonts w:hint="eastAsia" w:ascii="宋体" w:hAnsi="宋体" w:eastAsia="宋体" w:cs="宋体"/>
          <w:sz w:val="24"/>
          <w:szCs w:val="24"/>
          <w:lang w:val="en-US" w:eastAsia="zh-CN"/>
        </w:rPr>
        <w:t xml:space="preserve">运输过程未</w:t>
      </w:r>
      <w:r>
        <w:rPr>
          <w:rFonts w:hint="eastAsia" w:ascii="宋体" w:hAnsi="宋体" w:eastAsia="宋体" w:cs="宋体"/>
          <w:sz w:val="24"/>
          <w:szCs w:val="24"/>
          <w:lang w:eastAsia="zh-CN"/>
        </w:rPr>
        <w:t xml:space="preserve">配备必要防护装备，</w:t>
      </w:r>
      <w:r>
        <w:rPr>
          <w:rFonts w:hint="eastAsia" w:ascii="宋体" w:hAnsi="宋体" w:eastAsia="宋体" w:cs="宋体"/>
          <w:sz w:val="24"/>
          <w:szCs w:val="24"/>
          <w:lang w:val="en-US" w:eastAsia="zh-CN"/>
        </w:rPr>
        <w:t xml:space="preserve">由此导致医院医疗废物无法正常装车转运的；</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7.4医废专用车未能每日准时或提前到达医院指定地点，由此影响当天医疗废物正常装车转运的。</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九、本合同乙方委托代理人权限仅限于签订本合同以及作为本协议项下业务乙方的联系人。关于本合同确定的双方权利义务的任何变更甲、乙双方仍应签订书面补充协议，补充协议经双方盖章后生效。</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十、本合同壹式肆份，甲、乙双方各执贰份。合同未尽事宜，甲乙双方可商定补充协议，补充协议经双方签字盖章后与本合同具有同等法律效力。</w:t>
      </w:r>
      <w:bookmarkEnd w:id="34"/>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（以下无正文）</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甲方（单位盖章）：镇江市第一人民医院                                     </w:t>
      </w:r>
      <w:r/>
    </w:p>
    <w:p>
      <w:pPr>
        <w:spacing w:line="360" w:lineRule="auto"/>
        <w:rPr>
          <w:rFonts w:hint="eastAsia" w:ascii="宋体" w:hAnsi="宋体" w:cs="宋体"/>
          <w:sz w:val="24"/>
          <w:szCs w:val="24"/>
        </w:rPr>
      </w:pPr>
      <w:r>
        <w:rPr>
          <w:rFonts w:hint="eastAsia" w:ascii="宋体" w:hAnsi="宋体" w:cs="宋体"/>
          <w:sz w:val="24"/>
          <w:szCs w:val="24"/>
        </w:rPr>
        <w:t xml:space="preserve">单位地址：镇江市润州区电力路8号</w:t>
      </w:r>
      <w:r/>
    </w:p>
    <w:p>
      <w:pPr>
        <w:spacing w:line="360" w:lineRule="auto"/>
        <w:rPr>
          <w:rFonts w:hint="eastAsia" w:ascii="宋体" w:hAnsi="宋体" w:cs="宋体"/>
          <w:sz w:val="24"/>
          <w:szCs w:val="24"/>
        </w:rPr>
      </w:pPr>
      <w:r>
        <w:rPr>
          <w:rFonts w:hint="eastAsia" w:ascii="宋体" w:hAnsi="宋体" w:cs="宋体"/>
          <w:sz w:val="24"/>
          <w:szCs w:val="24"/>
        </w:rPr>
        <w:t xml:space="preserve">联系电话：0511-88917939 </w:t>
      </w:r>
      <w:r/>
    </w:p>
    <w:p>
      <w:pPr>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    </w:t>
      </w:r>
      <w:r/>
    </w:p>
    <w:p>
      <w:pPr>
        <w:spacing w:line="360" w:lineRule="auto"/>
        <w:rPr>
          <w:rFonts w:hint="eastAsia" w:ascii="宋体" w:hAnsi="宋体" w:cs="宋体"/>
          <w:sz w:val="24"/>
          <w:szCs w:val="24"/>
        </w:rPr>
      </w:pPr>
      <w:r>
        <w:rPr>
          <w:rFonts w:hint="eastAsia" w:ascii="宋体" w:hAnsi="宋体" w:cs="宋体"/>
          <w:sz w:val="24"/>
          <w:szCs w:val="24"/>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乙方（单位盖章）：                                     </w:t>
      </w:r>
      <w:r/>
    </w:p>
    <w:p>
      <w:pPr>
        <w:spacing w:line="360" w:lineRule="auto"/>
        <w:rPr>
          <w:rFonts w:hint="eastAsia" w:ascii="宋体" w:hAnsi="宋体" w:cs="宋体"/>
          <w:sz w:val="24"/>
          <w:szCs w:val="24"/>
        </w:rPr>
      </w:pPr>
      <w:r>
        <w:rPr>
          <w:rFonts w:hint="eastAsia" w:ascii="宋体" w:hAnsi="宋体" w:cs="宋体"/>
          <w:sz w:val="24"/>
          <w:szCs w:val="24"/>
        </w:rPr>
        <w:t xml:space="preserve">单位地址：</w:t>
      </w:r>
      <w:r/>
    </w:p>
    <w:p>
      <w:pPr>
        <w:spacing w:line="360" w:lineRule="auto"/>
        <w:rPr>
          <w:rFonts w:hint="eastAsia" w:ascii="宋体" w:hAnsi="宋体" w:cs="宋体"/>
          <w:sz w:val="24"/>
          <w:szCs w:val="24"/>
        </w:rPr>
      </w:pPr>
      <w:r>
        <w:rPr>
          <w:rFonts w:hint="eastAsia" w:ascii="宋体" w:hAnsi="宋体" w:cs="宋体"/>
          <w:sz w:val="24"/>
          <w:szCs w:val="24"/>
        </w:rPr>
        <w:t xml:space="preserve">联系电话： </w:t>
      </w:r>
      <w:r/>
    </w:p>
    <w:p>
      <w:pPr>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60" w:lineRule="auto"/>
        <w:rPr>
          <w:rFonts w:hint="eastAsia" w:ascii="宋体" w:hAnsi="宋体" w:cs="宋体"/>
          <w:b/>
          <w:bCs/>
          <w:sz w:val="24"/>
          <w:szCs w:val="24"/>
        </w:rPr>
      </w:pPr>
      <w:r>
        <w:rPr>
          <w:rFonts w:hint="eastAsia" w:ascii="宋体" w:hAnsi="宋体" w:cs="宋体"/>
          <w:bCs/>
          <w:color w:val="000000"/>
          <w:sz w:val="24"/>
          <w:szCs w:val="24"/>
        </w:rPr>
        <w:t xml:space="preserve">                                         </w:t>
      </w:r>
      <w:r>
        <w:rPr>
          <w:rFonts w:hint="eastAsia" w:ascii="宋体" w:hAnsi="宋体" w:cs="宋体"/>
          <w:b/>
          <w:bCs/>
          <w:sz w:val="24"/>
          <w:szCs w:val="24"/>
        </w:rPr>
        <w:t xml:space="preserve">合同签订日期：  年  月  日</w:t>
      </w:r>
      <w:r/>
    </w:p>
    <w:p>
      <w:pPr>
        <w:rPr>
          <w:rFonts w:hint="eastAsia" w:ascii="宋体" w:hAnsi="宋体" w:cs="宋体"/>
          <w:b/>
          <w:bCs/>
          <w:sz w:val="24"/>
          <w:szCs w:val="24"/>
        </w:rPr>
      </w:pPr>
      <w:r>
        <w:rPr>
          <w:rFonts w:hint="eastAsia" w:ascii="宋体" w:hAnsi="宋体" w:cs="宋体"/>
          <w:b/>
          <w:bCs/>
          <w:sz w:val="24"/>
          <w:szCs w:val="24"/>
        </w:rPr>
        <w:br w:type="page" w:clear="all"/>
      </w:r>
      <w:r/>
    </w:p>
    <w:p>
      <w:pPr>
        <w:pStyle w:val="752"/>
        <w:rPr>
          <w:rFonts w:hint="eastAsia"/>
        </w:rPr>
      </w:pPr>
      <w:r>
        <w:rPr>
          <w:rFonts w:hint="eastAsia"/>
        </w:rPr>
      </w:r>
      <w:r/>
    </w:p>
    <w:p>
      <w:pPr>
        <w:pStyle w:val="764"/>
        <w:ind w:left="0" w:firstLine="0"/>
        <w:jc w:val="center"/>
        <w:spacing w:before="49" w:line="360" w:lineRule="auto"/>
        <w:rPr>
          <w:rFonts w:ascii="宋体" w:hAnsi="宋体" w:eastAsia="宋体" w:cs="宋体"/>
          <w:spacing w:val="-1"/>
          <w:sz w:val="36"/>
          <w:szCs w:val="36"/>
          <w:lang w:eastAsia="zh-CN"/>
          <w14:textOutline w14:w="6527" w14:cap="flat" w14:cmpd="sng" w14:algn="ctr">
            <w14:solidFill>
              <w14:srgbClr w14:val="000000"/>
            </w14:solidFill>
            <w14:prstDash w14:val="solid"/>
            <w14:miter/>
          </w14:textOutline>
        </w:rPr>
        <w:outlineLvl w:val="0"/>
      </w:pPr>
      <w:r>
        <w:rPr>
          <w:rFonts w:ascii="宋体" w:hAnsi="宋体" w:eastAsia="宋体" w:cs="宋体"/>
          <w:spacing w:val="-1"/>
          <w:sz w:val="36"/>
          <w:szCs w:val="36"/>
          <w:lang w:eastAsia="zh-CN"/>
          <w14:textOutline w14:w="6527" w14:cap="flat" w14:cmpd="sng" w14:algn="ctr">
            <w14:solidFill>
              <w14:srgbClr w14:val="000000"/>
            </w14:solidFill>
            <w14:prstDash w14:val="solid"/>
            <w14:miter/>
          </w14:textOutline>
        </w:rPr>
        <w:t xml:space="preserve">第五部分</w:t>
      </w:r>
      <w:r>
        <w:rPr>
          <w:rFonts w:hint="eastAsia" w:ascii="宋体" w:hAnsi="宋体" w:eastAsia="宋体" w:cs="宋体"/>
          <w:spacing w:val="-1"/>
          <w:sz w:val="36"/>
          <w:szCs w:val="36"/>
          <w:lang w:val="en-US" w:eastAsia="zh-CN"/>
          <w14:textOutline w14:w="6527" w14:cap="flat" w14:cmpd="sng" w14:algn="ctr">
            <w14:solidFill>
              <w14:srgbClr w14:val="000000"/>
            </w14:solidFill>
            <w14:prstDash w14:val="solid"/>
            <w14:miter/>
          </w14:textOutline>
        </w:rPr>
        <w:t xml:space="preserve"> </w:t>
      </w:r>
      <w:r>
        <w:rPr>
          <w:rFonts w:ascii="宋体" w:hAnsi="宋体" w:eastAsia="宋体" w:cs="宋体"/>
          <w:spacing w:val="-1"/>
          <w:sz w:val="36"/>
          <w:szCs w:val="36"/>
          <w:lang w:eastAsia="zh-CN"/>
          <w14:textOutline w14:w="6527" w14:cap="flat" w14:cmpd="sng" w14:algn="ctr">
            <w14:solidFill>
              <w14:srgbClr w14:val="000000"/>
            </w14:solidFill>
            <w14:prstDash w14:val="solid"/>
            <w14:miter/>
          </w14:textOutline>
        </w:rPr>
        <w:t xml:space="preserve">响应文件格式</w:t>
      </w:r>
      <w:bookmarkEnd w:id="28"/>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764"/>
        <w:jc w:val="center"/>
        <w:spacing w:before="175" w:line="360" w:lineRule="auto"/>
        <w:rPr>
          <w:sz w:val="54"/>
          <w:szCs w:val="54"/>
          <w:lang w:eastAsia="zh-CN"/>
        </w:rPr>
      </w:pPr>
      <w:r/>
      <w:bookmarkStart w:id="36" w:name="_Toc146139446"/>
      <w:r>
        <w:rPr>
          <w:spacing w:val="-26"/>
          <w:sz w:val="54"/>
          <w:szCs w:val="54"/>
          <w:lang w:eastAsia="zh-CN"/>
        </w:rPr>
        <w:t xml:space="preserve">协</w:t>
      </w:r>
      <w:r>
        <w:rPr>
          <w:spacing w:val="18"/>
          <w:sz w:val="54"/>
          <w:szCs w:val="54"/>
          <w:lang w:eastAsia="zh-CN"/>
        </w:rPr>
        <w:t xml:space="preserve">  </w:t>
      </w:r>
      <w:r>
        <w:rPr>
          <w:spacing w:val="-26"/>
          <w:sz w:val="54"/>
          <w:szCs w:val="54"/>
          <w:lang w:eastAsia="zh-CN"/>
        </w:rPr>
        <w:t xml:space="preserve">商</w:t>
      </w:r>
      <w:r>
        <w:rPr>
          <w:spacing w:val="24"/>
          <w:sz w:val="54"/>
          <w:szCs w:val="54"/>
          <w:lang w:eastAsia="zh-CN"/>
        </w:rPr>
        <w:t xml:space="preserve">  </w:t>
      </w:r>
      <w:r>
        <w:rPr>
          <w:spacing w:val="-26"/>
          <w:sz w:val="54"/>
          <w:szCs w:val="54"/>
          <w:lang w:eastAsia="zh-CN"/>
        </w:rPr>
        <w:t xml:space="preserve">响</w:t>
      </w:r>
      <w:r>
        <w:rPr>
          <w:spacing w:val="11"/>
          <w:sz w:val="54"/>
          <w:szCs w:val="54"/>
          <w:lang w:eastAsia="zh-CN"/>
        </w:rPr>
        <w:t xml:space="preserve">  </w:t>
      </w:r>
      <w:r>
        <w:rPr>
          <w:spacing w:val="-26"/>
          <w:sz w:val="54"/>
          <w:szCs w:val="54"/>
          <w:lang w:eastAsia="zh-CN"/>
        </w:rPr>
        <w:t xml:space="preserve">应</w:t>
      </w:r>
      <w:r>
        <w:rPr>
          <w:spacing w:val="13"/>
          <w:sz w:val="54"/>
          <w:szCs w:val="54"/>
          <w:lang w:eastAsia="zh-CN"/>
        </w:rPr>
        <w:t xml:space="preserve">  </w:t>
      </w:r>
      <w:r>
        <w:rPr>
          <w:spacing w:val="-26"/>
          <w:sz w:val="54"/>
          <w:szCs w:val="54"/>
          <w:lang w:eastAsia="zh-CN"/>
        </w:rPr>
        <w:t xml:space="preserve">文</w:t>
      </w:r>
      <w:r>
        <w:rPr>
          <w:spacing w:val="9"/>
          <w:sz w:val="54"/>
          <w:szCs w:val="54"/>
          <w:lang w:eastAsia="zh-CN"/>
        </w:rPr>
        <w:t xml:space="preserve">  </w:t>
      </w:r>
      <w:r>
        <w:rPr>
          <w:spacing w:val="-26"/>
          <w:sz w:val="54"/>
          <w:szCs w:val="54"/>
          <w:lang w:eastAsia="zh-CN"/>
        </w:rPr>
        <w:t xml:space="preserve">件</w:t>
      </w:r>
      <w:bookmarkEnd w:id="36"/>
      <w:r/>
      <w:r/>
    </w:p>
    <w:p>
      <w:pPr>
        <w:spacing w:line="360" w:lineRule="auto"/>
        <w:rPr>
          <w:rFonts w:ascii="宋体" w:hAnsi="宋体" w:eastAsia="宋体"/>
          <w:highlight w:val="none"/>
          <w:lang w:eastAsia="zh-CN"/>
        </w:rPr>
      </w:pPr>
      <w:r>
        <w:rPr>
          <w:rFonts w:ascii="宋体" w:hAnsi="宋体" w:eastAsia="宋体"/>
          <w:highlight w:val="none"/>
          <w:lang w:eastAsia="zh-CN"/>
        </w:rPr>
      </w:r>
      <w:r/>
    </w:p>
    <w:p>
      <w:pPr>
        <w:spacing w:line="360" w:lineRule="auto"/>
        <w:rPr>
          <w:rFonts w:ascii="宋体" w:hAnsi="宋体" w:eastAsia="宋体"/>
          <w:highlight w:val="none"/>
          <w:lang w:eastAsia="zh-CN"/>
        </w:rPr>
      </w:pPr>
      <w:r>
        <w:rPr>
          <w:rFonts w:ascii="宋体" w:hAnsi="宋体" w:eastAsia="宋体"/>
          <w:highlight w:val="none"/>
          <w:lang w:eastAsia="zh-CN"/>
        </w:rPr>
      </w:r>
      <w:r/>
    </w:p>
    <w:p>
      <w:pPr>
        <w:spacing w:line="360" w:lineRule="auto"/>
        <w:rPr>
          <w:rFonts w:ascii="宋体" w:hAnsi="宋体" w:eastAsia="宋体"/>
          <w:highlight w:val="none"/>
          <w:lang w:eastAsia="zh-CN"/>
        </w:rPr>
      </w:pPr>
      <w:r>
        <w:rPr>
          <w:rFonts w:ascii="宋体" w:hAnsi="宋体" w:eastAsia="宋体"/>
          <w:highlight w:val="none"/>
          <w:lang w:eastAsia="zh-CN"/>
        </w:rPr>
      </w:r>
      <w:r/>
    </w:p>
    <w:p>
      <w:pPr>
        <w:spacing w:line="360" w:lineRule="auto"/>
        <w:rPr>
          <w:rFonts w:ascii="宋体" w:hAnsi="宋体" w:eastAsia="宋体"/>
          <w:highlight w:val="none"/>
          <w:lang w:eastAsia="zh-CN"/>
        </w:rPr>
      </w:pPr>
      <w:r>
        <w:rPr>
          <w:rFonts w:ascii="宋体" w:hAnsi="宋体" w:eastAsia="宋体"/>
          <w:highlight w:val="none"/>
          <w:lang w:eastAsia="zh-CN"/>
        </w:rPr>
      </w:r>
      <w:r/>
    </w:p>
    <w:p>
      <w:pPr>
        <w:pStyle w:val="764"/>
        <w:ind w:left="0" w:firstLine="0"/>
        <w:jc w:val="center"/>
        <w:spacing w:before="101" w:line="360" w:lineRule="auto"/>
        <w:rPr>
          <w:rFonts w:hint="default"/>
          <w:spacing w:val="-7"/>
          <w:highlight w:val="none"/>
          <w:lang w:val="en-US" w:eastAsia="zh-CN"/>
          <w14:textOutline w14:w="5791" w14:cap="flat" w14:cmpd="sng" w14:algn="ctr">
            <w14:solidFill>
              <w14:srgbClr w14:val="000000"/>
            </w14:solidFill>
            <w14:prstDash w14:val="solid"/>
            <w14:miter/>
          </w14:textOutline>
        </w:rPr>
      </w:pPr>
      <w:r>
        <w:rPr>
          <w:rFonts w:hint="eastAsia"/>
          <w:spacing w:val="-7"/>
          <w:highlight w:val="none"/>
          <w:lang w:eastAsia="zh-CN"/>
          <w14:textOutline w14:w="5791" w14:cap="flat" w14:cmpd="sng" w14:algn="ctr">
            <w14:solidFill>
              <w14:srgbClr w14:val="000000"/>
            </w14:solidFill>
            <w14:prstDash w14:val="solid"/>
            <w14:miter/>
          </w14:textOutline>
        </w:rPr>
        <w:t xml:space="preserve">项目编号：JSZC-321100-JSWX-D2026-0038</w:t>
      </w:r>
      <w:r/>
    </w:p>
    <w:p>
      <w:pPr>
        <w:pStyle w:val="764"/>
        <w:ind w:left="0" w:firstLine="0"/>
        <w:jc w:val="center"/>
        <w:spacing w:before="101" w:line="360" w:lineRule="auto"/>
        <w:rPr>
          <w:rFonts w:hint="eastAsia"/>
          <w:spacing w:val="-7"/>
          <w:highlight w:val="none"/>
          <w:lang w:eastAsia="zh-CN"/>
          <w14:textOutline w14:w="5791" w14:cap="flat" w14:cmpd="sng" w14:algn="ctr">
            <w14:solidFill>
              <w14:srgbClr w14:val="000000"/>
            </w14:solidFill>
            <w14:prstDash w14:val="solid"/>
            <w14:miter/>
          </w14:textOutline>
        </w:rPr>
      </w:pPr>
      <w:r>
        <w:rPr>
          <w:rFonts w:hint="eastAsia"/>
          <w:spacing w:val="-7"/>
          <w:highlight w:val="none"/>
          <w:lang w:eastAsia="zh-CN"/>
          <w14:textOutline w14:w="5791" w14:cap="flat" w14:cmpd="sng" w14:algn="ctr">
            <w14:solidFill>
              <w14:srgbClr w14:val="000000"/>
            </w14:solidFill>
            <w14:prstDash w14:val="solid"/>
            <w14:miter/>
          </w14:textOutline>
        </w:rPr>
      </w:r>
      <w:r/>
    </w:p>
    <w:p>
      <w:pPr>
        <w:pStyle w:val="764"/>
        <w:ind w:left="0" w:firstLine="0"/>
        <w:jc w:val="center"/>
        <w:spacing w:before="101" w:line="360" w:lineRule="auto"/>
        <w:rPr>
          <w:lang w:eastAsia="zh-CN"/>
        </w:rPr>
      </w:pPr>
      <w:r>
        <w:rPr>
          <w:rFonts w:hint="eastAsia"/>
          <w:spacing w:val="-7"/>
          <w:highlight w:val="none"/>
          <w:lang w:eastAsia="zh-CN"/>
          <w14:textOutline w14:w="5791" w14:cap="flat" w14:cmpd="sng" w14:algn="ctr">
            <w14:solidFill>
              <w14:srgbClr w14:val="000000"/>
            </w14:solidFill>
            <w14:prstDash w14:val="solid"/>
            <w14:miter/>
          </w14:textOutline>
        </w:rPr>
        <w:t xml:space="preserve">项目名称：镇江市第一人民医院医废处置项目</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764"/>
        <w:rPr>
          <w:sz w:val="21"/>
          <w:lang w:eastAsia="zh-CN"/>
        </w:rPr>
      </w:pPr>
      <w:r>
        <w:rPr>
          <w:sz w:val="21"/>
          <w:lang w:eastAsia="zh-CN"/>
        </w:rPr>
      </w:r>
      <w:r/>
    </w:p>
    <w:p>
      <w:pPr>
        <w:rPr>
          <w:rFonts w:ascii="宋体" w:hAnsi="宋体" w:eastAsia="宋体"/>
          <w:lang w:eastAsia="zh-CN"/>
        </w:rPr>
      </w:pPr>
      <w:r>
        <w:rPr>
          <w:rFonts w:ascii="宋体" w:hAnsi="宋体" w:eastAsia="宋体"/>
          <w:lang w:eastAsia="zh-CN"/>
        </w:rPr>
      </w:r>
      <w:r/>
    </w:p>
    <w:p>
      <w:pPr>
        <w:pStyle w:val="764"/>
        <w:rPr>
          <w:sz w:val="21"/>
          <w:lang w:eastAsia="zh-CN"/>
        </w:rPr>
      </w:pPr>
      <w:r>
        <w:rPr>
          <w:sz w:val="21"/>
          <w:lang w:eastAsia="zh-CN"/>
        </w:rPr>
      </w:r>
      <w:r/>
    </w:p>
    <w:p>
      <w:pPr>
        <w:rPr>
          <w:rFonts w:ascii="宋体" w:hAnsi="宋体" w:eastAsia="宋体"/>
          <w:lang w:eastAsia="zh-CN"/>
        </w:rPr>
      </w:pPr>
      <w:r>
        <w:rPr>
          <w:rFonts w:ascii="宋体" w:hAnsi="宋体" w:eastAsia="宋体"/>
          <w:lang w:eastAsia="zh-CN"/>
        </w:rPr>
      </w:r>
      <w:r/>
    </w:p>
    <w:p>
      <w:pPr>
        <w:pStyle w:val="764"/>
        <w:ind w:left="0" w:firstLine="0"/>
        <w:jc w:val="center"/>
        <w:spacing w:before="101" w:line="360" w:lineRule="auto"/>
        <w:rPr>
          <w:rFonts w:ascii="宋体" w:hAnsi="宋体" w:eastAsia="宋体" w:cs="宋体"/>
          <w:spacing w:val="-7"/>
          <w:lang w:eastAsia="zh-CN"/>
          <w14:textOutline w14:w="5791" w14:cap="flat" w14:cmpd="sng" w14:algn="ctr">
            <w14:solidFill>
              <w14:srgbClr w14:val="000000"/>
            </w14:solidFill>
            <w14:prstDash w14:val="solid"/>
            <w14:miter/>
          </w14:textOutline>
        </w:rPr>
      </w:pPr>
      <w:r>
        <w:rPr>
          <w:rFonts w:ascii="宋体" w:hAnsi="宋体" w:eastAsia="宋体" w:cs="宋体"/>
          <w:spacing w:val="-7"/>
          <w:lang w:eastAsia="zh-CN"/>
          <w14:textOutline w14:w="5791" w14:cap="flat" w14:cmpd="sng" w14:algn="ctr">
            <w14:solidFill>
              <w14:srgbClr w14:val="000000"/>
            </w14:solidFill>
            <w14:prstDash w14:val="solid"/>
            <w14:miter/>
          </w14:textOutline>
        </w:rPr>
        <w:t xml:space="preserve">供应商（公章）：</w:t>
      </w:r>
      <w:r/>
    </w:p>
    <w:p>
      <w:pPr>
        <w:spacing w:line="360" w:lineRule="auto"/>
        <w:rPr>
          <w:rFonts w:ascii="宋体" w:hAnsi="宋体" w:eastAsia="宋体"/>
          <w:lang w:eastAsia="zh-CN"/>
        </w:rPr>
      </w:pPr>
      <w:r>
        <w:rPr>
          <w:rFonts w:ascii="宋体" w:hAnsi="宋体" w:eastAsia="宋体"/>
          <w:lang w:eastAsia="zh-CN"/>
        </w:rPr>
      </w:r>
      <w:r/>
    </w:p>
    <w:p>
      <w:pPr>
        <w:spacing w:line="360" w:lineRule="auto"/>
        <w:rPr>
          <w:rFonts w:ascii="宋体" w:hAnsi="宋体" w:eastAsia="宋体"/>
          <w:lang w:eastAsia="zh-CN"/>
        </w:rPr>
      </w:pPr>
      <w:r>
        <w:rPr>
          <w:rFonts w:ascii="宋体" w:hAnsi="宋体" w:eastAsia="宋体"/>
          <w:lang w:eastAsia="zh-CN"/>
        </w:rPr>
      </w:r>
      <w:r/>
    </w:p>
    <w:p>
      <w:pPr>
        <w:pStyle w:val="764"/>
        <w:ind w:left="0" w:firstLine="0"/>
        <w:jc w:val="center"/>
        <w:spacing w:before="101" w:line="360" w:lineRule="auto"/>
        <w:rPr>
          <w:rFonts w:ascii="宋体" w:hAnsi="宋体" w:eastAsia="宋体" w:cs="宋体"/>
          <w:spacing w:val="-7"/>
          <w:lang w:eastAsia="zh-CN"/>
          <w14:textOutline w14:w="5791" w14:cap="flat" w14:cmpd="sng" w14:algn="ctr">
            <w14:solidFill>
              <w14:srgbClr w14:val="000000"/>
            </w14:solidFill>
            <w14:prstDash w14:val="solid"/>
            <w14:miter/>
          </w14:textOutline>
        </w:rPr>
      </w:pPr>
      <w:r>
        <w:rPr>
          <w:rFonts w:ascii="宋体" w:hAnsi="宋体" w:eastAsia="宋体" w:cs="宋体"/>
          <w:spacing w:val="-7"/>
          <w:lang w:eastAsia="zh-CN"/>
          <w14:textOutline w14:w="5791" w14:cap="flat" w14:cmpd="sng" w14:algn="ctr">
            <w14:solidFill>
              <w14:srgbClr w14:val="000000"/>
            </w14:solidFill>
            <w14:prstDash w14:val="solid"/>
            <w14:miter/>
          </w14:textOutline>
        </w:rPr>
        <w:t xml:space="preserve">日期：</w:t>
      </w:r>
      <w:r/>
    </w:p>
    <w:p>
      <w:pPr>
        <w:pStyle w:val="764"/>
        <w:ind w:left="0" w:firstLine="0"/>
        <w:jc w:val="center"/>
        <w:spacing w:before="101" w:line="360" w:lineRule="auto"/>
        <w:rPr>
          <w:rFonts w:ascii="宋体" w:hAnsi="宋体" w:eastAsia="宋体" w:cs="宋体"/>
          <w:spacing w:val="-7"/>
          <w:lang w:eastAsia="zh-CN"/>
          <w14:textOutline w14:w="5791" w14:cap="flat" w14:cmpd="sng" w14:algn="ctr">
            <w14:solidFill>
              <w14:srgbClr w14:val="000000"/>
            </w14:solidFill>
            <w14:prstDash w14:val="solid"/>
            <w14:miter/>
          </w14:textOutline>
        </w:rPr>
        <w:sectPr>
          <w:footerReference w:type="default" r:id="rId10"/>
          <w:footnotePr/>
          <w:endnotePr/>
          <w:type w:val="nextPage"/>
          <w:pgSz w:w="11907" w:h="16839" w:orient="portrait"/>
          <w:pgMar w:top="1440" w:right="1800" w:bottom="1440" w:left="1800" w:header="0" w:footer="1216" w:gutter="0"/>
          <w:cols w:num="1" w:sep="0" w:space="720" w:equalWidth="1"/>
          <w:docGrid w:linePitch="360"/>
        </w:sectPr>
      </w:pPr>
      <w:r>
        <w:rPr>
          <w:rFonts w:ascii="宋体" w:hAnsi="宋体" w:eastAsia="宋体" w:cs="宋体"/>
          <w:spacing w:val="-7"/>
          <w:lang w:eastAsia="zh-CN"/>
          <w14:textOutline w14:w="5791" w14:cap="flat" w14:cmpd="sng" w14:algn="ctr">
            <w14:solidFill>
              <w14:srgbClr w14:val="000000"/>
            </w14:solidFill>
            <w14:prstDash w14:val="solid"/>
            <w14:miter/>
          </w14:textOutline>
        </w:rPr>
      </w:r>
      <w:r/>
    </w:p>
    <w:p>
      <w:pPr>
        <w:pStyle w:val="764"/>
        <w:jc w:val="center"/>
        <w:spacing w:before="91" w:line="360" w:lineRule="auto"/>
        <w:rPr>
          <w:spacing w:val="-8"/>
          <w:sz w:val="28"/>
          <w:szCs w:val="28"/>
          <w:lang w:eastAsia="zh-CN"/>
        </w:rPr>
        <w:outlineLvl w:val="1"/>
      </w:pPr>
      <w:r/>
      <w:bookmarkStart w:id="37" w:name="_Toc146139447"/>
      <w:r>
        <w:rPr>
          <w:rFonts w:hint="eastAsia"/>
          <w:spacing w:val="-8"/>
          <w:sz w:val="28"/>
          <w:szCs w:val="28"/>
          <w:lang w:val="en-US" w:eastAsia="zh-CN"/>
        </w:rPr>
        <w:t xml:space="preserve">(</w:t>
      </w:r>
      <w:r>
        <w:rPr>
          <w:rFonts w:hint="eastAsia"/>
          <w:spacing w:val="-8"/>
          <w:sz w:val="28"/>
          <w:szCs w:val="28"/>
          <w:lang w:eastAsia="zh-CN"/>
        </w:rPr>
        <w:t xml:space="preserve">一</w:t>
      </w:r>
      <w:r>
        <w:rPr>
          <w:rFonts w:hint="eastAsia"/>
          <w:spacing w:val="-8"/>
          <w:sz w:val="28"/>
          <w:szCs w:val="28"/>
          <w:lang w:val="en-US" w:eastAsia="zh-CN"/>
        </w:rPr>
        <w:t xml:space="preserve">)</w:t>
      </w:r>
      <w:r>
        <w:rPr>
          <w:rFonts w:hint="eastAsia"/>
          <w:spacing w:val="-8"/>
          <w:sz w:val="28"/>
          <w:szCs w:val="28"/>
          <w:lang w:eastAsia="zh-CN"/>
        </w:rPr>
        <w:t xml:space="preserve">协商响应函</w:t>
      </w:r>
      <w:bookmarkEnd w:id="37"/>
      <w:r/>
      <w:r/>
    </w:p>
    <w:p>
      <w:pPr>
        <w:spacing w:line="360" w:lineRule="auto"/>
        <w:rPr>
          <w:rFonts w:ascii="宋体" w:hAnsi="宋体" w:eastAsia="宋体"/>
          <w:lang w:eastAsia="zh-CN"/>
        </w:rPr>
      </w:pPr>
      <w:r>
        <w:rPr>
          <w:rFonts w:ascii="宋体" w:hAnsi="宋体" w:eastAsia="宋体"/>
          <w:lang w:eastAsia="zh-CN"/>
        </w:rPr>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spacing w:val="-5"/>
          <w:sz w:val="24"/>
          <w:szCs w:val="24"/>
          <w:lang w:eastAsia="zh-CN"/>
        </w:rPr>
        <w:t xml:space="preserve">根据贵方关于</w:t>
      </w:r>
      <w:r>
        <w:rPr>
          <w:spacing w:val="-5"/>
          <w:sz w:val="24"/>
          <w:szCs w:val="24"/>
          <w:u w:val="single"/>
          <w:lang w:eastAsia="zh-CN"/>
        </w:rPr>
        <w:t xml:space="preserve"> </w:t>
      </w:r>
      <w:r>
        <w:rPr>
          <w:rFonts w:hint="eastAsia"/>
          <w:spacing w:val="-5"/>
          <w:sz w:val="24"/>
          <w:szCs w:val="24"/>
          <w:u w:val="single"/>
          <w:lang w:eastAsia="zh-CN"/>
        </w:rPr>
        <w:t xml:space="preserve">（项目名称）、</w:t>
      </w:r>
      <w:r>
        <w:rPr>
          <w:spacing w:val="-5"/>
          <w:sz w:val="24"/>
          <w:szCs w:val="24"/>
          <w:u w:val="single"/>
          <w:lang w:eastAsia="zh-CN"/>
        </w:rPr>
        <w:t xml:space="preserve">（项目编号</w:t>
      </w:r>
      <w:r>
        <w:rPr>
          <w:spacing w:val="-19"/>
          <w:sz w:val="24"/>
          <w:szCs w:val="24"/>
          <w:u w:val="single"/>
          <w:lang w:eastAsia="zh-CN"/>
        </w:rPr>
        <w:t xml:space="preserve">）</w:t>
      </w:r>
      <w:r>
        <w:rPr>
          <w:rFonts w:hint="eastAsia"/>
          <w:spacing w:val="-19"/>
          <w:sz w:val="24"/>
          <w:szCs w:val="24"/>
          <w:u w:val="single"/>
          <w:lang w:eastAsia="zh-CN"/>
        </w:rPr>
        <w:t xml:space="preserve"> </w:t>
      </w:r>
      <w:r>
        <w:rPr>
          <w:spacing w:val="-5"/>
          <w:sz w:val="24"/>
          <w:szCs w:val="24"/>
          <w:lang w:eastAsia="zh-CN"/>
        </w:rPr>
        <w:t xml:space="preserve">协商邀请，我方经详细审阅和</w:t>
      </w:r>
      <w:r>
        <w:rPr>
          <w:rFonts w:ascii="宋体" w:hAnsi="宋体" w:eastAsia="宋体" w:cs="宋体"/>
          <w:spacing w:val="-4"/>
          <w:sz w:val="24"/>
          <w:szCs w:val="24"/>
          <w:lang w:eastAsia="zh-CN"/>
        </w:rPr>
        <w:t xml:space="preserve">研究，现决定参加本项目协商。我方声明如下：</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1.本公司承诺：严格遵守国家法律、法规和规章，全面履行应尽的责任和义务，全面做到履约守信，具备《政府采购法》第二十二条第一款规定的条件。</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2.本公司承诺：根据协商文件及响应文件的规定和承诺，完成项目合同的相应责任和义务（如有偏离，响应文件中另作说明）。</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3.本公司承诺：采购人在使用我方提供的产品及服务时，不存在任何已知的不合法的情形，也不存在任何已知的与第三方专利权、著作权、商标权或工业设计权相关的任何争议。如果有任何因 采购人使用我方提供的产品和服务而引起的侵权指控，我方将承担全部责任。</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4.我方已详读全部协商文件，包括协商文件变更通知（如果有），我公司完全理解并同意放弃对 这方面不明及误解的权利。</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5.我方已详读全部响应文件，我方保证向贵方提供的响应文件及所有材料的完整、真实、合法、有效并对其负责。</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6.我方同意从规定的协商日期起遵循本协商文件，并在规定的有效期期满之前均具有约束力。</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7.在规定的协商开始时间后，我方在协商有效期内不撤回响应文件。</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8.我方同意提供贵方可能要求的与本协商有关的任何证据或资料。</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9.我方如用虚假材料或恶意方式向贵方提出质疑，将承担相应的法律责任。同时承诺：我公司 如果有上述行为，将无条件承担贵方相关的调查论证费用。</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10.遵守协商文件中要求的收费项目和标准。</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11.与本协商活动有关的一切正式往来通讯请寄：</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地址：</w:t>
      </w:r>
      <w:r>
        <w:rPr>
          <w:rFonts w:hint="eastAsia" w:cs="宋体"/>
          <w:spacing w:val="-4"/>
          <w:sz w:val="24"/>
          <w:szCs w:val="24"/>
          <w:lang w:val="en-US" w:eastAsia="zh-CN"/>
        </w:rPr>
        <w:t xml:space="preserve">                                          </w:t>
      </w:r>
      <w:r>
        <w:rPr>
          <w:rFonts w:ascii="宋体" w:hAnsi="宋体" w:eastAsia="宋体" w:cs="宋体"/>
          <w:spacing w:val="-4"/>
          <w:sz w:val="24"/>
          <w:szCs w:val="24"/>
          <w:lang w:eastAsia="zh-CN"/>
        </w:rPr>
        <w:t xml:space="preserve">电话：</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传真：</w:t>
      </w:r>
      <w:r>
        <w:rPr>
          <w:rFonts w:hint="eastAsia" w:cs="宋体"/>
          <w:spacing w:val="-4"/>
          <w:sz w:val="24"/>
          <w:szCs w:val="24"/>
          <w:lang w:val="en-US" w:eastAsia="zh-CN"/>
        </w:rPr>
        <w:t xml:space="preserve">                                          </w:t>
      </w:r>
      <w:r>
        <w:rPr>
          <w:rFonts w:ascii="宋体" w:hAnsi="宋体" w:eastAsia="宋体" w:cs="宋体"/>
          <w:spacing w:val="-4"/>
          <w:sz w:val="24"/>
          <w:szCs w:val="24"/>
          <w:lang w:eastAsia="zh-CN"/>
        </w:rPr>
        <w:t xml:space="preserve">邮政编码：</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供应商（公章）：</w:t>
      </w:r>
      <w:r/>
    </w:p>
    <w:p>
      <w:pPr>
        <w:pStyle w:val="764"/>
        <w:ind w:firstLine="464"/>
        <w:keepLines w:val="0"/>
        <w:keepNext w:val="0"/>
        <w:pageBreakBefore w:val="0"/>
        <w:spacing w:line="360" w:lineRule="auto"/>
        <w:widowControl/>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法定代表人签字或盖章</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日期：</w:t>
      </w:r>
      <w:r>
        <w:rPr>
          <w:rFonts w:hint="eastAsia" w:ascii="宋体" w:hAnsi="宋体" w:eastAsia="宋体" w:cs="宋体"/>
          <w:spacing w:val="-4"/>
          <w:sz w:val="24"/>
          <w:szCs w:val="24"/>
          <w:lang w:eastAsia="zh-CN"/>
        </w:rPr>
        <w:t xml:space="preserve">         </w:t>
      </w:r>
      <w:r>
        <w:rPr>
          <w:rFonts w:ascii="宋体" w:hAnsi="宋体" w:eastAsia="宋体" w:cs="宋体"/>
          <w:spacing w:val="-4"/>
          <w:sz w:val="24"/>
          <w:szCs w:val="24"/>
          <w:lang w:eastAsia="zh-CN"/>
        </w:rPr>
        <w:t xml:space="preserve">             </w:t>
      </w:r>
      <w:r/>
    </w:p>
    <w:p>
      <w:pPr>
        <w:pStyle w:val="953"/>
        <w:jc w:val="center"/>
        <w:rPr>
          <w:rFonts w:hint="eastAsia" w:ascii="宋体" w:hAnsi="宋体" w:eastAsia="宋体" w:cs="宋体"/>
        </w:rPr>
        <w:outlineLvl w:val="1"/>
      </w:pPr>
      <w:r/>
      <w:bookmarkStart w:id="38" w:name="_Toc146139448"/>
      <w:r>
        <w:rPr>
          <w:spacing w:val="-8"/>
          <w:sz w:val="28"/>
          <w:szCs w:val="28"/>
          <w:lang w:eastAsia="zh-CN"/>
        </w:rPr>
        <w:t xml:space="preserve">(二)</w:t>
      </w:r>
      <w:r>
        <w:rPr>
          <w:rFonts w:hint="eastAsia" w:ascii="宋体" w:hAnsi="宋体" w:eastAsia="宋体" w:cs="宋体"/>
          <w:sz w:val="32"/>
        </w:rPr>
        <w:t xml:space="preserve">资格部分</w:t>
      </w:r>
      <w:r/>
    </w:p>
    <w:p>
      <w:pPr>
        <w:pStyle w:val="954"/>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p>
    <w:tbl>
      <w:tblPr>
        <w:tblStyle w:val="7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6"/>
        <w:gridCol w:w="1751"/>
        <w:gridCol w:w="6100"/>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955"/>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955"/>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2025年度财务报告</w:t>
            </w:r>
            <w:r>
              <w:rPr>
                <w:rFonts w:hint="eastAsia" w:ascii="宋体" w:hAnsi="宋体" w:eastAsia="宋体" w:cs="宋体"/>
                <w:sz w:val="21"/>
              </w:rPr>
              <w:t xml:space="preserve">（成立不满一年的提供至少一个月），或银行出具的资信证明，或财政部门认可的政府采购专业担保机构出具的投标担保函等，或提供资格承诺函。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955"/>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955"/>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955"/>
              <w:jc w:val="both"/>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lang w:val="en-US" w:eastAsia="zh-CN"/>
              </w:rPr>
              <w:t xml:space="preserve">协商响应</w:t>
            </w:r>
            <w:r>
              <w:rPr>
                <w:rFonts w:hint="eastAsia" w:ascii="宋体" w:hAnsi="宋体" w:eastAsia="宋体" w:cs="宋体"/>
                <w:sz w:val="21"/>
              </w:rPr>
              <w:t xml:space="preserve">函。</w:t>
            </w:r>
            <w:r/>
          </w:p>
          <w:p>
            <w:pPr>
              <w:pStyle w:val="955"/>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955"/>
              <w:rPr>
                <w:rFonts w:hint="default" w:ascii="宋体" w:hAnsi="宋体" w:eastAsia="宋体" w:cs="宋体"/>
                <w:sz w:val="21"/>
                <w:lang w:val="en-US"/>
              </w:rPr>
            </w:pPr>
            <w:r>
              <w:rPr>
                <w:rFonts w:hint="eastAsia" w:ascii="宋体" w:hAnsi="宋体" w:eastAsia="宋体" w:cs="宋体"/>
                <w:sz w:val="21"/>
                <w:lang w:val="en-US" w:eastAsia="zh-CN"/>
              </w:rPr>
              <w:t xml:space="preserve">见第一部分“投标邀请”。</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3676" w:type="pct"/>
            <w:vAlign w:val="center"/>
            <w:textDirection w:val="lrTb"/>
            <w:noWrap w:val="false"/>
          </w:tcPr>
          <w:p>
            <w:pPr>
              <w:pStyle w:val="955"/>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p>
        </w:tc>
      </w:tr>
      <w:tr>
        <w:trPr>
          <w:jc w:val="center"/>
          <w:trHeight w:val="85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8</w:t>
            </w:r>
            <w:r/>
          </w:p>
        </w:tc>
        <w:tc>
          <w:tcPr>
            <w:tcBorders>
              <w:top w:val="single" w:color="000000" w:sz="2" w:space="0"/>
              <w:left w:val="single" w:color="000000" w:sz="2" w:space="0"/>
              <w:bottom w:val="single" w:color="auto" w:sz="4" w:space="0"/>
              <w:right w:val="single" w:color="auto" w:sz="4" w:space="0"/>
            </w:tcBorders>
            <w:tcMar>
              <w:top w:w="100" w:type="dxa"/>
              <w:bottom w:w="100" w:type="dxa"/>
            </w:tcMar>
            <w:tcW w:w="1055" w:type="pct"/>
            <w:vAlign w:val="center"/>
            <w:textDirection w:val="lrTb"/>
            <w:noWrap w:val="false"/>
          </w:tcPr>
          <w:p>
            <w:pPr>
              <w:pStyle w:val="955"/>
              <w:jc w:val="center"/>
              <w:rPr>
                <w:rFonts w:hint="eastAsia" w:ascii="宋体" w:hAnsi="宋体" w:eastAsia="宋体" w:cs="宋体"/>
                <w:sz w:val="21"/>
              </w:rPr>
            </w:pPr>
            <w:r>
              <w:rPr>
                <w:rFonts w:hint="eastAsia" w:ascii="宋体" w:hAnsi="宋体" w:eastAsia="宋体" w:cs="宋体"/>
                <w:sz w:val="21"/>
              </w:rPr>
              <w:t xml:space="preserve">本项目的特定资格要求</w:t>
            </w:r>
            <w:r/>
          </w:p>
        </w:tc>
        <w:tc>
          <w:tcPr>
            <w:tcBorders>
              <w:top w:val="single" w:color="auto" w:sz="4" w:space="0"/>
              <w:left w:val="single" w:color="auto" w:sz="4" w:space="0"/>
              <w:bottom w:val="single" w:color="auto" w:sz="4" w:space="0"/>
              <w:right w:val="single" w:color="auto" w:sz="4" w:space="0"/>
            </w:tcBorders>
            <w:tcMar>
              <w:top w:w="100" w:type="dxa"/>
              <w:bottom w:w="100" w:type="dxa"/>
            </w:tcMar>
            <w:tcW w:w="3676" w:type="pct"/>
            <w:vAlign w:val="center"/>
            <w:textDirection w:val="lrTb"/>
            <w:noWrap w:val="false"/>
          </w:tcPr>
          <w:p>
            <w:pPr>
              <w:pStyle w:val="955"/>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p>
        </w:tc>
      </w:tr>
    </w:tbl>
    <w:p>
      <w:pPr>
        <w:pStyle w:val="764"/>
        <w:jc w:val="center"/>
        <w:spacing w:before="91" w:line="360" w:lineRule="auto"/>
        <w:rPr>
          <w:spacing w:val="-8"/>
          <w:sz w:val="28"/>
          <w:szCs w:val="28"/>
          <w:lang w:eastAsia="zh-CN"/>
        </w:rPr>
        <w:outlineLvl w:val="1"/>
      </w:pPr>
      <w:r>
        <w:rPr>
          <w:spacing w:val="-8"/>
          <w:sz w:val="28"/>
          <w:szCs w:val="28"/>
          <w:lang w:eastAsia="zh-CN"/>
        </w:rPr>
      </w:r>
      <w:r/>
    </w:p>
    <w:p>
      <w:pPr>
        <w:rPr>
          <w:spacing w:val="-8"/>
          <w:sz w:val="28"/>
          <w:szCs w:val="28"/>
          <w:lang w:eastAsia="zh-CN"/>
        </w:rPr>
      </w:pPr>
      <w:r>
        <w:rPr>
          <w:spacing w:val="-8"/>
          <w:sz w:val="28"/>
          <w:szCs w:val="28"/>
          <w:lang w:eastAsia="zh-CN"/>
        </w:rPr>
        <w:br w:type="page" w:clear="all"/>
      </w:r>
      <w:r/>
    </w:p>
    <w:p>
      <w:pPr>
        <w:pStyle w:val="956"/>
        <w:jc w:val="center"/>
        <w:outlineLvl w:val="2"/>
      </w:pPr>
      <w:r/>
      <w:bookmarkStart w:id="39" w:name="_Toc256000069"/>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w:t>
      </w:r>
      <w:bookmarkEnd w:id="39"/>
      <w:r/>
      <w:bookmarkStart w:id="40" w:name="_Toc256000071"/>
      <w:r>
        <w:rPr>
          <w:rFonts w:ascii="宋体" w:hAnsi="宋体" w:eastAsia="宋体" w:cs="宋体"/>
          <w:sz w:val="28"/>
        </w:rPr>
        <w:t xml:space="preserve">履行合同所必需的设备和专业技术能力</w:t>
      </w:r>
      <w:bookmarkEnd w:id="40"/>
      <w:r/>
      <w:r/>
    </w:p>
    <w:tbl>
      <w:tblPr>
        <w:tblStyle w:val="759"/>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88"/>
        <w:gridCol w:w="1218"/>
        <w:gridCol w:w="1354"/>
        <w:gridCol w:w="359"/>
        <w:gridCol w:w="343"/>
        <w:gridCol w:w="856"/>
        <w:gridCol w:w="803"/>
        <w:gridCol w:w="256"/>
        <w:gridCol w:w="836"/>
        <w:gridCol w:w="1234"/>
      </w:tblGrid>
      <w:tr>
        <w:trPr>
          <w:trHeight w:val="130"/>
        </w:trPr>
        <w:tc>
          <w:tcPr>
            <w:gridSpan w:val="2"/>
            <w:shd w:val="clear" w:color="auto" w:fill="d9d9d9"/>
            <w:tcW w:w="61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p>
        </w:tc>
        <w:tc>
          <w:tcPr>
            <w:gridSpan w:val="9"/>
            <w:shd w:val="clear" w:color="auto" w:fill="d9d9d9"/>
            <w:tcW w:w="4385"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130"/>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1</w:t>
            </w:r>
            <w:r/>
          </w:p>
        </w:tc>
        <w:tc>
          <w:tcPr>
            <w:tcW w:w="736" w:type="pct"/>
            <w:vAlign w:val="center"/>
            <w:textDirection w:val="lrTb"/>
            <w:noWrap w:val="false"/>
          </w:tcPr>
          <w:p>
            <w:pPr>
              <w:pStyle w:val="957"/>
              <w:spacing w:line="240" w:lineRule="auto"/>
              <w:rPr>
                <w:rFonts w:ascii="宋体" w:hAnsi="宋体"/>
                <w:color w:val="000000"/>
                <w:sz w:val="24"/>
                <w:szCs w:val="24"/>
              </w:rPr>
            </w:pPr>
            <w:r>
              <w:rPr>
                <w:rFonts w:hint="eastAsia" w:ascii="宋体" w:hAnsi="宋体"/>
                <w:color w:val="000000"/>
                <w:sz w:val="24"/>
                <w:szCs w:val="24"/>
              </w:rPr>
              <w:t xml:space="preserve">公司名称</w:t>
            </w:r>
            <w:r/>
          </w:p>
        </w:tc>
        <w:tc>
          <w:tcPr>
            <w:gridSpan w:val="8"/>
            <w:tcW w:w="364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117"/>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2</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注册资金</w:t>
            </w:r>
            <w:r/>
          </w:p>
        </w:tc>
        <w:tc>
          <w:tcPr>
            <w:tcW w:w="81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3</w:t>
            </w:r>
            <w:r/>
          </w:p>
        </w:tc>
        <w:tc>
          <w:tcPr>
            <w:gridSpan w:val="3"/>
            <w:tcW w:w="1157"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公司地址</w:t>
            </w:r>
            <w:r/>
          </w:p>
        </w:tc>
        <w:tc>
          <w:tcPr>
            <w:gridSpan w:val="2"/>
            <w:tcW w:w="1247"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118"/>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4</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从业人数</w:t>
            </w:r>
            <w:r/>
          </w:p>
        </w:tc>
        <w:tc>
          <w:tcPr>
            <w:tcW w:w="81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5</w:t>
            </w:r>
            <w:r/>
          </w:p>
        </w:tc>
        <w:tc>
          <w:tcPr>
            <w:gridSpan w:val="3"/>
            <w:tcW w:w="1157"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法定代表人</w:t>
            </w:r>
            <w:r/>
          </w:p>
        </w:tc>
        <w:tc>
          <w:tcPr>
            <w:gridSpan w:val="2"/>
            <w:tcW w:w="1247"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120"/>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6</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开户银行</w:t>
            </w:r>
            <w:r/>
          </w:p>
        </w:tc>
        <w:tc>
          <w:tcPr>
            <w:tcW w:w="81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7</w:t>
            </w:r>
            <w:r/>
          </w:p>
        </w:tc>
        <w:tc>
          <w:tcPr>
            <w:gridSpan w:val="3"/>
            <w:tcW w:w="1157"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账号</w:t>
            </w:r>
            <w:r/>
          </w:p>
        </w:tc>
        <w:tc>
          <w:tcPr>
            <w:gridSpan w:val="2"/>
            <w:tcW w:w="1247"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160"/>
        </w:trPr>
        <w:tc>
          <w:tcPr>
            <w:gridSpan w:val="2"/>
            <w:tcBorders>
              <w:bottom w:val="single" w:color="auto" w:sz="4" w:space="0"/>
            </w:tcBorders>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8</w:t>
            </w:r>
            <w:r/>
          </w:p>
        </w:tc>
        <w:tc>
          <w:tcPr>
            <w:tcBorders>
              <w:bottom w:val="single" w:color="auto" w:sz="4" w:space="0"/>
            </w:tcBorders>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项目联系人</w:t>
            </w:r>
            <w:r/>
          </w:p>
        </w:tc>
        <w:tc>
          <w:tcPr>
            <w:tcBorders>
              <w:bottom w:val="single" w:color="auto" w:sz="4" w:space="0"/>
            </w:tcBorders>
            <w:tcW w:w="81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c>
          <w:tcPr>
            <w:gridSpan w:val="2"/>
            <w:tcBorders>
              <w:bottom w:val="single" w:color="auto" w:sz="4" w:space="0"/>
            </w:tcBorders>
            <w:tcW w:w="42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9</w:t>
            </w:r>
            <w:r/>
          </w:p>
        </w:tc>
        <w:tc>
          <w:tcPr>
            <w:gridSpan w:val="3"/>
            <w:tcBorders>
              <w:bottom w:val="single" w:color="auto" w:sz="4" w:space="0"/>
            </w:tcBorders>
            <w:tcW w:w="1157"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联系电话</w:t>
            </w:r>
            <w:r/>
          </w:p>
        </w:tc>
        <w:tc>
          <w:tcPr>
            <w:gridSpan w:val="2"/>
            <w:tcBorders>
              <w:bottom w:val="single" w:color="auto" w:sz="4" w:space="0"/>
            </w:tcBorders>
            <w:tcW w:w="1247"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614"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4385"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120"/>
        </w:trPr>
        <w:tc>
          <w:tcPr>
            <w:gridSpan w:val="2"/>
            <w:tcW w:w="614"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（一）</w:t>
            </w:r>
            <w:r/>
          </w:p>
        </w:tc>
        <w:tc>
          <w:tcPr>
            <w:gridSpan w:val="9"/>
            <w:tcW w:w="4385"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u w:val="single"/>
                <w:lang w:val="en-US" w:eastAsia="zh-CN"/>
              </w:rPr>
              <w:t xml:space="preserve">2025</w:t>
            </w:r>
            <w:r>
              <w:rPr>
                <w:rFonts w:hint="eastAsia" w:ascii="宋体" w:hAnsi="宋体"/>
                <w:b/>
                <w:color w:val="000000"/>
                <w:sz w:val="24"/>
                <w:szCs w:val="24"/>
              </w:rPr>
              <w:t xml:space="preserve">年度财务状况</w:t>
            </w:r>
            <w:r/>
          </w:p>
        </w:tc>
      </w:tr>
      <w:tr>
        <w:trPr>
          <w:trHeight w:val="174"/>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1</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营业收入（万）：</w:t>
            </w:r>
            <w:r/>
          </w:p>
        </w:tc>
        <w:tc>
          <w:tcPr>
            <w:tcW w:w="81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2</w:t>
            </w:r>
            <w:r/>
          </w:p>
        </w:tc>
        <w:tc>
          <w:tcPr>
            <w:gridSpan w:val="3"/>
            <w:tcW w:w="1157"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利润总额（万）</w:t>
            </w:r>
            <w:r/>
          </w:p>
        </w:tc>
        <w:tc>
          <w:tcPr>
            <w:gridSpan w:val="2"/>
            <w:tcW w:w="1247"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3</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年末“固定资产合计”（万）</w:t>
            </w:r>
            <w:r/>
          </w:p>
        </w:tc>
        <w:tc>
          <w:tcPr>
            <w:tcW w:w="81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4</w:t>
            </w:r>
            <w:r/>
          </w:p>
        </w:tc>
        <w:tc>
          <w:tcPr>
            <w:gridSpan w:val="3"/>
            <w:tcW w:w="1157"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1247"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5</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年末“短期负债”余额（万）</w:t>
            </w:r>
            <w:r/>
          </w:p>
        </w:tc>
        <w:tc>
          <w:tcPr>
            <w:tcW w:w="81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6</w:t>
            </w:r>
            <w:r/>
          </w:p>
        </w:tc>
        <w:tc>
          <w:tcPr>
            <w:gridSpan w:val="3"/>
            <w:tcW w:w="1157"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1247"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7</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年末“资产总计”余额（万）</w:t>
            </w:r>
            <w:r/>
          </w:p>
        </w:tc>
        <w:tc>
          <w:tcPr>
            <w:tcW w:w="81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8</w:t>
            </w:r>
            <w:r/>
          </w:p>
        </w:tc>
        <w:tc>
          <w:tcPr>
            <w:gridSpan w:val="3"/>
            <w:tcW w:w="1157"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1247"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614"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4385"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投标人其他信息</w:t>
            </w:r>
            <w:r/>
          </w:p>
        </w:tc>
      </w:tr>
      <w:tr>
        <w:trPr>
          <w:trHeight w:val="316"/>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（一）</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364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394"/>
        </w:trPr>
        <w:tc>
          <w:tcPr>
            <w:gridSpan w:val="2"/>
            <w:tcW w:w="614"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（二）</w:t>
            </w:r>
            <w:r/>
          </w:p>
        </w:tc>
        <w:tc>
          <w:tcPr>
            <w:tcW w:w="736" w:type="pct"/>
            <w:vAlign w:val="center"/>
            <w:textDirection w:val="lrTb"/>
            <w:noWrap w:val="false"/>
          </w:tcPr>
          <w:p>
            <w:pPr>
              <w:pStyle w:val="957"/>
              <w:jc w:val="center"/>
              <w:spacing w:line="240" w:lineRule="auto"/>
              <w:rPr>
                <w:rFonts w:ascii="宋体" w:hAnsi="宋体"/>
                <w:color w:val="000000"/>
                <w:sz w:val="24"/>
                <w:szCs w:val="24"/>
              </w:rPr>
            </w:pPr>
            <w:r>
              <w:rPr>
                <w:rFonts w:hint="eastAsia" w:ascii="宋体" w:hAnsi="宋体"/>
                <w:color w:val="000000"/>
                <w:sz w:val="24"/>
                <w:szCs w:val="24"/>
              </w:rPr>
              <w:t xml:space="preserve">公司2020年度后获得的荣誉及表彰情况</w:t>
            </w:r>
            <w:r/>
          </w:p>
        </w:tc>
        <w:tc>
          <w:tcPr>
            <w:gridSpan w:val="8"/>
            <w:tcW w:w="3648" w:type="pct"/>
            <w:vAlign w:val="center"/>
            <w:textDirection w:val="lrTb"/>
            <w:noWrap w:val="false"/>
          </w:tcPr>
          <w:p>
            <w:pPr>
              <w:pStyle w:val="957"/>
              <w:jc w:val="center"/>
              <w:spacing w:line="240" w:lineRule="auto"/>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614"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4385"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提供本项目服务所必须的专业设备一览表</w:t>
            </w:r>
            <w:r/>
          </w:p>
        </w:tc>
      </w:tr>
      <w:tr>
        <w:trPr>
          <w:trHeight w:val="160"/>
        </w:trPr>
        <w:tc>
          <w:tcPr>
            <w:shd w:val="clear" w:color="auto" w:fill="ffffff"/>
            <w:tcW w:w="440"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p>
        </w:tc>
        <w:tc>
          <w:tcPr>
            <w:gridSpan w:val="4"/>
            <w:shd w:val="clear" w:color="auto" w:fill="ffffff"/>
            <w:tcW w:w="1945"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724"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485"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660"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744"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用途</w:t>
            </w:r>
            <w:r/>
          </w:p>
        </w:tc>
      </w:tr>
      <w:tr>
        <w:trPr>
          <w:trHeight w:val="124"/>
        </w:trPr>
        <w:tc>
          <w:tcPr>
            <w:shd w:val="clear" w:color="auto" w:fill="ffffff"/>
            <w:tcW w:w="440"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1</w:t>
            </w:r>
            <w:r/>
          </w:p>
        </w:tc>
        <w:tc>
          <w:tcPr>
            <w:gridSpan w:val="4"/>
            <w:shd w:val="clear" w:color="auto" w:fill="ffffff"/>
            <w:tcW w:w="1945"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72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660"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2</w:t>
            </w:r>
            <w:r/>
          </w:p>
        </w:tc>
        <w:tc>
          <w:tcPr>
            <w:gridSpan w:val="4"/>
            <w:shd w:val="clear" w:color="auto" w:fill="ffffff"/>
            <w:tcW w:w="1945"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72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660"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3</w:t>
            </w:r>
            <w:r/>
          </w:p>
        </w:tc>
        <w:tc>
          <w:tcPr>
            <w:gridSpan w:val="4"/>
            <w:shd w:val="clear" w:color="auto" w:fill="ffffff"/>
            <w:tcW w:w="1945"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72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660"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Borders>
              <w:bottom w:val="single" w:color="auto" w:sz="4" w:space="0"/>
            </w:tcBorders>
            <w:tcW w:w="440"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t xml:space="preserve">…</w:t>
            </w:r>
            <w:r/>
          </w:p>
        </w:tc>
        <w:tc>
          <w:tcPr>
            <w:gridSpan w:val="4"/>
            <w:shd w:val="clear" w:color="auto" w:fill="ffffff"/>
            <w:tcBorders>
              <w:bottom w:val="single" w:color="auto" w:sz="4" w:space="0"/>
            </w:tcBorders>
            <w:tcW w:w="1945"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auto" w:sz="4" w:space="0"/>
            </w:tcBorders>
            <w:tcW w:w="72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auto" w:sz="4" w:space="0"/>
            </w:tcBorders>
            <w:tcW w:w="485"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auto" w:sz="4" w:space="0"/>
            </w:tcBorders>
            <w:tcW w:w="660"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auto" w:sz="4" w:space="0"/>
            </w:tcBorders>
            <w:tcW w:w="744"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614"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4385" w:type="pct"/>
            <w:vAlign w:val="center"/>
            <w:textDirection w:val="lrTb"/>
            <w:noWrap w:val="false"/>
          </w:tcPr>
          <w:p>
            <w:pPr>
              <w:pStyle w:val="957"/>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414"/>
        </w:trPr>
        <w:tc>
          <w:tcPr>
            <w:gridSpan w:val="11"/>
            <w:shd w:val="clear" w:color="auto" w:fill="ffffff"/>
            <w:tcW w:w="5000" w:type="pct"/>
            <w:vAlign w:val="center"/>
            <w:textDirection w:val="lrTb"/>
            <w:noWrap w:val="false"/>
          </w:tcPr>
          <w:p>
            <w:pPr>
              <w:pStyle w:val="957"/>
              <w:jc w:val="center"/>
              <w:spacing w:line="240" w:lineRule="auto"/>
              <w:rPr>
                <w:rFonts w:ascii="宋体" w:hAnsi="宋体"/>
                <w:b/>
                <w:color w:val="000000"/>
                <w:sz w:val="24"/>
                <w:szCs w:val="24"/>
              </w:rPr>
            </w:pPr>
            <w:r>
              <w:rPr>
                <w:rFonts w:ascii="宋体" w:hAnsi="宋体"/>
                <w:b/>
                <w:color w:val="000000"/>
                <w:sz w:val="24"/>
                <w:szCs w:val="24"/>
              </w:rPr>
            </w:r>
            <w:r/>
          </w:p>
        </w:tc>
      </w:tr>
    </w:tbl>
    <w:p>
      <w:pPr>
        <w:pStyle w:val="958"/>
        <w:jc w:val="both"/>
        <w:outlineLvl w:val="2"/>
      </w:pPr>
      <w:r/>
      <w:r/>
    </w:p>
    <w:p>
      <w:pPr>
        <w:pStyle w:val="959"/>
      </w:pPr>
      <w:r/>
      <w:r/>
    </w:p>
    <w:p>
      <w:pPr>
        <w:pStyle w:val="960"/>
        <w:jc w:val="center"/>
        <w:outlineLvl w:val="2"/>
      </w:pPr>
      <w:r/>
      <w:bookmarkStart w:id="41" w:name="_Toc256000076"/>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)法定代表人（负责人）身份证明书</w:t>
      </w:r>
      <w:bookmarkEnd w:id="41"/>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961"/>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p>
    <w:p>
      <w:pPr>
        <w:pStyle w:val="961"/>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961"/>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p>
    <w:p>
      <w:pPr>
        <w:pStyle w:val="961"/>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61"/>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61"/>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p>
    <w:p>
      <w:pPr>
        <w:pStyle w:val="961"/>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p>
    <w:p>
      <w:pPr>
        <w:pStyle w:val="961"/>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p>
    <w:p>
      <w:pPr>
        <w:pStyle w:val="961"/>
        <w:rPr>
          <w:rFonts w:hint="eastAsia" w:ascii="宋体" w:hAnsi="宋体" w:cs="宋体"/>
        </w:rPr>
      </w:pPr>
      <w:r>
        <w:rPr>
          <w:rFonts w:hint="eastAsia" w:ascii="宋体" w:hAnsi="宋体" w:cs="宋体"/>
        </w:rPr>
        <w:t xml:space="preserve"> </w:t>
      </w:r>
      <w:r/>
    </w:p>
    <w:p>
      <w:pPr>
        <w:pStyle w:val="962"/>
        <w:jc w:val="center"/>
        <w:outlineLvl w:val="2"/>
      </w:pPr>
      <w:r>
        <w:br w:type="page" w:clear="all"/>
      </w:r>
      <w:bookmarkStart w:id="42" w:name="_Toc256000077"/>
      <w:r/>
      <w:r/>
    </w:p>
    <w:p>
      <w:pPr>
        <w:pStyle w:val="962"/>
        <w:jc w:val="center"/>
        <w:outlineLvl w:val="2"/>
      </w:pPr>
      <w:r/>
      <w:r/>
    </w:p>
    <w:p>
      <w:pPr>
        <w:pStyle w:val="962"/>
        <w:jc w:val="center"/>
        <w:outlineLvl w:val="2"/>
      </w:pPr>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)法定代表人（负责人）授权委托书</w:t>
      </w:r>
      <w:bookmarkEnd w:id="42"/>
      <w:r/>
      <w:r/>
    </w:p>
    <w:p>
      <w:pPr>
        <w:pStyle w:val="963"/>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p>
    <w:p>
      <w:pPr>
        <w:pStyle w:val="963"/>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p>
    <w:p>
      <w:pPr>
        <w:pStyle w:val="96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p>
    <w:p>
      <w:pPr>
        <w:pStyle w:val="96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p>
    <w:p>
      <w:pPr>
        <w:pStyle w:val="96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p>
    <w:p>
      <w:pPr>
        <w:pStyle w:val="963"/>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p>
    <w:p>
      <w:pPr>
        <w:pStyle w:val="963"/>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96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p>
    <w:p>
      <w:pPr>
        <w:pStyle w:val="963"/>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p>
    <w:p>
      <w:pPr>
        <w:pStyle w:val="96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963"/>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p>
    <w:p>
      <w:pPr>
        <w:pStyle w:val="964"/>
        <w:jc w:val="center"/>
        <w:outlineLvl w:val="2"/>
      </w:pPr>
      <w:r>
        <w:br w:type="page" w:clear="all"/>
      </w:r>
      <w:bookmarkStart w:id="43" w:name="_Toc256000078"/>
      <w:r>
        <w:rPr>
          <w:rFonts w:ascii="宋体" w:hAnsi="宋体" w:eastAsia="宋体" w:cs="宋体"/>
          <w:sz w:val="28"/>
        </w:rPr>
        <w:t xml:space="preserve">(</w:t>
      </w:r>
      <w:r>
        <w:rPr>
          <w:rFonts w:hint="eastAsia" w:ascii="宋体" w:hAnsi="宋体" w:eastAsia="宋体" w:cs="宋体"/>
          <w:sz w:val="28"/>
          <w:lang w:val="en-US" w:eastAsia="zh-CN"/>
        </w:rPr>
        <w:t xml:space="preserve">六</w:t>
      </w:r>
      <w:r>
        <w:rPr>
          <w:rFonts w:ascii="宋体" w:hAnsi="宋体" w:eastAsia="宋体" w:cs="宋体"/>
          <w:sz w:val="28"/>
        </w:rPr>
        <w:t xml:space="preserve">)资格承诺函</w:t>
      </w:r>
      <w:bookmarkEnd w:id="43"/>
      <w:r/>
      <w:r/>
    </w:p>
    <w:p>
      <w:pPr>
        <w:pStyle w:val="965"/>
        <w:jc w:val="left"/>
        <w:spacing w:line="560" w:lineRule="exact"/>
        <w:shd w:val="clear" w:color="auto" w:fill="ffffff"/>
        <w:widowControl/>
        <w:rPr>
          <w:rFonts w:ascii="宋体" w:hAnsi="宋体" w:cs="宋体"/>
          <w:color w:val="000000"/>
          <w:sz w:val="24"/>
          <w:u w:val="single"/>
        </w:rPr>
      </w:pPr>
      <w:r/>
      <w:bookmarkStart w:id="44" w:name="书签4"/>
      <w:r/>
      <w:bookmarkEnd w:id="44"/>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p>
    <w:p>
      <w:pPr>
        <w:pStyle w:val="965"/>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p>
    <w:p>
      <w:pPr>
        <w:pStyle w:val="965"/>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p>
    <w:p>
      <w:pPr>
        <w:pStyle w:val="965"/>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p>
    <w:p>
      <w:pPr>
        <w:pStyle w:val="965"/>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p>
    <w:p>
      <w:pPr>
        <w:pStyle w:val="965"/>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p>
    <w:p>
      <w:pPr>
        <w:pStyle w:val="965"/>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p>
    <w:p>
      <w:pPr>
        <w:pStyle w:val="965"/>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p>
    <w:p>
      <w:pPr>
        <w:pStyle w:val="965"/>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p>
    <w:p>
      <w:pPr>
        <w:pStyle w:val="965"/>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p>
    <w:p>
      <w:pPr>
        <w:pStyle w:val="965"/>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p>
    <w:p>
      <w:pPr>
        <w:pStyle w:val="965"/>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p>
    <w:p>
      <w:pPr>
        <w:pStyle w:val="965"/>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p>
    <w:p>
      <w:pPr>
        <w:pStyle w:val="965"/>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p>
    <w:p>
      <w:pPr>
        <w:pStyle w:val="964"/>
        <w:jc w:val="center"/>
        <w:rPr>
          <w:rFonts w:hint="eastAsia" w:ascii="宋体" w:hAnsi="宋体" w:eastAsia="宋体" w:cs="宋体"/>
          <w:sz w:val="28"/>
          <w:lang w:val="en-US" w:eastAsia="zh-CN"/>
        </w:rPr>
        <w:outlineLvl w:val="2"/>
      </w:pPr>
      <w:r>
        <w:br w:type="page" w:clear="all"/>
      </w: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七</w:t>
      </w: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符合条件</w:t>
      </w:r>
      <w:r/>
    </w:p>
    <w:p>
      <w:pPr>
        <w:pStyle w:val="954"/>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p>
    <w:tbl>
      <w:tblPr>
        <w:tblStyle w:val="7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1381"/>
        <w:gridCol w:w="690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7"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15"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7"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szCs w:val="21"/>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15" w:type="dxa"/>
            <w:vAlign w:val="center"/>
            <w:textDirection w:val="lrTb"/>
            <w:noWrap/>
          </w:tcPr>
          <w:p>
            <w:pPr>
              <w:pStyle w:val="967"/>
              <w:rPr>
                <w:rFonts w:hint="eastAsia" w:ascii="宋体" w:hAnsi="宋体" w:eastAsia="宋体" w:cs="宋体"/>
                <w:sz w:val="21"/>
              </w:rPr>
            </w:pPr>
            <w:r>
              <w:rPr>
                <w:rFonts w:hint="eastAsia" w:ascii="宋体" w:hAnsi="宋体" w:eastAsia="宋体" w:cs="宋体"/>
                <w:sz w:val="21"/>
              </w:rPr>
              <w:t xml:space="preserve">审查报价是否属于异常低价审查。</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7"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rPr>
              <w:t xml:space="preserve">投标文件</w:t>
            </w:r>
            <w:r/>
          </w:p>
          <w:p>
            <w:pPr>
              <w:pStyle w:val="967"/>
              <w:jc w:val="center"/>
              <w:rPr>
                <w:rFonts w:hint="eastAsia" w:ascii="宋体" w:hAnsi="宋体" w:eastAsia="宋体" w:cs="宋体"/>
                <w:sz w:val="21"/>
              </w:rPr>
            </w:pPr>
            <w:r>
              <w:rPr>
                <w:rFonts w:hint="eastAsia" w:ascii="宋体" w:hAnsi="宋体" w:eastAsia="宋体" w:cs="宋体"/>
                <w:sz w:val="21"/>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15" w:type="dxa"/>
            <w:vAlign w:val="center"/>
            <w:textDirection w:val="lrTb"/>
            <w:noWrap/>
          </w:tcPr>
          <w:p>
            <w:pPr>
              <w:pStyle w:val="967"/>
              <w:rPr>
                <w:rFonts w:hint="eastAsia" w:ascii="宋体" w:hAnsi="宋体" w:eastAsia="宋体" w:cs="宋体"/>
                <w:sz w:val="21"/>
              </w:rPr>
            </w:pPr>
            <w:r>
              <w:rPr>
                <w:rFonts w:hint="eastAsia" w:ascii="宋体" w:hAnsi="宋体" w:eastAsia="宋体" w:cs="宋体"/>
                <w:sz w:val="21"/>
              </w:rPr>
              <w:t xml:space="preserve">电子投标文件的有效电子签章。投标报价。</w:t>
            </w:r>
            <w:r/>
          </w:p>
          <w:p>
            <w:pPr>
              <w:pStyle w:val="967"/>
              <w:rPr>
                <w:rFonts w:hint="eastAsia" w:ascii="宋体" w:hAnsi="宋体" w:eastAsia="宋体" w:cs="宋体"/>
                <w:sz w:val="21"/>
              </w:rPr>
            </w:pPr>
            <w:r>
              <w:rPr>
                <w:rFonts w:hint="eastAsia" w:ascii="宋体" w:hAnsi="宋体" w:eastAsia="宋体" w:cs="宋体"/>
                <w:sz w:val="21"/>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4"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7" w:type="dxa"/>
            <w:vAlign w:val="center"/>
            <w:textDirection w:val="lrTb"/>
            <w:noWrap/>
          </w:tcPr>
          <w:p>
            <w:pPr>
              <w:pStyle w:val="967"/>
              <w:jc w:val="center"/>
              <w:rPr>
                <w:rFonts w:hint="eastAsia" w:ascii="宋体" w:hAnsi="宋体" w:eastAsia="宋体" w:cs="宋体"/>
                <w:sz w:val="21"/>
              </w:rPr>
            </w:pPr>
            <w:r>
              <w:rPr>
                <w:rFonts w:hint="eastAsia" w:ascii="宋体" w:hAnsi="宋体" w:eastAsia="宋体" w:cs="宋体"/>
                <w:sz w:val="21"/>
              </w:rPr>
              <w:t xml:space="preserve">对招标文件</w:t>
            </w:r>
            <w:r/>
          </w:p>
          <w:p>
            <w:pPr>
              <w:pStyle w:val="967"/>
              <w:jc w:val="center"/>
              <w:rPr>
                <w:rFonts w:hint="eastAsia" w:ascii="宋体" w:hAnsi="宋体" w:eastAsia="宋体" w:cs="宋体"/>
                <w:sz w:val="21"/>
              </w:rPr>
            </w:pPr>
            <w:r>
              <w:rPr>
                <w:rFonts w:hint="eastAsia" w:ascii="宋体" w:hAnsi="宋体" w:eastAsia="宋体" w:cs="宋体"/>
                <w:sz w:val="21"/>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15" w:type="dxa"/>
            <w:vAlign w:val="center"/>
            <w:textDirection w:val="lrTb"/>
            <w:noWrap/>
          </w:tcPr>
          <w:p>
            <w:pPr>
              <w:pStyle w:val="967"/>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p>
        </w:tc>
      </w:tr>
    </w:tbl>
    <w:p>
      <w:pPr>
        <w:pStyle w:val="972"/>
        <w:jc w:val="center"/>
        <w:rPr>
          <w:rFonts w:hint="eastAsia" w:ascii="宋体" w:hAnsi="宋体" w:eastAsia="宋体" w:cs="宋体"/>
          <w:sz w:val="32"/>
          <w:lang w:val="en-US" w:eastAsia="zh-CN"/>
        </w:rPr>
        <w:outlineLvl w:val="1"/>
      </w:pPr>
      <w:r>
        <w:rPr>
          <w:rFonts w:hint="eastAsia" w:ascii="宋体" w:hAnsi="宋体" w:eastAsia="宋体" w:cs="宋体"/>
          <w:sz w:val="32"/>
          <w:lang w:val="en-US" w:eastAsia="zh-CN"/>
        </w:rPr>
      </w:r>
      <w:r/>
    </w:p>
    <w:p>
      <w:pPr>
        <w:pStyle w:val="972"/>
        <w:jc w:val="center"/>
        <w:rPr>
          <w:rFonts w:hint="eastAsia" w:ascii="宋体" w:hAnsi="宋体" w:eastAsia="宋体" w:cs="宋体"/>
          <w:sz w:val="32"/>
          <w:lang w:val="en-US" w:eastAsia="zh-CN"/>
        </w:rPr>
        <w:outlineLvl w:val="1"/>
      </w:pPr>
      <w:r>
        <w:rPr>
          <w:rFonts w:hint="eastAsia" w:ascii="宋体" w:hAnsi="宋体" w:eastAsia="宋体" w:cs="宋体"/>
          <w:sz w:val="32"/>
          <w:lang w:val="en-US" w:eastAsia="zh-CN"/>
        </w:rPr>
      </w:r>
      <w:r/>
    </w:p>
    <w:p>
      <w:pPr>
        <w:pStyle w:val="964"/>
        <w:jc w:val="center"/>
        <w:rPr>
          <w:rFonts w:hint="eastAsia" w:ascii="宋体" w:hAnsi="宋体" w:eastAsia="宋体" w:cs="宋体"/>
          <w:sz w:val="28"/>
          <w:lang w:val="en-US" w:eastAsia="zh-CN"/>
        </w:rPr>
        <w:outlineLvl w:val="2"/>
      </w:pPr>
      <w:r>
        <w:rPr>
          <w:rFonts w:hint="eastAsia" w:ascii="宋体" w:hAnsi="宋体" w:eastAsia="宋体" w:cs="宋体"/>
          <w:sz w:val="28"/>
          <w:lang w:val="en-US" w:eastAsia="zh-CN"/>
        </w:rPr>
        <w:t xml:space="preserve">（八）服务响应</w:t>
      </w:r>
      <w:r/>
    </w:p>
    <w:p>
      <w:pPr>
        <w:pStyle w:val="972"/>
        <w:jc w:val="center"/>
        <w:rPr>
          <w:rFonts w:hint="eastAsia" w:ascii="宋体" w:hAnsi="宋体" w:eastAsia="宋体" w:cs="宋体"/>
        </w:rPr>
        <w:outlineLvl w:val="1"/>
      </w:pPr>
      <w:r>
        <w:rPr>
          <w:rFonts w:hint="eastAsia" w:ascii="宋体" w:hAnsi="宋体" w:eastAsia="宋体" w:cs="宋体"/>
        </w:rPr>
      </w:r>
      <w:r/>
    </w:p>
    <w:p>
      <w:pPr>
        <w:pStyle w:val="973"/>
        <w:jc w:val="both"/>
        <w:keepLines w:val="0"/>
        <w:keepNext w:val="0"/>
        <w:pageBreakBefore w:val="0"/>
        <w:spacing w:line="360" w:lineRule="auto"/>
        <w:widowControl w:val="off"/>
        <w:rPr>
          <w:rFonts w:hint="eastAsia" w:ascii="宋体" w:hAnsi="宋体" w:eastAsia="宋体" w:cs="宋体"/>
          <w:sz w:val="28"/>
          <w:szCs w:val="22"/>
          <w:lang w:val="en-US" w:eastAsia="zh-CN" w:bidi="ar-SA"/>
        </w:rPr>
        <w:outlineLvl w:val="2"/>
      </w:pPr>
      <w:r>
        <w:rPr>
          <w:rFonts w:hint="eastAsia" w:ascii="宋体" w:hAnsi="宋体" w:eastAsia="宋体" w:cs="宋体"/>
          <w:sz w:val="28"/>
          <w:szCs w:val="22"/>
          <w:lang w:val="en-US" w:eastAsia="zh-CN" w:bidi="ar-SA"/>
        </w:rPr>
        <w:t xml:space="preserve">对应第三部分采购需求进行响应，如企业介绍，过往业绩，服务方案等，格式由投标人自拟。</w:t>
      </w:r>
      <w:r/>
    </w:p>
    <w:p>
      <w:pPr>
        <w:rPr>
          <w:spacing w:val="-8"/>
          <w:sz w:val="28"/>
          <w:szCs w:val="28"/>
          <w:lang w:eastAsia="zh-CN"/>
        </w:rPr>
      </w:pPr>
      <w:r>
        <w:rPr>
          <w:spacing w:val="-8"/>
          <w:sz w:val="28"/>
          <w:szCs w:val="28"/>
          <w:lang w:eastAsia="zh-CN"/>
        </w:rPr>
      </w:r>
      <w:r/>
    </w:p>
    <w:p>
      <w:pPr>
        <w:rPr>
          <w:spacing w:val="-8"/>
          <w:sz w:val="28"/>
          <w:szCs w:val="28"/>
          <w:lang w:eastAsia="zh-CN"/>
        </w:rPr>
      </w:pPr>
      <w:r>
        <w:rPr>
          <w:spacing w:val="-8"/>
          <w:sz w:val="28"/>
          <w:szCs w:val="28"/>
          <w:lang w:eastAsia="zh-CN"/>
        </w:rPr>
        <w:br w:type="page" w:clear="all"/>
      </w:r>
      <w:r/>
    </w:p>
    <w:p>
      <w:pPr>
        <w:pStyle w:val="764"/>
        <w:jc w:val="center"/>
        <w:spacing w:before="91" w:line="360" w:lineRule="auto"/>
        <w:rPr>
          <w:rFonts w:hint="eastAsia"/>
          <w:spacing w:val="-8"/>
          <w:sz w:val="28"/>
          <w:szCs w:val="28"/>
          <w:lang w:eastAsia="zh-CN"/>
        </w:rPr>
        <w:outlineLvl w:val="1"/>
      </w:pPr>
      <w:r>
        <w:rPr>
          <w:rFonts w:hint="eastAsia"/>
          <w:spacing w:val="-8"/>
          <w:sz w:val="28"/>
          <w:szCs w:val="28"/>
          <w:lang w:eastAsia="zh-CN"/>
        </w:rPr>
      </w:r>
      <w:r/>
    </w:p>
    <w:p>
      <w:pPr>
        <w:pStyle w:val="764"/>
        <w:jc w:val="center"/>
        <w:spacing w:before="91" w:line="360" w:lineRule="auto"/>
        <w:rPr>
          <w:sz w:val="28"/>
          <w:szCs w:val="28"/>
          <w:lang w:eastAsia="zh-CN"/>
        </w:rPr>
        <w:outlineLvl w:val="1"/>
      </w:pPr>
      <w:r>
        <w:rPr>
          <w:rFonts w:hint="eastAsia"/>
          <w:spacing w:val="-8"/>
          <w:sz w:val="28"/>
          <w:szCs w:val="28"/>
          <w:lang w:eastAsia="zh-CN"/>
        </w:rPr>
        <w:t xml:space="preserve">（</w:t>
      </w:r>
      <w:r>
        <w:rPr>
          <w:rFonts w:hint="eastAsia"/>
          <w:spacing w:val="-8"/>
          <w:sz w:val="28"/>
          <w:szCs w:val="28"/>
          <w:lang w:val="en-US" w:eastAsia="zh-CN"/>
        </w:rPr>
        <w:t xml:space="preserve">九</w:t>
      </w:r>
      <w:r>
        <w:rPr>
          <w:rFonts w:hint="eastAsia"/>
          <w:spacing w:val="-8"/>
          <w:sz w:val="28"/>
          <w:szCs w:val="28"/>
          <w:lang w:eastAsia="zh-CN"/>
        </w:rPr>
        <w:t xml:space="preserve">）</w:t>
      </w:r>
      <w:bookmarkEnd w:id="38"/>
      <w:r>
        <w:rPr>
          <w:rFonts w:hint="eastAsia"/>
          <w:spacing w:val="-8"/>
          <w:sz w:val="28"/>
          <w:szCs w:val="28"/>
          <w:lang w:val="en-US" w:eastAsia="zh-CN"/>
        </w:rPr>
        <w:t xml:space="preserve">价格部分</w:t>
      </w:r>
      <w:r/>
    </w:p>
    <w:p>
      <w:pPr>
        <w:spacing w:line="360" w:lineRule="auto"/>
        <w:rPr>
          <w:rFonts w:ascii="宋体" w:hAnsi="宋体" w:eastAsia="宋体"/>
          <w:lang w:eastAsia="zh-CN"/>
        </w:rPr>
      </w:pPr>
      <w:r>
        <w:rPr>
          <w:rFonts w:ascii="宋体" w:hAnsi="宋体" w:eastAsia="宋体"/>
          <w:lang w:eastAsia="zh-CN"/>
        </w:rPr>
      </w:r>
      <w:r/>
    </w:p>
    <w:p>
      <w:pPr>
        <w:pStyle w:val="968"/>
        <w:jc w:val="center"/>
        <w:spacing w:before="320" w:after="320"/>
        <w:rPr>
          <w:rFonts w:hint="eastAsia" w:ascii="宋体" w:hAnsi="宋体" w:eastAsia="宋体" w:cs="宋体"/>
          <w:sz w:val="32"/>
          <w:szCs w:val="32"/>
        </w:rPr>
      </w:pPr>
      <w:r/>
      <w:bookmarkStart w:id="45" w:name="_Toc146139449"/>
      <w:r>
        <w:rPr>
          <w:rFonts w:hint="eastAsia" w:ascii="宋体" w:hAnsi="宋体" w:eastAsia="宋体" w:cs="宋体"/>
          <w:b/>
          <w:bCs/>
          <w:sz w:val="32"/>
          <w:szCs w:val="32"/>
        </w:rPr>
        <w:t xml:space="preserve">开  标 一 览  表</w:t>
      </w:r>
      <w:r/>
    </w:p>
    <w:p>
      <w:pPr>
        <w:pStyle w:val="968"/>
        <w:spacing w:before="240" w:after="240"/>
        <w:rPr>
          <w:rFonts w:hint="eastAsia" w:ascii="宋体" w:hAnsi="宋体" w:eastAsia="宋体" w:cs="宋体"/>
        </w:rPr>
      </w:pPr>
      <w:r>
        <w:rPr>
          <w:rFonts w:hint="eastAsia" w:ascii="宋体" w:hAnsi="宋体" w:eastAsia="宋体" w:cs="宋体"/>
        </w:rPr>
        <w:t xml:space="preserve">单位名称（加盖公章）：    </w:t>
      </w:r>
      <w:r/>
    </w:p>
    <w:tbl>
      <w:tblPr>
        <w:tblStyle w:val="759"/>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68"/>
              <w:jc w:val="center"/>
              <w:rPr>
                <w:rFonts w:hint="eastAsia" w:ascii="宋体" w:hAnsi="宋体" w:eastAsia="宋体" w:cs="宋体"/>
              </w:rPr>
            </w:pPr>
            <w:r>
              <w:rPr>
                <w:rFonts w:hint="eastAsia" w:ascii="宋体" w:hAnsi="宋体" w:eastAsia="宋体" w:cs="宋体"/>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68"/>
              <w:jc w:val="center"/>
              <w:rPr>
                <w:rFonts w:hint="eastAsia" w:ascii="宋体" w:hAnsi="宋体" w:eastAsia="宋体" w:cs="宋体"/>
              </w:rPr>
            </w:pPr>
            <w:r>
              <w:rPr>
                <w:rFonts w:hint="eastAsia" w:ascii="宋体" w:hAnsi="宋体" w:eastAsia="宋体" w:cs="宋体"/>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68"/>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68"/>
              <w:jc w:val="center"/>
              <w:rPr>
                <w:rFonts w:hint="eastAsia" w:ascii="宋体" w:hAnsi="宋体" w:eastAsia="宋体" w:cs="宋体"/>
              </w:rPr>
            </w:pPr>
            <w:r>
              <w:rPr>
                <w:rFonts w:hint="eastAsia" w:ascii="宋体" w:hAnsi="宋体" w:eastAsia="宋体" w:cs="宋体"/>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68"/>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68"/>
              <w:jc w:val="center"/>
              <w:rPr>
                <w:rFonts w:hint="eastAsia" w:ascii="宋体" w:hAnsi="宋体" w:eastAsia="宋体" w:cs="宋体"/>
                <w:lang w:val="en-US" w:eastAsia="zh-CN"/>
              </w:rPr>
            </w:pPr>
            <w:r>
              <w:rPr>
                <w:rFonts w:hint="eastAsia" w:ascii="宋体" w:hAnsi="宋体" w:eastAsia="宋体" w:cs="宋体"/>
                <w:lang w:val="en-US" w:eastAsia="zh-CN"/>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68"/>
              <w:jc w:val="center"/>
              <w:rPr>
                <w:rFonts w:hint="eastAsia" w:ascii="宋体" w:hAnsi="宋体" w:eastAsia="宋体" w:cs="宋体"/>
              </w:rPr>
            </w:pPr>
            <w:r>
              <w:rPr>
                <w:rFonts w:hint="eastAsia" w:ascii="宋体" w:hAnsi="宋体" w:eastAsia="宋体" w:cs="宋体"/>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68"/>
              <w:jc w:val="center"/>
              <w:rPr>
                <w:rFonts w:hint="default" w:ascii="宋体" w:hAnsi="宋体" w:eastAsia="宋体" w:cs="宋体"/>
                <w:lang w:val="en-US" w:eastAsia="zh-CN"/>
              </w:rPr>
            </w:pPr>
            <w:r>
              <w:rPr>
                <w:rFonts w:hint="eastAsia" w:ascii="宋体" w:hAnsi="宋体" w:eastAsia="宋体" w:cs="宋体"/>
                <w:lang w:val="en-US" w:eastAsia="zh-CN"/>
              </w:rPr>
              <w:t xml:space="preserve">1年</w:t>
            </w:r>
            <w:r/>
          </w:p>
        </w:tc>
      </w:tr>
    </w:tbl>
    <w:p>
      <w:pPr>
        <w:pStyle w:val="968"/>
        <w:spacing w:before="240" w:after="240"/>
        <w:rPr>
          <w:rFonts w:hint="eastAsia" w:ascii="宋体" w:hAnsi="宋体" w:eastAsia="宋体" w:cs="宋体"/>
        </w:rPr>
      </w:pPr>
      <w:r>
        <w:rPr>
          <w:rFonts w:hint="eastAsia" w:ascii="宋体" w:hAnsi="宋体" w:eastAsia="宋体" w:cs="宋体"/>
        </w:rPr>
        <w:t xml:space="preserve"> </w:t>
      </w:r>
      <w:r/>
    </w:p>
    <w:p>
      <w:pPr>
        <w:pStyle w:val="968"/>
        <w:ind w:firstLine="2000"/>
        <w:spacing w:before="240" w:after="240"/>
        <w:rPr>
          <w:rFonts w:hint="eastAsia" w:ascii="宋体" w:hAnsi="宋体" w:eastAsia="宋体" w:cs="宋体"/>
        </w:rPr>
      </w:pPr>
      <w:r>
        <w:rPr>
          <w:rFonts w:hint="eastAsia" w:ascii="宋体" w:hAnsi="宋体" w:eastAsia="宋体" w:cs="宋体"/>
        </w:rPr>
        <w:t xml:space="preserve">   </w:t>
      </w:r>
      <w:r/>
    </w:p>
    <w:p>
      <w:pPr>
        <w:pStyle w:val="968"/>
        <w:ind w:firstLine="2000"/>
        <w:spacing w:before="240" w:after="240"/>
        <w:rPr>
          <w:rFonts w:hint="eastAsia" w:ascii="宋体" w:hAnsi="宋体" w:eastAsia="宋体" w:cs="宋体"/>
        </w:rPr>
      </w:pPr>
      <w:r>
        <w:rPr>
          <w:rFonts w:hint="eastAsia" w:ascii="宋体" w:hAnsi="宋体" w:eastAsia="宋体" w:cs="宋体"/>
        </w:rPr>
        <w:t xml:space="preserve"> </w:t>
      </w:r>
      <w:r/>
    </w:p>
    <w:p>
      <w:pPr>
        <w:pStyle w:val="969"/>
        <w:ind w:right="960"/>
        <w:jc w:val="center"/>
        <w:spacing w:before="240" w:after="240"/>
        <w:rPr>
          <w:rFonts w:hint="eastAsia" w:ascii="宋体" w:hAnsi="宋体" w:eastAsia="宋体" w:cs="宋体"/>
        </w:rPr>
      </w:pPr>
      <w:r>
        <w:rPr>
          <w:rFonts w:ascii="宋体" w:hAnsi="宋体" w:eastAsia="宋体" w:cs="宋体"/>
        </w:rPr>
        <w:t xml:space="preserve">法定代表人</w:t>
      </w:r>
      <w:r>
        <w:rPr>
          <w:rFonts w:hint="eastAsia" w:ascii="宋体" w:hAnsi="宋体" w:eastAsia="宋体" w:cs="宋体"/>
        </w:rPr>
        <w:t xml:space="preserve">或授权代表</w:t>
      </w:r>
      <w:r>
        <w:rPr>
          <w:rFonts w:ascii="宋体" w:hAnsi="宋体" w:eastAsia="宋体" w:cs="宋体"/>
        </w:rPr>
        <w:t xml:space="preserve">签章：</w:t>
      </w:r>
      <w:r/>
    </w:p>
    <w:p>
      <w:pPr>
        <w:pStyle w:val="764"/>
        <w:ind w:left="282"/>
        <w:spacing w:before="33" w:line="360" w:lineRule="auto"/>
        <w:rPr>
          <w:rFonts w:hint="eastAsia" w:ascii="宋体" w:hAnsi="宋体" w:eastAsia="宋体" w:cs="宋体"/>
        </w:rPr>
      </w:pPr>
      <w:r>
        <w:rPr>
          <w:rFonts w:hint="eastAsia" w:ascii="宋体" w:hAnsi="宋体" w:eastAsia="宋体" w:cs="宋体"/>
        </w:rPr>
        <w:t xml:space="preserve">            </w:t>
      </w:r>
      <w:r>
        <w:rPr>
          <w:rFonts w:ascii="宋体" w:hAnsi="宋体" w:eastAsia="宋体" w:cs="宋体"/>
        </w:rPr>
        <w:t xml:space="preserve">日期</w:t>
      </w:r>
      <w:r>
        <w:rPr>
          <w:rFonts w:hint="eastAsia" w:ascii="宋体" w:hAnsi="宋体" w:eastAsia="宋体" w:cs="宋体"/>
        </w:rPr>
        <w:t xml:space="preserve">：   </w:t>
      </w:r>
      <w:bookmarkEnd w:id="45"/>
      <w:r/>
      <w:r/>
    </w:p>
    <w:p>
      <w:pPr>
        <w:rPr>
          <w:rFonts w:hint="eastAsia" w:ascii="宋体" w:hAnsi="宋体" w:eastAsia="宋体" w:cs="宋体"/>
        </w:rPr>
      </w:pPr>
      <w:r>
        <w:rPr>
          <w:rFonts w:hint="eastAsia" w:ascii="宋体" w:hAnsi="宋体" w:eastAsia="宋体" w:cs="宋体"/>
        </w:rPr>
        <w:br w:type="page" w:clear="all"/>
      </w:r>
      <w:r/>
    </w:p>
    <w:p>
      <w:pPr>
        <w:pStyle w:val="970"/>
        <w:jc w:val="center"/>
        <w:rPr>
          <w:rFonts w:hint="eastAsia" w:ascii="宋体" w:hAnsi="宋体" w:eastAsia="宋体" w:cs="宋体"/>
          <w:sz w:val="28"/>
          <w:lang w:eastAsia="zh-CN"/>
        </w:rPr>
        <w:outlineLvl w:val="2"/>
      </w:pPr>
      <w:r>
        <w:rPr>
          <w:rFonts w:hint="eastAsia" w:ascii="宋体" w:hAnsi="宋体" w:eastAsia="宋体" w:cs="宋体"/>
          <w:sz w:val="28"/>
          <w:lang w:eastAsia="zh-CN"/>
        </w:rPr>
      </w:r>
      <w:r/>
    </w:p>
    <w:p>
      <w:pPr>
        <w:pStyle w:val="970"/>
        <w:jc w:val="center"/>
        <w:rPr>
          <w:rFonts w:hint="eastAsia" w:ascii="宋体" w:hAnsi="宋体" w:eastAsia="宋体" w:cs="宋体"/>
        </w:rPr>
        <w:outlineLvl w:val="2"/>
      </w:pP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十</w:t>
      </w:r>
      <w:r>
        <w:rPr>
          <w:rFonts w:hint="eastAsia" w:ascii="宋体" w:hAnsi="宋体" w:eastAsia="宋体" w:cs="宋体"/>
          <w:sz w:val="28"/>
          <w:lang w:eastAsia="zh-CN"/>
        </w:rPr>
        <w:t xml:space="preserve">）</w:t>
      </w:r>
      <w:r>
        <w:rPr>
          <w:rFonts w:hint="eastAsia" w:ascii="宋体" w:hAnsi="宋体" w:eastAsia="宋体" w:cs="宋体"/>
          <w:sz w:val="28"/>
        </w:rPr>
        <w:t xml:space="preserve">清单及明细报价表</w:t>
      </w:r>
      <w:r/>
    </w:p>
    <w:p>
      <w:pPr>
        <w:pStyle w:val="970"/>
        <w:jc w:val="both"/>
        <w:rPr>
          <w:rFonts w:hint="eastAsia" w:ascii="宋体" w:hAnsi="宋体" w:eastAsia="宋体" w:cs="宋体"/>
        </w:rPr>
        <w:outlineLvl w:val="2"/>
      </w:pPr>
      <w:r>
        <w:rPr>
          <w:rFonts w:hint="eastAsia" w:ascii="宋体" w:hAnsi="宋体" w:eastAsia="宋体" w:cs="宋体"/>
        </w:rPr>
      </w:r>
      <w:r/>
    </w:p>
    <w:tbl>
      <w:tblPr>
        <w:tblStyle w:val="759"/>
        <w:tblW w:w="93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1829"/>
        <w:gridCol w:w="1165"/>
        <w:gridCol w:w="1956"/>
        <w:gridCol w:w="1030"/>
        <w:gridCol w:w="970"/>
        <w:gridCol w:w="1047"/>
        <w:gridCol w:w="644"/>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分项名称</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废物类别</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废物代码</w:t>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数量(吨/年)</w:t>
            </w:r>
            <w:r/>
          </w:p>
        </w:tc>
        <w:tc>
          <w:tcPr>
            <w:tcBorders>
              <w:top w:val="single" w:color="auto" w:sz="4" w:space="0"/>
              <w:left w:val="single" w:color="auto" w:sz="4" w:space="0"/>
              <w:bottom w:val="single" w:color="auto" w:sz="4" w:space="0"/>
            </w:tcBorders>
            <w:tcW w:w="970" w:type="dxa"/>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单价(元/吨)</w:t>
            </w:r>
            <w:r/>
          </w:p>
        </w:tc>
        <w:tc>
          <w:tcPr>
            <w:tcBorders>
              <w:top w:val="single" w:color="auto" w:sz="4" w:space="0"/>
              <w:left w:val="single" w:color="auto" w:sz="4" w:space="0"/>
              <w:bottom w:val="single" w:color="auto" w:sz="4" w:space="0"/>
            </w:tcBorders>
            <w:tcW w:w="104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金额（元）</w:t>
            </w:r>
            <w:r/>
          </w:p>
        </w:tc>
        <w:tc>
          <w:tcPr>
            <w:tcBorders>
              <w:top w:val="single" w:color="auto" w:sz="4" w:space="0"/>
              <w:left w:val="single" w:color="auto" w:sz="4" w:space="0"/>
              <w:bottom w:val="single" w:color="auto" w:sz="4" w:space="0"/>
            </w:tcBorders>
            <w:tcW w:w="644" w:type="dxa"/>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药物性废物</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831-005-01</w:t>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p>
        </w:tc>
        <w:tc>
          <w:tcPr>
            <w:tcBorders>
              <w:top w:val="single" w:color="auto" w:sz="4" w:space="0"/>
              <w:left w:val="single" w:color="auto" w:sz="4" w:space="0"/>
              <w:bottom w:val="single" w:color="auto" w:sz="4" w:space="0"/>
            </w:tcBorders>
            <w:tcW w:w="97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tcBorders>
            <w:tcW w:w="104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p>
        </w:tc>
        <w:tc>
          <w:tcPr>
            <w:tcBorders>
              <w:top w:val="single" w:color="auto" w:sz="4" w:space="0"/>
              <w:left w:val="single" w:color="auto" w:sz="4" w:space="0"/>
              <w:bottom w:val="single" w:color="auto" w:sz="4" w:space="0"/>
            </w:tcBorders>
            <w:tcW w:w="64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p>
        </w:tc>
        <w:tc>
          <w:tcPr>
            <w:tcBorders>
              <w:top w:val="single" w:color="auto" w:sz="4" w:space="0"/>
              <w:left w:val="single" w:color="auto" w:sz="4" w:space="0"/>
              <w:right w:val="single" w:color="auto" w:sz="4" w:space="0"/>
            </w:tcBorders>
            <w:tcW w:w="1829"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化学性废物</w:t>
            </w:r>
            <w:r/>
          </w:p>
        </w:tc>
        <w:tc>
          <w:tcPr>
            <w:tcBorders>
              <w:top w:val="single" w:color="auto" w:sz="4" w:space="0"/>
              <w:left w:val="single" w:color="auto" w:sz="4" w:space="0"/>
              <w:right w:val="single" w:color="auto" w:sz="4" w:space="0"/>
            </w:tcBorders>
            <w:tcW w:w="1165"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p>
        </w:tc>
        <w:tc>
          <w:tcPr>
            <w:tcBorders>
              <w:top w:val="single" w:color="auto" w:sz="4" w:space="0"/>
              <w:left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831-004-01</w:t>
            </w:r>
            <w:r/>
          </w:p>
        </w:tc>
        <w:tc>
          <w:tcPr>
            <w:tcBorders>
              <w:top w:val="single" w:color="auto" w:sz="4" w:space="0"/>
              <w:left w:val="single" w:color="auto" w:sz="4" w:space="0"/>
              <w:right w:val="single" w:color="auto" w:sz="4" w:space="0"/>
            </w:tcBorders>
            <w:tcW w:w="103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p>
        </w:tc>
        <w:tc>
          <w:tcPr>
            <w:tcBorders>
              <w:top w:val="single" w:color="auto" w:sz="4" w:space="0"/>
              <w:left w:val="single" w:color="auto" w:sz="4" w:space="0"/>
            </w:tcBorders>
            <w:tcW w:w="97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tcBorders>
            <w:tcW w:w="104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p>
        </w:tc>
        <w:tc>
          <w:tcPr>
            <w:tcBorders>
              <w:top w:val="single" w:color="auto" w:sz="4" w:space="0"/>
              <w:left w:val="single" w:color="auto" w:sz="4" w:space="0"/>
            </w:tcBorders>
            <w:tcW w:w="64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p>
        </w:tc>
        <w:tc>
          <w:tcPr>
            <w:tcBorders>
              <w:top w:val="single" w:color="auto" w:sz="4" w:space="0"/>
              <w:left w:val="single" w:color="auto" w:sz="4" w:space="0"/>
              <w:right w:val="single" w:color="auto" w:sz="4" w:space="0"/>
            </w:tcBorders>
            <w:tcW w:w="1829"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损伤性废物</w:t>
            </w:r>
            <w:r/>
          </w:p>
        </w:tc>
        <w:tc>
          <w:tcPr>
            <w:tcBorders>
              <w:top w:val="single" w:color="auto" w:sz="4" w:space="0"/>
              <w:left w:val="single" w:color="auto" w:sz="4" w:space="0"/>
              <w:right w:val="single" w:color="auto" w:sz="4" w:space="0"/>
            </w:tcBorders>
            <w:tcW w:w="1165"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p>
        </w:tc>
        <w:tc>
          <w:tcPr>
            <w:tcBorders>
              <w:top w:val="single" w:color="auto" w:sz="4" w:space="0"/>
              <w:left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831-002-01</w:t>
            </w:r>
            <w:r/>
          </w:p>
        </w:tc>
        <w:tc>
          <w:tcPr>
            <w:tcBorders>
              <w:top w:val="single" w:color="auto" w:sz="4" w:space="0"/>
              <w:left w:val="single" w:color="auto" w:sz="4" w:space="0"/>
              <w:right w:val="single" w:color="auto" w:sz="4" w:space="0"/>
            </w:tcBorders>
            <w:tcW w:w="103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p>
        </w:tc>
        <w:tc>
          <w:tcPr>
            <w:tcBorders>
              <w:top w:val="single" w:color="auto" w:sz="4" w:space="0"/>
              <w:left w:val="single" w:color="auto" w:sz="4" w:space="0"/>
            </w:tcBorders>
            <w:tcW w:w="97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tcBorders>
            <w:tcW w:w="104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p>
        </w:tc>
        <w:tc>
          <w:tcPr>
            <w:tcBorders>
              <w:top w:val="single" w:color="auto" w:sz="4" w:space="0"/>
              <w:left w:val="single" w:color="auto" w:sz="4" w:space="0"/>
            </w:tcBorders>
            <w:tcW w:w="64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p>
        </w:tc>
        <w:tc>
          <w:tcPr>
            <w:tcBorders>
              <w:top w:val="single" w:color="auto" w:sz="4" w:space="0"/>
              <w:left w:val="single" w:color="auto" w:sz="4" w:space="0"/>
              <w:right w:val="single" w:color="auto" w:sz="4" w:space="0"/>
            </w:tcBorders>
            <w:tcW w:w="1829"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感染性废物</w:t>
            </w:r>
            <w:r/>
          </w:p>
        </w:tc>
        <w:tc>
          <w:tcPr>
            <w:tcBorders>
              <w:top w:val="single" w:color="auto" w:sz="4" w:space="0"/>
              <w:left w:val="single" w:color="auto" w:sz="4" w:space="0"/>
              <w:right w:val="single" w:color="auto" w:sz="4" w:space="0"/>
            </w:tcBorders>
            <w:tcW w:w="1165"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p>
        </w:tc>
        <w:tc>
          <w:tcPr>
            <w:tcBorders>
              <w:top w:val="single" w:color="auto" w:sz="4" w:space="0"/>
              <w:left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831-001-01</w:t>
            </w:r>
            <w:r/>
          </w:p>
        </w:tc>
        <w:tc>
          <w:tcPr>
            <w:tcBorders>
              <w:top w:val="single" w:color="auto" w:sz="4" w:space="0"/>
              <w:left w:val="single" w:color="auto" w:sz="4" w:space="0"/>
              <w:right w:val="single" w:color="auto" w:sz="4" w:space="0"/>
            </w:tcBorders>
            <w:tcW w:w="103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p>
        </w:tc>
        <w:tc>
          <w:tcPr>
            <w:tcBorders>
              <w:top w:val="single" w:color="auto" w:sz="4" w:space="0"/>
              <w:left w:val="single" w:color="auto" w:sz="4" w:space="0"/>
            </w:tcBorders>
            <w:tcW w:w="97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tcBorders>
            <w:tcW w:w="104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p>
        </w:tc>
        <w:tc>
          <w:tcPr>
            <w:tcBorders>
              <w:top w:val="single" w:color="auto" w:sz="4" w:space="0"/>
              <w:left w:val="single" w:color="auto" w:sz="4" w:space="0"/>
            </w:tcBorders>
            <w:tcW w:w="64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病理性废物（不含离体残肢与死胎）</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HW01</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831-003-01</w:t>
            </w:r>
            <w:r/>
          </w:p>
        </w:tc>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w:t>
            </w:r>
            <w:r/>
          </w:p>
        </w:tc>
        <w:tc>
          <w:tcPr>
            <w:tcBorders>
              <w:top w:val="single" w:color="auto" w:sz="4" w:space="0"/>
              <w:left w:val="single" w:color="auto" w:sz="4" w:space="0"/>
              <w:bottom w:val="single" w:color="auto" w:sz="4" w:space="0"/>
            </w:tcBorders>
            <w:tcW w:w="97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auto" w:sz="4" w:space="0"/>
              <w:left w:val="single" w:color="auto" w:sz="4" w:space="0"/>
              <w:bottom w:val="single" w:color="auto" w:sz="4" w:space="0"/>
            </w:tcBorders>
            <w:tcW w:w="104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计重收费</w:t>
            </w:r>
            <w:r/>
          </w:p>
        </w:tc>
        <w:tc>
          <w:tcPr>
            <w:tcBorders>
              <w:top w:val="single" w:color="auto" w:sz="4" w:space="0"/>
              <w:left w:val="single" w:color="auto" w:sz="4" w:space="0"/>
              <w:bottom w:val="single" w:color="auto" w:sz="4" w:space="0"/>
            </w:tcBorders>
            <w:tcW w:w="64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615"/>
        </w:trPr>
        <w:tc>
          <w:tcPr>
            <w:gridSpan w:val="3"/>
            <w:tcBorders>
              <w:top w:val="single" w:color="auto" w:sz="4" w:space="0"/>
              <w:bottom w:val="single" w:color="auto" w:sz="4" w:space="0"/>
              <w:right w:val="single" w:color="auto" w:sz="4" w:space="0"/>
            </w:tcBorders>
            <w:tcW w:w="3717" w:type="dxa"/>
            <w:vAlign w:val="center"/>
            <w:textDirection w:val="lrTb"/>
            <w:noWrap w:val="false"/>
          </w:tcPr>
          <w:p>
            <w:pPr>
              <w:jc w:val="left"/>
              <w:rPr>
                <w:rFonts w:hint="eastAsia" w:ascii="宋体" w:hAnsi="宋体" w:eastAsia="宋体" w:cs="宋体"/>
                <w:b/>
                <w:bCs/>
                <w:sz w:val="24"/>
                <w:szCs w:val="24"/>
              </w:rPr>
            </w:pPr>
            <w:r>
              <w:rPr>
                <w:rStyle w:val="758"/>
                <w:rFonts w:hint="eastAsia" w:ascii="宋体" w:hAnsi="宋体" w:eastAsia="宋体" w:cs="宋体"/>
                <w:b/>
                <w:color w:val="000000"/>
                <w:sz w:val="24"/>
                <w:szCs w:val="24"/>
                <w:highlight w:val="none"/>
                <w:lang w:val="en-US" w:eastAsia="zh-CN" w:bidi="ar-SA"/>
              </w:rPr>
              <w:t xml:space="preserve">其它相关费用(培训、税费等与项目相关的一切费用)</w:t>
            </w:r>
            <w:r/>
          </w:p>
        </w:tc>
        <w:tc>
          <w:tcPr>
            <w:gridSpan w:val="5"/>
            <w:tcBorders>
              <w:top w:val="single" w:color="auto" w:sz="4" w:space="0"/>
              <w:left w:val="single" w:color="auto" w:sz="4" w:space="0"/>
              <w:bottom w:val="single" w:color="auto" w:sz="4" w:space="0"/>
            </w:tcBorders>
            <w:tcW w:w="5647" w:type="dxa"/>
            <w:vAlign w:val="center"/>
            <w:textDirection w:val="lrTb"/>
            <w:noWrap w:val="false"/>
          </w:tcPr>
          <w:p>
            <w:pPr>
              <w:jc w:val="center"/>
              <w:rPr>
                <w:rStyle w:val="758"/>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sz w:val="24"/>
                <w:szCs w:val="24"/>
                <w:u w:val="single"/>
                <w:lang w:val="en-US" w:eastAsia="zh-CN"/>
              </w:rPr>
              <w:t xml:space="preserve">          元</w:t>
            </w:r>
            <w:r/>
          </w:p>
        </w:tc>
      </w:tr>
      <w:tr>
        <w:trPr>
          <w:jc w:val="center"/>
          <w:trHeight w:val="615"/>
        </w:trPr>
        <w:tc>
          <w:tcPr>
            <w:gridSpan w:val="6"/>
            <w:tcBorders>
              <w:top w:val="single" w:color="auto" w:sz="4" w:space="0"/>
              <w:bottom w:val="single" w:color="auto" w:sz="4" w:space="0"/>
            </w:tcBorders>
            <w:tcW w:w="7673" w:type="dxa"/>
            <w:vAlign w:val="top"/>
            <w:textDirection w:val="lrTb"/>
            <w:noWrap w:val="false"/>
          </w:tcPr>
          <w:p>
            <w:pPr>
              <w:jc w:val="center"/>
              <w:spacing w:line="480" w:lineRule="auto"/>
              <w:rPr>
                <w:rFonts w:hint="default" w:ascii="宋体" w:hAnsi="宋体" w:eastAsia="宋体" w:cs="宋体"/>
                <w:b/>
                <w:bCs/>
                <w:sz w:val="24"/>
                <w:szCs w:val="24"/>
                <w:lang w:val="en-US" w:eastAsia="zh-CN"/>
              </w:rPr>
            </w:pPr>
            <w:r>
              <w:rPr>
                <w:rStyle w:val="758"/>
                <w:rFonts w:hint="eastAsia" w:ascii="宋体" w:hAnsi="宋体" w:eastAsia="宋体" w:cs="宋体"/>
                <w:b/>
                <w:color w:val="000000"/>
                <w:sz w:val="24"/>
                <w:szCs w:val="24"/>
                <w:highlight w:val="none"/>
                <w:lang w:val="en-US" w:eastAsia="zh-CN" w:bidi="ar-SA"/>
              </w:rPr>
              <w:t xml:space="preserve">项目总报价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u w:val="single"/>
                <w:lang w:val="en-US" w:eastAsia="zh-CN"/>
              </w:rPr>
              <w:t xml:space="preserve">          元</w:t>
            </w:r>
            <w:r/>
          </w:p>
        </w:tc>
        <w:tc>
          <w:tcPr>
            <w:tcBorders>
              <w:top w:val="single" w:color="auto" w:sz="4" w:space="0"/>
              <w:bottom w:val="single" w:color="auto" w:sz="4" w:space="0"/>
            </w:tcBorders>
            <w:tcW w:w="1047" w:type="dxa"/>
            <w:vAlign w:val="top"/>
            <w:textDirection w:val="lrTb"/>
            <w:noWrap w:val="false"/>
          </w:tcPr>
          <w:p>
            <w:pPr>
              <w:jc w:val="center"/>
              <w:spacing w:line="480" w:lineRule="auto"/>
              <w:rPr>
                <w:rStyle w:val="758"/>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Borders>
              <w:top w:val="single" w:color="auto" w:sz="4" w:space="0"/>
              <w:bottom w:val="single" w:color="auto" w:sz="4" w:space="0"/>
            </w:tcBorders>
            <w:tcW w:w="644" w:type="dxa"/>
            <w:vAlign w:val="top"/>
            <w:textDirection w:val="lrTb"/>
            <w:noWrap w:val="false"/>
          </w:tcPr>
          <w:p>
            <w:pPr>
              <w:jc w:val="center"/>
              <w:spacing w:line="480" w:lineRule="auto"/>
              <w:rPr>
                <w:rStyle w:val="758"/>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r>
    </w:tbl>
    <w:p>
      <w:pPr>
        <w:pStyle w:val="971"/>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971"/>
        <w:spacing w:line="360" w:lineRule="auto"/>
        <w:rPr>
          <w:rFonts w:hint="eastAsia" w:ascii="宋体" w:hAnsi="宋体" w:cs="宋体"/>
          <w:b/>
          <w:color w:val="000000"/>
          <w:sz w:val="24"/>
          <w:szCs w:val="24"/>
          <w:u w:val="single"/>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投标人应当按照招标文件采购需求及相关报价要求填写</w:t>
      </w:r>
      <w:r>
        <w:rPr>
          <w:rFonts w:hint="eastAsia" w:ascii="宋体" w:hAnsi="宋体" w:cs="宋体"/>
          <w:color w:val="000000"/>
          <w:sz w:val="24"/>
          <w:szCs w:val="24"/>
          <w:u w:val="single"/>
        </w:rPr>
        <w:t xml:space="preserve">。</w:t>
      </w:r>
      <w:r/>
    </w:p>
    <w:p>
      <w:pPr>
        <w:pStyle w:val="971"/>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971"/>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本表中项目总报价应与开标一览表中项目总报价保持一致。</w:t>
      </w:r>
      <w:r/>
    </w:p>
    <w:p>
      <w:pPr>
        <w:spacing w:line="360" w:lineRule="auto"/>
        <w:rPr>
          <w:rFonts w:ascii="宋体" w:hAnsi="宋体" w:eastAsia="宋体"/>
          <w:sz w:val="24"/>
          <w:szCs w:val="24"/>
          <w:lang w:eastAsia="zh-CN"/>
        </w:rPr>
        <w:sectPr>
          <w:footerReference w:type="default" r:id="rId11"/>
          <w:footnotePr/>
          <w:endnotePr/>
          <w:type w:val="nextPage"/>
          <w:pgSz w:w="11907" w:h="16839" w:orient="portrait"/>
          <w:pgMar w:top="1440" w:right="1800" w:bottom="1440" w:left="1800" w:header="0" w:footer="1213" w:gutter="0"/>
          <w:cols w:num="1" w:sep="0" w:space="720" w:equalWidth="1"/>
          <w:docGrid w:linePitch="360"/>
        </w:sectPr>
      </w:pPr>
      <w:r>
        <w:rPr>
          <w:rFonts w:hint="eastAsia" w:ascii="宋体" w:hAnsi="宋体" w:cs="宋体"/>
          <w:color w:val="000000"/>
          <w:sz w:val="24"/>
          <w:szCs w:val="24"/>
        </w:rPr>
        <w:t xml:space="preserve">4、</w:t>
      </w:r>
      <w:r>
        <w:rPr>
          <w:rFonts w:hint="eastAsia" w:ascii="宋体" w:hAnsi="宋体" w:cs="宋体"/>
          <w:bCs/>
          <w:color w:val="000000"/>
          <w:sz w:val="24"/>
          <w:szCs w:val="24"/>
          <w:u w:val="single"/>
        </w:rPr>
        <w:t xml:space="preserve">报价保留至小数点后两位，四舍五入。</w:t>
      </w:r>
      <w:r/>
    </w:p>
    <w:p>
      <w:pPr>
        <w:pStyle w:val="764"/>
        <w:jc w:val="center"/>
        <w:spacing w:before="91" w:line="360" w:lineRule="auto"/>
        <w:rPr>
          <w:rFonts w:hint="eastAsia" w:ascii="宋体" w:hAnsi="宋体" w:eastAsia="宋体" w:cs="宋体"/>
          <w:spacing w:val="-6"/>
          <w:sz w:val="28"/>
          <w:szCs w:val="28"/>
          <w:lang w:val="en-US" w:eastAsia="zh-CN"/>
        </w:rPr>
        <w:outlineLvl w:val="1"/>
      </w:pPr>
      <w:r>
        <w:rPr>
          <w:rFonts w:hint="eastAsia" w:ascii="宋体" w:hAnsi="宋体" w:eastAsia="宋体" w:cs="宋体"/>
          <w:spacing w:val="-6"/>
          <w:sz w:val="28"/>
          <w:szCs w:val="28"/>
          <w:lang w:val="en-US" w:eastAsia="zh-CN"/>
        </w:rPr>
        <w:t xml:space="preserve">(十一)</w:t>
      </w:r>
      <w:r>
        <w:rPr>
          <w:rFonts w:hint="eastAsia" w:ascii="宋体" w:hAnsi="宋体" w:eastAsia="宋体" w:cs="宋体"/>
          <w:sz w:val="32"/>
          <w:szCs w:val="24"/>
          <w:lang w:val="en-US" w:eastAsia="zh-CN" w:bidi="ar-SA"/>
        </w:rPr>
        <w:t xml:space="preserve">企业报价折扣证明</w:t>
      </w:r>
      <w:r/>
    </w:p>
    <w:p>
      <w:pPr>
        <w:jc w:val="center"/>
        <w:spacing w:before="191" w:line="225" w:lineRule="auto"/>
        <w:rPr>
          <w:rFonts w:ascii="宋体" w:hAnsi="宋体" w:cs="宋体"/>
          <w:b/>
          <w:bCs/>
          <w:sz w:val="28"/>
          <w:szCs w:val="28"/>
        </w:rPr>
        <w:outlineLvl w:val="0"/>
      </w:pPr>
      <w:r>
        <w:rPr>
          <w:rFonts w:ascii="宋体" w:hAnsi="宋体" w:cs="宋体"/>
          <w:b/>
          <w:bCs/>
          <w:spacing w:val="5"/>
          <w:sz w:val="28"/>
          <w:szCs w:val="28"/>
        </w:rPr>
        <w:t xml:space="preserve">中小企业声明函（</w:t>
      </w:r>
      <w:r>
        <w:rPr>
          <w:rFonts w:hint="eastAsia" w:ascii="宋体" w:hAnsi="宋体" w:cs="宋体"/>
          <w:b/>
          <w:bCs/>
          <w:spacing w:val="20"/>
          <w:sz w:val="31"/>
          <w:szCs w:val="31"/>
        </w:rPr>
        <w:t xml:space="preserve">工程、服务</w:t>
      </w:r>
      <w:r>
        <w:rPr>
          <w:rFonts w:ascii="宋体" w:hAnsi="宋体" w:cs="宋体"/>
          <w:b/>
          <w:bCs/>
          <w:spacing w:val="5"/>
          <w:sz w:val="28"/>
          <w:szCs w:val="28"/>
        </w:rPr>
        <w:t xml:space="preserve">）</w:t>
      </w:r>
      <w:r/>
    </w:p>
    <w:p>
      <w:pPr>
        <w:pStyle w:val="973"/>
        <w:jc w:val="center"/>
        <w:rPr>
          <w:rFonts w:hint="eastAsia" w:ascii="宋体" w:hAnsi="宋体" w:eastAsia="宋体" w:cs="宋体"/>
        </w:rPr>
        <w:outlineLvl w:val="2"/>
      </w:pPr>
      <w:r>
        <w:rPr>
          <w:rFonts w:hint="eastAsia" w:ascii="宋体" w:hAnsi="宋体" w:eastAsia="宋体" w:cs="宋体"/>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i/>
          <w:iCs/>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i/>
          <w:iCs/>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eastAsia="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eastAsia="宋体" w:cs="宋体"/>
          <w:sz w:val="24"/>
          <w:szCs w:val="24"/>
        </w:rPr>
        <w:t xml:space="preserve">；承接企业为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eastAsia="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采购文件中明确的所属行业</w:t>
      </w:r>
      <w:r>
        <w:rPr>
          <w:rFonts w:hint="eastAsia" w:ascii="宋体" w:hAnsi="宋体" w:cs="宋体"/>
          <w:sz w:val="24"/>
          <w:szCs w:val="24"/>
          <w:u w:val="single"/>
        </w:rPr>
        <w:t xml:space="preserve">）</w:t>
      </w:r>
      <w:r>
        <w:rPr>
          <w:rFonts w:hint="eastAsia" w:ascii="宋体" w:hAnsi="宋体" w:eastAsia="宋体" w:cs="宋体"/>
          <w:sz w:val="24"/>
          <w:szCs w:val="24"/>
        </w:rPr>
        <w:t xml:space="preserve">；承接企业为</w:t>
      </w:r>
      <w:r>
        <w:rPr>
          <w:rFonts w:hint="eastAsia" w:ascii="宋体" w:hAnsi="宋体" w:eastAsia="宋体" w:cs="宋体"/>
          <w:i/>
          <w:iCs/>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 法承担相应责任。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spacing w:line="360" w:lineRule="auto"/>
        <w:rPr>
          <w:rFonts w:hint="eastAsia" w:ascii="宋体" w:hAnsi="宋体" w:cs="宋体"/>
          <w:color w:val="000000"/>
          <w:sz w:val="24"/>
        </w:rPr>
      </w:pPr>
      <w:r>
        <w:rPr>
          <w:rFonts w:hint="eastAsia" w:ascii="宋体" w:hAnsi="宋体" w:eastAsia="宋体" w:cs="宋体"/>
          <w:sz w:val="24"/>
          <w:szCs w:val="24"/>
        </w:rPr>
        <w:t xml:space="preserve">日 期：    </w:t>
      </w:r>
      <w:r>
        <w:rPr>
          <w:rFonts w:hint="eastAsia" w:ascii="宋体" w:hAnsi="宋体" w:cs="宋体"/>
          <w:color w:val="000000"/>
          <w:sz w:val="24"/>
        </w:rPr>
        <w:t xml:space="preserve">  </w:t>
      </w:r>
      <w:r/>
    </w:p>
    <w:p>
      <w:pPr>
        <w:pStyle w:val="974"/>
        <w:rPr>
          <w:rFonts w:hint="eastAsia" w:ascii="宋体" w:hAnsi="宋体" w:cs="宋体"/>
        </w:rPr>
      </w:pPr>
      <w:r>
        <w:rPr>
          <w:rFonts w:hint="eastAsia" w:ascii="宋体" w:hAnsi="宋体" w:cs="宋体"/>
        </w:rPr>
        <w:t xml:space="preserve"> </w:t>
      </w:r>
      <w:r/>
    </w:p>
    <w:p>
      <w:pPr>
        <w:pStyle w:val="974"/>
        <w:rPr>
          <w:rFonts w:hint="eastAsia" w:ascii="宋体" w:hAnsi="宋体" w:cs="宋体"/>
        </w:rPr>
      </w:pPr>
      <w:r>
        <w:rPr>
          <w:rFonts w:hint="eastAsia" w:ascii="宋体" w:hAnsi="宋体" w:cs="宋体"/>
        </w:rPr>
      </w:r>
      <w:r/>
    </w:p>
    <w:p>
      <w:pPr>
        <w:pStyle w:val="974"/>
        <w:rPr>
          <w:rFonts w:hint="eastAsia" w:ascii="宋体" w:hAnsi="宋体" w:cs="宋体"/>
        </w:rPr>
      </w:pPr>
      <w:r>
        <w:rPr>
          <w:rFonts w:hint="eastAsia" w:ascii="宋体" w:hAnsi="宋体" w:cs="宋体"/>
        </w:rPr>
      </w:r>
      <w:r/>
    </w:p>
    <w:p>
      <w:pPr>
        <w:spacing w:line="240" w:lineRule="auto"/>
        <w:rPr>
          <w:rFonts w:hint="eastAsia" w:ascii="宋体" w:hAnsi="宋体"/>
          <w:sz w:val="22"/>
          <w:u w:val="single"/>
        </w:rPr>
      </w:pPr>
      <w:r>
        <w:rPr>
          <w:rFonts w:hint="eastAsia" w:ascii="宋体" w:hAnsi="宋体"/>
          <w:sz w:val="22"/>
          <w:u w:val="single"/>
        </w:rPr>
        <w:t xml:space="preserve">注：1.从业人员、营业收入、资产总额填报上一年度数据，无上一年度数据的新成立企业可不填报。</w:t>
      </w:r>
      <w:r/>
    </w:p>
    <w:p>
      <w:pPr>
        <w:spacing w:line="240" w:lineRule="auto"/>
        <w:rPr>
          <w:rFonts w:hint="eastAsia" w:ascii="宋体" w:hAnsi="宋体"/>
          <w:sz w:val="22"/>
          <w:u w:val="single"/>
        </w:rPr>
      </w:pPr>
      <w:r>
        <w:rPr>
          <w:rFonts w:hint="eastAsia" w:ascii="宋体" w:hAnsi="宋体"/>
          <w:sz w:val="22"/>
          <w:u w:val="single"/>
        </w:rPr>
        <w:t xml:space="preserve">2.本声明函中“属于（中型企业、小型企业、微型企业）”的内容，必须且只能选择其中之一填写。</w:t>
      </w:r>
      <w:r/>
    </w:p>
    <w:p>
      <w:pPr>
        <w:rPr>
          <w:rFonts w:ascii="宋体" w:hAnsi="宋体" w:eastAsia="宋体" w:cs="宋体"/>
          <w:sz w:val="22"/>
          <w:szCs w:val="22"/>
          <w:lang w:eastAsia="zh-CN"/>
        </w:rPr>
      </w:pPr>
      <w:r>
        <w:rPr>
          <w:rFonts w:hint="eastAsia" w:ascii="宋体" w:hAnsi="宋体"/>
          <w:sz w:val="22"/>
          <w:u w:val="single"/>
        </w:rPr>
        <w:t xml:space="preserve">3.</w:t>
      </w:r>
      <w:r>
        <w:rPr>
          <w:rFonts w:hint="eastAsia" w:ascii="宋体" w:hAnsi="宋体"/>
          <w:sz w:val="22"/>
          <w:u w:val="single"/>
          <w:lang w:eastAsia="zh-CN"/>
        </w:rPr>
        <w:t xml:space="preserve">供应商</w:t>
      </w:r>
      <w:r>
        <w:rPr>
          <w:rFonts w:hint="eastAsia" w:ascii="宋体" w:hAnsi="宋体"/>
          <w:sz w:val="22"/>
          <w:u w:val="single"/>
        </w:rPr>
        <w:t xml:space="preserve">应当根据</w:t>
      </w:r>
      <w:r>
        <w:rPr>
          <w:rFonts w:hint="eastAsia" w:ascii="宋体" w:hAnsi="宋体"/>
          <w:sz w:val="22"/>
          <w:u w:val="single"/>
          <w:lang w:eastAsia="zh-CN"/>
        </w:rPr>
        <w:t xml:space="preserve">招标文件</w:t>
      </w:r>
      <w:r>
        <w:rPr>
          <w:rFonts w:hint="eastAsia" w:ascii="宋体" w:hAnsi="宋体"/>
          <w:sz w:val="22"/>
          <w:u w:val="single"/>
        </w:rPr>
        <w:t xml:space="preserve">中明确的所属行业，认真对照《关于印发中小企业划型标准规定的通知》（工信部联企业</w:t>
      </w:r>
      <w:r>
        <w:rPr>
          <w:rFonts w:hint="eastAsia" w:ascii="宋体" w:hAnsi="宋体"/>
          <w:sz w:val="22"/>
          <w:u w:val="single"/>
          <w:lang w:eastAsia="zh-CN"/>
        </w:rPr>
        <w:t xml:space="preserve">〔2011〕300号</w:t>
      </w:r>
      <w:r>
        <w:rPr>
          <w:rFonts w:hint="eastAsia" w:ascii="宋体" w:hAnsi="宋体"/>
          <w:sz w:val="22"/>
          <w:u w:val="single"/>
        </w:rPr>
        <w:t xml:space="preserve">）提供声明函。 </w:t>
      </w:r>
      <w:r>
        <w:rPr>
          <w:rFonts w:hint="eastAsia" w:ascii="宋体" w:hAnsi="宋体"/>
          <w:sz w:val="22"/>
          <w:u w:val="single"/>
          <w:lang w:eastAsia="zh-CN"/>
        </w:rPr>
        <w:t xml:space="preserve">供应商</w:t>
      </w:r>
      <w:r>
        <w:rPr>
          <w:rFonts w:hint="eastAsia" w:ascii="宋体" w:hAnsi="宋体"/>
          <w:sz w:val="22"/>
          <w:u w:val="single"/>
        </w:rPr>
        <w:t xml:space="preserve">提供声明函内容不实的，属于提供虚假材料谋取中标、成交，依照《中华人民共和国政府采购法》等国家有关规定追究相应责任。</w:t>
      </w:r>
      <w:r>
        <w:rPr>
          <w:rFonts w:ascii="宋体" w:hAnsi="宋体" w:eastAsia="宋体" w:cs="宋体"/>
          <w:sz w:val="22"/>
          <w:szCs w:val="22"/>
          <w:lang w:eastAsia="zh-CN"/>
        </w:rPr>
        <w:br w:type="page" w:clear="all"/>
      </w:r>
      <w:r/>
    </w:p>
    <w:p>
      <w:pPr>
        <w:pStyle w:val="764"/>
        <w:jc w:val="center"/>
        <w:spacing w:before="91" w:line="360" w:lineRule="auto"/>
        <w:rPr>
          <w:rFonts w:hint="eastAsia" w:ascii="宋体" w:hAnsi="宋体" w:eastAsia="宋体" w:cs="宋体"/>
          <w:spacing w:val="-6"/>
          <w:sz w:val="28"/>
          <w:szCs w:val="28"/>
          <w:lang w:val="en-US" w:eastAsia="zh-CN"/>
        </w:rPr>
        <w:outlineLvl w:val="1"/>
      </w:pPr>
      <w:r>
        <w:rPr>
          <w:rFonts w:hint="eastAsia" w:ascii="宋体" w:hAnsi="宋体" w:eastAsia="宋体" w:cs="宋体"/>
          <w:spacing w:val="-6"/>
          <w:sz w:val="28"/>
          <w:szCs w:val="28"/>
          <w:lang w:val="en-US" w:eastAsia="zh-CN"/>
        </w:rPr>
        <w:t xml:space="preserve">(十二)关于符合本国产品标准的声明函（本项目不适用）</w:t>
      </w:r>
      <w:r/>
    </w:p>
    <w:p>
      <w:pPr>
        <w:pStyle w:val="783"/>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788"/>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78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提供的以下产品属于本国产品。具体情况如下：</w:t>
      </w:r>
      <w:r/>
    </w:p>
    <w:p>
      <w:pPr>
        <w:pStyle w:val="78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91"/>
          <w:rFonts w:hint="eastAsia" w:ascii="宋体" w:hAnsi="宋体" w:eastAsia="宋体" w:cs="宋体"/>
          <w:i w:val="0"/>
          <w:iCs w:val="0"/>
          <w:caps w:val="0"/>
          <w:color w:val="auto"/>
          <w:spacing w:val="0"/>
          <w:sz w:val="24"/>
          <w:szCs w:val="24"/>
          <w:highlight w:val="none"/>
          <w:shd w:val="clear" w:color="auto" w:fill="ffffff"/>
        </w:rPr>
        <w:t xml:space="preserve">（产品名称1）</w:t>
      </w:r>
      <w:r>
        <w:rPr>
          <w:rStyle w:val="791"/>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1"/>
          <w:rFonts w:hint="eastAsia" w:ascii="宋体" w:hAnsi="宋体" w:eastAsia="宋体" w:cs="宋体"/>
          <w:i w:val="0"/>
          <w:iCs w:val="0"/>
          <w:caps w:val="0"/>
          <w:color w:val="auto"/>
          <w:spacing w:val="0"/>
          <w:sz w:val="24"/>
          <w:szCs w:val="24"/>
          <w:highlight w:val="none"/>
          <w:shd w:val="clear" w:color="auto" w:fill="ffffff"/>
        </w:rPr>
        <w:t xml:space="preserve">（厂名）</w:t>
      </w:r>
      <w:r>
        <w:rPr>
          <w:rStyle w:val="791"/>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1"/>
          <w:rFonts w:hint="eastAsia" w:ascii="宋体" w:hAnsi="宋体" w:eastAsia="宋体" w:cs="宋体"/>
          <w:i w:val="0"/>
          <w:iCs w:val="0"/>
          <w:caps w:val="0"/>
          <w:color w:val="auto"/>
          <w:spacing w:val="0"/>
          <w:sz w:val="24"/>
          <w:szCs w:val="24"/>
          <w:highlight w:val="none"/>
          <w:shd w:val="clear" w:color="auto" w:fill="ffffff"/>
        </w:rPr>
        <w:t xml:space="preserve">（生产厂址）</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91"/>
          <w:rFonts w:hint="eastAsia" w:ascii="宋体" w:hAnsi="宋体" w:eastAsia="宋体" w:cs="宋体"/>
          <w:i w:val="0"/>
          <w:iCs w:val="0"/>
          <w:caps w:val="0"/>
          <w:color w:val="auto"/>
          <w:spacing w:val="0"/>
          <w:sz w:val="24"/>
          <w:szCs w:val="24"/>
          <w:highlight w:val="none"/>
          <w:shd w:val="clear" w:color="auto" w:fill="ffffff"/>
        </w:rPr>
        <w:t xml:space="preserve">（规定比例）</w:t>
      </w:r>
      <w:r>
        <w:rPr>
          <w:rStyle w:val="791"/>
          <w:rFonts w:hint="eastAsia" w:ascii="宋体" w:hAnsi="宋体" w:eastAsia="宋体" w:cs="宋体"/>
          <w:i w:val="0"/>
          <w:iCs w:val="0"/>
          <w:caps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shd w:val="clear" w:color="auto" w:fill="ffffff"/>
        </w:rPr>
        <w:t xml:space="preserve">（关键组件）</w:t>
      </w:r>
      <w:r>
        <w:rPr>
          <w:rStyle w:val="791"/>
          <w:rFonts w:hint="eastAsia" w:ascii="宋体" w:hAnsi="宋体" w:eastAsia="宋体" w:cs="宋体"/>
          <w:i w:val="0"/>
          <w:iCs w:val="0"/>
          <w:caps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91"/>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shd w:val="clear" w:color="auto" w:fill="ffffff"/>
        </w:rPr>
        <w:t xml:space="preserve">（关键工序）</w:t>
      </w:r>
      <w:r>
        <w:rPr>
          <w:rStyle w:val="791"/>
          <w:rFonts w:hint="eastAsia" w:ascii="宋体" w:hAnsi="宋体" w:eastAsia="宋体" w:cs="宋体"/>
          <w:i w:val="0"/>
          <w:iCs w:val="0"/>
          <w:caps w:val="0"/>
          <w:color w:val="auto"/>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8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791"/>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1"/>
          <w:rFonts w:hint="eastAsia" w:ascii="宋体" w:hAnsi="宋体" w:eastAsia="宋体" w:cs="宋体"/>
          <w:i w:val="0"/>
          <w:iCs w:val="0"/>
          <w:caps w:val="0"/>
          <w:color w:val="auto"/>
          <w:spacing w:val="0"/>
          <w:sz w:val="24"/>
          <w:szCs w:val="24"/>
          <w:highlight w:val="none"/>
          <w:shd w:val="clear" w:color="auto" w:fill="ffffff"/>
        </w:rPr>
        <w:t xml:space="preserve">（厂名）</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1"/>
          <w:rFonts w:hint="eastAsia" w:ascii="宋体" w:hAnsi="宋体" w:eastAsia="宋体" w:cs="宋体"/>
          <w:i w:val="0"/>
          <w:iCs w:val="0"/>
          <w:caps w:val="0"/>
          <w:color w:val="auto"/>
          <w:spacing w:val="0"/>
          <w:sz w:val="24"/>
          <w:szCs w:val="24"/>
          <w:highlight w:val="none"/>
          <w:shd w:val="clear" w:color="auto" w:fill="ffffff"/>
        </w:rPr>
        <w:t xml:space="preserve">（生产厂址）</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91"/>
          <w:rFonts w:hint="eastAsia" w:ascii="宋体" w:hAnsi="宋体" w:eastAsia="宋体" w:cs="宋体"/>
          <w:i w:val="0"/>
          <w:iCs w:val="0"/>
          <w:caps w:val="0"/>
          <w:color w:val="auto"/>
          <w:spacing w:val="0"/>
          <w:sz w:val="24"/>
          <w:szCs w:val="24"/>
          <w:highlight w:val="none"/>
          <w:shd w:val="clear" w:color="auto" w:fill="ffffff"/>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1"/>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shd w:val="clear" w:color="auto" w:fill="ffffff"/>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91"/>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91"/>
          <w:rFonts w:hint="eastAsia" w:ascii="宋体" w:hAnsi="宋体" w:eastAsia="宋体" w:cs="宋体"/>
          <w:i w:val="0"/>
          <w:iCs w:val="0"/>
          <w:caps w:val="0"/>
          <w:color w:val="auto"/>
          <w:spacing w:val="0"/>
          <w:sz w:val="24"/>
          <w:szCs w:val="24"/>
          <w:highlight w:val="none"/>
          <w:shd w:val="clear" w:color="auto" w:fill="ffffff"/>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8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8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8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78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78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78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783"/>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783"/>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783"/>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783"/>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78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78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8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8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951"/>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color w:val="auto"/>
          <w:sz w:val="40"/>
          <w:szCs w:val="40"/>
        </w:rPr>
      </w:pPr>
      <w:r>
        <w:rPr>
          <w:rFonts w:hint="eastAsia" w:ascii="宋体" w:hAnsi="宋体" w:eastAsia="宋体" w:cs="宋体"/>
          <w:color w:val="auto"/>
          <w:sz w:val="40"/>
          <w:szCs w:val="40"/>
        </w:rPr>
        <w:t xml:space="preserve">告</w:t>
      </w:r>
      <w:r>
        <w:rPr>
          <w:rFonts w:hint="eastAsia" w:ascii="宋体" w:hAnsi="宋体" w:cs="宋体"/>
          <w:color w:val="auto"/>
          <w:sz w:val="40"/>
          <w:szCs w:val="40"/>
          <w:lang w:eastAsia="zh-CN"/>
        </w:rPr>
        <w:t xml:space="preserve">供应商</w:t>
      </w:r>
      <w:r>
        <w:rPr>
          <w:rFonts w:hint="eastAsia" w:ascii="宋体" w:hAnsi="宋体" w:eastAsia="宋体" w:cs="宋体"/>
          <w:color w:val="auto"/>
          <w:sz w:val="40"/>
          <w:szCs w:val="40"/>
        </w:rPr>
        <w:t xml:space="preserve">书</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w:t>
      </w:r>
      <w:r>
        <w:rPr>
          <w:rFonts w:hint="eastAsia" w:ascii="宋体" w:hAnsi="宋体" w:cs="宋体"/>
          <w:color w:val="auto"/>
          <w:sz w:val="28"/>
          <w:szCs w:val="28"/>
          <w:lang w:eastAsia="zh-CN"/>
        </w:rPr>
        <w:t xml:space="preserve">供应商</w:t>
      </w:r>
      <w:r>
        <w:rPr>
          <w:rFonts w:hint="eastAsia" w:ascii="宋体" w:hAnsi="宋体" w:eastAsia="宋体" w:cs="宋体"/>
          <w:color w:val="auto"/>
          <w:sz w:val="28"/>
          <w:szCs w:val="28"/>
        </w:rPr>
        <w:t xml:space="preserve">：</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恭喜您成功中标（成交），为我市</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如您在中标（成交）后遇到资金困难，确有贷款意向，请及时与</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沟通协调。在签订政府采购合同时，向</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说明需要政府采购合同融资的意向，提醒</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如您需要帮助，请致电镇江市财政局政府采购管理处，电话：0511-80909958。我们将竭诚为您服务！</w:t>
      </w:r>
      <w:r/>
    </w:p>
    <w:p>
      <w:pPr>
        <w:ind w:right="160" w:firstLine="640"/>
        <w:jc w:val="righ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160" w:firstLine="640"/>
        <w:jc w:val="right"/>
        <w:spacing w:line="360" w:lineRule="auto"/>
        <w:rPr>
          <w:rFonts w:hint="eastAsia" w:ascii="宋体" w:hAnsi="宋体" w:eastAsia="宋体" w:cs="宋体"/>
          <w:color w:val="auto"/>
        </w:rPr>
      </w:pPr>
      <w:r>
        <w:rPr>
          <w:rFonts w:hint="eastAsia" w:ascii="宋体" w:hAnsi="宋体" w:eastAsia="宋体" w:cs="宋体"/>
          <w:color w:val="auto"/>
          <w:sz w:val="28"/>
          <w:szCs w:val="28"/>
        </w:rPr>
        <w:t xml:space="preserve">镇江市财政局</w:t>
      </w:r>
      <w:r/>
    </w:p>
    <w:p>
      <w:pPr>
        <w:spacing w:line="480" w:lineRule="exact"/>
        <w:widowControl w:val="off"/>
        <w:rPr>
          <w:rFonts w:ascii="宋体" w:hAnsi="宋体" w:eastAsia="宋体" w:cs="宋体"/>
          <w:sz w:val="22"/>
          <w:szCs w:val="22"/>
          <w:lang w:eastAsia="zh-CN"/>
        </w:rPr>
      </w:pPr>
      <w:r/>
      <w:bookmarkStart w:id="46" w:name="_GoBack"/>
      <w:r/>
      <w:bookmarkEnd w:id="46"/>
      <w:r/>
      <w:r/>
    </w:p>
    <w:sectPr>
      <w:footerReference w:type="default" r:id="rId12"/>
      <w:footnotePr/>
      <w:endnotePr/>
      <w:type w:val="nextPage"/>
      <w:pgSz w:w="11907" w:h="16839" w:orient="portrait"/>
      <w:pgMar w:top="1440" w:right="1800" w:bottom="1440" w:left="1800" w:header="0" w:footer="121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left="5103"/>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left="5098"/>
      <w:spacing w:line="165"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left="5380"/>
      <w:spacing w:line="173"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left="5099"/>
      <w:spacing w:line="16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58"/>
    <w:link w:val="751"/>
    <w:uiPriority w:val="9"/>
    <w:rPr>
      <w:rFonts w:ascii="Arial" w:hAnsi="Arial" w:eastAsia="Arial" w:cs="Arial"/>
      <w:sz w:val="30"/>
      <w:szCs w:val="30"/>
    </w:rPr>
  </w:style>
  <w:style w:type="character" w:styleId="19">
    <w:name w:val="Heading 4 Char"/>
    <w:basedOn w:val="758"/>
    <w:link w:val="752"/>
    <w:uiPriority w:val="9"/>
    <w:rPr>
      <w:rFonts w:ascii="Arial" w:hAnsi="Arial" w:eastAsia="Arial" w:cs="Arial"/>
      <w:b/>
      <w:bCs/>
      <w:sz w:val="26"/>
      <w:szCs w:val="26"/>
    </w:rPr>
  </w:style>
  <w:style w:type="character" w:styleId="21">
    <w:name w:val="Heading 5 Char"/>
    <w:basedOn w:val="758"/>
    <w:link w:val="753"/>
    <w:uiPriority w:val="9"/>
    <w:rPr>
      <w:rFonts w:ascii="Arial" w:hAnsi="Arial" w:eastAsia="Arial" w:cs="Arial"/>
      <w:b/>
      <w:bCs/>
      <w:sz w:val="24"/>
      <w:szCs w:val="24"/>
    </w:rPr>
  </w:style>
  <w:style w:type="character" w:styleId="23">
    <w:name w:val="Heading 6 Char"/>
    <w:basedOn w:val="758"/>
    <w:link w:val="754"/>
    <w:uiPriority w:val="9"/>
    <w:rPr>
      <w:rFonts w:ascii="Arial" w:hAnsi="Arial" w:eastAsia="Arial" w:cs="Arial"/>
      <w:b/>
      <w:bCs/>
      <w:sz w:val="22"/>
      <w:szCs w:val="22"/>
    </w:rPr>
  </w:style>
  <w:style w:type="character" w:styleId="25">
    <w:name w:val="Heading 7 Char"/>
    <w:basedOn w:val="758"/>
    <w:link w:val="755"/>
    <w:uiPriority w:val="9"/>
    <w:rPr>
      <w:rFonts w:ascii="Arial" w:hAnsi="Arial" w:eastAsia="Arial" w:cs="Arial"/>
      <w:b/>
      <w:bCs/>
      <w:i/>
      <w:iCs/>
      <w:sz w:val="22"/>
      <w:szCs w:val="22"/>
    </w:rPr>
  </w:style>
  <w:style w:type="character" w:styleId="27">
    <w:name w:val="Heading 8 Char"/>
    <w:basedOn w:val="758"/>
    <w:link w:val="756"/>
    <w:uiPriority w:val="9"/>
    <w:rPr>
      <w:rFonts w:ascii="Arial" w:hAnsi="Arial" w:eastAsia="Arial" w:cs="Arial"/>
      <w:i/>
      <w:iCs/>
      <w:sz w:val="22"/>
      <w:szCs w:val="22"/>
    </w:rPr>
  </w:style>
  <w:style w:type="character" w:styleId="29">
    <w:name w:val="Heading 9 Char"/>
    <w:basedOn w:val="758"/>
    <w:link w:val="757"/>
    <w:uiPriority w:val="9"/>
    <w:rPr>
      <w:rFonts w:ascii="Arial" w:hAnsi="Arial" w:eastAsia="Arial" w:cs="Arial"/>
      <w:i/>
      <w:iCs/>
      <w:sz w:val="21"/>
      <w:szCs w:val="21"/>
    </w:rPr>
  </w:style>
  <w:style w:type="character" w:styleId="34">
    <w:name w:val="Title Char"/>
    <w:basedOn w:val="758"/>
    <w:link w:val="784"/>
    <w:uiPriority w:val="10"/>
    <w:rPr>
      <w:sz w:val="48"/>
      <w:szCs w:val="48"/>
    </w:rPr>
  </w:style>
  <w:style w:type="character" w:styleId="36">
    <w:name w:val="Subtitle Char"/>
    <w:basedOn w:val="758"/>
    <w:link w:val="777"/>
    <w:uiPriority w:val="11"/>
    <w:rPr>
      <w:sz w:val="24"/>
      <w:szCs w:val="24"/>
    </w:rPr>
  </w:style>
  <w:style w:type="character" w:styleId="38">
    <w:name w:val="Quote Char"/>
    <w:link w:val="808"/>
    <w:uiPriority w:val="29"/>
    <w:rPr>
      <w:i/>
    </w:rPr>
  </w:style>
  <w:style w:type="character" w:styleId="40">
    <w:name w:val="Intense Quote Char"/>
    <w:link w:val="810"/>
    <w:uiPriority w:val="30"/>
    <w:rPr>
      <w:i/>
    </w:rPr>
  </w:style>
  <w:style w:type="table" w:styleId="49">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8"/>
    <w:uiPriority w:val="99"/>
    <w:rPr>
      <w:sz w:val="18"/>
    </w:rPr>
  </w:style>
  <w:style w:type="character" w:styleId="178">
    <w:name w:val="Endnote Text Char"/>
    <w:link w:val="772"/>
    <w:uiPriority w:val="99"/>
    <w:rPr>
      <w:sz w:val="20"/>
    </w:rPr>
  </w:style>
  <w:style w:type="paragraph" w:styleId="189">
    <w:name w:val="TOC Heading"/>
    <w:uiPriority w:val="39"/>
    <w:unhideWhenUsed/>
  </w:style>
  <w:style w:type="paragraph" w:styleId="748" w:default="1">
    <w:name w:val="Normal"/>
    <w:next w:val="752"/>
    <w:uiPriority w:val="0"/>
    <w:qFormat/>
    <w:rPr>
      <w:rFonts w:ascii="Arial" w:hAnsi="Arial" w:eastAsia="Arial" w:cs="Arial"/>
      <w:color w:val="000000"/>
      <w:sz w:val="21"/>
      <w:szCs w:val="21"/>
      <w:lang w:val="en-US" w:eastAsia="en-US" w:bidi="ar-SA"/>
    </w:rPr>
  </w:style>
  <w:style w:type="paragraph" w:styleId="749">
    <w:name w:val="Heading 1"/>
    <w:basedOn w:val="748"/>
    <w:next w:val="748"/>
    <w:link w:val="945"/>
    <w:uiPriority w:val="0"/>
    <w:qFormat/>
    <w:pPr>
      <w:keepLines/>
      <w:keepNext/>
      <w:spacing w:before="340" w:after="330" w:line="578" w:lineRule="auto"/>
      <w:outlineLvl w:val="0"/>
    </w:pPr>
    <w:rPr>
      <w:b/>
      <w:bCs/>
      <w:sz w:val="44"/>
      <w:szCs w:val="44"/>
    </w:rPr>
  </w:style>
  <w:style w:type="paragraph" w:styleId="750">
    <w:name w:val="Heading 2"/>
    <w:basedOn w:val="748"/>
    <w:next w:val="748"/>
    <w:link w:val="94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51">
    <w:name w:val="Heading 3"/>
    <w:basedOn w:val="748"/>
    <w:next w:val="748"/>
    <w:link w:val="797"/>
    <w:uiPriority w:val="9"/>
    <w:unhideWhenUsed/>
    <w:qFormat/>
    <w:pPr>
      <w:keepLines/>
      <w:keepNext/>
      <w:spacing w:before="320" w:after="200"/>
      <w:outlineLvl w:val="2"/>
    </w:pPr>
    <w:rPr>
      <w:sz w:val="30"/>
      <w:szCs w:val="30"/>
    </w:rPr>
  </w:style>
  <w:style w:type="paragraph" w:styleId="752">
    <w:name w:val="Heading 4"/>
    <w:basedOn w:val="748"/>
    <w:next w:val="748"/>
    <w:link w:val="798"/>
    <w:uiPriority w:val="9"/>
    <w:unhideWhenUsed/>
    <w:qFormat/>
    <w:pPr>
      <w:keepLines/>
      <w:keepNext/>
      <w:spacing w:before="320" w:after="200"/>
      <w:outlineLvl w:val="3"/>
    </w:pPr>
    <w:rPr>
      <w:b/>
      <w:bCs/>
      <w:sz w:val="26"/>
      <w:szCs w:val="26"/>
    </w:rPr>
  </w:style>
  <w:style w:type="paragraph" w:styleId="753">
    <w:name w:val="Heading 5"/>
    <w:basedOn w:val="748"/>
    <w:next w:val="748"/>
    <w:link w:val="799"/>
    <w:uiPriority w:val="9"/>
    <w:unhideWhenUsed/>
    <w:qFormat/>
    <w:pPr>
      <w:keepLines/>
      <w:keepNext/>
      <w:spacing w:before="320" w:after="200"/>
      <w:outlineLvl w:val="4"/>
    </w:pPr>
    <w:rPr>
      <w:b/>
      <w:bCs/>
      <w:sz w:val="24"/>
      <w:szCs w:val="24"/>
    </w:rPr>
  </w:style>
  <w:style w:type="paragraph" w:styleId="754">
    <w:name w:val="Heading 6"/>
    <w:basedOn w:val="748"/>
    <w:next w:val="748"/>
    <w:link w:val="800"/>
    <w:uiPriority w:val="9"/>
    <w:unhideWhenUsed/>
    <w:qFormat/>
    <w:pPr>
      <w:keepLines/>
      <w:keepNext/>
      <w:spacing w:before="320" w:after="200"/>
      <w:outlineLvl w:val="5"/>
    </w:pPr>
    <w:rPr>
      <w:b/>
      <w:bCs/>
      <w:sz w:val="22"/>
      <w:szCs w:val="22"/>
    </w:rPr>
  </w:style>
  <w:style w:type="paragraph" w:styleId="755">
    <w:name w:val="Heading 7"/>
    <w:basedOn w:val="748"/>
    <w:next w:val="748"/>
    <w:link w:val="801"/>
    <w:uiPriority w:val="9"/>
    <w:unhideWhenUsed/>
    <w:qFormat/>
    <w:pPr>
      <w:keepLines/>
      <w:keepNext/>
      <w:spacing w:before="320" w:after="200"/>
      <w:outlineLvl w:val="6"/>
    </w:pPr>
    <w:rPr>
      <w:b/>
      <w:bCs/>
      <w:i/>
      <w:iCs/>
      <w:sz w:val="22"/>
      <w:szCs w:val="22"/>
    </w:rPr>
  </w:style>
  <w:style w:type="paragraph" w:styleId="756">
    <w:name w:val="Heading 8"/>
    <w:basedOn w:val="748"/>
    <w:next w:val="748"/>
    <w:link w:val="802"/>
    <w:uiPriority w:val="9"/>
    <w:unhideWhenUsed/>
    <w:qFormat/>
    <w:pPr>
      <w:keepLines/>
      <w:keepNext/>
      <w:spacing w:before="320" w:after="200"/>
      <w:outlineLvl w:val="7"/>
    </w:pPr>
    <w:rPr>
      <w:i/>
      <w:iCs/>
      <w:sz w:val="22"/>
      <w:szCs w:val="22"/>
    </w:rPr>
  </w:style>
  <w:style w:type="paragraph" w:styleId="757">
    <w:name w:val="Heading 9"/>
    <w:basedOn w:val="748"/>
    <w:next w:val="748"/>
    <w:link w:val="803"/>
    <w:uiPriority w:val="9"/>
    <w:unhideWhenUsed/>
    <w:qFormat/>
    <w:pPr>
      <w:keepLines/>
      <w:keepNext/>
      <w:spacing w:before="320" w:after="200"/>
      <w:outlineLvl w:val="8"/>
    </w:pPr>
    <w:rPr>
      <w:i/>
      <w:iCs/>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basedOn w:val="748"/>
    <w:next w:val="748"/>
    <w:uiPriority w:val="39"/>
    <w:unhideWhenUsed/>
    <w:qFormat/>
    <w:pPr>
      <w:ind w:left="1701"/>
      <w:spacing w:after="57"/>
    </w:pPr>
  </w:style>
  <w:style w:type="paragraph" w:styleId="761">
    <w:name w:val="Normal Indent"/>
    <w:basedOn w:val="748"/>
    <w:uiPriority w:val="0"/>
    <w:qFormat/>
    <w:pPr>
      <w:ind w:firstLine="420"/>
    </w:pPr>
    <w:rPr>
      <w:rFonts w:eastAsia="楷体_GB2312"/>
      <w:sz w:val="20"/>
      <w:szCs w:val="20"/>
    </w:r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8"/>
    <w:link w:val="948"/>
    <w:uiPriority w:val="99"/>
    <w:unhideWhenUsed/>
    <w:qFormat/>
  </w:style>
  <w:style w:type="paragraph" w:styleId="764">
    <w:name w:val="Body Text"/>
    <w:basedOn w:val="748"/>
    <w:uiPriority w:val="0"/>
    <w:semiHidden/>
    <w:qFormat/>
    <w:rPr>
      <w:rFonts w:ascii="宋体" w:hAnsi="宋体" w:eastAsia="宋体" w:cs="宋体"/>
      <w:sz w:val="31"/>
      <w:szCs w:val="31"/>
    </w:rPr>
  </w:style>
  <w:style w:type="paragraph" w:styleId="765">
    <w:name w:val="Body Text Indent"/>
    <w:basedOn w:val="748"/>
    <w:next w:val="766"/>
    <w:uiPriority w:val="99"/>
    <w:qFormat/>
    <w:pPr>
      <w:ind w:firstLine="574"/>
      <w:spacing w:line="312" w:lineRule="atLeast"/>
    </w:pPr>
    <w:rPr>
      <w:rFonts w:ascii="宋体"/>
      <w:sz w:val="28"/>
    </w:rPr>
  </w:style>
  <w:style w:type="paragraph" w:styleId="766">
    <w:name w:val="envelope return"/>
    <w:basedOn w:val="748"/>
    <w:uiPriority w:val="0"/>
    <w:qFormat/>
    <w:pPr>
      <w:ind w:left="1701"/>
      <w:spacing w:before="160" w:after="160" w:line="240" w:lineRule="atLeast"/>
    </w:pPr>
  </w:style>
  <w:style w:type="paragraph" w:styleId="767">
    <w:name w:val="index 4"/>
    <w:basedOn w:val="768"/>
    <w:next w:val="768"/>
    <w:uiPriority w:val="99"/>
    <w:unhideWhenUsed/>
    <w:qFormat/>
    <w:pPr>
      <w:ind w:firstLine="420"/>
      <w:jc w:val="left"/>
      <w:spacing w:line="360" w:lineRule="auto"/>
    </w:pPr>
    <w:rPr>
      <w:rFonts w:ascii="宋体" w:hAnsi="宋体"/>
    </w:rPr>
  </w:style>
  <w:style w:type="paragraph" w:styleId="768" w:customStyle="1">
    <w:name w:val="正文_0"/>
    <w:next w:val="767"/>
    <w:uiPriority w:val="0"/>
    <w:qFormat/>
    <w:pPr>
      <w:jc w:val="both"/>
      <w:spacing w:line="460" w:lineRule="exact"/>
      <w:widowControl w:val="off"/>
    </w:pPr>
    <w:rPr>
      <w:rFonts w:ascii="Times New Roman" w:hAnsi="Times New Roman" w:eastAsia="宋体" w:cs="Times New Roman"/>
      <w:sz w:val="21"/>
      <w:szCs w:val="21"/>
      <w:lang w:val="en-US" w:eastAsia="zh-CN" w:bidi="ar-SA"/>
    </w:rPr>
  </w:style>
  <w:style w:type="paragraph" w:styleId="769">
    <w:name w:val="toc 5"/>
    <w:basedOn w:val="748"/>
    <w:next w:val="748"/>
    <w:uiPriority w:val="39"/>
    <w:unhideWhenUsed/>
    <w:qFormat/>
    <w:pPr>
      <w:ind w:left="1134"/>
      <w:spacing w:after="57"/>
    </w:pPr>
  </w:style>
  <w:style w:type="paragraph" w:styleId="770">
    <w:name w:val="toc 3"/>
    <w:basedOn w:val="748"/>
    <w:next w:val="748"/>
    <w:uiPriority w:val="39"/>
    <w:unhideWhenUsed/>
    <w:qFormat/>
    <w:pPr>
      <w:ind w:left="567"/>
      <w:spacing w:after="57"/>
    </w:pPr>
  </w:style>
  <w:style w:type="paragraph" w:styleId="771">
    <w:name w:val="toc 8"/>
    <w:basedOn w:val="748"/>
    <w:next w:val="748"/>
    <w:uiPriority w:val="39"/>
    <w:unhideWhenUsed/>
    <w:qFormat/>
    <w:pPr>
      <w:ind w:left="1984"/>
      <w:spacing w:after="57"/>
    </w:pPr>
  </w:style>
  <w:style w:type="paragraph" w:styleId="772">
    <w:name w:val="endnote text"/>
    <w:basedOn w:val="748"/>
    <w:link w:val="941"/>
    <w:uiPriority w:val="99"/>
    <w:semiHidden/>
    <w:unhideWhenUsed/>
    <w:qFormat/>
    <w:rPr>
      <w:sz w:val="20"/>
    </w:rPr>
  </w:style>
  <w:style w:type="paragraph" w:styleId="773">
    <w:name w:val="Footer"/>
    <w:basedOn w:val="748"/>
    <w:uiPriority w:val="0"/>
    <w:qFormat/>
    <w:pPr>
      <w:tabs>
        <w:tab w:val="center" w:pos="4153" w:leader="none"/>
        <w:tab w:val="right" w:pos="8306" w:leader="none"/>
      </w:tabs>
    </w:pPr>
    <w:rPr>
      <w:sz w:val="18"/>
    </w:rPr>
  </w:style>
  <w:style w:type="paragraph" w:styleId="774">
    <w:name w:val="Header"/>
    <w:basedOn w:val="748"/>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5">
    <w:name w:val="toc 1"/>
    <w:basedOn w:val="748"/>
    <w:next w:val="748"/>
    <w:uiPriority w:val="39"/>
    <w:qFormat/>
  </w:style>
  <w:style w:type="paragraph" w:styleId="776">
    <w:name w:val="toc 4"/>
    <w:basedOn w:val="748"/>
    <w:next w:val="748"/>
    <w:uiPriority w:val="39"/>
    <w:unhideWhenUsed/>
    <w:qFormat/>
    <w:pPr>
      <w:ind w:left="850"/>
      <w:spacing w:after="57"/>
    </w:pPr>
  </w:style>
  <w:style w:type="paragraph" w:styleId="777">
    <w:name w:val="Subtitle"/>
    <w:basedOn w:val="748"/>
    <w:next w:val="748"/>
    <w:link w:val="807"/>
    <w:uiPriority w:val="11"/>
    <w:qFormat/>
    <w:pPr>
      <w:spacing w:before="200" w:after="200"/>
    </w:pPr>
    <w:rPr>
      <w:sz w:val="24"/>
      <w:szCs w:val="24"/>
    </w:rPr>
  </w:style>
  <w:style w:type="paragraph" w:styleId="778">
    <w:name w:val="footnote text"/>
    <w:basedOn w:val="748"/>
    <w:link w:val="940"/>
    <w:uiPriority w:val="99"/>
    <w:semiHidden/>
    <w:unhideWhenUsed/>
    <w:qFormat/>
    <w:pPr>
      <w:spacing w:after="40"/>
    </w:pPr>
    <w:rPr>
      <w:sz w:val="18"/>
    </w:rPr>
  </w:style>
  <w:style w:type="paragraph" w:styleId="779">
    <w:name w:val="toc 6"/>
    <w:basedOn w:val="748"/>
    <w:next w:val="748"/>
    <w:uiPriority w:val="39"/>
    <w:unhideWhenUsed/>
    <w:qFormat/>
    <w:pPr>
      <w:ind w:left="1417"/>
      <w:spacing w:after="57"/>
    </w:pPr>
  </w:style>
  <w:style w:type="paragraph" w:styleId="780">
    <w:name w:val="table of figures"/>
    <w:basedOn w:val="748"/>
    <w:next w:val="748"/>
    <w:uiPriority w:val="99"/>
    <w:unhideWhenUsed/>
    <w:qFormat/>
  </w:style>
  <w:style w:type="paragraph" w:styleId="781">
    <w:name w:val="toc 2"/>
    <w:basedOn w:val="748"/>
    <w:next w:val="748"/>
    <w:uiPriority w:val="39"/>
    <w:qFormat/>
    <w:pPr>
      <w:ind w:left="420"/>
    </w:pPr>
  </w:style>
  <w:style w:type="paragraph" w:styleId="782">
    <w:name w:val="toc 9"/>
    <w:basedOn w:val="748"/>
    <w:next w:val="748"/>
    <w:uiPriority w:val="39"/>
    <w:unhideWhenUsed/>
    <w:qFormat/>
    <w:pPr>
      <w:ind w:left="2268"/>
      <w:spacing w:after="57"/>
    </w:pPr>
  </w:style>
  <w:style w:type="paragraph" w:styleId="783">
    <w:name w:val="Normal (Web)"/>
    <w:basedOn w:val="748"/>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84">
    <w:name w:val="Title"/>
    <w:basedOn w:val="748"/>
    <w:next w:val="748"/>
    <w:link w:val="806"/>
    <w:uiPriority w:val="10"/>
    <w:qFormat/>
    <w:pPr>
      <w:contextualSpacing/>
      <w:spacing w:before="300" w:after="200"/>
    </w:pPr>
    <w:rPr>
      <w:sz w:val="48"/>
      <w:szCs w:val="48"/>
    </w:rPr>
  </w:style>
  <w:style w:type="paragraph" w:styleId="785">
    <w:name w:val="annotation subject"/>
    <w:basedOn w:val="763"/>
    <w:next w:val="763"/>
    <w:link w:val="949"/>
    <w:uiPriority w:val="99"/>
    <w:semiHidden/>
    <w:unhideWhenUsed/>
    <w:qFormat/>
    <w:rPr>
      <w:b/>
      <w:bCs/>
    </w:rPr>
  </w:style>
  <w:style w:type="paragraph" w:styleId="786">
    <w:name w:val="Body Text First Indent 2"/>
    <w:basedOn w:val="765"/>
    <w:uiPriority w:val="99"/>
    <w:unhideWhenUsed/>
    <w:qFormat/>
    <w:pPr>
      <w:ind w:left="420" w:firstLine="420"/>
      <w:spacing w:after="120"/>
    </w:pPr>
    <w:rPr>
      <w:rFonts w:ascii="Times New Roman" w:hAnsi="Times New Roman" w:eastAsia="宋体"/>
      <w:sz w:val="20"/>
      <w:szCs w:val="24"/>
    </w:rPr>
  </w:style>
  <w:style w:type="table" w:styleId="787">
    <w:name w:val="Table Grid"/>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0"/>
    <w:qFormat/>
    <w:rPr>
      <w:b/>
      <w:bCs/>
    </w:rPr>
  </w:style>
  <w:style w:type="character" w:styleId="789">
    <w:name w:val="endnote reference"/>
    <w:basedOn w:val="758"/>
    <w:uiPriority w:val="99"/>
    <w:semiHidden/>
    <w:unhideWhenUsed/>
    <w:qFormat/>
    <w:rPr>
      <w:vertAlign w:val="superscript"/>
    </w:rPr>
  </w:style>
  <w:style w:type="character" w:styleId="790">
    <w:name w:val="page number"/>
    <w:basedOn w:val="758"/>
    <w:uiPriority w:val="0"/>
    <w:qFormat/>
  </w:style>
  <w:style w:type="character" w:styleId="791">
    <w:name w:val="Emphasis"/>
    <w:uiPriority w:val="20"/>
    <w:qFormat/>
    <w:rPr>
      <w:color w:val="cc0000"/>
    </w:rPr>
  </w:style>
  <w:style w:type="character" w:styleId="792">
    <w:name w:val="Hyperlink"/>
    <w:basedOn w:val="758"/>
    <w:uiPriority w:val="99"/>
    <w:unhideWhenUsed/>
    <w:qFormat/>
    <w:rPr>
      <w:color w:val="0000ff" w:themeColor="hyperlink"/>
      <w:u w:val="single"/>
      <w14:textFill>
        <w14:solidFill>
          <w14:schemeClr w14:val="hlink"/>
        </w14:solidFill>
      </w14:textFill>
    </w:rPr>
  </w:style>
  <w:style w:type="character" w:styleId="793">
    <w:name w:val="annotation reference"/>
    <w:basedOn w:val="758"/>
    <w:uiPriority w:val="99"/>
    <w:semiHidden/>
    <w:unhideWhenUsed/>
    <w:qFormat/>
    <w:rPr>
      <w:sz w:val="21"/>
      <w:szCs w:val="21"/>
    </w:rPr>
  </w:style>
  <w:style w:type="character" w:styleId="794">
    <w:name w:val="footnote reference"/>
    <w:basedOn w:val="758"/>
    <w:uiPriority w:val="99"/>
    <w:unhideWhenUsed/>
    <w:qFormat/>
    <w:rPr>
      <w:vertAlign w:val="superscript"/>
    </w:rPr>
  </w:style>
  <w:style w:type="character" w:styleId="795" w:customStyle="1">
    <w:name w:val="Heading 1 Char"/>
    <w:basedOn w:val="758"/>
    <w:uiPriority w:val="9"/>
    <w:qFormat/>
    <w:rPr>
      <w:rFonts w:ascii="Arial" w:hAnsi="Arial" w:eastAsia="Arial" w:cs="Arial"/>
      <w:sz w:val="40"/>
      <w:szCs w:val="40"/>
    </w:rPr>
  </w:style>
  <w:style w:type="character" w:styleId="796" w:customStyle="1">
    <w:name w:val="Heading 2 Char"/>
    <w:basedOn w:val="758"/>
    <w:uiPriority w:val="9"/>
    <w:qFormat/>
    <w:rPr>
      <w:rFonts w:ascii="Arial" w:hAnsi="Arial" w:eastAsia="Arial" w:cs="Arial"/>
      <w:sz w:val="34"/>
    </w:rPr>
  </w:style>
  <w:style w:type="character" w:styleId="797" w:customStyle="1">
    <w:name w:val="标题 3 字符"/>
    <w:basedOn w:val="758"/>
    <w:link w:val="751"/>
    <w:uiPriority w:val="9"/>
    <w:qFormat/>
    <w:rPr>
      <w:rFonts w:ascii="Arial" w:hAnsi="Arial" w:eastAsia="Arial" w:cs="Arial"/>
      <w:sz w:val="30"/>
      <w:szCs w:val="30"/>
    </w:rPr>
  </w:style>
  <w:style w:type="character" w:styleId="798" w:customStyle="1">
    <w:name w:val="标题 4 字符"/>
    <w:basedOn w:val="758"/>
    <w:link w:val="752"/>
    <w:uiPriority w:val="9"/>
    <w:qFormat/>
    <w:rPr>
      <w:rFonts w:ascii="Arial" w:hAnsi="Arial" w:eastAsia="Arial" w:cs="Arial"/>
      <w:b/>
      <w:bCs/>
      <w:sz w:val="26"/>
      <w:szCs w:val="26"/>
    </w:rPr>
  </w:style>
  <w:style w:type="character" w:styleId="799" w:customStyle="1">
    <w:name w:val="标题 5 字符"/>
    <w:basedOn w:val="758"/>
    <w:link w:val="753"/>
    <w:uiPriority w:val="9"/>
    <w:qFormat/>
    <w:rPr>
      <w:rFonts w:ascii="Arial" w:hAnsi="Arial" w:eastAsia="Arial" w:cs="Arial"/>
      <w:b/>
      <w:bCs/>
      <w:sz w:val="24"/>
      <w:szCs w:val="24"/>
    </w:rPr>
  </w:style>
  <w:style w:type="character" w:styleId="800" w:customStyle="1">
    <w:name w:val="标题 6 字符"/>
    <w:basedOn w:val="758"/>
    <w:link w:val="754"/>
    <w:uiPriority w:val="9"/>
    <w:qFormat/>
    <w:rPr>
      <w:rFonts w:ascii="Arial" w:hAnsi="Arial" w:eastAsia="Arial" w:cs="Arial"/>
      <w:b/>
      <w:bCs/>
      <w:sz w:val="22"/>
      <w:szCs w:val="22"/>
    </w:rPr>
  </w:style>
  <w:style w:type="character" w:styleId="801" w:customStyle="1">
    <w:name w:val="标题 7 字符"/>
    <w:basedOn w:val="758"/>
    <w:link w:val="755"/>
    <w:uiPriority w:val="9"/>
    <w:qFormat/>
    <w:rPr>
      <w:rFonts w:ascii="Arial" w:hAnsi="Arial" w:eastAsia="Arial" w:cs="Arial"/>
      <w:b/>
      <w:bCs/>
      <w:i/>
      <w:iCs/>
      <w:sz w:val="22"/>
      <w:szCs w:val="22"/>
    </w:rPr>
  </w:style>
  <w:style w:type="character" w:styleId="802" w:customStyle="1">
    <w:name w:val="标题 8 字符"/>
    <w:basedOn w:val="758"/>
    <w:link w:val="756"/>
    <w:uiPriority w:val="9"/>
    <w:qFormat/>
    <w:rPr>
      <w:rFonts w:ascii="Arial" w:hAnsi="Arial" w:eastAsia="Arial" w:cs="Arial"/>
      <w:i/>
      <w:iCs/>
      <w:sz w:val="22"/>
      <w:szCs w:val="22"/>
    </w:rPr>
  </w:style>
  <w:style w:type="character" w:styleId="803" w:customStyle="1">
    <w:name w:val="标题 9 字符"/>
    <w:basedOn w:val="758"/>
    <w:link w:val="757"/>
    <w:uiPriority w:val="9"/>
    <w:qFormat/>
    <w:rPr>
      <w:rFonts w:ascii="Arial" w:hAnsi="Arial" w:eastAsia="Arial" w:cs="Arial"/>
      <w:i/>
      <w:iCs/>
      <w:sz w:val="21"/>
      <w:szCs w:val="21"/>
    </w:rPr>
  </w:style>
  <w:style w:type="paragraph" w:styleId="804">
    <w:name w:val="List Paragraph"/>
    <w:basedOn w:val="748"/>
    <w:uiPriority w:val="34"/>
    <w:qFormat/>
    <w:pPr>
      <w:contextualSpacing/>
      <w:ind w:left="720"/>
    </w:pPr>
  </w:style>
  <w:style w:type="paragraph" w:styleId="805">
    <w:name w:val="No Spacing"/>
    <w:uiPriority w:val="1"/>
    <w:qFormat/>
    <w:rPr>
      <w:rFonts w:ascii="Arial" w:hAnsi="Arial" w:cs="Arial" w:eastAsiaTheme="minorEastAsia"/>
      <w:lang w:val="en-US" w:eastAsia="zh-CN" w:bidi="ar-SA"/>
    </w:rPr>
  </w:style>
  <w:style w:type="character" w:styleId="806" w:customStyle="1">
    <w:name w:val="标题 字符"/>
    <w:basedOn w:val="758"/>
    <w:link w:val="784"/>
    <w:uiPriority w:val="10"/>
    <w:qFormat/>
    <w:rPr>
      <w:sz w:val="48"/>
      <w:szCs w:val="48"/>
    </w:rPr>
  </w:style>
  <w:style w:type="character" w:styleId="807" w:customStyle="1">
    <w:name w:val="副标题 字符"/>
    <w:basedOn w:val="758"/>
    <w:link w:val="777"/>
    <w:uiPriority w:val="11"/>
    <w:qFormat/>
    <w:rPr>
      <w:sz w:val="24"/>
      <w:szCs w:val="24"/>
    </w:rPr>
  </w:style>
  <w:style w:type="paragraph" w:styleId="808">
    <w:name w:val="Quote"/>
    <w:basedOn w:val="748"/>
    <w:next w:val="748"/>
    <w:link w:val="809"/>
    <w:uiPriority w:val="29"/>
    <w:qFormat/>
    <w:pPr>
      <w:ind w:left="720" w:right="720"/>
    </w:pPr>
    <w:rPr>
      <w:i/>
    </w:rPr>
  </w:style>
  <w:style w:type="character" w:styleId="809" w:customStyle="1">
    <w:name w:val="引用 字符"/>
    <w:link w:val="808"/>
    <w:uiPriority w:val="29"/>
    <w:qFormat/>
    <w:rPr>
      <w:i/>
    </w:rPr>
  </w:style>
  <w:style w:type="paragraph" w:styleId="810">
    <w:name w:val="Intense Quote"/>
    <w:basedOn w:val="748"/>
    <w:next w:val="748"/>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Header Char"/>
    <w:basedOn w:val="758"/>
    <w:uiPriority w:val="99"/>
    <w:qFormat/>
  </w:style>
  <w:style w:type="character" w:styleId="813" w:customStyle="1">
    <w:name w:val="Footer Char"/>
    <w:basedOn w:val="758"/>
    <w:uiPriority w:val="99"/>
    <w:qFormat/>
  </w:style>
  <w:style w:type="character" w:styleId="814" w:customStyle="1">
    <w:name w:val="Caption Char"/>
    <w:uiPriority w:val="99"/>
    <w:qFormat/>
  </w:style>
  <w:style w:type="table" w:styleId="815" w:customStyle="1">
    <w:name w:val="Table Grid Light"/>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6" w:customStyle="1">
    <w:name w:val="无格式表格 1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网格表 3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5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5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5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5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5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5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5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5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网格表 5 深色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网格表 6 彩色1"/>
    <w:basedOn w:val="7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5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5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0" w:customStyle="1">
    <w:name w:val="Grid Table 6 Colorful - Accent 4"/>
    <w:basedOn w:val="7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5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basedOn w:val="75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网格表 7 彩色1"/>
    <w:basedOn w:val="7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5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5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5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5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5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5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清单表 1 浅色1"/>
    <w:basedOn w:val="7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5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5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5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5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5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5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清单表 21"/>
    <w:basedOn w:val="7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5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5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5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5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5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5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清单表 3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5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5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5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5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清单表 4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5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5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5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5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5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5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清单表 5 深色1"/>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5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5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5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5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5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5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basedOn w:val="7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5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basedOn w:val="75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basedOn w:val="75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basedOn w:val="75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basedOn w:val="75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basedOn w:val="75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清单表 7 彩色1"/>
    <w:basedOn w:val="7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5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5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5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5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5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5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5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5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5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5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5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5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字符"/>
    <w:link w:val="778"/>
    <w:uiPriority w:val="99"/>
    <w:qFormat/>
    <w:rPr>
      <w:sz w:val="18"/>
    </w:rPr>
  </w:style>
  <w:style w:type="character" w:styleId="941" w:customStyle="1">
    <w:name w:val="尾注文本 字符"/>
    <w:link w:val="772"/>
    <w:uiPriority w:val="99"/>
    <w:qFormat/>
    <w:rPr>
      <w:sz w:val="20"/>
    </w:rPr>
  </w:style>
  <w:style w:type="table" w:styleId="942" w:customStyle="1">
    <w:name w:val="Table Normal"/>
    <w:uiPriority w:val="0"/>
    <w:semiHidden/>
    <w:unhideWhenUsed/>
    <w:qFormat/>
    <w:tblPr>
      <w:tblCellMar>
        <w:left w:w="0" w:type="dxa"/>
        <w:top w:w="0" w:type="dxa"/>
        <w:right w:w="0" w:type="dxa"/>
        <w:bottom w:w="0" w:type="dxa"/>
      </w:tblCellMar>
    </w:tblPr>
  </w:style>
  <w:style w:type="paragraph" w:styleId="943" w:customStyle="1">
    <w:name w:val="Table Text"/>
    <w:basedOn w:val="748"/>
    <w:uiPriority w:val="0"/>
    <w:semiHidden/>
    <w:qFormat/>
    <w:rPr>
      <w:rFonts w:ascii="宋体" w:hAnsi="宋体" w:eastAsia="宋体" w:cs="宋体"/>
      <w:sz w:val="24"/>
      <w:szCs w:val="24"/>
    </w:rPr>
  </w:style>
  <w:style w:type="character" w:styleId="944" w:customStyle="1">
    <w:name w:val="标题 2 字符"/>
    <w:basedOn w:val="758"/>
    <w:link w:val="750"/>
    <w:uiPriority w:val="0"/>
    <w:qFormat/>
    <w:rPr>
      <w:rFonts w:asciiTheme="majorHAnsi" w:hAnsiTheme="majorHAnsi" w:eastAsiaTheme="majorEastAsia" w:cstheme="majorBidi"/>
      <w:b/>
      <w:bCs/>
      <w:color w:val="000000"/>
      <w:sz w:val="32"/>
      <w:szCs w:val="32"/>
      <w:lang w:eastAsia="en-US"/>
    </w:rPr>
  </w:style>
  <w:style w:type="character" w:styleId="945" w:customStyle="1">
    <w:name w:val="标题 1 字符"/>
    <w:basedOn w:val="758"/>
    <w:link w:val="749"/>
    <w:uiPriority w:val="0"/>
    <w:qFormat/>
    <w:rPr>
      <w:rFonts w:eastAsia="Arial"/>
      <w:b/>
      <w:bCs/>
      <w:color w:val="000000"/>
      <w:sz w:val="44"/>
      <w:szCs w:val="44"/>
      <w:lang w:eastAsia="en-US"/>
    </w:rPr>
  </w:style>
  <w:style w:type="paragraph" w:styleId="946" w:customStyle="1">
    <w:name w:val="TOC 标题1"/>
    <w:basedOn w:val="749"/>
    <w:next w:val="748"/>
    <w:uiPriority w:val="39"/>
    <w:unhideWhenUsed/>
    <w:qFormat/>
    <w:pPr>
      <w:spacing w:before="240" w:after="0" w:line="259" w:lineRule="auto"/>
      <w:outlineLvl w:val="9"/>
    </w:pPr>
    <w:rPr>
      <w:rFonts w:asciiTheme="majorHAnsi" w:hAnsiTheme="majorHAnsi" w:eastAsiaTheme="majorEastAsia" w:cstheme="majorBidi"/>
      <w:b w:val="0"/>
      <w:bCs w:val="0"/>
      <w:color w:val="376092" w:themeColor="accent1" w:themeShade="BF"/>
      <w:sz w:val="32"/>
      <w:szCs w:val="32"/>
      <w:lang w:eastAsia="zh-CN"/>
    </w:rPr>
  </w:style>
  <w:style w:type="paragraph" w:styleId="947" w:customStyle="1">
    <w:name w:val="列表段落1"/>
    <w:basedOn w:val="748"/>
    <w:uiPriority w:val="34"/>
    <w:qFormat/>
    <w:pPr>
      <w:ind w:firstLine="420"/>
    </w:pPr>
    <w:rPr>
      <w:rFonts w:ascii="Calibri" w:hAnsi="Calibri" w:eastAsia="宋体" w:cs="Times New Roman"/>
      <w:szCs w:val="22"/>
    </w:rPr>
  </w:style>
  <w:style w:type="character" w:styleId="948" w:customStyle="1">
    <w:name w:val="批注文字 字符"/>
    <w:basedOn w:val="758"/>
    <w:link w:val="763"/>
    <w:uiPriority w:val="99"/>
    <w:qFormat/>
    <w:rPr>
      <w:rFonts w:eastAsia="Arial"/>
      <w:color w:val="000000"/>
      <w:sz w:val="21"/>
      <w:szCs w:val="21"/>
      <w:lang w:eastAsia="en-US"/>
    </w:rPr>
  </w:style>
  <w:style w:type="character" w:styleId="949" w:customStyle="1">
    <w:name w:val="批注主题 字符"/>
    <w:basedOn w:val="948"/>
    <w:link w:val="785"/>
    <w:uiPriority w:val="99"/>
    <w:semiHidden/>
    <w:qFormat/>
    <w:rPr>
      <w:rFonts w:eastAsia="Arial"/>
      <w:b/>
      <w:bCs/>
      <w:color w:val="000000"/>
      <w:sz w:val="21"/>
      <w:szCs w:val="21"/>
      <w:lang w:eastAsia="en-US"/>
    </w:rPr>
  </w:style>
  <w:style w:type="paragraph" w:styleId="950" w:customStyle="1">
    <w:name w:val="Normal_1"/>
    <w:uiPriority w:val="0"/>
    <w:qFormat/>
    <w:rPr>
      <w:rFonts w:hint="default" w:ascii="Times New Roman" w:hAnsi="Times New Roman" w:eastAsia="Times New Roman" w:cs="Times New Roman"/>
      <w:sz w:val="24"/>
      <w:szCs w:val="24"/>
    </w:rPr>
  </w:style>
  <w:style w:type="paragraph" w:styleId="951" w:customStyle="1">
    <w:name w:val="Normal_27_0"/>
    <w:uiPriority w:val="0"/>
    <w:qFormat/>
    <w:pPr>
      <w:jc w:val="both"/>
      <w:widowControl w:val="off"/>
    </w:pPr>
    <w:rPr>
      <w:rFonts w:ascii="Calibri" w:hAnsi="Calibri" w:eastAsia="宋体" w:cs="Times New Roman"/>
      <w:sz w:val="21"/>
      <w:szCs w:val="22"/>
      <w:lang w:val="en-US" w:eastAsia="zh-CN" w:bidi="ar-SA"/>
    </w:rPr>
  </w:style>
  <w:style w:type="paragraph" w:styleId="952" w:customStyle="1">
    <w:name w:val="正文缩进11"/>
    <w:basedOn w:val="748"/>
    <w:uiPriority w:val="0"/>
    <w:unhideWhenUsed/>
    <w:qFormat/>
    <w:pPr>
      <w:ind w:firstLine="420"/>
    </w:pPr>
    <w:rPr>
      <w:rFonts w:ascii="Times New Roman" w:hAnsi="Times New Roman"/>
      <w:sz w:val="20"/>
      <w:szCs w:val="24"/>
    </w:rPr>
  </w:style>
  <w:style w:type="paragraph" w:styleId="953" w:customStyle="1">
    <w:name w:val="Normal_1_0"/>
    <w:uiPriority w:val="0"/>
    <w:qFormat/>
    <w:rPr>
      <w:rFonts w:ascii="Times New Roman" w:hAnsi="Times New Roman" w:eastAsia="Times New Roman" w:cs="Times New Roman"/>
      <w:sz w:val="24"/>
      <w:szCs w:val="24"/>
      <w:lang w:bidi="ar-SA"/>
    </w:rPr>
  </w:style>
  <w:style w:type="paragraph" w:styleId="954" w:customStyle="1">
    <w:name w:val="Normal_14"/>
    <w:uiPriority w:val="0"/>
    <w:qFormat/>
    <w:rPr>
      <w:rFonts w:ascii="Times New Roman" w:hAnsi="Times New Roman" w:eastAsia="Times New Roman" w:cs="Times New Roman"/>
      <w:sz w:val="24"/>
      <w:szCs w:val="24"/>
      <w:lang w:bidi="ar-SA"/>
    </w:rPr>
  </w:style>
  <w:style w:type="paragraph" w:styleId="955" w:customStyle="1">
    <w:name w:val="Normal_2"/>
    <w:uiPriority w:val="0"/>
    <w:qFormat/>
    <w:rPr>
      <w:rFonts w:ascii="Times New Roman" w:hAnsi="Times New Roman" w:eastAsia="Times New Roman" w:cs="Times New Roman"/>
      <w:sz w:val="24"/>
      <w:szCs w:val="24"/>
      <w:lang w:bidi="ar-SA"/>
    </w:rPr>
  </w:style>
  <w:style w:type="paragraph" w:styleId="956" w:customStyle="1">
    <w:name w:val="Normal_6_0"/>
    <w:uiPriority w:val="0"/>
    <w:qFormat/>
    <w:rPr>
      <w:rFonts w:ascii="Times New Roman" w:hAnsi="Times New Roman" w:eastAsia="Times New Roman" w:cs="Times New Roman"/>
      <w:sz w:val="24"/>
      <w:szCs w:val="24"/>
      <w:lang w:bidi="ar-SA"/>
    </w:rPr>
  </w:style>
  <w:style w:type="paragraph" w:styleId="957"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958" w:customStyle="1">
    <w:name w:val="Normal_7"/>
    <w:uiPriority w:val="0"/>
    <w:qFormat/>
    <w:rPr>
      <w:rFonts w:ascii="Times New Roman" w:hAnsi="Times New Roman" w:eastAsia="Times New Roman" w:cs="Times New Roman"/>
      <w:sz w:val="24"/>
      <w:szCs w:val="24"/>
      <w:lang w:bidi="ar-SA"/>
    </w:rPr>
  </w:style>
  <w:style w:type="paragraph" w:styleId="95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60" w:customStyle="1">
    <w:name w:val="Normal_11"/>
    <w:uiPriority w:val="0"/>
    <w:qFormat/>
    <w:rPr>
      <w:rFonts w:ascii="Times New Roman" w:hAnsi="Times New Roman" w:eastAsia="Times New Roman" w:cs="Times New Roman"/>
      <w:sz w:val="24"/>
      <w:szCs w:val="24"/>
      <w:lang w:bidi="ar-SA"/>
    </w:rPr>
  </w:style>
  <w:style w:type="paragraph" w:styleId="96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Normal_12"/>
    <w:uiPriority w:val="0"/>
    <w:qFormat/>
    <w:rPr>
      <w:rFonts w:ascii="Times New Roman" w:hAnsi="Times New Roman" w:eastAsia="Times New Roman" w:cs="Times New Roman"/>
      <w:sz w:val="24"/>
      <w:szCs w:val="24"/>
      <w:lang w:bidi="ar-SA"/>
    </w:rPr>
  </w:style>
  <w:style w:type="paragraph" w:styleId="963"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964" w:customStyle="1">
    <w:name w:val="Normal_13"/>
    <w:uiPriority w:val="0"/>
    <w:qFormat/>
    <w:rPr>
      <w:rFonts w:ascii="Times New Roman" w:hAnsi="Times New Roman" w:eastAsia="Times New Roman" w:cs="Times New Roman"/>
      <w:sz w:val="24"/>
      <w:szCs w:val="24"/>
      <w:lang w:bidi="ar-SA"/>
    </w:rPr>
  </w:style>
  <w:style w:type="paragraph" w:styleId="965" w:customStyle="1">
    <w:name w:val="正文_8"/>
    <w:next w:val="966"/>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正文文本缩进_1"/>
    <w:basedOn w:val="965"/>
    <w:uiPriority w:val="99"/>
    <w:qFormat/>
    <w:pPr>
      <w:ind w:firstLine="645"/>
    </w:pPr>
    <w:rPr>
      <w:rFonts w:ascii="楷体_GB2312" w:eastAsia="楷体_GB2312"/>
      <w:sz w:val="32"/>
      <w:szCs w:val="20"/>
    </w:rPr>
  </w:style>
  <w:style w:type="paragraph" w:styleId="967" w:customStyle="1">
    <w:name w:val="Normal_3"/>
    <w:uiPriority w:val="0"/>
    <w:qFormat/>
    <w:rPr>
      <w:rFonts w:ascii="Times New Roman" w:hAnsi="Times New Roman" w:eastAsia="Times New Roman" w:cs="Times New Roman"/>
      <w:sz w:val="24"/>
      <w:szCs w:val="24"/>
      <w:lang w:bidi="ar-SA"/>
    </w:rPr>
  </w:style>
  <w:style w:type="paragraph" w:styleId="968" w:customStyle="1">
    <w:name w:val="Normal_25"/>
    <w:uiPriority w:val="0"/>
    <w:qFormat/>
    <w:rPr>
      <w:rFonts w:ascii="Times New Roman" w:hAnsi="Times New Roman" w:eastAsia="Times New Roman" w:cs="Times New Roman"/>
      <w:sz w:val="24"/>
      <w:szCs w:val="24"/>
      <w:lang w:bidi="ar-SA"/>
    </w:rPr>
  </w:style>
  <w:style w:type="paragraph" w:styleId="969" w:customStyle="1">
    <w:name w:val="Normal_23"/>
    <w:uiPriority w:val="0"/>
    <w:qFormat/>
    <w:rPr>
      <w:rFonts w:ascii="Times New Roman" w:hAnsi="Times New Roman" w:eastAsia="Times New Roman" w:cs="Times New Roman"/>
      <w:sz w:val="24"/>
      <w:szCs w:val="24"/>
      <w:lang w:bidi="ar-SA"/>
    </w:rPr>
  </w:style>
  <w:style w:type="paragraph" w:styleId="970" w:customStyle="1">
    <w:name w:val="Normal_26"/>
    <w:uiPriority w:val="0"/>
    <w:qFormat/>
    <w:rPr>
      <w:rFonts w:ascii="Times New Roman" w:hAnsi="Times New Roman" w:eastAsia="Times New Roman" w:cs="Times New Roman"/>
      <w:sz w:val="24"/>
      <w:szCs w:val="24"/>
      <w:lang w:bidi="ar-SA"/>
    </w:rPr>
  </w:style>
  <w:style w:type="paragraph" w:styleId="97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972" w:customStyle="1">
    <w:name w:val="Normal_27"/>
    <w:uiPriority w:val="0"/>
    <w:qFormat/>
    <w:rPr>
      <w:rFonts w:ascii="Times New Roman" w:hAnsi="Times New Roman" w:eastAsia="Times New Roman" w:cs="Times New Roman"/>
      <w:sz w:val="24"/>
      <w:szCs w:val="24"/>
      <w:lang w:bidi="ar-SA"/>
    </w:rPr>
  </w:style>
  <w:style w:type="paragraph" w:styleId="973" w:customStyle="1">
    <w:name w:val="Normal_28"/>
    <w:uiPriority w:val="0"/>
    <w:qFormat/>
    <w:rPr>
      <w:rFonts w:ascii="Times New Roman" w:hAnsi="Times New Roman" w:eastAsia="Times New Roman" w:cs="Times New Roman"/>
      <w:sz w:val="24"/>
      <w:szCs w:val="24"/>
      <w:lang w:bidi="ar-SA"/>
    </w:rPr>
  </w:style>
  <w:style w:type="paragraph" w:styleId="974" w:customStyle="1">
    <w:name w:val="正文_15"/>
    <w:uiPriority w:val="0"/>
    <w:qFormat/>
    <w:pPr>
      <w:jc w:val="both"/>
      <w:widowControl w:val="off"/>
    </w:pPr>
    <w:rPr>
      <w:rFonts w:ascii="Calibri" w:hAnsi="Calibri" w:eastAsia="宋体" w:cs="Times New Roman"/>
      <w:sz w:val="21"/>
      <w:szCs w:val="22"/>
      <w:lang w:val="en-US" w:eastAsia="zh-CN" w:bidi="ar-SA"/>
    </w:rPr>
  </w:style>
  <w:style w:type="numbering" w:styleId="6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44F595-A84E-4A1C-97C3-9F15B1DE5B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孙燕</cp:lastModifiedBy>
  <cp:revision>6</cp:revision>
  <dcterms:created xsi:type="dcterms:W3CDTF">2024-09-02T07:42:00Z</dcterms:created>
  <dcterms:modified xsi:type="dcterms:W3CDTF">2026-10-30T08:25:25Z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2023-09-15T10:00:13Z</vt:filetime>
  </property>
  <property fmtid="{D5CDD505-2E9C-101B-9397-08002B2CF9AE}" pid="4" name="KSOProductBuildVer">
    <vt:lpwstr>2052-12.1.0.29161</vt:lpwstr>
  </property>
  <property fmtid="{D5CDD505-2E9C-101B-9397-08002B2CF9AE}" pid="5" name="ICV">
    <vt:lpwstr>BE368802B6954EDCB2E50C9F828C8D2D_13</vt:lpwstr>
  </property>
  <property fmtid="{D5CDD505-2E9C-101B-9397-08002B2CF9AE}" pid="6" name="KSOTemplateDocerSaveRecord">
    <vt:lpwstr>eyJoZGlkIjoiM2Y3YzhjNjc4NjA4NTE5MGM3NzU3ZDYyYzA1YWQyOTYiLCJ1c2VySWQiOiIyNTQ2Mjc5MjQifQ==</vt:lpwstr>
  </property>
</Properties>
</file>