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eastAsia="宋体" w:cs="宋体"/>
          <w:sz w:val="36"/>
          <w:highlight w:val="none"/>
        </w:rPr>
      </w:pPr>
      <w:r>
        <w:rPr>
          <w:rFonts w:hint="eastAsia" w:ascii="宋体" w:hAnsi="宋体" w:eastAsia="宋体" w:cs="宋体"/>
          <w:sz w:val="36"/>
          <w:highlight w:val="none"/>
        </w:rPr>
      </w:r>
      <w:r/>
    </w:p>
    <w:p>
      <w:pPr>
        <w:jc w:val="right"/>
        <w:spacing w:line="360" w:lineRule="auto"/>
        <w:rPr>
          <w:rFonts w:hint="eastAsia" w:ascii="宋体" w:hAnsi="宋体" w:eastAsia="宋体" w:cs="宋体"/>
          <w:sz w:val="36"/>
          <w:highlight w:val="none"/>
          <w:lang w:eastAsia="zh-CN"/>
        </w:rPr>
      </w:pPr>
      <w:r>
        <w:rPr>
          <w:rFonts w:hint="eastAsia" w:ascii="宋体" w:hAnsi="宋体" w:eastAsia="宋体" w:cs="宋体"/>
          <w:sz w:val="36"/>
          <w:highlight w:val="none"/>
        </w:rPr>
        <w:t xml:space="preserve">编号：</w:t>
      </w:r>
      <w:r>
        <w:rPr>
          <w:rFonts w:hint="eastAsia" w:ascii="宋体" w:hAnsi="宋体" w:cs="宋体"/>
          <w:sz w:val="36"/>
          <w:highlight w:val="none"/>
          <w:lang w:eastAsia="zh-CN"/>
        </w:rPr>
        <w:t xml:space="preserve">JSZC-321000-ZYCG-G2026-0016</w:t>
      </w:r>
      <w:r/>
    </w:p>
    <w:p>
      <w:pPr>
        <w:spacing w:line="360" w:lineRule="auto"/>
        <w:rPr>
          <w:rFonts w:hint="eastAsia" w:ascii="宋体" w:hAnsi="宋体" w:eastAsia="宋体" w:cs="宋体"/>
          <w:sz w:val="36"/>
          <w:highlight w:val="none"/>
        </w:rPr>
      </w:pPr>
      <w:r>
        <w:rPr>
          <w:rFonts w:hint="eastAsia" w:ascii="宋体" w:hAnsi="宋体" w:eastAsia="宋体" w:cs="宋体"/>
          <w:sz w:val="36"/>
          <w:highlight w:val="none"/>
        </w:rPr>
      </w:r>
      <w:r/>
    </w:p>
    <w:p>
      <w:pPr>
        <w:jc w:val="center"/>
        <w:spacing w:line="360" w:lineRule="auto"/>
        <w:rPr>
          <w:rFonts w:hint="eastAsia" w:ascii="宋体" w:hAnsi="宋体" w:eastAsia="宋体" w:cs="宋体"/>
          <w:sz w:val="36"/>
          <w:highlight w:val="none"/>
          <w:lang w:eastAsia="zh-CN"/>
        </w:rPr>
      </w:pPr>
      <w:r>
        <w:rPr>
          <w:rFonts w:hint="eastAsia" w:ascii="宋体" w:hAnsi="宋体" w:eastAsia="宋体" w:cs="宋体"/>
          <w:sz w:val="36"/>
          <w:highlight w:val="none"/>
          <w:lang w:eastAsia="zh-CN"/>
        </w:rPr>
        <w:t xml:space="preserve">扬州市公安局2026年物证检验试剂耗材项目</w:t>
      </w:r>
      <w:r/>
    </w:p>
    <w:p>
      <w:pPr>
        <w:jc w:val="center"/>
        <w:spacing w:line="360" w:lineRule="auto"/>
        <w:rPr>
          <w:rFonts w:hint="eastAsia" w:ascii="宋体" w:hAnsi="宋体" w:eastAsia="宋体" w:cs="宋体"/>
          <w:sz w:val="36"/>
          <w:highlight w:val="none"/>
        </w:rPr>
      </w:pPr>
      <w:r>
        <w:rPr>
          <w:rFonts w:hint="eastAsia" w:ascii="宋体" w:hAnsi="宋体" w:eastAsia="宋体" w:cs="宋体"/>
          <w:sz w:val="36"/>
          <w:highlight w:val="none"/>
        </w:rPr>
        <w:t xml:space="preserve">公开招标文件</w:t>
      </w:r>
      <w:r/>
    </w:p>
    <w:p>
      <w:pPr>
        <w:jc w:val="center"/>
        <w:spacing w:line="360" w:lineRule="auto"/>
        <w:rPr>
          <w:rFonts w:hint="eastAsia" w:ascii="宋体" w:hAnsi="宋体" w:eastAsia="宋体" w:cs="宋体"/>
          <w:sz w:val="36"/>
          <w:highlight w:val="none"/>
        </w:rPr>
      </w:pPr>
      <w:r>
        <w:rPr>
          <w:rFonts w:hint="eastAsia" w:ascii="宋体" w:hAnsi="宋体" w:eastAsia="宋体" w:cs="宋体"/>
          <w:sz w:val="36"/>
          <w:highlight w:val="none"/>
        </w:rPr>
      </w:r>
      <w:r/>
    </w:p>
    <w:p>
      <w:pPr>
        <w:jc w:val="center"/>
        <w:spacing w:line="360" w:lineRule="auto"/>
        <w:rPr>
          <w:rFonts w:hint="eastAsia" w:ascii="宋体" w:hAnsi="宋体" w:eastAsia="宋体" w:cs="宋体"/>
          <w:sz w:val="36"/>
          <w:highlight w:val="none"/>
        </w:rPr>
      </w:pPr>
      <w:r>
        <w:rPr>
          <w:rFonts w:hint="eastAsia" w:ascii="宋体" w:hAnsi="宋体" w:eastAsia="宋体" w:cs="宋体"/>
          <w:sz w:val="36"/>
          <w:highlight w:val="none"/>
        </w:rPr>
      </w:r>
      <w:r/>
    </w:p>
    <w:p>
      <w:pPr>
        <w:jc w:val="center"/>
        <w:spacing w:line="360" w:lineRule="auto"/>
        <w:rPr>
          <w:rFonts w:hint="eastAsia" w:ascii="宋体" w:hAnsi="宋体" w:eastAsia="宋体" w:cs="宋体"/>
          <w:sz w:val="36"/>
          <w:highlight w:val="none"/>
        </w:rPr>
      </w:pPr>
      <w:r>
        <w:rPr>
          <w:rFonts w:hint="eastAsia" w:ascii="宋体" w:hAnsi="宋体" w:eastAsia="宋体" w:cs="宋体"/>
          <w:sz w:val="36"/>
          <w:highlight w:val="none"/>
        </w:rPr>
      </w:r>
      <w:r/>
    </w:p>
    <w:p>
      <w:pPr>
        <w:jc w:val="center"/>
        <w:spacing w:line="360" w:lineRule="auto"/>
        <w:rPr>
          <w:rFonts w:hint="eastAsia" w:ascii="宋体" w:hAnsi="宋体" w:eastAsia="宋体" w:cs="宋体"/>
          <w:sz w:val="36"/>
          <w:highlight w:val="none"/>
        </w:rPr>
      </w:pPr>
      <w:r>
        <w:rPr>
          <w:rFonts w:hint="eastAsia" w:ascii="宋体" w:hAnsi="宋体" w:eastAsia="宋体" w:cs="宋体"/>
          <w:sz w:val="36"/>
          <w:highlight w:val="none"/>
        </w:rPr>
      </w:r>
      <w:r/>
    </w:p>
    <w:p>
      <w:pPr>
        <w:pStyle w:val="696"/>
        <w:spacing w:line="360" w:lineRule="auto"/>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17"/>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sz w:val="36"/>
          <w:highlight w:val="none"/>
          <w:lang w:eastAsia="zh-CN"/>
        </w:rPr>
      </w:pPr>
      <w:r>
        <w:rPr>
          <w:rFonts w:hint="eastAsia" w:ascii="宋体" w:hAnsi="宋体" w:eastAsia="宋体" w:cs="宋体"/>
          <w:sz w:val="36"/>
          <w:highlight w:val="none"/>
          <w:lang w:eastAsia="zh-CN"/>
        </w:rPr>
        <w:t xml:space="preserve">扬州筑苑工程招标咨询有限公司</w:t>
      </w:r>
      <w:r/>
    </w:p>
    <w:p>
      <w:pPr>
        <w:jc w:val="center"/>
        <w:spacing w:line="360" w:lineRule="auto"/>
        <w:rPr>
          <w:rFonts w:hint="eastAsia" w:ascii="宋体" w:hAnsi="宋体" w:eastAsia="宋体" w:cs="宋体"/>
          <w:sz w:val="36"/>
          <w:highlight w:val="none"/>
          <w:lang w:eastAsia="zh-CN"/>
        </w:rPr>
      </w:pPr>
      <w:r>
        <w:rPr>
          <w:rFonts w:hint="eastAsia" w:ascii="宋体" w:hAnsi="宋体" w:eastAsia="宋体" w:cs="宋体"/>
          <w:sz w:val="36"/>
          <w:highlight w:val="none"/>
          <w:lang w:eastAsia="zh-CN"/>
        </w:rPr>
        <w:t xml:space="preserve">2026年</w:t>
      </w:r>
      <w:r>
        <w:rPr>
          <w:rFonts w:hint="eastAsia" w:ascii="宋体" w:hAnsi="宋体" w:cs="宋体"/>
          <w:sz w:val="36"/>
          <w:highlight w:val="none"/>
          <w:lang w:val="en-US" w:eastAsia="zh-CN"/>
        </w:rPr>
        <w:t xml:space="preserve">11</w:t>
      </w:r>
      <w:r>
        <w:rPr>
          <w:rFonts w:hint="eastAsia" w:ascii="宋体" w:hAnsi="宋体" w:eastAsia="宋体" w:cs="宋体"/>
          <w:sz w:val="36"/>
          <w:highlight w:val="none"/>
          <w:lang w:eastAsia="zh-CN"/>
        </w:rPr>
        <w:t xml:space="preserve">月</w:t>
      </w:r>
      <w:r>
        <w:rPr>
          <w:rFonts w:hint="eastAsia" w:ascii="宋体" w:hAnsi="宋体" w:cs="宋体"/>
          <w:sz w:val="36"/>
          <w:highlight w:val="none"/>
          <w:lang w:val="en-US" w:eastAsia="zh-CN"/>
        </w:rPr>
        <w:t xml:space="preserve">2</w:t>
      </w:r>
      <w:r>
        <w:rPr>
          <w:rFonts w:hint="eastAsia" w:ascii="宋体" w:hAnsi="宋体" w:eastAsia="宋体" w:cs="宋体"/>
          <w:sz w:val="36"/>
          <w:highlight w:val="none"/>
          <w:lang w:eastAsia="zh-CN"/>
        </w:rPr>
        <w:t xml:space="preserve">日</w:t>
      </w:r>
      <w:r/>
    </w:p>
    <w:p>
      <w:pPr>
        <w:spacing w:line="360" w:lineRule="auto"/>
        <w:rPr>
          <w:rFonts w:hint="eastAsia" w:ascii="宋体" w:hAnsi="宋体" w:eastAsia="宋体" w:cs="宋体"/>
          <w:highlight w:val="none"/>
        </w:rPr>
      </w:pPr>
      <w:r>
        <w:rPr>
          <w:rFonts w:hint="eastAsia" w:ascii="宋体" w:hAnsi="宋体" w:eastAsia="宋体" w:cs="宋体"/>
          <w:highlight w:val="none"/>
        </w:rPr>
        <w:br w:type="page" w:clear="all"/>
      </w:r>
      <w:r/>
    </w:p>
    <w:p>
      <w:pPr>
        <w:jc w:val="center"/>
        <w:spacing w:line="360" w:lineRule="auto"/>
        <w:rPr>
          <w:rFonts w:hint="eastAsia" w:ascii="宋体" w:hAnsi="宋体" w:eastAsia="宋体" w:cs="宋体"/>
          <w:sz w:val="32"/>
          <w:highlight w:val="none"/>
        </w:rPr>
      </w:pPr>
      <w:r>
        <w:rPr>
          <w:rFonts w:hint="eastAsia" w:ascii="宋体" w:hAnsi="宋体" w:eastAsia="宋体" w:cs="宋体"/>
          <w:sz w:val="32"/>
          <w:highlight w:val="none"/>
        </w:rPr>
        <w:t xml:space="preserve">目 录</w:t>
      </w:r>
      <w:r/>
    </w:p>
    <w:p>
      <w:pPr>
        <w:pStyle w:val="730"/>
        <w:tabs>
          <w:tab w:val="right" w:pos="8296" w:leader="dot"/>
        </w:tabs>
        <w:rPr>
          <w:rFonts w:hint="eastAsia" w:ascii="宋体" w:hAnsi="宋体" w:eastAsia="宋体" w:cs="宋体"/>
          <w:highlight w:val="none"/>
        </w:rPr>
      </w:pPr>
      <w:r>
        <w:rPr>
          <w:rFonts w:hint="eastAsia" w:ascii="宋体" w:hAnsi="宋体" w:eastAsia="宋体" w:cs="宋体"/>
          <w:sz w:val="28"/>
          <w:highlight w:val="none"/>
        </w:rPr>
        <w:fldChar w:fldCharType="begin"/>
      </w:r>
      <w:r>
        <w:rPr>
          <w:rFonts w:hint="eastAsia" w:ascii="宋体" w:hAnsi="宋体" w:eastAsia="宋体" w:cs="宋体"/>
          <w:sz w:val="28"/>
          <w:highlight w:val="none"/>
        </w:rPr>
        <w:instrText xml:space="preserve"> TOC \o "1-3" \f </w:instrText>
      </w:r>
      <w:r>
        <w:rPr>
          <w:rFonts w:hint="eastAsia" w:ascii="宋体" w:hAnsi="宋体" w:eastAsia="宋体" w:cs="宋体"/>
          <w:sz w:val="28"/>
          <w:highlight w:val="none"/>
        </w:rPr>
        <w:fldChar w:fldCharType="separate"/>
      </w:r>
      <w:r>
        <w:rPr>
          <w:rFonts w:hint="eastAsia" w:ascii="宋体" w:hAnsi="宋体" w:eastAsia="宋体" w:cs="宋体"/>
          <w:highlight w:val="none"/>
        </w:rPr>
        <w:t xml:space="preserve">第一章 招标公告</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_Toc191970189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w:t>
      </w:r>
      <w:r>
        <w:rPr>
          <w:rFonts w:hint="eastAsia" w:ascii="宋体" w:hAnsi="宋体" w:eastAsia="宋体" w:cs="宋体"/>
          <w:highlight w:val="none"/>
        </w:rPr>
        <w:fldChar w:fldCharType="end"/>
      </w:r>
      <w:r/>
    </w:p>
    <w:p>
      <w:pPr>
        <w:pStyle w:val="730"/>
        <w:tabs>
          <w:tab w:val="right" w:pos="8296" w:leader="dot"/>
        </w:tabs>
        <w:rPr>
          <w:rFonts w:hint="eastAsia" w:ascii="宋体" w:hAnsi="宋体" w:eastAsia="宋体" w:cs="宋体"/>
          <w:highlight w:val="none"/>
        </w:rPr>
      </w:pPr>
      <w:r>
        <w:rPr>
          <w:rFonts w:hint="eastAsia" w:ascii="宋体" w:hAnsi="宋体" w:eastAsia="宋体" w:cs="宋体"/>
          <w:highlight w:val="none"/>
        </w:rPr>
        <w:t xml:space="preserve">第二章 投标人须知</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_Toc191970190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6</w:t>
      </w:r>
      <w:r>
        <w:rPr>
          <w:rFonts w:hint="eastAsia" w:ascii="宋体" w:hAnsi="宋体" w:eastAsia="宋体" w:cs="宋体"/>
          <w:highlight w:val="none"/>
        </w:rPr>
        <w:fldChar w:fldCharType="end"/>
      </w:r>
      <w:r/>
    </w:p>
    <w:p>
      <w:pPr>
        <w:pStyle w:val="730"/>
        <w:tabs>
          <w:tab w:val="right" w:pos="8296" w:leader="dot"/>
        </w:tabs>
        <w:rPr>
          <w:rFonts w:hint="eastAsia" w:ascii="宋体" w:hAnsi="宋体" w:eastAsia="宋体" w:cs="宋体"/>
          <w:highlight w:val="none"/>
        </w:rPr>
      </w:pPr>
      <w:r>
        <w:rPr>
          <w:rFonts w:hint="eastAsia" w:ascii="宋体" w:hAnsi="宋体" w:eastAsia="宋体" w:cs="宋体"/>
          <w:highlight w:val="none"/>
        </w:rPr>
        <w:t xml:space="preserve">第三章 合同条款及格式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_Toc191970191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17</w:t>
      </w:r>
      <w:r>
        <w:rPr>
          <w:rFonts w:hint="eastAsia" w:ascii="宋体" w:hAnsi="宋体" w:eastAsia="宋体" w:cs="宋体"/>
          <w:highlight w:val="none"/>
        </w:rPr>
        <w:fldChar w:fldCharType="end"/>
      </w:r>
      <w:r/>
    </w:p>
    <w:p>
      <w:pPr>
        <w:pStyle w:val="730"/>
        <w:tabs>
          <w:tab w:val="right" w:pos="8296" w:leader="dot"/>
        </w:tabs>
        <w:rPr>
          <w:rFonts w:hint="eastAsia" w:ascii="宋体" w:hAnsi="宋体" w:eastAsia="宋体" w:cs="宋体"/>
          <w:highlight w:val="none"/>
        </w:rPr>
      </w:pPr>
      <w:r>
        <w:rPr>
          <w:rFonts w:hint="eastAsia" w:ascii="宋体" w:hAnsi="宋体" w:eastAsia="宋体" w:cs="宋体"/>
          <w:highlight w:val="none"/>
        </w:rPr>
        <w:t xml:space="preserve">第四章 项目需求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_Toc191970192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22</w:t>
      </w:r>
      <w:r>
        <w:rPr>
          <w:rFonts w:hint="eastAsia" w:ascii="宋体" w:hAnsi="宋体" w:eastAsia="宋体" w:cs="宋体"/>
          <w:highlight w:val="none"/>
        </w:rPr>
        <w:fldChar w:fldCharType="end"/>
      </w:r>
      <w:r/>
    </w:p>
    <w:p>
      <w:pPr>
        <w:pStyle w:val="730"/>
        <w:tabs>
          <w:tab w:val="right" w:pos="8296" w:leader="dot"/>
        </w:tabs>
        <w:rPr>
          <w:rFonts w:hint="eastAsia" w:ascii="宋体" w:hAnsi="宋体" w:eastAsia="宋体" w:cs="宋体"/>
          <w:highlight w:val="none"/>
          <w:lang w:eastAsia="zh-CN"/>
        </w:rPr>
      </w:pPr>
      <w:r>
        <w:rPr>
          <w:rFonts w:hint="eastAsia" w:ascii="宋体" w:hAnsi="宋体" w:eastAsia="宋体" w:cs="宋体"/>
          <w:highlight w:val="none"/>
        </w:rPr>
        <w:t xml:space="preserve">第五章 评标方法及评标标准</w:t>
      </w:r>
      <w:r>
        <w:rPr>
          <w:rFonts w:hint="eastAsia" w:ascii="宋体" w:hAnsi="宋体" w:eastAsia="宋体" w:cs="宋体"/>
          <w:highlight w:val="none"/>
        </w:rPr>
        <w:tab/>
      </w:r>
      <w:r>
        <w:rPr>
          <w:rFonts w:hint="eastAsia" w:ascii="宋体" w:hAnsi="宋体" w:eastAsia="宋体" w:cs="宋体"/>
          <w:highlight w:val="none"/>
        </w:rPr>
        <w:t xml:space="preserve">3</w:t>
      </w:r>
      <w:r>
        <w:rPr>
          <w:rFonts w:hint="eastAsia" w:ascii="宋体" w:hAnsi="宋体" w:cs="宋体"/>
          <w:highlight w:val="none"/>
          <w:lang w:val="en-US" w:eastAsia="zh-CN"/>
        </w:rPr>
        <w:t xml:space="preserve">1</w:t>
      </w:r>
      <w:r/>
    </w:p>
    <w:p>
      <w:pPr>
        <w:pStyle w:val="730"/>
        <w:tabs>
          <w:tab w:val="right" w:pos="8296" w:leader="dot"/>
        </w:tabs>
        <w:rPr>
          <w:rFonts w:hint="eastAsia" w:ascii="宋体" w:hAnsi="宋体" w:eastAsia="宋体" w:cs="宋体"/>
          <w:highlight w:val="none"/>
          <w:lang w:eastAsia="zh-CN"/>
        </w:rPr>
      </w:pPr>
      <w:r>
        <w:rPr>
          <w:rFonts w:hint="eastAsia" w:ascii="宋体" w:hAnsi="宋体" w:eastAsia="宋体" w:cs="宋体"/>
          <w:highlight w:val="none"/>
        </w:rPr>
        <w:t xml:space="preserve">第六章 投标文件格式</w:t>
      </w:r>
      <w:r>
        <w:rPr>
          <w:rFonts w:hint="eastAsia" w:ascii="宋体" w:hAnsi="宋体" w:eastAsia="宋体" w:cs="宋体"/>
          <w:highlight w:val="none"/>
        </w:rPr>
        <w:tab/>
      </w:r>
      <w:r>
        <w:rPr>
          <w:rFonts w:hint="eastAsia" w:ascii="宋体" w:hAnsi="宋体" w:eastAsia="宋体" w:cs="宋体"/>
          <w:highlight w:val="none"/>
        </w:rPr>
        <w:t xml:space="preserve">3</w:t>
      </w:r>
      <w:r>
        <w:rPr>
          <w:rFonts w:hint="eastAsia" w:ascii="宋体" w:hAnsi="宋体" w:cs="宋体"/>
          <w:highlight w:val="none"/>
          <w:lang w:val="en-US" w:eastAsia="zh-CN"/>
        </w:rPr>
        <w:t xml:space="preserve">4</w:t>
      </w:r>
      <w:r/>
    </w:p>
    <w:p>
      <w:pPr>
        <w:spacing w:line="360" w:lineRule="auto"/>
        <w:rPr>
          <w:rFonts w:hint="eastAsia" w:ascii="宋体" w:hAnsi="宋体" w:eastAsia="宋体" w:cs="宋体"/>
          <w:sz w:val="28"/>
          <w:highlight w:val="none"/>
        </w:rPr>
      </w:pPr>
      <w:r>
        <w:rPr>
          <w:rFonts w:hint="eastAsia" w:ascii="宋体" w:hAnsi="宋体" w:eastAsia="宋体" w:cs="宋体"/>
          <w:sz w:val="28"/>
          <w:highlight w:val="none"/>
        </w:rPr>
        <w:fldChar w:fldCharType="end"/>
      </w:r>
      <w:r/>
    </w:p>
    <w:p>
      <w:pPr>
        <w:spacing w:line="360" w:lineRule="auto"/>
        <w:rPr>
          <w:rFonts w:hint="eastAsia" w:ascii="宋体" w:hAnsi="宋体" w:eastAsia="宋体" w:cs="宋体"/>
          <w:highlight w:val="none"/>
        </w:rPr>
      </w:pPr>
      <w:r>
        <w:rPr>
          <w:rFonts w:hint="eastAsia" w:ascii="宋体" w:hAnsi="宋体" w:eastAsia="宋体" w:cs="宋体"/>
          <w:sz w:val="28"/>
          <w:highlight w:val="none"/>
        </w:rPr>
        <w:br w:type="page" w:clear="all"/>
      </w:r>
      <w:r/>
    </w:p>
    <w:p>
      <w:pPr>
        <w:pStyle w:val="694"/>
        <w:jc w:val="center"/>
        <w:spacing w:line="360" w:lineRule="auto"/>
        <w:rPr>
          <w:rFonts w:hint="eastAsia" w:ascii="宋体" w:hAnsi="宋体" w:eastAsia="宋体" w:cs="宋体"/>
          <w:sz w:val="40"/>
          <w:szCs w:val="32"/>
          <w:highlight w:val="none"/>
        </w:rPr>
      </w:pPr>
      <w:r/>
      <w:bookmarkStart w:id="0" w:name="_Toc191970189"/>
      <w:r/>
      <w:bookmarkStart w:id="1" w:name="_Toc55204177"/>
      <w:r>
        <w:rPr>
          <w:rFonts w:hint="eastAsia" w:ascii="宋体" w:hAnsi="宋体" w:eastAsia="宋体" w:cs="宋体"/>
          <w:sz w:val="40"/>
          <w:szCs w:val="32"/>
          <w:highlight w:val="none"/>
        </w:rPr>
        <w:t xml:space="preserve">第一章 </w:t>
      </w:r>
      <w:r>
        <w:rPr>
          <w:rFonts w:hint="eastAsia" w:ascii="宋体" w:hAnsi="宋体" w:eastAsia="宋体" w:cs="宋体"/>
          <w:sz w:val="40"/>
          <w:szCs w:val="32"/>
          <w:highlight w:val="none"/>
          <w:lang w:eastAsia="zh-CN"/>
        </w:rPr>
        <w:t xml:space="preserve">扬州市公安局2026年物证检验试剂耗材项目</w:t>
      </w:r>
      <w:r>
        <w:rPr>
          <w:rFonts w:hint="eastAsia" w:ascii="宋体" w:hAnsi="宋体" w:eastAsia="宋体" w:cs="宋体"/>
          <w:sz w:val="40"/>
          <w:szCs w:val="32"/>
          <w:highlight w:val="none"/>
        </w:rPr>
        <w:t xml:space="preserve">公开招标公告</w:t>
      </w:r>
      <w:bookmarkEnd w:id="0"/>
      <w:r/>
      <w:bookmarkEnd w:id="1"/>
      <w:r/>
      <w:r/>
    </w:p>
    <w:p>
      <w:pPr>
        <w:ind w:firstLine="420"/>
        <w:spacing w:line="360" w:lineRule="auto"/>
        <w:tabs>
          <w:tab w:val="left" w:pos="266" w:leader="none"/>
        </w:tabs>
        <w:rPr>
          <w:rFonts w:hint="eastAsia" w:ascii="宋体" w:hAnsi="宋体" w:eastAsia="宋体" w:cs="宋体"/>
          <w:szCs w:val="21"/>
          <w:highlight w:val="none"/>
        </w:rPr>
      </w:pPr>
      <w:r>
        <w:rPr>
          <w:rFonts w:hint="eastAsia" w:ascii="宋体" w:hAnsi="宋体" w:eastAsia="宋体" w:cs="宋体"/>
          <w:highlight w:val="none"/>
        </w:rPr>
        <w:t xml:space="preserve">受扬州市公安局的委托，</w:t>
      </w:r>
      <w:r>
        <w:rPr>
          <w:rFonts w:hint="eastAsia" w:ascii="宋体" w:hAnsi="宋体" w:eastAsia="宋体" w:cs="宋体"/>
          <w:highlight w:val="none"/>
          <w:lang w:eastAsia="zh-CN"/>
        </w:rPr>
        <w:t xml:space="preserve">扬州筑苑工程招标咨询有限公司</w:t>
      </w:r>
      <w:r>
        <w:rPr>
          <w:rFonts w:hint="eastAsia" w:ascii="宋体" w:hAnsi="宋体" w:eastAsia="宋体" w:cs="宋体"/>
          <w:highlight w:val="none"/>
        </w:rPr>
        <w:t xml:space="preserve">就</w:t>
      </w:r>
      <w:r>
        <w:rPr>
          <w:rFonts w:hint="eastAsia" w:ascii="宋体" w:hAnsi="宋体" w:eastAsia="宋体" w:cs="宋体"/>
          <w:highlight w:val="none"/>
          <w:lang w:eastAsia="zh-CN"/>
        </w:rPr>
        <w:t xml:space="preserve">扬州市公安局2026年物证检验试剂耗材项目</w:t>
      </w:r>
      <w:r>
        <w:rPr>
          <w:rFonts w:hint="eastAsia" w:ascii="宋体" w:hAnsi="宋体" w:eastAsia="宋体" w:cs="宋体"/>
          <w:highlight w:val="none"/>
        </w:rPr>
        <w:t xml:space="preserve">进行公开招标采购，欢迎符合条件的供应商投标。</w:t>
      </w:r>
      <w:r/>
    </w:p>
    <w:p>
      <w:pPr>
        <w:ind w:firstLine="422"/>
        <w:spacing w:line="360" w:lineRule="auto"/>
        <w:rPr>
          <w:rFonts w:hint="eastAsia" w:ascii="宋体" w:hAnsi="宋体" w:eastAsia="宋体" w:cs="宋体"/>
          <w:b/>
          <w:bCs/>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highlight w:val="none"/>
        </w:rPr>
        <w:t xml:space="preserve">项目概况</w:t>
      </w:r>
      <w:r/>
    </w:p>
    <w:p>
      <w:pPr>
        <w:ind w:firstLine="420"/>
        <w:spacing w:line="360" w:lineRule="auto"/>
        <w:rPr>
          <w:rFonts w:hint="eastAsia" w:ascii="宋体" w:hAnsi="宋体" w:eastAsia="宋体" w:cs="宋体"/>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highlight w:val="none"/>
          <w:u w:val="single"/>
          <w:lang w:eastAsia="zh-CN"/>
        </w:rPr>
        <w:t xml:space="preserve">扬州市公安局2026年物证检验试剂耗材项目</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招标项目的潜在投标人可在</w:t>
      </w:r>
      <w:r>
        <w:rPr>
          <w:rFonts w:hint="eastAsia" w:ascii="宋体" w:hAnsi="宋体" w:eastAsia="宋体" w:cs="宋体"/>
          <w:highlight w:val="none"/>
          <w:u w:val="single"/>
          <w:lang w:eastAsia="zh-CN"/>
        </w:rPr>
        <w:t xml:space="preserve">“江苏政府采购网”、“扬州市政府采购网”</w:t>
      </w:r>
      <w:r>
        <w:rPr>
          <w:rFonts w:hint="eastAsia" w:ascii="宋体" w:hAnsi="宋体" w:eastAsia="宋体" w:cs="宋体"/>
          <w:highlight w:val="none"/>
        </w:rPr>
        <w:t xml:space="preserve">自行免费下载招标文件，并于</w:t>
      </w:r>
      <w:r>
        <w:rPr>
          <w:rFonts w:hint="eastAsia" w:ascii="宋体" w:hAnsi="宋体" w:eastAsia="宋体" w:cs="宋体"/>
          <w:bCs/>
          <w:highlight w:val="none"/>
          <w:u w:val="single"/>
          <w:lang w:eastAsia="zh-CN"/>
        </w:rPr>
        <w:t xml:space="preserve">2026年</w:t>
      </w:r>
      <w:r>
        <w:rPr>
          <w:rFonts w:hint="eastAsia" w:ascii="宋体" w:hAnsi="宋体" w:cs="宋体"/>
          <w:bCs/>
          <w:highlight w:val="none"/>
          <w:u w:val="single"/>
          <w:lang w:val="en-US" w:eastAsia="zh-CN"/>
        </w:rPr>
        <w:t xml:space="preserve">11</w:t>
      </w:r>
      <w:r>
        <w:rPr>
          <w:rFonts w:hint="eastAsia" w:ascii="宋体" w:hAnsi="宋体" w:eastAsia="宋体" w:cs="宋体"/>
          <w:bCs/>
          <w:highlight w:val="none"/>
          <w:u w:val="single"/>
          <w:lang w:eastAsia="zh-CN"/>
        </w:rPr>
        <w:t xml:space="preserve">月</w:t>
      </w:r>
      <w:r>
        <w:rPr>
          <w:rFonts w:hint="eastAsia" w:ascii="宋体" w:hAnsi="宋体" w:cs="宋体"/>
          <w:bCs/>
          <w:highlight w:val="none"/>
          <w:u w:val="single"/>
          <w:lang w:val="en-US" w:eastAsia="zh-CN"/>
        </w:rPr>
        <w:t xml:space="preserve">23</w:t>
      </w:r>
      <w:r>
        <w:rPr>
          <w:rFonts w:hint="eastAsia" w:ascii="宋体" w:hAnsi="宋体" w:eastAsia="宋体" w:cs="宋体"/>
          <w:bCs/>
          <w:highlight w:val="none"/>
          <w:u w:val="single"/>
          <w:lang w:eastAsia="zh-CN"/>
        </w:rPr>
        <w:t xml:space="preserve">日</w:t>
      </w:r>
      <w:r>
        <w:rPr>
          <w:rFonts w:hint="eastAsia" w:ascii="宋体" w:hAnsi="宋体" w:eastAsia="宋体" w:cs="宋体"/>
          <w:bCs/>
          <w:highlight w:val="none"/>
          <w:u w:val="single"/>
          <w:lang w:val="en-US" w:eastAsia="zh-CN"/>
        </w:rPr>
        <w:t xml:space="preserve">14</w:t>
      </w:r>
      <w:r>
        <w:rPr>
          <w:rFonts w:hint="eastAsia" w:ascii="宋体" w:hAnsi="宋体" w:eastAsia="宋体" w:cs="宋体"/>
          <w:bCs/>
          <w:highlight w:val="none"/>
          <w:u w:val="single"/>
        </w:rPr>
        <w:t xml:space="preserve">点30分（</w:t>
      </w:r>
      <w:r>
        <w:rPr>
          <w:rFonts w:hint="eastAsia" w:ascii="宋体" w:hAnsi="宋体" w:eastAsia="宋体" w:cs="宋体"/>
          <w:bCs/>
          <w:highlight w:val="none"/>
        </w:rPr>
        <w:t xml:space="preserve">北京时间）前递交投标文件</w:t>
      </w:r>
      <w:r>
        <w:rPr>
          <w:rFonts w:hint="eastAsia" w:ascii="宋体" w:hAnsi="宋体" w:eastAsia="宋体" w:cs="宋体"/>
          <w:highlight w:val="none"/>
        </w:rPr>
        <w:t xml:space="preserve">。</w:t>
      </w:r>
      <w:r/>
    </w:p>
    <w:p>
      <w:pPr>
        <w:spacing w:line="360" w:lineRule="auto"/>
        <w:tabs>
          <w:tab w:val="left" w:pos="266" w:leader="none"/>
        </w:tabs>
        <w:rPr>
          <w:rFonts w:hint="eastAsia" w:ascii="宋体" w:hAnsi="宋体" w:eastAsia="宋体" w:cs="宋体"/>
          <w:b/>
          <w:bCs/>
          <w:highlight w:val="none"/>
        </w:rPr>
      </w:pPr>
      <w:r/>
      <w:bookmarkStart w:id="2" w:name="_Toc35393790"/>
      <w:r/>
      <w:bookmarkStart w:id="3" w:name="_Toc35393621"/>
      <w:r/>
      <w:bookmarkStart w:id="4" w:name="_Toc38985263"/>
      <w:r/>
      <w:bookmarkStart w:id="5" w:name="_Toc28359079"/>
      <w:r/>
      <w:bookmarkStart w:id="6" w:name="_Toc28359002"/>
      <w:r/>
      <w:bookmarkStart w:id="7" w:name="_Hlk24379207"/>
      <w:r>
        <w:rPr>
          <w:rFonts w:hint="eastAsia" w:ascii="宋体" w:hAnsi="宋体" w:eastAsia="宋体" w:cs="宋体"/>
          <w:b/>
          <w:bCs/>
          <w:highlight w:val="none"/>
        </w:rPr>
        <w:t xml:space="preserve">一、项目基本情况</w:t>
      </w:r>
      <w:bookmarkEnd w:id="2"/>
      <w:r/>
      <w:bookmarkEnd w:id="3"/>
      <w:r/>
      <w:bookmarkEnd w:id="4"/>
      <w:r/>
      <w:bookmarkEnd w:id="5"/>
      <w:r/>
      <w:bookmarkEnd w:id="6"/>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highlight w:val="none"/>
        </w:rPr>
        <w:t xml:space="preserve">1.项目编号：</w:t>
      </w:r>
      <w:r>
        <w:rPr>
          <w:rFonts w:hint="eastAsia" w:ascii="宋体" w:hAnsi="宋体" w:cs="宋体"/>
          <w:highlight w:val="none"/>
          <w:lang w:eastAsia="zh-CN"/>
        </w:rPr>
        <w:t xml:space="preserve">JSZC-321000-ZYCG-G2026-0016</w:t>
      </w:r>
      <w:r/>
    </w:p>
    <w:p>
      <w:pPr>
        <w:ind w:firstLine="420"/>
        <w:spacing w:line="360" w:lineRule="auto"/>
        <w:rPr>
          <w:rFonts w:hint="eastAsia" w:ascii="宋体" w:hAnsi="宋体" w:eastAsia="宋体" w:cs="宋体"/>
          <w:highlight w:val="none"/>
          <w:lang w:eastAsia="zh-CN"/>
        </w:rPr>
      </w:pPr>
      <w:r>
        <w:rPr>
          <w:rFonts w:hint="eastAsia" w:ascii="宋体" w:hAnsi="宋体" w:eastAsia="宋体" w:cs="宋体"/>
          <w:highlight w:val="none"/>
        </w:rPr>
        <w:t xml:space="preserve">2.项目名称：</w:t>
      </w:r>
      <w:bookmarkEnd w:id="7"/>
      <w:r>
        <w:rPr>
          <w:rFonts w:hint="eastAsia" w:ascii="宋体" w:hAnsi="宋体" w:eastAsia="宋体" w:cs="宋体"/>
          <w:highlight w:val="none"/>
          <w:lang w:eastAsia="zh-CN"/>
        </w:rPr>
        <w:t xml:space="preserve">扬州市公安局2026年物证检验试剂耗材项目</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3.预算金额：198</w:t>
      </w:r>
      <w:r>
        <w:rPr>
          <w:rFonts w:hint="eastAsia" w:ascii="宋体" w:hAnsi="宋体" w:eastAsia="宋体" w:cs="宋体"/>
          <w:highlight w:val="none"/>
        </w:rPr>
        <w:t xml:space="preserve">万元</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4.本项目设置最高限价，最高限价为</w:t>
      </w:r>
      <w:r>
        <w:rPr>
          <w:rFonts w:hint="eastAsia" w:ascii="宋体" w:hAnsi="宋体" w:eastAsia="宋体" w:cs="宋体"/>
          <w:highlight w:val="none"/>
          <w:lang w:eastAsia="zh-CN"/>
        </w:rPr>
        <w:t xml:space="preserve">194.1</w:t>
      </w:r>
      <w:r>
        <w:rPr>
          <w:rFonts w:hint="eastAsia" w:ascii="宋体" w:hAnsi="宋体" w:eastAsia="宋体" w:cs="宋体"/>
          <w:highlight w:val="none"/>
        </w:rPr>
        <w:t xml:space="preserve">万元</w:t>
      </w:r>
      <w:r/>
    </w:p>
    <w:p>
      <w:pPr>
        <w:ind w:firstLine="420"/>
        <w:spacing w:line="360" w:lineRule="auto"/>
        <w:rPr>
          <w:rFonts w:hint="eastAsia" w:ascii="宋体" w:hAnsi="宋体" w:eastAsia="宋体" w:cs="宋体"/>
          <w:highlight w:val="none"/>
          <w:u w:val="single"/>
        </w:rPr>
      </w:pPr>
      <w:r>
        <w:rPr>
          <w:rFonts w:hint="eastAsia" w:ascii="宋体" w:hAnsi="宋体" w:eastAsia="宋体" w:cs="宋体"/>
          <w:highlight w:val="none"/>
        </w:rPr>
        <w:t xml:space="preserve">5.采购需求：具体详见招标文件第四章。</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6.合同履行期限：</w:t>
      </w:r>
      <w:r>
        <w:rPr>
          <w:rFonts w:hint="eastAsia" w:ascii="宋体" w:hAnsi="宋体" w:eastAsia="宋体" w:cs="宋体"/>
          <w:highlight w:val="none"/>
          <w:lang w:val="zh-CN"/>
        </w:rPr>
        <w:t xml:space="preserve">合同签订之日起</w:t>
      </w:r>
      <w:r>
        <w:rPr>
          <w:rFonts w:hint="eastAsia" w:ascii="宋体" w:hAnsi="宋体" w:eastAsia="宋体" w:cs="宋体"/>
          <w:highlight w:val="none"/>
        </w:rPr>
        <w:t xml:space="preserve">50</w:t>
      </w:r>
      <w:r>
        <w:rPr>
          <w:rFonts w:hint="eastAsia" w:ascii="宋体" w:hAnsi="宋体" w:eastAsia="宋体" w:cs="宋体"/>
          <w:highlight w:val="none"/>
          <w:lang w:val="zh-CN"/>
        </w:rPr>
        <w:t xml:space="preserve">个工作日内一次性交付全部货物。</w:t>
      </w:r>
      <w:r/>
    </w:p>
    <w:p>
      <w:pPr>
        <w:ind w:firstLine="420"/>
        <w:spacing w:line="360" w:lineRule="auto"/>
        <w:rPr>
          <w:rFonts w:hint="eastAsia" w:ascii="宋体" w:hAnsi="宋体" w:eastAsia="宋体" w:cs="宋体"/>
          <w:highlight w:val="none"/>
        </w:rPr>
      </w:pPr>
      <w:r/>
      <w:bookmarkStart w:id="8" w:name="_Toc35393622"/>
      <w:r/>
      <w:bookmarkStart w:id="9" w:name="_Toc38985264"/>
      <w:r/>
      <w:bookmarkStart w:id="10" w:name="_Toc28359003"/>
      <w:r/>
      <w:bookmarkStart w:id="11" w:name="_Toc35393791"/>
      <w:r/>
      <w:bookmarkStart w:id="12" w:name="_Toc28359080"/>
      <w:r>
        <w:rPr>
          <w:rFonts w:hint="eastAsia" w:ascii="宋体" w:hAnsi="宋体" w:eastAsia="宋体" w:cs="宋体"/>
          <w:highlight w:val="none"/>
        </w:rPr>
        <w:t xml:space="preserve">7.本项目不接受联合体投标。</w:t>
      </w:r>
      <w:r/>
    </w:p>
    <w:p>
      <w:pPr>
        <w:ind w:firstLine="420"/>
        <w:spacing w:line="360" w:lineRule="auto"/>
        <w:rPr>
          <w:rFonts w:hint="eastAsia" w:ascii="宋体" w:hAnsi="宋体" w:eastAsia="宋体" w:cs="宋体"/>
          <w:b/>
          <w:highlight w:val="none"/>
        </w:rPr>
      </w:pPr>
      <w:r>
        <w:rPr>
          <w:rFonts w:hint="eastAsia" w:ascii="宋体" w:hAnsi="宋体" w:eastAsia="宋体" w:cs="宋体"/>
          <w:b/>
          <w:highlight w:val="none"/>
        </w:rPr>
        <w:t xml:space="preserve">8.本项目不接受进口产品投标。</w:t>
      </w:r>
      <w:r/>
    </w:p>
    <w:p>
      <w:pPr>
        <w:spacing w:line="360" w:lineRule="auto"/>
        <w:tabs>
          <w:tab w:val="left" w:pos="266" w:leader="none"/>
        </w:tabs>
        <w:rPr>
          <w:rFonts w:hint="eastAsia" w:ascii="宋体" w:hAnsi="宋体" w:eastAsia="宋体" w:cs="宋体"/>
          <w:b/>
          <w:bCs/>
          <w:highlight w:val="none"/>
        </w:rPr>
      </w:pPr>
      <w:r>
        <w:rPr>
          <w:rFonts w:hint="eastAsia" w:ascii="宋体" w:hAnsi="宋体" w:eastAsia="宋体" w:cs="宋体"/>
          <w:b/>
          <w:bCs/>
          <w:highlight w:val="none"/>
        </w:rPr>
        <w:t xml:space="preserve">二、申请人的资格要求：</w:t>
      </w:r>
      <w:bookmarkEnd w:id="8"/>
      <w:r/>
      <w:bookmarkEnd w:id="9"/>
      <w:r/>
      <w:bookmarkEnd w:id="10"/>
      <w:r/>
      <w:bookmarkEnd w:id="11"/>
      <w:r/>
      <w:bookmarkEnd w:id="12"/>
      <w:r/>
      <w:r/>
    </w:p>
    <w:p>
      <w:pPr>
        <w:ind w:firstLine="420"/>
        <w:spacing w:line="360" w:lineRule="auto"/>
        <w:rPr>
          <w:rFonts w:hint="eastAsia" w:ascii="宋体" w:hAnsi="宋体" w:eastAsia="宋体" w:cs="宋体"/>
          <w:szCs w:val="21"/>
          <w:highlight w:val="none"/>
        </w:rPr>
      </w:pPr>
      <w:r/>
      <w:bookmarkStart w:id="13" w:name="_Toc35393623"/>
      <w:r/>
      <w:bookmarkStart w:id="14" w:name="_Toc38985265"/>
      <w:r/>
      <w:bookmarkStart w:id="15" w:name="_Toc28359004"/>
      <w:r/>
      <w:bookmarkStart w:id="16" w:name="_Toc28359081"/>
      <w:r/>
      <w:bookmarkStart w:id="17" w:name="_Toc35393792"/>
      <w:r>
        <w:rPr>
          <w:rFonts w:hint="eastAsia" w:ascii="宋体" w:hAnsi="宋体" w:eastAsia="宋体" w:cs="宋体"/>
          <w:szCs w:val="21"/>
          <w:highlight w:val="none"/>
        </w:rPr>
        <w:t xml:space="preserve">1.满足《中华人民共和国政府采购法》第二十二条规定，并提供下列材料：</w:t>
      </w:r>
      <w:r/>
    </w:p>
    <w:p>
      <w:pPr>
        <w:ind w:firstLine="42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1.1法人或者其他组织的营业执照等证明文件，自然人的身份证明</w:t>
      </w:r>
      <w:r/>
    </w:p>
    <w:p>
      <w:pPr>
        <w:ind w:firstLine="42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1.2 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1.3 </w:t>
      </w:r>
      <w:r>
        <w:rPr>
          <w:rFonts w:hint="eastAsia" w:ascii="宋体" w:hAnsi="宋体" w:eastAsia="宋体" w:cs="宋体"/>
          <w:i/>
          <w:iCs/>
          <w:szCs w:val="21"/>
          <w:highlight w:val="none"/>
          <w:u w:val="single"/>
          <w:lang w:eastAsia="zh-CN"/>
        </w:rPr>
        <w:t xml:space="preserve">2025年度的财务状况报告</w:t>
      </w:r>
      <w:r>
        <w:rPr>
          <w:rFonts w:hint="eastAsia" w:ascii="宋体" w:hAnsi="宋体" w:eastAsia="宋体" w:cs="宋体"/>
          <w:i/>
          <w:iCs/>
          <w:szCs w:val="21"/>
          <w:highlight w:val="none"/>
          <w:u w:val="single"/>
        </w:rPr>
        <w:t xml:space="preserve">（成立不满一年无需提供）</w:t>
      </w:r>
      <w:r/>
    </w:p>
    <w:p>
      <w:pPr>
        <w:ind w:firstLine="42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1.4 具备履行合同所必需的设备和专业技术能力的证明材料</w:t>
      </w:r>
      <w:r/>
    </w:p>
    <w:p>
      <w:pPr>
        <w:ind w:firstLine="42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1.5 参加本次政府采购活动前3年内在经营活动中没有重大违法记录的书面声明</w:t>
      </w:r>
      <w:r/>
    </w:p>
    <w:p>
      <w:pPr>
        <w:ind w:firstLine="42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1.6 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1.7供应商信用承诺函</w:t>
      </w:r>
      <w:r/>
    </w:p>
    <w:p>
      <w:pPr>
        <w:ind w:firstLine="420"/>
        <w:spacing w:line="440" w:lineRule="exact"/>
        <w:rPr>
          <w:rFonts w:hint="eastAsia" w:ascii="宋体" w:hAnsi="宋体" w:eastAsia="宋体" w:cs="宋体"/>
          <w:i/>
          <w:iCs/>
          <w:szCs w:val="21"/>
          <w:highlight w:val="none"/>
          <w:u w:val="single"/>
          <w:lang w:eastAsia="zh-CN"/>
        </w:rPr>
      </w:pPr>
      <w:r>
        <w:rPr>
          <w:rFonts w:hint="eastAsia" w:ascii="宋体" w:hAnsi="宋体" w:eastAsia="宋体" w:cs="宋体"/>
          <w:szCs w:val="21"/>
          <w:highlight w:val="none"/>
        </w:rPr>
        <w:t xml:space="preserve">2.落实政府采购政策需满足的资格要求：</w:t>
      </w:r>
      <w:r>
        <w:rPr>
          <w:rFonts w:hint="eastAsia" w:ascii="宋体" w:hAnsi="宋体" w:cs="宋体"/>
          <w:i/>
          <w:iCs/>
          <w:szCs w:val="21"/>
          <w:highlight w:val="none"/>
          <w:u w:val="single"/>
          <w:lang w:val="en-US" w:eastAsia="zh-CN"/>
        </w:rPr>
        <w:t xml:space="preserve">无</w:t>
      </w:r>
      <w:r/>
    </w:p>
    <w:p>
      <w:pPr>
        <w:ind w:firstLine="420"/>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3.本项目的特定资格要求：</w:t>
      </w:r>
      <w:r>
        <w:rPr>
          <w:rFonts w:hint="eastAsia" w:ascii="宋体" w:hAnsi="宋体" w:eastAsia="宋体" w:cs="宋体"/>
          <w:i/>
          <w:szCs w:val="21"/>
          <w:highlight w:val="none"/>
          <w:u w:val="single"/>
        </w:rPr>
        <w:t xml:space="preserve">无</w:t>
      </w:r>
      <w:r/>
    </w:p>
    <w:p>
      <w:pPr>
        <w:spacing w:line="360" w:lineRule="auto"/>
        <w:tabs>
          <w:tab w:val="left" w:pos="266" w:leader="none"/>
        </w:tabs>
        <w:rPr>
          <w:rFonts w:hint="eastAsia" w:ascii="宋体" w:hAnsi="宋体" w:eastAsia="宋体" w:cs="宋体"/>
          <w:b/>
          <w:bCs/>
          <w:highlight w:val="none"/>
        </w:rPr>
      </w:pPr>
      <w:r>
        <w:rPr>
          <w:rFonts w:hint="eastAsia" w:ascii="宋体" w:hAnsi="宋体" w:eastAsia="宋体" w:cs="宋体"/>
          <w:b/>
          <w:bCs/>
          <w:highlight w:val="none"/>
        </w:rPr>
        <w:t xml:space="preserve">三、获取招标文件</w:t>
      </w:r>
      <w:bookmarkEnd w:id="13"/>
      <w:r/>
      <w:bookmarkEnd w:id="14"/>
      <w:r/>
      <w:bookmarkEnd w:id="15"/>
      <w:r/>
      <w:bookmarkEnd w:id="16"/>
      <w:r/>
      <w:bookmarkEnd w:id="17"/>
      <w:r/>
      <w:r/>
    </w:p>
    <w:p>
      <w:pPr>
        <w:ind w:firstLine="420"/>
        <w:spacing w:line="360" w:lineRule="auto"/>
        <w:rPr>
          <w:rFonts w:hint="eastAsia" w:ascii="宋体" w:hAnsi="宋体" w:eastAsia="宋体" w:cs="宋体"/>
          <w:szCs w:val="21"/>
          <w:highlight w:val="none"/>
        </w:rPr>
      </w:pPr>
      <w:r/>
      <w:bookmarkStart w:id="18" w:name="_Toc28359005"/>
      <w:r/>
      <w:bookmarkStart w:id="19" w:name="_Toc28359082"/>
      <w:r/>
      <w:bookmarkStart w:id="20" w:name="_Toc38985266"/>
      <w:r/>
      <w:bookmarkStart w:id="21" w:name="_Toc35393624"/>
      <w:r/>
      <w:bookmarkStart w:id="22" w:name="_Toc35393793"/>
      <w:r>
        <w:rPr>
          <w:rFonts w:hint="eastAsia" w:ascii="宋体" w:hAnsi="宋体" w:eastAsia="宋体" w:cs="宋体"/>
          <w:szCs w:val="21"/>
          <w:highlight w:val="none"/>
        </w:rPr>
        <w:t xml:space="preserve">1.时间：自招标文件公告发布之日起5个工作日。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2.方式：在</w:t>
      </w:r>
      <w:r>
        <w:rPr>
          <w:rFonts w:hint="eastAsia" w:ascii="宋体" w:hAnsi="宋体" w:eastAsia="宋体" w:cs="宋体"/>
          <w:szCs w:val="21"/>
          <w:highlight w:val="none"/>
          <w:lang w:eastAsia="zh-CN"/>
        </w:rPr>
        <w:t xml:space="preserve">“江苏政府采购网”、“扬州市政府采购网”</w:t>
      </w:r>
      <w:r>
        <w:rPr>
          <w:rFonts w:hint="eastAsia" w:ascii="宋体" w:hAnsi="宋体" w:eastAsia="宋体" w:cs="宋体"/>
          <w:szCs w:val="21"/>
          <w:highlight w:val="none"/>
        </w:rPr>
        <w:t xml:space="preserve">自行免费下载招标文件。</w:t>
      </w:r>
      <w:r/>
    </w:p>
    <w:p>
      <w:pPr>
        <w:spacing w:line="360" w:lineRule="auto"/>
        <w:tabs>
          <w:tab w:val="left" w:pos="266" w:leader="none"/>
        </w:tabs>
        <w:rPr>
          <w:rFonts w:hint="eastAsia" w:ascii="宋体" w:hAnsi="宋体" w:eastAsia="宋体" w:cs="宋体"/>
          <w:b/>
          <w:bCs/>
          <w:highlight w:val="none"/>
        </w:rPr>
      </w:pPr>
      <w:r>
        <w:rPr>
          <w:rFonts w:hint="eastAsia" w:ascii="宋体" w:hAnsi="宋体" w:eastAsia="宋体" w:cs="宋体"/>
          <w:b/>
          <w:bCs/>
          <w:highlight w:val="none"/>
        </w:rPr>
        <w:t xml:space="preserve">四、提交投标文件</w:t>
      </w:r>
      <w:bookmarkEnd w:id="18"/>
      <w:r/>
      <w:bookmarkEnd w:id="19"/>
      <w:r>
        <w:rPr>
          <w:rFonts w:hint="eastAsia" w:ascii="宋体" w:hAnsi="宋体" w:eastAsia="宋体" w:cs="宋体"/>
          <w:b/>
          <w:bCs/>
          <w:highlight w:val="none"/>
        </w:rPr>
        <w:t xml:space="preserve">截止时间、开标时间和地点</w:t>
      </w:r>
      <w:bookmarkEnd w:id="20"/>
      <w:r/>
      <w:bookmarkEnd w:id="21"/>
      <w:r/>
      <w:bookmarkEnd w:id="22"/>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1.时间：2026年</w:t>
      </w:r>
      <w:r>
        <w:rPr>
          <w:rFonts w:hint="eastAsia" w:ascii="宋体" w:hAnsi="宋体" w:cs="宋体"/>
          <w:szCs w:val="21"/>
          <w:highlight w:val="none"/>
          <w:lang w:val="en-US" w:eastAsia="zh-CN"/>
        </w:rPr>
        <w:t xml:space="preserve">11</w:t>
      </w:r>
      <w:r>
        <w:rPr>
          <w:rFonts w:hint="eastAsia" w:ascii="宋体" w:hAnsi="宋体" w:eastAsia="宋体" w:cs="宋体"/>
          <w:szCs w:val="21"/>
          <w:highlight w:val="none"/>
          <w:lang w:eastAsia="zh-CN"/>
        </w:rPr>
        <w:t xml:space="preserve">月</w:t>
      </w:r>
      <w:r>
        <w:rPr>
          <w:rFonts w:hint="eastAsia" w:ascii="宋体" w:hAnsi="宋体" w:cs="宋体"/>
          <w:szCs w:val="21"/>
          <w:highlight w:val="none"/>
          <w:lang w:val="en-US" w:eastAsia="zh-CN"/>
        </w:rPr>
        <w:t xml:space="preserve">23</w:t>
      </w:r>
      <w:r>
        <w:rPr>
          <w:rFonts w:hint="eastAsia" w:ascii="宋体" w:hAnsi="宋体" w:eastAsia="宋体" w:cs="宋体"/>
          <w:szCs w:val="21"/>
          <w:highlight w:val="none"/>
          <w:lang w:eastAsia="zh-CN"/>
        </w:rPr>
        <w:t xml:space="preserve">日</w:t>
      </w:r>
      <w:r>
        <w:rPr>
          <w:rFonts w:hint="eastAsia" w:ascii="宋体" w:hAnsi="宋体" w:eastAsia="宋体" w:cs="宋体"/>
          <w:szCs w:val="21"/>
          <w:highlight w:val="none"/>
          <w:lang w:val="en-US" w:eastAsia="zh-CN"/>
        </w:rPr>
        <w:t xml:space="preserve">14</w:t>
      </w:r>
      <w:r>
        <w:rPr>
          <w:rFonts w:hint="eastAsia" w:ascii="宋体" w:hAnsi="宋体" w:eastAsia="宋体" w:cs="宋体"/>
          <w:szCs w:val="21"/>
          <w:highlight w:val="none"/>
          <w:lang w:eastAsia="zh-CN"/>
        </w:rPr>
        <w:t xml:space="preserve">点30分（北京时间）</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2.开标地点：“苏采云”系统（网址：</w:t>
      </w:r>
      <w:r>
        <w:rPr>
          <w:rFonts w:hint="eastAsia" w:ascii="宋体" w:hAnsi="宋体" w:cs="宋体"/>
          <w:szCs w:val="21"/>
          <w:highlight w:val="none"/>
          <w:lang w:eastAsia="zh-CN"/>
        </w:rPr>
        <w:t xml:space="preserve">https://jszfcg.jsczt.cn/</w:t>
      </w:r>
      <w:r>
        <w:rPr>
          <w:rFonts w:hint="eastAsia" w:ascii="宋体" w:hAnsi="宋体" w:eastAsia="宋体" w:cs="宋体"/>
          <w:szCs w:val="21"/>
          <w:highlight w:val="none"/>
          <w:lang w:eastAsia="zh-CN"/>
        </w:rPr>
        <w:t xml:space="preserve">）“开标大厅”</w:t>
      </w:r>
      <w:r/>
    </w:p>
    <w:p>
      <w:pPr>
        <w:spacing w:line="360" w:lineRule="auto"/>
        <w:tabs>
          <w:tab w:val="left" w:pos="266" w:leader="none"/>
        </w:tabs>
        <w:rPr>
          <w:rFonts w:hint="eastAsia" w:ascii="宋体" w:hAnsi="宋体" w:eastAsia="宋体" w:cs="宋体"/>
          <w:b/>
          <w:bCs/>
          <w:highlight w:val="none"/>
        </w:rPr>
      </w:pPr>
      <w:r/>
      <w:bookmarkStart w:id="23" w:name="_Toc38985267"/>
      <w:r/>
      <w:bookmarkStart w:id="24" w:name="_Toc28359084"/>
      <w:r/>
      <w:bookmarkStart w:id="25" w:name="_Toc35393625"/>
      <w:r/>
      <w:bookmarkStart w:id="26" w:name="_Toc35393794"/>
      <w:r/>
      <w:bookmarkStart w:id="27" w:name="_Toc28359007"/>
      <w:r>
        <w:rPr>
          <w:rFonts w:hint="eastAsia" w:ascii="宋体" w:hAnsi="宋体" w:eastAsia="宋体" w:cs="宋体"/>
          <w:b/>
          <w:bCs/>
          <w:highlight w:val="none"/>
        </w:rPr>
        <w:t xml:space="preserve">五、公告期限</w:t>
      </w:r>
      <w:bookmarkEnd w:id="23"/>
      <w:r/>
      <w:bookmarkEnd w:id="24"/>
      <w:r/>
      <w:bookmarkEnd w:id="25"/>
      <w:r/>
      <w:bookmarkEnd w:id="26"/>
      <w:r/>
      <w:bookmarkEnd w:id="27"/>
      <w:r/>
      <w:r/>
    </w:p>
    <w:p>
      <w:pPr>
        <w:ind w:firstLine="420"/>
        <w:spacing w:line="360" w:lineRule="auto"/>
        <w:rPr>
          <w:rFonts w:hint="eastAsia" w:ascii="宋体" w:hAnsi="宋体" w:eastAsia="宋体" w:cs="宋体"/>
          <w:szCs w:val="21"/>
          <w:highlight w:val="none"/>
          <w:lang w:eastAsia="zh-CN"/>
        </w:rPr>
      </w:pPr>
      <w:r/>
      <w:bookmarkStart w:id="28" w:name="_Toc35393795"/>
      <w:r/>
      <w:bookmarkStart w:id="29" w:name="_Toc38985268"/>
      <w:r/>
      <w:bookmarkStart w:id="30" w:name="_Toc35393626"/>
      <w:r>
        <w:rPr>
          <w:rFonts w:hint="eastAsia" w:ascii="宋体" w:hAnsi="宋体" w:eastAsia="宋体" w:cs="宋体"/>
          <w:szCs w:val="21"/>
          <w:highlight w:val="none"/>
          <w:lang w:eastAsia="zh-CN"/>
        </w:rPr>
        <w:t xml:space="preserve">为自本公告发布之日起</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eastAsia="zh-CN"/>
        </w:rPr>
        <w:t xml:space="preserve">个工作日。</w:t>
      </w:r>
      <w:r/>
    </w:p>
    <w:p>
      <w:pPr>
        <w:spacing w:line="360" w:lineRule="auto"/>
        <w:tabs>
          <w:tab w:val="left" w:pos="266" w:leader="none"/>
        </w:tabs>
        <w:rPr>
          <w:rFonts w:hint="eastAsia" w:ascii="宋体" w:hAnsi="宋体" w:eastAsia="宋体" w:cs="宋体"/>
          <w:b/>
          <w:bCs/>
          <w:highlight w:val="none"/>
        </w:rPr>
      </w:pPr>
      <w:r>
        <w:rPr>
          <w:rFonts w:hint="eastAsia" w:ascii="宋体" w:hAnsi="宋体" w:eastAsia="宋体" w:cs="宋体"/>
          <w:b/>
          <w:bCs/>
          <w:highlight w:val="none"/>
        </w:rPr>
        <w:t xml:space="preserve">六、其他补充事宜</w:t>
      </w:r>
      <w:bookmarkEnd w:id="28"/>
      <w:r/>
      <w:bookmarkEnd w:id="29"/>
      <w:r/>
      <w:bookmarkEnd w:id="30"/>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1.潜在投标人访问政府采购管理交易系统（苏采云）的网络地址和方法：</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（1）潜在供应商访问政府采购管理交易系统（苏采云）的方法：“苏采云”系统用户注册--获取“CA数字</w:t>
      </w:r>
      <w:bookmarkStart w:id="86" w:name="_GoBack"/>
      <w:r/>
      <w:bookmarkEnd w:id="86"/>
      <w:r>
        <w:rPr>
          <w:rFonts w:hint="eastAsia" w:ascii="宋体" w:hAnsi="宋体" w:eastAsia="宋体" w:cs="宋体"/>
          <w:szCs w:val="21"/>
          <w:highlight w:val="none"/>
          <w:lang w:eastAsia="zh-CN"/>
        </w:rPr>
        <w:t xml:space="preserve">证书”--CA绑定与登录--网上报名--下载招标文件（后缀名为“.kedt”）--将后缀名为“.kedt”的招标文件导入政府采购客户端工具--制作投标文件--导出加密的投标文件（后缀名为zip）--通过“苏采云”系统上传投标文件。</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（3）“CA数字证书”的办理材料以及供应商操作手册详见：</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fldChar w:fldCharType="begin"/>
      </w:r>
      <w:r>
        <w:rPr>
          <w:rFonts w:hint="eastAsia" w:ascii="宋体" w:hAnsi="宋体" w:eastAsia="宋体" w:cs="宋体"/>
          <w:szCs w:val="21"/>
          <w:highlight w:val="none"/>
          <w:lang w:eastAsia="zh-CN"/>
        </w:rPr>
        <w:instrText xml:space="preserve">INCLUDEPICTURE \d "C:\\Users\\l\\AppData\\Roaming\\Tencent\\QQ\\Temp\\%W@GJ$ACOF(TYDYECOKVDYB.png" \* MERGEFORMATINET </w:instrText>
      </w:r>
      <w:r>
        <w:rPr>
          <w:rFonts w:hint="eastAsia" w:ascii="宋体" w:hAnsi="宋体" w:eastAsia="宋体" w:cs="宋体"/>
          <w:szCs w:val="21"/>
          <w:highlight w:val="none"/>
          <w:lang w:eastAsia="zh-CN"/>
        </w:rPr>
        <w:fldChar w:fldCharType="separate"/>
      </w:r>
      <w:r>
        <w:rPr>
          <w:rFonts w:hint="eastAsia" w:ascii="宋体" w:hAnsi="宋体" w:eastAsia="宋体" w:cs="宋体"/>
          <w:szCs w:val="21"/>
          <w:highlight w:val="none"/>
          <w:lang w:eastAsia="zh-CN"/>
        </w:rPr>
        <w:fldChar w:fldCharType="end"/>
      </w:r>
      <w:r>
        <w:rPr>
          <w:rFonts w:hint="eastAsia" w:ascii="宋体" w:hAnsi="宋体" w:eastAsia="宋体" w:cs="宋体"/>
          <w:szCs w:val="21"/>
          <w:highlight w:val="none"/>
          <w:lang w:eastAsia="zh-CN"/>
        </w:rPr>
        <w:t xml:space="preserve">http://zfcg.yangzhou.gov.cn/zfcg/xzzx/202309/4d7de1f7865f4a2894fc22bc452f94d8.shtml。</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（4）潜在供应商访问“苏采云”系统的网络地址和方法：“苏采云”系统的网址：</w:t>
      </w:r>
      <w:r>
        <w:rPr>
          <w:rFonts w:hint="eastAsia" w:ascii="宋体" w:hAnsi="宋体" w:eastAsia="宋体" w:cs="宋体"/>
          <w:szCs w:val="21"/>
          <w:highlight w:val="none"/>
          <w:lang w:eastAsia="zh-CN"/>
        </w:rPr>
        <w:fldChar w:fldCharType="begin"/>
      </w:r>
      <w:r>
        <w:rPr>
          <w:rFonts w:hint="eastAsia" w:ascii="宋体" w:hAnsi="宋体" w:eastAsia="宋体" w:cs="宋体"/>
          <w:szCs w:val="21"/>
          <w:highlight w:val="none"/>
          <w:lang w:eastAsia="zh-CN"/>
        </w:rPr>
        <w:instrText xml:space="preserve">INCLUDEPICTURE \d "C:\\Users\\l\\AppData\\Roaming\\Tencent\\QQ\\Temp\\%W@GJ$ACOF(TYDYECOKVDYB.png" \* MERGEFORMATINET </w:instrText>
      </w:r>
      <w:r>
        <w:rPr>
          <w:rFonts w:hint="eastAsia" w:ascii="宋体" w:hAnsi="宋体" w:eastAsia="宋体" w:cs="宋体"/>
          <w:szCs w:val="21"/>
          <w:highlight w:val="none"/>
          <w:lang w:eastAsia="zh-CN"/>
        </w:rPr>
        <w:fldChar w:fldCharType="separate"/>
      </w:r>
      <w:r>
        <w:rPr>
          <w:rFonts w:hint="eastAsia" w:ascii="宋体" w:hAnsi="宋体" w:eastAsia="宋体" w:cs="宋体"/>
          <w:szCs w:val="21"/>
          <w:highlight w:val="none"/>
          <w:lang w:eastAsia="zh-CN"/>
        </w:rPr>
        <w:fldChar w:fldCharType="end"/>
      </w:r>
      <w:r>
        <w:rPr>
          <w:rFonts w:hint="eastAsia" w:ascii="宋体" w:hAnsi="宋体" w:cs="宋体"/>
          <w:szCs w:val="21"/>
          <w:highlight w:val="none"/>
          <w:lang w:eastAsia="zh-CN"/>
        </w:rPr>
        <w:t xml:space="preserve">https://jszfcg.jsczt.cn/</w:t>
      </w:r>
      <w:r>
        <w:rPr>
          <w:rFonts w:hint="eastAsia" w:ascii="宋体" w:hAnsi="宋体" w:eastAsia="宋体" w:cs="宋体"/>
          <w:szCs w:val="21"/>
          <w:highlight w:val="none"/>
          <w:lang w:eastAsia="zh-CN"/>
        </w:rPr>
        <w:t xml:space="preserve">。</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（5）招标文件（后缀名为“.kedt”）、供应商操作手册及政府采购客户端工具也可通过“苏采云”系统--已报名项目--报名详情页面内相应链接进行下载。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（6）招标代理机构（采购代理机构）将数据电文形式的招标文件加载至“苏采云”系统，供潜在供应商下载或者查阅。     </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（7）苏采云系统使用谷歌浏览器参与不见面开标。</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 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2.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3.供应商如确定参加投标，可自行下载招标文件及有关资料，按照《操作手册》进行注册，领取CA和办理电子签章，并按《操作手册》要求制作、上传电子投标文件，技术支持联系方式：13813140731。</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4.严格执行政府采购关于支持</w:t>
      </w:r>
      <w:r>
        <w:rPr>
          <w:rFonts w:hint="eastAsia" w:ascii="宋体" w:hAnsi="宋体" w:eastAsia="宋体" w:cs="宋体"/>
          <w:szCs w:val="21"/>
          <w:highlight w:val="none"/>
          <w:lang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5.供应商对于投标产品的包装应按照“财办库〔2020〕123号《关于印发《商品包装政府采购需求标准（试行）》、《快递包装政府采购需求标准（试行）》的通知》”执行。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6.潜在投标人对招标文件项目需求部分的询问、质疑请向采购人提出，由采购人负责答复。</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7.本次招标不收取投标保证金。</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8.有关本次招标的事项若存在变动或修改，敬请及时关注“江苏政府采购网”、“扬州市政府采购网”发布的信息。</w:t>
      </w:r>
      <w:r/>
    </w:p>
    <w:p>
      <w:pPr>
        <w:ind w:firstLine="420"/>
        <w:spacing w:line="360" w:lineRule="auto"/>
        <w:rPr>
          <w:rFonts w:hint="eastAsia" w:ascii="宋体" w:hAnsi="宋体" w:eastAsia="宋体" w:cs="宋体"/>
          <w:szCs w:val="21"/>
          <w:highlight w:val="none"/>
        </w:rPr>
      </w:pPr>
      <w:r>
        <w:rPr>
          <w:rFonts w:hint="eastAsia" w:ascii="宋体" w:hAnsi="宋体" w:eastAsia="宋体" w:cs="宋体"/>
          <w:i/>
          <w:iCs/>
          <w:szCs w:val="21"/>
          <w:highlight w:val="none"/>
          <w:u w:val="single"/>
          <w:lang w:eastAsia="zh-CN"/>
        </w:rPr>
        <w:t xml:space="preserve">9.本项目招标文件中所有斜体下划线部分为实质性条款，如不满足，则为无效投标。</w:t>
      </w:r>
      <w:r/>
    </w:p>
    <w:p>
      <w:pPr>
        <w:spacing w:line="360" w:lineRule="auto"/>
        <w:tabs>
          <w:tab w:val="left" w:pos="266" w:leader="none"/>
        </w:tabs>
        <w:rPr>
          <w:rFonts w:hint="eastAsia" w:ascii="宋体" w:hAnsi="宋体" w:eastAsia="宋体" w:cs="宋体"/>
          <w:b/>
          <w:bCs/>
          <w:highlight w:val="none"/>
        </w:rPr>
      </w:pPr>
      <w:r/>
      <w:bookmarkStart w:id="31" w:name="_Toc35393627"/>
      <w:r/>
      <w:bookmarkStart w:id="32" w:name="_Toc35393796"/>
      <w:r/>
      <w:bookmarkStart w:id="33" w:name="_Toc28359085"/>
      <w:r/>
      <w:bookmarkStart w:id="34" w:name="_Toc28359008"/>
      <w:r/>
      <w:bookmarkStart w:id="35" w:name="_Toc38985269"/>
      <w:r>
        <w:rPr>
          <w:rFonts w:hint="eastAsia" w:ascii="宋体" w:hAnsi="宋体" w:eastAsia="宋体" w:cs="宋体"/>
          <w:b/>
          <w:bCs/>
          <w:highlight w:val="none"/>
        </w:rPr>
        <w:t xml:space="preserve">七、本次招标联系方式</w:t>
      </w:r>
      <w:bookmarkEnd w:id="31"/>
      <w:r/>
      <w:bookmarkEnd w:id="32"/>
      <w:r/>
      <w:bookmarkEnd w:id="33"/>
      <w:r/>
      <w:bookmarkEnd w:id="34"/>
      <w:r/>
      <w:bookmarkEnd w:id="35"/>
      <w:r/>
      <w:r/>
    </w:p>
    <w:p>
      <w:pPr>
        <w:ind w:firstLine="420"/>
        <w:jc w:val="left"/>
        <w:spacing w:line="360" w:lineRule="auto"/>
        <w:widowControl/>
        <w:rPr>
          <w:rFonts w:hint="eastAsia" w:ascii="宋体" w:hAnsi="宋体" w:eastAsia="宋体" w:cs="宋体"/>
          <w:szCs w:val="21"/>
          <w:highlight w:val="none"/>
          <w:u w:val="none"/>
        </w:rPr>
      </w:pPr>
      <w:r>
        <w:rPr>
          <w:rFonts w:hint="eastAsia" w:ascii="宋体" w:hAnsi="宋体" w:eastAsia="宋体" w:cs="宋体"/>
          <w:highlight w:val="none"/>
        </w:rPr>
        <w:t xml:space="preserve">1.采</w:t>
      </w:r>
      <w:r>
        <w:rPr>
          <w:rFonts w:hint="eastAsia" w:ascii="宋体" w:hAnsi="宋体" w:eastAsia="宋体" w:cs="宋体"/>
          <w:highlight w:val="none"/>
          <w:u w:val="none"/>
        </w:rPr>
        <w:t xml:space="preserve">购人信息</w:t>
      </w:r>
      <w:r/>
    </w:p>
    <w:p>
      <w:pPr>
        <w:ind w:firstLine="420"/>
        <w:jc w:val="left"/>
        <w:spacing w:line="360" w:lineRule="auto"/>
        <w:rPr>
          <w:rFonts w:hint="eastAsia" w:ascii="宋体" w:hAnsi="宋体" w:eastAsia="宋体" w:cs="宋体"/>
          <w:highlight w:val="none"/>
          <w:u w:val="none"/>
        </w:rPr>
      </w:pPr>
      <w:r>
        <w:rPr>
          <w:rFonts w:hint="eastAsia" w:ascii="宋体" w:hAnsi="宋体" w:eastAsia="宋体" w:cs="宋体"/>
          <w:highlight w:val="none"/>
          <w:u w:val="none"/>
        </w:rPr>
        <w:t xml:space="preserve">名 称：扬州市公安局</w:t>
      </w:r>
      <w:r/>
    </w:p>
    <w:p>
      <w:pPr>
        <w:ind w:firstLine="420"/>
        <w:jc w:val="left"/>
        <w:spacing w:line="360" w:lineRule="auto"/>
        <w:rPr>
          <w:rFonts w:hint="eastAsia" w:ascii="宋体" w:hAnsi="宋体" w:eastAsia="宋体" w:cs="宋体"/>
          <w:highlight w:val="none"/>
          <w:u w:val="none"/>
        </w:rPr>
      </w:pPr>
      <w:r>
        <w:rPr>
          <w:rFonts w:hint="eastAsia" w:ascii="宋体" w:hAnsi="宋体" w:eastAsia="宋体" w:cs="宋体"/>
          <w:highlight w:val="none"/>
          <w:u w:val="none"/>
        </w:rPr>
        <w:t xml:space="preserve">地 址：扬州市邗江区润扬中路98号</w:t>
      </w:r>
      <w:r/>
    </w:p>
    <w:p>
      <w:pPr>
        <w:ind w:firstLine="420"/>
        <w:jc w:val="left"/>
        <w:spacing w:line="360" w:lineRule="auto"/>
        <w:rPr>
          <w:rFonts w:hint="eastAsia" w:ascii="宋体" w:hAnsi="宋体" w:eastAsia="宋体" w:cs="宋体"/>
          <w:highlight w:val="none"/>
          <w:u w:val="none"/>
        </w:rPr>
      </w:pPr>
      <w:r>
        <w:rPr>
          <w:rFonts w:hint="eastAsia" w:ascii="宋体" w:hAnsi="宋体" w:eastAsia="宋体" w:cs="宋体"/>
          <w:highlight w:val="none"/>
          <w:u w:val="none"/>
        </w:rPr>
        <w:t xml:space="preserve">联系人：吴应锋</w:t>
      </w:r>
      <w:r/>
    </w:p>
    <w:p>
      <w:pPr>
        <w:ind w:firstLine="420"/>
        <w:jc w:val="left"/>
        <w:spacing w:line="360" w:lineRule="auto"/>
        <w:rPr>
          <w:rFonts w:hint="eastAsia" w:ascii="宋体" w:hAnsi="宋体" w:eastAsia="宋体" w:cs="宋体"/>
          <w:highlight w:val="none"/>
          <w:u w:val="none"/>
        </w:rPr>
      </w:pPr>
      <w:r>
        <w:rPr>
          <w:rFonts w:hint="eastAsia" w:ascii="宋体" w:hAnsi="宋体" w:eastAsia="宋体" w:cs="宋体"/>
          <w:highlight w:val="none"/>
          <w:u w:val="none"/>
        </w:rPr>
        <w:t xml:space="preserve">联系方式：</w:t>
      </w:r>
      <w:bookmarkStart w:id="36" w:name="_Toc28359009"/>
      <w:r/>
      <w:bookmarkStart w:id="37" w:name="_Toc28359086"/>
      <w:r>
        <w:rPr>
          <w:rFonts w:hint="eastAsia" w:ascii="宋体" w:hAnsi="宋体" w:eastAsia="宋体" w:cs="宋体"/>
          <w:highlight w:val="none"/>
          <w:u w:val="none"/>
        </w:rPr>
        <w:t xml:space="preserve">13813175615</w:t>
      </w:r>
      <w:r/>
    </w:p>
    <w:p>
      <w:pPr>
        <w:ind w:firstLine="420"/>
        <w:jc w:val="left"/>
        <w:spacing w:line="360" w:lineRule="auto"/>
        <w:rPr>
          <w:rFonts w:hint="eastAsia" w:ascii="宋体" w:hAnsi="宋体" w:eastAsia="宋体" w:cs="宋体"/>
          <w:highlight w:val="none"/>
          <w:u w:val="none"/>
        </w:rPr>
      </w:pPr>
      <w:r>
        <w:rPr>
          <w:rFonts w:hint="eastAsia" w:ascii="宋体" w:hAnsi="宋体" w:eastAsia="宋体" w:cs="宋体"/>
          <w:highlight w:val="none"/>
          <w:u w:val="none"/>
        </w:rPr>
        <w:t xml:space="preserve">2.代理机构信息</w:t>
      </w:r>
      <w:bookmarkEnd w:id="36"/>
      <w:r/>
      <w:bookmarkEnd w:id="37"/>
      <w:r/>
      <w:r/>
    </w:p>
    <w:p>
      <w:pPr>
        <w:ind w:firstLine="420"/>
        <w:jc w:val="left"/>
        <w:spacing w:line="360" w:lineRule="auto"/>
        <w:rPr>
          <w:rFonts w:hint="eastAsia" w:ascii="宋体" w:hAnsi="宋体" w:eastAsia="宋体" w:cs="宋体"/>
          <w:highlight w:val="none"/>
          <w:u w:val="none"/>
          <w:lang w:eastAsia="zh-CN"/>
        </w:rPr>
      </w:pPr>
      <w:r/>
      <w:bookmarkStart w:id="38" w:name="_Toc28359087"/>
      <w:r/>
      <w:bookmarkStart w:id="39" w:name="_Toc28359010"/>
      <w:r>
        <w:rPr>
          <w:rFonts w:hint="eastAsia" w:ascii="宋体" w:hAnsi="宋体" w:eastAsia="宋体" w:cs="宋体"/>
          <w:highlight w:val="none"/>
          <w:u w:val="none"/>
        </w:rPr>
        <w:t xml:space="preserve">名称：</w:t>
      </w:r>
      <w:r>
        <w:rPr>
          <w:rFonts w:hint="eastAsia" w:ascii="宋体" w:hAnsi="宋体" w:eastAsia="宋体" w:cs="宋体"/>
          <w:highlight w:val="none"/>
          <w:u w:val="none"/>
          <w:lang w:eastAsia="zh-CN"/>
        </w:rPr>
        <w:t xml:space="preserve">扬州筑苑工程招标咨询有限公司</w:t>
      </w:r>
      <w:r/>
    </w:p>
    <w:p>
      <w:pPr>
        <w:ind w:firstLine="420"/>
        <w:spacing w:line="360" w:lineRule="auto"/>
        <w:rPr>
          <w:rFonts w:hint="eastAsia" w:ascii="宋体" w:hAnsi="宋体" w:eastAsia="宋体" w:cs="宋体"/>
          <w:highlight w:val="none"/>
          <w:u w:val="none"/>
          <w:lang w:eastAsia="zh-CN"/>
        </w:rPr>
      </w:pPr>
      <w:r>
        <w:rPr>
          <w:rFonts w:hint="eastAsia" w:ascii="宋体" w:hAnsi="宋体" w:eastAsia="宋体" w:cs="宋体"/>
          <w:highlight w:val="none"/>
          <w:u w:val="none"/>
        </w:rPr>
        <w:t xml:space="preserve">地　址：</w:t>
      </w:r>
      <w:r>
        <w:rPr>
          <w:rFonts w:hint="eastAsia" w:ascii="宋体" w:hAnsi="宋体" w:eastAsia="宋体" w:cs="宋体"/>
          <w:highlight w:val="none"/>
          <w:u w:val="none"/>
          <w:lang w:eastAsia="zh-CN"/>
        </w:rPr>
        <w:t xml:space="preserve">扬州市润扬北路19号</w:t>
      </w:r>
      <w:r/>
    </w:p>
    <w:p>
      <w:pPr>
        <w:ind w:firstLine="420"/>
        <w:spacing w:line="360" w:lineRule="auto"/>
        <w:rPr>
          <w:rFonts w:hint="eastAsia" w:ascii="宋体" w:hAnsi="宋体" w:eastAsia="宋体" w:cs="宋体"/>
          <w:highlight w:val="none"/>
          <w:u w:val="none"/>
          <w:lang w:eastAsia="zh-CN"/>
        </w:rPr>
      </w:pPr>
      <w:r>
        <w:rPr>
          <w:rFonts w:hint="eastAsia" w:ascii="宋体" w:hAnsi="宋体" w:eastAsia="宋体" w:cs="宋体"/>
          <w:highlight w:val="none"/>
          <w:u w:val="none"/>
        </w:rPr>
        <w:t xml:space="preserve">联系人：</w:t>
      </w:r>
      <w:r>
        <w:rPr>
          <w:rFonts w:hint="eastAsia" w:ascii="宋体" w:hAnsi="宋体" w:eastAsia="宋体" w:cs="宋体"/>
          <w:highlight w:val="none"/>
          <w:u w:val="none"/>
          <w:lang w:eastAsia="zh-CN"/>
        </w:rPr>
        <w:t xml:space="preserve">薛梦宇</w:t>
      </w:r>
      <w:r/>
    </w:p>
    <w:p>
      <w:pPr>
        <w:ind w:firstLine="420"/>
        <w:spacing w:line="360" w:lineRule="auto"/>
        <w:rPr>
          <w:rFonts w:hint="eastAsia" w:ascii="宋体" w:hAnsi="宋体" w:eastAsia="宋体" w:cs="宋体"/>
          <w:highlight w:val="none"/>
          <w:u w:val="none"/>
          <w:lang w:eastAsia="zh-CN"/>
        </w:rPr>
      </w:pPr>
      <w:r>
        <w:rPr>
          <w:rFonts w:hint="eastAsia" w:ascii="宋体" w:hAnsi="宋体" w:eastAsia="宋体" w:cs="宋体"/>
          <w:highlight w:val="none"/>
          <w:u w:val="none"/>
        </w:rPr>
        <w:t xml:space="preserve">联系方式：</w:t>
      </w:r>
      <w:r>
        <w:rPr>
          <w:rFonts w:hint="eastAsia" w:ascii="宋体" w:hAnsi="宋体" w:eastAsia="宋体" w:cs="宋体"/>
          <w:highlight w:val="none"/>
          <w:u w:val="none"/>
          <w:lang w:eastAsia="zh-CN"/>
        </w:rPr>
        <w:t xml:space="preserve">0514-87116778</w:t>
      </w:r>
      <w:bookmarkEnd w:id="38"/>
      <w:bookmarkEnd w:id="39"/>
      <w:r/>
    </w:p>
    <w:p>
      <w:pPr>
        <w:spacing w:line="360" w:lineRule="auto"/>
        <w:rPr>
          <w:rFonts w:hint="eastAsia" w:ascii="宋体" w:hAnsi="宋体" w:eastAsia="宋体" w:cs="宋体"/>
          <w:highlight w:val="none"/>
        </w:rPr>
      </w:pPr>
      <w:r>
        <w:rPr>
          <w:rFonts w:hint="eastAsia" w:ascii="宋体" w:hAnsi="宋体" w:eastAsia="宋体" w:cs="宋体"/>
          <w:highlight w:val="none"/>
        </w:rPr>
        <w:br w:type="page" w:clear="all"/>
      </w:r>
      <w:r/>
    </w:p>
    <w:p>
      <w:pPr>
        <w:pStyle w:val="694"/>
        <w:jc w:val="center"/>
        <w:spacing w:line="360" w:lineRule="auto"/>
        <w:rPr>
          <w:rFonts w:hint="eastAsia" w:ascii="宋体" w:hAnsi="宋体" w:eastAsia="宋体" w:cs="宋体"/>
          <w:sz w:val="40"/>
          <w:szCs w:val="32"/>
          <w:highlight w:val="none"/>
        </w:rPr>
      </w:pPr>
      <w:r/>
      <w:bookmarkStart w:id="40" w:name="_Toc55204178"/>
      <w:r/>
      <w:bookmarkStart w:id="41" w:name="_Toc191970190"/>
      <w:r>
        <w:rPr>
          <w:rFonts w:hint="eastAsia" w:ascii="宋体" w:hAnsi="宋体" w:eastAsia="宋体" w:cs="宋体"/>
          <w:sz w:val="40"/>
          <w:szCs w:val="32"/>
          <w:highlight w:val="none"/>
        </w:rPr>
        <w:t xml:space="preserve">第二章 投标人须知</w:t>
      </w:r>
      <w:bookmarkEnd w:id="40"/>
      <w:r/>
      <w:bookmarkEnd w:id="41"/>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1、招标方式</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1.1 本次招标采取公开招标方式，本招标文件仅适用于</w:t>
      </w:r>
      <w:r>
        <w:rPr>
          <w:rFonts w:hint="eastAsia" w:ascii="宋体" w:hAnsi="宋体" w:cs="宋体"/>
          <w:bCs/>
          <w:szCs w:val="21"/>
          <w:highlight w:val="none"/>
          <w:lang w:eastAsia="zh-CN"/>
        </w:rPr>
        <w:t xml:space="preserve">JSZC-321000-ZYCG-G2026-0016</w:t>
      </w:r>
      <w:r>
        <w:rPr>
          <w:rFonts w:hint="eastAsia" w:ascii="宋体" w:hAnsi="宋体" w:eastAsia="宋体" w:cs="宋体"/>
          <w:bCs/>
          <w:szCs w:val="21"/>
          <w:highlight w:val="none"/>
        </w:rPr>
        <w:t xml:space="preserve">号项目。</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2、投标人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2.2合格的投标人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2.2.1 满足招标公告中供应商的资格条件要求的规定。</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2.2.2 满足本文件实质性条款的规定。</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3、适用法律</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4、投标费用</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4.1 投标人应自行承担所有与参加投标有关的费用，无论投标过程中的做法和结果如 何，代理机构在任何情况下均无义务和责任承担这些费用。 </w:t>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rPr>
        <w:t xml:space="preserve">4.2</w:t>
      </w:r>
      <w:r>
        <w:rPr>
          <w:rFonts w:hint="eastAsia" w:ascii="宋体" w:hAnsi="宋体" w:eastAsia="宋体" w:cs="宋体"/>
          <w:highlight w:val="none"/>
          <w:lang w:val="en-US" w:eastAsia="zh-CN"/>
        </w:rPr>
        <w:t xml:space="preserve">因本次采购预算中已包含代理服务费，故由</w:t>
      </w:r>
      <w:r>
        <w:rPr>
          <w:rFonts w:hint="eastAsia" w:ascii="宋体" w:hAnsi="宋体" w:eastAsia="宋体" w:cs="宋体"/>
          <w:highlight w:val="none"/>
        </w:rPr>
        <w:t xml:space="preserve">成交供应商在领取成交通知书前</w:t>
      </w:r>
      <w:r>
        <w:rPr>
          <w:rFonts w:hint="eastAsia" w:ascii="宋体" w:hAnsi="宋体" w:eastAsia="宋体" w:cs="宋体"/>
          <w:highlight w:val="none"/>
          <w:lang w:val="en-US" w:eastAsia="zh-CN"/>
        </w:rPr>
        <w:t xml:space="preserve">参照《招标代理服务收费管理暂行办法》（计价格〔2002〕1980号文）货物类标准一次性支付给招标代理机构代理服务费。</w:t>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代理服务费包含在投标总价中。</w:t>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招标代理服务费开户银行： 江苏银行股份有限公司扬州分行</w:t>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开户名称：扬州筑苑工程招标咨询有限公司 </w:t>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开户账号：90080188000034881 </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4.3专家评审费按扬财购【2020】40 号文《关于进一步规范扬州市政府采购专家评审费标准的通知》执行。</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5、招标文件的约束力</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6、招标文件构成</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6.1 招标文件有以下部分组成：</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（1）招标公告</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（2）投标人须知</w:t>
      </w:r>
      <w:r>
        <w:rPr>
          <w:rFonts w:hint="eastAsia" w:ascii="宋体" w:hAnsi="宋体" w:eastAsia="宋体" w:cs="宋体"/>
          <w:bCs/>
          <w:szCs w:val="21"/>
          <w:highlight w:val="none"/>
        </w:rPr>
        <w:tab/>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（3）合同条款及格式</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（4）项目需求</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（5）评标方法与评标标准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（6）投标文件格式</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7、招标文件的澄清</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8、招标文件的修改</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8.1 在投标截止时间前，代理机构可以对招标文件进行修改。</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8.3招标文件的修改将在</w:t>
      </w:r>
      <w:r>
        <w:rPr>
          <w:rFonts w:hint="eastAsia" w:ascii="宋体" w:hAnsi="宋体" w:eastAsia="宋体" w:cs="宋体"/>
          <w:bCs/>
          <w:highlight w:val="none"/>
          <w:lang w:eastAsia="zh-CN"/>
        </w:rPr>
        <w:t xml:space="preserve">“江苏政府采购网”、“扬州市政府采购网”</w:t>
      </w:r>
      <w:r>
        <w:rPr>
          <w:rFonts w:hint="eastAsia" w:ascii="宋体" w:hAnsi="宋体" w:eastAsia="宋体" w:cs="宋体"/>
          <w:bCs/>
          <w:szCs w:val="21"/>
          <w:highlight w:val="none"/>
        </w:rPr>
        <w:t xml:space="preserve">公布，补充文件将作为招标文件的组成部分，并对投标人具有约束力。</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9、投标文件的语言、度量衡单位、货币</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9.3投标人应使用人民币报价。</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10、投标文件构成</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10.1投标文件由以下部分组成</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（1）资格审查响应对照表</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（2）符合性审查响应对照表</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（3）非实质性响应对照表</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（4）开标一览表 </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（5）分项报价表 </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（6）技术参数响应及偏离表 </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（7）商务条款响应及偏离表 </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（8）其他 （投标人认为有必要提供的声明和文件，如有自拟并自行添加）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11、证明投标人资格及符合招标文件规定的文件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    11.5证明投标人所提供服务与招标文件的要求相一致的文件可以是手册、图纸、文字资料和数据。</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12、投标配置与分项报价表</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12.2 标的物</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采购人需求的服务供应、安装，调试及有关技术服务等。</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12.3有关费用处理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12.4其它费用处理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招标文件未列明，而投标人认为必需的费用也需列入报价。</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12.5投标货币</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12.6 投标配置与分项报价表上的价格应按下列方式分开填写：</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2、项目单价按投标配置及分项报价表中要求填报。</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13.2 提供参加本项目类似案例简介；</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13.3 培训计划；</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13.4 详细阐述所投货物的主要组成部分、功能设计、实现思路及关键技术；</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13.5 投标人认为需要的其他技术文件或说明。</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14、服务承诺及售后服务机构、人员的情况介绍</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    14.1投标人的服务承诺应按不低于招标文件中商务要求的标准。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15、投标函和开标一览表</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16、投标有效期</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szCs w:val="21"/>
          <w:highlight w:val="none"/>
        </w:rPr>
      </w:pPr>
      <w:r/>
      <w:bookmarkStart w:id="42" w:name="_Toc462564084"/>
      <w:r/>
      <w:bookmarkStart w:id="43" w:name="_Toc20823297"/>
      <w:r/>
      <w:bookmarkStart w:id="44" w:name="_Toc513029225"/>
      <w:r/>
      <w:bookmarkStart w:id="45" w:name="_Toc16938541"/>
      <w:r>
        <w:rPr>
          <w:rFonts w:hint="eastAsia" w:ascii="宋体" w:hAnsi="宋体" w:eastAsia="宋体" w:cs="宋体"/>
          <w:b/>
          <w:szCs w:val="21"/>
          <w:highlight w:val="none"/>
        </w:rPr>
        <w:t xml:space="preserve">17、投标文件</w:t>
      </w:r>
      <w:bookmarkEnd w:id="42"/>
      <w:r/>
      <w:bookmarkEnd w:id="43"/>
      <w:r/>
      <w:bookmarkEnd w:id="44"/>
      <w:r/>
      <w:bookmarkEnd w:id="45"/>
      <w:r>
        <w:rPr>
          <w:rFonts w:hint="eastAsia" w:ascii="宋体" w:hAnsi="宋体" w:eastAsia="宋体" w:cs="宋体"/>
          <w:b/>
          <w:szCs w:val="21"/>
          <w:highlight w:val="none"/>
        </w:rPr>
        <w:t xml:space="preserve">的递交</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17.1 电子投标文件的递交投标人应当按照《操作手册》规定，在投标截止时间前制作并上传电子投标文件。</w:t>
      </w:r>
      <w:bookmarkStart w:id="46" w:name="_Toc16938542"/>
      <w:r/>
      <w:bookmarkStart w:id="47" w:name="_Toc20823298"/>
      <w:r/>
      <w:bookmarkStart w:id="48" w:name="_Toc513029226"/>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17.2</w:t>
      </w:r>
      <w:r>
        <w:rPr>
          <w:rFonts w:hint="eastAsia" w:ascii="宋体" w:hAnsi="宋体" w:eastAsia="宋体" w:cs="宋体"/>
          <w:b/>
          <w:bCs/>
          <w:szCs w:val="21"/>
          <w:highlight w:val="none"/>
        </w:rPr>
        <w:t xml:space="preserve">政府采购管理交易系统（苏采云）</w:t>
      </w:r>
      <w:r>
        <w:rPr>
          <w:rFonts w:hint="eastAsia" w:ascii="宋体" w:hAnsi="宋体" w:eastAsia="宋体" w:cs="宋体"/>
          <w:b/>
          <w:szCs w:val="21"/>
          <w:highlight w:val="none"/>
        </w:rPr>
        <w:t xml:space="preserve">相关要求是本招标文件的组成部分。</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highlight w:val="none"/>
        </w:rPr>
      </w:pPr>
      <w:r>
        <w:rPr>
          <w:rFonts w:hint="eastAsia" w:ascii="宋体" w:hAnsi="宋体" w:eastAsia="宋体" w:cs="宋体"/>
          <w:b/>
          <w:szCs w:val="21"/>
          <w:highlight w:val="none"/>
        </w:rPr>
        <w:t xml:space="preserve">17.7各投标人应在规定时间内凭CA证书进行网上解密。</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18、投标截止日期</w:t>
      </w:r>
      <w:bookmarkEnd w:id="46"/>
      <w:r/>
      <w:bookmarkEnd w:id="47"/>
      <w:r/>
      <w:bookmarkEnd w:id="48"/>
      <w:r/>
      <w:r/>
    </w:p>
    <w:p>
      <w:pPr>
        <w:ind w:firstLine="420"/>
        <w:spacing w:line="360" w:lineRule="auto"/>
        <w:rPr>
          <w:rFonts w:hint="eastAsia" w:ascii="宋体" w:hAnsi="宋体" w:eastAsia="宋体" w:cs="宋体"/>
          <w:bCs/>
          <w:i/>
          <w:iCs/>
          <w:szCs w:val="21"/>
          <w:highlight w:val="none"/>
          <w:u w:val="single"/>
        </w:rPr>
      </w:pPr>
      <w:r>
        <w:rPr>
          <w:rFonts w:hint="eastAsia" w:ascii="宋体" w:hAnsi="宋体" w:eastAsia="宋体" w:cs="宋体"/>
          <w:bCs/>
          <w:i/>
          <w:iCs/>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szCs w:val="21"/>
          <w:highlight w:val="none"/>
        </w:rPr>
      </w:pPr>
      <w:r/>
      <w:bookmarkStart w:id="49" w:name="_Toc20823299"/>
      <w:r/>
      <w:bookmarkStart w:id="50" w:name="_Toc16938543"/>
      <w:r/>
      <w:bookmarkStart w:id="51" w:name="_Toc513029227"/>
      <w:r>
        <w:rPr>
          <w:rFonts w:hint="eastAsia" w:ascii="宋体" w:hAnsi="宋体" w:eastAsia="宋体" w:cs="宋体"/>
          <w:b/>
          <w:szCs w:val="21"/>
          <w:highlight w:val="none"/>
        </w:rPr>
        <w:t xml:space="preserve">19、投标文件</w:t>
      </w:r>
      <w:bookmarkEnd w:id="49"/>
      <w:r/>
      <w:bookmarkEnd w:id="50"/>
      <w:r/>
      <w:bookmarkEnd w:id="51"/>
      <w:r>
        <w:rPr>
          <w:rFonts w:hint="eastAsia" w:ascii="宋体" w:hAnsi="宋体" w:eastAsia="宋体" w:cs="宋体"/>
          <w:b/>
          <w:szCs w:val="21"/>
          <w:highlight w:val="none"/>
        </w:rPr>
        <w:t xml:space="preserve">的拒收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19.1代理机构拒绝接收在其规定的投标截止时间后上传的任何投标文件。</w:t>
      </w:r>
      <w:r/>
    </w:p>
    <w:p>
      <w:pPr>
        <w:ind w:firstLine="422"/>
        <w:spacing w:line="360" w:lineRule="auto"/>
        <w:rPr>
          <w:rFonts w:hint="eastAsia" w:ascii="宋体" w:hAnsi="宋体" w:eastAsia="宋体" w:cs="宋体"/>
          <w:b/>
          <w:szCs w:val="21"/>
          <w:highlight w:val="none"/>
        </w:rPr>
      </w:pPr>
      <w:r/>
      <w:bookmarkStart w:id="52" w:name="_Toc513029228"/>
      <w:r/>
      <w:bookmarkStart w:id="53" w:name="_Toc20823300"/>
      <w:r/>
      <w:bookmarkStart w:id="54" w:name="_Toc16938544"/>
      <w:r>
        <w:rPr>
          <w:rFonts w:hint="eastAsia" w:ascii="宋体" w:hAnsi="宋体" w:eastAsia="宋体" w:cs="宋体"/>
          <w:b/>
          <w:szCs w:val="21"/>
          <w:highlight w:val="none"/>
        </w:rPr>
        <w:t xml:space="preserve">20、投标文件的撤回和修改</w:t>
      </w:r>
      <w:bookmarkEnd w:id="52"/>
      <w:r/>
      <w:bookmarkEnd w:id="53"/>
      <w:r/>
      <w:bookmarkEnd w:id="54"/>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20.1 投标文件的撤回</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20.1.1 电子投标文件的撤回</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20.1.2 投标人撤回电子投标文件，则认为其不再参与本项目投标活动。</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20.2 投标文件的修改</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21、开标</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21.1 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    </w:t>
      </w:r>
      <w:r>
        <w:rPr>
          <w:rFonts w:hint="eastAsia" w:ascii="宋体" w:hAnsi="宋体" w:eastAsia="宋体" w:cs="宋体"/>
          <w:b/>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21.3投标人在开标过程中涉及到的投标文件解密、开标结果确认等工作，应按照《操作手册》规定执行。</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22、评标委员会</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    22.1 开标后，代理机构将立即组织评标委员会（以下简称评委会）进行评标。</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    22.3评委会独立工作，负责评审所有投标文件并确定中标候选人。</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23、评标过程的保密与公正</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24、投标的澄清</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    24.3 接到评委会澄清要求的投标人如未按规定做出澄清，其风险由投标人自行承担。</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25、对投标文件的初审</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25.1投标文件初审分为资格审查和符合性审查。</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（2）大写金额与小写金额不一致的，以大写金额为准。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25.8 投标人在开、评标全过程中应保持通讯畅通，并安排专人与代理机构及评委会联系。</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26、无效投标、废标及投标人不足三家的处理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26.1无效投标条款</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26.1.1 投标人未成功解密电子投标文件的。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26.1.2 投标人未按照招标文件要求上传电子投标文件的。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26.1.3投标人在报价时采用选择性报价的。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26.1.4投标人不具备招标文件中规定资格要求的。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26.1.5投标人的报价超过了采购预算或最高限价的。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26.1.6未通过符合性审查的。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26.1.7不符合招标文件中规定的其他实质性要求和条件的（</w:t>
      </w:r>
      <w:r>
        <w:rPr>
          <w:rFonts w:hint="eastAsia" w:ascii="宋体" w:hAnsi="宋体" w:eastAsia="宋体" w:cs="宋体"/>
          <w:bCs/>
          <w:i/>
          <w:iCs/>
          <w:szCs w:val="21"/>
          <w:highlight w:val="none"/>
          <w:u w:val="single"/>
        </w:rPr>
        <w:t xml:space="preserve">本招标文件中斜体且有下划线部分为实质性要求和条件</w:t>
      </w:r>
      <w:r>
        <w:rPr>
          <w:rFonts w:hint="eastAsia" w:ascii="宋体" w:hAnsi="宋体" w:eastAsia="宋体" w:cs="宋体"/>
          <w:bCs/>
          <w:szCs w:val="21"/>
          <w:highlight w:val="none"/>
        </w:rPr>
        <w:t xml:space="preserve">）。</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26.1.9  投标文件含有采购人不能接受的附加条件的。</w:t>
      </w:r>
      <w:r/>
    </w:p>
    <w:p>
      <w:pPr>
        <w:ind w:firstLine="420"/>
        <w:spacing w:line="360" w:lineRule="auto"/>
        <w:rPr>
          <w:rFonts w:hint="eastAsia" w:ascii="宋体" w:hAnsi="宋体" w:eastAsia="宋体" w:cs="宋体"/>
          <w:bCs/>
          <w:color w:val="ff0000"/>
          <w:szCs w:val="21"/>
          <w:highlight w:val="none"/>
          <w:lang w:val="en-US" w:eastAsia="zh-CN"/>
        </w:rPr>
      </w:pPr>
      <w:r>
        <w:rPr>
          <w:rFonts w:hint="eastAsia" w:ascii="宋体" w:hAnsi="宋体" w:eastAsia="宋体" w:cs="宋体"/>
          <w:bCs/>
          <w:color w:val="ff0000"/>
          <w:szCs w:val="21"/>
          <w:highlight w:val="none"/>
        </w:rPr>
        <w:t xml:space="preserve">2</w:t>
      </w:r>
      <w:r>
        <w:rPr>
          <w:rFonts w:hint="eastAsia" w:ascii="宋体" w:hAnsi="宋体" w:eastAsia="宋体" w:cs="宋体"/>
          <w:bCs/>
          <w:color w:val="ff0000"/>
          <w:szCs w:val="21"/>
          <w:highlight w:val="none"/>
          <w:lang w:val="en-US" w:eastAsia="zh-CN"/>
        </w:rPr>
        <w:t xml:space="preserve">6</w:t>
      </w:r>
      <w:r>
        <w:rPr>
          <w:rFonts w:hint="eastAsia" w:ascii="宋体" w:hAnsi="宋体" w:eastAsia="宋体" w:cs="宋体"/>
          <w:bCs/>
          <w:color w:val="ff0000"/>
          <w:szCs w:val="21"/>
          <w:highlight w:val="none"/>
        </w:rPr>
        <w:t xml:space="preserve">.1.10</w:t>
      </w:r>
      <w:r>
        <w:rPr>
          <w:rFonts w:hint="eastAsia" w:ascii="宋体" w:hAnsi="宋体" w:eastAsia="宋体" w:cs="宋体"/>
          <w:bCs/>
          <w:color w:val="ff0000"/>
          <w:szCs w:val="21"/>
          <w:highlight w:val="none"/>
          <w:lang w:val="en-US" w:eastAsia="zh-CN"/>
        </w:rPr>
        <w:t xml:space="preserve"> 异常低价投标（响应）</w:t>
      </w:r>
      <w:r/>
    </w:p>
    <w:p>
      <w:pPr>
        <w:ind w:firstLine="420"/>
        <w:spacing w:line="360" w:lineRule="auto"/>
        <w:rPr>
          <w:rFonts w:hint="eastAsia" w:ascii="宋体" w:hAnsi="宋体" w:eastAsia="宋体" w:cs="宋体"/>
          <w:bCs/>
          <w:color w:val="ff0000"/>
          <w:szCs w:val="21"/>
          <w:highlight w:val="none"/>
          <w:lang w:val="en-US" w:eastAsia="zh-CN"/>
        </w:rPr>
      </w:pPr>
      <w:r>
        <w:rPr>
          <w:rFonts w:hint="eastAsia" w:ascii="宋体" w:hAnsi="宋体" w:eastAsia="宋体" w:cs="宋体"/>
          <w:bCs/>
          <w:color w:val="ff0000"/>
          <w:szCs w:val="21"/>
          <w:highlight w:val="none"/>
        </w:rPr>
        <w:t xml:space="preserve">2</w:t>
      </w:r>
      <w:r>
        <w:rPr>
          <w:rFonts w:hint="eastAsia" w:ascii="宋体" w:hAnsi="宋体" w:eastAsia="宋体" w:cs="宋体"/>
          <w:bCs/>
          <w:color w:val="ff0000"/>
          <w:szCs w:val="21"/>
          <w:highlight w:val="none"/>
          <w:lang w:val="en-US" w:eastAsia="zh-CN"/>
        </w:rPr>
        <w:t xml:space="preserve">6</w:t>
      </w:r>
      <w:r>
        <w:rPr>
          <w:rFonts w:hint="eastAsia" w:ascii="宋体" w:hAnsi="宋体" w:eastAsia="宋体" w:cs="宋体"/>
          <w:bCs/>
          <w:color w:val="ff0000"/>
          <w:szCs w:val="21"/>
          <w:highlight w:val="none"/>
        </w:rPr>
        <w:t xml:space="preserve">.1.10</w:t>
      </w:r>
      <w:r>
        <w:rPr>
          <w:rFonts w:hint="eastAsia" w:ascii="宋体" w:hAnsi="宋体" w:eastAsia="宋体" w:cs="宋体"/>
          <w:bCs/>
          <w:color w:val="ff0000"/>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Cs/>
          <w:color w:val="ff0000"/>
          <w:szCs w:val="21"/>
          <w:highlight w:val="none"/>
          <w:lang w:val="en-US" w:eastAsia="zh-CN"/>
        </w:rPr>
      </w:pPr>
      <w:r>
        <w:rPr>
          <w:rFonts w:hint="eastAsia" w:ascii="宋体" w:hAnsi="宋体" w:eastAsia="宋体" w:cs="宋体"/>
          <w:bCs/>
          <w:color w:val="ff0000"/>
          <w:szCs w:val="21"/>
          <w:highlight w:val="none"/>
        </w:rPr>
        <w:t xml:space="preserve">2</w:t>
      </w:r>
      <w:r>
        <w:rPr>
          <w:rFonts w:hint="eastAsia" w:ascii="宋体" w:hAnsi="宋体" w:eastAsia="宋体" w:cs="宋体"/>
          <w:bCs/>
          <w:color w:val="ff0000"/>
          <w:szCs w:val="21"/>
          <w:highlight w:val="none"/>
          <w:lang w:val="en-US" w:eastAsia="zh-CN"/>
        </w:rPr>
        <w:t xml:space="preserve">6</w:t>
      </w:r>
      <w:r>
        <w:rPr>
          <w:rFonts w:hint="eastAsia" w:ascii="宋体" w:hAnsi="宋体" w:eastAsia="宋体" w:cs="宋体"/>
          <w:bCs/>
          <w:color w:val="ff0000"/>
          <w:szCs w:val="21"/>
          <w:highlight w:val="none"/>
        </w:rPr>
        <w:t xml:space="preserve">.1.10</w:t>
      </w:r>
      <w:r>
        <w:rPr>
          <w:rFonts w:hint="eastAsia" w:ascii="宋体" w:hAnsi="宋体" w:eastAsia="宋体" w:cs="宋体"/>
          <w:bCs/>
          <w:color w:val="ff0000"/>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Cs/>
          <w:color w:val="ff0000"/>
          <w:szCs w:val="21"/>
          <w:highlight w:val="none"/>
          <w:lang w:val="en-US" w:eastAsia="zh-CN"/>
        </w:rPr>
      </w:pPr>
      <w:r>
        <w:rPr>
          <w:rFonts w:hint="eastAsia" w:ascii="宋体" w:hAnsi="宋体" w:eastAsia="宋体" w:cs="宋体"/>
          <w:bCs/>
          <w:color w:val="ff0000"/>
          <w:szCs w:val="21"/>
          <w:highlight w:val="none"/>
        </w:rPr>
        <w:t xml:space="preserve">2</w:t>
      </w:r>
      <w:r>
        <w:rPr>
          <w:rFonts w:hint="eastAsia" w:ascii="宋体" w:hAnsi="宋体" w:eastAsia="宋体" w:cs="宋体"/>
          <w:bCs/>
          <w:color w:val="ff0000"/>
          <w:szCs w:val="21"/>
          <w:highlight w:val="none"/>
          <w:lang w:val="en-US" w:eastAsia="zh-CN"/>
        </w:rPr>
        <w:t xml:space="preserve">6</w:t>
      </w:r>
      <w:r>
        <w:rPr>
          <w:rFonts w:hint="eastAsia" w:ascii="宋体" w:hAnsi="宋体" w:eastAsia="宋体" w:cs="宋体"/>
          <w:bCs/>
          <w:color w:val="ff0000"/>
          <w:szCs w:val="21"/>
          <w:highlight w:val="none"/>
        </w:rPr>
        <w:t xml:space="preserve">.1.10</w:t>
      </w:r>
      <w:r>
        <w:rPr>
          <w:rFonts w:hint="eastAsia" w:ascii="宋体" w:hAnsi="宋体" w:eastAsia="宋体" w:cs="宋体"/>
          <w:bCs/>
          <w:color w:val="ff0000"/>
          <w:szCs w:val="21"/>
          <w:highlight w:val="none"/>
          <w:lang w:val="en-US" w:eastAsia="zh-CN"/>
        </w:rPr>
        <w:t xml:space="preserve">.3投标（响应）报价低于采购项目最高限价45%的，即投标（响应）报价&lt;采购项目最高限价×45%；</w:t>
      </w:r>
      <w:r/>
    </w:p>
    <w:p>
      <w:pPr>
        <w:ind w:firstLine="420"/>
        <w:spacing w:line="360" w:lineRule="auto"/>
        <w:rPr>
          <w:rFonts w:hint="eastAsia" w:ascii="宋体" w:hAnsi="宋体" w:eastAsia="宋体" w:cs="宋体"/>
          <w:bCs/>
          <w:color w:val="ff0000"/>
          <w:szCs w:val="21"/>
          <w:highlight w:val="none"/>
          <w:lang w:val="en-US" w:eastAsia="zh-CN"/>
        </w:rPr>
      </w:pPr>
      <w:r>
        <w:rPr>
          <w:rFonts w:hint="eastAsia" w:ascii="宋体" w:hAnsi="宋体" w:eastAsia="宋体" w:cs="宋体"/>
          <w:bCs/>
          <w:color w:val="ff0000"/>
          <w:szCs w:val="21"/>
          <w:highlight w:val="none"/>
        </w:rPr>
        <w:t xml:space="preserve">2</w:t>
      </w:r>
      <w:r>
        <w:rPr>
          <w:rFonts w:hint="eastAsia" w:ascii="宋体" w:hAnsi="宋体" w:eastAsia="宋体" w:cs="宋体"/>
          <w:bCs/>
          <w:color w:val="ff0000"/>
          <w:szCs w:val="21"/>
          <w:highlight w:val="none"/>
          <w:lang w:val="en-US" w:eastAsia="zh-CN"/>
        </w:rPr>
        <w:t xml:space="preserve">6</w:t>
      </w:r>
      <w:r>
        <w:rPr>
          <w:rFonts w:hint="eastAsia" w:ascii="宋体" w:hAnsi="宋体" w:eastAsia="宋体" w:cs="宋体"/>
          <w:bCs/>
          <w:color w:val="ff0000"/>
          <w:szCs w:val="21"/>
          <w:highlight w:val="none"/>
        </w:rPr>
        <w:t xml:space="preserve">.1.10</w:t>
      </w:r>
      <w:r>
        <w:rPr>
          <w:rFonts w:hint="eastAsia" w:ascii="宋体" w:hAnsi="宋体" w:eastAsia="宋体" w:cs="宋体"/>
          <w:bCs/>
          <w:color w:val="ff0000"/>
          <w:szCs w:val="21"/>
          <w:highlight w:val="none"/>
          <w:lang w:val="en-US" w:eastAsia="zh-CN"/>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bCs/>
          <w:color w:val="ff0000"/>
          <w:szCs w:val="21"/>
          <w:highlight w:val="none"/>
          <w:lang w:val="en-US" w:eastAsia="zh-CN"/>
        </w:rPr>
      </w:pPr>
      <w:r>
        <w:rPr>
          <w:rFonts w:hint="eastAsia" w:ascii="宋体" w:hAnsi="宋体" w:eastAsia="宋体" w:cs="宋体"/>
          <w:bCs/>
          <w:color w:val="ff0000"/>
          <w:szCs w:val="21"/>
          <w:highlight w:val="none"/>
        </w:rPr>
        <w:t xml:space="preserve">2</w:t>
      </w:r>
      <w:r>
        <w:rPr>
          <w:rFonts w:hint="eastAsia" w:ascii="宋体" w:hAnsi="宋体" w:eastAsia="宋体" w:cs="宋体"/>
          <w:bCs/>
          <w:color w:val="ff0000"/>
          <w:szCs w:val="21"/>
          <w:highlight w:val="none"/>
          <w:lang w:val="en-US" w:eastAsia="zh-CN"/>
        </w:rPr>
        <w:t xml:space="preserve">6</w:t>
      </w:r>
      <w:r>
        <w:rPr>
          <w:rFonts w:hint="eastAsia" w:ascii="宋体" w:hAnsi="宋体" w:eastAsia="宋体" w:cs="宋体"/>
          <w:bCs/>
          <w:color w:val="ff0000"/>
          <w:szCs w:val="21"/>
          <w:highlight w:val="none"/>
        </w:rPr>
        <w:t xml:space="preserve">.1.10</w:t>
      </w:r>
      <w:r>
        <w:rPr>
          <w:rFonts w:hint="eastAsia" w:ascii="宋体" w:hAnsi="宋体" w:eastAsia="宋体" w:cs="宋体"/>
          <w:bCs/>
          <w:color w:val="ff0000"/>
          <w:szCs w:val="21"/>
          <w:highlight w:val="none"/>
          <w:lang w:val="en-US" w:eastAsia="zh-CN"/>
        </w:rPr>
        <w:t xml:space="preserve">.5评审委员会启动异常低价投标（响应）审查后，属于前述</w:t>
      </w:r>
      <w:r>
        <w:rPr>
          <w:rFonts w:hint="eastAsia" w:ascii="宋体" w:hAnsi="宋体" w:cs="宋体"/>
          <w:bCs/>
          <w:color w:val="ff0000"/>
          <w:szCs w:val="21"/>
          <w:highlight w:val="none"/>
          <w:lang w:val="en-US" w:eastAsia="zh-CN"/>
        </w:rPr>
        <w:t xml:space="preserve">26.1.10.1</w:t>
      </w:r>
      <w:r>
        <w:rPr>
          <w:rFonts w:hint="eastAsia" w:ascii="宋体" w:hAnsi="宋体" w:eastAsia="宋体" w:cs="宋体"/>
          <w:bCs/>
          <w:color w:val="ff0000"/>
          <w:szCs w:val="21"/>
          <w:highlight w:val="none"/>
          <w:lang w:val="en-US" w:eastAsia="zh-CN"/>
        </w:rPr>
        <w:t xml:space="preserve">至第</w:t>
      </w:r>
      <w:r>
        <w:rPr>
          <w:rFonts w:hint="eastAsia" w:ascii="宋体" w:hAnsi="宋体" w:cs="宋体"/>
          <w:bCs/>
          <w:color w:val="ff0000"/>
          <w:szCs w:val="21"/>
          <w:highlight w:val="none"/>
          <w:lang w:val="en-US" w:eastAsia="zh-CN"/>
        </w:rPr>
        <w:t xml:space="preserve">26.1.10.</w:t>
      </w:r>
      <w:r>
        <w:rPr>
          <w:rFonts w:hint="eastAsia" w:ascii="宋体" w:hAnsi="宋体" w:eastAsia="宋体" w:cs="宋体"/>
          <w:bCs/>
          <w:color w:val="ff0000"/>
          <w:szCs w:val="21"/>
          <w:highlight w:val="none"/>
          <w:lang w:val="en-US" w:eastAsia="zh-CN"/>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p>
    <w:p>
      <w:pPr>
        <w:ind w:firstLine="420"/>
        <w:spacing w:line="360" w:lineRule="auto"/>
        <w:rPr>
          <w:rFonts w:hint="eastAsia" w:ascii="宋体" w:hAnsi="宋体" w:eastAsia="宋体" w:cs="宋体"/>
          <w:bCs/>
          <w:color w:val="ff0000"/>
          <w:szCs w:val="21"/>
          <w:highlight w:val="none"/>
        </w:rPr>
      </w:pPr>
      <w:r>
        <w:rPr>
          <w:rFonts w:hint="eastAsia" w:ascii="宋体" w:hAnsi="宋体" w:eastAsia="宋体" w:cs="宋体"/>
          <w:bCs/>
          <w:color w:val="ff0000"/>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26.1.11 本项目采购产品被财政部、国家发改委、生态环境部等列入“节能产品品目清单”强制采购范围，而投标人所投标产品不在强制采购范围内的。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26.1.12 投标文件未按照招标文件要求加盖电子签章。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26.1.13其他法律、法规及本招标文件规定的属无效投标的情形。</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26.2废标条款：</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26.2.3因重大变故，采购任务取消的。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26.2.4评委会认定招标文件存在歧义、重大缺陷导致评审工作无法进行。</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26.3 投标截止时间结束后参加投标的供应商不足三家的处理：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27、确定中标单位</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27.2 采购人应根据评委会推荐的中标候选人确定中标人。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27.3代理机构将在</w:t>
      </w:r>
      <w:r>
        <w:rPr>
          <w:rFonts w:hint="eastAsia" w:ascii="宋体" w:hAnsi="宋体" w:eastAsia="宋体" w:cs="宋体"/>
          <w:bCs/>
          <w:highlight w:val="none"/>
          <w:lang w:eastAsia="zh-CN"/>
        </w:rPr>
        <w:t xml:space="preserve">“江苏政府采购网”、“扬州市政府采购网”</w:t>
      </w:r>
      <w:r>
        <w:rPr>
          <w:rFonts w:hint="eastAsia" w:ascii="宋体" w:hAnsi="宋体" w:eastAsia="宋体" w:cs="宋体"/>
          <w:bCs/>
          <w:szCs w:val="21"/>
          <w:highlight w:val="none"/>
        </w:rPr>
        <w:t xml:space="preserve">发布中标公告，公告期限为1个工作日。</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27.4.1提供虚假材料谋取中标的；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27.4.2向采购人、代理机构行贿或者提供其他不正当利益的；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27.4.5与采购人或者其他投标人恶意串通的；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27.4.6采取不正当手段诋毁、排挤其他供应商的；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27.4.7不符合法律、法规的规定的。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27.5. 有下列情形之一的，视为投标人串通投标，投标无效：</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27.5.1不同投标人的投标文件由同一单位或者个人编制。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27.5.2不同投标人委托同一单位或者个人办理投标事宜。</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27.5.5不同投标人的投标文件相互混装。</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28、质疑处理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28.1提出质疑的供应商应当是参与所质疑项目采购活动的供应商。潜在供应商依法获取其可质疑的采购文件的，可以对采购文件提出质疑。</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对项目需求部分的质疑，潜在供应商应向采购人提出，由采购人负责答复。</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bCs/>
          <w:szCs w:val="21"/>
          <w:highlight w:val="none"/>
        </w:rPr>
        <w:br w:type="textWrapping" w:clear="all"/>
      </w:r>
      <w:r>
        <w:rPr>
          <w:rFonts w:hint="eastAsia" w:ascii="宋体" w:hAnsi="宋体" w:eastAsia="宋体" w:cs="宋体"/>
          <w:bCs/>
          <w:szCs w:val="21"/>
          <w:highlight w:val="none"/>
        </w:rPr>
        <w:t xml:space="preserve">    28.2.2对采购过程提出质疑的，为各采购程序环节结束之日起7个工作日内提出。</w:t>
      </w:r>
      <w:r>
        <w:rPr>
          <w:rFonts w:hint="eastAsia" w:ascii="宋体" w:hAnsi="宋体" w:eastAsia="宋体" w:cs="宋体"/>
          <w:bCs/>
          <w:szCs w:val="21"/>
          <w:highlight w:val="none"/>
        </w:rPr>
        <w:br w:type="textWrapping" w:clear="all"/>
      </w:r>
      <w:r>
        <w:rPr>
          <w:rFonts w:hint="eastAsia" w:ascii="宋体" w:hAnsi="宋体" w:eastAsia="宋体" w:cs="宋体"/>
          <w:bCs/>
          <w:szCs w:val="21"/>
          <w:highlight w:val="none"/>
        </w:rPr>
        <w:t xml:space="preserve">    28.2.3对中标结果提出质疑的，为中标结果公告期限届满之日起7个工作日内提出。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28.5 代理机构及采购人只接收以纸质原件形式送达的质疑。</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采购人质疑接收人及联系方式见招标文件第一章。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28.8 以下情形的质疑不予受理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28.8.1 内容不符合《政府采购质疑和投诉办法》第十二条规定的质疑。</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28.8.2 超出政府采购法定期限的质疑。</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28.8.3 以传真、电子邮件等方式递交的非原件形式的质疑。</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29、中标通知书</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29.l 中标结果确定后，代理机构将向中标人发出中标通知书。</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30、 签订合同</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30.l中标人应在中标通知书发出之日起</w:t>
      </w:r>
      <w:r>
        <w:rPr>
          <w:rFonts w:hint="eastAsia" w:ascii="宋体" w:hAnsi="宋体" w:cs="宋体"/>
          <w:bCs/>
          <w:szCs w:val="21"/>
          <w:highlight w:val="none"/>
          <w:lang w:val="en-US" w:eastAsia="zh-CN"/>
        </w:rPr>
        <w:t xml:space="preserve">三十</w:t>
      </w:r>
      <w:r>
        <w:rPr>
          <w:rFonts w:hint="eastAsia" w:ascii="宋体" w:hAnsi="宋体" w:eastAsia="宋体" w:cs="宋体"/>
          <w:bCs/>
          <w:szCs w:val="21"/>
          <w:highlight w:val="none"/>
        </w:rPr>
        <w:t xml:space="preserve">日内，按照招标文件确定的事项与采购人签订政府采购合同。</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30.3 合同在“政府采购管理交易系统（苏采云）”中签订，签订合同后，</w:t>
      </w:r>
      <w:r>
        <w:rPr>
          <w:rFonts w:hint="eastAsia" w:ascii="宋体" w:hAnsi="宋体" w:eastAsia="宋体" w:cs="宋体"/>
          <w:bCs/>
          <w:i/>
          <w:iCs/>
          <w:szCs w:val="21"/>
          <w:highlight w:val="none"/>
          <w:u w:val="single"/>
        </w:rPr>
        <w:t xml:space="preserve">中标人不得将货物或服务及其他服务进行转包</w:t>
      </w:r>
      <w:r>
        <w:rPr>
          <w:rFonts w:hint="eastAsia" w:ascii="宋体" w:hAnsi="宋体" w:eastAsia="宋体" w:cs="宋体"/>
          <w:bCs/>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31、电子投标文件要求</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31.1</w:t>
      </w:r>
      <w:r>
        <w:rPr>
          <w:rFonts w:hint="eastAsia" w:ascii="宋体" w:hAnsi="宋体" w:eastAsia="宋体" w:cs="宋体"/>
          <w:b/>
          <w:bCs/>
          <w:szCs w:val="21"/>
          <w:highlight w:val="none"/>
        </w:rPr>
        <w:t xml:space="preserve">政府采购管理交易系统（苏采云）</w:t>
      </w:r>
      <w:r>
        <w:rPr>
          <w:rFonts w:hint="eastAsia" w:ascii="宋体" w:hAnsi="宋体" w:eastAsia="宋体" w:cs="宋体"/>
          <w:b/>
          <w:szCs w:val="21"/>
          <w:highlight w:val="none"/>
        </w:rPr>
        <w:t xml:space="preserve">相关要求是本招标文件的组成部分。</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31.2投标人应对 CA 证书妥善保管，如被他人盗用投标，因此带来的结果均由投标人自行承担。</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31.3投标人应当对招标文件提出的要求和条件作出实质性响应，并在电子投标系统逐条应答。</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31.4投标人应对要求提供的资格证明文件（如资质证书、资格证书）、技术资料（如白皮书、彩页、手册、检测报告等）扫描上传至投标系统。</w:t>
      </w:r>
      <w:r/>
    </w:p>
    <w:p>
      <w:pPr>
        <w:numPr>
          <w:ilvl w:val="0"/>
          <w:numId w:val="2"/>
        </w:num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提交投标文件的截止时间（投标截止时间）</w:t>
      </w:r>
      <w:r/>
    </w:p>
    <w:p>
      <w:pPr>
        <w:ind w:firstLine="422"/>
        <w:jc w:val="left"/>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32.1投标人应当在招标文件要求提交投标文件的截止时间前，将投标文件提交至“苏采云”系统，逾期提交的投标文件，“苏采云”系统将自动拒收。</w:t>
      </w:r>
      <w:r/>
    </w:p>
    <w:p>
      <w:pPr>
        <w:ind w:firstLine="422"/>
        <w:jc w:val="left"/>
        <w:spacing w:line="360" w:lineRule="auto"/>
        <w:rPr>
          <w:rFonts w:hint="eastAsia" w:ascii="宋体" w:hAnsi="宋体" w:eastAsia="宋体" w:cs="宋体"/>
          <w:highlight w:val="none"/>
        </w:rPr>
      </w:pPr>
      <w:r>
        <w:rPr>
          <w:rFonts w:hint="eastAsia" w:ascii="宋体" w:hAnsi="宋体" w:eastAsia="宋体" w:cs="宋体"/>
          <w:b/>
          <w:szCs w:val="21"/>
          <w:highlight w:val="none"/>
        </w:rPr>
        <w:t xml:space="preserve">32.2各投标人应在规定时间内凭CA证书进行网上解密。</w:t>
      </w:r>
      <w:r/>
    </w:p>
    <w:p>
      <w:pPr>
        <w:ind w:firstLine="422"/>
        <w:jc w:val="left"/>
        <w:spacing w:line="360" w:lineRule="auto"/>
        <w:rPr>
          <w:rFonts w:hint="eastAsia" w:ascii="宋体" w:hAnsi="宋体" w:eastAsia="宋体" w:cs="宋体"/>
          <w:bCs/>
          <w:szCs w:val="21"/>
          <w:highlight w:val="none"/>
        </w:rPr>
      </w:pPr>
      <w:r>
        <w:rPr>
          <w:rFonts w:hint="eastAsia" w:ascii="宋体" w:hAnsi="宋体" w:eastAsia="宋体" w:cs="宋体"/>
          <w:b/>
          <w:bCs/>
          <w:highlight w:val="none"/>
        </w:rPr>
        <w:t xml:space="preserve">33、其他</w:t>
      </w:r>
      <w:r>
        <w:rPr>
          <w:rFonts w:hint="eastAsia" w:ascii="宋体" w:hAnsi="宋体" w:eastAsia="宋体" w:cs="宋体"/>
          <w:highlight w:val="none"/>
        </w:rPr>
        <w:br w:type="textWrapping" w:clear="all"/>
      </w:r>
      <w:r>
        <w:rPr>
          <w:rFonts w:hint="eastAsia" w:ascii="宋体" w:hAnsi="宋体" w:eastAsia="宋体" w:cs="宋体"/>
          <w:highlight w:val="none"/>
        </w:rPr>
        <w:t xml:space="preserve">    33.1 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hint="eastAsia" w:ascii="宋体" w:hAnsi="宋体" w:eastAsia="宋体" w:cs="宋体"/>
          <w:highlight w:val="none"/>
        </w:rPr>
      </w:pPr>
      <w:r>
        <w:rPr>
          <w:rFonts w:hint="eastAsia" w:ascii="宋体" w:hAnsi="宋体" w:eastAsia="宋体" w:cs="宋体"/>
          <w:bCs/>
          <w:szCs w:val="21"/>
          <w:highlight w:val="none"/>
        </w:rPr>
        <w:br w:type="page" w:clear="all"/>
      </w:r>
      <w:r/>
    </w:p>
    <w:p>
      <w:pPr>
        <w:pStyle w:val="694"/>
        <w:jc w:val="center"/>
        <w:spacing w:line="360" w:lineRule="auto"/>
        <w:rPr>
          <w:rFonts w:hint="eastAsia" w:ascii="宋体" w:hAnsi="宋体" w:eastAsia="宋体" w:cs="宋体"/>
          <w:sz w:val="40"/>
          <w:szCs w:val="32"/>
          <w:highlight w:val="none"/>
          <w:lang w:eastAsia="zh-CN"/>
        </w:rPr>
      </w:pPr>
      <w:r/>
      <w:bookmarkStart w:id="55" w:name="_Toc55204179"/>
      <w:r/>
      <w:bookmarkStart w:id="56" w:name="_Toc191970191"/>
      <w:r/>
      <w:bookmarkStart w:id="57" w:name="_Hlk69392822"/>
      <w:r>
        <w:rPr>
          <w:rFonts w:hint="eastAsia" w:ascii="宋体" w:hAnsi="宋体" w:eastAsia="宋体" w:cs="宋体"/>
          <w:sz w:val="40"/>
          <w:szCs w:val="32"/>
          <w:highlight w:val="none"/>
          <w:lang w:eastAsia="zh-CN"/>
        </w:rPr>
        <w:t xml:space="preserve">第三章 合同条款及格式</w:t>
      </w:r>
      <w:bookmarkEnd w:id="55"/>
      <w:r/>
      <w:bookmarkEnd w:id="56"/>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以下为中标后签定本项目合同的通用条款，中标人不得提出实质性的修改，关于专用条款将由采购人与中标人结合本项目具体情况协商后签订。</w:t>
      </w:r>
      <w:r/>
    </w:p>
    <w:p>
      <w:pPr>
        <w:pStyle w:val="907"/>
        <w:ind w:firstLine="422"/>
        <w:jc w:val="center"/>
        <w:spacing w:before="120" w:after="120"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扬州市政府采购合同（货物)（合同编号）（包号）</w:t>
      </w:r>
      <w:r/>
    </w:p>
    <w:p>
      <w:pPr>
        <w:pStyle w:val="907"/>
        <w:ind w:firstLine="420"/>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项目名称：</w:t>
      </w:r>
      <w:r>
        <w:rPr>
          <w:rFonts w:hint="eastAsia" w:ascii="宋体" w:hAnsi="宋体" w:eastAsia="宋体" w:cs="宋体"/>
          <w:color w:val="000000"/>
          <w:sz w:val="21"/>
          <w:highlight w:val="none"/>
          <w:lang w:eastAsia="zh-CN"/>
        </w:rPr>
        <w:t xml:space="preserve">扬州市公安局2026年物证检验试剂耗材项目</w:t>
      </w:r>
      <w:r>
        <w:rPr>
          <w:rFonts w:hint="eastAsia" w:ascii="宋体" w:hAnsi="宋体" w:eastAsia="宋体" w:cs="宋体"/>
          <w:color w:val="000000"/>
          <w:sz w:val="21"/>
          <w:highlight w:val="none"/>
        </w:rPr>
        <w:t xml:space="preserve">         </w:t>
      </w:r>
      <w:r/>
    </w:p>
    <w:p>
      <w:pPr>
        <w:pStyle w:val="907"/>
        <w:ind w:firstLine="420"/>
        <w:spacing w:before="120" w:after="120"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rPr>
        <w:t xml:space="preserve">项目编号：</w:t>
      </w:r>
      <w:r>
        <w:rPr>
          <w:rFonts w:hint="eastAsia" w:hAnsi="宋体" w:cs="宋体"/>
          <w:color w:val="000000"/>
          <w:sz w:val="21"/>
          <w:highlight w:val="none"/>
          <w:lang w:eastAsia="zh-CN"/>
        </w:rPr>
        <w:t xml:space="preserve">JSZC-321000-ZYCG-G2026-0016</w:t>
      </w:r>
      <w:r/>
    </w:p>
    <w:p>
      <w:pPr>
        <w:pStyle w:val="907"/>
        <w:ind w:firstLine="420"/>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甲方：（买方）扬州市公安局</w:t>
      </w:r>
      <w:r/>
    </w:p>
    <w:p>
      <w:pPr>
        <w:pStyle w:val="907"/>
        <w:ind w:firstLine="420"/>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乙方：（卖方）_________</w:t>
      </w:r>
      <w:r/>
    </w:p>
    <w:p>
      <w:pPr>
        <w:pStyle w:val="907"/>
        <w:ind w:firstLine="420"/>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甲、乙双方根据</w:t>
      </w:r>
      <w:r>
        <w:rPr>
          <w:rFonts w:hint="eastAsia" w:ascii="宋体" w:hAnsi="宋体" w:eastAsia="宋体" w:cs="宋体"/>
          <w:color w:val="000000"/>
          <w:sz w:val="21"/>
          <w:highlight w:val="none"/>
          <w:lang w:eastAsia="zh-CN"/>
        </w:rPr>
        <w:t xml:space="preserve">扬州筑苑工程招标咨询有限公司</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项目公开招标的结果，签署本合同。</w:t>
      </w:r>
      <w:r/>
    </w:p>
    <w:p>
      <w:pPr>
        <w:pStyle w:val="907"/>
        <w:ind w:firstLine="422"/>
        <w:spacing w:before="120" w:after="120"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一、</w:t>
      </w:r>
      <w:r>
        <w:rPr>
          <w:rFonts w:hint="eastAsia" w:ascii="宋体" w:hAnsi="宋体" w:eastAsia="宋体" w:cs="宋体"/>
          <w:b/>
          <w:bCs/>
          <w:sz w:val="21"/>
          <w:highlight w:val="none"/>
        </w:rPr>
        <w:t xml:space="preserve">货物及伴随服务</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1.1 货物及服务名称：</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1.2 型号规格：</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1.3 数量（单位）</w:t>
      </w:r>
      <w:r/>
    </w:p>
    <w:p>
      <w:pPr>
        <w:pStyle w:val="907"/>
        <w:ind w:firstLine="422"/>
        <w:spacing w:before="120" w:after="120"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二、合同金额</w:t>
      </w:r>
      <w:r/>
    </w:p>
    <w:p>
      <w:pPr>
        <w:pStyle w:val="907"/>
        <w:ind w:firstLine="420"/>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2.1 本合同金额为（大写）：_________________圆（_______________元）人民币。</w:t>
      </w:r>
      <w:r/>
    </w:p>
    <w:p>
      <w:pPr>
        <w:pStyle w:val="907"/>
        <w:ind w:firstLine="422"/>
        <w:spacing w:before="120" w:after="120"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三、技术资料</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3.1乙方应按招标文件规定的时间向甲方提供使用货物及服务的有关技术资料。</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07"/>
        <w:ind w:firstLine="422"/>
        <w:spacing w:before="120" w:after="120"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四、知识产权</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07"/>
        <w:ind w:firstLine="422"/>
        <w:spacing w:before="120" w:after="120"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五、产权担保</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5.1 乙方保证所交付的货物及服务的所有权完全属于乙方且无任何抵押、查封等产权瑕疵。</w:t>
      </w:r>
      <w:r/>
    </w:p>
    <w:p>
      <w:pPr>
        <w:pStyle w:val="907"/>
        <w:ind w:firstLine="422"/>
        <w:spacing w:before="120" w:after="120"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六、履约保证金</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6.4 履约保证金收取：</w:t>
      </w:r>
      <w:r>
        <w:rPr>
          <w:rFonts w:hint="eastAsia" w:ascii="宋体" w:hAnsi="宋体" w:eastAsia="宋体" w:cs="宋体"/>
          <w:sz w:val="21"/>
          <w:highlight w:val="none"/>
          <w:u w:val="single"/>
        </w:rPr>
        <w:t xml:space="preserve">无</w:t>
      </w:r>
      <w:r/>
    </w:p>
    <w:p>
      <w:pPr>
        <w:pStyle w:val="907"/>
        <w:ind w:firstLine="422"/>
        <w:spacing w:before="120" w:after="120"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七、转包或分包</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7.1本合同范围的货物及服务，应由乙方直接供应，不得转让他人供应；</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7.2 除非得到甲方的书面同意，乙方不得部分分包给他人供应。</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7.3如有转让和未经甲方同意的分包行为，甲方有权给予终止合同。</w:t>
      </w:r>
      <w:r/>
    </w:p>
    <w:p>
      <w:pPr>
        <w:pStyle w:val="722"/>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八、质保期</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8.1 质保期</w:t>
      </w:r>
      <w:r>
        <w:rPr>
          <w:rFonts w:hint="eastAsia" w:ascii="宋体" w:hAnsi="宋体" w:eastAsia="宋体" w:cs="宋体"/>
          <w:sz w:val="21"/>
          <w:highlight w:val="none"/>
          <w:u w:val="single"/>
        </w:rPr>
        <w:t xml:space="preserve">   1   </w:t>
      </w:r>
      <w:r>
        <w:rPr>
          <w:rFonts w:hint="eastAsia" w:ascii="宋体" w:hAnsi="宋体" w:eastAsia="宋体" w:cs="宋体"/>
          <w:sz w:val="21"/>
          <w:highlight w:val="none"/>
        </w:rPr>
        <w:t xml:space="preserve">年。（自交货验收合格之日起计）</w:t>
      </w:r>
      <w:r/>
    </w:p>
    <w:p>
      <w:pPr>
        <w:pStyle w:val="907"/>
        <w:ind w:firstLine="422"/>
        <w:spacing w:before="120" w:after="120"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九、交付期、交付方式及交付地点</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9.1 交付期：</w:t>
      </w:r>
      <w:r>
        <w:rPr>
          <w:rFonts w:hint="eastAsia" w:ascii="宋体" w:hAnsi="宋体" w:eastAsia="宋体" w:cs="宋体"/>
          <w:sz w:val="21"/>
          <w:highlight w:val="none"/>
          <w:u w:val="single"/>
        </w:rPr>
        <w:t xml:space="preserve">                 </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9.2 交付方式：</w:t>
      </w:r>
      <w:r>
        <w:rPr>
          <w:rFonts w:hint="eastAsia" w:ascii="宋体" w:hAnsi="宋体" w:eastAsia="宋体" w:cs="宋体"/>
          <w:bCs/>
          <w:sz w:val="21"/>
          <w:highlight w:val="none"/>
          <w:u w:val="single"/>
        </w:rPr>
        <w:t xml:space="preserve">               </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9.3 交付地点：</w:t>
      </w:r>
      <w:r>
        <w:rPr>
          <w:rFonts w:hint="eastAsia" w:ascii="宋体" w:hAnsi="宋体" w:eastAsia="宋体" w:cs="宋体"/>
          <w:bCs/>
          <w:sz w:val="21"/>
          <w:highlight w:val="none"/>
          <w:u w:val="single"/>
        </w:rPr>
        <w:t xml:space="preserve">                </w:t>
      </w:r>
      <w:r/>
    </w:p>
    <w:p>
      <w:pPr>
        <w:pStyle w:val="907"/>
        <w:ind w:firstLine="422"/>
        <w:spacing w:before="120" w:after="120"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十、货款支付</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10.1 本合同项下所有款项均以人民币支付。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10.2 本合同项下的采购资金由甲方支付，付款前乙方向甲方开具发票。</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10.3 甲方付款方式：</w:t>
      </w:r>
      <w:r>
        <w:rPr>
          <w:rFonts w:hint="eastAsia" w:ascii="宋体" w:hAnsi="宋体" w:cs="宋体"/>
          <w:szCs w:val="21"/>
          <w:highlight w:val="none"/>
          <w:lang w:eastAsia="zh-CN"/>
        </w:rPr>
        <w:t xml:space="preserve">合同签订后，乙方向甲方开具发票，甲方自收到发票之日起15日内支付合同总价30%的预付款；全部供货完成且经验收合格后，乙方向甲方开具发票，甲方自收到发票之日起15日内支付尾款。</w:t>
      </w:r>
      <w:r/>
    </w:p>
    <w:p>
      <w:pPr>
        <w:pStyle w:val="907"/>
        <w:ind w:firstLine="422"/>
        <w:spacing w:before="120" w:after="120"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十一、税费</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11.1本合同执行中相关的一切税费均由乙方负担。</w:t>
      </w:r>
      <w:r/>
    </w:p>
    <w:p>
      <w:pPr>
        <w:pStyle w:val="907"/>
        <w:ind w:firstLine="422"/>
        <w:spacing w:before="120" w:after="120"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十二、质量保证及售后服务</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12.1 乙方应按招标文件规定的货物及服务性能、技术要求、质量标准向甲方提供。</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⑴更换：由乙方承担所发生的全部费用。</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⑵贬值处理：由甲乙双方合议定价。</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⑶退还处理：乙方应退还甲方支付的合同款，同时应承担该货物及服务的直接费用（运输、保险、检验、款项利息及银行手续费等）。</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12.3 如在使用过程中发生质量问题，乙方在接到甲方通知后在</w:t>
      </w:r>
      <w:r>
        <w:rPr>
          <w:rFonts w:hint="eastAsia" w:ascii="宋体" w:hAnsi="宋体" w:eastAsia="宋体" w:cs="宋体"/>
          <w:sz w:val="21"/>
          <w:highlight w:val="none"/>
          <w:u w:val="single"/>
        </w:rPr>
        <w:t xml:space="preserve">1</w:t>
      </w:r>
      <w:r>
        <w:rPr>
          <w:rFonts w:hint="eastAsia" w:ascii="宋体" w:hAnsi="宋体" w:eastAsia="宋体" w:cs="宋体"/>
          <w:sz w:val="21"/>
          <w:highlight w:val="none"/>
        </w:rPr>
        <w:t xml:space="preserve">小时内到达甲方现场。</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12.4 在质保期内，乙方应对货物及服务出现的质量及安全问题负责处理解决并承担一切费用。</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12.5上述的货物及服务免费保修期为 </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年，因人为因素出现的故障不在免费保修范围内。超过保修期的机器设备，终身维修，维修时只收部件成本费。</w:t>
      </w:r>
      <w:r/>
    </w:p>
    <w:p>
      <w:pPr>
        <w:pStyle w:val="722"/>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十三、调试和验收</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13.4 对技术复杂的货物及服务，甲方可请国家认可的专业检测机构参与初步验收及最终验收，并由其出具质量检测报告。</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13.5 验收时乙方必须在现场，验收完毕后作出验收结果报告；验收费用由甲乙双方协商解决。</w:t>
      </w:r>
      <w:r/>
    </w:p>
    <w:p>
      <w:pPr>
        <w:pStyle w:val="722"/>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十四、货物及服务包装、发运及运输</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14.1 乙方应在货物及服务发运前对其进行满足运输距离、防潮、防震、防锈和防破损装卸等要求包装，以保证货物及服务安全运达甲方指定地点。</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14.2 使用说明书、质量检验证明书、随配附件和工具以及清单一并交付甲方。</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14.3 乙方在货物及服务发运手续办理完毕后24小时内或交付到甲方48小时前通知甲方，以准备接受交付。</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14.4 货物在交付甲方前发生的风险均由乙方负责。</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14.5 货物及服务在规定的交付期限内由乙方送达甲方指定的地点视为交付，乙方同时需通知甲方货物及服务已送达。</w:t>
      </w:r>
      <w:r/>
    </w:p>
    <w:p>
      <w:pPr>
        <w:pStyle w:val="907"/>
        <w:ind w:firstLine="422"/>
        <w:spacing w:before="120" w:after="120"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十五、违约责任</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15.1 甲方无正当理由拒收货物及服务的，甲方向乙方偿付拒收款项总值的百分之五违约金。</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15.2 甲方无故逾期验收和办理款项支付手续的,甲方应按逾期付款总额每日万分之五向乙方支付违约金。</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07"/>
        <w:ind w:firstLine="422"/>
        <w:spacing w:before="120" w:after="120"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十六、不可抗力事件处理</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16.1 在合同有效期内，任何一方因不可抗力事件导致不能履行合同，则合同履行期可延长，其延长期与不可抗力影响期相同。</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16.2 不可抗力事件发生后，应立即通知对方，并寄送有关权威机构出具的证明。</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16.3 不可抗力事件延续120天以上，双方应通过友好协商，确定是否继续履行合同。</w:t>
      </w:r>
      <w:r/>
    </w:p>
    <w:p>
      <w:pPr>
        <w:pStyle w:val="907"/>
        <w:ind w:firstLine="422"/>
        <w:spacing w:before="120" w:after="120"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十七、诉讼</w:t>
      </w:r>
      <w:r/>
    </w:p>
    <w:p>
      <w:pPr>
        <w:pStyle w:val="722"/>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十八、</w:t>
      </w:r>
      <w:r>
        <w:rPr>
          <w:rFonts w:hint="eastAsia" w:ascii="宋体" w:hAnsi="宋体" w:eastAsia="宋体" w:cs="宋体"/>
          <w:bCs/>
          <w:color w:val="000000"/>
          <w:highlight w:val="none"/>
        </w:rPr>
        <w:t xml:space="preserve">为落实好政府采购履约资金扶持政策，乙方可凭政府采购合同办理融资贷款，详见江苏政府采购网“政采贷”专栏。</w:t>
      </w:r>
      <w:r/>
    </w:p>
    <w:p>
      <w:pPr>
        <w:pStyle w:val="907"/>
        <w:ind w:firstLine="422"/>
        <w:spacing w:before="120" w:after="120"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十九、合同生效及其它</w:t>
      </w:r>
      <w:r/>
    </w:p>
    <w:p>
      <w:pPr>
        <w:pStyle w:val="907"/>
        <w:ind w:firstLine="420"/>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19.1 合同经双方法定代表人或授权委托代表人签字并加盖单位公章后生效。</w:t>
      </w:r>
      <w:r/>
    </w:p>
    <w:p>
      <w:pPr>
        <w:pStyle w:val="907"/>
        <w:ind w:firstLine="420"/>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19.2本合同未尽事宜，遵照</w:t>
      </w:r>
      <w:r>
        <w:rPr>
          <w:rFonts w:hint="eastAsia" w:ascii="宋体" w:hAnsi="宋体" w:eastAsia="宋体" w:cs="宋体"/>
          <w:color w:val="000000"/>
          <w:sz w:val="21"/>
          <w:highlight w:val="none"/>
          <w:lang w:eastAsia="zh-CN"/>
        </w:rPr>
        <w:t xml:space="preserve">《中华人民共和国民法典》</w:t>
      </w:r>
      <w:r>
        <w:rPr>
          <w:rFonts w:hint="eastAsia" w:ascii="宋体" w:hAnsi="宋体" w:eastAsia="宋体" w:cs="宋体"/>
          <w:color w:val="000000"/>
          <w:sz w:val="21"/>
          <w:highlight w:val="none"/>
        </w:rPr>
        <w:t xml:space="preserve">有关条文执行。</w:t>
      </w:r>
      <w:r/>
    </w:p>
    <w:p>
      <w:pPr>
        <w:pStyle w:val="907"/>
        <w:ind w:firstLine="420"/>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19.3 本合同正本一式四份，具有同等法律效力，甲方、乙方各执</w:t>
      </w:r>
      <w:r>
        <w:rPr>
          <w:rFonts w:hint="eastAsia" w:ascii="宋体" w:hAnsi="宋体" w:eastAsia="宋体" w:cs="宋体"/>
          <w:color w:val="000000"/>
          <w:sz w:val="21"/>
          <w:highlight w:val="none"/>
          <w:lang w:val="en-US" w:eastAsia="zh-CN"/>
        </w:rPr>
        <w:t xml:space="preserve">二</w:t>
      </w:r>
      <w:r>
        <w:rPr>
          <w:rFonts w:hint="eastAsia" w:ascii="宋体" w:hAnsi="宋体" w:eastAsia="宋体" w:cs="宋体"/>
          <w:color w:val="000000"/>
          <w:sz w:val="21"/>
          <w:highlight w:val="none"/>
        </w:rPr>
        <w:t xml:space="preserve">份。  </w:t>
      </w:r>
      <w:r/>
    </w:p>
    <w:p>
      <w:pPr>
        <w:pStyle w:val="907"/>
        <w:ind w:firstLine="420"/>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0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652"/>
        <w:tblW w:w="8522" w:type="dxa"/>
        <w:tblInd w:w="-81"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甲方： 扬州市公安局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日期：      年    月    日</w:t>
            </w:r>
            <w:r/>
          </w:p>
        </w:tc>
      </w:tr>
    </w:tbl>
    <w:p>
      <w:pPr>
        <w:pStyle w:val="907"/>
        <w:ind w:firstLine="420"/>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07"/>
        <w:ind w:firstLine="420"/>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0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0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0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0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0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0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0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0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0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0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07"/>
        <w:spacing w:before="120" w:after="12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bookmarkEnd w:id="57"/>
      <w:r/>
    </w:p>
    <w:p>
      <w:pPr>
        <w:pStyle w:val="694"/>
        <w:jc w:val="center"/>
        <w:spacing w:line="360" w:lineRule="auto"/>
        <w:rPr>
          <w:rFonts w:hint="eastAsia" w:ascii="宋体" w:hAnsi="宋体" w:eastAsia="宋体" w:cs="宋体"/>
          <w:sz w:val="40"/>
          <w:szCs w:val="32"/>
          <w:highlight w:val="none"/>
          <w:lang w:eastAsia="zh-CN"/>
        </w:rPr>
      </w:pPr>
      <w:r/>
      <w:bookmarkStart w:id="58" w:name="_Toc191970192"/>
      <w:r>
        <w:rPr>
          <w:rFonts w:hint="eastAsia" w:ascii="宋体" w:hAnsi="宋体" w:eastAsia="宋体" w:cs="宋体"/>
          <w:sz w:val="40"/>
          <w:szCs w:val="32"/>
          <w:highlight w:val="none"/>
          <w:lang w:val="en-US" w:eastAsia="zh-CN"/>
        </w:rPr>
        <w:t xml:space="preserve">第四章 </w:t>
      </w:r>
      <w:r>
        <w:rPr>
          <w:rFonts w:hint="eastAsia" w:ascii="宋体" w:hAnsi="宋体" w:eastAsia="宋体" w:cs="宋体"/>
          <w:sz w:val="40"/>
          <w:szCs w:val="32"/>
          <w:highlight w:val="none"/>
          <w:lang w:eastAsia="zh-CN"/>
        </w:rPr>
        <w:t xml:space="preserve">项目需求</w:t>
      </w:r>
      <w:bookmarkEnd w:id="58"/>
      <w:r/>
      <w:r/>
    </w:p>
    <w:p>
      <w:pPr>
        <w:ind w:firstLine="422"/>
        <w:spacing w:line="360" w:lineRule="auto"/>
        <w:rPr>
          <w:rFonts w:hint="eastAsia" w:ascii="宋体" w:hAnsi="宋体" w:eastAsia="宋体" w:cs="宋体"/>
          <w:spacing w:val="3"/>
          <w:szCs w:val="21"/>
          <w:highlight w:val="none"/>
        </w:rPr>
      </w:pPr>
      <w:r>
        <w:rPr>
          <w:rFonts w:hint="eastAsia" w:ascii="宋体" w:hAnsi="宋体" w:eastAsia="宋体" w:cs="宋体"/>
          <w:b/>
          <w:bCs/>
          <w:color w:val="000000"/>
          <w:highlight w:val="none"/>
        </w:rPr>
        <w:t xml:space="preserve">注： 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spacing w:line="440" w:lineRule="exact"/>
        <w:rPr>
          <w:rFonts w:hint="eastAsia" w:ascii="宋体" w:hAnsi="宋体" w:eastAsia="宋体" w:cs="宋体"/>
          <w:b/>
          <w:bCs/>
          <w:spacing w:val="3"/>
          <w:szCs w:val="21"/>
          <w:highlight w:val="none"/>
        </w:rPr>
      </w:pPr>
      <w:r>
        <w:rPr>
          <w:rFonts w:hint="eastAsia" w:ascii="宋体" w:hAnsi="宋体" w:eastAsia="宋体" w:cs="宋体"/>
          <w:b/>
          <w:bCs/>
          <w:spacing w:val="3"/>
          <w:szCs w:val="21"/>
          <w:highlight w:val="none"/>
        </w:rPr>
        <w:t xml:space="preserve">一、项目属性:货物类项目</w:t>
      </w:r>
      <w:r/>
    </w:p>
    <w:p>
      <w:pPr>
        <w:ind w:firstLine="432"/>
        <w:spacing w:line="440" w:lineRule="exact"/>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核心产品</w:t>
      </w:r>
      <w:r/>
    </w:p>
    <w:tbl>
      <w:tblPr>
        <w:tblStyle w:val="652"/>
        <w:tblW w:w="7630" w:type="dxa"/>
        <w:tblInd w:w="3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00"/>
        <w:gridCol w:w="4830"/>
      </w:tblGrid>
      <w:tr>
        <w:trPr/>
        <w:tc>
          <w:tcPr>
            <w:tcMar>
              <w:left w:w="108" w:type="dxa"/>
              <w:top w:w="0" w:type="dxa"/>
              <w:right w:w="108" w:type="dxa"/>
              <w:bottom w:w="0" w:type="dxa"/>
            </w:tcMar>
            <w:tcW w:w="2800" w:type="dxa"/>
            <w:vAlign w:val="center"/>
            <w:textDirection w:val="lrTb"/>
            <w:noWrap w:val="false"/>
          </w:tcPr>
          <w:p>
            <w:pPr>
              <w:ind w:firstLine="432"/>
              <w:jc w:val="center"/>
              <w:spacing w:line="440" w:lineRule="exact"/>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采购包号</w:t>
            </w:r>
            <w:r/>
          </w:p>
        </w:tc>
        <w:tc>
          <w:tcPr>
            <w:tcMar>
              <w:left w:w="108" w:type="dxa"/>
              <w:top w:w="0" w:type="dxa"/>
              <w:right w:w="108" w:type="dxa"/>
              <w:bottom w:w="0" w:type="dxa"/>
            </w:tcMar>
            <w:tcW w:w="4830" w:type="dxa"/>
            <w:vAlign w:val="center"/>
            <w:textDirection w:val="lrTb"/>
            <w:noWrap w:val="false"/>
          </w:tcPr>
          <w:p>
            <w:pPr>
              <w:ind w:firstLine="432"/>
              <w:jc w:val="center"/>
              <w:spacing w:line="440" w:lineRule="exact"/>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核心产品</w:t>
            </w:r>
            <w:r/>
          </w:p>
        </w:tc>
      </w:tr>
      <w:tr>
        <w:trPr/>
        <w:tc>
          <w:tcPr>
            <w:tcMar>
              <w:left w:w="108" w:type="dxa"/>
              <w:top w:w="0" w:type="dxa"/>
              <w:right w:w="108" w:type="dxa"/>
              <w:bottom w:w="0" w:type="dxa"/>
            </w:tcMar>
            <w:tcW w:w="2800" w:type="dxa"/>
            <w:vAlign w:val="center"/>
            <w:textDirection w:val="lrTb"/>
            <w:noWrap w:val="false"/>
          </w:tcPr>
          <w:p>
            <w:pPr>
              <w:ind w:firstLine="432"/>
              <w:jc w:val="center"/>
              <w:spacing w:line="440" w:lineRule="exact"/>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1</w:t>
            </w:r>
            <w:r/>
          </w:p>
        </w:tc>
        <w:tc>
          <w:tcPr>
            <w:tcMar>
              <w:left w:w="108" w:type="dxa"/>
              <w:top w:w="0" w:type="dxa"/>
              <w:right w:w="108" w:type="dxa"/>
              <w:bottom w:w="0" w:type="dxa"/>
            </w:tcMar>
            <w:tcW w:w="4830" w:type="dxa"/>
            <w:vAlign w:val="center"/>
            <w:textDirection w:val="lrTb"/>
            <w:noWrap w:val="false"/>
          </w:tcPr>
          <w:p>
            <w:pPr>
              <w:ind w:firstLine="432"/>
              <w:jc w:val="center"/>
              <w:spacing w:line="440" w:lineRule="exact"/>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24个以上常染色体STR案件扩增试剂盒1</w:t>
            </w:r>
            <w:r/>
          </w:p>
        </w:tc>
      </w:tr>
    </w:tbl>
    <w:p>
      <w:pPr>
        <w:jc w:val="center"/>
        <w:spacing w:line="440" w:lineRule="exact"/>
        <w:rPr>
          <w:rFonts w:hint="eastAsia" w:ascii="宋体" w:hAnsi="宋体" w:eastAsia="宋体" w:cs="宋体"/>
          <w:spacing w:val="3"/>
          <w:szCs w:val="21"/>
          <w:highlight w:val="none"/>
        </w:rPr>
      </w:pPr>
      <w:r>
        <w:rPr>
          <w:rFonts w:hint="eastAsia" w:ascii="宋体" w:hAnsi="宋体" w:eastAsia="宋体" w:cs="宋体"/>
          <w:spacing w:val="3"/>
          <w:szCs w:val="21"/>
          <w:highlight w:val="none"/>
        </w:rPr>
      </w:r>
      <w:r/>
    </w:p>
    <w:p>
      <w:pPr>
        <w:spacing w:line="440" w:lineRule="exact"/>
        <w:rPr>
          <w:rFonts w:hint="eastAsia" w:ascii="宋体" w:hAnsi="宋体" w:eastAsia="宋体" w:cs="宋体"/>
          <w:b/>
          <w:bCs/>
          <w:spacing w:val="3"/>
          <w:szCs w:val="21"/>
          <w:highlight w:val="none"/>
        </w:rPr>
      </w:pPr>
      <w:r>
        <w:rPr>
          <w:rFonts w:hint="eastAsia" w:ascii="宋体" w:hAnsi="宋体" w:eastAsia="宋体" w:cs="宋体"/>
          <w:b/>
          <w:bCs/>
          <w:spacing w:val="3"/>
          <w:szCs w:val="21"/>
          <w:highlight w:val="none"/>
        </w:rPr>
        <w:t xml:space="preserve">二、技术要求</w:t>
      </w:r>
      <w:r/>
    </w:p>
    <w:p>
      <w:pPr>
        <w:ind w:firstLine="432"/>
        <w:spacing w:line="440" w:lineRule="exact"/>
        <w:rPr>
          <w:rFonts w:hint="eastAsia" w:ascii="宋体" w:hAnsi="宋体" w:eastAsia="宋体" w:cs="宋体"/>
          <w:b/>
          <w:bCs/>
          <w:spacing w:val="3"/>
          <w:szCs w:val="21"/>
          <w:highlight w:val="none"/>
        </w:rPr>
      </w:pPr>
      <w:r>
        <w:rPr>
          <w:rFonts w:hint="eastAsia" w:ascii="宋体" w:hAnsi="宋体" w:eastAsia="宋体" w:cs="宋体"/>
          <w:b/>
          <w:bCs/>
          <w:spacing w:val="3"/>
          <w:szCs w:val="21"/>
          <w:highlight w:val="none"/>
        </w:rPr>
        <w:t xml:space="preserve">（一）项目概况</w:t>
      </w:r>
      <w:r/>
    </w:p>
    <w:p>
      <w:pPr>
        <w:ind w:firstLine="432"/>
        <w:spacing w:line="440" w:lineRule="exact"/>
        <w:rPr>
          <w:rFonts w:hint="eastAsia" w:ascii="宋体" w:hAnsi="宋体" w:eastAsia="宋体" w:cs="宋体"/>
          <w:spacing w:val="3"/>
          <w:szCs w:val="21"/>
          <w:highlight w:val="none"/>
        </w:rPr>
      </w:pPr>
      <w:r/>
      <w:bookmarkStart w:id="59" w:name="_Toc3403"/>
      <w:r>
        <w:rPr>
          <w:rFonts w:hint="eastAsia" w:ascii="宋体" w:hAnsi="宋体" w:eastAsia="宋体" w:cs="宋体"/>
          <w:spacing w:val="3"/>
          <w:szCs w:val="21"/>
          <w:highlight w:val="none"/>
          <w:lang w:val="zh-CN"/>
        </w:rPr>
        <w:t xml:space="preserve">扬州市公安机关生物物证鉴定工作服务于侦查破案，有力提升了科技强警水平，在打击犯罪、维护社会和谐稳定中取得了良好的成效。为了满足公安刑事科学技术工作的需要，促进物证鉴定技术相关工作建设持续发展，更加高效地服务侦查，更好地服务于社会，拟采购一批物证检验试剂耗材。</w:t>
      </w:r>
      <w:r/>
    </w:p>
    <w:p>
      <w:pPr>
        <w:ind w:firstLine="432"/>
        <w:spacing w:line="440" w:lineRule="exact"/>
        <w:rPr>
          <w:rFonts w:hint="eastAsia" w:ascii="宋体" w:hAnsi="宋体" w:eastAsia="宋体" w:cs="宋体"/>
          <w:b/>
          <w:bCs/>
          <w:spacing w:val="3"/>
          <w:szCs w:val="21"/>
          <w:highlight w:val="none"/>
        </w:rPr>
      </w:pPr>
      <w:r>
        <w:rPr>
          <w:rFonts w:hint="eastAsia" w:ascii="宋体" w:hAnsi="宋体" w:eastAsia="宋体" w:cs="宋体"/>
          <w:b/>
          <w:bCs/>
          <w:spacing w:val="3"/>
          <w:szCs w:val="21"/>
          <w:highlight w:val="none"/>
        </w:rPr>
        <w:t xml:space="preserve">（二）采购清单</w:t>
      </w:r>
      <w:bookmarkEnd w:id="59"/>
      <w:r/>
      <w:r/>
    </w:p>
    <w:tbl>
      <w:tblPr>
        <w:tblStyle w:val="652"/>
        <w:tblW w:w="9291"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578"/>
        <w:gridCol w:w="1582"/>
        <w:gridCol w:w="970"/>
        <w:gridCol w:w="709"/>
        <w:gridCol w:w="5452"/>
      </w:tblGrid>
      <w:tr>
        <w:trPr>
          <w:trHeight w:val="23"/>
        </w:trPr>
        <w:tc>
          <w:tcPr>
            <w:shd w:val="clear" w:color="000000" w:fill="ffffff"/>
            <w:tcW w:w="578" w:type="dxa"/>
            <w:vAlign w:val="center"/>
            <w:textDirection w:val="lrTb"/>
            <w:noWrap w:val="false"/>
          </w:tcPr>
          <w:p>
            <w:pPr>
              <w:ind w:left="-107" w:right="-105"/>
              <w:jc w:val="center"/>
              <w:spacing w:line="360" w:lineRule="exact"/>
              <w:rPr>
                <w:rFonts w:hint="eastAsia" w:ascii="宋体" w:hAnsi="宋体" w:eastAsia="宋体" w:cs="宋体"/>
                <w:sz w:val="20"/>
                <w:szCs w:val="20"/>
                <w:highlight w:val="none"/>
                <w:lang w:val="en"/>
              </w:rPr>
            </w:pPr>
            <w:r>
              <w:rPr>
                <w:rFonts w:hint="eastAsia" w:ascii="宋体" w:hAnsi="宋体" w:eastAsia="宋体" w:cs="宋体"/>
                <w:color w:val="000000"/>
                <w:sz w:val="20"/>
                <w:szCs w:val="20"/>
                <w:highlight w:val="none"/>
                <w:lang w:val="zh-CN"/>
              </w:rPr>
              <w:t xml:space="preserve">序号</w:t>
            </w:r>
            <w:r/>
          </w:p>
        </w:tc>
        <w:tc>
          <w:tcPr>
            <w:shd w:val="clear" w:color="000000" w:fill="ffffff"/>
            <w:tcW w:w="1582" w:type="dxa"/>
            <w:vAlign w:val="center"/>
            <w:textDirection w:val="lrTb"/>
            <w:noWrap w:val="false"/>
          </w:tcPr>
          <w:p>
            <w:pPr>
              <w:jc w:val="center"/>
              <w:spacing w:line="360" w:lineRule="exact"/>
              <w:rPr>
                <w:rFonts w:hint="eastAsia" w:ascii="宋体" w:hAnsi="宋体" w:eastAsia="宋体" w:cs="宋体"/>
                <w:sz w:val="20"/>
                <w:szCs w:val="20"/>
                <w:highlight w:val="none"/>
                <w:lang w:val="en"/>
              </w:rPr>
            </w:pPr>
            <w:r>
              <w:rPr>
                <w:rFonts w:hint="eastAsia" w:ascii="宋体" w:hAnsi="宋体" w:eastAsia="宋体" w:cs="宋体"/>
                <w:color w:val="000000"/>
                <w:sz w:val="20"/>
                <w:szCs w:val="20"/>
                <w:highlight w:val="none"/>
                <w:lang w:val="zh-CN"/>
              </w:rPr>
              <w:t xml:space="preserve">产品名称</w:t>
            </w:r>
            <w:r/>
          </w:p>
        </w:tc>
        <w:tc>
          <w:tcPr>
            <w:shd w:val="clear" w:color="000000" w:fill="ffffff"/>
            <w:tcW w:w="970" w:type="dxa"/>
            <w:vAlign w:val="center"/>
            <w:textDirection w:val="lrTb"/>
            <w:noWrap w:val="false"/>
          </w:tcPr>
          <w:p>
            <w:pPr>
              <w:jc w:val="center"/>
              <w:spacing w:line="360" w:lineRule="exact"/>
              <w:rPr>
                <w:rFonts w:hint="eastAsia" w:ascii="宋体" w:hAnsi="宋体" w:eastAsia="宋体" w:cs="宋体"/>
                <w:sz w:val="20"/>
                <w:szCs w:val="20"/>
                <w:highlight w:val="none"/>
                <w:lang w:val="en"/>
              </w:rPr>
            </w:pPr>
            <w:r>
              <w:rPr>
                <w:rFonts w:hint="eastAsia" w:ascii="宋体" w:hAnsi="宋体" w:eastAsia="宋体" w:cs="宋体"/>
                <w:color w:val="000000"/>
                <w:sz w:val="20"/>
                <w:szCs w:val="20"/>
                <w:highlight w:val="none"/>
                <w:lang w:val="zh-CN"/>
              </w:rPr>
              <w:t xml:space="preserve">规格</w:t>
            </w:r>
            <w:r/>
          </w:p>
        </w:tc>
        <w:tc>
          <w:tcPr>
            <w:shd w:val="clear" w:color="000000" w:fill="ffffff"/>
            <w:tcW w:w="709" w:type="dxa"/>
            <w:vAlign w:val="center"/>
            <w:textDirection w:val="lrTb"/>
            <w:noWrap w:val="false"/>
          </w:tcPr>
          <w:p>
            <w:pPr>
              <w:jc w:val="center"/>
              <w:spacing w:line="360" w:lineRule="exact"/>
              <w:rPr>
                <w:rFonts w:hint="eastAsia" w:ascii="宋体" w:hAnsi="宋体" w:eastAsia="宋体" w:cs="宋体"/>
                <w:sz w:val="20"/>
                <w:szCs w:val="20"/>
                <w:highlight w:val="none"/>
                <w:lang w:val="en"/>
              </w:rPr>
            </w:pPr>
            <w:r>
              <w:rPr>
                <w:rFonts w:hint="eastAsia" w:ascii="宋体" w:hAnsi="宋体" w:eastAsia="宋体" w:cs="宋体"/>
                <w:color w:val="000000"/>
                <w:sz w:val="20"/>
                <w:szCs w:val="20"/>
                <w:highlight w:val="none"/>
                <w:lang w:val="zh-CN"/>
              </w:rPr>
              <w:t xml:space="preserve">数量</w:t>
            </w:r>
            <w:r/>
          </w:p>
        </w:tc>
        <w:tc>
          <w:tcPr>
            <w:shd w:val="clear" w:color="000000" w:fill="ffffff"/>
            <w:tcW w:w="5452" w:type="dxa"/>
            <w:vAlign w:val="center"/>
            <w:textDirection w:val="lrTb"/>
            <w:noWrap w:val="false"/>
          </w:tcPr>
          <w:p>
            <w:pPr>
              <w:jc w:val="left"/>
              <w:spacing w:line="360" w:lineRule="exact"/>
              <w:rPr>
                <w:rFonts w:hint="eastAsia" w:ascii="宋体" w:hAnsi="宋体" w:eastAsia="宋体" w:cs="宋体"/>
                <w:sz w:val="20"/>
                <w:szCs w:val="20"/>
                <w:highlight w:val="none"/>
                <w:lang w:val="en"/>
              </w:rPr>
            </w:pPr>
            <w:r>
              <w:rPr>
                <w:rFonts w:hint="eastAsia" w:ascii="宋体" w:hAnsi="宋体" w:eastAsia="宋体" w:cs="宋体"/>
                <w:color w:val="000000"/>
                <w:sz w:val="20"/>
                <w:szCs w:val="20"/>
                <w:highlight w:val="none"/>
                <w:lang w:val="zh-CN"/>
              </w:rPr>
              <w:t xml:space="preserve">技术参数</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w:t>
            </w:r>
            <w:r/>
          </w:p>
        </w:tc>
        <w:tc>
          <w:tcPr>
            <w:shd w:val="clear" w:color="000000" w:fill="ffffff"/>
            <w:tcW w:w="1582"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24个以上常染色体STR案件扩增试剂盒1</w:t>
            </w:r>
            <w:r/>
          </w:p>
        </w:tc>
        <w:tc>
          <w:tcPr>
            <w:shd w:val="clear" w:color="000000" w:fill="ffffff"/>
            <w:tcW w:w="970"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200人份/套，25ul标准体系。</w:t>
            </w:r>
            <w:r/>
          </w:p>
        </w:tc>
        <w:tc>
          <w:tcPr>
            <w:shd w:val="clear" w:color="000000" w:fill="ffffff"/>
            <w:tcW w:w="709"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w:t>
            </w: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rPr>
              <w:t xml:space="preserve">盒</w:t>
            </w:r>
            <w:r/>
          </w:p>
        </w:tc>
        <w:tc>
          <w:tcPr>
            <w:shd w:val="clear" w:color="000000" w:fill="ffffff"/>
            <w:tcW w:w="5452" w:type="dxa"/>
            <w:vAlign w:val="center"/>
            <w:textDirection w:val="lrTb"/>
            <w:noWrap w:val="false"/>
          </w:tcPr>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★1、单管同时扩增不少于24个基因座，其中必须包括以下核心基因座：TPOX、D2S1338、D3S1358、FGA、D5S818、CSF1PO、D6S1043、D7S820、D8S1179、TH01、vWA、D12S391、D13S317、Penta E、D16S539、D18S51、D19S433、D21S11、Penta D。</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2、采用六色荧光技术，使用具有专利技术的内标作为分子量内标，至少包含28个以上具有荧光内标基团的DNA片段，便于更清晰的分辨基因座标记。</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★3、每个基因座等位基因分型结果良好，Ladder 清晰完整含有充足的标准等位基因，为了减少OL的产生，真实bin和虚拟Bin合计不少于620个，其中真实的bin大于360个。</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4、最大扩增产物小于440bp，包含不少于11个Mini-STR，有利于降解检材和疑难样品的检测。 </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5、试剂盒为200人份/盒，25ul标准扩增体系，包含扩增所需全部试剂及检测LADDER，包含不少于2个用于样品质量评估的IQC位点；PCR扩增时间不超过80分钟。</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6、所投试剂盒获得中国安全技术防范认证中心颁发的《中国公共安全产品认证证书》。</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7、所投试剂盒必须取得“公安部刑事技术产品质量监督检验中心”合格报告。（须提供检验报告，原件扫描上传）</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w:t>
            </w:r>
            <w:r/>
          </w:p>
        </w:tc>
        <w:tc>
          <w:tcPr>
            <w:shd w:val="clear" w:color="000000" w:fill="ffffff"/>
            <w:tcW w:w="1582"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24个以上常染色体案件STR扩增试剂盒2</w:t>
            </w:r>
            <w:r/>
          </w:p>
        </w:tc>
        <w:tc>
          <w:tcPr>
            <w:shd w:val="clear" w:color="000000" w:fill="ffffff"/>
            <w:tcW w:w="970"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200人份/套，25ul标准体系。</w:t>
            </w:r>
            <w:r/>
          </w:p>
        </w:tc>
        <w:tc>
          <w:tcPr>
            <w:shd w:val="clear" w:color="000000" w:fill="ffffff"/>
            <w:tcW w:w="709"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en-US" w:eastAsia="zh-CN"/>
              </w:rPr>
              <w:t xml:space="preserve">8</w:t>
            </w:r>
            <w:r>
              <w:rPr>
                <w:rFonts w:hint="eastAsia" w:ascii="宋体" w:hAnsi="宋体" w:eastAsia="宋体" w:cs="宋体"/>
                <w:color w:val="000000"/>
                <w:sz w:val="20"/>
                <w:szCs w:val="20"/>
                <w:highlight w:val="none"/>
              </w:rPr>
              <w:t xml:space="preserve">盒</w:t>
            </w:r>
            <w:r/>
          </w:p>
        </w:tc>
        <w:tc>
          <w:tcPr>
            <w:shd w:val="clear" w:color="000000" w:fill="ffffff"/>
            <w:tcW w:w="5452" w:type="dxa"/>
            <w:vAlign w:val="center"/>
            <w:textDirection w:val="lrTb"/>
            <w:noWrap w:val="false"/>
          </w:tcPr>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★1、单管同时扩增不少于24个常染色体基因座，其中必须包括以下核心基因座：TPOX、D2S1338、D3S1358、FGA、D5S818、CSF1PO、D6S1043、D7S820、D8S1179、TH01、vWA、D12S391、D13S317、Penta E、D16S539、D18S51、D19S433、D21S11、Penta D。</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2、采用六色荧光技术，实现了一色荧光标记分子量内标，五色荧光标记引物，便于更清晰的分辨基因座的多态性信息，每种荧光标记基因座分配均衡，保证荧光电泳通道顺畅。</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3、规格：200人份/盒，标准反应体系25微升，可按10微升体系扩增。包含扩增、检测所需全部配套试剂。扩增前试剂（引物、反应混合物、超纯水、阳性对照），扩增后试剂（分子量内标、等位基因Ladder）。</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4、为提高疑难、陈旧样本检出率，试剂盒至少包含10个低于250bp的基因座片段，可有效针对降解样本进行扩增，数据更精确更可靠。</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★5、试剂盒包含2个以上Y-STR基因座，帮助初步判断混合样本中是否存在男性DNA以及男性个体数量。</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6、为提高检出灵敏度，对低浓度模板尽可能获得有效分型，扩增体系中模板占比不低于70%；使用试剂盒说明书所推荐的扩增仪进行扩增，扩增时间不超过70分钟。</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7、PCR试剂灵敏度高，65pg的纯化DNA模板可获得完整的分型图谱。</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8、所投试剂盒获得中国安全技术防范认证中心颁发的《中国公共安全产品认证证书》。</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9、所投试剂盒必须取得“公安部刑事技术产品质量监督检验中心”合格报告。（须提供检验报告，原件扫描上传）</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w:t>
            </w:r>
            <w:r/>
          </w:p>
        </w:tc>
        <w:tc>
          <w:tcPr>
            <w:shd w:val="clear" w:color="000000" w:fill="ffffff"/>
            <w:tcW w:w="1582"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40个以上Y染色体案件扩增试剂盒</w:t>
            </w:r>
            <w:r/>
          </w:p>
        </w:tc>
        <w:tc>
          <w:tcPr>
            <w:shd w:val="clear" w:color="000000" w:fill="ffffff"/>
            <w:tcW w:w="970"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100人份/套，25ul标准体系。</w:t>
            </w:r>
            <w:r/>
          </w:p>
        </w:tc>
        <w:tc>
          <w:tcPr>
            <w:shd w:val="clear" w:color="000000" w:fill="ffffff"/>
            <w:tcW w:w="709"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en-US" w:eastAsia="zh-CN"/>
              </w:rPr>
              <w:t xml:space="preserve">4</w:t>
            </w:r>
            <w:r>
              <w:rPr>
                <w:rFonts w:hint="eastAsia" w:ascii="宋体" w:hAnsi="宋体" w:eastAsia="宋体" w:cs="宋体"/>
                <w:color w:val="000000"/>
                <w:sz w:val="20"/>
                <w:szCs w:val="20"/>
                <w:highlight w:val="none"/>
              </w:rPr>
              <w:t xml:space="preserve">盒</w:t>
            </w:r>
            <w:r/>
          </w:p>
        </w:tc>
        <w:tc>
          <w:tcPr>
            <w:shd w:val="clear" w:color="000000" w:fill="ffffff"/>
            <w:tcW w:w="5452" w:type="dxa"/>
            <w:vAlign w:val="center"/>
            <w:textDirection w:val="lrTb"/>
            <w:noWrap w:val="false"/>
          </w:tcPr>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★1、单管同时扩增必须包含公安部要求的20个核心基因座（DYS19，DYS385a，DYS385b，DYS389Ⅰ，DYS389Ⅱ，DYS390，DYS391，DYS392，DY S393，DYS437，DYS438，DYS439，DYS456，DYS458，DYS448，DYS635，GATA-H4，DYS481，DYS533，DYS576）和15个优选基因座（DYS460，DYS570，DYS627，DYF387S1a，DYF387S1b，DYS518，DYS449</w:t>
            </w:r>
            <w:r>
              <w:rPr>
                <w:rFonts w:hint="eastAsia" w:ascii="宋体" w:hAnsi="宋体" w:eastAsia="宋体" w:cs="宋体"/>
                <w:color w:val="000000"/>
                <w:sz w:val="20"/>
                <w:szCs w:val="20"/>
                <w:highlight w:val="none"/>
              </w:rPr>
              <w:t xml:space="preserve">，DYS527a，DYS527b，DYS444，DYS447，DYS549，DYS643，DYS557，DYS596），同时包含不少于3个备选基因座(DYS446，DYS510，DYS622，DYS443，DYS587，DYS522，YGATAA10，DYS520，DYS552，DYS593，DYS531，DYS459a，DYS459b，DYS508，DYS388，DYS617，DYS645，DYS713，DYS630，DYF404S1a，DYF404S1b，DYS626，DYS526a，DYS526b）。</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★2、扩增产物中须包含2个内控质量参考（IQC）标记物，3个以上Y-indel遗传标记，可用于样品质量（如抑制物、降解）的快速评估；属于国内实验室用于案件现场疑难复杂微量检材DNA的检验的主流产品。</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3、采用六色荧光技术，使用具有专利技术的内标作为分子量内标，至少包含28个以上有荧光内标基团的DNA片段，便于更清晰的分辨基因座标记。</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4、试剂盒为100人份/盒，标准反应体系25微升，可按10微升体系扩增；包含扩增所需全部试剂及检测LADDER，PCR扩增时间不超过80分钟。                                                  5、所投试剂盒必须取得“公安部刑事技术产品质量监督检验中心”合格报告。（须提供检验报告，原件扫描上传）。</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w:t>
            </w:r>
            <w:r/>
          </w:p>
        </w:tc>
        <w:tc>
          <w:tcPr>
            <w:shd w:val="clear" w:color="000000" w:fill="ffffff"/>
            <w:tcW w:w="1582"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29个以上常染色体STR荧光检测试剂盒</w:t>
            </w:r>
            <w:r/>
          </w:p>
        </w:tc>
        <w:tc>
          <w:tcPr>
            <w:shd w:val="clear" w:color="000000" w:fill="ffffff"/>
            <w:tcW w:w="970"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200人份/套，25ul标准体系。</w:t>
            </w:r>
            <w:r/>
          </w:p>
        </w:tc>
        <w:tc>
          <w:tcPr>
            <w:shd w:val="clear" w:color="000000" w:fill="ffffff"/>
            <w:tcW w:w="709"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4盒</w:t>
            </w:r>
            <w:r/>
          </w:p>
        </w:tc>
        <w:tc>
          <w:tcPr>
            <w:shd w:val="clear" w:color="000000" w:fill="ffffff"/>
            <w:tcW w:w="5452" w:type="dxa"/>
            <w:vAlign w:val="center"/>
            <w:textDirection w:val="lrTb"/>
            <w:noWrap w:val="false"/>
          </w:tcPr>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★1、所投常STR扩增试剂盒满足打拐位点要求，单管同时扩增不少于29个常染色体基因座，试剂盒名称和基因座参数信息已收录入专业数据库。</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2、所投常STR扩增试剂盒采用六色荧光标记，便于更清晰的分辨基因座位点，所有基因座的扩增片段大小不超过550bp。</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3、规格：200人份/盒，标准反应体系25微升，可按10微升体系扩增；包含扩增、检测所需全部试剂。扩增前试剂（引物、反应混合物、超纯水、阳性对照），扩增后试剂（内标、等位基因Ladder）。</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为保证试剂盒性能的有效性，所投常STR扩增试剂盒产品必须具备中国公共安全技术防范认证中心颁发的《中国公共安全产品认证证书》，并须取得“公安部刑事技术产品质量监督检验中心”合格报告。（须提供证书和检验报告，原件扫描上传）</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w:t>
            </w:r>
            <w:r/>
          </w:p>
        </w:tc>
        <w:tc>
          <w:tcPr>
            <w:shd w:val="clear" w:color="000000" w:fill="ffffff"/>
            <w:tcW w:w="1582"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24个以上常染色体STR扩增试剂盒</w:t>
            </w:r>
            <w:r>
              <w:rPr>
                <w:rFonts w:hint="eastAsia" w:ascii="宋体" w:hAnsi="宋体" w:eastAsia="宋体" w:cs="宋体"/>
                <w:color w:val="000000"/>
                <w:sz w:val="20"/>
                <w:szCs w:val="20"/>
                <w:highlight w:val="none"/>
                <w:lang w:eastAsia="zh-CN"/>
              </w:rPr>
              <w:t xml:space="preserve">（冻干版）</w:t>
            </w:r>
            <w:r/>
          </w:p>
        </w:tc>
        <w:tc>
          <w:tcPr>
            <w:shd w:val="clear" w:color="000000" w:fill="ffffff"/>
            <w:tcW w:w="970"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en-US" w:eastAsia="zh-CN"/>
              </w:rPr>
              <w:t xml:space="preserve">4</w:t>
            </w:r>
            <w:r>
              <w:rPr>
                <w:rFonts w:hint="eastAsia" w:ascii="宋体" w:hAnsi="宋体" w:eastAsia="宋体" w:cs="宋体"/>
                <w:color w:val="000000"/>
                <w:sz w:val="20"/>
                <w:szCs w:val="20"/>
                <w:highlight w:val="none"/>
              </w:rPr>
              <w:t xml:space="preserve">00人份/</w:t>
            </w:r>
            <w:r>
              <w:rPr>
                <w:rFonts w:hint="eastAsia" w:ascii="宋体" w:hAnsi="宋体" w:eastAsia="宋体" w:cs="宋体"/>
                <w:color w:val="000000"/>
                <w:sz w:val="20"/>
                <w:szCs w:val="20"/>
                <w:highlight w:val="none"/>
                <w:lang w:eastAsia="zh-CN"/>
              </w:rPr>
              <w:t xml:space="preserve">盒</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lang w:val="en-US" w:eastAsia="zh-CN"/>
              </w:rPr>
              <w:t xml:space="preserve">10</w:t>
            </w:r>
            <w:r>
              <w:rPr>
                <w:rFonts w:hint="eastAsia" w:ascii="宋体" w:hAnsi="宋体" w:eastAsia="宋体" w:cs="宋体"/>
                <w:color w:val="000000"/>
                <w:sz w:val="20"/>
                <w:szCs w:val="20"/>
                <w:highlight w:val="none"/>
              </w:rPr>
              <w:t xml:space="preserve">ul标准体系。</w:t>
            </w:r>
            <w:r/>
          </w:p>
        </w:tc>
        <w:tc>
          <w:tcPr>
            <w:shd w:val="clear" w:color="000000" w:fill="ffffff"/>
            <w:tcW w:w="709"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en-US" w:eastAsia="zh-CN"/>
              </w:rPr>
              <w:t xml:space="preserve">7</w:t>
            </w:r>
            <w:r>
              <w:rPr>
                <w:rFonts w:hint="eastAsia" w:ascii="宋体" w:hAnsi="宋体" w:eastAsia="宋体" w:cs="宋体"/>
                <w:color w:val="000000"/>
                <w:sz w:val="20"/>
                <w:szCs w:val="20"/>
                <w:highlight w:val="none"/>
              </w:rPr>
              <w:t xml:space="preserve">盒</w:t>
            </w:r>
            <w:r/>
          </w:p>
        </w:tc>
        <w:tc>
          <w:tcPr>
            <w:shd w:val="clear" w:color="000000" w:fill="ffffff"/>
            <w:tcW w:w="5452" w:type="dxa"/>
            <w:vAlign w:val="center"/>
            <w:textDirection w:val="lrTb"/>
            <w:noWrap w:val="false"/>
          </w:tcPr>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采用六色荧光技术，实现了一色荧光标记分子量内标，五色荧光标记引物，同时扩增和检测24个以上人类基因座，须包含核心基因座和Y-indel，用于疑难案件当中辅助性别鉴定；核心基因座：TPOX、D2S1338、D3S1358、FGA、D5S818、CSF1PO、D6S1043、D7S820、D8S1179、TH01、vWA、D12S391、D13S317、Penta E、D16S539、D18S51、D19S433、D21S11、Penta D。</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2、规格：</w:t>
            </w:r>
            <w:r>
              <w:rPr>
                <w:rFonts w:hint="eastAsia" w:ascii="宋体" w:hAnsi="宋体" w:eastAsia="宋体" w:cs="宋体"/>
                <w:color w:val="000000"/>
                <w:sz w:val="20"/>
                <w:szCs w:val="20"/>
                <w:highlight w:val="none"/>
                <w:lang w:eastAsia="zh-CN"/>
              </w:rPr>
              <w:t xml:space="preserve">冻干球（含引物、</w:t>
            </w:r>
            <w:r>
              <w:rPr>
                <w:rFonts w:hint="eastAsia" w:ascii="宋体" w:hAnsi="宋体" w:eastAsia="宋体" w:cs="宋体"/>
                <w:color w:val="000000"/>
                <w:sz w:val="20"/>
                <w:szCs w:val="20"/>
                <w:highlight w:val="none"/>
                <w:lang w:val="en-US" w:eastAsia="zh-CN"/>
              </w:rPr>
              <w:t xml:space="preserve">DNA聚合酶、dNTPs缓冲液的冻干混合物</w:t>
            </w:r>
            <w:r>
              <w:rPr>
                <w:rFonts w:hint="eastAsia" w:ascii="宋体" w:hAnsi="宋体" w:eastAsia="宋体" w:cs="宋体"/>
                <w:color w:val="000000"/>
                <w:sz w:val="20"/>
                <w:szCs w:val="20"/>
                <w:highlight w:val="none"/>
                <w:lang w:eastAsia="zh-CN"/>
              </w:rPr>
              <w:t xml:space="preserve">）</w:t>
            </w:r>
            <w:r>
              <w:rPr>
                <w:rFonts w:hint="eastAsia" w:ascii="宋体" w:hAnsi="宋体" w:eastAsia="宋体" w:cs="宋体"/>
                <w:color w:val="000000"/>
                <w:sz w:val="20"/>
                <w:szCs w:val="20"/>
                <w:highlight w:val="none"/>
                <w:lang w:val="en-US" w:eastAsia="zh-CN"/>
              </w:rPr>
              <w:t xml:space="preserve">，4</w:t>
            </w:r>
            <w:r>
              <w:rPr>
                <w:rFonts w:hint="eastAsia" w:ascii="宋体" w:hAnsi="宋体" w:eastAsia="宋体" w:cs="宋体"/>
                <w:color w:val="000000"/>
                <w:sz w:val="20"/>
                <w:szCs w:val="20"/>
                <w:highlight w:val="none"/>
              </w:rPr>
              <w:t xml:space="preserve">00人份/盒，10微升体系扩增</w:t>
            </w:r>
            <w:r>
              <w:rPr>
                <w:rFonts w:hint="eastAsia" w:ascii="宋体" w:hAnsi="宋体" w:eastAsia="宋体" w:cs="宋体"/>
                <w:color w:val="000000"/>
                <w:sz w:val="20"/>
                <w:szCs w:val="20"/>
                <w:highlight w:val="none"/>
                <w:lang w:eastAsia="zh-CN"/>
              </w:rPr>
              <w:t xml:space="preserve">，可常温运输</w:t>
            </w:r>
            <w:r>
              <w:rPr>
                <w:rFonts w:hint="eastAsia" w:ascii="宋体" w:hAnsi="宋体" w:eastAsia="宋体" w:cs="宋体"/>
                <w:color w:val="000000"/>
                <w:sz w:val="20"/>
                <w:szCs w:val="20"/>
                <w:highlight w:val="none"/>
              </w:rPr>
              <w:t xml:space="preserve">；包含扩增、检测所需全部配套试剂。扩增前试剂（</w:t>
            </w:r>
            <w:r>
              <w:rPr>
                <w:rFonts w:hint="eastAsia" w:ascii="宋体" w:hAnsi="宋体" w:eastAsia="宋体" w:cs="宋体"/>
                <w:color w:val="000000"/>
                <w:sz w:val="20"/>
                <w:szCs w:val="20"/>
                <w:highlight w:val="none"/>
                <w:lang w:eastAsia="zh-CN"/>
              </w:rPr>
              <w:t xml:space="preserve">冻干球</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lang w:eastAsia="zh-CN"/>
              </w:rPr>
              <w:t xml:space="preserve">低浓度</w:t>
            </w:r>
            <w:r>
              <w:rPr>
                <w:rFonts w:hint="eastAsia" w:ascii="宋体" w:hAnsi="宋体" w:eastAsia="宋体" w:cs="宋体"/>
                <w:color w:val="000000"/>
                <w:sz w:val="20"/>
                <w:szCs w:val="20"/>
                <w:highlight w:val="none"/>
                <w:lang w:val="en-US" w:eastAsia="zh-CN"/>
              </w:rPr>
              <w:t xml:space="preserve">TE缓冲液</w:t>
            </w:r>
            <w:r>
              <w:rPr>
                <w:rFonts w:hint="eastAsia" w:ascii="宋体" w:hAnsi="宋体" w:eastAsia="宋体" w:cs="宋体"/>
                <w:color w:val="000000"/>
                <w:sz w:val="20"/>
                <w:szCs w:val="20"/>
                <w:highlight w:val="none"/>
              </w:rPr>
              <w:t xml:space="preserve">、阳性对照），扩增后试剂（分子量内标、等位基因Ladder）。</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rPr>
              <w:t xml:space="preserve">、为提高疑难、陈旧样本检出率，公安部要求的20个核心位点最大片段不超过430bp；</w:t>
            </w:r>
            <w:r>
              <w:rPr>
                <w:rFonts w:hint="eastAsia" w:ascii="宋体" w:hAnsi="宋体" w:eastAsia="宋体" w:cs="宋体"/>
                <w:color w:val="000000"/>
                <w:sz w:val="20"/>
                <w:szCs w:val="20"/>
                <w:highlight w:val="none"/>
                <w:lang w:eastAsia="zh-CN"/>
              </w:rPr>
              <w:t xml:space="preserve">至少</w:t>
            </w:r>
            <w:r>
              <w:rPr>
                <w:rFonts w:hint="eastAsia" w:ascii="宋体" w:hAnsi="宋体" w:eastAsia="宋体" w:cs="宋体"/>
                <w:color w:val="000000"/>
                <w:sz w:val="20"/>
                <w:szCs w:val="20"/>
                <w:highlight w:val="none"/>
              </w:rPr>
              <w:t xml:space="preserve">包含1</w:t>
            </w: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rPr>
              <w:t xml:space="preserve"> 个扩增长度小于 2</w:t>
            </w:r>
            <w:r>
              <w:rPr>
                <w:rFonts w:hint="eastAsia" w:ascii="宋体" w:hAnsi="宋体" w:eastAsia="宋体" w:cs="宋体"/>
                <w:color w:val="000000"/>
                <w:sz w:val="20"/>
                <w:szCs w:val="20"/>
                <w:highlight w:val="none"/>
                <w:lang w:val="en-US" w:eastAsia="zh-CN"/>
              </w:rPr>
              <w:t xml:space="preserve">5</w:t>
            </w:r>
            <w:r>
              <w:rPr>
                <w:rFonts w:hint="eastAsia" w:ascii="宋体" w:hAnsi="宋体" w:eastAsia="宋体" w:cs="宋体"/>
                <w:color w:val="000000"/>
                <w:sz w:val="20"/>
                <w:szCs w:val="20"/>
                <w:highlight w:val="none"/>
              </w:rPr>
              <w:t xml:space="preserve">0bp 的 Mini </w:t>
            </w:r>
            <w:r>
              <w:rPr>
                <w:rFonts w:hint="eastAsia" w:ascii="宋体" w:hAnsi="宋体" w:eastAsia="宋体" w:cs="宋体"/>
                <w:color w:val="000000"/>
                <w:sz w:val="20"/>
                <w:szCs w:val="20"/>
                <w:highlight w:val="none"/>
                <w:lang w:eastAsia="zh-CN"/>
              </w:rPr>
              <w:t xml:space="preserve">基因座</w:t>
            </w:r>
            <w:r>
              <w:rPr>
                <w:rFonts w:hint="eastAsia" w:ascii="宋体" w:hAnsi="宋体" w:eastAsia="宋体" w:cs="宋体"/>
                <w:color w:val="000000"/>
                <w:sz w:val="20"/>
                <w:szCs w:val="20"/>
                <w:highlight w:val="none"/>
              </w:rPr>
              <w:t xml:space="preserve">，便于降解样品信息的获取，对于降解 DNA 和疑难样品更容易得到完整 DNA 分型信息，数据更精确更可靠。</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en-US" w:eastAsia="zh-CN"/>
              </w:rPr>
              <w:t xml:space="preserve">4</w:t>
            </w:r>
            <w:r>
              <w:rPr>
                <w:rFonts w:hint="eastAsia" w:ascii="宋体" w:hAnsi="宋体" w:eastAsia="宋体" w:cs="宋体"/>
                <w:color w:val="000000"/>
                <w:sz w:val="20"/>
                <w:szCs w:val="20"/>
                <w:highlight w:val="none"/>
              </w:rPr>
              <w:t xml:space="preserve">、为保证分型准确，试剂盒</w:t>
            </w:r>
            <w:r>
              <w:rPr>
                <w:rFonts w:hint="eastAsia" w:ascii="宋体" w:hAnsi="宋体" w:eastAsia="宋体" w:cs="宋体"/>
                <w:color w:val="000000"/>
                <w:sz w:val="20"/>
                <w:szCs w:val="20"/>
                <w:highlight w:val="none"/>
                <w:lang w:val="en-US" w:eastAsia="zh-CN"/>
              </w:rPr>
              <w:t xml:space="preserve">Ladder包含的等位基因片段数量不低于335个</w:t>
            </w:r>
            <w:r>
              <w:rPr>
                <w:rFonts w:hint="eastAsia" w:ascii="宋体" w:hAnsi="宋体" w:eastAsia="宋体" w:cs="宋体"/>
                <w:color w:val="000000"/>
                <w:sz w:val="20"/>
                <w:szCs w:val="20"/>
                <w:highlight w:val="none"/>
              </w:rPr>
              <w:t xml:space="preserve">；扩增产物中须包含内控质量参考（IQC）标记物，可用于样品质量（如抑制物、降解）的快速评估。</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lang w:val="en-US" w:eastAsia="zh-CN"/>
              </w:rPr>
              <w:t xml:space="preserve">5</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lang w:eastAsia="zh-CN"/>
              </w:rPr>
              <w:t xml:space="preserve">所投产品专门适用于案件复杂检材检验，产品的灵敏度、稳定性、准确性、适应性及批间差检测等须符合微量物证检验的需求；</w:t>
            </w:r>
            <w:r>
              <w:rPr>
                <w:rFonts w:hint="eastAsia" w:ascii="宋体" w:hAnsi="宋体" w:eastAsia="宋体" w:cs="宋体"/>
                <w:color w:val="000000"/>
                <w:sz w:val="20"/>
                <w:szCs w:val="20"/>
                <w:highlight w:val="none"/>
              </w:rPr>
              <w:t xml:space="preserve">为提高检出灵敏度，对低浓度模板尽可能获得有效分型，扩增体系中模板</w:t>
            </w:r>
            <w:r>
              <w:rPr>
                <w:rFonts w:hint="eastAsia" w:ascii="宋体" w:hAnsi="宋体" w:eastAsia="宋体" w:cs="宋体"/>
                <w:color w:val="000000"/>
                <w:sz w:val="20"/>
                <w:szCs w:val="20"/>
                <w:highlight w:val="none"/>
                <w:lang w:eastAsia="zh-CN"/>
              </w:rPr>
              <w:t xml:space="preserve">量加至</w:t>
            </w:r>
            <w:r>
              <w:rPr>
                <w:rFonts w:hint="eastAsia" w:ascii="宋体" w:hAnsi="宋体" w:eastAsia="宋体" w:cs="宋体"/>
                <w:color w:val="000000"/>
                <w:sz w:val="20"/>
                <w:szCs w:val="20"/>
                <w:highlight w:val="none"/>
                <w:lang w:val="en-US" w:eastAsia="zh-CN"/>
              </w:rPr>
              <w:t xml:space="preserve">10微升获得的检测结果批间差最优</w:t>
            </w:r>
            <w:r>
              <w:rPr>
                <w:rFonts w:hint="eastAsia" w:ascii="宋体" w:hAnsi="宋体" w:eastAsia="宋体" w:cs="宋体"/>
                <w:color w:val="000000"/>
                <w:sz w:val="20"/>
                <w:szCs w:val="20"/>
                <w:highlight w:val="none"/>
              </w:rPr>
              <w:t xml:space="preserve">；使用试剂盒说明书所推荐的扩增</w:t>
            </w:r>
            <w:r>
              <w:rPr>
                <w:rFonts w:hint="eastAsia" w:ascii="宋体" w:hAnsi="宋体" w:eastAsia="宋体" w:cs="宋体"/>
                <w:color w:val="000000"/>
                <w:sz w:val="20"/>
                <w:szCs w:val="20"/>
                <w:highlight w:val="none"/>
                <w:lang w:eastAsia="zh-CN"/>
              </w:rPr>
              <w:t xml:space="preserve">环境进行</w:t>
            </w:r>
            <w:r>
              <w:rPr>
                <w:rFonts w:hint="eastAsia" w:ascii="宋体" w:hAnsi="宋体" w:eastAsia="宋体" w:cs="宋体"/>
                <w:color w:val="000000"/>
                <w:sz w:val="20"/>
                <w:szCs w:val="20"/>
                <w:highlight w:val="none"/>
              </w:rPr>
              <w:t xml:space="preserve">扩增，扩增时间不超过</w:t>
            </w:r>
            <w:r>
              <w:rPr>
                <w:rFonts w:hint="eastAsia" w:ascii="宋体" w:hAnsi="宋体" w:eastAsia="宋体" w:cs="宋体"/>
                <w:color w:val="000000"/>
                <w:sz w:val="20"/>
                <w:szCs w:val="20"/>
                <w:highlight w:val="none"/>
                <w:lang w:val="en-US" w:eastAsia="zh-CN"/>
              </w:rPr>
              <w:t xml:space="preserve">8</w:t>
            </w:r>
            <w:r>
              <w:rPr>
                <w:rFonts w:hint="eastAsia" w:ascii="宋体" w:hAnsi="宋体" w:eastAsia="宋体" w:cs="宋体"/>
                <w:color w:val="000000"/>
                <w:sz w:val="20"/>
                <w:szCs w:val="20"/>
                <w:highlight w:val="none"/>
              </w:rPr>
              <w:t xml:space="preserve">0分钟。</w:t>
            </w:r>
            <w:r/>
          </w:p>
          <w:p>
            <w:pPr>
              <w:jc w:val="left"/>
              <w:spacing w:line="360" w:lineRule="exact"/>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rPr>
              <w:t xml:space="preserve">为保证试剂盒性能的有效性，所投常STR扩增试剂盒产品必须具备中国公共安全技术防范认证中心颁发的《中国公共安全产品认证证书》，并须取得“公安部刑事技术产品质量监督检验中心”合格报告。（须提供证书和检验报告，原件扫描上传）</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6</w:t>
            </w:r>
            <w:r/>
          </w:p>
        </w:tc>
        <w:tc>
          <w:tcPr>
            <w:shd w:val="clear" w:color="000000" w:fill="ffffff"/>
            <w:tcW w:w="1582"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sz w:val="20"/>
                <w:szCs w:val="20"/>
                <w:highlight w:val="none"/>
              </w:rPr>
              <w:t xml:space="preserve">LIZ600内标</w:t>
            </w:r>
            <w:r/>
          </w:p>
        </w:tc>
        <w:tc>
          <w:tcPr>
            <w:shd w:val="clear" w:color="000000" w:fill="ffffff"/>
            <w:tcW w:w="970"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cs="宋体"/>
                <w:color w:val="000000"/>
                <w:sz w:val="20"/>
                <w:szCs w:val="20"/>
                <w:highlight w:val="none"/>
                <w:lang w:val="en-US" w:eastAsia="zh-CN"/>
              </w:rPr>
              <w:t xml:space="preserve">200微升*</w:t>
            </w:r>
            <w:r>
              <w:rPr>
                <w:rFonts w:hint="eastAsia" w:ascii="宋体" w:hAnsi="宋体" w:eastAsia="宋体" w:cs="宋体"/>
                <w:color w:val="000000"/>
                <w:sz w:val="20"/>
                <w:szCs w:val="20"/>
                <w:highlight w:val="none"/>
              </w:rPr>
              <w:t xml:space="preserve">2支/盒</w:t>
            </w:r>
            <w:r/>
          </w:p>
        </w:tc>
        <w:tc>
          <w:tcPr>
            <w:shd w:val="clear" w:color="000000" w:fill="ffffff"/>
            <w:tcW w:w="709"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en-US" w:eastAsia="zh-CN"/>
              </w:rPr>
              <w:t xml:space="preserve">8</w:t>
            </w:r>
            <w:r>
              <w:rPr>
                <w:rFonts w:hint="eastAsia" w:ascii="宋体" w:hAnsi="宋体" w:eastAsia="宋体" w:cs="宋体"/>
                <w:color w:val="000000"/>
                <w:sz w:val="20"/>
                <w:szCs w:val="20"/>
                <w:highlight w:val="none"/>
              </w:rPr>
              <w:t xml:space="preserve">盒</w:t>
            </w:r>
            <w:r/>
          </w:p>
        </w:tc>
        <w:tc>
          <w:tcPr>
            <w:shd w:val="clear" w:color="000000" w:fill="ffffff"/>
            <w:tcW w:w="5452" w:type="dxa"/>
            <w:vAlign w:val="center"/>
            <w:textDirection w:val="lrTb"/>
            <w:noWrap w:val="false"/>
          </w:tcPr>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1、适用于AB-3500XL遗传分析仪；适用于VeriFiler Plus PCR扩增试剂盒、Yfiler白金案件PCR扩增试剂盒扩增产物的电泳检测。</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7</w:t>
            </w:r>
            <w:r/>
          </w:p>
        </w:tc>
        <w:tc>
          <w:tcPr>
            <w:shd w:val="clear" w:color="000000" w:fill="ffffff"/>
            <w:tcW w:w="1582"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sz w:val="20"/>
                <w:szCs w:val="20"/>
                <w:highlight w:val="none"/>
              </w:rPr>
              <w:t xml:space="preserve">POP-4胶（384）</w:t>
            </w:r>
            <w:r/>
          </w:p>
        </w:tc>
        <w:tc>
          <w:tcPr>
            <w:shd w:val="clear" w:color="000000" w:fill="ffffff"/>
            <w:tcW w:w="970"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384次/盒</w:t>
            </w:r>
            <w:r/>
          </w:p>
        </w:tc>
        <w:tc>
          <w:tcPr>
            <w:shd w:val="clear" w:color="000000" w:fill="ffffff"/>
            <w:tcW w:w="709"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w:t>
            </w:r>
            <w:r>
              <w:rPr>
                <w:rFonts w:hint="eastAsia" w:ascii="宋体" w:hAnsi="宋体" w:eastAsia="宋体" w:cs="宋体"/>
                <w:color w:val="000000"/>
                <w:sz w:val="20"/>
                <w:szCs w:val="20"/>
                <w:highlight w:val="none"/>
                <w:lang w:val="en-US" w:eastAsia="zh-CN"/>
              </w:rPr>
              <w:t xml:space="preserve">7</w:t>
            </w:r>
            <w:r>
              <w:rPr>
                <w:rFonts w:hint="eastAsia" w:ascii="宋体" w:hAnsi="宋体" w:eastAsia="宋体" w:cs="宋体"/>
                <w:color w:val="000000"/>
                <w:sz w:val="20"/>
                <w:szCs w:val="20"/>
                <w:highlight w:val="none"/>
              </w:rPr>
              <w:t xml:space="preserve">盒</w:t>
            </w:r>
            <w:r/>
          </w:p>
        </w:tc>
        <w:tc>
          <w:tcPr>
            <w:shd w:val="clear" w:color="000000" w:fill="ffffff"/>
            <w:tcW w:w="5452" w:type="dxa"/>
            <w:vAlign w:val="center"/>
            <w:textDirection w:val="lrTb"/>
            <w:noWrap w:val="false"/>
          </w:tcPr>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1、适用于AB-3500XL遗传分析仪的自动射频识别电泳分离胶，动态均匀地覆盖在毛细管壁上，控制电渗流动；                  2、每盒能够满足384人份样本的检测，含4%非交联的二甲基聚丙烯酰胺、高浓度的尿素；</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3、胶能够形成一定具有均一孔径大小的、也具有高度导电性的网筛状结构，使得DNA片段能有效的根据片段大小而分离、分辨，得到准确有效的数据。</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8</w:t>
            </w:r>
            <w:r/>
          </w:p>
        </w:tc>
        <w:tc>
          <w:tcPr>
            <w:shd w:val="clear" w:color="000000" w:fill="ffffff"/>
            <w:tcW w:w="1582"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sz w:val="20"/>
                <w:szCs w:val="20"/>
                <w:highlight w:val="none"/>
              </w:rPr>
              <w:t xml:space="preserve">POP-4胶（96）</w:t>
            </w:r>
            <w:r/>
          </w:p>
        </w:tc>
        <w:tc>
          <w:tcPr>
            <w:shd w:val="clear" w:color="000000" w:fill="ffffff"/>
            <w:tcW w:w="970"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96次/盒</w:t>
            </w:r>
            <w:r/>
          </w:p>
        </w:tc>
        <w:tc>
          <w:tcPr>
            <w:shd w:val="clear" w:color="000000" w:fill="ffffff"/>
            <w:tcW w:w="709"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rPr>
              <w:t xml:space="preserve">0盒</w:t>
            </w:r>
            <w:r/>
          </w:p>
        </w:tc>
        <w:tc>
          <w:tcPr>
            <w:shd w:val="clear" w:color="000000" w:fill="ffffff"/>
            <w:tcW w:w="5452" w:type="dxa"/>
            <w:vAlign w:val="center"/>
            <w:textDirection w:val="lrTb"/>
            <w:noWrap w:val="false"/>
          </w:tcPr>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1、适用于AB-3500XL遗传分析仪的自动射频识别电泳分离胶，动态均匀地覆盖在毛细管壁上，控制电渗流动；                  2、每盒能够满足96人份样本的检测，含4%非交联的二甲基聚丙烯酰胺、高浓度的尿素；</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3、胶能够形成一定具有均一孔径大小的、也具有高度导电性的网筛状结构，使得DNA片段能有效的根据片段大小而分离、分辨，得到准确有效的数据。</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9</w:t>
            </w:r>
            <w:r/>
          </w:p>
        </w:tc>
        <w:tc>
          <w:tcPr>
            <w:shd w:val="clear" w:color="000000" w:fill="ffffff"/>
            <w:tcW w:w="1582"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sz w:val="20"/>
                <w:szCs w:val="20"/>
                <w:highlight w:val="none"/>
              </w:rPr>
              <w:t xml:space="preserve">3500阳极缓冲液</w:t>
            </w:r>
            <w:r/>
          </w:p>
        </w:tc>
        <w:tc>
          <w:tcPr>
            <w:shd w:val="clear" w:color="000000" w:fill="ffffff"/>
            <w:tcW w:w="970"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4个/盒</w:t>
            </w:r>
            <w:r/>
          </w:p>
        </w:tc>
        <w:tc>
          <w:tcPr>
            <w:shd w:val="clear" w:color="000000" w:fill="ffffff"/>
            <w:tcW w:w="709"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7盒</w:t>
            </w:r>
            <w:r/>
          </w:p>
        </w:tc>
        <w:tc>
          <w:tcPr>
            <w:shd w:val="clear" w:color="000000" w:fill="ffffff"/>
            <w:tcW w:w="5452" w:type="dxa"/>
            <w:vAlign w:val="center"/>
            <w:textDirection w:val="lrTb"/>
            <w:noWrap w:val="false"/>
          </w:tcPr>
          <w:p>
            <w:pPr>
              <w:numPr>
                <w:ilvl w:val="0"/>
                <w:numId w:val="3"/>
              </w:num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适用于AB-3500XL遗传分析仪。内含有1倍浓度的阳极缓冲液，可支持3500系列基因分析仪进行各种电泳应用。缓冲液保存于一次性的即用型容器中，容器上贴有无线射频识别（RFID） 标签。每个包装盒内含有4个独立容器。</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10</w:t>
            </w:r>
            <w:r/>
          </w:p>
        </w:tc>
        <w:tc>
          <w:tcPr>
            <w:shd w:val="clear" w:color="000000" w:fill="ffffff"/>
            <w:tcW w:w="1582"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sz w:val="20"/>
                <w:szCs w:val="20"/>
                <w:highlight w:val="none"/>
              </w:rPr>
              <w:t xml:space="preserve">3500阴极缓冲液</w:t>
            </w:r>
            <w:r/>
          </w:p>
        </w:tc>
        <w:tc>
          <w:tcPr>
            <w:shd w:val="clear" w:color="000000" w:fill="ffffff"/>
            <w:tcW w:w="970"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4个/盒</w:t>
            </w:r>
            <w:r/>
          </w:p>
        </w:tc>
        <w:tc>
          <w:tcPr>
            <w:shd w:val="clear" w:color="000000" w:fill="ffffff"/>
            <w:tcW w:w="709"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7盒</w:t>
            </w:r>
            <w:r/>
          </w:p>
        </w:tc>
        <w:tc>
          <w:tcPr>
            <w:shd w:val="clear" w:color="000000" w:fill="ffffff"/>
            <w:tcW w:w="5452" w:type="dxa"/>
            <w:vAlign w:val="center"/>
            <w:textDirection w:val="lrTb"/>
            <w:noWrap w:val="false"/>
          </w:tcPr>
          <w:p>
            <w:pPr>
              <w:numPr>
                <w:ilvl w:val="0"/>
                <w:numId w:val="4"/>
              </w:num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适用于AB-3500XL遗传分析仪。内含有1倍浓度的阴极缓冲液，可支持3500系列基因分析仪进行各种电泳应用。缓冲液保存于一次性的即用型容器中，容器上贴有无线射频识别（RFID） 标签。每个包装盒内含有4个独立容器。</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11</w:t>
            </w:r>
            <w:r/>
          </w:p>
        </w:tc>
        <w:tc>
          <w:tcPr>
            <w:shd w:val="clear" w:color="000000" w:fill="ffffff"/>
            <w:tcW w:w="1582"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sz w:val="20"/>
                <w:szCs w:val="20"/>
                <w:highlight w:val="none"/>
              </w:rPr>
              <w:t xml:space="preserve">甲酰胺</w:t>
            </w:r>
            <w:r/>
          </w:p>
        </w:tc>
        <w:tc>
          <w:tcPr>
            <w:shd w:val="clear" w:color="000000" w:fill="ffffff"/>
            <w:tcW w:w="970"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25毫升/瓶</w:t>
            </w:r>
            <w:r/>
          </w:p>
        </w:tc>
        <w:tc>
          <w:tcPr>
            <w:shd w:val="clear" w:color="000000" w:fill="ffffff"/>
            <w:tcW w:w="709"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en-US" w:eastAsia="zh-CN"/>
              </w:rPr>
              <w:t xml:space="preserve">60</w:t>
            </w:r>
            <w:r>
              <w:rPr>
                <w:rFonts w:hint="eastAsia" w:ascii="宋体" w:hAnsi="宋体" w:eastAsia="宋体" w:cs="宋体"/>
                <w:color w:val="000000"/>
                <w:sz w:val="20"/>
                <w:szCs w:val="20"/>
                <w:highlight w:val="none"/>
              </w:rPr>
              <w:t xml:space="preserve">瓶</w:t>
            </w:r>
            <w:r/>
          </w:p>
        </w:tc>
        <w:tc>
          <w:tcPr>
            <w:shd w:val="clear" w:color="000000" w:fill="ffffff"/>
            <w:tcW w:w="5452" w:type="dxa"/>
            <w:vAlign w:val="center"/>
            <w:textDirection w:val="lrTb"/>
            <w:noWrap w:val="false"/>
          </w:tcPr>
          <w:p>
            <w:pPr>
              <w:numPr>
                <w:ilvl w:val="0"/>
                <w:numId w:val="5"/>
              </w:num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适用于AB-3500XL遗传分析仪。纯度高于99.9%，25ML/瓶，电导率小于40us/cm,不影响扩增产物碱基组成和二级结构，用于片段分析和快速测序，确保获得准确无干扰分型结果。</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12</w:t>
            </w:r>
            <w:r/>
          </w:p>
        </w:tc>
        <w:tc>
          <w:tcPr>
            <w:shd w:val="clear" w:color="000000" w:fill="ffffff"/>
            <w:tcW w:w="1582"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蛋白酶K</w:t>
            </w:r>
            <w:r/>
          </w:p>
        </w:tc>
        <w:tc>
          <w:tcPr>
            <w:shd w:val="clear" w:color="000000" w:fill="ffffff"/>
            <w:tcW w:w="970"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20Mg/ml，1ml/支</w:t>
            </w:r>
            <w:r/>
          </w:p>
        </w:tc>
        <w:tc>
          <w:tcPr>
            <w:shd w:val="clear" w:color="000000" w:fill="ffffff"/>
            <w:tcW w:w="709"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80支</w:t>
            </w:r>
            <w:r/>
          </w:p>
        </w:tc>
        <w:tc>
          <w:tcPr>
            <w:shd w:val="clear" w:color="000000" w:fill="ffffff"/>
            <w:tcW w:w="5452" w:type="dxa"/>
            <w:vAlign w:val="center"/>
            <w:textDirection w:val="lrTb"/>
            <w:noWrap w:val="false"/>
          </w:tcPr>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1、液体，高效蛋白酶K，无外源性生物DNA。</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13</w:t>
            </w:r>
            <w:r/>
          </w:p>
        </w:tc>
        <w:tc>
          <w:tcPr>
            <w:shd w:val="clear" w:color="000000" w:fill="ffffff"/>
            <w:tcW w:w="1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sz w:val="20"/>
                <w:szCs w:val="20"/>
                <w:highlight w:val="none"/>
              </w:rPr>
              <w:t xml:space="preserve">蛋白酶K</w:t>
            </w:r>
            <w:r/>
          </w:p>
        </w:tc>
        <w:tc>
          <w:tcPr>
            <w:shd w:val="clear" w:color="000000" w:fill="ffffff"/>
            <w:tcW w:w="970"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100Mg/瓶</w:t>
            </w:r>
            <w:r/>
          </w:p>
        </w:tc>
        <w:tc>
          <w:tcPr>
            <w:shd w:val="clear" w:color="000000" w:fill="ffffff"/>
            <w:tcW w:w="709"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rPr>
              <w:t xml:space="preserve">0瓶</w:t>
            </w:r>
            <w:r/>
          </w:p>
        </w:tc>
        <w:tc>
          <w:tcPr>
            <w:shd w:val="clear" w:color="000000" w:fill="ffffff"/>
            <w:tcW w:w="5452" w:type="dxa"/>
            <w:vAlign w:val="center"/>
            <w:textDirection w:val="lrTb"/>
            <w:noWrap w:val="false"/>
          </w:tcPr>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1、粉末固态，高效蛋白酶K，无外源性生物DNA。</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14</w:t>
            </w:r>
            <w:r/>
          </w:p>
        </w:tc>
        <w:tc>
          <w:tcPr>
            <w:shd w:val="clear" w:color="000000" w:fill="ffffff"/>
            <w:tcW w:w="1582"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微量DNA提取试剂</w:t>
            </w:r>
            <w:r/>
          </w:p>
        </w:tc>
        <w:tc>
          <w:tcPr>
            <w:shd w:val="clear" w:color="000000" w:fill="ffffff"/>
            <w:tcW w:w="970"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200人份/盒</w:t>
            </w:r>
            <w:r/>
          </w:p>
        </w:tc>
        <w:tc>
          <w:tcPr>
            <w:shd w:val="clear" w:color="000000" w:fill="ffffff"/>
            <w:tcW w:w="709"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6</w:t>
            </w:r>
            <w:r>
              <w:rPr>
                <w:rFonts w:hint="eastAsia" w:ascii="宋体" w:hAnsi="宋体" w:eastAsia="宋体" w:cs="宋体"/>
                <w:sz w:val="20"/>
                <w:szCs w:val="20"/>
                <w:highlight w:val="none"/>
              </w:rPr>
              <w:t xml:space="preserve">盒</w:t>
            </w:r>
            <w:r/>
          </w:p>
        </w:tc>
        <w:tc>
          <w:tcPr>
            <w:shd w:val="clear" w:color="000000" w:fill="ffffff"/>
            <w:tcW w:w="5452" w:type="dxa"/>
            <w:vAlign w:val="center"/>
            <w:vMerge w:val="restart"/>
            <w:textDirection w:val="lrTb"/>
            <w:noWrap w:val="false"/>
          </w:tcPr>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1、检验原理为磁珠法提取技术，试剂盒包含裂解液、结合液、洗液、磁珠、洗脱液等。</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2、微量检材DNA提取试剂适用于1.5代澳斯邦DNA提取工作站，对设备硬件资源和软件无特殊要求，须提供验证数据。</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3、为保证提取效果，提取试剂中单样本的裂解液使用量不低于500µl，最大工作体积不高于800µl。</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★4、一次性加样尖必须符合Hamilton设备的CO-RE技术原理并具有导电功能，规格为1000ul，480支/条；全自动生产包装，无DNA酶和RNA酶的污染，并能提供相应证明文件。                                              5、圆孔板规格为96孔/块，独立塑封包装，无外源性DNA，适用于1.5代澳斯邦DNA提取工作站；废液板规格为96孔/块，适用于1.5代澳斯邦DNA提取工作站。</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6、所投产品须取得“公安部刑事技术产品质量监督检验中心”合格报告。（须提供检验报告，原件扫描上传）。</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15</w:t>
            </w:r>
            <w:r/>
          </w:p>
        </w:tc>
        <w:tc>
          <w:tcPr>
            <w:shd w:val="clear" w:color="000000" w:fill="ffffff"/>
            <w:tcW w:w="1582"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自动化工作站圆孔板</w:t>
            </w:r>
            <w:r/>
          </w:p>
        </w:tc>
        <w:tc>
          <w:tcPr>
            <w:shd w:val="clear" w:color="000000" w:fill="ffffff"/>
            <w:tcW w:w="970"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cs="宋体"/>
                <w:color w:val="000000"/>
                <w:sz w:val="20"/>
                <w:szCs w:val="20"/>
                <w:highlight w:val="none"/>
                <w:lang w:val="en-US" w:eastAsia="zh-CN"/>
              </w:rPr>
              <w:t xml:space="preserve">1.2ml* </w:t>
            </w:r>
            <w:r>
              <w:rPr>
                <w:rFonts w:hint="eastAsia" w:ascii="宋体" w:hAnsi="宋体" w:eastAsia="宋体" w:cs="宋体"/>
                <w:color w:val="000000"/>
                <w:sz w:val="20"/>
                <w:szCs w:val="20"/>
                <w:highlight w:val="none"/>
              </w:rPr>
              <w:t xml:space="preserve">96孔/块</w:t>
            </w:r>
            <w:r/>
          </w:p>
        </w:tc>
        <w:tc>
          <w:tcPr>
            <w:shd w:val="clear" w:color="000000" w:fill="ffffff"/>
            <w:tcW w:w="709"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4</w:t>
            </w:r>
            <w:r>
              <w:rPr>
                <w:rFonts w:hint="eastAsia" w:ascii="宋体" w:hAnsi="宋体" w:eastAsia="宋体" w:cs="宋体"/>
                <w:sz w:val="20"/>
                <w:szCs w:val="20"/>
                <w:highlight w:val="none"/>
              </w:rPr>
              <w:t xml:space="preserve">0块</w:t>
            </w:r>
            <w:r/>
          </w:p>
        </w:tc>
        <w:tc>
          <w:tcPr>
            <w:shd w:val="clear" w:color="000000" w:fill="ffffff"/>
            <w:tcW w:w="5452" w:type="dxa"/>
            <w:vAlign w:val="center"/>
            <w:vMerge w:val="continue"/>
            <w:textDirection w:val="lrTb"/>
            <w:noWrap w:val="false"/>
          </w:tcPr>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16</w:t>
            </w:r>
            <w:r/>
          </w:p>
        </w:tc>
        <w:tc>
          <w:tcPr>
            <w:shd w:val="clear" w:color="000000" w:fill="ffffff"/>
            <w:tcW w:w="1582"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自动化工作站废液板</w:t>
            </w:r>
            <w:r/>
          </w:p>
        </w:tc>
        <w:tc>
          <w:tcPr>
            <w:shd w:val="clear" w:color="000000" w:fill="ffffff"/>
            <w:tcW w:w="970"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cs="宋体"/>
                <w:color w:val="000000"/>
                <w:sz w:val="20"/>
                <w:szCs w:val="20"/>
                <w:highlight w:val="none"/>
                <w:lang w:val="en-US" w:eastAsia="zh-CN"/>
              </w:rPr>
              <w:t xml:space="preserve">2.2ml* </w:t>
            </w:r>
            <w:r>
              <w:rPr>
                <w:rFonts w:hint="eastAsia" w:ascii="宋体" w:hAnsi="宋体" w:eastAsia="宋体" w:cs="宋体"/>
                <w:color w:val="000000"/>
                <w:sz w:val="20"/>
                <w:szCs w:val="20"/>
                <w:highlight w:val="none"/>
              </w:rPr>
              <w:t xml:space="preserve">96孔/块</w:t>
            </w:r>
            <w:r/>
          </w:p>
        </w:tc>
        <w:tc>
          <w:tcPr>
            <w:shd w:val="clear" w:color="000000" w:fill="ffffff"/>
            <w:tcW w:w="709"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4</w:t>
            </w:r>
            <w:r>
              <w:rPr>
                <w:rFonts w:hint="eastAsia" w:ascii="宋体" w:hAnsi="宋体" w:eastAsia="宋体" w:cs="宋体"/>
                <w:sz w:val="20"/>
                <w:szCs w:val="20"/>
                <w:highlight w:val="none"/>
              </w:rPr>
              <w:t xml:space="preserve">0块</w:t>
            </w:r>
            <w:r/>
          </w:p>
        </w:tc>
        <w:tc>
          <w:tcPr>
            <w:shd w:val="clear" w:color="000000" w:fill="ffffff"/>
            <w:tcW w:w="5452" w:type="dxa"/>
            <w:vAlign w:val="center"/>
            <w:vMerge w:val="continue"/>
            <w:textDirection w:val="lrTb"/>
            <w:noWrap w:val="false"/>
          </w:tcPr>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17</w:t>
            </w:r>
            <w:r/>
          </w:p>
        </w:tc>
        <w:tc>
          <w:tcPr>
            <w:shd w:val="clear" w:color="000000" w:fill="ffffff"/>
            <w:tcW w:w="1582"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加样尖</w:t>
            </w:r>
            <w:r/>
          </w:p>
        </w:tc>
        <w:tc>
          <w:tcPr>
            <w:shd w:val="clear" w:color="000000" w:fill="ffffff"/>
            <w:tcW w:w="970"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480支/条</w:t>
            </w:r>
            <w:r/>
          </w:p>
        </w:tc>
        <w:tc>
          <w:tcPr>
            <w:shd w:val="clear" w:color="000000" w:fill="ffffff"/>
            <w:tcW w:w="709"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3</w:t>
            </w:r>
            <w:r>
              <w:rPr>
                <w:rFonts w:hint="eastAsia" w:ascii="宋体" w:hAnsi="宋体" w:eastAsia="宋体" w:cs="宋体"/>
                <w:sz w:val="20"/>
                <w:szCs w:val="20"/>
                <w:highlight w:val="none"/>
              </w:rPr>
              <w:t xml:space="preserve">0条</w:t>
            </w:r>
            <w:r/>
          </w:p>
        </w:tc>
        <w:tc>
          <w:tcPr>
            <w:shd w:val="clear" w:color="000000" w:fill="ffffff"/>
            <w:tcW w:w="5452" w:type="dxa"/>
            <w:vAlign w:val="center"/>
            <w:vMerge w:val="continue"/>
            <w:textDirection w:val="lrTb"/>
            <w:noWrap w:val="false"/>
          </w:tcPr>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18</w:t>
            </w:r>
            <w:r/>
          </w:p>
        </w:tc>
        <w:tc>
          <w:tcPr>
            <w:shd w:val="clear" w:color="000000" w:fill="ffffff"/>
            <w:tcW w:w="1582"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预封装微量DNA提取试剂1</w:t>
            </w:r>
            <w:r/>
          </w:p>
        </w:tc>
        <w:tc>
          <w:tcPr>
            <w:shd w:val="clear" w:color="000000" w:fill="ffffff"/>
            <w:tcW w:w="970"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8人份/块或16人份/块</w:t>
            </w:r>
            <w:r/>
          </w:p>
        </w:tc>
        <w:tc>
          <w:tcPr>
            <w:shd w:val="clear" w:color="000000" w:fill="ffffff"/>
            <w:tcW w:w="709"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480</w:t>
            </w:r>
            <w:r>
              <w:rPr>
                <w:rFonts w:hint="eastAsia" w:ascii="宋体" w:hAnsi="宋体" w:eastAsia="宋体" w:cs="宋体"/>
                <w:sz w:val="20"/>
                <w:szCs w:val="20"/>
                <w:highlight w:val="none"/>
              </w:rPr>
              <w:t xml:space="preserve">0份</w:t>
            </w:r>
            <w:r/>
          </w:p>
        </w:tc>
        <w:tc>
          <w:tcPr>
            <w:shd w:val="clear" w:color="000000" w:fill="ffffff"/>
            <w:tcW w:w="5452" w:type="dxa"/>
            <w:vAlign w:val="center"/>
            <w:textDirection w:val="lrTb"/>
            <w:noWrap w:val="false"/>
          </w:tcPr>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1、磁珠粒径大小：0.94uM-1.04uM ，磁珠粒径分布：≤5% 、磁珠浓度：≥35mg/ml。</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2、对于微量检材，有效去除腐植酸、靛蓝、单宁酸、血红素等抑制剂，并提供地市级以上应用公安机关验证材料。</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3、纯化好的DNA模板在4℃保存一个月，仍能正常扩增分型。</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★4、试剂盒与Auto-Pure 32A核酸提取仪匹配，应用方案在Auto-Pure 32A核酸提取仪上经过详细验证。（须提供证明材料加盖投标人公章扫描上传）</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5、预封装好的试剂耗材，可实现8个样品和16个样品自由选择，不浪费试剂。</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6、投标单位提供提取试剂生产商DNA回收率验收标准承诺书。DNA回收率验收标准：对于0.5ng/ul的标准DNA提取回收率大于95%，低于95%的做退货处理。</w:t>
            </w:r>
            <w:r/>
          </w:p>
          <w:p>
            <w:pPr>
              <w:jc w:val="left"/>
              <w:spacing w:line="360" w:lineRule="exact"/>
              <w:rPr>
                <w:rFonts w:hint="eastAsia"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7</w:t>
            </w:r>
            <w:r>
              <w:rPr>
                <w:rFonts w:hint="eastAsia" w:ascii="宋体" w:hAnsi="宋体" w:eastAsia="宋体" w:cs="宋体"/>
                <w:color w:val="000000"/>
                <w:sz w:val="20"/>
                <w:szCs w:val="20"/>
                <w:highlight w:val="none"/>
                <w:lang w:val="en-US" w:eastAsia="zh-CN"/>
              </w:rPr>
              <w:t xml:space="preserve">、</w:t>
            </w:r>
            <w:r>
              <w:rPr>
                <w:rFonts w:hint="eastAsia" w:ascii="宋体" w:hAnsi="宋体" w:eastAsia="宋体" w:cs="宋体"/>
                <w:color w:val="000000"/>
                <w:sz w:val="20"/>
                <w:szCs w:val="20"/>
                <w:highlight w:val="none"/>
              </w:rPr>
              <w:t xml:space="preserve">所投产品须取得“公安部刑事技术产品质量监督检验中心”合格报告。（须提供检验报告，原件扫描上传）。</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19</w:t>
            </w:r>
            <w:r/>
          </w:p>
        </w:tc>
        <w:tc>
          <w:tcPr>
            <w:shd w:val="clear" w:color="000000" w:fill="ffffff"/>
            <w:tcW w:w="1582"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预封装微量DNA提取试剂2</w:t>
            </w:r>
            <w:r/>
          </w:p>
        </w:tc>
        <w:tc>
          <w:tcPr>
            <w:shd w:val="clear" w:color="000000" w:fill="ffffff"/>
            <w:tcW w:w="970"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48人份/盒</w:t>
            </w:r>
            <w:r/>
          </w:p>
        </w:tc>
        <w:tc>
          <w:tcPr>
            <w:shd w:val="clear" w:color="000000" w:fill="ffffff"/>
            <w:tcW w:w="709"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10盒</w:t>
            </w:r>
            <w:r/>
          </w:p>
        </w:tc>
        <w:tc>
          <w:tcPr>
            <w:shd w:val="clear" w:color="000000" w:fill="ffffff"/>
            <w:tcW w:w="5452" w:type="dxa"/>
            <w:vAlign w:val="center"/>
            <w:textDirection w:val="lrTb"/>
            <w:noWrap w:val="false"/>
          </w:tcPr>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★1、试剂盒中包含提取DNA所用试剂及耗材，包含裂解液、蛋白酶K、硫代甘油、离心吊篮、磁力棒套管等。</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 采用磁珠法分离原理，通过磁棒的运动吸附和转移样品中核酸或蛋白结合的磁珠，从而纯化核酸/蛋白；整个纯化过程转移磁珠而非液体，在处理过程中不需要分液或吸液。</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 试剂条已预装好提取DNA所需试剂及磁珠，一个试剂条处理一个样本，节省不浪费。</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 能够匹配Maxwell自动化平台进行纯化工作。</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 试剂条贴有无线射频识别(RFID)标签的商标，便于核酸纯化仪自动检查以下问题：试剂条是否过期、套管和洗脱管是否放置在正确位置、试剂条封膜是否去除、洗脱管盖是否为打开状态等。</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6、 试剂盒可处理多种类型检材（如血斑、唾液斑、烟蒂、毛发、组织、骨骼等），上机提取纯化时间不超过25分钟，可快速有效提取检材中的微量DNA。</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7、 洗脱体积灵活多变（20-200ul均可），确保足够的DNA浓度，从而提高PCR扩增成功率。</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20</w:t>
            </w:r>
            <w:r/>
          </w:p>
        </w:tc>
        <w:tc>
          <w:tcPr>
            <w:shd w:val="clear" w:color="000000" w:fill="ffffff"/>
            <w:tcW w:w="1582"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混合斑快速分离试剂盒</w:t>
            </w:r>
            <w:r/>
          </w:p>
        </w:tc>
        <w:tc>
          <w:tcPr>
            <w:shd w:val="clear" w:color="000000" w:fill="ffffff"/>
            <w:tcW w:w="970"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48人份/盒</w:t>
            </w:r>
            <w:r/>
          </w:p>
        </w:tc>
        <w:tc>
          <w:tcPr>
            <w:shd w:val="clear" w:color="000000" w:fill="ffffff"/>
            <w:tcW w:w="709"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w:t>
            </w:r>
            <w:r>
              <w:rPr>
                <w:rFonts w:hint="eastAsia" w:ascii="宋体" w:hAnsi="宋体" w:eastAsia="宋体" w:cs="宋体"/>
                <w:color w:val="000000"/>
                <w:sz w:val="20"/>
                <w:szCs w:val="20"/>
                <w:highlight w:val="none"/>
                <w:lang w:val="en-US" w:eastAsia="zh-CN"/>
              </w:rPr>
              <w:t xml:space="preserve">5</w:t>
            </w:r>
            <w:r>
              <w:rPr>
                <w:rFonts w:hint="eastAsia" w:ascii="宋体" w:hAnsi="宋体" w:eastAsia="宋体" w:cs="宋体"/>
                <w:color w:val="000000"/>
                <w:sz w:val="20"/>
                <w:szCs w:val="20"/>
                <w:highlight w:val="none"/>
              </w:rPr>
              <w:t xml:space="preserve">盒</w:t>
            </w:r>
            <w:r/>
          </w:p>
        </w:tc>
        <w:tc>
          <w:tcPr>
            <w:shd w:val="clear" w:color="000000" w:fill="ffffff"/>
            <w:tcW w:w="5452" w:type="dxa"/>
            <w:vAlign w:val="center"/>
            <w:textDirection w:val="lrTb"/>
            <w:noWrap w:val="false"/>
          </w:tcPr>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 试剂盒中包含裂解液、洗脱液、重悬液、硫代甘油、蛋白酶K、离心吊篮等用于精斑分离所用的试剂及耗材。</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 采用差异提取法原理，使用新型顺磁性颗粒从性侵检材中有效分离精子和非精子部分，直接用于DNA定量和STR扩增。</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★3、能够匹配Maxwell等自动化平台进行纯化工作；快速分离混合斑检材中的男女成分，上机时间不超过70分钟。 男女混合比例低至1：2500，可有效分离出男性样本DNA；男性全部保留，女性消化彻底。</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 洗脱体积灵活多变（20-200ul均可），确保足够的DNA浓度，从而提高PCR扩增成功率。</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 试剂条已预装好提取DNA所需试剂及磁珠，一个试剂条处理1个样本，节省不浪费。</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rPr>
              <w:t xml:space="preserve">、 试剂条贴有无线射频识别(RFID)标签的商标，便于核酸纯化仪自动检查以下问题：试剂条是否过期、套管和洗脱管是否放置在正确位置、试剂条封膜是否去除、洗脱管盖是否为打开状态等。</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21</w:t>
            </w:r>
            <w:r/>
          </w:p>
        </w:tc>
        <w:tc>
          <w:tcPr>
            <w:shd w:val="clear" w:color="000000" w:fill="ffffff"/>
            <w:tcW w:w="1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疑难骨骼磁珠法DNA提取试剂</w:t>
            </w:r>
            <w:r/>
          </w:p>
        </w:tc>
        <w:tc>
          <w:tcPr>
            <w:shd w:val="clear" w:color="000000" w:fill="ffffff"/>
            <w:tcW w:w="970"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20</w:t>
            </w:r>
            <w:r>
              <w:rPr>
                <w:rFonts w:hint="eastAsia" w:ascii="宋体" w:hAnsi="宋体" w:cs="宋体"/>
                <w:color w:val="000000"/>
                <w:sz w:val="20"/>
                <w:szCs w:val="20"/>
                <w:highlight w:val="none"/>
                <w:lang w:eastAsia="zh-CN"/>
              </w:rPr>
              <w:t xml:space="preserve">人份</w:t>
            </w:r>
            <w:r>
              <w:rPr>
                <w:rFonts w:hint="eastAsia" w:ascii="宋体" w:hAnsi="宋体" w:eastAsia="宋体" w:cs="宋体"/>
                <w:color w:val="000000"/>
                <w:sz w:val="20"/>
                <w:szCs w:val="20"/>
                <w:highlight w:val="none"/>
              </w:rPr>
              <w:t xml:space="preserve">/盒</w:t>
            </w:r>
            <w:r/>
          </w:p>
        </w:tc>
        <w:tc>
          <w:tcPr>
            <w:shd w:val="clear" w:color="000000" w:fill="ffffff"/>
            <w:tcW w:w="709"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en-US" w:eastAsia="zh-CN"/>
              </w:rPr>
              <w:t xml:space="preserve">4</w:t>
            </w:r>
            <w:r>
              <w:rPr>
                <w:rFonts w:hint="eastAsia" w:ascii="宋体" w:hAnsi="宋体" w:eastAsia="宋体" w:cs="宋体"/>
                <w:color w:val="000000"/>
                <w:sz w:val="20"/>
                <w:szCs w:val="20"/>
                <w:highlight w:val="none"/>
              </w:rPr>
              <w:t xml:space="preserve">盒</w:t>
            </w:r>
            <w:r/>
          </w:p>
        </w:tc>
        <w:tc>
          <w:tcPr>
            <w:shd w:val="clear" w:color="000000" w:fill="ffffff"/>
            <w:tcW w:w="5452" w:type="dxa"/>
            <w:vAlign w:val="center"/>
            <w:textDirection w:val="lrTb"/>
            <w:noWrap w:val="false"/>
          </w:tcPr>
          <w:p>
            <w:pP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骨骼专用磁珠法DNA提取试剂盒为一体式封装试剂，用于DNA提取的磁珠和各种试剂通过塑料膜密封在可与大体系疑难检材DNA提取仪配套使用的塑料反应板内，使用时撕开密封膜置于仪器中即可直接用于DNA的自动化提取；</w:t>
            </w:r>
            <w:r/>
          </w:p>
          <w:p>
            <w:pP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★2、可适配BK-TQ-001G大体系等自动化核算提取设备；</w:t>
            </w:r>
            <w:r/>
          </w:p>
          <w:p>
            <w:pP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3、提取试剂盒包含：骨骼孵育液大于150ml、吸附板≥5块（每块吸附板预封装4孔，每孔15000ul吸附液）、纯化板≥5块、洗脱条≥5条、磁套≥5条；</w:t>
            </w:r>
            <w:r/>
          </w:p>
          <w:p>
            <w:pP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4、样本适用性：用于各种常规和疑难骨骼案件检材的大体系提取，每个检材单独在线吸附体积最大≥18ml。</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22</w:t>
            </w:r>
            <w:r/>
          </w:p>
        </w:tc>
        <w:tc>
          <w:tcPr>
            <w:shd w:val="clear" w:color="000000" w:fill="ffffff"/>
            <w:tcW w:w="1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超微量磁珠法DNA提取试剂</w:t>
            </w:r>
            <w:r/>
          </w:p>
        </w:tc>
        <w:tc>
          <w:tcPr>
            <w:shd w:val="clear" w:color="000000" w:fill="ffffff"/>
            <w:tcW w:w="970"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48次/盒或96次/盒</w:t>
            </w:r>
            <w:r/>
          </w:p>
        </w:tc>
        <w:tc>
          <w:tcPr>
            <w:shd w:val="clear" w:color="000000" w:fill="ffffff"/>
            <w:tcW w:w="709"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w:t>
            </w:r>
            <w:r>
              <w:rPr>
                <w:rFonts w:hint="eastAsia" w:ascii="宋体" w:hAnsi="宋体" w:eastAsia="宋体" w:cs="宋体"/>
                <w:color w:val="000000"/>
                <w:sz w:val="20"/>
                <w:szCs w:val="20"/>
                <w:highlight w:val="none"/>
                <w:lang w:val="en-US" w:eastAsia="zh-CN"/>
              </w:rPr>
              <w:t xml:space="preserve">400</w:t>
            </w:r>
            <w:r>
              <w:rPr>
                <w:rFonts w:hint="eastAsia" w:ascii="宋体" w:hAnsi="宋体" w:eastAsia="宋体" w:cs="宋体"/>
                <w:color w:val="000000"/>
                <w:sz w:val="20"/>
                <w:szCs w:val="20"/>
                <w:highlight w:val="none"/>
              </w:rPr>
              <w:t xml:space="preserve">份</w:t>
            </w:r>
            <w:r/>
          </w:p>
        </w:tc>
        <w:tc>
          <w:tcPr>
            <w:shd w:val="clear" w:color="000000" w:fill="ffffff"/>
            <w:tcW w:w="5452" w:type="dxa"/>
            <w:vAlign w:val="center"/>
            <w:textDirection w:val="lrTb"/>
            <w:noWrap w:val="false"/>
          </w:tcPr>
          <w:p>
            <w:pP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超微量磁珠法DNA提取试剂盒为一体式封装试剂，用于DNA提取的磁珠和各种试剂通过塑料膜密封在可与大体系疑难检材DNA提取仪配套使用的塑料反应板内，使用时撕开密封膜置于仪器中即可直接用于DNA的自动化提取；</w:t>
            </w:r>
            <w:r/>
          </w:p>
          <w:p>
            <w:pP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★2、可适配BK-TQ-001G大体系等自动化核算提取设备；</w:t>
            </w:r>
            <w:r/>
          </w:p>
          <w:p>
            <w:pP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3、提取试剂盒包含：1瓶裂解液、预封装试剂的纯化试剂板≥12块均为48孔深孔板，12条48孔板磁套及12条8孔联盖洗脱条，8孔联盖洗脱条可以实现30～200μL体积洗脱；</w:t>
            </w:r>
            <w:r/>
          </w:p>
          <w:p>
            <w:pPr>
              <w:spacing w:line="360" w:lineRule="exact"/>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rPr>
              <w:t xml:space="preserve">4、样本适用性：用于各种常规和疑难案件检材的自动化 DNA 提取，尤其是针对杂质含量高的检材，全面升级了缓冲液配方，大大提高了抗杂质干扰能力。</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23</w:t>
            </w:r>
            <w:r/>
          </w:p>
        </w:tc>
        <w:tc>
          <w:tcPr>
            <w:shd w:val="clear" w:color="000000" w:fill="ffffff"/>
            <w:tcW w:w="1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盒装灭菌加样尖1</w:t>
            </w:r>
            <w:r/>
          </w:p>
        </w:tc>
        <w:tc>
          <w:tcPr>
            <w:shd w:val="clear" w:color="000000" w:fill="ffffff"/>
            <w:tcW w:w="970"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50盒/箱</w:t>
            </w:r>
            <w:r/>
          </w:p>
        </w:tc>
        <w:tc>
          <w:tcPr>
            <w:shd w:val="clear" w:color="000000" w:fill="ffffff"/>
            <w:tcW w:w="709"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6</w:t>
            </w:r>
            <w:r>
              <w:rPr>
                <w:rFonts w:hint="eastAsia" w:ascii="宋体" w:hAnsi="宋体" w:eastAsia="宋体" w:cs="宋体"/>
                <w:sz w:val="20"/>
                <w:szCs w:val="20"/>
                <w:highlight w:val="none"/>
              </w:rPr>
              <w:t xml:space="preserve">箱</w:t>
            </w:r>
            <w:r/>
          </w:p>
        </w:tc>
        <w:tc>
          <w:tcPr>
            <w:shd w:val="clear" w:color="000000" w:fill="ffffff"/>
            <w:tcW w:w="5452" w:type="dxa"/>
            <w:vAlign w:val="center"/>
            <w:textDirection w:val="lrTb"/>
            <w:noWrap w:val="false"/>
          </w:tcPr>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1、1000ul*96支/盒，50盒/箱，无菌、塑封、盒装单独包装，移液器配套吸头</w:t>
            </w:r>
            <w:r>
              <w:rPr>
                <w:rFonts w:hint="eastAsia" w:ascii="宋体" w:hAnsi="宋体" w:cs="宋体"/>
                <w:color w:val="000000"/>
                <w:sz w:val="20"/>
                <w:szCs w:val="20"/>
                <w:highlight w:val="none"/>
                <w:lang w:eastAsia="zh-CN"/>
              </w:rPr>
              <w:t xml:space="preserve">。</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24</w:t>
            </w:r>
            <w:r/>
          </w:p>
        </w:tc>
        <w:tc>
          <w:tcPr>
            <w:shd w:val="clear" w:color="000000" w:fill="ffffff"/>
            <w:tcW w:w="1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盒装灭菌加样尖2</w:t>
            </w:r>
            <w:r/>
          </w:p>
        </w:tc>
        <w:tc>
          <w:tcPr>
            <w:shd w:val="clear" w:color="000000" w:fill="ffffff"/>
            <w:tcW w:w="970"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50盒/箱</w:t>
            </w:r>
            <w:r/>
          </w:p>
        </w:tc>
        <w:tc>
          <w:tcPr>
            <w:shd w:val="clear" w:color="000000" w:fill="ffffff"/>
            <w:tcW w:w="709"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10箱</w:t>
            </w:r>
            <w:r/>
          </w:p>
        </w:tc>
        <w:tc>
          <w:tcPr>
            <w:shd w:val="clear" w:color="000000" w:fill="ffffff"/>
            <w:tcW w:w="5452" w:type="dxa"/>
            <w:vAlign w:val="center"/>
            <w:textDirection w:val="lrTb"/>
            <w:noWrap w:val="false"/>
          </w:tcPr>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 10ul*96支/盒，50盒/箱，无菌、塑封、盒装单独包装，移液器配套吸头</w:t>
            </w:r>
            <w:r>
              <w:rPr>
                <w:rFonts w:hint="eastAsia" w:ascii="宋体" w:hAnsi="宋体" w:cs="宋体"/>
                <w:color w:val="000000"/>
                <w:sz w:val="20"/>
                <w:szCs w:val="20"/>
                <w:highlight w:val="none"/>
                <w:lang w:eastAsia="zh-CN"/>
              </w:rPr>
              <w:t xml:space="preserve">。</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25</w:t>
            </w:r>
            <w:r/>
          </w:p>
        </w:tc>
        <w:tc>
          <w:tcPr>
            <w:shd w:val="clear" w:color="000000" w:fill="ffffff"/>
            <w:tcW w:w="1582"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PCR 8联排管</w:t>
            </w:r>
            <w:r/>
          </w:p>
        </w:tc>
        <w:tc>
          <w:tcPr>
            <w:shd w:val="clear" w:color="000000" w:fill="ffffff"/>
            <w:tcW w:w="970"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0.2ml*125套/盒</w:t>
            </w:r>
            <w:r/>
          </w:p>
        </w:tc>
        <w:tc>
          <w:tcPr>
            <w:shd w:val="clear" w:color="000000" w:fill="ffffff"/>
            <w:tcW w:w="709"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 xml:space="preserve">6</w:t>
            </w:r>
            <w:r>
              <w:rPr>
                <w:rFonts w:hint="eastAsia" w:ascii="宋体" w:hAnsi="宋体" w:eastAsia="宋体" w:cs="宋体"/>
                <w:sz w:val="20"/>
                <w:szCs w:val="20"/>
                <w:highlight w:val="none"/>
              </w:rPr>
              <w:t xml:space="preserve">0盒</w:t>
            </w:r>
            <w:r/>
          </w:p>
        </w:tc>
        <w:tc>
          <w:tcPr>
            <w:shd w:val="clear" w:color="000000" w:fill="ffffff"/>
            <w:tcW w:w="5452" w:type="dxa"/>
            <w:vAlign w:val="center"/>
            <w:textDirection w:val="lrTb"/>
            <w:noWrap w:val="false"/>
          </w:tcPr>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1、单管容量为0.2ml，鼓盖型，125套/盒，无外源性生物DNA；适用于AB 9700扩增仪。</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26</w:t>
            </w:r>
            <w:r/>
          </w:p>
        </w:tc>
        <w:tc>
          <w:tcPr>
            <w:shd w:val="clear" w:color="000000" w:fill="ffffff"/>
            <w:tcW w:w="1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DNA提取过滤套管</w:t>
            </w:r>
            <w:r/>
          </w:p>
        </w:tc>
        <w:tc>
          <w:tcPr>
            <w:shd w:val="clear" w:color="000000" w:fill="ffffff"/>
            <w:tcW w:w="970"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1.5ML* </w:t>
            </w:r>
            <w:r>
              <w:rPr>
                <w:rFonts w:hint="eastAsia" w:ascii="宋体" w:hAnsi="宋体" w:eastAsia="宋体" w:cs="宋体"/>
                <w:color w:val="000000" w:themeColor="text1"/>
                <w:sz w:val="20"/>
                <w:szCs w:val="20"/>
                <w:highlight w:val="none"/>
                <w14:textFill>
                  <w14:solidFill>
                    <w14:schemeClr w14:val="tx1"/>
                  </w14:solidFill>
                </w14:textFill>
              </w:rPr>
              <w:t xml:space="preserve">100套/盒</w:t>
            </w:r>
            <w:r/>
          </w:p>
        </w:tc>
        <w:tc>
          <w:tcPr>
            <w:shd w:val="clear" w:color="000000" w:fill="ffffff"/>
            <w:tcW w:w="709"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en-US" w:eastAsia="zh-CN"/>
              </w:rPr>
              <w:t xml:space="preserve">20</w:t>
            </w:r>
            <w:r>
              <w:rPr>
                <w:rFonts w:hint="eastAsia" w:ascii="宋体" w:hAnsi="宋体" w:eastAsia="宋体" w:cs="宋体"/>
                <w:color w:val="000000"/>
                <w:sz w:val="20"/>
                <w:szCs w:val="20"/>
                <w:highlight w:val="none"/>
              </w:rPr>
              <w:t xml:space="preserve">0盒</w:t>
            </w:r>
            <w:r/>
          </w:p>
        </w:tc>
        <w:tc>
          <w:tcPr>
            <w:shd w:val="clear" w:color="000000" w:fill="ffffff"/>
            <w:tcW w:w="5452" w:type="dxa"/>
            <w:vAlign w:val="center"/>
            <w:textDirection w:val="lrTb"/>
            <w:noWrap w:val="false"/>
          </w:tcPr>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1、1.5ml的超滤套管的过滤膜由惰性材料制成，化学稳定性和热稳定性好，对DNA无吸附作用；超滤单管需具有独特的膜焊接技术，确保样本在加热裂解过程中，无液体渗漏现象，使细胞充分裂解。</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★2、过滤膜过滤颗粒小于5um，过滤器的设计对离心机无苛刻要求，可任意角度离心，无离心盲区，离心充分彻底，无外源性DNA污染。</w:t>
            </w:r>
            <w:r/>
          </w:p>
          <w:p>
            <w:pPr>
              <w:jc w:val="left"/>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3、所投产品须取得“公安部刑事技术产品质量监督检验中心”合格报告。（须提供检验报告，原件扫描上传）。 </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27</w:t>
            </w:r>
            <w:r/>
          </w:p>
        </w:tc>
        <w:tc>
          <w:tcPr>
            <w:shd w:val="clear" w:color="000000" w:fill="ffffff"/>
            <w:tcW w:w="1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针形粘性植绒棉签</w:t>
            </w:r>
            <w:r/>
          </w:p>
        </w:tc>
        <w:tc>
          <w:tcPr>
            <w:shd w:val="clear" w:color="000000" w:fill="ffffff"/>
            <w:tcW w:w="970"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10只/袋</w:t>
            </w:r>
            <w:r/>
          </w:p>
        </w:tc>
        <w:tc>
          <w:tcPr>
            <w:shd w:val="clear" w:color="000000" w:fill="ffffff"/>
            <w:tcW w:w="709"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10袋</w:t>
            </w:r>
            <w:r/>
          </w:p>
        </w:tc>
        <w:tc>
          <w:tcPr>
            <w:shd w:val="clear" w:color="000000" w:fill="ffffff"/>
            <w:tcW w:w="5452" w:type="dxa"/>
            <w:vAlign w:val="center"/>
            <w:vMerge w:val="restart"/>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1、针形、锥形、柱形粘性植绒棉签，塑料管密封独立包装，经灭菌处理，无人源性污染。</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28</w:t>
            </w:r>
            <w:r/>
          </w:p>
        </w:tc>
        <w:tc>
          <w:tcPr>
            <w:shd w:val="clear" w:color="000000" w:fill="ffffff"/>
            <w:tcW w:w="1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锥形粘性植绒棉签</w:t>
            </w:r>
            <w:r/>
          </w:p>
        </w:tc>
        <w:tc>
          <w:tcPr>
            <w:shd w:val="clear" w:color="000000" w:fill="ffffff"/>
            <w:tcW w:w="970"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10只/袋</w:t>
            </w:r>
            <w:r/>
          </w:p>
        </w:tc>
        <w:tc>
          <w:tcPr>
            <w:shd w:val="clear" w:color="000000" w:fill="ffffff"/>
            <w:tcW w:w="709"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10袋</w:t>
            </w:r>
            <w:r/>
          </w:p>
        </w:tc>
        <w:tc>
          <w:tcPr>
            <w:shd w:val="clear" w:color="000000" w:fill="ffffff"/>
            <w:tcW w:w="5452"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29</w:t>
            </w:r>
            <w:r/>
          </w:p>
        </w:tc>
        <w:tc>
          <w:tcPr>
            <w:shd w:val="clear" w:color="000000" w:fill="ffffff"/>
            <w:tcW w:w="1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柱形粘性植绒棉签</w:t>
            </w:r>
            <w:r/>
          </w:p>
        </w:tc>
        <w:tc>
          <w:tcPr>
            <w:shd w:val="clear" w:color="000000" w:fill="ffffff"/>
            <w:tcW w:w="970"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10只/袋</w:t>
            </w:r>
            <w:r/>
          </w:p>
        </w:tc>
        <w:tc>
          <w:tcPr>
            <w:shd w:val="clear" w:color="000000" w:fill="ffffff"/>
            <w:tcBorders>
              <w:bottom w:val="single" w:color="auto" w:sz="4" w:space="0"/>
            </w:tcBorders>
            <w:tcW w:w="709"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10袋</w:t>
            </w:r>
            <w:r/>
          </w:p>
        </w:tc>
        <w:tc>
          <w:tcPr>
            <w:shd w:val="clear" w:color="000000" w:fill="ffffff"/>
            <w:tcBorders>
              <w:bottom w:val="single" w:color="auto" w:sz="4" w:space="0"/>
            </w:tcBorders>
            <w:tcW w:w="5452" w:type="dxa"/>
            <w:vAlign w:val="center"/>
            <w:vMerge w:val="continue"/>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30</w:t>
            </w:r>
            <w:r/>
          </w:p>
        </w:tc>
        <w:tc>
          <w:tcPr>
            <w:shd w:val="clear" w:color="000000" w:fill="ffffff"/>
            <w:tcW w:w="1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基座式脱落细胞粘取器</w:t>
            </w:r>
            <w:r/>
          </w:p>
        </w:tc>
        <w:tc>
          <w:tcPr>
            <w:shd w:val="clear" w:color="000000" w:fill="ffffff"/>
            <w:tcW w:w="970"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10个/盒</w:t>
            </w:r>
            <w:r/>
          </w:p>
        </w:tc>
        <w:tc>
          <w:tcPr>
            <w:shd w:val="clear" w:color="000000" w:fill="ffffff"/>
            <w:tcW w:w="709"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100盒</w:t>
            </w:r>
            <w:r/>
          </w:p>
        </w:tc>
        <w:tc>
          <w:tcPr>
            <w:shd w:val="clear" w:color="000000" w:fill="ffffff"/>
            <w:tcW w:w="5452" w:type="dxa"/>
            <w:vAlign w:val="center"/>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1、灭菌，无外源性生物DNA，硬质基地，优质粘胶片材质，配套一次性镊子。</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sz w:val="20"/>
                <w:szCs w:val="20"/>
                <w:highlight w:val="none"/>
              </w:rPr>
            </w:pPr>
            <w:r>
              <w:rPr>
                <w:rFonts w:hint="eastAsia" w:ascii="宋体" w:hAnsi="宋体" w:eastAsia="宋体" w:cs="宋体"/>
                <w:color w:val="000000"/>
                <w:sz w:val="20"/>
                <w:szCs w:val="20"/>
                <w:highlight w:val="none"/>
              </w:rPr>
              <w:t xml:space="preserve">31</w:t>
            </w:r>
            <w:r/>
          </w:p>
        </w:tc>
        <w:tc>
          <w:tcPr>
            <w:shd w:val="clear" w:color="000000" w:fill="ffffff"/>
            <w:tcW w:w="1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AIE显现试剂</w:t>
            </w:r>
            <w:r/>
          </w:p>
        </w:tc>
        <w:tc>
          <w:tcPr>
            <w:shd w:val="clear" w:color="000000" w:fill="ffffff"/>
            <w:tcW w:w="970"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罐装</w:t>
            </w:r>
            <w:r/>
          </w:p>
        </w:tc>
        <w:tc>
          <w:tcPr>
            <w:shd w:val="clear" w:color="000000" w:fill="ffffff"/>
            <w:tcW w:w="709"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en-US" w:eastAsia="zh-CN"/>
              </w:rPr>
              <w:t xml:space="preserve">10</w:t>
            </w:r>
            <w:r>
              <w:rPr>
                <w:rFonts w:hint="eastAsia" w:ascii="宋体" w:hAnsi="宋体" w:eastAsia="宋体" w:cs="宋体"/>
                <w:color w:val="000000"/>
                <w:sz w:val="20"/>
                <w:szCs w:val="20"/>
                <w:highlight w:val="none"/>
              </w:rPr>
              <w:t xml:space="preserve">罐</w:t>
            </w:r>
            <w:r/>
          </w:p>
        </w:tc>
        <w:tc>
          <w:tcPr>
            <w:shd w:val="clear" w:color="000000" w:fill="ffffff"/>
            <w:tcW w:w="5452" w:type="dxa"/>
            <w:vAlign w:val="center"/>
            <w:textDirection w:val="lrTb"/>
            <w:noWrap w:val="false"/>
          </w:tcPr>
          <w:p>
            <w:pP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1、采用AIE聚集诱导发光技术，与蓝、绿光源物证发现仪配套使用；即喷即显，秒级显现；可视化精确定位汗液斑，不破坏检材DNA，对环境无污染对人体无危害。</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sz w:val="20"/>
                <w:szCs w:val="20"/>
                <w:highlight w:val="none"/>
              </w:rPr>
            </w:pPr>
            <w:r>
              <w:rPr>
                <w:rFonts w:hint="eastAsia" w:ascii="宋体" w:hAnsi="宋体" w:eastAsia="宋体" w:cs="宋体"/>
                <w:color w:val="000000"/>
                <w:sz w:val="20"/>
                <w:szCs w:val="20"/>
                <w:highlight w:val="none"/>
              </w:rPr>
              <w:t xml:space="preserve">32</w:t>
            </w:r>
            <w:r/>
          </w:p>
        </w:tc>
        <w:tc>
          <w:tcPr>
            <w:shd w:val="clear" w:color="000000" w:fill="ffffff"/>
            <w:tcW w:w="1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丁晴手套</w:t>
            </w:r>
            <w:r/>
          </w:p>
        </w:tc>
        <w:tc>
          <w:tcPr>
            <w:shd w:val="clear" w:color="000000" w:fill="ffffff"/>
            <w:tcW w:w="970"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100只*10盒/箱</w:t>
            </w:r>
            <w:r/>
          </w:p>
        </w:tc>
        <w:tc>
          <w:tcPr>
            <w:shd w:val="clear" w:color="000000" w:fill="ffffff"/>
            <w:tcW w:w="709"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20箱</w:t>
            </w:r>
            <w:r/>
          </w:p>
        </w:tc>
        <w:tc>
          <w:tcPr>
            <w:shd w:val="clear" w:color="000000" w:fill="ffffff"/>
            <w:tcW w:w="5452" w:type="dxa"/>
            <w:vAlign w:val="center"/>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1、100只*10盒/箱，中号、大号,医用级丁晴材质，无粉光面。</w:t>
            </w:r>
            <w:r/>
          </w:p>
        </w:tc>
      </w:tr>
      <w:tr>
        <w:trPr>
          <w:trHeight w:val="23"/>
        </w:trPr>
        <w:tc>
          <w:tcPr>
            <w:shd w:val="clear" w:color="000000" w:fill="ffffff"/>
            <w:tcW w:w="578" w:type="dxa"/>
            <w:vAlign w:val="center"/>
            <w:textDirection w:val="lrTb"/>
            <w:noWrap w:val="false"/>
          </w:tcPr>
          <w:p>
            <w:pPr>
              <w:jc w:val="center"/>
              <w:spacing w:line="360" w:lineRule="exact"/>
              <w:rPr>
                <w:rFonts w:hint="eastAsia" w:ascii="宋体" w:hAnsi="宋体" w:eastAsia="宋体" w:cs="宋体"/>
                <w:sz w:val="20"/>
                <w:szCs w:val="20"/>
                <w:highlight w:val="none"/>
              </w:rPr>
            </w:pPr>
            <w:r>
              <w:rPr>
                <w:rFonts w:hint="eastAsia" w:ascii="宋体" w:hAnsi="宋体" w:eastAsia="宋体" w:cs="宋体"/>
                <w:color w:val="000000"/>
                <w:sz w:val="20"/>
                <w:szCs w:val="20"/>
                <w:highlight w:val="none"/>
              </w:rPr>
              <w:t xml:space="preserve">33</w:t>
            </w:r>
            <w:r/>
          </w:p>
        </w:tc>
        <w:tc>
          <w:tcPr>
            <w:shd w:val="clear" w:color="000000" w:fill="ffffff"/>
            <w:tcW w:w="1582"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现场DNA专用提取液</w:t>
            </w:r>
            <w:r/>
          </w:p>
        </w:tc>
        <w:tc>
          <w:tcPr>
            <w:shd w:val="clear" w:color="000000" w:fill="ffffff"/>
            <w:tcW w:w="970"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20ml*</w:t>
            </w:r>
            <w:r/>
          </w:p>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100瓶/盒</w:t>
            </w:r>
            <w:r/>
          </w:p>
        </w:tc>
        <w:tc>
          <w:tcPr>
            <w:shd w:val="clear" w:color="000000" w:fill="ffffff"/>
            <w:tcW w:w="709" w:type="dxa"/>
            <w:vAlign w:val="center"/>
            <w:textDirection w:val="lrTb"/>
            <w:noWrap w:val="false"/>
          </w:tcPr>
          <w:p>
            <w:pPr>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en-US" w:eastAsia="zh-CN"/>
              </w:rPr>
              <w:t xml:space="preserve">4</w:t>
            </w:r>
            <w:r>
              <w:rPr>
                <w:rFonts w:hint="eastAsia" w:ascii="宋体" w:hAnsi="宋体" w:eastAsia="宋体" w:cs="宋体"/>
                <w:color w:val="000000"/>
                <w:sz w:val="20"/>
                <w:szCs w:val="20"/>
                <w:highlight w:val="none"/>
              </w:rPr>
              <w:t xml:space="preserve">盒</w:t>
            </w:r>
            <w:r/>
          </w:p>
        </w:tc>
        <w:tc>
          <w:tcPr>
            <w:shd w:val="clear" w:color="000000" w:fill="ffffff"/>
            <w:tcW w:w="5452" w:type="dxa"/>
            <w:vAlign w:val="center"/>
            <w:textDirection w:val="lrTb"/>
            <w:noWrap w:val="false"/>
          </w:tcPr>
          <w:p>
            <w:pPr>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1、灭菌处理，适用于现场物证的提取、保存。</w:t>
            </w:r>
            <w:r/>
          </w:p>
        </w:tc>
      </w:tr>
    </w:tbl>
    <w:p>
      <w:pPr>
        <w:ind w:firstLine="434"/>
        <w:spacing w:line="440" w:lineRule="exact"/>
        <w:rPr>
          <w:rFonts w:hint="eastAsia" w:ascii="宋体" w:hAnsi="宋体" w:eastAsia="宋体" w:cs="宋体"/>
          <w:b/>
          <w:bCs/>
          <w:spacing w:val="3"/>
          <w:szCs w:val="21"/>
          <w:highlight w:val="none"/>
        </w:rPr>
      </w:pPr>
      <w:r>
        <w:rPr>
          <w:rFonts w:hint="eastAsia" w:ascii="宋体" w:hAnsi="宋体" w:eastAsia="宋体" w:cs="宋体"/>
          <w:b/>
          <w:bCs/>
          <w:spacing w:val="3"/>
          <w:szCs w:val="21"/>
          <w:highlight w:val="none"/>
        </w:rPr>
      </w:r>
      <w:r/>
    </w:p>
    <w:p>
      <w:pPr>
        <w:ind w:firstLine="434"/>
        <w:spacing w:line="440" w:lineRule="exact"/>
        <w:rPr>
          <w:rFonts w:hint="eastAsia" w:ascii="宋体" w:hAnsi="宋体" w:eastAsia="宋体" w:cs="宋体"/>
          <w:b/>
          <w:bCs/>
          <w:spacing w:val="3"/>
          <w:szCs w:val="21"/>
          <w:highlight w:val="none"/>
        </w:rPr>
      </w:pPr>
      <w:r>
        <w:rPr>
          <w:rFonts w:hint="eastAsia" w:ascii="宋体" w:hAnsi="宋体" w:eastAsia="宋体" w:cs="宋体"/>
          <w:b/>
          <w:bCs/>
          <w:spacing w:val="3"/>
          <w:szCs w:val="21"/>
          <w:highlight w:val="none"/>
        </w:rPr>
        <w:t xml:space="preserve">（三）其他要求</w:t>
      </w:r>
      <w:r/>
    </w:p>
    <w:p>
      <w:pPr>
        <w:ind w:firstLine="432"/>
        <w:spacing w:line="440" w:lineRule="exact"/>
        <w:rPr>
          <w:rFonts w:hint="eastAsia" w:ascii="宋体" w:hAnsi="宋体" w:eastAsia="宋体" w:cs="宋体"/>
          <w:spacing w:val="3"/>
          <w:szCs w:val="21"/>
          <w:highlight w:val="none"/>
        </w:rPr>
      </w:pPr>
      <w:r>
        <w:rPr>
          <w:rFonts w:hint="eastAsia" w:ascii="宋体" w:hAnsi="宋体" w:eastAsia="宋体" w:cs="宋体"/>
          <w:spacing w:val="3"/>
          <w:szCs w:val="21"/>
          <w:highlight w:val="none"/>
          <w:lang w:val="zh-CN"/>
        </w:rPr>
        <w:t xml:space="preserve">（</w:t>
      </w:r>
      <w:r>
        <w:rPr>
          <w:rFonts w:hint="eastAsia" w:ascii="宋体" w:hAnsi="宋体" w:eastAsia="宋体" w:cs="宋体"/>
          <w:spacing w:val="3"/>
          <w:szCs w:val="21"/>
          <w:highlight w:val="none"/>
        </w:rPr>
        <w:t xml:space="preserve">1</w:t>
      </w:r>
      <w:r>
        <w:rPr>
          <w:rFonts w:hint="eastAsia" w:ascii="宋体" w:hAnsi="宋体" w:eastAsia="宋体" w:cs="宋体"/>
          <w:spacing w:val="3"/>
          <w:szCs w:val="21"/>
          <w:highlight w:val="none"/>
          <w:lang w:val="zh-CN"/>
        </w:rPr>
        <w:t xml:space="preserve">）供货期：中标人于合同签订之日起</w:t>
      </w:r>
      <w:r>
        <w:rPr>
          <w:rFonts w:hint="eastAsia" w:ascii="宋体" w:hAnsi="宋体" w:eastAsia="宋体" w:cs="宋体"/>
          <w:spacing w:val="3"/>
          <w:szCs w:val="21"/>
          <w:highlight w:val="none"/>
        </w:rPr>
        <w:t xml:space="preserve">50</w:t>
      </w:r>
      <w:r>
        <w:rPr>
          <w:rFonts w:hint="eastAsia" w:ascii="宋体" w:hAnsi="宋体" w:eastAsia="宋体" w:cs="宋体"/>
          <w:spacing w:val="3"/>
          <w:szCs w:val="21"/>
          <w:highlight w:val="none"/>
          <w:lang w:val="zh-CN"/>
        </w:rPr>
        <w:t xml:space="preserve">个工作日内一次性交付全部货物，采购人在货到</w:t>
      </w:r>
      <w:r>
        <w:rPr>
          <w:rFonts w:hint="eastAsia" w:ascii="宋体" w:hAnsi="宋体" w:eastAsia="宋体" w:cs="宋体"/>
          <w:spacing w:val="3"/>
          <w:szCs w:val="21"/>
          <w:highlight w:val="none"/>
        </w:rPr>
        <w:t xml:space="preserve">10</w:t>
      </w:r>
      <w:r>
        <w:rPr>
          <w:rFonts w:hint="eastAsia" w:ascii="宋体" w:hAnsi="宋体" w:eastAsia="宋体" w:cs="宋体"/>
          <w:spacing w:val="3"/>
          <w:szCs w:val="21"/>
          <w:highlight w:val="none"/>
          <w:lang w:val="zh-CN"/>
        </w:rPr>
        <w:t xml:space="preserve">个工作日内负责组织验收。</w:t>
      </w:r>
      <w:r/>
    </w:p>
    <w:p>
      <w:pPr>
        <w:ind w:firstLine="432"/>
        <w:spacing w:line="440" w:lineRule="exact"/>
        <w:rPr>
          <w:rFonts w:hint="eastAsia" w:ascii="宋体" w:hAnsi="宋体" w:eastAsia="宋体" w:cs="宋体"/>
          <w:spacing w:val="3"/>
          <w:szCs w:val="21"/>
          <w:highlight w:val="none"/>
          <w:lang w:val="zh-CN"/>
        </w:rPr>
      </w:pPr>
      <w:r>
        <w:rPr>
          <w:rFonts w:hint="eastAsia" w:ascii="宋体" w:hAnsi="宋体" w:eastAsia="宋体" w:cs="宋体"/>
          <w:spacing w:val="3"/>
          <w:szCs w:val="21"/>
          <w:highlight w:val="none"/>
          <w:lang w:val="zh-CN"/>
        </w:rPr>
        <w:t xml:space="preserve">（</w:t>
      </w:r>
      <w:r>
        <w:rPr>
          <w:rFonts w:hint="eastAsia" w:ascii="宋体" w:hAnsi="宋体" w:eastAsia="宋体" w:cs="宋体"/>
          <w:spacing w:val="3"/>
          <w:szCs w:val="21"/>
          <w:highlight w:val="none"/>
        </w:rPr>
        <w:t xml:space="preserve">2</w:t>
      </w:r>
      <w:r>
        <w:rPr>
          <w:rFonts w:hint="eastAsia" w:ascii="宋体" w:hAnsi="宋体" w:eastAsia="宋体" w:cs="宋体"/>
          <w:spacing w:val="3"/>
          <w:szCs w:val="21"/>
          <w:highlight w:val="none"/>
          <w:lang w:val="zh-CN"/>
        </w:rPr>
        <w:t xml:space="preserve">）质保期：验收合格之日起壹年。</w:t>
      </w:r>
      <w:r/>
    </w:p>
    <w:p>
      <w:pPr>
        <w:ind w:firstLine="432"/>
        <w:spacing w:line="440" w:lineRule="exact"/>
        <w:rPr>
          <w:rFonts w:hint="eastAsia" w:ascii="宋体" w:hAnsi="宋体" w:eastAsia="宋体" w:cs="宋体"/>
          <w:spacing w:val="3"/>
          <w:szCs w:val="21"/>
          <w:highlight w:val="none"/>
          <w:lang w:val="zh-CN"/>
        </w:rPr>
      </w:pPr>
      <w:r>
        <w:rPr>
          <w:rFonts w:hint="eastAsia" w:ascii="宋体" w:hAnsi="宋体" w:eastAsia="宋体" w:cs="宋体"/>
          <w:spacing w:val="3"/>
          <w:szCs w:val="21"/>
          <w:highlight w:val="none"/>
          <w:lang w:val="zh-CN"/>
        </w:rPr>
        <w:t xml:space="preserve">（</w:t>
      </w:r>
      <w:r>
        <w:rPr>
          <w:rFonts w:hint="eastAsia" w:ascii="宋体" w:hAnsi="宋体" w:eastAsia="宋体" w:cs="宋体"/>
          <w:spacing w:val="3"/>
          <w:szCs w:val="21"/>
          <w:highlight w:val="none"/>
        </w:rPr>
        <w:t xml:space="preserve">3</w:t>
      </w:r>
      <w:r>
        <w:rPr>
          <w:rFonts w:hint="eastAsia" w:ascii="宋体" w:hAnsi="宋体" w:eastAsia="宋体" w:cs="宋体"/>
          <w:spacing w:val="3"/>
          <w:szCs w:val="21"/>
          <w:highlight w:val="none"/>
          <w:lang w:val="zh-CN"/>
        </w:rPr>
        <w:t xml:space="preserve">）本项目的核心产品为：24个以上常染色体STR案件扩增试剂盒1。</w:t>
      </w:r>
      <w:r/>
    </w:p>
    <w:p>
      <w:pPr>
        <w:ind w:firstLine="432"/>
        <w:spacing w:line="440" w:lineRule="exact"/>
        <w:rPr>
          <w:rFonts w:hint="eastAsia" w:ascii="宋体" w:hAnsi="宋体" w:eastAsia="宋体" w:cs="宋体"/>
          <w:i/>
          <w:iCs/>
          <w:spacing w:val="3"/>
          <w:szCs w:val="21"/>
          <w:highlight w:val="none"/>
          <w:u w:val="single"/>
          <w:lang w:val="zh-CN"/>
        </w:rPr>
      </w:pPr>
      <w:r>
        <w:rPr>
          <w:rFonts w:hint="eastAsia" w:ascii="宋体" w:hAnsi="宋体" w:eastAsia="宋体" w:cs="宋体"/>
          <w:i/>
          <w:iCs/>
          <w:spacing w:val="3"/>
          <w:szCs w:val="21"/>
          <w:highlight w:val="none"/>
          <w:u w:val="single"/>
          <w:lang w:val="zh-CN"/>
        </w:rPr>
        <w:t xml:space="preserve">（</w:t>
      </w:r>
      <w:r>
        <w:rPr>
          <w:rFonts w:hint="eastAsia" w:ascii="宋体" w:hAnsi="宋体" w:eastAsia="宋体" w:cs="宋体"/>
          <w:i/>
          <w:iCs/>
          <w:spacing w:val="3"/>
          <w:szCs w:val="21"/>
          <w:highlight w:val="none"/>
          <w:u w:val="single"/>
        </w:rPr>
        <w:t xml:space="preserve">4</w:t>
      </w:r>
      <w:r>
        <w:rPr>
          <w:rFonts w:hint="eastAsia" w:ascii="宋体" w:hAnsi="宋体" w:eastAsia="宋体" w:cs="宋体"/>
          <w:i/>
          <w:iCs/>
          <w:spacing w:val="3"/>
          <w:szCs w:val="21"/>
          <w:highlight w:val="none"/>
          <w:u w:val="single"/>
          <w:lang w:val="zh-CN"/>
        </w:rPr>
        <w:t xml:space="preserve">）所投检测试剂盒名称及其基因座信息必须收录全国公安机关</w:t>
      </w:r>
      <w:r>
        <w:rPr>
          <w:rFonts w:hint="eastAsia" w:ascii="宋体" w:hAnsi="宋体" w:eastAsia="宋体" w:cs="宋体"/>
          <w:i/>
          <w:iCs/>
          <w:spacing w:val="3"/>
          <w:szCs w:val="21"/>
          <w:highlight w:val="none"/>
          <w:u w:val="single"/>
        </w:rPr>
        <w:t xml:space="preserve">DNA</w:t>
      </w:r>
      <w:r>
        <w:rPr>
          <w:rFonts w:hint="eastAsia" w:ascii="宋体" w:hAnsi="宋体" w:eastAsia="宋体" w:cs="宋体"/>
          <w:i/>
          <w:iCs/>
          <w:spacing w:val="3"/>
          <w:szCs w:val="21"/>
          <w:highlight w:val="none"/>
          <w:u w:val="single"/>
          <w:lang w:val="zh-CN"/>
        </w:rPr>
        <w:t xml:space="preserve">综合管理信息系统。（须提供证明材料扫描上传）。</w:t>
      </w:r>
      <w:r/>
    </w:p>
    <w:p>
      <w:pPr>
        <w:spacing w:line="440" w:lineRule="exact"/>
        <w:rPr>
          <w:rFonts w:hint="eastAsia" w:ascii="宋体" w:hAnsi="宋体" w:eastAsia="宋体" w:cs="宋体"/>
          <w:b/>
          <w:bCs/>
          <w:spacing w:val="3"/>
          <w:szCs w:val="21"/>
          <w:highlight w:val="none"/>
          <w:lang w:val="en-US" w:eastAsia="zh-CN"/>
        </w:rPr>
      </w:pPr>
      <w:r>
        <w:rPr>
          <w:rFonts w:hint="eastAsia" w:ascii="宋体" w:hAnsi="宋体" w:eastAsia="宋体" w:cs="宋体"/>
          <w:b/>
          <w:bCs/>
          <w:spacing w:val="3"/>
          <w:szCs w:val="21"/>
          <w:highlight w:val="none"/>
          <w:lang w:val="en-US" w:eastAsia="zh-CN"/>
        </w:rPr>
        <w:t xml:space="preserve">三、政府采购中实施本国产品标准及相关政策</w:t>
      </w:r>
      <w:r/>
    </w:p>
    <w:p>
      <w:pPr>
        <w:ind w:firstLine="432"/>
        <w:spacing w:line="440" w:lineRule="exact"/>
        <w:rPr>
          <w:rFonts w:hint="eastAsia" w:ascii="宋体" w:hAnsi="宋体" w:eastAsia="宋体" w:cs="宋体"/>
          <w:spacing w:val="3"/>
          <w:szCs w:val="21"/>
          <w:highlight w:val="none"/>
          <w:lang w:val="zh-CN"/>
        </w:rPr>
      </w:pPr>
      <w:r>
        <w:rPr>
          <w:rFonts w:hint="eastAsia" w:ascii="宋体" w:hAnsi="宋体" w:eastAsia="宋体" w:cs="宋体"/>
          <w:spacing w:val="3"/>
          <w:szCs w:val="21"/>
          <w:highlight w:val="none"/>
          <w:lang w:val="zh-CN"/>
        </w:rPr>
        <w:t xml:space="preserve">1.本项目对采购本国产品给予政策支持，具体内容见招标文件“第五章 评审方法与评审标准”。</w:t>
      </w:r>
      <w:r/>
    </w:p>
    <w:p>
      <w:pPr>
        <w:ind w:firstLine="432"/>
        <w:spacing w:line="440" w:lineRule="exact"/>
        <w:rPr>
          <w:rFonts w:hint="eastAsia" w:ascii="宋体" w:hAnsi="宋体" w:eastAsia="宋体" w:cs="宋体"/>
          <w:spacing w:val="3"/>
          <w:szCs w:val="21"/>
          <w:highlight w:val="none"/>
          <w:lang w:val="zh-CN"/>
        </w:rPr>
      </w:pPr>
      <w:r>
        <w:rPr>
          <w:rFonts w:hint="eastAsia" w:ascii="宋体" w:hAnsi="宋体" w:eastAsia="宋体" w:cs="宋体"/>
          <w:spacing w:val="3"/>
          <w:szCs w:val="21"/>
          <w:highlight w:val="none"/>
          <w:lang w:val="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40" w:lineRule="exact"/>
        <w:rPr>
          <w:rFonts w:hint="eastAsia" w:ascii="宋体" w:hAnsi="宋体" w:eastAsia="宋体" w:cs="宋体"/>
          <w:spacing w:val="3"/>
          <w:szCs w:val="21"/>
          <w:highlight w:val="none"/>
          <w:lang w:val="zh-CN"/>
        </w:rPr>
      </w:pPr>
      <w:r>
        <w:rPr>
          <w:rFonts w:hint="eastAsia" w:ascii="宋体" w:hAnsi="宋体" w:eastAsia="宋体" w:cs="宋体"/>
          <w:spacing w:val="3"/>
          <w:szCs w:val="21"/>
          <w:highlight w:val="none"/>
          <w:lang w:val="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40" w:lineRule="exact"/>
        <w:rPr>
          <w:rFonts w:hint="eastAsia" w:ascii="宋体" w:hAnsi="宋体" w:eastAsia="宋体" w:cs="宋体"/>
          <w:spacing w:val="3"/>
          <w:szCs w:val="21"/>
          <w:highlight w:val="none"/>
        </w:rPr>
      </w:pPr>
      <w:r>
        <w:rPr>
          <w:rFonts w:hint="eastAsia" w:ascii="宋体" w:hAnsi="宋体" w:eastAsia="宋体" w:cs="宋体"/>
          <w:spacing w:val="3"/>
          <w:szCs w:val="21"/>
          <w:highlight w:val="none"/>
        </w:rPr>
      </w:r>
      <w:r/>
    </w:p>
    <w:p>
      <w:pPr>
        <w:pStyle w:val="694"/>
        <w:jc w:val="center"/>
        <w:spacing w:line="360" w:lineRule="auto"/>
        <w:rPr>
          <w:rFonts w:hint="eastAsia" w:ascii="宋体" w:hAnsi="宋体" w:eastAsia="宋体" w:cs="宋体"/>
          <w:highlight w:val="none"/>
        </w:rPr>
      </w:pPr>
      <w:r/>
      <w:bookmarkStart w:id="60" w:name="_Toc55204181"/>
      <w:r/>
      <w:bookmarkStart w:id="61" w:name="_Toc191970193"/>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694"/>
        <w:jc w:val="center"/>
        <w:spacing w:line="360" w:lineRule="auto"/>
        <w:rPr>
          <w:rFonts w:hint="eastAsia" w:ascii="宋体" w:hAnsi="宋体" w:eastAsia="宋体" w:cs="宋体"/>
          <w:sz w:val="40"/>
          <w:szCs w:val="32"/>
          <w:highlight w:val="none"/>
          <w:lang w:eastAsia="zh-CN"/>
        </w:rPr>
      </w:pPr>
      <w:r>
        <w:rPr>
          <w:rFonts w:hint="eastAsia" w:ascii="宋体" w:hAnsi="宋体" w:eastAsia="宋体" w:cs="宋体"/>
          <w:sz w:val="40"/>
          <w:szCs w:val="32"/>
          <w:highlight w:val="none"/>
          <w:lang w:eastAsia="zh-CN"/>
        </w:rPr>
        <w:t xml:space="preserve">第五章 评标方法及评标标准</w:t>
      </w:r>
      <w:bookmarkEnd w:id="60"/>
      <w:r/>
      <w:bookmarkEnd w:id="61"/>
      <w:r/>
      <w:r/>
    </w:p>
    <w:p>
      <w:pPr>
        <w:pStyle w:val="894"/>
        <w:ind w:firstLine="422"/>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一、评标方法</w:t>
      </w:r>
      <w:r/>
    </w:p>
    <w:p>
      <w:pPr>
        <w:ind w:firstLine="420"/>
        <w:spacing w:line="360" w:lineRule="auto"/>
        <w:rPr>
          <w:rFonts w:hint="eastAsia" w:ascii="宋体" w:hAnsi="宋体" w:eastAsia="宋体" w:cs="宋体"/>
          <w:highlight w:val="none"/>
        </w:rPr>
      </w:pPr>
      <w:r/>
      <w:bookmarkStart w:id="62" w:name="_Toc449017024"/>
      <w:r/>
      <w:bookmarkStart w:id="63" w:name="_Toc449016388"/>
      <w:r>
        <w:rPr>
          <w:rFonts w:hint="eastAsia" w:ascii="宋体" w:hAnsi="宋体" w:eastAsia="宋体" w:cs="宋体"/>
          <w:highlight w:val="none"/>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的中标候选人。本项目选取3名中标候选人。</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二、政府采购政策功能落实</w:t>
      </w:r>
      <w:bookmarkEnd w:id="62"/>
      <w:r/>
      <w:bookmarkEnd w:id="63"/>
      <w:r/>
      <w:r/>
    </w:p>
    <w:p>
      <w:pPr>
        <w:pStyle w:val="894"/>
        <w:rPr>
          <w:rFonts w:hint="eastAsia" w:ascii="宋体" w:hAnsi="宋体" w:eastAsia="宋体" w:cs="宋体"/>
          <w:color w:val="auto"/>
          <w:sz w:val="21"/>
          <w:szCs w:val="21"/>
          <w:highlight w:val="none"/>
        </w:rPr>
      </w:pPr>
      <w:r>
        <w:rPr>
          <w:rFonts w:hint="eastAsia" w:ascii="宋体" w:hAnsi="宋体" w:eastAsia="宋体" w:cs="宋体"/>
          <w:b/>
          <w:sz w:val="21"/>
          <w:szCs w:val="21"/>
          <w:highlight w:val="none"/>
        </w:rPr>
        <w:t xml:space="preserve">本项目</w:t>
      </w:r>
      <w:r>
        <w:rPr>
          <w:rFonts w:hint="eastAsia" w:ascii="宋体" w:hAnsi="宋体" w:cs="宋体"/>
          <w:b/>
          <w:sz w:val="21"/>
          <w:szCs w:val="21"/>
          <w:highlight w:val="none"/>
          <w:lang w:val="en-US" w:eastAsia="zh-CN"/>
        </w:rPr>
        <w:t xml:space="preserve">不</w:t>
      </w:r>
      <w:r>
        <w:rPr>
          <w:rFonts w:hint="eastAsia" w:ascii="宋体" w:hAnsi="宋体" w:eastAsia="宋体" w:cs="宋体"/>
          <w:b/>
          <w:sz w:val="21"/>
          <w:szCs w:val="21"/>
          <w:highlight w:val="none"/>
        </w:rPr>
        <w:t xml:space="preserve">专门面向中小企业采购</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1、小微型企业价格扣除</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（1）本项目对小型和微型企业提供的服务给予</w:t>
      </w:r>
      <w:r>
        <w:rPr>
          <w:rFonts w:hint="eastAsia" w:ascii="宋体" w:hAnsi="宋体" w:cs="宋体"/>
          <w:highlight w:val="none"/>
          <w:lang w:val="en-US" w:eastAsia="zh-CN"/>
        </w:rPr>
        <w:t xml:space="preserve">20</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的扣除价格，用扣除后的价格参与评审。</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（2）供应商需按照</w:t>
      </w:r>
      <w:r>
        <w:rPr>
          <w:rFonts w:hint="eastAsia" w:ascii="宋体" w:hAnsi="宋体" w:eastAsia="宋体" w:cs="宋体"/>
          <w:highlight w:val="none"/>
          <w:lang w:eastAsia="zh-CN"/>
        </w:rPr>
        <w:t xml:space="preserve">招标文件</w:t>
      </w:r>
      <w:r>
        <w:rPr>
          <w:rFonts w:hint="eastAsia" w:ascii="宋体" w:hAnsi="宋体" w:eastAsia="宋体" w:cs="宋体"/>
          <w:highlight w:val="none"/>
        </w:rPr>
        <w:t xml:space="preserve">的要求提供相应的《小微企业声明函》。</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（3）企业标准请参照《关于印发中小企业划型标准规定的通知》（工信部联企业[2011]300号）文件规定自行填写。</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2、残疾人福利单位价格扣除</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（1）本项目对残疾人福利性单位视同小型、微型企业，给予</w:t>
      </w:r>
      <w:r>
        <w:rPr>
          <w:rFonts w:hint="eastAsia" w:ascii="宋体" w:hAnsi="宋体" w:cs="宋体"/>
          <w:highlight w:val="none"/>
          <w:lang w:val="en-US" w:eastAsia="zh-CN"/>
        </w:rPr>
        <w:t xml:space="preserve">20</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的价格扣除，用扣除后的价格参与评审。</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（2）残疾人福利单位需按照</w:t>
      </w:r>
      <w:r>
        <w:rPr>
          <w:rFonts w:hint="eastAsia" w:ascii="宋体" w:hAnsi="宋体" w:eastAsia="宋体" w:cs="宋体"/>
          <w:highlight w:val="none"/>
          <w:lang w:eastAsia="zh-CN"/>
        </w:rPr>
        <w:t xml:space="preserve">招标文件</w:t>
      </w:r>
      <w:r>
        <w:rPr>
          <w:rFonts w:hint="eastAsia" w:ascii="宋体" w:hAnsi="宋体" w:eastAsia="宋体" w:cs="宋体"/>
          <w:highlight w:val="none"/>
        </w:rPr>
        <w:t xml:space="preserve">的要求提供《残疾人福利性单位声明函》。</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（3）残疾人福利单位标准请参照《关于促进残疾人就业政府采购政策的通知》（财库〔2017〕141号）。</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3、监狱和戒毒企业价格扣除</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（1）本项目对监狱和戒毒企业（简称监狱企业）视同小型、微型企业，给予</w:t>
      </w:r>
      <w:r>
        <w:rPr>
          <w:rFonts w:hint="eastAsia" w:ascii="宋体" w:hAnsi="宋体" w:cs="宋体"/>
          <w:highlight w:val="none"/>
          <w:lang w:val="en-US" w:eastAsia="zh-CN"/>
        </w:rPr>
        <w:t xml:space="preserve">20</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的价格扣除，用扣除后的价格参与评审。</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（3）监狱企业标准请参照《关于政府采购支持监狱企业发展有关问题的通知》（财库[2014]68号）。</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4、残疾人福利单位、监狱企业属于小型、微型企业的，不重复享受政策。</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highlight w:val="none"/>
          <w:lang w:val="en-US" w:eastAsia="zh-CN"/>
        </w:rPr>
        <w:t xml:space="preserve">20</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的价格扣除，用扣除后的价格参与评审。</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6、联合体各方均为小型、微型企业（残疾人福利单位、监狱企业）的，联合体享受</w:t>
      </w:r>
      <w:r>
        <w:rPr>
          <w:rFonts w:hint="eastAsia" w:ascii="宋体" w:hAnsi="宋体" w:cs="宋体"/>
          <w:highlight w:val="none"/>
          <w:lang w:val="en-US" w:eastAsia="zh-CN"/>
        </w:rPr>
        <w:t xml:space="preserve">20</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价格扣除，用扣除后的价格参与评审。</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7、采购本国产品的支持政策</w:t>
      </w:r>
      <w:r/>
    </w:p>
    <w:p>
      <w:pPr>
        <w:ind w:firstLine="420"/>
        <w:spacing w:line="360" w:lineRule="auto"/>
        <w:rPr>
          <w:rFonts w:hint="eastAsia" w:ascii="宋体" w:hAnsi="宋体" w:eastAsia="宋体" w:cs="宋体"/>
          <w:highlight w:val="none"/>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1</w:t>
      </w:r>
      <w:r>
        <w:rPr>
          <w:rFonts w:hint="eastAsia" w:ascii="宋体" w:hAnsi="宋体" w:cs="宋体"/>
          <w:highlight w:val="none"/>
          <w:lang w:eastAsia="zh-CN"/>
        </w:rPr>
        <w:t xml:space="preserve">）</w:t>
      </w:r>
      <w:r>
        <w:rPr>
          <w:rFonts w:hint="eastAsia" w:ascii="宋体" w:hAnsi="宋体" w:eastAsia="宋体" w:cs="宋体"/>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eastAsia="宋体" w:cs="宋体"/>
          <w:highlight w:val="none"/>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2</w:t>
      </w:r>
      <w:r>
        <w:rPr>
          <w:rFonts w:hint="eastAsia" w:ascii="宋体" w:hAnsi="宋体" w:cs="宋体"/>
          <w:highlight w:val="none"/>
          <w:lang w:eastAsia="zh-CN"/>
        </w:rPr>
        <w:t xml:space="preserve">）</w:t>
      </w:r>
      <w:r>
        <w:rPr>
          <w:rFonts w:hint="eastAsia" w:ascii="宋体" w:hAnsi="宋体" w:eastAsia="宋体" w:cs="宋体"/>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eastAsia="宋体" w:cs="宋体"/>
          <w:highlight w:val="none"/>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3</w:t>
      </w:r>
      <w:r>
        <w:rPr>
          <w:rFonts w:hint="eastAsia" w:ascii="宋体" w:hAnsi="宋体" w:cs="宋体"/>
          <w:highlight w:val="none"/>
          <w:lang w:eastAsia="zh-CN"/>
        </w:rPr>
        <w:t xml:space="preserve">）</w:t>
      </w:r>
      <w:r>
        <w:rPr>
          <w:rFonts w:hint="eastAsia" w:ascii="宋体" w:hAnsi="宋体" w:eastAsia="宋体" w:cs="宋体"/>
          <w:highlight w:val="none"/>
        </w:rPr>
        <w:t xml:space="preserve">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eastAsia="宋体" w:cs="宋体"/>
          <w:highlight w:val="none"/>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4</w:t>
      </w:r>
      <w:r>
        <w:rPr>
          <w:rFonts w:hint="eastAsia" w:ascii="宋体" w:hAnsi="宋体" w:cs="宋体"/>
          <w:highlight w:val="none"/>
          <w:lang w:eastAsia="zh-CN"/>
        </w:rPr>
        <w:t xml:space="preserve">）</w:t>
      </w:r>
      <w:r>
        <w:rPr>
          <w:rFonts w:hint="eastAsia" w:ascii="宋体" w:hAnsi="宋体" w:eastAsia="宋体" w:cs="宋体"/>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宋体"/>
          <w:highlight w:val="none"/>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5</w:t>
      </w:r>
      <w:r>
        <w:rPr>
          <w:rFonts w:hint="eastAsia" w:ascii="宋体" w:hAnsi="宋体" w:cs="宋体"/>
          <w:highlight w:val="none"/>
          <w:lang w:eastAsia="zh-CN"/>
        </w:rPr>
        <w:t xml:space="preserve">）</w:t>
      </w:r>
      <w:r>
        <w:rPr>
          <w:rFonts w:hint="eastAsia" w:ascii="宋体" w:hAnsi="宋体" w:eastAsia="宋体" w:cs="宋体"/>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94"/>
        <w:ind w:firstLine="422"/>
        <w:rPr>
          <w:rFonts w:hint="eastAsia" w:ascii="宋体" w:hAnsi="宋体" w:eastAsia="宋体" w:cs="宋体"/>
          <w:b/>
          <w:sz w:val="21"/>
          <w:szCs w:val="21"/>
          <w:highlight w:val="none"/>
        </w:rPr>
        <w:outlineLvl w:val="1"/>
      </w:pPr>
      <w:r>
        <w:rPr>
          <w:rFonts w:hint="eastAsia" w:ascii="宋体" w:hAnsi="宋体" w:eastAsia="宋体" w:cs="宋体"/>
          <w:b/>
          <w:sz w:val="21"/>
          <w:szCs w:val="21"/>
          <w:highlight w:val="none"/>
        </w:rPr>
        <w:t xml:space="preserve">三、评标标准</w:t>
      </w:r>
      <w:r/>
    </w:p>
    <w:tbl>
      <w:tblPr>
        <w:tblStyle w:val="652"/>
        <w:tblW w:w="9088"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560"/>
        <w:gridCol w:w="7528"/>
      </w:tblGrid>
      <w:tr>
        <w:trPr>
          <w:jc w:val="center"/>
          <w:trHeight w:val="1"/>
        </w:trPr>
        <w:tc>
          <w:tcPr>
            <w:shd w:val="clear" w:color="000000" w:fill="ffffff"/>
            <w:tcW w:w="1560" w:type="dxa"/>
            <w:vAlign w:val="center"/>
            <w:textDirection w:val="lrTb"/>
            <w:noWrap w:val="false"/>
          </w:tcPr>
          <w:p>
            <w:pPr>
              <w:jc w:val="center"/>
              <w:spacing w:line="360" w:lineRule="auto"/>
              <w:rPr>
                <w:rFonts w:hint="eastAsia" w:ascii="宋体" w:hAnsi="宋体" w:eastAsia="宋体" w:cs="宋体"/>
                <w:sz w:val="21"/>
                <w:szCs w:val="21"/>
                <w:highlight w:val="none"/>
                <w:lang w:val="en"/>
              </w:rPr>
            </w:pPr>
            <w:r>
              <w:rPr>
                <w:rFonts w:hint="eastAsia" w:ascii="宋体" w:hAnsi="宋体" w:eastAsia="宋体" w:cs="宋体"/>
                <w:b/>
                <w:color w:val="000000"/>
                <w:sz w:val="21"/>
                <w:szCs w:val="21"/>
                <w:highlight w:val="none"/>
                <w:lang w:val="zh-CN"/>
              </w:rPr>
              <w:t xml:space="preserve">项目</w:t>
            </w:r>
            <w:r/>
          </w:p>
        </w:tc>
        <w:tc>
          <w:tcPr>
            <w:shd w:val="clear" w:color="000000" w:fill="ffffff"/>
            <w:tcW w:w="7528" w:type="dxa"/>
            <w:vAlign w:val="center"/>
            <w:textDirection w:val="lrTb"/>
            <w:noWrap w:val="false"/>
          </w:tcPr>
          <w:p>
            <w:pPr>
              <w:jc w:val="center"/>
              <w:spacing w:line="360" w:lineRule="auto"/>
              <w:rPr>
                <w:rFonts w:hint="eastAsia" w:ascii="宋体" w:hAnsi="宋体" w:eastAsia="宋体" w:cs="宋体"/>
                <w:sz w:val="21"/>
                <w:szCs w:val="21"/>
                <w:highlight w:val="none"/>
                <w:lang w:val="en"/>
              </w:rPr>
            </w:pPr>
            <w:r>
              <w:rPr>
                <w:rFonts w:hint="eastAsia" w:ascii="宋体" w:hAnsi="宋体" w:eastAsia="宋体" w:cs="宋体"/>
                <w:b/>
                <w:color w:val="000000"/>
                <w:sz w:val="21"/>
                <w:szCs w:val="21"/>
                <w:highlight w:val="none"/>
                <w:lang w:val="zh-CN"/>
              </w:rPr>
              <w:t xml:space="preserve">评分标准</w:t>
            </w:r>
            <w:r/>
          </w:p>
        </w:tc>
      </w:tr>
      <w:tr>
        <w:trPr>
          <w:jc w:val="center"/>
          <w:trHeight w:val="1"/>
        </w:trPr>
        <w:tc>
          <w:tcPr>
            <w:shd w:val="clear" w:color="000000" w:fill="ffffff"/>
            <w:tcW w:w="1560"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价格</w:t>
            </w:r>
            <w:r/>
          </w:p>
          <w:p>
            <w:pPr>
              <w:jc w:val="center"/>
              <w:spacing w:line="360" w:lineRule="auto"/>
              <w:rPr>
                <w:rFonts w:hint="eastAsia" w:ascii="宋体" w:hAnsi="宋体" w:eastAsia="宋体" w:cs="宋体"/>
                <w:sz w:val="21"/>
                <w:szCs w:val="21"/>
                <w:highlight w:val="none"/>
                <w:lang w:val="e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lang w:val="zh-CN"/>
              </w:rPr>
              <w:t xml:space="preserve">分）</w:t>
            </w:r>
            <w:r/>
          </w:p>
        </w:tc>
        <w:tc>
          <w:tcPr>
            <w:shd w:val="clear" w:color="000000" w:fill="ffffff"/>
            <w:tcW w:w="7528" w:type="dxa"/>
            <w:vAlign w:val="center"/>
            <w:textDirection w:val="lrTb"/>
            <w:noWrap w:val="false"/>
          </w:tcPr>
          <w:p>
            <w:pPr>
              <w:spacing w:line="440" w:lineRule="exact"/>
              <w:rPr>
                <w:rFonts w:hint="eastAsia" w:ascii="宋体" w:hAnsi="宋体" w:eastAsia="宋体" w:cs="宋体"/>
                <w:sz w:val="21"/>
                <w:szCs w:val="21"/>
                <w:highlight w:val="none"/>
                <w:lang w:val="en"/>
              </w:rPr>
            </w:pPr>
            <w:r>
              <w:rPr>
                <w:rFonts w:hint="eastAsia" w:ascii="宋体" w:hAnsi="宋体" w:eastAsia="宋体" w:cs="宋体"/>
                <w:sz w:val="21"/>
                <w:szCs w:val="21"/>
                <w:highlight w:val="none"/>
                <w:lang w:val="zh-CN"/>
              </w:rPr>
              <w:t xml:space="preserve">以满足招标文件要求的最低投标报价为评标基准价，得满分</w:t>
            </w:r>
            <w:r>
              <w:rPr>
                <w:rFonts w:hint="eastAsia" w:ascii="宋体" w:hAnsi="宋体" w:eastAsia="宋体" w:cs="宋体"/>
                <w:sz w:val="21"/>
                <w:szCs w:val="21"/>
                <w:highlight w:val="none"/>
              </w:rPr>
              <w:t xml:space="preserve">30</w:t>
            </w:r>
            <w:r>
              <w:rPr>
                <w:rFonts w:hint="eastAsia" w:ascii="宋体" w:hAnsi="宋体" w:eastAsia="宋体" w:cs="宋体"/>
                <w:sz w:val="21"/>
                <w:szCs w:val="21"/>
                <w:highlight w:val="none"/>
                <w:lang w:val="zh-CN"/>
              </w:rPr>
              <w:t xml:space="preserve">分，其他投标报价得分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评标基准价／其他投标报价</w:t>
            </w:r>
            <w:r>
              <w:rPr>
                <w:rFonts w:hint="eastAsia" w:ascii="宋体" w:hAnsi="宋体" w:eastAsia="宋体" w:cs="宋体"/>
                <w:sz w:val="21"/>
                <w:szCs w:val="21"/>
                <w:highlight w:val="none"/>
              </w:rPr>
              <w:t xml:space="preserve">)×30×100%</w:t>
            </w:r>
            <w:r>
              <w:rPr>
                <w:rFonts w:hint="eastAsia" w:ascii="宋体" w:hAnsi="宋体" w:eastAsia="宋体" w:cs="宋体"/>
                <w:sz w:val="21"/>
                <w:szCs w:val="21"/>
                <w:highlight w:val="none"/>
                <w:lang w:val="zh-CN"/>
              </w:rPr>
              <w:t xml:space="preserve">。</w:t>
            </w:r>
            <w:r/>
          </w:p>
        </w:tc>
      </w:tr>
      <w:tr>
        <w:trPr>
          <w:jc w:val="center"/>
          <w:trHeight w:val="1"/>
        </w:trPr>
        <w:tc>
          <w:tcPr>
            <w:shd w:val="clear" w:color="000000" w:fill="ffffff"/>
            <w:tcW w:w="1560" w:type="dxa"/>
            <w:vAlign w:val="center"/>
            <w:textDirection w:val="lrTb"/>
            <w:noWrap w:val="false"/>
          </w:tcPr>
          <w:p>
            <w:pPr>
              <w:jc w:val="center"/>
              <w:spacing w:line="360" w:lineRule="auto"/>
              <w:rPr>
                <w:rFonts w:hint="eastAsia" w:ascii="宋体" w:hAnsi="宋体" w:eastAsia="宋体" w:cs="宋体"/>
                <w:sz w:val="21"/>
                <w:szCs w:val="21"/>
                <w:highlight w:val="none"/>
                <w:lang w:val="en"/>
              </w:rPr>
            </w:pPr>
            <w:r>
              <w:rPr>
                <w:rFonts w:hint="eastAsia" w:ascii="宋体" w:hAnsi="宋体" w:eastAsia="宋体" w:cs="宋体"/>
                <w:color w:val="000000"/>
                <w:sz w:val="21"/>
                <w:szCs w:val="21"/>
                <w:highlight w:val="none"/>
                <w:lang w:val="zh-CN"/>
              </w:rPr>
              <w:t xml:space="preserve">技术响应情况（</w:t>
            </w: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lang w:val="zh-CN"/>
              </w:rPr>
              <w:t xml:space="preserve">分）</w:t>
            </w:r>
            <w:r/>
          </w:p>
        </w:tc>
        <w:tc>
          <w:tcPr>
            <w:shd w:val="clear" w:color="000000" w:fill="ffffff"/>
            <w:tcW w:w="7528" w:type="dxa"/>
            <w:vAlign w:val="center"/>
            <w:textDirection w:val="lrTb"/>
            <w:noWrap w:val="false"/>
          </w:tcPr>
          <w:p>
            <w:pPr>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
              </w:rPr>
              <w:t xml:space="preserve">1</w:t>
            </w:r>
            <w:r>
              <w:rPr>
                <w:rFonts w:hint="eastAsia" w:ascii="宋体" w:hAnsi="宋体" w:eastAsia="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投标人须按照第四章项目需求技术参数要求逐条响应，并提供相关证明材料。评审委员会</w:t>
            </w:r>
            <w:r>
              <w:rPr>
                <w:rFonts w:hint="eastAsia" w:ascii="宋体" w:hAnsi="宋体" w:eastAsia="宋体" w:cs="宋体"/>
                <w:color w:val="000000"/>
                <w:sz w:val="21"/>
                <w:szCs w:val="21"/>
                <w:highlight w:val="none"/>
                <w:lang w:val="zh-CN"/>
              </w:rPr>
              <w:t xml:space="preserve">根据各投标人所投产品技术要求的响应情况逐条进行评分，完全响应满分为</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分；“★”号标记的参数为重要参数，存在负偏离，扣减</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项；非“★”号技术要求条款存在负偏离，扣减</w:t>
            </w:r>
            <w:r>
              <w:rPr>
                <w:rFonts w:hint="eastAsia" w:ascii="宋体" w:hAnsi="宋体" w:eastAsia="宋体" w:cs="宋体"/>
                <w:color w:val="000000"/>
                <w:sz w:val="21"/>
                <w:szCs w:val="21"/>
                <w:highlight w:val="none"/>
              </w:rPr>
              <w:t xml:space="preserve">0.3</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项；扣至零分为止。  </w:t>
            </w:r>
            <w:r/>
          </w:p>
          <w:p>
            <w:pP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 （</w:t>
            </w:r>
            <w:r>
              <w:rPr>
                <w:rFonts w:hint="eastAsia" w:ascii="宋体" w:hAnsi="宋体" w:cs="宋体"/>
                <w:szCs w:val="21"/>
                <w:highlight w:val="none"/>
                <w:lang w:val="zh-CN"/>
              </w:rPr>
              <w:t xml:space="preserve">“★”项参数须提供产品详细资料说明、产品彩页和分析软件导出的彩色分型图谱</w:t>
            </w:r>
            <w:r>
              <w:rPr>
                <w:rFonts w:hint="eastAsia" w:ascii="宋体" w:hAnsi="宋体" w:cs="宋体"/>
                <w:szCs w:val="21"/>
                <w:highlight w:val="none"/>
                <w:lang w:val="en-US" w:eastAsia="zh-CN"/>
              </w:rPr>
              <w:t xml:space="preserve">等证明材料</w:t>
            </w:r>
            <w:r>
              <w:rPr>
                <w:rFonts w:hint="eastAsia" w:ascii="宋体" w:hAnsi="宋体" w:cs="宋体"/>
                <w:szCs w:val="21"/>
                <w:highlight w:val="none"/>
                <w:lang w:val="zh-CN"/>
              </w:rPr>
              <w:t xml:space="preserve">，原件扫描上传，不提供相关资料不得分</w:t>
            </w:r>
            <w:r>
              <w:rPr>
                <w:rFonts w:hint="eastAsia" w:ascii="宋体" w:hAnsi="宋体" w:eastAsia="宋体" w:cs="宋体"/>
                <w:color w:val="000000"/>
                <w:sz w:val="21"/>
                <w:szCs w:val="21"/>
                <w:highlight w:val="none"/>
                <w:lang w:val="zh-CN"/>
              </w:rPr>
              <w:t xml:space="preserve">）</w:t>
            </w:r>
            <w:r/>
          </w:p>
          <w:p>
            <w:pPr>
              <w:numPr>
                <w:ilvl w:val="0"/>
                <w:numId w:val="6"/>
              </w:numPr>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所投常染色体</w:t>
            </w:r>
            <w:r>
              <w:rPr>
                <w:rFonts w:hint="eastAsia" w:ascii="宋体" w:hAnsi="宋体" w:eastAsia="宋体" w:cs="宋体"/>
                <w:color w:val="000000"/>
                <w:sz w:val="21"/>
                <w:szCs w:val="21"/>
                <w:highlight w:val="none"/>
              </w:rPr>
              <w:t xml:space="preserve">STR</w:t>
            </w:r>
            <w:r>
              <w:rPr>
                <w:rFonts w:hint="eastAsia" w:ascii="宋体" w:hAnsi="宋体" w:eastAsia="宋体" w:cs="宋体"/>
                <w:color w:val="000000"/>
                <w:sz w:val="21"/>
                <w:szCs w:val="21"/>
                <w:highlight w:val="none"/>
                <w:lang w:val="zh-CN"/>
              </w:rPr>
              <w:t xml:space="preserve">检测试剂盒在满足技术参数的前提下，每增加</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个常染色体或者</w:t>
            </w:r>
            <w:r>
              <w:rPr>
                <w:rFonts w:hint="eastAsia" w:ascii="宋体" w:hAnsi="宋体" w:eastAsia="宋体" w:cs="宋体"/>
                <w:color w:val="000000"/>
                <w:sz w:val="21"/>
                <w:szCs w:val="21"/>
                <w:highlight w:val="none"/>
              </w:rPr>
              <w:t xml:space="preserve">Y</w:t>
            </w:r>
            <w:r>
              <w:rPr>
                <w:rFonts w:hint="eastAsia" w:ascii="宋体" w:hAnsi="宋体" w:eastAsia="宋体" w:cs="宋体"/>
                <w:color w:val="000000"/>
                <w:sz w:val="21"/>
                <w:szCs w:val="21"/>
                <w:highlight w:val="none"/>
                <w:lang w:val="zh-CN"/>
              </w:rPr>
              <w:t xml:space="preserve">染色体</w:t>
            </w:r>
            <w:r>
              <w:rPr>
                <w:rFonts w:hint="eastAsia" w:ascii="宋体" w:hAnsi="宋体" w:eastAsia="宋体" w:cs="宋体"/>
                <w:color w:val="000000"/>
                <w:sz w:val="21"/>
                <w:szCs w:val="21"/>
                <w:highlight w:val="none"/>
              </w:rPr>
              <w:t xml:space="preserve">STR</w:t>
            </w:r>
            <w:r>
              <w:rPr>
                <w:rFonts w:hint="eastAsia" w:ascii="宋体" w:hAnsi="宋体" w:eastAsia="宋体" w:cs="宋体"/>
                <w:color w:val="000000"/>
                <w:sz w:val="21"/>
                <w:szCs w:val="21"/>
                <w:highlight w:val="none"/>
                <w:lang w:val="zh-CN"/>
              </w:rPr>
              <w:t xml:space="preserve">基因座得</w:t>
            </w:r>
            <w:r>
              <w:rPr>
                <w:rFonts w:hint="eastAsia" w:ascii="宋体" w:hAnsi="宋体" w:eastAsia="宋体" w:cs="宋体"/>
                <w:color w:val="000000"/>
                <w:sz w:val="21"/>
                <w:szCs w:val="21"/>
                <w:highlight w:val="none"/>
              </w:rPr>
              <w:t xml:space="preserve">0.5</w:t>
            </w:r>
            <w:r>
              <w:rPr>
                <w:rFonts w:hint="eastAsia" w:ascii="宋体" w:hAnsi="宋体" w:eastAsia="宋体" w:cs="宋体"/>
                <w:color w:val="000000"/>
                <w:sz w:val="21"/>
                <w:szCs w:val="21"/>
                <w:highlight w:val="none"/>
                <w:lang w:val="zh-CN"/>
              </w:rPr>
              <w:t xml:space="preserve">分，满分</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分。（须提供分析软件导出彩色分型图谱以及专业系统试剂盒名称及基因座信息截图证明，原件扫描上传，不提供相关资料不得分）</w:t>
            </w:r>
            <w:r/>
          </w:p>
          <w:p>
            <w:pPr>
              <w:numPr>
                <w:ilvl w:val="0"/>
                <w:numId w:val="6"/>
              </w:numPr>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为满足实验室应急检验需要，所投</w:t>
            </w:r>
            <w:r>
              <w:rPr>
                <w:rFonts w:hint="eastAsia" w:ascii="宋体" w:hAnsi="宋体" w:eastAsia="宋体" w:cs="宋体"/>
                <w:color w:val="000000"/>
                <w:sz w:val="21"/>
                <w:szCs w:val="21"/>
                <w:highlight w:val="none"/>
              </w:rPr>
              <w:t xml:space="preserve">24个以上常染色体STR扩增试剂盒</w:t>
            </w:r>
            <w:r>
              <w:rPr>
                <w:rFonts w:hint="eastAsia" w:ascii="宋体" w:hAnsi="宋体" w:eastAsia="宋体" w:cs="宋体"/>
                <w:color w:val="000000"/>
                <w:sz w:val="21"/>
                <w:szCs w:val="21"/>
                <w:highlight w:val="none"/>
                <w:lang w:eastAsia="zh-CN"/>
              </w:rPr>
              <w:t xml:space="preserve">（冻干版）生产厂商有能力提供快速扩增案件试剂盒，对血卡、口腔卡等可以兼容直扩，且扩增时长不超过</w:t>
            </w:r>
            <w:r>
              <w:rPr>
                <w:rFonts w:hint="eastAsia" w:ascii="宋体" w:hAnsi="宋体" w:eastAsia="宋体" w:cs="宋体"/>
                <w:color w:val="000000"/>
                <w:sz w:val="21"/>
                <w:szCs w:val="21"/>
                <w:highlight w:val="none"/>
                <w:lang w:val="en-US" w:eastAsia="zh-CN"/>
              </w:rPr>
              <w:t xml:space="preserve">30分钟；针对极微量、降解检材，该生产商有能力提供MINI试剂盒，扩增基因座数不少于20个且扩增片段长度小于290bp,以满足检案需求。满足上述一项得1分，满分2分，不满足条件不得分。</w:t>
            </w:r>
            <w:r>
              <w:rPr>
                <w:rFonts w:hint="eastAsia" w:ascii="宋体" w:hAnsi="宋体" w:eastAsia="宋体" w:cs="宋体"/>
                <w:color w:val="000000"/>
                <w:sz w:val="21"/>
                <w:szCs w:val="21"/>
                <w:highlight w:val="none"/>
                <w:lang w:val="zh-CN"/>
              </w:rPr>
              <w:t xml:space="preserve">（须提供证明文件扫描上传，不提供相关资料不得分）</w:t>
            </w:r>
            <w:r/>
          </w:p>
          <w:p>
            <w:pPr>
              <w:spacing w:line="440" w:lineRule="exact"/>
              <w:rPr>
                <w:rFonts w:hint="eastAsia" w:ascii="宋体" w:hAnsi="宋体" w:eastAsia="宋体" w:cs="宋体"/>
                <w:sz w:val="21"/>
                <w:szCs w:val="21"/>
                <w:highlight w:val="none"/>
                <w:lang w:val="en"/>
              </w:rPr>
            </w:pPr>
            <w:r>
              <w:rPr>
                <w:rFonts w:hint="eastAsia" w:ascii="宋体" w:hAnsi="宋体" w:eastAsia="宋体" w:cs="宋体"/>
                <w:b/>
                <w:bCs/>
                <w:sz w:val="21"/>
                <w:szCs w:val="21"/>
                <w:highlight w:val="none"/>
                <w:lang w:bidi="ar"/>
              </w:rPr>
              <w:t xml:space="preserve">    若发现有提供虚假的证明材料或虚假应答技术偏离表的，视为无效投标，并追究相关责任。</w:t>
            </w:r>
            <w:r/>
          </w:p>
        </w:tc>
      </w:tr>
      <w:tr>
        <w:trPr>
          <w:jc w:val="center"/>
          <w:trHeight w:val="1"/>
        </w:trPr>
        <w:tc>
          <w:tcPr>
            <w:shd w:val="clear" w:color="000000" w:fill="ffffff"/>
            <w:tcW w:w="1560" w:type="dxa"/>
            <w:vAlign w:val="center"/>
            <w:textDirection w:val="lrTb"/>
            <w:noWrap w:val="false"/>
          </w:tcPr>
          <w:p>
            <w:pPr>
              <w:jc w:val="center"/>
              <w:spacing w:line="360" w:lineRule="auto"/>
              <w:rPr>
                <w:rFonts w:hint="eastAsia" w:ascii="宋体" w:hAnsi="宋体" w:eastAsia="宋体" w:cs="宋体"/>
                <w:sz w:val="21"/>
                <w:szCs w:val="21"/>
                <w:highlight w:val="none"/>
                <w:lang w:val="en"/>
              </w:rPr>
            </w:pPr>
            <w:r>
              <w:rPr>
                <w:rFonts w:hint="eastAsia" w:ascii="宋体" w:hAnsi="宋体" w:eastAsia="宋体" w:cs="宋体"/>
                <w:color w:val="000000"/>
                <w:sz w:val="21"/>
                <w:szCs w:val="21"/>
                <w:highlight w:val="none"/>
                <w:lang w:val="zh-CN"/>
              </w:rPr>
              <w:t xml:space="preserve">业绩（</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分）</w:t>
            </w:r>
            <w:r/>
          </w:p>
        </w:tc>
        <w:tc>
          <w:tcPr>
            <w:shd w:val="clear" w:color="000000" w:fill="ffffff"/>
            <w:tcW w:w="7528" w:type="dxa"/>
            <w:vAlign w:val="center"/>
            <w:textDirection w:val="lrTb"/>
            <w:noWrap w:val="false"/>
          </w:tcPr>
          <w:p>
            <w:pPr>
              <w:spacing w:line="440" w:lineRule="exact"/>
              <w:rPr>
                <w:rFonts w:hint="eastAsia" w:ascii="宋体" w:hAnsi="宋体" w:eastAsia="宋体" w:cs="宋体"/>
                <w:sz w:val="21"/>
                <w:szCs w:val="21"/>
                <w:highlight w:val="none"/>
                <w:lang w:val="en"/>
              </w:rPr>
            </w:pPr>
            <w:r>
              <w:rPr>
                <w:rFonts w:hint="eastAsia" w:ascii="宋体" w:hAnsi="宋体" w:eastAsia="宋体" w:cs="宋体"/>
                <w:color w:val="000000"/>
                <w:sz w:val="21"/>
                <w:szCs w:val="21"/>
                <w:highlight w:val="none"/>
                <w:lang w:val="zh-CN"/>
              </w:rPr>
              <w:t xml:space="preserve">投标人提供从2023年</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月1日至今类似项目的业绩证明，时间以合同签订时间为准，每提供</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份项目合同得</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分，满分</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分。（须提供合同，原件扫描上传，不提供不得分）</w:t>
            </w:r>
            <w:r/>
          </w:p>
        </w:tc>
      </w:tr>
      <w:tr>
        <w:trPr>
          <w:jc w:val="center"/>
          <w:trHeight w:val="1"/>
        </w:trPr>
        <w:tc>
          <w:tcPr>
            <w:shd w:val="clear" w:color="000000" w:fill="ffffff"/>
            <w:tcW w:w="1560"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方案措施</w:t>
            </w:r>
            <w:r/>
          </w:p>
          <w:p>
            <w:pPr>
              <w:jc w:val="center"/>
              <w:spacing w:line="360" w:lineRule="auto"/>
              <w:rPr>
                <w:rFonts w:hint="eastAsia" w:ascii="宋体" w:hAnsi="宋体" w:eastAsia="宋体" w:cs="宋体"/>
                <w:sz w:val="21"/>
                <w:szCs w:val="21"/>
                <w:highlight w:val="none"/>
                <w:lang w:val="e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分）</w:t>
            </w:r>
            <w:r/>
          </w:p>
        </w:tc>
        <w:tc>
          <w:tcPr>
            <w:shd w:val="clear" w:color="000000" w:fill="ffffff"/>
            <w:tcW w:w="7528" w:type="dxa"/>
            <w:vAlign w:val="center"/>
            <w:textDirection w:val="lrTb"/>
            <w:noWrap w:val="false"/>
          </w:tcPr>
          <w:p>
            <w:pP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
              </w:rPr>
              <w:t xml:space="preserve">1</w:t>
            </w:r>
            <w:r>
              <w:rPr>
                <w:rFonts w:hint="eastAsia" w:ascii="宋体" w:hAnsi="宋体" w:eastAsia="宋体" w:cs="宋体"/>
                <w:color w:val="000000"/>
                <w:sz w:val="21"/>
                <w:szCs w:val="21"/>
                <w:highlight w:val="none"/>
                <w:lang w:val="zh-CN"/>
              </w:rPr>
              <w:t xml:space="preserve">、项目服务方案：根据投标人提供的项目服务方案的完整性、合理性、可行性进行综合评比，项目服务方案完善、合理，能确保项目顺利建设的得</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分；较完善、合理，基本能完成项目建设的得</w:t>
            </w: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lang w:val="zh-CN"/>
              </w:rPr>
              <w:t xml:space="preserve">分；不太合理，存在明显瑕疵的得</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分；没有不得分。</w:t>
            </w:r>
            <w:r/>
          </w:p>
          <w:p>
            <w:pP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
              </w:rPr>
              <w:t xml:space="preserve">2</w:t>
            </w:r>
            <w:r>
              <w:rPr>
                <w:rFonts w:hint="eastAsia" w:ascii="宋体" w:hAnsi="宋体" w:eastAsia="宋体" w:cs="宋体"/>
                <w:color w:val="000000"/>
                <w:sz w:val="21"/>
                <w:szCs w:val="21"/>
                <w:highlight w:val="none"/>
                <w:lang w:val="zh-CN"/>
              </w:rPr>
              <w:t xml:space="preserve">、质量保障措施：根据投标人提供的措施的完整性、合理性、可行性等方面进行综合评比，质量保障方案完善、合理，能确保项目顺利建设的得</w:t>
            </w: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lang w:val="zh-CN"/>
              </w:rPr>
              <w:t xml:space="preserve">分；较合理，基本能保证项目质量的得</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分；不太合理，不能满足基本要求的得</w:t>
            </w:r>
            <w:r>
              <w:rPr>
                <w:rFonts w:hint="eastAsia" w:ascii="宋体" w:hAnsi="宋体" w:eastAsia="宋体" w:cs="宋体"/>
                <w:color w:val="000000"/>
                <w:sz w:val="21"/>
                <w:szCs w:val="21"/>
                <w:highlight w:val="none"/>
              </w:rPr>
              <w:t xml:space="preserve">0.5</w:t>
            </w:r>
            <w:r>
              <w:rPr>
                <w:rFonts w:hint="eastAsia" w:ascii="宋体" w:hAnsi="宋体" w:eastAsia="宋体" w:cs="宋体"/>
                <w:color w:val="000000"/>
                <w:sz w:val="21"/>
                <w:szCs w:val="21"/>
                <w:highlight w:val="none"/>
                <w:lang w:val="zh-CN"/>
              </w:rPr>
              <w:t xml:space="preserve">分；没有不得分。</w:t>
            </w:r>
            <w:r/>
          </w:p>
          <w:p>
            <w:pPr>
              <w:spacing w:line="440" w:lineRule="exact"/>
              <w:rPr>
                <w:rFonts w:hint="eastAsia" w:ascii="宋体" w:hAnsi="宋体" w:eastAsia="宋体" w:cs="宋体"/>
                <w:sz w:val="21"/>
                <w:szCs w:val="21"/>
                <w:highlight w:val="none"/>
                <w:lang w:val="en"/>
              </w:rPr>
            </w:pPr>
            <w:r>
              <w:rPr>
                <w:rFonts w:hint="eastAsia" w:ascii="宋体" w:hAnsi="宋体" w:eastAsia="宋体" w:cs="宋体"/>
                <w:color w:val="000000"/>
                <w:sz w:val="21"/>
                <w:szCs w:val="21"/>
                <w:highlight w:val="none"/>
                <w:lang w:val="en"/>
              </w:rPr>
              <w:t xml:space="preserve">3</w:t>
            </w:r>
            <w:r>
              <w:rPr>
                <w:rFonts w:hint="eastAsia" w:ascii="宋体" w:hAnsi="宋体" w:eastAsia="宋体" w:cs="宋体"/>
                <w:color w:val="000000"/>
                <w:sz w:val="21"/>
                <w:szCs w:val="21"/>
                <w:highlight w:val="none"/>
                <w:lang w:val="zh-CN"/>
              </w:rPr>
              <w:t xml:space="preserve">、项目售后服务：根据投标人提供的售后服务的合理性、可实施性等方面进行综合评比，能够保障项目顺利实施，紧急处置措施得当的得</w:t>
            </w: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lang w:val="zh-CN"/>
              </w:rPr>
              <w:t xml:space="preserve">分；保障措施欠完善、操作性较差，基本能够保障项目实施，紧急处置措施欠合理的得</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分；保障措施不完善、操作性差，出现因关键耗材因素不能保障项目顺利实施的得</w:t>
            </w:r>
            <w:r>
              <w:rPr>
                <w:rFonts w:hint="eastAsia" w:ascii="宋体" w:hAnsi="宋体" w:eastAsia="宋体" w:cs="宋体"/>
                <w:color w:val="000000"/>
                <w:sz w:val="21"/>
                <w:szCs w:val="21"/>
                <w:highlight w:val="none"/>
              </w:rPr>
              <w:t xml:space="preserve">0.5</w:t>
            </w:r>
            <w:r>
              <w:rPr>
                <w:rFonts w:hint="eastAsia" w:ascii="宋体" w:hAnsi="宋体" w:eastAsia="宋体" w:cs="宋体"/>
                <w:color w:val="000000"/>
                <w:sz w:val="21"/>
                <w:szCs w:val="21"/>
                <w:highlight w:val="none"/>
                <w:lang w:val="zh-CN"/>
              </w:rPr>
              <w:t xml:space="preserve">分；没有不得分。</w:t>
            </w:r>
            <w:r/>
          </w:p>
        </w:tc>
      </w:tr>
    </w:tbl>
    <w:p>
      <w:pPr>
        <w:spacing w:line="360" w:lineRule="auto"/>
        <w:rPr>
          <w:rFonts w:hint="eastAsia" w:ascii="宋体" w:hAnsi="宋体" w:eastAsia="宋体" w:cs="宋体"/>
          <w:bCs/>
          <w:sz w:val="44"/>
          <w:highlight w:val="none"/>
        </w:rPr>
      </w:pPr>
      <w:r>
        <w:rPr>
          <w:rFonts w:hint="eastAsia" w:ascii="宋体" w:hAnsi="宋体" w:eastAsia="宋体" w:cs="宋体"/>
          <w:bCs/>
          <w:sz w:val="44"/>
          <w:highlight w:val="none"/>
        </w:rPr>
      </w:r>
      <w:r/>
    </w:p>
    <w:p>
      <w:pPr>
        <w:pStyle w:val="694"/>
        <w:jc w:val="center"/>
        <w:spacing w:line="360" w:lineRule="auto"/>
        <w:rPr>
          <w:rFonts w:hint="eastAsia" w:ascii="宋体" w:hAnsi="宋体" w:eastAsia="宋体" w:cs="宋体"/>
          <w:sz w:val="40"/>
          <w:szCs w:val="32"/>
          <w:highlight w:val="none"/>
          <w:lang w:eastAsia="zh-CN"/>
        </w:rPr>
      </w:pPr>
      <w:r>
        <w:rPr>
          <w:rFonts w:hint="eastAsia" w:ascii="宋体" w:hAnsi="宋体" w:eastAsia="宋体" w:cs="宋体"/>
          <w:sz w:val="40"/>
          <w:szCs w:val="32"/>
          <w:highlight w:val="none"/>
          <w:lang w:eastAsia="zh-CN"/>
        </w:rPr>
        <w:t xml:space="preserve"> </w:t>
      </w:r>
      <w:bookmarkStart w:id="64" w:name="_Toc191970194"/>
      <w:r>
        <w:rPr>
          <w:rFonts w:hint="eastAsia" w:ascii="宋体" w:hAnsi="宋体" w:eastAsia="宋体" w:cs="宋体"/>
          <w:sz w:val="40"/>
          <w:szCs w:val="32"/>
          <w:highlight w:val="none"/>
          <w:lang w:eastAsia="zh-CN"/>
        </w:rPr>
        <w:t xml:space="preserve">第六章 投标文件格式</w:t>
      </w:r>
      <w:bookmarkEnd w:id="64"/>
      <w:r>
        <w:rPr>
          <w:rFonts w:hint="eastAsia" w:ascii="宋体" w:hAnsi="宋体" w:eastAsia="宋体" w:cs="宋体"/>
          <w:sz w:val="40"/>
          <w:szCs w:val="32"/>
          <w:highlight w:val="none"/>
          <w:lang w:eastAsia="zh-CN"/>
        </w:rPr>
        <w:t xml:space="preserve"> </w:t>
      </w:r>
      <w:r/>
    </w:p>
    <w:p>
      <w:pPr>
        <w:spacing w:line="360" w:lineRule="auto"/>
        <w:rPr>
          <w:rFonts w:hint="eastAsia" w:ascii="宋体" w:hAnsi="宋体" w:eastAsia="宋体" w:cs="宋体"/>
          <w:bCs/>
          <w:sz w:val="44"/>
          <w:highlight w:val="none"/>
        </w:rPr>
      </w:pPr>
      <w:r>
        <w:rPr>
          <w:rFonts w:hint="eastAsia" w:ascii="宋体" w:hAnsi="宋体" w:eastAsia="宋体" w:cs="宋体"/>
          <w:bCs/>
          <w:sz w:val="44"/>
          <w:highlight w:val="none"/>
        </w:rPr>
      </w:r>
      <w:r/>
    </w:p>
    <w:p>
      <w:pPr>
        <w:jc w:val="center"/>
        <w:spacing w:line="360" w:lineRule="auto"/>
        <w:rPr>
          <w:rFonts w:hint="eastAsia" w:ascii="宋体" w:hAnsi="宋体" w:eastAsia="宋体" w:cs="宋体"/>
          <w:b/>
          <w:sz w:val="72"/>
          <w:highlight w:val="none"/>
        </w:rPr>
      </w:pPr>
      <w:r>
        <w:rPr>
          <w:rFonts w:hint="eastAsia" w:ascii="宋体" w:hAnsi="宋体" w:eastAsia="宋体" w:cs="宋体"/>
          <w:b/>
          <w:sz w:val="72"/>
          <w:highlight w:val="none"/>
        </w:rPr>
        <w:t xml:space="preserve">投  标  文  件</w:t>
      </w:r>
      <w:r/>
    </w:p>
    <w:p>
      <w:pP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pStyle w:val="730"/>
        <w:rPr>
          <w:rFonts w:hint="eastAsia" w:ascii="宋体" w:hAnsi="宋体" w:eastAsia="宋体" w:cs="宋体"/>
          <w:b/>
          <w:sz w:val="36"/>
          <w:highlight w:val="none"/>
        </w:rPr>
      </w:pPr>
      <w:r>
        <w:rPr>
          <w:rFonts w:hint="eastAsia" w:ascii="宋体" w:hAnsi="宋体" w:eastAsia="宋体" w:cs="宋体"/>
          <w:b/>
          <w:sz w:val="36"/>
          <w:highlight w:val="none"/>
        </w:rPr>
      </w:r>
      <w:r/>
    </w:p>
    <w:p>
      <w:pPr>
        <w:rPr>
          <w:rFonts w:hint="eastAsia" w:ascii="宋体" w:hAnsi="宋体" w:eastAsia="宋体" w:cs="宋体"/>
          <w:b/>
          <w:sz w:val="36"/>
          <w:highlight w:val="none"/>
        </w:rPr>
      </w:pPr>
      <w:r>
        <w:rPr>
          <w:rFonts w:hint="eastAsia" w:ascii="宋体" w:hAnsi="宋体" w:eastAsia="宋体" w:cs="宋体"/>
          <w:b/>
          <w:sz w:val="36"/>
          <w:highlight w:val="none"/>
        </w:rPr>
      </w:r>
      <w:r/>
    </w:p>
    <w:p>
      <w:pPr>
        <w:pStyle w:val="730"/>
        <w:rPr>
          <w:rFonts w:hint="eastAsia" w:ascii="宋体" w:hAnsi="宋体" w:eastAsia="宋体" w:cs="宋体"/>
          <w:b/>
          <w:sz w:val="36"/>
          <w:highlight w:val="none"/>
        </w:rPr>
      </w:pPr>
      <w:r>
        <w:rPr>
          <w:rFonts w:hint="eastAsia" w:ascii="宋体" w:hAnsi="宋体" w:eastAsia="宋体" w:cs="宋体"/>
          <w:b/>
          <w:sz w:val="36"/>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ind w:firstLine="1084"/>
        <w:spacing w:line="360" w:lineRule="auto"/>
        <w:rPr>
          <w:rFonts w:hint="eastAsia" w:ascii="宋体" w:hAnsi="宋体" w:eastAsia="宋体" w:cs="宋体"/>
          <w:b/>
          <w:sz w:val="36"/>
          <w:highlight w:val="none"/>
        </w:rPr>
      </w:pPr>
      <w:r>
        <w:rPr>
          <w:rFonts w:hint="eastAsia" w:ascii="宋体" w:hAnsi="宋体" w:eastAsia="宋体" w:cs="宋体"/>
          <w:b/>
          <w:sz w:val="36"/>
          <w:highlight w:val="none"/>
        </w:rPr>
        <w:t xml:space="preserve">项 目 名 称：</w:t>
      </w:r>
      <w:r>
        <w:rPr>
          <w:rFonts w:hint="eastAsia" w:ascii="宋体" w:hAnsi="宋体" w:eastAsia="宋体" w:cs="宋体"/>
          <w:b/>
          <w:sz w:val="36"/>
          <w:highlight w:val="none"/>
          <w:u w:val="single"/>
        </w:rPr>
        <w:t xml:space="preserve">               </w:t>
      </w:r>
      <w:r/>
    </w:p>
    <w:p>
      <w:pPr>
        <w:ind w:firstLine="1084"/>
        <w:spacing w:line="360" w:lineRule="auto"/>
        <w:rPr>
          <w:rFonts w:hint="eastAsia" w:ascii="宋体" w:hAnsi="宋体" w:eastAsia="宋体" w:cs="宋体"/>
          <w:b/>
          <w:sz w:val="36"/>
          <w:highlight w:val="none"/>
          <w:u w:val="single"/>
        </w:rPr>
      </w:pPr>
      <w:r>
        <w:rPr>
          <w:rFonts w:hint="eastAsia" w:ascii="宋体" w:hAnsi="宋体" w:eastAsia="宋体" w:cs="宋体"/>
          <w:b/>
          <w:sz w:val="36"/>
          <w:highlight w:val="none"/>
        </w:rPr>
        <w:t xml:space="preserve">招 标 编 号：</w:t>
      </w:r>
      <w:r>
        <w:rPr>
          <w:rFonts w:hint="eastAsia" w:ascii="宋体" w:hAnsi="宋体" w:eastAsia="宋体" w:cs="宋体"/>
          <w:b/>
          <w:sz w:val="36"/>
          <w:highlight w:val="none"/>
          <w:u w:val="single"/>
        </w:rPr>
        <w:t xml:space="preserve">               </w:t>
      </w:r>
      <w:r/>
    </w:p>
    <w:p>
      <w:pPr>
        <w:spacing w:line="360" w:lineRule="auto"/>
        <w:rPr>
          <w:rFonts w:hint="eastAsia" w:ascii="宋体" w:hAnsi="宋体" w:eastAsia="宋体" w:cs="宋体"/>
          <w:b/>
          <w:sz w:val="36"/>
          <w:highlight w:val="none"/>
          <w:u w:val="single"/>
        </w:rPr>
      </w:pPr>
      <w:r>
        <w:rPr>
          <w:rFonts w:hint="eastAsia" w:ascii="宋体" w:hAnsi="宋体" w:eastAsia="宋体" w:cs="宋体"/>
          <w:b/>
          <w:sz w:val="36"/>
          <w:highlight w:val="none"/>
        </w:rPr>
        <w:t xml:space="preserve">      投标人名称 ：</w:t>
      </w:r>
      <w:r>
        <w:rPr>
          <w:rFonts w:hint="eastAsia" w:ascii="宋体" w:hAnsi="宋体" w:eastAsia="宋体" w:cs="宋体"/>
          <w:b/>
          <w:sz w:val="36"/>
          <w:highlight w:val="none"/>
          <w:u w:val="single"/>
        </w:rPr>
        <w:t xml:space="preserve">               </w:t>
      </w:r>
      <w:r/>
    </w:p>
    <w:p>
      <w:pPr>
        <w:spacing w:line="360" w:lineRule="auto"/>
        <w:rPr>
          <w:rFonts w:hint="eastAsia" w:ascii="宋体" w:hAnsi="宋体" w:eastAsia="宋体" w:cs="宋体"/>
          <w:b/>
          <w:sz w:val="36"/>
          <w:highlight w:val="none"/>
          <w:u w:val="single"/>
        </w:rPr>
      </w:pPr>
      <w:r>
        <w:rPr>
          <w:rFonts w:hint="eastAsia" w:ascii="宋体" w:hAnsi="宋体" w:eastAsia="宋体" w:cs="宋体"/>
          <w:b/>
          <w:sz w:val="36"/>
          <w:highlight w:val="none"/>
        </w:rPr>
        <w:t xml:space="preserve">      日      期 ：</w:t>
      </w:r>
      <w:r>
        <w:rPr>
          <w:rFonts w:hint="eastAsia" w:ascii="宋体" w:hAnsi="宋体" w:eastAsia="宋体" w:cs="宋体"/>
          <w:b/>
          <w:sz w:val="36"/>
          <w:highlight w:val="none"/>
          <w:u w:val="single"/>
        </w:rPr>
        <w:t xml:space="preserve">               </w:t>
      </w:r>
      <w:r/>
    </w:p>
    <w:p>
      <w:pPr>
        <w:ind w:firstLine="1084"/>
        <w:spacing w:line="360" w:lineRule="auto"/>
        <w:rPr>
          <w:rFonts w:hint="eastAsia" w:ascii="宋体" w:hAnsi="宋体" w:eastAsia="宋体" w:cs="宋体"/>
          <w:b/>
          <w:sz w:val="36"/>
          <w:highlight w:val="none"/>
        </w:rPr>
      </w:pPr>
      <w:r>
        <w:rPr>
          <w:rFonts w:hint="eastAsia" w:ascii="宋体" w:hAnsi="宋体" w:eastAsia="宋体" w:cs="宋体"/>
          <w:b/>
          <w:sz w:val="36"/>
          <w:highlight w:val="none"/>
        </w:rPr>
        <w:t xml:space="preserve">投  标  人：</w:t>
      </w:r>
      <w:r>
        <w:rPr>
          <w:rFonts w:hint="eastAsia" w:ascii="宋体" w:hAnsi="宋体" w:eastAsia="宋体" w:cs="宋体"/>
          <w:b/>
          <w:sz w:val="36"/>
          <w:highlight w:val="none"/>
          <w:u w:val="single"/>
        </w:rPr>
        <w:t xml:space="preserve">         </w:t>
      </w:r>
      <w:r>
        <w:rPr>
          <w:rFonts w:hint="eastAsia" w:ascii="宋体" w:hAnsi="宋体" w:eastAsia="宋体" w:cs="宋体"/>
          <w:b/>
          <w:sz w:val="36"/>
          <w:highlight w:val="none"/>
        </w:rPr>
        <w:t xml:space="preserve">（电子签章）</w:t>
      </w:r>
      <w:r/>
    </w:p>
    <w:p>
      <w:pPr>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3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3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3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投标主要文件目录</w:t>
      </w:r>
      <w:r/>
    </w:p>
    <w:p>
      <w:pPr>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一、资格审查响应对照表</w:t>
      </w:r>
      <w:r/>
    </w:p>
    <w:p>
      <w:pPr>
        <w:ind w:left="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二、符合性审查响应对照表</w:t>
      </w:r>
      <w:r/>
    </w:p>
    <w:p>
      <w:pPr>
        <w:ind w:left="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三、非实质性响应对照表</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四</w:t>
      </w:r>
      <w:r>
        <w:rPr>
          <w:rFonts w:hint="eastAsia" w:ascii="宋体" w:hAnsi="宋体" w:eastAsia="宋体" w:cs="宋体"/>
          <w:b/>
          <w:bCs/>
          <w:sz w:val="24"/>
          <w:highlight w:val="none"/>
        </w:rPr>
        <w:t xml:space="preserve">、</w:t>
      </w:r>
      <w:r>
        <w:rPr>
          <w:rFonts w:hint="eastAsia" w:ascii="宋体" w:hAnsi="宋体" w:eastAsia="宋体" w:cs="宋体"/>
          <w:i/>
          <w:sz w:val="24"/>
          <w:highlight w:val="none"/>
          <w:u w:val="single"/>
        </w:rPr>
        <w:t xml:space="preserve">开标一览表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五、投标配置与分项报价表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六</w:t>
      </w:r>
      <w:r>
        <w:rPr>
          <w:rFonts w:hint="eastAsia" w:ascii="宋体" w:hAnsi="宋体" w:eastAsia="宋体" w:cs="宋体"/>
          <w:sz w:val="24"/>
          <w:szCs w:val="24"/>
          <w:highlight w:val="none"/>
        </w:rPr>
        <w:t xml:space="preserve">、技术参数响应及偏离表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七、商务条款响应及偏离表</w:t>
      </w:r>
      <w:r/>
    </w:p>
    <w:p>
      <w:pPr>
        <w:ind w:firstLine="480"/>
        <w:spacing w:line="360" w:lineRule="auto"/>
        <w:rPr>
          <w:rFonts w:hint="eastAsia" w:ascii="宋体" w:hAnsi="宋体" w:eastAsia="宋体" w:cs="宋体"/>
          <w:sz w:val="36"/>
          <w:szCs w:val="36"/>
          <w:highlight w:val="none"/>
        </w:rPr>
      </w:pPr>
      <w:r>
        <w:rPr>
          <w:rFonts w:hint="eastAsia" w:ascii="宋体" w:hAnsi="宋体" w:eastAsia="宋体" w:cs="宋体"/>
          <w:sz w:val="24"/>
          <w:highlight w:val="none"/>
        </w:rPr>
        <w:t xml:space="preserve">八、其他 （投标人认为有必要提供的声明和文件，如有自拟并自行添加）</w:t>
      </w:r>
      <w:r/>
    </w:p>
    <w:p>
      <w:pPr>
        <w:contextualSpacing/>
        <w:jc w:val="center"/>
        <w:spacing w:line="360" w:lineRule="auto"/>
        <w:rPr>
          <w:rFonts w:hint="eastAsia" w:ascii="宋体" w:hAnsi="宋体" w:eastAsia="宋体" w:cs="宋体"/>
          <w:b/>
          <w:sz w:val="72"/>
          <w:highlight w:val="none"/>
        </w:rPr>
      </w:pPr>
      <w:r>
        <w:rPr>
          <w:rFonts w:hint="eastAsia" w:ascii="宋体" w:hAnsi="宋体" w:eastAsia="宋体" w:cs="宋体"/>
          <w:b/>
          <w:sz w:val="72"/>
          <w:highlight w:val="none"/>
        </w:rPr>
      </w:r>
      <w:r/>
    </w:p>
    <w:p>
      <w:pPr>
        <w:contextualSpacing/>
        <w:jc w:val="center"/>
        <w:spacing w:line="360" w:lineRule="auto"/>
        <w:rPr>
          <w:rFonts w:hint="eastAsia" w:ascii="宋体" w:hAnsi="宋体" w:eastAsia="宋体" w:cs="宋体"/>
          <w:b/>
          <w:sz w:val="72"/>
          <w:highlight w:val="none"/>
        </w:rPr>
      </w:pPr>
      <w:r>
        <w:rPr>
          <w:rFonts w:hint="eastAsia" w:ascii="宋体" w:hAnsi="宋体" w:eastAsia="宋体" w:cs="宋体"/>
          <w:b/>
          <w:sz w:val="72"/>
          <w:highlight w:val="none"/>
        </w:rPr>
      </w:r>
      <w:r/>
    </w:p>
    <w:p>
      <w:pPr>
        <w:contextualSpacing/>
        <w:jc w:val="center"/>
        <w:spacing w:line="360" w:lineRule="auto"/>
        <w:rPr>
          <w:rFonts w:hint="eastAsia" w:ascii="宋体" w:hAnsi="宋体" w:eastAsia="宋体" w:cs="宋体"/>
          <w:b/>
          <w:sz w:val="72"/>
          <w:highlight w:val="none"/>
        </w:rPr>
      </w:pPr>
      <w:r>
        <w:rPr>
          <w:rFonts w:hint="eastAsia" w:ascii="宋体" w:hAnsi="宋体" w:eastAsia="宋体" w:cs="宋体"/>
          <w:b/>
          <w:sz w:val="72"/>
          <w:highlight w:val="none"/>
        </w:rPr>
      </w:r>
      <w:r/>
    </w:p>
    <w:p>
      <w:pPr>
        <w:contextualSpacing/>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contextualSpacing/>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pStyle w:val="695"/>
        <w:jc w:val="both"/>
        <w:spacing w:line="360" w:lineRule="auto"/>
        <w:rPr>
          <w:rFonts w:hint="eastAsia" w:ascii="宋体" w:hAnsi="宋体" w:eastAsia="宋体" w:cs="宋体"/>
          <w:sz w:val="32"/>
          <w:szCs w:val="32"/>
          <w:highlight w:val="none"/>
        </w:rPr>
      </w:pPr>
      <w:r/>
      <w:bookmarkStart w:id="65" w:name="_Toc191970195"/>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695"/>
        <w:spacing w:line="360" w:lineRule="auto"/>
        <w:rPr>
          <w:rFonts w:hint="eastAsia" w:ascii="宋体" w:hAnsi="宋体" w:eastAsia="宋体" w:cs="宋体"/>
          <w:b w:val="0"/>
          <w:sz w:val="32"/>
          <w:szCs w:val="32"/>
          <w:highlight w:val="none"/>
        </w:rPr>
      </w:pPr>
      <w:r>
        <w:rPr>
          <w:rFonts w:hint="eastAsia" w:ascii="宋体" w:hAnsi="宋体" w:eastAsia="宋体" w:cs="宋体"/>
          <w:sz w:val="32"/>
          <w:highlight w:val="none"/>
        </w:rPr>
        <w:t xml:space="preserve">一、资格审查响应对照表</w:t>
      </w:r>
      <w:bookmarkEnd w:id="65"/>
      <w:r/>
      <w:r/>
    </w:p>
    <w:tbl>
      <w:tblPr>
        <w:tblStyle w:val="652"/>
        <w:tblW w:w="82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资格审查响应内容</w:t>
            </w:r>
            <w:r/>
          </w:p>
        </w:tc>
        <w:tc>
          <w:tcPr>
            <w:tcW w:w="2158" w:type="dxa"/>
            <w:vAlign w:val="center"/>
            <w:textDirection w:val="lrTb"/>
            <w:noWrap w:val="false"/>
          </w:tcPr>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是否响应</w:t>
            </w:r>
            <w:r/>
          </w:p>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hint="eastAsia" w:ascii="宋体" w:hAnsi="宋体" w:eastAsia="宋体" w:cs="宋体"/>
                <w:b/>
                <w:szCs w:val="21"/>
                <w:highlight w:val="none"/>
              </w:rPr>
            </w:pPr>
            <w:r>
              <w:rPr>
                <w:rFonts w:hint="eastAsia" w:ascii="宋体" w:hAnsi="宋体" w:eastAsia="宋体" w:cs="宋体"/>
                <w:szCs w:val="21"/>
                <w:highlight w:val="none"/>
              </w:rPr>
              <w:t xml:space="preserve">1</w:t>
            </w:r>
            <w:r/>
          </w:p>
        </w:tc>
        <w:tc>
          <w:tcPr>
            <w:tcW w:w="5447" w:type="dxa"/>
            <w:vAlign w:val="center"/>
            <w:textDirection w:val="lrTb"/>
            <w:noWrap w:val="false"/>
          </w:tcPr>
          <w:p>
            <w:pPr>
              <w:spacing w:line="360" w:lineRule="auto"/>
              <w:rPr>
                <w:rFonts w:hint="eastAsia" w:ascii="宋体" w:hAnsi="宋体" w:eastAsia="宋体" w:cs="宋体"/>
                <w:iCs/>
                <w:szCs w:val="21"/>
                <w:highlight w:val="none"/>
              </w:rPr>
            </w:pPr>
            <w:r>
              <w:rPr>
                <w:rFonts w:hint="eastAsia" w:ascii="宋体" w:hAnsi="宋体" w:eastAsia="宋体" w:cs="宋体"/>
                <w:szCs w:val="21"/>
                <w:highlight w:val="none"/>
              </w:rPr>
              <w:t xml:space="preserve">法人或者其他组织的营业执照等证明文件，自然人的身份证明</w:t>
            </w:r>
            <w:r/>
          </w:p>
        </w:tc>
        <w:tc>
          <w:tcPr>
            <w:tcW w:w="2158" w:type="dxa"/>
            <w:vAlign w:val="center"/>
            <w:textDirection w:val="lrTb"/>
            <w:noWrap w:val="false"/>
          </w:tcPr>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W w:w="5447" w:type="dxa"/>
            <w:vAlign w:val="center"/>
            <w:textDirection w:val="lrTb"/>
            <w:noWrap w:val="false"/>
          </w:tcPr>
          <w:p>
            <w:pPr>
              <w:spacing w:line="360" w:lineRule="auto"/>
              <w:rPr>
                <w:rFonts w:hint="eastAsia" w:ascii="宋体" w:hAnsi="宋体" w:eastAsia="宋体" w:cs="宋体"/>
                <w:iCs/>
                <w:szCs w:val="21"/>
                <w:highlight w:val="none"/>
              </w:rPr>
            </w:pPr>
            <w:r>
              <w:rPr>
                <w:rFonts w:hint="eastAsia" w:ascii="宋体" w:hAnsi="宋体" w:eastAsia="宋体" w:cs="宋体"/>
                <w:iCs/>
                <w:szCs w:val="21"/>
                <w:highlight w:val="none"/>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tc>
        <w:tc>
          <w:tcPr>
            <w:tcW w:w="2158"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c>
          <w:tcPr>
            <w:tcW w:w="5447" w:type="dxa"/>
            <w:vAlign w:val="center"/>
            <w:textDirection w:val="lrTb"/>
            <w:noWrap w:val="false"/>
          </w:tcPr>
          <w:p>
            <w:pPr>
              <w:spacing w:line="360" w:lineRule="auto"/>
              <w:rPr>
                <w:rFonts w:hint="eastAsia" w:ascii="宋体" w:hAnsi="宋体" w:eastAsia="宋体" w:cs="宋体"/>
                <w:iCs/>
                <w:szCs w:val="21"/>
                <w:highlight w:val="none"/>
              </w:rPr>
            </w:pPr>
            <w:r>
              <w:rPr>
                <w:rFonts w:hint="eastAsia" w:ascii="宋体" w:hAnsi="宋体" w:eastAsia="宋体" w:cs="宋体"/>
                <w:iCs/>
                <w:szCs w:val="21"/>
                <w:highlight w:val="none"/>
                <w:lang w:eastAsia="zh-CN"/>
              </w:rPr>
              <w:t xml:space="preserve">2025年度的财务状况报告</w:t>
            </w:r>
            <w:r>
              <w:rPr>
                <w:rFonts w:hint="eastAsia" w:ascii="宋体" w:hAnsi="宋体" w:eastAsia="宋体" w:cs="宋体"/>
                <w:iCs/>
                <w:szCs w:val="21"/>
                <w:highlight w:val="none"/>
              </w:rPr>
              <w:t xml:space="preserve">（成立不满一年无需提供）</w:t>
            </w:r>
            <w:r/>
          </w:p>
        </w:tc>
        <w:tc>
          <w:tcPr>
            <w:tcW w:w="2158"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417"/>
        </w:trPr>
        <w:tc>
          <w:tcPr>
            <w:tcW w:w="646"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w:t>
            </w:r>
            <w:r/>
          </w:p>
        </w:tc>
        <w:tc>
          <w:tcPr>
            <w:tcW w:w="5447" w:type="dxa"/>
            <w:vAlign w:val="center"/>
            <w:textDirection w:val="lrTb"/>
            <w:noWrap w:val="false"/>
          </w:tcPr>
          <w:p>
            <w:pPr>
              <w:spacing w:line="360" w:lineRule="auto"/>
              <w:rPr>
                <w:rFonts w:hint="eastAsia" w:ascii="宋体" w:hAnsi="宋体" w:eastAsia="宋体" w:cs="宋体"/>
                <w:iCs/>
                <w:szCs w:val="21"/>
                <w:highlight w:val="none"/>
              </w:rPr>
            </w:pPr>
            <w:r>
              <w:rPr>
                <w:rFonts w:hint="eastAsia" w:ascii="宋体" w:hAnsi="宋体" w:eastAsia="宋体" w:cs="宋体"/>
                <w:iCs/>
                <w:szCs w:val="21"/>
                <w:highlight w:val="none"/>
              </w:rPr>
              <w:t xml:space="preserve">具备履行合同所必需的设备和专业技术能力的证明材料</w:t>
            </w:r>
            <w:r/>
          </w:p>
        </w:tc>
        <w:tc>
          <w:tcPr>
            <w:tcW w:w="2158"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w:t>
            </w:r>
            <w:r/>
          </w:p>
        </w:tc>
        <w:tc>
          <w:tcPr>
            <w:tcW w:w="5447" w:type="dxa"/>
            <w:vAlign w:val="center"/>
            <w:textDirection w:val="lrTb"/>
            <w:noWrap w:val="false"/>
          </w:tcPr>
          <w:p>
            <w:pPr>
              <w:spacing w:line="360" w:lineRule="auto"/>
              <w:rPr>
                <w:rFonts w:hint="eastAsia" w:ascii="宋体" w:hAnsi="宋体" w:eastAsia="宋体" w:cs="宋体"/>
                <w:iCs/>
                <w:szCs w:val="21"/>
                <w:highlight w:val="none"/>
              </w:rPr>
            </w:pPr>
            <w:r>
              <w:rPr>
                <w:rFonts w:hint="eastAsia" w:ascii="宋体" w:hAnsi="宋体" w:eastAsia="宋体" w:cs="宋体"/>
                <w:szCs w:val="21"/>
                <w:highlight w:val="none"/>
              </w:rPr>
              <w:t xml:space="preserve"> 参加本次政府采购活动前3年内在经营活动中没有重大违法记录的书面声明</w:t>
            </w:r>
            <w:r/>
          </w:p>
        </w:tc>
        <w:tc>
          <w:tcPr>
            <w:tcW w:w="2158"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90"/>
        </w:trPr>
        <w:tc>
          <w:tcPr>
            <w:tcW w:w="646"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w:t>
            </w:r>
            <w:r/>
          </w:p>
        </w:tc>
        <w:tc>
          <w:tcPr>
            <w:tcW w:w="5447"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w:t>
            </w:r>
            <w:r/>
          </w:p>
        </w:tc>
        <w:tc>
          <w:tcPr>
            <w:tcW w:w="5447"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供应商信用承诺函</w:t>
            </w:r>
            <w:r/>
          </w:p>
        </w:tc>
        <w:tc>
          <w:tcPr>
            <w:tcW w:w="2158"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90"/>
        </w:trPr>
        <w:tc>
          <w:tcPr>
            <w:gridSpan w:val="3"/>
            <w:tcW w:w="8251"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8</w:t>
            </w:r>
            <w:r/>
          </w:p>
        </w:tc>
        <w:tc>
          <w:tcPr>
            <w:tcW w:w="5447" w:type="dxa"/>
            <w:vAlign w:val="center"/>
            <w:textDirection w:val="lrTb"/>
            <w:noWrap w:val="false"/>
          </w:tcPr>
          <w:p>
            <w:pPr>
              <w:spacing w:line="360" w:lineRule="auto"/>
              <w:rPr>
                <w:rFonts w:hint="eastAsia" w:ascii="宋体" w:hAnsi="宋体" w:eastAsia="宋体" w:cs="宋体"/>
                <w:highlight w:val="none"/>
                <w:lang w:val="en-US" w:eastAsia="zh-CN"/>
              </w:rPr>
            </w:pPr>
            <w:r>
              <w:rPr>
                <w:rFonts w:hint="eastAsia" w:ascii="宋体" w:hAnsi="宋体" w:cs="宋体"/>
                <w:iCs/>
                <w:szCs w:val="21"/>
                <w:highlight w:val="none"/>
                <w:lang w:val="en-US" w:eastAsia="zh-CN"/>
              </w:rPr>
              <w:t xml:space="preserve">无</w:t>
            </w:r>
            <w:r/>
          </w:p>
        </w:tc>
        <w:tc>
          <w:tcPr>
            <w:tcW w:w="2158"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400"/>
        </w:trPr>
        <w:tc>
          <w:tcPr>
            <w:gridSpan w:val="3"/>
            <w:tcW w:w="8251"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特定资格条件</w:t>
            </w:r>
            <w:r/>
          </w:p>
        </w:tc>
      </w:tr>
      <w:tr>
        <w:trPr>
          <w:trHeight w:val="389"/>
        </w:trPr>
        <w:tc>
          <w:tcPr>
            <w:tcW w:w="646" w:type="dxa"/>
            <w:vAlign w:val="center"/>
            <w:textDirection w:val="lrTb"/>
            <w:noWrap w:val="false"/>
          </w:tcPr>
          <w:p>
            <w:pPr>
              <w:jc w:val="cente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9</w:t>
            </w:r>
            <w:r/>
          </w:p>
        </w:tc>
        <w:tc>
          <w:tcPr>
            <w:tcW w:w="5447" w:type="dxa"/>
            <w:vAlign w:val="center"/>
            <w:textDirection w:val="lrTb"/>
            <w:noWrap w:val="false"/>
          </w:tcPr>
          <w:p>
            <w:pPr>
              <w:jc w:val="left"/>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无</w:t>
            </w:r>
            <w:r/>
          </w:p>
        </w:tc>
        <w:tc>
          <w:tcPr>
            <w:tcW w:w="2158"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400"/>
        </w:trPr>
        <w:tc>
          <w:tcPr>
            <w:gridSpan w:val="3"/>
            <w:tcW w:w="8251"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1</w:t>
            </w:r>
            <w:r>
              <w:rPr>
                <w:rFonts w:hint="eastAsia" w:ascii="宋体" w:hAnsi="宋体" w:cs="宋体"/>
                <w:szCs w:val="21"/>
                <w:highlight w:val="none"/>
                <w:lang w:val="en-US" w:eastAsia="zh-CN"/>
              </w:rPr>
              <w:t xml:space="preserve">0</w:t>
            </w:r>
            <w:r/>
          </w:p>
        </w:tc>
        <w:tc>
          <w:tcPr>
            <w:tcW w:w="5447" w:type="dxa"/>
            <w:vAlign w:val="center"/>
            <w:textDirection w:val="lrTb"/>
            <w:noWrap w:val="false"/>
          </w:tcPr>
          <w:p>
            <w:pPr>
              <w:jc w:val="left"/>
              <w:spacing w:line="360" w:lineRule="auto"/>
              <w:rPr>
                <w:rFonts w:hint="eastAsia" w:ascii="宋体" w:hAnsi="宋体" w:eastAsia="宋体" w:cs="宋体"/>
                <w:iCs/>
                <w:szCs w:val="21"/>
                <w:highlight w:val="none"/>
              </w:rPr>
            </w:pPr>
            <w:r>
              <w:rPr>
                <w:rFonts w:hint="eastAsia" w:ascii="宋体" w:hAnsi="宋体" w:eastAsia="宋体" w:cs="宋体"/>
                <w:iCs/>
                <w:szCs w:val="21"/>
                <w:highlight w:val="none"/>
              </w:rPr>
              <w:t xml:space="preserve">投标函</w:t>
            </w:r>
            <w:r/>
          </w:p>
        </w:tc>
        <w:tc>
          <w:tcPr>
            <w:tcW w:w="2158"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400"/>
        </w:trPr>
        <w:tc>
          <w:tcPr>
            <w:tcW w:w="646" w:type="dxa"/>
            <w:vAlign w:val="center"/>
            <w:textDirection w:val="lrTb"/>
            <w:noWrap w:val="false"/>
          </w:tcPr>
          <w:p>
            <w:pPr>
              <w:jc w:val="cente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1</w:t>
            </w:r>
            <w:r>
              <w:rPr>
                <w:rFonts w:hint="eastAsia" w:ascii="宋体" w:hAnsi="宋体" w:cs="宋体"/>
                <w:szCs w:val="21"/>
                <w:highlight w:val="none"/>
                <w:lang w:val="en-US" w:eastAsia="zh-CN"/>
              </w:rPr>
              <w:t xml:space="preserve">1</w:t>
            </w:r>
            <w:r/>
          </w:p>
        </w:tc>
        <w:tc>
          <w:tcPr>
            <w:tcW w:w="5447" w:type="dxa"/>
            <w:vAlign w:val="center"/>
            <w:textDirection w:val="lrTb"/>
            <w:noWrap w:val="false"/>
          </w:tcPr>
          <w:p>
            <w:pPr>
              <w:jc w:val="left"/>
              <w:spacing w:line="360" w:lineRule="auto"/>
              <w:rPr>
                <w:rFonts w:hint="eastAsia" w:ascii="宋体" w:hAnsi="宋体" w:eastAsia="宋体" w:cs="宋体"/>
                <w:iCs/>
                <w:szCs w:val="21"/>
                <w:highlight w:val="none"/>
              </w:rPr>
            </w:pPr>
            <w:r>
              <w:rPr>
                <w:rFonts w:hint="eastAsia" w:ascii="宋体" w:hAnsi="宋体" w:eastAsia="宋体" w:cs="宋体"/>
                <w:iCs/>
                <w:szCs w:val="21"/>
                <w:highlight w:val="none"/>
              </w:rPr>
              <w:t xml:space="preserve">法人授权书</w:t>
            </w:r>
            <w:r/>
          </w:p>
        </w:tc>
        <w:tc>
          <w:tcPr>
            <w:tcW w:w="2158"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bl>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ind w:firstLine="1476"/>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ind w:firstLine="1476"/>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ind w:firstLine="1476"/>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ind w:firstLine="1476"/>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ind w:firstLine="1476"/>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具备履行合同所必需的设备和专业技术能力的书面声明</w:t>
      </w:r>
      <w:r/>
    </w:p>
    <w:p>
      <w:pPr>
        <w:ind w:firstLine="492"/>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主要设备有：</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w:t>
      </w:r>
      <w:r/>
    </w:p>
    <w:p>
      <w:pPr>
        <w:ind w:firstLine="492"/>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主要专业技术能力有：</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w:t>
      </w:r>
      <w:r/>
    </w:p>
    <w:p>
      <w:pPr>
        <w:contextualSpacing/>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contextualSpacing/>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contextualSpacing/>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contextualSpacing/>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contextualSpacing/>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contextualSpacing/>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contextualSpacing/>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contextualSpacing/>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contextualSpacing/>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contextualSpacing/>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contextualSpacing/>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contextualSpacing/>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contextualSpacing/>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contextualSpacing/>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contextualSpacing/>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contextualSpacing/>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contextualSpacing/>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参加本次政府采购活动前 3 年内在经营活动中没有重大违法记录的书面声明</w:t>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声  明</w:t>
      </w:r>
      <w:r/>
    </w:p>
    <w:p>
      <w:pPr>
        <w:spacing w:line="360" w:lineRule="auto"/>
        <w:rPr>
          <w:rFonts w:hint="eastAsia" w:ascii="宋体" w:hAnsi="宋体" w:eastAsia="宋体" w:cs="宋体"/>
          <w:bCs/>
          <w:highlight w:val="none"/>
        </w:rPr>
      </w:pPr>
      <w:r>
        <w:rPr>
          <w:rFonts w:hint="eastAsia" w:ascii="宋体" w:hAnsi="宋体" w:eastAsia="宋体" w:cs="宋体"/>
          <w:b/>
          <w:bCs/>
          <w:highlight w:val="none"/>
        </w:rPr>
        <w:t xml:space="preserve">    </w:t>
      </w:r>
      <w:r>
        <w:rPr>
          <w:rFonts w:hint="eastAsia" w:ascii="宋体" w:hAnsi="宋体" w:eastAsia="宋体" w:cs="宋体"/>
          <w:bCs/>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                               供应商名称（公章）：</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                               法定代表人签章：</w:t>
      </w:r>
      <w:r>
        <w:rPr>
          <w:rFonts w:hint="eastAsia" w:ascii="宋体" w:hAnsi="宋体" w:eastAsia="宋体" w:cs="宋体"/>
          <w:bCs/>
          <w:highlight w:val="none"/>
          <w:u w:val="single"/>
        </w:rPr>
        <w:t xml:space="preserve">_______________________</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                               日期：</w:t>
      </w:r>
      <w:r>
        <w:rPr>
          <w:rFonts w:hint="eastAsia" w:ascii="宋体" w:hAnsi="宋体" w:eastAsia="宋体" w:cs="宋体"/>
          <w:bCs/>
          <w:highlight w:val="none"/>
          <w:u w:val="single"/>
        </w:rPr>
        <w:t xml:space="preserve">______</w:t>
      </w:r>
      <w:r>
        <w:rPr>
          <w:rFonts w:hint="eastAsia" w:ascii="宋体" w:hAnsi="宋体" w:eastAsia="宋体" w:cs="宋体"/>
          <w:bCs/>
          <w:highlight w:val="none"/>
        </w:rPr>
        <w:t xml:space="preserve">年</w:t>
      </w:r>
      <w:r>
        <w:rPr>
          <w:rFonts w:hint="eastAsia" w:ascii="宋体" w:hAnsi="宋体" w:eastAsia="宋体" w:cs="宋体"/>
          <w:bCs/>
          <w:highlight w:val="none"/>
          <w:u w:val="single"/>
        </w:rPr>
        <w:t xml:space="preserve">    </w:t>
      </w:r>
      <w:r>
        <w:rPr>
          <w:rFonts w:hint="eastAsia" w:ascii="宋体" w:hAnsi="宋体" w:eastAsia="宋体" w:cs="宋体"/>
          <w:bCs/>
          <w:highlight w:val="none"/>
        </w:rPr>
        <w:t xml:space="preserve">月</w:t>
      </w:r>
      <w:r>
        <w:rPr>
          <w:rFonts w:hint="eastAsia" w:ascii="宋体" w:hAnsi="宋体" w:eastAsia="宋体" w:cs="宋体"/>
          <w:bCs/>
          <w:highlight w:val="none"/>
          <w:u w:val="single"/>
        </w:rPr>
        <w:t xml:space="preserve">    </w:t>
      </w:r>
      <w:r>
        <w:rPr>
          <w:rFonts w:hint="eastAsia" w:ascii="宋体" w:hAnsi="宋体" w:eastAsia="宋体" w:cs="宋体"/>
          <w:bCs/>
          <w:highlight w:val="none"/>
        </w:rPr>
        <w:t xml:space="preserve">日</w:t>
      </w:r>
      <w:r/>
    </w:p>
    <w:p>
      <w:pPr>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br w:type="page" w:clear="all"/>
      </w:r>
      <w:r/>
    </w:p>
    <w:p>
      <w:pPr>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供应商信用承诺书</w:t>
      </w:r>
      <w:r/>
    </w:p>
    <w:p>
      <w:pPr>
        <w:spacing w:line="360" w:lineRule="auto"/>
        <w:rPr>
          <w:rFonts w:hint="eastAsia" w:ascii="宋体" w:hAnsi="宋体" w:eastAsia="宋体" w:cs="宋体"/>
          <w:szCs w:val="32"/>
          <w:highlight w:val="none"/>
        </w:rPr>
      </w:pPr>
      <w:r>
        <w:rPr>
          <w:rFonts w:hint="eastAsia" w:ascii="宋体" w:hAnsi="宋体" w:eastAsia="宋体" w:cs="宋体"/>
          <w:szCs w:val="32"/>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承诺主体名称：</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统一社会信用代码：</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十、本承诺书自签订之日起生效。</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（注：法定代表人或负责人、主体名称发生变更的应当重新做出承诺。）</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承诺单位（签章）：           </w:t>
      </w:r>
      <w:r/>
    </w:p>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法定代表人（负责人）：</w:t>
      </w:r>
      <w:r/>
    </w:p>
    <w:p>
      <w:pPr>
        <w:jc w:val="center"/>
        <w:spacing w:line="360" w:lineRule="auto"/>
        <w:rPr>
          <w:rFonts w:hint="eastAsia" w:ascii="宋体" w:hAnsi="宋体" w:eastAsia="宋体" w:cs="宋体"/>
          <w:b/>
          <w:bCs/>
          <w:highlight w:val="none"/>
        </w:rPr>
      </w:pPr>
      <w:r>
        <w:rPr>
          <w:rFonts w:hint="eastAsia" w:ascii="宋体" w:hAnsi="宋体" w:eastAsia="宋体" w:cs="宋体"/>
          <w:szCs w:val="21"/>
          <w:highlight w:val="none"/>
        </w:rPr>
        <w:t xml:space="preserve">　　　　　　　　　      　年    月    日</w:t>
      </w:r>
      <w:r/>
    </w:p>
    <w:p>
      <w:pPr>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投标函格式</w:t>
      </w:r>
      <w:r/>
    </w:p>
    <w:p>
      <w:pPr>
        <w:pStyle w:val="894"/>
        <w:ind w:firstLine="0"/>
        <w:spacing w:before="0" w:after="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致：</w:t>
      </w:r>
      <w:r>
        <w:rPr>
          <w:rFonts w:hint="eastAsia" w:ascii="宋体" w:hAnsi="宋体" w:eastAsia="宋体" w:cs="宋体"/>
          <w:sz w:val="21"/>
          <w:highlight w:val="none"/>
          <w:lang w:eastAsia="zh-CN"/>
        </w:rPr>
        <w:t xml:space="preserve">扬州筑苑工程招标咨询有限公司</w:t>
      </w:r>
      <w:r/>
    </w:p>
    <w:p>
      <w:pPr>
        <w:pStyle w:val="894"/>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根据贵方的（）号招标文件，正式授权下述签字人_________________(姓名)代表我方______________（投标人的名称），全权处理本次项目投标的有关事宜。</w:t>
      </w:r>
      <w:r/>
    </w:p>
    <w:p>
      <w:pPr>
        <w:pStyle w:val="894"/>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据此函，__________签字人（姓名）兹宣布同意如下：</w:t>
      </w:r>
      <w:r/>
    </w:p>
    <w:p>
      <w:pPr>
        <w:pStyle w:val="894"/>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1.按招标文件规定的各项要求，向买方提供所需货物与服务。</w:t>
      </w:r>
      <w:r/>
    </w:p>
    <w:p>
      <w:pPr>
        <w:pStyle w:val="894"/>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2.我们完全理解贵方不一定将合同授予最低报价的投标人。</w:t>
      </w:r>
      <w:r/>
    </w:p>
    <w:p>
      <w:pPr>
        <w:pStyle w:val="894"/>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3.我们已详细审核全部招标文件及其有效补充文件，我们知道必须放弃提出含糊不清或误解问题的权利。</w:t>
      </w:r>
      <w:r/>
    </w:p>
    <w:p>
      <w:pPr>
        <w:pStyle w:val="894"/>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4.我们同意从规定的开标日期起遵循本投标文件，并在规定的投标有效期期满之前均具有约束力。</w:t>
      </w:r>
      <w:r/>
    </w:p>
    <w:p>
      <w:pPr>
        <w:pStyle w:val="894"/>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5.同意向贵方提供贵方可能另外要求的与投标有关的任何证据或资料，并保证我方已提供和将要提供的文件是真实的、准确的。</w:t>
      </w:r>
      <w:r/>
    </w:p>
    <w:p>
      <w:pPr>
        <w:pStyle w:val="894"/>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6.一旦我方中标,我方将根据招标文件的规定，严格履行合同的责任和义务,并保证在招标文件规定的时间完成项目，交付买方验收、使用。</w:t>
      </w:r>
      <w:r/>
    </w:p>
    <w:p>
      <w:pPr>
        <w:pStyle w:val="894"/>
        <w:ind w:left="425" w:firstLine="105"/>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7.与本投标有关的正式通讯地址为：</w:t>
      </w:r>
      <w:r/>
    </w:p>
    <w:p>
      <w:pPr>
        <w:pStyle w:val="894"/>
        <w:ind w:firstLine="479"/>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w:t>
      </w:r>
      <w:r/>
    </w:p>
    <w:p>
      <w:pPr>
        <w:pStyle w:val="894"/>
        <w:ind w:firstLine="479"/>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 编：</w:t>
      </w:r>
      <w:r/>
    </w:p>
    <w:p>
      <w:pPr>
        <w:pStyle w:val="894"/>
        <w:ind w:firstLine="479"/>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 </w:t>
      </w:r>
      <w:r/>
    </w:p>
    <w:p>
      <w:pPr>
        <w:pStyle w:val="894"/>
        <w:ind w:firstLine="479"/>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 真： </w:t>
      </w:r>
      <w:r/>
    </w:p>
    <w:p>
      <w:pPr>
        <w:pStyle w:val="894"/>
        <w:ind w:firstLine="479"/>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投标人开户行：</w:t>
      </w:r>
      <w:r/>
    </w:p>
    <w:p>
      <w:pPr>
        <w:pStyle w:val="894"/>
        <w:ind w:firstLine="479"/>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账 户： </w:t>
      </w:r>
      <w:r/>
    </w:p>
    <w:p>
      <w:pPr>
        <w:pStyle w:val="894"/>
        <w:ind w:firstLine="479"/>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行 号：</w:t>
      </w:r>
      <w:r/>
    </w:p>
    <w:p>
      <w:pPr>
        <w:pStyle w:val="894"/>
        <w:ind w:firstLine="479"/>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期：________年____月____日</w:t>
      </w:r>
      <w:r/>
    </w:p>
    <w:p>
      <w:pPr>
        <w:contextualSpacing/>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32"/>
          <w:szCs w:val="32"/>
          <w:highlight w:val="none"/>
        </w:rPr>
        <w:br w:type="page" w:clear="all"/>
      </w:r>
      <w:r/>
    </w:p>
    <w:p>
      <w:pPr>
        <w:pStyle w:val="896"/>
        <w:ind w:firstLine="422"/>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896"/>
        <w:ind w:firstLine="422"/>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法人授权书</w:t>
      </w:r>
      <w:r/>
    </w:p>
    <w:p>
      <w:pPr>
        <w:pStyle w:val="89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本授权书声明：________________（投标人名称）授权________________（被授权人的姓名）为我方就（项目编号）号（项目名称）项目采购活动的合法代理人，以本公司名义全权处理一切与该项目采购有关的事务。</w:t>
      </w:r>
      <w:r/>
    </w:p>
    <w:p>
      <w:pPr>
        <w:pStyle w:val="89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本授权书于______年____月____日起生效，特此声明。</w:t>
      </w:r>
      <w:r/>
    </w:p>
    <w:p>
      <w:pPr>
        <w:pStyle w:val="896"/>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89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被授权人姓名：_____________________</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__     </w:t>
      </w:r>
      <w:r/>
    </w:p>
    <w:p>
      <w:pPr>
        <w:pStyle w:val="896"/>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联系电话（手机）：</w:t>
      </w:r>
      <w:r>
        <w:rPr>
          <w:rFonts w:hint="eastAsia" w:ascii="宋体" w:hAnsi="宋体" w:eastAsia="宋体" w:cs="宋体"/>
          <w:sz w:val="21"/>
          <w:szCs w:val="21"/>
          <w:highlight w:val="none"/>
          <w:u w:val="single"/>
        </w:rPr>
        <w:t xml:space="preserve">                             </w:t>
      </w:r>
      <w:r/>
    </w:p>
    <w:p>
      <w:pPr>
        <w:pStyle w:val="896"/>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单位名称：____________________________________</w:t>
      </w:r>
      <w:r/>
    </w:p>
    <w:p>
      <w:pPr>
        <w:pStyle w:val="896"/>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单位地址：</w:t>
      </w:r>
      <w:r>
        <w:rPr>
          <w:rFonts w:hint="eastAsia" w:ascii="宋体" w:hAnsi="宋体" w:eastAsia="宋体" w:cs="宋体"/>
          <w:sz w:val="21"/>
          <w:szCs w:val="21"/>
          <w:highlight w:val="none"/>
          <w:u w:val="single"/>
        </w:rPr>
        <w:t xml:space="preserve">                                         </w:t>
      </w:r>
      <w:r/>
    </w:p>
    <w:p>
      <w:pPr>
        <w:pStyle w:val="89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spacing w:line="360" w:lineRule="auto"/>
        <w:rPr>
          <w:rFonts w:hint="eastAsia" w:ascii="宋体" w:hAnsi="宋体" w:eastAsia="宋体" w:cs="宋体"/>
          <w:bCs/>
          <w:highlight w:val="none"/>
        </w:rPr>
      </w:pPr>
      <w:r>
        <w:rPr>
          <w:rFonts w:hint="eastAsia" w:ascii="宋体" w:hAnsi="宋体" w:eastAsia="宋体" w:cs="宋体"/>
          <w:bCs/>
          <w:highlight w:val="none"/>
        </w:rPr>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20"/>
        <w:spacing w:line="360" w:lineRule="auto"/>
        <w:rPr>
          <w:rFonts w:hint="eastAsia" w:ascii="宋体" w:hAnsi="宋体" w:cs="宋体"/>
          <w:bCs/>
          <w:highlight w:val="none"/>
          <w:lang w:val="en-US" w:eastAsia="zh-CN"/>
        </w:rPr>
      </w:pPr>
      <w:r>
        <w:rPr>
          <w:rFonts w:hint="eastAsia" w:ascii="宋体" w:hAnsi="宋体" w:cs="宋体"/>
          <w:bCs/>
          <w:highlight w:val="none"/>
          <w:lang w:val="en-US" w:eastAsia="zh-CN"/>
        </w:rPr>
        <w:t xml:space="preserve">法定代表人身份证复印件：</w:t>
      </w:r>
      <w:r/>
    </w:p>
    <w:p>
      <w:pPr>
        <w:ind w:firstLine="420"/>
        <w:spacing w:line="360" w:lineRule="auto"/>
        <w:rPr>
          <w:rFonts w:hint="eastAsia" w:ascii="宋体" w:hAnsi="宋体" w:cs="宋体"/>
          <w:bCs/>
          <w:highlight w:val="none"/>
          <w:lang w:val="en-US" w:eastAsia="zh-CN"/>
        </w:rPr>
      </w:pPr>
      <w:r>
        <w:rPr>
          <w:rFonts w:hint="eastAsia" w:ascii="宋体" w:hAnsi="宋体" w:cs="宋体"/>
          <w:bCs/>
          <w:highlight w:val="none"/>
          <w:lang w:val="en-US" w:eastAsia="zh-CN"/>
        </w:rPr>
      </w:r>
      <w:r/>
    </w:p>
    <w:p>
      <w:pPr>
        <w:ind w:firstLine="420"/>
        <w:spacing w:line="360" w:lineRule="auto"/>
        <w:rPr>
          <w:rFonts w:hint="eastAsia" w:ascii="宋体" w:hAnsi="宋体" w:cs="宋体"/>
          <w:bCs/>
          <w:highlight w:val="none"/>
          <w:lang w:val="en-US" w:eastAsia="zh-CN"/>
        </w:rPr>
      </w:pPr>
      <w:r>
        <w:rPr>
          <w:rFonts w:hint="eastAsia" w:ascii="宋体" w:hAnsi="宋体" w:cs="宋体"/>
          <w:bCs/>
          <w:highlight w:val="none"/>
          <w:lang w:val="en-US" w:eastAsia="zh-CN"/>
        </w:rPr>
      </w:r>
      <w:r/>
    </w:p>
    <w:p>
      <w:pPr>
        <w:ind w:firstLine="420"/>
        <w:spacing w:line="360" w:lineRule="auto"/>
        <w:rPr>
          <w:rFonts w:hint="default" w:ascii="宋体" w:hAnsi="宋体" w:cs="宋体"/>
          <w:bCs/>
          <w:highlight w:val="none"/>
          <w:lang w:val="en-US" w:eastAsia="zh-CN"/>
        </w:rPr>
      </w:pPr>
      <w:r>
        <w:rPr>
          <w:rFonts w:hint="default" w:ascii="宋体" w:hAnsi="宋体" w:cs="宋体"/>
          <w:bCs/>
          <w:highlight w:val="none"/>
          <w:lang w:val="en-US" w:eastAsia="zh-CN"/>
        </w:rPr>
      </w:r>
      <w:r/>
    </w:p>
    <w:p>
      <w:pPr>
        <w:ind w:firstLine="420"/>
        <w:spacing w:line="360" w:lineRule="auto"/>
        <w:rPr>
          <w:rFonts w:hint="eastAsia" w:ascii="宋体" w:hAnsi="宋体" w:eastAsia="宋体" w:cs="宋体"/>
          <w:bCs/>
          <w:highlight w:val="none"/>
          <w:lang w:eastAsia="zh-CN"/>
        </w:rPr>
      </w:pPr>
      <w:r>
        <w:rPr>
          <w:rFonts w:hint="eastAsia" w:ascii="宋体" w:hAnsi="宋体" w:eastAsia="宋体" w:cs="宋体"/>
          <w:bCs/>
          <w:highlight w:val="none"/>
        </w:rPr>
        <w:t xml:space="preserve">被授权人身份证复印件</w:t>
      </w:r>
      <w:r>
        <w:rPr>
          <w:rFonts w:hint="eastAsia" w:ascii="宋体" w:hAnsi="宋体" w:cs="宋体"/>
          <w:bCs/>
          <w:highlight w:val="none"/>
          <w:lang w:eastAsia="zh-CN"/>
        </w:rPr>
        <w:t xml:space="preserve">：</w:t>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r>
      <w:r/>
    </w:p>
    <w:p>
      <w:pPr>
        <w:spacing w:line="360" w:lineRule="auto"/>
        <w:rPr>
          <w:rFonts w:hint="eastAsia" w:ascii="宋体" w:hAnsi="宋体" w:eastAsia="宋体" w:cs="宋体"/>
          <w:bCs/>
          <w:highlight w:val="none"/>
        </w:rPr>
      </w:pPr>
      <w:r>
        <w:rPr>
          <w:rFonts w:hint="eastAsia" w:ascii="宋体" w:hAnsi="宋体" w:eastAsia="宋体" w:cs="宋体"/>
          <w:bCs/>
          <w:highlight w:val="none"/>
        </w:rPr>
      </w:r>
      <w:r/>
    </w:p>
    <w:p>
      <w:pPr>
        <w:pStyle w:val="695"/>
        <w:spacing w:line="360" w:lineRule="auto"/>
        <w:rPr>
          <w:rFonts w:hint="eastAsia" w:ascii="宋体" w:hAnsi="宋体" w:eastAsia="宋体" w:cs="宋体"/>
          <w:sz w:val="32"/>
          <w:highlight w:val="none"/>
        </w:rPr>
      </w:pPr>
      <w:r/>
      <w:bookmarkStart w:id="66" w:name="_Toc191970196"/>
      <w:r>
        <w:rPr>
          <w:rFonts w:hint="eastAsia" w:ascii="宋体" w:hAnsi="宋体" w:eastAsia="宋体" w:cs="宋体"/>
          <w:sz w:val="32"/>
          <w:highlight w:val="none"/>
        </w:rPr>
        <w:t xml:space="preserve">二、符合性审查响应对照表</w:t>
      </w:r>
      <w:bookmarkEnd w:id="66"/>
      <w:r/>
      <w:r/>
    </w:p>
    <w:p>
      <w:pP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tbl>
      <w:tblPr>
        <w:tblStyle w:val="652"/>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符合性审查响应内容</w:t>
            </w:r>
            <w:r/>
          </w:p>
        </w:tc>
        <w:tc>
          <w:tcPr>
            <w:tcW w:w="1680" w:type="dxa"/>
            <w:vAlign w:val="center"/>
            <w:textDirection w:val="lrTb"/>
            <w:noWrap w:val="false"/>
          </w:tcPr>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是否响应</w:t>
            </w:r>
            <w:r/>
          </w:p>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w:t>
            </w:r>
            <w:r/>
          </w:p>
        </w:tc>
        <w:tc>
          <w:tcPr>
            <w:tcW w:w="5447" w:type="dxa"/>
            <w:vAlign w:val="center"/>
            <w:textDirection w:val="lrTb"/>
            <w:noWrap w:val="false"/>
          </w:tcPr>
          <w:p>
            <w:pPr>
              <w:spacing w:line="360" w:lineRule="auto"/>
              <w:rPr>
                <w:rFonts w:hint="eastAsia" w:ascii="宋体" w:hAnsi="宋体" w:eastAsia="宋体" w:cs="宋体"/>
                <w:iCs/>
                <w:szCs w:val="21"/>
                <w:highlight w:val="none"/>
              </w:rPr>
            </w:pPr>
            <w:r>
              <w:rPr>
                <w:rFonts w:hint="eastAsia" w:ascii="宋体" w:hAnsi="宋体" w:eastAsia="宋体" w:cs="宋体"/>
                <w:iCs/>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308" w:type="dxa"/>
            <w:vAlign w:val="center"/>
            <w:textDirection w:val="lrTb"/>
            <w:noWrap w:val="false"/>
          </w:tcPr>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W w:w="5447" w:type="dxa"/>
            <w:vAlign w:val="center"/>
            <w:textDirection w:val="lrTb"/>
            <w:noWrap w:val="false"/>
          </w:tcPr>
          <w:p>
            <w:pPr>
              <w:spacing w:line="360" w:lineRule="auto"/>
              <w:rPr>
                <w:rFonts w:hint="eastAsia" w:ascii="宋体" w:hAnsi="宋体" w:eastAsia="宋体" w:cs="宋体"/>
                <w:iCs/>
                <w:szCs w:val="21"/>
                <w:highlight w:val="none"/>
              </w:rPr>
            </w:pPr>
            <w:r>
              <w:rPr>
                <w:rFonts w:hint="eastAsia" w:ascii="宋体" w:hAnsi="宋体" w:eastAsia="宋体" w:cs="宋体"/>
                <w:iCs/>
                <w:szCs w:val="21"/>
                <w:highlight w:val="none"/>
              </w:rPr>
            </w:r>
            <w:r/>
          </w:p>
        </w:tc>
        <w:tc>
          <w:tcPr>
            <w:tcW w:w="1680"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308"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c>
          <w:tcPr>
            <w:tcW w:w="5447" w:type="dxa"/>
            <w:vAlign w:val="center"/>
            <w:textDirection w:val="lrTb"/>
            <w:noWrap w:val="false"/>
          </w:tcPr>
          <w:p>
            <w:pPr>
              <w:spacing w:line="360" w:lineRule="auto"/>
              <w:rPr>
                <w:rFonts w:hint="eastAsia" w:ascii="宋体" w:hAnsi="宋体" w:eastAsia="宋体" w:cs="宋体"/>
                <w:iCs/>
                <w:szCs w:val="21"/>
                <w:highlight w:val="none"/>
              </w:rPr>
            </w:pPr>
            <w:r>
              <w:rPr>
                <w:rFonts w:hint="eastAsia" w:ascii="宋体" w:hAnsi="宋体" w:eastAsia="宋体" w:cs="宋体"/>
                <w:iCs/>
                <w:szCs w:val="21"/>
                <w:highlight w:val="none"/>
              </w:rPr>
            </w:r>
            <w:r/>
          </w:p>
        </w:tc>
        <w:tc>
          <w:tcPr>
            <w:tcW w:w="1680"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308"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417"/>
        </w:trPr>
        <w:tc>
          <w:tcPr>
            <w:tcW w:w="646"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w:t>
            </w:r>
            <w:r/>
          </w:p>
        </w:tc>
        <w:tc>
          <w:tcPr>
            <w:tcW w:w="5447" w:type="dxa"/>
            <w:vAlign w:val="center"/>
            <w:textDirection w:val="lrTb"/>
            <w:noWrap w:val="false"/>
          </w:tcPr>
          <w:p>
            <w:pPr>
              <w:spacing w:line="360" w:lineRule="auto"/>
              <w:rPr>
                <w:rFonts w:hint="eastAsia" w:ascii="宋体" w:hAnsi="宋体" w:eastAsia="宋体" w:cs="宋体"/>
                <w:iCs/>
                <w:szCs w:val="21"/>
                <w:highlight w:val="none"/>
              </w:rPr>
            </w:pPr>
            <w:r>
              <w:rPr>
                <w:rFonts w:hint="eastAsia" w:ascii="宋体" w:hAnsi="宋体" w:eastAsia="宋体" w:cs="宋体"/>
                <w:iCs/>
                <w:szCs w:val="21"/>
                <w:highlight w:val="none"/>
              </w:rPr>
            </w:r>
            <w:r/>
          </w:p>
        </w:tc>
        <w:tc>
          <w:tcPr>
            <w:tcW w:w="1680"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308"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w:t>
            </w:r>
            <w:r/>
          </w:p>
        </w:tc>
        <w:tc>
          <w:tcPr>
            <w:tcW w:w="5447" w:type="dxa"/>
            <w:vAlign w:val="center"/>
            <w:textDirection w:val="lrTb"/>
            <w:noWrap w:val="false"/>
          </w:tcPr>
          <w:p>
            <w:pPr>
              <w:spacing w:line="360" w:lineRule="auto"/>
              <w:rPr>
                <w:rFonts w:hint="eastAsia" w:ascii="宋体" w:hAnsi="宋体" w:eastAsia="宋体" w:cs="宋体"/>
                <w:iCs/>
                <w:szCs w:val="21"/>
                <w:highlight w:val="none"/>
              </w:rPr>
            </w:pPr>
            <w:r>
              <w:rPr>
                <w:rFonts w:hint="eastAsia" w:ascii="宋体" w:hAnsi="宋体" w:eastAsia="宋体" w:cs="宋体"/>
                <w:iCs/>
                <w:szCs w:val="21"/>
                <w:highlight w:val="none"/>
              </w:rPr>
              <w:t xml:space="preserve">……</w:t>
            </w:r>
            <w:r/>
          </w:p>
        </w:tc>
        <w:tc>
          <w:tcPr>
            <w:tcW w:w="1680"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308"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bl>
    <w:p>
      <w:pPr>
        <w:contextualSpacing/>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contextualSpacing/>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contextualSpacing/>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contextualSpacing/>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contextualSpacing/>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contextualSpacing/>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contextualSpacing/>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contextualSpacing/>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695"/>
        <w:jc w:val="both"/>
        <w:spacing w:line="360" w:lineRule="auto"/>
        <w:rPr>
          <w:rFonts w:hint="eastAsia" w:ascii="宋体" w:hAnsi="宋体" w:eastAsia="宋体" w:cs="宋体"/>
          <w:sz w:val="32"/>
          <w:highlight w:val="none"/>
        </w:rPr>
      </w:pPr>
      <w:r/>
      <w:bookmarkStart w:id="67" w:name="_Toc191970197"/>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695"/>
        <w:jc w:val="center"/>
        <w:spacing w:line="360" w:lineRule="auto"/>
        <w:rPr>
          <w:rFonts w:hint="eastAsia" w:ascii="宋体" w:hAnsi="宋体" w:eastAsia="宋体" w:cs="宋体"/>
          <w:sz w:val="32"/>
          <w:highlight w:val="none"/>
        </w:rPr>
      </w:pPr>
      <w:r>
        <w:rPr>
          <w:rFonts w:hint="eastAsia" w:ascii="宋体" w:hAnsi="宋体" w:eastAsia="宋体" w:cs="宋体"/>
          <w:sz w:val="32"/>
          <w:highlight w:val="none"/>
        </w:rPr>
        <w:t xml:space="preserve">三、非实质性响应对照表</w:t>
      </w:r>
      <w:bookmarkEnd w:id="67"/>
      <w:r/>
      <w:r/>
    </w:p>
    <w:p>
      <w:pP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tbl>
      <w:tblPr>
        <w:tblStyle w:val="652"/>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非实质性响应内容</w:t>
            </w:r>
            <w:r/>
          </w:p>
        </w:tc>
        <w:tc>
          <w:tcPr>
            <w:tcW w:w="1680" w:type="dxa"/>
            <w:vAlign w:val="center"/>
            <w:textDirection w:val="lrTb"/>
            <w:noWrap w:val="false"/>
          </w:tcPr>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是否响应</w:t>
            </w:r>
            <w:r/>
          </w:p>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响应情况</w:t>
            </w:r>
            <w:r/>
          </w:p>
        </w:tc>
      </w:tr>
      <w:tr>
        <w:trPr>
          <w:trHeight w:val="617"/>
        </w:trPr>
        <w:tc>
          <w:tcPr>
            <w:tcW w:w="646" w:type="dxa"/>
            <w:vAlign w:val="center"/>
            <w:textDirection w:val="lrTb"/>
            <w:noWrap w:val="false"/>
          </w:tcPr>
          <w:p>
            <w:pPr>
              <w:jc w:val="center"/>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w:t>
            </w:r>
            <w:r/>
          </w:p>
        </w:tc>
        <w:tc>
          <w:tcPr>
            <w:tcW w:w="5447" w:type="dxa"/>
            <w:vAlign w:val="center"/>
            <w:textDirection w:val="lrTb"/>
            <w:noWrap w:val="false"/>
          </w:tcPr>
          <w:p>
            <w:pPr>
              <w:jc w:val="both"/>
              <w:spacing w:line="360" w:lineRule="auto"/>
              <w:rPr>
                <w:rFonts w:hint="eastAsia" w:ascii="宋体" w:hAnsi="宋体" w:eastAsia="宋体" w:cs="宋体"/>
                <w:b/>
                <w:szCs w:val="21"/>
                <w:highlight w:val="none"/>
              </w:rPr>
            </w:pPr>
            <w:r>
              <w:rPr>
                <w:rFonts w:hint="eastAsia" w:ascii="宋体" w:hAnsi="宋体"/>
                <w:szCs w:val="21"/>
                <w:highlight w:val="none"/>
              </w:rPr>
              <w:t xml:space="preserve">《企业声明函》</w:t>
            </w:r>
            <w:r/>
          </w:p>
        </w:tc>
        <w:tc>
          <w:tcPr>
            <w:tcW w:w="1680" w:type="dxa"/>
            <w:vAlign w:val="center"/>
            <w:textDirection w:val="lrTb"/>
            <w:noWrap w:val="false"/>
          </w:tcPr>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308" w:type="dxa"/>
            <w:vAlign w:val="center"/>
            <w:textDirection w:val="lrTb"/>
            <w:noWrap w:val="false"/>
          </w:tcPr>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90"/>
        </w:trPr>
        <w:tc>
          <w:tcPr>
            <w:tcW w:w="646" w:type="dxa"/>
            <w:vAlign w:val="center"/>
            <w:textDirection w:val="lrTb"/>
            <w:noWrap w:val="false"/>
          </w:tcPr>
          <w:p>
            <w:pPr>
              <w:jc w:val="cente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2</w:t>
            </w:r>
            <w:r/>
          </w:p>
        </w:tc>
        <w:tc>
          <w:tcPr>
            <w:shd w:val="clear" w:color="auto" w:fill="auto"/>
            <w:tcW w:w="5447" w:type="dxa"/>
            <w:vAlign w:val="center"/>
            <w:textDirection w:val="lrTb"/>
            <w:noWrap w:val="false"/>
          </w:tcPr>
          <w:p>
            <w:pPr>
              <w:spacing w:line="360" w:lineRule="auto"/>
              <w:rPr>
                <w:rFonts w:hint="eastAsia" w:ascii="宋体" w:hAnsi="宋体" w:eastAsia="宋体" w:cs="宋体"/>
                <w:iCs/>
                <w:sz w:val="21"/>
                <w:szCs w:val="21"/>
                <w:highlight w:val="none"/>
                <w:lang w:val="en-US" w:eastAsia="zh-CN" w:bidi="ar-SA"/>
              </w:rPr>
            </w:pPr>
            <w:r>
              <w:rPr>
                <w:rFonts w:hint="eastAsia" w:ascii="宋体" w:hAnsi="宋体" w:eastAsia="宋体" w:cs="宋体"/>
                <w:szCs w:val="21"/>
                <w:highlight w:val="none"/>
              </w:rPr>
              <w:t xml:space="preserve">《残疾人福利性单位声明函》</w:t>
            </w:r>
            <w:r/>
          </w:p>
        </w:tc>
        <w:tc>
          <w:tcPr>
            <w:tcW w:w="1680" w:type="dxa"/>
            <w:vAlign w:val="center"/>
            <w:textDirection w:val="lrTb"/>
            <w:noWrap w:val="false"/>
          </w:tcPr>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308" w:type="dxa"/>
            <w:vAlign w:val="center"/>
            <w:textDirection w:val="lrTb"/>
            <w:noWrap w:val="false"/>
          </w:tcPr>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3</w:t>
            </w:r>
            <w:r/>
          </w:p>
        </w:tc>
        <w:tc>
          <w:tcPr>
            <w:shd w:val="clear" w:color="auto" w:fill="auto"/>
            <w:tcW w:w="5447" w:type="dxa"/>
            <w:vAlign w:val="center"/>
            <w:textDirection w:val="lrTb"/>
            <w:noWrap w:val="false"/>
          </w:tcPr>
          <w:p>
            <w:pPr>
              <w:spacing w:line="360" w:lineRule="auto"/>
              <w:rPr>
                <w:rFonts w:hint="eastAsia" w:ascii="宋体" w:hAnsi="宋体" w:eastAsia="宋体" w:cs="宋体"/>
                <w:iCs/>
                <w:sz w:val="21"/>
                <w:szCs w:val="21"/>
                <w:highlight w:val="none"/>
                <w:lang w:val="en-US" w:eastAsia="zh-CN" w:bidi="ar-SA"/>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关于符合本国产品标准的声明函</w:t>
            </w:r>
            <w:r>
              <w:rPr>
                <w:rFonts w:hint="eastAsia" w:ascii="宋体" w:hAnsi="宋体" w:eastAsia="宋体" w:cs="宋体"/>
                <w:szCs w:val="21"/>
                <w:highlight w:val="none"/>
                <w:lang w:eastAsia="zh-CN"/>
              </w:rPr>
              <w:t xml:space="preserve">》</w:t>
            </w:r>
            <w:r/>
          </w:p>
        </w:tc>
        <w:tc>
          <w:tcPr>
            <w:tcW w:w="1680"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308"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420"/>
        </w:trPr>
        <w:tc>
          <w:tcPr>
            <w:tcW w:w="646" w:type="dxa"/>
            <w:vAlign w:val="center"/>
            <w:textDirection w:val="lrTb"/>
            <w:noWrap w:val="false"/>
          </w:tcPr>
          <w:p>
            <w:pPr>
              <w:jc w:val="center"/>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c>
          <w:tcPr>
            <w:tcW w:w="5447" w:type="dxa"/>
            <w:vAlign w:val="center"/>
            <w:textDirection w:val="lrTb"/>
            <w:noWrap w:val="false"/>
          </w:tcPr>
          <w:p>
            <w:pPr>
              <w:spacing w:line="360" w:lineRule="auto"/>
              <w:rPr>
                <w:rFonts w:hint="default" w:ascii="宋体" w:hAnsi="宋体" w:eastAsia="宋体" w:cs="宋体"/>
                <w:iCs/>
                <w:szCs w:val="21"/>
                <w:highlight w:val="none"/>
                <w:lang w:val="en-US" w:eastAsia="zh-CN"/>
              </w:rPr>
            </w:pPr>
            <w:r>
              <w:rPr>
                <w:rFonts w:hint="eastAsia" w:ascii="宋体" w:hAnsi="宋体" w:eastAsia="宋体" w:cs="宋体"/>
                <w:szCs w:val="21"/>
                <w:highlight w:val="none"/>
                <w:lang w:val="en-US" w:eastAsia="zh-CN"/>
              </w:rPr>
              <w:t xml:space="preserve">......</w:t>
            </w:r>
            <w:r/>
          </w:p>
        </w:tc>
        <w:tc>
          <w:tcPr>
            <w:tcW w:w="1680"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308"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bl>
    <w:p>
      <w:pPr>
        <w:contextualSpacing/>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contextualSpacing/>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center"/>
        <w:spacing w:before="312" w:after="312"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中小企业声明函（货物）</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highlight w:val="none"/>
          <w:lang w:eastAsia="zh-CN"/>
        </w:rPr>
        <w:t xml:space="preserve">扬州筑苑工程招标咨询有限公司</w:t>
      </w:r>
      <w:r>
        <w:rPr>
          <w:rFonts w:hint="eastAsia" w:ascii="宋体" w:hAnsi="宋体" w:eastAsia="宋体" w:cs="宋体"/>
          <w:color w:val="000000"/>
          <w:highlight w:val="none"/>
        </w:rPr>
        <w:t xml:space="preserve">组织的</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（项目编号）</w:t>
      </w:r>
      <w:r>
        <w:rPr>
          <w:rFonts w:hint="eastAsia" w:ascii="宋体" w:hAnsi="宋体" w:eastAsia="宋体" w:cs="宋体"/>
          <w:color w:val="000000"/>
          <w:highlight w:val="none"/>
        </w:rPr>
        <w:t xml:space="preserve">的采购活动，提供的货物全部由符合政策要求的中小企业制造。相关企业（含联合体中的中小企业、签订分包意向协议的中小企业）的具体情况如下：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1. （标的名称） ，属于（工业）行业；制造商为（企业名称），从业人员    人，营业收入为    万元，资产总额为     万元，属于（□中型企业、□小型企业、□微型企业）； </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 （标的名称） ，属于（采购文件中明确的所属行业）行业；制造商为（企业名称），从业人员    人，营业收入为    万元，资产总额为     万元，属于（□中型企业、□小型企业、□微型企业）；</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 </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 </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本企业对上述声明内容的真实性负责。如有虚假，将依法承担相应责任。</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注：1、从业人员（不仅指在职职工）、营业收入、资产总额填报上一年度数据，无上一年度数据的新成立企业可不填报。</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2、供应商如不提供此声明函，价格将不做相应扣除。</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3、企业声明函请完整填写，中标后将公示。</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企业名称（盖章）：</w:t>
      </w:r>
      <w:r/>
    </w:p>
    <w:p>
      <w:pPr>
        <w:ind w:firstLine="46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日 期：</w:t>
      </w:r>
      <w:r/>
    </w:p>
    <w:p>
      <w:pPr>
        <w:pStyle w:val="909"/>
        <w:spacing w:before="300" w:after="300" w:line="360" w:lineRule="auto"/>
        <w:widowControl/>
        <w:rPr>
          <w:rFonts w:hint="eastAsia" w:ascii="宋体" w:hAnsi="宋体" w:eastAsia="宋体" w:cs="宋体"/>
          <w:color w:val="000000"/>
          <w:sz w:val="21"/>
          <w:szCs w:val="21"/>
          <w:highlight w:val="none"/>
        </w:rPr>
      </w:pPr>
      <w:r>
        <w:rPr>
          <w:rFonts w:hint="eastAsia" w:ascii="宋体" w:hAnsi="宋体" w:eastAsia="宋体" w:cs="宋体"/>
          <w:bCs w:val="0"/>
          <w:color w:val="000000"/>
          <w:sz w:val="21"/>
          <w:szCs w:val="21"/>
          <w:highlight w:val="none"/>
        </w:rPr>
        <w:t xml:space="preserve">中小微企业划型标准 </w:t>
      </w:r>
      <w:r/>
    </w:p>
    <w:p>
      <w:pPr>
        <w:pStyle w:val="911"/>
        <w:ind w:firstLine="420"/>
        <w:spacing w:before="300" w:after="452"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Style w:val="912"/>
          <w:rFonts w:hint="eastAsia" w:ascii="宋体" w:hAnsi="宋体" w:eastAsia="宋体" w:cs="宋体"/>
          <w:color w:val="000000"/>
          <w:sz w:val="21"/>
          <w:szCs w:val="21"/>
          <w:highlight w:val="none"/>
        </w:rPr>
        <w:t xml:space="preserve">中小微企业划型标准如下：</w:t>
      </w:r>
      <w:r/>
    </w:p>
    <w:tbl>
      <w:tblPr>
        <w:tblStyle w:val="652"/>
        <w:tblW w:w="10385" w:type="dxa"/>
        <w:tblCellSpacing w:w="15" w:type="dxa"/>
        <w:tblInd w:w="-1012"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00"/>
        <w:gridCol w:w="2097"/>
        <w:gridCol w:w="1181"/>
        <w:gridCol w:w="1860"/>
        <w:gridCol w:w="1920"/>
        <w:gridCol w:w="1527"/>
      </w:tblGrid>
      <w:tr>
        <w:trPr>
          <w:tblCellSpacing w:w="15" w:type="dxa"/>
          <w:trHeight w:val="285"/>
        </w:trPr>
        <w:tc>
          <w:tcPr>
            <w:tcMar>
              <w:left w:w="105" w:type="dxa"/>
              <w:top w:w="0" w:type="dxa"/>
              <w:right w:w="105" w:type="dxa"/>
              <w:bottom w:w="0" w:type="dxa"/>
            </w:tcMar>
            <w:tcW w:w="1755" w:type="dxa"/>
            <w:vAlign w:val="center"/>
            <w:textDirection w:val="lrTb"/>
            <w:noWrap w:val="false"/>
          </w:tcPr>
          <w:p>
            <w:pPr>
              <w:pStyle w:val="911"/>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行业名称</w:t>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计量单位</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中型</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小型</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微型</w:t>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农、林、牧、渔</w:t>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500≤Y＜20000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50≤Y＜500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Y＜50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工业</w:t>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2000≤Y＜40000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300≤Y＜2000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Y＜300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建筑业</w:t>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6000≤Y＜80000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300≤Y＜6000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Y＜300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5000≤Z＜80000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300≤Z＜5000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Z＜300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批发业</w:t>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20≤X＜200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5≤X＜20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X＜5</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5000≤Y＜40000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1000≤Y＜5000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Y＜1000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零售业</w:t>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50≤X＜300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10≤X＜50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500≤Y＜20000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100≤Y＜500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交通运输业</w:t>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3000≤Y＜30000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200≤Y＜3000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Y＜200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仓储业</w:t>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100≤X＜200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20≤X＜100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1000≤Y＜30000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100≤Y＜1000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邮政业</w:t>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2000≤Y＜30000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住宿业</w:t>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911"/>
              <w:ind w:firstLine="420"/>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2000≤Y＜10000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餐饮业</w:t>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2000≤Y＜10000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信息传输业</w:t>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100≤X＜2000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1000≤Y＜100000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100≤Y＜1000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软件和信息技术服务业</w:t>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1000≤Y＜10000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50≤Y＜1000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Y＜50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房地产开发经营</w:t>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1000≤Y＜200000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100≤X＜1000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X＜100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5000≤Z＜10000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2000≤Y＜5000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Y＜2000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物业管理</w:t>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X＜100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1000≤Y＜5000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500≤Y＜1000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Y＜500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租赁和商务服务业</w:t>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8000≤Z＜120000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100≤Z＜8000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其他未列明行业</w:t>
            </w:r>
            <w:r/>
          </w:p>
        </w:tc>
        <w:tc>
          <w:tcPr>
            <w:tcMar>
              <w:left w:w="105" w:type="dxa"/>
              <w:top w:w="0" w:type="dxa"/>
              <w:right w:w="105" w:type="dxa"/>
              <w:bottom w:w="0" w:type="dxa"/>
            </w:tcMar>
            <w:tcW w:w="2067"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11"/>
              <w:jc w:val="center"/>
              <w:spacing w:after="150" w:line="360" w:lineRule="auto"/>
              <w:widowControl/>
              <w:rPr>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X＜10</w:t>
            </w:r>
            <w:r/>
          </w:p>
        </w:tc>
      </w:tr>
    </w:tbl>
    <w:p>
      <w:pPr>
        <w:pStyle w:val="911"/>
        <w:ind w:firstLine="810"/>
        <w:spacing w:before="300" w:after="452" w:line="360" w:lineRule="auto"/>
        <w:widowControl/>
        <w:rPr>
          <w:rStyle w:val="912"/>
          <w:rFonts w:hint="eastAsia" w:ascii="宋体" w:hAnsi="宋体" w:eastAsia="宋体" w:cs="宋体"/>
          <w:color w:val="000000"/>
          <w:sz w:val="21"/>
          <w:szCs w:val="21"/>
          <w:highlight w:val="none"/>
        </w:rPr>
      </w:pPr>
      <w:r>
        <w:rPr>
          <w:rStyle w:val="912"/>
          <w:rFonts w:hint="eastAsia" w:ascii="宋体" w:hAnsi="宋体" w:eastAsia="宋体" w:cs="宋体"/>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pStyle w:val="696"/>
        <w:spacing w:line="360" w:lineRule="auto"/>
        <w:rPr>
          <w:rStyle w:val="745"/>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p>
      <w:pPr>
        <w:rPr>
          <w:rStyle w:val="745"/>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p>
      <w:pPr>
        <w:rPr>
          <w:rStyle w:val="745"/>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p>
      <w:pPr>
        <w:rPr>
          <w:rStyle w:val="745"/>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p>
      <w:pPr>
        <w:rPr>
          <w:rStyle w:val="745"/>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p>
      <w:pPr>
        <w:rPr>
          <w:rStyle w:val="745"/>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p>
      <w:pPr>
        <w:rPr>
          <w:rStyle w:val="745"/>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p>
      <w:pPr>
        <w:rPr>
          <w:rStyle w:val="745"/>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p>
      <w:pPr>
        <w:rPr>
          <w:rStyle w:val="745"/>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p>
      <w:pPr>
        <w:rPr>
          <w:rStyle w:val="745"/>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p>
      <w:pPr>
        <w:rPr>
          <w:rStyle w:val="745"/>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p>
      <w:pPr>
        <w:rPr>
          <w:rStyle w:val="745"/>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p>
      <w:pPr>
        <w:rPr>
          <w:rStyle w:val="745"/>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p>
      <w:pPr>
        <w:rPr>
          <w:rStyle w:val="745"/>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p>
      <w:pPr>
        <w:rPr>
          <w:rStyle w:val="745"/>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p>
      <w:pPr>
        <w:rPr>
          <w:rStyle w:val="745"/>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p>
      <w:pPr>
        <w:ind w:firstLine="2726"/>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残疾人福利性单位声明函</w:t>
      </w:r>
      <w:r/>
    </w:p>
    <w:p>
      <w:pPr>
        <w:ind w:firstLine="624"/>
        <w:spacing w:line="360" w:lineRule="auto"/>
        <w:rPr>
          <w:rFonts w:hint="eastAsia" w:ascii="宋体" w:hAnsi="宋体" w:eastAsia="宋体" w:cs="宋体"/>
          <w:spacing w:val="6"/>
          <w:sz w:val="30"/>
          <w:szCs w:val="30"/>
          <w:highlight w:val="none"/>
        </w:rPr>
      </w:pPr>
      <w:r>
        <w:rPr>
          <w:rFonts w:hint="eastAsia" w:ascii="宋体" w:hAnsi="宋体" w:eastAsia="宋体" w:cs="宋体"/>
          <w:spacing w:val="6"/>
          <w:sz w:val="30"/>
          <w:szCs w:val="30"/>
          <w:highlight w:val="none"/>
        </w:rPr>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本单位在本次政府采购活动中提供的残疾人福利单位产品报价合计为人民币（大写）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圆整（￥：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本单位对上述声明的真实性负责。如有虚假，将依法承担相应责任。</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hint="eastAsia" w:ascii="宋体" w:hAnsi="宋体" w:eastAsia="宋体" w:cs="宋体"/>
          <w:spacing w:val="6"/>
          <w:szCs w:val="21"/>
          <w:highlight w:val="none"/>
        </w:rPr>
      </w:pPr>
      <w:r>
        <w:rPr>
          <w:rFonts w:hint="eastAsia" w:ascii="宋体" w:hAnsi="宋体" w:eastAsia="宋体" w:cs="宋体"/>
          <w:spacing w:val="6"/>
          <w:szCs w:val="21"/>
          <w:highlight w:val="none"/>
        </w:rPr>
      </w:r>
      <w:r/>
    </w:p>
    <w:p>
      <w:pPr>
        <w:ind w:right="1560" w:firstLine="444"/>
        <w:jc w:val="center"/>
        <w:spacing w:line="360" w:lineRule="auto"/>
        <w:tabs>
          <w:tab w:val="left" w:pos="4860" w:leader="none"/>
        </w:tabs>
        <w:rPr>
          <w:rFonts w:hint="eastAsia" w:ascii="宋体" w:hAnsi="宋体" w:eastAsia="宋体" w:cs="宋体"/>
          <w:szCs w:val="21"/>
          <w:highlight w:val="none"/>
        </w:rPr>
      </w:pPr>
      <w:r>
        <w:rPr>
          <w:rFonts w:hint="eastAsia" w:ascii="宋体" w:hAnsi="宋体" w:eastAsia="宋体" w:cs="宋体"/>
          <w:spacing w:val="6"/>
          <w:szCs w:val="21"/>
          <w:highlight w:val="none"/>
        </w:rPr>
        <w:t xml:space="preserve">             </w:t>
      </w:r>
      <w:r>
        <w:rPr>
          <w:rFonts w:hint="eastAsia" w:ascii="宋体" w:hAnsi="宋体" w:eastAsia="宋体" w:cs="宋体"/>
          <w:szCs w:val="21"/>
          <w:highlight w:val="none"/>
        </w:rPr>
        <w:t xml:space="preserve">               供应商全称（盖章）：</w:t>
      </w:r>
      <w:r/>
    </w:p>
    <w:p>
      <w:pPr>
        <w:ind w:right="1560" w:firstLine="420"/>
        <w:jc w:val="center"/>
        <w:spacing w:line="360" w:lineRule="auto"/>
        <w:tabs>
          <w:tab w:val="left" w:pos="486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                              日  期：</w:t>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center"/>
        <w:spacing w:line="400" w:lineRule="atLeast"/>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highlight w:val="none"/>
        </w:rPr>
        <w:t xml:space="preserve">关于符合本国产品标准的声明函（采购包号：**）</w:t>
      </w:r>
      <w:r/>
    </w:p>
    <w:p>
      <w:pPr>
        <w:ind w:firstLine="480"/>
        <w:spacing w:line="400" w:lineRule="atLeast"/>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p>
      <w:pPr>
        <w:ind w:left="0" w:right="0" w:firstLine="420"/>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w:t>
      </w:r>
      <w:r>
        <w:rPr>
          <w:rFonts w:ascii="宋体" w:hAnsi="宋体" w:eastAsia="宋体" w:cs="宋体"/>
          <w:color w:val="000000"/>
          <w:sz w:val="21"/>
          <w:szCs w:val="21"/>
          <w:highlight w:val="none"/>
          <w:u w:val="single"/>
        </w:rPr>
        <w:t xml:space="preserve">（产品名称1）</w:t>
      </w:r>
      <w:r>
        <w:rPr>
          <w:rFonts w:ascii="宋体" w:hAnsi="宋体" w:eastAsia="宋体" w:cs="宋体"/>
          <w:color w:val="000000"/>
          <w:sz w:val="21"/>
          <w:szCs w:val="21"/>
          <w:highlight w:val="none"/>
          <w:vertAlign w:val="superscript"/>
        </w:rPr>
        <w:t xml:space="preserve">1</w:t>
      </w:r>
      <w:r>
        <w:rPr>
          <w:rFonts w:ascii="宋体" w:hAnsi="宋体" w:eastAsia="宋体" w:cs="宋体"/>
          <w:color w:val="000000"/>
          <w:sz w:val="21"/>
          <w:szCs w:val="21"/>
          <w:highlight w:val="none"/>
        </w:rPr>
        <w:t xml:space="preserve">，生产厂为</w:t>
      </w:r>
      <w:r>
        <w:rPr>
          <w:rFonts w:ascii="宋体" w:hAnsi="宋体" w:eastAsia="宋体" w:cs="宋体"/>
          <w:color w:val="000000"/>
          <w:sz w:val="21"/>
          <w:szCs w:val="21"/>
          <w:highlight w:val="none"/>
          <w:u w:val="single"/>
        </w:rPr>
        <w:t xml:space="preserve">（厂名）</w:t>
      </w:r>
      <w:r>
        <w:rPr>
          <w:rFonts w:ascii="宋体" w:hAnsi="宋体" w:eastAsia="宋体" w:cs="宋体"/>
          <w:color w:val="000000"/>
          <w:sz w:val="21"/>
          <w:szCs w:val="21"/>
          <w:highlight w:val="none"/>
          <w:vertAlign w:val="superscript"/>
        </w:rPr>
        <w:t xml:space="preserve">2</w:t>
      </w:r>
      <w:r>
        <w:rPr>
          <w:rFonts w:ascii="宋体" w:hAnsi="宋体" w:eastAsia="宋体" w:cs="宋体"/>
          <w:color w:val="000000"/>
          <w:sz w:val="21"/>
          <w:szCs w:val="21"/>
          <w:highlight w:val="none"/>
        </w:rPr>
        <w:t xml:space="preserve">，厂址为</w:t>
      </w:r>
      <w:r>
        <w:rPr>
          <w:rFonts w:ascii="宋体" w:hAnsi="宋体" w:eastAsia="宋体" w:cs="宋体"/>
          <w:color w:val="000000"/>
          <w:sz w:val="21"/>
          <w:szCs w:val="21"/>
          <w:highlight w:val="none"/>
          <w:u w:val="single"/>
        </w:rPr>
        <w:t xml:space="preserve">（生产厂址）</w:t>
      </w:r>
      <w:r>
        <w:rPr>
          <w:rFonts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的中国境内生产的组件成本占比≥</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vertAlign w:val="superscript"/>
        </w:rPr>
        <w:t xml:space="preserve">3</w:t>
      </w:r>
      <w:r>
        <w:rPr>
          <w:rFonts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vertAlign w:val="superscript"/>
        </w:rPr>
        <w:t xml:space="preserve">4</w:t>
      </w:r>
      <w:r>
        <w:rPr>
          <w:rFonts w:ascii="宋体" w:hAnsi="宋体" w:eastAsia="宋体" w:cs="宋体"/>
          <w:color w:val="000000"/>
          <w:sz w:val="21"/>
          <w:szCs w:val="21"/>
          <w:highlight w:val="none"/>
        </w:rPr>
        <w:t xml:space="preserve">在中国境内生产。</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vertAlign w:val="superscript"/>
        </w:rPr>
        <w:t xml:space="preserve">5</w:t>
      </w:r>
      <w:r>
        <w:rPr>
          <w:rFonts w:ascii="宋体" w:hAnsi="宋体" w:eastAsia="宋体" w:cs="宋体"/>
          <w:color w:val="000000"/>
          <w:sz w:val="21"/>
          <w:szCs w:val="21"/>
          <w:highlight w:val="none"/>
        </w:rPr>
        <w:t xml:space="preserve">在中国境内完成。</w:t>
      </w:r>
      <w:r/>
    </w:p>
    <w:p>
      <w:pPr>
        <w:ind w:left="0" w:right="0" w:firstLine="420"/>
        <w:spacing w:before="30" w:after="30" w:line="85" w:lineRule="atLeast"/>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2.</w:t>
      </w:r>
      <w:r>
        <w:rPr>
          <w:rFonts w:ascii="宋体" w:hAnsi="宋体" w:eastAsia="宋体" w:cs="宋体"/>
          <w:color w:val="000000"/>
          <w:sz w:val="21"/>
          <w:szCs w:val="21"/>
          <w:highlight w:val="none"/>
          <w:u w:val="single"/>
        </w:rPr>
        <w:t xml:space="preserve">（产品名称2）</w:t>
      </w:r>
      <w:r>
        <w:rPr>
          <w:rFonts w:ascii="宋体" w:hAnsi="宋体" w:eastAsia="宋体" w:cs="宋体"/>
          <w:color w:val="000000"/>
          <w:sz w:val="21"/>
          <w:szCs w:val="21"/>
          <w:highlight w:val="none"/>
        </w:rPr>
        <w:t xml:space="preserve">，生产厂为</w:t>
      </w:r>
      <w:r>
        <w:rPr>
          <w:rFonts w:ascii="宋体" w:hAnsi="宋体" w:eastAsia="宋体" w:cs="宋体"/>
          <w:color w:val="000000"/>
          <w:sz w:val="21"/>
          <w:szCs w:val="21"/>
          <w:highlight w:val="none"/>
          <w:u w:val="single"/>
        </w:rPr>
        <w:t xml:space="preserve">（厂名）</w:t>
      </w:r>
      <w:r>
        <w:rPr>
          <w:rFonts w:ascii="宋体" w:hAnsi="宋体" w:eastAsia="宋体" w:cs="宋体"/>
          <w:color w:val="000000"/>
          <w:sz w:val="21"/>
          <w:szCs w:val="21"/>
          <w:highlight w:val="none"/>
        </w:rPr>
        <w:t xml:space="preserve">，厂址为</w:t>
      </w:r>
      <w:r>
        <w:rPr>
          <w:rFonts w:ascii="宋体" w:hAnsi="宋体" w:eastAsia="宋体" w:cs="宋体"/>
          <w:color w:val="000000"/>
          <w:sz w:val="21"/>
          <w:szCs w:val="21"/>
          <w:highlight w:val="none"/>
          <w:u w:val="single"/>
        </w:rPr>
        <w:t xml:space="preserve">（生产厂址）</w:t>
      </w:r>
      <w:r>
        <w:rPr>
          <w:rFonts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的中国境内生产的组件成本占比≥</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在中国境内生产。</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在中国境内完成。</w:t>
      </w:r>
      <w:r/>
    </w:p>
    <w:p>
      <w:pPr>
        <w:ind w:left="0" w:right="0" w:firstLine="420"/>
        <w:spacing w:before="30" w:after="30" w:line="85" w:lineRule="atLeast"/>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w:t>
      </w:r>
      <w:r/>
    </w:p>
    <w:p>
      <w:pPr>
        <w:ind w:left="0" w:right="0" w:firstLine="420"/>
        <w:spacing w:before="30" w:after="30" w:line="85" w:lineRule="atLeast"/>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本公司（单位）对上述声明内容的真实性负责。如有虚假，愿承担相应法律责任。</w:t>
      </w:r>
      <w:r/>
    </w:p>
    <w:p>
      <w:pPr>
        <w:ind w:left="0" w:right="0" w:firstLine="0"/>
        <w:spacing w:before="30" w:after="30"/>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none"/>
        </w:rPr>
        <w:t xml:space="preserve"> </w:t>
      </w:r>
      <w:r/>
    </w:p>
    <w:p>
      <w:pPr>
        <w:ind w:left="0" w:right="0" w:firstLine="0"/>
        <w:jc w:val="right"/>
        <w:spacing w:before="30" w:after="30" w:line="85" w:lineRule="atLeast"/>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公司（单位）名称（加盖CA电子公章）：         </w:t>
      </w:r>
      <w:r/>
    </w:p>
    <w:p>
      <w:pPr>
        <w:ind w:left="0" w:right="0" w:firstLine="0"/>
        <w:jc w:val="center"/>
        <w:spacing w:before="30" w:after="30" w:line="85" w:lineRule="atLeast"/>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日期：      年   月   日         </w:t>
      </w:r>
      <w:r/>
    </w:p>
    <w:p>
      <w:pPr>
        <w:ind w:left="0" w:right="0" w:firstLine="0"/>
        <w:spacing w:before="30" w:after="30"/>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none"/>
        </w:rPr>
        <w:t xml:space="preserve"> </w:t>
      </w:r>
      <w:r/>
    </w:p>
    <w:p>
      <w:pPr>
        <w:ind w:left="0" w:right="0" w:firstLine="0"/>
        <w:spacing w:before="30" w:after="30"/>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none"/>
        </w:rPr>
        <w:t xml:space="preserve"> </w:t>
      </w:r>
      <w:r/>
    </w:p>
    <w:p>
      <w:pPr>
        <w:ind w:left="0" w:right="0" w:firstLine="0"/>
        <w:spacing w:before="30" w:after="30"/>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_________________</w:t>
      </w:r>
      <w:r/>
    </w:p>
    <w:p>
      <w:pPr>
        <w:ind w:left="0" w:right="0" w:firstLine="0"/>
        <w:spacing w:before="30" w:after="30" w:line="85" w:lineRule="atLeast"/>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1.产品如有型号，请在“产品名称”栏一并填写。</w:t>
      </w:r>
      <w:r/>
    </w:p>
    <w:p>
      <w:pPr>
        <w:ind w:left="0" w:right="0" w:firstLine="0"/>
        <w:spacing w:before="30" w:after="30" w:line="85" w:lineRule="atLeast"/>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2.生产厂名与厂址应与生产厂营业执照载明的相关信息保持一致。</w:t>
      </w:r>
      <w:r/>
    </w:p>
    <w:p>
      <w:pPr>
        <w:ind w:left="0" w:right="0" w:firstLine="0"/>
        <w:spacing w:before="30" w:after="30" w:line="85" w:lineRule="atLeast"/>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4.该产品的关键组件要求实施前，“关键组件”栏可不填，下同。</w:t>
      </w:r>
      <w:r/>
    </w:p>
    <w:p>
      <w:pPr>
        <w:ind w:left="0" w:right="0" w:firstLine="0"/>
        <w:spacing w:before="30" w:after="30" w:line="85" w:lineRule="atLeast"/>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5.该产品的关键工序要求实施前，“关键工序”栏可不填，下同。</w:t>
      </w:r>
      <w:r/>
    </w:p>
    <w:p>
      <w:pPr>
        <w:ind w:firstLine="0"/>
        <w:spacing w:line="400" w:lineRule="atLeast"/>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6.《声明函》中标注“</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”的地方无需填写。</w:t>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clear="all"/>
      </w:r>
      <w:r/>
    </w:p>
    <w:p>
      <w:pPr>
        <w:pStyle w:val="695"/>
        <w:spacing w:line="360" w:lineRule="auto"/>
        <w:rPr>
          <w:rFonts w:hint="eastAsia" w:ascii="宋体" w:hAnsi="宋体" w:eastAsia="宋体" w:cs="宋体"/>
          <w:sz w:val="32"/>
          <w:highlight w:val="none"/>
        </w:rPr>
      </w:pPr>
      <w:r/>
      <w:bookmarkStart w:id="68" w:name="_Toc191970198"/>
      <w:r>
        <w:rPr>
          <w:rFonts w:hint="eastAsia" w:ascii="宋体" w:hAnsi="宋体" w:eastAsia="宋体" w:cs="宋体"/>
          <w:sz w:val="32"/>
          <w:highlight w:val="none"/>
        </w:rPr>
        <w:t xml:space="preserve">四、开标一览表</w:t>
      </w:r>
      <w:bookmarkEnd w:id="68"/>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项目编号：</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分包号(如有)： </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bl>
      <w:tblPr>
        <w:tblStyle w:val="652"/>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16"/>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投标货物及服务名称</w:t>
            </w:r>
            <w:r/>
          </w:p>
        </w:tc>
        <w:tc>
          <w:tcPr>
            <w:tcW w:w="6405"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投标报价</w:t>
            </w:r>
            <w:r/>
          </w:p>
        </w:tc>
      </w:tr>
      <w:tr>
        <w:trPr>
          <w:cantSplit/>
          <w:trHeight w:val="1724"/>
        </w:trPr>
        <w:tc>
          <w:tcPr>
            <w:tcW w:w="2481" w:type="dxa"/>
            <w:vAlign w:val="center"/>
            <w:textDirection w:val="lrTb"/>
            <w:noWrap w:val="false"/>
          </w:tcPr>
          <w:p>
            <w:pPr>
              <w:pStyle w:val="716"/>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05" w:type="dxa"/>
            <w:vAlign w:val="center"/>
            <w:textDirection w:val="lrTb"/>
            <w:noWrap w:val="false"/>
          </w:tcPr>
          <w:p>
            <w:pPr>
              <w:pStyle w:val="894"/>
              <w:ind w:firstLine="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大写：         元</w:t>
            </w:r>
            <w:r/>
          </w:p>
          <w:p>
            <w:pPr>
              <w:pStyle w:val="894"/>
              <w:ind w:firstLine="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小写：         元                  </w:t>
            </w:r>
            <w:r/>
          </w:p>
          <w:p>
            <w:pPr>
              <w:pStyle w:val="894"/>
              <w:ind w:firstLine="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w:t>
            </w:r>
            <w:r/>
          </w:p>
          <w:p>
            <w:pPr>
              <w:pStyle w:val="894"/>
              <w:ind w:firstLine="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04"/>
        </w:trPr>
        <w:tc>
          <w:tcPr>
            <w:tcW w:w="2481" w:type="dxa"/>
            <w:vAlign w:val="center"/>
            <w:textDirection w:val="lrTb"/>
            <w:noWrap w:val="false"/>
          </w:tcPr>
          <w:p>
            <w:pPr>
              <w:pStyle w:val="716"/>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核心产品品牌</w:t>
            </w:r>
            <w:r/>
          </w:p>
        </w:tc>
        <w:tc>
          <w:tcPr>
            <w:tcW w:w="6405" w:type="dxa"/>
            <w:vAlign w:val="center"/>
            <w:textDirection w:val="lrTb"/>
            <w:noWrap w:val="false"/>
          </w:tcPr>
          <w:p>
            <w:pPr>
              <w:pStyle w:val="894"/>
              <w:ind w:firstLine="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90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日期：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p>
    <w:p>
      <w:pPr>
        <w:pStyle w:val="717"/>
        <w:rPr>
          <w:rFonts w:hint="eastAsia" w:ascii="宋体" w:hAnsi="宋体" w:eastAsia="宋体" w:cs="宋体"/>
          <w:szCs w:val="21"/>
          <w:highlight w:val="none"/>
        </w:rPr>
      </w:pPr>
      <w:r>
        <w:rPr>
          <w:rFonts w:hint="eastAsia" w:ascii="宋体" w:hAnsi="宋体" w:eastAsia="宋体" w:cs="宋体"/>
          <w:szCs w:val="21"/>
          <w:highlight w:val="none"/>
        </w:rPr>
      </w:r>
      <w:r/>
    </w:p>
    <w:p>
      <w:pPr>
        <w:ind w:firstLine="64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pStyle w:val="713"/>
        <w:ind w:firstLine="64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13"/>
        <w:ind w:firstLine="64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clear="all"/>
      </w:r>
      <w:r/>
    </w:p>
    <w:p>
      <w:pPr>
        <w:pStyle w:val="695"/>
        <w:spacing w:line="761" w:lineRule="atLeast"/>
        <w:rPr>
          <w:rFonts w:hint="eastAsia" w:ascii="宋体" w:hAnsi="宋体" w:eastAsia="宋体" w:cs="宋体"/>
          <w:sz w:val="32"/>
          <w:highlight w:val="none"/>
        </w:rPr>
        <w:pBdr>
          <w:top w:val="none" w:color="000000" w:sz="0" w:space="0"/>
          <w:left w:val="none" w:color="000000" w:sz="0" w:space="0"/>
          <w:bottom w:val="none" w:color="000000" w:sz="0" w:space="0"/>
          <w:right w:val="none" w:color="000000" w:sz="0" w:space="0"/>
        </w:pBdr>
      </w:pPr>
      <w:r/>
      <w:bookmarkStart w:id="69" w:name="_Toc191970199"/>
      <w:r>
        <w:rPr>
          <w:rFonts w:hint="eastAsia" w:ascii="宋体" w:hAnsi="宋体" w:eastAsia="宋体" w:cs="宋体"/>
          <w:sz w:val="32"/>
          <w:highlight w:val="none"/>
        </w:rPr>
        <w:t xml:space="preserve">五、投标产品配置及分项报价表</w:t>
      </w:r>
      <w:bookmarkEnd w:id="69"/>
      <w:r/>
      <w:r/>
    </w:p>
    <w:tbl>
      <w:tblPr>
        <w:tblStyle w:val="652"/>
        <w:tblW w:w="88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tblGrid>
      <w:tr>
        <w:trPr>
          <w:cantSplit/>
          <w:trHeight w:val="544"/>
        </w:trPr>
        <w:tc>
          <w:tcPr>
            <w:tcW w:w="277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W w:w="138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W w:w="81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c>
          <w:tcPr>
            <w:tcW w:w="13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w:t>
            </w:r>
            <w:r/>
          </w:p>
        </w:tc>
        <w:tc>
          <w:tcPr>
            <w:tcW w:w="956"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w:t>
            </w:r>
            <w:r/>
          </w:p>
        </w:tc>
        <w:tc>
          <w:tcPr>
            <w:tcW w:w="162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w:t>
            </w:r>
            <w:r/>
          </w:p>
        </w:tc>
      </w:tr>
      <w:tr>
        <w:trPr>
          <w:cantSplit/>
          <w:trHeight w:val="294"/>
        </w:trPr>
        <w:tc>
          <w:tcPr>
            <w:tcW w:w="277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产品名称及规格、型号</w:t>
            </w:r>
            <w:r/>
          </w:p>
        </w:tc>
        <w:tc>
          <w:tcPr>
            <w:tcW w:w="138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数量</w:t>
            </w:r>
            <w:r/>
          </w:p>
        </w:tc>
        <w:tc>
          <w:tcPr>
            <w:tcW w:w="81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产地</w:t>
            </w:r>
            <w:r/>
          </w:p>
        </w:tc>
        <w:tc>
          <w:tcPr>
            <w:tcW w:w="133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交付期</w:t>
            </w:r>
            <w:r/>
          </w:p>
        </w:tc>
        <w:tc>
          <w:tcPr>
            <w:tcW w:w="956"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单价</w:t>
            </w:r>
            <w:r/>
          </w:p>
        </w:tc>
        <w:tc>
          <w:tcPr>
            <w:tcW w:w="162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总价</w:t>
            </w:r>
            <w:r/>
          </w:p>
        </w:tc>
      </w:tr>
      <w:tr>
        <w:trPr>
          <w:cantSplit/>
          <w:trHeight w:val="924"/>
        </w:trPr>
        <w:tc>
          <w:tcPr>
            <w:tcW w:w="2770"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383"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810"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335"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956"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620"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924"/>
        </w:trPr>
        <w:tc>
          <w:tcPr>
            <w:tcW w:w="2770"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383"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810"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335"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956"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620"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924"/>
        </w:trPr>
        <w:tc>
          <w:tcPr>
            <w:tcW w:w="2770"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383"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810"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335"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956"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620"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580"/>
        </w:trPr>
        <w:tc>
          <w:tcPr>
            <w:tcW w:w="2770"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383"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810"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335"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956"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620"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1030"/>
        </w:trPr>
        <w:tc>
          <w:tcPr>
            <w:tcW w:w="277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合计</w:t>
            </w:r>
            <w:r/>
          </w:p>
        </w:tc>
        <w:tc>
          <w:tcPr>
            <w:gridSpan w:val="5"/>
            <w:tcW w:w="6104" w:type="dxa"/>
            <w:vAlign w:val="top"/>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bl>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pStyle w:val="695"/>
        <w:spacing w:line="360" w:lineRule="auto"/>
        <w:rPr>
          <w:rFonts w:hint="eastAsia" w:ascii="宋体" w:hAnsi="宋体" w:eastAsia="宋体" w:cs="宋体"/>
          <w:sz w:val="32"/>
          <w:highlight w:val="none"/>
        </w:rPr>
      </w:pPr>
      <w:r/>
      <w:bookmarkStart w:id="70" w:name="_Toc191970200"/>
      <w:r>
        <w:rPr>
          <w:rFonts w:hint="eastAsia" w:ascii="宋体" w:hAnsi="宋体" w:eastAsia="宋体" w:cs="宋体"/>
          <w:sz w:val="32"/>
          <w:highlight w:val="none"/>
        </w:rPr>
        <w:t xml:space="preserve">六、技术参数响应及偏离表</w:t>
      </w:r>
      <w:bookmarkEnd w:id="70"/>
      <w:r/>
      <w:r/>
    </w:p>
    <w:tbl>
      <w:tblPr>
        <w:tblStyle w:val="652"/>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序号</w:t>
            </w:r>
            <w:r/>
          </w:p>
        </w:tc>
        <w:tc>
          <w:tcPr>
            <w:tcW w:w="255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招标要求</w:t>
            </w:r>
            <w:r/>
          </w:p>
        </w:tc>
        <w:tc>
          <w:tcPr>
            <w:tcW w:w="270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投标响应</w:t>
            </w:r>
            <w:r/>
          </w:p>
        </w:tc>
        <w:tc>
          <w:tcPr>
            <w:tcW w:w="145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超出、符合或偏离</w:t>
            </w:r>
            <w:r/>
          </w:p>
        </w:tc>
        <w:tc>
          <w:tcPr>
            <w:tcW w:w="1210"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证明材料</w:t>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bl>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注：1、按照基本技术要求详细填列。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2、行数不够，可自行添加。</w:t>
      </w:r>
      <w:r/>
    </w:p>
    <w:p>
      <w:pPr>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spacing w:line="360" w:lineRule="auto"/>
        <w:rPr>
          <w:rFonts w:hint="eastAsia" w:ascii="宋体" w:hAnsi="宋体" w:eastAsia="宋体" w:cs="宋体"/>
          <w:sz w:val="32"/>
          <w:highlight w:val="none"/>
        </w:rPr>
      </w:pPr>
      <w:r>
        <w:rPr>
          <w:rFonts w:hint="eastAsia" w:ascii="宋体" w:hAnsi="宋体" w:eastAsia="宋体" w:cs="宋体"/>
          <w:sz w:val="32"/>
          <w:highlight w:val="none"/>
        </w:rPr>
      </w:r>
      <w:r/>
    </w:p>
    <w:p>
      <w:pPr>
        <w:spacing w:line="360" w:lineRule="auto"/>
        <w:rPr>
          <w:rFonts w:hint="eastAsia" w:ascii="宋体" w:hAnsi="宋体" w:eastAsia="宋体" w:cs="宋体"/>
          <w:sz w:val="32"/>
          <w:highlight w:val="none"/>
        </w:rPr>
      </w:pPr>
      <w:r>
        <w:rPr>
          <w:rFonts w:hint="eastAsia" w:ascii="宋体" w:hAnsi="宋体" w:eastAsia="宋体" w:cs="宋体"/>
          <w:sz w:val="32"/>
          <w:highlight w:val="none"/>
        </w:rPr>
      </w:r>
      <w:r/>
    </w:p>
    <w:p>
      <w:pPr>
        <w:spacing w:line="360" w:lineRule="auto"/>
        <w:rPr>
          <w:rFonts w:hint="eastAsia" w:ascii="宋体" w:hAnsi="宋体" w:eastAsia="宋体" w:cs="宋体"/>
          <w:sz w:val="32"/>
          <w:highlight w:val="none"/>
        </w:rPr>
      </w:pPr>
      <w:r>
        <w:rPr>
          <w:rFonts w:hint="eastAsia" w:ascii="宋体" w:hAnsi="宋体" w:eastAsia="宋体" w:cs="宋体"/>
          <w:sz w:val="32"/>
          <w:highlight w:val="none"/>
        </w:rPr>
        <w:br w:type="page" w:clear="all"/>
      </w:r>
      <w:r/>
    </w:p>
    <w:p>
      <w:pPr>
        <w:pStyle w:val="695"/>
        <w:spacing w:line="360" w:lineRule="auto"/>
        <w:rPr>
          <w:rFonts w:hint="eastAsia" w:ascii="宋体" w:hAnsi="宋体" w:eastAsia="宋体" w:cs="宋体"/>
          <w:sz w:val="32"/>
          <w:highlight w:val="none"/>
        </w:rPr>
      </w:pPr>
      <w:r/>
      <w:bookmarkStart w:id="71" w:name="_Hlt26955054"/>
      <w:r/>
      <w:bookmarkEnd w:id="71"/>
      <w:r/>
      <w:bookmarkStart w:id="72" w:name="_Toc191970201"/>
      <w:r>
        <w:rPr>
          <w:rFonts w:hint="eastAsia" w:ascii="宋体" w:hAnsi="宋体" w:eastAsia="宋体" w:cs="宋体"/>
          <w:sz w:val="32"/>
          <w:highlight w:val="none"/>
        </w:rPr>
        <w:t xml:space="preserve">七、商务条款响应及偏离表</w:t>
      </w:r>
      <w:bookmarkEnd w:id="72"/>
      <w:r/>
      <w:r/>
    </w:p>
    <w:tbl>
      <w:tblPr>
        <w:tblStyle w:val="652"/>
        <w:tblW w:w="859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W w:w="1638" w:type="dxa"/>
            <w:vAlign w:val="top"/>
            <w:textDirection w:val="lrTb"/>
            <w:noWrap w:val="false"/>
          </w:tcPr>
          <w:p>
            <w:pPr>
              <w:jc w:val="center"/>
              <w:spacing w:line="360" w:lineRule="auto"/>
              <w:rPr>
                <w:rFonts w:hint="eastAsia" w:ascii="宋体" w:hAnsi="宋体" w:eastAsia="宋体" w:cs="宋体"/>
                <w:szCs w:val="21"/>
                <w:highlight w:val="none"/>
              </w:rPr>
            </w:pPr>
            <w:r/>
            <w:bookmarkStart w:id="73" w:name="_Hlt24879081"/>
            <w:r/>
            <w:bookmarkEnd w:id="73"/>
            <w:r/>
            <w:bookmarkStart w:id="74" w:name="_Hlt26609391"/>
            <w:r/>
            <w:bookmarkEnd w:id="74"/>
            <w:r/>
            <w:bookmarkStart w:id="75" w:name="_Hlt26955056"/>
            <w:r/>
            <w:bookmarkEnd w:id="75"/>
            <w:r/>
            <w:bookmarkStart w:id="76" w:name="_Hlt26782999"/>
            <w:r/>
            <w:bookmarkEnd w:id="76"/>
            <w:r/>
            <w:bookmarkStart w:id="77" w:name="_Hlt26671372"/>
            <w:r/>
            <w:bookmarkEnd w:id="77"/>
            <w:r/>
            <w:bookmarkStart w:id="78" w:name="_Hlt26955064"/>
            <w:r/>
            <w:bookmarkEnd w:id="78"/>
            <w:r/>
            <w:bookmarkStart w:id="79" w:name="_Hlt26671343"/>
            <w:r/>
            <w:bookmarkEnd w:id="79"/>
            <w:r/>
            <w:bookmarkStart w:id="80" w:name="_Hlt26580838"/>
            <w:r/>
            <w:bookmarkEnd w:id="80"/>
            <w:r>
              <w:rPr>
                <w:rFonts w:hint="eastAsia" w:ascii="宋体" w:hAnsi="宋体" w:eastAsia="宋体" w:cs="宋体"/>
                <w:szCs w:val="21"/>
                <w:highlight w:val="none"/>
              </w:rPr>
              <w:t xml:space="preserve">项目</w:t>
            </w:r>
            <w:r/>
          </w:p>
        </w:tc>
        <w:tc>
          <w:tcPr>
            <w:tcW w:w="2502"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招标文件要求</w:t>
            </w:r>
            <w:r/>
          </w:p>
        </w:tc>
        <w:tc>
          <w:tcPr>
            <w:tcW w:w="1837"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是否响应</w:t>
            </w:r>
            <w:r/>
          </w:p>
        </w:tc>
        <w:tc>
          <w:tcPr>
            <w:tcW w:w="2614"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投标人的承诺或说明</w:t>
            </w:r>
            <w:r/>
          </w:p>
        </w:tc>
      </w:tr>
      <w:tr>
        <w:trPr>
          <w:trHeight w:val="469"/>
        </w:trPr>
        <w:tc>
          <w:tcPr>
            <w:tcW w:w="1638"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质保期</w:t>
            </w:r>
            <w:r/>
          </w:p>
        </w:tc>
        <w:tc>
          <w:tcPr>
            <w:tcW w:w="2502"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837"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614"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719"/>
        </w:trPr>
        <w:tc>
          <w:tcPr>
            <w:tcW w:w="1638"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售后技术服务要求</w:t>
            </w:r>
            <w:r/>
          </w:p>
        </w:tc>
        <w:tc>
          <w:tcPr>
            <w:tcW w:w="2502"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837"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614"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540"/>
        </w:trPr>
        <w:tc>
          <w:tcPr>
            <w:tcW w:w="1638"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交付时间</w:t>
            </w:r>
            <w:r/>
          </w:p>
        </w:tc>
        <w:tc>
          <w:tcPr>
            <w:tcW w:w="2502"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837" w:type="dxa"/>
            <w:vAlign w:val="top"/>
            <w:textDirection w:val="lrTb"/>
            <w:noWrap w:val="false"/>
          </w:tcPr>
          <w:p>
            <w:pPr>
              <w:ind w:left="43"/>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614" w:type="dxa"/>
            <w:vAlign w:val="top"/>
            <w:textDirection w:val="lrTb"/>
            <w:noWrap w:val="false"/>
          </w:tcPr>
          <w:p>
            <w:pPr>
              <w:ind w:left="43"/>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440"/>
        </w:trPr>
        <w:tc>
          <w:tcPr>
            <w:tcW w:w="1638"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交货方式</w:t>
            </w:r>
            <w:r/>
          </w:p>
        </w:tc>
        <w:tc>
          <w:tcPr>
            <w:tcW w:w="2502" w:type="dxa"/>
            <w:vAlign w:val="top"/>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837" w:type="dxa"/>
            <w:vAlign w:val="top"/>
            <w:textDirection w:val="lrTb"/>
            <w:noWrap w:val="false"/>
          </w:tcPr>
          <w:p>
            <w:pPr>
              <w:ind w:left="43"/>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614" w:type="dxa"/>
            <w:vAlign w:val="top"/>
            <w:textDirection w:val="lrTb"/>
            <w:noWrap w:val="false"/>
          </w:tcPr>
          <w:p>
            <w:pPr>
              <w:ind w:left="43"/>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460"/>
        </w:trPr>
        <w:tc>
          <w:tcPr>
            <w:tcW w:w="1638"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交货地点</w:t>
            </w:r>
            <w:r/>
          </w:p>
        </w:tc>
        <w:tc>
          <w:tcPr>
            <w:tcW w:w="2502" w:type="dxa"/>
            <w:vAlign w:val="top"/>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837" w:type="dxa"/>
            <w:vAlign w:val="top"/>
            <w:textDirection w:val="lrTb"/>
            <w:noWrap w:val="false"/>
          </w:tcPr>
          <w:p>
            <w:pPr>
              <w:ind w:left="43"/>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614" w:type="dxa"/>
            <w:vAlign w:val="top"/>
            <w:textDirection w:val="lrTb"/>
            <w:noWrap w:val="false"/>
          </w:tcPr>
          <w:p>
            <w:pPr>
              <w:ind w:left="43"/>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402"/>
        </w:trPr>
        <w:tc>
          <w:tcPr>
            <w:tcW w:w="1638"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付款方式</w:t>
            </w:r>
            <w:r/>
          </w:p>
        </w:tc>
        <w:tc>
          <w:tcPr>
            <w:tcW w:w="2502" w:type="dxa"/>
            <w:vAlign w:val="top"/>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837"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614" w:type="dxa"/>
            <w:vAlign w:val="top"/>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bl>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30"/>
          <w:highlight w:val="none"/>
        </w:rPr>
      </w:pPr>
      <w:r>
        <w:rPr>
          <w:rFonts w:hint="eastAsia" w:ascii="宋体" w:hAnsi="宋体" w:eastAsia="宋体" w:cs="宋体"/>
          <w:sz w:val="30"/>
          <w:highlight w:val="none"/>
        </w:rPr>
      </w:r>
      <w:r/>
    </w:p>
    <w:p>
      <w:pPr>
        <w:pStyle w:val="713"/>
        <w:ind w:firstLine="480"/>
        <w:spacing w:line="360" w:lineRule="auto"/>
        <w:rPr>
          <w:rFonts w:hint="eastAsia" w:ascii="宋体" w:hAnsi="宋体" w:eastAsia="宋体" w:cs="宋体"/>
          <w:sz w:val="24"/>
          <w:highlight w:val="none"/>
        </w:rPr>
      </w:pPr>
      <w:r/>
      <w:bookmarkStart w:id="81" w:name="_Hlt26955066"/>
      <w:r/>
      <w:bookmarkEnd w:id="81"/>
      <w:r/>
      <w:bookmarkStart w:id="82" w:name="_Hlt26609389"/>
      <w:r/>
      <w:bookmarkEnd w:id="82"/>
      <w:r/>
      <w:bookmarkStart w:id="83" w:name="_Hlt26671374"/>
      <w:r/>
      <w:bookmarkEnd w:id="83"/>
      <w:r/>
      <w:bookmarkStart w:id="84" w:name="_Toc462564146"/>
      <w:r/>
      <w:r/>
    </w:p>
    <w:p>
      <w:pPr>
        <w:pStyle w:val="713"/>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13"/>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13"/>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13"/>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p>
    <w:p>
      <w:pPr>
        <w:pStyle w:val="713"/>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13"/>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13"/>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13"/>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13"/>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13"/>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13"/>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713"/>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713"/>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r>
      <w:bookmarkEnd w:id="84"/>
      <w:r/>
    </w:p>
    <w:p>
      <w:pPr>
        <w:jc w:val="center"/>
        <w:spacing w:line="360" w:lineRule="auto"/>
        <w:widowControl/>
        <w:rPr>
          <w:rFonts w:hint="eastAsia" w:ascii="宋体" w:hAnsi="宋体" w:eastAsia="宋体" w:cs="宋体"/>
          <w:b/>
          <w:highlight w:val="none"/>
        </w:rPr>
      </w:pPr>
      <w:r/>
      <w:bookmarkStart w:id="85" w:name="_格式2__法定代表人授权书"/>
      <w:r/>
      <w:bookmarkEnd w:id="85"/>
      <w:r>
        <w:rPr>
          <w:rFonts w:hint="eastAsia" w:ascii="宋体" w:hAnsi="宋体" w:eastAsia="宋体" w:cs="宋体"/>
          <w:b/>
          <w:highlight w:val="none"/>
        </w:rPr>
        <w:t xml:space="preserve">主要标的信息（中标后将公示）</w:t>
      </w:r>
      <w:r/>
    </w:p>
    <w:p>
      <w:pPr>
        <w:spacing w:line="360" w:lineRule="auto"/>
        <w:rPr>
          <w:rFonts w:hint="eastAsia" w:ascii="宋体" w:hAnsi="宋体" w:eastAsia="宋体" w:cs="宋体"/>
          <w:b/>
          <w:highlight w:val="none"/>
        </w:rPr>
      </w:pPr>
      <w:r>
        <w:rPr>
          <w:rFonts w:hint="eastAsia" w:ascii="宋体" w:hAnsi="宋体" w:eastAsia="宋体" w:cs="宋体"/>
          <w:highlight w:val="none"/>
        </w:rPr>
        <w:t xml:space="preserve">投标人全称：</w:t>
      </w:r>
      <w:r/>
    </w:p>
    <w:tbl>
      <w:tblPr>
        <w:tblStyle w:val="652"/>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货物类</w:t>
            </w:r>
            <w:r/>
          </w:p>
        </w:tc>
        <w:tc>
          <w:tcPr>
            <w:tcW w:w="3780" w:type="dxa"/>
            <w:vAlign w:val="top"/>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服务类</w:t>
            </w:r>
            <w:r/>
          </w:p>
        </w:tc>
      </w:tr>
      <w:tr>
        <w:trPr>
          <w:trHeight w:val="3810"/>
        </w:trPr>
        <w:tc>
          <w:tcPr>
            <w:tcW w:w="3901" w:type="dxa"/>
            <w:vAlign w:val="top"/>
            <w:textDirection w:val="lrTb"/>
            <w:noWrap w:val="false"/>
          </w:tcPr>
          <w:p>
            <w:pPr>
              <w:spacing w:line="360" w:lineRule="auto"/>
              <w:rPr>
                <w:rFonts w:hint="eastAsia" w:ascii="宋体" w:hAnsi="宋体" w:eastAsia="宋体" w:cs="宋体"/>
                <w:highlight w:val="none"/>
              </w:rPr>
            </w:pPr>
            <w:r>
              <w:rPr>
                <w:rFonts w:hint="eastAsia" w:ascii="宋体" w:hAnsi="宋体" w:eastAsia="宋体" w:cs="宋体"/>
                <w:highlight w:val="none"/>
              </w:rPr>
              <w:t xml:space="preserve">名称：</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品牌（如有）：</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规格型号：</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数量：</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单价：</w:t>
            </w:r>
            <w:r/>
          </w:p>
        </w:tc>
        <w:tc>
          <w:tcPr>
            <w:tcW w:w="3780" w:type="dxa"/>
            <w:vAlign w:val="top"/>
            <w:textDirection w:val="lrTb"/>
            <w:noWrap w:val="false"/>
          </w:tcPr>
          <w:p>
            <w:pPr>
              <w:spacing w:line="360" w:lineRule="auto"/>
              <w:rPr>
                <w:rFonts w:hint="eastAsia" w:ascii="宋体" w:hAnsi="宋体" w:eastAsia="宋体" w:cs="宋体"/>
                <w:highlight w:val="none"/>
              </w:rPr>
            </w:pPr>
            <w:r>
              <w:rPr>
                <w:rFonts w:hint="eastAsia" w:ascii="宋体" w:hAnsi="宋体" w:eastAsia="宋体" w:cs="宋体"/>
                <w:highlight w:val="none"/>
              </w:rPr>
              <w:t xml:space="preserve">名称：</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服务范围：</w:t>
            </w:r>
            <w:r/>
          </w:p>
          <w:p>
            <w:pPr>
              <w:spacing w:line="360" w:lineRule="auto"/>
              <w:rPr>
                <w:rFonts w:hint="eastAsia" w:ascii="宋体" w:hAnsi="宋体" w:eastAsia="宋体" w:cs="宋体"/>
                <w:highlight w:val="none"/>
                <w:u w:val="single"/>
              </w:rPr>
            </w:pPr>
            <w:r>
              <w:rPr>
                <w:rFonts w:hint="eastAsia" w:ascii="宋体" w:hAnsi="宋体" w:eastAsia="宋体" w:cs="宋体"/>
                <w:highlight w:val="none"/>
              </w:rPr>
              <w:t xml:space="preserve">服务要求：</w:t>
            </w:r>
            <w:r/>
          </w:p>
          <w:p>
            <w:pPr>
              <w:spacing w:line="360" w:lineRule="auto"/>
              <w:rPr>
                <w:rFonts w:hint="eastAsia" w:ascii="宋体" w:hAnsi="宋体" w:eastAsia="宋体" w:cs="宋体"/>
                <w:highlight w:val="none"/>
                <w:u w:val="single"/>
              </w:rPr>
            </w:pPr>
            <w:r>
              <w:rPr>
                <w:rFonts w:hint="eastAsia" w:ascii="宋体" w:hAnsi="宋体" w:eastAsia="宋体" w:cs="宋体"/>
                <w:highlight w:val="none"/>
              </w:rPr>
              <w:t xml:space="preserve">服务时间：</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服务标准：</w:t>
            </w:r>
            <w:r/>
          </w:p>
        </w:tc>
      </w:tr>
    </w:tbl>
    <w:p>
      <w:pPr>
        <w:jc w:val="left"/>
        <w:spacing w:line="360" w:lineRule="auto"/>
        <w:widowControl/>
        <w:rPr>
          <w:rFonts w:hint="eastAsia" w:ascii="宋体" w:hAnsi="宋体" w:eastAsia="宋体" w:cs="宋体"/>
          <w:highlight w:val="none"/>
        </w:rPr>
      </w:pPr>
      <w:r>
        <w:rPr>
          <w:rFonts w:hint="eastAsia" w:ascii="宋体" w:hAnsi="宋体" w:eastAsia="宋体" w:cs="宋体"/>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黑体">
    <w:panose1 w:val="02010609060101010101"/>
  </w:font>
  <w:font w:name="幼圆">
    <w:panose1 w:val="02010509060101010101"/>
  </w:font>
  <w:font w:name="Noto Sans CJK JP Regular">
    <w:panose1 w:val="020B0503020202020204"/>
  </w:font>
  <w:font w:name="Courier New">
    <w:panose1 w:val="02070309020205020404"/>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center"/>
    </w:pPr>
    <w:r>
      <w:fldChar w:fldCharType="begin"/>
    </w:r>
    <w:r>
      <w:instrText xml:space="preserve">PAGE   \* MERGEFORMAT</w:instrText>
    </w:r>
    <w:r>
      <w:fldChar w:fldCharType="separate"/>
    </w:r>
    <w:r>
      <w:rPr>
        <w:lang w:val="zh-CN"/>
      </w:rPr>
      <w:t xml:space="preserve">29</w:t>
    </w:r>
    <w:r>
      <w:rPr>
        <w:lang w:val="zh-CN"/>
      </w:rPr>
      <w:fldChar w:fldCharType="end"/>
    </w:r>
    <w:r/>
  </w:p>
  <w:p>
    <w:pPr>
      <w:pStyle w:val="7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rPr>
        <w:rFonts w:hint="eastAsia" w:eastAsia="宋体"/>
        <w:lang w:eastAsia="zh-CN"/>
      </w:rPr>
    </w:pPr>
    <w:r>
      <w:rPr>
        <w:rFonts w:hint="eastAsia"/>
      </w:rPr>
      <w:t xml:space="preserve"> </w:t>
    </w:r>
    <w:r>
      <w:rPr>
        <w:rFonts w:hint="eastAsia"/>
        <w:lang w:eastAsia="zh-CN"/>
      </w:rPr>
      <w:t xml:space="preserve">JSZC-321000-ZYCG-G2026-0016</w:t>
    </w:r>
    <w:r>
      <w:rPr>
        <w:rFonts w:hint="eastAsia"/>
      </w:rPr>
      <w:t xml:space="preserve">                                    </w:t>
    </w:r>
    <w:r>
      <w:rPr>
        <w:rFonts w:hint="eastAsia"/>
        <w:lang w:eastAsia="zh-CN"/>
      </w:rPr>
      <w:t xml:space="preserve">扬州筑苑工程招标咨询有限公司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71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1" w:default="1">
    <w:name w:val="Normal"/>
    <w:link w:val="920"/>
    <w:uiPriority w:val="0"/>
    <w:qFormat/>
    <w:pPr>
      <w:jc w:val="both"/>
      <w:widowControl w:val="off"/>
    </w:pPr>
    <w:rPr>
      <w:rFonts w:hint="default" w:ascii="Calibri" w:hAnsi="Calibri" w:eastAsia="宋体" w:cs="Times New Roman"/>
      <w:sz w:val="21"/>
      <w:szCs w:val="22"/>
      <w:lang w:val="en-US" w:eastAsia="zh-CN" w:bidi="ar-SA"/>
    </w:rPr>
  </w:style>
  <w:style w:type="paragraph" w:styleId="642">
    <w:name w:val="Heading 1"/>
    <w:basedOn w:val="641"/>
    <w:next w:val="641"/>
    <w:uiPriority w:val="9"/>
    <w:qFormat/>
    <w:pPr>
      <w:keepLines/>
      <w:keepNext/>
      <w:spacing w:before="480" w:after="200"/>
      <w:outlineLvl w:val="0"/>
    </w:pPr>
    <w:rPr>
      <w:rFonts w:ascii="Arial" w:hAnsi="Arial" w:eastAsia="Arial" w:cs="Arial"/>
      <w:sz w:val="40"/>
      <w:szCs w:val="40"/>
    </w:rPr>
  </w:style>
  <w:style w:type="paragraph" w:styleId="643">
    <w:name w:val="Heading 2"/>
    <w:basedOn w:val="641"/>
    <w:next w:val="641"/>
    <w:uiPriority w:val="9"/>
    <w:unhideWhenUsed/>
    <w:qFormat/>
    <w:pPr>
      <w:keepLines/>
      <w:keepNext/>
      <w:spacing w:before="360" w:after="200"/>
      <w:outlineLvl w:val="1"/>
    </w:pPr>
    <w:rPr>
      <w:rFonts w:ascii="Arial" w:hAnsi="Arial" w:eastAsia="Arial" w:cs="Arial"/>
      <w:sz w:val="34"/>
    </w:rPr>
  </w:style>
  <w:style w:type="paragraph" w:styleId="644">
    <w:name w:val="Heading 3"/>
    <w:basedOn w:val="641"/>
    <w:next w:val="641"/>
    <w:uiPriority w:val="9"/>
    <w:unhideWhenUsed/>
    <w:qFormat/>
    <w:pPr>
      <w:keepLines/>
      <w:keepNext/>
      <w:spacing w:before="320" w:after="200"/>
      <w:outlineLvl w:val="2"/>
    </w:pPr>
    <w:rPr>
      <w:rFonts w:ascii="Arial" w:hAnsi="Arial" w:eastAsia="Arial" w:cs="Arial"/>
      <w:sz w:val="30"/>
      <w:szCs w:val="30"/>
    </w:rPr>
  </w:style>
  <w:style w:type="paragraph" w:styleId="645">
    <w:name w:val="Heading 4"/>
    <w:basedOn w:val="641"/>
    <w:next w:val="641"/>
    <w:link w:val="677"/>
    <w:uiPriority w:val="9"/>
    <w:unhideWhenUsed/>
    <w:qFormat/>
    <w:pPr>
      <w:keepLines/>
      <w:keepNext/>
      <w:spacing w:before="320" w:after="200"/>
      <w:outlineLvl w:val="3"/>
    </w:pPr>
    <w:rPr>
      <w:rFonts w:ascii="Arial" w:hAnsi="Arial" w:eastAsia="Arial" w:cs="Arial"/>
      <w:b/>
      <w:bCs/>
      <w:sz w:val="26"/>
      <w:szCs w:val="26"/>
    </w:rPr>
  </w:style>
  <w:style w:type="paragraph" w:styleId="646">
    <w:name w:val="Heading 5"/>
    <w:basedOn w:val="641"/>
    <w:next w:val="641"/>
    <w:link w:val="678"/>
    <w:uiPriority w:val="9"/>
    <w:unhideWhenUsed/>
    <w:qFormat/>
    <w:pPr>
      <w:keepLines/>
      <w:keepNext/>
      <w:spacing w:before="320" w:after="200"/>
      <w:outlineLvl w:val="4"/>
    </w:pPr>
    <w:rPr>
      <w:rFonts w:ascii="Arial" w:hAnsi="Arial" w:eastAsia="Arial" w:cs="Arial"/>
      <w:b/>
      <w:bCs/>
      <w:sz w:val="24"/>
      <w:szCs w:val="24"/>
    </w:rPr>
  </w:style>
  <w:style w:type="paragraph" w:styleId="647">
    <w:name w:val="Heading 6"/>
    <w:basedOn w:val="641"/>
    <w:next w:val="641"/>
    <w:link w:val="679"/>
    <w:uiPriority w:val="9"/>
    <w:unhideWhenUsed/>
    <w:qFormat/>
    <w:pPr>
      <w:keepLines/>
      <w:keepNext/>
      <w:spacing w:before="320" w:after="200"/>
      <w:outlineLvl w:val="5"/>
    </w:pPr>
    <w:rPr>
      <w:rFonts w:ascii="Arial" w:hAnsi="Arial" w:eastAsia="Arial" w:cs="Arial"/>
      <w:b/>
      <w:bCs/>
      <w:sz w:val="22"/>
      <w:szCs w:val="22"/>
    </w:rPr>
  </w:style>
  <w:style w:type="paragraph" w:styleId="648">
    <w:name w:val="Heading 7"/>
    <w:basedOn w:val="641"/>
    <w:next w:val="641"/>
    <w:link w:val="680"/>
    <w:uiPriority w:val="9"/>
    <w:unhideWhenUsed/>
    <w:qFormat/>
    <w:pPr>
      <w:keepLines/>
      <w:keepNext/>
      <w:spacing w:before="320" w:after="200"/>
      <w:outlineLvl w:val="6"/>
    </w:pPr>
    <w:rPr>
      <w:rFonts w:ascii="Arial" w:hAnsi="Arial" w:eastAsia="Arial" w:cs="Arial"/>
      <w:b/>
      <w:bCs/>
      <w:i/>
      <w:iCs/>
      <w:sz w:val="22"/>
      <w:szCs w:val="22"/>
    </w:rPr>
  </w:style>
  <w:style w:type="paragraph" w:styleId="649">
    <w:name w:val="Heading 8"/>
    <w:basedOn w:val="641"/>
    <w:next w:val="641"/>
    <w:link w:val="681"/>
    <w:uiPriority w:val="9"/>
    <w:unhideWhenUsed/>
    <w:qFormat/>
    <w:pPr>
      <w:keepLines/>
      <w:keepNext/>
      <w:spacing w:before="320" w:after="200"/>
      <w:outlineLvl w:val="7"/>
    </w:pPr>
    <w:rPr>
      <w:rFonts w:ascii="Arial" w:hAnsi="Arial" w:eastAsia="Arial" w:cs="Arial"/>
      <w:i/>
      <w:iCs/>
      <w:sz w:val="22"/>
      <w:szCs w:val="22"/>
    </w:rPr>
  </w:style>
  <w:style w:type="paragraph" w:styleId="650">
    <w:name w:val="Heading 9"/>
    <w:basedOn w:val="641"/>
    <w:next w:val="641"/>
    <w:link w:val="682"/>
    <w:uiPriority w:val="9"/>
    <w:unhideWhenUsed/>
    <w:qFormat/>
    <w:pPr>
      <w:keepLines/>
      <w:keepNext/>
      <w:spacing w:before="320" w:after="200"/>
      <w:outlineLvl w:val="8"/>
    </w:pPr>
    <w:rPr>
      <w:rFonts w:ascii="Arial" w:hAnsi="Arial" w:eastAsia="Arial" w:cs="Arial"/>
      <w:i/>
      <w:iCs/>
      <w:sz w:val="21"/>
      <w:szCs w:val="21"/>
    </w:rPr>
  </w:style>
  <w:style w:type="character" w:styleId="651" w:default="1">
    <w:name w:val="Default Paragraph Font"/>
    <w:uiPriority w:val="1"/>
    <w:unhideWhenUsed/>
    <w:qFormat/>
  </w:style>
  <w:style w:type="table" w:styleId="652" w:default="1">
    <w:name w:val="Normal Table"/>
    <w:uiPriority w:val="99"/>
    <w:unhideWhenUsed/>
    <w:qFormat/>
    <w:tblPr>
      <w:tblCellMar>
        <w:left w:w="108" w:type="dxa"/>
        <w:top w:w="0" w:type="dxa"/>
        <w:right w:w="108" w:type="dxa"/>
        <w:bottom w:w="0" w:type="dxa"/>
      </w:tblCellMar>
    </w:tblPr>
  </w:style>
  <w:style w:type="paragraph" w:styleId="653">
    <w:name w:val="toc 7"/>
    <w:basedOn w:val="641"/>
    <w:next w:val="641"/>
    <w:uiPriority w:val="39"/>
    <w:unhideWhenUsed/>
    <w:qFormat/>
    <w:pPr>
      <w:ind w:left="1701" w:right="0" w:firstLine="0"/>
      <w:spacing w:after="57"/>
    </w:pPr>
  </w:style>
  <w:style w:type="paragraph" w:styleId="654">
    <w:name w:val="Caption"/>
    <w:basedOn w:val="641"/>
    <w:next w:val="641"/>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655">
    <w:name w:val="Body Text"/>
    <w:basedOn w:val="641"/>
    <w:next w:val="656"/>
    <w:uiPriority w:val="0"/>
    <w:qFormat/>
    <w:rPr>
      <w:rFonts w:ascii="楷体_GB2312" w:hAnsi="Arial" w:eastAsia="楷体_GB2312"/>
      <w:sz w:val="28"/>
      <w:szCs w:val="28"/>
    </w:rPr>
  </w:style>
  <w:style w:type="paragraph" w:styleId="656">
    <w:name w:val="Body Text 2"/>
    <w:basedOn w:val="641"/>
    <w:uiPriority w:val="0"/>
    <w:qFormat/>
    <w:pPr>
      <w:spacing w:after="120" w:line="480" w:lineRule="auto"/>
    </w:pPr>
  </w:style>
  <w:style w:type="paragraph" w:styleId="657">
    <w:name w:val="toc 5"/>
    <w:basedOn w:val="641"/>
    <w:next w:val="641"/>
    <w:uiPriority w:val="39"/>
    <w:unhideWhenUsed/>
    <w:qFormat/>
    <w:pPr>
      <w:ind w:left="1134" w:right="0" w:firstLine="0"/>
      <w:spacing w:after="57"/>
    </w:pPr>
  </w:style>
  <w:style w:type="paragraph" w:styleId="658">
    <w:name w:val="toc 3"/>
    <w:basedOn w:val="641"/>
    <w:next w:val="641"/>
    <w:uiPriority w:val="39"/>
    <w:unhideWhenUsed/>
    <w:qFormat/>
    <w:pPr>
      <w:ind w:left="567" w:right="0" w:firstLine="0"/>
      <w:spacing w:after="57"/>
    </w:pPr>
  </w:style>
  <w:style w:type="paragraph" w:styleId="659">
    <w:name w:val="Plain Text"/>
    <w:basedOn w:val="641"/>
    <w:uiPriority w:val="99"/>
    <w:unhideWhenUsed/>
    <w:qFormat/>
    <w:rPr>
      <w:rFonts w:ascii="宋体" w:hAnsi="Courier New"/>
      <w:sz w:val="20"/>
      <w:szCs w:val="20"/>
    </w:rPr>
  </w:style>
  <w:style w:type="paragraph" w:styleId="660">
    <w:name w:val="toc 8"/>
    <w:basedOn w:val="641"/>
    <w:next w:val="641"/>
    <w:uiPriority w:val="39"/>
    <w:unhideWhenUsed/>
    <w:qFormat/>
    <w:pPr>
      <w:ind w:left="1984" w:right="0" w:firstLine="0"/>
      <w:spacing w:after="57"/>
    </w:pPr>
  </w:style>
  <w:style w:type="paragraph" w:styleId="661">
    <w:name w:val="endnote text"/>
    <w:basedOn w:val="641"/>
    <w:link w:val="692"/>
    <w:uiPriority w:val="99"/>
    <w:unhideWhenUsed/>
    <w:qFormat/>
    <w:pPr>
      <w:spacing w:after="0" w:line="240" w:lineRule="auto"/>
    </w:pPr>
    <w:rPr>
      <w:sz w:val="20"/>
    </w:rPr>
  </w:style>
  <w:style w:type="paragraph" w:styleId="662">
    <w:name w:val="Footer"/>
    <w:basedOn w:val="641"/>
    <w:uiPriority w:val="99"/>
    <w:unhideWhenUsed/>
    <w:qFormat/>
    <w:pPr>
      <w:spacing w:after="0" w:line="240" w:lineRule="auto"/>
      <w:tabs>
        <w:tab w:val="center" w:pos="7143" w:leader="none"/>
        <w:tab w:val="right" w:pos="14287" w:leader="none"/>
      </w:tabs>
    </w:pPr>
  </w:style>
  <w:style w:type="paragraph" w:styleId="663">
    <w:name w:val="Header"/>
    <w:basedOn w:val="641"/>
    <w:uiPriority w:val="99"/>
    <w:unhideWhenUsed/>
    <w:qFormat/>
    <w:pPr>
      <w:spacing w:after="0" w:line="240" w:lineRule="auto"/>
      <w:tabs>
        <w:tab w:val="center" w:pos="7143" w:leader="none"/>
        <w:tab w:val="right" w:pos="14287" w:leader="none"/>
      </w:tabs>
    </w:pPr>
  </w:style>
  <w:style w:type="paragraph" w:styleId="664">
    <w:name w:val="toc 1"/>
    <w:basedOn w:val="641"/>
    <w:next w:val="641"/>
    <w:uiPriority w:val="39"/>
    <w:unhideWhenUsed/>
    <w:qFormat/>
    <w:pPr>
      <w:ind w:left="0" w:right="0" w:firstLine="0"/>
      <w:spacing w:after="57"/>
    </w:pPr>
  </w:style>
  <w:style w:type="paragraph" w:styleId="665">
    <w:name w:val="toc 4"/>
    <w:basedOn w:val="641"/>
    <w:next w:val="641"/>
    <w:uiPriority w:val="39"/>
    <w:unhideWhenUsed/>
    <w:qFormat/>
    <w:pPr>
      <w:ind w:left="850" w:right="0" w:firstLine="0"/>
      <w:spacing w:after="57"/>
    </w:pPr>
  </w:style>
  <w:style w:type="paragraph" w:styleId="666">
    <w:name w:val="Subtitle"/>
    <w:basedOn w:val="641"/>
    <w:next w:val="641"/>
    <w:link w:val="686"/>
    <w:uiPriority w:val="11"/>
    <w:qFormat/>
    <w:pPr>
      <w:spacing w:before="200" w:after="200"/>
    </w:pPr>
    <w:rPr>
      <w:sz w:val="24"/>
      <w:szCs w:val="24"/>
    </w:rPr>
  </w:style>
  <w:style w:type="paragraph" w:styleId="667">
    <w:name w:val="footnote text"/>
    <w:basedOn w:val="641"/>
    <w:link w:val="691"/>
    <w:uiPriority w:val="99"/>
    <w:unhideWhenUsed/>
    <w:qFormat/>
    <w:pPr>
      <w:spacing w:after="40" w:line="240" w:lineRule="auto"/>
    </w:pPr>
    <w:rPr>
      <w:sz w:val="18"/>
    </w:rPr>
  </w:style>
  <w:style w:type="paragraph" w:styleId="668">
    <w:name w:val="toc 6"/>
    <w:basedOn w:val="641"/>
    <w:next w:val="641"/>
    <w:uiPriority w:val="39"/>
    <w:unhideWhenUsed/>
    <w:qFormat/>
    <w:pPr>
      <w:ind w:left="1417" w:right="0" w:firstLine="0"/>
      <w:spacing w:after="57"/>
    </w:pPr>
  </w:style>
  <w:style w:type="paragraph" w:styleId="669">
    <w:name w:val="table of figures"/>
    <w:basedOn w:val="641"/>
    <w:next w:val="641"/>
    <w:uiPriority w:val="99"/>
    <w:unhideWhenUsed/>
    <w:qFormat/>
    <w:pPr>
      <w:spacing w:after="0" w:afterAutospacing="0"/>
    </w:pPr>
  </w:style>
  <w:style w:type="paragraph" w:styleId="670">
    <w:name w:val="toc 2"/>
    <w:basedOn w:val="641"/>
    <w:next w:val="641"/>
    <w:uiPriority w:val="39"/>
    <w:unhideWhenUsed/>
    <w:qFormat/>
    <w:pPr>
      <w:ind w:left="283" w:right="0" w:firstLine="0"/>
      <w:spacing w:after="57"/>
    </w:pPr>
  </w:style>
  <w:style w:type="paragraph" w:styleId="671">
    <w:name w:val="toc 9"/>
    <w:basedOn w:val="641"/>
    <w:next w:val="641"/>
    <w:uiPriority w:val="39"/>
    <w:unhideWhenUsed/>
    <w:qFormat/>
    <w:pPr>
      <w:ind w:left="2268" w:right="0" w:firstLine="0"/>
      <w:spacing w:after="57"/>
    </w:pPr>
  </w:style>
  <w:style w:type="paragraph" w:styleId="672">
    <w:name w:val="Title"/>
    <w:basedOn w:val="641"/>
    <w:next w:val="641"/>
    <w:link w:val="685"/>
    <w:uiPriority w:val="10"/>
    <w:qFormat/>
    <w:pPr>
      <w:contextualSpacing/>
      <w:spacing w:before="300" w:after="200"/>
    </w:pPr>
    <w:rPr>
      <w:sz w:val="48"/>
      <w:szCs w:val="48"/>
    </w:rPr>
  </w:style>
  <w:style w:type="table" w:styleId="67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4">
    <w:name w:val="endnote reference"/>
    <w:uiPriority w:val="99"/>
    <w:unhideWhenUsed/>
    <w:qFormat/>
    <w:rPr>
      <w:vertAlign w:val="superscript"/>
    </w:rPr>
  </w:style>
  <w:style w:type="character" w:styleId="675">
    <w:name w:val="Hyperlink"/>
    <w:uiPriority w:val="99"/>
    <w:unhideWhenUsed/>
    <w:qFormat/>
    <w:rPr>
      <w:color w:val="0000ff" w:themeColor="hyperlink"/>
      <w:u w:val="single"/>
      <w14:textFill>
        <w14:solidFill>
          <w14:schemeClr w14:val="hlink"/>
        </w14:solidFill>
      </w14:textFill>
    </w:rPr>
  </w:style>
  <w:style w:type="character" w:styleId="676">
    <w:name w:val="footnote reference"/>
    <w:uiPriority w:val="99"/>
    <w:unhideWhenUsed/>
    <w:qFormat/>
    <w:rPr>
      <w:vertAlign w:val="superscript"/>
    </w:rPr>
  </w:style>
  <w:style w:type="character" w:styleId="677" w:customStyle="1">
    <w:name w:val="Heading 4 Char"/>
    <w:link w:val="645"/>
    <w:uiPriority w:val="9"/>
    <w:qFormat/>
    <w:rPr>
      <w:rFonts w:ascii="Arial" w:hAnsi="Arial" w:eastAsia="Arial" w:cs="Arial"/>
      <w:b/>
      <w:bCs/>
      <w:sz w:val="26"/>
      <w:szCs w:val="26"/>
    </w:rPr>
  </w:style>
  <w:style w:type="character" w:styleId="678" w:customStyle="1">
    <w:name w:val="Heading 5 Char"/>
    <w:link w:val="646"/>
    <w:uiPriority w:val="9"/>
    <w:qFormat/>
    <w:rPr>
      <w:rFonts w:ascii="Arial" w:hAnsi="Arial" w:eastAsia="Arial" w:cs="Arial"/>
      <w:b/>
      <w:bCs/>
      <w:sz w:val="24"/>
      <w:szCs w:val="24"/>
    </w:rPr>
  </w:style>
  <w:style w:type="character" w:styleId="679" w:customStyle="1">
    <w:name w:val="Heading 6 Char"/>
    <w:link w:val="647"/>
    <w:uiPriority w:val="9"/>
    <w:qFormat/>
    <w:rPr>
      <w:rFonts w:ascii="Arial" w:hAnsi="Arial" w:eastAsia="Arial" w:cs="Arial"/>
      <w:b/>
      <w:bCs/>
      <w:sz w:val="22"/>
      <w:szCs w:val="22"/>
    </w:rPr>
  </w:style>
  <w:style w:type="character" w:styleId="680" w:customStyle="1">
    <w:name w:val="Heading 7 Char"/>
    <w:link w:val="648"/>
    <w:uiPriority w:val="9"/>
    <w:qFormat/>
    <w:rPr>
      <w:rFonts w:ascii="Arial" w:hAnsi="Arial" w:eastAsia="Arial" w:cs="Arial"/>
      <w:b/>
      <w:bCs/>
      <w:i/>
      <w:iCs/>
      <w:sz w:val="22"/>
      <w:szCs w:val="22"/>
    </w:rPr>
  </w:style>
  <w:style w:type="character" w:styleId="681" w:customStyle="1">
    <w:name w:val="Heading 8 Char"/>
    <w:link w:val="649"/>
    <w:uiPriority w:val="9"/>
    <w:qFormat/>
    <w:rPr>
      <w:rFonts w:ascii="Arial" w:hAnsi="Arial" w:eastAsia="Arial" w:cs="Arial"/>
      <w:i/>
      <w:iCs/>
      <w:sz w:val="22"/>
      <w:szCs w:val="22"/>
    </w:rPr>
  </w:style>
  <w:style w:type="character" w:styleId="682" w:customStyle="1">
    <w:name w:val="Heading 9 Char"/>
    <w:link w:val="650"/>
    <w:uiPriority w:val="9"/>
    <w:qFormat/>
    <w:rPr>
      <w:rFonts w:ascii="Arial" w:hAnsi="Arial" w:eastAsia="Arial" w:cs="Arial"/>
      <w:i/>
      <w:iCs/>
      <w:sz w:val="21"/>
      <w:szCs w:val="21"/>
    </w:rPr>
  </w:style>
  <w:style w:type="paragraph" w:styleId="683" w:customStyle="1">
    <w:name w:val="List Paragraph"/>
    <w:basedOn w:val="641"/>
    <w:uiPriority w:val="34"/>
    <w:qFormat/>
    <w:pPr>
      <w:contextualSpacing/>
      <w:ind w:left="720"/>
    </w:pPr>
  </w:style>
  <w:style w:type="paragraph" w:styleId="684" w:customStyle="1">
    <w:name w:val="No Spacing"/>
    <w:uiPriority w:val="1"/>
    <w:qFormat/>
    <w:pPr>
      <w:spacing w:before="0" w:after="0" w:line="240" w:lineRule="auto"/>
    </w:pPr>
    <w:rPr>
      <w:rFonts w:hint="default" w:ascii="Times New Roman" w:hAnsi="Times New Roman" w:eastAsia="宋体" w:cs="Times New Roman"/>
    </w:rPr>
  </w:style>
  <w:style w:type="character" w:styleId="685" w:customStyle="1">
    <w:name w:val="Title Char"/>
    <w:link w:val="672"/>
    <w:uiPriority w:val="10"/>
    <w:qFormat/>
    <w:rPr>
      <w:sz w:val="48"/>
      <w:szCs w:val="48"/>
    </w:rPr>
  </w:style>
  <w:style w:type="character" w:styleId="686" w:customStyle="1">
    <w:name w:val="Subtitle Char"/>
    <w:link w:val="666"/>
    <w:uiPriority w:val="11"/>
    <w:qFormat/>
    <w:rPr>
      <w:sz w:val="24"/>
      <w:szCs w:val="24"/>
    </w:rPr>
  </w:style>
  <w:style w:type="paragraph" w:styleId="687" w:customStyle="1">
    <w:name w:val="Quote"/>
    <w:basedOn w:val="641"/>
    <w:next w:val="641"/>
    <w:link w:val="688"/>
    <w:uiPriority w:val="29"/>
    <w:qFormat/>
    <w:pPr>
      <w:ind w:left="720" w:right="720"/>
    </w:pPr>
    <w:rPr>
      <w:i/>
    </w:rPr>
  </w:style>
  <w:style w:type="character" w:styleId="688" w:customStyle="1">
    <w:name w:val="Quote Char"/>
    <w:link w:val="687"/>
    <w:uiPriority w:val="29"/>
    <w:qFormat/>
    <w:rPr>
      <w:i/>
    </w:rPr>
  </w:style>
  <w:style w:type="paragraph" w:styleId="689" w:customStyle="1">
    <w:name w:val="Intense Quote"/>
    <w:basedOn w:val="641"/>
    <w:next w:val="641"/>
    <w:link w:val="6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0" w:customStyle="1">
    <w:name w:val="Intense Quote Char"/>
    <w:link w:val="689"/>
    <w:uiPriority w:val="30"/>
    <w:qFormat/>
    <w:rPr>
      <w:i/>
    </w:rPr>
  </w:style>
  <w:style w:type="character" w:styleId="691" w:customStyle="1">
    <w:name w:val="Footnote Text Char"/>
    <w:link w:val="667"/>
    <w:uiPriority w:val="99"/>
    <w:qFormat/>
    <w:rPr>
      <w:sz w:val="18"/>
    </w:rPr>
  </w:style>
  <w:style w:type="character" w:styleId="692" w:customStyle="1">
    <w:name w:val="Endnote Text Char"/>
    <w:link w:val="661"/>
    <w:uiPriority w:val="99"/>
    <w:qFormat/>
    <w:rPr>
      <w:sz w:val="20"/>
    </w:rPr>
  </w:style>
  <w:style w:type="paragraph" w:styleId="693" w:customStyle="1">
    <w:name w:val="TOC Heading"/>
    <w:uiPriority w:val="39"/>
    <w:unhideWhenUsed/>
    <w:qFormat/>
    <w:rPr>
      <w:rFonts w:hint="default" w:ascii="Times New Roman" w:hAnsi="Times New Roman" w:eastAsia="宋体" w:cs="Times New Roman"/>
    </w:rPr>
  </w:style>
  <w:style w:type="paragraph" w:styleId="694" w:customStyle="1">
    <w:name w:val="标题 11"/>
    <w:basedOn w:val="641"/>
    <w:next w:val="641"/>
    <w:uiPriority w:val="9"/>
    <w:qFormat/>
    <w:pPr>
      <w:keepLines/>
      <w:keepNext/>
      <w:spacing w:before="340" w:after="330" w:line="578" w:lineRule="auto"/>
      <w:outlineLvl w:val="0"/>
    </w:pPr>
    <w:rPr>
      <w:b/>
      <w:bCs/>
      <w:sz w:val="44"/>
      <w:szCs w:val="44"/>
    </w:rPr>
  </w:style>
  <w:style w:type="paragraph" w:styleId="695" w:customStyle="1">
    <w:name w:val="标题 211"/>
    <w:basedOn w:val="641"/>
    <w:next w:val="64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96" w:customStyle="1">
    <w:name w:val="标题 31"/>
    <w:basedOn w:val="641"/>
    <w:next w:val="641"/>
    <w:uiPriority w:val="0"/>
    <w:qFormat/>
    <w:pPr>
      <w:keepLines/>
      <w:keepNext/>
      <w:spacing w:before="260" w:after="260" w:line="416" w:lineRule="auto"/>
      <w:outlineLvl w:val="2"/>
    </w:pPr>
    <w:rPr>
      <w:b/>
      <w:bCs/>
      <w:sz w:val="32"/>
      <w:szCs w:val="32"/>
    </w:rPr>
  </w:style>
  <w:style w:type="paragraph" w:styleId="697" w:customStyle="1">
    <w:name w:val="标题 411"/>
    <w:basedOn w:val="641"/>
    <w:next w:val="641"/>
    <w:link w:val="705"/>
    <w:uiPriority w:val="9"/>
    <w:qFormat/>
    <w:pPr>
      <w:keepLines/>
      <w:keepNext/>
      <w:spacing w:before="320" w:after="200"/>
      <w:outlineLvl w:val="3"/>
    </w:pPr>
    <w:rPr>
      <w:rFonts w:ascii="Arial" w:hAnsi="Arial" w:eastAsia="Arial" w:cs="Arial"/>
      <w:b/>
      <w:bCs/>
      <w:sz w:val="26"/>
      <w:szCs w:val="26"/>
    </w:rPr>
  </w:style>
  <w:style w:type="paragraph" w:styleId="698" w:customStyle="1">
    <w:name w:val="标题 51"/>
    <w:basedOn w:val="641"/>
    <w:next w:val="641"/>
    <w:link w:val="706"/>
    <w:uiPriority w:val="9"/>
    <w:qFormat/>
    <w:pPr>
      <w:keepLines/>
      <w:keepNext/>
      <w:spacing w:before="320" w:after="200"/>
      <w:outlineLvl w:val="4"/>
    </w:pPr>
    <w:rPr>
      <w:rFonts w:ascii="Arial" w:hAnsi="Arial" w:eastAsia="Arial" w:cs="Arial"/>
      <w:b/>
      <w:bCs/>
      <w:sz w:val="24"/>
      <w:szCs w:val="24"/>
    </w:rPr>
  </w:style>
  <w:style w:type="paragraph" w:styleId="699" w:customStyle="1">
    <w:name w:val="标题 61"/>
    <w:basedOn w:val="641"/>
    <w:next w:val="641"/>
    <w:link w:val="707"/>
    <w:uiPriority w:val="9"/>
    <w:qFormat/>
    <w:pPr>
      <w:keepLines/>
      <w:keepNext/>
      <w:spacing w:before="320" w:after="200"/>
      <w:outlineLvl w:val="5"/>
    </w:pPr>
    <w:rPr>
      <w:rFonts w:ascii="Arial" w:hAnsi="Arial" w:eastAsia="Arial" w:cs="Arial"/>
      <w:b/>
      <w:bCs/>
      <w:sz w:val="22"/>
      <w:szCs w:val="22"/>
    </w:rPr>
  </w:style>
  <w:style w:type="paragraph" w:styleId="700" w:customStyle="1">
    <w:name w:val="标题 71"/>
    <w:basedOn w:val="641"/>
    <w:next w:val="641"/>
    <w:link w:val="708"/>
    <w:uiPriority w:val="9"/>
    <w:qFormat/>
    <w:pPr>
      <w:keepLines/>
      <w:keepNext/>
      <w:spacing w:before="320" w:after="200"/>
      <w:outlineLvl w:val="6"/>
    </w:pPr>
    <w:rPr>
      <w:rFonts w:ascii="Arial" w:hAnsi="Arial" w:eastAsia="Arial" w:cs="Arial"/>
      <w:b/>
      <w:bCs/>
      <w:i/>
      <w:iCs/>
      <w:sz w:val="22"/>
      <w:szCs w:val="22"/>
    </w:rPr>
  </w:style>
  <w:style w:type="paragraph" w:styleId="701" w:customStyle="1">
    <w:name w:val="标题 81"/>
    <w:basedOn w:val="641"/>
    <w:next w:val="641"/>
    <w:link w:val="709"/>
    <w:uiPriority w:val="9"/>
    <w:qFormat/>
    <w:pPr>
      <w:keepLines/>
      <w:keepNext/>
      <w:spacing w:before="320" w:after="200"/>
      <w:outlineLvl w:val="7"/>
    </w:pPr>
    <w:rPr>
      <w:rFonts w:ascii="Arial" w:hAnsi="Arial" w:eastAsia="Arial" w:cs="Arial"/>
      <w:i/>
      <w:iCs/>
      <w:sz w:val="22"/>
      <w:szCs w:val="22"/>
    </w:rPr>
  </w:style>
  <w:style w:type="paragraph" w:styleId="702" w:customStyle="1">
    <w:name w:val="标题 91"/>
    <w:basedOn w:val="641"/>
    <w:next w:val="641"/>
    <w:link w:val="710"/>
    <w:uiPriority w:val="9"/>
    <w:qFormat/>
    <w:pPr>
      <w:keepLines/>
      <w:keepNext/>
      <w:spacing w:before="320" w:after="200"/>
      <w:outlineLvl w:val="8"/>
    </w:pPr>
    <w:rPr>
      <w:rFonts w:ascii="Arial" w:hAnsi="Arial" w:eastAsia="Arial" w:cs="Arial"/>
      <w:i/>
      <w:iCs/>
      <w:sz w:val="21"/>
      <w:szCs w:val="21"/>
    </w:rPr>
  </w:style>
  <w:style w:type="character" w:styleId="703" w:customStyle="1">
    <w:name w:val="默认段落字体1"/>
    <w:link w:val="641"/>
    <w:uiPriority w:val="1"/>
    <w:unhideWhenUsed/>
    <w:qFormat/>
  </w:style>
  <w:style w:type="table" w:styleId="704" w:customStyle="1">
    <w:name w:val="普通表格1"/>
    <w:uiPriority w:val="99"/>
    <w:unhideWhenUsed/>
    <w:qFormat/>
    <w:tblPr/>
  </w:style>
  <w:style w:type="character" w:styleId="705" w:customStyle="1">
    <w:name w:val="标题 4 Char"/>
    <w:basedOn w:val="703"/>
    <w:link w:val="697"/>
    <w:uiPriority w:val="9"/>
    <w:qFormat/>
    <w:rPr>
      <w:rFonts w:ascii="Arial" w:hAnsi="Arial" w:eastAsia="Arial" w:cs="Arial"/>
      <w:b/>
      <w:bCs/>
      <w:sz w:val="26"/>
      <w:szCs w:val="26"/>
    </w:rPr>
  </w:style>
  <w:style w:type="character" w:styleId="706" w:customStyle="1">
    <w:name w:val="标题 5 Char"/>
    <w:basedOn w:val="703"/>
    <w:link w:val="698"/>
    <w:uiPriority w:val="9"/>
    <w:qFormat/>
    <w:rPr>
      <w:rFonts w:ascii="Arial" w:hAnsi="Arial" w:eastAsia="Arial" w:cs="Arial"/>
      <w:b/>
      <w:bCs/>
      <w:sz w:val="24"/>
      <w:szCs w:val="24"/>
    </w:rPr>
  </w:style>
  <w:style w:type="character" w:styleId="707" w:customStyle="1">
    <w:name w:val="标题 6 Char"/>
    <w:basedOn w:val="703"/>
    <w:link w:val="699"/>
    <w:uiPriority w:val="9"/>
    <w:qFormat/>
    <w:rPr>
      <w:rFonts w:ascii="Arial" w:hAnsi="Arial" w:eastAsia="Arial" w:cs="Arial"/>
      <w:b/>
      <w:bCs/>
      <w:sz w:val="22"/>
      <w:szCs w:val="22"/>
    </w:rPr>
  </w:style>
  <w:style w:type="character" w:styleId="708" w:customStyle="1">
    <w:name w:val="标题 7 Char"/>
    <w:basedOn w:val="703"/>
    <w:link w:val="700"/>
    <w:uiPriority w:val="9"/>
    <w:qFormat/>
    <w:rPr>
      <w:rFonts w:ascii="Arial" w:hAnsi="Arial" w:eastAsia="Arial" w:cs="Arial"/>
      <w:b/>
      <w:bCs/>
      <w:i/>
      <w:iCs/>
      <w:sz w:val="22"/>
      <w:szCs w:val="22"/>
    </w:rPr>
  </w:style>
  <w:style w:type="character" w:styleId="709" w:customStyle="1">
    <w:name w:val="标题 8 Char"/>
    <w:basedOn w:val="703"/>
    <w:link w:val="701"/>
    <w:uiPriority w:val="9"/>
    <w:qFormat/>
    <w:rPr>
      <w:rFonts w:ascii="Arial" w:hAnsi="Arial" w:eastAsia="Arial" w:cs="Arial"/>
      <w:i/>
      <w:iCs/>
      <w:sz w:val="22"/>
      <w:szCs w:val="22"/>
    </w:rPr>
  </w:style>
  <w:style w:type="character" w:styleId="710" w:customStyle="1">
    <w:name w:val="标题 9 Char"/>
    <w:basedOn w:val="703"/>
    <w:link w:val="702"/>
    <w:uiPriority w:val="9"/>
    <w:qFormat/>
    <w:rPr>
      <w:rFonts w:ascii="Arial" w:hAnsi="Arial" w:eastAsia="Arial" w:cs="Arial"/>
      <w:i/>
      <w:iCs/>
      <w:sz w:val="21"/>
      <w:szCs w:val="21"/>
    </w:rPr>
  </w:style>
  <w:style w:type="paragraph" w:styleId="711" w:customStyle="1">
    <w:name w:val="目录 71"/>
    <w:basedOn w:val="641"/>
    <w:next w:val="641"/>
    <w:uiPriority w:val="39"/>
    <w:unhideWhenUsed/>
    <w:qFormat/>
    <w:pPr>
      <w:ind w:left="1701" w:right="0" w:firstLine="0"/>
      <w:spacing w:after="57"/>
    </w:pPr>
  </w:style>
  <w:style w:type="paragraph" w:styleId="712" w:customStyle="1">
    <w:name w:val="引文目录1"/>
    <w:basedOn w:val="641"/>
    <w:next w:val="641"/>
    <w:uiPriority w:val="0"/>
    <w:qFormat/>
    <w:pPr>
      <w:ind w:left="420" w:firstLine="200"/>
      <w:spacing w:line="360" w:lineRule="auto"/>
    </w:pPr>
    <w:rPr>
      <w:rFonts w:ascii="Times New Roman" w:hAnsi="Times New Roman"/>
      <w:sz w:val="24"/>
      <w:szCs w:val="24"/>
    </w:rPr>
  </w:style>
  <w:style w:type="paragraph" w:styleId="713" w:customStyle="1">
    <w:name w:val="正文缩进11"/>
    <w:basedOn w:val="641"/>
    <w:next w:val="641"/>
    <w:uiPriority w:val="0"/>
    <w:unhideWhenUsed/>
    <w:qFormat/>
    <w:pPr>
      <w:ind w:firstLine="420"/>
    </w:pPr>
  </w:style>
  <w:style w:type="paragraph" w:styleId="714" w:customStyle="1">
    <w:name w:val="题注1"/>
    <w:basedOn w:val="641"/>
    <w:next w:val="641"/>
    <w:uiPriority w:val="35"/>
    <w:qFormat/>
    <w:pPr>
      <w:spacing w:line="276" w:lineRule="auto"/>
    </w:pPr>
    <w:rPr>
      <w:b/>
      <w:bCs/>
      <w:color w:val="5b9bd5"/>
      <w:sz w:val="18"/>
      <w:szCs w:val="18"/>
    </w:rPr>
  </w:style>
  <w:style w:type="paragraph" w:styleId="715" w:customStyle="1">
    <w:name w:val="批注文字1"/>
    <w:basedOn w:val="641"/>
    <w:uiPriority w:val="0"/>
    <w:qFormat/>
    <w:pPr>
      <w:jc w:val="left"/>
    </w:pPr>
  </w:style>
  <w:style w:type="paragraph" w:styleId="716" w:customStyle="1">
    <w:name w:val="正文文本111"/>
    <w:basedOn w:val="641"/>
    <w:uiPriority w:val="0"/>
    <w:qFormat/>
    <w:rPr>
      <w:rFonts w:ascii="楷体_GB2312" w:hAnsi="Arial" w:eastAsia="楷体_GB2312"/>
      <w:sz w:val="28"/>
      <w:szCs w:val="28"/>
    </w:rPr>
  </w:style>
  <w:style w:type="paragraph" w:styleId="717" w:customStyle="1">
    <w:name w:val="正文文本缩进1"/>
    <w:basedOn w:val="641"/>
    <w:next w:val="718"/>
    <w:uiPriority w:val="99"/>
    <w:qFormat/>
    <w:pPr>
      <w:ind w:left="420"/>
      <w:spacing w:after="120"/>
    </w:pPr>
    <w:rPr>
      <w:sz w:val="20"/>
      <w:szCs w:val="24"/>
    </w:rPr>
  </w:style>
  <w:style w:type="paragraph" w:styleId="718" w:customStyle="1">
    <w:name w:val="寄信人地址1"/>
    <w:basedOn w:val="641"/>
    <w:uiPriority w:val="0"/>
    <w:qFormat/>
    <w:rPr>
      <w:rFonts w:ascii="Arial" w:hAnsi="Arial"/>
    </w:rPr>
  </w:style>
  <w:style w:type="paragraph" w:styleId="719" w:customStyle="1">
    <w:name w:val="列表项目符号 21"/>
    <w:basedOn w:val="641"/>
    <w:uiPriority w:val="0"/>
    <w:qFormat/>
    <w:pPr>
      <w:numPr>
        <w:ilvl w:val="0"/>
        <w:numId w:val="1"/>
      </w:numPr>
    </w:pPr>
  </w:style>
  <w:style w:type="paragraph" w:styleId="720" w:customStyle="1">
    <w:name w:val="目录 51"/>
    <w:basedOn w:val="641"/>
    <w:next w:val="641"/>
    <w:uiPriority w:val="39"/>
    <w:unhideWhenUsed/>
    <w:qFormat/>
    <w:pPr>
      <w:ind w:left="1134" w:right="0" w:firstLine="0"/>
      <w:spacing w:after="57"/>
    </w:pPr>
  </w:style>
  <w:style w:type="paragraph" w:styleId="721" w:customStyle="1">
    <w:name w:val="目录 31"/>
    <w:basedOn w:val="641"/>
    <w:next w:val="641"/>
    <w:uiPriority w:val="39"/>
    <w:unhideWhenUsed/>
    <w:qFormat/>
    <w:pPr>
      <w:ind w:left="567" w:right="0" w:firstLine="0"/>
      <w:spacing w:after="57"/>
    </w:pPr>
  </w:style>
  <w:style w:type="paragraph" w:styleId="722" w:customStyle="1">
    <w:name w:val="纯文本111"/>
    <w:basedOn w:val="641"/>
    <w:next w:val="713"/>
    <w:uiPriority w:val="99"/>
    <w:qFormat/>
    <w:rPr>
      <w:rFonts w:ascii="宋体" w:hAnsi="Courier New"/>
      <w:sz w:val="20"/>
      <w:szCs w:val="21"/>
    </w:rPr>
  </w:style>
  <w:style w:type="paragraph" w:styleId="723" w:customStyle="1">
    <w:name w:val="目录 81"/>
    <w:basedOn w:val="641"/>
    <w:next w:val="641"/>
    <w:uiPriority w:val="39"/>
    <w:unhideWhenUsed/>
    <w:qFormat/>
    <w:pPr>
      <w:ind w:left="1984" w:right="0" w:firstLine="0"/>
      <w:spacing w:after="57"/>
    </w:pPr>
  </w:style>
  <w:style w:type="paragraph" w:styleId="724" w:customStyle="1">
    <w:name w:val="尾注文本1"/>
    <w:basedOn w:val="641"/>
    <w:link w:val="725"/>
    <w:uiPriority w:val="99"/>
    <w:unhideWhenUsed/>
    <w:qFormat/>
    <w:pPr>
      <w:spacing w:after="0" w:line="240" w:lineRule="auto"/>
    </w:pPr>
    <w:rPr>
      <w:rFonts w:ascii="Times New Roman" w:hAnsi="Times New Roman"/>
      <w:sz w:val="20"/>
      <w:szCs w:val="20"/>
    </w:rPr>
  </w:style>
  <w:style w:type="character" w:styleId="725" w:customStyle="1">
    <w:name w:val="尾注文本 Char"/>
    <w:link w:val="724"/>
    <w:uiPriority w:val="99"/>
    <w:qFormat/>
    <w:rPr>
      <w:sz w:val="20"/>
    </w:rPr>
  </w:style>
  <w:style w:type="paragraph" w:styleId="726" w:customStyle="1">
    <w:name w:val="批注框文本1"/>
    <w:basedOn w:val="641"/>
    <w:link w:val="727"/>
    <w:uiPriority w:val="0"/>
    <w:qFormat/>
    <w:rPr>
      <w:sz w:val="18"/>
      <w:szCs w:val="18"/>
    </w:rPr>
  </w:style>
  <w:style w:type="character" w:styleId="727" w:customStyle="1">
    <w:name w:val="批注框文本 Char"/>
    <w:basedOn w:val="703"/>
    <w:link w:val="726"/>
    <w:uiPriority w:val="0"/>
    <w:qFormat/>
    <w:rPr>
      <w:sz w:val="18"/>
      <w:szCs w:val="18"/>
    </w:rPr>
  </w:style>
  <w:style w:type="paragraph" w:styleId="728" w:customStyle="1">
    <w:name w:val="页脚1"/>
    <w:basedOn w:val="641"/>
    <w:uiPriority w:val="99"/>
    <w:unhideWhenUsed/>
    <w:qFormat/>
    <w:pPr>
      <w:jc w:val="left"/>
      <w:tabs>
        <w:tab w:val="center" w:pos="4153" w:leader="none"/>
        <w:tab w:val="right" w:pos="8306" w:leader="none"/>
      </w:tabs>
    </w:pPr>
    <w:rPr>
      <w:sz w:val="18"/>
      <w:szCs w:val="18"/>
    </w:rPr>
  </w:style>
  <w:style w:type="paragraph" w:styleId="729" w:customStyle="1">
    <w:name w:val="页眉1"/>
    <w:basedOn w:val="64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30" w:customStyle="1">
    <w:name w:val="目录 11"/>
    <w:basedOn w:val="641"/>
    <w:next w:val="641"/>
    <w:uiPriority w:val="39"/>
    <w:unhideWhenUsed/>
    <w:qFormat/>
  </w:style>
  <w:style w:type="paragraph" w:styleId="731" w:customStyle="1">
    <w:name w:val="目录 41"/>
    <w:basedOn w:val="641"/>
    <w:next w:val="641"/>
    <w:uiPriority w:val="39"/>
    <w:unhideWhenUsed/>
    <w:qFormat/>
    <w:pPr>
      <w:ind w:left="850" w:right="0" w:firstLine="0"/>
      <w:spacing w:after="57"/>
    </w:pPr>
  </w:style>
  <w:style w:type="paragraph" w:styleId="732" w:customStyle="1">
    <w:name w:val="副标题1"/>
    <w:basedOn w:val="641"/>
    <w:next w:val="641"/>
    <w:link w:val="733"/>
    <w:uiPriority w:val="11"/>
    <w:qFormat/>
    <w:pPr>
      <w:spacing w:before="200" w:after="200"/>
    </w:pPr>
    <w:rPr>
      <w:sz w:val="24"/>
      <w:szCs w:val="24"/>
    </w:rPr>
  </w:style>
  <w:style w:type="character" w:styleId="733" w:customStyle="1">
    <w:name w:val="副标题 Char"/>
    <w:basedOn w:val="703"/>
    <w:link w:val="732"/>
    <w:uiPriority w:val="11"/>
    <w:qFormat/>
    <w:rPr>
      <w:sz w:val="24"/>
      <w:szCs w:val="24"/>
    </w:rPr>
  </w:style>
  <w:style w:type="paragraph" w:styleId="734" w:customStyle="1">
    <w:name w:val="脚注文本11"/>
    <w:basedOn w:val="641"/>
    <w:link w:val="735"/>
    <w:uiPriority w:val="99"/>
    <w:unhideWhenUsed/>
    <w:qFormat/>
    <w:pPr>
      <w:spacing w:after="40" w:line="240" w:lineRule="auto"/>
    </w:pPr>
    <w:rPr>
      <w:rFonts w:ascii="Times New Roman" w:hAnsi="Times New Roman"/>
      <w:sz w:val="18"/>
      <w:szCs w:val="20"/>
    </w:rPr>
  </w:style>
  <w:style w:type="character" w:styleId="735" w:customStyle="1">
    <w:name w:val="脚注文本 Char"/>
    <w:link w:val="734"/>
    <w:uiPriority w:val="99"/>
    <w:qFormat/>
    <w:rPr>
      <w:sz w:val="18"/>
    </w:rPr>
  </w:style>
  <w:style w:type="paragraph" w:styleId="736" w:customStyle="1">
    <w:name w:val="目录 61"/>
    <w:basedOn w:val="641"/>
    <w:next w:val="641"/>
    <w:uiPriority w:val="39"/>
    <w:unhideWhenUsed/>
    <w:qFormat/>
    <w:pPr>
      <w:ind w:left="1417" w:right="0" w:firstLine="0"/>
      <w:spacing w:after="57"/>
    </w:pPr>
  </w:style>
  <w:style w:type="paragraph" w:styleId="737" w:customStyle="1">
    <w:name w:val="图表目录1"/>
    <w:basedOn w:val="641"/>
    <w:next w:val="641"/>
    <w:uiPriority w:val="99"/>
    <w:unhideWhenUsed/>
    <w:qFormat/>
    <w:pPr>
      <w:spacing w:after="0" w:afterAutospacing="0"/>
    </w:pPr>
  </w:style>
  <w:style w:type="paragraph" w:styleId="738" w:customStyle="1">
    <w:name w:val="目录 21"/>
    <w:basedOn w:val="641"/>
    <w:next w:val="641"/>
    <w:uiPriority w:val="39"/>
    <w:qFormat/>
    <w:pPr>
      <w:ind w:left="420"/>
    </w:pPr>
  </w:style>
  <w:style w:type="paragraph" w:styleId="739" w:customStyle="1">
    <w:name w:val="目录 91"/>
    <w:basedOn w:val="641"/>
    <w:next w:val="641"/>
    <w:uiPriority w:val="39"/>
    <w:unhideWhenUsed/>
    <w:qFormat/>
    <w:pPr>
      <w:ind w:left="2268" w:right="0" w:firstLine="0"/>
      <w:spacing w:after="57"/>
    </w:pPr>
  </w:style>
  <w:style w:type="paragraph" w:styleId="740" w:customStyle="1">
    <w:name w:val="普通(网站)111"/>
    <w:basedOn w:val="641"/>
    <w:uiPriority w:val="0"/>
    <w:qFormat/>
    <w:rPr>
      <w:rFonts w:ascii="Times New Roman" w:hAnsi="Times New Roman"/>
      <w:sz w:val="24"/>
    </w:rPr>
  </w:style>
  <w:style w:type="paragraph" w:styleId="741" w:customStyle="1">
    <w:name w:val="标题1"/>
    <w:basedOn w:val="641"/>
    <w:next w:val="641"/>
    <w:link w:val="742"/>
    <w:uiPriority w:val="10"/>
    <w:qFormat/>
    <w:pPr>
      <w:contextualSpacing/>
      <w:spacing w:before="300" w:after="200"/>
    </w:pPr>
    <w:rPr>
      <w:sz w:val="48"/>
      <w:szCs w:val="48"/>
    </w:rPr>
  </w:style>
  <w:style w:type="character" w:styleId="742" w:customStyle="1">
    <w:name w:val="标题 Char"/>
    <w:basedOn w:val="703"/>
    <w:link w:val="741"/>
    <w:uiPriority w:val="10"/>
    <w:qFormat/>
    <w:rPr>
      <w:sz w:val="48"/>
      <w:szCs w:val="48"/>
    </w:rPr>
  </w:style>
  <w:style w:type="paragraph" w:styleId="743" w:customStyle="1">
    <w:name w:val="正文首行缩进 21"/>
    <w:basedOn w:val="717"/>
    <w:uiPriority w:val="0"/>
    <w:qFormat/>
    <w:pPr>
      <w:ind w:firstLine="420"/>
      <w:spacing w:before="100" w:beforeAutospacing="1"/>
    </w:pPr>
    <w:rPr>
      <w:rFonts w:ascii="Times New Roman" w:hAnsi="Times New Roman" w:eastAsia="宋体"/>
      <w:sz w:val="20"/>
      <w:szCs w:val="21"/>
    </w:rPr>
  </w:style>
  <w:style w:type="table" w:styleId="744" w:customStyle="1">
    <w:name w:val="网格型1"/>
    <w:basedOn w:val="704"/>
    <w:uiPriority w:val="59"/>
    <w:qFormat/>
    <w:tblPr/>
  </w:style>
  <w:style w:type="character" w:styleId="745" w:customStyle="1">
    <w:name w:val="要点11"/>
    <w:link w:val="641"/>
    <w:uiPriority w:val="0"/>
    <w:qFormat/>
    <w:rPr>
      <w:b/>
    </w:rPr>
  </w:style>
  <w:style w:type="character" w:styleId="746" w:customStyle="1">
    <w:name w:val="尾注引用1"/>
    <w:basedOn w:val="703"/>
    <w:link w:val="641"/>
    <w:uiPriority w:val="99"/>
    <w:unhideWhenUsed/>
    <w:qFormat/>
    <w:rPr>
      <w:vertAlign w:val="superscript"/>
    </w:rPr>
  </w:style>
  <w:style w:type="character" w:styleId="747" w:customStyle="1">
    <w:name w:val="强调1"/>
    <w:basedOn w:val="703"/>
    <w:link w:val="641"/>
    <w:uiPriority w:val="20"/>
    <w:qFormat/>
    <w:rPr>
      <w:i/>
    </w:rPr>
  </w:style>
  <w:style w:type="character" w:styleId="748" w:customStyle="1">
    <w:name w:val="超链接1"/>
    <w:basedOn w:val="703"/>
    <w:link w:val="641"/>
    <w:uiPriority w:val="0"/>
    <w:qFormat/>
    <w:rPr>
      <w:color w:val="0563c1"/>
      <w:u w:val="single"/>
    </w:rPr>
  </w:style>
  <w:style w:type="character" w:styleId="749" w:customStyle="1">
    <w:name w:val="批注引用1"/>
    <w:basedOn w:val="703"/>
    <w:link w:val="641"/>
    <w:uiPriority w:val="0"/>
    <w:qFormat/>
    <w:rPr>
      <w:sz w:val="21"/>
      <w:szCs w:val="21"/>
    </w:rPr>
  </w:style>
  <w:style w:type="character" w:styleId="750" w:customStyle="1">
    <w:name w:val="脚注引用1"/>
    <w:basedOn w:val="703"/>
    <w:link w:val="641"/>
    <w:uiPriority w:val="99"/>
    <w:unhideWhenUsed/>
    <w:qFormat/>
    <w:rPr>
      <w:vertAlign w:val="superscript"/>
    </w:rPr>
  </w:style>
  <w:style w:type="character" w:styleId="751" w:customStyle="1">
    <w:name w:val="NormalCharacter11"/>
    <w:link w:val="641"/>
    <w:uiPriority w:val="0"/>
    <w:qFormat/>
    <w:rPr>
      <w:rFonts w:ascii="Calibri" w:hAnsi="Calibri"/>
      <w:sz w:val="21"/>
      <w:szCs w:val="22"/>
      <w:lang w:val="en-US" w:eastAsia="zh-CN" w:bidi="ar-SA"/>
    </w:rPr>
  </w:style>
  <w:style w:type="paragraph" w:styleId="752" w:customStyle="1">
    <w:name w:val="正文1"/>
    <w:basedOn w:val="641"/>
    <w:next w:val="753"/>
    <w:uiPriority w:val="0"/>
    <w:qFormat/>
    <w:pPr>
      <w:jc w:val="left"/>
      <w:spacing w:line="360" w:lineRule="atLeast"/>
    </w:pPr>
    <w:rPr>
      <w:rFonts w:ascii="宋体" w:hAnsi="Calibri" w:eastAsia="宋体" w:cs="Times New Roman"/>
      <w:sz w:val="24"/>
      <w:szCs w:val="20"/>
    </w:rPr>
  </w:style>
  <w:style w:type="paragraph" w:styleId="753" w:customStyle="1">
    <w:name w:val="正文文本1"/>
    <w:basedOn w:val="752"/>
    <w:next w:val="754"/>
    <w:uiPriority w:val="0"/>
    <w:qFormat/>
    <w:pPr>
      <w:spacing w:after="120"/>
    </w:pPr>
    <w:rPr>
      <w:lang w:eastAsia="en-US"/>
    </w:rPr>
  </w:style>
  <w:style w:type="paragraph" w:styleId="754" w:customStyle="1">
    <w:name w:val="一级条标题"/>
    <w:basedOn w:val="755"/>
    <w:next w:val="7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5" w:customStyle="1">
    <w:name w:val="章标题"/>
    <w:next w:val="75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56" w:customStyle="1">
    <w:name w:val="段"/>
    <w:basedOn w:val="752"/>
    <w:next w:val="752"/>
    <w:uiPriority w:val="0"/>
    <w:qFormat/>
    <w:pPr>
      <w:ind w:firstLine="200"/>
      <w:widowControl/>
    </w:pPr>
    <w:rPr>
      <w:sz w:val="20"/>
    </w:rPr>
  </w:style>
  <w:style w:type="character" w:styleId="757" w:customStyle="1">
    <w:name w:val="Heading 1 Char"/>
    <w:basedOn w:val="703"/>
    <w:link w:val="641"/>
    <w:uiPriority w:val="9"/>
    <w:qFormat/>
    <w:rPr>
      <w:rFonts w:ascii="Arial" w:hAnsi="Arial" w:eastAsia="Arial" w:cs="Arial"/>
      <w:sz w:val="40"/>
      <w:szCs w:val="40"/>
    </w:rPr>
  </w:style>
  <w:style w:type="character" w:styleId="758" w:customStyle="1">
    <w:name w:val="Heading 2 Char"/>
    <w:basedOn w:val="703"/>
    <w:link w:val="641"/>
    <w:uiPriority w:val="9"/>
    <w:qFormat/>
    <w:rPr>
      <w:rFonts w:ascii="Arial" w:hAnsi="Arial" w:eastAsia="Arial" w:cs="Arial"/>
      <w:sz w:val="34"/>
    </w:rPr>
  </w:style>
  <w:style w:type="character" w:styleId="759" w:customStyle="1">
    <w:name w:val="Heading 3 Char"/>
    <w:basedOn w:val="703"/>
    <w:link w:val="641"/>
    <w:uiPriority w:val="9"/>
    <w:qFormat/>
    <w:rPr>
      <w:rFonts w:ascii="Arial" w:hAnsi="Arial" w:eastAsia="Arial" w:cs="Arial"/>
      <w:sz w:val="30"/>
      <w:szCs w:val="30"/>
    </w:rPr>
  </w:style>
  <w:style w:type="paragraph" w:styleId="760" w:customStyle="1">
    <w:name w:val="无间隔"/>
    <w:uiPriority w:val="1"/>
    <w:qFormat/>
    <w:rPr>
      <w:rFonts w:hint="default" w:ascii="Times New Roman" w:hAnsi="Times New Roman" w:eastAsia="宋体" w:cs="Times New Roman"/>
      <w:lang w:val="en-US" w:eastAsia="zh-CN" w:bidi="ar-SA"/>
    </w:rPr>
  </w:style>
  <w:style w:type="paragraph" w:styleId="761" w:customStyle="1">
    <w:name w:val="引用"/>
    <w:basedOn w:val="641"/>
    <w:next w:val="641"/>
    <w:link w:val="762"/>
    <w:uiPriority w:val="29"/>
    <w:qFormat/>
    <w:pPr>
      <w:ind w:left="720" w:right="720"/>
    </w:pPr>
    <w:rPr>
      <w:rFonts w:ascii="Times New Roman" w:hAnsi="Times New Roman"/>
      <w:i/>
      <w:sz w:val="20"/>
      <w:szCs w:val="20"/>
    </w:rPr>
  </w:style>
  <w:style w:type="character" w:styleId="762" w:customStyle="1">
    <w:name w:val="引用 Char"/>
    <w:link w:val="761"/>
    <w:uiPriority w:val="29"/>
    <w:qFormat/>
    <w:rPr>
      <w:i/>
    </w:rPr>
  </w:style>
  <w:style w:type="paragraph" w:styleId="763" w:customStyle="1">
    <w:name w:val="明显引用"/>
    <w:basedOn w:val="641"/>
    <w:next w:val="641"/>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764" w:customStyle="1">
    <w:name w:val="明显引用 Char"/>
    <w:link w:val="763"/>
    <w:uiPriority w:val="30"/>
    <w:qFormat/>
    <w:rPr>
      <w:i/>
    </w:rPr>
  </w:style>
  <w:style w:type="character" w:styleId="765" w:customStyle="1">
    <w:name w:val="Header Char"/>
    <w:basedOn w:val="703"/>
    <w:link w:val="641"/>
    <w:uiPriority w:val="99"/>
    <w:qFormat/>
  </w:style>
  <w:style w:type="character" w:styleId="766" w:customStyle="1">
    <w:name w:val="Footer Char"/>
    <w:basedOn w:val="703"/>
    <w:link w:val="641"/>
    <w:uiPriority w:val="99"/>
    <w:qFormat/>
  </w:style>
  <w:style w:type="character" w:styleId="767" w:customStyle="1">
    <w:name w:val="Caption Char"/>
    <w:link w:val="641"/>
    <w:uiPriority w:val="99"/>
    <w:qFormat/>
  </w:style>
  <w:style w:type="table" w:styleId="768" w:customStyle="1">
    <w:name w:val="Table Grid Light"/>
    <w:basedOn w:val="704"/>
    <w:uiPriority w:val="59"/>
    <w:qFormat/>
    <w:pPr>
      <w:spacing w:after="0" w:line="240" w:lineRule="auto"/>
    </w:pPr>
    <w:tblPr/>
  </w:style>
  <w:style w:type="table" w:styleId="769" w:customStyle="1">
    <w:name w:val="Plain Table 1"/>
    <w:basedOn w:val="704"/>
    <w:uiPriority w:val="59"/>
    <w:qFormat/>
    <w:pPr>
      <w:spacing w:after="0" w:line="240" w:lineRule="auto"/>
    </w:pPr>
    <w:tblPr/>
  </w:style>
  <w:style w:type="table" w:styleId="770" w:customStyle="1">
    <w:name w:val="Plain Table 2"/>
    <w:basedOn w:val="704"/>
    <w:uiPriority w:val="59"/>
    <w:qFormat/>
    <w:pPr>
      <w:spacing w:after="0" w:line="240" w:lineRule="auto"/>
    </w:pPr>
    <w:tblPr/>
  </w:style>
  <w:style w:type="table" w:styleId="771" w:customStyle="1">
    <w:name w:val="Plain Table 3"/>
    <w:basedOn w:val="704"/>
    <w:uiPriority w:val="99"/>
    <w:qFormat/>
    <w:pPr>
      <w:spacing w:after="0" w:line="240" w:lineRule="auto"/>
    </w:pPr>
    <w:tblPr/>
  </w:style>
  <w:style w:type="table" w:styleId="772" w:customStyle="1">
    <w:name w:val="Plain Table 4"/>
    <w:basedOn w:val="704"/>
    <w:uiPriority w:val="99"/>
    <w:qFormat/>
    <w:pPr>
      <w:spacing w:after="0" w:line="240" w:lineRule="auto"/>
    </w:pPr>
    <w:tblPr/>
  </w:style>
  <w:style w:type="table" w:styleId="773" w:customStyle="1">
    <w:name w:val="Plain Table 5"/>
    <w:basedOn w:val="704"/>
    <w:uiPriority w:val="99"/>
    <w:qFormat/>
    <w:tblPr/>
  </w:style>
  <w:style w:type="table" w:styleId="774" w:customStyle="1">
    <w:name w:val="Grid Table 1 Light"/>
    <w:basedOn w:val="704"/>
    <w:uiPriority w:val="99"/>
    <w:qFormat/>
    <w:pPr>
      <w:spacing w:after="0" w:line="240" w:lineRule="auto"/>
    </w:pPr>
    <w:tblPr/>
  </w:style>
  <w:style w:type="table" w:styleId="775" w:customStyle="1">
    <w:name w:val="Grid Table 1 Light - Accent 1"/>
    <w:basedOn w:val="704"/>
    <w:uiPriority w:val="99"/>
    <w:qFormat/>
    <w:pPr>
      <w:spacing w:after="0" w:line="240" w:lineRule="auto"/>
    </w:pPr>
    <w:tblPr/>
  </w:style>
  <w:style w:type="table" w:styleId="776" w:customStyle="1">
    <w:name w:val="Grid Table 1 Light - Accent 2"/>
    <w:basedOn w:val="704"/>
    <w:uiPriority w:val="99"/>
    <w:qFormat/>
    <w:pPr>
      <w:spacing w:after="0" w:line="240" w:lineRule="auto"/>
    </w:pPr>
    <w:tblPr/>
  </w:style>
  <w:style w:type="table" w:styleId="777" w:customStyle="1">
    <w:name w:val="Grid Table 1 Light - Accent 3"/>
    <w:basedOn w:val="704"/>
    <w:uiPriority w:val="99"/>
    <w:qFormat/>
    <w:pPr>
      <w:spacing w:after="0" w:line="240" w:lineRule="auto"/>
    </w:pPr>
    <w:tblPr/>
  </w:style>
  <w:style w:type="table" w:styleId="778" w:customStyle="1">
    <w:name w:val="Grid Table 1 Light - Accent 4"/>
    <w:basedOn w:val="704"/>
    <w:uiPriority w:val="99"/>
    <w:qFormat/>
    <w:pPr>
      <w:spacing w:after="0" w:line="240" w:lineRule="auto"/>
    </w:pPr>
    <w:tblPr/>
  </w:style>
  <w:style w:type="table" w:styleId="779" w:customStyle="1">
    <w:name w:val="Grid Table 1 Light - Accent 5"/>
    <w:basedOn w:val="704"/>
    <w:uiPriority w:val="99"/>
    <w:qFormat/>
    <w:pPr>
      <w:spacing w:after="0" w:line="240" w:lineRule="auto"/>
    </w:pPr>
    <w:tblPr/>
  </w:style>
  <w:style w:type="table" w:styleId="780" w:customStyle="1">
    <w:name w:val="Grid Table 1 Light - Accent 6"/>
    <w:basedOn w:val="704"/>
    <w:uiPriority w:val="99"/>
    <w:qFormat/>
    <w:pPr>
      <w:spacing w:after="0" w:line="240" w:lineRule="auto"/>
    </w:pPr>
    <w:tblPr/>
  </w:style>
  <w:style w:type="table" w:styleId="781" w:customStyle="1">
    <w:name w:val="Grid Table 2"/>
    <w:basedOn w:val="704"/>
    <w:uiPriority w:val="99"/>
    <w:qFormat/>
    <w:pPr>
      <w:spacing w:after="0" w:line="240" w:lineRule="auto"/>
    </w:pPr>
    <w:tblPr/>
  </w:style>
  <w:style w:type="table" w:styleId="782" w:customStyle="1">
    <w:name w:val="Grid Table 2 - Accent 1"/>
    <w:basedOn w:val="704"/>
    <w:uiPriority w:val="99"/>
    <w:qFormat/>
    <w:pPr>
      <w:spacing w:after="0" w:line="240" w:lineRule="auto"/>
    </w:pPr>
    <w:tblPr/>
  </w:style>
  <w:style w:type="table" w:styleId="783" w:customStyle="1">
    <w:name w:val="Grid Table 2 - Accent 2"/>
    <w:basedOn w:val="704"/>
    <w:uiPriority w:val="99"/>
    <w:qFormat/>
    <w:pPr>
      <w:spacing w:after="0" w:line="240" w:lineRule="auto"/>
    </w:pPr>
    <w:tblPr/>
  </w:style>
  <w:style w:type="table" w:styleId="784" w:customStyle="1">
    <w:name w:val="Grid Table 2 - Accent 3"/>
    <w:basedOn w:val="704"/>
    <w:uiPriority w:val="99"/>
    <w:qFormat/>
    <w:pPr>
      <w:spacing w:after="0" w:line="240" w:lineRule="auto"/>
    </w:pPr>
    <w:tblPr/>
  </w:style>
  <w:style w:type="table" w:styleId="785" w:customStyle="1">
    <w:name w:val="Grid Table 2 - Accent 4"/>
    <w:basedOn w:val="704"/>
    <w:uiPriority w:val="99"/>
    <w:qFormat/>
    <w:pPr>
      <w:spacing w:after="0" w:line="240" w:lineRule="auto"/>
    </w:pPr>
    <w:tblPr/>
  </w:style>
  <w:style w:type="table" w:styleId="786" w:customStyle="1">
    <w:name w:val="Grid Table 2 - Accent 5"/>
    <w:basedOn w:val="704"/>
    <w:uiPriority w:val="99"/>
    <w:qFormat/>
    <w:pPr>
      <w:spacing w:after="0" w:line="240" w:lineRule="auto"/>
    </w:pPr>
    <w:tblPr/>
  </w:style>
  <w:style w:type="table" w:styleId="787" w:customStyle="1">
    <w:name w:val="Grid Table 2 - Accent 6"/>
    <w:basedOn w:val="704"/>
    <w:uiPriority w:val="99"/>
    <w:qFormat/>
    <w:pPr>
      <w:spacing w:after="0" w:line="240" w:lineRule="auto"/>
    </w:pPr>
    <w:tblPr/>
  </w:style>
  <w:style w:type="table" w:styleId="788" w:customStyle="1">
    <w:name w:val="Grid Table 3"/>
    <w:basedOn w:val="704"/>
    <w:uiPriority w:val="99"/>
    <w:qFormat/>
    <w:tblPr/>
  </w:style>
  <w:style w:type="table" w:styleId="789" w:customStyle="1">
    <w:name w:val="Grid Table 3 - Accent 1"/>
    <w:basedOn w:val="704"/>
    <w:uiPriority w:val="99"/>
    <w:qFormat/>
    <w:tblPr/>
  </w:style>
  <w:style w:type="table" w:styleId="790" w:customStyle="1">
    <w:name w:val="Grid Table 3 - Accent 2"/>
    <w:basedOn w:val="704"/>
    <w:uiPriority w:val="99"/>
    <w:qFormat/>
    <w:tblPr/>
  </w:style>
  <w:style w:type="table" w:styleId="791" w:customStyle="1">
    <w:name w:val="Grid Table 3 - Accent 3"/>
    <w:basedOn w:val="704"/>
    <w:uiPriority w:val="99"/>
    <w:qFormat/>
    <w:tblPr/>
  </w:style>
  <w:style w:type="table" w:styleId="792" w:customStyle="1">
    <w:name w:val="Grid Table 3 - Accent 4"/>
    <w:basedOn w:val="704"/>
    <w:uiPriority w:val="99"/>
    <w:qFormat/>
    <w:tblPr/>
  </w:style>
  <w:style w:type="table" w:styleId="793" w:customStyle="1">
    <w:name w:val="Grid Table 3 - Accent 5"/>
    <w:basedOn w:val="704"/>
    <w:uiPriority w:val="99"/>
    <w:qFormat/>
    <w:tblPr/>
  </w:style>
  <w:style w:type="table" w:styleId="794" w:customStyle="1">
    <w:name w:val="Grid Table 3 - Accent 6"/>
    <w:basedOn w:val="704"/>
    <w:uiPriority w:val="99"/>
    <w:qFormat/>
    <w:tblPr/>
  </w:style>
  <w:style w:type="table" w:styleId="795" w:customStyle="1">
    <w:name w:val="Grid Table 4"/>
    <w:basedOn w:val="704"/>
    <w:uiPriority w:val="59"/>
    <w:qFormat/>
    <w:pPr>
      <w:spacing w:after="0" w:line="240" w:lineRule="auto"/>
    </w:pPr>
    <w:tblPr/>
  </w:style>
  <w:style w:type="table" w:styleId="796" w:customStyle="1">
    <w:name w:val="Grid Table 4 - Accent 1"/>
    <w:basedOn w:val="704"/>
    <w:uiPriority w:val="59"/>
    <w:qFormat/>
    <w:pPr>
      <w:spacing w:after="0" w:line="240" w:lineRule="auto"/>
    </w:pPr>
    <w:tblPr/>
  </w:style>
  <w:style w:type="table" w:styleId="797" w:customStyle="1">
    <w:name w:val="Grid Table 4 - Accent 2"/>
    <w:basedOn w:val="704"/>
    <w:uiPriority w:val="59"/>
    <w:qFormat/>
    <w:pPr>
      <w:spacing w:after="0" w:line="240" w:lineRule="auto"/>
    </w:pPr>
    <w:tblPr/>
  </w:style>
  <w:style w:type="table" w:styleId="798" w:customStyle="1">
    <w:name w:val="Grid Table 4 - Accent 3"/>
    <w:basedOn w:val="704"/>
    <w:uiPriority w:val="59"/>
    <w:qFormat/>
    <w:pPr>
      <w:spacing w:after="0" w:line="240" w:lineRule="auto"/>
    </w:pPr>
    <w:tblPr/>
  </w:style>
  <w:style w:type="table" w:styleId="799" w:customStyle="1">
    <w:name w:val="Grid Table 4 - Accent 4"/>
    <w:basedOn w:val="704"/>
    <w:uiPriority w:val="59"/>
    <w:qFormat/>
    <w:pPr>
      <w:spacing w:after="0" w:line="240" w:lineRule="auto"/>
    </w:pPr>
    <w:tblPr/>
  </w:style>
  <w:style w:type="table" w:styleId="800" w:customStyle="1">
    <w:name w:val="Grid Table 4 - Accent 5"/>
    <w:basedOn w:val="704"/>
    <w:uiPriority w:val="59"/>
    <w:qFormat/>
    <w:pPr>
      <w:spacing w:after="0" w:line="240" w:lineRule="auto"/>
    </w:pPr>
    <w:tblPr/>
  </w:style>
  <w:style w:type="table" w:styleId="801" w:customStyle="1">
    <w:name w:val="Grid Table 4 - Accent 6"/>
    <w:basedOn w:val="704"/>
    <w:uiPriority w:val="59"/>
    <w:qFormat/>
    <w:pPr>
      <w:spacing w:after="0" w:line="240" w:lineRule="auto"/>
    </w:pPr>
    <w:tblPr/>
  </w:style>
  <w:style w:type="table" w:styleId="802" w:customStyle="1">
    <w:name w:val="Grid Table 5 Dark"/>
    <w:basedOn w:val="704"/>
    <w:uiPriority w:val="99"/>
    <w:qFormat/>
    <w:pPr>
      <w:spacing w:after="0" w:line="240" w:lineRule="auto"/>
    </w:pPr>
    <w:tblPr/>
  </w:style>
  <w:style w:type="table" w:styleId="803" w:customStyle="1">
    <w:name w:val="Grid Table 5 Dark- Accent 1"/>
    <w:basedOn w:val="704"/>
    <w:uiPriority w:val="99"/>
    <w:qFormat/>
    <w:pPr>
      <w:spacing w:after="0" w:line="240" w:lineRule="auto"/>
    </w:pPr>
    <w:tblPr/>
  </w:style>
  <w:style w:type="table" w:styleId="804" w:customStyle="1">
    <w:name w:val="Grid Table 5 Dark - Accent 2"/>
    <w:basedOn w:val="704"/>
    <w:uiPriority w:val="99"/>
    <w:qFormat/>
    <w:pPr>
      <w:spacing w:after="0" w:line="240" w:lineRule="auto"/>
    </w:pPr>
    <w:tblPr/>
  </w:style>
  <w:style w:type="table" w:styleId="805" w:customStyle="1">
    <w:name w:val="Grid Table 5 Dark - Accent 3"/>
    <w:basedOn w:val="704"/>
    <w:uiPriority w:val="99"/>
    <w:qFormat/>
    <w:pPr>
      <w:spacing w:after="0" w:line="240" w:lineRule="auto"/>
    </w:pPr>
    <w:tblPr/>
  </w:style>
  <w:style w:type="table" w:styleId="806" w:customStyle="1">
    <w:name w:val="Grid Table 5 Dark- Accent 4"/>
    <w:basedOn w:val="704"/>
    <w:uiPriority w:val="99"/>
    <w:qFormat/>
    <w:pPr>
      <w:spacing w:after="0" w:line="240" w:lineRule="auto"/>
    </w:pPr>
    <w:tblPr/>
  </w:style>
  <w:style w:type="table" w:styleId="807" w:customStyle="1">
    <w:name w:val="Grid Table 5 Dark - Accent 5"/>
    <w:basedOn w:val="704"/>
    <w:uiPriority w:val="99"/>
    <w:qFormat/>
    <w:pPr>
      <w:spacing w:after="0" w:line="240" w:lineRule="auto"/>
    </w:pPr>
    <w:tblPr/>
  </w:style>
  <w:style w:type="table" w:styleId="808" w:customStyle="1">
    <w:name w:val="Grid Table 5 Dark - Accent 6"/>
    <w:basedOn w:val="704"/>
    <w:uiPriority w:val="99"/>
    <w:qFormat/>
    <w:pPr>
      <w:spacing w:after="0" w:line="240" w:lineRule="auto"/>
    </w:pPr>
    <w:tblPr/>
  </w:style>
  <w:style w:type="table" w:styleId="809" w:customStyle="1">
    <w:name w:val="Grid Table 6 Colorful"/>
    <w:basedOn w:val="704"/>
    <w:uiPriority w:val="99"/>
    <w:qFormat/>
    <w:pPr>
      <w:spacing w:after="0" w:line="240" w:lineRule="auto"/>
    </w:pPr>
    <w:tblPr/>
  </w:style>
  <w:style w:type="table" w:styleId="810" w:customStyle="1">
    <w:name w:val="Grid Table 6 Colorful - Accent 1"/>
    <w:basedOn w:val="704"/>
    <w:uiPriority w:val="99"/>
    <w:qFormat/>
    <w:pPr>
      <w:spacing w:after="0" w:line="240" w:lineRule="auto"/>
    </w:pPr>
    <w:tblPr/>
  </w:style>
  <w:style w:type="table" w:styleId="811" w:customStyle="1">
    <w:name w:val="Grid Table 6 Colorful - Accent 2"/>
    <w:basedOn w:val="704"/>
    <w:uiPriority w:val="99"/>
    <w:qFormat/>
    <w:pPr>
      <w:spacing w:after="0" w:line="240" w:lineRule="auto"/>
    </w:pPr>
    <w:tblPr/>
  </w:style>
  <w:style w:type="table" w:styleId="812" w:customStyle="1">
    <w:name w:val="Grid Table 6 Colorful - Accent 3"/>
    <w:basedOn w:val="704"/>
    <w:uiPriority w:val="99"/>
    <w:qFormat/>
    <w:pPr>
      <w:spacing w:after="0" w:line="240" w:lineRule="auto"/>
    </w:pPr>
    <w:tblPr/>
  </w:style>
  <w:style w:type="table" w:styleId="813" w:customStyle="1">
    <w:name w:val="Grid Table 6 Colorful - Accent 4"/>
    <w:basedOn w:val="704"/>
    <w:uiPriority w:val="99"/>
    <w:qFormat/>
    <w:pPr>
      <w:spacing w:after="0" w:line="240" w:lineRule="auto"/>
    </w:pPr>
    <w:tblPr/>
  </w:style>
  <w:style w:type="table" w:styleId="814" w:customStyle="1">
    <w:name w:val="Grid Table 6 Colorful - Accent 5"/>
    <w:basedOn w:val="704"/>
    <w:uiPriority w:val="99"/>
    <w:qFormat/>
    <w:pPr>
      <w:spacing w:after="0" w:line="240" w:lineRule="auto"/>
    </w:pPr>
    <w:tblPr/>
  </w:style>
  <w:style w:type="table" w:styleId="815" w:customStyle="1">
    <w:name w:val="Grid Table 6 Colorful - Accent 6"/>
    <w:basedOn w:val="704"/>
    <w:uiPriority w:val="99"/>
    <w:qFormat/>
    <w:pPr>
      <w:spacing w:after="0" w:line="240" w:lineRule="auto"/>
    </w:pPr>
    <w:tblPr/>
  </w:style>
  <w:style w:type="table" w:styleId="816" w:customStyle="1">
    <w:name w:val="Grid Table 7 Colorful"/>
    <w:basedOn w:val="704"/>
    <w:uiPriority w:val="99"/>
    <w:qFormat/>
    <w:tblPr/>
  </w:style>
  <w:style w:type="table" w:styleId="817" w:customStyle="1">
    <w:name w:val="Grid Table 7 Colorful - Accent 1"/>
    <w:basedOn w:val="704"/>
    <w:uiPriority w:val="99"/>
    <w:qFormat/>
    <w:tblPr/>
  </w:style>
  <w:style w:type="table" w:styleId="818" w:customStyle="1">
    <w:name w:val="Grid Table 7 Colorful - Accent 2"/>
    <w:basedOn w:val="704"/>
    <w:uiPriority w:val="99"/>
    <w:qFormat/>
    <w:tblPr/>
  </w:style>
  <w:style w:type="table" w:styleId="819" w:customStyle="1">
    <w:name w:val="Grid Table 7 Colorful - Accent 3"/>
    <w:basedOn w:val="704"/>
    <w:uiPriority w:val="99"/>
    <w:qFormat/>
    <w:tblPr/>
  </w:style>
  <w:style w:type="table" w:styleId="820" w:customStyle="1">
    <w:name w:val="Grid Table 7 Colorful - Accent 4"/>
    <w:basedOn w:val="704"/>
    <w:uiPriority w:val="99"/>
    <w:qFormat/>
    <w:tblPr/>
  </w:style>
  <w:style w:type="table" w:styleId="821" w:customStyle="1">
    <w:name w:val="Grid Table 7 Colorful - Accent 5"/>
    <w:basedOn w:val="704"/>
    <w:uiPriority w:val="99"/>
    <w:qFormat/>
    <w:tblPr/>
  </w:style>
  <w:style w:type="table" w:styleId="822" w:customStyle="1">
    <w:name w:val="Grid Table 7 Colorful - Accent 6"/>
    <w:basedOn w:val="704"/>
    <w:uiPriority w:val="99"/>
    <w:qFormat/>
    <w:tblPr/>
  </w:style>
  <w:style w:type="table" w:styleId="823" w:customStyle="1">
    <w:name w:val="List Table 1 Light"/>
    <w:basedOn w:val="704"/>
    <w:uiPriority w:val="99"/>
    <w:qFormat/>
    <w:pPr>
      <w:spacing w:after="0" w:line="240" w:lineRule="auto"/>
    </w:pPr>
    <w:tblPr/>
  </w:style>
  <w:style w:type="table" w:styleId="824" w:customStyle="1">
    <w:name w:val="List Table 1 Light - Accent 1"/>
    <w:basedOn w:val="704"/>
    <w:uiPriority w:val="99"/>
    <w:qFormat/>
    <w:pPr>
      <w:spacing w:after="0" w:line="240" w:lineRule="auto"/>
    </w:pPr>
    <w:tblPr/>
  </w:style>
  <w:style w:type="table" w:styleId="825" w:customStyle="1">
    <w:name w:val="List Table 1 Light - Accent 2"/>
    <w:basedOn w:val="704"/>
    <w:uiPriority w:val="99"/>
    <w:qFormat/>
    <w:pPr>
      <w:spacing w:after="0" w:line="240" w:lineRule="auto"/>
    </w:pPr>
    <w:tblPr/>
  </w:style>
  <w:style w:type="table" w:styleId="826" w:customStyle="1">
    <w:name w:val="List Table 1 Light - Accent 3"/>
    <w:basedOn w:val="704"/>
    <w:uiPriority w:val="99"/>
    <w:qFormat/>
    <w:pPr>
      <w:spacing w:after="0" w:line="240" w:lineRule="auto"/>
    </w:pPr>
    <w:tblPr/>
  </w:style>
  <w:style w:type="table" w:styleId="827" w:customStyle="1">
    <w:name w:val="List Table 1 Light - Accent 4"/>
    <w:basedOn w:val="704"/>
    <w:uiPriority w:val="99"/>
    <w:qFormat/>
    <w:pPr>
      <w:spacing w:after="0" w:line="240" w:lineRule="auto"/>
    </w:pPr>
    <w:tblPr/>
  </w:style>
  <w:style w:type="table" w:styleId="828" w:customStyle="1">
    <w:name w:val="List Table 1 Light - Accent 5"/>
    <w:basedOn w:val="704"/>
    <w:uiPriority w:val="99"/>
    <w:qFormat/>
    <w:pPr>
      <w:spacing w:after="0" w:line="240" w:lineRule="auto"/>
    </w:pPr>
    <w:tblPr/>
  </w:style>
  <w:style w:type="table" w:styleId="829" w:customStyle="1">
    <w:name w:val="List Table 1 Light - Accent 6"/>
    <w:basedOn w:val="704"/>
    <w:uiPriority w:val="99"/>
    <w:qFormat/>
    <w:pPr>
      <w:spacing w:after="0" w:line="240" w:lineRule="auto"/>
    </w:pPr>
    <w:tblPr/>
  </w:style>
  <w:style w:type="table" w:styleId="830" w:customStyle="1">
    <w:name w:val="List Table 2"/>
    <w:basedOn w:val="704"/>
    <w:uiPriority w:val="99"/>
    <w:qFormat/>
    <w:pPr>
      <w:spacing w:after="0" w:line="240" w:lineRule="auto"/>
    </w:pPr>
    <w:tblPr/>
  </w:style>
  <w:style w:type="table" w:styleId="831" w:customStyle="1">
    <w:name w:val="List Table 2 - Accent 1"/>
    <w:basedOn w:val="704"/>
    <w:uiPriority w:val="99"/>
    <w:qFormat/>
    <w:pPr>
      <w:spacing w:after="0" w:line="240" w:lineRule="auto"/>
    </w:pPr>
    <w:tblPr/>
  </w:style>
  <w:style w:type="table" w:styleId="832" w:customStyle="1">
    <w:name w:val="List Table 2 - Accent 2"/>
    <w:basedOn w:val="704"/>
    <w:uiPriority w:val="99"/>
    <w:qFormat/>
    <w:pPr>
      <w:spacing w:after="0" w:line="240" w:lineRule="auto"/>
    </w:pPr>
    <w:tblPr/>
  </w:style>
  <w:style w:type="table" w:styleId="833" w:customStyle="1">
    <w:name w:val="List Table 2 - Accent 3"/>
    <w:basedOn w:val="704"/>
    <w:uiPriority w:val="99"/>
    <w:qFormat/>
    <w:pPr>
      <w:spacing w:after="0" w:line="240" w:lineRule="auto"/>
    </w:pPr>
    <w:tblPr/>
  </w:style>
  <w:style w:type="table" w:styleId="834" w:customStyle="1">
    <w:name w:val="List Table 2 - Accent 4"/>
    <w:basedOn w:val="704"/>
    <w:uiPriority w:val="99"/>
    <w:qFormat/>
    <w:pPr>
      <w:spacing w:after="0" w:line="240" w:lineRule="auto"/>
    </w:pPr>
    <w:tblPr/>
  </w:style>
  <w:style w:type="table" w:styleId="835" w:customStyle="1">
    <w:name w:val="List Table 2 - Accent 5"/>
    <w:basedOn w:val="704"/>
    <w:uiPriority w:val="99"/>
    <w:qFormat/>
    <w:pPr>
      <w:spacing w:after="0" w:line="240" w:lineRule="auto"/>
    </w:pPr>
    <w:tblPr/>
  </w:style>
  <w:style w:type="table" w:styleId="836" w:customStyle="1">
    <w:name w:val="List Table 2 - Accent 6"/>
    <w:basedOn w:val="704"/>
    <w:uiPriority w:val="99"/>
    <w:qFormat/>
    <w:pPr>
      <w:spacing w:after="0" w:line="240" w:lineRule="auto"/>
    </w:pPr>
    <w:tblPr/>
  </w:style>
  <w:style w:type="table" w:styleId="837" w:customStyle="1">
    <w:name w:val="List Table 3"/>
    <w:basedOn w:val="704"/>
    <w:uiPriority w:val="99"/>
    <w:qFormat/>
    <w:pPr>
      <w:spacing w:after="0" w:line="240" w:lineRule="auto"/>
    </w:pPr>
    <w:tblPr/>
  </w:style>
  <w:style w:type="table" w:styleId="838" w:customStyle="1">
    <w:name w:val="List Table 3 - Accent 1"/>
    <w:basedOn w:val="704"/>
    <w:uiPriority w:val="99"/>
    <w:qFormat/>
    <w:pPr>
      <w:spacing w:after="0" w:line="240" w:lineRule="auto"/>
    </w:pPr>
    <w:tblPr/>
  </w:style>
  <w:style w:type="table" w:styleId="839" w:customStyle="1">
    <w:name w:val="List Table 3 - Accent 2"/>
    <w:basedOn w:val="704"/>
    <w:uiPriority w:val="99"/>
    <w:qFormat/>
    <w:pPr>
      <w:spacing w:after="0" w:line="240" w:lineRule="auto"/>
    </w:pPr>
    <w:tblPr/>
  </w:style>
  <w:style w:type="table" w:styleId="840" w:customStyle="1">
    <w:name w:val="List Table 3 - Accent 3"/>
    <w:basedOn w:val="704"/>
    <w:uiPriority w:val="99"/>
    <w:qFormat/>
    <w:pPr>
      <w:spacing w:after="0" w:line="240" w:lineRule="auto"/>
    </w:pPr>
    <w:tblPr/>
  </w:style>
  <w:style w:type="table" w:styleId="841" w:customStyle="1">
    <w:name w:val="List Table 3 - Accent 4"/>
    <w:basedOn w:val="704"/>
    <w:uiPriority w:val="99"/>
    <w:qFormat/>
    <w:pPr>
      <w:spacing w:after="0" w:line="240" w:lineRule="auto"/>
    </w:pPr>
    <w:tblPr/>
  </w:style>
  <w:style w:type="table" w:styleId="842" w:customStyle="1">
    <w:name w:val="List Table 3 - Accent 5"/>
    <w:basedOn w:val="704"/>
    <w:uiPriority w:val="99"/>
    <w:qFormat/>
    <w:pPr>
      <w:spacing w:after="0" w:line="240" w:lineRule="auto"/>
    </w:pPr>
    <w:tblPr/>
  </w:style>
  <w:style w:type="table" w:styleId="843" w:customStyle="1">
    <w:name w:val="List Table 3 - Accent 6"/>
    <w:basedOn w:val="704"/>
    <w:uiPriority w:val="99"/>
    <w:qFormat/>
    <w:pPr>
      <w:spacing w:after="0" w:line="240" w:lineRule="auto"/>
    </w:pPr>
    <w:tblPr/>
  </w:style>
  <w:style w:type="table" w:styleId="844" w:customStyle="1">
    <w:name w:val="List Table 4"/>
    <w:basedOn w:val="704"/>
    <w:uiPriority w:val="99"/>
    <w:qFormat/>
    <w:pPr>
      <w:spacing w:after="0" w:line="240" w:lineRule="auto"/>
    </w:pPr>
    <w:tblPr/>
  </w:style>
  <w:style w:type="table" w:styleId="845" w:customStyle="1">
    <w:name w:val="List Table 4 - Accent 1"/>
    <w:basedOn w:val="704"/>
    <w:uiPriority w:val="99"/>
    <w:qFormat/>
    <w:pPr>
      <w:spacing w:after="0" w:line="240" w:lineRule="auto"/>
    </w:pPr>
    <w:tblPr/>
  </w:style>
  <w:style w:type="table" w:styleId="846" w:customStyle="1">
    <w:name w:val="List Table 4 - Accent 2"/>
    <w:basedOn w:val="704"/>
    <w:uiPriority w:val="99"/>
    <w:qFormat/>
    <w:pPr>
      <w:spacing w:after="0" w:line="240" w:lineRule="auto"/>
    </w:pPr>
    <w:tblPr/>
  </w:style>
  <w:style w:type="table" w:styleId="847" w:customStyle="1">
    <w:name w:val="List Table 4 - Accent 3"/>
    <w:basedOn w:val="704"/>
    <w:uiPriority w:val="99"/>
    <w:qFormat/>
    <w:pPr>
      <w:spacing w:after="0" w:line="240" w:lineRule="auto"/>
    </w:pPr>
    <w:tblPr/>
  </w:style>
  <w:style w:type="table" w:styleId="848" w:customStyle="1">
    <w:name w:val="List Table 4 - Accent 4"/>
    <w:basedOn w:val="704"/>
    <w:uiPriority w:val="99"/>
    <w:qFormat/>
    <w:pPr>
      <w:spacing w:after="0" w:line="240" w:lineRule="auto"/>
    </w:pPr>
    <w:tblPr/>
  </w:style>
  <w:style w:type="table" w:styleId="849" w:customStyle="1">
    <w:name w:val="List Table 4 - Accent 5"/>
    <w:basedOn w:val="704"/>
    <w:uiPriority w:val="99"/>
    <w:qFormat/>
    <w:pPr>
      <w:spacing w:after="0" w:line="240" w:lineRule="auto"/>
    </w:pPr>
    <w:tblPr/>
  </w:style>
  <w:style w:type="table" w:styleId="850" w:customStyle="1">
    <w:name w:val="List Table 4 - Accent 6"/>
    <w:basedOn w:val="704"/>
    <w:uiPriority w:val="99"/>
    <w:qFormat/>
    <w:pPr>
      <w:spacing w:after="0" w:line="240" w:lineRule="auto"/>
    </w:pPr>
    <w:tblPr/>
  </w:style>
  <w:style w:type="table" w:styleId="851" w:customStyle="1">
    <w:name w:val="List Table 5 Dark"/>
    <w:basedOn w:val="704"/>
    <w:uiPriority w:val="99"/>
    <w:qFormat/>
    <w:pPr>
      <w:spacing w:after="0" w:line="240" w:lineRule="auto"/>
    </w:pPr>
    <w:tblPr/>
  </w:style>
  <w:style w:type="table" w:styleId="852" w:customStyle="1">
    <w:name w:val="List Table 5 Dark - Accent 1"/>
    <w:basedOn w:val="704"/>
    <w:uiPriority w:val="99"/>
    <w:qFormat/>
    <w:pPr>
      <w:spacing w:after="0" w:line="240" w:lineRule="auto"/>
    </w:pPr>
    <w:tblPr/>
  </w:style>
  <w:style w:type="table" w:styleId="853" w:customStyle="1">
    <w:name w:val="List Table 5 Dark - Accent 2"/>
    <w:basedOn w:val="704"/>
    <w:uiPriority w:val="99"/>
    <w:qFormat/>
    <w:pPr>
      <w:spacing w:after="0" w:line="240" w:lineRule="auto"/>
    </w:pPr>
    <w:tblPr/>
  </w:style>
  <w:style w:type="table" w:styleId="854" w:customStyle="1">
    <w:name w:val="List Table 5 Dark - Accent 3"/>
    <w:basedOn w:val="704"/>
    <w:uiPriority w:val="99"/>
    <w:qFormat/>
    <w:pPr>
      <w:spacing w:after="0" w:line="240" w:lineRule="auto"/>
    </w:pPr>
    <w:tblPr/>
  </w:style>
  <w:style w:type="table" w:styleId="855" w:customStyle="1">
    <w:name w:val="List Table 5 Dark - Accent 4"/>
    <w:basedOn w:val="704"/>
    <w:uiPriority w:val="99"/>
    <w:qFormat/>
    <w:pPr>
      <w:spacing w:after="0" w:line="240" w:lineRule="auto"/>
    </w:pPr>
    <w:tblPr/>
  </w:style>
  <w:style w:type="table" w:styleId="856" w:customStyle="1">
    <w:name w:val="List Table 5 Dark - Accent 5"/>
    <w:basedOn w:val="704"/>
    <w:uiPriority w:val="99"/>
    <w:qFormat/>
    <w:pPr>
      <w:spacing w:after="0" w:line="240" w:lineRule="auto"/>
    </w:pPr>
    <w:tblPr/>
  </w:style>
  <w:style w:type="table" w:styleId="857" w:customStyle="1">
    <w:name w:val="List Table 5 Dark - Accent 6"/>
    <w:basedOn w:val="704"/>
    <w:uiPriority w:val="99"/>
    <w:qFormat/>
    <w:pPr>
      <w:spacing w:after="0" w:line="240" w:lineRule="auto"/>
    </w:pPr>
    <w:tblPr/>
  </w:style>
  <w:style w:type="table" w:styleId="858" w:customStyle="1">
    <w:name w:val="List Table 6 Colorful"/>
    <w:basedOn w:val="704"/>
    <w:uiPriority w:val="99"/>
    <w:qFormat/>
    <w:pPr>
      <w:spacing w:after="0" w:line="240" w:lineRule="auto"/>
    </w:pPr>
    <w:tblPr/>
  </w:style>
  <w:style w:type="table" w:styleId="859" w:customStyle="1">
    <w:name w:val="List Table 6 Colorful - Accent 1"/>
    <w:basedOn w:val="704"/>
    <w:uiPriority w:val="99"/>
    <w:qFormat/>
    <w:pPr>
      <w:spacing w:after="0" w:line="240" w:lineRule="auto"/>
    </w:pPr>
    <w:tblPr/>
  </w:style>
  <w:style w:type="table" w:styleId="860" w:customStyle="1">
    <w:name w:val="List Table 6 Colorful - Accent 2"/>
    <w:basedOn w:val="704"/>
    <w:uiPriority w:val="99"/>
    <w:qFormat/>
    <w:pPr>
      <w:spacing w:after="0" w:line="240" w:lineRule="auto"/>
    </w:pPr>
    <w:tblPr/>
  </w:style>
  <w:style w:type="table" w:styleId="861" w:customStyle="1">
    <w:name w:val="List Table 6 Colorful - Accent 3"/>
    <w:basedOn w:val="704"/>
    <w:uiPriority w:val="99"/>
    <w:qFormat/>
    <w:pPr>
      <w:spacing w:after="0" w:line="240" w:lineRule="auto"/>
    </w:pPr>
    <w:tblPr/>
  </w:style>
  <w:style w:type="table" w:styleId="862" w:customStyle="1">
    <w:name w:val="List Table 6 Colorful - Accent 4"/>
    <w:basedOn w:val="704"/>
    <w:uiPriority w:val="99"/>
    <w:qFormat/>
    <w:pPr>
      <w:spacing w:after="0" w:line="240" w:lineRule="auto"/>
    </w:pPr>
    <w:tblPr/>
  </w:style>
  <w:style w:type="table" w:styleId="863" w:customStyle="1">
    <w:name w:val="List Table 6 Colorful - Accent 5"/>
    <w:basedOn w:val="704"/>
    <w:uiPriority w:val="99"/>
    <w:qFormat/>
    <w:pPr>
      <w:spacing w:after="0" w:line="240" w:lineRule="auto"/>
    </w:pPr>
    <w:tblPr/>
  </w:style>
  <w:style w:type="table" w:styleId="864" w:customStyle="1">
    <w:name w:val="List Table 6 Colorful - Accent 6"/>
    <w:basedOn w:val="704"/>
    <w:uiPriority w:val="99"/>
    <w:qFormat/>
    <w:pPr>
      <w:spacing w:after="0" w:line="240" w:lineRule="auto"/>
    </w:pPr>
    <w:tblPr/>
  </w:style>
  <w:style w:type="table" w:styleId="865" w:customStyle="1">
    <w:name w:val="List Table 7 Colorful"/>
    <w:basedOn w:val="704"/>
    <w:uiPriority w:val="99"/>
    <w:qFormat/>
    <w:tblPr/>
  </w:style>
  <w:style w:type="table" w:styleId="866" w:customStyle="1">
    <w:name w:val="List Table 7 Colorful - Accent 1"/>
    <w:basedOn w:val="704"/>
    <w:uiPriority w:val="99"/>
    <w:qFormat/>
    <w:tblPr/>
  </w:style>
  <w:style w:type="table" w:styleId="867" w:customStyle="1">
    <w:name w:val="List Table 7 Colorful - Accent 2"/>
    <w:basedOn w:val="704"/>
    <w:uiPriority w:val="99"/>
    <w:qFormat/>
    <w:tblPr/>
  </w:style>
  <w:style w:type="table" w:styleId="868" w:customStyle="1">
    <w:name w:val="List Table 7 Colorful - Accent 3"/>
    <w:basedOn w:val="704"/>
    <w:uiPriority w:val="99"/>
    <w:qFormat/>
    <w:tblPr/>
  </w:style>
  <w:style w:type="table" w:styleId="869" w:customStyle="1">
    <w:name w:val="List Table 7 Colorful - Accent 4"/>
    <w:basedOn w:val="704"/>
    <w:uiPriority w:val="99"/>
    <w:qFormat/>
    <w:tblPr/>
  </w:style>
  <w:style w:type="table" w:styleId="870" w:customStyle="1">
    <w:name w:val="List Table 7 Colorful - Accent 5"/>
    <w:basedOn w:val="704"/>
    <w:uiPriority w:val="99"/>
    <w:qFormat/>
    <w:tblPr/>
  </w:style>
  <w:style w:type="table" w:styleId="871" w:customStyle="1">
    <w:name w:val="List Table 7 Colorful - Accent 6"/>
    <w:basedOn w:val="704"/>
    <w:uiPriority w:val="99"/>
    <w:qFormat/>
    <w:tblPr/>
  </w:style>
  <w:style w:type="table" w:styleId="872" w:customStyle="1">
    <w:name w:val="Lined - Accent"/>
    <w:basedOn w:val="704"/>
    <w:uiPriority w:val="99"/>
    <w:qFormat/>
    <w:pPr>
      <w:spacing w:after="0" w:line="240" w:lineRule="auto"/>
    </w:pPr>
    <w:rPr>
      <w:color w:val="404040"/>
    </w:rPr>
    <w:tblPr/>
  </w:style>
  <w:style w:type="table" w:styleId="873" w:customStyle="1">
    <w:name w:val="Lined - Accent 1"/>
    <w:basedOn w:val="704"/>
    <w:uiPriority w:val="99"/>
    <w:qFormat/>
    <w:pPr>
      <w:spacing w:after="0" w:line="240" w:lineRule="auto"/>
    </w:pPr>
    <w:rPr>
      <w:color w:val="404040"/>
    </w:rPr>
    <w:tblPr/>
  </w:style>
  <w:style w:type="table" w:styleId="874" w:customStyle="1">
    <w:name w:val="Lined - Accent 2"/>
    <w:basedOn w:val="704"/>
    <w:uiPriority w:val="99"/>
    <w:qFormat/>
    <w:pPr>
      <w:spacing w:after="0" w:line="240" w:lineRule="auto"/>
    </w:pPr>
    <w:rPr>
      <w:color w:val="404040"/>
    </w:rPr>
    <w:tblPr/>
  </w:style>
  <w:style w:type="table" w:styleId="875" w:customStyle="1">
    <w:name w:val="Lined - Accent 3"/>
    <w:basedOn w:val="704"/>
    <w:uiPriority w:val="99"/>
    <w:qFormat/>
    <w:pPr>
      <w:spacing w:after="0" w:line="240" w:lineRule="auto"/>
    </w:pPr>
    <w:rPr>
      <w:color w:val="404040"/>
    </w:rPr>
    <w:tblPr/>
  </w:style>
  <w:style w:type="table" w:styleId="876" w:customStyle="1">
    <w:name w:val="Lined - Accent 4"/>
    <w:basedOn w:val="704"/>
    <w:uiPriority w:val="99"/>
    <w:qFormat/>
    <w:pPr>
      <w:spacing w:after="0" w:line="240" w:lineRule="auto"/>
    </w:pPr>
    <w:rPr>
      <w:color w:val="404040"/>
    </w:rPr>
    <w:tblPr/>
  </w:style>
  <w:style w:type="table" w:styleId="877" w:customStyle="1">
    <w:name w:val="Lined - Accent 5"/>
    <w:basedOn w:val="704"/>
    <w:uiPriority w:val="99"/>
    <w:qFormat/>
    <w:pPr>
      <w:spacing w:after="0" w:line="240" w:lineRule="auto"/>
    </w:pPr>
    <w:rPr>
      <w:color w:val="404040"/>
    </w:rPr>
    <w:tblPr/>
  </w:style>
  <w:style w:type="table" w:styleId="878" w:customStyle="1">
    <w:name w:val="Lined - Accent 6"/>
    <w:basedOn w:val="704"/>
    <w:uiPriority w:val="99"/>
    <w:qFormat/>
    <w:pPr>
      <w:spacing w:after="0" w:line="240" w:lineRule="auto"/>
    </w:pPr>
    <w:rPr>
      <w:color w:val="404040"/>
    </w:rPr>
    <w:tblPr/>
  </w:style>
  <w:style w:type="table" w:styleId="879" w:customStyle="1">
    <w:name w:val="Bordered &amp; Lined - Accent"/>
    <w:basedOn w:val="704"/>
    <w:uiPriority w:val="99"/>
    <w:qFormat/>
    <w:pPr>
      <w:spacing w:after="0" w:line="240" w:lineRule="auto"/>
    </w:pPr>
    <w:rPr>
      <w:color w:val="404040"/>
    </w:rPr>
    <w:tblPr/>
  </w:style>
  <w:style w:type="table" w:styleId="880" w:customStyle="1">
    <w:name w:val="Bordered &amp; Lined - Accent 1"/>
    <w:basedOn w:val="704"/>
    <w:uiPriority w:val="99"/>
    <w:qFormat/>
    <w:pPr>
      <w:spacing w:after="0" w:line="240" w:lineRule="auto"/>
    </w:pPr>
    <w:rPr>
      <w:color w:val="404040"/>
    </w:rPr>
    <w:tblPr/>
  </w:style>
  <w:style w:type="table" w:styleId="881" w:customStyle="1">
    <w:name w:val="Bordered &amp; Lined - Accent 2"/>
    <w:basedOn w:val="704"/>
    <w:uiPriority w:val="99"/>
    <w:qFormat/>
    <w:pPr>
      <w:spacing w:after="0" w:line="240" w:lineRule="auto"/>
    </w:pPr>
    <w:rPr>
      <w:color w:val="404040"/>
    </w:rPr>
    <w:tblPr/>
  </w:style>
  <w:style w:type="table" w:styleId="882" w:customStyle="1">
    <w:name w:val="Bordered &amp; Lined - Accent 3"/>
    <w:basedOn w:val="704"/>
    <w:uiPriority w:val="99"/>
    <w:qFormat/>
    <w:pPr>
      <w:spacing w:after="0" w:line="240" w:lineRule="auto"/>
    </w:pPr>
    <w:rPr>
      <w:color w:val="404040"/>
    </w:rPr>
    <w:tblPr/>
  </w:style>
  <w:style w:type="table" w:styleId="883" w:customStyle="1">
    <w:name w:val="Bordered &amp; Lined - Accent 4"/>
    <w:basedOn w:val="704"/>
    <w:uiPriority w:val="99"/>
    <w:qFormat/>
    <w:pPr>
      <w:spacing w:after="0" w:line="240" w:lineRule="auto"/>
    </w:pPr>
    <w:rPr>
      <w:color w:val="404040"/>
    </w:rPr>
    <w:tblPr/>
  </w:style>
  <w:style w:type="table" w:styleId="884" w:customStyle="1">
    <w:name w:val="Bordered &amp; Lined - Accent 5"/>
    <w:basedOn w:val="704"/>
    <w:uiPriority w:val="99"/>
    <w:qFormat/>
    <w:pPr>
      <w:spacing w:after="0" w:line="240" w:lineRule="auto"/>
    </w:pPr>
    <w:rPr>
      <w:color w:val="404040"/>
    </w:rPr>
    <w:tblPr/>
  </w:style>
  <w:style w:type="table" w:styleId="885" w:customStyle="1">
    <w:name w:val="Bordered &amp; Lined - Accent 6"/>
    <w:basedOn w:val="704"/>
    <w:uiPriority w:val="99"/>
    <w:qFormat/>
    <w:pPr>
      <w:spacing w:after="0" w:line="240" w:lineRule="auto"/>
    </w:pPr>
    <w:rPr>
      <w:color w:val="404040"/>
    </w:rPr>
    <w:tblPr/>
  </w:style>
  <w:style w:type="table" w:styleId="886" w:customStyle="1">
    <w:name w:val="Bordered"/>
    <w:basedOn w:val="704"/>
    <w:uiPriority w:val="99"/>
    <w:qFormat/>
    <w:pPr>
      <w:spacing w:after="0" w:line="240" w:lineRule="auto"/>
    </w:pPr>
    <w:tblPr/>
  </w:style>
  <w:style w:type="table" w:styleId="887" w:customStyle="1">
    <w:name w:val="Bordered - Accent 1"/>
    <w:basedOn w:val="704"/>
    <w:uiPriority w:val="99"/>
    <w:qFormat/>
    <w:pPr>
      <w:spacing w:after="0" w:line="240" w:lineRule="auto"/>
    </w:pPr>
    <w:tblPr/>
  </w:style>
  <w:style w:type="table" w:styleId="888" w:customStyle="1">
    <w:name w:val="Bordered - Accent 2"/>
    <w:basedOn w:val="704"/>
    <w:uiPriority w:val="99"/>
    <w:qFormat/>
    <w:pPr>
      <w:spacing w:after="0" w:line="240" w:lineRule="auto"/>
    </w:pPr>
    <w:tblPr/>
  </w:style>
  <w:style w:type="table" w:styleId="889" w:customStyle="1">
    <w:name w:val="Bordered - Accent 3"/>
    <w:basedOn w:val="704"/>
    <w:uiPriority w:val="99"/>
    <w:qFormat/>
    <w:pPr>
      <w:spacing w:after="0" w:line="240" w:lineRule="auto"/>
    </w:pPr>
    <w:tblPr/>
  </w:style>
  <w:style w:type="table" w:styleId="890" w:customStyle="1">
    <w:name w:val="Bordered - Accent 4"/>
    <w:basedOn w:val="704"/>
    <w:uiPriority w:val="99"/>
    <w:qFormat/>
    <w:pPr>
      <w:spacing w:after="0" w:line="240" w:lineRule="auto"/>
    </w:pPr>
    <w:tblPr/>
  </w:style>
  <w:style w:type="table" w:styleId="891" w:customStyle="1">
    <w:name w:val="Bordered - Accent 5"/>
    <w:basedOn w:val="704"/>
    <w:uiPriority w:val="99"/>
    <w:qFormat/>
    <w:pPr>
      <w:spacing w:after="0" w:line="240" w:lineRule="auto"/>
    </w:pPr>
    <w:tblPr/>
  </w:style>
  <w:style w:type="table" w:styleId="892" w:customStyle="1">
    <w:name w:val="Bordered - Accent 6"/>
    <w:basedOn w:val="704"/>
    <w:uiPriority w:val="99"/>
    <w:qFormat/>
    <w:pPr>
      <w:spacing w:after="0" w:line="240" w:lineRule="auto"/>
    </w:pPr>
    <w:tblPr/>
  </w:style>
  <w:style w:type="paragraph" w:styleId="893" w:customStyle="1">
    <w:name w:val="TOC 标题1"/>
    <w:uiPriority w:val="39"/>
    <w:unhideWhenUsed/>
    <w:qFormat/>
    <w:rPr>
      <w:rFonts w:hint="default" w:ascii="Times New Roman" w:hAnsi="Times New Roman" w:eastAsia="宋体" w:cs="Times New Roman"/>
      <w:lang w:val="en-US" w:eastAsia="zh-CN" w:bidi="ar-SA"/>
    </w:rPr>
  </w:style>
  <w:style w:type="paragraph" w:styleId="894" w:customStyle="1">
    <w:name w:val="普通正文"/>
    <w:basedOn w:val="895"/>
    <w:uiPriority w:val="0"/>
    <w:qFormat/>
    <w:pPr>
      <w:ind w:firstLine="480"/>
      <w:jc w:val="left"/>
      <w:spacing w:before="120" w:after="120" w:line="360" w:lineRule="auto"/>
    </w:pPr>
    <w:rPr>
      <w:rFonts w:ascii="Arial" w:hAnsi="Arial"/>
      <w:sz w:val="24"/>
      <w:szCs w:val="24"/>
    </w:rPr>
  </w:style>
  <w:style w:type="paragraph" w:styleId="895" w:customStyle="1">
    <w:name w:val="正文11"/>
    <w:next w:val="7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6" w:customStyle="1">
    <w:name w:val="Char"/>
    <w:basedOn w:val="641"/>
    <w:uiPriority w:val="0"/>
    <w:qFormat/>
    <w:pPr>
      <w:ind w:firstLine="200"/>
      <w:tabs>
        <w:tab w:val="left" w:pos="360" w:leader="none"/>
      </w:tabs>
    </w:pPr>
    <w:rPr>
      <w:rFonts w:ascii="Times New Roman" w:hAnsi="Times New Roman"/>
      <w:sz w:val="28"/>
      <w:szCs w:val="30"/>
    </w:rPr>
  </w:style>
  <w:style w:type="character" w:styleId="897" w:customStyle="1">
    <w:name w:val="NormalCharacter1"/>
    <w:link w:val="641"/>
    <w:uiPriority w:val="99"/>
    <w:qFormat/>
    <w:rPr>
      <w:rFonts w:ascii="Calibri" w:hAnsi="Calibri" w:eastAsia="宋体" w:cs="Times New Roman"/>
      <w:sz w:val="21"/>
      <w:szCs w:val="22"/>
      <w:lang w:val="en-US" w:eastAsia="zh-CN" w:bidi="ar-SA"/>
    </w:rPr>
  </w:style>
  <w:style w:type="paragraph" w:styleId="898" w:customStyle="1">
    <w:name w:val="p0"/>
    <w:basedOn w:val="641"/>
    <w:uiPriority w:val="0"/>
    <w:qFormat/>
    <w:pPr>
      <w:widowControl/>
    </w:pPr>
    <w:rPr>
      <w:rFonts w:ascii="Times New Roman" w:hAnsi="Times New Roman"/>
      <w:szCs w:val="21"/>
    </w:rPr>
  </w:style>
  <w:style w:type="paragraph" w:styleId="899" w:customStyle="1">
    <w:name w:val="列出段落"/>
    <w:basedOn w:val="641"/>
    <w:uiPriority w:val="34"/>
    <w:qFormat/>
    <w:pPr>
      <w:ind w:firstLine="420"/>
    </w:pPr>
  </w:style>
  <w:style w:type="paragraph" w:styleId="900" w:customStyle="1">
    <w:name w:val="Table Paragraph"/>
    <w:basedOn w:val="641"/>
    <w:uiPriority w:val="1"/>
    <w:qFormat/>
    <w:rPr>
      <w:rFonts w:ascii="Noto Sans CJK JP Regular" w:hAnsi="Noto Sans CJK JP Regular" w:eastAsia="Noto Sans CJK JP Regular" w:cs="Noto Sans CJK JP Regular"/>
      <w:lang w:eastAsia="en-US"/>
    </w:rPr>
  </w:style>
  <w:style w:type="paragraph" w:styleId="901" w:customStyle="1">
    <w:name w:val="纯文本1"/>
    <w:basedOn w:val="902"/>
    <w:uiPriority w:val="0"/>
    <w:qFormat/>
    <w:rPr>
      <w:rFonts w:ascii="宋体" w:hAnsi="Courier New" w:eastAsia="楷体_GB2312"/>
      <w:sz w:val="28"/>
      <w:szCs w:val="20"/>
    </w:rPr>
  </w:style>
  <w:style w:type="paragraph" w:styleId="902" w:customStyle="1">
    <w:name w:val="正文111"/>
    <w:next w:val="9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3" w:customStyle="1">
    <w:name w:val="文本块1"/>
    <w:basedOn w:val="902"/>
    <w:uiPriority w:val="0"/>
    <w:qFormat/>
    <w:pPr>
      <w:ind w:left="567" w:right="454" w:firstLine="498"/>
      <w:jc w:val="left"/>
      <w:widowControl/>
    </w:pPr>
    <w:rPr>
      <w:rFonts w:ascii="仿宋_GB2312" w:eastAsia="仿宋_GB2312"/>
      <w:sz w:val="30"/>
      <w:szCs w:val="20"/>
    </w:rPr>
  </w:style>
  <w:style w:type="character" w:styleId="904" w:customStyle="1">
    <w:name w:val="font21"/>
    <w:basedOn w:val="703"/>
    <w:link w:val="641"/>
    <w:uiPriority w:val="0"/>
    <w:qFormat/>
    <w:rPr>
      <w:rFonts w:hint="eastAsia" w:ascii="宋体" w:hAnsi="宋体" w:eastAsia="宋体" w:cs="宋体"/>
      <w:color w:val="000000"/>
      <w:sz w:val="20"/>
      <w:szCs w:val="20"/>
      <w:u w:val="none"/>
    </w:rPr>
  </w:style>
  <w:style w:type="character" w:styleId="905" w:customStyle="1">
    <w:name w:val="font181"/>
    <w:basedOn w:val="703"/>
    <w:link w:val="641"/>
    <w:uiPriority w:val="0"/>
    <w:qFormat/>
    <w:rPr>
      <w:rFonts w:hint="eastAsia" w:ascii="宋体" w:hAnsi="宋体" w:eastAsia="宋体" w:cs="宋体"/>
      <w:color w:val="ff0000"/>
      <w:sz w:val="20"/>
      <w:szCs w:val="20"/>
      <w:u w:val="none"/>
    </w:rPr>
  </w:style>
  <w:style w:type="character" w:styleId="906" w:customStyle="1">
    <w:name w:val="font141"/>
    <w:basedOn w:val="703"/>
    <w:link w:val="641"/>
    <w:uiPriority w:val="0"/>
    <w:qFormat/>
    <w:rPr>
      <w:rFonts w:hint="eastAsia" w:ascii="宋体" w:hAnsi="宋体" w:eastAsia="宋体" w:cs="宋体"/>
      <w:color w:val="000000"/>
      <w:sz w:val="20"/>
      <w:szCs w:val="20"/>
      <w:u w:val="none"/>
    </w:rPr>
  </w:style>
  <w:style w:type="paragraph" w:styleId="907" w:customStyle="1">
    <w:name w:val="纯文本11"/>
    <w:basedOn w:val="641"/>
    <w:uiPriority w:val="99"/>
    <w:qFormat/>
    <w:rPr>
      <w:rFonts w:ascii="宋体" w:hAnsi="Courier New"/>
      <w:sz w:val="20"/>
      <w:szCs w:val="21"/>
    </w:rPr>
  </w:style>
  <w:style w:type="paragraph" w:styleId="908" w:customStyle="1">
    <w:name w:val="正文文本缩进 21"/>
    <w:basedOn w:val="641"/>
    <w:uiPriority w:val="0"/>
    <w:qFormat/>
    <w:pPr>
      <w:ind w:firstLine="562"/>
      <w:spacing w:line="480" w:lineRule="exact"/>
    </w:pPr>
    <w:rPr>
      <w:rFonts w:ascii="楷体_GB2312" w:eastAsia="楷体_GB2312"/>
      <w:b/>
      <w:bCs/>
      <w:sz w:val="28"/>
      <w:szCs w:val="24"/>
    </w:rPr>
  </w:style>
  <w:style w:type="paragraph" w:styleId="909" w:customStyle="1">
    <w:name w:val="标题 21"/>
    <w:basedOn w:val="641"/>
    <w:next w:val="91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0" w:customStyle="1">
    <w:name w:val="正文缩进1"/>
    <w:basedOn w:val="641"/>
    <w:uiPriority w:val="0"/>
    <w:unhideWhenUsed/>
    <w:qFormat/>
    <w:pPr>
      <w:ind w:firstLine="420"/>
    </w:pPr>
  </w:style>
  <w:style w:type="paragraph" w:styleId="911" w:customStyle="1">
    <w:name w:val="普通(网站)1"/>
    <w:basedOn w:val="641"/>
    <w:uiPriority w:val="0"/>
    <w:qFormat/>
    <w:rPr>
      <w:rFonts w:ascii="Times New Roman" w:hAnsi="Times New Roman"/>
      <w:sz w:val="24"/>
    </w:rPr>
  </w:style>
  <w:style w:type="character" w:styleId="912" w:customStyle="1">
    <w:name w:val="要点1"/>
    <w:link w:val="641"/>
    <w:uiPriority w:val="0"/>
    <w:qFormat/>
    <w:rPr>
      <w:b/>
    </w:rPr>
  </w:style>
  <w:style w:type="paragraph" w:styleId="913" w:customStyle="1">
    <w:name w:val="正文文本11"/>
    <w:basedOn w:val="641"/>
    <w:uiPriority w:val="0"/>
    <w:qFormat/>
    <w:rPr>
      <w:rFonts w:ascii="楷体_GB2312" w:hAnsi="Arial" w:eastAsia="楷体_GB2312"/>
      <w:sz w:val="28"/>
      <w:szCs w:val="28"/>
    </w:rPr>
  </w:style>
  <w:style w:type="paragraph" w:styleId="914"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5" w:customStyle="1">
    <w:name w:val="正文首行缩进11"/>
    <w:basedOn w:val="913"/>
    <w:uiPriority w:val="0"/>
    <w:unhideWhenUsed/>
    <w:qFormat/>
    <w:pPr>
      <w:ind w:firstLine="420"/>
      <w:jc w:val="both"/>
      <w:spacing w:after="120"/>
      <w:widowControl w:val="off"/>
    </w:pPr>
    <w:rPr>
      <w:rFonts w:ascii="Times New Roman" w:hAnsi="Times New Roman" w:eastAsia="宋体" w:cs="Times New Roman"/>
      <w:sz w:val="21"/>
      <w:szCs w:val="21"/>
      <w:lang w:val="en-US" w:eastAsia="zh-CN" w:bidi="ar-SA"/>
    </w:rPr>
  </w:style>
  <w:style w:type="paragraph" w:styleId="916" w:customStyle="1">
    <w:name w:val="标题 41"/>
    <w:basedOn w:val="917"/>
    <w:next w:val="902"/>
    <w:uiPriority w:val="0"/>
    <w:qFormat/>
    <w:pPr>
      <w:keepLines/>
      <w:keepNext/>
      <w:spacing w:before="280" w:after="290" w:line="376" w:lineRule="auto"/>
      <w:outlineLvl w:val="3"/>
    </w:pPr>
    <w:rPr>
      <w:rFonts w:ascii="Arial" w:hAnsi="Arial" w:eastAsia="黑体"/>
      <w:b/>
      <w:bCs/>
      <w:sz w:val="28"/>
      <w:szCs w:val="28"/>
    </w:rPr>
  </w:style>
  <w:style w:type="paragraph" w:styleId="917" w:customStyle="1">
    <w:name w:val="正文12"/>
    <w:next w:val="91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18" w:customStyle="1">
    <w:name w:val="脚注文本1"/>
    <w:basedOn w:val="752"/>
    <w:next w:val="919"/>
    <w:uiPriority w:val="0"/>
    <w:qFormat/>
    <w:rPr>
      <w:rFonts w:ascii="宋体" w:eastAsia="Times New Roman"/>
      <w:sz w:val="18"/>
      <w:szCs w:val="18"/>
    </w:rPr>
  </w:style>
  <w:style w:type="paragraph" w:styleId="919" w:customStyle="1">
    <w:name w:val="索引 51"/>
    <w:basedOn w:val="895"/>
    <w:next w:val="752"/>
    <w:uiPriority w:val="0"/>
    <w:qFormat/>
    <w:pPr>
      <w:ind w:left="798"/>
      <w:jc w:val="left"/>
    </w:pPr>
    <w:rPr>
      <w:rFonts w:ascii="Calibri" w:hAnsi="Calibri"/>
    </w:rPr>
  </w:style>
  <w:style w:type="character" w:styleId="920" w:customStyle="1">
    <w:name w:val="NormalCharacter12"/>
    <w:link w:val="641"/>
    <w:uiPriority w:val="0"/>
    <w:qFormat/>
  </w:style>
  <w:style w:type="paragraph" w:styleId="921" w:customStyle="1">
    <w:name w:val="普通(网站)11"/>
    <w:basedOn w:val="641"/>
    <w:uiPriority w:val="0"/>
    <w:qFormat/>
    <w:rPr>
      <w:sz w:val="24"/>
    </w:rPr>
  </w:style>
  <w:style w:type="paragraph" w:styleId="922" w:customStyle="1">
    <w:name w:val="正文（缩进）"/>
    <w:basedOn w:val="641"/>
    <w:next w:val="923"/>
    <w:uiPriority w:val="0"/>
    <w:qFormat/>
    <w:pPr>
      <w:ind w:firstLine="480"/>
      <w:spacing w:line="360" w:lineRule="auto"/>
    </w:pPr>
    <w:rPr>
      <w:sz w:val="24"/>
      <w:szCs w:val="24"/>
    </w:rPr>
  </w:style>
  <w:style w:type="paragraph" w:styleId="923" w:customStyle="1">
    <w:name w:val="Char Char Char Char Char Char Char Char Char"/>
    <w:basedOn w:val="641"/>
    <w:next w:val="924"/>
    <w:uiPriority w:val="99"/>
    <w:qFormat/>
    <w:pPr>
      <w:ind w:left="360" w:firstLine="5784"/>
    </w:pPr>
  </w:style>
  <w:style w:type="paragraph" w:styleId="924" w:customStyle="1">
    <w:name w:val="正文文本 21"/>
    <w:basedOn w:val="641"/>
    <w:next w:val="925"/>
    <w:uiPriority w:val="99"/>
    <w:qFormat/>
    <w:pPr>
      <w:ind w:left="720" w:firstLine="5680"/>
      <w:widowControl/>
    </w:pPr>
  </w:style>
  <w:style w:type="paragraph" w:styleId="925" w:customStyle="1">
    <w:name w:val="默认段落字体 Para Char Char Char Char Char Char Char"/>
    <w:basedOn w:val="641"/>
    <w:next w:val="926"/>
    <w:uiPriority w:val="99"/>
    <w:qFormat/>
    <w:pPr>
      <w:ind w:firstLine="200"/>
    </w:pPr>
    <w:rPr>
      <w:rFonts w:cs="Arial"/>
    </w:rPr>
  </w:style>
  <w:style w:type="paragraph" w:styleId="926" w:customStyle="1">
    <w:name w:val="样式 首行缩进:  2 字符"/>
    <w:basedOn w:val="641"/>
    <w:next w:val="927"/>
    <w:uiPriority w:val="99"/>
    <w:qFormat/>
    <w:pPr>
      <w:ind w:left="480" w:firstLine="5856"/>
      <w:spacing w:line="360" w:lineRule="auto"/>
    </w:pPr>
  </w:style>
  <w:style w:type="paragraph" w:styleId="927" w:customStyle="1">
    <w:name w:val="样式 段后: 0.25 行"/>
    <w:basedOn w:val="641"/>
    <w:next w:val="928"/>
    <w:uiPriority w:val="99"/>
    <w:qFormat/>
    <w:pPr>
      <w:ind w:left="420" w:firstLine="5796"/>
      <w:spacing w:line="300" w:lineRule="auto"/>
      <w:widowControl/>
    </w:pPr>
  </w:style>
  <w:style w:type="paragraph" w:styleId="928" w:customStyle="1">
    <w:name w:val="正文 New New New New New New New New New New New New New New"/>
    <w:next w:val="671"/>
    <w:uiPriority w:val="99"/>
    <w:qFormat/>
    <w:pPr>
      <w:ind w:firstLine="2048"/>
      <w:jc w:val="both"/>
      <w:widowControl w:val="off"/>
    </w:pPr>
    <w:rPr>
      <w:rFonts w:ascii="Calibri" w:hAnsi="Calibri" w:eastAsia="宋体" w:cs="Times New Roman"/>
      <w:lang w:val="en-US" w:eastAsia="zh-CN" w:bidi="ar-SA"/>
    </w:rPr>
  </w:style>
  <w:style w:type="paragraph" w:styleId="929" w:customStyle="1">
    <w:name w:val="1"/>
    <w:basedOn w:val="641"/>
    <w:next w:val="659"/>
    <w:uiPriority w:val="0"/>
    <w:qFormat/>
    <w:rPr>
      <w:rFonts w:ascii="宋体" w:hAnsi="Courier New"/>
      <w:sz w:val="21"/>
    </w:rPr>
  </w:style>
  <w:style w:type="numbering" w:styleId="114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薛梦宇</cp:lastModifiedBy>
  <cp:revision>13</cp:revision>
  <dcterms:created xsi:type="dcterms:W3CDTF">2025-08-14T03:29:00Z</dcterms:created>
  <dcterms:modified xsi:type="dcterms:W3CDTF">2026-10-30T03:34:03Z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eyJoZGlkIjoiNTlhYWE2Y2M0MjE2ZGRlYWJlNDcyNmIwYzRmNTQ2ZjQiLCJ1c2VySWQiOiIyMzM5MTk5NTMifQ==</vt:lpwstr>
  </property>
  <property fmtid="{D5CDD505-2E9C-101B-9397-08002B2CF9AE}" pid="3" name="KSOProductBuildVer">
    <vt:lpwstr>2052-12.1.0.29161</vt:lpwstr>
  </property>
  <property fmtid="{D5CDD505-2E9C-101B-9397-08002B2CF9AE}" pid="4" name="ICV">
    <vt:lpwstr>4D2604FB43DD4D20B6E28F8552225E7A_13</vt:lpwstr>
  </property>
</Properties>
</file>