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tab/>
      </w:r>
      <w:r/>
    </w:p>
    <w:p>
      <w:pPr>
        <w:pStyle w:val="1123"/>
        <w:ind w:firstLine="0"/>
        <w:tabs>
          <w:tab w:val="left" w:pos="7642" w:leader="none"/>
        </w:tabs>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123"/>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rPr>
          <w:rFonts w:hint="eastAsia" w:ascii="方正小标宋_GBK" w:hAnsi="方正小标宋_GBK" w:eastAsia="方正小标宋_GBK" w:cs="方正小标宋_GBK"/>
          <w:bCs/>
          <w:color w:val="000000" w:themeColor="text1"/>
          <w:sz w:val="84"/>
          <w:szCs w:val="21"/>
          <w:highlight w:val="none"/>
          <w14:textFill>
            <w14:solidFill>
              <w14:schemeClr w14:val="tx1"/>
            </w14:solidFill>
          </w14:textFill>
        </w:rPr>
        <w:t xml:space="preserve">竞争性磋商文件</w:t>
      </w:r>
      <w:r/>
    </w:p>
    <w:p>
      <w:pPr>
        <w:pStyle w:val="1123"/>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123"/>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123"/>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1807"/>
        <w:rPr>
          <w:rFonts w:hint="eastAsia" w:ascii="宋体" w:eastAsia="宋体"/>
          <w:b/>
          <w:color w:val="000000" w:themeColor="text1"/>
          <w:sz w:val="36"/>
          <w:highlight w:val="none"/>
          <w:lang w:val="en-US"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 xml:space="preserve">项目编号：JSZC-320902-YDZJ-C2026-000</w:t>
      </w:r>
      <w:r>
        <w:rPr>
          <w:rFonts w:hint="eastAsia" w:ascii="宋体"/>
          <w:b/>
          <w:color w:val="000000" w:themeColor="text1"/>
          <w:sz w:val="36"/>
          <w:highlight w:val="none"/>
          <w:lang w:val="en-US" w:eastAsia="zh-CN"/>
          <w14:textFill>
            <w14:solidFill>
              <w14:schemeClr w14:val="tx1"/>
            </w14:solidFill>
          </w14:textFill>
        </w:rPr>
        <w:t xml:space="preserve">7</w:t>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jc w:val="center"/>
        <w:rPr>
          <w:rFonts w:eastAsia="黑体"/>
          <w:b/>
          <w:color w:val="000000" w:themeColor="text1"/>
          <w:sz w:val="32"/>
          <w:highlight w:val="none"/>
          <w14:textFill>
            <w14:solidFill>
              <w14:schemeClr w14:val="tx1"/>
            </w14:solidFill>
          </w14:textFill>
        </w:rPr>
      </w:pPr>
      <w:r>
        <w:rPr>
          <w:rFonts w:eastAsia="黑体"/>
          <w:b/>
          <w:color w:val="000000" w:themeColor="text1"/>
          <w:sz w:val="32"/>
          <w:highlight w:val="none"/>
          <w14:textFill>
            <w14:solidFill>
              <w14:schemeClr w14:val="tx1"/>
            </w14:solidFill>
          </w14:textFill>
        </w:rPr>
      </w:r>
      <w:r/>
    </w:p>
    <w:p>
      <w:pPr>
        <w:ind w:firstLine="723"/>
        <w:jc w:val="left"/>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 xml:space="preserve">项</w:t>
      </w:r>
      <w:r>
        <w:rPr>
          <w:rFonts w:hint="eastAsia" w:ascii="宋体" w:hAnsi="宋体" w:cs="宋体"/>
          <w:b/>
          <w:color w:val="000000" w:themeColor="text1"/>
          <w:sz w:val="36"/>
          <w:szCs w:val="36"/>
          <w:highlight w:val="none"/>
          <w14:textFill>
            <w14:solidFill>
              <w14:schemeClr w14:val="tx1"/>
            </w14:solidFill>
          </w14:textFill>
        </w:rPr>
        <w:t xml:space="preserve">目名称：</w:t>
      </w:r>
      <w:r>
        <w:rPr>
          <w:rFonts w:hint="eastAsia" w:ascii="宋体" w:hAnsi="宋体" w:cs="宋体"/>
          <w:b/>
          <w:color w:val="000000" w:themeColor="text1"/>
          <w:sz w:val="36"/>
          <w:szCs w:val="36"/>
          <w:highlight w:val="none"/>
          <w:lang w:eastAsia="zh-CN"/>
          <w14:textFill>
            <w14:solidFill>
              <w14:schemeClr w14:val="tx1"/>
            </w14:solidFill>
          </w14:textFill>
        </w:rPr>
        <w:t xml:space="preserve">便仓镇恒泽源农产品加工项目配套污水压力管道建设工程（</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二次</w:t>
      </w:r>
      <w:r>
        <w:rPr>
          <w:rFonts w:hint="eastAsia" w:ascii="宋体" w:hAnsi="宋体" w:cs="宋体"/>
          <w:b/>
          <w:color w:val="000000" w:themeColor="text1"/>
          <w:sz w:val="36"/>
          <w:szCs w:val="36"/>
          <w:highlight w:val="none"/>
          <w:lang w:eastAsia="zh-CN"/>
          <w14:textFill>
            <w14:solidFill>
              <w14:schemeClr w14:val="tx1"/>
            </w14:solidFill>
          </w14:textFill>
        </w:rPr>
        <w:t xml:space="preserve">）</w:t>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ascii="宋体"/>
          <w:b/>
          <w:color w:val="000000" w:themeColor="text1"/>
          <w:sz w:val="32"/>
          <w:highlight w:val="none"/>
          <w14:textFill>
            <w14:solidFill>
              <w14:schemeClr w14:val="tx1"/>
            </w14:solidFill>
          </w14:textFill>
        </w:rPr>
      </w:pPr>
      <w:r>
        <w:rPr>
          <w:rFonts w:ascii="宋体"/>
          <w:b/>
          <w:color w:val="000000" w:themeColor="text1"/>
          <w:sz w:val="32"/>
          <w:highlight w:val="none"/>
          <w14:textFill>
            <w14:solidFill>
              <w14:schemeClr w14:val="tx1"/>
            </w14:solidFill>
          </w14:textFill>
        </w:rPr>
      </w:r>
      <w:r/>
    </w:p>
    <w:p>
      <w:pPr>
        <w:jc w:val="center"/>
        <w:rPr>
          <w:rFonts w:hint="eastAsia" w:ascii="宋体" w:eastAsia="宋体"/>
          <w:bCs/>
          <w:color w:val="000000" w:themeColor="text1"/>
          <w:sz w:val="36"/>
          <w:szCs w:val="36"/>
          <w:highlight w:val="none"/>
          <w:lang w:eastAsia="zh-CN"/>
          <w14:textFill>
            <w14:solidFill>
              <w14:schemeClr w14:val="tx1"/>
            </w14:solidFill>
          </w14:textFill>
        </w:rPr>
      </w:pPr>
      <w:r>
        <w:rPr>
          <w:rFonts w:hint="eastAsia" w:ascii="黑体" w:hAnsi="黑体" w:eastAsia="黑体" w:cs="黑体"/>
          <w:bCs/>
          <w:color w:val="000000" w:themeColor="text1"/>
          <w:spacing w:val="15"/>
          <w:sz w:val="36"/>
          <w:szCs w:val="36"/>
          <w:highlight w:val="none"/>
          <w:lang w:eastAsia="zh-CN"/>
          <w14:textFill>
            <w14:solidFill>
              <w14:schemeClr w14:val="tx1"/>
            </w14:solidFill>
          </w14:textFill>
        </w:rPr>
        <w:t xml:space="preserve">盐城市亭湖区便仓镇人民政府</w:t>
      </w:r>
      <w:r/>
    </w:p>
    <w:p>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202</w:t>
      </w:r>
      <w:r>
        <w:rPr>
          <w:rFonts w:hint="eastAsia" w:ascii="黑体" w:eastAsia="黑体"/>
          <w:color w:val="000000" w:themeColor="text1"/>
          <w:sz w:val="36"/>
          <w:szCs w:val="36"/>
          <w:highlight w:val="none"/>
          <w:lang w:val="en-US" w:eastAsia="zh-CN"/>
          <w14:textFill>
            <w14:solidFill>
              <w14:schemeClr w14:val="tx1"/>
            </w14:solidFill>
          </w14:textFill>
        </w:rPr>
        <w:t xml:space="preserve">6</w:t>
      </w:r>
      <w:r>
        <w:rPr>
          <w:rFonts w:ascii="黑体" w:eastAsia="黑体"/>
          <w:color w:val="000000" w:themeColor="text1"/>
          <w:sz w:val="36"/>
          <w:szCs w:val="36"/>
          <w:highlight w:val="none"/>
          <w14:textFill>
            <w14:solidFill>
              <w14:schemeClr w14:val="tx1"/>
            </w14:solidFill>
          </w14:textFill>
        </w:rPr>
        <w:t xml:space="preserve">年</w:t>
      </w:r>
      <w:r>
        <w:rPr>
          <w:rFonts w:hint="eastAsia" w:ascii="黑体" w:eastAsia="黑体"/>
          <w:color w:val="000000" w:themeColor="text1"/>
          <w:sz w:val="36"/>
          <w:szCs w:val="36"/>
          <w:highlight w:val="none"/>
          <w:lang w:val="en-US" w:eastAsia="zh-CN"/>
          <w14:textFill>
            <w14:solidFill>
              <w14:schemeClr w14:val="tx1"/>
            </w14:solidFill>
          </w14:textFill>
        </w:rPr>
        <w:t xml:space="preserve">11</w:t>
      </w:r>
      <w:r>
        <w:rPr>
          <w:rFonts w:ascii="黑体" w:eastAsia="黑体"/>
          <w:color w:val="000000" w:themeColor="text1"/>
          <w:sz w:val="36"/>
          <w:szCs w:val="36"/>
          <w:highlight w:val="none"/>
          <w14:textFill>
            <w14:solidFill>
              <w14:schemeClr w14:val="tx1"/>
            </w14:solidFill>
          </w14:textFill>
        </w:rPr>
        <w:t xml:space="preserve">月</w:t>
      </w:r>
      <w:r/>
    </w:p>
    <w:p>
      <w:pPr>
        <w:pStyle w:val="1123"/>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ind w:firstLine="3313"/>
        <w:rPr>
          <w:rFonts w:ascii="黑体" w:hAnsi="Arial" w:eastAsia="黑体"/>
          <w:b/>
          <w:color w:val="000000" w:themeColor="text1"/>
          <w:sz w:val="44"/>
          <w:szCs w:val="21"/>
          <w:highlight w:val="none"/>
          <w14:textFill>
            <w14:solidFill>
              <w14:schemeClr w14:val="tx1"/>
            </w14:solidFill>
          </w14:textFill>
        </w:rPr>
        <w:sectPr>
          <w:headerReference w:type="even" r:id="rId9"/>
          <w:headerReference w:type="first" r:id="rId10"/>
          <w:footerReference w:type="even" r:id="rId12"/>
          <w:footerReference w:type="first" r:id="rId13"/>
          <w:footnotePr/>
          <w:endnotePr/>
          <w:type w:val="nextPage"/>
          <w:pgSz w:w="11906" w:h="16838" w:orient="portrait"/>
          <w:pgMar w:top="1417" w:right="1417" w:bottom="1417" w:left="1417" w:header="851" w:footer="907" w:gutter="0"/>
          <w:pgNumType w:start="1"/>
          <w:cols w:num="1" w:sep="0" w:space="720" w:equalWidth="1"/>
          <w:docGrid w:linePitch="360"/>
        </w:sectPr>
      </w:pPr>
      <w:r>
        <w:rPr>
          <w:rFonts w:ascii="黑体" w:hAnsi="Arial" w:eastAsia="黑体"/>
          <w:b/>
          <w:color w:val="000000" w:themeColor="text1"/>
          <w:sz w:val="44"/>
          <w:szCs w:val="21"/>
          <w:highlight w:val="none"/>
          <w14:textFill>
            <w14:solidFill>
              <w14:schemeClr w14:val="tx1"/>
            </w14:solidFill>
          </w14:textFill>
        </w:rPr>
      </w:r>
      <w:r/>
    </w:p>
    <w:p>
      <w:pPr>
        <w:jc w:val="center"/>
        <w:rPr>
          <w:rFonts w:hint="eastAsia" w:ascii="宋体" w:hAnsi="宋体"/>
          <w:b/>
          <w:color w:val="000000" w:themeColor="text1"/>
          <w:sz w:val="48"/>
          <w:szCs w:val="48"/>
          <w:highlight w:val="none"/>
          <w14:textFill>
            <w14:solidFill>
              <w14:schemeClr w14:val="tx1"/>
            </w14:solidFill>
          </w14:textFill>
        </w:rPr>
      </w:pPr>
      <w:r>
        <w:rPr>
          <w:rFonts w:hint="eastAsia" w:ascii="黑体" w:hAnsi="Arial" w:eastAsia="黑体"/>
          <w:b/>
          <w:color w:val="000000" w:themeColor="text1"/>
          <w:sz w:val="48"/>
          <w:szCs w:val="22"/>
          <w:highlight w:val="none"/>
          <w14:textFill>
            <w14:solidFill>
              <w14:schemeClr w14:val="tx1"/>
            </w14:solidFill>
          </w14:textFill>
        </w:rPr>
        <w:t xml:space="preserve">总 目 录</w:t>
      </w:r>
      <w:r/>
    </w:p>
    <w:p>
      <w:pPr>
        <w:pStyle w:val="1104"/>
        <w:spacing w:line="360" w:lineRule="auto"/>
        <w:rPr>
          <w:rFonts w:hint="eastAsia" w:ascii="宋体" w:hAnsi="宋体" w:eastAsia="宋体"/>
          <w:b w:val="0"/>
          <w:color w:val="000000" w:themeColor="text1"/>
          <w:sz w:val="24"/>
          <w:szCs w:val="24"/>
          <w:highlight w:val="none"/>
          <w14:textFill>
            <w14:solidFill>
              <w14:schemeClr w14:val="tx1"/>
            </w14:solidFill>
          </w14:textFill>
        </w:rPr>
      </w:pPr>
      <w:r>
        <w:rPr>
          <w:rFonts w:hint="eastAsia" w:ascii="宋体" w:hAnsi="宋体" w:eastAsia="宋体"/>
          <w:b w:val="0"/>
          <w:color w:val="000000" w:themeColor="text1"/>
          <w:sz w:val="24"/>
          <w:szCs w:val="24"/>
          <w:highlight w:val="none"/>
          <w14:textFill>
            <w14:solidFill>
              <w14:schemeClr w14:val="tx1"/>
            </w14:solidFill>
          </w14:textFill>
        </w:rPr>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第一章   竞争性磋商公告                                       </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第二章   供应商须知</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第三章   合同条款及格式</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第四章   项目需求</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第五章   评审方法和评审标准</w:t>
      </w:r>
      <w:r/>
    </w:p>
    <w:p>
      <w:pPr>
        <w:ind w:firstLine="1320"/>
        <w:spacing w:line="800" w:lineRule="exact"/>
        <w:rPr>
          <w:rFonts w:hint="eastAsia" w:ascii="黑体" w:hAnsi="宋体" w:eastAsia="黑体"/>
          <w:color w:val="000000" w:themeColor="text1"/>
          <w:sz w:val="44"/>
          <w:highlight w:val="none"/>
          <w14:textFill>
            <w14:solidFill>
              <w14:schemeClr w14:val="tx1"/>
            </w14:solidFill>
          </w14:textFill>
        </w:rPr>
        <w:outlineLvl w:val="0"/>
      </w:pPr>
      <w:r>
        <w:rPr>
          <w:rFonts w:hint="eastAsia" w:ascii="黑体" w:hAnsi="宋体" w:eastAsia="黑体"/>
          <w:color w:val="000000" w:themeColor="text1"/>
          <w:sz w:val="44"/>
          <w:highlight w:val="none"/>
          <w14:textFill>
            <w14:solidFill>
              <w14:schemeClr w14:val="tx1"/>
            </w14:solidFill>
          </w14:textFill>
        </w:rPr>
        <w:t xml:space="preserve">第六章   竞争性磋商响应文件格式</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1680"/>
        <w:rPr>
          <w:rFonts w:hint="eastAsia" w:ascii="宋体" w:hAnsi="宋体"/>
          <w:color w:val="000000" w:themeColor="text1"/>
          <w:highlight w:val="none"/>
          <w:lang w:val="en-US" w:eastAsia="zh-CN"/>
          <w14:textFill>
            <w14:solidFill>
              <w14:schemeClr w14:val="tx1"/>
            </w14:solidFill>
          </w14:textFill>
        </w:rPr>
        <w:sectPr>
          <w:headerReference w:type="default" r:id="rId11"/>
          <w:footerReference w:type="default" r:id="rId14"/>
          <w:footerReference w:type="first" r:id="rId15"/>
          <w:footnotePr/>
          <w:endnotePr/>
          <w:type w:val="nextPage"/>
          <w:pgSz w:w="11906" w:h="16838" w:orient="portrait"/>
          <w:pgMar w:top="1417" w:right="1417" w:bottom="1417" w:left="1417" w:header="851" w:footer="907" w:gutter="0"/>
          <w:pgNumType w:start="1"/>
          <w:cols w:num="1" w:sep="0" w:space="720" w:equalWidth="1"/>
          <w:docGrid w:linePitch="360"/>
        </w:sectPr>
      </w:pPr>
      <w:r>
        <w:rPr>
          <w:rFonts w:hint="eastAsia" w:ascii="宋体" w:hAnsi="宋体"/>
          <w:color w:val="000000" w:themeColor="text1"/>
          <w:highlight w:val="none"/>
          <w:lang w:val="en-US" w:eastAsia="zh-CN"/>
          <w14:textFill>
            <w14:solidFill>
              <w14:schemeClr w14:val="tx1"/>
            </w14:solidFill>
          </w14:textFill>
        </w:rPr>
      </w:r>
      <w:r/>
    </w:p>
    <w:p>
      <w:pPr>
        <w:jc w:val="center"/>
        <w:rPr>
          <w:rFonts w:ascii="黑体" w:eastAsia="黑体"/>
          <w:b/>
          <w:bCs/>
          <w:color w:val="000000" w:themeColor="text1"/>
          <w:sz w:val="44"/>
          <w:szCs w:val="44"/>
          <w:highlight w:val="none"/>
          <w14:textFill>
            <w14:solidFill>
              <w14:schemeClr w14:val="tx1"/>
            </w14:solidFill>
          </w14:textFill>
        </w:rPr>
      </w:pPr>
      <w:r>
        <w:rPr>
          <w:rFonts w:hint="eastAsia" w:ascii="黑体" w:eastAsia="黑体"/>
          <w:b/>
          <w:bCs/>
          <w:color w:val="000000" w:themeColor="text1"/>
          <w:sz w:val="44"/>
          <w:szCs w:val="44"/>
          <w:highlight w:val="none"/>
          <w14:textFill>
            <w14:solidFill>
              <w14:schemeClr w14:val="tx1"/>
            </w14:solidFill>
          </w14:textFill>
        </w:rPr>
        <w:t xml:space="preserve">第一章 竞争性磋商公告</w:t>
      </w:r>
      <w:r/>
    </w:p>
    <w:p>
      <w:pPr>
        <w:rPr>
          <w:color w:val="000000" w:themeColor="text1"/>
          <w:highlight w:val="none"/>
          <w14:textFill>
            <w14:solidFill>
              <w14:schemeClr w14:val="tx1"/>
            </w14:solidFill>
          </w14:textFill>
        </w:rPr>
      </w:pPr>
      <w:r/>
      <w:bookmarkStart w:id="0" w:name="_Toc14577347"/>
      <w:r/>
      <w:bookmarkStart w:id="1" w:name="_Toc513029209"/>
      <w:r/>
      <w:bookmarkStart w:id="2" w:name="_Toc61149549"/>
      <w:r/>
      <w:r/>
    </w:p>
    <w:p>
      <w:pPr>
        <w:ind w:firstLine="480"/>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highlight w:val="none"/>
          <w14:textFill>
            <w14:solidFill>
              <w14:schemeClr w14:val="tx1"/>
            </w14:solidFill>
          </w14:textFill>
        </w:rPr>
        <w:t xml:space="preserve">项目概况</w:t>
      </w:r>
      <w:r/>
    </w:p>
    <w:p>
      <w:pPr>
        <w:ind w:firstLine="480"/>
        <w:spacing w:line="500" w:lineRule="exact"/>
        <w:rPr>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3" w:name="_Toc28359089"/>
      <w:r/>
      <w:bookmarkStart w:id="4" w:name="_Toc35393629"/>
      <w:r/>
      <w:bookmarkStart w:id="5" w:name="_Toc35393798"/>
      <w:r/>
      <w:bookmarkStart w:id="6" w:name="_Toc28359012"/>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 xml:space="preserve">便仓镇恒泽源农产品加工项目配套污水压力管道建设工程JSZC-320902-YDZJ-C2026-0007</w:t>
      </w:r>
      <w:r>
        <w:rPr>
          <w:rFonts w:hint="eastAsia" w:ascii="宋体" w:hAnsi="宋体" w:eastAsia="宋体" w:cs="宋体"/>
          <w:sz w:val="24"/>
        </w:rPr>
        <w:t xml:space="preserve">采购项目的潜在供应商应在“苏采云”系统内免费下载（投标人必须在苏采云系统中获取采购文件，方能参与政府采购项目）获取采购文件，并于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olor w:val="000000" w:themeColor="text1"/>
          <w:sz w:val="24"/>
          <w:highlight w:val="none"/>
          <w14:textFill>
            <w14:solidFill>
              <w14:schemeClr w14:val="tx1"/>
            </w14:solidFill>
          </w14:textFill>
        </w:rPr>
        <w:t xml:space="preserve">（北京时间）</w:t>
      </w:r>
      <w:r>
        <w:rPr>
          <w:rFonts w:hint="eastAsia" w:ascii="宋体" w:hAnsi="宋体" w:eastAsia="宋体" w:cs="宋体"/>
          <w:sz w:val="24"/>
        </w:rPr>
        <w:t xml:space="preserve">前提交响应文件。</w:t>
      </w:r>
      <w:r/>
    </w:p>
    <w:p>
      <w:pPr>
        <w:pStyle w:val="1078"/>
        <w:ind w:left="0" w:firstLine="482"/>
        <w:jc w:val="both"/>
        <w:pageBreakBefore w:val="0"/>
        <w:spacing w:before="0" w:after="0" w:line="4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3"/>
      <w:r/>
      <w:bookmarkEnd w:id="4"/>
      <w:r/>
      <w:bookmarkEnd w:id="5"/>
      <w:r/>
      <w:bookmarkEnd w:id="6"/>
      <w:r/>
      <w:r/>
    </w:p>
    <w:p>
      <w:pPr>
        <w:ind w:left="0" w:firstLine="480"/>
        <w:pageBreakBefore w:val="0"/>
        <w:spacing w:line="460" w:lineRule="exact"/>
        <w:rPr>
          <w:rFonts w:hint="default" w:ascii="宋体" w:hAnsi="宋体" w:cs="宋体"/>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ab/>
      </w:r>
      <w:r>
        <w:rPr>
          <w:rFonts w:hint="eastAsia" w:ascii="宋体" w:hAnsi="宋体" w:cs="宋体"/>
          <w:color w:val="000000" w:themeColor="text1"/>
          <w:sz w:val="24"/>
          <w:highlight w:val="none"/>
          <w:u w:val="single"/>
          <w:lang w:val="en-US" w:eastAsia="zh-CN"/>
          <w14:textFill>
            <w14:solidFill>
              <w14:schemeClr w14:val="tx1"/>
            </w14:solidFill>
          </w14:textFill>
        </w:rPr>
        <w:t xml:space="preserve">JSZC-320902-YDZJ-C2026-0007 </w:t>
      </w:r>
      <w:r/>
    </w:p>
    <w:p>
      <w:pPr>
        <w:ind w:left="0" w:firstLine="480"/>
        <w:pageBreakBefore w:val="0"/>
        <w:spacing w:line="46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便仓镇恒泽源农产品加工项目配套污水压力管道建设工程（</w:t>
      </w:r>
      <w:r>
        <w:rPr>
          <w:rFonts w:hint="eastAsia" w:ascii="宋体" w:hAnsi="宋体" w:cs="宋体"/>
          <w:color w:val="000000" w:themeColor="text1"/>
          <w:sz w:val="24"/>
          <w:highlight w:val="none"/>
          <w:u w:val="single"/>
          <w:lang w:val="en-US" w:eastAsia="zh-CN"/>
          <w14:textFill>
            <w14:solidFill>
              <w14:schemeClr w14:val="tx1"/>
            </w14:solidFill>
          </w14:textFill>
        </w:rPr>
        <w:t xml:space="preserve">二次</w:t>
      </w:r>
      <w:r>
        <w:rPr>
          <w:rFonts w:hint="eastAsia" w:ascii="宋体" w:hAnsi="宋体" w:cs="宋体"/>
          <w:color w:val="000000" w:themeColor="text1"/>
          <w:sz w:val="24"/>
          <w:highlight w:val="none"/>
          <w:u w:val="single"/>
          <w:lang w:eastAsia="zh-CN"/>
          <w14:textFill>
            <w14:solidFill>
              <w14:schemeClr w14:val="tx1"/>
            </w14:solidFill>
          </w14:textFill>
        </w:rPr>
        <w:t xml:space="preserve">）</w:t>
      </w:r>
      <w:r/>
    </w:p>
    <w:p>
      <w:pPr>
        <w:ind w:firstLine="480"/>
        <w:spacing w:line="500" w:lineRule="exact"/>
        <w:rPr>
          <w:rFonts w:hint="eastAsia" w:ascii="宋体" w:hAnsi="宋体" w:eastAsia="宋体" w:cs="宋体"/>
          <w:sz w:val="24"/>
        </w:rPr>
      </w:pPr>
      <w:r>
        <w:rPr>
          <w:rFonts w:hint="eastAsia" w:ascii="宋体" w:hAnsi="宋体" w:cs="宋体"/>
          <w:color w:val="000000" w:themeColor="text1"/>
          <w:sz w:val="24"/>
          <w:highlight w:val="none"/>
          <w14:textFill>
            <w14:solidFill>
              <w14:schemeClr w14:val="tx1"/>
            </w14:solidFill>
          </w14:textFill>
        </w:rPr>
        <w:t xml:space="preserve">3.采购方式：</w:t>
      </w:r>
      <w:r>
        <w:rPr>
          <w:rFonts w:hint="eastAsia" w:ascii="宋体" w:hAnsi="宋体" w:eastAsia="宋体" w:cs="宋体"/>
          <w:sz w:val="24"/>
        </w:rPr>
        <w:t xml:space="preserve">□竞争性谈判 ☑竞争性磋商 □询价</w:t>
      </w:r>
      <w:r/>
    </w:p>
    <w:p>
      <w:pPr>
        <w:ind w:left="0" w:firstLine="480"/>
        <w:jc w:val="left"/>
        <w:keepLines w:val="0"/>
        <w:keepNext w:val="0"/>
        <w:pageBreakBefore w:val="0"/>
        <w:spacing w:line="460" w:lineRule="exact"/>
        <w:widowControl/>
        <w:rPr>
          <w:rFonts w:hint="eastAsia"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4.预算金额：123.277645</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万</w:t>
      </w:r>
      <w:r>
        <w:rPr>
          <w:rFonts w:hint="eastAsia" w:ascii="宋体" w:hAnsi="宋体" w:cs="宋体"/>
          <w:sz w:val="24"/>
          <w:highlight w:val="none"/>
        </w:rPr>
        <w:t xml:space="preserve">元</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pageBreakBefore w:val="0"/>
        <w:spacing w:line="460" w:lineRule="exact"/>
        <w:rPr>
          <w:highlight w:val="none"/>
        </w:rPr>
      </w:pPr>
      <w:r>
        <w:rPr>
          <w:rFonts w:hint="eastAsia" w:ascii="宋体" w:hAnsi="宋体" w:cs="宋体"/>
          <w:color w:val="000000" w:themeColor="text1"/>
          <w:sz w:val="24"/>
          <w:highlight w:val="none"/>
          <w14:textFill>
            <w14:solidFill>
              <w14:schemeClr w14:val="tx1"/>
            </w14:solidFill>
          </w14:textFill>
        </w:rPr>
        <w:t xml:space="preserve">5.最高限价：123.277645</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万</w:t>
      </w:r>
      <w:r>
        <w:rPr>
          <w:rFonts w:hint="eastAsia" w:ascii="宋体" w:hAnsi="宋体" w:cs="宋体"/>
          <w:sz w:val="24"/>
          <w:highlight w:val="none"/>
        </w:rPr>
        <w:t xml:space="preserve">元</w:t>
      </w:r>
      <w:r>
        <w:rPr>
          <w:rFonts w:hint="eastAsia" w:ascii="宋体" w:hAnsi="宋体"/>
          <w:sz w:val="24"/>
          <w:highlight w:val="none"/>
        </w:rPr>
        <w:t xml:space="preserve">。</w:t>
      </w:r>
      <w:bookmarkStart w:id="7" w:name="_Toc35393799"/>
      <w:r/>
      <w:bookmarkStart w:id="8" w:name="_Toc28359013"/>
      <w:r/>
      <w:bookmarkStart w:id="9" w:name="_Toc28359090"/>
      <w:r/>
      <w:bookmarkStart w:id="10" w:name="_Toc35393630"/>
      <w:r/>
      <w:r/>
    </w:p>
    <w:p>
      <w:pPr>
        <w:ind w:left="0" w:firstLine="480"/>
        <w:pageBreakBefore w:val="0"/>
        <w:spacing w:line="460" w:lineRule="exact"/>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6.采购</w:t>
      </w:r>
      <w:r>
        <w:rPr>
          <w:rFonts w:hint="eastAsia" w:ascii="宋体" w:hAnsi="宋体" w:cs="宋体"/>
          <w:color w:val="auto"/>
          <w:sz w:val="24"/>
          <w:highlight w:val="none"/>
        </w:rPr>
        <w:t xml:space="preserve">需求：</w:t>
      </w:r>
      <w:r>
        <w:rPr>
          <w:rFonts w:hint="eastAsia" w:ascii="宋体" w:hAnsi="宋体" w:cs="宋体"/>
          <w:color w:val="auto"/>
          <w:sz w:val="24"/>
          <w:highlight w:val="none"/>
          <w:lang w:eastAsia="zh-CN"/>
        </w:rPr>
        <w:t xml:space="preserve">便仓镇恒泽源农产品加工项目配套污水压力管道建设工程</w:t>
      </w:r>
      <w:r>
        <w:rPr>
          <w:rFonts w:hint="eastAsia" w:ascii="宋体" w:hAnsi="宋体" w:cs="宋体"/>
          <w:color w:val="auto"/>
          <w:sz w:val="24"/>
          <w:highlight w:val="none"/>
        </w:rPr>
        <w:t xml:space="preserve">，具体详见</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文件项目需求。</w:t>
      </w:r>
      <w:r/>
    </w:p>
    <w:p>
      <w:pPr>
        <w:ind w:left="0" w:firstLine="48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7.合同履行期限：30日历天</w:t>
      </w:r>
      <w:r>
        <w:rPr>
          <w:rFonts w:hint="eastAsia" w:ascii="宋体" w:hAnsi="宋体" w:cs="宋体"/>
          <w:color w:val="auto"/>
          <w:sz w:val="24"/>
          <w:szCs w:val="24"/>
          <w:highlight w:val="none"/>
          <w:lang w:val="en-US" w:eastAsia="zh-CN" w:bidi="ar-SA"/>
        </w:rPr>
        <w:t xml:space="preserve">。</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eastAsia="宋体" w:cs="宋体"/>
          <w:sz w:val="24"/>
        </w:rPr>
        <w:t xml:space="preserve">本项目不接受联合体投标。</w:t>
      </w:r>
      <w:r/>
    </w:p>
    <w:p>
      <w:pPr>
        <w:ind w:left="0" w:firstLine="482"/>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二、申请人的资格要求</w:t>
      </w:r>
      <w:bookmarkEnd w:id="7"/>
      <w:r/>
      <w:bookmarkEnd w:id="8"/>
      <w:r/>
      <w:bookmarkEnd w:id="9"/>
      <w:r/>
      <w:bookmarkEnd w:id="10"/>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bookmarkStart w:id="11" w:name="_Toc28359091"/>
      <w:r/>
      <w:bookmarkStart w:id="12" w:name="_Toc28359014"/>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1.满足《中华人民共和国政府采购法》第二十二条规定，并提供下列材料：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1.2上一年度的财务状况报表（至少提供资产负债表、利润表、现金流量表，磋商供应商成立不满一年无需提供）；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bookmarkStart w:id="13" w:name="_Toc35393631"/>
      <w:r/>
      <w:bookmarkStart w:id="14" w:name="_Toc35393800"/>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投标人须具有建设行政主管部门核发的</w:t>
      </w:r>
      <w:r>
        <w:rPr>
          <w:rFonts w:hint="eastAsia" w:ascii="宋体" w:hAnsi="宋体" w:cs="宋体"/>
          <w:color w:val="000000" w:themeColor="text1"/>
          <w:sz w:val="24"/>
          <w:highlight w:val="none"/>
          <w:lang w:val="en-US" w:eastAsia="zh-CN"/>
          <w14:textFill>
            <w14:solidFill>
              <w14:schemeClr w14:val="tx1"/>
            </w14:solidFill>
          </w14:textFill>
        </w:rPr>
        <w:t xml:space="preserve">市政</w:t>
      </w:r>
      <w:r>
        <w:rPr>
          <w:rFonts w:hint="eastAsia" w:ascii="宋体" w:hAnsi="宋体" w:cs="宋体"/>
          <w:color w:val="000000" w:themeColor="text1"/>
          <w:sz w:val="24"/>
          <w:highlight w:val="none"/>
          <w14:textFill>
            <w14:solidFill>
              <w14:schemeClr w14:val="tx1"/>
            </w14:solidFill>
          </w14:textFill>
        </w:rPr>
        <w:t xml:space="preserve">工程施工总承包三级及以上资质的独立法人，并具有有效的安全生产许可证。</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项目负责人资格类别和等级</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具有</w:t>
      </w:r>
      <w:r>
        <w:rPr>
          <w:rFonts w:hint="eastAsia" w:ascii="宋体" w:hAnsi="宋体" w:cs="宋体"/>
          <w:color w:val="000000" w:themeColor="text1"/>
          <w:sz w:val="24"/>
          <w:highlight w:val="none"/>
          <w:lang w:val="en-US" w:eastAsia="zh-CN"/>
          <w14:textFill>
            <w14:solidFill>
              <w14:schemeClr w14:val="tx1"/>
            </w14:solidFill>
          </w14:textFill>
        </w:rPr>
        <w:t xml:space="preserve">市政</w:t>
      </w:r>
      <w:r>
        <w:rPr>
          <w:rFonts w:hint="eastAsia" w:ascii="宋体" w:hAnsi="宋体" w:cs="宋体"/>
          <w:color w:val="000000" w:themeColor="text1"/>
          <w:sz w:val="24"/>
          <w:highlight w:val="none"/>
          <w14:textFill>
            <w14:solidFill>
              <w14:schemeClr w14:val="tx1"/>
            </w14:solidFill>
          </w14:textFill>
        </w:rPr>
        <w:t xml:space="preserve">工程专业二级及以上注册建造师资格，同时具有有效的安全生产考核合格证（B类）。</w:t>
      </w:r>
      <w:bookmarkEnd w:id="11"/>
      <w:bookmarkEnd w:id="12"/>
      <w:bookmarkEnd w:id="13"/>
      <w:bookmarkEnd w:id="14"/>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bookmarkStart w:id="15" w:name="_Toc35393801"/>
      <w:r/>
      <w:bookmarkStart w:id="16" w:name="_Toc28359092"/>
      <w:r/>
      <w:bookmarkStart w:id="17" w:name="_Toc35393632"/>
      <w:r/>
      <w:bookmarkStart w:id="18" w:name="_Toc28359015"/>
      <w:r>
        <w:rPr>
          <w:rFonts w:hint="eastAsia" w:ascii="宋体" w:hAnsi="宋体" w:cs="宋体"/>
          <w:color w:val="000000" w:themeColor="text1"/>
          <w:sz w:val="24"/>
          <w:highlight w:val="none"/>
          <w:lang w:val="en-US" w:eastAsia="zh-CN"/>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投标申请人代理人及投标承诺的项目负责人均为本单位的正式职工，投标时提供从2026年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月开始至投标截止之日当月至少1个月在本单位缴纳养老保险缴费记录证明。（退休人员提供在本单位相关证明）。</w:t>
      </w:r>
      <w:r/>
    </w:p>
    <w:p>
      <w:pPr>
        <w:ind w:left="0" w:firstLine="482"/>
        <w:pageBreakBefore w:val="0"/>
        <w:spacing w:line="4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bookmarkEnd w:id="15"/>
      <w:bookmarkEnd w:id="16"/>
      <w:bookmarkEnd w:id="17"/>
      <w:bookmarkEnd w:id="18"/>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bookmarkStart w:id="19" w:name="_Toc35393793"/>
      <w:r/>
      <w:bookmarkStart w:id="20" w:name="_Toc28359082"/>
      <w:r/>
      <w:bookmarkStart w:id="21" w:name="_Toc28359005"/>
      <w:r/>
      <w:bookmarkStart w:id="22" w:name="_Toc35393624"/>
      <w:r/>
      <w:bookmarkStart w:id="23" w:name="_Toc28359084"/>
      <w:r/>
      <w:bookmarkStart w:id="24" w:name="_Toc35393625"/>
      <w:r/>
      <w:bookmarkStart w:id="25" w:name="_Toc35393794"/>
      <w:r/>
      <w:bookmarkStart w:id="26" w:name="_Toc28359007"/>
      <w:r/>
      <w:bookmarkStart w:id="27" w:name="_Toc35393805"/>
      <w:r/>
      <w:bookmarkStart w:id="28" w:name="_Toc28359095"/>
      <w:r/>
      <w:bookmarkStart w:id="29" w:name="_Toc35393636"/>
      <w:r/>
      <w:bookmarkStart w:id="30" w:name="_Toc28359018"/>
      <w:r>
        <w:rPr>
          <w:rFonts w:hint="eastAsia" w:ascii="宋体" w:hAnsi="宋体" w:cs="宋体"/>
          <w:color w:val="000000" w:themeColor="text1"/>
          <w:sz w:val="24"/>
          <w:highlight w:val="none"/>
          <w14:textFill>
            <w14:solidFill>
              <w14:schemeClr w14:val="tx1"/>
            </w14:solidFill>
          </w14:textFill>
        </w:rPr>
        <w:t xml:space="preserve">时间：自招标文件公告发布之日起5个工作日 </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方式：本项目采用网上注册登记方式。  </w:t>
      </w:r>
      <w:r/>
    </w:p>
    <w:p>
      <w:pPr>
        <w:pStyle w:val="1112"/>
        <w:ind w:left="0" w:firstLine="480"/>
        <w:jc w:val="both"/>
        <w:keepLines/>
        <w:keepNext/>
        <w:pageBreakBefore w:val="0"/>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售价：0.00元</w:t>
      </w:r>
      <w:bookmarkEnd w:id="19"/>
      <w:r/>
      <w:bookmarkEnd w:id="20"/>
      <w:r/>
      <w:bookmarkEnd w:id="21"/>
      <w:r/>
      <w:bookmarkEnd w:id="22"/>
      <w:r/>
      <w:r/>
    </w:p>
    <w:p>
      <w:pPr>
        <w:pStyle w:val="1112"/>
        <w:ind w:left="0" w:firstLine="482"/>
        <w:jc w:val="both"/>
        <w:keepLines/>
        <w:keepNext/>
        <w:pageBreakBefore w:val="0"/>
        <w:spacing w:before="0" w:beforeAutospacing="0" w:after="0" w:afterAutospacing="0" w:line="460" w:lineRule="exact"/>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四、响应文件提交</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position w:val="2"/>
          <w:sz w:val="24"/>
        </w:rPr>
        <w:t xml:space="preserve">截止时间：</w:t>
      </w:r>
      <w:r>
        <w:rPr>
          <w:rFonts w:hint="eastAsia" w:ascii="宋体" w:hAnsi="宋体" w:cs="宋体"/>
          <w:color w:val="000000" w:themeColor="text1"/>
          <w:sz w:val="24"/>
          <w:highlight w:val="none"/>
          <w:u w:val="single"/>
          <w14:textFill>
            <w14:solidFill>
              <w14:schemeClr w14:val="tx1"/>
            </w14:solidFill>
          </w14:textFill>
        </w:rPr>
        <w:t xml:space="preserve">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highlight w:val="none"/>
          <w:u w:val="single"/>
          <w14:textFill>
            <w14:solidFill>
              <w14:schemeClr w14:val="tx1"/>
            </w14:solidFill>
          </w14:textFill>
        </w:rPr>
        <w:t xml:space="preserve">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11</w:t>
      </w:r>
      <w:r>
        <w:rPr>
          <w:rFonts w:hint="eastAsia"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点</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0分</w:t>
      </w:r>
      <w:r>
        <w:rPr>
          <w:rFonts w:hint="eastAsia" w:ascii="宋体" w:hAnsi="宋体" w:cs="宋体"/>
          <w:color w:val="000000" w:themeColor="text1"/>
          <w:sz w:val="24"/>
          <w:highlight w:val="none"/>
          <w14:textFill>
            <w14:solidFill>
              <w14:schemeClr w14:val="tx1"/>
            </w14:solidFill>
          </w14:textFill>
        </w:rPr>
        <w:t xml:space="preserve">（北京时间）</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position w:val="2"/>
          <w:sz w:val="24"/>
          <w:lang w:val="en-US" w:eastAsia="zh-CN"/>
        </w:rPr>
        <w:t xml:space="preserve">地点：</w:t>
      </w:r>
      <w:r>
        <w:rPr>
          <w:rFonts w:hint="eastAsia" w:ascii="宋体" w:hAnsi="宋体" w:eastAsia="宋体" w:cs="宋体"/>
          <w:position w:val="2"/>
          <w:sz w:val="24"/>
        </w:rPr>
        <w:t xml:space="preserve">“苏采云”政府采购交易系统网上开标大厅</w:t>
      </w:r>
      <w:bookmarkEnd w:id="23"/>
      <w:bookmarkEnd w:id="24"/>
      <w:bookmarkEnd w:id="25"/>
      <w:bookmarkEnd w:id="26"/>
      <w:r/>
    </w:p>
    <w:p>
      <w:pPr>
        <w:pStyle w:val="1112"/>
        <w:ind w:left="0" w:firstLine="482"/>
        <w:jc w:val="both"/>
        <w:keepLines/>
        <w:keepNext/>
        <w:pageBreakBefore w:val="0"/>
        <w:spacing w:before="0" w:beforeAutospacing="0" w:after="0" w:afterAutospacing="0" w:line="460" w:lineRule="exact"/>
        <w:rPr>
          <w:rFonts w:hint="eastAsia"/>
          <w:b/>
          <w:color w:val="000000" w:themeColor="text1"/>
          <w:highlight w:val="none"/>
          <w14:textFill>
            <w14:solidFill>
              <w14:schemeClr w14:val="tx1"/>
            </w14:solidFill>
          </w14:textFill>
        </w:rPr>
      </w:pPr>
      <w:r/>
      <w:bookmarkStart w:id="31" w:name="_Toc35393626"/>
      <w:r/>
      <w:bookmarkStart w:id="32" w:name="_Toc35393795"/>
      <w:r/>
      <w:bookmarkStart w:id="33" w:name="_Toc38985268"/>
      <w:r>
        <w:rPr>
          <w:rFonts w:hint="eastAsia"/>
          <w:b/>
          <w:color w:val="000000" w:themeColor="text1"/>
          <w:highlight w:val="none"/>
          <w14:textFill>
            <w14:solidFill>
              <w14:schemeClr w14:val="tx1"/>
            </w14:solidFill>
          </w14:textFill>
        </w:rPr>
        <w:t xml:space="preserve">五、开启</w:t>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w:t>
      </w:r>
      <w:r>
        <w:rPr>
          <w:rFonts w:hint="eastAsia" w:ascii="宋体" w:hAnsi="宋体" w:cs="宋体"/>
          <w:color w:val="000000" w:themeColor="text1"/>
          <w:sz w:val="24"/>
          <w:highlight w:val="none"/>
          <w:u w:val="single"/>
          <w14:textFill>
            <w14:solidFill>
              <w14:schemeClr w14:val="tx1"/>
            </w14:solidFill>
          </w14:textFill>
        </w:rPr>
        <w:t xml:space="preserve">202</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highlight w:val="none"/>
          <w:u w:val="single"/>
          <w14:textFill>
            <w14:solidFill>
              <w14:schemeClr w14:val="tx1"/>
            </w14:solidFill>
          </w14:textFill>
        </w:rPr>
        <w:t xml:space="preserve">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11</w:t>
      </w:r>
      <w:r>
        <w:rPr>
          <w:rFonts w:hint="eastAsia"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u w:val="single"/>
          <w:lang w:val="en-US" w:eastAsia="zh-CN"/>
          <w14:textFill>
            <w14:solidFill>
              <w14:schemeClr w14:val="tx1"/>
            </w14:solidFill>
          </w14:textFill>
        </w:rPr>
        <w:t xml:space="preserve">09</w:t>
      </w:r>
      <w:r>
        <w:rPr>
          <w:rFonts w:hint="eastAsia" w:ascii="宋体" w:hAnsi="宋体" w:cs="宋体"/>
          <w:color w:val="000000" w:themeColor="text1"/>
          <w:sz w:val="24"/>
          <w:highlight w:val="none"/>
          <w:u w:val="single"/>
          <w14:textFill>
            <w14:solidFill>
              <w14:schemeClr w14:val="tx1"/>
            </w14:solidFill>
          </w14:textFill>
        </w:rPr>
        <w:t xml:space="preserve">点</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0分</w:t>
      </w:r>
      <w:r>
        <w:rPr>
          <w:rFonts w:hint="eastAsia" w:ascii="宋体" w:hAnsi="宋体" w:cs="宋体"/>
          <w:color w:val="000000" w:themeColor="text1"/>
          <w:sz w:val="24"/>
          <w:highlight w:val="none"/>
          <w14:textFill>
            <w14:solidFill>
              <w14:schemeClr w14:val="tx1"/>
            </w14:solidFill>
          </w14:textFill>
        </w:rPr>
        <w:t xml:space="preserve">（北京时间）。</w:t>
      </w:r>
      <w:bookmarkEnd w:id="31"/>
      <w:r/>
      <w:bookmarkEnd w:id="32"/>
      <w:r/>
      <w:bookmarkEnd w:id="33"/>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rPr>
          <w:rFonts w:hint="eastAsia" w:ascii="宋体" w:hAnsi="宋体" w:eastAsia="宋体" w:cs="宋体"/>
          <w:position w:val="2"/>
          <w:sz w:val="24"/>
        </w:rPr>
        <w:t xml:space="preserve">“苏采云”政府采购交易系统网上开标大厅</w:t>
      </w:r>
      <w:bookmarkStart w:id="151" w:name="_GoBack"/>
      <w:r/>
      <w:bookmarkEnd w:id="151"/>
      <w:r/>
      <w:r/>
    </w:p>
    <w:p>
      <w:pPr>
        <w:pStyle w:val="1112"/>
        <w:ind w:left="0" w:firstLine="482"/>
        <w:jc w:val="both"/>
        <w:keepLines/>
        <w:keepNext/>
        <w:pageBreakBefore w:val="0"/>
        <w:spacing w:before="0" w:beforeAutospacing="0" w:after="0" w:afterAutospacing="0" w:line="460" w:lineRule="exact"/>
        <w:rPr>
          <w:rFonts w:hint="eastAsia"/>
          <w:b/>
          <w:color w:val="000000" w:themeColor="text1"/>
          <w:highlight w:val="none"/>
          <w14:textFill>
            <w14:solidFill>
              <w14:schemeClr w14:val="tx1"/>
            </w14:solidFill>
          </w14:textFill>
        </w:rPr>
      </w:pPr>
      <w:r/>
      <w:bookmarkStart w:id="34" w:name="_Toc28359094"/>
      <w:r>
        <w:rPr>
          <w:rFonts w:hint="eastAsia"/>
          <w:b/>
          <w:color w:val="000000" w:themeColor="text1"/>
          <w:highlight w:val="none"/>
          <w14:textFill>
            <w14:solidFill>
              <w14:schemeClr w14:val="tx1"/>
            </w14:solidFill>
          </w14:textFill>
        </w:rPr>
        <w:t xml:space="preserve">六、公告期限</w:t>
      </w:r>
      <w:bookmarkEnd w:id="34"/>
      <w:r/>
      <w:r/>
    </w:p>
    <w:p>
      <w:pPr>
        <w:ind w:left="0"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pStyle w:val="1112"/>
        <w:ind w:left="0" w:firstLine="482"/>
        <w:pageBreakBefore w:val="0"/>
        <w:spacing w:before="0" w:beforeAutospacing="0" w:after="0" w:afterAutospacing="0" w:line="460" w:lineRule="exact"/>
        <w:rPr>
          <w:rFonts w:hint="eastAsia"/>
          <w:b/>
          <w:color w:val="000000" w:themeColor="text1"/>
          <w:highlight w:val="none"/>
          <w14:textFill>
            <w14:solidFill>
              <w14:schemeClr w14:val="tx1"/>
            </w14:solidFill>
          </w14:textFill>
        </w:rPr>
      </w:pPr>
      <w:r>
        <w:rPr>
          <w:rFonts w:hint="eastAsia" w:cs="宋体"/>
          <w:b/>
          <w:color w:val="000000" w:themeColor="text1"/>
          <w:sz w:val="24"/>
          <w:highlight w:val="none"/>
          <w:lang w:val="en-US" w:eastAsia="zh-CN"/>
          <w14:textFill>
            <w14:solidFill>
              <w14:schemeClr w14:val="tx1"/>
            </w14:solidFill>
          </w14:textFill>
        </w:rPr>
        <w:t xml:space="preserve">七、</w:t>
      </w:r>
      <w:r>
        <w:rPr>
          <w:rFonts w:hint="eastAsia"/>
          <w:b/>
          <w:color w:val="000000" w:themeColor="text1"/>
          <w:highlight w:val="none"/>
          <w14:textFill>
            <w14:solidFill>
              <w14:schemeClr w14:val="tx1"/>
            </w14:solidFill>
          </w14:textFill>
        </w:rPr>
        <w:t xml:space="preserve">其他补充事宜</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2.2潜在投标人访问“苏采云”系统方法：江苏省政府采购网首页-“苏采云”链接。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2.4采购代理机构将数据电文形式的采购文件加载至“苏采云”系统，供潜在供应商下载或者查阅。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2.5请潜在投标单位提前安装相应的控件（详见《“苏采云”系统供应商操作手册》）并使用谷歌浏览器登录“苏采云”系统参与不见面开评标。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3.有关本次磋商的事项若存在变动或修改，敬请及时关注采购人在“中国政府采购网”、“江苏政府采购网”、“盐城市政府采购网”发布的更正公告。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4.供应商不得提供虚假材料谋取中标成交的或采取不正当手段诋毁、排挤其他供应商。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t xml:space="preserve">.</w:t>
      </w:r>
      <w:r>
        <w:rPr>
          <w:rFonts w:hint="eastAsia" w:ascii="宋体" w:hAnsi="宋体" w:eastAsia="宋体" w:cs="宋体"/>
          <w:sz w:val="24"/>
        </w:rPr>
        <w:t xml:space="preserve">供应商存在串通投标、以他人名义投标、弄虚作假等违法违规行为，或者无正当理由放弃投标、中标资格，造成项目招标失败的，不得参加该项目重新招标的投标。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因供应商的系统环境、操作等原因导致项目参与、开评标过程中出现问题由供应商自行承担负责。</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7.本次磋商不收取投标保证金，不收取质量保证金。</w:t>
      </w:r>
      <w:r/>
    </w:p>
    <w:p>
      <w:pPr>
        <w:numPr>
          <w:ilvl w:val="0"/>
          <w:numId w:val="0"/>
        </w:numPr>
        <w:ind w:left="0" w:firstLine="482"/>
        <w:pageBreakBefore w:val="0"/>
        <w:spacing w:line="4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highlight w:val="none"/>
          <w14:textFill>
            <w14:solidFill>
              <w14:schemeClr w14:val="tx1"/>
            </w14:solidFill>
          </w14:textFill>
        </w:rPr>
        <w:t xml:space="preserve">凡对本次采购提出询问，请按以下方式联系。</w:t>
      </w:r>
      <w:bookmarkEnd w:id="27"/>
      <w:r/>
      <w:bookmarkEnd w:id="28"/>
      <w:r/>
      <w:bookmarkEnd w:id="29"/>
      <w:r/>
      <w:bookmarkEnd w:id="30"/>
      <w:r/>
      <w:r/>
    </w:p>
    <w:p>
      <w:pPr>
        <w:ind w:left="0" w:firstLine="482"/>
        <w:jc w:val="left"/>
        <w:keepLines w:val="0"/>
        <w:keepNext w:val="0"/>
        <w:pageBreakBefore w:val="0"/>
        <w:spacing w:line="460" w:lineRule="exact"/>
        <w:widowControl w:val="off"/>
        <w:rPr>
          <w:rFonts w:hint="eastAsia" w:ascii="宋体" w:hAnsi="宋体" w:cs="宋体"/>
          <w:b/>
          <w:bCs/>
          <w:sz w:val="24"/>
          <w:highlight w:val="none"/>
        </w:rPr>
      </w:pPr>
      <w:r>
        <w:rPr>
          <w:rFonts w:hint="eastAsia" w:ascii="宋体" w:hAnsi="宋体" w:cs="宋体"/>
          <w:b/>
          <w:bCs/>
          <w:sz w:val="24"/>
          <w:highlight w:val="none"/>
        </w:rPr>
        <w:t xml:space="preserve">1.采购人信息</w:t>
      </w:r>
      <w:r/>
    </w:p>
    <w:p>
      <w:pPr>
        <w:ind w:left="0" w:firstLine="480"/>
        <w:jc w:val="left"/>
        <w:keepLines w:val="0"/>
        <w:keepNext w:val="0"/>
        <w:pageBreakBefore w:val="0"/>
        <w:spacing w:line="460" w:lineRule="exact"/>
        <w:widowControl w:val="off"/>
        <w:rPr>
          <w:rFonts w:hint="eastAsia" w:ascii="宋体" w:hAnsi="宋体" w:eastAsia="宋体" w:cs="宋体"/>
          <w:sz w:val="24"/>
          <w:highlight w:val="none"/>
          <w:u w:val="none"/>
          <w:lang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eastAsia="zh-CN"/>
        </w:rPr>
        <w:t xml:space="preserve">盐城市亭湖区便仓镇人民政府</w:t>
      </w:r>
      <w:r/>
    </w:p>
    <w:p>
      <w:pPr>
        <w:ind w:left="0" w:firstLine="480"/>
        <w:jc w:val="left"/>
        <w:keepLines w:val="0"/>
        <w:keepNext w:val="0"/>
        <w:pageBreakBefore w:val="0"/>
        <w:spacing w:line="460" w:lineRule="exact"/>
        <w:widowControl w:val="off"/>
        <w:rPr>
          <w:rFonts w:hint="eastAsia" w:ascii="宋体" w:hAnsi="宋体" w:cs="宋体"/>
          <w:sz w:val="24"/>
          <w:highlight w:val="none"/>
          <w:u w:val="none"/>
        </w:rPr>
      </w:pPr>
      <w:r>
        <w:rPr>
          <w:rFonts w:hint="eastAsia" w:ascii="宋体" w:hAnsi="宋体" w:cs="宋体"/>
          <w:sz w:val="24"/>
          <w:highlight w:val="none"/>
          <w:u w:val="none"/>
        </w:rPr>
        <w:t xml:space="preserve">地    址：</w:t>
      </w:r>
      <w:r>
        <w:rPr>
          <w:rFonts w:hint="eastAsia" w:ascii="宋体" w:hAnsi="宋体" w:eastAsia="宋体" w:cs="宋体"/>
          <w:color w:val="auto"/>
          <w:sz w:val="24"/>
          <w:szCs w:val="24"/>
          <w:highlight w:val="none"/>
        </w:rPr>
        <w:t xml:space="preserve">江苏省盐城市亭湖区便仓镇仓中路56号</w:t>
      </w:r>
      <w:r/>
    </w:p>
    <w:p>
      <w:pPr>
        <w:ind w:left="0" w:firstLine="480"/>
        <w:jc w:val="left"/>
        <w:keepLines w:val="0"/>
        <w:keepNext w:val="0"/>
        <w:pageBreakBefore w:val="0"/>
        <w:spacing w:line="460" w:lineRule="exact"/>
        <w:widowControl w:val="off"/>
        <w:rPr>
          <w:rFonts w:hint="eastAsia" w:ascii="宋体" w:hAnsi="宋体" w:eastAsia="宋体" w:cs="宋体"/>
          <w:sz w:val="24"/>
          <w:highlight w:val="none"/>
          <w:u w:val="none"/>
          <w:lang w:val="en-US" w:eastAsia="zh-CN"/>
        </w:rPr>
      </w:pPr>
      <w:r>
        <w:rPr>
          <w:rFonts w:hint="eastAsia" w:ascii="宋体" w:hAnsi="宋体" w:cs="宋体"/>
          <w:sz w:val="24"/>
          <w:highlight w:val="none"/>
          <w:u w:val="none"/>
        </w:rPr>
        <w:t xml:space="preserve">联 系 人：</w:t>
      </w:r>
      <w:r>
        <w:rPr>
          <w:rFonts w:hint="eastAsia" w:ascii="宋体" w:hAnsi="宋体" w:cs="宋体"/>
          <w:sz w:val="24"/>
          <w:highlight w:val="none"/>
          <w:u w:val="none"/>
          <w:lang w:val="en-US" w:eastAsia="zh-CN"/>
        </w:rPr>
        <w:t xml:space="preserve">陈主任</w:t>
      </w:r>
      <w:r/>
    </w:p>
    <w:p>
      <w:pPr>
        <w:ind w:left="0" w:firstLine="480"/>
        <w:jc w:val="left"/>
        <w:keepLines w:val="0"/>
        <w:keepNext w:val="0"/>
        <w:pageBreakBefore w:val="0"/>
        <w:spacing w:line="460" w:lineRule="exact"/>
        <w:widowControl w:val="off"/>
        <w:rPr>
          <w:rFonts w:ascii="宋体" w:hAnsi="宋体" w:cs="宋体"/>
          <w:sz w:val="24"/>
          <w:highlight w:val="none"/>
          <w:u w:val="none"/>
        </w:rPr>
      </w:pPr>
      <w:r>
        <w:rPr>
          <w:rFonts w:hint="eastAsia" w:ascii="宋体" w:hAnsi="宋体" w:cs="宋体"/>
          <w:sz w:val="24"/>
          <w:highlight w:val="none"/>
          <w:u w:val="none"/>
        </w:rPr>
        <w:t xml:space="preserve">联系电话：13851181369　</w:t>
      </w:r>
      <w:r/>
    </w:p>
    <w:p>
      <w:pPr>
        <w:ind w:left="0" w:firstLine="482"/>
        <w:jc w:val="left"/>
        <w:keepLines w:val="0"/>
        <w:keepNext w:val="0"/>
        <w:pageBreakBefore w:val="0"/>
        <w:spacing w:line="460" w:lineRule="exact"/>
        <w:widowControl w:val="off"/>
        <w:rPr>
          <w:rFonts w:ascii="宋体" w:hAnsi="宋体" w:cs="宋体"/>
          <w:b/>
          <w:bCs/>
          <w:sz w:val="24"/>
          <w:highlight w:val="none"/>
        </w:rPr>
      </w:pPr>
      <w:r>
        <w:rPr>
          <w:rFonts w:hint="eastAsia" w:ascii="宋体" w:hAnsi="宋体" w:cs="宋体"/>
          <w:b/>
          <w:bCs/>
          <w:sz w:val="24"/>
          <w:highlight w:val="none"/>
        </w:rPr>
        <w:t xml:space="preserve">2.招标代理机构信息</w:t>
      </w:r>
      <w:r/>
    </w:p>
    <w:p>
      <w:pPr>
        <w:ind w:left="0" w:firstLine="480"/>
        <w:jc w:val="left"/>
        <w:keepLines w:val="0"/>
        <w:keepNext w:val="0"/>
        <w:pageBreakBefore w:val="0"/>
        <w:spacing w:line="460" w:lineRule="exact"/>
        <w:widowControl w:val="off"/>
        <w:rPr>
          <w:rFonts w:hint="eastAsia" w:ascii="宋体" w:hAnsi="宋体" w:eastAsia="宋体" w:cs="宋体"/>
          <w:sz w:val="24"/>
          <w:highlight w:val="none"/>
          <w:u w:val="none"/>
          <w:lang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eastAsia="zh-CN"/>
        </w:rPr>
        <w:t xml:space="preserve">江苏盐渎工程咨询有限公司</w:t>
      </w:r>
      <w:r/>
    </w:p>
    <w:p>
      <w:pPr>
        <w:ind w:left="0" w:firstLine="480"/>
        <w:jc w:val="left"/>
        <w:keepLines w:val="0"/>
        <w:keepNext w:val="0"/>
        <w:pageBreakBefore w:val="0"/>
        <w:spacing w:line="460" w:lineRule="exact"/>
        <w:widowControl w:val="off"/>
        <w:rPr>
          <w:rFonts w:hint="eastAsia" w:ascii="宋体" w:hAnsi="宋体" w:eastAsia="宋体" w:cs="宋体"/>
          <w:sz w:val="24"/>
          <w:highlight w:val="none"/>
          <w:u w:val="none"/>
          <w:lang w:eastAsia="zh-CN"/>
        </w:rPr>
      </w:pPr>
      <w:r>
        <w:rPr>
          <w:rFonts w:hint="eastAsia" w:ascii="宋体" w:hAnsi="宋体" w:cs="宋体"/>
          <w:sz w:val="24"/>
          <w:highlight w:val="none"/>
          <w:u w:val="none"/>
        </w:rPr>
        <w:t xml:space="preserve">地　　址：</w:t>
      </w:r>
      <w:r>
        <w:rPr>
          <w:rFonts w:hint="eastAsia" w:ascii="宋体" w:hAnsi="宋体" w:cs="宋体"/>
          <w:sz w:val="24"/>
          <w:highlight w:val="none"/>
          <w:u w:val="none"/>
          <w:lang w:eastAsia="zh-CN"/>
        </w:rPr>
        <w:t xml:space="preserve">盐城市盐都区金融城10号楼1206</w:t>
      </w:r>
      <w:r/>
    </w:p>
    <w:p>
      <w:pPr>
        <w:ind w:left="0" w:firstLine="480"/>
        <w:jc w:val="left"/>
        <w:keepLines w:val="0"/>
        <w:keepNext w:val="0"/>
        <w:pageBreakBefore w:val="0"/>
        <w:spacing w:line="460" w:lineRule="exact"/>
        <w:rPr>
          <w:rFonts w:ascii="宋体" w:hAnsi="宋体" w:cs="宋体"/>
          <w:sz w:val="24"/>
          <w:highlight w:val="none"/>
        </w:rPr>
        <w:outlineLvl w:val="9"/>
      </w:pPr>
      <w:r>
        <w:rPr>
          <w:rFonts w:hint="eastAsia" w:ascii="宋体" w:hAnsi="宋体" w:cs="宋体"/>
          <w:sz w:val="24"/>
          <w:highlight w:val="none"/>
          <w:u w:val="none"/>
        </w:rPr>
        <w:t xml:space="preserve">联 系 人：</w:t>
      </w:r>
      <w:r>
        <w:rPr>
          <w:rFonts w:hint="eastAsia" w:ascii="宋体" w:hAnsi="宋体" w:cs="宋体"/>
          <w:sz w:val="24"/>
          <w:highlight w:val="none"/>
          <w:lang w:val="en-US" w:eastAsia="zh-CN"/>
        </w:rPr>
        <w:t xml:space="preserve">张工</w:t>
      </w:r>
      <w:r>
        <w:rPr>
          <w:rFonts w:hint="eastAsia" w:ascii="宋体" w:hAnsi="宋体" w:cs="宋体"/>
          <w:sz w:val="24"/>
          <w:highlight w:val="none"/>
        </w:rPr>
        <w:t xml:space="preserve">      </w:t>
      </w:r>
      <w:r/>
    </w:p>
    <w:p>
      <w:pPr>
        <w:ind w:left="0" w:firstLine="480"/>
        <w:jc w:val="left"/>
        <w:keepLines w:val="0"/>
        <w:keepNext w:val="0"/>
        <w:pageBreakBefore w:val="0"/>
        <w:spacing w:line="460" w:lineRule="exact"/>
        <w:rPr>
          <w:rFonts w:hint="default" w:ascii="宋体" w:hAnsi="宋体" w:eastAsia="宋体" w:cs="宋体"/>
          <w:sz w:val="24"/>
          <w:highlight w:val="none"/>
          <w:lang w:val="en-US" w:eastAsia="zh-CN"/>
        </w:rPr>
        <w:outlineLvl w:val="9"/>
      </w:pPr>
      <w:r>
        <w:rPr>
          <w:rFonts w:hint="eastAsia" w:ascii="宋体" w:hAnsi="宋体" w:cs="宋体"/>
          <w:sz w:val="24"/>
          <w:highlight w:val="none"/>
        </w:rPr>
        <w:t xml:space="preserve">联系电话：15251096137</w:t>
      </w:r>
      <w:r/>
    </w:p>
    <w:p>
      <w:pPr>
        <w:ind w:left="0" w:firstLine="482"/>
        <w:jc w:val="left"/>
        <w:keepLines w:val="0"/>
        <w:keepNext w:val="0"/>
        <w:pageBreakBefore w:val="0"/>
        <w:spacing w:line="460" w:lineRule="exact"/>
        <w:widowControl w:val="off"/>
        <w:rPr>
          <w:rFonts w:hint="eastAsia" w:ascii="宋体" w:hAnsi="宋体" w:cs="宋体"/>
          <w:b/>
          <w:bCs/>
          <w:sz w:val="24"/>
          <w:highlight w:val="none"/>
        </w:rPr>
      </w:pPr>
      <w:r/>
      <w:bookmarkStart w:id="35" w:name="_Hlt26954810"/>
      <w:r/>
      <w:bookmarkEnd w:id="35"/>
      <w:r/>
      <w:bookmarkStart w:id="36" w:name="_Hlt26670330"/>
      <w:r/>
      <w:bookmarkEnd w:id="36"/>
      <w:r/>
      <w:bookmarkStart w:id="37" w:name="_Hlt26668836"/>
      <w:r/>
      <w:bookmarkEnd w:id="37"/>
      <w:r/>
      <w:bookmarkStart w:id="38" w:name="_Hlt26954907"/>
      <w:r/>
      <w:bookmarkEnd w:id="38"/>
      <w:r/>
      <w:bookmarkStart w:id="39" w:name="_Hlt26954824"/>
      <w:r/>
      <w:bookmarkEnd w:id="39"/>
      <w:r>
        <w:rPr>
          <w:rFonts w:hint="eastAsia" w:ascii="宋体" w:hAnsi="宋体" w:cs="宋体"/>
          <w:b/>
          <w:bCs/>
          <w:sz w:val="24"/>
          <w:highlight w:val="none"/>
        </w:rPr>
        <w:t xml:space="preserve">3.项目联系方式</w:t>
      </w:r>
      <w:r/>
    </w:p>
    <w:p>
      <w:pPr>
        <w:ind w:left="0" w:firstLine="480"/>
        <w:jc w:val="left"/>
        <w:keepLines w:val="0"/>
        <w:keepNext w:val="0"/>
        <w:pageBreakBefore w:val="0"/>
        <w:spacing w:line="460" w:lineRule="exact"/>
        <w:widowControl w:val="off"/>
        <w:rPr>
          <w:rFonts w:hint="eastAsia" w:ascii="宋体" w:hAnsi="宋体" w:cs="宋体"/>
          <w:sz w:val="24"/>
          <w:highlight w:val="none"/>
          <w:u w:val="none"/>
        </w:rPr>
      </w:pPr>
      <w:r>
        <w:rPr>
          <w:rFonts w:hint="eastAsia" w:ascii="宋体" w:hAnsi="宋体" w:cs="宋体"/>
          <w:b w:val="0"/>
          <w:bCs w:val="0"/>
          <w:sz w:val="24"/>
          <w:highlight w:val="none"/>
        </w:rPr>
        <w:t xml:space="preserve">项目联系人：</w:t>
      </w:r>
      <w:r>
        <w:rPr>
          <w:rFonts w:hint="eastAsia" w:ascii="宋体" w:hAnsi="宋体" w:cs="宋体"/>
          <w:sz w:val="24"/>
          <w:highlight w:val="none"/>
          <w:lang w:val="en-US" w:eastAsia="zh-CN"/>
        </w:rPr>
        <w:t xml:space="preserve">张工</w:t>
      </w:r>
      <w:r>
        <w:rPr>
          <w:rFonts w:hint="eastAsia" w:ascii="宋体" w:hAnsi="宋体" w:cs="宋体"/>
          <w:sz w:val="24"/>
          <w:highlight w:val="none"/>
          <w:u w:val="none"/>
          <w:lang w:val="en-US" w:eastAsia="zh-CN"/>
        </w:rPr>
        <w:t xml:space="preserve"> </w:t>
      </w:r>
      <w:r/>
    </w:p>
    <w:p>
      <w:pPr>
        <w:ind w:left="0" w:firstLine="480"/>
        <w:jc w:val="left"/>
        <w:keepLines w:val="0"/>
        <w:keepNext w:val="0"/>
        <w:pageBreakBefore w:val="0"/>
        <w:spacing w:line="460" w:lineRule="exact"/>
        <w:rPr>
          <w:rFonts w:hint="eastAsia" w:ascii="宋体" w:hAnsi="宋体" w:cs="宋体"/>
          <w:sz w:val="24"/>
          <w:highlight w:val="none"/>
          <w:lang w:val="en-US" w:eastAsia="zh-CN"/>
        </w:rPr>
        <w:outlineLvl w:val="9"/>
      </w:pPr>
      <w:r>
        <w:rPr>
          <w:rFonts w:hint="eastAsia" w:ascii="宋体" w:hAnsi="宋体" w:cs="宋体"/>
          <w:b w:val="0"/>
          <w:bCs w:val="0"/>
          <w:sz w:val="24"/>
          <w:highlight w:val="none"/>
        </w:rPr>
        <w:t xml:space="preserve">电话：</w:t>
      </w:r>
      <w:bookmarkEnd w:id="0"/>
      <w:r/>
      <w:bookmarkEnd w:id="1"/>
      <w:r/>
      <w:bookmarkEnd w:id="2"/>
      <w:r>
        <w:rPr>
          <w:rFonts w:hint="eastAsia" w:ascii="宋体" w:hAnsi="宋体" w:cs="宋体"/>
          <w:sz w:val="24"/>
          <w:highlight w:val="none"/>
        </w:rPr>
        <w:t xml:space="preserve">15251096137</w:t>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91"/>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78"/>
        <w:numPr>
          <w:ilvl w:val="0"/>
          <w:numId w:val="3"/>
        </w:numPr>
        <w:jc w:val="center"/>
        <w:keepLines/>
        <w:keepNext/>
        <w:pageBreakBefore w:val="0"/>
        <w:spacing w:before="0" w:after="0" w:line="240" w:lineRule="auto"/>
        <w:widowControl w:val="off"/>
        <w:tabs>
          <w:tab w:val="left" w:pos="3492" w:leader="none"/>
        </w:tabs>
        <w:rPr>
          <w:rFonts w:hint="eastAsia" w:ascii="黑体" w:hAnsi="宋体" w:eastAsia="黑体" w:cs="黑体"/>
          <w:color w:val="000000" w:themeColor="text1"/>
          <w:szCs w:val="44"/>
          <w:highlight w:val="none"/>
          <w14:textFill>
            <w14:solidFill>
              <w14:schemeClr w14:val="tx1"/>
            </w14:solidFill>
          </w14:textFill>
        </w:rPr>
      </w:pPr>
      <w:r>
        <w:rPr>
          <w:rFonts w:hint="eastAsia" w:ascii="黑体" w:hAnsi="宋体" w:eastAsia="黑体" w:cs="黑体"/>
          <w:color w:val="000000" w:themeColor="text1"/>
          <w:szCs w:val="44"/>
          <w:highlight w:val="none"/>
          <w14:textFill>
            <w14:solidFill>
              <w14:schemeClr w14:val="tx1"/>
            </w14:solidFill>
          </w14:textFill>
        </w:rPr>
        <w:t xml:space="preserve">供应商须知</w:t>
      </w:r>
      <w:r/>
    </w:p>
    <w:p>
      <w:pPr>
        <w:ind w:firstLine="2040"/>
        <w:spacing w:line="360" w:lineRule="auto"/>
        <w:rPr>
          <w:rFonts w:hint="eastAsia" w:ascii="宋体" w:hAnsi="宋体" w:eastAsia="宋体" w:cs="宋体"/>
          <w:b/>
          <w:bCs/>
          <w:sz w:val="24"/>
        </w:rPr>
      </w:pPr>
      <w:r>
        <w:rPr>
          <w:rFonts w:hint="eastAsia" w:ascii="宋体" w:hAnsi="宋体" w:eastAsia="宋体" w:cs="宋体"/>
          <w:bCs/>
          <w:sz w:val="24"/>
        </w:rPr>
        <w:t xml:space="preserve">（参加竞争性磋商的供应商以下简称“磋商供应商”）</w:t>
      </w:r>
      <w:r/>
    </w:p>
    <w:p>
      <w:pPr>
        <w:ind w:left="0" w:firstLine="482"/>
        <w:pageBreakBefore w:val="0"/>
        <w:spacing w:line="460" w:lineRule="exact"/>
        <w:tabs>
          <w:tab w:val="left" w:pos="9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一、总则</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1、采购方式</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本次政府采购活动采取竞争性磋商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以下简称磋商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方式，本磋商文件仅适用于磋商公告中所述项目。</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40" w:name="_Toc20823277"/>
      <w:r/>
      <w:bookmarkStart w:id="41" w:name="_Toc16938521"/>
      <w:r/>
      <w:bookmarkStart w:id="42" w:name="_Toc513029205"/>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40"/>
      <w:r/>
      <w:bookmarkEnd w:id="41"/>
      <w:r/>
      <w:bookmarkEnd w:id="42"/>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43" w:name="_Toc20823278"/>
      <w:r/>
      <w:bookmarkStart w:id="44" w:name="_Toc16938522"/>
      <w:r/>
      <w:bookmarkStart w:id="45" w:name="_Toc513029206"/>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43"/>
      <w:r/>
      <w:bookmarkEnd w:id="44"/>
      <w:r/>
      <w:bookmarkEnd w:id="45"/>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本次磋商及由此产生的合同受中华人民共和国有关的法律法规制约和保护。</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4.1参加磋商供应商应自行承担所有与参加磋商有关的费用。不论最终的成交结果如何，采购代理机构和采购人在任何情况下均无义务和责任承担这些费用。</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4.2本项目磋商服务费：招标代理费：按照苏招协（2022）002号文件规定标准的计取。由中标人在领取中标通知书时向代理公司支付。请投标人考虑在投标报价中（此项费用投标人在投标报价中不得单独列出）。</w:t>
      </w:r>
      <w:r/>
    </w:p>
    <w:p>
      <w:pPr>
        <w:ind w:left="0" w:firstLine="480"/>
        <w:pageBreakBefore w:val="0"/>
        <w:spacing w:line="4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磋商文件的约束力</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bookmarkStart w:id="46" w:name="_Toc16938525"/>
      <w:r/>
      <w:bookmarkStart w:id="47" w:name="_Toc120614215"/>
      <w:r/>
      <w:bookmarkStart w:id="48" w:name="_Toc20823281"/>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pStyle w:val="1112"/>
        <w:ind w:left="0" w:firstLine="482"/>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w:t>
      </w:r>
      <w:bookmarkEnd w:id="46"/>
      <w:r/>
      <w:bookmarkEnd w:id="47"/>
      <w:r/>
      <w:bookmarkEnd w:id="48"/>
      <w:r>
        <w:rPr>
          <w:rFonts w:hint="eastAsia" w:ascii="宋体" w:hAnsi="宋体" w:eastAsia="宋体" w:cs="宋体"/>
          <w:b/>
          <w:color w:val="000000" w:themeColor="text1"/>
          <w:sz w:val="24"/>
          <w:szCs w:val="24"/>
          <w:highlight w:val="none"/>
          <w14:textFill>
            <w14:solidFill>
              <w14:schemeClr w14:val="tx1"/>
            </w14:solidFill>
          </w14:textFill>
        </w:rPr>
        <w:t xml:space="preserve">磋商文件</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49" w:name="_Toc20823282"/>
      <w:r/>
      <w:bookmarkStart w:id="50" w:name="_Toc513029210"/>
      <w:r/>
      <w:bookmarkStart w:id="51"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49"/>
      <w:r/>
      <w:bookmarkEnd w:id="50"/>
      <w:r/>
      <w:bookmarkEnd w:id="51"/>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6.1磋商文件由以下部分组成：</w:t>
      </w:r>
      <w:r/>
    </w:p>
    <w:p>
      <w:pPr>
        <w:pStyle w:val="1112"/>
        <w:numPr>
          <w:ilvl w:val="0"/>
          <w:numId w:val="4"/>
        </w:numPr>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磋商公告</w:t>
      </w:r>
      <w:r/>
    </w:p>
    <w:p>
      <w:pPr>
        <w:pStyle w:val="1112"/>
        <w:numPr>
          <w:ilvl w:val="0"/>
          <w:numId w:val="4"/>
        </w:numPr>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供应商须知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（5）评审方法与评审标准</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（6）响应文件格式</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请仔细检查磋商文件是否齐全，如有缺漏请立即与采购人或代理公司联系解决。</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6.3中标人在中标公告结束后将加盖公章的投标文件（正本份数：1份，副本份数：4份）书面送至采购代理机构。</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52" w:name="_Toc20823283"/>
      <w:r/>
      <w:bookmarkStart w:id="53" w:name="_Toc16938527"/>
      <w:r/>
      <w:bookmarkStart w:id="54" w:name="_Toc513029211"/>
      <w:r/>
      <w:bookmarkStart w:id="55" w:name="_Toc462564070"/>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52"/>
      <w:r/>
      <w:bookmarkEnd w:id="53"/>
      <w:r/>
      <w:bookmarkEnd w:id="54"/>
      <w:r/>
      <w:bookmarkEnd w:id="55"/>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任何要求对磋商文件进行澄清的供应商，应在磋商截止期5日前按磋商公告中的通讯地址，以书面形式通知采购人或代理公司。</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56" w:name="_Toc20823284"/>
      <w:r/>
      <w:bookmarkStart w:id="57" w:name="_Toc16938528"/>
      <w:r/>
      <w:bookmarkStart w:id="58" w:name="_Toc462564071"/>
      <w:r/>
      <w:bookmarkStart w:id="59" w:name="_Toc513029212"/>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56"/>
      <w:r/>
      <w:bookmarkEnd w:id="57"/>
      <w:r/>
      <w:bookmarkEnd w:id="58"/>
      <w:r/>
      <w:bookmarkEnd w:id="59"/>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w:t>
      </w:r>
      <w:r>
        <w:rPr>
          <w:rFonts w:hint="eastAsia" w:ascii="宋体" w:hAnsi="宋体" w:eastAsia="宋体" w:cs="宋体"/>
          <w:color w:val="000000" w:themeColor="text1"/>
          <w:sz w:val="24"/>
          <w:szCs w:val="24"/>
          <w:highlight w:val="none"/>
          <w14:textFill>
            <w14:solidFill>
              <w14:schemeClr w14:val="tx1"/>
            </w14:solidFill>
          </w14:textFill>
        </w:rPr>
        <w:t xml:space="preserve">，采购人可以对磋商文件进行澄清和修改</w:t>
      </w:r>
      <w:r>
        <w:rPr>
          <w:rFonts w:hint="eastAsia"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8.2采购人可以视采购项目的具体情况，组织供应商进行现场考察或召开磋商前答疑会，但不单独或分别组织只有一个供应商参加的现场考察和答疑会。</w:t>
      </w:r>
      <w:r/>
    </w:p>
    <w:p>
      <w:pPr>
        <w:pStyle w:val="1112"/>
        <w:ind w:left="0" w:firstLine="482"/>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0" w:name="_Toc16938529"/>
      <w:r/>
      <w:bookmarkStart w:id="61" w:name="_Toc462564072"/>
      <w:r/>
      <w:bookmarkStart w:id="62" w:name="_Toc513029213"/>
      <w:r/>
      <w:bookmarkStart w:id="63" w:name="_Toc120614216"/>
      <w:r/>
      <w:bookmarkStart w:id="64" w:name="_Toc20823285"/>
      <w:r>
        <w:rPr>
          <w:rFonts w:hint="eastAsia" w:ascii="宋体" w:hAnsi="宋体" w:eastAsia="宋体" w:cs="宋体"/>
          <w:b/>
          <w:color w:val="000000" w:themeColor="text1"/>
          <w:sz w:val="24"/>
          <w:szCs w:val="24"/>
          <w:highlight w:val="none"/>
          <w14:textFill>
            <w14:solidFill>
              <w14:schemeClr w14:val="tx1"/>
            </w14:solidFill>
          </w14:textFill>
        </w:rPr>
        <w:t xml:space="preserve">三、响应文件的编制</w:t>
      </w:r>
      <w:bookmarkEnd w:id="60"/>
      <w:r/>
      <w:bookmarkEnd w:id="61"/>
      <w:r/>
      <w:bookmarkEnd w:id="62"/>
      <w:r/>
      <w:bookmarkEnd w:id="63"/>
      <w:r/>
      <w:bookmarkEnd w:id="64"/>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5" w:name="_Toc16938530"/>
      <w:r/>
      <w:bookmarkStart w:id="66" w:name="_Toc513029214"/>
      <w:r/>
      <w:bookmarkStart w:id="67" w:name="_Toc462564073"/>
      <w:r/>
      <w:bookmarkStart w:id="68"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65"/>
      <w:r/>
      <w:bookmarkEnd w:id="66"/>
      <w:r/>
      <w:bookmarkEnd w:id="67"/>
      <w:r/>
      <w:bookmarkEnd w:id="68"/>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9.1供应商提交的响应文件以及供应商与采购人（或代理公司）就有关磋商的所有来往通知、函件和文件均应使用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9" w:name="_Toc513029215"/>
      <w:r/>
      <w:bookmarkStart w:id="70" w:name="_Toc16938531"/>
      <w:r/>
      <w:bookmarkStart w:id="71" w:name="_Toc462564074"/>
      <w:r/>
      <w:bookmarkStart w:id="72" w:name="_Toc20823287"/>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69"/>
      <w:r/>
      <w:bookmarkEnd w:id="70"/>
      <w:r/>
      <w:bookmarkEnd w:id="71"/>
      <w:r/>
      <w:bookmarkEnd w:id="72"/>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如标书制作工具中格式和内容与“中国政府采购网”、“江苏政府采购网”、“盐城市政府采购网”发布的磋商文件不一致，请以“中国政府采购网”、“江苏政府采购网”、“盐城市政府采购网”发布的磋商文件为准。</w:t>
      </w:r>
      <w:bookmarkStart w:id="73" w:name="_Toc513029219"/>
      <w:r/>
      <w:bookmarkStart w:id="74" w:name="_Toc49090508"/>
      <w:r/>
      <w:bookmarkStart w:id="75" w:name="_Toc49090509"/>
      <w:r/>
      <w:bookmarkStart w:id="76" w:name="_Toc49090507"/>
      <w:r/>
      <w:bookmarkStart w:id="77" w:name="_Toc14577357"/>
      <w:r/>
      <w:bookmarkStart w:id="78" w:name="_Toc513029216"/>
      <w:r/>
      <w:bookmarkStart w:id="79" w:name="_Toc14577354"/>
      <w:r/>
      <w:bookmarkStart w:id="80" w:name="_Toc14577355"/>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73"/>
      <w:r/>
      <w:bookmarkEnd w:id="74"/>
      <w:r/>
      <w:bookmarkEnd w:id="75"/>
      <w:r/>
      <w:bookmarkEnd w:id="76"/>
      <w:r/>
      <w:bookmarkEnd w:id="77"/>
      <w:r/>
      <w:bookmarkEnd w:id="78"/>
      <w:r/>
      <w:bookmarkEnd w:id="79"/>
      <w:r/>
      <w:bookmarkEnd w:id="80"/>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12.1供应商应按照磋商文件规定格式填报分项报价表。</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81" w:name="_Toc14577359"/>
      <w:r/>
      <w:bookmarkStart w:id="82" w:name="_Toc49090510"/>
      <w:r>
        <w:rPr>
          <w:rFonts w:hint="eastAsia" w:ascii="宋体" w:hAnsi="宋体" w:eastAsia="宋体" w:cs="宋体"/>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bookmarkEnd w:id="81"/>
      <w:r/>
      <w:bookmarkEnd w:id="82"/>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83" w:name="_Toc49090511"/>
      <w:r/>
      <w:bookmarkStart w:id="84" w:name="_Toc14577360"/>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83"/>
      <w:r/>
      <w:bookmarkEnd w:id="84"/>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16.1磋商有效期为采购人规定的提交响应文件截止之日后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16938540"/>
      <w:r/>
      <w:bookmarkStart w:id="86" w:name="_Toc120614217"/>
      <w:r/>
      <w:bookmarkStart w:id="87" w:name="_Toc20823296"/>
      <w:r/>
      <w:bookmarkStart w:id="88" w:name="_Toc513029224"/>
      <w:r/>
      <w:r/>
    </w:p>
    <w:p>
      <w:pPr>
        <w:pStyle w:val="1112"/>
        <w:numPr>
          <w:ilvl w:val="0"/>
          <w:numId w:val="5"/>
        </w:numPr>
        <w:ind w:left="0" w:firstLine="482"/>
        <w:jc w:val="both"/>
        <w:pageBreakBefore w:val="0"/>
        <w:spacing w:before="0" w:beforeAutospacing="0" w:after="0" w:afterAutospacing="0" w:line="4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响应文件的递交</w:t>
      </w:r>
      <w:bookmarkEnd w:id="85"/>
      <w:r/>
      <w:bookmarkEnd w:id="86"/>
      <w:r/>
      <w:bookmarkEnd w:id="87"/>
      <w:r/>
      <w:bookmarkEnd w:id="88"/>
      <w:r/>
      <w:bookmarkStart w:id="89" w:name="_Toc462564084"/>
      <w:r/>
      <w:bookmarkStart w:id="90" w:name="_Toc16938541"/>
      <w:r/>
      <w:bookmarkStart w:id="91" w:name="_Toc20823297"/>
      <w:r/>
      <w:bookmarkStart w:id="92" w:name="_Toc513029225"/>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89"/>
      <w:r/>
      <w:bookmarkEnd w:id="90"/>
      <w:r/>
      <w:bookmarkEnd w:id="91"/>
      <w:r/>
      <w:bookmarkEnd w:id="92"/>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93" w:name="_Toc16938542"/>
      <w:r/>
      <w:bookmarkEnd w:id="93"/>
      <w:r/>
      <w:bookmarkStart w:id="94" w:name="_Toc20823298"/>
      <w:r/>
      <w:bookmarkEnd w:id="94"/>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19、提交响应文件截止时间</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19.1供应商上传电子响应文件的时间不得迟于磋商公告中规定的提交响应文件截止时间。</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5" w:name="_Toc20823299"/>
      <w:r/>
      <w:bookmarkStart w:id="96" w:name="_Toc16938543"/>
      <w:r/>
      <w:bookmarkStart w:id="97" w:name="_Toc513029227"/>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95"/>
      <w:r/>
      <w:bookmarkEnd w:id="96"/>
      <w:r/>
      <w:bookmarkEnd w:id="97"/>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采购人拒绝接收在其规定的提交响应文件截止时间后上传的任何电子响应文件。</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8" w:name="_Toc20823300"/>
      <w:r/>
      <w:bookmarkStart w:id="99" w:name="_Toc16938544"/>
      <w:r/>
      <w:bookmarkStart w:id="100" w:name="_Toc513029228"/>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98"/>
      <w:r/>
      <w:bookmarkEnd w:id="99"/>
      <w:r/>
      <w:bookmarkEnd w:id="100"/>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电子响应文件的撤回</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在提交响应文件截止时间之后，供应商不得对其电子响应文件作任何修改。</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 在提交响应文件截止时间至磋商文件中规定的磋商有效期满之间的这段时间内，供应商不得撤回其响应文件。</w:t>
      </w:r>
      <w:r/>
    </w:p>
    <w:p>
      <w:pPr>
        <w:pStyle w:val="1112"/>
        <w:ind w:left="0" w:firstLine="482"/>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1" w:name="_Toc513029229"/>
      <w:r/>
      <w:bookmarkStart w:id="102" w:name="_Toc20823301"/>
      <w:r/>
      <w:bookmarkStart w:id="103" w:name="_Toc120614218"/>
      <w:r/>
      <w:bookmarkStart w:id="104" w:name="_Toc16938545"/>
      <w:r>
        <w:rPr>
          <w:rFonts w:hint="eastAsia" w:ascii="宋体" w:hAnsi="宋体" w:eastAsia="宋体" w:cs="宋体"/>
          <w:b/>
          <w:color w:val="000000" w:themeColor="text1"/>
          <w:sz w:val="24"/>
          <w:szCs w:val="24"/>
          <w:highlight w:val="none"/>
          <w14:textFill>
            <w14:solidFill>
              <w14:schemeClr w14:val="tx1"/>
            </w14:solidFill>
          </w14:textFill>
        </w:rPr>
        <w:t xml:space="preserve">五、响应文件的解密与评审</w:t>
      </w:r>
      <w:bookmarkEnd w:id="101"/>
      <w:r/>
      <w:bookmarkEnd w:id="102"/>
      <w:r/>
      <w:bookmarkEnd w:id="103"/>
      <w:r/>
      <w:bookmarkEnd w:id="104"/>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5" w:name="_Toc513029230"/>
      <w:r/>
      <w:bookmarkStart w:id="106" w:name="_Toc20823302"/>
      <w:r/>
      <w:bookmarkStart w:id="107" w:name="_Toc16938546"/>
      <w:r>
        <w:rPr>
          <w:rFonts w:hint="eastAsia" w:ascii="宋体" w:hAnsi="宋体" w:eastAsia="宋体" w:cs="宋体"/>
          <w:color w:val="000000" w:themeColor="text1"/>
          <w:sz w:val="24"/>
          <w:szCs w:val="24"/>
          <w:highlight w:val="none"/>
          <w14:textFill>
            <w14:solidFill>
              <w14:schemeClr w14:val="tx1"/>
            </w14:solidFill>
          </w14:textFill>
        </w:rPr>
        <w:t xml:space="preserve">22、</w:t>
      </w:r>
      <w:bookmarkEnd w:id="105"/>
      <w:r/>
      <w:bookmarkEnd w:id="106"/>
      <w:r/>
      <w:bookmarkEnd w:id="107"/>
      <w:r>
        <w:rPr>
          <w:rFonts w:hint="eastAsia" w:ascii="宋体" w:hAnsi="宋体" w:eastAsia="宋体" w:cs="宋体"/>
          <w:color w:val="000000" w:themeColor="text1"/>
          <w:sz w:val="24"/>
          <w:szCs w:val="24"/>
          <w:highlight w:val="none"/>
          <w14:textFill>
            <w14:solidFill>
              <w14:schemeClr w14:val="tx1"/>
            </w14:solidFill>
          </w14:textFill>
        </w:rPr>
        <w:t xml:space="preserve">响应文件解密</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8" w:name="_Toc20823303"/>
      <w:r/>
      <w:bookmarkStart w:id="109" w:name="_Toc513029231"/>
      <w:r/>
      <w:bookmarkStart w:id="110" w:name="_Toc16938547"/>
      <w:r>
        <w:rPr>
          <w:rFonts w:hint="eastAsia" w:ascii="宋体" w:hAnsi="宋体" w:eastAsia="宋体" w:cs="宋体"/>
          <w:color w:val="000000" w:themeColor="text1"/>
          <w:sz w:val="24"/>
          <w:szCs w:val="24"/>
          <w:highlight w:val="none"/>
          <w14:textFill>
            <w14:solidFill>
              <w14:schemeClr w14:val="tx1"/>
            </w14:solidFill>
          </w14:textFill>
        </w:rPr>
        <w:t xml:space="preserve">23、磋商小组</w:t>
      </w:r>
      <w:bookmarkEnd w:id="108"/>
      <w:r/>
      <w:bookmarkEnd w:id="109"/>
      <w:r/>
      <w:bookmarkEnd w:id="110"/>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23.1采购人将组织磋商小组对响应文件进行评审。磋商小组由采购人代表和有关技术、经济等方面的专家组成，且人员构成符合政府采购有关规定。</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23.2磋商小组独立工作，负责评审所有响应文件并确定成交侯选人。</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24、评审过程的保密与公正</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24.1磋商小组、采购人和代理公司工作人员、相关监督人员等与评审工作有关的人员，对评审情况以及在评审过程中获悉的国家秘密、商业秘密负有保密责任。</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24.3在项目评审期间，采购人将设专门人员与供应商联系。</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采购人和磋商小组不向未成交的供应商解释未成交原因，也不公布评审过程中的相关细节。</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1" w:name="_Toc513029232"/>
      <w:r/>
      <w:bookmarkStart w:id="112" w:name="_Toc20823304"/>
      <w:r/>
      <w:bookmarkStart w:id="113" w:name="_Toc16938548"/>
      <w:r>
        <w:rPr>
          <w:rFonts w:hint="eastAsia" w:ascii="宋体" w:hAnsi="宋体" w:eastAsia="宋体" w:cs="宋体"/>
          <w:color w:val="000000" w:themeColor="text1"/>
          <w:sz w:val="24"/>
          <w:szCs w:val="24"/>
          <w:highlight w:val="none"/>
          <w14:textFill>
            <w14:solidFill>
              <w14:schemeClr w14:val="tx1"/>
            </w14:solidFill>
          </w14:textFill>
        </w:rPr>
        <w:t xml:space="preserve">25、评审过程中的的澄清</w:t>
      </w:r>
      <w:bookmarkEnd w:id="111"/>
      <w:r/>
      <w:bookmarkEnd w:id="112"/>
      <w:r/>
      <w:bookmarkEnd w:id="113"/>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接到磋商小组澄清、说明和更正要求的供应商如未按规定做出澄清、说明和更正，其风险由供应商自行承担。</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4" w:name="_Toc20823305"/>
      <w:r/>
      <w:bookmarkStart w:id="115" w:name="_Toc16938549"/>
      <w:r/>
      <w:bookmarkStart w:id="116" w:name="_Toc513029233"/>
      <w:r>
        <w:rPr>
          <w:rFonts w:hint="eastAsia" w:ascii="宋体" w:hAnsi="宋体" w:eastAsia="宋体" w:cs="宋体"/>
          <w:color w:val="000000" w:themeColor="text1"/>
          <w:sz w:val="24"/>
          <w:szCs w:val="24"/>
          <w:highlight w:val="none"/>
          <w14:textFill>
            <w14:solidFill>
              <w14:schemeClr w14:val="tx1"/>
            </w14:solidFill>
          </w14:textFill>
        </w:rPr>
        <w:t xml:space="preserve">26、对响应文件的审</w:t>
      </w:r>
      <w:bookmarkEnd w:id="114"/>
      <w:r/>
      <w:bookmarkEnd w:id="115"/>
      <w:r/>
      <w:bookmarkEnd w:id="116"/>
      <w:r>
        <w:rPr>
          <w:rFonts w:hint="eastAsia" w:ascii="宋体" w:hAnsi="宋体" w:eastAsia="宋体" w:cs="宋体"/>
          <w:color w:val="000000" w:themeColor="text1"/>
          <w:sz w:val="24"/>
          <w:szCs w:val="24"/>
          <w:highlight w:val="none"/>
          <w14:textFill>
            <w14:solidFill>
              <w14:schemeClr w14:val="tx1"/>
            </w14:solidFill>
          </w14:textFill>
        </w:rPr>
        <w:t xml:space="preserve">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26.1响应文件审查分为资格审查和符合性审查。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磋商小组在进行资格审查的同时，将在“信用中国”网站查询供应商的信用记录，以确定供应商是否具备磋商资格,查询结果留存并归档。</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26.3.6不符合磋商文件中规定的实质性要求和条件的（本磋商文件中斜体且有下划线部分为实质性要求和条件）。</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12"/>
        <w:ind w:left="0" w:firstLine="480"/>
        <w:jc w:val="both"/>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.10投标人不能证明其报价合理性的，评标委员会应当将其作为无效投标处理。</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1112"/>
        <w:numPr>
          <w:ilvl w:val="0"/>
          <w:numId w:val="0"/>
        </w:numPr>
        <w:ind w:left="0"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lang w:val="en-US" w:eastAsia="zh-CN" w:bidi="ar-SA"/>
        </w:rPr>
        <w:t xml:space="preserve">（二）</w:t>
      </w:r>
      <w:r>
        <w:rPr>
          <w:rFonts w:hint="eastAsia" w:ascii="宋体" w:hAnsi="宋体" w:eastAsia="宋体" w:cs="宋体"/>
          <w:color w:val="ff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2"/>
        <w:numPr>
          <w:ilvl w:val="0"/>
          <w:numId w:val="0"/>
        </w:numPr>
        <w:ind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2"/>
        <w:numPr>
          <w:ilvl w:val="0"/>
          <w:numId w:val="0"/>
        </w:numPr>
        <w:ind w:firstLine="480"/>
        <w:jc w:val="both"/>
        <w:pageBreakBefore w:val="0"/>
        <w:spacing w:before="0" w:beforeAutospacing="0" w:after="0" w:afterAutospacing="0" w:line="46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2"/>
        <w:ind w:left="0" w:firstLine="480"/>
        <w:jc w:val="both"/>
        <w:keepLines/>
        <w:keepNext/>
        <w:pageBreakBefore w:val="0"/>
        <w:spacing w:before="0" w:beforeAutospacing="0" w:after="0" w:afterAutospacing="0" w:line="46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1112"/>
        <w:ind w:left="0" w:firstLine="480"/>
        <w:jc w:val="both"/>
        <w:pageBreakBefore w:val="0"/>
        <w:spacing w:before="0" w:beforeAutospacing="0" w:after="0" w:afterAutospacing="0" w:line="46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17" w:name="_Toc16938550"/>
      <w:r/>
      <w:bookmarkStart w:id="118" w:name="_Toc20823306"/>
      <w:r/>
      <w:bookmarkStart w:id="119"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，并安排专人与采购中心及磋商小组联系。</w:t>
      </w:r>
      <w:bookmarkEnd w:id="117"/>
      <w:r/>
      <w:bookmarkEnd w:id="118"/>
      <w:r/>
      <w:bookmarkEnd w:id="119"/>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27、磋商程序及评审方法和评审标准</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评审方法和评审标准</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27.2.2评审标准</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27.3采购活动终止的情况</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27.3.2出现影响采购公正的违法、违规行为的。</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pStyle w:val="1112"/>
        <w:ind w:left="0" w:firstLine="482"/>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20" w:name="_Toc120614219"/>
      <w:r/>
      <w:bookmarkStart w:id="121" w:name="_Toc16938551"/>
      <w:r/>
      <w:bookmarkStart w:id="122" w:name="_Toc513029235"/>
      <w:r/>
      <w:bookmarkStart w:id="123" w:name="_Toc20823307"/>
      <w:r>
        <w:rPr>
          <w:rFonts w:hint="eastAsia" w:ascii="宋体" w:hAnsi="宋体" w:eastAsia="宋体" w:cs="宋体"/>
          <w:b/>
          <w:color w:val="000000" w:themeColor="text1"/>
          <w:sz w:val="24"/>
          <w:szCs w:val="24"/>
          <w:highlight w:val="none"/>
          <w14:textFill>
            <w14:solidFill>
              <w14:schemeClr w14:val="tx1"/>
            </w14:solidFill>
          </w14:textFill>
        </w:rPr>
        <w:t xml:space="preserve">六、</w:t>
      </w:r>
      <w:bookmarkEnd w:id="120"/>
      <w:r/>
      <w:bookmarkEnd w:id="121"/>
      <w:r/>
      <w:bookmarkEnd w:id="122"/>
      <w:r/>
      <w:bookmarkEnd w:id="123"/>
      <w:r>
        <w:rPr>
          <w:rFonts w:hint="eastAsia" w:ascii="宋体" w:hAnsi="宋体" w:eastAsia="宋体" w:cs="宋体"/>
          <w:b/>
          <w:color w:val="000000" w:themeColor="text1"/>
          <w:sz w:val="24"/>
          <w:szCs w:val="24"/>
          <w:highlight w:val="none"/>
          <w14:textFill>
            <w14:solidFill>
              <w14:schemeClr w14:val="tx1"/>
            </w14:solidFill>
          </w14:textFill>
        </w:rPr>
        <w:t xml:space="preserve">成交</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24" w:name="_Toc20823310"/>
      <w:r/>
      <w:bookmarkStart w:id="125" w:name="_Toc16938554"/>
      <w:r/>
      <w:bookmarkStart w:id="126" w:name="_Toc513029238"/>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124"/>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25"/>
      <w:r/>
      <w:bookmarkEnd w:id="126"/>
      <w:r>
        <w:rPr>
          <w:rFonts w:hint="eastAsia" w:ascii="宋体" w:hAnsi="宋体" w:eastAsia="宋体" w:cs="宋体"/>
          <w:color w:val="000000" w:themeColor="text1"/>
          <w:sz w:val="24"/>
          <w:szCs w:val="24"/>
          <w:highlight w:val="none"/>
          <w14:textFill>
            <w14:solidFill>
              <w14:schemeClr w14:val="tx1"/>
            </w14:solidFill>
          </w14:textFill>
        </w:rPr>
        <w:t xml:space="preserve">成交单位</w:t>
      </w:r>
      <w:r/>
    </w:p>
    <w:p>
      <w:pPr>
        <w:pStyle w:val="1112"/>
        <w:ind w:left="0" w:firstLine="480"/>
        <w:jc w:val="both"/>
        <w:pageBreakBefore w:val="0"/>
        <w:spacing w:before="0" w:beforeAutospacing="0" w:after="0" w:afterAutospacing="0" w:line="460" w:lineRule="exact"/>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28.3.1提供虚假材料谋取成交的。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28.3.2与评审专家、采购人、其他供应商或者代理公司工作人员恶意串通的。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28.3.3向评审专家、采购人或代理公司工作人员行贿或者提供其他不正当利益的。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28.3.7将政府采购合同转包的。</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27" w:name="_Toc200451960"/>
      <w:r>
        <w:rPr>
          <w:rFonts w:hint="eastAsia" w:ascii="宋体" w:hAnsi="宋体" w:eastAsia="宋体" w:cs="宋体"/>
          <w:color w:val="000000" w:themeColor="text1"/>
          <w:sz w:val="24"/>
          <w:szCs w:val="24"/>
          <w:highlight w:val="none"/>
          <w14:textFill>
            <w14:solidFill>
              <w14:schemeClr w14:val="tx1"/>
            </w14:solidFill>
          </w14:textFill>
        </w:rPr>
        <w:t xml:space="preserve">29、质疑处理</w:t>
      </w:r>
      <w:bookmarkEnd w:id="127"/>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以下情形的质疑不予受理</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29.4.1 内容不符合《政府采购质疑和投诉办法》第十二条规定的质疑。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29.4.2 超出政府采购法定期限的质疑。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29.4.3 以传真、电子邮件等方式递交的非原件形式的质疑。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29.4.4 未参加磋商活动的供应商或在磋商活动中自身权益未受到损害的供应商所提出的质疑。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29.4.5供应商组成联合体参加磋商，联合体中任何一方或多方未按要求签字、盖章、加盖公章的质疑。</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112"/>
        <w:ind w:left="0" w:firstLine="480"/>
        <w:jc w:val="both"/>
        <w:keepLines/>
        <w:keepNext/>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30、成交通知书</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12"/>
        <w:ind w:left="0" w:firstLine="480"/>
        <w:jc w:val="both"/>
        <w:pageBreakBefore w:val="0"/>
        <w:spacing w:before="0" w:beforeAutospacing="0" w:after="0"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firstLine="482"/>
        <w:pageBreakBefore w:val="0"/>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七、授予合同</w:t>
      </w:r>
      <w:r/>
    </w:p>
    <w:p>
      <w:pPr>
        <w:ind w:left="0" w:firstLine="480"/>
        <w:pageBreakBefore w:val="0"/>
        <w:spacing w:line="460" w:lineRule="exact"/>
        <w:rPr>
          <w:rFonts w:hint="eastAsia" w:ascii="宋体" w:hAnsi="宋体" w:eastAsia="宋体" w:cs="宋体"/>
          <w:sz w:val="24"/>
          <w:szCs w:val="24"/>
          <w:highlight w:val="none"/>
        </w:rPr>
      </w:pPr>
      <w:r/>
      <w:bookmarkStart w:id="128" w:name="_Toc20823309"/>
      <w:r/>
      <w:bookmarkStart w:id="129" w:name="_Toc513029237"/>
      <w:r/>
      <w:bookmarkStart w:id="130" w:name="_Toc16938553"/>
      <w:r>
        <w:rPr>
          <w:rFonts w:hint="eastAsia" w:ascii="宋体" w:hAnsi="宋体" w:eastAsia="宋体" w:cs="宋体"/>
          <w:sz w:val="24"/>
          <w:szCs w:val="24"/>
          <w:highlight w:val="none"/>
        </w:rPr>
        <w:t xml:space="preserve">30、签订合同</w:t>
      </w:r>
      <w:bookmarkEnd w:id="128"/>
      <w:r/>
      <w:bookmarkEnd w:id="129"/>
      <w:r/>
      <w:bookmarkEnd w:id="130"/>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30.l中标人应当在中标通知书发出之日起三十日内，按照招标文件确定的事项与采购人签订政府采购合同。</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30.2招标文件、中标人的投标文件及招标过程中有关澄清、承诺文件均应作为合同附件。</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30.3签订合同后，</w:t>
      </w:r>
      <w:r>
        <w:rPr>
          <w:rFonts w:hint="eastAsia" w:ascii="宋体" w:hAnsi="宋体" w:eastAsia="宋体" w:cs="宋体"/>
          <w:i w:val="0"/>
          <w:iCs/>
          <w:sz w:val="24"/>
          <w:szCs w:val="24"/>
          <w:highlight w:val="none"/>
          <w:u w:val="none"/>
        </w:rPr>
        <w:t xml:space="preserve">中标人不得将合同标的进行转包</w:t>
      </w:r>
      <w:r>
        <w:rPr>
          <w:rFonts w:hint="eastAsia" w:ascii="宋体" w:hAnsi="宋体" w:eastAsia="宋体" w:cs="宋体"/>
          <w:i w:val="0"/>
          <w:iCs/>
          <w:sz w:val="24"/>
          <w:szCs w:val="24"/>
          <w:highlight w:val="none"/>
          <w:u w:val="none"/>
          <w:lang w:val="en-US" w:eastAsia="zh-CN"/>
        </w:rPr>
        <w:t xml:space="preserve">和分包。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30.4供应商</w:t>
      </w:r>
      <w:r>
        <w:rPr>
          <w:rFonts w:ascii="宋体" w:hAnsi="宋体" w:eastAsia="宋体" w:cs="宋体"/>
          <w:sz w:val="24"/>
        </w:rPr>
        <w:t xml:space="preserve">成交后无正当理由拒不与采购人签订政府采购合同</w:t>
      </w:r>
      <w:r>
        <w:rPr>
          <w:rFonts w:hint="eastAsia" w:ascii="宋体" w:hAnsi="宋体" w:eastAsia="宋体" w:cs="宋体"/>
          <w:sz w:val="24"/>
        </w:rPr>
        <w:t xml:space="preserve">的，按《</w:t>
      </w:r>
      <w:r>
        <w:rPr>
          <w:rFonts w:ascii="宋体" w:hAnsi="宋体" w:eastAsia="宋体" w:cs="宋体"/>
          <w:sz w:val="24"/>
        </w:rPr>
        <w:t xml:space="preserve">中华人民共和国政府采购法</w:t>
      </w:r>
      <w:r>
        <w:rPr>
          <w:rFonts w:hint="eastAsia" w:ascii="宋体" w:hAnsi="宋体" w:eastAsia="宋体" w:cs="宋体"/>
          <w:sz w:val="24"/>
        </w:rPr>
        <w:t xml:space="preserve">》、《</w:t>
      </w:r>
      <w:r>
        <w:rPr>
          <w:rFonts w:ascii="宋体" w:hAnsi="宋体" w:eastAsia="宋体" w:cs="宋体"/>
          <w:sz w:val="24"/>
        </w:rPr>
        <w:t xml:space="preserve">中华人民共和国政府采购法实施条例</w:t>
      </w:r>
      <w:r>
        <w:rPr>
          <w:rFonts w:hint="eastAsia" w:ascii="宋体" w:hAnsi="宋体" w:eastAsia="宋体" w:cs="宋体"/>
          <w:sz w:val="24"/>
        </w:rPr>
        <w:t xml:space="preserve">》相关规定执行。</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32、政府采购政策功能落实</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32.1政府采购线上合同信用融资政策</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firstLine="480"/>
        <w:pageBreakBefore w:val="0"/>
        <w:spacing w:line="46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32.2进口产品</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6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32.3中小企业、监狱企业及残疾人福利性单位</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32.3.1中小企业定义：</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w:t>
      </w:r>
      <w:r>
        <w:rPr>
          <w:rFonts w:hint="eastAsia" w:ascii="宋体" w:hAnsi="宋体" w:eastAsia="宋体" w:cs="宋体"/>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32.3.2投标人提供的货物、工程或者服务符合下列情形的，享受中小企业扶持政策：</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32.3.2.1在货物采购项目中，货物由中小企业制造，即货物由中小企业生产且使用该中小企业商号或者注册商标；</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32.3.2.2在工程采购项目中，工程由中小企业承建，即工程施工单位为中小企业；</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32.3.2.3在服务采购项目中，服务由中小企业承接，即提供服务的人员为中小企业依照《中华人民共和国劳动合同法》订立劳动合同的从业人员。</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32.3.3在货物采购项目中，投标人提供的货物既有中小企业制造货物，也有大型企业制造货物的，不享受中小企业扶持政策。</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32.3.4以联合体形式参加政府采购活动，联合体各方均为中小企业的，联合体视同中小企业。其中，联合体各方均为小微企业的，联合体视同小微企业。</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32.3.6残疾人福利单位定义：享受政府采购支持政策的残疾人福利性单位应当同时满足以下条件：</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32.3.6.1安置的残疾人占本单位在职职工人数的比例不低于25%（含25%），并且安置的残疾人人数不少于10人（含10人）；</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32.3.6.2依法与安置的每位残疾人签订了一年以上（含一年）的劳动合同或服务协议；</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32.3.6.3为安置的每位残疾人按月足额缴纳了基本养老保险、基本医疗保险、失业保险、工伤保险和生育保险等社会保险费；</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32.3.6.4通过银行等金融机构向安置的每位残疾人，按月支付了不低于单位所在区县适用的经省级人民政府批准的月最低工资标准的工资；</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32.3.7本项目是否专门面向中小企业预留采购份额见第一章《招标公告》。</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32.3.8采购标的对应的中小企业划分标准所属行业见第四章《采购需求》。</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32.3.9小微企业价格评审优惠的政策：见第五章《评标方法和评标标准》。</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32.4政府采购节能产品、环境标志产品</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32.4.1严格执行政府采购关于支持</w:t>
      </w:r>
      <w:r>
        <w:rPr>
          <w:rFonts w:hint="eastAsia" w:ascii="宋体" w:hAnsi="宋体" w:eastAsia="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32.5绿色包装</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6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32.6政府采购创新产品</w:t>
      </w:r>
      <w:r/>
    </w:p>
    <w:p>
      <w:pPr>
        <w:ind w:left="0"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采购人优先采购各级政府部门公开发布的有效期内的创新产品、创新服务、首台套、首购首用等《目录》的创新产品。</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32.7绿色数据中心政策</w:t>
      </w:r>
      <w:r/>
    </w:p>
    <w:p>
      <w:pPr>
        <w:ind w:left="0" w:firstLine="480"/>
        <w:jc w:val="both"/>
        <w:keepLines w:val="0"/>
        <w:keepNext w:val="0"/>
        <w:pageBreakBefore w:val="0"/>
        <w:spacing w:line="460" w:lineRule="exact"/>
        <w:widowControl w:val="off"/>
        <w:tabs>
          <w:tab w:val="left" w:pos="1381"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w:t>
      </w:r>
      <w:r>
        <w:rPr>
          <w:rFonts w:hint="eastAsia" w:ascii="宋体" w:hAnsi="宋体" w:eastAsia="宋体" w:cs="宋体"/>
          <w:sz w:val="24"/>
          <w:szCs w:val="24"/>
          <w:highlight w:val="none"/>
          <w:lang w:val="en-US" w:eastAsia="zh-CN" w:bidi="ar-SA"/>
        </w:rPr>
        <w:t xml:space="preserve">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left="0" w:firstLine="480"/>
        <w:jc w:val="both"/>
        <w:keepLines w:val="0"/>
        <w:keepNext w:val="0"/>
        <w:pageBreakBefore w:val="0"/>
        <w:spacing w:line="460" w:lineRule="exact"/>
        <w:widowControl w:val="off"/>
        <w:tabs>
          <w:tab w:val="left" w:pos="1381"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32.8履约保证金政策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2"/>
        <w:spacing w:line="500" w:lineRule="exact"/>
        <w:rPr>
          <w:rFonts w:hint="eastAsia" w:ascii="宋体" w:hAnsi="宋体" w:eastAsia="宋体" w:cs="宋体"/>
          <w:sz w:val="24"/>
        </w:rPr>
      </w:pPr>
      <w:r>
        <w:rPr>
          <w:rFonts w:ascii="宋体" w:hAnsi="宋体" w:eastAsia="宋体" w:cs="宋体"/>
          <w:sz w:val="24"/>
        </w:rPr>
        <w:t xml:space="preserve">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left="0" w:firstLine="482"/>
        <w:jc w:val="both"/>
        <w:keepLines w:val="0"/>
        <w:keepNext w:val="0"/>
        <w:pageBreakBefore w:val="0"/>
        <w:spacing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33. 预付款制度</w:t>
      </w:r>
      <w:r/>
    </w:p>
    <w:p>
      <w:pPr>
        <w:ind w:firstLine="482"/>
        <w:spacing w:line="500" w:lineRule="exact"/>
        <w:widowControl/>
        <w:rPr>
          <w:rFonts w:hint="eastAsia" w:ascii="宋体" w:hAnsi="宋体" w:eastAsia="宋体" w:cs="宋体"/>
          <w:sz w:val="24"/>
        </w:rPr>
      </w:pPr>
      <w:r>
        <w:rPr>
          <w:rFonts w:hint="eastAsia" w:ascii="宋体" w:hAnsi="宋体" w:eastAsia="宋体" w:cs="宋体"/>
          <w:sz w:val="24"/>
        </w:rPr>
        <w:t xml:space="preserve">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 xml:space="preserve">。</w:t>
      </w:r>
      <w:r/>
    </w:p>
    <w:p>
      <w:pPr>
        <w:jc w:val="left"/>
        <w:rPr>
          <w:rFonts w:ascii="宋体" w:hAnsi="宋体" w:cs="宋体"/>
          <w:bCs/>
          <w:sz w:val="28"/>
          <w:szCs w:val="28"/>
          <w:highlight w:val="none"/>
        </w:rPr>
      </w:pPr>
      <w:r>
        <w:rPr>
          <w:rFonts w:ascii="宋体" w:hAnsi="宋体" w:cs="宋体"/>
          <w:bCs/>
          <w:sz w:val="28"/>
          <w:szCs w:val="28"/>
          <w:highlight w:val="none"/>
        </w:rPr>
      </w:r>
      <w:r/>
    </w:p>
    <w:p>
      <w:pPr>
        <w:rPr>
          <w:rFonts w:hint="eastAsia" w:ascii="黑体" w:eastAsia="黑体" w:cs="Arial"/>
          <w:bCs/>
          <w:szCs w:val="44"/>
          <w:highlight w:val="none"/>
        </w:rPr>
      </w:pPr>
      <w:r>
        <w:rPr>
          <w:rFonts w:hint="eastAsia" w:ascii="黑体" w:eastAsia="黑体" w:cs="Arial"/>
          <w:bCs/>
          <w:szCs w:val="44"/>
          <w:highlight w:val="none"/>
        </w:rPr>
      </w:r>
      <w:r/>
    </w:p>
    <w:p>
      <w:pPr>
        <w:pStyle w:val="1078"/>
        <w:keepLines/>
        <w:keepNext/>
        <w:pageBreakBefore w:val="0"/>
        <w:spacing w:before="0" w:after="0" w:line="240" w:lineRule="auto"/>
        <w:widowControl w:val="off"/>
        <w:rPr>
          <w:rFonts w:ascii="黑体" w:eastAsia="黑体" w:cs="Arial"/>
          <w:bCs/>
          <w:szCs w:val="44"/>
          <w:highlight w:val="none"/>
        </w:rPr>
      </w:pPr>
      <w:r>
        <w:rPr>
          <w:rFonts w:hint="eastAsia" w:ascii="黑体" w:eastAsia="黑体" w:cs="Arial"/>
          <w:bCs/>
          <w:szCs w:val="44"/>
          <w:highlight w:val="none"/>
        </w:rPr>
        <w:t xml:space="preserve">第三章  合同条款及格式</w:t>
      </w:r>
      <w:r/>
    </w:p>
    <w:p>
      <w:pPr>
        <w:ind w:firstLine="480"/>
        <w:keepLines w:val="0"/>
        <w:keepNext w:val="0"/>
        <w:pageBreakBefore w:val="0"/>
        <w:spacing w:line="460" w:lineRule="exact"/>
        <w:widowControl w:val="off"/>
        <w:rPr>
          <w:rFonts w:ascii="宋体" w:hAnsi="宋体"/>
          <w:bCs/>
          <w:sz w:val="24"/>
          <w:szCs w:val="24"/>
          <w:highlight w:val="none"/>
        </w:rPr>
      </w:pPr>
      <w:r>
        <w:rPr>
          <w:rFonts w:hint="eastAsia" w:ascii="宋体" w:hAnsi="宋体"/>
          <w:bCs/>
          <w:sz w:val="24"/>
          <w:szCs w:val="24"/>
          <w:highlight w:val="none"/>
        </w:rPr>
        <w:t xml:space="preserve">以下为成交后签订本项目合同的通用条款，成交供应商不得提出实质性的修改，关于专用条款将由采购人与成交供应商结合本项目具体情况协商后签订。</w:t>
      </w:r>
      <w:r/>
    </w:p>
    <w:p>
      <w:pPr>
        <w:jc w:val="left"/>
        <w:rPr>
          <w:rFonts w:hint="eastAsia" w:ascii="宋体" w:hAnsi="宋体" w:cs="宋体"/>
          <w:bCs/>
          <w:sz w:val="28"/>
          <w:szCs w:val="28"/>
          <w:highlight w:val="none"/>
        </w:rPr>
      </w:pPr>
      <w:r>
        <w:rPr>
          <w:rFonts w:hint="eastAsia" w:ascii="宋体" w:hAnsi="宋体" w:cs="宋体"/>
          <w:bCs/>
          <w:sz w:val="28"/>
          <w:szCs w:val="28"/>
          <w:highlight w:val="none"/>
        </w:rPr>
      </w:r>
      <w:r/>
    </w:p>
    <w:p>
      <w:pPr>
        <w:jc w:val="left"/>
        <w:rPr>
          <w:rFonts w:ascii="宋体" w:hAnsi="宋体" w:cs="宋体"/>
          <w:bCs/>
          <w:sz w:val="28"/>
          <w:szCs w:val="28"/>
          <w:highlight w:val="none"/>
        </w:rPr>
      </w:pPr>
      <w:r>
        <w:rPr>
          <w:rFonts w:hint="eastAsia" w:ascii="宋体" w:hAnsi="宋体" w:cs="宋体"/>
          <w:bCs/>
          <w:sz w:val="28"/>
          <w:szCs w:val="28"/>
          <w:highlight w:val="none"/>
        </w:rPr>
        <w:t xml:space="preserve">（GF—2017—0201）</w:t>
      </w:r>
      <w:r/>
    </w:p>
    <w:p>
      <w:pPr>
        <w:jc w:val="center"/>
        <w:rPr>
          <w:rFonts w:ascii="宋体" w:hAnsi="宋体" w:cs="宋体"/>
          <w:b/>
          <w:sz w:val="52"/>
          <w:szCs w:val="52"/>
          <w:highlight w:val="none"/>
        </w:rPr>
      </w:pPr>
      <w:r>
        <w:rPr>
          <w:rFonts w:ascii="宋体" w:hAnsi="宋体" w:cs="宋体"/>
          <w:b/>
          <w:sz w:val="52"/>
          <w:szCs w:val="52"/>
          <w:highlight w:val="none"/>
        </w:rPr>
      </w:r>
      <w:r/>
    </w:p>
    <w:p>
      <w:pPr>
        <w:jc w:val="both"/>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hint="eastAsia" w:ascii="宋体" w:hAnsi="宋体" w:cs="宋体"/>
          <w:b/>
          <w:sz w:val="52"/>
          <w:szCs w:val="52"/>
          <w:highlight w:val="none"/>
        </w:rPr>
        <w:t xml:space="preserve">建设工程施工合同</w:t>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ind w:right="2719" w:firstLine="2738"/>
        <w:jc w:val="both"/>
        <w:rPr>
          <w:rFonts w:ascii="宋体" w:hAnsi="宋体" w:cs="宋体"/>
          <w:b/>
          <w:sz w:val="32"/>
          <w:szCs w:val="28"/>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4406265</wp:posOffset>
                </wp:positionH>
                <wp:positionV relativeFrom="paragraph">
                  <wp:posOffset>140335</wp:posOffset>
                </wp:positionV>
                <wp:extent cx="723900" cy="457200"/>
                <wp:effectExtent l="4445" t="4445" r="18415" b="10795"/>
                <wp:wrapNone/>
                <wp:docPr id="15"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161"/>
                              <w:rPr>
                                <w:b/>
                                <w:bCs/>
                                <w:sz w:val="32"/>
                              </w:rPr>
                            </w:pPr>
                            <w:r>
                              <w:rPr>
                                <w:rFonts w:hint="eastAsia"/>
                                <w:b/>
                                <w:bCs/>
                                <w:sz w:val="32"/>
                              </w:rPr>
                              <w:t xml:space="preserve">制定</w:t>
                            </w:r>
                            <w:r/>
                          </w:p>
                        </w:txbxContent>
                      </wps:txbx>
                      <wps:bodyPr upright="1"/>
                    </wps:wsp>
                  </a:graphicData>
                </a:graphic>
              </wp:anchor>
            </w:drawing>
          </mc:Choice>
          <mc:Fallback>
            <w:pict>
              <v:shape id="shape 14" o:spid="_x0000_s14" o:spt="202" type="#_x0000_t202" style="position:absolute;z-index:251659264;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161"/>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highlight w:val="none"/>
        </w:rPr>
        <w:t xml:space="preserve">住房和城乡建设部</w:t>
      </w:r>
      <w:r/>
    </w:p>
    <w:p>
      <w:pPr>
        <w:ind w:right="2719" w:firstLine="2750"/>
        <w:jc w:val="both"/>
        <w:rPr>
          <w:rFonts w:hint="eastAsia" w:ascii="宋体" w:hAnsi="宋体" w:cs="宋体"/>
          <w:b/>
          <w:sz w:val="32"/>
          <w:szCs w:val="28"/>
          <w:highlight w:val="none"/>
        </w:rPr>
      </w:pPr>
      <w:r>
        <w:rPr>
          <w:rFonts w:hint="eastAsia" w:ascii="宋体" w:hAnsi="宋体" w:cs="宋体"/>
          <w:b/>
          <w:sz w:val="32"/>
          <w:szCs w:val="28"/>
          <w:highlight w:val="none"/>
        </w:rPr>
        <w:t xml:space="preserve">国家工商行政管理总局</w:t>
      </w:r>
      <w:r/>
    </w:p>
    <w:p>
      <w:pPr>
        <w:pStyle w:val="1177"/>
        <w:jc w:val="both"/>
        <w:spacing w:before="0" w:after="0" w:line="400" w:lineRule="exact"/>
        <w:rPr>
          <w:rFonts w:hint="eastAsia" w:eastAsia="华文中宋"/>
          <w:sz w:val="32"/>
          <w:szCs w:val="32"/>
          <w:highlight w:val="none"/>
          <w:lang w:val="zh-CN"/>
        </w:rPr>
      </w:pPr>
      <w:r>
        <w:rPr>
          <w:rFonts w:hint="eastAsia" w:eastAsia="华文中宋"/>
          <w:sz w:val="32"/>
          <w:szCs w:val="32"/>
          <w:highlight w:val="none"/>
          <w:lang w:val="zh-CN"/>
        </w:rPr>
      </w:r>
      <w:r/>
    </w:p>
    <w:p>
      <w:pPr>
        <w:rPr>
          <w:rFonts w:hint="eastAsia"/>
          <w:highlight w:val="none"/>
          <w:lang w:val="zh-CN"/>
        </w:rPr>
      </w:pPr>
      <w:r>
        <w:rPr>
          <w:rFonts w:hint="eastAsia"/>
          <w:highlight w:val="none"/>
          <w:lang w:val="zh-CN"/>
        </w:rPr>
      </w:r>
      <w:r/>
    </w:p>
    <w:p>
      <w:pPr>
        <w:pStyle w:val="1091"/>
        <w:rPr>
          <w:rFonts w:hint="eastAsia"/>
          <w:highlight w:val="none"/>
          <w:lang w:val="zh-CN"/>
        </w:rPr>
      </w:pPr>
      <w:r>
        <w:rPr>
          <w:rFonts w:hint="eastAsia"/>
          <w:highlight w:val="none"/>
          <w:lang w:val="zh-CN"/>
        </w:rPr>
      </w:r>
      <w:r/>
    </w:p>
    <w:p>
      <w:pPr>
        <w:pStyle w:val="1091"/>
        <w:rPr>
          <w:rFonts w:hint="eastAsia"/>
          <w:highlight w:val="none"/>
          <w:lang w:val="zh-CN"/>
        </w:rPr>
      </w:pPr>
      <w:r>
        <w:rPr>
          <w:rFonts w:hint="eastAsia"/>
          <w:highlight w:val="none"/>
          <w:lang w:val="zh-CN"/>
        </w:rPr>
      </w:r>
      <w:r/>
    </w:p>
    <w:p>
      <w:pPr>
        <w:pStyle w:val="1091"/>
        <w:rPr>
          <w:rFonts w:hint="eastAsia"/>
          <w:highlight w:val="none"/>
          <w:lang w:val="zh-CN"/>
        </w:rPr>
      </w:pPr>
      <w:r>
        <w:rPr>
          <w:rFonts w:hint="eastAsia"/>
          <w:highlight w:val="none"/>
          <w:lang w:val="zh-CN"/>
        </w:rPr>
      </w:r>
      <w:r/>
    </w:p>
    <w:p>
      <w:pPr>
        <w:pStyle w:val="1177"/>
        <w:jc w:val="center"/>
        <w:spacing w:before="0" w:after="0" w:line="400" w:lineRule="exact"/>
        <w:rPr>
          <w:rFonts w:eastAsia="华文中宋"/>
          <w:sz w:val="32"/>
          <w:szCs w:val="32"/>
          <w:highlight w:val="none"/>
          <w:lang w:val="zh-CN"/>
        </w:rPr>
      </w:pPr>
      <w:r>
        <w:rPr>
          <w:rFonts w:hint="eastAsia" w:eastAsia="华文中宋"/>
          <w:sz w:val="32"/>
          <w:szCs w:val="32"/>
          <w:highlight w:val="none"/>
          <w:lang w:val="zh-CN"/>
        </w:rPr>
        <w:t xml:space="preserve">说</w:t>
      </w:r>
      <w:r>
        <w:rPr>
          <w:rFonts w:hint="eastAsia" w:eastAsia="华文中宋"/>
          <w:sz w:val="32"/>
          <w:szCs w:val="32"/>
          <w:highlight w:val="none"/>
        </w:rPr>
        <w:t xml:space="preserve"> </w:t>
      </w:r>
      <w:r>
        <w:rPr>
          <w:rFonts w:hint="eastAsia" w:eastAsia="华文中宋"/>
          <w:sz w:val="32"/>
          <w:szCs w:val="32"/>
          <w:highlight w:val="none"/>
          <w:lang w:val="zh-CN"/>
        </w:rPr>
        <w:t xml:space="preserve">明</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一、《示范文本》的组成</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《示范文本》由合同协议书、通用合同条款和专用合同条款三部分组成。</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（一）合同协议书</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（二）通用合同条款</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（三）专用合同条款</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1.专用合同条款的编号应与相应的通用合同条款的编号一致；</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2.合同当事人可以通过对专用合同条款的修改，满足具体建设工程的特殊要求，避免直接修改通用合同条款；</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二、《示范文本》的性质和适用范围</w:t>
      </w:r>
      <w:r/>
    </w:p>
    <w:p>
      <w:pPr>
        <w:ind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val="0"/>
        <w:keepNext/>
        <w:pageBreakBefore/>
        <w:spacing w:line="240" w:lineRule="auto"/>
        <w:widowControl w:val="off"/>
        <w:rPr>
          <w:rFonts w:ascii="宋体" w:hAnsi="宋体"/>
          <w:b/>
          <w:bCs/>
          <w:sz w:val="30"/>
          <w:szCs w:val="30"/>
          <w:highlight w:val="none"/>
        </w:rPr>
      </w:pPr>
      <w:r>
        <w:rPr>
          <w:rFonts w:hint="eastAsia"/>
          <w:b/>
          <w:sz w:val="30"/>
          <w:szCs w:val="30"/>
          <w:highlight w:val="none"/>
        </w:rPr>
        <w:t xml:space="preserve">第一部分  合同协议书</w:t>
      </w:r>
      <w:r/>
    </w:p>
    <w:p>
      <w:pPr>
        <w:ind w:left="0" w:right="0" w:firstLine="480"/>
        <w:jc w:val="left"/>
        <w:keepLines w:val="0"/>
        <w:keepNext w:val="0"/>
        <w:pageBreakBefore w:val="0"/>
        <w:spacing w:line="460" w:lineRule="exact"/>
        <w:widowControl w:val="off"/>
        <w:tabs>
          <w:tab w:val="left" w:pos="6180" w:leader="none"/>
        </w:tabs>
        <w:rPr>
          <w:rFonts w:ascii="宋体" w:hAnsi="宋体"/>
          <w:sz w:val="24"/>
          <w:szCs w:val="24"/>
          <w:highlight w:val="none"/>
        </w:rPr>
      </w:pPr>
      <w:r>
        <w:rPr>
          <w:rFonts w:hint="eastAsia" w:ascii="宋体" w:hAnsi="宋体" w:cs="宋体"/>
          <w:sz w:val="24"/>
          <w:szCs w:val="24"/>
          <w:highlight w:val="none"/>
        </w:rPr>
        <w:t xml:space="preserve">发包人</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全称</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sz w:val="24"/>
          <w:szCs w:val="24"/>
          <w:highlight w:val="none"/>
          <w:u w:val="single"/>
          <w:lang w:eastAsia="zh-CN"/>
        </w:rPr>
        <w:t xml:space="preserve">盐城市亭湖区便仓镇人民政府</w:t>
      </w:r>
      <w:r>
        <w:rPr>
          <w:rFonts w:hint="eastAsia" w:ascii="宋体" w:hAnsi="宋体" w:cs="宋体"/>
          <w:sz w:val="24"/>
          <w:szCs w:val="24"/>
          <w:highlight w:val="none"/>
          <w:u w:val="single"/>
        </w:rPr>
        <w:t xml:space="preserve">   </w:t>
      </w:r>
      <w:r/>
    </w:p>
    <w:p>
      <w:pPr>
        <w:ind w:left="0" w:right="0" w:firstLine="480"/>
        <w:jc w:val="left"/>
        <w:keepLines w:val="0"/>
        <w:keepNext w:val="0"/>
        <w:pageBreakBefore w:val="0"/>
        <w:spacing w:line="460" w:lineRule="exact"/>
        <w:widowControl w:val="off"/>
        <w:rPr>
          <w:rFonts w:ascii="宋体" w:hAnsi="宋体" w:cs="宋体"/>
          <w:sz w:val="24"/>
          <w:szCs w:val="24"/>
          <w:highlight w:val="none"/>
          <w:u w:val="single"/>
        </w:rPr>
      </w:pPr>
      <w:r>
        <w:rPr>
          <w:rFonts w:hint="eastAsia" w:ascii="宋体" w:hAnsi="宋体" w:cs="宋体"/>
          <w:sz w:val="24"/>
          <w:szCs w:val="24"/>
          <w:highlight w:val="none"/>
        </w:rPr>
        <w:t xml:space="preserve">承包人</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全称</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根据《中华人民共和国民法典》、《中华人民共和国建筑法》及有关法律规定</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遵循平等、自愿、公平和诚实信用的原则</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双方就</w:t>
      </w:r>
      <w:r>
        <w:rPr>
          <w:rFonts w:hint="eastAsia" w:ascii="宋体" w:hAnsi="宋体"/>
          <w:sz w:val="24"/>
          <w:szCs w:val="24"/>
          <w:highlight w:val="none"/>
          <w:u w:val="single"/>
          <w:lang w:eastAsia="zh-CN"/>
        </w:rPr>
        <w:t xml:space="preserve">便仓镇恒泽源农产品加工项目配套污水压力管道建设工程</w:t>
      </w:r>
      <w:r>
        <w:rPr>
          <w:rFonts w:hint="eastAsia" w:ascii="宋体" w:hAnsi="宋体" w:cs="宋体"/>
          <w:sz w:val="24"/>
          <w:szCs w:val="24"/>
          <w:highlight w:val="none"/>
        </w:rPr>
        <w:t xml:space="preserve">及有关事项协商一致</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共同达成如下协议</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tabs>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一、工程概况</w:t>
      </w:r>
      <w:r/>
    </w:p>
    <w:p>
      <w:pPr>
        <w:ind w:left="0" w:right="0" w:firstLine="480"/>
        <w:jc w:val="left"/>
        <w:keepLines w:val="0"/>
        <w:keepNext w:val="0"/>
        <w:pageBreakBefore w:val="0"/>
        <w:spacing w:line="460" w:lineRule="exact"/>
        <w:widowControl w:val="off"/>
        <w:tabs>
          <w:tab w:val="left" w:pos="2160" w:leader="none"/>
          <w:tab w:val="left" w:pos="5080" w:leader="none"/>
          <w:tab w:val="left" w:pos="9960" w:leader="none"/>
          <w:tab w:val="left" w:pos="10100" w:leader="none"/>
        </w:tabs>
        <w:rPr>
          <w:rFonts w:ascii="宋体" w:hAnsi="宋体" w:cs="宋体"/>
          <w:sz w:val="24"/>
          <w:szCs w:val="24"/>
          <w:highlight w:val="none"/>
          <w:u w:val="single"/>
        </w:rPr>
      </w:pP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工程名称：</w:t>
      </w:r>
      <w:r>
        <w:rPr>
          <w:rFonts w:hint="eastAsia" w:ascii="宋体" w:hAnsi="宋体"/>
          <w:sz w:val="24"/>
          <w:szCs w:val="24"/>
          <w:highlight w:val="none"/>
          <w:u w:val="single"/>
          <w:lang w:eastAsia="zh-CN"/>
        </w:rPr>
        <w:t xml:space="preserve">便仓镇恒泽源农产品加工项目配套污水压力管道建设工程</w:t>
      </w:r>
      <w:r/>
    </w:p>
    <w:p>
      <w:pPr>
        <w:ind w:left="0" w:right="0" w:firstLine="480"/>
        <w:jc w:val="left"/>
        <w:keepLines w:val="0"/>
        <w:keepNext w:val="0"/>
        <w:pageBreakBefore w:val="0"/>
        <w:spacing w:line="460" w:lineRule="exact"/>
        <w:widowControl w:val="off"/>
        <w:tabs>
          <w:tab w:val="left" w:pos="2160" w:leader="none"/>
          <w:tab w:val="left" w:pos="5080" w:leader="none"/>
          <w:tab w:val="left" w:pos="9960" w:leader="none"/>
          <w:tab w:val="left" w:pos="10100" w:leader="none"/>
        </w:tabs>
        <w:rPr>
          <w:rFonts w:ascii="宋体" w:hAnsi="宋体"/>
          <w:sz w:val="24"/>
          <w:szCs w:val="24"/>
          <w:highlight w:val="none"/>
        </w:rPr>
      </w:pP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工程地点</w:t>
      </w:r>
      <w:r>
        <w:rPr>
          <w:rFonts w:hint="eastAsia" w:ascii="宋体" w:hAnsi="宋体" w:cs="MS PGothic"/>
          <w:sz w:val="24"/>
          <w:szCs w:val="24"/>
          <w:highlight w:val="none"/>
        </w:rPr>
        <w:t xml:space="preserve">：</w:t>
      </w:r>
      <w:r>
        <w:rPr>
          <w:rFonts w:hint="eastAsia" w:ascii="宋体" w:hAnsi="宋体" w:cs="宋体"/>
          <w:sz w:val="24"/>
          <w:szCs w:val="24"/>
          <w:highlight w:val="none"/>
          <w:u w:val="single"/>
          <w:lang w:eastAsia="zh-CN"/>
        </w:rPr>
        <w:t xml:space="preserve">盐城市亭湖区便仓镇人民政府</w:t>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3200" w:leader="none"/>
          <w:tab w:val="left" w:pos="5080" w:leader="none"/>
          <w:tab w:val="left" w:pos="9960" w:leader="none"/>
          <w:tab w:val="left" w:pos="10100" w:leader="none"/>
        </w:tabs>
        <w:rPr>
          <w:rFonts w:ascii="宋体" w:hAnsi="宋体"/>
          <w:sz w:val="24"/>
          <w:szCs w:val="24"/>
          <w:highlight w:val="none"/>
        </w:rPr>
      </w:pP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资金来源</w:t>
      </w:r>
      <w:r>
        <w:rPr>
          <w:rFonts w:hint="eastAsia" w:ascii="宋体" w:hAnsi="宋体" w:cs="MS PGothic"/>
          <w:sz w:val="24"/>
          <w:szCs w:val="24"/>
          <w:highlight w:val="none"/>
        </w:rPr>
        <w:t xml:space="preserve">：</w:t>
      </w:r>
      <w:r>
        <w:rPr>
          <w:rFonts w:ascii="宋体" w:hAnsi="宋体" w:cs="宋体"/>
          <w:sz w:val="24"/>
          <w:szCs w:val="24"/>
          <w:highlight w:val="none"/>
          <w:u w:val="single"/>
        </w:rPr>
        <w:t xml:space="preserve">财政资金</w:t>
      </w:r>
      <w:r>
        <w:rPr>
          <w:rFonts w:hint="eastAsia" w:ascii="宋体" w:hAnsi="宋体" w:cs="宋体"/>
          <w:sz w:val="24"/>
          <w:szCs w:val="24"/>
          <w:highlight w:val="none"/>
          <w:u w:val="single"/>
        </w:rPr>
        <w:t xml:space="preserve">，100%</w:t>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2160" w:leader="none"/>
          <w:tab w:val="left" w:pos="5080" w:leader="none"/>
          <w:tab w:val="left" w:pos="9960" w:leader="none"/>
          <w:tab w:val="left" w:pos="10100" w:leader="none"/>
        </w:tabs>
        <w:rPr>
          <w:rFonts w:ascii="宋体" w:hAnsi="宋体"/>
          <w:sz w:val="24"/>
          <w:szCs w:val="24"/>
          <w:highlight w:val="none"/>
        </w:rPr>
      </w:pP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工程内容</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工程包工包料施工    </w:t>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1950" w:leader="none"/>
          <w:tab w:val="left" w:pos="2600" w:leader="none"/>
          <w:tab w:val="left" w:pos="3200" w:leader="none"/>
          <w:tab w:val="left" w:pos="5080" w:leader="none"/>
          <w:tab w:val="left" w:pos="9960" w:leader="none"/>
        </w:tabs>
        <w:rPr>
          <w:rFonts w:hint="eastAsia" w:ascii="宋体" w:hAnsi="宋体" w:cs="宋体"/>
          <w:sz w:val="24"/>
          <w:szCs w:val="24"/>
          <w:highlight w:val="none"/>
        </w:rPr>
      </w:pPr>
      <w:r>
        <w:rPr>
          <w:rFonts w:hint="eastAsia" w:ascii="宋体" w:hAnsi="宋体" w:cs="MS PGothic"/>
          <w:sz w:val="24"/>
          <w:szCs w:val="24"/>
          <w:highlight w:val="none"/>
        </w:rPr>
        <w:t xml:space="preserve">5.</w:t>
      </w:r>
      <w:r>
        <w:rPr>
          <w:rFonts w:hint="eastAsia" w:ascii="宋体" w:hAnsi="宋体" w:cs="宋体"/>
          <w:sz w:val="24"/>
          <w:szCs w:val="24"/>
          <w:highlight w:val="none"/>
        </w:rPr>
        <w:t xml:space="preserve">工程承包范围</w:t>
      </w:r>
      <w:r>
        <w:rPr>
          <w:rFonts w:hint="eastAsia" w:ascii="宋体" w:hAnsi="宋体" w:cs="MS PGothic"/>
          <w:sz w:val="24"/>
          <w:szCs w:val="24"/>
          <w:highlight w:val="none"/>
        </w:rPr>
        <w:t xml:space="preserve">：</w:t>
      </w:r>
      <w:r>
        <w:rPr>
          <w:rFonts w:hint="eastAsia" w:ascii="宋体" w:hAnsi="宋体"/>
          <w:sz w:val="24"/>
          <w:szCs w:val="24"/>
          <w:highlight w:val="none"/>
          <w:u w:val="single"/>
          <w:lang w:val="en-US" w:eastAsia="zh-CN"/>
        </w:rPr>
        <w:t xml:space="preserve">                      </w:t>
      </w:r>
      <w:r>
        <w:rPr>
          <w:rFonts w:hint="eastAsia" w:ascii="宋体" w:hAnsi="宋体" w:cs="宋体"/>
          <w:sz w:val="24"/>
          <w:szCs w:val="24"/>
          <w:highlight w:val="none"/>
        </w:rPr>
        <w:t xml:space="preserve">　　</w:t>
      </w:r>
      <w:r/>
    </w:p>
    <w:p>
      <w:pPr>
        <w:ind w:left="0" w:right="0" w:firstLine="480"/>
        <w:jc w:val="left"/>
        <w:keepLines w:val="0"/>
        <w:keepNext w:val="0"/>
        <w:pageBreakBefore w:val="0"/>
        <w:spacing w:line="460" w:lineRule="exact"/>
        <w:widowControl w:val="off"/>
        <w:tabs>
          <w:tab w:val="left" w:pos="1950" w:leader="none"/>
          <w:tab w:val="left" w:pos="2600" w:leader="none"/>
          <w:tab w:val="left" w:pos="3200" w:leader="none"/>
          <w:tab w:val="left" w:pos="50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二、合同工期</w:t>
      </w:r>
      <w:r/>
    </w:p>
    <w:p>
      <w:pPr>
        <w:ind w:left="0" w:right="0" w:firstLine="480"/>
        <w:jc w:val="left"/>
        <w:keepLines w:val="0"/>
        <w:keepNext w:val="0"/>
        <w:pageBreakBefore w:val="0"/>
        <w:spacing w:line="460" w:lineRule="exact"/>
        <w:widowControl w:val="off"/>
        <w:tabs>
          <w:tab w:val="left" w:pos="2175" w:leader="none"/>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计划开工日期</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（以</w:t>
      </w:r>
      <w:r>
        <w:rPr>
          <w:rFonts w:ascii="宋体" w:hAnsi="宋体"/>
          <w:sz w:val="24"/>
          <w:szCs w:val="24"/>
          <w:highlight w:val="none"/>
          <w:u w:val="single"/>
        </w:rPr>
        <w:t xml:space="preserve">发包人书面通知为准）</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2805" w:leader="none"/>
          <w:tab w:val="left" w:pos="540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计划竣工日期</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2800" w:leader="none"/>
        </w:tabs>
        <w:rPr>
          <w:rFonts w:ascii="宋体" w:hAnsi="宋体"/>
          <w:sz w:val="24"/>
          <w:szCs w:val="24"/>
          <w:highlight w:val="none"/>
        </w:rPr>
      </w:pPr>
      <w:r>
        <w:rPr>
          <w:rFonts w:hint="eastAsia" w:ascii="宋体" w:hAnsi="宋体" w:cs="宋体"/>
          <w:sz w:val="24"/>
          <w:szCs w:val="24"/>
          <w:highlight w:val="none"/>
        </w:rPr>
        <w:t xml:space="preserve">工期总日历天数</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天</w:t>
      </w:r>
      <w:r>
        <w:rPr>
          <w:rFonts w:hint="eastAsia" w:ascii="宋体" w:hAnsi="宋体" w:cs="宋体"/>
          <w:sz w:val="24"/>
          <w:szCs w:val="24"/>
          <w:highlight w:val="none"/>
        </w:rPr>
        <w:t xml:space="preserve">。工期总日历天数与根据前述计划开竣工日期计算的工期天数不一致的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以工期总日历天数为准。</w:t>
      </w:r>
      <w:r/>
    </w:p>
    <w:p>
      <w:pPr>
        <w:ind w:left="0" w:right="0" w:firstLine="480"/>
        <w:jc w:val="left"/>
        <w:keepLines w:val="0"/>
        <w:keepNext w:val="0"/>
        <w:pageBreakBefore w:val="0"/>
        <w:spacing w:line="460" w:lineRule="exact"/>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三、质量标准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合格</w:t>
      </w:r>
      <w:r/>
    </w:p>
    <w:p>
      <w:pPr>
        <w:ind w:left="0" w:right="0" w:firstLine="480"/>
        <w:jc w:val="left"/>
        <w:keepLines w:val="0"/>
        <w:keepNext w:val="0"/>
        <w:pageBreakBefore w:val="0"/>
        <w:spacing w:line="460" w:lineRule="exact"/>
        <w:widowControl w:val="off"/>
        <w:tabs>
          <w:tab w:val="left" w:pos="950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四、暂定合同价与合同价格形式</w:t>
      </w:r>
      <w:r/>
    </w:p>
    <w:p>
      <w:pPr>
        <w:ind w:left="0" w:right="0" w:firstLine="480"/>
        <w:keepLines w:val="0"/>
        <w:keepNext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暂定合同总价为人民币（大写）：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元（小写：</w:t>
      </w:r>
      <w:r>
        <w:rPr>
          <w:rFonts w:hint="eastAsia" w:ascii="宋体" w:hAnsi="宋体"/>
          <w:sz w:val="24"/>
          <w:szCs w:val="24"/>
          <w:highlight w:val="none"/>
          <w:u w:val="single"/>
        </w:rPr>
        <w:t xml:space="preserve">         </w:t>
      </w:r>
      <w:r>
        <w:rPr>
          <w:rFonts w:hint="eastAsia" w:ascii="宋体" w:hAnsi="宋体"/>
          <w:sz w:val="24"/>
          <w:szCs w:val="24"/>
          <w:highlight w:val="none"/>
        </w:rPr>
        <w:t xml:space="preserve">元）；</w:t>
      </w:r>
      <w:r/>
    </w:p>
    <w:p>
      <w:pPr>
        <w:ind w:left="0" w:right="0" w:firstLine="480"/>
        <w:jc w:val="left"/>
        <w:keepLines w:val="0"/>
        <w:keepNext w:val="0"/>
        <w:pageBreakBefore w:val="0"/>
        <w:spacing w:line="460" w:lineRule="exact"/>
        <w:widowControl w:val="off"/>
        <w:tabs>
          <w:tab w:val="left" w:pos="1971" w:leader="none"/>
          <w:tab w:val="left" w:pos="4572" w:leader="none"/>
          <w:tab w:val="left" w:pos="5292" w:leader="none"/>
          <w:tab w:val="left" w:pos="7960" w:leader="none"/>
          <w:tab w:val="left" w:pos="9980" w:leader="none"/>
        </w:tabs>
        <w:rPr>
          <w:rFonts w:ascii="宋体" w:hAnsi="宋体"/>
          <w:sz w:val="24"/>
          <w:szCs w:val="24"/>
          <w:highlight w:val="none"/>
        </w:rPr>
      </w:pPr>
      <w:r>
        <w:rPr>
          <w:rFonts w:hint="eastAsia" w:ascii="宋体" w:hAnsi="宋体"/>
          <w:sz w:val="24"/>
          <w:szCs w:val="24"/>
          <w:highlight w:val="none"/>
        </w:rPr>
        <w:t xml:space="preserve">合同价格形式：固定</w:t>
      </w:r>
      <w:r>
        <w:rPr>
          <w:rFonts w:hint="eastAsia" w:ascii="宋体" w:hAnsi="宋体"/>
          <w:sz w:val="24"/>
          <w:szCs w:val="24"/>
          <w:highlight w:val="none"/>
          <w:lang w:val="en-US" w:eastAsia="zh-CN"/>
        </w:rPr>
        <w:t xml:space="preserve">单</w:t>
      </w:r>
      <w:r>
        <w:rPr>
          <w:rFonts w:hint="eastAsia" w:ascii="宋体" w:hAnsi="宋体"/>
          <w:sz w:val="24"/>
          <w:szCs w:val="24"/>
          <w:highlight w:val="none"/>
        </w:rPr>
        <w:t xml:space="preserve">价合同。</w:t>
      </w:r>
      <w:r/>
    </w:p>
    <w:p>
      <w:pPr>
        <w:ind w:left="0" w:right="0" w:firstLine="480"/>
        <w:jc w:val="left"/>
        <w:keepLines w:val="0"/>
        <w:keepNext w:val="0"/>
        <w:pageBreakBefore w:val="0"/>
        <w:spacing w:line="460" w:lineRule="exact"/>
        <w:widowControl w:val="off"/>
        <w:tabs>
          <w:tab w:val="left" w:pos="2900" w:leader="none"/>
          <w:tab w:val="left" w:pos="7580"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五、工程总承包项目经理</w:t>
      </w:r>
      <w:r/>
    </w:p>
    <w:p>
      <w:pPr>
        <w:ind w:left="0" w:right="0" w:firstLine="480"/>
        <w:jc w:val="left"/>
        <w:keepLines w:val="0"/>
        <w:keepNext w:val="0"/>
        <w:pageBreakBefore w:val="0"/>
        <w:spacing w:line="460" w:lineRule="exact"/>
        <w:widowControl w:val="off"/>
        <w:tabs>
          <w:tab w:val="left" w:pos="4240" w:leader="none"/>
          <w:tab w:val="left" w:pos="7835"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工程总承包项目经理</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ind w:left="0" w:right="0" w:firstLine="480"/>
        <w:jc w:val="left"/>
        <w:keepLines w:val="0"/>
        <w:keepNext w:val="0"/>
        <w:pageBreakBefore w:val="0"/>
        <w:spacing w:line="460" w:lineRule="exact"/>
        <w:widowControl w:val="off"/>
        <w:tabs>
          <w:tab w:val="left" w:pos="2900" w:leader="none"/>
          <w:tab w:val="left" w:pos="7580"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六、合同文件构成</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本协议书与下列文件一起构成合同文件</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中标通知书</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如果有</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投标函及其附录</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如果有</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专用合同条款及其附件</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通用合同条款</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（5）</w:t>
      </w:r>
      <w:r>
        <w:rPr>
          <w:rFonts w:hint="eastAsia" w:ascii="宋体" w:hAnsi="宋体" w:cs="宋体"/>
          <w:sz w:val="24"/>
          <w:szCs w:val="24"/>
          <w:highlight w:val="none"/>
        </w:rPr>
        <w:t xml:space="preserve">技术标准和要求</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（6）</w:t>
      </w:r>
      <w:r>
        <w:rPr>
          <w:rFonts w:hint="eastAsia" w:ascii="宋体" w:hAnsi="宋体" w:cs="宋体"/>
          <w:sz w:val="24"/>
          <w:szCs w:val="24"/>
          <w:highlight w:val="none"/>
        </w:rPr>
        <w:t xml:space="preserve">图纸（如有）</w:t>
      </w:r>
      <w:r>
        <w:rPr>
          <w:rFonts w:hint="eastAsia" w:ascii="宋体" w:hAnsi="宋体" w:cs="MS PGothic"/>
          <w:sz w:val="24"/>
          <w:szCs w:val="24"/>
          <w:highlight w:val="none"/>
        </w:rPr>
        <w:t xml:space="preserve">；</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MS PGothic"/>
          <w:sz w:val="24"/>
          <w:szCs w:val="24"/>
          <w:highlight w:val="none"/>
        </w:rPr>
        <w:t xml:space="preserve">（7）</w:t>
      </w:r>
      <w:r>
        <w:rPr>
          <w:rFonts w:hint="eastAsia" w:ascii="宋体" w:hAnsi="宋体" w:cs="宋体"/>
          <w:sz w:val="24"/>
          <w:szCs w:val="24"/>
          <w:highlight w:val="none"/>
        </w:rPr>
        <w:t xml:space="preserve">其他合同文件。</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在合同订立及履行过程中形成的与合同有关的文件均构成合同文件组成部分。 　　</w:t>
      </w:r>
      <w:r/>
    </w:p>
    <w:p>
      <w:pPr>
        <w:ind w:left="0" w:right="0" w:firstLine="480"/>
        <w:jc w:val="left"/>
        <w:keepLines w:val="0"/>
        <w:keepNext w:val="0"/>
        <w:pageBreakBefore w:val="0"/>
        <w:spacing w:line="460" w:lineRule="exact"/>
        <w:widowControl w:val="off"/>
        <w:rPr>
          <w:rFonts w:ascii="宋体" w:hAnsi="宋体" w:cs="MS PGothic"/>
          <w:sz w:val="24"/>
          <w:szCs w:val="24"/>
          <w:highlight w:val="none"/>
        </w:rPr>
      </w:pPr>
      <w:r>
        <w:rPr>
          <w:rFonts w:hint="eastAsia" w:ascii="宋体" w:hAnsi="宋体" w:cs="宋体"/>
          <w:sz w:val="24"/>
          <w:szCs w:val="24"/>
          <w:highlight w:val="none"/>
        </w:rPr>
        <w:t xml:space="preserve">上述各项合同文件包括合同当事人就该项合同文件所作出的补充和修改</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属于同一类内容的</w:t>
      </w:r>
      <w:r>
        <w:rPr>
          <w:rFonts w:hint="eastAsia" w:ascii="宋体" w:hAnsi="宋体" w:cs="MS PGothic"/>
          <w:sz w:val="24"/>
          <w:szCs w:val="24"/>
          <w:highlight w:val="none"/>
        </w:rPr>
        <w:t xml:space="preserve">文件，应以最新签署的为准。专用合同条款及其附件须经合同当事人签字或盖章。</w:t>
      </w:r>
      <w:r/>
    </w:p>
    <w:p>
      <w:pPr>
        <w:ind w:left="0" w:right="0" w:firstLine="480"/>
        <w:jc w:val="left"/>
        <w:keepLines w:val="0"/>
        <w:keepNext w:val="0"/>
        <w:pageBreakBefore w:val="0"/>
        <w:spacing w:line="460" w:lineRule="exact"/>
        <w:widowControl w:val="off"/>
        <w:rPr>
          <w:rFonts w:ascii="宋体" w:hAnsi="宋体" w:cs="MS PGothic"/>
          <w:sz w:val="24"/>
          <w:szCs w:val="24"/>
          <w:highlight w:val="none"/>
        </w:rPr>
      </w:pPr>
      <w:r>
        <w:rPr>
          <w:rFonts w:hint="eastAsia" w:ascii="宋体" w:hAnsi="宋体" w:cs="MS PGothic"/>
          <w:sz w:val="24"/>
          <w:szCs w:val="24"/>
          <w:highlight w:val="none"/>
        </w:rPr>
        <w:t xml:space="preserve">七、承诺</w:t>
      </w:r>
      <w:r/>
    </w:p>
    <w:p>
      <w:pPr>
        <w:ind w:left="0" w:right="0" w:firstLine="480"/>
        <w:jc w:val="left"/>
        <w:keepLines w:val="0"/>
        <w:keepNext w:val="0"/>
        <w:pageBreakBefore w:val="0"/>
        <w:spacing w:line="460" w:lineRule="exact"/>
        <w:widowControl w:val="off"/>
        <w:rPr>
          <w:rFonts w:ascii="宋体" w:hAnsi="宋体" w:cs="MS PGothic"/>
          <w:sz w:val="24"/>
          <w:szCs w:val="24"/>
          <w:highlight w:val="none"/>
        </w:rPr>
      </w:pPr>
      <w:r>
        <w:rPr>
          <w:rFonts w:hint="eastAsia" w:ascii="宋体" w:hAnsi="宋体" w:cs="MS PGothic"/>
          <w:sz w:val="24"/>
          <w:szCs w:val="24"/>
          <w:highlight w:val="none"/>
        </w:rPr>
        <w:t xml:space="preserve">1.发包人承诺按照法律规定履行项目审批手续、筹集工程建设资金并按照合同约定的期限和方式支付合同价款。 　　</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MS PGothic"/>
          <w:sz w:val="24"/>
          <w:szCs w:val="24"/>
          <w:highlight w:val="none"/>
        </w:rPr>
        <w:t xml:space="preserve">2.</w:t>
      </w:r>
      <w:r>
        <w:rPr>
          <w:rFonts w:hint="eastAsia" w:ascii="宋体" w:hAnsi="宋体"/>
          <w:sz w:val="24"/>
          <w:szCs w:val="24"/>
          <w:highlight w:val="none"/>
        </w:rPr>
        <w:t xml:space="preserve">承包人承诺按照法律规定及合同约定组织完成工程的设计、采购和施工等工作，确保工程质量和安全，不进行转包及违法分包，并在缺陷责任期及保修期内承担相应的工程维修责任。</w:t>
      </w:r>
      <w:r/>
    </w:p>
    <w:p>
      <w:pPr>
        <w:ind w:left="0" w:right="0" w:firstLine="480"/>
        <w:jc w:val="left"/>
        <w:keepLines w:val="0"/>
        <w:keepNext w:val="0"/>
        <w:pageBreakBefore w:val="0"/>
        <w:spacing w:line="460" w:lineRule="exact"/>
        <w:widowControl w:val="off"/>
        <w:rPr>
          <w:rFonts w:ascii="宋体" w:hAnsi="宋体"/>
          <w:sz w:val="24"/>
          <w:szCs w:val="24"/>
          <w:highlight w:val="none"/>
        </w:rPr>
      </w:pPr>
      <w:r/>
      <w:bookmarkStart w:id="131" w:name="page4"/>
      <w:r/>
      <w:bookmarkEnd w:id="131"/>
      <w:r>
        <w:rPr>
          <w:rFonts w:hint="eastAsia" w:ascii="宋体" w:hAnsi="宋体" w:cs="宋体"/>
          <w:sz w:val="24"/>
          <w:szCs w:val="24"/>
          <w:highlight w:val="none"/>
        </w:rPr>
        <w:t xml:space="preserve">八、词语含义</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本协议书中词语含义与第二部分通用合同条款中赋予的含义相同。</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九、签订时间</w:t>
      </w:r>
      <w:r/>
    </w:p>
    <w:p>
      <w:pPr>
        <w:pStyle w:val="1178"/>
        <w:ind w:left="0" w:right="0" w:firstLine="480"/>
        <w:keepLines w:val="0"/>
        <w:keepNext w:val="0"/>
        <w:pageBreakBefore w:val="0"/>
        <w:spacing w:line="460" w:lineRule="exact"/>
        <w:widowControl w:val="off"/>
        <w:rPr>
          <w:rFonts w:hint="default"/>
          <w:sz w:val="24"/>
          <w:szCs w:val="24"/>
          <w:highlight w:val="none"/>
        </w:rPr>
      </w:pPr>
      <w:r>
        <w:rPr>
          <w:sz w:val="24"/>
          <w:szCs w:val="24"/>
          <w:highlight w:val="none"/>
          <w:u w:val="none"/>
        </w:rPr>
        <w:t xml:space="preserve">本合同于</w:t>
      </w:r>
      <w:r>
        <w:rPr>
          <w:sz w:val="24"/>
          <w:szCs w:val="24"/>
          <w:highlight w:val="none"/>
        </w:rPr>
        <w:t xml:space="preserve">                          </w:t>
      </w:r>
      <w:r>
        <w:rPr>
          <w:sz w:val="24"/>
          <w:szCs w:val="24"/>
          <w:highlight w:val="none"/>
          <w:u w:val="none"/>
        </w:rPr>
        <w:t xml:space="preserve">签订。</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十、签订地点</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本合同在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签订。</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十一、补充协议 　　</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合同未尽事宜</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合同当事人另行签订补充协议</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补充协议是合同的组成部分。 </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十二、合同生效 　　</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本合同自</w:t>
      </w:r>
      <w:r>
        <w:rPr>
          <w:rFonts w:hint="eastAsia" w:ascii="宋体" w:hAnsi="宋体" w:cs="宋体"/>
          <w:sz w:val="24"/>
          <w:szCs w:val="24"/>
          <w:highlight w:val="none"/>
          <w:u w:val="single"/>
        </w:rPr>
        <w:t xml:space="preserve"> 双方签字盖章后 </w:t>
      </w:r>
      <w:r>
        <w:rPr>
          <w:rFonts w:hint="eastAsia" w:ascii="宋体" w:hAnsi="宋体" w:cs="宋体"/>
          <w:sz w:val="24"/>
          <w:szCs w:val="24"/>
          <w:highlight w:val="none"/>
        </w:rPr>
        <w:t xml:space="preserve">生效。</w:t>
      </w:r>
      <w:r/>
    </w:p>
    <w:p>
      <w:pPr>
        <w:ind w:left="0" w:right="0" w:firstLine="480"/>
        <w:jc w:val="left"/>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十三、合同份数 　　</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cs="宋体"/>
          <w:sz w:val="24"/>
          <w:szCs w:val="24"/>
          <w:highlight w:val="none"/>
        </w:rPr>
        <w:t xml:space="preserve">本合同一式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均具有同等法律效力</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发包人执</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肆</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承包人执 </w:t>
      </w:r>
      <w:r>
        <w:rPr>
          <w:rFonts w:hint="eastAsia" w:ascii="宋体" w:hAnsi="宋体" w:cs="宋体"/>
          <w:sz w:val="24"/>
          <w:szCs w:val="24"/>
          <w:highlight w:val="none"/>
          <w:u w:val="single"/>
          <w:lang w:val="en-US" w:eastAsia="zh-CN"/>
        </w:rPr>
        <w:t xml:space="preserve">肆</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left="0" w:right="0" w:firstLine="480"/>
        <w:keepLines w:val="0"/>
        <w:keepNext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发包人：  (公章)                             承包人：  (公章)</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法定代表人或其委托代理人：                   法定代表人或其委托代理人：</w:t>
      </w:r>
      <w:r/>
    </w:p>
    <w:p>
      <w:pPr>
        <w:ind w:left="0" w:right="0" w:firstLine="480"/>
        <w:keepLines w:val="0"/>
        <w:keepNext w:val="0"/>
        <w:pageBreakBefore w:val="0"/>
        <w:spacing w:line="460" w:lineRule="exact"/>
        <w:widowControl w:val="off"/>
        <w:rPr>
          <w:rFonts w:ascii="宋体" w:hAnsi="宋体"/>
          <w:sz w:val="24"/>
          <w:szCs w:val="24"/>
          <w:highlight w:val="none"/>
          <w:u w:val="single"/>
        </w:rPr>
      </w:pPr>
      <w:r>
        <w:rPr>
          <w:rFonts w:hint="eastAsia" w:ascii="宋体" w:hAnsi="宋体"/>
          <w:sz w:val="24"/>
          <w:szCs w:val="24"/>
          <w:highlight w:val="none"/>
        </w:rPr>
        <w:t xml:space="preserve">（签字或盖章）                               （签字或盖章）</w:t>
      </w:r>
      <w:r/>
    </w:p>
    <w:p>
      <w:pPr>
        <w:ind w:left="0" w:right="0" w:firstLine="480"/>
        <w:keepLines w:val="0"/>
        <w:keepNext w:val="0"/>
        <w:pageBreakBefore w:val="0"/>
        <w:spacing w:line="460" w:lineRule="exact"/>
        <w:widowControl w:val="off"/>
        <w:tabs>
          <w:tab w:val="left" w:pos="4410" w:leader="none"/>
        </w:tabs>
        <w:rPr>
          <w:rFonts w:ascii="宋体" w:hAnsi="宋体"/>
          <w:sz w:val="24"/>
          <w:szCs w:val="24"/>
          <w:highlight w:val="none"/>
        </w:rPr>
      </w:pPr>
      <w:r>
        <w:rPr>
          <w:rFonts w:hint="eastAsia" w:ascii="宋体" w:hAnsi="宋体"/>
          <w:sz w:val="24"/>
          <w:szCs w:val="24"/>
          <w:highlight w:val="none"/>
        </w:rPr>
        <w:t xml:space="preserve">组织机构代码：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                        组织机构代码：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sz w:val="24"/>
          <w:szCs w:val="24"/>
          <w:highlight w:val="none"/>
        </w:rPr>
        <w:t xml:space="preserve">                        地  址：</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邮政编码：</w:t>
      </w:r>
      <w:r>
        <w:rPr>
          <w:rFonts w:hint="eastAsia" w:ascii="宋体" w:hAnsi="宋体"/>
          <w:sz w:val="24"/>
          <w:szCs w:val="24"/>
          <w:highlight w:val="none"/>
          <w:u w:val="single"/>
        </w:rPr>
        <w:t xml:space="preserve">          </w:t>
      </w:r>
      <w:r>
        <w:rPr>
          <w:rFonts w:hint="eastAsia" w:ascii="宋体" w:hAnsi="宋体"/>
          <w:sz w:val="24"/>
          <w:szCs w:val="24"/>
          <w:highlight w:val="none"/>
        </w:rPr>
        <w:t xml:space="preserve">                         邮政编码：</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w:t>
      </w:r>
      <w:r>
        <w:rPr>
          <w:rFonts w:hint="eastAsia" w:ascii="宋体" w:hAnsi="宋体"/>
          <w:sz w:val="24"/>
          <w:szCs w:val="24"/>
          <w:highlight w:val="none"/>
        </w:rPr>
        <w:t xml:space="preserve">                        法定代表人：</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委托代理人：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委托代理人：</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电  话：</w:t>
      </w:r>
      <w:r>
        <w:rPr>
          <w:rFonts w:hint="eastAsia" w:ascii="宋体" w:hAnsi="宋体"/>
          <w:sz w:val="24"/>
          <w:szCs w:val="24"/>
          <w:highlight w:val="none"/>
          <w:u w:val="single"/>
        </w:rPr>
        <w:t xml:space="preserve">               </w:t>
      </w:r>
      <w:r>
        <w:rPr>
          <w:rFonts w:hint="eastAsia" w:ascii="宋体" w:hAnsi="宋体"/>
          <w:sz w:val="24"/>
          <w:szCs w:val="24"/>
          <w:highlight w:val="none"/>
        </w:rPr>
        <w:t xml:space="preserve">                      电  话：</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传  真：</w:t>
      </w:r>
      <w:r>
        <w:rPr>
          <w:rFonts w:hint="eastAsia" w:ascii="宋体" w:hAnsi="宋体"/>
          <w:sz w:val="24"/>
          <w:szCs w:val="24"/>
          <w:highlight w:val="none"/>
          <w:u w:val="single"/>
        </w:rPr>
        <w:t xml:space="preserve">                 </w:t>
      </w:r>
      <w:r>
        <w:rPr>
          <w:rFonts w:hint="eastAsia" w:ascii="宋体" w:hAnsi="宋体"/>
          <w:sz w:val="24"/>
          <w:szCs w:val="24"/>
          <w:highlight w:val="none"/>
        </w:rPr>
        <w:t xml:space="preserve">                    传  真：</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电子信箱：</w:t>
      </w:r>
      <w:r>
        <w:rPr>
          <w:rFonts w:hint="eastAsia" w:ascii="宋体" w:hAnsi="宋体"/>
          <w:sz w:val="24"/>
          <w:szCs w:val="24"/>
          <w:highlight w:val="none"/>
          <w:u w:val="single"/>
        </w:rPr>
        <w:t xml:space="preserve">                 </w:t>
      </w:r>
      <w:r>
        <w:rPr>
          <w:rFonts w:hint="eastAsia" w:ascii="宋体" w:hAnsi="宋体"/>
          <w:sz w:val="24"/>
          <w:szCs w:val="24"/>
          <w:highlight w:val="none"/>
        </w:rPr>
        <w:t xml:space="preserve">                  电子信箱：</w:t>
      </w:r>
      <w:r>
        <w:rPr>
          <w:rFonts w:hint="eastAsia" w:ascii="宋体" w:hAnsi="宋体"/>
          <w:sz w:val="24"/>
          <w:szCs w:val="24"/>
          <w:highlight w:val="none"/>
          <w:u w:val="single"/>
        </w:rPr>
        <w:t xml:space="preserve">                  </w:t>
      </w:r>
      <w:r/>
    </w:p>
    <w:p>
      <w:pPr>
        <w:ind w:left="0" w:righ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开户银行：</w:t>
      </w:r>
      <w:r>
        <w:rPr>
          <w:rFonts w:hint="eastAsia" w:ascii="宋体" w:hAnsi="宋体"/>
          <w:sz w:val="24"/>
          <w:szCs w:val="24"/>
          <w:highlight w:val="none"/>
          <w:u w:val="single"/>
        </w:rPr>
        <w:t xml:space="preserve">                 </w:t>
      </w:r>
      <w:r>
        <w:rPr>
          <w:rFonts w:hint="eastAsia" w:ascii="宋体" w:hAnsi="宋体"/>
          <w:sz w:val="24"/>
          <w:szCs w:val="24"/>
          <w:highlight w:val="none"/>
        </w:rPr>
        <w:t xml:space="preserve">                  开户银行：</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left="0" w:right="0" w:firstLine="480"/>
        <w:jc w:val="left"/>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账  号：</w:t>
      </w:r>
      <w:r>
        <w:rPr>
          <w:rFonts w:hint="eastAsia" w:ascii="宋体" w:hAnsi="宋体"/>
          <w:sz w:val="24"/>
          <w:szCs w:val="24"/>
          <w:highlight w:val="none"/>
          <w:u w:val="single"/>
        </w:rPr>
        <w:t xml:space="preserve">                    </w:t>
      </w:r>
      <w:r>
        <w:rPr>
          <w:rFonts w:hint="eastAsia" w:ascii="宋体" w:hAnsi="宋体"/>
          <w:sz w:val="24"/>
          <w:szCs w:val="24"/>
          <w:highlight w:val="none"/>
        </w:rPr>
        <w:t xml:space="preserve">                  账  号：</w:t>
      </w:r>
      <w:r>
        <w:rPr>
          <w:rFonts w:hint="eastAsia" w:ascii="宋体" w:hAnsi="宋体"/>
          <w:sz w:val="24"/>
          <w:szCs w:val="24"/>
          <w:highlight w:val="none"/>
          <w:u w:val="single"/>
        </w:rPr>
        <w:t xml:space="preserve">                     </w:t>
      </w:r>
      <w:r/>
    </w:p>
    <w:p>
      <w:pPr>
        <w:jc w:val="left"/>
        <w:spacing w:line="400" w:lineRule="exact"/>
        <w:rPr>
          <w:rFonts w:ascii="宋体" w:hAnsi="宋体"/>
          <w:highlight w:val="none"/>
        </w:rPr>
      </w:pPr>
      <w:r>
        <w:rPr>
          <w:rFonts w:ascii="宋体" w:hAnsi="宋体"/>
          <w:highlight w:val="none"/>
        </w:rPr>
      </w:r>
      <w:r/>
    </w:p>
    <w:p>
      <w:pPr>
        <w:jc w:val="center"/>
        <w:keepLines w:val="0"/>
        <w:keepNext w:val="0"/>
        <w:pageBreakBefore/>
        <w:spacing w:line="240" w:lineRule="auto"/>
        <w:widowControl w:val="off"/>
        <w:rPr>
          <w:rFonts w:ascii="宋体" w:hAnsi="宋体"/>
          <w:b/>
          <w:sz w:val="30"/>
          <w:szCs w:val="30"/>
          <w:highlight w:val="none"/>
        </w:rPr>
      </w:pPr>
      <w:r>
        <w:rPr>
          <w:rFonts w:hint="eastAsia" w:ascii="宋体" w:hAnsi="宋体"/>
          <w:b/>
          <w:sz w:val="30"/>
          <w:szCs w:val="30"/>
          <w:highlight w:val="none"/>
        </w:rPr>
        <w:t xml:space="preserve">第二部分   通用合同条款</w:t>
      </w:r>
      <w:bookmarkStart w:id="132" w:name="page5"/>
      <w:r/>
      <w:bookmarkEnd w:id="132"/>
      <w:r/>
      <w:r/>
    </w:p>
    <w:p>
      <w:pPr>
        <w:ind w:firstLine="482"/>
        <w:jc w:val="center"/>
        <w:keepLines w:val="0"/>
        <w:keepNext w:val="0"/>
        <w:pageBreakBefore w:val="0"/>
        <w:spacing w:line="460" w:lineRule="exact"/>
        <w:widowControl w:val="off"/>
        <w:rPr>
          <w:rFonts w:hint="eastAsia" w:ascii="宋体" w:hAnsi="宋体" w:cs="宋体"/>
          <w:b/>
          <w:sz w:val="32"/>
          <w:szCs w:val="32"/>
          <w:highlight w:val="none"/>
        </w:rPr>
      </w:pPr>
      <w:r>
        <w:rPr>
          <w:rFonts w:hint="eastAsia" w:ascii="宋体" w:hAnsi="宋体"/>
          <w:sz w:val="24"/>
          <w:highlight w:val="none"/>
        </w:rPr>
        <w:t xml:space="preserve">同建设工程施工合同（示范文本）（GF—2017—0201）内的通用合同条款。</w:t>
      </w:r>
      <w:r/>
    </w:p>
    <w:p>
      <w:pPr>
        <w:jc w:val="center"/>
        <w:keepLines w:val="0"/>
        <w:keepNext w:val="0"/>
        <w:pageBreakBefore/>
        <w:spacing w:line="240" w:lineRule="auto"/>
        <w:widowControl w:val="off"/>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 xml:space="preserve">第三部分 专用合同条款</w:t>
      </w:r>
      <w:r/>
    </w:p>
    <w:p>
      <w:pPr>
        <w:ind w:firstLine="480"/>
        <w:jc w:val="left"/>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一般约定</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招标文件、投标文件、发包人的工程量清单及最高限价文件（预算书）。合同履行中，发包人承包人有关工程的洽商、变更等书面协议或文件视为本合同专用条款的组成部分。若对同一问题合同文件出现矛盾和含糊，则以时间在后的文件或条款为准。</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苏州谨忻工程设计有限公司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w:t>
      </w:r>
      <w:r>
        <w:rPr>
          <w:rFonts w:hint="eastAsia" w:ascii="宋体" w:hAnsi="宋体" w:eastAsia="宋体" w:cs="宋体"/>
          <w:sz w:val="24"/>
          <w:szCs w:val="24"/>
          <w:highlight w:val="none"/>
          <w:u w:val="single"/>
        </w:rPr>
        <w:t xml:space="preserve">施工临时设施</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《中华人民共和国民法典》、《中华人民共和国建筑法》、《中华人民共和国政府采购法》、《建设工程质量管理条例》、《中华人民共和国安全生产法》及部省市建设主管部门现行的法律、法规等。</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国家标准、行业标准、工程所在地的地方标准以及相应的规范、规程等</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合同文件的优先顺序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 ①本合同协议书；②中标通知书；③招投标书及其附件(含投标函及其附录)；④本合同专用条款；⑤本合同通用条款；⑥标准、规范及有关技术文件；⑦工程量清单；⑧发包人委托编制的预算书；⑨双方有关工程的洽商、变更等书面协议或文件等</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施工组织设计、专项方案、技术方案等，以及发包人(实施单位)要求提供的其他资料。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根据发包人(实施单位)要求执行；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根据发包人(实施单位)要求；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书面及电子版；</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在7天内。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7</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施工现场</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实施单位现场代表</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施工现场</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项目经理</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 交通运输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出入现场的权利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根据施工需要，承包人负责取得出入施工现场所需的批准手续，以及取得因施工所需修建有关基础设施的权利，并承担相关手续费用和建设费用。承包人应在订立合同前查勘施工现场，并根据工程规模及技术参数，合理预见工程施工所需的进出施工现场的方式、手段、路径等。因承包人未合理预见，所增加的费用或延误的工期由承包人自行承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场内交通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发包人仅提供现有场内、外交通设施的技术参数和具体条件，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发包人按现状交给承包人。其它由承包人自行办理，费用由承包人承担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1.10.4超大件和超重件的运输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自行承担。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知识产权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1.11.1关于发包人提供给承包人的图纸、发包人为实施工程自行编制或委托编制的技术规范以及反 映发包人关于合同要求或其他类似性质的文件的著作权的归属：</w:t>
      </w:r>
      <w:r>
        <w:rPr>
          <w:rFonts w:hint="eastAsia" w:ascii="宋体" w:hAnsi="宋体" w:eastAsia="宋体" w:cs="宋体"/>
          <w:sz w:val="24"/>
          <w:szCs w:val="24"/>
          <w:highlight w:val="none"/>
          <w:u w:val="single"/>
        </w:rPr>
        <w:t xml:space="preserve">发包人</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发包人。</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由承包人承担,费用含在合同价中。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1.13工程量清单错误的修正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1.13.1出现工程量清单错误时，是否调整合同价格：</w:t>
      </w:r>
      <w:r>
        <w:rPr>
          <w:rFonts w:hint="eastAsia" w:ascii="宋体" w:hAnsi="宋体" w:eastAsia="宋体" w:cs="宋体"/>
          <w:sz w:val="24"/>
          <w:szCs w:val="24"/>
          <w:highlight w:val="none"/>
          <w:u w:val="single"/>
        </w:rPr>
        <w:t xml:space="preserve">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1.13.2允许调整合同价格的工程量偏差范围： </w:t>
      </w:r>
      <w:r>
        <w:rPr>
          <w:rFonts w:hint="eastAsia" w:ascii="宋体" w:hAnsi="宋体" w:eastAsia="宋体" w:cs="宋体"/>
          <w:sz w:val="24"/>
          <w:szCs w:val="24"/>
          <w:highlight w:val="none"/>
          <w:u w:val="single"/>
        </w:rPr>
        <w:t xml:space="preserve">(1)工程量清单存在缺项、漏项的；（2)非承包人原因造成的工程变更（含设计变更）或其它不可预见的工程量。</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发包人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发包人代表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single"/>
        </w:rPr>
        <w:t xml:space="preserve">发包人代表负责工程协调管理，按程序办理签证及变更方案实施</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确认现场工程量项目、对工程质量、施工进度、造价控制、合同管理、信息管理及组织协调等各方面全面监督和管理</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施工现场、施工条件和基础资料的提供。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开工前3天提供承包人相应的工作面。</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t xml:space="preserve">本工程发包人仅提供临时用水、用电接入口，具体由承包人自行接入到位并单独挂表计量，费用由承包人自行缴纳；施工场地与公共道路的通道开通，开工前由发包人配合承包人进行，费用由承包人负责；开工前 5 天内协调处理施工场地周围地下管线和邻近建筑物、构筑（含文物保护建筑）、古树名木的保护工作，费用由承包人负责。</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资金来源证明及支付担保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承包人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承包人提交的竣工资料的内容：</w:t>
      </w:r>
      <w:r>
        <w:rPr>
          <w:rFonts w:hint="eastAsia" w:ascii="宋体" w:hAnsi="宋体" w:eastAsia="宋体" w:cs="宋体"/>
          <w:sz w:val="24"/>
          <w:szCs w:val="24"/>
          <w:highlight w:val="none"/>
          <w:u w:val="single"/>
        </w:rPr>
        <w:t xml:space="preserve">按发包人要求提交全套施工资料及竣工图。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lang w:val="en-US" w:eastAsia="zh-CN"/>
        </w:rPr>
        <w:t xml:space="preserve">不少于伍份</w:t>
      </w:r>
      <w:r>
        <w:rPr>
          <w:rFonts w:hint="eastAsia" w:ascii="宋体" w:hAnsi="宋体" w:eastAsia="宋体" w:cs="宋体"/>
          <w:sz w:val="24"/>
          <w:szCs w:val="24"/>
          <w:highlight w:val="none"/>
          <w:u w:val="singl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工程竣工验收合格后28日内。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书面资料及电子档资料。</w:t>
      </w:r>
      <w:r>
        <w:rPr>
          <w:rFonts w:hint="eastAsia" w:ascii="宋体" w:hAnsi="宋体" w:eastAsia="宋体" w:cs="宋体"/>
          <w:sz w:val="24"/>
          <w:szCs w:val="24"/>
          <w:highlight w:val="none"/>
        </w:rPr>
        <w:t xml:space="preserve"> </w:t>
      </w:r>
      <w:r/>
    </w:p>
    <w:p>
      <w:pPr>
        <w:ind w:left="0" w:firstLine="480"/>
        <w:jc w:val="left"/>
        <w:pageBreakBefore w:val="0"/>
        <w:spacing w:line="46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sz w:val="24"/>
          <w:szCs w:val="24"/>
          <w:highlight w:val="none"/>
        </w:rPr>
        <w:t xml:space="preserve">承包人应履行的其他义务：</w:t>
      </w:r>
      <w:r>
        <w:rPr>
          <w:rFonts w:hint="eastAsia" w:ascii="宋体" w:hAnsi="宋体" w:eastAsia="宋体" w:cs="宋体"/>
          <w:sz w:val="24"/>
          <w:szCs w:val="24"/>
          <w:highlight w:val="none"/>
          <w:u w:val="single"/>
        </w:rPr>
        <w:t xml:space="preserve">①承担施工安全保卫工作及非夜间施工照明的责任和要求：承包人在各种危险部位设置明显的安全警示标志，安全警示标志必须符合国家标准，如发生安全事故，责任概由承包人承担，并按招标文件的相关约定要求进行处罚。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w:t>
      </w:r>
      <w:r>
        <w:rPr>
          <w:rFonts w:hint="eastAsia" w:ascii="宋体" w:hAnsi="宋体" w:eastAsia="宋体" w:cs="宋体"/>
          <w:sz w:val="24"/>
          <w:szCs w:val="24"/>
          <w:highlight w:val="none"/>
          <w:u w:val="single"/>
        </w:rPr>
        <w:t xml:space="preserve">同价中。③已完工程成品保护的特殊要求及费用承担： 已竣工工程未交付发包人之前，负责已完成工程的保护工作，所需费用含在合同价内。④承包人必须对施工场地周围地下管线和邻近建筑物、构筑物进行保护，费用由承包人负责；如因承包人没有及时报告和保护而造成的一切经济损失和法律责任由承包人承担。⑤施工场地清洁卫生的要求：按文明工地标准，施工现场材料堆放要整齐，并有遮盖，不得扬尘，机械停放有序，符合清洁卫生要求，承担因自身原因违反有关规定造成的损失和罚款。⑥双方约定承包人应做的其他工作：施工场地要设立标语、标牌，做到文明施工</w:t>
      </w:r>
      <w:r>
        <w:rPr>
          <w:rFonts w:hint="eastAsia" w:ascii="宋体" w:hAnsi="宋体" w:eastAsia="宋体" w:cs="宋体"/>
          <w:sz w:val="24"/>
          <w:szCs w:val="24"/>
          <w:highlight w:val="none"/>
          <w:u w:val="single"/>
        </w:rPr>
        <w:t xml:space="preserve">，树立企业形象，主动接受社会监督和有关部门的管理。⑦承包人在本专业工程竣工验收后七日内拆除所有临时设施，并清运出现场，费用由承包人负责。否则，如发生相关费用由发包人在工程竣工结算价款中扣除。⑧如发包人代扣代缴本工程应由承包人缴纳的各种费用，承包人必须履行发包人要求的各项手续，费用由承包人负责。⑨本工程向建设主管部门办理的工程施工许可手续，由承包人代为办理，发包人协助，费用按规定承担。⑩承包人无条件服从发包人管理工作的要求。自行协调与其它专业工程施工承包人（如有）之间的矛盾，如发生相关费用，由承包人自行承担。</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具体负责本项目施工管理和合同履行。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 该工程施工过程中项目经理和签订合同前经发包人及主管部门认定的项目部其他人员必须常驻现场实施施工管理。</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p>
    <w:p>
      <w:pPr>
        <w:ind w:left="0" w:firstLine="480"/>
        <w:keepLines w:val="0"/>
        <w:keepNext w:val="0"/>
        <w:pageBreakBefore w:val="0"/>
        <w:spacing w:line="460" w:lineRule="exact"/>
        <w:shd w:val="clear" w:color="auto" w:fill="ffffff"/>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项目负责人每月在工地现场的时间不少于本月施工时间的80％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sz w:val="24"/>
          <w:szCs w:val="24"/>
          <w:highlight w:val="none"/>
          <w:u w:val="single"/>
        </w:rPr>
        <w:t xml:space="preserve">中途项目经理需离岗必须履行书面请假手续并经发包人同意。未经发包人同意擅自离岗的，将处以每人每天（以8小时为1天）或每次5000元的违约金，所扣违约金在支付工程款时，从应付的工程款中扣除。若擅自离岗累计达7次或累计达7天的，经发包人提出仍未改正的，发包人有权终止合同并没收承包人缴纳的全部履约保证金，因此给发包人造成损失的，发包人将依法追偿。</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3.2.3 承包人擅自更换项目经理的违约责任：</w:t>
      </w:r>
      <w:r>
        <w:rPr>
          <w:rFonts w:hint="eastAsia" w:ascii="宋体" w:hAnsi="宋体" w:eastAsia="宋体" w:cs="宋体"/>
          <w:sz w:val="24"/>
          <w:szCs w:val="24"/>
          <w:highlight w:val="none"/>
          <w:u w:val="single"/>
        </w:rPr>
        <w:t xml:space="preserve">未经发包人同意，发包人可中止合同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3.2.4 承包人无正当理由拒绝更换项目经理的违约责任：</w:t>
      </w:r>
      <w:r>
        <w:rPr>
          <w:rFonts w:hint="eastAsia" w:ascii="宋体" w:hAnsi="宋体" w:eastAsia="宋体" w:cs="宋体"/>
          <w:sz w:val="24"/>
          <w:szCs w:val="24"/>
          <w:highlight w:val="none"/>
          <w:u w:val="single"/>
        </w:rPr>
        <w:t xml:space="preserve">发包人将有权终止合同并没收全部履约保证金，并将依法追偿由此给发包人造成的直接和间接损失。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进场3日内。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发包人有权终止合同同时没收全部履约保证金,并依法追偿由此给发包人造成的直接和间接损失。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中途施工管理人员需离岗必须履行书面请假手续并经发包人同意。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3.3.5承包人擅自更换主要施工管理人员的违约责任：</w:t>
      </w:r>
      <w:r>
        <w:rPr>
          <w:rFonts w:hint="eastAsia" w:ascii="宋体" w:hAnsi="宋体" w:eastAsia="宋体" w:cs="宋体"/>
          <w:sz w:val="24"/>
          <w:szCs w:val="24"/>
          <w:highlight w:val="none"/>
          <w:u w:val="single"/>
        </w:rPr>
        <w:t xml:space="preserve">未经发包人同意，发包人可中止合同。</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3.3.6承包人主要施工管理人员擅自离开施工现场的违约责任：</w:t>
      </w:r>
      <w:r>
        <w:rPr>
          <w:rFonts w:hint="eastAsia" w:ascii="宋体" w:hAnsi="宋体" w:eastAsia="宋体" w:cs="宋体"/>
          <w:sz w:val="24"/>
          <w:szCs w:val="24"/>
          <w:highlight w:val="none"/>
          <w:u w:val="single"/>
        </w:rPr>
        <w:t xml:space="preserve">若未经发包人同意而擅自离岗的，将处以每人每天</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000元的违约金，在支付工程款时从应付的工程款中扣除。若擅自离岗连续达2天以上的，经发包人提出仍未改正的，发包人有权终止合同，因此给发包人造成损失的，发包人将依法追偿。</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注：工程项目部管理人员必须严格按招投标文件要求及时配备到位。所有人员有持证要求的必须持证上 岗，在项目经理的统一领导下，尽心尽职地做好本职工作。如不能胜任工作的，发包人将有权建议更换 ，直到更换至能胜任现场管理工作为止。</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分包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分包的一般约定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本工程不允许分包、转包。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3.5.2分包的确定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按分包合同约定。</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进场直至施工完成交付使用，费用由承包人承担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履约担保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是</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3.7.1乙方交纳人民币（大写）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圆整（¥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元）作为本合同的履约保证金（合同金额的10%）；于合同履行完毕后同合同款一起无息退还。引用盐城信用办推行的第三方信用报告，AAA的供应商免交履约保证金，AA的供应商按一半金额缴纳(需提供信用管理部门备案的第三方信用报告)。</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3.7.2确需收取履约保证金的，履约保证金的缴纳形式：</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3.7.2.2 如以履约保函（保险）形式缴纳履约保证金，供应商可通过政府采购电子履约保函（保险）平台（www.jsdzbh.com）在线申请履约保函（保险）。</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3.7.3合同履行结束后，甲方应及时退还交纳的履约保证金。</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3.7.4履约保证金的退还：</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3.7.4.1方式：无息退还至投标人缴纳履约保证金的账户。如为保函，在到期时自行失效。</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3.7.4.2时间：验收合格且采购人收到发票后30日内。</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3.7.4.3条件：按合同要求全部履约完成并经采购人验收合格，且采购人收到中标人出具的发票。</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3.7.4.4不予退还情形：</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除不可抗力情况外，投标人出现下列情形之一的，其履约保证金，招标人将视情节决定不予退还或部分不予退还。</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（1）中标人无正当理由拒绝签订合同的，或者在签订合同时向采购人提出附加条件或者更改合同实质性内容要求的；</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（2）中标人不履行与采购人订立的合同的；</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（3）中标人所供货物或服务不符合招标文件规定要求的；</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（4）中标人采取欺骗、弄虚作假方式投标的或与其它投标人串通投标的；</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（5）中标人将合同内容转包、违法分包的；</w:t>
      </w:r>
      <w:r/>
    </w:p>
    <w:p>
      <w:pPr>
        <w:ind w:left="0" w:firstLine="480"/>
        <w:jc w:val="left"/>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（6）中标人故意捏造事实或伪造证明材料，进行虚假恶意投诉或反映的。</w:t>
      </w:r>
      <w:r/>
    </w:p>
    <w:p>
      <w:pPr>
        <w:ind w:left="0" w:firstLine="480"/>
        <w:jc w:val="left"/>
        <w:pageBreakBefore w:val="0"/>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3.7.4.5逾期退还的违约责任：采购人逾期无故未退还履约保证金的，按中国人民银行同期贷款基准利率上浮20%</w:t>
      </w:r>
      <w:r>
        <w:rPr>
          <w:rFonts w:hint="eastAsia" w:ascii="宋体" w:hAnsi="宋体" w:eastAsia="宋体" w:cs="宋体"/>
          <w:color w:val="000000"/>
          <w:sz w:val="24"/>
          <w:szCs w:val="24"/>
          <w:highlight w:val="none"/>
          <w:lang w:val="en-US" w:eastAsia="zh-CN" w:bidi="ar-SA"/>
        </w:rPr>
        <w:t xml:space="preserve">后的利率支付超期资金占用费，但因供应商自身原因导致无法及时退还的除外。</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监理人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4.1监理人的一般规定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商定或确定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工程质量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质量要求：国家“合格”标准。</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5.1.1 特殊质量标准和要求：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本工程质量标准为国家“合格”标准，并通过相关主管部门验收。若一次性验收不合格者，承包人须无条件整改达到承诺的质量标准及目标并承担相应的费用，由此造成的工期延误将不予顺延，承包人还将承担给发包人造成的实际经济损失。施工中发生严重的质量问题承包人必须同时向发包人承担承包范围内工程总造价3%的违约金。由此造成的工期延误将不予顺延，给发包人造成实际损失的还将承担经济赔偿责任。同时，承包人必须无偿整改达到承诺质量标准，保证工程按期交付使用。</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须严格按照招标文件技术要求、质量标准、验收规范等组织施工，接受发包人的检查。若发生工序、检验批等验收不符合质量目标要求的，每发生一次接受发包人以每次不少于2000元的经济处罚，相关费用直接从工程款中扣除。若发生分项工程验收不符合质量目标要求的，每发生一次接受发包人以每次不</w:t>
      </w:r>
      <w:r>
        <w:rPr>
          <w:rFonts w:hint="eastAsia" w:ascii="宋体" w:hAnsi="宋体" w:eastAsia="宋体" w:cs="宋体"/>
          <w:sz w:val="24"/>
          <w:szCs w:val="24"/>
          <w:highlight w:val="none"/>
          <w:u w:val="single"/>
        </w:rPr>
        <w:t xml:space="preserve">少于3000元的经济处罚，相关费用直接从工程款中扣除。若发生分部工程验收不符合质量目标要求的，每发生一次接受发包人以每次不少于5000元的经济处罚，相关费用直接从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按实际发生的费用的1.5倍从承包人的工程款中扣除。拒不整改的发包人有权终止施工合同，已经发生的合格工作量按照70%结算。</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须按法律法规及相关规定要求将建筑材料、试件及有关材料等送有相应资质的检测单位检测，承包人最终将凭具有相应资质的检测单位出具的检测报告作为对工程质量评定的依据。对关键部位、关键工序及隐蔽部位须按相关规定要求报质量监督部门验收，并出具合格的质量监督证明，否则发包人不予认可。非发包人原因，质量整改所发生的费用不予增加。</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为保证工程质量，发包人有权要求承包人提供材料样品，承包人必须无条件配合（相关费用已在投标报价中综合考虑），材料样品经发包人书面确认后方可进场施工。如承包人施工质量达不到发包人要求，承包人须无条件整改到位，若整改后仍达不到发包人要求的，发包人有权清退承包人，已完工程量按对应合同价款 70%结算，同时由此造成的损失均由承包人承担。</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小时提交书面延期要求。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小时。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1、承包人必须遵守江苏省建设厅及盐城市建设主管部门颁布的《建设工程施工安全管理规定》和《建设工程文明施工管理规定》。</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承包人进场后，必须服从发包人对施工场地总平面的规划，服从发包人的统一调度和指挥。如出现不服从管理和下列现象的，发包人将视情节轻重认定承包人是否违约，并根据情况要求承包人承担违约责任，支付违约金。</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left="0" w:firstLine="480"/>
        <w:jc w:val="left"/>
        <w:pageBreakBefore w:val="0"/>
        <w:spacing w:line="460" w:lineRule="exact"/>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4、本工程</w:t>
      </w:r>
      <w:r>
        <w:rPr>
          <w:rFonts w:hint="eastAsia" w:ascii="宋体" w:hAnsi="宋体" w:eastAsia="宋体" w:cs="宋体"/>
          <w:sz w:val="24"/>
          <w:szCs w:val="24"/>
          <w:highlight w:val="none"/>
          <w:u w:val="single"/>
          <w:lang w:val="en-US" w:eastAsia="zh-CN" w:bidi="ar-SA"/>
        </w:rPr>
        <w:t xml:space="preserve">要求危险作业（包括动火）必须安排专门人员进行现场安全管理。特种作业人员未持证上岗或未安排现场安全管理，将对承包人进行处罚每次3000元的罚金。</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、本工程施工期间发生的一切安</w:t>
      </w:r>
      <w:r>
        <w:rPr>
          <w:rFonts w:hint="eastAsia" w:ascii="宋体" w:hAnsi="宋体" w:eastAsia="宋体" w:cs="宋体"/>
          <w:sz w:val="24"/>
          <w:szCs w:val="24"/>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、施工过程中如遇地下管线、电缆等破坏修复费用、施工过程中及保修期内未及时修复而发生的一切安全责任，均由施工方自行承担。</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、承包人应保障施工现场过往车辆及行人的安全，对安全生产负全责。</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.1.4 关于治安保卫的特别约定：</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.1.5 文明施工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合同当事人对文明施工的要求： </w:t>
      </w:r>
      <w:r/>
    </w:p>
    <w:p>
      <w:pPr>
        <w:numPr>
          <w:ilvl w:val="0"/>
          <w:numId w:val="6"/>
        </w:num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有权监督承包人的文明施工措施按照相关管理规定实施到位。由于承包人疏于采取文明施工措施所造成的必要费用的支出，应由承包人支付，承包人未支付或迟延支付的，发包人可从履约保证金或到期工程款中予以扣除。 </w:t>
      </w:r>
      <w:r/>
    </w:p>
    <w:p>
      <w:pPr>
        <w:numPr>
          <w:ilvl w:val="0"/>
          <w:numId w:val="0"/>
        </w:numPr>
        <w:ind w:firstLine="480"/>
        <w:jc w:val="left"/>
        <w:keepLines w:val="0"/>
        <w:keepNext w:val="0"/>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（2）承包人在施工中污染周围环境、施工噪音干扰他人等所引起的政府职能部门罚款或停工整改或引起周围居民纠纷和索赔时，其所有发生的费用与损失将全部由承包人自行承担。</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承包人应负责整个场地的安全文明卫生管理,做到文明施工、保持施工场地清洁。本工程所有施工建筑垃圾均应全部清运出现场。服从发包人及相关主管部门的管理要求，主动协调、解决问题，若在施工期间出现因场地不清洁、交通不畅等违反文明施工管理规定的情况，所发生的一切费用均由承包人承担，同时还需接受发包人每次3000元的罚金。承包人必须遵守江苏省建设厅及盐城市建设主管部门颁布的《建设工程施工安全管理规定》和《建设工程文明施工管理规定》。 </w:t>
      </w:r>
      <w:r/>
    </w:p>
    <w:p>
      <w:pPr>
        <w:ind w:left="0" w:firstLine="480"/>
        <w:jc w:val="left"/>
        <w:pageBreakBefore w:val="0"/>
        <w:spacing w:line="460" w:lineRule="exact"/>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rPr>
        <w:t xml:space="preserve">（4）发包人将定期对承包人的施工质量、安全、文明施工进行检查，如发现工程现场及生活区内安全、文明施工管理较差的，有权要求承包人整改并通报批评，如发生二次通报批评情况，可按照合同总价0.1%对承包人处以违约金。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（5）严禁在施工现场焚烧垃圾</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乱扔烟头，</w:t>
      </w:r>
      <w:r>
        <w:rPr>
          <w:rFonts w:hint="eastAsia" w:ascii="宋体" w:hAnsi="宋体" w:eastAsia="宋体" w:cs="宋体"/>
          <w:sz w:val="24"/>
          <w:szCs w:val="24"/>
          <w:highlight w:val="none"/>
          <w:u w:val="single"/>
        </w:rPr>
        <w:t xml:space="preserve">如发现一次, 可按照合同总价0.2%对承包人处以违约金。进入施工现场的所有施工人员必须带好安全帽,如发现有一人次进入施工现场未带安全帽, 发包人则按50 元/人次对承包人处以违约金,如一天发现3人以上进入施工现场未带安全帽, 发包人则按200元/人次对承包人处以违约金。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（6）承包人不得在施工现场发生打架、斗殴、偷窃行为，发生一次，发包人可对承包人处</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000元/次违约金。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.1.6 关于安全文明施工费支付比例和支付期限的约定：</w:t>
      </w:r>
      <w:r>
        <w:rPr>
          <w:rFonts w:hint="eastAsia" w:ascii="宋体" w:hAnsi="宋体" w:eastAsia="宋体" w:cs="宋体"/>
          <w:sz w:val="24"/>
          <w:szCs w:val="24"/>
          <w:highlight w:val="none"/>
          <w:u w:val="single"/>
        </w:rPr>
        <w:t xml:space="preserve">本工程安全文明施工费不单独支付，包含在工程款中支付。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 工期和进度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施工组织设计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.1.1 合同当事人约定的施工组织设计应包括的其他内容：</w:t>
      </w:r>
      <w:r>
        <w:rPr>
          <w:rFonts w:hint="eastAsia" w:ascii="宋体" w:hAnsi="宋体" w:eastAsia="宋体" w:cs="宋体"/>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.1.2 施工组织设计的提交和修改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开工前</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日内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7天。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施工进度计划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.2.2 施工进度计划的修订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7天。</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开工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.3.1 开工准备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计划开工日期前</w:t>
      </w:r>
      <w:r>
        <w:rPr>
          <w:rFonts w:hint="eastAsia" w:ascii="宋体" w:hAnsi="宋体" w:eastAsia="宋体" w:cs="宋体"/>
          <w:sz w:val="24"/>
          <w:szCs w:val="24"/>
          <w:highlight w:val="none"/>
          <w:u w:val="single"/>
          <w:lang w:val="en-US" w:eastAsia="zh-CN"/>
        </w:rPr>
        <w:t xml:space="preserve">一周内</w:t>
      </w:r>
      <w:r>
        <w:rPr>
          <w:rFonts w:hint="eastAsia" w:ascii="宋体" w:hAnsi="宋体" w:eastAsia="宋体" w:cs="宋体"/>
          <w:sz w:val="24"/>
          <w:szCs w:val="24"/>
          <w:highlight w:val="none"/>
          <w:u w:val="single"/>
        </w:rPr>
        <w:t xml:space="preserve">提交开工报审表或开工报告，实际开工时间以发包人发出的开工通知日期为准</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开工前配合承包人将施工所需的水、电、电讯线路接至施工场地 ；开工前提供工程地质和地下管线资料；办理的施工所需证件、批件；交验水准点与坐标控制点交验，费用由承包人承担</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开工前必须向发包人(实施单位)提供施工进度计划、材料清单、材料进场计划、劳动力计划</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.3.2开工通知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天内发出开工通知的，承包人有权提出价格调整要求，或者解除合同。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测量放线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.4.1发包人通过监理人向承包人提供测量基准点、基准线和水准点及其书面资料的期限：</w:t>
      </w:r>
      <w:r>
        <w:rPr>
          <w:rFonts w:hint="eastAsia" w:ascii="宋体" w:hAnsi="宋体" w:eastAsia="宋体" w:cs="宋体"/>
          <w:sz w:val="24"/>
          <w:szCs w:val="24"/>
          <w:highlight w:val="none"/>
          <w:u w:val="single"/>
        </w:rPr>
        <w:t xml:space="preserve">开工前现场交验</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工期延误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 因发包人原因导致工期延误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因发包人原因导致工期延误的其他情形 ：</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 因承包人原因导致工期延误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承包人应按照投标文件承诺的工期确保工程验收，不得以任何借口停工怠工，如因承包人原因延误工期的（含不按期开工等情形），承包人应承担违约责任。造成工期</w:t>
      </w:r>
      <w:r>
        <w:rPr>
          <w:rFonts w:hint="eastAsia" w:ascii="宋体" w:hAnsi="宋体" w:eastAsia="宋体" w:cs="宋体"/>
          <w:sz w:val="24"/>
          <w:szCs w:val="24"/>
          <w:highlight w:val="none"/>
          <w:u w:val="single"/>
        </w:rPr>
        <w:t xml:space="preserve">延误的，按每延误一天处以合同价千分之二的违约金，且同时按招标文件最高限价确定依据中的赶工措施费费率扣除赶工费用；以上处罚费用直接从本工程的履约保证金或到期工程款中扣除。如因发包人原因并且符合工程工期顺延的情况，经发包人签证确认后顺延。签订合同后，承包人应编制施工组织设计报监理工程师批准。工程实施过程中,承包人严格按照经批准的施工组织设计组织施工，接受发包人对进度的检查、监督。发包人将对照确认的施工方案和进度计划对承包人的施工进度进行严格考核，每一周为一个考核周期。承包人将严格按照进度计划组织施工，如在一个考</w:t>
      </w:r>
      <w:r>
        <w:rPr>
          <w:rFonts w:hint="eastAsia" w:ascii="宋体" w:hAnsi="宋体" w:eastAsia="宋体" w:cs="宋体"/>
          <w:sz w:val="24"/>
          <w:szCs w:val="24"/>
          <w:highlight w:val="none"/>
          <w:u w:val="single"/>
        </w:rPr>
        <w:t xml:space="preserve">核周期内发生未能按照进度计划表约定的节点工期建设，将在限期内整改，同时接受发包人以每次10000元的经济处罚，相关费用直接从工程款项中扣除，并要求承包人在下一个考核周期内抢工补救上一个考核周期内的施工任务和本考核周期内的施工任务。如在下一个考核周期内没有完成既定施工任务的，承包人将承担违约责任，发包人将对承包人处以每个考核周期不少于20000元的违约金直至施工任务完成达到施工方案和进度计划的要求。如承包人拒绝执行上述条款的，建设单位有权清退承包单位，已完工作量按70%结算，同时由此造成的损失均由承包单位承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.6 不利物质条件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.7异常恶劣的气候条件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.9 提前竣工的奖励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.9.2提前竣工的奖励：</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材料与设备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.4材料与工程设备的保管与使用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.4.1发包人供应的材料设备的保管费用的承担：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除招标文件中确定的《其他项目清单计价与汇总表》中的“暂估价”的材料外，</w:t>
      </w:r>
      <w:r>
        <w:rPr>
          <w:rFonts w:hint="eastAsia" w:ascii="宋体" w:hAnsi="宋体" w:eastAsia="宋体" w:cs="宋体"/>
          <w:sz w:val="24"/>
          <w:szCs w:val="24"/>
          <w:highlight w:val="none"/>
          <w:u w:val="single"/>
        </w:rPr>
        <w:t xml:space="preserve">其它材料均由承包人自行组织采购。凡由承包人采购的材料，承包人应按照设计文件、技术规范、强制性标准、招标文件、品牌要求的约定采购符合上述要求的材料，并向发包人和实施单位提供质量保证书、出厂合格证及现场抽样检测报告等证明材料，对材料质量负责。如不符合质量及技术标准要求或规格有差异的，承包人应按发包人(实施单位)要求的时间，将不符合要求的材料无条件运出施工现场，重新采购符合要求的材料。若已使用，由承包人负责整改处理，确保达到要求的质量目标。因使用不符合要求的材料造成的损失及责任由承包人承担，由此延误的工期不予顺延</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必须严格按招标文件、工程量清单等要求提供本工程设备材料的样品，供发包人比较选择确定，以保证选用质优价好的材料用于本项目，同时防止出现以劣充优，以次充好，谋取不正当利益的情况，同时发包人有权对设备材料生产基地进行实地考察，承包人须无条件予以配合，承包人提供的设备材料样品经发包人及实施单位</w:t>
      </w:r>
      <w:r>
        <w:rPr>
          <w:rFonts w:hint="eastAsia" w:ascii="宋体" w:hAnsi="宋体" w:eastAsia="宋体" w:cs="宋体"/>
          <w:sz w:val="24"/>
          <w:szCs w:val="24"/>
          <w:highlight w:val="none"/>
          <w:u w:val="single"/>
        </w:rPr>
        <w:t xml:space="preserve">书面同意后方可进行批量采购。在施工前或施工过程中，发包人要求调整、变更材料品种，承包人应无条件认可，其变更后的材料价格由发包人签证认可确定。设备材料进场交货、验收必须由该品牌的供应商到场参加。承包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未对建筑材料、建筑构配件、设备和商品混凝土进行检验，或者未对涉及结构安全的试块、试件以及有关材料取样检测的，责令改正，处1万元以上5万元以下的罚款；情节严重的，责令停业整顿，降低资质等级或者吊销资质证书；造成损失的，依法承担赔偿责任。</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以一罚十”的处罚。</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.6 样品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.6.1 样品的报送与封存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lang w:val="en-US" w:eastAsia="zh-CN"/>
        </w:rPr>
        <w:t xml:space="preserve">两份</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.8 施工设备和临时设施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.8.1 承包人提供的施工设备和临时设施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由承包人负责并承担费用</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 试验与检验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.1试验设备与试验人员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.1.2 试验设备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执行通用条款。</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.4 现场工艺试验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执行通用条款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变更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变更的范围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变更估价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 变更估价原则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 签证的时限要求。施工中发生的应由发包人承担责任的设计变更及其他变更，承包人应在发生后7天内办理好签证手续报监理单位和发包人签证认可；</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 由于承包人原因导致的工程变更，承包人无权要求签证赔偿；</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 签证单的签证程序必须严格按照发包人规定执行，否则，视为无效签证单。无效签证单发包人不予承认，责任由承包人自负；</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5) 若发包人有明确的工作指令，承包人不应以工程签证未办理完成为借口，延误工作进展</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)所有工程变更（包括设计变更、现场签证、技术核定等）必须经</w:t>
      </w:r>
      <w:r>
        <w:rPr>
          <w:rFonts w:hint="eastAsia" w:ascii="宋体" w:hAnsi="宋体" w:eastAsia="宋体" w:cs="宋体"/>
          <w:sz w:val="24"/>
          <w:szCs w:val="24"/>
          <w:highlight w:val="none"/>
          <w:u w:val="single"/>
          <w:lang w:val="en-US" w:eastAsia="zh-CN"/>
        </w:rPr>
        <w:t xml:space="preserve">发包人</w:t>
      </w:r>
      <w:r>
        <w:rPr>
          <w:rFonts w:hint="eastAsia" w:ascii="宋体" w:hAnsi="宋体" w:eastAsia="宋体" w:cs="宋体"/>
          <w:sz w:val="24"/>
          <w:szCs w:val="24"/>
          <w:highlight w:val="none"/>
          <w:u w:val="single"/>
        </w:rPr>
        <w:t xml:space="preserve">书面签字确认后方可实施，承包人不得擅自进行任何变更；未经</w:t>
      </w:r>
      <w:r>
        <w:rPr>
          <w:rFonts w:hint="eastAsia" w:ascii="宋体" w:hAnsi="宋体" w:eastAsia="宋体" w:cs="宋体"/>
          <w:sz w:val="24"/>
          <w:szCs w:val="24"/>
          <w:highlight w:val="none"/>
          <w:u w:val="single"/>
          <w:lang w:val="en-US" w:eastAsia="zh-CN"/>
        </w:rPr>
        <w:t xml:space="preserve">发包人</w:t>
      </w:r>
      <w:r>
        <w:rPr>
          <w:rFonts w:hint="eastAsia" w:ascii="宋体" w:hAnsi="宋体" w:eastAsia="宋体" w:cs="宋体"/>
          <w:sz w:val="24"/>
          <w:szCs w:val="24"/>
          <w:highlight w:val="none"/>
          <w:u w:val="single"/>
        </w:rPr>
        <w:t xml:space="preserve">确认的变更内容，</w:t>
      </w:r>
      <w:r>
        <w:rPr>
          <w:rFonts w:hint="eastAsia" w:ascii="宋体" w:hAnsi="宋体" w:eastAsia="宋体" w:cs="宋体"/>
          <w:sz w:val="24"/>
          <w:szCs w:val="24"/>
          <w:highlight w:val="none"/>
          <w:u w:val="single"/>
          <w:lang w:val="en-US" w:eastAsia="zh-CN"/>
        </w:rPr>
        <w:t xml:space="preserve">发包人</w:t>
      </w:r>
      <w:r>
        <w:rPr>
          <w:rFonts w:hint="eastAsia" w:ascii="宋体" w:hAnsi="宋体" w:eastAsia="宋体" w:cs="宋体"/>
          <w:sz w:val="24"/>
          <w:szCs w:val="24"/>
          <w:highlight w:val="none"/>
          <w:u w:val="single"/>
        </w:rPr>
        <w:t xml:space="preserve">在结算时不予认可，相关费用由承包人自行承担；变更价款的计价严格执行中标下浮率，无相同或类似单价的，由承包人提交详细组价资料报</w:t>
      </w:r>
      <w:r>
        <w:rPr>
          <w:rFonts w:hint="eastAsia" w:ascii="宋体" w:hAnsi="宋体" w:eastAsia="宋体" w:cs="宋体"/>
          <w:sz w:val="24"/>
          <w:szCs w:val="24"/>
          <w:highlight w:val="none"/>
          <w:u w:val="single"/>
          <w:lang w:val="en-US" w:eastAsia="zh-CN"/>
        </w:rPr>
        <w:t xml:space="preserve">发包人</w:t>
      </w:r>
      <w:r>
        <w:rPr>
          <w:rFonts w:hint="eastAsia" w:ascii="宋体" w:hAnsi="宋体" w:eastAsia="宋体" w:cs="宋体"/>
          <w:sz w:val="24"/>
          <w:szCs w:val="24"/>
          <w:highlight w:val="none"/>
          <w:u w:val="single"/>
        </w:rPr>
        <w:t xml:space="preserve">审核，审核通过后方可作为结算依据。</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承包人的合理化建议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7天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7天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 暂估价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暂估价材料和工程设备的明细详见附件11：《暂估价一览表》。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依法必须招标的暂估价项目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种方式确定。（由发包人选用，并明确暂估价材料、专业工程暂估价的结算方法）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不属于依法必须招标的暂估价项目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种方式确定。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暂列金额合同当事人关于暂列金额使用的约定：</w:t>
      </w:r>
      <w:r>
        <w:rPr>
          <w:rFonts w:hint="eastAsia" w:ascii="宋体" w:hAnsi="宋体" w:eastAsia="宋体" w:cs="宋体"/>
          <w:sz w:val="24"/>
          <w:szCs w:val="24"/>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市场价格波动引起的调整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种方式对合同价格进行调整：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第1种方式：采用价格指数进行价格调整。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第2种方式：采用造价信息进行价格调整。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（2）关于基准价格的约定：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%时，或材料单价跌幅以已标价工程量清单或预算书中载明材料单价为基础超过</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%时，其超过部分据实调整。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%时，材料单价涨幅以已标价工程量清单或预算书中载明材料单价为基础超过</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%时，其超过部分据实调整。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%时，其超过部分据实调整。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第3种方式：其他价格调整方式：</w:t>
      </w:r>
      <w:r>
        <w:rPr>
          <w:rFonts w:hint="eastAsia" w:ascii="宋体" w:hAnsi="宋体" w:eastAsia="宋体" w:cs="宋体"/>
          <w:sz w:val="24"/>
          <w:szCs w:val="24"/>
          <w:highlight w:val="none"/>
          <w:u w:val="single"/>
        </w:rPr>
        <w:t xml:space="preserve">详见 12.1。</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合同价格、计量与支付</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合同价格形式：</w:t>
      </w:r>
      <w:r>
        <w:rPr>
          <w:rFonts w:hint="eastAsia" w:ascii="宋体" w:hAnsi="宋体" w:eastAsia="宋体" w:cs="宋体"/>
          <w:sz w:val="24"/>
          <w:szCs w:val="24"/>
          <w:highlight w:val="none"/>
          <w:u w:val="single"/>
        </w:rPr>
        <w:t xml:space="preserve">单价合同</w:t>
      </w:r>
      <w:r>
        <w:rPr>
          <w:rFonts w:hint="eastAsia" w:ascii="宋体" w:hAnsi="宋体" w:eastAsia="宋体" w:cs="宋体"/>
          <w:sz w:val="24"/>
          <w:szCs w:val="24"/>
          <w:highlight w:val="none"/>
        </w:rPr>
        <w:t xml:space="preserve">。 </w:t>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rPr>
          <w:rFonts w:hint="eastAsia" w:ascii="宋体" w:hAnsi="宋体" w:eastAsia="宋体" w:cs="宋体"/>
          <w:sz w:val="24"/>
          <w:szCs w:val="24"/>
          <w:highlight w:val="none"/>
          <w:u w:val="single"/>
        </w:rPr>
        <w:t xml:space="preserve">本工程采用“固定单价”合同，合同实施过程中除招标文件和合同约定允许调整外，其余的综合单价不作调整</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12.1.1本招标项目工程竣工结算价=分部分项工程费用（实际数量*中标综合单价）+措施项目费用+其他项目费用+规费+税金+招标文件和合同约定可以调整的价格上式中招标文件及合同约定调整的价格包括但不限于以下4种情况：①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w:t>
      </w:r>
      <w:r>
        <w:rPr>
          <w:rFonts w:hint="eastAsia" w:ascii="宋体" w:hAnsi="宋体" w:eastAsia="宋体" w:cs="宋体"/>
          <w:sz w:val="24"/>
          <w:szCs w:val="24"/>
          <w:highlight w:val="none"/>
          <w:u w:val="single"/>
        </w:rPr>
        <w:t xml:space="preserve">增加部分的工程量或减少后剩余部分的工程量的综合单价调整意见，经发包人确认后作为结算的依据。②发包人签证使用的暂列金额、专业工程实际发包价。③经发包人认可的《专业工程暂估价及结算价表》（如有）中的材料价格调整。④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64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中标价（扣除暂列金额、专业工程暂估价、</w:t>
      </w:r>
      <w:r/>
    </w:p>
    <w:p>
      <w:pPr>
        <w:ind w:firstLine="28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暂估材料总价及上述三项的规费和税金）</w:t>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下浮率＝1－ --------------------------------------------------×100% </w:t>
      </w:r>
      <w:r/>
    </w:p>
    <w:p>
      <w:pPr>
        <w:ind w:left="0" w:firstLine="48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招标预算价（扣除暂列金额、专业工程暂估价、</w:t>
      </w:r>
      <w:r/>
    </w:p>
    <w:p>
      <w:pPr>
        <w:ind w:left="0" w:firstLine="2640"/>
        <w:jc w:val="left"/>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暂估材料总价及上述三项的规费和税金）</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注：上述公式中的预算价是指发包人委托编制的工程预算价。</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12.1.2由于分部分项工程量清单漏项或非承包人原因的工程</w:t>
      </w:r>
      <w:r>
        <w:rPr>
          <w:rFonts w:hint="eastAsia" w:ascii="宋体" w:hAnsi="宋体" w:eastAsia="宋体" w:cs="宋体"/>
          <w:sz w:val="24"/>
          <w:szCs w:val="24"/>
          <w:highlight w:val="none"/>
          <w:u w:val="single"/>
        </w:rPr>
        <w:t xml:space="preserve">变更引起的措施项目变化，造成施工组织设计或施工方案变更，原措施费已有的项目，按原措施费的组价方法调整；原措施费中没有的措施项目，由承包人根据措施项目变更情况提出适当的措施费变更，经发包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12.1.3以投标截止日前28天为基准日，其后国家的法律、法规、规章和政策发生变化导致工程税金、规费，并由省级或行业建设行政主管部门或其授权的工程造价管理机构根据上述变化发布了政策性调整，影响工程造价的，相应调整工程价款。本工程施工期材料价格、人工费在结算时均不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12.1.4竣工结算时若承包人完成了发包人所要求的且为合同以外的零星工作或发生非承包人责任事件的工程量按现场实际完成的工程量经发包人签证确定。</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12.1.5工程竣工结算时，《其他项目清单与计价汇总表》中的暂列金额和暂估价均按发包人签证认可的价格执行，而且只调整此材料的价差和对应的规费及税金。</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12.1.6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施工单位报价，在承包人结算总价中按2倍的价格扣减。</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12.1.7工程所发生施工、生活、消防用水、用电由承包人挂表计量，水、电费用按供电局、自来水公司收费费用及损耗在每次电费结算时按月缴清。</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12.1.8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12.1.9施工现场如有建筑垃圾及地面地下其他构、建筑物基础等障碍物，投标人应认真踏勘现场，将清理障碍等费用计入投标报价的总价措施费中，由中标人包干使用施工时不再签证。</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12.1.10双方约定合同价款不予调整的情形，包括但不仅限于下列情形：</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①发包人提供的图纸如果存在明显错误或疏忽，承包人作为合格的承包商应当发现并及时通知发包人。如果承包人不能发现或发现后不及时通知发包人，由此引起的停工索赔与返工经济签证发包人不予认可，结算价款不予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② 承包人原因造成工期延误，延误期间发生的材料价格上涨差额由承包人承担，不予调整；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③ 因承包人自身原因导致的工程变更、返工，造成工程价款增加的，不予调整；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④ 签证内容不全、与事实不符或不合技术标准、规范要求、施工常规、正常施工方法及已在招标文件要求计入投标报价范围的不予调整；</w:t>
      </w:r>
      <w:r/>
    </w:p>
    <w:p>
      <w:pPr>
        <w:ind w:left="0" w:firstLine="480"/>
        <w:jc w:val="left"/>
        <w:pageBreakBefore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⑤不符合工程结算相关的法律、法规、规范性文件规定的价款不予调整</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合同价的</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0%</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见12.4.1 付款周期</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进度付款中同比例扣回</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以相关的国家标准、行业标准为依据。</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按通用条款执行。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总价合同的计量关于总价合同计量的约定：</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12.4.1 付款周期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本项目农民工工资发包人、承包人严格按照盐住建建筑(2019)39号《关干在盐城市建设工程中推行施工过程结算的通知》、盐建建筑[2017]70号《盐城市建筑施]从业人员实名制信息化管理办法》、盐建建筑(2016)35号《关干进一步做好建筑施工拖欠农民[工资治理工作的通知》文件要求执行。承包人将农民工每且用工考勤记录、农民工工资清单及农民工工资支付申请表(盐建建筑(2016)35号附件2、3)</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报发包人审核同意后，发包人将该且农民工工资费用汇入承包人在建设主管部门指定银行开设的农民工</w:t>
      </w:r>
      <w:r>
        <w:rPr>
          <w:rFonts w:hint="eastAsia" w:ascii="宋体" w:hAnsi="宋体" w:eastAsia="宋体" w:cs="宋体"/>
          <w:sz w:val="24"/>
          <w:szCs w:val="24"/>
          <w:highlight w:val="none"/>
          <w:u w:val="single"/>
        </w:rPr>
        <w:t xml:space="preserve">工资支付专用账户，并由银行代发给农民工。发包人按工程施工合同约定向农民工工资专用账户存入不低王进度款20%的资金，应发工资高干进度款20%的，则按照实际工资数额存入工资专户。承包人必须贯彻执行建筑工人实名制管理办法相关规定，并按江苏省、盐城市现行有关规定和招标文件相关约定按时、足额发放工程施工人员工资。若有关农民工工资的上、下级文件及相关管理规定说法不一致时，按高标准要求执行。在履行合同过程中，承包人应遵守国家或地方的法律、法规、规章、条例、规范性文件或任何对工程有管辖权的部门的规章，并按要求支付有关费用。</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工程款指合同价（即中标价）扣除暂列金额、专业工程暂估价及上述二项的规费和税金后的工程价款。具体付款幅度如下：</w:t>
      </w:r>
      <w:r/>
    </w:p>
    <w:p>
      <w:pPr>
        <w:numPr>
          <w:ilvl w:val="0"/>
          <w:numId w:val="7"/>
        </w:num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合同签订，收到乙方发票十个工作日内甲方支付合同价的</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0%作为预付款</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u w:val="single"/>
          <w:lang w:val="en-US" w:eastAsia="zh-CN"/>
        </w:rPr>
        <w:t xml:space="preserve">工程竣工验收合格后，付至工程款的80%</w:t>
      </w:r>
      <w:r>
        <w:rPr>
          <w:rFonts w:hint="eastAsia" w:ascii="宋体" w:hAnsi="宋体" w:eastAsia="宋体" w:cs="宋体"/>
          <w:sz w:val="24"/>
          <w:szCs w:val="24"/>
          <w:highlight w:val="none"/>
          <w:u w:val="singl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u w:val="single"/>
          <w:lang w:val="en-US" w:eastAsia="zh-CN"/>
        </w:rPr>
        <w:t xml:space="preserve">工程竣工验收合格满一年，并经审计结束出具审计报告后，付至审计价的97%，余款3%待缺陷责任期满后结清。</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注：在签订合同时，承包人明确书面表示无需预付款或者主动要求降低预付款比例的，发包人可就预付款比例作相应调整。</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对满足支付条件的，甲方应当在收到发票后10个工作日内将资金支付到合同约定的乙方账户。</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本工程价款一律通过银行非现金结算，工程款汇入承包人基本账户，实行专款专用。</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本工程竣工验收后，承包人应整理相关资料，确保资料真实齐全、计算准确，并在规定时间内提交审计。</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注：承包人须按发包人要求提供等额增值税专用发票，经校区实施单位确认后，报发包人审核后付款。</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对满足合同约定支付条件的，发包人应当提醒承包人按合同约定金额开具发票，自收到发票后 30 日内将资金支付到的承包人账户。逾期支付的发包人将依法承担违约责任，并赔偿承包人损失。</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农民工工资确保支付方式：以银行、保险公司提供农民工工资支付保函。</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对未及时支付农民工工资的施工企业，发包人应当书面报告给招投标监管部门和建设行政主管部门。</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本项目发包人要求承包人严格按照苏人社规【2022】3号、苏人社规【2022】4号以及盐住建建筑（2021）56 号文件要求的关于农民工工资相关约定执行</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每月5日前向发包人申报上月农民工工资</w:t>
      </w:r>
      <w:r>
        <w:rPr>
          <w:rFonts w:hint="eastAsia" w:ascii="宋体" w:hAnsi="宋体" w:eastAsia="宋体" w:cs="宋体"/>
          <w:sz w:val="24"/>
          <w:szCs w:val="24"/>
          <w:highlight w:val="none"/>
          <w:u w:val="singl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按通用条款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12.4.3 进度付款申请单的提交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按通用条款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验收和工程试车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小时提交书面延期要求。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/小时</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竣工验收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13.2.2竣工验收程序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合同约定的工期。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承包人如竣工验收合格后不按时移交的，按工程竣工结算总价的2%承担违约金，该违约金直接从应付工程款或履约保证金中扣除。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试车程序工程试车内容：</w:t>
      </w:r>
      <w:r>
        <w:rPr>
          <w:rFonts w:hint="eastAsia" w:ascii="宋体" w:hAnsi="宋体" w:eastAsia="宋体" w:cs="宋体"/>
          <w:sz w:val="24"/>
          <w:szCs w:val="24"/>
          <w:highlight w:val="none"/>
          <w:u w:val="single"/>
        </w:rPr>
        <w:t xml:space="preserve">  /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根据实际情况，按发包人要求执行。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竣工退场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竣工验收合格交付后7个工作日内。</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竣工结算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sz w:val="24"/>
          <w:szCs w:val="24"/>
          <w:highlight w:val="none"/>
          <w:u w:val="single"/>
        </w:rPr>
        <w:t xml:space="preserve">按通用条款。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竣工结算申请单应包括的内容：</w:t>
      </w:r>
      <w:r>
        <w:rPr>
          <w:rFonts w:hint="eastAsia" w:ascii="宋体" w:hAnsi="宋体" w:eastAsia="宋体" w:cs="宋体"/>
          <w:sz w:val="24"/>
          <w:szCs w:val="24"/>
          <w:highlight w:val="none"/>
          <w:u w:val="single"/>
        </w:rPr>
        <w:t xml:space="preserve">除通用条款约定外，还包括竣工图纸、文字资料、各分项的影像资料、工程照片和测绘资料等，均要求纸质原件和电子版，要求随竣工结算申请单一同提交发包人。</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参照财政部、建设部联合颁发的《建设工程价款结算暂行办法》（财建[2004]369号）执行</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按专用条款12.4条约定的工程款支付条款约定付款</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按通用条款</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最终结清</w:t>
      </w:r>
      <w:r/>
    </w:p>
    <w:p>
      <w:pPr>
        <w:ind w:left="0" w:firstLine="480"/>
        <w:jc w:val="left"/>
        <w:keepLines w:val="0"/>
        <w:keepNext w:val="0"/>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 </w:t>
      </w:r>
      <w:r/>
    </w:p>
    <w:p>
      <w:pPr>
        <w:ind w:left="0" w:firstLine="480"/>
        <w:jc w:val="left"/>
        <w:keepLines w:val="0"/>
        <w:keepNext/>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lang w:val="en-US" w:eastAsia="zh-CN"/>
        </w:rPr>
        <w:t xml:space="preserve">叁份</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应在缺陷责任期终止证书颁发后7天内</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按通用条款。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按照专用条款12.4.1条的约定。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缺陷责任期与保修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15.2缺陷责任期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详见工程质量保修书。</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质量保证金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扣留。</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承包人提供质量保证金的方式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的工程款；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keepLines/>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质量保证金的扣留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w:t>
      </w:r>
      <w:r/>
    </w:p>
    <w:p>
      <w:pPr>
        <w:numPr>
          <w:ilvl w:val="0"/>
          <w:numId w:val="8"/>
        </w:num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在支付工程进度款时逐次扣留，在此情形下，质量保证金的计算基数不包括预付款的支付、扣回以及价格调整的金额；</w:t>
      </w:r>
      <w:r/>
    </w:p>
    <w:p>
      <w:pPr>
        <w:numPr>
          <w:ilvl w:val="0"/>
          <w:numId w:val="8"/>
        </w:num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工程竣工结算时一次性扣留质量保证金</w:t>
      </w:r>
      <w:r>
        <w:rPr>
          <w:rFonts w:hint="eastAsia" w:ascii="宋体" w:hAnsi="宋体" w:eastAsia="宋体" w:cs="宋体"/>
          <w:sz w:val="24"/>
          <w:szCs w:val="24"/>
          <w:highlight w:val="none"/>
        </w:rPr>
        <w:t xml:space="preserve">； </w:t>
      </w:r>
      <w:r/>
    </w:p>
    <w:p>
      <w:pPr>
        <w:numPr>
          <w:ilvl w:val="0"/>
          <w:numId w:val="8"/>
        </w:num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质量缺陷责任期从工程竣工验收合格之日起计算，具体保修范围、保修期限、保修责任、保修金的支付、返还应按《建设工程质量管理条例》、《建设工程质量保证金管理暂行办法》等规定及双方约定执行。在缺陷责任期内，因承包人原因造成工程缺陷、损坏的，承包人未能及时修复的，发包人可直接委托第三方修复，所需费用直接从质量保证金中扣除，质量保证金不足以弥补费用的承包人需补足并支付给发包人，缺陷责任期满将剩余部分无息退还承包人。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15.4保修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保修责任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按照双方签订的《工程质量保修书》的约定执行 </w:t>
      </w:r>
      <w:r/>
    </w:p>
    <w:p>
      <w:pPr>
        <w:ind w:left="0" w:firstLine="480"/>
        <w:jc w:val="left"/>
        <w:keepLines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 </w:t>
      </w:r>
      <w:r/>
    </w:p>
    <w:p>
      <w:pPr>
        <w:jc w:val="left"/>
        <w:keepLines w:val="0"/>
        <w:pageBreakBefore w:val="0"/>
        <w:spacing w:line="46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1、属于保修范围、内容的项目，承包人应当在接到保修通知之日起1天内派人保修。承包人不在约定期限内派人保修的，发包人可以委托他人修理，所需费用直接从质量保证金中扣除，质量保证金不足以弥补费用的承包人需补足并支付给发包人。2、发生紧急抢修事故的，承包人在接到事故通知后，应当立即到达事故现场抢修；承包人不按时派人保修的，发包人可以委托他人修理，所需费用直接从质量保证金中扣除，质量保证金不足以弥补费用的承包人需补足并支付给发包人。</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违约</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发包人违约的责任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天后发包人仍不纠正其违约行为并致使合同目的不能实现的，承包人有权解除合同。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专用条款已明确的按专用条款执行，专用条款未明确的按通用条款及发包人要求执行。</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承包人违约责任的承担方式和计算方法：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(1)本工程开工时间以发包人批准的开工通知日期为准。如遇特殊情况推迟开工，合同工期相应顺延。承 包人应按照投标文件承诺的工期确保工程验收，不得以任何借口停工怠工。如因承包人原因延误工期的，承包人应承担违约责任，按每拖延一天向发包人支付10000元的违约金。 </w:t>
      </w:r>
      <w:r/>
    </w:p>
    <w:p>
      <w:pPr>
        <w:ind w:left="0" w:firstLine="480"/>
        <w:jc w:val="left"/>
        <w:pageBreakBefore w:val="0"/>
        <w:spacing w:line="460" w:lineRule="exact"/>
        <w:widowControl/>
        <w:rPr>
          <w:rFonts w:hint="eastAsia" w:ascii="宋体" w:hAnsi="宋体" w:eastAsia="宋体" w:cs="宋体"/>
          <w:sz w:val="24"/>
          <w:szCs w:val="24"/>
          <w:highlight w:val="none"/>
          <w:u w:val="single"/>
        </w:rPr>
        <w:sectPr>
          <w:footerReference w:type="default" r:id="rId16"/>
          <w:footnotePr/>
          <w:endnotePr/>
          <w:type w:val="nextPage"/>
          <w:pgSz w:w="11906" w:h="16838" w:orient="portrait"/>
          <w:pgMar w:top="1015" w:right="1196" w:bottom="868" w:left="1259" w:header="851" w:footer="907" w:gutter="0"/>
          <w:cols w:num="1" w:sep="0" w:space="720" w:equalWidth="1"/>
          <w:docGrid w:linePitch="360"/>
        </w:sectPr>
      </w:pPr>
      <w:r>
        <w:rPr>
          <w:rFonts w:hint="eastAsia" w:ascii="宋体" w:hAnsi="宋体" w:eastAsia="宋体" w:cs="宋体"/>
          <w:sz w:val="24"/>
          <w:szCs w:val="24"/>
          <w:highlight w:val="none"/>
          <w:u w:val="single"/>
        </w:rPr>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承包人严格按照经发包人(实施单位)同意的施工计划组织工程施工。接受发包人(实施单位)对进度的检查、监督，工程实际进度与经确认的进度计划不符时，承包人应按发包人的要求提出书面改进措施方案，并经发包人(实施单位)确认后执行。因承包人的原因导致实际进度与进度计划不符，承包人无权就改进措施提出追加合同价款。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 承包人应当按照发包人的开工通知书的开工日期开工。承包人不能按时开工，应当不迟于合同约定的开工日期前7天，以书面形式向发包人(实施单位)提出延期开工的理由和要求。发包人(实施单位)应当在接到延期开工申请后的48小时内以书面形式答复承包人，发包人(实施单位)在接到延期开工申请后的48小时内不答复，视为不同意承包人的要求。发包人(实施单位)不同意延期要求或承包人未在规定时间内提出延期开工要求，工期不予顺延。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承包人施工时必须服从发包人(实施单位)对施工场地和施工时间的统一管理。与相关施工单位密切配合绝不扯皮，如有问题以发包人意见为准，如不服从根据实际情况每次罚款10000元，如造成工期延误的，视为承包人违约，并每天按照合同总价</w:t>
      </w:r>
      <w:r>
        <w:rPr>
          <w:rFonts w:hint="eastAsia" w:ascii="宋体" w:hAnsi="宋体" w:eastAsia="宋体" w:cs="宋体"/>
          <w:sz w:val="24"/>
          <w:szCs w:val="24"/>
          <w:highlight w:val="none"/>
          <w:u w:val="single"/>
          <w:lang w:eastAsia="zh-CN"/>
        </w:rPr>
        <w:t xml:space="preserve">千</w:t>
      </w:r>
      <w:r>
        <w:rPr>
          <w:rFonts w:hint="eastAsia" w:ascii="宋体" w:hAnsi="宋体" w:eastAsia="宋体" w:cs="宋体"/>
          <w:sz w:val="24"/>
          <w:szCs w:val="24"/>
          <w:highlight w:val="none"/>
          <w:u w:val="single"/>
        </w:rPr>
        <w:t xml:space="preserve">分之</w:t>
      </w:r>
      <w:r>
        <w:rPr>
          <w:rFonts w:hint="eastAsia" w:ascii="宋体" w:hAnsi="宋体" w:eastAsia="宋体" w:cs="宋体"/>
          <w:sz w:val="24"/>
          <w:szCs w:val="24"/>
          <w:highlight w:val="none"/>
          <w:u w:val="single"/>
          <w:lang w:val="en-US" w:eastAsia="zh-CN"/>
        </w:rPr>
        <w:t xml:space="preserve">二</w:t>
      </w:r>
      <w:r>
        <w:rPr>
          <w:rFonts w:hint="eastAsia" w:ascii="宋体" w:hAnsi="宋体" w:eastAsia="宋体" w:cs="宋体"/>
          <w:sz w:val="24"/>
          <w:szCs w:val="24"/>
          <w:highlight w:val="none"/>
          <w:u w:val="single"/>
        </w:rPr>
        <w:t xml:space="preserve">承担逾期违约责任。承包人应充分考虑施工环境、施工部位和施工季节的特殊性，在应遵守地方政府规定的前提下确保工期和质量，自行处理各方关系，费用自理。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因承包人原因，工程在中间交验过程中，不能达到招标和合同要求（工期、质量），累计拖延工期超过15天，且承包人拿不出让发包人(实施单位)满意的追赶工期计划，承包人除按照专用条款中约定的逾期、质量违约约定承担违约责任外，发包人有权拒付（缓付）工程款，并酌情调整施工队伍直至清除出场，清退出场的，将解除合同，没收全部履约保证金，承包人承诺无条件服从并承担由此发生的一切费用和损失。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 如果一次性验收不合格，除按本合同约定规定实行处罚外，承包人必须无偿整改达到规定质量目标并承担由此造成的损失和费用。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(7)若存在其他违约情形，专用条款未明确的按通用条款、现行有关规定及发包人要求执行。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在本合同履行过程中，如承包人发生如下情形之一，发包人将视承包人严重违约，立即解除合同并没收全部履约保证金，冻结专户资金，承包人承担违约责任并承担由此造成的一切损失，承包人在现场的人员无条件退场，承包人在现场的设备和材料无条件供发包人使用，其设备租金和材料价值待法院裁判后，如有剩余，裁判生效后7天内支付。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① 不同意本工程合同条件；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②停工或拖延施工进度或影响施工质量；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③无正当理由，单方面要挟发包人提高合同价款；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④无正当理由，单方面要挟发包人给予某种补偿。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发包人继续使用承包人在施工现场的材料、设备、临时工程、承包人文件和由承包人或以其名义编制的其他文件的费用承担方式：按通用条款。</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因不可抗力解除合同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天内完成款项的支付。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保险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承包人应投保建筑工程一切险并承担保险费用。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其他保险 </w:t>
      </w:r>
      <w:r/>
    </w:p>
    <w:p>
      <w:pPr>
        <w:ind w:left="0" w:firstLine="480"/>
        <w:jc w:val="left"/>
        <w:pageBreakBefore w:val="0"/>
        <w:spacing w:line="46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按通用条款。</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按通用条款。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19.通知送达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发包人向承包人发出的通知，以邮寄方式发出的，自发出之日起第3日视为送达；以传真方式发出的，自发出当日视为送达；以电子邮件、短信方式发出的，自发出之时即视为送达。。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争议解决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争议评审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20.3.1 争议评审小组的确定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20.3.2 争议评审小组的决定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20.4仲裁或诉讼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因合同及合同有关事项发生的争议，按下列第2种方式解决： </w:t>
      </w:r>
      <w:r/>
    </w:p>
    <w:p>
      <w:pPr>
        <w:ind w:left="0" w:firstLine="480"/>
        <w:jc w:val="lef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（1）向盐城仲裁委员会申请仲裁； </w:t>
      </w:r>
      <w:r/>
    </w:p>
    <w:p>
      <w:pPr>
        <w:ind w:left="0" w:firstLine="480"/>
        <w:jc w:val="left"/>
        <w:pageBreakBefore w:val="0"/>
        <w:spacing w:line="460" w:lineRule="exact"/>
        <w:widowControl/>
        <w:rPr>
          <w:rFonts w:ascii="宋体" w:hAnsi="宋体" w:cs="宋体"/>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工程所在地</w:t>
      </w:r>
      <w:r>
        <w:rPr>
          <w:rFonts w:hint="eastAsia" w:ascii="宋体" w:hAnsi="宋体" w:eastAsia="宋体" w:cs="宋体"/>
          <w:sz w:val="24"/>
          <w:szCs w:val="24"/>
          <w:highlight w:val="none"/>
        </w:rPr>
        <w:t xml:space="preserve">人民法院起诉。</w:t>
      </w:r>
      <w:r>
        <w:rPr>
          <w:rFonts w:hint="eastAsia" w:ascii="宋体" w:hAnsi="宋体" w:cs="宋体"/>
          <w:highlight w:val="none"/>
        </w:rPr>
        <w:t xml:space="preserve"> </w:t>
      </w:r>
      <w:r/>
    </w:p>
    <w:p>
      <w:pPr>
        <w:ind w:firstLine="0"/>
        <w:jc w:val="center"/>
        <w:keepLines w:val="0"/>
        <w:keepNext w:val="0"/>
        <w:pageBreakBefore w:val="0"/>
        <w:spacing w:line="240" w:lineRule="auto"/>
        <w:widowControl/>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工程质量保修书</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发包人（全称）：</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承包人（全称）：</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发包人、实施单位和承包人根据《中华人民共和国建筑法》和《建设工程质量管理条例》，经协商一致就</w:t>
      </w:r>
      <w:r>
        <w:rPr>
          <w:rFonts w:hint="eastAsia" w:ascii="宋体" w:hAnsi="宋体" w:cs="宋体"/>
          <w:sz w:val="24"/>
          <w:szCs w:val="24"/>
          <w:highlight w:val="none"/>
          <w:u w:val="single"/>
          <w:lang w:eastAsia="zh-CN"/>
        </w:rPr>
        <w:t xml:space="preserve">便仓镇恒泽源农产品加工项目配套污水压力管道建设工程</w:t>
      </w:r>
      <w:r>
        <w:rPr>
          <w:rFonts w:hint="eastAsia" w:ascii="宋体" w:hAnsi="宋体" w:cs="宋体"/>
          <w:sz w:val="24"/>
          <w:szCs w:val="24"/>
          <w:highlight w:val="none"/>
        </w:rPr>
        <w:t xml:space="preserve">（工程全称）签订工程质量保修书。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一、工程质量保修范围和内容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承包人在质量保修期内，按照有关法律规定和合同约定，承担工程质量保修责任。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keepLines w:val="0"/>
        <w:keepNext w:val="0"/>
        <w:pageBreakBefore w:val="0"/>
        <w:spacing w:line="460" w:lineRule="exact"/>
        <w:widowControl/>
        <w:rPr>
          <w:rFonts w:ascii="宋体" w:hAnsi="宋体" w:cs="宋体"/>
          <w:sz w:val="24"/>
          <w:szCs w:val="24"/>
          <w:highlight w:val="none"/>
          <w:u w:val="single"/>
        </w:rPr>
      </w:pPr>
      <w:r>
        <w:rPr>
          <w:rFonts w:hint="eastAsia" w:ascii="宋体" w:hAnsi="宋体" w:cs="宋体"/>
          <w:sz w:val="24"/>
          <w:szCs w:val="24"/>
          <w:highlight w:val="none"/>
          <w:u w:val="single"/>
        </w:rPr>
        <w:t xml:space="preserve">从该工程竣工验收合格之日起至该工程约定保修期满之日止为保修期。具体保修范围以承包人承揽工程项目一览表、工程量清单、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二、质量保修期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根据《建设工程质量管理条例》及有关规定，工程的质量保修期如下：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1．地基基础工程和主体结构工程为设计文件规定的工程合理使用年限；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2．屋面防水工程、有防水要求的卫生间、房间和外墙面的防渗为5年；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3．装修工程为2年；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4．电气管线、给排水管道、设备安装工程为2年；</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5．供热与供冷系统为2个采暖期、供冷期；</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6．其他项目保修期限约定如下：不少于2年。</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质量保修期自工程竣工验收合格之日起计算。</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三、缺陷责任期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工程缺陷责任期为24个月，缺陷责任期自工程通过竣工验收之日起计算。单位工程先于全部工程进行验收，单位工程缺陷责任期自单位工程验收合格之日起算。</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缺陷责任期终止后，发包人应退还剩余的质量保证金。</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四、质量保修责任</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1．属于保修范围、内容的项目，承包人应当在接到保修通知之日起1天内派人保修。承包人不在约定期限内派人保修的，发包人可以委托他人修理。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2．发生紧急事故需抢修的，承包人在接到事故通知后，应当立即到达事故现场抢修。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4．质量保修完成后，由发包人组织验收。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五、保修费用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保修费用由造成质量缺陷的责任方承担。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六、双方约定的其他工程质量保修事项：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工程质量保修书由发包人、承包人在工程竣工验收前共同签署，作为施工合同附件，其有效期限至保修期满。</w:t>
      </w:r>
      <w:r/>
    </w:p>
    <w:p>
      <w:pPr>
        <w:ind w:firstLine="480"/>
        <w:jc w:val="left"/>
        <w:keepLines w:val="0"/>
        <w:keepNext w:val="0"/>
        <w:pageBreakBefore w:val="0"/>
        <w:spacing w:line="460" w:lineRule="exact"/>
        <w:widowControl/>
        <w:rPr>
          <w:rFonts w:ascii="宋体" w:hAnsi="宋体" w:cs="宋体"/>
          <w:sz w:val="24"/>
          <w:szCs w:val="24"/>
          <w:highlight w:val="none"/>
        </w:rPr>
      </w:pPr>
      <w:r>
        <w:rPr>
          <w:rFonts w:ascii="宋体" w:hAnsi="宋体" w:cs="宋体"/>
          <w:sz w:val="24"/>
          <w:szCs w:val="24"/>
          <w:highlight w:val="none"/>
        </w:rPr>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发包人(公章)：                         承包人(公章)：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地 址：                                地 址：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法定代表人(签字)：                     法定代表人(签字)：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委托代理人(签字)：                     委托代理人(签字)：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电 话：                                电 话：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传 真：                                传 真：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480"/>
        <w:jc w:val="left"/>
        <w:keepLines w:val="0"/>
        <w:keepNext w:val="0"/>
        <w:pageBreakBefore w:val="0"/>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账 号：                                账 号： </w:t>
      </w:r>
      <w:r/>
    </w:p>
    <w:p>
      <w:pPr>
        <w:pStyle w:val="1097"/>
        <w:ind w:firstLine="480"/>
        <w:keepLines w:val="0"/>
        <w:keepNext w:val="0"/>
        <w:pageBreakBefore w:val="0"/>
        <w:spacing w:line="460" w:lineRule="exact"/>
        <w:rPr>
          <w:rFonts w:hAnsi="宋体"/>
          <w:b/>
          <w:sz w:val="24"/>
          <w:szCs w:val="24"/>
          <w:highlight w:val="none"/>
        </w:rPr>
      </w:pPr>
      <w:r>
        <w:rPr>
          <w:rFonts w:hint="eastAsia" w:hAnsi="宋体" w:cs="宋体"/>
          <w:sz w:val="24"/>
          <w:szCs w:val="24"/>
          <w:highlight w:val="none"/>
        </w:rPr>
        <w:t xml:space="preserve">邮政编码：                             邮政编码：</w:t>
      </w:r>
      <w:r/>
    </w:p>
    <w:p>
      <w:pPr>
        <w:ind w:firstLine="480"/>
        <w:jc w:val="left"/>
        <w:keepLines w:val="0"/>
        <w:keepNext w:val="0"/>
        <w:pageBreakBefore w:val="0"/>
        <w:spacing w:line="460" w:lineRule="exact"/>
        <w:rPr>
          <w:sz w:val="24"/>
          <w:szCs w:val="24"/>
          <w:highlight w:val="none"/>
        </w:rPr>
      </w:pPr>
      <w:r>
        <w:rPr>
          <w:rFonts w:hint="eastAsia"/>
          <w:sz w:val="24"/>
          <w:szCs w:val="24"/>
          <w:highlight w:val="none"/>
        </w:rPr>
        <w:t xml:space="preserve">年 月 日 </w:t>
      </w:r>
      <w:r/>
    </w:p>
    <w:p>
      <w:pPr>
        <w:jc w:val="left"/>
        <w:spacing w:line="360" w:lineRule="auto"/>
        <w:rPr>
          <w:highlight w:val="none"/>
        </w:rPr>
      </w:pPr>
      <w:r>
        <w:rPr>
          <w:highlight w:val="none"/>
        </w:rPr>
      </w:r>
      <w:r/>
    </w:p>
    <w:p>
      <w:pPr>
        <w:pStyle w:val="1116"/>
        <w:ind w:left="0" w:firstLine="0"/>
        <w:rPr>
          <w:rFonts w:hint="eastAsia"/>
          <w:highlight w:val="none"/>
        </w:rPr>
      </w:pPr>
      <w:r>
        <w:rPr>
          <w:rFonts w:hint="eastAsia"/>
          <w:highlight w:val="none"/>
        </w:rPr>
      </w:r>
      <w:r/>
    </w:p>
    <w:p>
      <w:pPr>
        <w:pStyle w:val="1078"/>
        <w:spacing w:before="0" w:after="0" w:line="360" w:lineRule="auto"/>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pStyle w:val="1078"/>
        <w:spacing w:before="0" w:after="0" w:line="360" w:lineRule="auto"/>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pStyle w:val="1078"/>
        <w:spacing w:before="0" w:after="0" w:line="360" w:lineRule="auto"/>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pStyle w:val="1116"/>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pStyle w:val="1116"/>
        <w:rPr>
          <w:rFonts w:hint="eastAsia"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r>
      <w:r/>
    </w:p>
    <w:p>
      <w:pPr>
        <w:pStyle w:val="1078"/>
        <w:numPr>
          <w:ilvl w:val="0"/>
          <w:numId w:val="0"/>
        </w:numPr>
        <w:keepLines/>
        <w:keepNext/>
        <w:pageBreakBefore w:val="0"/>
        <w:spacing w:before="0" w:after="0" w:line="240" w:lineRule="auto"/>
        <w:widowControl w:val="off"/>
        <w:rPr>
          <w:rFonts w:hint="eastAsia" w:ascii="黑体" w:hAnsi="Arial" w:eastAsia="黑体" w:cs="Arial"/>
          <w:b/>
          <w:bCs/>
          <w:color w:val="000000" w:themeColor="text1"/>
          <w:sz w:val="44"/>
          <w:szCs w:val="44"/>
          <w:lang w:val="en-US" w:eastAsia="zh-CN" w:bidi="ar-SA"/>
          <w14:textFill>
            <w14:solidFill>
              <w14:schemeClr w14:val="tx1"/>
            </w14:solidFill>
          </w14:textFill>
        </w:rPr>
        <w:sectPr>
          <w:footerReference w:type="default" r:id="rId17"/>
          <w:footnotePr/>
          <w:endnotePr/>
          <w:type w:val="nextPage"/>
          <w:pgSz w:w="11906" w:h="16838" w:orient="portrait"/>
          <w:pgMar w:top="1015" w:right="1196" w:bottom="868" w:left="1259" w:header="851" w:footer="907" w:gutter="0"/>
          <w:cols w:num="1" w:sep="0" w:space="720" w:equalWidth="1"/>
          <w:docGrid w:linePitch="360"/>
        </w:sectPr>
      </w:pPr>
      <w:r>
        <w:rPr>
          <w:rFonts w:hint="eastAsia" w:ascii="黑体" w:hAnsi="Arial" w:eastAsia="黑体" w:cs="Arial"/>
          <w:b/>
          <w:bCs/>
          <w:color w:val="000000" w:themeColor="text1"/>
          <w:sz w:val="44"/>
          <w:szCs w:val="44"/>
          <w:lang w:val="en-US" w:eastAsia="zh-CN" w:bidi="ar-SA"/>
          <w14:textFill>
            <w14:solidFill>
              <w14:schemeClr w14:val="tx1"/>
            </w14:solidFill>
          </w14:textFill>
        </w:rPr>
      </w:r>
      <w:r/>
    </w:p>
    <w:p>
      <w:pPr>
        <w:ind w:firstLine="0"/>
        <w:jc w:val="center"/>
        <w:keepLines w:val="0"/>
        <w:keepNext w:val="0"/>
        <w:pageBreakBefore w:val="0"/>
        <w:spacing w:line="240" w:lineRule="auto"/>
        <w:widowControl/>
        <w:rPr>
          <w:rFonts w:ascii="宋体" w:hAnsi="宋体" w:cs="Calibri"/>
          <w:b/>
          <w:bCs/>
          <w:color w:val="auto"/>
          <w:sz w:val="30"/>
          <w:szCs w:val="30"/>
          <w:highlight w:val="none"/>
        </w:rPr>
      </w:pPr>
      <w:r>
        <w:rPr>
          <w:rFonts w:hint="eastAsia" w:ascii="宋体" w:hAnsi="宋体" w:eastAsia="宋体" w:cs="宋体"/>
          <w:b/>
          <w:sz w:val="32"/>
          <w:szCs w:val="32"/>
          <w:highlight w:val="none"/>
        </w:rPr>
        <w:t xml:space="preserve">工程廉政合同</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hint="eastAsia" w:ascii="宋体" w:hAnsi="宋体" w:cs="Calibri"/>
          <w:color w:val="auto"/>
          <w:sz w:val="24"/>
          <w:szCs w:val="21"/>
          <w:highlight w:val="none"/>
        </w:rPr>
        <w:t xml:space="preserve">发包人</w:t>
      </w:r>
      <w:r>
        <w:rPr>
          <w:rFonts w:ascii="宋体" w:hAnsi="宋体" w:cs="Calibri"/>
          <w:color w:val="auto"/>
          <w:sz w:val="24"/>
          <w:szCs w:val="21"/>
          <w:highlight w:val="none"/>
        </w:rPr>
        <w:t xml:space="preserve">：</w:t>
      </w:r>
      <w:r>
        <w:rPr>
          <w:rFonts w:hint="eastAsia" w:ascii="宋体" w:hAnsi="宋体" w:cs="Calibri"/>
          <w:color w:val="auto"/>
          <w:sz w:val="24"/>
          <w:szCs w:val="21"/>
          <w:highlight w:val="none"/>
          <w:u w:val="single"/>
          <w:lang w:eastAsia="zh-CN"/>
        </w:rPr>
        <w:t xml:space="preserve">盐城市亭湖区便仓镇人民政府</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hint="eastAsia" w:ascii="宋体" w:hAnsi="宋体" w:cs="Calibri"/>
          <w:color w:val="auto"/>
          <w:sz w:val="24"/>
          <w:szCs w:val="21"/>
          <w:highlight w:val="none"/>
        </w:rPr>
        <w:t xml:space="preserve">承包人</w:t>
      </w:r>
      <w:r>
        <w:rPr>
          <w:rFonts w:ascii="宋体" w:hAnsi="宋体" w:cs="Calibri"/>
          <w:color w:val="auto"/>
          <w:sz w:val="24"/>
          <w:szCs w:val="21"/>
          <w:highlight w:val="none"/>
        </w:rPr>
        <w:t xml:space="preserve">：</w:t>
      </w:r>
      <w:r>
        <w:rPr>
          <w:rFonts w:hint="eastAsia" w:ascii="宋体" w:hAnsi="宋体" w:cs="Calibri"/>
          <w:color w:val="auto"/>
          <w:sz w:val="24"/>
          <w:szCs w:val="21"/>
          <w:highlight w:val="none"/>
          <w:u w:val="single"/>
        </w:rPr>
        <w:t xml:space="preserve">      （中标人）        </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为贯彻落实党中央、国务院《关于实行党风廉政建设责任制的规定》，进一步加强</w:t>
      </w:r>
      <w:r>
        <w:rPr>
          <w:rFonts w:hint="eastAsia" w:ascii="宋体" w:hAnsi="宋体" w:cs="Calibri"/>
          <w:color w:val="auto"/>
          <w:sz w:val="24"/>
          <w:szCs w:val="21"/>
          <w:highlight w:val="none"/>
        </w:rPr>
        <w:t xml:space="preserve">公路</w:t>
      </w:r>
      <w:r>
        <w:rPr>
          <w:rFonts w:ascii="宋体" w:hAnsi="宋体" w:cs="Calibri"/>
          <w:color w:val="auto"/>
          <w:sz w:val="24"/>
          <w:szCs w:val="21"/>
          <w:highlight w:val="none"/>
        </w:rPr>
        <w:t xml:space="preserve">工程建设中的党风廉政建设，保证建设优质、高效、有序地进行，</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eastAsia="zh-CN"/>
        </w:rPr>
        <w:t xml:space="preserve">盐城市亭湖区便仓镇人民政府</w:t>
      </w:r>
      <w:r>
        <w:rPr>
          <w:rFonts w:ascii="宋体" w:hAnsi="宋体" w:cs="Calibri"/>
          <w:color w:val="auto"/>
          <w:sz w:val="24"/>
          <w:szCs w:val="21"/>
          <w:highlight w:val="none"/>
        </w:rPr>
        <w:t xml:space="preserve">（以下简称“发包人”），与承担合同的承包人</w:t>
      </w:r>
      <w:r>
        <w:rPr>
          <w:rFonts w:hint="eastAsia" w:ascii="宋体" w:hAnsi="宋体" w:cs="Calibri"/>
          <w:color w:val="auto"/>
          <w:sz w:val="24"/>
          <w:szCs w:val="21"/>
          <w:highlight w:val="none"/>
          <w:u w:val="single"/>
        </w:rPr>
        <w:t xml:space="preserve"> （中标人） </w:t>
      </w:r>
      <w:r>
        <w:rPr>
          <w:rFonts w:ascii="宋体" w:hAnsi="宋体" w:cs="Calibri"/>
          <w:color w:val="auto"/>
          <w:sz w:val="24"/>
          <w:szCs w:val="21"/>
          <w:highlight w:val="none"/>
        </w:rPr>
        <w:t xml:space="preserve">（以下简称“承包人”），经双方协商一致，自愿签订以下廉政合同。</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第一条 甲乙双方的权利和义务</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（一）严格遵守党和国家有关法规及党风廉政建设各项规定。</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（二）严格执行</w:t>
      </w:r>
      <w:r>
        <w:rPr>
          <w:rFonts w:hint="eastAsia" w:ascii="宋体" w:hAnsi="宋体" w:cs="Calibri"/>
          <w:color w:val="auto"/>
          <w:sz w:val="24"/>
          <w:szCs w:val="21"/>
          <w:highlight w:val="none"/>
          <w:u w:val="single"/>
        </w:rPr>
        <w:t xml:space="preserve"> </w:t>
      </w:r>
      <w:r>
        <w:rPr>
          <w:rFonts w:hint="eastAsia" w:ascii="宋体" w:hAnsi="宋体" w:cs="宋体"/>
          <w:color w:val="000000"/>
          <w:sz w:val="24"/>
          <w:u w:val="single"/>
          <w:lang w:val="en-US" w:eastAsia="zh-CN"/>
        </w:rPr>
        <w:t xml:space="preserve">                      </w:t>
      </w:r>
      <w:r>
        <w:rPr>
          <w:rFonts w:ascii="宋体" w:hAnsi="宋体" w:cs="Calibri"/>
          <w:color w:val="auto"/>
          <w:sz w:val="24"/>
          <w:szCs w:val="21"/>
          <w:highlight w:val="none"/>
        </w:rPr>
        <w:t xml:space="preserve">（合同名称）各项规定，自觉按合同办事。</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（四）建立健全党风廉政建设各项制度，开展党风廉政建设宣传教育，加强对本方工作人员的监督检查。</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第二条 发包人在廉政建设方面的义务</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（二）发包人及其工作人员不准利用职务之便索要或接受承包人的礼金，有价证券、支付凭证、贵重物品等财物。</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（三）发包人及其工作人员不准在承包人报销应由发包人或个人支付的费用。</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（四）发包人工作人员不准参加承包人提供的宴请、娱乐活动；不准要求承包人提供交通工具、通讯工具、高档办公用品等。</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（五）发包人及其工作人员不准要求或者接受承包人为其住房装修、婚丧嫁娶、配偶、子女、亲友出国（境）旅游提供方便。</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（六）发包人及其工作人员不准要求承包人为其配偶、子女及有利害关系的人员安排工作或劳务；不准违反规定从事与承包人施工项目有关的材料设备供应、工程分包等经济活动。</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第三条 承包人在廉政建设方面义务</w:t>
      </w:r>
      <w:r/>
    </w:p>
    <w:p>
      <w:pPr>
        <w:ind w:firstLine="480"/>
        <w:jc w:val="both"/>
        <w:keepLines w:val="0"/>
        <w:keepNext w:val="0"/>
        <w:pageBreakBefore w:val="0"/>
        <w:spacing w:line="440" w:lineRule="exact"/>
        <w:widowControl w:val="off"/>
        <w:rPr>
          <w:rFonts w:hint="eastAsia" w:ascii="宋体" w:hAnsi="宋体" w:eastAsia="宋体" w:cs="Calibri"/>
          <w:color w:val="auto"/>
          <w:sz w:val="24"/>
          <w:szCs w:val="21"/>
          <w:highlight w:val="none"/>
          <w:lang w:eastAsia="zh-CN"/>
        </w:rPr>
      </w:pPr>
      <w:r>
        <w:rPr>
          <w:rFonts w:ascii="宋体" w:hAnsi="宋体" w:cs="Calibri"/>
          <w:color w:val="auto"/>
          <w:sz w:val="24"/>
          <w:szCs w:val="21"/>
          <w:highlight w:val="none"/>
        </w:rPr>
        <w:t xml:space="preserve">（一）承包人不准以任何形式向发包人及其工作人员馈赠礼金、礼品、有价证券、支付凭证、贵重物品等财物</w:t>
      </w:r>
      <w:r>
        <w:rPr>
          <w:rFonts w:hint="eastAsia" w:ascii="宋体" w:hAnsi="宋体" w:cs="Calibri"/>
          <w:color w:val="auto"/>
          <w:sz w:val="24"/>
          <w:szCs w:val="21"/>
          <w:highlight w:val="none"/>
          <w:lang w:eastAsia="zh-CN"/>
        </w:rPr>
        <w:t xml:space="preserve">。</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（二）承包人不准以任何名义为发包人及其工作人员报销应由发包人或个人支付的费用。</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（三）承包人不准以任何理由邀请发包人工作人员参加对承建的施工项目有影响的宴请、及娱乐活动；不准为其提供通讯工具、交通工具、高档办公用品等。</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（四）承包人不准为发包人工作人员住房装修、婚丧嫁娶、配偶、子女、亲友出国（境）旅游提供方便；不准为发包人工作人员的配偶、子女及有利害关系的人员安排工作或劳务。</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（五）承包人不准违反规定将承建的施工项目违法分包或非法转包。</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（六）承包人及其工作人员不准与该工程的监理人串通，违反工程计量、资金支付、质量验评、竣工验收等有关规定和程序，损害发包人利益，影响工程质量、进度和安全。</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第四条 违约责任</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（一）发包人若违反本《廉政合同》有关规定的，对违法乱纪人员，由发包人主管部门依据有关规定查处，给承包人造成的损失，按有关规定予以赔偿。</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（二）承包人若违反本《廉政合同》有关规定的，对违法乱纪人员，由承包人主管部门依据有关规定查处，构成犯罪的移交司法机关处理，给发包人造成的损失，按有关规定予以赔偿。</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第五条 督查</w:t>
      </w:r>
      <w:r>
        <w:rPr>
          <w:rFonts w:hint="eastAsia" w:ascii="宋体" w:hAnsi="宋体" w:cs="Calibri"/>
          <w:b/>
          <w:color w:val="auto"/>
          <w:sz w:val="24"/>
          <w:szCs w:val="21"/>
          <w:highlight w:val="none"/>
        </w:rPr>
        <w:t xml:space="preserve">部门</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双方约定：自愿接受</w:t>
      </w:r>
      <w:r>
        <w:rPr>
          <w:rFonts w:hint="eastAsia" w:ascii="宋体" w:hAnsi="宋体" w:cs="Calibri"/>
          <w:color w:val="auto"/>
          <w:sz w:val="24"/>
          <w:szCs w:val="21"/>
          <w:highlight w:val="none"/>
        </w:rPr>
        <w:t xml:space="preserve">发包人及其上级</w:t>
      </w:r>
      <w:r>
        <w:rPr>
          <w:rFonts w:ascii="宋体" w:hAnsi="宋体" w:cs="Calibri"/>
          <w:color w:val="auto"/>
          <w:sz w:val="24"/>
          <w:szCs w:val="21"/>
          <w:highlight w:val="none"/>
        </w:rPr>
        <w:t xml:space="preserve">纪检监察</w:t>
      </w:r>
      <w:r>
        <w:rPr>
          <w:rFonts w:hint="eastAsia" w:ascii="宋体" w:hAnsi="宋体" w:cs="Calibri"/>
          <w:color w:val="auto"/>
          <w:sz w:val="24"/>
          <w:szCs w:val="21"/>
          <w:highlight w:val="none"/>
        </w:rPr>
        <w:t xml:space="preserve">部门</w:t>
      </w:r>
      <w:r>
        <w:rPr>
          <w:rFonts w:ascii="宋体" w:hAnsi="宋体" w:cs="Calibri"/>
          <w:color w:val="auto"/>
          <w:sz w:val="24"/>
          <w:szCs w:val="21"/>
          <w:highlight w:val="none"/>
        </w:rPr>
        <w:t xml:space="preserve">对合同执行情况的监督检查，甲、乙双方应积极配合督查单位的检查，包括提供有关资料和财务</w:t>
      </w:r>
      <w:r>
        <w:rPr>
          <w:rFonts w:hint="eastAsia" w:ascii="宋体" w:hAnsi="宋体" w:cs="Calibri"/>
          <w:color w:val="auto"/>
          <w:sz w:val="24"/>
          <w:szCs w:val="21"/>
          <w:highlight w:val="none"/>
        </w:rPr>
        <w:t xml:space="preserve">账册</w:t>
      </w:r>
      <w:r>
        <w:rPr>
          <w:rFonts w:ascii="宋体" w:hAnsi="宋体" w:cs="Calibri"/>
          <w:color w:val="auto"/>
          <w:sz w:val="24"/>
          <w:szCs w:val="21"/>
          <w:highlight w:val="none"/>
        </w:rPr>
        <w:t xml:space="preserve">，接受提出本合同规定范围内的裁定意见。</w:t>
      </w:r>
      <w:r/>
    </w:p>
    <w:p>
      <w:pPr>
        <w:ind w:firstLine="482"/>
        <w:jc w:val="both"/>
        <w:keepLines w:val="0"/>
        <w:keepNext w:val="0"/>
        <w:pageBreakBefore w:val="0"/>
        <w:spacing w:line="440" w:lineRule="exact"/>
        <w:widowControl w:val="off"/>
        <w:rPr>
          <w:rFonts w:ascii="宋体" w:hAnsi="宋体" w:cs="Calibri"/>
          <w:b/>
          <w:color w:val="auto"/>
          <w:sz w:val="24"/>
          <w:szCs w:val="21"/>
          <w:highlight w:val="none"/>
        </w:rPr>
      </w:pPr>
      <w:r>
        <w:rPr>
          <w:rFonts w:ascii="宋体" w:hAnsi="宋体" w:cs="Calibri"/>
          <w:b/>
          <w:color w:val="auto"/>
          <w:sz w:val="24"/>
          <w:szCs w:val="21"/>
          <w:highlight w:val="none"/>
        </w:rPr>
        <w:t xml:space="preserve">第六条 检查方式</w:t>
      </w:r>
      <w:r/>
    </w:p>
    <w:p>
      <w:pPr>
        <w:ind w:firstLine="480"/>
        <w:jc w:val="both"/>
        <w:keepLines w:val="0"/>
        <w:keepNext w:val="0"/>
        <w:pageBreakBefore w:val="0"/>
        <w:spacing w:line="440" w:lineRule="exact"/>
        <w:widowControl w:val="off"/>
        <w:rPr>
          <w:rFonts w:ascii="宋体" w:hAnsi="宋体" w:cs="Calibri"/>
          <w:color w:val="auto"/>
          <w:sz w:val="24"/>
          <w:szCs w:val="21"/>
          <w:highlight w:val="none"/>
        </w:rPr>
      </w:pPr>
      <w:r>
        <w:rPr>
          <w:rFonts w:ascii="宋体" w:hAnsi="宋体" w:cs="Calibri"/>
          <w:color w:val="auto"/>
          <w:sz w:val="24"/>
          <w:szCs w:val="21"/>
          <w:highlight w:val="none"/>
        </w:rPr>
        <w:t xml:space="preserve">本合同的履约情况由督查</w:t>
      </w:r>
      <w:r>
        <w:rPr>
          <w:rFonts w:hint="eastAsia" w:ascii="宋体" w:hAnsi="宋体" w:cs="Calibri"/>
          <w:color w:val="auto"/>
          <w:sz w:val="24"/>
          <w:szCs w:val="21"/>
          <w:highlight w:val="none"/>
        </w:rPr>
        <w:t xml:space="preserve">部门</w:t>
      </w:r>
      <w:r>
        <w:rPr>
          <w:rFonts w:ascii="宋体" w:hAnsi="宋体" w:cs="Calibri"/>
          <w:color w:val="auto"/>
          <w:sz w:val="24"/>
          <w:szCs w:val="21"/>
          <w:highlight w:val="none"/>
        </w:rPr>
        <w:t xml:space="preserve">主持，甲乙双方共同派员参加，检查方式为座谈、问卷调查、查看资料及财务</w:t>
      </w:r>
      <w:r>
        <w:rPr>
          <w:rFonts w:hint="eastAsia" w:ascii="宋体" w:hAnsi="宋体" w:cs="Calibri"/>
          <w:color w:val="auto"/>
          <w:sz w:val="24"/>
          <w:szCs w:val="21"/>
          <w:highlight w:val="none"/>
        </w:rPr>
        <w:t xml:space="preserve">账册</w:t>
      </w:r>
      <w:r>
        <w:rPr>
          <w:rFonts w:ascii="宋体" w:hAnsi="宋体" w:cs="Calibri"/>
          <w:color w:val="auto"/>
          <w:sz w:val="24"/>
          <w:szCs w:val="21"/>
          <w:highlight w:val="none"/>
        </w:rPr>
        <w:t xml:space="preserve">或由各方约定的其他方式等。检查时间、次数、方式、检查结论和执行违约责任等由双方协商确定，如无法达成一致的，由督查单位依据事实裁定。</w:t>
      </w:r>
      <w:r/>
    </w:p>
    <w:p>
      <w:pPr>
        <w:ind w:firstLine="482"/>
        <w:jc w:val="both"/>
        <w:keepLines w:val="0"/>
        <w:keepNext w:val="0"/>
        <w:pageBreakBefore w:val="0"/>
        <w:spacing w:line="440" w:lineRule="exact"/>
        <w:widowControl w:val="off"/>
        <w:rPr>
          <w:rFonts w:ascii="宋体" w:hAnsi="宋体" w:eastAsia="宋体" w:cs="Calibri"/>
          <w:b/>
          <w:color w:val="auto"/>
          <w:sz w:val="24"/>
          <w:szCs w:val="21"/>
          <w:highlight w:val="none"/>
        </w:rPr>
      </w:pPr>
      <w:r>
        <w:rPr>
          <w:rFonts w:ascii="宋体" w:hAnsi="宋体" w:eastAsia="宋体" w:cs="Calibri"/>
          <w:b/>
          <w:color w:val="auto"/>
          <w:sz w:val="24"/>
          <w:szCs w:val="21"/>
          <w:highlight w:val="none"/>
        </w:rPr>
        <w:t xml:space="preserve">第七条 本合同有效期为工程开工之日起至该合同段工程项目竣工验收后止。</w:t>
      </w:r>
      <w:r/>
    </w:p>
    <w:p>
      <w:pPr>
        <w:ind w:firstLine="482"/>
        <w:jc w:val="both"/>
        <w:keepLines w:val="0"/>
        <w:keepNext w:val="0"/>
        <w:pageBreakBefore w:val="0"/>
        <w:spacing w:line="440" w:lineRule="exact"/>
        <w:widowControl w:val="off"/>
        <w:rPr>
          <w:rFonts w:hint="eastAsia" w:ascii="宋体" w:hAnsi="宋体" w:eastAsia="宋体" w:cs="Calibri"/>
          <w:b/>
          <w:color w:val="auto"/>
          <w:sz w:val="24"/>
          <w:szCs w:val="21"/>
          <w:highlight w:val="none"/>
        </w:rPr>
      </w:pPr>
      <w:r>
        <w:rPr>
          <w:rFonts w:ascii="宋体" w:hAnsi="宋体" w:eastAsia="宋体" w:cs="Calibri"/>
          <w:b/>
          <w:color w:val="auto"/>
          <w:sz w:val="24"/>
          <w:szCs w:val="21"/>
          <w:highlight w:val="none"/>
        </w:rPr>
        <w:t xml:space="preserve">第八条</w:t>
      </w:r>
      <w:r>
        <w:rPr>
          <w:rFonts w:hint="eastAsia" w:ascii="宋体" w:hAnsi="宋体" w:eastAsia="宋体" w:cs="Calibri"/>
          <w:b/>
          <w:color w:val="auto"/>
          <w:sz w:val="24"/>
          <w:szCs w:val="21"/>
          <w:highlight w:val="none"/>
        </w:rPr>
        <w:t xml:space="preserve"> 本</w:t>
      </w:r>
      <w:r>
        <w:rPr>
          <w:rFonts w:hint="eastAsia" w:ascii="宋体" w:hAnsi="宋体" w:eastAsia="宋体" w:cs="Calibri"/>
          <w:b/>
          <w:color w:val="auto"/>
          <w:sz w:val="24"/>
          <w:szCs w:val="21"/>
          <w:highlight w:val="none"/>
          <w:lang w:val="en-US" w:eastAsia="zh-CN"/>
        </w:rPr>
        <w:t xml:space="preserve">协议书</w:t>
      </w:r>
      <w:r>
        <w:rPr>
          <w:rFonts w:hint="eastAsia" w:ascii="宋体" w:hAnsi="宋体" w:eastAsia="宋体" w:cs="Calibri"/>
          <w:b/>
          <w:color w:val="auto"/>
          <w:sz w:val="24"/>
          <w:szCs w:val="21"/>
          <w:highlight w:val="none"/>
        </w:rPr>
        <w:t xml:space="preserve">一式</w:t>
      </w:r>
      <w:r>
        <w:rPr>
          <w:rFonts w:hint="eastAsia" w:ascii="宋体" w:hAnsi="宋体" w:eastAsia="宋体" w:cs="Calibri"/>
          <w:b/>
          <w:color w:val="auto"/>
          <w:sz w:val="24"/>
          <w:szCs w:val="21"/>
          <w:highlight w:val="none"/>
          <w:lang w:val="en-US" w:eastAsia="zh-CN"/>
        </w:rPr>
        <w:t xml:space="preserve">捌</w:t>
      </w:r>
      <w:r>
        <w:rPr>
          <w:rFonts w:hint="eastAsia" w:ascii="宋体" w:hAnsi="宋体" w:eastAsia="宋体" w:cs="Calibri"/>
          <w:b/>
          <w:color w:val="auto"/>
          <w:sz w:val="24"/>
          <w:szCs w:val="21"/>
          <w:highlight w:val="none"/>
        </w:rPr>
        <w:t xml:space="preserve">份，均具有同等法律效力，</w:t>
      </w:r>
      <w:r>
        <w:rPr>
          <w:rFonts w:hint="eastAsia" w:ascii="宋体" w:hAnsi="宋体" w:eastAsia="宋体" w:cs="Calibri"/>
          <w:b/>
          <w:color w:val="auto"/>
          <w:sz w:val="24"/>
          <w:szCs w:val="21"/>
          <w:highlight w:val="none"/>
          <w:lang w:val="en-US" w:eastAsia="zh-CN"/>
        </w:rPr>
        <w:t xml:space="preserve">甲方</w:t>
      </w:r>
      <w:r>
        <w:rPr>
          <w:rFonts w:hint="eastAsia" w:ascii="宋体" w:hAnsi="宋体" w:eastAsia="宋体" w:cs="Calibri"/>
          <w:b/>
          <w:color w:val="auto"/>
          <w:sz w:val="24"/>
          <w:szCs w:val="21"/>
          <w:highlight w:val="none"/>
        </w:rPr>
        <w:t xml:space="preserve">执</w:t>
      </w:r>
      <w:r>
        <w:rPr>
          <w:rFonts w:hint="eastAsia" w:ascii="宋体" w:hAnsi="宋体" w:eastAsia="宋体" w:cs="Calibri"/>
          <w:b/>
          <w:color w:val="auto"/>
          <w:sz w:val="24"/>
          <w:szCs w:val="21"/>
          <w:highlight w:val="none"/>
          <w:lang w:val="en-US" w:eastAsia="zh-CN"/>
        </w:rPr>
        <w:t xml:space="preserve">伍</w:t>
      </w:r>
      <w:r>
        <w:rPr>
          <w:rFonts w:hint="eastAsia" w:ascii="宋体" w:hAnsi="宋体" w:eastAsia="宋体" w:cs="Calibri"/>
          <w:b/>
          <w:color w:val="auto"/>
          <w:sz w:val="24"/>
          <w:szCs w:val="21"/>
          <w:highlight w:val="none"/>
        </w:rPr>
        <w:t xml:space="preserve">份，</w:t>
      </w:r>
      <w:r>
        <w:rPr>
          <w:rFonts w:hint="eastAsia" w:ascii="宋体" w:hAnsi="宋体" w:eastAsia="宋体" w:cs="Calibri"/>
          <w:b/>
          <w:color w:val="auto"/>
          <w:sz w:val="24"/>
          <w:szCs w:val="21"/>
          <w:highlight w:val="none"/>
          <w:lang w:val="en-US" w:eastAsia="zh-CN"/>
        </w:rPr>
        <w:t xml:space="preserve">乙方</w:t>
      </w:r>
      <w:r>
        <w:rPr>
          <w:rFonts w:hint="eastAsia" w:ascii="宋体" w:hAnsi="宋体" w:eastAsia="宋体" w:cs="Calibri"/>
          <w:b/>
          <w:color w:val="auto"/>
          <w:sz w:val="24"/>
          <w:szCs w:val="21"/>
          <w:highlight w:val="none"/>
        </w:rPr>
        <w:t xml:space="preserve">执</w:t>
      </w:r>
      <w:r>
        <w:rPr>
          <w:rFonts w:hint="eastAsia" w:ascii="宋体" w:hAnsi="宋体" w:eastAsia="宋体" w:cs="Calibri"/>
          <w:b/>
          <w:color w:val="auto"/>
          <w:sz w:val="24"/>
          <w:szCs w:val="21"/>
          <w:highlight w:val="none"/>
          <w:lang w:val="en-US" w:eastAsia="zh-CN"/>
        </w:rPr>
        <w:t xml:space="preserve">叁</w:t>
      </w:r>
      <w:r>
        <w:rPr>
          <w:rFonts w:hint="eastAsia" w:ascii="宋体" w:hAnsi="宋体" w:eastAsia="宋体" w:cs="Calibri"/>
          <w:b/>
          <w:color w:val="auto"/>
          <w:sz w:val="24"/>
          <w:szCs w:val="21"/>
          <w:highlight w:val="none"/>
        </w:rPr>
        <w:t xml:space="preserve">份。</w:t>
      </w:r>
      <w:r/>
    </w:p>
    <w:p>
      <w:pPr>
        <w:ind w:firstLine="480"/>
        <w:jc w:val="both"/>
        <w:keepLines w:val="0"/>
        <w:keepNext w:val="0"/>
        <w:pageBreakBefore w:val="0"/>
        <w:spacing w:line="46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keepLines w:val="0"/>
        <w:keepNext w:val="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乙方：（盖章） </w:t>
      </w:r>
      <w:r/>
    </w:p>
    <w:p>
      <w:pPr>
        <w:ind w:firstLine="480"/>
        <w:keepLines w:val="0"/>
        <w:keepNext w:val="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法定代表人或</w:t>
      </w:r>
      <w:r/>
    </w:p>
    <w:p>
      <w:pPr>
        <w:ind w:firstLine="480"/>
        <w:jc w:val="both"/>
        <w:keepLines w:val="0"/>
        <w:keepNext w:val="0"/>
        <w:pageBreakBefore w:val="0"/>
        <w:spacing w:line="4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被授权代理人： （签字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w:t>
      </w:r>
      <w:r/>
    </w:p>
    <w:p>
      <w:pPr>
        <w:ind w:firstLine="5440"/>
        <w:jc w:val="both"/>
        <w:spacing w:line="480" w:lineRule="exact"/>
        <w:widowControl w:val="off"/>
        <w:rPr>
          <w:rFonts w:ascii="宋体" w:hAnsi="宋体" w:cs="Calibri"/>
          <w:b/>
          <w:color w:val="auto"/>
          <w:sz w:val="24"/>
          <w:szCs w:val="21"/>
          <w:highlight w:val="none"/>
        </w:rPr>
      </w:pPr>
      <w:r>
        <w:rPr>
          <w:rFonts w:hint="eastAsia" w:ascii="宋体" w:hAnsi="宋体" w:cs="宋体"/>
          <w:color w:val="auto"/>
          <w:sz w:val="24"/>
          <w:szCs w:val="24"/>
          <w:highlight w:val="none"/>
        </w:rPr>
        <w:t xml:space="preserve"> 签订日期：      年   月   日</w:t>
      </w:r>
      <w:r/>
    </w:p>
    <w:p>
      <w:pPr>
        <w:pStyle w:val="1078"/>
        <w:numPr>
          <w:ilvl w:val="0"/>
          <w:numId w:val="0"/>
        </w:numPr>
        <w:keepLines/>
        <w:keepNext/>
        <w:pageBreakBefore w:val="0"/>
        <w:spacing w:before="0" w:after="0" w:line="240" w:lineRule="auto"/>
        <w:widowControl w:val="off"/>
        <w:rPr>
          <w:rFonts w:hint="eastAsia" w:ascii="黑体" w:hAnsi="Arial" w:eastAsia="黑体" w:cs="Arial"/>
          <w:b/>
          <w:bCs/>
          <w:color w:val="000000" w:themeColor="text1"/>
          <w:sz w:val="44"/>
          <w:szCs w:val="44"/>
          <w:lang w:val="en-US" w:eastAsia="zh-CN" w:bidi="ar-SA"/>
          <w14:textFill>
            <w14:solidFill>
              <w14:schemeClr w14:val="tx1"/>
            </w14:solidFill>
          </w14:textFill>
        </w:rPr>
        <w:sectPr>
          <w:footnotePr/>
          <w:endnotePr/>
          <w:type w:val="nextPage"/>
          <w:pgSz w:w="11906" w:h="16838" w:orient="portrait"/>
          <w:pgMar w:top="1015" w:right="1196" w:bottom="868" w:left="1259" w:header="851" w:footer="907" w:gutter="0"/>
          <w:cols w:num="1" w:sep="0" w:space="720" w:equalWidth="1"/>
          <w:docGrid w:linePitch="360"/>
        </w:sectPr>
      </w:pPr>
      <w:r>
        <w:rPr>
          <w:rFonts w:hint="eastAsia" w:ascii="黑体" w:hAnsi="Arial" w:eastAsia="黑体" w:cs="Arial"/>
          <w:b/>
          <w:bCs/>
          <w:color w:val="000000" w:themeColor="text1"/>
          <w:sz w:val="44"/>
          <w:szCs w:val="44"/>
          <w:lang w:val="en-US" w:eastAsia="zh-CN" w:bidi="ar-SA"/>
          <w14:textFill>
            <w14:solidFill>
              <w14:schemeClr w14:val="tx1"/>
            </w14:solidFill>
          </w14:textFill>
        </w:rPr>
      </w:r>
      <w:r/>
    </w:p>
    <w:p>
      <w:pPr>
        <w:pStyle w:val="1078"/>
        <w:numPr>
          <w:ilvl w:val="0"/>
          <w:numId w:val="0"/>
        </w:numPr>
        <w:keepLines/>
        <w:keepNext/>
        <w:pageBreakBefore w:val="0"/>
        <w:spacing w:before="0" w:after="0" w:line="240" w:lineRule="auto"/>
        <w:widowControl w:val="off"/>
        <w:rPr>
          <w:rFonts w:ascii="黑体" w:eastAsia="黑体" w:cs="Arial"/>
          <w:bCs/>
          <w:color w:val="000000" w:themeColor="text1"/>
          <w:sz w:val="32"/>
          <w:szCs w:val="32"/>
          <w:highlight w:val="none"/>
          <w14:textFill>
            <w14:solidFill>
              <w14:schemeClr w14:val="tx1"/>
            </w14:solidFill>
          </w14:textFill>
        </w:rPr>
      </w:pPr>
      <w:r>
        <w:rPr>
          <w:rFonts w:hint="eastAsia" w:ascii="黑体" w:hAnsi="Arial" w:eastAsia="黑体" w:cs="Arial"/>
          <w:b/>
          <w:bCs/>
          <w:color w:val="000000" w:themeColor="text1"/>
          <w:sz w:val="44"/>
          <w:szCs w:val="44"/>
          <w:lang w:val="en-US" w:eastAsia="zh-CN" w:bidi="ar-SA"/>
          <w14:textFill>
            <w14:solidFill>
              <w14:schemeClr w14:val="tx1"/>
            </w14:solidFill>
          </w14:textFill>
        </w:rPr>
        <w:t xml:space="preserve">第四章</w:t>
      </w:r>
      <w:r>
        <w:rPr>
          <w:rFonts w:hint="eastAsia" w:ascii="黑体" w:eastAsia="黑体" w:cs="Arial"/>
          <w:bCs/>
          <w:color w:val="000000" w:themeColor="text1"/>
          <w:sz w:val="44"/>
          <w:szCs w:val="44"/>
          <w:highlight w:val="none"/>
          <w14:textFill>
            <w14:solidFill>
              <w14:schemeClr w14:val="tx1"/>
            </w14:solidFill>
          </w14:textFill>
        </w:rPr>
        <w:t xml:space="preserve"> 项目需求</w:t>
      </w:r>
      <w:r/>
    </w:p>
    <w:p>
      <w:pPr>
        <w:ind w:firstLine="480"/>
        <w:jc w:val="left"/>
        <w:spacing w:line="440" w:lineRule="exact"/>
        <w:rPr>
          <w:rFonts w:hint="eastAsia" w:ascii="宋体" w:hAnsi="宋体" w:cs="宋体"/>
          <w:bCs/>
          <w:sz w:val="24"/>
        </w:rPr>
      </w:pPr>
      <w:r/>
      <w:bookmarkStart w:id="133" w:name="_Toc26554097"/>
      <w:r/>
      <w:bookmarkStart w:id="134" w:name="_Toc61149622"/>
      <w:r/>
      <w:bookmarkStart w:id="135" w:name="_Toc23828480"/>
      <w:r>
        <w:rPr>
          <w:rFonts w:hint="eastAsia" w:ascii="宋体" w:hAnsi="宋体" w:cs="宋体"/>
          <w:bCs/>
          <w:sz w:val="24"/>
        </w:rPr>
        <w:t xml:space="preserve">项目属性：工程类项目</w:t>
      </w:r>
      <w:r/>
    </w:p>
    <w:p>
      <w:pPr>
        <w:pStyle w:val="1175"/>
        <w:ind w:left="0" w:firstLine="482"/>
        <w:jc w:val="left"/>
        <w:keepLines w:val="0"/>
        <w:keepNext w:val="0"/>
        <w:pageBreakBefore w:val="0"/>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项目概况</w:t>
      </w:r>
      <w:r/>
    </w:p>
    <w:p>
      <w:pPr>
        <w:pStyle w:val="1175"/>
        <w:ind w:left="0" w:firstLine="480"/>
        <w:jc w:val="left"/>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便仓镇恒泽源农产品加工项目配套污水压力管道建设工程</w:t>
      </w:r>
      <w:r>
        <w:rPr>
          <w:rFonts w:hint="eastAsia" w:ascii="宋体" w:hAnsi="宋体" w:cs="宋体"/>
          <w:color w:val="auto"/>
          <w:sz w:val="24"/>
          <w:szCs w:val="24"/>
          <w:highlight w:val="none"/>
        </w:rPr>
        <w:t xml:space="preserve">。</w:t>
      </w:r>
      <w:r/>
    </w:p>
    <w:p>
      <w:pPr>
        <w:pStyle w:val="1175"/>
        <w:ind w:left="0" w:firstLine="480"/>
        <w:jc w:val="left"/>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2、项目地点：位于便仓镇境内</w:t>
      </w:r>
      <w:r>
        <w:rPr>
          <w:rFonts w:hint="eastAsia" w:ascii="宋体" w:hAnsi="宋体" w:cs="宋体"/>
          <w:color w:val="auto"/>
          <w:sz w:val="24"/>
          <w:szCs w:val="24"/>
          <w:highlight w:val="none"/>
          <w:lang w:eastAsia="zh-CN"/>
        </w:rPr>
        <w:t xml:space="preserve">。</w:t>
      </w:r>
      <w:r/>
    </w:p>
    <w:p>
      <w:pPr>
        <w:pStyle w:val="1175"/>
        <w:ind w:left="0"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3、工期要求：30日历天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具体开工日期以采购人的书面通知为准。</w:t>
      </w:r>
      <w:r/>
    </w:p>
    <w:p>
      <w:pPr>
        <w:pStyle w:val="1175"/>
        <w:ind w:left="0" w:firstLine="480"/>
        <w:jc w:val="left"/>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、质量标准：国家“合格”标准</w:t>
      </w:r>
      <w:r/>
    </w:p>
    <w:p>
      <w:pPr>
        <w:pStyle w:val="1175"/>
        <w:ind w:left="0" w:firstLine="480"/>
        <w:jc w:val="left"/>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、发包范围：详见工程量清单。招标人保留对工作量进行变更或增减的权利。</w:t>
      </w:r>
      <w:r/>
    </w:p>
    <w:p>
      <w:pPr>
        <w:pStyle w:val="1175"/>
        <w:ind w:left="0" w:firstLine="480"/>
        <w:jc w:val="left"/>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sz w:val="24"/>
        </w:rPr>
        <w:t xml:space="preserve">标段划分：本次招标为一个标段。</w:t>
      </w:r>
      <w:r/>
    </w:p>
    <w:p>
      <w:pPr>
        <w:pStyle w:val="1175"/>
        <w:ind w:left="0" w:firstLine="480"/>
        <w:jc w:val="left"/>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sz w:val="24"/>
        </w:rPr>
        <w:t xml:space="preserve">采购范围：</w:t>
      </w:r>
      <w:r>
        <w:rPr>
          <w:rFonts w:hint="eastAsia" w:ascii="宋体" w:hAnsi="宋体" w:cs="宋体"/>
          <w:color w:val="auto"/>
          <w:sz w:val="24"/>
          <w:highlight w:val="none"/>
          <w:lang w:eastAsia="zh-CN"/>
        </w:rPr>
        <w:t xml:space="preserve">便仓镇恒泽源农产品加工项目配套污水压力管道建设工程</w:t>
      </w:r>
      <w:r>
        <w:rPr>
          <w:rFonts w:hint="eastAsia" w:ascii="宋体" w:hAnsi="宋体" w:cs="宋体"/>
          <w:color w:val="auto"/>
          <w:sz w:val="24"/>
          <w:highlight w:val="none"/>
        </w:rPr>
        <w:t xml:space="preserve">，具体详见</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文件项目需求。</w:t>
      </w:r>
      <w:r/>
    </w:p>
    <w:p>
      <w:pPr>
        <w:pStyle w:val="1175"/>
        <w:ind w:left="0" w:firstLine="480"/>
        <w:jc w:val="left"/>
        <w:keepLines w:val="0"/>
        <w:keepNext w:val="0"/>
        <w:pageBreakBefore w:val="0"/>
        <w:spacing w:line="460" w:lineRule="exact"/>
        <w:rPr>
          <w:rFonts w:hint="eastAsia" w:ascii="宋体" w:hAnsi="宋体" w:cs="宋体"/>
          <w:sz w:val="24"/>
        </w:rPr>
      </w:pPr>
      <w:r>
        <w:rPr>
          <w:rFonts w:hint="eastAsia" w:ascii="宋体" w:hAnsi="宋体" w:cs="宋体"/>
          <w:color w:val="auto"/>
          <w:sz w:val="24"/>
          <w:highlight w:val="none"/>
          <w:lang w:val="en-US" w:eastAsia="zh-CN"/>
        </w:rPr>
        <w:t xml:space="preserve">8、</w:t>
      </w:r>
      <w:r>
        <w:rPr>
          <w:rFonts w:hint="eastAsia" w:ascii="宋体" w:hAnsi="宋体" w:cs="宋体"/>
          <w:sz w:val="24"/>
        </w:rPr>
        <w:t xml:space="preserve">中标单位需协助招标人办理施工许可证及后续服务。</w:t>
      </w:r>
      <w:r/>
    </w:p>
    <w:p>
      <w:pPr>
        <w:pStyle w:val="1183"/>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二、踏勘现场</w:t>
      </w:r>
      <w:r/>
    </w:p>
    <w:p>
      <w:pPr>
        <w:ind w:firstLine="480"/>
        <w:spacing w:line="440" w:lineRule="exact"/>
        <w:rPr>
          <w:rFonts w:hint="eastAsia" w:ascii="宋体" w:hAnsi="宋体" w:cs="宋体"/>
          <w:sz w:val="24"/>
        </w:rPr>
      </w:pPr>
      <w:r>
        <w:rPr>
          <w:rFonts w:hint="eastAsia" w:ascii="宋体" w:hAnsi="宋体" w:cs="宋体"/>
          <w:sz w:val="24"/>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83"/>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三、投标报价要求</w:t>
      </w:r>
      <w:r/>
    </w:p>
    <w:p>
      <w:pPr>
        <w:ind w:firstLine="480"/>
        <w:spacing w:line="440" w:lineRule="exact"/>
        <w:rPr>
          <w:rFonts w:hint="eastAsia" w:ascii="宋体" w:hAnsi="宋体" w:cs="宋体"/>
          <w:sz w:val="24"/>
        </w:rPr>
      </w:pPr>
      <w:r>
        <w:rPr>
          <w:rFonts w:hint="eastAsia" w:ascii="宋体" w:hAnsi="宋体" w:cs="宋体"/>
          <w:sz w:val="24"/>
        </w:rPr>
        <w:t xml:space="preserve">1.投标人应按招标人提供的“招标工程量清单”的要求填写价格清单。</w:t>
      </w:r>
      <w:r/>
    </w:p>
    <w:p>
      <w:pPr>
        <w:ind w:firstLine="480"/>
        <w:spacing w:line="440" w:lineRule="exact"/>
        <w:rPr>
          <w:rFonts w:hint="eastAsia" w:ascii="宋体" w:hAnsi="宋体" w:cs="宋体"/>
          <w:sz w:val="24"/>
        </w:rPr>
      </w:pPr>
      <w:r>
        <w:rPr>
          <w:rFonts w:hint="eastAsia" w:ascii="宋体" w:hAnsi="宋体" w:cs="宋体"/>
          <w:sz w:val="24"/>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hint="eastAsia" w:ascii="宋体" w:hAnsi="宋体" w:cs="宋体"/>
          <w:sz w:val="24"/>
        </w:rPr>
      </w:pPr>
      <w:r>
        <w:rPr>
          <w:rFonts w:hint="eastAsia" w:ascii="宋体" w:hAnsi="宋体" w:cs="宋体"/>
          <w:sz w:val="24"/>
        </w:rPr>
        <w:t xml:space="preserve">3.投标人需自行勘察现场，结合招标人的施工工艺要求，以及现场施工难度，进行投标报价，投标报价需包含按照招标人工艺要求进行施工的所有费用。</w:t>
      </w:r>
      <w:r/>
    </w:p>
    <w:p>
      <w:pPr>
        <w:ind w:firstLine="480"/>
        <w:spacing w:line="440" w:lineRule="exact"/>
        <w:rPr>
          <w:rFonts w:hint="eastAsia" w:ascii="宋体" w:hAnsi="宋体" w:cs="宋体"/>
          <w:sz w:val="24"/>
        </w:rPr>
      </w:pPr>
      <w:r>
        <w:rPr>
          <w:rFonts w:hint="eastAsia" w:ascii="宋体" w:hAnsi="宋体" w:cs="宋体"/>
          <w:sz w:val="24"/>
        </w:rPr>
        <w:t xml:space="preserve">4.投标人须考虑现场情况，部分材料可能须要人工二次倒运，投标人须将此费用考虑在投标综合报价中。</w:t>
      </w:r>
      <w:r/>
    </w:p>
    <w:p>
      <w:pPr>
        <w:ind w:firstLine="480"/>
        <w:spacing w:line="440" w:lineRule="exact"/>
        <w:rPr>
          <w:rFonts w:hint="eastAsia" w:ascii="宋体" w:hAnsi="宋体" w:cs="宋体"/>
          <w:sz w:val="24"/>
        </w:rPr>
      </w:pPr>
      <w:r>
        <w:rPr>
          <w:rFonts w:hint="eastAsia" w:ascii="宋体" w:hAnsi="宋体" w:cs="宋体"/>
          <w:sz w:val="24"/>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hint="eastAsia" w:ascii="宋体" w:hAnsi="宋体" w:cs="宋体"/>
          <w:sz w:val="24"/>
        </w:rPr>
      </w:pPr>
      <w:r>
        <w:rPr>
          <w:rFonts w:hint="eastAsia" w:ascii="宋体" w:hAnsi="宋体" w:cs="宋体"/>
          <w:sz w:val="24"/>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80"/>
        <w:spacing w:line="440" w:lineRule="exact"/>
        <w:rPr>
          <w:rFonts w:hint="eastAsia"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hint="eastAsia"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hint="eastAsia"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hint="eastAsia"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hint="eastAsia" w:ascii="宋体" w:hAnsi="宋体" w:cs="宋体"/>
          <w:sz w:val="24"/>
        </w:rPr>
      </w:pPr>
      <w:r>
        <w:rPr>
          <w:rFonts w:hint="eastAsia" w:ascii="宋体" w:hAnsi="宋体" w:cs="宋体"/>
          <w:sz w:val="24"/>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sz w:val="24"/>
        </w:rPr>
      </w:pPr>
      <w:r>
        <w:rPr>
          <w:rFonts w:hint="eastAsia" w:ascii="宋体" w:hAnsi="宋体" w:cs="宋体"/>
          <w:sz w:val="24"/>
        </w:rPr>
        <w:t xml:space="preserve">12.工程量现场实测计量，招标人保留增加或减少工作量的权利，合同价相应调整，但投标的综合单价不变。</w:t>
      </w:r>
      <w:r/>
    </w:p>
    <w:p>
      <w:pPr>
        <w:pStyle w:val="1179"/>
        <w:ind w:left="0" w:firstLine="480"/>
        <w:keepLines w:val="0"/>
        <w:keepNext w:val="0"/>
        <w:pageBreakBefore w:val="0"/>
        <w:spacing w:line="460" w:lineRule="exact"/>
        <w:rPr>
          <w:rFonts w:hint="eastAsia" w:ascii="宋体" w:hAnsi="宋体"/>
          <w:sz w:val="24"/>
          <w:szCs w:val="24"/>
          <w:highlight w:val="none"/>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w:t>
      </w:r>
      <w:r/>
    </w:p>
    <w:p>
      <w:pPr>
        <w:pStyle w:val="1183"/>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四、投标报价的方式</w:t>
      </w:r>
      <w:r/>
    </w:p>
    <w:p>
      <w:pPr>
        <w:pStyle w:val="1179"/>
        <w:ind w:left="0" w:firstLine="480"/>
        <w:keepLines w:val="0"/>
        <w:keepNext w:val="0"/>
        <w:pageBreakBefore w:val="0"/>
        <w:spacing w:line="460" w:lineRule="exact"/>
        <w:rPr>
          <w:rFonts w:ascii="宋体" w:hAnsi="宋体"/>
          <w:sz w:val="24"/>
          <w:szCs w:val="24"/>
          <w:highlight w:val="none"/>
        </w:rPr>
      </w:pPr>
      <w:r>
        <w:rPr>
          <w:rFonts w:hint="eastAsia" w:ascii="宋体" w:hAnsi="宋体" w:cs="宋体"/>
          <w:sz w:val="24"/>
          <w:szCs w:val="24"/>
          <w:highlight w:val="none"/>
          <w:shd w:val="clear" w:color="auto" w:fill="ffffff"/>
          <w:lang w:val="en-US" w:eastAsia="zh-CN"/>
        </w:rPr>
        <w:t xml:space="preserve">1、</w:t>
      </w:r>
      <w:r>
        <w:rPr>
          <w:rFonts w:hint="eastAsia" w:ascii="宋体" w:hAnsi="宋体" w:cs="宋体"/>
          <w:sz w:val="24"/>
        </w:rPr>
        <w:t xml:space="preserve">固定单价报价</w:t>
      </w:r>
      <w:r>
        <w:rPr>
          <w:rFonts w:hint="eastAsia" w:ascii="宋体" w:hAnsi="宋体" w:cs="宋体"/>
          <w:sz w:val="24"/>
          <w:szCs w:val="24"/>
          <w:highlight w:val="none"/>
          <w:shd w:val="clear" w:color="auto" w:fill="ffffff"/>
        </w:rPr>
        <w:t xml:space="preserve">。本工程实行《建设工程工程量清单计价规范》（GB50500-2013）招标，建设工程合同采用</w:t>
      </w:r>
      <w:r>
        <w:rPr>
          <w:rFonts w:hint="eastAsia" w:ascii="宋体" w:hAnsi="宋体" w:cs="宋体"/>
          <w:sz w:val="24"/>
        </w:rPr>
        <w:t xml:space="preserve">“固定单价合同”</w:t>
      </w:r>
      <w:r>
        <w:rPr>
          <w:rFonts w:hint="eastAsia" w:ascii="宋体" w:hAnsi="宋体" w:cs="宋体"/>
          <w:sz w:val="24"/>
          <w:szCs w:val="24"/>
          <w:highlight w:val="none"/>
          <w:shd w:val="clear" w:color="auto" w:fill="ffffff"/>
        </w:rPr>
        <w:t xml:space="preserve">，以体现风险共担的原则。由采购人提供工程量清单，</w:t>
      </w:r>
      <w:r>
        <w:rPr>
          <w:rFonts w:hint="eastAsia" w:ascii="宋体" w:hAnsi="宋体"/>
          <w:sz w:val="24"/>
          <w:szCs w:val="24"/>
          <w:highlight w:val="none"/>
        </w:rPr>
        <w:t xml:space="preserve">磋商供应商</w:t>
      </w:r>
      <w:r>
        <w:rPr>
          <w:rFonts w:hint="eastAsia" w:ascii="宋体" w:hAnsi="宋体" w:cs="宋体"/>
          <w:sz w:val="24"/>
          <w:szCs w:val="24"/>
          <w:highlight w:val="none"/>
          <w:shd w:val="clear" w:color="auto" w:fill="ffffff"/>
        </w:rPr>
        <w:t xml:space="preserve">以工程量清单及图纸为基础填报相应的单价并计算合价。采购人要求</w:t>
      </w:r>
      <w:r>
        <w:rPr>
          <w:rFonts w:hint="eastAsia" w:ascii="宋体" w:hAnsi="宋体"/>
          <w:sz w:val="24"/>
          <w:szCs w:val="24"/>
          <w:highlight w:val="none"/>
        </w:rPr>
        <w:t xml:space="preserve">磋商供应商</w:t>
      </w:r>
      <w:r>
        <w:rPr>
          <w:rFonts w:hint="eastAsia" w:ascii="宋体" w:hAnsi="宋体" w:cs="宋体"/>
          <w:sz w:val="24"/>
          <w:szCs w:val="24"/>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ind w:firstLine="480"/>
        <w:spacing w:line="440" w:lineRule="exact"/>
        <w:rPr>
          <w:rFonts w:hint="eastAsia" w:ascii="宋体" w:hAnsi="宋体" w:cs="宋体"/>
          <w:sz w:val="24"/>
        </w:rPr>
      </w:pPr>
      <w:r>
        <w:rPr>
          <w:rFonts w:hint="eastAsia" w:ascii="宋体" w:hAnsi="宋体" w:cs="宋体"/>
          <w:sz w:val="24"/>
        </w:rPr>
        <w:t xml:space="preserve">2、投标报价的计价方法</w:t>
      </w:r>
      <w:r/>
    </w:p>
    <w:p>
      <w:pPr>
        <w:ind w:firstLine="480"/>
        <w:spacing w:line="440" w:lineRule="exact"/>
        <w:rPr>
          <w:rFonts w:hint="eastAsia"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hint="eastAsia"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hint="eastAsia" w:ascii="宋体" w:hAnsi="宋体" w:cs="宋体"/>
          <w:sz w:val="24"/>
        </w:rPr>
      </w:pPr>
      <w:r>
        <w:rPr>
          <w:rFonts w:hint="eastAsia" w:ascii="宋体" w:hAnsi="宋体" w:cs="宋体"/>
          <w:sz w:val="24"/>
        </w:rPr>
        <w:t xml:space="preserve">3、投标报价文件编制的依据</w:t>
      </w:r>
      <w:r/>
    </w:p>
    <w:p>
      <w:pPr>
        <w:ind w:firstLine="480"/>
        <w:spacing w:line="440" w:lineRule="exact"/>
        <w:rPr>
          <w:rFonts w:hint="eastAsia"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hint="eastAsia" w:ascii="宋体" w:hAnsi="宋体" w:cs="宋体"/>
          <w:sz w:val="24"/>
        </w:rPr>
      </w:pPr>
      <w:r>
        <w:rPr>
          <w:rFonts w:hint="eastAsia" w:ascii="宋体" w:hAnsi="宋体" w:cs="宋体"/>
          <w:sz w:val="24"/>
        </w:rPr>
        <w:t xml:space="preserve">3.2 招标人设定的最高限价；</w:t>
      </w:r>
      <w:r/>
    </w:p>
    <w:p>
      <w:pPr>
        <w:ind w:firstLine="480"/>
        <w:spacing w:line="440" w:lineRule="exact"/>
        <w:rPr>
          <w:rFonts w:hint="eastAsia"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hint="eastAsia"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hint="eastAsia"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hint="eastAsia" w:ascii="宋体" w:hAnsi="宋体" w:cs="宋体"/>
          <w:sz w:val="24"/>
        </w:rPr>
      </w:pPr>
      <w:r>
        <w:rPr>
          <w:rFonts w:hint="eastAsia" w:ascii="宋体" w:hAnsi="宋体" w:cs="宋体"/>
          <w:sz w:val="24"/>
        </w:rPr>
        <w:t xml:space="preserve">3.6 投标人的企业定额；</w:t>
      </w:r>
      <w:r/>
    </w:p>
    <w:p>
      <w:pPr>
        <w:ind w:firstLine="480"/>
        <w:spacing w:line="440" w:lineRule="exact"/>
        <w:rPr>
          <w:rFonts w:hint="eastAsia"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hint="eastAsia" w:ascii="宋体" w:hAnsi="宋体" w:cs="宋体"/>
          <w:sz w:val="24"/>
        </w:rPr>
      </w:pPr>
      <w:r>
        <w:rPr>
          <w:rFonts w:hint="eastAsia" w:ascii="宋体" w:hAnsi="宋体" w:cs="宋体"/>
          <w:sz w:val="24"/>
        </w:rPr>
        <w:t xml:space="preserve">4、投标报价文件编制的要求</w:t>
      </w:r>
      <w:r/>
    </w:p>
    <w:p>
      <w:pPr>
        <w:ind w:firstLine="480"/>
        <w:spacing w:line="440" w:lineRule="exact"/>
        <w:rPr>
          <w:rFonts w:hint="eastAsia" w:ascii="宋体" w:hAnsi="宋体" w:cs="宋体"/>
          <w:sz w:val="24"/>
        </w:rPr>
      </w:pPr>
      <w:r>
        <w:rPr>
          <w:rFonts w:hint="eastAsia" w:ascii="宋体" w:hAnsi="宋体" w:cs="宋体"/>
          <w:sz w:val="24"/>
        </w:rPr>
        <w:t xml:space="preserve">4.1招标人提供的施工图纸、招标工程量清单应与招标文件一起参照阅读；</w:t>
      </w:r>
      <w:r/>
    </w:p>
    <w:p>
      <w:pPr>
        <w:ind w:left="0" w:firstLine="482"/>
        <w:jc w:val="left"/>
        <w:keepLines w:val="0"/>
        <w:keepNext w:val="0"/>
        <w:pageBreakBefore w:val="0"/>
        <w:spacing w:line="460" w:lineRule="exact"/>
        <w:widowControl/>
        <w:rPr>
          <w:rFonts w:ascii="宋体" w:hAnsi="宋体"/>
          <w:b/>
          <w:sz w:val="24"/>
          <w:highlight w:val="none"/>
        </w:rPr>
      </w:pPr>
      <w:r>
        <w:rPr>
          <w:rFonts w:hint="eastAsia" w:ascii="宋体" w:hAnsi="宋体"/>
          <w:b/>
          <w:sz w:val="24"/>
          <w:highlight w:val="none"/>
          <w:lang w:val="en-US" w:eastAsia="zh-CN"/>
        </w:rPr>
        <w:t xml:space="preserve">五</w:t>
      </w:r>
      <w:r>
        <w:rPr>
          <w:rFonts w:hint="eastAsia" w:ascii="宋体" w:hAnsi="宋体"/>
          <w:b/>
          <w:sz w:val="24"/>
          <w:highlight w:val="none"/>
        </w:rPr>
        <w:t xml:space="preserve">、</w:t>
      </w:r>
      <w:r>
        <w:rPr>
          <w:rFonts w:hint="eastAsia" w:ascii="宋体" w:hAnsi="宋体" w:cs="宋体"/>
          <w:b/>
          <w:sz w:val="24"/>
          <w:szCs w:val="24"/>
        </w:rPr>
        <w:t xml:space="preserve">最高限价（预算）的编制</w:t>
      </w:r>
      <w:r/>
    </w:p>
    <w:p>
      <w:pPr>
        <w:ind w:left="0" w:firstLine="480"/>
        <w:keepLines w:val="0"/>
        <w:keepNext w:val="0"/>
        <w:pageBreakBefore w:val="0"/>
        <w:spacing w:line="460" w:lineRule="exact"/>
        <w:rPr>
          <w:rFonts w:hint="eastAsia" w:ascii="宋体" w:hAnsi="宋体" w:cs="宋体"/>
          <w:sz w:val="24"/>
        </w:rPr>
      </w:pPr>
      <w:r>
        <w:rPr>
          <w:rFonts w:hint="eastAsia" w:ascii="宋体" w:hAnsi="宋体"/>
          <w:sz w:val="24"/>
          <w:highlight w:val="none"/>
        </w:rPr>
        <w:t xml:space="preserve">1.</w:t>
      </w:r>
      <w:r>
        <w:rPr>
          <w:rFonts w:hint="eastAsia" w:ascii="宋体" w:hAnsi="宋体" w:cs="宋体"/>
          <w:sz w:val="24"/>
        </w:rPr>
        <w:t xml:space="preserve">最高限价：详见投标须知前附表，招标人拒绝高于最高限价的投标报价。</w:t>
      </w:r>
      <w:r/>
    </w:p>
    <w:p>
      <w:pPr>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rPr>
        <w:t xml:space="preserve">最高限价确定的依据：本项目</w:t>
      </w:r>
      <w:r>
        <w:rPr>
          <w:rFonts w:hint="eastAsia" w:ascii="宋体" w:hAnsi="宋体" w:cs="宋体"/>
          <w:sz w:val="24"/>
          <w:highlight w:val="none"/>
        </w:rPr>
        <w:t xml:space="preserve">按照招标文件（含工程量清单）、《建设工程工程量清单计价规范》（GB50500-2013）、《房屋建筑与装饰工程工程量计算规范》（GB50854-2013）及《市政工程工程量计算规范》（GB50857-2013）等工程量计算规范……（以下简称《工程量计算规范》）；《江苏省建筑与装饰工程计价定额（2014版）》《江苏省</w:t>
      </w:r>
      <w:r>
        <w:rPr>
          <w:rFonts w:hint="eastAsia" w:ascii="宋体" w:hAnsi="宋体" w:cs="宋体"/>
          <w:sz w:val="24"/>
          <w:highlight w:val="none"/>
          <w:lang w:val="en-US" w:eastAsia="zh-CN"/>
        </w:rPr>
        <w:t xml:space="preserve">市政与安装</w:t>
      </w:r>
      <w:r>
        <w:rPr>
          <w:rFonts w:hint="eastAsia" w:ascii="宋体" w:hAnsi="宋体" w:cs="宋体"/>
          <w:sz w:val="24"/>
          <w:highlight w:val="none"/>
        </w:rPr>
        <w:t xml:space="preserve">工程计价定额（2014版）》……（以下简称《计价定额》）、2014年《江苏省建设工程费用定额》（以下简称《费用定额》）、关于营改增后工程计价依据调整内容（苏建价[2016]154号）及省住房城乡建设厅关于调整建设工程计价增值税税率的通知（苏建函价〔2019〕178号）、盐市建价字[2018]29号文、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月《盐城工程造价》、施工现场情况、工程特点及常规施工方案、相关计价文件的规定，计算出分部分项工程费、措施项目费、其他项目费、规费、税金等确定工程预算价，根据工程预算价确定最高限价。</w:t>
      </w:r>
      <w:r/>
    </w:p>
    <w:p>
      <w:pPr>
        <w:ind w:left="0" w:firstLine="480"/>
        <w:keepLines w:val="0"/>
        <w:keepNext w:val="0"/>
        <w:pageBreakBefore w:val="0"/>
        <w:spacing w:line="460" w:lineRule="exact"/>
        <w:tabs>
          <w:tab w:val="left" w:pos="790" w:leader="none"/>
        </w:tabs>
        <w:rPr>
          <w:rFonts w:ascii="宋体" w:hAnsi="宋体"/>
          <w:sz w:val="24"/>
          <w:highlight w:val="none"/>
        </w:rPr>
      </w:pPr>
      <w:r>
        <w:rPr>
          <w:rFonts w:hint="eastAsia" w:ascii="宋体" w:hAnsi="宋体"/>
          <w:sz w:val="24"/>
          <w:highlight w:val="none"/>
        </w:rPr>
        <w:t xml:space="preserve">一般计税方法单位工程费用计费程序如下：</w:t>
      </w:r>
      <w:r/>
    </w:p>
    <w:p>
      <w:pPr>
        <w:ind w:left="0" w:firstLine="480"/>
        <w:keepLines w:val="0"/>
        <w:keepNext w:val="0"/>
        <w:pageBreakBefore w:val="0"/>
        <w:spacing w:line="460" w:lineRule="exact"/>
        <w:rPr>
          <w:rFonts w:ascii="宋体" w:hAnsi="宋体"/>
          <w:sz w:val="24"/>
          <w:highlight w:val="none"/>
        </w:rPr>
      </w:pPr>
      <w:r>
        <w:rPr>
          <w:rFonts w:hint="eastAsia" w:ascii="宋体" w:hAnsi="宋体"/>
          <w:sz w:val="24"/>
          <w:highlight w:val="none"/>
        </w:rPr>
        <w:t xml:space="preserve">（1）分部分项工程费    人工费+材料费+施工机具使用费+管理费+利润</w:t>
      </w:r>
      <w:r/>
    </w:p>
    <w:p>
      <w:pPr>
        <w:ind w:left="420"/>
        <w:spacing w:line="480" w:lineRule="exact"/>
        <w:tabs>
          <w:tab w:val="left" w:pos="790" w:leader="none"/>
        </w:tabs>
        <w:rPr>
          <w:rFonts w:ascii="宋体" w:hAnsi="宋体"/>
          <w:sz w:val="24"/>
          <w:highlight w:val="none"/>
        </w:rPr>
      </w:pPr>
      <w:r>
        <w:rPr>
          <w:rFonts w:hint="eastAsia" w:ascii="宋体" w:hAnsi="宋体"/>
          <w:sz w:val="24"/>
          <w:highlight w:val="none"/>
        </w:rPr>
        <w:t xml:space="preserve">其中：人工费            人工消耗量×人工单价</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      材料费用          材料消耗量×除税材料单价</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      施工机具使用费    机械消耗量×除税机械单价</w:t>
      </w:r>
      <w:r/>
    </w:p>
    <w:p>
      <w:pPr>
        <w:ind w:firstLine="515"/>
        <w:spacing w:line="480" w:lineRule="exact"/>
        <w:rPr>
          <w:rFonts w:ascii="宋体" w:hAnsi="宋体"/>
          <w:spacing w:val="-3"/>
          <w:sz w:val="24"/>
          <w:highlight w:val="none"/>
        </w:rPr>
      </w:pPr>
      <w:r>
        <w:rPr>
          <w:rFonts w:hint="eastAsia" w:ascii="宋体" w:hAnsi="宋体"/>
          <w:sz w:val="24"/>
          <w:highlight w:val="none"/>
        </w:rPr>
        <w:t xml:space="preserve">      管理费            按《费用定额》及苏建价[2016]154号计取</w:t>
      </w:r>
      <w:r/>
    </w:p>
    <w:p>
      <w:pPr>
        <w:ind w:firstLine="515"/>
        <w:spacing w:line="480" w:lineRule="exact"/>
        <w:rPr>
          <w:rFonts w:ascii="宋体" w:hAnsi="宋体"/>
          <w:spacing w:val="-3"/>
          <w:sz w:val="24"/>
          <w:highlight w:val="none"/>
        </w:rPr>
      </w:pPr>
      <w:r>
        <w:rPr>
          <w:rFonts w:hint="eastAsia" w:ascii="宋体" w:hAnsi="宋体"/>
          <w:sz w:val="24"/>
          <w:highlight w:val="none"/>
        </w:rPr>
        <w:t xml:space="preserve">      利润              按《费用定额》及苏建价[2016]154号计取</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（2）措施项目费         单价措施项目费+总价措施项目费</w:t>
      </w:r>
      <w:r/>
    </w:p>
    <w:p>
      <w:pPr>
        <w:ind w:firstLine="1200"/>
        <w:spacing w:line="480" w:lineRule="exact"/>
        <w:tabs>
          <w:tab w:val="left" w:pos="790" w:leader="none"/>
        </w:tabs>
        <w:rPr>
          <w:rFonts w:ascii="宋体" w:hAnsi="宋体"/>
          <w:sz w:val="24"/>
          <w:highlight w:val="none"/>
        </w:rPr>
      </w:pPr>
      <w:r>
        <w:rPr>
          <w:rFonts w:hint="eastAsia" w:ascii="宋体" w:hAnsi="宋体"/>
          <w:sz w:val="24"/>
          <w:highlight w:val="none"/>
        </w:rPr>
        <w:t xml:space="preserve">单价措施项目费    清单工程量×除税综合单价</w:t>
      </w:r>
      <w:r/>
    </w:p>
    <w:p>
      <w:pPr>
        <w:ind w:left="3597" w:hanging="2400"/>
        <w:spacing w:line="480" w:lineRule="exact"/>
        <w:tabs>
          <w:tab w:val="left" w:pos="790" w:leader="none"/>
        </w:tabs>
        <w:rPr>
          <w:rFonts w:ascii="宋体" w:hAnsi="宋体"/>
          <w:sz w:val="24"/>
          <w:highlight w:val="none"/>
        </w:rPr>
      </w:pPr>
      <w:r>
        <w:rPr>
          <w:rFonts w:hint="eastAsia" w:ascii="宋体" w:hAnsi="宋体"/>
          <w:sz w:val="24"/>
          <w:highlight w:val="none"/>
        </w:rPr>
        <w:t xml:space="preserve">总价措施项目费   （分部分项工程费+单价措施项目费-除税工程设备费）×费率或以项计费</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（3）其他项目费           详见工程量清单。</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（4）规费   （分部分项工程费+措施项目费+其他项目费-除税工程设备费）×费率</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其中：</w:t>
      </w:r>
      <w:r/>
    </w:p>
    <w:p>
      <w:pPr>
        <w:ind w:left="3313" w:right="-105" w:hanging="2880"/>
        <w:spacing w:line="480" w:lineRule="exact"/>
        <w:tabs>
          <w:tab w:val="left" w:pos="790" w:leader="none"/>
        </w:tabs>
        <w:rPr>
          <w:rFonts w:ascii="宋体" w:hAnsi="宋体"/>
          <w:sz w:val="24"/>
          <w:highlight w:val="none"/>
        </w:rPr>
      </w:pPr>
      <w:r>
        <w:rPr>
          <w:rFonts w:hint="eastAsia" w:ascii="宋体" w:hAnsi="宋体"/>
          <w:sz w:val="24"/>
          <w:highlight w:val="none"/>
        </w:rPr>
        <w:t xml:space="preserve">环境保护税         （暂按0.1%标准计取，工程竣工结算时按税务部门规定的</w:t>
      </w:r>
      <w:r/>
    </w:p>
    <w:p>
      <w:pPr>
        <w:ind w:left="2983" w:right="-105" w:hanging="240"/>
        <w:spacing w:line="480" w:lineRule="exact"/>
        <w:tabs>
          <w:tab w:val="left" w:pos="790" w:leader="none"/>
        </w:tabs>
        <w:rPr>
          <w:rFonts w:ascii="宋体" w:hAnsi="宋体"/>
          <w:sz w:val="24"/>
          <w:highlight w:val="none"/>
        </w:rPr>
      </w:pPr>
      <w:r>
        <w:rPr>
          <w:rFonts w:hint="eastAsia" w:ascii="宋体" w:hAnsi="宋体"/>
          <w:sz w:val="24"/>
          <w:highlight w:val="none"/>
        </w:rPr>
        <w:t xml:space="preserve">缴纳标准，按实计取列入工程造价）。</w:t>
      </w:r>
      <w:r/>
    </w:p>
    <w:p>
      <w:pPr>
        <w:jc w:val="left"/>
        <w:spacing w:line="480" w:lineRule="exact"/>
        <w:tabs>
          <w:tab w:val="left" w:pos="790" w:leader="none"/>
        </w:tabs>
        <w:rPr>
          <w:rFonts w:ascii="宋体" w:hAnsi="宋体"/>
          <w:spacing w:val="-20"/>
          <w:sz w:val="24"/>
          <w:highlight w:val="none"/>
        </w:rPr>
      </w:pPr>
      <w:r>
        <w:rPr>
          <w:rFonts w:hint="eastAsia" w:ascii="宋体" w:hAnsi="宋体"/>
          <w:sz w:val="24"/>
          <w:highlight w:val="none"/>
        </w:rPr>
        <w:t xml:space="preserve">    社会保险费          执行《费用定额》及苏建价[2016]154号规定的费率</w:t>
      </w:r>
      <w:r/>
    </w:p>
    <w:p>
      <w:pPr>
        <w:ind w:firstLine="480"/>
        <w:spacing w:line="480" w:lineRule="exact"/>
        <w:tabs>
          <w:tab w:val="left" w:pos="790" w:leader="none"/>
        </w:tabs>
        <w:rPr>
          <w:rFonts w:ascii="宋体" w:hAnsi="宋体"/>
          <w:sz w:val="24"/>
          <w:highlight w:val="none"/>
        </w:rPr>
      </w:pPr>
      <w:r>
        <w:rPr>
          <w:rFonts w:hint="eastAsia" w:ascii="宋体" w:hAnsi="宋体"/>
          <w:sz w:val="24"/>
          <w:highlight w:val="none"/>
        </w:rPr>
        <w:t xml:space="preserve">住房公积金          执行《费用定额》及苏建价[2016]154号规定的费率</w:t>
      </w:r>
      <w:r/>
    </w:p>
    <w:p>
      <w:pPr>
        <w:ind w:left="3300" w:hanging="2880"/>
        <w:spacing w:line="480" w:lineRule="exact"/>
        <w:tabs>
          <w:tab w:val="left" w:pos="790" w:leader="none"/>
        </w:tabs>
        <w:rPr>
          <w:rFonts w:ascii="宋体" w:hAnsi="宋体"/>
          <w:sz w:val="24"/>
          <w:highlight w:val="none"/>
        </w:rPr>
      </w:pPr>
      <w:r>
        <w:rPr>
          <w:rFonts w:hint="eastAsia" w:ascii="宋体" w:hAnsi="宋体"/>
          <w:sz w:val="24"/>
          <w:highlight w:val="none"/>
        </w:rPr>
        <w:t xml:space="preserve">（5）税金             （分部分项工程费+措施项目费+其他项目费+规费-（除税甲供材料费+除税甲供设备费）/1.01）×税率</w:t>
      </w:r>
      <w:r/>
    </w:p>
    <w:p>
      <w:pPr>
        <w:ind w:firstLine="480"/>
        <w:spacing w:line="480" w:lineRule="exact"/>
        <w:rPr>
          <w:rFonts w:ascii="宋体" w:hAnsi="宋体"/>
          <w:sz w:val="24"/>
          <w:highlight w:val="none"/>
        </w:rPr>
      </w:pPr>
      <w:r>
        <w:rPr>
          <w:rFonts w:hint="eastAsia" w:ascii="宋体" w:hAnsi="宋体"/>
          <w:sz w:val="24"/>
          <w:highlight w:val="none"/>
        </w:rPr>
        <w:t xml:space="preserve">（6）合 价             分部分项工程费+措施项目费+其他项目费+规费－</w:t>
      </w:r>
      <w:r/>
    </w:p>
    <w:p>
      <w:pPr>
        <w:ind w:firstLine="3120"/>
        <w:spacing w:line="480" w:lineRule="exact"/>
        <w:rPr>
          <w:rFonts w:ascii="宋体" w:hAnsi="宋体"/>
          <w:sz w:val="24"/>
          <w:highlight w:val="none"/>
        </w:rPr>
      </w:pPr>
      <w:r>
        <w:rPr>
          <w:rFonts w:hint="eastAsia" w:ascii="宋体" w:hAnsi="宋体"/>
          <w:sz w:val="24"/>
          <w:highlight w:val="none"/>
        </w:rPr>
        <w:t xml:space="preserve">（除税甲供材料费+除税甲供设备费）/1.01+税金</w:t>
      </w:r>
      <w:r/>
    </w:p>
    <w:p>
      <w:pPr>
        <w:ind w:firstLine="482"/>
        <w:keepLines w:val="0"/>
        <w:keepNext w:val="0"/>
        <w:pageBreakBefore w:val="0"/>
        <w:spacing w:line="460" w:lineRule="exact"/>
        <w:widowControl w:val="off"/>
        <w:rPr>
          <w:rFonts w:ascii="宋体" w:hAnsi="宋体"/>
          <w:sz w:val="24"/>
          <w:highlight w:val="none"/>
        </w:rPr>
      </w:pPr>
      <w:r>
        <w:rPr>
          <w:rFonts w:hint="eastAsia" w:ascii="宋体" w:hAnsi="宋体"/>
          <w:b/>
          <w:sz w:val="24"/>
          <w:highlight w:val="none"/>
        </w:rPr>
        <w:t xml:space="preserve">说明：</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（一）分部分项工程费部分</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1．工程类别：按《费用定额》中的“工程类别划分”执行。</w:t>
      </w:r>
      <w:r/>
    </w:p>
    <w:p>
      <w:pPr>
        <w:ind w:firstLine="480"/>
        <w:jc w:val="left"/>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2．工程量按GB50500-2013《建设工程工程量清单计价规范》、《工程量计算规范》、《费用定额》、《计价定额》及施工图纸等计算。</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3．人工工资单价执行苏建函价(202</w:t>
      </w: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27</w:t>
      </w:r>
      <w:r>
        <w:rPr>
          <w:rFonts w:hint="eastAsia" w:ascii="宋体" w:hAnsi="宋体"/>
          <w:sz w:val="24"/>
          <w:highlight w:val="none"/>
        </w:rPr>
        <w:t xml:space="preserve">号。</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4．材料和工程设备单价执行</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6</w:t>
      </w:r>
      <w:r>
        <w:rPr>
          <w:rFonts w:hint="eastAsia" w:ascii="宋体" w:hAnsi="宋体"/>
          <w:sz w:val="24"/>
          <w:highlight w:val="none"/>
          <w:u w:val="single"/>
        </w:rPr>
        <w:t xml:space="preserve">年</w:t>
      </w:r>
      <w:r>
        <w:rPr>
          <w:rFonts w:hint="eastAsia" w:ascii="宋体" w:hAnsi="宋体"/>
          <w:sz w:val="24"/>
          <w:highlight w:val="none"/>
          <w:u w:val="single"/>
          <w:lang w:val="en-US" w:eastAsia="zh-CN"/>
        </w:rPr>
        <w:t xml:space="preserve">5</w:t>
      </w:r>
      <w:r>
        <w:rPr>
          <w:rFonts w:hint="eastAsia" w:ascii="宋体" w:hAnsi="宋体"/>
          <w:sz w:val="24"/>
          <w:highlight w:val="none"/>
          <w:u w:val="single"/>
        </w:rPr>
        <w:t xml:space="preserve">月</w:t>
      </w:r>
      <w:r>
        <w:rPr>
          <w:rFonts w:hint="eastAsia" w:ascii="宋体" w:hAnsi="宋体"/>
          <w:sz w:val="24"/>
          <w:highlight w:val="none"/>
        </w:rPr>
        <w:t xml:space="preserve">《盐城工程造价》建材信息价和《材料（工程设备）暂估单价及调整表》中的暂定价格，无建材信息价和暂定价格的，参照《盐城工程造价》建材市场参考价和材料当前市场价格。</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5．机械单价中燃料费执行</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6</w:t>
      </w:r>
      <w:r>
        <w:rPr>
          <w:rFonts w:hint="eastAsia" w:ascii="宋体" w:hAnsi="宋体"/>
          <w:sz w:val="24"/>
          <w:highlight w:val="none"/>
          <w:u w:val="single"/>
        </w:rPr>
        <w:t xml:space="preserve">年</w:t>
      </w:r>
      <w:r>
        <w:rPr>
          <w:rFonts w:hint="eastAsia" w:ascii="宋体" w:hAnsi="宋体"/>
          <w:sz w:val="24"/>
          <w:highlight w:val="none"/>
          <w:u w:val="single"/>
          <w:lang w:val="en-US" w:eastAsia="zh-CN"/>
        </w:rPr>
        <w:t xml:space="preserve">5</w:t>
      </w:r>
      <w:r>
        <w:rPr>
          <w:rFonts w:hint="eastAsia" w:ascii="宋体" w:hAnsi="宋体"/>
          <w:sz w:val="24"/>
          <w:highlight w:val="none"/>
          <w:u w:val="single"/>
        </w:rPr>
        <w:t xml:space="preserve">月</w:t>
      </w:r>
      <w:r>
        <w:rPr>
          <w:rFonts w:hint="eastAsia" w:ascii="宋体" w:hAnsi="宋体"/>
          <w:sz w:val="24"/>
          <w:highlight w:val="none"/>
        </w:rPr>
        <w:t xml:space="preserve">《盐城工程造价》建材信息价。</w:t>
      </w:r>
      <w:r/>
    </w:p>
    <w:p>
      <w:pPr>
        <w:ind w:firstLine="480"/>
        <w:keepLines w:val="0"/>
        <w:keepNext w:val="0"/>
        <w:pageBreakBefore w:val="0"/>
        <w:spacing w:line="460" w:lineRule="exact"/>
        <w:widowControl w:val="off"/>
        <w:rPr>
          <w:rFonts w:ascii="宋体" w:hAnsi="宋体"/>
          <w:sz w:val="24"/>
          <w:highlight w:val="none"/>
        </w:rPr>
      </w:pPr>
      <w:r>
        <w:rPr>
          <w:rFonts w:hint="eastAsia" w:ascii="宋体" w:hAnsi="宋体"/>
          <w:sz w:val="24"/>
          <w:highlight w:val="none"/>
        </w:rPr>
        <w:t xml:space="preserve">6．企业管理费按《费用定额》及苏建价[2016]154号中的“企业管理费和利润取费标准表”中相应单位工程的标准计取。</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7．利润率：按《费用定额》及苏建价[2016]154号中的“企业管理费和利润取费标准表”中相应单位工程的标准计取。</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8．风险费率：采购人编制预算价时不予考虑，投标供应商可结合自身实力将风险费自行考虑进入报价。</w:t>
      </w:r>
      <w:r/>
    </w:p>
    <w:p>
      <w:pPr>
        <w:ind w:firstLine="480"/>
        <w:keepLines w:val="0"/>
        <w:keepNext w:val="0"/>
        <w:pageBreakBefore w:val="0"/>
        <w:spacing w:line="460" w:lineRule="exact"/>
        <w:widowControl w:val="off"/>
        <w:rPr>
          <w:rFonts w:ascii="宋体" w:hAnsi="宋体"/>
          <w:sz w:val="24"/>
          <w:highlight w:val="none"/>
        </w:rPr>
      </w:pPr>
      <w:r>
        <w:rPr>
          <w:rFonts w:hint="eastAsia" w:ascii="宋体" w:hAnsi="宋体"/>
          <w:sz w:val="24"/>
          <w:highlight w:val="none"/>
        </w:rPr>
        <w:t xml:space="preserve">（二）措施项目费</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（一）单价措施项目：</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详见工程量清单。</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（二）总价措施项目</w:t>
      </w:r>
      <w:r/>
    </w:p>
    <w:p>
      <w:pPr>
        <w:ind w:firstLine="480"/>
        <w:keepLines w:val="0"/>
        <w:keepNext w:val="0"/>
        <w:pageBreakBefore w:val="0"/>
        <w:spacing w:line="460" w:lineRule="exact"/>
        <w:widowControl w:val="off"/>
        <w:tabs>
          <w:tab w:val="left" w:pos="790" w:leader="none"/>
        </w:tabs>
        <w:rPr>
          <w:rFonts w:ascii="宋体" w:hAnsi="宋体"/>
          <w:sz w:val="24"/>
          <w:highlight w:val="none"/>
        </w:rPr>
      </w:pPr>
      <w:r>
        <w:rPr>
          <w:rFonts w:hint="eastAsia" w:ascii="宋体" w:hAnsi="宋体"/>
          <w:sz w:val="24"/>
          <w:highlight w:val="none"/>
        </w:rPr>
        <w:t xml:space="preserve">一）通用的总价措施项目费：</w:t>
      </w:r>
      <w:r/>
    </w:p>
    <w:p>
      <w:pPr>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 1、安全文明施工措施费：该费用为不可竞争费，在最高限价编制和投标报价中应根据文件规定足额计取。</w:t>
      </w:r>
      <w:r/>
    </w:p>
    <w:p>
      <w:pPr>
        <w:ind w:firstLine="480"/>
        <w:keepLines w:val="0"/>
        <w:keepNext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根据《费用定额》内容的规定，本招标工程的现场安全文明施工措施费标准如下表（表中项目名称及省级标化增加费可选择使用）：</w:t>
      </w:r>
      <w:r/>
    </w:p>
    <w:tbl>
      <w:tblPr>
        <w:tblStyle w:val="1083"/>
        <w:tblW w:w="4580" w:type="pct"/>
        <w:jc w:val="center"/>
        <w:tblLayout w:type="autofit"/>
        <w:tblCellMar>
          <w:left w:w="0" w:type="dxa"/>
          <w:top w:w="0" w:type="dxa"/>
          <w:right w:w="0" w:type="dxa"/>
          <w:bottom w:w="0" w:type="dxa"/>
        </w:tblCellMar>
        <w:tblLook w:val="04A0" w:firstRow="1" w:lastRow="0" w:firstColumn="1" w:lastColumn="0" w:noHBand="0" w:noVBand="1"/>
      </w:tblPr>
      <w:tblGrid>
        <w:gridCol w:w="500"/>
        <w:gridCol w:w="1956"/>
        <w:gridCol w:w="1733"/>
        <w:gridCol w:w="1326"/>
        <w:gridCol w:w="1477"/>
        <w:gridCol w:w="1773"/>
      </w:tblGrid>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5"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15"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88"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计算基础</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56"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基本费率（%）</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42"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省级标化增加费（%）</w:t>
            </w:r>
            <w:r/>
          </w:p>
        </w:tc>
        <w:tc>
          <w:tcPr>
            <w:tcBorders>
              <w:top w:val="single" w:color="auto" w:sz="8" w:space="0"/>
              <w:left w:val="none" w:color="000000" w:sz="4" w:space="0"/>
              <w:bottom w:val="single" w:color="auto" w:sz="8" w:space="0"/>
              <w:right w:val="single" w:color="auto" w:sz="8" w:space="0"/>
            </w:tcBorders>
            <w:tcW w:w="1011"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扬尘污染防治增加费（%）</w:t>
            </w:r>
            <w:r/>
          </w:p>
        </w:tc>
      </w:tr>
      <w:tr>
        <w:trPr>
          <w:jc w:val="center"/>
          <w:trHeight w:val="55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5" w:type="pct"/>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480" w:lineRule="exact"/>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便仓镇恒泽源农产品加工项目配套污水压力管道建设工程</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988" w:type="pct"/>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按分部分项工程费+单价措施项目费-除税工程设备费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56" w:type="pct"/>
            <w:vAlign w:val="center"/>
            <w:textDirection w:val="lrTb"/>
            <w:noWrap w:val="false"/>
          </w:tcPr>
          <w:p>
            <w:pPr>
              <w:jc w:val="center"/>
              <w:spacing w:line="480" w:lineRule="exact"/>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1.5</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42" w:type="pct"/>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w:t>
            </w:r>
            <w:r/>
          </w:p>
        </w:tc>
        <w:tc>
          <w:tcPr>
            <w:tcBorders>
              <w:top w:val="single" w:color="auto" w:sz="8" w:space="0"/>
              <w:left w:val="none" w:color="000000" w:sz="4" w:space="0"/>
              <w:bottom w:val="single" w:color="auto" w:sz="8" w:space="0"/>
              <w:right w:val="single" w:color="auto" w:sz="8" w:space="0"/>
            </w:tcBorders>
            <w:tcW w:w="1011" w:type="pct"/>
            <w:vAlign w:val="center"/>
            <w:textDirection w:val="lrTb"/>
            <w:noWrap w:val="false"/>
          </w:tcPr>
          <w:p>
            <w:pPr>
              <w:jc w:val="center"/>
              <w:spacing w:line="480" w:lineRule="exact"/>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0.31</w:t>
            </w:r>
            <w:r/>
          </w:p>
        </w:tc>
      </w:tr>
    </w:tbl>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2、夜间施工费：按分部分项工程费+单价措施项目费-除税工程设备费（工程费率为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3、非夜间施工照明费：按分部分项工程费+单价措施项目费-除税工程设备费（工程费率为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4、二次搬运费：执行《计价定额》。</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5、冬雨季施工增加费：按分部分项工程费+单价措施费-除税工程设备费（工程费率为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6、地上地下设施、建筑物的临时保护设施费：执行《计价定额》。</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7、已完工程及设备保护费：按分部分项工程费+单价措施项目费-除税工程设备费（</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8、临时设施费：按分部分项工程费+单价措施项目费-除税工程设备费（</w:t>
      </w:r>
      <w:r>
        <w:rPr>
          <w:rFonts w:hint="eastAsia" w:ascii="宋体" w:hAnsi="宋体" w:cs="宋体"/>
          <w:sz w:val="24"/>
          <w:szCs w:val="24"/>
          <w:highlight w:val="none"/>
          <w:u w:val="single"/>
          <w:lang w:val="en-US" w:eastAsia="zh-CN"/>
        </w:rPr>
        <w:t xml:space="preserve">便仓镇恒泽源农产品加工项目配套污水压力管道建设工程</w:t>
      </w:r>
      <w:r>
        <w:rPr>
          <w:rFonts w:hint="eastAsia" w:ascii="宋体" w:hAnsi="宋体" w:cs="宋体"/>
          <w:sz w:val="24"/>
          <w:szCs w:val="24"/>
          <w:highlight w:val="none"/>
          <w:u w:val="none"/>
        </w:rPr>
        <w:t xml:space="preserve">费率为</w:t>
      </w:r>
      <w:r>
        <w:rPr>
          <w:rFonts w:hint="eastAsia" w:ascii="宋体" w:hAnsi="宋体" w:cs="宋体"/>
          <w:sz w:val="24"/>
          <w:szCs w:val="24"/>
          <w:highlight w:val="none"/>
          <w:u w:val="single"/>
          <w:lang w:val="en-US" w:eastAsia="zh-CN"/>
        </w:rPr>
        <w:t xml:space="preserve">1.65%</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 9、赶工措施费：按分部分项工程费+单价措施项目费-除税工程设备费（工程费率为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10、工程按质论价费：按分部分项工程费+单价措施项目费-除税工程设备费（工程费率为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11、特殊条件下施工增加费：执行《计价定额》。</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12、建筑工人实名制费用：按分部分项工程费+单价措施项目费-除税工程设备费（</w:t>
      </w:r>
      <w:r>
        <w:rPr>
          <w:rFonts w:hint="eastAsia" w:ascii="宋体" w:hAnsi="宋体" w:cs="宋体"/>
          <w:sz w:val="24"/>
          <w:szCs w:val="24"/>
          <w:highlight w:val="none"/>
          <w:u w:val="single"/>
          <w:lang w:val="en-US" w:eastAsia="zh-CN"/>
        </w:rPr>
        <w:t xml:space="preserve">便仓镇恒泽源农产品加工项目配套污水压力管道建设工程</w:t>
      </w:r>
      <w:r>
        <w:rPr>
          <w:rFonts w:hint="eastAsia" w:ascii="宋体" w:hAnsi="宋体" w:cs="宋体"/>
          <w:sz w:val="24"/>
          <w:szCs w:val="24"/>
          <w:highlight w:val="none"/>
          <w:u w:val="none"/>
        </w:rPr>
        <w:t xml:space="preserve">费率为</w:t>
      </w:r>
      <w:r>
        <w:rPr>
          <w:rFonts w:hint="eastAsia" w:ascii="宋体" w:hAnsi="宋体" w:cs="宋体"/>
          <w:sz w:val="24"/>
          <w:szCs w:val="24"/>
          <w:highlight w:val="none"/>
          <w:u w:val="single"/>
          <w:lang w:val="en-US" w:eastAsia="zh-CN"/>
        </w:rPr>
        <w:t xml:space="preserve">0.03%</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13、智慧工地费用：按分部分项工程费+单价措施项目费-除税工程设备费（工程费率为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）计算。</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二）专业措施项目</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专业措施项目不单独立项，投标单位自行考虑各种专业措施费用到报价中。</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上述各项措施项目费用，采购人在确定最高限价时按计价文件的有关规定予以适当考虑或计取，同时要求各投标供应商须根据本企业自身实力和工程的实际情况，在投标报价的措施项目费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（三）其他项目费用：</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1．暂列金额、暂估价：按采购人《其他项目清单与计价汇总表》执行。</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2．计日工：由承发包双方在施工合同中约定，招标时暂不考虑此项费用。</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3．总承包服务费：本工程不计总承包服务费。</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4．其余详见《其他项目清单与计价汇总表》。</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（四）规 费：</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1．环境保护税：按盐市建价字[2018]29号文。</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2．社会保险费和住房公积金：《费用定额》及苏建价[2016]154号中的标准执行。</w:t>
      </w:r>
      <w:r/>
    </w:p>
    <w:p>
      <w:pPr>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（五）税 金：</w:t>
      </w:r>
      <w:r/>
    </w:p>
    <w:p>
      <w:pPr>
        <w:pStyle w:val="1179"/>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税金是指根据建筑服务销售价格，按规定税率计算的增值税销项税额。并以除税工程造价为计取基础，费率为9%。</w:t>
      </w:r>
      <w:r/>
    </w:p>
    <w:p>
      <w:pPr>
        <w:pStyle w:val="1179"/>
        <w:ind w:left="0" w:firstLine="482"/>
        <w:keepLines w:val="0"/>
        <w:keepNext w:val="0"/>
        <w:pageBreakBefore w:val="0"/>
        <w:spacing w:line="460" w:lineRule="exact"/>
        <w:widowControl w:val="off"/>
        <w:rPr>
          <w:rFonts w:ascii="宋体" w:hAnsi="宋体"/>
          <w:b/>
          <w:sz w:val="24"/>
          <w:szCs w:val="24"/>
          <w:highlight w:val="none"/>
        </w:rPr>
        <w:outlineLvl w:val="2"/>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、报价、计价说明</w:t>
      </w:r>
      <w:r/>
    </w:p>
    <w:p>
      <w:pPr>
        <w:pStyle w:val="1179"/>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1.投标报价应包含完成本竞争性磋商文件中的全部内容所需的所有费用。</w:t>
      </w:r>
      <w:r/>
    </w:p>
    <w:p>
      <w:pPr>
        <w:pStyle w:val="1179"/>
        <w:ind w:left="0" w:firstLine="480"/>
        <w:keepLines w:val="0"/>
        <w:keepNext w:val="0"/>
        <w:pageBreakBefore w:val="0"/>
        <w:spacing w:line="460" w:lineRule="exact"/>
        <w:widowControl w:val="off"/>
        <w:rPr>
          <w:rFonts w:ascii="宋体" w:hAnsi="宋体"/>
          <w:sz w:val="24"/>
          <w:szCs w:val="24"/>
          <w:highlight w:val="none"/>
        </w:rPr>
      </w:pPr>
      <w:r>
        <w:rPr>
          <w:rFonts w:hint="eastAsia" w:ascii="宋体" w:hAnsi="宋体"/>
          <w:sz w:val="24"/>
          <w:szCs w:val="24"/>
          <w:highlight w:val="none"/>
        </w:rPr>
        <w:t xml:space="preserve">2.磋商供应商应充分了解施工场地的位置、周边环境、道路、装卸、保管、安装限制以及影响投标报价的其他要素，结合市场情况进行投标报价。</w:t>
      </w:r>
      <w:r/>
    </w:p>
    <w:p>
      <w:pPr>
        <w:ind w:left="0"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sz w:val="24"/>
          <w:szCs w:val="24"/>
          <w:highlight w:val="none"/>
        </w:rPr>
        <w:t xml:space="preserve">3.</w:t>
      </w:r>
      <w:r>
        <w:rPr>
          <w:rFonts w:hint="eastAsia" w:ascii="宋体" w:hAnsi="宋体" w:cs="宋体"/>
          <w:sz w:val="24"/>
          <w:szCs w:val="24"/>
          <w:highlight w:val="none"/>
          <w:shd w:val="clear" w:color="auto" w:fill="ffffff"/>
        </w:rPr>
        <w:t xml:space="preserve">投标报价方式：本项目投标报价采用“工程量清单计价法”（工程量计算规则依据《建设工程工程量清单计价规范》（GB50500-2013））。</w:t>
      </w:r>
      <w:r>
        <w:rPr>
          <w:rFonts w:hint="eastAsia" w:ascii="宋体" w:hAnsi="宋体"/>
          <w:sz w:val="24"/>
          <w:szCs w:val="24"/>
          <w:highlight w:val="none"/>
        </w:rPr>
        <w:t xml:space="preserve">磋商供应商</w:t>
      </w:r>
      <w:r>
        <w:rPr>
          <w:rFonts w:hint="eastAsia" w:ascii="宋体" w:hAnsi="宋体" w:cs="宋体"/>
          <w:sz w:val="24"/>
          <w:szCs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sz w:val="24"/>
          <w:szCs w:val="24"/>
          <w:highlight w:val="none"/>
        </w:rPr>
        <w:t xml:space="preserve">磋商供应商</w:t>
      </w:r>
      <w:r>
        <w:rPr>
          <w:rFonts w:hint="eastAsia" w:ascii="宋体" w:hAnsi="宋体" w:cs="宋体"/>
          <w:sz w:val="24"/>
          <w:szCs w:val="24"/>
          <w:highlight w:val="none"/>
          <w:shd w:val="clear" w:color="auto" w:fill="ffffff"/>
        </w:rPr>
        <w:t xml:space="preserve">对采购人提供的工程量清单如有异议（包括对工程量清单中漏项的疑问），应在</w:t>
      </w:r>
      <w:r>
        <w:rPr>
          <w:rFonts w:hint="eastAsia" w:ascii="宋体" w:hAnsi="宋体"/>
          <w:b/>
          <w:sz w:val="24"/>
          <w:szCs w:val="24"/>
          <w:highlight w:val="none"/>
        </w:rPr>
        <w:t xml:space="preserve">提交首次响应文件截止时间五日前</w:t>
      </w:r>
      <w:r>
        <w:rPr>
          <w:rFonts w:hint="eastAsia" w:ascii="宋体" w:hAnsi="宋体" w:cs="宋体"/>
          <w:sz w:val="24"/>
          <w:szCs w:val="24"/>
          <w:highlight w:val="none"/>
          <w:shd w:val="clear" w:color="auto" w:fill="ffffff"/>
        </w:rPr>
        <w:t xml:space="preserve">向</w:t>
      </w:r>
      <w:r>
        <w:rPr>
          <w:rFonts w:hint="eastAsia" w:ascii="宋体" w:hAnsi="宋体"/>
          <w:sz w:val="24"/>
          <w:szCs w:val="24"/>
          <w:highlight w:val="none"/>
        </w:rPr>
        <w:t xml:space="preserve">采购人或采购代理机构提出</w:t>
      </w:r>
      <w:r>
        <w:rPr>
          <w:rFonts w:hint="eastAsia" w:ascii="宋体" w:hAnsi="宋体" w:cs="宋体"/>
          <w:sz w:val="24"/>
          <w:szCs w:val="24"/>
          <w:highlight w:val="none"/>
          <w:shd w:val="clear" w:color="auto" w:fill="ffffff"/>
        </w:rPr>
        <w:t xml:space="preserve">。各</w:t>
      </w:r>
      <w:r>
        <w:rPr>
          <w:rFonts w:hint="eastAsia" w:ascii="宋体" w:hAnsi="宋体"/>
          <w:sz w:val="24"/>
          <w:szCs w:val="24"/>
          <w:highlight w:val="none"/>
        </w:rPr>
        <w:t xml:space="preserve">磋商供应商</w:t>
      </w:r>
      <w:r>
        <w:rPr>
          <w:rFonts w:hint="eastAsia" w:ascii="宋体" w:hAnsi="宋体" w:cs="宋体"/>
          <w:sz w:val="24"/>
          <w:szCs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keepLines w:val="0"/>
        <w:keepNext w:val="0"/>
        <w:pageBreakBefore w:val="0"/>
        <w:spacing w:line="460" w:lineRule="exact"/>
        <w:widowControl w:val="off"/>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4.合同定价方式</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s="宋体"/>
          <w:color w:val="000000"/>
          <w:sz w:val="24"/>
          <w:szCs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szCs w:val="24"/>
        </w:rPr>
        <w:t xml:space="preserve">磋商供应商</w:t>
      </w:r>
      <w:r>
        <w:rPr>
          <w:rFonts w:hint="eastAsia" w:ascii="宋体" w:hAnsi="宋体" w:cs="宋体"/>
          <w:color w:val="000000"/>
          <w:sz w:val="24"/>
          <w:szCs w:val="24"/>
          <w:shd w:val="clear" w:color="auto" w:fill="ffffff"/>
        </w:rPr>
        <w:t xml:space="preserve">以工程量清单及图纸为基础填报相应的单价并计算合价。采购人要求</w:t>
      </w:r>
      <w:r>
        <w:rPr>
          <w:rFonts w:hint="eastAsia" w:ascii="宋体" w:hAnsi="宋体"/>
          <w:color w:val="000000"/>
          <w:sz w:val="24"/>
          <w:szCs w:val="24"/>
        </w:rPr>
        <w:t xml:space="preserve">磋商供应商</w:t>
      </w:r>
      <w:r>
        <w:rPr>
          <w:rFonts w:hint="eastAsia" w:ascii="宋体" w:hAnsi="宋体" w:cs="宋体"/>
          <w:color w:val="000000"/>
          <w:sz w:val="24"/>
          <w:szCs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5.投标报价的要求</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5.1采购人提供工程量清单应与</w:t>
      </w:r>
      <w:r>
        <w:rPr>
          <w:rFonts w:hint="eastAsia" w:ascii="宋体" w:hAnsi="宋体" w:cs="宋体"/>
          <w:color w:val="000000"/>
          <w:sz w:val="24"/>
          <w:szCs w:val="24"/>
          <w:shd w:val="clear" w:color="auto" w:fill="ffffff"/>
        </w:rPr>
        <w:t xml:space="preserve">竞争性磋商</w:t>
      </w:r>
      <w:r>
        <w:rPr>
          <w:rFonts w:hint="eastAsia" w:ascii="宋体" w:hAnsi="宋体"/>
          <w:color w:val="000000"/>
          <w:sz w:val="24"/>
          <w:szCs w:val="24"/>
        </w:rPr>
        <w:t xml:space="preserve">文件一起参照阅读；</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179"/>
        <w:ind w:firstLine="482"/>
        <w:keepLines w:val="0"/>
        <w:keepNext w:val="0"/>
        <w:pageBreakBefore w:val="0"/>
        <w:spacing w:line="460" w:lineRule="exact"/>
        <w:widowControl w:val="off"/>
        <w:rPr>
          <w:rFonts w:hint="eastAsia" w:ascii="宋体" w:hAnsi="宋体"/>
          <w:b/>
          <w:color w:val="000000"/>
          <w:sz w:val="24"/>
          <w:szCs w:val="24"/>
        </w:rPr>
      </w:pPr>
      <w:r>
        <w:rPr>
          <w:rFonts w:hint="eastAsia" w:ascii="宋体" w:hAnsi="宋体"/>
          <w:b/>
          <w:color w:val="000000"/>
          <w:sz w:val="24"/>
          <w:szCs w:val="24"/>
        </w:rPr>
        <w:t xml:space="preserve">5.5</w:t>
      </w:r>
      <w:r>
        <w:rPr>
          <w:rFonts w:ascii="宋体" w:hAnsi="宋体"/>
          <w:b/>
          <w:color w:val="000000"/>
          <w:sz w:val="24"/>
          <w:szCs w:val="24"/>
        </w:rPr>
        <w:t xml:space="preserve"> </w:t>
      </w:r>
      <w:r>
        <w:rPr>
          <w:rFonts w:hint="eastAsia" w:ascii="宋体" w:hAnsi="宋体"/>
          <w:b/>
          <w:color w:val="000000"/>
          <w:sz w:val="24"/>
          <w:szCs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5.6 如磋商供应商在投标时承诺质量标准达到合格以上等级的，应在投标报价时足额考虑创优所增加的施工成本，相关费用采购人不再另行支付；</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5.7 综合单价的组成：完成一个规定清单项目所需的人工费、材料费和工程设备费、施工机具使用费和企业管理费与利润，以及一定范围内的风险费用；</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5.9 规费和税金应按招标工程量清单中的规定标准执行；</w:t>
      </w:r>
      <w:r/>
    </w:p>
    <w:p>
      <w:pPr>
        <w:pStyle w:val="1179"/>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5.11投标总价应当与分部分项工程费、措施项目费、其他项目费和规费、税金的合计金额一致。</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keepLines w:val="0"/>
        <w:keepNext w:val="0"/>
        <w:pageBreakBefore w:val="0"/>
        <w:spacing w:line="460" w:lineRule="exact"/>
        <w:widowControl w:val="off"/>
        <w:rPr>
          <w:rFonts w:hint="eastAsia" w:ascii="宋体" w:hAnsi="宋体" w:cs="宋体"/>
          <w:b/>
          <w:sz w:val="24"/>
          <w:szCs w:val="24"/>
        </w:rPr>
      </w:pPr>
      <w:r>
        <w:rPr>
          <w:rFonts w:hint="eastAsia" w:ascii="宋体" w:hAnsi="宋体"/>
          <w:b/>
          <w:color w:val="000000"/>
          <w:sz w:val="24"/>
          <w:szCs w:val="24"/>
        </w:rPr>
        <w:t xml:space="preserve">5.13</w:t>
      </w:r>
      <w:r>
        <w:rPr>
          <w:rFonts w:hint="eastAsia" w:ascii="宋体" w:hAnsi="宋体" w:cs="宋体"/>
          <w:b/>
          <w:sz w:val="24"/>
          <w:szCs w:val="24"/>
        </w:rPr>
        <w:t xml:space="preserve">特别提醒：</w:t>
      </w:r>
      <w:r>
        <w:rPr>
          <w:rFonts w:hint="eastAsia" w:ascii="宋体" w:hAnsi="宋体"/>
          <w:b/>
          <w:color w:val="000000"/>
          <w:sz w:val="24"/>
          <w:szCs w:val="24"/>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keepLines w:val="0"/>
        <w:keepNext w:val="0"/>
        <w:pageBreakBefore w:val="0"/>
        <w:spacing w:line="460" w:lineRule="exact"/>
        <w:widowControl w:val="off"/>
        <w:rPr>
          <w:sz w:val="24"/>
          <w:szCs w:val="24"/>
        </w:rPr>
      </w:pPr>
      <w:r>
        <w:rPr>
          <w:rFonts w:hint="eastAsia" w:ascii="宋体" w:hAnsi="宋体"/>
          <w:b/>
          <w:color w:val="000000"/>
          <w:sz w:val="24"/>
          <w:szCs w:val="24"/>
        </w:rPr>
        <w:t xml:space="preserve">5.14供应商最后报价为响应文件中已标价工程量清单总价下浮后得到（各清单项的数量不变，单价同比例下浮，其中暂列金额、暂估价、甲供材及其规费和税金不下浮）。</w:t>
      </w:r>
      <w:r/>
    </w:p>
    <w:p>
      <w:pPr>
        <w:pStyle w:val="1175"/>
        <w:numPr>
          <w:ilvl w:val="0"/>
          <w:numId w:val="0"/>
        </w:numPr>
        <w:ind w:left="0" w:firstLine="482"/>
        <w:jc w:val="left"/>
        <w:keepLines w:val="0"/>
        <w:keepNext w:val="0"/>
        <w:pageBreakBefore w:val="0"/>
        <w:spacing w:line="460" w:lineRule="exact"/>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七、招标工程量清单及图纸</w:t>
      </w:r>
      <w:r/>
    </w:p>
    <w:p>
      <w:pPr>
        <w:pStyle w:val="1175"/>
        <w:numPr>
          <w:ilvl w:val="0"/>
          <w:numId w:val="0"/>
        </w:numPr>
        <w:ind w:left="0" w:firstLine="480"/>
        <w:jc w:val="left"/>
        <w:keepLines w:val="0"/>
        <w:keepNext w:val="0"/>
        <w:pageBreakBefore w:val="0"/>
        <w:spacing w:line="460" w:lineRule="exact"/>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招标清单及图纸下载链接： </w:t>
      </w:r>
      <w:r/>
    </w:p>
    <w:p>
      <w:pPr>
        <w:pStyle w:val="1175"/>
        <w:numPr>
          <w:ilvl w:val="0"/>
          <w:numId w:val="0"/>
        </w:numPr>
        <w:ind w:left="0" w:firstLine="480"/>
        <w:jc w:val="left"/>
        <w:keepLines w:val="0"/>
        <w:keepNext w:val="0"/>
        <w:pageBreakBefore w:val="0"/>
        <w:spacing w:line="460" w:lineRule="exact"/>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链接：https://pan.baidu.com/s/1bpesAx1CaPcWc0JM1sZPPw?pwd=w974 </w:t>
      </w:r>
      <w:r/>
    </w:p>
    <w:p>
      <w:pPr>
        <w:pStyle w:val="1175"/>
        <w:numPr>
          <w:ilvl w:val="0"/>
          <w:numId w:val="0"/>
        </w:numPr>
        <w:ind w:left="0" w:firstLine="480"/>
        <w:jc w:val="left"/>
        <w:keepLines w:val="0"/>
        <w:keepNext w:val="0"/>
        <w:pageBreakBefore w:val="0"/>
        <w:spacing w:line="460" w:lineRule="exact"/>
        <w:widowControl w:val="off"/>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提取码：w974</w:t>
      </w:r>
      <w:r/>
    </w:p>
    <w:p>
      <w:pPr>
        <w:pStyle w:val="1175"/>
        <w:numPr>
          <w:ilvl w:val="0"/>
          <w:numId w:val="9"/>
        </w:numPr>
        <w:ind w:left="0" w:firstLine="482"/>
        <w:jc w:val="left"/>
        <w:keepLines w:val="0"/>
        <w:keepNext w:val="0"/>
        <w:pageBreakBefore w:val="0"/>
        <w:spacing w:line="460" w:lineRule="exact"/>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工程及材料技术要求</w:t>
      </w:r>
      <w:r/>
    </w:p>
    <w:p>
      <w:pPr>
        <w:ind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1、工程质量应达到的等级：达到国标验收规范合格要求。</w:t>
      </w:r>
      <w:r/>
    </w:p>
    <w:p>
      <w:pPr>
        <w:ind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、材料进场、垃圾外运时需注意对业主方道路、道板及绿化的保护，如有损坏，成交人应恢复原样，相关维修费由成交人自理。</w:t>
      </w:r>
      <w:r/>
    </w:p>
    <w:p>
      <w:pPr>
        <w:pStyle w:val="1183"/>
        <w:ind w:firstLine="482"/>
        <w:keepLines w:val="0"/>
        <w:keepNext w:val="0"/>
        <w:pageBreakBefore w:val="0"/>
        <w:spacing w:line="460" w:lineRule="exact"/>
        <w:widowControl w:val="off"/>
        <w:rPr>
          <w:rFonts w:hint="eastAsia" w:ascii="宋体" w:hAnsi="宋体"/>
          <w:b/>
          <w:sz w:val="24"/>
          <w:szCs w:val="24"/>
        </w:rPr>
        <w:outlineLvl w:val="1"/>
      </w:pPr>
      <w:r>
        <w:rPr>
          <w:rFonts w:hint="eastAsia" w:ascii="宋体" w:hAnsi="宋体"/>
          <w:b/>
          <w:sz w:val="24"/>
          <w:szCs w:val="24"/>
        </w:rPr>
        <w:t xml:space="preserve">九、业绩</w:t>
      </w:r>
      <w:r/>
    </w:p>
    <w:p>
      <w:pPr>
        <w:pStyle w:val="1179"/>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sz w:val="24"/>
          <w:szCs w:val="24"/>
        </w:rPr>
        <w:t xml:space="preserve">为确保本项目的顺利实施，</w:t>
      </w:r>
      <w:r>
        <w:rPr>
          <w:rFonts w:hint="eastAsia" w:ascii="宋体" w:hAnsi="宋体" w:eastAsia="宋体" w:cs="宋体"/>
          <w:sz w:val="24"/>
          <w:szCs w:val="24"/>
        </w:rPr>
        <w:t xml:space="preserve">供应商自2023年1月1日以来（以合同签订日期为准）承接过类似业绩的优先。</w:t>
      </w:r>
      <w:r/>
    </w:p>
    <w:p>
      <w:pPr>
        <w:pStyle w:val="1183"/>
        <w:ind w:firstLine="482"/>
        <w:keepLines w:val="0"/>
        <w:keepNext w:val="0"/>
        <w:pageBreakBefore w:val="0"/>
        <w:spacing w:line="460" w:lineRule="exact"/>
        <w:widowControl w:val="off"/>
        <w:rPr>
          <w:rFonts w:hint="eastAsia" w:ascii="宋体" w:hAnsi="宋体"/>
          <w:b/>
          <w:sz w:val="24"/>
          <w:szCs w:val="24"/>
        </w:rPr>
        <w:outlineLvl w:val="1"/>
      </w:pPr>
      <w:r>
        <w:rPr>
          <w:rFonts w:hint="eastAsia" w:ascii="宋体" w:hAnsi="宋体"/>
          <w:b/>
          <w:sz w:val="24"/>
          <w:szCs w:val="24"/>
        </w:rPr>
        <w:t xml:space="preserve">十、管理体系</w:t>
      </w:r>
      <w:r/>
    </w:p>
    <w:p>
      <w:pPr>
        <w:pStyle w:val="1179"/>
        <w:ind w:firstLine="480"/>
        <w:keepLines w:val="0"/>
        <w:keepNext w:val="0"/>
        <w:pageBreakBefore w:val="0"/>
        <w:spacing w:line="460" w:lineRule="exact"/>
        <w:widowControl w:val="off"/>
        <w:rPr>
          <w:rFonts w:hint="eastAsia" w:ascii="宋体" w:hAnsi="宋体" w:eastAsia="宋体" w:cs="宋体"/>
          <w:sz w:val="24"/>
          <w:szCs w:val="24"/>
        </w:rPr>
      </w:pPr>
      <w:r/>
      <w:bookmarkStart w:id="136" w:name="_Hlk203033226"/>
      <w:r>
        <w:rPr>
          <w:rFonts w:hint="eastAsia" w:ascii="宋体" w:hAnsi="宋体" w:eastAsia="宋体" w:cs="宋体"/>
          <w:sz w:val="24"/>
          <w:szCs w:val="24"/>
        </w:rPr>
        <w:t xml:space="preserve">为了择优选择成交单位，体现企业实力，本项目供应商取得有效的质量管理体系认证证书、有效的环境管理体系认证证书、有效的职业安全健康管理体系认证证书的优先，有效的是指开标当日有效的证书。</w:t>
      </w:r>
      <w:bookmarkEnd w:id="136"/>
      <w:r/>
      <w:r/>
    </w:p>
    <w:p>
      <w:pPr>
        <w:pStyle w:val="1183"/>
        <w:ind w:firstLine="482"/>
        <w:keepLines w:val="0"/>
        <w:keepNext w:val="0"/>
        <w:pageBreakBefore w:val="0"/>
        <w:spacing w:line="460" w:lineRule="exact"/>
        <w:widowControl w:val="off"/>
        <w:rPr>
          <w:rFonts w:hint="eastAsia" w:ascii="宋体" w:hAnsi="宋体"/>
          <w:b/>
          <w:sz w:val="24"/>
          <w:szCs w:val="24"/>
        </w:rPr>
        <w:outlineLvl w:val="1"/>
      </w:pPr>
      <w:r>
        <w:rPr>
          <w:rFonts w:hint="eastAsia" w:ascii="宋体" w:hAnsi="宋体"/>
          <w:b/>
          <w:sz w:val="24"/>
          <w:szCs w:val="24"/>
        </w:rPr>
        <w:t xml:space="preserve">十一、人员配备</w:t>
      </w:r>
      <w:r/>
    </w:p>
    <w:p>
      <w:pPr>
        <w:pStyle w:val="1179"/>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sz w:val="24"/>
          <w:szCs w:val="24"/>
        </w:rPr>
        <w:t xml:space="preserve">为确保本项目的顺利实施，</w:t>
      </w:r>
      <w:r>
        <w:rPr>
          <w:rFonts w:hint="eastAsia" w:ascii="宋体" w:hAnsi="宋体" w:eastAsia="宋体" w:cs="宋体"/>
          <w:sz w:val="24"/>
          <w:szCs w:val="24"/>
        </w:rPr>
        <w:t xml:space="preserve">供应商拟投入本项目的项目经理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技术负责人具备建设工程类高级及以上职称的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项目组成员（不含项目经理及技术负责人）具备建设工程类中级及以上职称的优先</w:t>
      </w:r>
      <w:r>
        <w:rPr>
          <w:rFonts w:hint="eastAsia" w:ascii="宋体" w:hAnsi="宋体" w:eastAsia="宋体" w:cs="宋体"/>
          <w:sz w:val="24"/>
          <w:szCs w:val="24"/>
          <w:lang w:eastAsia="zh-CN"/>
        </w:rPr>
        <w:t xml:space="preserve">。</w:t>
      </w:r>
      <w:r/>
    </w:p>
    <w:p>
      <w:pPr>
        <w:pStyle w:val="1175"/>
        <w:numPr>
          <w:ilvl w:val="0"/>
          <w:numId w:val="0"/>
        </w:numPr>
        <w:ind w:left="0" w:firstLine="482"/>
        <w:jc w:val="left"/>
        <w:keepLines w:val="0"/>
        <w:keepNext w:val="0"/>
        <w:pageBreakBefore w:val="0"/>
        <w:spacing w:line="460" w:lineRule="exact"/>
        <w:widowControl w:val="off"/>
        <w:rPr>
          <w:rFonts w:hint="eastAsia" w:cs="宋体"/>
          <w:sz w:val="24"/>
          <w:szCs w:val="24"/>
          <w:highlight w:val="none"/>
        </w:rPr>
      </w:pPr>
      <w:r>
        <w:rPr>
          <w:rFonts w:hint="eastAsia" w:ascii="宋体" w:hAnsi="宋体"/>
          <w:b/>
          <w:bCs w:val="0"/>
          <w:color w:val="auto"/>
          <w:sz w:val="24"/>
          <w:szCs w:val="24"/>
        </w:rPr>
        <w:t xml:space="preserve">十</w:t>
      </w:r>
      <w:r>
        <w:rPr>
          <w:rFonts w:hint="eastAsia" w:ascii="宋体" w:hAnsi="宋体"/>
          <w:b/>
          <w:bCs w:val="0"/>
          <w:color w:val="auto"/>
          <w:sz w:val="24"/>
          <w:szCs w:val="24"/>
          <w:lang w:val="en-US" w:eastAsia="zh-CN"/>
        </w:rPr>
        <w:t xml:space="preserve">二</w:t>
      </w:r>
      <w:r>
        <w:rPr>
          <w:rFonts w:hint="eastAsia" w:ascii="宋体" w:hAnsi="宋体" w:cs="宋体"/>
          <w:b/>
          <w:color w:val="auto"/>
          <w:sz w:val="24"/>
          <w:szCs w:val="24"/>
          <w:highlight w:val="none"/>
          <w:lang w:val="en-US" w:eastAsia="zh-CN"/>
        </w:rPr>
        <w:t xml:space="preserve">、采购标的对应的中小企业划分标准所属行业一览表</w:t>
      </w:r>
      <w:r/>
    </w:p>
    <w:tbl>
      <w:tblPr>
        <w:tblStyle w:val="1083"/>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color w:val="auto"/>
                <w:sz w:val="24"/>
                <w:szCs w:val="24"/>
                <w:highlight w:val="none"/>
              </w:rPr>
            </w:pPr>
            <w:r>
              <w:rPr>
                <w:rFonts w:hint="eastAsia" w:ascii="宋体" w:hAnsi="宋体" w:eastAsia="宋体" w:cs="宋体"/>
                <w:color w:val="auto"/>
                <w:sz w:val="24"/>
                <w:szCs w:val="24"/>
                <w:highlight w:val="none"/>
              </w:rPr>
              <w:t xml:space="preserve">采购标的</w:t>
            </w:r>
            <w:r/>
          </w:p>
        </w:tc>
        <w:tc>
          <w:tcPr>
            <w:tcW w:w="2852"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color w:val="auto"/>
                <w:sz w:val="24"/>
                <w:szCs w:val="24"/>
                <w:highlight w:val="none"/>
              </w:rPr>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291"/>
        </w:trPr>
        <w:tc>
          <w:tcPr>
            <w:tcW w:w="1066"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color w:val="auto"/>
                <w:sz w:val="24"/>
                <w:szCs w:val="24"/>
                <w:highlight w:val="none"/>
              </w:rPr>
            </w:pPr>
            <w:r>
              <w:rPr>
                <w:rFonts w:hint="eastAsia" w:ascii="宋体" w:hAnsi="宋体" w:eastAsia="宋体" w:cs="宋体"/>
                <w:color w:val="auto"/>
                <w:sz w:val="24"/>
                <w:szCs w:val="24"/>
                <w:highlight w:val="none"/>
              </w:rPr>
              <w:t xml:space="preserve">1</w:t>
            </w:r>
            <w:r/>
          </w:p>
        </w:tc>
        <w:tc>
          <w:tcPr>
            <w:tcW w:w="3291"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rFonts w:hint="eastAsia" w:eastAsia="宋体"/>
                <w:color w:val="auto"/>
                <w:sz w:val="24"/>
                <w:szCs w:val="24"/>
                <w:highlight w:val="none"/>
                <w:lang w:eastAsia="zh-CN"/>
              </w:rPr>
            </w:pPr>
            <w:r>
              <w:rPr>
                <w:rFonts w:hint="eastAsia" w:cs="宋体"/>
                <w:color w:val="auto"/>
                <w:sz w:val="24"/>
                <w:szCs w:val="24"/>
                <w:highlight w:val="none"/>
                <w:lang w:eastAsia="zh-CN"/>
              </w:rPr>
              <w:t xml:space="preserve">便仓镇恒泽源农产品加工项目配套污水压力管道建设工程</w:t>
            </w:r>
            <w:r/>
          </w:p>
        </w:tc>
        <w:tc>
          <w:tcPr>
            <w:tcW w:w="2852" w:type="dxa"/>
            <w:vAlign w:val="center"/>
            <w:textDirection w:val="lrTb"/>
            <w:noWrap w:val="false"/>
          </w:tcPr>
          <w:p>
            <w:pPr>
              <w:pStyle w:val="1182"/>
              <w:ind w:left="0" w:firstLine="0"/>
              <w:jc w:val="center"/>
              <w:keepLines w:val="0"/>
              <w:keepNext w:val="0"/>
              <w:pageBreakBefore w:val="0"/>
              <w:spacing w:before="0" w:beforeAutospacing="0" w:afterAutospacing="0" w:line="480" w:lineRule="exact"/>
              <w:rPr>
                <w:color w:val="auto"/>
                <w:sz w:val="24"/>
                <w:szCs w:val="24"/>
                <w:highlight w:val="none"/>
              </w:rPr>
            </w:pPr>
            <w:r>
              <w:rPr>
                <w:rFonts w:hint="eastAsia" w:ascii="宋体" w:hAnsi="宋体" w:eastAsia="宋体" w:cs="宋体"/>
                <w:b w:val="0"/>
                <w:bCs w:val="0"/>
                <w:color w:val="auto"/>
                <w:sz w:val="24"/>
                <w:szCs w:val="24"/>
                <w:highlight w:val="none"/>
                <w:u w:val="none"/>
              </w:rPr>
              <w:t xml:space="preserve">建筑业</w:t>
            </w:r>
            <w:r/>
          </w:p>
        </w:tc>
      </w:tr>
    </w:tbl>
    <w:p>
      <w:pPr>
        <w:jc w:val="both"/>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both"/>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hint="eastAsia"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r>
      <w:r/>
    </w:p>
    <w:p>
      <w:pPr>
        <w:jc w:val="center"/>
        <w:keepLines w:val="0"/>
        <w:keepNext w:val="0"/>
        <w:pageBreakBefore w:val="0"/>
        <w:widowControl w:val="off"/>
        <w:rPr>
          <w:rFonts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 xml:space="preserve">第五章  定标原则和评审标准</w:t>
      </w:r>
      <w:r/>
    </w:p>
    <w:p>
      <w:pPr>
        <w:pStyle w:val="1123"/>
        <w:ind w:firstLine="480"/>
        <w:keepLines w:val="0"/>
        <w:keepNext w:val="0"/>
        <w:pageBreakBefore w:val="0"/>
        <w:spacing w:before="0" w:beforeAutospacing="0" w:after="0"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w:t>
      </w:r>
      <w:r>
        <w:rPr>
          <w:rFonts w:hint="eastAsia" w:ascii="宋体" w:hAnsi="宋体"/>
          <w:color w:val="000000" w:themeColor="text1"/>
          <w:sz w:val="24"/>
          <w:szCs w:val="24"/>
          <w:highlight w:val="none"/>
          <w14:textFill>
            <w14:solidFill>
              <w14:schemeClr w14:val="tx1"/>
            </w14:solidFill>
          </w14:textFill>
        </w:rPr>
        <w:t xml:space="preserve">磋商小组</w:t>
      </w:r>
      <w:r/>
    </w:p>
    <w:p>
      <w:pPr>
        <w:pStyle w:val="1123"/>
        <w:ind w:firstLine="480"/>
        <w:keepLines w:val="0"/>
        <w:keepNext w:val="0"/>
        <w:pageBreakBefore w:val="0"/>
        <w:spacing w:before="0" w:beforeAutospacing="0" w:after="0"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本采购项目磋商小组的评委由相关的专家、采购人代表等有关人员构成。</w:t>
      </w:r>
      <w:r/>
    </w:p>
    <w:p>
      <w:pPr>
        <w:pStyle w:val="1123"/>
        <w:ind w:firstLine="480"/>
        <w:keepLines w:val="0"/>
        <w:keepNext w:val="0"/>
        <w:pageBreakBefore w:val="0"/>
        <w:spacing w:before="0" w:beforeAutospacing="0" w:after="0"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w:t>
      </w:r>
      <w:r>
        <w:rPr>
          <w:rFonts w:hint="eastAsia" w:ascii="宋体" w:hAnsi="宋体"/>
          <w:color w:val="000000" w:themeColor="text1"/>
          <w:sz w:val="24"/>
          <w:szCs w:val="24"/>
          <w:highlight w:val="none"/>
          <w14:textFill>
            <w14:solidFill>
              <w14:schemeClr w14:val="tx1"/>
            </w14:solidFill>
          </w14:textFill>
        </w:rPr>
        <w:t xml:space="preserve">、定标原则</w:t>
      </w:r>
      <w:r/>
    </w:p>
    <w:p>
      <w:pPr>
        <w:pStyle w:val="1123"/>
        <w:ind w:firstLine="480"/>
        <w:keepLines w:val="0"/>
        <w:keepNext w:val="0"/>
        <w:pageBreakBefore w:val="0"/>
        <w:spacing w:before="0" w:beforeAutospacing="0" w:after="0"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beforeAutospacing="0" w:line="460" w:lineRule="exact"/>
        <w:tabs>
          <w:tab w:val="left" w:pos="900" w:leader="none"/>
        </w:tabs>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color w:val="000000" w:themeColor="text1"/>
          <w:sz w:val="24"/>
          <w:szCs w:val="24"/>
          <w:highlight w:val="none"/>
          <w14:textFill>
            <w14:solidFill>
              <w14:schemeClr w14:val="tx1"/>
            </w14:solidFill>
          </w14:textFill>
        </w:rPr>
        <w:t xml:space="preserve">本项目选取1名成交候选人。</w:t>
      </w:r>
      <w:r/>
    </w:p>
    <w:p>
      <w:pPr>
        <w:pStyle w:val="1115"/>
        <w:ind w:firstLine="482"/>
        <w:pageBreakBefore w:val="0"/>
        <w:spacing w:beforeAutospacing="0" w:after="0"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政府采购政策功能落实</w:t>
      </w:r>
      <w:r/>
    </w:p>
    <w:p>
      <w:pPr>
        <w:pStyle w:val="1115"/>
        <w:ind w:firstLine="482"/>
        <w:pageBreakBefore w:val="0"/>
        <w:spacing w:beforeAutospacing="0" w:after="0"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1、小微型企业</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（1）本项目专门面向中小企业采购，不再对小型和微型企业服务给予价格扣除。</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（2）供应商需按照采购文件的要求提供相应的《中小企业声明函》。</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（3）企业标准请参照《关于印发中小企业划型标准规定的通知》（工信部联企业〔2011〕300号）文件规定自行填写。</w:t>
      </w:r>
      <w:r/>
    </w:p>
    <w:p>
      <w:pPr>
        <w:pStyle w:val="1115"/>
        <w:ind w:firstLine="482"/>
        <w:pageBreakBefore w:val="0"/>
        <w:spacing w:beforeAutospacing="0" w:after="0"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2、残疾人福利单位</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（1）本项目对残疾人福利性单位视同小型、微型企业。</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（2）残疾人福利单位需按照采购文件的要求提供《残疾人福利性单位声明函》。</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（3）残疾人福利单位标准请参照《关于促进残疾人就业政府采购政策的通知》（财库〔2017〕141号）。</w:t>
      </w:r>
      <w:r/>
    </w:p>
    <w:p>
      <w:pPr>
        <w:pStyle w:val="1115"/>
        <w:ind w:firstLine="482"/>
        <w:pageBreakBefore w:val="0"/>
        <w:spacing w:beforeAutospacing="0" w:after="0" w:line="4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3、监狱和戒毒企业</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（1）本项目对监狱和戒毒企业（简称监狱企业）视同小型、微型企业。</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（3）监狱企业标准请参照《关于政府采购支持监狱企业发展有关问题的通知》（财库〔2014〕68号）。</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4、残疾人福利单位、监狱企业属于小型、微型企业的，不重复享受政策。</w:t>
      </w:r>
      <w:r/>
    </w:p>
    <w:p>
      <w:pPr>
        <w:pStyle w:val="1115"/>
        <w:ind w:firstLine="480"/>
        <w:pageBreakBefore w:val="0"/>
        <w:spacing w:beforeAutospacing="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pageBreakBefore w:val="0"/>
        <w:spacing w:beforeAutospacing="0"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、严格执行政府采购关于支持</w:t>
      </w:r>
      <w:r>
        <w:rPr>
          <w:rFonts w:hint="eastAsia" w:ascii="宋体" w:hAnsi="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80"/>
        <w:ind w:firstLine="482"/>
        <w:pageBreakBefore w:val="0"/>
        <w:spacing w:before="0" w:beforeAutospacing="0" w:after="0" w:line="460" w:lineRule="exact"/>
        <w:rPr>
          <w:rFonts w:ascii="宋体" w:hAnsi="宋体" w:eastAsia="宋体"/>
          <w:sz w:val="24"/>
          <w:szCs w:val="24"/>
          <w:highlight w:val="none"/>
        </w:rPr>
      </w:pPr>
      <w:r>
        <w:rPr>
          <w:rFonts w:hint="eastAsia" w:ascii="宋体" w:hAnsi="宋体" w:eastAsia="宋体"/>
          <w:sz w:val="24"/>
          <w:szCs w:val="24"/>
          <w:highlight w:val="none"/>
        </w:rPr>
        <w:t xml:space="preserve">二、对投标文件的初审</w:t>
      </w:r>
      <w:r/>
    </w:p>
    <w:p>
      <w:pPr>
        <w:ind w:firstLine="480"/>
        <w:pageBreakBefore w:val="0"/>
        <w:spacing w:beforeAutospacing="0" w:line="460" w:lineRule="exact"/>
        <w:rPr>
          <w:rFonts w:ascii="宋体" w:hAnsi="宋体"/>
          <w:bCs/>
          <w:sz w:val="24"/>
          <w:szCs w:val="24"/>
          <w:highlight w:val="none"/>
        </w:rPr>
      </w:pPr>
      <w:r>
        <w:rPr>
          <w:rFonts w:hint="eastAsia" w:ascii="宋体" w:hAnsi="宋体"/>
          <w:bCs/>
          <w:sz w:val="24"/>
          <w:szCs w:val="24"/>
          <w:highlight w:val="none"/>
        </w:rPr>
        <w:t xml:space="preserve">投标文件初审分为资格审查和符合性审查。</w:t>
      </w:r>
      <w:r/>
    </w:p>
    <w:p>
      <w:pPr>
        <w:ind w:firstLine="480"/>
        <w:pageBreakBefore w:val="0"/>
        <w:spacing w:beforeAutospacing="0" w:line="460" w:lineRule="exact"/>
        <w:rPr>
          <w:rFonts w:ascii="宋体" w:hAnsi="宋体"/>
          <w:b/>
          <w:bCs/>
          <w:sz w:val="24"/>
          <w:szCs w:val="24"/>
          <w:highlight w:val="none"/>
        </w:rPr>
      </w:pPr>
      <w:r>
        <w:rPr>
          <w:rFonts w:hint="eastAsia" w:ascii="宋体" w:hAnsi="宋体" w:cs="Courier New"/>
          <w:bCs/>
          <w:sz w:val="24"/>
          <w:szCs w:val="24"/>
          <w:highlight w:val="none"/>
        </w:rPr>
        <w:t xml:space="preserve">（一）</w:t>
      </w:r>
      <w:r>
        <w:rPr>
          <w:rFonts w:hint="eastAsia" w:ascii="宋体" w:hAnsi="宋体"/>
          <w:b/>
          <w:bCs/>
          <w:sz w:val="24"/>
          <w:szCs w:val="24"/>
          <w:highlight w:val="none"/>
        </w:rPr>
        <w:t xml:space="preserve">资格审查</w:t>
      </w:r>
      <w:r/>
    </w:p>
    <w:p>
      <w:pPr>
        <w:ind w:firstLine="482"/>
        <w:pageBreakBefore w:val="0"/>
        <w:spacing w:beforeAutospacing="0" w:line="460" w:lineRule="exact"/>
        <w:rPr>
          <w:rFonts w:ascii="宋体" w:hAnsi="宋体"/>
          <w:b/>
          <w:bCs/>
          <w:sz w:val="24"/>
          <w:szCs w:val="24"/>
          <w:highlight w:val="none"/>
        </w:rPr>
      </w:pPr>
      <w:r>
        <w:rPr>
          <w:rFonts w:hint="eastAsia" w:ascii="宋体" w:hAnsi="宋体"/>
          <w:b/>
          <w:bCs/>
          <w:sz w:val="24"/>
          <w:szCs w:val="24"/>
          <w:highlight w:val="none"/>
        </w:rPr>
        <w:t xml:space="preserve">开标结束后，采购人或者采购代理机构依法对投标人的资格进行审查。</w:t>
      </w:r>
      <w:r/>
    </w:p>
    <w:p>
      <w:pPr>
        <w:ind w:firstLine="480"/>
        <w:pageBreakBefore w:val="0"/>
        <w:spacing w:beforeAutospacing="0" w:line="460" w:lineRule="exact"/>
        <w:rPr>
          <w:rFonts w:ascii="宋体"/>
          <w:bCs/>
          <w:color w:val="000000"/>
          <w:sz w:val="24"/>
          <w:szCs w:val="24"/>
          <w:highlight w:val="none"/>
        </w:rPr>
      </w:pPr>
      <w:r>
        <w:rPr>
          <w:rFonts w:hint="eastAsia" w:ascii="宋体" w:hAnsi="宋体"/>
          <w:bCs/>
          <w:color w:val="000000"/>
          <w:sz w:val="24"/>
          <w:szCs w:val="24"/>
          <w:highlight w:val="none"/>
        </w:rPr>
        <w:t xml:space="preserve">审查投标文件中的资格、资信证明文件等，以确定投标人是否具备投标资格。</w:t>
      </w:r>
      <w:r/>
    </w:p>
    <w:p>
      <w:pPr>
        <w:ind w:firstLine="480"/>
        <w:pageBreakBefore w:val="0"/>
        <w:spacing w:beforeAutospacing="0" w:line="460" w:lineRule="exact"/>
        <w:rPr>
          <w:rFonts w:ascii="宋体" w:hAnsi="宋体"/>
          <w:b/>
          <w:bCs/>
          <w:sz w:val="24"/>
          <w:szCs w:val="24"/>
          <w:highlight w:val="none"/>
        </w:rPr>
      </w:pPr>
      <w:r>
        <w:rPr>
          <w:rFonts w:hint="eastAsia" w:ascii="宋体" w:hAnsi="宋体" w:cs="Courier New"/>
          <w:bCs/>
          <w:sz w:val="24"/>
          <w:szCs w:val="24"/>
          <w:highlight w:val="none"/>
        </w:rPr>
        <w:t xml:space="preserve">（二）</w:t>
      </w:r>
      <w:r>
        <w:rPr>
          <w:rFonts w:hint="eastAsia" w:ascii="宋体" w:hAnsi="宋体"/>
          <w:b/>
          <w:bCs/>
          <w:sz w:val="24"/>
          <w:szCs w:val="24"/>
          <w:highlight w:val="none"/>
        </w:rPr>
        <w:t xml:space="preserve">符合性审查</w:t>
      </w:r>
      <w:r/>
    </w:p>
    <w:p>
      <w:pPr>
        <w:ind w:firstLine="482"/>
        <w:pageBreakBefore w:val="0"/>
        <w:spacing w:beforeAutospacing="0" w:line="460" w:lineRule="exact"/>
        <w:rPr>
          <w:rFonts w:ascii="宋体" w:hAnsi="宋体"/>
          <w:b/>
          <w:bCs/>
          <w:sz w:val="24"/>
          <w:szCs w:val="24"/>
          <w:highlight w:val="none"/>
        </w:rPr>
      </w:pPr>
      <w:r>
        <w:rPr>
          <w:rFonts w:hint="eastAsia" w:ascii="宋体" w:hAnsi="宋体"/>
          <w:b/>
          <w:bCs/>
          <w:sz w:val="24"/>
          <w:szCs w:val="24"/>
          <w:highlight w:val="none"/>
        </w:rPr>
        <w:t xml:space="preserve">评标委员会对符合资格的投标人的投标文件进行符合性审查。</w:t>
      </w:r>
      <w:r/>
    </w:p>
    <w:p>
      <w:pPr>
        <w:ind w:firstLine="480"/>
        <w:pageBreakBefore w:val="0"/>
        <w:spacing w:beforeAutospacing="0" w:line="460" w:lineRule="exact"/>
        <w:rPr>
          <w:rFonts w:ascii="宋体" w:hAnsi="宋体"/>
          <w:bCs/>
          <w:sz w:val="24"/>
          <w:szCs w:val="24"/>
          <w:highlight w:val="none"/>
        </w:rPr>
      </w:pPr>
      <w:r>
        <w:rPr>
          <w:rFonts w:hint="eastAsia" w:ascii="宋体" w:hAnsi="宋体"/>
          <w:bCs/>
          <w:sz w:val="24"/>
          <w:szCs w:val="24"/>
          <w:highlight w:val="none"/>
        </w:rPr>
        <w:t xml:space="preserve">依据招标文件的规定，从投标文件的有效性、完整性和对招标文件的响应程度进行审查，以确定其是否满足招标文件的实质性要求。</w:t>
      </w:r>
      <w:r/>
    </w:p>
    <w:p>
      <w:pPr>
        <w:ind w:firstLine="480"/>
        <w:pageBreakBefore w:val="0"/>
        <w:spacing w:beforeAutospacing="0" w:line="460" w:lineRule="exact"/>
        <w:rPr>
          <w:rFonts w:ascii="宋体" w:hAnsi="宋体"/>
          <w:sz w:val="24"/>
          <w:szCs w:val="24"/>
          <w:highlight w:val="none"/>
        </w:rPr>
      </w:pPr>
      <w:r>
        <w:rPr>
          <w:rFonts w:hint="eastAsia" w:ascii="宋体" w:hAnsi="宋体"/>
          <w:sz w:val="24"/>
          <w:szCs w:val="24"/>
          <w:highlight w:val="none"/>
        </w:rPr>
        <w:t xml:space="preserve">明确响应的投标应该是与招标文件要求的全部条款、条件和规格相符，没有重大偏离或保留的投标。</w:t>
      </w:r>
      <w:r/>
    </w:p>
    <w:p>
      <w:pPr>
        <w:ind w:firstLine="480"/>
        <w:pageBreakBefore w:val="0"/>
        <w:spacing w:beforeAutospacing="0" w:line="460" w:lineRule="exact"/>
        <w:rPr>
          <w:rFonts w:ascii="宋体" w:hAnsi="宋体"/>
          <w:bCs/>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szCs w:val="24"/>
          <w:highlight w:val="none"/>
        </w:rPr>
        <w:t xml:space="preserve">评委决定投标文件的响应性只根据投标文件本身的内容，而不寻求外部的证据。</w:t>
      </w:r>
      <w:r/>
    </w:p>
    <w:p>
      <w:pPr>
        <w:ind w:firstLine="480"/>
        <w:pageBreakBefore w:val="0"/>
        <w:spacing w:beforeAutospacing="0" w:line="460" w:lineRule="exact"/>
        <w:rPr>
          <w:rFonts w:ascii="宋体" w:hAnsi="宋体"/>
          <w:bCs/>
          <w:sz w:val="24"/>
          <w:szCs w:val="24"/>
          <w:highlight w:val="none"/>
        </w:rPr>
      </w:pPr>
      <w:r>
        <w:rPr>
          <w:rFonts w:hint="eastAsia" w:ascii="宋体" w:hAnsi="宋体"/>
          <w:bCs/>
          <w:sz w:val="24"/>
          <w:szCs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pageBreakBefore w:val="0"/>
        <w:spacing w:beforeAutospacing="0" w:line="460" w:lineRule="exact"/>
        <w:rPr>
          <w:rFonts w:ascii="宋体" w:hAnsi="宋体"/>
          <w:bCs/>
          <w:sz w:val="24"/>
          <w:szCs w:val="24"/>
          <w:highlight w:val="none"/>
        </w:rPr>
      </w:pPr>
      <w:r>
        <w:rPr>
          <w:rFonts w:hint="eastAsia" w:ascii="宋体" w:hAnsi="宋体"/>
          <w:bCs/>
          <w:sz w:val="24"/>
          <w:szCs w:val="24"/>
          <w:highlight w:val="none"/>
        </w:rPr>
        <w:t xml:space="preserve">评标委员会将对确定为明确响应的投标进行进一步审核，</w:t>
      </w:r>
      <w:r>
        <w:rPr>
          <w:rFonts w:hint="eastAsia" w:ascii="宋体" w:hAnsi="宋体" w:cs="Arial"/>
          <w:sz w:val="24"/>
          <w:szCs w:val="24"/>
          <w:highlight w:val="none"/>
        </w:rPr>
        <w:t xml:space="preserve">投标文件报价出现前后不一致的，除招标文件另有规定外，按照下列规定修正：</w:t>
      </w:r>
      <w:r/>
    </w:p>
    <w:p>
      <w:pPr>
        <w:ind w:firstLine="480"/>
        <w:pageBreakBefore w:val="0"/>
        <w:spacing w:beforeAutospacing="0" w:line="460" w:lineRule="exact"/>
        <w:rPr>
          <w:rFonts w:ascii="宋体" w:hAnsi="宋体"/>
          <w:bCs/>
          <w:sz w:val="24"/>
          <w:szCs w:val="24"/>
          <w:highlight w:val="none"/>
        </w:rPr>
      </w:pPr>
      <w:r>
        <w:rPr>
          <w:rFonts w:ascii="宋体" w:hAnsi="宋体"/>
          <w:bCs/>
          <w:sz w:val="24"/>
          <w:szCs w:val="24"/>
          <w:highlight w:val="none"/>
        </w:rPr>
        <w:t xml:space="preserve">1.</w:t>
      </w:r>
      <w:r>
        <w:rPr>
          <w:rFonts w:hint="eastAsia" w:ascii="宋体" w:hAnsi="宋体" w:cs="Arial"/>
          <w:sz w:val="24"/>
          <w:szCs w:val="24"/>
          <w:highlight w:val="none"/>
        </w:rPr>
        <w:t xml:space="preserve">投标文件中开标一览表内容与投标文件中相应内容不一致的，以开标一览表为准；</w:t>
      </w:r>
      <w:r/>
    </w:p>
    <w:p>
      <w:pPr>
        <w:contextualSpacing/>
        <w:ind w:firstLine="480"/>
        <w:jc w:val="left"/>
        <w:pageBreakBefore w:val="0"/>
        <w:spacing w:beforeAutospacing="0" w:line="460" w:lineRule="exact"/>
        <w:widowControl/>
        <w:rPr>
          <w:rFonts w:ascii="宋体" w:hAnsi="宋体" w:cs="Arial"/>
          <w:sz w:val="24"/>
          <w:szCs w:val="24"/>
          <w:highlight w:val="none"/>
        </w:rPr>
      </w:pPr>
      <w:r>
        <w:rPr>
          <w:rFonts w:ascii="宋体" w:hAnsi="宋体"/>
          <w:bCs/>
          <w:sz w:val="24"/>
          <w:szCs w:val="24"/>
          <w:highlight w:val="none"/>
        </w:rPr>
        <w:t xml:space="preserve">2.</w:t>
      </w:r>
      <w:r>
        <w:rPr>
          <w:rFonts w:hint="eastAsia" w:ascii="宋体" w:hAnsi="宋体" w:cs="Arial"/>
          <w:sz w:val="24"/>
          <w:szCs w:val="24"/>
          <w:highlight w:val="none"/>
        </w:rPr>
        <w:t xml:space="preserve">大写金额和小写金额不一致的，以大写金额为准；</w:t>
      </w:r>
      <w:r/>
    </w:p>
    <w:p>
      <w:pPr>
        <w:contextualSpacing/>
        <w:ind w:firstLine="480"/>
        <w:jc w:val="left"/>
        <w:pageBreakBefore w:val="0"/>
        <w:spacing w:beforeAutospacing="0" w:line="460" w:lineRule="exact"/>
        <w:widowControl/>
        <w:rPr>
          <w:rFonts w:ascii="宋体" w:hAnsi="宋体" w:cs="Arial"/>
          <w:sz w:val="24"/>
          <w:szCs w:val="24"/>
          <w:highlight w:val="none"/>
        </w:rPr>
      </w:pPr>
      <w:r>
        <w:rPr>
          <w:rFonts w:ascii="宋体" w:hAnsi="宋体"/>
          <w:bCs/>
          <w:sz w:val="24"/>
          <w:szCs w:val="24"/>
          <w:highlight w:val="none"/>
        </w:rPr>
        <w:t xml:space="preserve">3.</w:t>
      </w:r>
      <w:r>
        <w:rPr>
          <w:rFonts w:hint="eastAsia" w:ascii="宋体" w:hAnsi="宋体" w:cs="Arial"/>
          <w:sz w:val="24"/>
          <w:szCs w:val="24"/>
          <w:highlight w:val="none"/>
        </w:rPr>
        <w:t xml:space="preserve">单价金额小数点或者百分比有明显错位的，以开标一览表的总价为准，并修改单价；</w:t>
      </w:r>
      <w:r/>
    </w:p>
    <w:p>
      <w:pPr>
        <w:contextualSpacing/>
        <w:ind w:firstLine="480"/>
        <w:jc w:val="left"/>
        <w:pageBreakBefore w:val="0"/>
        <w:spacing w:beforeAutospacing="0" w:line="460" w:lineRule="exact"/>
        <w:widowControl/>
        <w:rPr>
          <w:rFonts w:ascii="宋体" w:hAnsi="宋体" w:cs="Arial"/>
          <w:sz w:val="24"/>
          <w:szCs w:val="24"/>
          <w:highlight w:val="none"/>
        </w:rPr>
      </w:pPr>
      <w:r>
        <w:rPr>
          <w:rFonts w:ascii="宋体" w:hAnsi="宋体"/>
          <w:bCs/>
          <w:sz w:val="24"/>
          <w:szCs w:val="24"/>
          <w:highlight w:val="none"/>
        </w:rPr>
        <w:t xml:space="preserve">4.</w:t>
      </w:r>
      <w:r>
        <w:rPr>
          <w:rFonts w:hint="eastAsia" w:ascii="宋体" w:hAnsi="宋体" w:cs="Arial"/>
          <w:sz w:val="24"/>
          <w:szCs w:val="24"/>
          <w:highlight w:val="none"/>
        </w:rPr>
        <w:t xml:space="preserve">总价金额与按单价汇总金额不一致的，以单价金额计算结果为准。</w:t>
      </w:r>
      <w:r/>
    </w:p>
    <w:p>
      <w:pPr>
        <w:ind w:firstLine="480"/>
        <w:pageBreakBefore w:val="0"/>
        <w:spacing w:beforeAutospacing="0" w:line="460" w:lineRule="exact"/>
        <w:rPr>
          <w:rFonts w:ascii="宋体" w:hAnsi="宋体" w:cs="Arial"/>
          <w:sz w:val="24"/>
          <w:szCs w:val="24"/>
          <w:highlight w:val="none"/>
        </w:rPr>
      </w:pPr>
      <w:r>
        <w:rPr>
          <w:rFonts w:hint="eastAsia" w:ascii="宋体" w:hAnsi="宋体"/>
          <w:bCs/>
          <w:sz w:val="24"/>
          <w:szCs w:val="24"/>
          <w:highlight w:val="none"/>
        </w:rPr>
        <w:t xml:space="preserve">评标委员会将按上述修正错误的方法调整投标文件中的投标报价，</w:t>
      </w:r>
      <w:r>
        <w:rPr>
          <w:rFonts w:hint="eastAsia" w:ascii="宋体" w:hAnsi="宋体" w:cs="Arial"/>
          <w:sz w:val="24"/>
          <w:szCs w:val="24"/>
          <w:highlight w:val="none"/>
        </w:rPr>
        <w:t xml:space="preserve">修正后的报价应当采用书面形式，并加盖公章，或者由法定代表人或其授权的代表签字，经投标人确认后产生约束力，投标人不确认的，其投标无效。</w:t>
      </w:r>
      <w:r/>
    </w:p>
    <w:p>
      <w:pPr>
        <w:ind w:firstLine="480"/>
        <w:pageBreakBefore w:val="0"/>
        <w:spacing w:beforeAutospacing="0" w:line="460" w:lineRule="exact"/>
        <w:rPr>
          <w:rFonts w:ascii="宋体" w:hAnsi="宋体" w:cs="Arial"/>
          <w:sz w:val="24"/>
          <w:szCs w:val="24"/>
          <w:highlight w:val="none"/>
        </w:rPr>
      </w:pPr>
      <w:r>
        <w:rPr>
          <w:rFonts w:hint="eastAsia" w:ascii="宋体" w:hAnsi="宋体" w:cs="Arial"/>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123"/>
        <w:ind w:firstLine="480"/>
        <w:pageBreakBefore w:val="0"/>
        <w:spacing w:before="0" w:beforeAutospacing="0" w:after="0"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三、评标标准</w:t>
      </w:r>
      <w:bookmarkEnd w:id="133"/>
      <w:bookmarkEnd w:id="134"/>
      <w:bookmarkEnd w:id="135"/>
      <w:r/>
    </w:p>
    <w:tbl>
      <w:tblPr>
        <w:tblStyle w:val="10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139"/>
        <w:gridCol w:w="7407"/>
      </w:tblGrid>
      <w:tr>
        <w:trPr>
          <w:jc w:val="center"/>
          <w:trHeight w:val="90"/>
        </w:trPr>
        <w:tc>
          <w:tcPr>
            <w:tcW w:w="578" w:type="pct"/>
            <w:vAlign w:val="center"/>
            <w:textDirection w:val="lrTb"/>
            <w:noWrap w:val="false"/>
          </w:tcPr>
          <w:p>
            <w:pPr>
              <w:pStyle w:val="1115"/>
              <w:ind w:firstLine="0"/>
              <w:jc w:val="center"/>
              <w:spacing w:line="380" w:lineRule="exact"/>
              <w:rPr>
                <w:rFonts w:hint="eastAsia" w:ascii="宋体" w:hAnsi="宋体" w:eastAsia="宋体" w:cs="宋体"/>
                <w:sz w:val="22"/>
                <w:szCs w:val="22"/>
                <w:highlight w:val="none"/>
                <w:lang w:val="en-US" w:eastAsia="zh-CN"/>
              </w:rPr>
            </w:pPr>
            <w:r>
              <w:rPr>
                <w:rFonts w:hint="eastAsia" w:ascii="宋体" w:hAnsi="宋体" w:eastAsia="宋体" w:cs="宋体"/>
                <w:b/>
                <w:sz w:val="22"/>
                <w:szCs w:val="22"/>
                <w:highlight w:val="none"/>
                <w:lang w:val="en-US" w:eastAsia="zh-CN"/>
              </w:rPr>
              <w:t xml:space="preserve">评分项目</w:t>
            </w:r>
            <w:r/>
          </w:p>
        </w:tc>
        <w:tc>
          <w:tcPr>
            <w:tcW w:w="589" w:type="pct"/>
            <w:vAlign w:val="center"/>
            <w:textDirection w:val="lrTb"/>
            <w:noWrap w:val="false"/>
          </w:tcPr>
          <w:p>
            <w:pPr>
              <w:jc w:val="center"/>
              <w:spacing w:line="380" w:lineRule="exact"/>
              <w:rPr>
                <w:rFonts w:hint="eastAsia" w:ascii="宋体" w:hAnsi="宋体" w:cs="宋体"/>
                <w:b/>
                <w:sz w:val="22"/>
                <w:szCs w:val="22"/>
                <w:highlight w:val="none"/>
              </w:rPr>
            </w:pPr>
            <w:r>
              <w:rPr>
                <w:rFonts w:hint="eastAsia" w:ascii="宋体" w:hAnsi="宋体" w:cs="宋体"/>
                <w:b/>
                <w:sz w:val="22"/>
                <w:szCs w:val="22"/>
                <w:highlight w:val="none"/>
              </w:rPr>
              <w:t xml:space="preserve">满分分值</w:t>
            </w:r>
            <w:r/>
          </w:p>
        </w:tc>
        <w:tc>
          <w:tcPr>
            <w:tcW w:w="3832" w:type="pct"/>
            <w:vAlign w:val="center"/>
            <w:textDirection w:val="lrTb"/>
            <w:noWrap w:val="false"/>
          </w:tcPr>
          <w:p>
            <w:pPr>
              <w:jc w:val="center"/>
              <w:spacing w:line="380" w:lineRule="exact"/>
              <w:rPr>
                <w:rFonts w:hint="eastAsia" w:ascii="宋体" w:hAnsi="宋体" w:cs="宋体"/>
                <w:b/>
                <w:sz w:val="22"/>
                <w:szCs w:val="22"/>
                <w:highlight w:val="none"/>
              </w:rPr>
            </w:pPr>
            <w:r>
              <w:rPr>
                <w:rFonts w:hint="eastAsia" w:ascii="宋体" w:hAnsi="宋体" w:cs="宋体"/>
                <w:b/>
                <w:sz w:val="22"/>
                <w:szCs w:val="22"/>
                <w:highlight w:val="none"/>
              </w:rPr>
              <w:t xml:space="preserve">评 分 细 则</w:t>
            </w:r>
            <w:r/>
          </w:p>
        </w:tc>
      </w:tr>
      <w:tr>
        <w:trPr>
          <w:jc w:val="center"/>
          <w:trHeight w:val="1440"/>
        </w:trPr>
        <w:tc>
          <w:tcPr>
            <w:tcW w:w="578" w:type="pct"/>
            <w:vAlign w:val="center"/>
            <w:textDirection w:val="lrTb"/>
            <w:noWrap w:val="false"/>
          </w:tcPr>
          <w:p>
            <w:pPr>
              <w:jc w:val="center"/>
              <w:spacing w:line="380" w:lineRule="exact"/>
              <w:rPr>
                <w:rFonts w:hint="eastAsia" w:ascii="宋体" w:hAnsi="宋体" w:cs="宋体"/>
                <w:sz w:val="24"/>
                <w:highlight w:val="none"/>
              </w:rPr>
            </w:pPr>
            <w:r>
              <w:rPr>
                <w:rFonts w:hint="eastAsia" w:ascii="宋体" w:hAnsi="宋体" w:cs="宋体"/>
                <w:sz w:val="24"/>
                <w:highlight w:val="none"/>
              </w:rPr>
              <w:t xml:space="preserve">价格</w:t>
            </w:r>
            <w:r/>
          </w:p>
        </w:tc>
        <w:tc>
          <w:tcPr>
            <w:tcW w:w="589" w:type="pct"/>
            <w:vAlign w:val="center"/>
            <w:textDirection w:val="lrTb"/>
            <w:noWrap w:val="false"/>
          </w:tcPr>
          <w:p>
            <w:pPr>
              <w:jc w:val="center"/>
              <w:spacing w:line="380" w:lineRule="exact"/>
              <w:rPr>
                <w:rFonts w:hint="eastAsia" w:ascii="宋体" w:hAnsi="宋体" w:cs="宋体"/>
                <w:sz w:val="24"/>
                <w:highlight w:val="none"/>
              </w:rPr>
            </w:pP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分</w:t>
            </w:r>
            <w:r/>
          </w:p>
        </w:tc>
        <w:tc>
          <w:tcPr>
            <w:tcW w:w="3832" w:type="pct"/>
            <w:vAlign w:val="center"/>
            <w:textDirection w:val="lrTb"/>
            <w:noWrap w:val="false"/>
          </w:tcPr>
          <w:p>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价格分统一采用低价优先法计算，即满足招标文件要求且投标价格最低的投标报价为评标基准价，其价格分为满分。其他投标人的价格分统一按照下列公式计算：</w:t>
            </w:r>
            <w:r/>
          </w:p>
          <w:p>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投标报价得分=(评标基准价/投标报价)×</w:t>
            </w:r>
            <w:r>
              <w:rPr>
                <w:rFonts w:hint="eastAsia" w:ascii="宋体" w:hAnsi="宋体" w:cs="Times New Roman"/>
                <w:sz w:val="24"/>
                <w:highlight w:val="none"/>
                <w:lang w:val="en-US" w:eastAsia="zh-CN"/>
              </w:rPr>
              <w:t xml:space="preserve">30</w:t>
            </w:r>
            <w:r>
              <w:rPr>
                <w:rFonts w:hint="eastAsia" w:ascii="宋体" w:hAnsi="宋体" w:eastAsia="宋体" w:cs="Times New Roman"/>
                <w:sz w:val="24"/>
                <w:highlight w:val="none"/>
              </w:rPr>
              <w:t xml:space="preserve">，小数点后保留2位。</w:t>
            </w:r>
            <w:r/>
          </w:p>
        </w:tc>
      </w:tr>
      <w:tr>
        <w:trPr>
          <w:jc w:val="center"/>
          <w:trHeight w:val="3722"/>
        </w:trPr>
        <w:tc>
          <w:tcPr>
            <w:shd w:val="clear" w:color="auto" w:fill="auto"/>
            <w:tcW w:w="578" w:type="pct"/>
            <w:vAlign w:val="center"/>
            <w:textDirection w:val="lrTb"/>
            <w:noWrap w:val="false"/>
          </w:tcPr>
          <w:p>
            <w:pPr>
              <w:jc w:val="center"/>
              <w:spacing w:line="380" w:lineRule="exact"/>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施工组织设计</w:t>
            </w:r>
            <w:r/>
          </w:p>
        </w:tc>
        <w:tc>
          <w:tcPr>
            <w:shd w:val="clear" w:color="auto" w:fill="auto"/>
            <w:tcW w:w="589" w:type="pct"/>
            <w:vAlign w:val="center"/>
            <w:textDirection w:val="lrTb"/>
            <w:noWrap w:val="false"/>
          </w:tcPr>
          <w:p>
            <w:pPr>
              <w:jc w:val="center"/>
              <w:spacing w:line="380" w:lineRule="exact"/>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分</w:t>
            </w:r>
            <w:r/>
          </w:p>
        </w:tc>
        <w:tc>
          <w:tcPr>
            <w:shd w:val="clear" w:color="auto" w:fill="auto"/>
            <w:tcW w:w="3832" w:type="pct"/>
            <w:vAlign w:val="top"/>
            <w:textDirection w:val="lrTb"/>
            <w:noWrap w:val="false"/>
          </w:tcPr>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b/>
                <w:bCs/>
                <w:color w:val="auto"/>
                <w:sz w:val="24"/>
                <w:highlight w:val="none"/>
              </w:rPr>
              <w:t xml:space="preserve">施工方案与技术措施（</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：根据投标供应商提供的施工方案与技术措施进行评审，包括但不限于：①施工准备；②施工项目目标控制；③技术措施；④项目安全措施等方面内容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2、工程进度计划与保证措施（</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：根据投标供应商提供工程进度计划与保证措施进行评审，包括但不限于：①对施工进度的关键因素分析；②保证措施和人员分工的合理性；③实施计划、工期进度安排；④机械设备和材料投入等方面内容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3、安全管理体系和措施（</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：根据投标供应商提供的安全管理体系和措施进行评审，包括但不限于：①安全管理体系；②安全管理制度；③岗位职责的健全；④安全保证措施等方面内容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4、项目组织结构（</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：根据投标供应商提供的项目组织结构进行评审，包括但不限于：①合理安排项目部组织结构；②项目组人员专业齐全，执业资格齐全等方面内容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5、质量管理体系和措施（</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：根据供应商提供的质量管理体系和措施进行评审，包括但不限于：①确定质量方针和目标；②质量管理体系；③质量保证措施；④制度、岗位职责的健全等方面内容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6、文明施工及环境保护方案（</w:t>
            </w:r>
            <w:r>
              <w:rPr>
                <w:rFonts w:hint="eastAsia" w:ascii="宋体" w:hAnsi="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根据投标供应商提供的文明施工及环境保护方案进行评审，包括但不限于：①文明施工措施；②安全管理规定；③现场用电安全措施、噪声治理方案、施工固体废弃物的处置措施等；④事故与火灾预防等方面内容</w:t>
            </w:r>
            <w:r>
              <w:rPr>
                <w:rFonts w:hint="eastAsia" w:ascii="宋体" w:hAnsi="宋体" w:eastAsia="宋体" w:cs="宋体"/>
                <w:color w:val="auto"/>
                <w:sz w:val="24"/>
                <w:highlight w:val="none"/>
                <w:lang w:val="en-US" w:eastAsia="zh-CN"/>
              </w:rPr>
              <w:t xml:space="preserve">进行综合评审</w:t>
            </w:r>
            <w:r>
              <w:rPr>
                <w:rFonts w:hint="eastAsia" w:ascii="宋体" w:hAnsi="宋体" w:eastAsia="宋体" w:cs="宋体"/>
                <w:color w:val="auto"/>
                <w:sz w:val="24"/>
                <w:highlight w:val="none"/>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优于满足项目需求的得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基本满足项目需求的得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numPr>
                <w:ilvl w:val="0"/>
                <w:numId w:val="0"/>
              </w:numPr>
              <w:jc w:val="left"/>
              <w:keepLines w:val="0"/>
              <w:keepNext w:val="0"/>
              <w:pageBreakBefore w:val="0"/>
              <w:spacing w:line="420" w:lineRule="exact"/>
              <w:rPr>
                <w:rFonts w:hint="eastAsia" w:ascii="宋体" w:hAnsi="宋体" w:eastAsia="宋体" w:cs="宋体"/>
                <w:sz w:val="24"/>
              </w:rPr>
            </w:pPr>
            <w:r>
              <w:rPr>
                <w:rFonts w:hint="eastAsia" w:ascii="宋体" w:hAnsi="宋体" w:eastAsia="宋体" w:cs="宋体"/>
                <w:sz w:val="24"/>
              </w:rPr>
              <w:t xml:space="preserve">不满足或无此项内容的本项不得分。</w:t>
            </w:r>
            <w:r/>
          </w:p>
          <w:p>
            <w:pPr>
              <w:numPr>
                <w:ilvl w:val="0"/>
                <w:numId w:val="0"/>
              </w:numPr>
              <w:jc w:val="left"/>
              <w:keepLines w:val="0"/>
              <w:keepNext w:val="0"/>
              <w:pageBreakBefore w:val="0"/>
              <w:spacing w:line="420" w:lineRule="exact"/>
              <w:rPr>
                <w:rFonts w:hint="eastAsia"/>
                <w:lang w:val="en-US" w:eastAsia="zh-CN"/>
              </w:rPr>
            </w:pPr>
            <w:r>
              <w:rPr>
                <w:rFonts w:hint="eastAsia" w:ascii="宋体" w:hAnsi="宋体" w:eastAsia="宋体" w:cs="宋体"/>
                <w:b/>
                <w:bCs/>
                <w:color w:val="auto"/>
                <w:sz w:val="24"/>
                <w:highlight w:val="none"/>
                <w:lang w:val="en-US" w:eastAsia="zh-CN"/>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1112"/>
        <w:jc w:val="center"/>
        <w:spacing w:beforeAutospacing="0" w:afterAutospacing="0"/>
        <w:rPr>
          <w:color w:val="000000" w:themeColor="text1"/>
          <w:highlight w:val="none"/>
          <w14:textFill>
            <w14:solidFill>
              <w14:schemeClr w14:val="tx1"/>
            </w14:solidFill>
          </w14:textFill>
        </w:rPr>
      </w:pPr>
      <w:r/>
      <w:bookmarkStart w:id="137" w:name="_Hlt26955039"/>
      <w:r/>
      <w:bookmarkStart w:id="138" w:name="_Hlt26671244"/>
      <w:r/>
      <w:bookmarkStart w:id="139" w:name="_Toc26554094"/>
      <w:r/>
      <w:r/>
    </w:p>
    <w:p>
      <w:pPr>
        <w:pStyle w:val="1112"/>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12"/>
        <w:jc w:val="center"/>
        <w:spacing w:beforeAutospacing="0" w:afterAutospacing="0" w:line="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r>
      <w:bookmarkEnd w:id="137"/>
      <w:bookmarkEnd w:id="138"/>
      <w:bookmarkEnd w:id="139"/>
      <w:r/>
    </w:p>
    <w:p>
      <w:pPr>
        <w:pStyle w:val="1112"/>
        <w:jc w:val="center"/>
        <w:keepLines w:val="0"/>
        <w:keepNext/>
        <w:pageBreakBefore w:val="0"/>
        <w:spacing w:before="0" w:beforeAutospacing="0" w:after="0" w:afterAutospacing="0"/>
        <w:widowControl/>
        <w:rPr>
          <w:rFonts w:hint="eastAsia" w:ascii="黑体" w:eastAsia="黑体" w:cs="黑体"/>
          <w:b/>
          <w:bCs/>
          <w:color w:val="000000" w:themeColor="text1"/>
          <w:sz w:val="44"/>
          <w:szCs w:val="44"/>
          <w:highlight w:val="none"/>
          <w14:textFill>
            <w14:solidFill>
              <w14:schemeClr w14:val="tx1"/>
            </w14:solidFill>
          </w14:textFill>
        </w:rPr>
      </w:pPr>
      <w:r>
        <w:rPr>
          <w:rFonts w:hint="eastAsia" w:ascii="黑体" w:eastAsia="黑体" w:cs="黑体"/>
          <w:b/>
          <w:bCs/>
          <w:color w:val="000000" w:themeColor="text1"/>
          <w:sz w:val="44"/>
          <w:szCs w:val="44"/>
          <w:highlight w:val="none"/>
          <w14:textFill>
            <w14:solidFill>
              <w14:schemeClr w14:val="tx1"/>
            </w14:solidFill>
          </w14:textFill>
        </w:rPr>
      </w:r>
      <w:r/>
    </w:p>
    <w:p>
      <w:pPr>
        <w:pStyle w:val="1112"/>
        <w:jc w:val="center"/>
        <w:keepLines w:val="0"/>
        <w:keepNext/>
        <w:pageBreakBefore w:val="0"/>
        <w:spacing w:before="0" w:beforeAutospacing="0" w:after="0" w:afterAutospacing="0"/>
        <w:widowControl/>
        <w:rPr>
          <w:rFonts w:hint="eastAsia" w:ascii="黑体" w:eastAsia="黑体" w:cs="黑体"/>
          <w:b/>
          <w:bCs/>
          <w:color w:val="000000" w:themeColor="text1"/>
          <w:sz w:val="44"/>
          <w:szCs w:val="44"/>
          <w:highlight w:val="none"/>
          <w14:textFill>
            <w14:solidFill>
              <w14:schemeClr w14:val="tx1"/>
            </w14:solidFill>
          </w14:textFill>
        </w:rPr>
      </w:pPr>
      <w:r>
        <w:rPr>
          <w:rFonts w:hint="eastAsia" w:ascii="黑体" w:eastAsia="黑体" w:cs="黑体"/>
          <w:b/>
          <w:bCs/>
          <w:color w:val="000000" w:themeColor="text1"/>
          <w:sz w:val="44"/>
          <w:szCs w:val="44"/>
          <w:highlight w:val="none"/>
          <w14:textFill>
            <w14:solidFill>
              <w14:schemeClr w14:val="tx1"/>
            </w14:solidFill>
          </w14:textFill>
        </w:rPr>
        <w:t xml:space="preserve">第六章  响应文件格式</w:t>
      </w:r>
      <w:r/>
    </w:p>
    <w:p>
      <w:pPr>
        <w:pStyle w:val="1112"/>
        <w:jc w:val="center"/>
        <w:keepNext/>
        <w:spacing w:beforeAutospacing="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112"/>
        <w:jc w:val="center"/>
        <w:keepNext/>
        <w:spacing w:beforeAutospacing="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112"/>
        <w:jc w:val="center"/>
        <w:keepNext/>
        <w:spacing w:beforeAutospacing="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112"/>
        <w:jc w:val="center"/>
        <w:keepNext/>
        <w:spacing w:beforeAutospacing="0" w:afterAutospacing="0"/>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r>
      <w:r/>
    </w:p>
    <w:p>
      <w:pPr>
        <w:pStyle w:val="1112"/>
        <w:jc w:val="center"/>
        <w:spacing w:beforeAutospacing="0" w:afterAutospacing="0"/>
        <w:rPr>
          <w:rFonts w:hint="eastAsia"/>
          <w:color w:val="000000" w:themeColor="text1"/>
          <w:highlight w:val="none"/>
          <w14:textFill>
            <w14:solidFill>
              <w14:schemeClr w14:val="tx1"/>
            </w14:solidFill>
          </w14:textFill>
        </w:rPr>
      </w:pPr>
      <w:r/>
      <w:bookmarkStart w:id="140" w:name="_Toc120614282"/>
      <w:r/>
      <w:bookmarkEnd w:id="140"/>
      <w:r/>
      <w:bookmarkStart w:id="141" w:name="_Toc49090576"/>
      <w:r/>
      <w:bookmarkEnd w:id="141"/>
      <w:r>
        <w:rPr>
          <w:rFonts w:hint="eastAsia"/>
          <w:b/>
          <w:color w:val="000000" w:themeColor="text1"/>
          <w:sz w:val="72"/>
          <w:szCs w:val="72"/>
          <w:highlight w:val="none"/>
          <w14:textFill>
            <w14:solidFill>
              <w14:schemeClr w14:val="tx1"/>
            </w14:solidFill>
          </w14:textFill>
        </w:rPr>
        <w:t xml:space="preserve">响  应  文  件</w:t>
      </w:r>
      <w:r/>
    </w:p>
    <w:p>
      <w:pPr>
        <w:pStyle w:val="1112"/>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112"/>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2"/>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2"/>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12"/>
        <w:ind w:firstLine="1084"/>
        <w:jc w:val="both"/>
        <w:spacing w:beforeAutospacing="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目名 称：</w:t>
      </w:r>
      <w:r>
        <w:rPr>
          <w:rFonts w:hint="eastAsia"/>
          <w:b/>
          <w:color w:val="000000" w:themeColor="text1"/>
          <w:sz w:val="36"/>
          <w:szCs w:val="36"/>
          <w:highlight w:val="none"/>
          <w:u w:val="single"/>
          <w14:textFill>
            <w14:solidFill>
              <w14:schemeClr w14:val="tx1"/>
            </w14:solidFill>
          </w14:textFill>
        </w:rPr>
        <w:t xml:space="preserve">               </w:t>
      </w:r>
      <w:r/>
    </w:p>
    <w:p>
      <w:pPr>
        <w:pStyle w:val="1112"/>
        <w:ind w:firstLine="1084"/>
        <w:jc w:val="both"/>
        <w:spacing w:beforeAutospacing="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 目编 号：</w:t>
      </w:r>
      <w:r>
        <w:rPr>
          <w:rFonts w:hint="eastAsia"/>
          <w:b/>
          <w:color w:val="000000" w:themeColor="text1"/>
          <w:sz w:val="36"/>
          <w:szCs w:val="36"/>
          <w:highlight w:val="none"/>
          <w:u w:val="single"/>
          <w14:textFill>
            <w14:solidFill>
              <w14:schemeClr w14:val="tx1"/>
            </w14:solidFill>
          </w14:textFill>
        </w:rPr>
        <w:t xml:space="preserve">               </w:t>
      </w:r>
      <w:r/>
    </w:p>
    <w:p>
      <w:pPr>
        <w:pStyle w:val="1112"/>
        <w:jc w:val="both"/>
        <w:spacing w:beforeAutospacing="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供应商名称 ：</w:t>
      </w:r>
      <w:r>
        <w:rPr>
          <w:rFonts w:hint="eastAsia"/>
          <w:b/>
          <w:color w:val="000000" w:themeColor="text1"/>
          <w:sz w:val="36"/>
          <w:szCs w:val="36"/>
          <w:highlight w:val="none"/>
          <w:u w:val="single"/>
          <w14:textFill>
            <w14:solidFill>
              <w14:schemeClr w14:val="tx1"/>
            </w14:solidFill>
          </w14:textFill>
        </w:rPr>
        <w:t xml:space="preserve">（加盖CA电子公章）</w:t>
      </w:r>
      <w:r/>
    </w:p>
    <w:p>
      <w:pPr>
        <w:pStyle w:val="1112"/>
        <w:jc w:val="both"/>
        <w:spacing w:beforeAutospacing="0" w:afterAutospacing="0"/>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b/>
          <w:color w:val="000000"/>
          <w:sz w:val="32"/>
          <w:szCs w:val="32"/>
          <w:highlight w:val="none"/>
        </w:rPr>
      </w:pPr>
      <w:r>
        <w:rPr>
          <w:rFonts w:hint="eastAsia"/>
          <w:b/>
          <w:color w:val="000000"/>
          <w:sz w:val="32"/>
          <w:szCs w:val="32"/>
          <w:highlight w:val="none"/>
        </w:rPr>
      </w:r>
      <w:r/>
    </w:p>
    <w:p>
      <w:pPr>
        <w:pStyle w:val="1112"/>
        <w:jc w:val="center"/>
        <w:spacing w:before="0" w:beforeAutospacing="0" w:after="0" w:afterAutospacing="0" w:line="0" w:lineRule="atLeast"/>
        <w:widowControl w:val="off"/>
        <w:rPr>
          <w:rFonts w:hint="eastAsia"/>
          <w:highlight w:val="none"/>
        </w:rPr>
      </w:pPr>
      <w:r>
        <w:rPr>
          <w:rFonts w:hint="eastAsia"/>
          <w:b/>
          <w:color w:val="000000"/>
          <w:sz w:val="32"/>
          <w:szCs w:val="32"/>
          <w:highlight w:val="none"/>
        </w:rPr>
        <w:t xml:space="preserve">响应文件目录</w:t>
      </w:r>
      <w:r/>
    </w:p>
    <w:p>
      <w:pPr>
        <w:pStyle w:val="1112"/>
        <w:jc w:val="center"/>
        <w:spacing w:before="0" w:beforeAutospacing="0" w:after="0" w:afterAutospacing="0" w:line="0" w:lineRule="atLeast"/>
        <w:widowControl w:val="off"/>
        <w:rPr>
          <w:rFonts w:hint="eastAsia"/>
          <w:highlight w:val="none"/>
        </w:rPr>
      </w:pPr>
      <w:r>
        <w:rPr>
          <w:rFonts w:hint="eastAsia"/>
          <w:highlight w:val="none"/>
        </w:rPr>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一、法人或者其他组织的营业执照等证明文件，自然人的身份证明</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二、上一年度的财务状况报表</w:t>
      </w:r>
      <w:r>
        <w:rPr>
          <w:rFonts w:hint="eastAsia" w:eastAsia="宋体" w:cs="宋体"/>
          <w:i/>
          <w:u w:val="single"/>
        </w:rPr>
        <w:t xml:space="preserve">（至少提供资产负债表、利润表、现金流量表，磋商供应商成立不满一年无需提供）</w:t>
      </w:r>
      <w:r>
        <w:rPr>
          <w:rFonts w:hint="eastAsia" w:ascii="宋体" w:hAnsi="宋体" w:eastAsia="宋体" w:cs="宋体"/>
          <w:i/>
          <w:color w:val="000000"/>
          <w:highlight w:val="none"/>
          <w:u w:val="single"/>
        </w:rPr>
        <w:t xml:space="preserve">；</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三、具备履行合同所必需的设备和专业技术能力的书面声明</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六、特定资格要求的证明文件（如果本项目设置特定资格要求，则需要提供）</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七、法人授权书</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八、磋商响应函</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九、中小企业声明函</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highlight w:val="none"/>
        </w:rPr>
        <w:t xml:space="preserve">十</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、已标价工程量清单</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磋商报价表</w:t>
      </w:r>
      <w:r/>
    </w:p>
    <w:p>
      <w:pPr>
        <w:ind w:left="0" w:firstLine="480"/>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bidi="ar-SA"/>
        </w:rPr>
        <w:t xml:space="preserve">施工方案</w:t>
      </w:r>
      <w:r/>
    </w:p>
    <w:p>
      <w:pPr>
        <w:pStyle w:val="1112"/>
        <w:ind w:left="0" w:firstLine="480"/>
        <w:jc w:val="both"/>
        <w:keepLines w:val="0"/>
        <w:keepNext w:val="0"/>
        <w:pageBreakBefore w:val="0"/>
        <w:spacing w:before="0" w:beforeAutospacing="0" w:after="0" w:afterAutospacing="0"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、盐城市亭湖区政府采购事前信用承诺书</w:t>
      </w:r>
      <w:r/>
    </w:p>
    <w:p>
      <w:pPr>
        <w:pStyle w:val="1091"/>
        <w:rPr>
          <w:rFonts w:hint="eastAsia"/>
          <w:highlight w:val="none"/>
        </w:rPr>
      </w:pPr>
      <w:r>
        <w:rPr>
          <w:rFonts w:hint="eastAsia"/>
          <w:highlight w:val="none"/>
        </w:rPr>
      </w:r>
      <w:r/>
    </w:p>
    <w:p>
      <w:pPr>
        <w:pStyle w:val="1091"/>
        <w:rPr>
          <w:rFonts w:hint="eastAsia"/>
          <w:highlight w:val="none"/>
        </w:rPr>
      </w:pPr>
      <w:r>
        <w:rPr>
          <w:rFonts w:hint="eastAsia"/>
          <w:highlight w:val="none"/>
        </w:rPr>
      </w:r>
      <w:r/>
    </w:p>
    <w:p>
      <w:pPr>
        <w:pStyle w:val="1091"/>
        <w:rPr>
          <w:rFonts w:hint="eastAsia"/>
          <w:highlight w:val="none"/>
        </w:rPr>
      </w:pPr>
      <w:r>
        <w:rPr>
          <w:rFonts w:hint="eastAsia"/>
          <w:highlight w:val="none"/>
        </w:rPr>
      </w:r>
      <w:r/>
    </w:p>
    <w:p>
      <w:pPr>
        <w:pStyle w:val="1091"/>
        <w:rPr>
          <w:rFonts w:hint="eastAsia"/>
          <w:highlight w:val="none"/>
        </w:rPr>
      </w:pPr>
      <w:r>
        <w:rPr>
          <w:rFonts w:hint="eastAsia"/>
          <w:highlight w:val="none"/>
        </w:rPr>
      </w:r>
      <w:r/>
    </w:p>
    <w:p>
      <w:pPr>
        <w:pStyle w:val="1091"/>
        <w:rPr>
          <w:rFonts w:hint="eastAsia"/>
          <w:highlight w:val="none"/>
        </w:rPr>
      </w:pPr>
      <w:r>
        <w:rPr>
          <w:rFonts w:hint="eastAsia"/>
          <w:highlight w:val="none"/>
        </w:rPr>
      </w:r>
      <w:r/>
    </w:p>
    <w:p>
      <w:pPr>
        <w:pStyle w:val="1112"/>
        <w:jc w:val="both"/>
        <w:spacing w:beforeAutospacing="0" w:afterAutospacing="0" w:line="0" w:lineRule="atLeast"/>
        <w:rPr>
          <w:rFonts w:hint="eastAsia"/>
          <w:color w:val="000000"/>
          <w:highlight w:val="none"/>
        </w:rPr>
      </w:pPr>
      <w:r>
        <w:rPr>
          <w:rFonts w:hint="eastAsia"/>
          <w:color w:val="000000"/>
          <w:highlight w:val="none"/>
        </w:rPr>
      </w:r>
      <w:r/>
    </w:p>
    <w:p>
      <w:pPr>
        <w:rPr>
          <w:highlight w:val="none"/>
        </w:rPr>
      </w:pPr>
      <w:r>
        <w:rPr>
          <w:highlight w:val="none"/>
        </w:rPr>
        <w:t xml:space="preserve"> </w:t>
      </w:r>
      <w:r/>
    </w:p>
    <w:p>
      <w:pPr>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rPr>
          <w:highlight w:val="non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1112"/>
        <w:ind w:firstLine="480"/>
        <w:jc w:val="both"/>
        <w:spacing w:before="0" w:beforeAutospacing="0" w:after="0" w:afterAutospacing="0" w:line="0" w:lineRule="atLeast"/>
        <w:widowControl w:val="off"/>
        <w:rPr>
          <w:rFonts w:hint="eastAsia"/>
          <w:highlight w:val="none"/>
        </w:rPr>
      </w:pPr>
      <w:r>
        <w:rPr>
          <w:highlight w:val="none"/>
        </w:rPr>
        <w:t xml:space="preserve"> </w:t>
      </w:r>
      <w:r/>
    </w:p>
    <w:p>
      <w:pPr>
        <w:pStyle w:val="1112"/>
        <w:jc w:val="both"/>
        <w:spacing w:before="0" w:beforeAutospacing="0" w:after="0" w:afterAutospacing="0"/>
        <w:widowControl w:val="off"/>
        <w:rPr>
          <w:rFonts w:hint="eastAsia" w:eastAsia="黑体"/>
          <w:highlight w:val="none"/>
        </w:rPr>
      </w:pPr>
      <w:r>
        <w:rPr>
          <w:rFonts w:hint="eastAsia" w:ascii="黑体" w:eastAsia="黑体" w:cs="黑体"/>
          <w:i/>
          <w:color w:val="000000"/>
          <w:sz w:val="32"/>
          <w:szCs w:val="32"/>
          <w:highlight w:val="none"/>
          <w:u w:val="single"/>
        </w:rPr>
        <w:t xml:space="preserve">二、上一年度的财务状况报表</w:t>
      </w:r>
      <w:r/>
    </w:p>
    <w:p>
      <w:pPr>
        <w:pStyle w:val="1112"/>
        <w:ind w:firstLine="480"/>
        <w:jc w:val="both"/>
        <w:spacing w:before="0" w:beforeAutospacing="0" w:after="0" w:afterAutospacing="0" w:line="0" w:lineRule="atLeast"/>
        <w:widowControl w:val="off"/>
        <w:rPr>
          <w:rFonts w:hint="eastAsia"/>
          <w:highlight w:val="none"/>
        </w:rPr>
      </w:pPr>
      <w:r>
        <w:rPr>
          <w:rFonts w:hint="eastAsia"/>
          <w:color w:val="000000"/>
          <w:highlight w:val="none"/>
        </w:rPr>
        <w:t xml:space="preserve">供应商成立不满一年无需提供</w:t>
      </w:r>
      <w:r/>
    </w:p>
    <w:p>
      <w:pPr>
        <w:pStyle w:val="1112"/>
        <w:jc w:val="both"/>
        <w:spacing w:before="0" w:beforeAutospacing="0" w:after="0" w:afterAutospacing="0"/>
        <w:widowControl w:val="off"/>
        <w:rPr>
          <w:rFonts w:hint="eastAsia"/>
          <w:highlight w:val="none"/>
        </w:rPr>
      </w:pPr>
      <w:r>
        <w:rPr>
          <w:highlight w:val="none"/>
        </w:rPr>
        <w:t xml:space="preserve"> </w:t>
      </w:r>
      <w:r/>
    </w:p>
    <w:p>
      <w:pPr>
        <w:pStyle w:val="1112"/>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1112"/>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112"/>
        <w:ind w:firstLine="492"/>
        <w:jc w:val="both"/>
        <w:spacing w:before="0" w:beforeAutospacing="0" w:after="0" w:afterAutospacing="0" w:line="0" w:lineRule="atLeast"/>
        <w:widowControl w:val="off"/>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1112"/>
        <w:ind w:firstLine="480"/>
        <w:jc w:val="both"/>
        <w:spacing w:before="0" w:beforeAutospacing="0" w:after="0" w:afterAutospacing="0"/>
        <w:widowControl w:val="off"/>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1112"/>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1112"/>
        <w:ind w:firstLine="480"/>
        <w:jc w:val="both"/>
        <w:spacing w:before="0" w:beforeAutospacing="0" w:after="0" w:afterAutospacing="0"/>
        <w:widowControl w:val="off"/>
        <w:rPr>
          <w:rFonts w:hint="eastAsia"/>
          <w:highlight w:val="none"/>
        </w:rPr>
      </w:pPr>
      <w:r>
        <w:rPr>
          <w:rFonts w:hint="eastAsia"/>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1112"/>
        <w:jc w:val="both"/>
        <w:spacing w:before="0" w:beforeAutospacing="0" w:after="0" w:afterAutospacing="0" w:line="0" w:lineRule="atLeast"/>
        <w:widowControl w:val="off"/>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p>
    <w:p>
      <w:pPr>
        <w:pStyle w:val="1112"/>
        <w:jc w:val="center"/>
        <w:spacing w:before="0" w:beforeAutospacing="0" w:after="0" w:afterAutospacing="0" w:line="0" w:lineRule="atLeast"/>
        <w:widowControl w:val="off"/>
        <w:rPr>
          <w:rFonts w:hint="eastAsia"/>
          <w:highlight w:val="none"/>
        </w:rPr>
      </w:pPr>
      <w:r>
        <w:rPr>
          <w:rFonts w:hint="eastAsia"/>
          <w:b/>
          <w:color w:val="000000"/>
          <w:sz w:val="44"/>
          <w:szCs w:val="44"/>
          <w:highlight w:val="none"/>
        </w:rPr>
        <w:t xml:space="preserve">声  明</w:t>
      </w:r>
      <w:r/>
    </w:p>
    <w:p>
      <w:pPr>
        <w:pStyle w:val="1112"/>
        <w:jc w:val="both"/>
        <w:spacing w:before="0" w:beforeAutospacing="0" w:after="0" w:afterAutospacing="0" w:line="0" w:lineRule="atLeast"/>
        <w:widowControl w:val="off"/>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12"/>
        <w:jc w:val="both"/>
        <w:spacing w:before="0" w:beforeAutospacing="0" w:after="0" w:afterAutospacing="0"/>
        <w:widowControl w:val="off"/>
        <w:rPr>
          <w:rFonts w:hint="eastAsia"/>
          <w:highlight w:val="none"/>
        </w:rPr>
      </w:pPr>
      <w:r>
        <w:rPr>
          <w:highlight w:val="none"/>
        </w:rPr>
        <w:t xml:space="preserve"> </w:t>
      </w:r>
      <w:r/>
    </w:p>
    <w:p>
      <w:pPr>
        <w:pStyle w:val="1112"/>
        <w:jc w:val="both"/>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六、特定资格要求的证明文件</w:t>
      </w:r>
      <w:r/>
    </w:p>
    <w:p>
      <w:pPr>
        <w:pStyle w:val="1112"/>
        <w:jc w:val="both"/>
        <w:spacing w:before="0" w:beforeAutospacing="0" w:after="0" w:afterAutospacing="0" w:line="0" w:lineRule="atLeast"/>
        <w:widowControl w:val="off"/>
        <w:rPr>
          <w:rFonts w:hint="eastAsia" w:ascii="黑体" w:eastAsia="黑体" w:cs="黑体"/>
          <w:i/>
          <w:color w:val="000000"/>
          <w:sz w:val="32"/>
          <w:szCs w:val="32"/>
          <w:highlight w:val="none"/>
          <w:u w:val="single"/>
        </w:rPr>
      </w:pPr>
      <w:r>
        <w:rPr>
          <w:rFonts w:hint="eastAsia"/>
          <w:color w:val="000000"/>
          <w:highlight w:val="none"/>
        </w:rPr>
        <w:t xml:space="preserve">   如果本项目申请人的特定资格要求中要求提供的，必须提供。</w:t>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both"/>
        <w:spacing w:before="0" w:beforeAutospacing="0" w:after="0" w:afterAutospacing="0"/>
        <w:widowControl w:val="off"/>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1112"/>
        <w:jc w:val="center"/>
        <w:spacing w:before="0" w:beforeAutospacing="0" w:after="0" w:afterAutospacing="0"/>
        <w:widowControl w:val="off"/>
        <w:rPr>
          <w:rFonts w:hint="eastAsia"/>
          <w:highlight w:val="none"/>
        </w:rPr>
      </w:pPr>
      <w:r>
        <w:rPr>
          <w:rFonts w:hint="eastAsia" w:ascii="黑体" w:eastAsia="黑体" w:cs="黑体"/>
          <w:i/>
          <w:color w:val="000000"/>
          <w:sz w:val="32"/>
          <w:szCs w:val="32"/>
          <w:highlight w:val="none"/>
          <w:u w:val="single"/>
        </w:rPr>
        <w:t xml:space="preserve">七、法人授权书</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本授权书声明：____________（供应商名称）授权________________（被授权人的姓名）为我方就JSZC-</w:t>
      </w:r>
      <w:r>
        <w:rPr>
          <w:rFonts w:cs="Times New Roman"/>
          <w:color w:val="000000"/>
          <w:highlight w:val="none"/>
          <w:u w:val="single"/>
        </w:rPr>
        <w:t xml:space="preserve">        </w:t>
      </w:r>
      <w:r>
        <w:rPr>
          <w:rFonts w:cs="Times New Roman"/>
          <w:color w:val="000000"/>
          <w:highlight w:val="none"/>
        </w:rPr>
        <w:t xml:space="preserve">号项目采购活动的合法代理人，以本单位名义全权处理一切与该项目采购有关的事务。</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本授权书于______年____月____日起生效，特此声明。</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被授权人身份证号码：</w:t>
      </w:r>
      <w:r>
        <w:rPr>
          <w:rFonts w:cs="Times New Roman"/>
          <w:color w:val="000000"/>
          <w:highlight w:val="none"/>
          <w:u w:val="single"/>
        </w:rPr>
        <w:t xml:space="preserve">             </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被授权人联系电话：（手机）</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授权单位名称：</w:t>
      </w:r>
      <w:r>
        <w:rPr>
          <w:rFonts w:hint="eastAsia" w:cs="Times New Roman"/>
          <w:color w:val="000000"/>
          <w:highlight w:val="none"/>
          <w:u w:val="single"/>
        </w:rPr>
        <w:t xml:space="preserve">       </w:t>
      </w:r>
      <w:r>
        <w:rPr>
          <w:rFonts w:cs="Times New Roman"/>
          <w:color w:val="000000"/>
          <w:highlight w:val="none"/>
          <w:u w:val="single"/>
        </w:rPr>
        <w:t xml:space="preserve">（加盖公章）</w:t>
      </w:r>
      <w:r>
        <w:rPr>
          <w:rFonts w:hint="eastAsia" w:cs="Times New Roman"/>
          <w:color w:val="000000"/>
          <w:highlight w:val="none"/>
          <w:u w:val="single"/>
        </w:rPr>
        <w:t xml:space="preserve">             </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单位地址：</w:t>
      </w:r>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pStyle w:val="1112"/>
        <w:ind w:firstLine="480"/>
        <w:jc w:val="both"/>
        <w:spacing w:before="0" w:beforeAutospacing="0" w:after="0" w:afterAutospacing="0" w:line="480" w:lineRule="exact"/>
        <w:widowControl w:val="off"/>
        <w:tabs>
          <w:tab w:val="left" w:pos="360" w:leader="none"/>
        </w:tabs>
        <w:rPr>
          <w:rFonts w:hint="eastAsia"/>
          <w:highlight w:val="none"/>
        </w:rPr>
      </w:pPr>
      <w:r>
        <w:rPr>
          <w:rFonts w:cs="Times New Roman"/>
          <w:color w:val="000000"/>
          <w:highlight w:val="none"/>
        </w:rPr>
        <w:t xml:space="preserve">日期：</w:t>
      </w:r>
      <w:bookmarkStart w:id="142" w:name="_Hlt26955070"/>
      <w:r/>
      <w:bookmarkStart w:id="143" w:name="_格式3__银行出具的资信证明"/>
      <w:r/>
      <w:bookmarkStart w:id="144" w:name="_Hlt26671380"/>
      <w:r>
        <w:rPr>
          <w:rFonts w:cs="Times New Roman"/>
          <w:color w:val="000000"/>
          <w:highlight w:val="none"/>
          <w:u w:val="single"/>
        </w:rPr>
        <w:t xml:space="preserve">        </w:t>
      </w:r>
      <w:r>
        <w:rPr>
          <w:rFonts w:hint="eastAsia" w:cs="Times New Roman"/>
          <w:color w:val="000000"/>
          <w:highlight w:val="none"/>
          <w:u w:val="single"/>
        </w:rPr>
        <w:t xml:space="preserve"> </w:t>
      </w:r>
      <w:r>
        <w:rPr>
          <w:rFonts w:cs="Times New Roman"/>
          <w:color w:val="000000"/>
          <w:highlight w:val="none"/>
          <w:u w:val="single"/>
        </w:rPr>
        <w:t xml:space="preserve">            </w:t>
      </w:r>
      <w:r/>
    </w:p>
    <w:p>
      <w:pPr>
        <w:spacing w:line="480" w:lineRule="exact"/>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12"/>
        <w:ind w:firstLine="3390"/>
        <w:jc w:val="both"/>
        <w:keepLines/>
        <w:keepNext/>
        <w:spacing w:before="260" w:beforeAutospacing="0" w:after="260" w:afterAutospacing="0" w:line="415" w:lineRule="auto"/>
        <w:rPr>
          <w:rFonts w:hint="eastAsia"/>
          <w:highlight w:val="none"/>
        </w:rPr>
      </w:pPr>
      <w:r>
        <w:rPr>
          <w:rFonts w:hint="eastAsia" w:ascii="黑体" w:eastAsia="黑体" w:cs="黑体"/>
          <w:b/>
          <w:i/>
          <w:color w:val="000000"/>
          <w:sz w:val="32"/>
          <w:szCs w:val="32"/>
          <w:highlight w:val="none"/>
          <w:u w:val="single"/>
        </w:rPr>
        <w:t xml:space="preserve">八、磋商响应函</w:t>
      </w:r>
      <w:r/>
    </w:p>
    <w:p>
      <w:pPr>
        <w:pStyle w:val="1112"/>
        <w:spacing w:before="0" w:beforeAutospacing="0" w:after="0" w:afterAutospacing="0" w:line="360" w:lineRule="exact"/>
        <w:rPr>
          <w:rFonts w:hint="eastAsia"/>
          <w:highlight w:val="none"/>
        </w:rPr>
      </w:pPr>
      <w:r>
        <w:rPr>
          <w:rFonts w:hint="eastAsia"/>
          <w:color w:val="000000"/>
          <w:highlight w:val="none"/>
        </w:rPr>
        <w:t xml:space="preserve">致：</w:t>
      </w:r>
      <w:r>
        <w:rPr>
          <w:rFonts w:hint="eastAsia"/>
          <w:color w:val="000000"/>
          <w:highlight w:val="none"/>
          <w:u w:val="single"/>
        </w:rPr>
        <w:t xml:space="preserve">                    </w:t>
      </w:r>
      <w:r>
        <w:rPr>
          <w:highlight w:val="none"/>
          <w:u w:val="single"/>
        </w:rPr>
        <w:t xml:space="preserve"> </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根据贵方的JSZC-3209</w:t>
      </w:r>
      <w:r>
        <w:rPr>
          <w:rFonts w:hint="eastAsia"/>
          <w:b/>
          <w:color w:val="000000"/>
          <w:sz w:val="36"/>
          <w:szCs w:val="36"/>
          <w:highlight w:val="none"/>
          <w:u w:val="single"/>
        </w:rPr>
        <w:t xml:space="preserve">    </w:t>
      </w:r>
      <w:r>
        <w:rPr>
          <w:rFonts w:hint="eastAsia"/>
          <w:color w:val="000000"/>
          <w:highlight w:val="none"/>
        </w:rPr>
        <w:t xml:space="preserve">号磋商文件，正式授权下述签字人______(姓名（打字或手写）)代表我方______________（供应商的名称），全权处理本次项目磋商的有关事宜。</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据此函，__________签字人（打字或手写）兹宣布同意如下：</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1.按磋商文件规定的各项要求，向买方提供所需服务（包含与服务相关的货物）。</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2.我们完全理解贵方不一定将合同授予最低报价的供应商。</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3.我们已详细审核全部磋商文件及其有效补充文件，我们知道必须放弃提出含糊不清或误解问题的权利。</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4.我们同意从规定的开标日期起遵循本响应文件，并在规定的磋商有效期期满之前均具有约束力。</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5.同意向贵方提供贵方可能另外要求的与磋商有关的任何证据或资料，并保证我方已提供和将要提供的文件是真实的、准确的。</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6.一旦我方成交,我方将根据磋商文件的规定，严格履行合同的责任和义务,并保证在磋商文件规定的时间完成项目，交付买方验收、使用。</w:t>
      </w:r>
      <w:r/>
    </w:p>
    <w:p>
      <w:pPr>
        <w:pStyle w:val="1112"/>
        <w:ind w:firstLine="480"/>
        <w:spacing w:before="0" w:beforeAutospacing="0" w:after="0" w:afterAutospacing="0" w:line="360" w:lineRule="exact"/>
        <w:rPr>
          <w:rFonts w:hint="eastAsia"/>
          <w:highlight w:val="none"/>
        </w:rPr>
      </w:pPr>
      <w:r>
        <w:rPr>
          <w:rFonts w:hint="eastAsia"/>
          <w:color w:val="000000"/>
          <w:highlight w:val="none"/>
        </w:rPr>
        <w:t xml:space="preserve">7.我方与本磋商有关的正式通讯地址为：</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地    址：</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邮    编：</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电    话：</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传    真：</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供应商开户行：</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账    号：</w:t>
      </w:r>
      <w:r/>
    </w:p>
    <w:p>
      <w:pPr>
        <w:pStyle w:val="1112"/>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ind w:firstLine="240"/>
        <w:jc w:val="center"/>
        <w:spacing w:beforeAutospacing="0" w:afterAutospacing="0" w:line="0" w:lineRule="atLeast"/>
        <w:rPr>
          <w:rFonts w:hint="eastAsia"/>
          <w:highlight w:val="none"/>
        </w:rPr>
      </w:pPr>
      <w:r>
        <w:rPr>
          <w:rFonts w:hint="eastAsia"/>
          <w:highlight w:val="none"/>
        </w:rPr>
      </w:r>
      <w:r/>
    </w:p>
    <w:p>
      <w:pPr>
        <w:pStyle w:val="1112"/>
        <w:jc w:val="center"/>
        <w:keepLines/>
        <w:keepNext/>
        <w:spacing w:before="260" w:after="260" w:line="415" w:lineRule="auto"/>
        <w:rPr>
          <w:rFonts w:hint="eastAsia" w:ascii="黑体" w:hAnsi="宋体" w:eastAsia="黑体" w:cs="黑体"/>
          <w:b/>
          <w:bCs w:val="0"/>
          <w:i/>
          <w:color w:val="000000"/>
          <w:sz w:val="32"/>
          <w:szCs w:val="32"/>
          <w:highlight w:val="none"/>
          <w:u w:val="single"/>
        </w:rPr>
      </w:pPr>
      <w:r>
        <w:rPr>
          <w:rFonts w:hint="eastAsia" w:ascii="黑体" w:eastAsia="黑体" w:cs="黑体"/>
          <w:b/>
          <w:color w:val="000000"/>
          <w:sz w:val="32"/>
          <w:szCs w:val="32"/>
          <w:highlight w:val="none"/>
        </w:rPr>
        <w:br w:type="page" w:clear="all"/>
      </w:r>
      <w:r>
        <w:rPr>
          <w:rFonts w:hint="eastAsia" w:ascii="黑体" w:hAnsi="宋体" w:eastAsia="黑体" w:cs="黑体"/>
          <w:b/>
          <w:bCs w:val="0"/>
          <w:i/>
          <w:color w:val="000000"/>
          <w:sz w:val="32"/>
          <w:szCs w:val="32"/>
          <w:highlight w:val="none"/>
          <w:u w:val="single"/>
        </w:rPr>
        <w:t xml:space="preserve">九、中小企业声明函（工程）</w:t>
      </w:r>
      <w:r/>
    </w:p>
    <w:p>
      <w:p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郑重声明，根据《政府采购促进中小企业发展管理办法》（财库﹝2020﹞46 号）的规定，本公司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参加</w:t>
      </w:r>
      <w:r>
        <w:rPr>
          <w:rFonts w:hint="eastAsia" w:ascii="宋体" w:hAnsi="宋体" w:cs="宋体"/>
          <w:color w:val="000000" w:themeColor="text1"/>
          <w:sz w:val="24"/>
          <w:highlight w:val="none"/>
          <w:u w:val="single"/>
          <w:lang w:eastAsia="zh-CN"/>
          <w14:textFill>
            <w14:solidFill>
              <w14:schemeClr w14:val="tx1"/>
            </w14:solidFill>
          </w14:textFill>
        </w:rPr>
        <w:t xml:space="preserve">盐城市亭湖区便仓镇人民政府</w:t>
      </w:r>
      <w:r>
        <w:rPr>
          <w:rFonts w:hint="eastAsia" w:ascii="宋体" w:hAnsi="宋体" w:cs="宋体"/>
          <w:color w:val="000000" w:themeColor="text1"/>
          <w:sz w:val="24"/>
          <w:highlight w:val="none"/>
          <w14:textFill>
            <w14:solidFill>
              <w14:schemeClr w14:val="tx1"/>
            </w14:solidFill>
          </w14:textFill>
        </w:rPr>
        <w:t xml:space="preserve">的采购编号为的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i/>
          <w:iCs/>
          <w:color w:val="000000" w:themeColor="text1"/>
          <w:sz w:val="24"/>
          <w:highlight w:val="none"/>
          <w:u w:val="single"/>
          <w14:textFill>
            <w14:solidFill>
              <w14:schemeClr w14:val="tx1"/>
            </w14:solidFill>
          </w14:textFill>
        </w:rPr>
        <w:t xml:space="preserve">（</w:t>
      </w:r>
      <w:r>
        <w:rPr>
          <w:rFonts w:hint="eastAsia" w:ascii="宋体" w:hAnsi="宋体" w:cs="宋体"/>
          <w:i/>
          <w:iCs/>
          <w:color w:val="000000" w:themeColor="text1"/>
          <w:sz w:val="24"/>
          <w:highlight w:val="none"/>
          <w:u w:val="single"/>
          <w:lang w:eastAsia="zh-CN"/>
          <w14:textFill>
            <w14:solidFill>
              <w14:schemeClr w14:val="tx1"/>
            </w14:solidFill>
          </w14:textFill>
        </w:rPr>
        <w:t xml:space="preserve">磋商文件</w:t>
      </w:r>
      <w:r>
        <w:rPr>
          <w:rFonts w:hint="eastAsia" w:ascii="宋体" w:hAnsi="宋体" w:cs="宋体"/>
          <w:i/>
          <w:iCs/>
          <w:color w:val="000000" w:themeColor="text1"/>
          <w:sz w:val="24"/>
          <w:highlight w:val="none"/>
          <w:u w:val="single"/>
          <w14:textFill>
            <w14:solidFill>
              <w14:schemeClr w14:val="tx1"/>
            </w14:solidFill>
          </w14:textFill>
        </w:rPr>
        <w:t xml:space="preserve">中明确的所属行业）</w:t>
      </w:r>
      <w:r>
        <w:rPr>
          <w:rFonts w:hint="eastAsia" w:ascii="宋体" w:hAnsi="宋体" w:cs="宋体"/>
          <w:color w:val="000000" w:themeColor="text1"/>
          <w:sz w:val="24"/>
          <w:highlight w:val="none"/>
          <w14:textFill>
            <w14:solidFill>
              <w14:schemeClr w14:val="tx1"/>
            </w14:solidFill>
          </w14:textFill>
        </w:rPr>
        <w:t xml:space="preserve">行业；承接企业为</w:t>
      </w:r>
      <w:r>
        <w:rPr>
          <w:rFonts w:hint="eastAsia" w:ascii="宋体" w:hAnsi="宋体" w:cs="宋体"/>
          <w:i/>
          <w:iCs/>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10"/>
        </w:num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i/>
          <w:iCs/>
          <w:color w:val="000000" w:themeColor="text1"/>
          <w:sz w:val="24"/>
          <w:highlight w:val="none"/>
          <w:u w:val="single"/>
          <w14:textFill>
            <w14:solidFill>
              <w14:schemeClr w14:val="tx1"/>
            </w14:solidFill>
          </w14:textFill>
        </w:rPr>
        <w:t xml:space="preserve">（</w:t>
      </w:r>
      <w:r>
        <w:rPr>
          <w:rFonts w:hint="eastAsia" w:ascii="宋体" w:hAnsi="宋体" w:cs="宋体"/>
          <w:i/>
          <w:iCs/>
          <w:color w:val="000000" w:themeColor="text1"/>
          <w:sz w:val="24"/>
          <w:highlight w:val="none"/>
          <w:u w:val="single"/>
          <w:lang w:eastAsia="zh-CN"/>
          <w14:textFill>
            <w14:solidFill>
              <w14:schemeClr w14:val="tx1"/>
            </w14:solidFill>
          </w14:textFill>
        </w:rPr>
        <w:t xml:space="preserve">磋商文件</w:t>
      </w:r>
      <w:r>
        <w:rPr>
          <w:rFonts w:hint="eastAsia" w:ascii="宋体" w:hAnsi="宋体" w:cs="宋体"/>
          <w:i/>
          <w:iCs/>
          <w:color w:val="000000" w:themeColor="text1"/>
          <w:sz w:val="24"/>
          <w:highlight w:val="none"/>
          <w:u w:val="single"/>
          <w14:textFill>
            <w14:solidFill>
              <w14:schemeClr w14:val="tx1"/>
            </w14:solidFill>
          </w14:textFill>
        </w:rPr>
        <w:t xml:space="preserve">中明确的所属行业）</w:t>
      </w:r>
      <w:r>
        <w:rPr>
          <w:rFonts w:hint="eastAsia" w:ascii="宋体" w:hAnsi="宋体" w:cs="宋体"/>
          <w:color w:val="000000" w:themeColor="text1"/>
          <w:sz w:val="24"/>
          <w:highlight w:val="none"/>
          <w14:textFill>
            <w14:solidFill>
              <w14:schemeClr w14:val="tx1"/>
            </w14:solidFill>
          </w14:textFill>
        </w:rPr>
        <w:t xml:space="preserve">行业；承接企业为</w:t>
      </w:r>
      <w:r>
        <w:rPr>
          <w:rFonts w:hint="eastAsia" w:ascii="宋体" w:hAnsi="宋体" w:cs="宋体"/>
          <w:i/>
          <w:iCs/>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080"/>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加盖CA电子公章</w:t>
      </w:r>
      <w:r>
        <w:rPr>
          <w:rFonts w:hint="eastAsia" w:ascii="宋体" w:hAnsi="宋体" w:cs="宋体"/>
          <w:color w:val="000000" w:themeColor="text1"/>
          <w:sz w:val="24"/>
          <w:highlight w:val="none"/>
          <w14:textFill>
            <w14:solidFill>
              <w14:schemeClr w14:val="tx1"/>
            </w14:solidFill>
          </w14:textFill>
        </w:rPr>
        <w:t xml:space="preserve">）：</w:t>
      </w:r>
      <w:r/>
    </w:p>
    <w:p>
      <w:pPr>
        <w:ind w:firstLine="4080"/>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w:t>
      </w:r>
      <w:r/>
    </w:p>
    <w:p>
      <w:pPr>
        <w:ind w:firstLine="480"/>
        <w:spacing w:line="0" w:lineRule="atLeast"/>
        <w:rPr>
          <w:rFonts w:ascii="Calibri" w:hAnsi="Calibri"/>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jc w:val="center"/>
        <w:spacing w:line="56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112"/>
        <w:jc w:val="left"/>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both"/>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both"/>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both"/>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both"/>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both"/>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keepLines w:val="0"/>
        <w:keepNext w:val="0"/>
        <w:pageBreakBefore w:val="0"/>
        <w:spacing w:before="0" w:beforeAutospacing="0" w:after="0" w:afterAutospacing="0"/>
        <w:widowControl/>
        <w:rPr>
          <w:rFonts w:hint="eastAsia"/>
          <w:highlight w:val="none"/>
        </w:rPr>
      </w:pPr>
      <w:r>
        <w:rPr>
          <w:rFonts w:hint="eastAsia" w:ascii="黑体" w:eastAsia="黑体" w:cs="黑体"/>
          <w:b/>
          <w:color w:val="000000"/>
          <w:sz w:val="32"/>
          <w:szCs w:val="32"/>
          <w:highlight w:val="none"/>
        </w:rPr>
        <w:t xml:space="preserve">十、残疾人福利性单位声明函</w:t>
      </w:r>
      <w:r/>
    </w:p>
    <w:p>
      <w:pPr>
        <w:pStyle w:val="1112"/>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highlight w:val="none"/>
          <w:u w:val="single"/>
        </w:rPr>
        <w:t xml:space="preserve">（采购人名称）</w:t>
      </w:r>
      <w:r>
        <w:rPr>
          <w:rFonts w:hint="eastAsia"/>
          <w:color w:val="000000"/>
          <w:highlight w:val="none"/>
        </w:rPr>
        <w:t xml:space="preserve">单位的采购文件编号为______的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p>
    <w:p>
      <w:pPr>
        <w:pStyle w:val="1112"/>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本单位对上述声明的真实性负责。如有虚假，将依法承担相应责任。</w:t>
      </w:r>
      <w:r/>
    </w:p>
    <w:p>
      <w:pPr>
        <w:pStyle w:val="1112"/>
        <w:ind w:firstLine="480"/>
        <w:jc w:val="both"/>
        <w:spacing w:before="0" w:beforeAutospacing="0" w:after="0" w:afterAutospacing="0" w:line="440" w:lineRule="exact"/>
        <w:widowControl w:val="off"/>
        <w:rPr>
          <w:rFonts w:hint="eastAsia"/>
          <w:highlight w:val="none"/>
        </w:rPr>
      </w:pPr>
      <w:r>
        <w:rPr>
          <w:rFonts w:hint="eastAsia"/>
          <w:highlight w:val="none"/>
        </w:rPr>
      </w:r>
      <w:r/>
    </w:p>
    <w:p>
      <w:pPr>
        <w:pStyle w:val="1112"/>
        <w:ind w:firstLine="480"/>
        <w:jc w:val="both"/>
        <w:spacing w:before="0" w:beforeAutospacing="0" w:after="0" w:afterAutospacing="0" w:line="440" w:lineRule="exact"/>
        <w:widowControl w:val="off"/>
        <w:rPr>
          <w:rFonts w:hint="eastAsia"/>
          <w:color w:val="000000"/>
          <w:highlight w:val="none"/>
        </w:rPr>
      </w:pPr>
      <w:r>
        <w:rPr>
          <w:rFonts w:hint="eastAsia"/>
          <w:color w:val="000000"/>
          <w:highlight w:val="none"/>
        </w:rPr>
        <w:t xml:space="preserve">备注：1、供应商如不提供此声明函，价格将不做相应扣除（如项目全面面向中小企业，则资格审查不通过）。</w:t>
      </w:r>
      <w:r/>
    </w:p>
    <w:p>
      <w:pPr>
        <w:pStyle w:val="1112"/>
        <w:ind w:firstLine="480"/>
        <w:jc w:val="both"/>
        <w:spacing w:before="0" w:beforeAutospacing="0" w:after="0" w:afterAutospacing="0" w:line="440" w:lineRule="exact"/>
        <w:widowControl w:val="off"/>
        <w:rPr>
          <w:rFonts w:hint="eastAsia"/>
          <w:color w:val="000000"/>
          <w:highlight w:val="none"/>
        </w:rPr>
      </w:pPr>
      <w:r>
        <w:rPr>
          <w:rFonts w:hint="eastAsia"/>
          <w:color w:val="000000"/>
          <w:highlight w:val="none"/>
        </w:rPr>
        <w:t xml:space="preserve">2、成交供应商为残疾人福利单位的，此声明函将随成交结果同时公告，接受社会监督。</w:t>
      </w:r>
      <w:r/>
    </w:p>
    <w:p>
      <w:pPr>
        <w:pStyle w:val="1112"/>
        <w:ind w:firstLine="480"/>
        <w:jc w:val="both"/>
        <w:spacing w:before="0" w:beforeAutospacing="0" w:after="0" w:afterAutospacing="0" w:line="440" w:lineRule="exact"/>
        <w:widowControl w:val="off"/>
        <w:rPr>
          <w:rFonts w:hint="eastAsia"/>
          <w:highlight w:val="none"/>
        </w:rPr>
      </w:pPr>
      <w:r>
        <w:rPr>
          <w:rFonts w:hint="eastAsia"/>
          <w:color w:val="000000"/>
          <w:highlight w:val="none"/>
        </w:rPr>
        <w:t xml:space="preserve">3、如供应商不是残疾人福利性单位，不需要提供此表。</w:t>
      </w:r>
      <w:r/>
    </w:p>
    <w:p>
      <w:pPr>
        <w:pStyle w:val="1112"/>
        <w:jc w:val="both"/>
        <w:spacing w:before="0" w:beforeAutospacing="0" w:after="0" w:afterAutospacing="0" w:line="440" w:lineRule="exact"/>
        <w:widowControl w:val="off"/>
        <w:rPr>
          <w:rFonts w:hint="eastAsia"/>
          <w:highlight w:val="none"/>
        </w:rPr>
      </w:pPr>
      <w:r>
        <w:rPr>
          <w:rFonts w:hint="eastAsia"/>
          <w:highlight w:val="none"/>
        </w:rPr>
      </w:r>
      <w:r/>
    </w:p>
    <w:p>
      <w:pPr>
        <w:pStyle w:val="1112"/>
        <w:ind w:right="1560" w:firstLine="4560"/>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供应商全称（加盖公章）：</w:t>
      </w:r>
      <w:r/>
    </w:p>
    <w:p>
      <w:pPr>
        <w:pStyle w:val="1112"/>
        <w:ind w:right="1560" w:firstLine="480"/>
        <w:jc w:val="center"/>
        <w:spacing w:before="0" w:beforeAutospacing="0" w:after="0" w:afterAutospacing="0" w:line="440" w:lineRule="exact"/>
        <w:widowControl w:val="off"/>
        <w:tabs>
          <w:tab w:val="left" w:pos="4864" w:leader="none"/>
        </w:tabs>
        <w:rPr>
          <w:rFonts w:hint="eastAsia"/>
          <w:highlight w:val="none"/>
        </w:rPr>
      </w:pPr>
      <w:r>
        <w:rPr>
          <w:rFonts w:hint="eastAsia"/>
          <w:color w:val="000000"/>
          <w:highlight w:val="none"/>
        </w:rPr>
        <w:t xml:space="preserve">        日  期：</w:t>
      </w:r>
      <w:r/>
    </w:p>
    <w:p>
      <w:pPr>
        <w:pStyle w:val="1112"/>
        <w:jc w:val="center"/>
        <w:spacing w:before="0" w:beforeAutospacing="0" w:after="0" w:afterAutospacing="0" w:line="440" w:lineRule="exac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highlight w:val="none"/>
        </w:rPr>
      </w:pPr>
      <w:r>
        <w:rPr>
          <w:highlight w:val="none"/>
        </w:rPr>
        <w:t xml:space="preserve"> </w:t>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line="0" w:lineRule="atLeast"/>
        <w:widowControl w:val="off"/>
        <w:rPr>
          <w:rFonts w:hint="eastAsia" w:ascii="黑体" w:eastAsia="黑体" w:cs="黑体"/>
          <w:b/>
          <w:color w:val="ff0000"/>
          <w:sz w:val="32"/>
          <w:szCs w:val="32"/>
          <w:highlight w:val="none"/>
        </w:rPr>
      </w:pPr>
      <w:r>
        <w:rPr>
          <w:rFonts w:hint="eastAsia" w:ascii="黑体" w:eastAsia="黑体" w:cs="黑体"/>
          <w:b/>
          <w:color w:val="000000"/>
          <w:sz w:val="32"/>
          <w:szCs w:val="32"/>
          <w:highlight w:val="none"/>
        </w:rPr>
        <w:br w:type="page" w:clear="all"/>
      </w:r>
      <w:r/>
    </w:p>
    <w:p>
      <w:pPr>
        <w:pStyle w:val="1112"/>
        <w:jc w:val="center"/>
        <w:spacing w:beforeAutospacing="0" w:afterAutospacing="0"/>
        <w:rPr>
          <w:rFonts w:hint="eastAsia" w:eastAsia="宋体" w:cs="宋体"/>
          <w:highlight w:val="none"/>
        </w:rPr>
      </w:pPr>
      <w:r>
        <w:rPr>
          <w:rFonts w:hint="eastAsia" w:eastAsia="宋体" w:cs="宋体"/>
          <w:b/>
          <w:sz w:val="32"/>
          <w:szCs w:val="32"/>
          <w:highlight w:val="none"/>
        </w:rPr>
        <w:t xml:space="preserve">十</w:t>
      </w:r>
      <w:r>
        <w:rPr>
          <w:rFonts w:hint="eastAsia" w:cs="宋体"/>
          <w:b/>
          <w:sz w:val="32"/>
          <w:szCs w:val="32"/>
          <w:highlight w:val="none"/>
          <w:lang w:val="en-US" w:eastAsia="zh-CN"/>
        </w:rPr>
        <w:t xml:space="preserve">一</w:t>
      </w:r>
      <w:r>
        <w:rPr>
          <w:rFonts w:hint="eastAsia" w:eastAsia="宋体" w:cs="宋体"/>
          <w:b/>
          <w:sz w:val="32"/>
          <w:szCs w:val="32"/>
          <w:highlight w:val="none"/>
        </w:rPr>
        <w:t xml:space="preserve">、已标价工程量清单</w:t>
      </w:r>
      <w:r/>
    </w:p>
    <w:p>
      <w:pPr>
        <w:pStyle w:val="1091"/>
        <w:ind w:firstLine="551"/>
        <w:rPr>
          <w:rFonts w:hint="eastAsia" w:ascii="宋体" w:eastAsia="宋体" w:cs="宋体"/>
          <w:b/>
          <w:color w:val="auto"/>
          <w:sz w:val="28"/>
          <w:szCs w:val="28"/>
          <w:highlight w:val="none"/>
        </w:rPr>
      </w:pPr>
      <w:r>
        <w:rPr>
          <w:rFonts w:hint="eastAsia" w:ascii="宋体" w:eastAsia="宋体" w:cs="宋体"/>
          <w:b/>
          <w:color w:val="auto"/>
          <w:sz w:val="28"/>
          <w:szCs w:val="28"/>
          <w:highlight w:val="none"/>
        </w:rPr>
      </w:r>
      <w:r/>
    </w:p>
    <w:p>
      <w:pPr>
        <w:pStyle w:val="1091"/>
        <w:ind w:firstLine="551"/>
        <w:rPr>
          <w:rFonts w:hint="eastAsia" w:ascii="宋体" w:eastAsia="宋体" w:cs="宋体"/>
          <w:color w:val="auto"/>
          <w:highlight w:val="none"/>
        </w:rPr>
      </w:pPr>
      <w:r>
        <w:rPr>
          <w:rFonts w:hint="eastAsia" w:ascii="宋体" w:eastAsia="宋体" w:cs="宋体"/>
          <w:b/>
          <w:color w:val="auto"/>
          <w:sz w:val="28"/>
          <w:szCs w:val="28"/>
          <w:highlight w:val="none"/>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ind w:firstLine="420"/>
        <w:spacing w:line="320" w:lineRule="exact"/>
        <w:rPr>
          <w:rFonts w:ascii="黑体" w:eastAsia="黑体" w:cs="黑体"/>
          <w:b/>
          <w:color w:val="ff0000"/>
          <w:sz w:val="32"/>
          <w:szCs w:val="32"/>
          <w:highlight w:val="none"/>
        </w:rPr>
      </w:pPr>
      <w:r>
        <w:rPr>
          <w:rFonts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both"/>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1112"/>
        <w:jc w:val="center"/>
        <w:spacing w:before="0" w:beforeAutospacing="0" w:after="0" w:afterAutospacing="0"/>
        <w:widowControl w:val="off"/>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1112"/>
        <w:jc w:val="center"/>
        <w:spacing w:before="0" w:beforeAutospacing="0" w:after="0" w:afterAutospacing="0"/>
        <w:widowControl w:val="off"/>
        <w:rPr>
          <w:rFonts w:hint="eastAsia"/>
          <w:highlight w:val="none"/>
        </w:rPr>
      </w:pP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val="en-US" w:eastAsia="zh-CN"/>
        </w:rPr>
        <w:t xml:space="preserve">二</w:t>
      </w:r>
      <w:r>
        <w:rPr>
          <w:rFonts w:hint="eastAsia" w:ascii="黑体" w:eastAsia="黑体" w:cs="黑体"/>
          <w:b/>
          <w:color w:val="000000"/>
          <w:sz w:val="32"/>
          <w:szCs w:val="32"/>
          <w:highlight w:val="none"/>
        </w:rPr>
        <w:t xml:space="preserve">、技术要求响应及偏离表</w:t>
      </w:r>
      <w:r/>
    </w:p>
    <w:tbl>
      <w:tblPr>
        <w:tblStyle w:val="10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1112"/>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bl>
    <w:p>
      <w:pPr>
        <w:pStyle w:val="1112"/>
        <w:jc w:val="both"/>
        <w:spacing w:before="0" w:beforeAutospacing="0" w:after="0" w:afterAutospacing="0"/>
        <w:widowControl w:val="off"/>
        <w:rPr>
          <w:rFonts w:hint="eastAsia"/>
          <w:highlight w:val="none"/>
        </w:rPr>
      </w:pPr>
      <w:r>
        <w:rPr>
          <w:rFonts w:hint="eastAsia"/>
          <w:color w:val="000000"/>
          <w:highlight w:val="none"/>
        </w:rPr>
        <w:t xml:space="preserve">注： 行数不够，可自行添加。</w:t>
      </w:r>
      <w:r/>
    </w:p>
    <w:p>
      <w:pPr>
        <w:jc w:val="center"/>
        <w:rPr>
          <w:highlight w:val="none"/>
        </w:rPr>
      </w:pPr>
      <w:r/>
      <w:bookmarkStart w:id="145" w:name="_Hlt26955054"/>
      <w:r>
        <w:rPr>
          <w:rFonts w:hint="eastAsia"/>
          <w:highlight w:val="none"/>
        </w:rPr>
        <w:br w:type="page" w:clear="all"/>
      </w:r>
      <w:r>
        <w:rPr>
          <w:rFonts w:hint="eastAsia" w:ascii="黑体" w:eastAsia="黑体" w:cs="黑体"/>
          <w:b/>
          <w:color w:val="000000"/>
          <w:sz w:val="32"/>
          <w:szCs w:val="32"/>
          <w:highlight w:val="none"/>
        </w:rPr>
        <w:t xml:space="preserve">十</w:t>
      </w:r>
      <w:r>
        <w:rPr>
          <w:rFonts w:hint="eastAsia" w:ascii="黑体" w:eastAsia="黑体" w:cs="黑体"/>
          <w:b/>
          <w:color w:val="000000"/>
          <w:sz w:val="32"/>
          <w:szCs w:val="32"/>
          <w:highlight w:val="none"/>
          <w:lang w:eastAsia="zh-CN"/>
        </w:rPr>
        <w:t xml:space="preserve">三</w:t>
      </w:r>
      <w:r>
        <w:rPr>
          <w:rFonts w:hint="eastAsia" w:ascii="黑体" w:eastAsia="黑体" w:cs="黑体"/>
          <w:b/>
          <w:color w:val="000000"/>
          <w:sz w:val="32"/>
          <w:szCs w:val="32"/>
          <w:highlight w:val="none"/>
        </w:rPr>
        <w:t xml:space="preserve">、商务要求响应及偏离表</w:t>
      </w:r>
      <w:r/>
    </w:p>
    <w:tbl>
      <w:tblPr>
        <w:tblStyle w:val="10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证明</w:t>
            </w:r>
            <w:r/>
          </w:p>
          <w:p>
            <w:pPr>
              <w:pStyle w:val="1112"/>
              <w:jc w:val="center"/>
              <w:spacing w:before="0" w:beforeAutospacing="0" w:after="0" w:afterAutospacing="0"/>
              <w:widowControl w:val="off"/>
              <w:rPr>
                <w:rFonts w:hint="eastAsia"/>
                <w:highlight w:val="none"/>
              </w:rPr>
            </w:pPr>
            <w:r>
              <w:rPr>
                <w:rFonts w:hint="eastAsia"/>
                <w:color w:val="000000"/>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112"/>
              <w:jc w:val="center"/>
              <w:spacing w:before="0" w:beforeAutospacing="0" w:after="0" w:afterAutospacing="0"/>
              <w:widowControl w:val="off"/>
              <w:rPr>
                <w:rFonts w:hint="eastAsia"/>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12"/>
              <w:jc w:val="center"/>
              <w:spacing w:before="0" w:beforeAutospacing="0" w:after="0" w:afterAutospacing="0"/>
              <w:widowControl w:val="off"/>
              <w:rPr>
                <w:rFonts w:hint="eastAsia"/>
                <w:highlight w:val="none"/>
              </w:rPr>
            </w:pPr>
            <w:r>
              <w:rPr>
                <w:highlight w:val="none"/>
              </w:rPr>
              <w:t xml:space="preserve"> </w:t>
            </w:r>
            <w:r/>
          </w:p>
        </w:tc>
      </w:tr>
    </w:tbl>
    <w:p>
      <w:pPr>
        <w:pStyle w:val="1112"/>
        <w:jc w:val="both"/>
        <w:spacing w:before="0" w:beforeAutospacing="0" w:after="0" w:afterAutospacing="0"/>
        <w:widowControl w:val="off"/>
        <w:rPr>
          <w:rFonts w:hint="eastAsia"/>
          <w:highlight w:val="none"/>
        </w:rPr>
      </w:pPr>
      <w:r>
        <w:rPr>
          <w:rFonts w:hint="eastAsia"/>
          <w:color w:val="000000"/>
          <w:highlight w:val="none"/>
        </w:rPr>
        <w:t xml:space="preserve">注：行数不够，可自行添加。</w:t>
      </w:r>
      <w:r/>
    </w:p>
    <w:p>
      <w:pPr>
        <w:pStyle w:val="1112"/>
        <w:jc w:val="both"/>
        <w:spacing w:before="0" w:beforeAutospacing="0" w:after="0" w:afterAutospacing="0" w:line="480" w:lineRule="auto"/>
        <w:widowControl w:val="off"/>
        <w:rPr>
          <w:rFonts w:hint="eastAsia"/>
          <w:highlight w:val="none"/>
        </w:rPr>
      </w:pPr>
      <w:r>
        <w:rPr>
          <w:highlight w:val="none"/>
        </w:rPr>
        <w:t xml:space="preserve"> </w:t>
      </w:r>
      <w:r/>
    </w:p>
    <w:p>
      <w:pPr>
        <w:pStyle w:val="1112"/>
        <w:jc w:val="both"/>
        <w:spacing w:before="0" w:beforeAutospacing="0" w:after="0" w:afterAutospacing="0" w:line="480" w:lineRule="auto"/>
        <w:widowControl w:val="off"/>
        <w:rPr>
          <w:rFonts w:hint="eastAsia"/>
          <w:highlight w:val="none"/>
        </w:rPr>
      </w:pPr>
      <w:r>
        <w:rPr>
          <w:highlight w:val="none"/>
        </w:rPr>
        <w:t xml:space="preserve"> </w:t>
      </w:r>
      <w:r/>
    </w:p>
    <w:p>
      <w:pPr>
        <w:pStyle w:val="1112"/>
        <w:jc w:val="center"/>
        <w:spacing w:before="0" w:beforeAutospacing="0" w:after="0" w:afterAutospacing="0"/>
        <w:widowControl w:val="off"/>
        <w:rPr>
          <w:rFonts w:hint="eastAsia"/>
          <w:highlight w:val="none"/>
        </w:rPr>
      </w:pPr>
      <w:r/>
      <w:bookmarkStart w:id="146" w:name="_Hlt26609389"/>
      <w:r/>
      <w:bookmarkStart w:id="147" w:name="_Hlt26671374"/>
      <w:r/>
      <w:bookmarkStart w:id="148" w:name="_Hlt26955066"/>
      <w:r/>
      <w:bookmarkStart w:id="149" w:name="_Toc462564146"/>
      <w:r/>
      <w:bookmarkStart w:id="150" w:name="_格式2__法定代表人授权书"/>
      <w:r>
        <w:rPr>
          <w:highlight w:val="none"/>
        </w:rPr>
        <w:t xml:space="preserve"> </w:t>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center"/>
        <w:spacing w:before="0" w:beforeAutospacing="0" w:after="0" w:afterAutospacing="0"/>
        <w:widowControl w:val="off"/>
        <w:rPr>
          <w:highlight w:val="none"/>
        </w:rPr>
      </w:pPr>
      <w:r>
        <w:rPr>
          <w:highlight w:val="none"/>
        </w:rPr>
      </w:r>
      <w:r/>
    </w:p>
    <w:p>
      <w:pPr>
        <w:pStyle w:val="1112"/>
        <w:jc w:val="center"/>
        <w:spacing w:before="0" w:beforeAutospacing="0" w:after="0" w:afterAutospacing="0"/>
        <w:widowControl w:val="off"/>
        <w:rPr>
          <w:highlight w:val="none"/>
        </w:rPr>
      </w:pPr>
      <w:r>
        <w:rPr>
          <w:highlight w:val="none"/>
        </w:rPr>
      </w:r>
      <w:r/>
    </w:p>
    <w:p>
      <w:pPr>
        <w:pStyle w:val="1112"/>
        <w:jc w:val="center"/>
        <w:spacing w:before="0" w:beforeAutospacing="0" w:after="0" w:afterAutospacing="0"/>
        <w:widowControl w:val="off"/>
        <w:rPr>
          <w:highlight w:val="none"/>
        </w:rPr>
      </w:pPr>
      <w:r>
        <w:rPr>
          <w:highlight w:val="none"/>
        </w:rPr>
      </w:r>
      <w:r/>
    </w:p>
    <w:p>
      <w:pPr>
        <w:pStyle w:val="1112"/>
        <w:jc w:val="center"/>
        <w:spacing w:before="0" w:beforeAutospacing="0" w:after="0" w:afterAutospacing="0"/>
        <w:widowControl w:val="off"/>
        <w:rPr>
          <w:highlight w:val="none"/>
        </w:rPr>
      </w:pPr>
      <w:r>
        <w:rPr>
          <w:highlight w:val="none"/>
        </w:rPr>
      </w:r>
      <w:r/>
    </w:p>
    <w:p>
      <w:pPr>
        <w:pStyle w:val="1078"/>
        <w:jc w:val="center"/>
        <w:keepLines w:val="0"/>
        <w:keepNext w:val="0"/>
        <w:widowControl/>
        <w:rPr>
          <w:rFonts w:hint="eastAsia" w:ascii="黑体" w:eastAsia="黑体" w:cs="黑体"/>
          <w:i/>
          <w:color w:val="auto"/>
          <w:sz w:val="32"/>
          <w:szCs w:val="32"/>
          <w:highlight w:val="none"/>
          <w:u w:val="single"/>
        </w:rPr>
        <w:suppressLineNumbers w:val="0"/>
      </w:pPr>
      <w:r>
        <w:rPr>
          <w:rFonts w:hint="eastAsia" w:ascii="黑体" w:hAnsi="宋体" w:eastAsia="黑体" w:cs="黑体"/>
          <w:b/>
          <w:i/>
          <w:color w:val="auto"/>
          <w:sz w:val="32"/>
          <w:szCs w:val="32"/>
          <w:highlight w:val="none"/>
          <w:u w:val="single"/>
        </w:rPr>
        <w:t xml:space="preserve">十</w:t>
      </w:r>
      <w:r>
        <w:rPr>
          <w:rFonts w:hint="eastAsia" w:ascii="黑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w:t>
      </w:r>
      <w:r>
        <w:rPr>
          <w:rFonts w:hint="eastAsia" w:ascii="黑体" w:eastAsia="黑体" w:cs="黑体"/>
          <w:i/>
          <w:color w:val="auto"/>
          <w:sz w:val="32"/>
          <w:szCs w:val="32"/>
          <w:highlight w:val="none"/>
          <w:u w:val="single"/>
        </w:rPr>
        <w:t xml:space="preserve">磋商报价表</w:t>
      </w:r>
      <w:r/>
    </w:p>
    <w:p>
      <w:pPr>
        <w:pStyle w:val="1112"/>
        <w:keepLines w:val="0"/>
        <w:keepNext w:val="0"/>
        <w:widowControl/>
        <w:rPr>
          <w:highlight w:val="none"/>
        </w:rPr>
        <w:suppressLineNumbers w:val="0"/>
      </w:pPr>
      <w:r>
        <w:rPr>
          <w:highlight w:val="none"/>
        </w:rPr>
        <w:t xml:space="preserve">货币单位：人民币元</w:t>
      </w:r>
      <w:r/>
    </w:p>
    <w:p>
      <w:pPr>
        <w:pStyle w:val="1112"/>
        <w:keepLines w:val="0"/>
        <w:keepNext w:val="0"/>
        <w:widowControl/>
        <w:rPr>
          <w:highlight w:val="none"/>
        </w:rPr>
        <w:suppressLineNumbers w:val="0"/>
      </w:pPr>
      <w:r>
        <w:rPr>
          <w:highlight w:val="none"/>
        </w:rPr>
        <w:t xml:space="preserve">项目编号：  </w:t>
      </w:r>
      <w:r/>
    </w:p>
    <w:tbl>
      <w:tblPr>
        <w:tblStyle w:val="10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Pr>
        <w:tc>
          <w:tcPr>
            <w:shd w:val="clear" w:color="auto" w:fill="auto"/>
            <w:tcW w:w="2664" w:type="dxa"/>
            <w:vAlign w:val="center"/>
            <w:textDirection w:val="lrTb"/>
            <w:noWrap w:val="false"/>
          </w:tcPr>
          <w:p>
            <w:pPr>
              <w:pStyle w:val="1112"/>
              <w:keepLines w:val="0"/>
              <w:keepNext w:val="0"/>
              <w:widowControl/>
              <w:rPr>
                <w:highlight w:val="none"/>
              </w:rPr>
              <w:suppressLineNumbers w:val="0"/>
            </w:pPr>
            <w:r>
              <w:rPr>
                <w:highlight w:val="none"/>
              </w:rPr>
              <w:t xml:space="preserve">项目名称</w:t>
            </w:r>
            <w:r/>
          </w:p>
        </w:tc>
        <w:tc>
          <w:tcPr>
            <w:shd w:val="clear" w:color="auto" w:fill="auto"/>
            <w:tcW w:w="2676" w:type="dxa"/>
            <w:vAlign w:val="center"/>
            <w:textDirection w:val="lrTb"/>
            <w:noWrap w:val="false"/>
          </w:tcPr>
          <w:p>
            <w:pPr>
              <w:pStyle w:val="1112"/>
              <w:keepLines w:val="0"/>
              <w:keepNext w:val="0"/>
              <w:widowControl/>
              <w:rPr>
                <w:highlight w:val="none"/>
              </w:rPr>
              <w:suppressLineNumbers w:val="0"/>
            </w:pPr>
            <w:r>
              <w:rPr>
                <w:highlight w:val="none"/>
              </w:rPr>
              <w:t xml:space="preserve">项目内容</w:t>
            </w:r>
            <w:r/>
          </w:p>
        </w:tc>
        <w:tc>
          <w:tcPr>
            <w:shd w:val="clear" w:color="auto" w:fill="auto"/>
            <w:tcW w:w="3984" w:type="dxa"/>
            <w:vAlign w:val="center"/>
            <w:textDirection w:val="lrTb"/>
            <w:noWrap w:val="false"/>
          </w:tcPr>
          <w:p>
            <w:pPr>
              <w:pStyle w:val="1112"/>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2664" w:type="dxa"/>
            <w:vAlign w:val="center"/>
            <w:textDirection w:val="lrTb"/>
            <w:noWrap w:val="false"/>
          </w:tcPr>
          <w:p>
            <w:pPr>
              <w:pStyle w:val="1112"/>
              <w:keepLines w:val="0"/>
              <w:keepNext w:val="0"/>
              <w:widowControl/>
              <w:rPr>
                <w:highlight w:val="none"/>
              </w:rPr>
              <w:suppressLineNumbers w:val="0"/>
            </w:pPr>
            <w:r>
              <w:rPr>
                <w:rFonts w:hint="eastAsia"/>
                <w:highlight w:val="none"/>
                <w:lang w:eastAsia="zh-CN"/>
              </w:rPr>
              <w:t xml:space="preserve">便仓镇恒泽源农产品加工项目配套污水压力管道建设工程</w:t>
            </w:r>
            <w:r>
              <w:rPr>
                <w:highlight w:val="none"/>
              </w:rPr>
              <w:t xml:space="preserve"> </w:t>
            </w:r>
            <w:r/>
          </w:p>
        </w:tc>
        <w:tc>
          <w:tcPr>
            <w:shd w:val="clear" w:color="auto" w:fill="auto"/>
            <w:tcW w:w="2676" w:type="dxa"/>
            <w:vAlign w:val="center"/>
            <w:textDirection w:val="lrTb"/>
            <w:noWrap w:val="false"/>
          </w:tcPr>
          <w:p>
            <w:pPr>
              <w:pStyle w:val="1112"/>
              <w:keepLines w:val="0"/>
              <w:keepNext w:val="0"/>
              <w:widowControl/>
              <w:rPr>
                <w:highlight w:val="none"/>
              </w:rPr>
              <w:suppressLineNumbers w:val="0"/>
            </w:pPr>
            <w:r>
              <w:rPr>
                <w:highlight w:val="none"/>
              </w:rPr>
              <w:t xml:space="preserve">详见响应文件</w:t>
            </w:r>
            <w:r/>
          </w:p>
        </w:tc>
        <w:tc>
          <w:tcPr>
            <w:shd w:val="clear" w:color="auto" w:fill="auto"/>
            <w:tcW w:w="3984" w:type="dxa"/>
            <w:vAlign w:val="center"/>
            <w:textDirection w:val="lrTb"/>
            <w:noWrap w:val="false"/>
          </w:tcPr>
          <w:p>
            <w:pPr>
              <w:pStyle w:val="1112"/>
              <w:keepLines w:val="0"/>
              <w:keepNext w:val="0"/>
              <w:widowControl/>
              <w:rPr>
                <w:highlight w:val="none"/>
              </w:rPr>
              <w:suppressLineNumbers w:val="0"/>
            </w:pPr>
            <w:r>
              <w:rPr>
                <w:highlight w:val="none"/>
              </w:rPr>
              <w:t xml:space="preserve"> </w:t>
            </w:r>
            <w:r>
              <w:rPr>
                <w:highlight w:val="none"/>
              </w:rPr>
              <mc:AlternateContent>
                <mc:Choice Requires="wpg">
                  <w:drawing>
                    <wp:inline xmlns:wp="http://schemas.openxmlformats.org/drawingml/2006/wordprocessingDrawing" distT="0" distB="0" distL="0" distR="0">
                      <wp:extent cx="635" cy="0"/>
                      <wp:effectExtent l="0" t="0" r="0" b="0"/>
                      <wp:docPr id="1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5" o:spid="_x0000_s15" o:spt="1" type="#_x0000_t1" style="width:0.0pt;height:0.0pt;mso-wrap-distance-left:0.0pt;mso-wrap-distance-top:0.0pt;mso-wrap-distance-right:0.0pt;mso-wrap-distance-bottom:0.0pt;visibility:visible;" filled="f" strokecolor="#000000"/>
                  </w:pict>
                </mc:Fallback>
              </mc:AlternateContent>
            </w:r>
            <w:r>
              <w:rPr>
                <w:highlight w:val="none"/>
              </w:rPr>
              <w:t xml:space="preserve"> 元</w:t>
            </w:r>
            <w:r/>
          </w:p>
        </w:tc>
      </w:tr>
      <w:tr>
        <w:trPr>
          <w:tblCellSpacing w:w="15" w:type="dxa"/>
        </w:trPr>
        <w:tc>
          <w:tcPr>
            <w:shd w:val="clear" w:color="auto" w:fill="auto"/>
            <w:tcW w:w="2664" w:type="dxa"/>
            <w:vAlign w:val="center"/>
            <w:textDirection w:val="lrTb"/>
            <w:noWrap w:val="false"/>
          </w:tcPr>
          <w:p>
            <w:pPr>
              <w:pStyle w:val="1112"/>
              <w:keepLines w:val="0"/>
              <w:keepNext w:val="0"/>
              <w:widowControl/>
              <w:rPr>
                <w:highlight w:val="none"/>
              </w:rPr>
              <w:suppressLineNumbers w:val="0"/>
            </w:pPr>
            <w:r>
              <w:rPr>
                <w:highlight w:val="none"/>
              </w:rPr>
              <w:t xml:space="preserve">总价（大写）：</w:t>
            </w:r>
            <w:r/>
          </w:p>
        </w:tc>
        <w:tc>
          <w:tcPr>
            <w:gridSpan w:val="2"/>
            <w:shd w:val="clear" w:color="auto" w:fill="auto"/>
            <w:tcW w:w="6672" w:type="dxa"/>
            <w:vAlign w:val="center"/>
            <w:textDirection w:val="lrTb"/>
            <w:noWrap w:val="false"/>
          </w:tcPr>
          <w:p>
            <w:pPr>
              <w:pStyle w:val="1112"/>
              <w:keepLines w:val="0"/>
              <w:keepNext w:val="0"/>
              <w:widowControl/>
              <w:rPr>
                <w:highlight w:val="none"/>
              </w:rPr>
              <w:suppressLineNumbers w:val="0"/>
            </w:pPr>
            <w:r>
              <w:rPr>
                <w:highlight w:val="none"/>
              </w:rPr>
              <w:t xml:space="preserve"> 金额大写 </w:t>
            </w:r>
            <w:r/>
          </w:p>
        </w:tc>
      </w:tr>
    </w:tbl>
    <w:p>
      <w:pPr>
        <w:pStyle w:val="1112"/>
        <w:keepLines w:val="0"/>
        <w:keepNext w:val="0"/>
        <w:widowControl/>
        <w:rPr>
          <w:highlight w:val="none"/>
        </w:rPr>
        <w:suppressLineNumbers w:val="0"/>
      </w:pPr>
      <w:r>
        <w:rPr>
          <w:highlight w:val="none"/>
        </w:rPr>
        <w:t xml:space="preserve"> </w:t>
      </w:r>
      <w:r/>
    </w:p>
    <w:p>
      <w:pPr>
        <w:pStyle w:val="1112"/>
        <w:keepLines w:val="0"/>
        <w:keepNext w:val="0"/>
        <w:widowControl/>
        <w:rPr>
          <w:highlight w:val="none"/>
        </w:rPr>
        <w:suppressLineNumbers w:val="0"/>
      </w:pPr>
      <w:r>
        <w:rPr>
          <w:highlight w:val="none"/>
        </w:rPr>
        <w:t xml:space="preserve">供应商（电子签章）：</w:t>
      </w:r>
      <w:r/>
    </w:p>
    <w:p>
      <w:pPr>
        <w:pStyle w:val="1112"/>
        <w:jc w:val="right"/>
        <w:keepLines w:val="0"/>
        <w:keepNext w:val="0"/>
        <w:widowControl/>
        <w:rPr>
          <w:highlight w:val="none"/>
        </w:rPr>
        <w:suppressLineNumbers w:val="0"/>
      </w:pPr>
      <w:r>
        <w:rPr>
          <w:highlight w:val="none"/>
        </w:rPr>
        <w:t xml:space="preserve">日期：</w:t>
      </w:r>
      <w:r>
        <w:rPr>
          <w:highlight w:val="none"/>
        </w:rPr>
        <mc:AlternateContent>
          <mc:Choice Requires="wpg">
            <w:drawing>
              <wp:inline xmlns:wp="http://schemas.openxmlformats.org/drawingml/2006/wordprocessingDrawing" distT="0" distB="0" distL="0" distR="0">
                <wp:extent cx="635" cy="0"/>
                <wp:effectExtent l="0" t="0" r="0" b="0"/>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6" o:spid="_x0000_s16" o:spt="1" type="#_x0000_t1" style="width:0.0pt;height:0.0pt;mso-wrap-distance-left:0.0pt;mso-wrap-distance-top:0.0pt;mso-wrap-distance-right:0.0pt;mso-wrap-distance-bottom:0.0pt;visibility:visible;" filled="f" strokecolor="#000000"/>
            </w:pict>
          </mc:Fallback>
        </mc:AlternateContent>
      </w:r>
      <w:r>
        <w:rPr>
          <w:highlight w:val="none"/>
        </w:rPr>
        <w:t xml:space="preserve"> 年</w:t>
      </w:r>
      <w:r>
        <w:rPr>
          <w:highlight w:val="none"/>
        </w:rPr>
        <mc:AlternateContent>
          <mc:Choice Requires="wpg">
            <w:drawing>
              <wp:inline xmlns:wp="http://schemas.openxmlformats.org/drawingml/2006/wordprocessingDrawing" distT="0" distB="0" distL="0" distR="0">
                <wp:extent cx="635" cy="0"/>
                <wp:effectExtent l="0" t="0" r="0" b="0"/>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7" o:spid="_x0000_s17" o:spt="1" type="#_x0000_t1" style="width:0.0pt;height:0.0pt;mso-wrap-distance-left:0.0pt;mso-wrap-distance-top:0.0pt;mso-wrap-distance-right:0.0pt;mso-wrap-distance-bottom:0.0pt;visibility:visible;" filled="f" strokecolor="#000000"/>
            </w:pict>
          </mc:Fallback>
        </mc:AlternateContent>
      </w:r>
      <w:r>
        <w:rPr>
          <w:highlight w:val="none"/>
        </w:rPr>
        <w:t xml:space="preserve"> 月</w:t>
      </w:r>
      <w:r>
        <w:rPr>
          <w:highlight w:val="none"/>
        </w:rPr>
        <mc:AlternateContent>
          <mc:Choice Requires="wpg">
            <w:drawing>
              <wp:inline xmlns:wp="http://schemas.openxmlformats.org/drawingml/2006/wordprocessingDrawing" distT="0" distB="0" distL="0" distR="0">
                <wp:extent cx="635" cy="0"/>
                <wp:effectExtent l="0" t="0" r="0" b="0"/>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8" o:spid="_x0000_s18" o:spt="1" type="#_x0000_t1" style="width:0.0pt;height:0.0pt;mso-wrap-distance-left:0.0pt;mso-wrap-distance-top:0.0pt;mso-wrap-distance-right:0.0pt;mso-wrap-distance-bottom:0.0pt;visibility:visible;" filled="f" strokecolor="#000000"/>
            </w:pict>
          </mc:Fallback>
        </mc:AlternateContent>
      </w:r>
      <w:r>
        <w:rPr>
          <w:highlight w:val="none"/>
        </w:rPr>
        <w:t xml:space="preserve"> 日</w:t>
      </w:r>
      <w:r/>
    </w:p>
    <w:p>
      <w:pPr>
        <w:pStyle w:val="1112"/>
        <w:keepLines w:val="0"/>
        <w:keepNext w:val="0"/>
        <w:widowControl/>
        <w:rPr>
          <w:highlight w:val="none"/>
        </w:rPr>
        <w:suppressLineNumbers w:val="0"/>
      </w:pPr>
      <w:r>
        <w:rPr>
          <w:highlight w:val="none"/>
        </w:rPr>
        <w:t xml:space="preserve"> </w:t>
      </w:r>
      <w:r/>
    </w:p>
    <w:p>
      <w:pPr>
        <w:pStyle w:val="1112"/>
        <w:ind w:firstLine="480"/>
        <w:jc w:val="both"/>
        <w:spacing w:beforeAutospacing="0" w:afterAutospacing="0"/>
        <w:rPr>
          <w:color w:val="auto"/>
          <w:highlight w:val="none"/>
        </w:rPr>
      </w:pPr>
      <w:r>
        <w:rPr>
          <w:color w:val="auto"/>
          <w:highlight w:val="none"/>
        </w:rPr>
      </w:r>
      <w:r/>
    </w:p>
    <w:p>
      <w:pPr>
        <w:pStyle w:val="1112"/>
        <w:jc w:val="center"/>
        <w:spacing w:before="0" w:beforeAutospacing="0" w:after="0" w:afterAutospacing="0"/>
        <w:widowControl w:val="off"/>
        <w:rPr>
          <w:rFonts w:hint="eastAsia"/>
          <w:highlight w:val="none"/>
        </w:rPr>
      </w:pPr>
      <w:r>
        <w:rPr>
          <w:highlight w:val="none"/>
        </w:rPr>
        <w:t xml:space="preserve"> </w:t>
      </w:r>
      <w:r/>
    </w:p>
    <w:p>
      <w:pPr>
        <w:pStyle w:val="1112"/>
        <w:jc w:val="both"/>
        <w:spacing w:before="0" w:beforeAutospacing="0" w:after="0" w:afterAutospacing="0"/>
        <w:widowControl w:val="off"/>
        <w:rPr>
          <w:rFonts w:hint="eastAsia"/>
          <w:highlight w:val="none"/>
        </w:rPr>
      </w:pPr>
      <w:r>
        <w:rPr>
          <w:highlight w:val="none"/>
        </w:rPr>
        <w:t xml:space="preserve"> </w:t>
      </w:r>
      <w:r/>
    </w:p>
    <w:p>
      <w:pPr>
        <w:pStyle w:val="1091"/>
        <w:ind w:firstLine="551"/>
        <w:rPr>
          <w:rFonts w:hint="eastAsia" w:ascii="黑体" w:hAnsi="宋体" w:eastAsia="黑体" w:cs="黑体"/>
          <w:b/>
          <w:color w:val="000000"/>
          <w:sz w:val="32"/>
          <w:szCs w:val="32"/>
          <w:highlight w:val="none"/>
        </w:rPr>
      </w:pPr>
      <w:r>
        <w:rPr>
          <w:rFonts w:hint="eastAsia" w:ascii="宋体" w:hAnsi="宋体" w:cs="宋体"/>
          <w:b/>
          <w:color w:val="000000"/>
          <w:sz w:val="32"/>
          <w:szCs w:val="32"/>
          <w:highlight w:val="none"/>
        </w:rPr>
        <w:br w:type="page" w:clear="all"/>
      </w:r>
      <w:r/>
    </w:p>
    <w:p>
      <w:pPr>
        <w:jc w:val="center"/>
        <w:spacing w:before="50" w:after="50"/>
        <w:widowControl/>
        <w:rPr>
          <w:rFonts w:hint="eastAsia" w:ascii="宋体" w:hAnsi="宋体" w:cs="宋体"/>
          <w:sz w:val="24"/>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施工</w:t>
      </w:r>
      <w:r>
        <w:rPr>
          <w:rFonts w:hint="eastAsia" w:ascii="黑体" w:hAnsi="宋体" w:eastAsia="黑体" w:cs="黑体"/>
          <w:b/>
          <w:color w:val="000000"/>
          <w:sz w:val="32"/>
          <w:szCs w:val="32"/>
          <w:highlight w:val="none"/>
        </w:rPr>
        <w:t xml:space="preserve">方案</w:t>
      </w:r>
      <w:r/>
    </w:p>
    <w:p>
      <w:pPr>
        <w:pStyle w:val="1112"/>
        <w:jc w:val="both"/>
        <w:spacing w:beforeAutospacing="0" w:afterAutospacing="0"/>
        <w:tabs>
          <w:tab w:val="left" w:pos="2160" w:leader="none"/>
        </w:tabs>
        <w:rPr>
          <w:rFonts w:hint="eastAsia"/>
          <w:highlight w:val="none"/>
        </w:rPr>
      </w:pPr>
      <w:r>
        <w:rPr>
          <w:rFonts w:hint="eastAsia"/>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rPr>
        <w:sectPr>
          <w:footnotePr/>
          <w:endnotePr/>
          <w:type w:val="nextPage"/>
          <w:pgSz w:w="11906" w:h="16838" w:orient="portrait"/>
          <w:pgMar w:top="1015" w:right="1196" w:bottom="868" w:left="1259" w:header="851" w:footer="907" w:gutter="0"/>
          <w:cols w:num="1" w:sep="0" w:space="720" w:equalWidth="1"/>
          <w:docGrid w:linePitch="360"/>
        </w:sectPr>
      </w:pPr>
      <w:r>
        <w:rPr>
          <w:rFonts w:hint="eastAsia" w:ascii="黑体" w:hAnsi="宋体" w:eastAsia="黑体" w:cs="黑体"/>
          <w:b/>
          <w:color w:val="000000"/>
          <w:sz w:val="32"/>
          <w:szCs w:val="32"/>
          <w:highlight w:val="none"/>
        </w:rPr>
      </w:r>
      <w:bookmarkEnd w:id="142"/>
      <w:bookmarkEnd w:id="143"/>
      <w:bookmarkEnd w:id="144"/>
      <w:bookmarkEnd w:id="145"/>
      <w:bookmarkEnd w:id="146"/>
      <w:bookmarkEnd w:id="147"/>
      <w:bookmarkEnd w:id="148"/>
      <w:bookmarkEnd w:id="149"/>
      <w:bookmarkEnd w:id="150"/>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112"/>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111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11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1112"/>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1112"/>
        <w:jc w:val="center"/>
        <w:spacing w:beforeAutospacing="0" w:afterAutospacing="0"/>
        <w:rPr>
          <w:rFonts w:hint="eastAsia"/>
          <w:b/>
          <w:color w:val="000000"/>
          <w:sz w:val="32"/>
          <w:szCs w:val="32"/>
          <w:highlight w:val="none"/>
        </w:rPr>
        <w:sectPr>
          <w:footerReference w:type="default" r:id="rId18"/>
          <w:footnotePr/>
          <w:endnotePr/>
          <w:type w:val="nextPage"/>
          <w:pgSz w:w="11906" w:h="16838" w:orient="portrait"/>
          <w:pgMar w:top="1015" w:right="1196" w:bottom="868" w:left="1259" w:header="851" w:footer="907" w:gutter="0"/>
          <w:cols w:num="1" w:sep="0" w:space="720" w:equalWidth="1"/>
          <w:docGrid w:linePitch="360"/>
        </w:sect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1112"/>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p>
    <w:p>
      <w:pPr>
        <w:pStyle w:val="1112"/>
        <w:jc w:val="both"/>
        <w:spacing w:before="290" w:beforeAutospacing="0" w:afterAutospacing="0" w:line="360" w:lineRule="auto"/>
        <w:rPr>
          <w:rFonts w:hint="eastAsia"/>
          <w:highlight w:val="none"/>
        </w:rPr>
      </w:pPr>
      <w:r>
        <w:rPr>
          <w:rFonts w:hint="eastAsia"/>
          <w:color w:val="000000"/>
          <w:highlight w:val="none"/>
        </w:rPr>
        <w:t xml:space="preserve">一、质疑供应商基本信息</w:t>
      </w:r>
      <w:r/>
    </w:p>
    <w:p>
      <w:pPr>
        <w:pStyle w:val="1112"/>
        <w:jc w:val="both"/>
        <w:spacing w:beforeAutospacing="0" w:afterAutospacing="0" w:line="360" w:lineRule="auto"/>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二、质疑项目基本情况</w:t>
      </w:r>
      <w:r/>
    </w:p>
    <w:p>
      <w:pPr>
        <w:pStyle w:val="1112"/>
        <w:jc w:val="both"/>
        <w:spacing w:beforeAutospacing="0" w:afterAutospacing="0" w:line="360" w:lineRule="auto"/>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p>
    <w:p>
      <w:pPr>
        <w:pStyle w:val="1112"/>
        <w:jc w:val="both"/>
        <w:spacing w:beforeAutospacing="0" w:afterAutospacing="0" w:line="360" w:lineRule="auto"/>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三、质疑事项具体内容</w:t>
      </w:r>
      <w:r/>
    </w:p>
    <w:p>
      <w:pPr>
        <w:pStyle w:val="1112"/>
        <w:jc w:val="both"/>
        <w:spacing w:beforeAutospacing="0" w:afterAutospacing="0" w:line="360" w:lineRule="auto"/>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p>
    <w:p>
      <w:pPr>
        <w:pStyle w:val="1112"/>
        <w:spacing w:beforeAutospacing="0" w:afterAutospacing="0" w:line="360" w:lineRule="auto"/>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p>
    <w:p>
      <w:pPr>
        <w:pStyle w:val="1112"/>
        <w:jc w:val="both"/>
        <w:spacing w:beforeAutospacing="0" w:afterAutospacing="0" w:line="360" w:lineRule="auto"/>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p>
    <w:p>
      <w:pPr>
        <w:pStyle w:val="1112"/>
        <w:jc w:val="both"/>
        <w:spacing w:beforeAutospacing="0" w:afterAutospacing="0" w:line="360" w:lineRule="auto"/>
        <w:rPr>
          <w:rFonts w:hint="eastAsia"/>
          <w:color w:val="000000"/>
          <w:highlight w:val="none"/>
        </w:rPr>
        <w:sectPr>
          <w:footerReference w:type="default" r:id="rId19"/>
          <w:footnotePr/>
          <w:endnotePr/>
          <w:type w:val="nextPage"/>
          <w:pgSz w:w="11906" w:h="16838" w:orient="portrait"/>
          <w:pgMar w:top="1015" w:right="1196" w:bottom="868" w:left="1259" w:header="851" w:footer="907" w:gutter="0"/>
          <w:cols w:num="1" w:sep="0" w:space="720" w:equalWidth="1"/>
          <w:docGrid w:linePitch="360"/>
        </w:sectPr>
      </w:pPr>
      <w:r>
        <w:rPr>
          <w:rFonts w:hint="eastAsia"/>
          <w:color w:val="000000"/>
          <w:highlight w:val="none"/>
        </w:rPr>
      </w:r>
      <w:r/>
    </w:p>
    <w:p>
      <w:pPr>
        <w:pStyle w:val="1112"/>
        <w:jc w:val="both"/>
        <w:spacing w:beforeAutospacing="0" w:afterAutospacing="0" w:line="360" w:lineRule="auto"/>
        <w:rPr>
          <w:rFonts w:hint="eastAsia"/>
          <w:highlight w:val="none"/>
        </w:rPr>
      </w:pPr>
      <w:r>
        <w:rPr>
          <w:rFonts w:hint="eastAsia"/>
          <w:color w:val="000000"/>
          <w:highlight w:val="none"/>
        </w:rPr>
        <w:t xml:space="preserve">质疑事项2</w:t>
      </w:r>
      <w:r/>
    </w:p>
    <w:p>
      <w:pPr>
        <w:pStyle w:val="1112"/>
        <w:jc w:val="both"/>
        <w:spacing w:beforeAutospacing="0" w:afterAutospacing="0" w:line="360" w:lineRule="auto"/>
        <w:rPr>
          <w:rFonts w:hint="eastAsia"/>
          <w:highlight w:val="none"/>
        </w:rPr>
      </w:pPr>
      <w:r>
        <w:rPr>
          <w:rFonts w:hint="eastAsia"/>
          <w:color w:val="000000"/>
          <w:highlight w:val="none"/>
        </w:rPr>
        <w:t xml:space="preserve">……</w:t>
      </w:r>
      <w:r/>
    </w:p>
    <w:p>
      <w:pPr>
        <w:pStyle w:val="1112"/>
        <w:jc w:val="both"/>
        <w:spacing w:beforeAutospacing="0" w:afterAutospacing="0" w:line="360" w:lineRule="auto"/>
        <w:rPr>
          <w:rFonts w:hint="eastAsia"/>
          <w:highlight w:val="none"/>
        </w:rPr>
      </w:pPr>
      <w:r>
        <w:rPr>
          <w:rFonts w:hint="eastAsia"/>
          <w:color w:val="000000"/>
          <w:highlight w:val="none"/>
        </w:rPr>
        <w:t xml:space="preserve">四、与质疑事项相关的质疑请求</w:t>
      </w:r>
      <w:r/>
    </w:p>
    <w:p>
      <w:pPr>
        <w:pStyle w:val="1112"/>
        <w:jc w:val="both"/>
        <w:spacing w:beforeAutospacing="0" w:afterAutospacing="0" w:line="360" w:lineRule="auto"/>
        <w:rPr>
          <w:rFonts w:hint="eastAsia"/>
          <w:highlight w:val="none"/>
        </w:rPr>
      </w:pPr>
      <w:r>
        <w:rPr>
          <w:rFonts w:hint="eastAsia"/>
          <w:color w:val="000000"/>
          <w:highlight w:val="none"/>
        </w:rPr>
        <w:t xml:space="preserve">请求：</w:t>
      </w:r>
      <w:r>
        <w:rPr>
          <w:rFonts w:hint="eastAsia"/>
          <w:color w:val="000000"/>
          <w:highlight w:val="none"/>
          <w:u w:val="single"/>
        </w:rPr>
        <w:t xml:space="preserve">                                                          </w:t>
      </w:r>
      <w:r/>
    </w:p>
    <w:p>
      <w:pPr>
        <w:pStyle w:val="1112"/>
        <w:jc w:val="both"/>
        <w:spacing w:beforeAutospacing="0" w:afterAutospacing="0"/>
        <w:rPr>
          <w:rFonts w:hint="eastAsia"/>
          <w:highlight w:val="none"/>
        </w:rPr>
      </w:pPr>
      <w:r>
        <w:rPr>
          <w:rFonts w:hint="eastAsia"/>
          <w:color w:val="000000"/>
          <w:highlight w:val="none"/>
        </w:rPr>
        <w:t xml:space="preserve">签字(签章)：                 公章：               日期：    </w:t>
      </w:r>
      <w:r/>
    </w:p>
    <w:p>
      <w:pPr>
        <w:pStyle w:val="1112"/>
        <w:jc w:val="both"/>
        <w:spacing w:beforeAutospacing="0" w:afterAutospacing="0" w:line="0" w:lineRule="atLeast"/>
        <w:rPr>
          <w:rFonts w:hint="eastAsia"/>
          <w:highlight w:val="none"/>
        </w:rPr>
      </w:pPr>
      <w:r>
        <w:rPr>
          <w:rFonts w:hint="eastAsia"/>
          <w:b/>
          <w:color w:val="000000"/>
          <w:highlight w:val="none"/>
        </w:rPr>
        <w:t xml:space="preserve">质疑函制作说明：</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1.供应商提出质疑时，应提交质疑函和必要的证明材料。</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3.质疑供应商若对项目的某一分包进行质疑，质疑函中应列明具体分包号。</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4.质疑函的质疑事项应具体、明确，并有必要的事实依据和法律依据。</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5.质疑函的质疑请求应与质疑事项相关。</w:t>
      </w:r>
      <w:r/>
    </w:p>
    <w:p>
      <w:pPr>
        <w:pStyle w:val="1112"/>
        <w:ind w:firstLine="480"/>
        <w:keepLines w:val="0"/>
        <w:keepNext w:val="0"/>
        <w:pageBreakBefore w:val="0"/>
        <w:spacing w:before="0" w:beforeAutospacing="0" w:after="0" w:afterAutospacing="0" w:line="460" w:lineRule="exact"/>
        <w:widowControl/>
        <w:rPr>
          <w:rFonts w:hint="eastAsia"/>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112"/>
        <w:spacing w:beforeAutospacing="0" w:afterAutospacing="0"/>
        <w:rPr>
          <w:rFonts w:hint="eastAsia"/>
          <w:highlight w:val="none"/>
        </w:rPr>
      </w:pPr>
      <w:r>
        <w:rPr>
          <w:rFonts w:hint="eastAsia"/>
          <w:highlight w:val="none"/>
        </w:rPr>
      </w:r>
      <w:r/>
    </w:p>
    <w:p>
      <w:pPr>
        <w:jc w:val="center"/>
        <w:spacing w:before="100" w:after="100" w:line="500" w:lineRule="exact"/>
        <w:widowControl/>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ind w:left="420"/>
        <w:rPr>
          <w:highlight w:val="none"/>
        </w:rPr>
      </w:pPr>
      <w:r>
        <w:rPr>
          <w:highlight w:val="none"/>
        </w:rPr>
      </w:r>
      <w:r/>
    </w:p>
    <w:p>
      <w:pPr>
        <w:ind w:left="420"/>
        <w:rPr>
          <w:highlight w:val="none"/>
        </w:rPr>
      </w:pPr>
      <w:r>
        <w:rPr>
          <w:highlight w:val="none"/>
        </w:rPr>
      </w:r>
      <w:r/>
    </w:p>
    <w:p>
      <w:pPr>
        <w:rPr>
          <w:highlight w:val="none"/>
        </w:rPr>
      </w:pPr>
      <w:r>
        <w:rPr>
          <w:highlight w:val="none"/>
        </w:rPr>
      </w:r>
      <w:r/>
    </w:p>
    <w:p>
      <w:pPr>
        <w:jc w:val="center"/>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sectPr>
      <w:footerReference w:type="default" r:id="rId20"/>
      <w:footnotePr/>
      <w:endnotePr/>
      <w:type w:val="nextPage"/>
      <w:pgSz w:w="11906" w:h="16838" w:orient="portrait"/>
      <w:pgMar w:top="1015" w:right="1196" w:bottom="868" w:left="1259"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Symbol">
    <w:panose1 w:val="05050102010706020507"/>
  </w:font>
  <w:font w:name="Wingdings">
    <w:panose1 w:val="05000000000000000000"/>
  </w:font>
  <w:font w:name="华文楷体">
    <w:panose1 w:val="02010600040101010101"/>
  </w:font>
  <w:font w:name="Calibri">
    <w:panose1 w:val="020F0502020204030204"/>
  </w:font>
  <w:font w:name="Book Antiqua">
    <w:panose1 w:val="02040602050305030304"/>
  </w:font>
  <w:font w:name="Tahoma">
    <w:panose1 w:val="020B0604030504040204"/>
  </w:font>
  <w:font w:name="方正黑体_GBK">
    <w:panose1 w:val="020B0503020202020204"/>
  </w:font>
  <w:font w:name="Courier New">
    <w:panose1 w:val="02070309020205020404"/>
  </w:font>
  <w:font w:name="方正楷体_GBK">
    <w:panose1 w:val="020B0503020202020204"/>
  </w:font>
  <w:font w:name="等线">
    <w:panose1 w:val="02010600030101010101"/>
  </w:font>
  <w:font w:name="仿宋">
    <w:panose1 w:val="02010609060101010101"/>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pPr>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2"/>
                          </w:pPr>
                          <w:r>
                            <w:fldChar w:fldCharType="begin"/>
                          </w:r>
                          <w:r>
                            <w:instrText xml:space="preserve"> PAGE  \* MERGEFORMAT </w:instrText>
                          </w:r>
                          <w:r>
                            <w:fldChar w:fldCharType="separate"/>
                          </w:r>
                          <w:r>
                            <w:t xml:space="preserve">27</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2"/>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2939415" cy="180340"/>
                      </a:xfrm>
                      <a:prstGeom prst="rect">
                        <a:avLst/>
                      </a:prstGeom>
                      <a:noFill/>
                      <a:ln>
                        <a:noFill/>
                      </a:ln>
                    </wps:spPr>
                    <wps:txbx>
                      <w:txbxContent>
                        <w:p>
                          <w:pPr>
                            <w:pStyle w:val="1102"/>
                          </w:pPr>
                          <w:r>
                            <w:rPr>
                              <w:rFonts w:hint="eastAsia"/>
                            </w:rPr>
                            <w:t xml:space="preserve">28</w:t>
                          </w:r>
                          <w:r/>
                        </w:p>
                      </w:txbxContent>
                    </wps:txbx>
                    <wps:bodyPr wrap="square" lIns="0" tIns="0" rIns="0" bIns="0"/>
                  </wps:wsp>
                </a:graphicData>
              </a:graphic>
            </wp:anchor>
          </w:drawing>
        </mc:Choice>
        <mc:Fallback>
          <w:pict>
            <v:shape id="shape 4" o:spid="_x0000_s4" o:spt="202" type="#_x0000_t202" style="position:absolute;z-index:251663360;o:allowoverlap:true;o:allowincell:true;mso-position-horizontal-relative:margin;margin-left:179.4pt;mso-position-horizontal:absolute;mso-position-vertical-relative:text;margin-top:250.9pt;mso-position-vertical:absolute;width:231.4pt;height:14.2pt;mso-wrap-distance-left:9.0pt;mso-wrap-distance-top:0.0pt;mso-wrap-distance-right:9.0pt;mso-wrap-distance-bottom:0.0pt;visibility:visible;" filled="f" stroked="f">
              <v:textbox inset="0,0,0,0">
                <w:txbxContent>
                  <w:p>
                    <w:pPr>
                      <w:pStyle w:val="1102"/>
                    </w:pPr>
                    <w:r>
                      <w:rPr>
                        <w:rFonts w:hint="eastAsia"/>
                      </w:rPr>
                      <w:t xml:space="preserve">28</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62560" cy="125095"/>
                      </a:xfrm>
                      <a:prstGeom prst="rect">
                        <a:avLst/>
                      </a:prstGeom>
                      <a:noFill/>
                      <a:ln>
                        <a:noFill/>
                      </a:ln>
                    </wps:spPr>
                    <wps:txbx>
                      <w:txbxContent>
                        <w:p>
                          <w:pPr>
                            <w:pStyle w:val="1102"/>
                          </w:pPr>
                          <w:r>
                            <w:rPr>
                              <w:rFonts w:hint="eastAsia"/>
                            </w:rPr>
                            <w:t xml:space="preserve">27</w:t>
                          </w:r>
                          <w:r/>
                        </w:p>
                      </w:txbxContent>
                    </wps:txbx>
                    <wps:bodyPr wrap="square" lIns="0" tIns="0" rIns="0" bIns="0"/>
                  </wps:wsp>
                </a:graphicData>
              </a:graphic>
            </wp:anchor>
          </w:drawing>
        </mc:Choice>
        <mc:Fallback>
          <w:pict>
            <v:shape id="shape 5" o:spid="_x0000_s5" o:spt="202" type="#_x0000_t202" style="position:absolute;z-index:251661312;o:allowoverlap:true;o:allowincell:true;mso-position-horizontal-relative:margin;margin-left:251.3pt;mso-position-horizontal:absolute;mso-position-vertical-relative:text;margin-top:247.1pt;mso-position-vertical:absolute;width:12.8pt;height:9.8pt;mso-wrap-distance-left:9.0pt;mso-wrap-distance-top:0.0pt;mso-wrap-distance-right:9.0pt;mso-wrap-distance-bottom:0.0pt;visibility:visible;" filled="f" stroked="f">
              <v:textbox inset="0,0,0,0">
                <w:txbxContent>
                  <w:p>
                    <w:pPr>
                      <w:pStyle w:val="1102"/>
                    </w:pPr>
                    <w:r>
                      <w:rPr>
                        <w:rFonts w:hint="eastAsia"/>
                      </w:rPr>
                      <w:t xml:space="preserve">27</w:t>
                    </w:r>
                    <w:r/>
                  </w:p>
                </w:txbxContent>
              </v:textbox>
            </v:shape>
          </w:pict>
        </mc:Fallback>
      </mc:AlternateContent>
    </w:r>
    <w:r>
      <w:rPr>
        <w:rFonts w:hint="eastAsia"/>
      </w:rPr>
      <w:t xml:space="preserve">28</w:t>
    </w:r>
    <w:r/>
  </w:p>
  <w:p>
    <w:pPr>
      <w:pStyle w:val="110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8" name="文本框 18"/>
              <wp:cNvGraphicFramePr/>
              <a:graphic xmlns:a="http://schemas.openxmlformats.org/drawingml/2006/main">
                <a:graphicData uri="http://schemas.microsoft.com/office/word/2010/wordprocessingShape">
                  <wps:wsp>
                    <wps:cNvPr id="0" name=""/>
                    <wps:cNvSpPr txBox="1"/>
                    <wps:spPr bwMode="auto">
                      <a:xfrm>
                        <a:off x="0" y="0"/>
                        <a:ext cx="123825" cy="1828800"/>
                      </a:xfrm>
                      <a:prstGeom prst="rect">
                        <a:avLst/>
                      </a:prstGeom>
                      <a:noFill/>
                      <a:ln>
                        <a:noFill/>
                      </a:ln>
                    </wps:spPr>
                    <wps:txbx>
                      <w:txbxContent>
                        <w:p>
                          <w:pPr>
                            <w:pStyle w:val="1102"/>
                          </w:pPr>
                          <w:r/>
                          <w:r/>
                        </w:p>
                        <w:p>
                          <w:pPr>
                            <w:pStyle w:val="1102"/>
                            <w:rPr>
                              <w:rFonts w:hint="default" w:eastAsia="宋体"/>
                              <w:lang w:val="en-US" w:eastAsia="zh-CN"/>
                            </w:rPr>
                          </w:pPr>
                          <w:r>
                            <w:rPr>
                              <w:rFonts w:hint="default" w:eastAsia="宋体"/>
                              <w:lang w:val="en-US" w:eastAsia="zh-CN"/>
                            </w:rPr>
                          </w:r>
                          <w:r/>
                        </w:p>
                      </w:txbxContent>
                    </wps:txbx>
                    <wps:bodyPr wrap="square" lIns="0" tIns="0" rIns="0" bIns="0">
                      <a:spAutoFit/>
                    </wps:bodyPr>
                  </wps:wsp>
                </a:graphicData>
              </a:graphic>
            </wp:anchor>
          </w:drawing>
        </mc:Choice>
        <mc:Fallback>
          <w:pict>
            <v:shape id="shape 7" o:spid="_x0000_s7" o:spt="202" type="#_x0000_t202" style="position:absolute;z-index:251664384;o:allowoverlap:true;o:allowincell:true;mso-position-horizontal-relative:margin;margin-left:234.0pt;mso-position-horizontal:absolute;mso-position-vertical-relative:text;margin-top:-0.2pt;mso-position-vertical:absolute;width:9.8pt;height:144.0pt;mso-wrap-distance-left:9.0pt;mso-wrap-distance-top:0.0pt;mso-wrap-distance-right:9.0pt;mso-wrap-distance-bottom:0.0pt;visibility:visible;" filled="f" stroked="f">
              <v:textbox inset="0,0,0,0">
                <w:txbxContent>
                  <w:p>
                    <w:pPr>
                      <w:pStyle w:val="1102"/>
                    </w:pPr>
                    <w:r/>
                    <w:r/>
                  </w:p>
                  <w:p>
                    <w:pPr>
                      <w:pStyle w:val="1102"/>
                      <w:rPr>
                        <w:rFonts w:hint="default" w:eastAsia="宋体"/>
                        <w:lang w:val="en-US" w:eastAsia="zh-CN"/>
                      </w:rPr>
                    </w:pPr>
                    <w:r>
                      <w:rPr>
                        <w:rFonts w:hint="default" w:eastAsia="宋体"/>
                        <w:lang w:val="en-US" w:eastAsia="zh-C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rPr>
                        <w:rFonts w:hint="default" w:eastAsia="宋体"/>
                        <w:lang w:val="en-US" w:eastAsia="zh-CN"/>
                      </w:rPr>
                    </w:pPr>
                    <w:r>
                      <w:rPr>
                        <w:rFonts w:hint="default" w:eastAsia="宋体"/>
                        <w:lang w:val="en-US" w:eastAsia="zh-CN"/>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1" name="文本框 18"/>
              <wp:cNvGraphicFramePr/>
              <a:graphic xmlns:a="http://schemas.openxmlformats.org/drawingml/2006/main">
                <a:graphicData uri="http://schemas.microsoft.com/office/word/2010/wordprocessingShape">
                  <wps:wsp>
                    <wps:cNvPr id="0" name=""/>
                    <wps:cNvSpPr txBox="1"/>
                    <wps:spPr bwMode="auto">
                      <a:xfrm>
                        <a:off x="0" y="0"/>
                        <a:ext cx="123825" cy="1828800"/>
                      </a:xfrm>
                      <a:prstGeom prst="rect">
                        <a:avLst/>
                      </a:prstGeom>
                      <a:noFill/>
                      <a:ln>
                        <a:noFill/>
                      </a:ln>
                    </wps:spPr>
                    <wps:txbx>
                      <w:txbxContent>
                        <w:p>
                          <w:pPr>
                            <w:pStyle w:val="1102"/>
                          </w:pPr>
                          <w:r/>
                          <w:r/>
                        </w:p>
                        <w:p>
                          <w:pPr>
                            <w:pStyle w:val="1102"/>
                            <w:rPr>
                              <w:rFonts w:hint="default" w:eastAsia="宋体"/>
                              <w:lang w:val="en-US" w:eastAsia="zh-CN"/>
                            </w:rPr>
                          </w:pPr>
                          <w:r>
                            <w:rPr>
                              <w:rFonts w:hint="default" w:eastAsia="宋体"/>
                              <w:lang w:val="en-US" w:eastAsia="zh-CN"/>
                            </w:rPr>
                          </w:r>
                          <w:r/>
                        </w:p>
                      </w:txbxContent>
                    </wps:txbx>
                    <wps:bodyPr wrap="square" lIns="0" tIns="0" rIns="0" bIns="0">
                      <a:spAutoFit/>
                    </wps:bodyPr>
                  </wps:wsp>
                </a:graphicData>
              </a:graphic>
            </wp:anchor>
          </w:drawing>
        </mc:Choice>
        <mc:Fallback>
          <w:pict>
            <v:shape id="shape 10" o:spid="_x0000_s10" o:spt="202" type="#_x0000_t202" style="position:absolute;z-index:251665408;o:allowoverlap:true;o:allowincell:true;mso-position-horizontal-relative:margin;margin-left:234.0pt;mso-position-horizontal:absolute;mso-position-vertical-relative:text;margin-top:-0.2pt;mso-position-vertical:absolute;width:9.8pt;height:144.0pt;mso-wrap-distance-left:9.0pt;mso-wrap-distance-top:0.0pt;mso-wrap-distance-right:9.0pt;mso-wrap-distance-bottom:0.0pt;visibility:visible;" filled="f" stroked="f">
              <v:textbox inset="0,0,0,0">
                <w:txbxContent>
                  <w:p>
                    <w:pPr>
                      <w:pStyle w:val="1102"/>
                    </w:pPr>
                    <w:r/>
                    <w:r/>
                  </w:p>
                  <w:p>
                    <w:pPr>
                      <w:pStyle w:val="1102"/>
                      <w:rPr>
                        <w:rFonts w:hint="default" w:eastAsia="宋体"/>
                        <w:lang w:val="en-US" w:eastAsia="zh-CN"/>
                      </w:rPr>
                    </w:pPr>
                    <w:r>
                      <w:rPr>
                        <w:rFonts w:hint="default" w:eastAsia="宋体"/>
                        <w:lang w:val="en-US" w:eastAsia="zh-C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87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2"/>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2"/>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left" w:pos="3565" w:leader="none"/>
        <w:tab w:val="clear" w:pos="4153" w:leader="none"/>
        <w:tab w:val="clear" w:pos="8306" w:leader="none"/>
      </w:tabs>
      <w:rPr>
        <w:color w:val="000000"/>
      </w:rPr>
      <w:pBdr>
        <w:bottom w:val="none" w:color="auto"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11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40"/>
      <w:isLgl w:val="false"/>
      <w:suff w:val="tab"/>
      <w:lvlText w:val="第%1章"/>
      <w:lvlJc w:val="left"/>
      <w:pPr>
        <w:ind w:left="9351" w:hanging="420"/>
      </w:pPr>
      <w:rPr>
        <w:rFonts w:hint="eastAsia" w:ascii="黑体" w:eastAsia="黑体"/>
        <w:b w:val="0"/>
        <w:sz w:val="36"/>
        <w:lang w:val="en-US"/>
      </w:rPr>
    </w:lvl>
    <w:lvl w:ilvl="1">
      <w:start w:val="1"/>
      <w:numFmt w:val="decimal"/>
      <w:pStyle w:val="1129"/>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30"/>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2"/>
  </w:num>
  <w:num w:numId="5">
    <w:abstractNumId w:val="4"/>
  </w:num>
  <w:num w:numId="6">
    <w:abstractNumId w:val="0"/>
  </w:num>
  <w:num w:numId="7">
    <w:abstractNumId w:val="3"/>
  </w:num>
  <w:num w:numId="8">
    <w:abstractNumId w:val="9"/>
  </w:num>
  <w:num w:numId="9">
    <w:abstractNumId w:val="1"/>
  </w:num>
  <w:num w:numId="10">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82"/>
    <w:link w:val="1077"/>
    <w:uiPriority w:val="9"/>
    <w:rPr>
      <w:rFonts w:ascii="Arial" w:hAnsi="Arial" w:eastAsia="Arial" w:cs="Arial"/>
      <w:sz w:val="40"/>
      <w:szCs w:val="40"/>
    </w:rPr>
  </w:style>
  <w:style w:type="character" w:styleId="15">
    <w:name w:val="Heading 2 Char"/>
    <w:basedOn w:val="1082"/>
    <w:link w:val="1078"/>
    <w:uiPriority w:val="9"/>
    <w:rPr>
      <w:rFonts w:ascii="Arial" w:hAnsi="Arial" w:eastAsia="Arial" w:cs="Arial"/>
      <w:sz w:val="34"/>
    </w:rPr>
  </w:style>
  <w:style w:type="character" w:styleId="17">
    <w:name w:val="Heading 3 Char"/>
    <w:basedOn w:val="1082"/>
    <w:link w:val="1079"/>
    <w:uiPriority w:val="9"/>
    <w:rPr>
      <w:rFonts w:ascii="Arial" w:hAnsi="Arial" w:eastAsia="Arial" w:cs="Arial"/>
      <w:sz w:val="30"/>
      <w:szCs w:val="30"/>
    </w:rPr>
  </w:style>
  <w:style w:type="character" w:styleId="19">
    <w:name w:val="Heading 4 Char"/>
    <w:basedOn w:val="1082"/>
    <w:link w:val="1080"/>
    <w:uiPriority w:val="9"/>
    <w:rPr>
      <w:rFonts w:ascii="Arial" w:hAnsi="Arial" w:eastAsia="Arial" w:cs="Arial"/>
      <w:b/>
      <w:bCs/>
      <w:sz w:val="26"/>
      <w:szCs w:val="26"/>
    </w:rPr>
  </w:style>
  <w:style w:type="character" w:styleId="21">
    <w:name w:val="Heading 5 Char"/>
    <w:basedOn w:val="1082"/>
    <w:link w:val="1081"/>
    <w:uiPriority w:val="9"/>
    <w:rPr>
      <w:rFonts w:ascii="Arial" w:hAnsi="Arial" w:eastAsia="Arial" w:cs="Arial"/>
      <w:b/>
      <w:bCs/>
      <w:sz w:val="24"/>
      <w:szCs w:val="24"/>
    </w:rPr>
  </w:style>
  <w:style w:type="paragraph" w:styleId="22">
    <w:name w:val="Heading 6"/>
    <w:basedOn w:val="1076"/>
    <w:next w:val="10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82"/>
    <w:link w:val="22"/>
    <w:uiPriority w:val="9"/>
    <w:rPr>
      <w:rFonts w:ascii="Arial" w:hAnsi="Arial" w:eastAsia="Arial" w:cs="Arial"/>
      <w:b/>
      <w:bCs/>
      <w:sz w:val="22"/>
      <w:szCs w:val="22"/>
    </w:rPr>
  </w:style>
  <w:style w:type="paragraph" w:styleId="24">
    <w:name w:val="Heading 7"/>
    <w:basedOn w:val="1076"/>
    <w:next w:val="10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82"/>
    <w:link w:val="24"/>
    <w:uiPriority w:val="9"/>
    <w:rPr>
      <w:rFonts w:ascii="Arial" w:hAnsi="Arial" w:eastAsia="Arial" w:cs="Arial"/>
      <w:b/>
      <w:bCs/>
      <w:i/>
      <w:iCs/>
      <w:sz w:val="22"/>
      <w:szCs w:val="22"/>
    </w:rPr>
  </w:style>
  <w:style w:type="paragraph" w:styleId="26">
    <w:name w:val="Heading 8"/>
    <w:basedOn w:val="1076"/>
    <w:next w:val="10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82"/>
    <w:link w:val="26"/>
    <w:uiPriority w:val="9"/>
    <w:rPr>
      <w:rFonts w:ascii="Arial" w:hAnsi="Arial" w:eastAsia="Arial" w:cs="Arial"/>
      <w:i/>
      <w:iCs/>
      <w:sz w:val="22"/>
      <w:szCs w:val="22"/>
    </w:rPr>
  </w:style>
  <w:style w:type="paragraph" w:styleId="28">
    <w:name w:val="Heading 9"/>
    <w:basedOn w:val="1076"/>
    <w:next w:val="10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76"/>
    <w:next w:val="1076"/>
    <w:link w:val="34"/>
    <w:uiPriority w:val="10"/>
    <w:qFormat/>
    <w:pPr>
      <w:contextualSpacing/>
      <w:spacing w:before="300" w:after="200"/>
    </w:pPr>
    <w:rPr>
      <w:sz w:val="48"/>
      <w:szCs w:val="48"/>
    </w:rPr>
  </w:style>
  <w:style w:type="character" w:styleId="34">
    <w:name w:val="Title Char"/>
    <w:basedOn w:val="1082"/>
    <w:link w:val="33"/>
    <w:uiPriority w:val="10"/>
    <w:rPr>
      <w:sz w:val="48"/>
      <w:szCs w:val="48"/>
    </w:rPr>
  </w:style>
  <w:style w:type="paragraph" w:styleId="35">
    <w:name w:val="Subtitle"/>
    <w:basedOn w:val="1076"/>
    <w:next w:val="1076"/>
    <w:link w:val="36"/>
    <w:uiPriority w:val="11"/>
    <w:qFormat/>
    <w:pPr>
      <w:spacing w:before="200" w:after="200"/>
    </w:pPr>
    <w:rPr>
      <w:sz w:val="24"/>
      <w:szCs w:val="24"/>
    </w:rPr>
  </w:style>
  <w:style w:type="character" w:styleId="36">
    <w:name w:val="Subtitle Char"/>
    <w:basedOn w:val="1082"/>
    <w:link w:val="35"/>
    <w:uiPriority w:val="11"/>
    <w:rPr>
      <w:sz w:val="24"/>
      <w:szCs w:val="24"/>
    </w:rPr>
  </w:style>
  <w:style w:type="paragraph" w:styleId="37">
    <w:name w:val="Quote"/>
    <w:basedOn w:val="1076"/>
    <w:next w:val="1076"/>
    <w:link w:val="38"/>
    <w:uiPriority w:val="29"/>
    <w:qFormat/>
    <w:pPr>
      <w:ind w:left="720" w:right="720"/>
    </w:pPr>
    <w:rPr>
      <w:i/>
    </w:rPr>
  </w:style>
  <w:style w:type="character" w:styleId="38">
    <w:name w:val="Quote Char"/>
    <w:link w:val="37"/>
    <w:uiPriority w:val="29"/>
    <w:rPr>
      <w:i/>
    </w:rPr>
  </w:style>
  <w:style w:type="paragraph" w:styleId="39">
    <w:name w:val="Intense Quote"/>
    <w:basedOn w:val="1076"/>
    <w:next w:val="10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82"/>
    <w:link w:val="1103"/>
    <w:uiPriority w:val="99"/>
  </w:style>
  <w:style w:type="character" w:styleId="44">
    <w:name w:val="Footer Char"/>
    <w:basedOn w:val="1082"/>
    <w:link w:val="1102"/>
    <w:uiPriority w:val="99"/>
  </w:style>
  <w:style w:type="paragraph" w:styleId="45">
    <w:name w:val="Caption"/>
    <w:basedOn w:val="1076"/>
    <w:next w:val="1076"/>
    <w:uiPriority w:val="35"/>
    <w:semiHidden/>
    <w:unhideWhenUsed/>
    <w:qFormat/>
    <w:pPr>
      <w:spacing w:line="276" w:lineRule="auto"/>
    </w:pPr>
    <w:rPr>
      <w:b/>
      <w:bCs/>
      <w:color w:val="4f81bd" w:themeColor="accent1"/>
      <w:sz w:val="18"/>
      <w:szCs w:val="18"/>
    </w:rPr>
  </w:style>
  <w:style w:type="character" w:styleId="46">
    <w:name w:val="Caption Char"/>
    <w:basedOn w:val="45"/>
    <w:link w:val="1102"/>
    <w:uiPriority w:val="99"/>
  </w:style>
  <w:style w:type="table" w:styleId="48">
    <w:name w:val="Table Grid Light"/>
    <w:basedOn w:val="10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82"/>
    <w:uiPriority w:val="99"/>
    <w:unhideWhenUsed/>
    <w:rPr>
      <w:vertAlign w:val="superscript"/>
    </w:rPr>
  </w:style>
  <w:style w:type="paragraph" w:styleId="177">
    <w:name w:val="endnote text"/>
    <w:basedOn w:val="10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82"/>
    <w:uiPriority w:val="99"/>
    <w:semiHidden/>
    <w:unhideWhenUsed/>
    <w:rPr>
      <w:vertAlign w:val="superscript"/>
    </w:rPr>
  </w:style>
  <w:style w:type="paragraph" w:styleId="189">
    <w:name w:val="TOC Heading"/>
    <w:uiPriority w:val="39"/>
    <w:unhideWhenUsed/>
  </w:style>
  <w:style w:type="paragraph" w:styleId="190">
    <w:name w:val="table of figures"/>
    <w:basedOn w:val="1076"/>
    <w:next w:val="1076"/>
    <w:uiPriority w:val="99"/>
    <w:unhideWhenUsed/>
    <w:pPr>
      <w:spacing w:after="0" w:afterAutospacing="0"/>
    </w:pPr>
  </w:style>
  <w:style w:type="paragraph" w:styleId="10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7">
    <w:name w:val="Heading 1"/>
    <w:basedOn w:val="1076"/>
    <w:next w:val="1076"/>
    <w:link w:val="1150"/>
    <w:uiPriority w:val="0"/>
    <w:qFormat/>
    <w:pPr>
      <w:keepNext/>
      <w:outlineLvl w:val="0"/>
    </w:pPr>
    <w:rPr>
      <w:rFonts w:ascii="楷体_GB2312" w:eastAsia="楷体_GB2312"/>
      <w:sz w:val="28"/>
      <w:szCs w:val="20"/>
    </w:rPr>
  </w:style>
  <w:style w:type="paragraph" w:styleId="1078">
    <w:name w:val="Heading 2"/>
    <w:basedOn w:val="1076"/>
    <w:next w:val="1076"/>
    <w:link w:val="1151"/>
    <w:uiPriority w:val="0"/>
    <w:qFormat/>
    <w:pPr>
      <w:jc w:val="center"/>
      <w:keepLines/>
      <w:keepNext/>
      <w:spacing w:before="260" w:after="260" w:line="416" w:lineRule="auto"/>
      <w:outlineLvl w:val="1"/>
    </w:pPr>
    <w:rPr>
      <w:rFonts w:ascii="Arial" w:hAnsi="Arial" w:eastAsia="幼圆"/>
      <w:b/>
      <w:sz w:val="44"/>
      <w:szCs w:val="20"/>
    </w:rPr>
  </w:style>
  <w:style w:type="paragraph" w:styleId="1079">
    <w:name w:val="Heading 3"/>
    <w:basedOn w:val="1076"/>
    <w:next w:val="1076"/>
    <w:uiPriority w:val="0"/>
    <w:qFormat/>
    <w:pPr>
      <w:keepLines/>
      <w:keepNext/>
      <w:spacing w:before="260" w:after="260" w:line="416" w:lineRule="auto"/>
      <w:outlineLvl w:val="2"/>
    </w:pPr>
    <w:rPr>
      <w:b/>
      <w:sz w:val="32"/>
      <w:szCs w:val="20"/>
    </w:rPr>
  </w:style>
  <w:style w:type="paragraph" w:styleId="1080">
    <w:name w:val="Heading 4"/>
    <w:basedOn w:val="1076"/>
    <w:next w:val="1076"/>
    <w:uiPriority w:val="0"/>
    <w:qFormat/>
    <w:pPr>
      <w:keepLines/>
      <w:keepNext/>
      <w:spacing w:before="280" w:after="290" w:line="376" w:lineRule="auto"/>
      <w:outlineLvl w:val="3"/>
    </w:pPr>
    <w:rPr>
      <w:rFonts w:ascii="Arial" w:hAnsi="Arial" w:eastAsia="黑体"/>
      <w:b/>
      <w:bCs/>
      <w:sz w:val="28"/>
      <w:szCs w:val="28"/>
    </w:rPr>
  </w:style>
  <w:style w:type="paragraph" w:styleId="1081">
    <w:name w:val="Heading 5"/>
    <w:basedOn w:val="1076"/>
    <w:next w:val="1076"/>
    <w:uiPriority w:val="0"/>
    <w:qFormat/>
    <w:pPr>
      <w:keepNext/>
      <w:outlineLvl w:val="4"/>
    </w:pPr>
    <w:rPr>
      <w:rFonts w:ascii="宋体" w:hAnsi="宋体"/>
      <w:b/>
      <w:bCs/>
    </w:rPr>
  </w:style>
  <w:style w:type="character" w:styleId="1082" w:default="1">
    <w:name w:val="Default Paragraph Font"/>
    <w:uiPriority w:val="1"/>
    <w:semiHidden/>
    <w:unhideWhenUsed/>
    <w:qFormat/>
  </w:style>
  <w:style w:type="table" w:styleId="1083" w:default="1">
    <w:name w:val="Normal Table"/>
    <w:uiPriority w:val="99"/>
    <w:semiHidden/>
    <w:unhideWhenUsed/>
    <w:qFormat/>
    <w:tblPr>
      <w:tblCellMar>
        <w:left w:w="108" w:type="dxa"/>
        <w:top w:w="0" w:type="dxa"/>
        <w:right w:w="108" w:type="dxa"/>
        <w:bottom w:w="0" w:type="dxa"/>
      </w:tblCellMar>
    </w:tblPr>
  </w:style>
  <w:style w:type="paragraph" w:styleId="1084">
    <w:name w:val="toc 7"/>
    <w:basedOn w:val="1076"/>
    <w:next w:val="1076"/>
    <w:uiPriority w:val="0"/>
    <w:semiHidden/>
    <w:qFormat/>
    <w:pPr>
      <w:ind w:left="2520"/>
    </w:pPr>
  </w:style>
  <w:style w:type="paragraph" w:styleId="1085">
    <w:name w:val="Normal Indent"/>
    <w:basedOn w:val="1076"/>
    <w:link w:val="1152"/>
    <w:uiPriority w:val="0"/>
    <w:qFormat/>
    <w:pPr>
      <w:ind w:firstLine="420"/>
    </w:pPr>
    <w:rPr>
      <w:szCs w:val="20"/>
    </w:rPr>
  </w:style>
  <w:style w:type="paragraph" w:styleId="1086">
    <w:name w:val="Document Map"/>
    <w:basedOn w:val="1076"/>
    <w:uiPriority w:val="0"/>
    <w:semiHidden/>
    <w:qFormat/>
    <w:pPr>
      <w:shd w:val="clear" w:color="auto" w:fill="000080"/>
    </w:pPr>
  </w:style>
  <w:style w:type="paragraph" w:styleId="1087">
    <w:name w:val="toa heading"/>
    <w:basedOn w:val="1076"/>
    <w:next w:val="1076"/>
    <w:uiPriority w:val="0"/>
    <w:qFormat/>
    <w:pPr>
      <w:spacing w:before="120"/>
    </w:pPr>
    <w:rPr>
      <w:rFonts w:ascii="Arial" w:hAnsi="Arial" w:cs="Arial"/>
      <w:sz w:val="24"/>
    </w:rPr>
  </w:style>
  <w:style w:type="paragraph" w:styleId="1088">
    <w:name w:val="annotation text"/>
    <w:basedOn w:val="1076"/>
    <w:link w:val="1153"/>
    <w:uiPriority w:val="99"/>
    <w:qFormat/>
    <w:pPr>
      <w:jc w:val="left"/>
    </w:pPr>
  </w:style>
  <w:style w:type="paragraph" w:styleId="1089">
    <w:name w:val="Body Text 3"/>
    <w:basedOn w:val="1076"/>
    <w:uiPriority w:val="0"/>
    <w:qFormat/>
    <w:rPr>
      <w:rFonts w:ascii="仿宋_GB2312" w:hAnsi="Arial" w:eastAsia="仿宋_GB2312"/>
      <w:sz w:val="32"/>
      <w:szCs w:val="20"/>
    </w:rPr>
  </w:style>
  <w:style w:type="paragraph" w:styleId="1090">
    <w:name w:val="Body Text"/>
    <w:basedOn w:val="1076"/>
    <w:next w:val="1091"/>
    <w:link w:val="1148"/>
    <w:uiPriority w:val="0"/>
    <w:qFormat/>
    <w:rPr>
      <w:rFonts w:ascii="楷体_GB2312" w:hAnsi="Arial" w:eastAsia="楷体_GB2312"/>
      <w:sz w:val="28"/>
      <w:szCs w:val="20"/>
    </w:rPr>
  </w:style>
  <w:style w:type="paragraph" w:styleId="1091"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1092">
    <w:name w:val="Body Text Indent"/>
    <w:basedOn w:val="1076"/>
    <w:next w:val="1093"/>
    <w:link w:val="1154"/>
    <w:uiPriority w:val="0"/>
    <w:qFormat/>
    <w:pPr>
      <w:ind w:firstLine="645"/>
    </w:pPr>
    <w:rPr>
      <w:rFonts w:ascii="楷体_GB2312" w:eastAsia="楷体_GB2312"/>
      <w:sz w:val="32"/>
      <w:szCs w:val="20"/>
    </w:rPr>
  </w:style>
  <w:style w:type="paragraph" w:styleId="1093">
    <w:name w:val="envelope return"/>
    <w:basedOn w:val="1076"/>
    <w:uiPriority w:val="0"/>
    <w:qFormat/>
    <w:rPr>
      <w:rFonts w:ascii="Arial" w:hAnsi="Arial"/>
    </w:rPr>
  </w:style>
  <w:style w:type="paragraph" w:styleId="1094">
    <w:name w:val="Block Text"/>
    <w:basedOn w:val="1076"/>
    <w:uiPriority w:val="99"/>
    <w:unhideWhenUsed/>
    <w:qFormat/>
    <w:pPr>
      <w:ind w:left="1440" w:right="1440"/>
      <w:spacing w:after="120"/>
    </w:pPr>
  </w:style>
  <w:style w:type="paragraph" w:styleId="1095">
    <w:name w:val="toc 5"/>
    <w:basedOn w:val="1076"/>
    <w:next w:val="1076"/>
    <w:uiPriority w:val="0"/>
    <w:semiHidden/>
    <w:qFormat/>
    <w:pPr>
      <w:ind w:left="1680"/>
    </w:pPr>
  </w:style>
  <w:style w:type="paragraph" w:styleId="1096">
    <w:name w:val="toc 3"/>
    <w:basedOn w:val="1076"/>
    <w:next w:val="107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97">
    <w:name w:val="Plain Text"/>
    <w:basedOn w:val="1076"/>
    <w:uiPriority w:val="0"/>
    <w:qFormat/>
    <w:rPr>
      <w:rFonts w:hint="eastAsia" w:ascii="宋体" w:hAnsi="Courier New"/>
      <w:szCs w:val="20"/>
    </w:rPr>
  </w:style>
  <w:style w:type="paragraph" w:styleId="1098">
    <w:name w:val="toc 8"/>
    <w:basedOn w:val="1076"/>
    <w:next w:val="1076"/>
    <w:uiPriority w:val="0"/>
    <w:semiHidden/>
    <w:qFormat/>
    <w:pPr>
      <w:ind w:left="2940"/>
    </w:pPr>
  </w:style>
  <w:style w:type="paragraph" w:styleId="1099">
    <w:name w:val="Date"/>
    <w:basedOn w:val="1076"/>
    <w:next w:val="1076"/>
    <w:uiPriority w:val="0"/>
    <w:qFormat/>
    <w:rPr>
      <w:sz w:val="24"/>
      <w:szCs w:val="20"/>
    </w:rPr>
  </w:style>
  <w:style w:type="paragraph" w:styleId="1100">
    <w:name w:val="Body Text Indent 2"/>
    <w:basedOn w:val="1076"/>
    <w:uiPriority w:val="0"/>
    <w:qFormat/>
    <w:pPr>
      <w:ind w:firstLine="560"/>
    </w:pPr>
    <w:rPr>
      <w:rFonts w:ascii="宋体" w:hAnsi="宋体"/>
      <w:sz w:val="28"/>
    </w:rPr>
  </w:style>
  <w:style w:type="paragraph" w:styleId="1101">
    <w:name w:val="Balloon Text"/>
    <w:basedOn w:val="1076"/>
    <w:uiPriority w:val="0"/>
    <w:semiHidden/>
    <w:qFormat/>
    <w:rPr>
      <w:sz w:val="18"/>
      <w:szCs w:val="18"/>
    </w:rPr>
  </w:style>
  <w:style w:type="paragraph" w:styleId="1102">
    <w:name w:val="Footer"/>
    <w:basedOn w:val="1076"/>
    <w:uiPriority w:val="0"/>
    <w:qFormat/>
    <w:pPr>
      <w:jc w:val="left"/>
      <w:tabs>
        <w:tab w:val="center" w:pos="4153" w:leader="none"/>
        <w:tab w:val="right" w:pos="8306" w:leader="none"/>
      </w:tabs>
    </w:pPr>
    <w:rPr>
      <w:sz w:val="18"/>
      <w:szCs w:val="20"/>
    </w:rPr>
  </w:style>
  <w:style w:type="paragraph" w:styleId="1103">
    <w:name w:val="Header"/>
    <w:basedOn w:val="1076"/>
    <w:uiPriority w:val="0"/>
    <w:qFormat/>
    <w:pPr>
      <w:jc w:val="center"/>
      <w:tabs>
        <w:tab w:val="center" w:pos="4153" w:leader="none"/>
        <w:tab w:val="right" w:pos="8306" w:leader="none"/>
      </w:tabs>
      <w:pBdr>
        <w:bottom w:val="single" w:color="auto" w:sz="6" w:space="1"/>
      </w:pBdr>
    </w:pPr>
    <w:rPr>
      <w:sz w:val="18"/>
      <w:szCs w:val="18"/>
    </w:rPr>
  </w:style>
  <w:style w:type="paragraph" w:styleId="1104">
    <w:name w:val="toc 1"/>
    <w:basedOn w:val="1076"/>
    <w:next w:val="107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05">
    <w:name w:val="toc 4"/>
    <w:basedOn w:val="1076"/>
    <w:next w:val="1076"/>
    <w:uiPriority w:val="0"/>
    <w:semiHidden/>
    <w:qFormat/>
    <w:pPr>
      <w:ind w:left="1260"/>
    </w:pPr>
  </w:style>
  <w:style w:type="paragraph" w:styleId="1106">
    <w:name w:val="toc 6"/>
    <w:basedOn w:val="1076"/>
    <w:next w:val="1076"/>
    <w:uiPriority w:val="0"/>
    <w:semiHidden/>
    <w:qFormat/>
    <w:pPr>
      <w:ind w:left="2100"/>
    </w:pPr>
  </w:style>
  <w:style w:type="paragraph" w:styleId="1107">
    <w:name w:val="Body Text Indent 3"/>
    <w:basedOn w:val="1076"/>
    <w:uiPriority w:val="0"/>
    <w:qFormat/>
    <w:pPr>
      <w:ind w:firstLine="523"/>
    </w:pPr>
    <w:rPr>
      <w:rFonts w:ascii="仿宋_GB2312" w:hAnsi="宋体" w:eastAsia="仿宋_GB2312"/>
      <w:sz w:val="24"/>
    </w:rPr>
  </w:style>
  <w:style w:type="paragraph" w:styleId="1108">
    <w:name w:val="toc 2"/>
    <w:basedOn w:val="1076"/>
    <w:next w:val="1076"/>
    <w:uiPriority w:val="0"/>
    <w:semiHidden/>
    <w:qFormat/>
    <w:pPr>
      <w:jc w:val="left"/>
      <w:spacing w:line="260" w:lineRule="exact"/>
      <w:tabs>
        <w:tab w:val="right" w:pos="9440" w:leader="dot"/>
      </w:tabs>
    </w:pPr>
    <w:rPr>
      <w:rFonts w:ascii="黑体" w:eastAsia="黑体"/>
      <w:b/>
      <w:bCs/>
      <w:smallCaps/>
      <w:sz w:val="18"/>
      <w:szCs w:val="44"/>
    </w:rPr>
  </w:style>
  <w:style w:type="paragraph" w:styleId="1109">
    <w:name w:val="toc 9"/>
    <w:basedOn w:val="1076"/>
    <w:next w:val="1076"/>
    <w:uiPriority w:val="0"/>
    <w:semiHidden/>
    <w:qFormat/>
    <w:pPr>
      <w:ind w:left="3360"/>
    </w:pPr>
  </w:style>
  <w:style w:type="paragraph" w:styleId="1110">
    <w:name w:val="Body Text 2"/>
    <w:basedOn w:val="1076"/>
    <w:uiPriority w:val="0"/>
    <w:qFormat/>
    <w:pPr>
      <w:jc w:val="center"/>
    </w:pPr>
    <w:rPr>
      <w:rFonts w:ascii="仿宋_GB2312" w:eastAsia="仿宋_GB2312"/>
      <w:sz w:val="44"/>
    </w:rPr>
  </w:style>
  <w:style w:type="paragraph" w:styleId="1111">
    <w:name w:val="HTML Preformatted"/>
    <w:basedOn w:val="1076"/>
    <w:link w:val="11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2">
    <w:name w:val="Normal (Web)"/>
    <w:basedOn w:val="1076"/>
    <w:uiPriority w:val="0"/>
    <w:unhideWhenUsed/>
    <w:qFormat/>
    <w:pPr>
      <w:jc w:val="left"/>
      <w:spacing w:before="100" w:beforeAutospacing="1" w:after="100" w:afterAutospacing="1"/>
      <w:widowControl/>
    </w:pPr>
    <w:rPr>
      <w:rFonts w:ascii="宋体" w:hAnsi="宋体" w:cs="宋体"/>
      <w:sz w:val="24"/>
    </w:rPr>
  </w:style>
  <w:style w:type="paragraph" w:styleId="1113">
    <w:name w:val="index 1"/>
    <w:basedOn w:val="1076"/>
    <w:next w:val="1076"/>
    <w:uiPriority w:val="0"/>
    <w:semiHidden/>
    <w:qFormat/>
    <w:rPr>
      <w:rFonts w:ascii="宋体" w:hAnsi="宋体"/>
      <w:szCs w:val="18"/>
    </w:rPr>
  </w:style>
  <w:style w:type="paragraph" w:styleId="1114">
    <w:name w:val="annotation subject"/>
    <w:basedOn w:val="1088"/>
    <w:next w:val="1088"/>
    <w:link w:val="1156"/>
    <w:uiPriority w:val="0"/>
    <w:qFormat/>
    <w:rPr>
      <w:b/>
      <w:bCs/>
    </w:rPr>
  </w:style>
  <w:style w:type="paragraph" w:styleId="1115">
    <w:name w:val="Body Text First Indent"/>
    <w:basedOn w:val="1090"/>
    <w:next w:val="1106"/>
    <w:link w:val="1149"/>
    <w:uiPriority w:val="0"/>
    <w:qFormat/>
    <w:pPr>
      <w:ind w:firstLine="420"/>
      <w:spacing w:after="120"/>
    </w:pPr>
    <w:rPr>
      <w:sz w:val="21"/>
      <w:szCs w:val="24"/>
    </w:rPr>
  </w:style>
  <w:style w:type="paragraph" w:styleId="1116">
    <w:name w:val="Body Text First Indent 2"/>
    <w:basedOn w:val="1092"/>
    <w:next w:val="1076"/>
    <w:link w:val="1157"/>
    <w:uiPriority w:val="0"/>
    <w:qFormat/>
    <w:pPr>
      <w:ind w:left="420" w:firstLine="420"/>
      <w:spacing w:after="120"/>
    </w:pPr>
    <w:rPr>
      <w:sz w:val="21"/>
      <w:szCs w:val="24"/>
    </w:rPr>
  </w:style>
  <w:style w:type="table" w:styleId="1117">
    <w:name w:val="Table Grid"/>
    <w:basedOn w:val="10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8">
    <w:name w:val="Strong"/>
    <w:uiPriority w:val="0"/>
    <w:qFormat/>
    <w:rPr>
      <w:b/>
      <w:bCs/>
    </w:rPr>
  </w:style>
  <w:style w:type="character" w:styleId="1119">
    <w:name w:val="page number"/>
    <w:uiPriority w:val="0"/>
    <w:qFormat/>
  </w:style>
  <w:style w:type="character" w:styleId="1120">
    <w:name w:val="FollowedHyperlink"/>
    <w:uiPriority w:val="0"/>
    <w:qFormat/>
    <w:rPr>
      <w:color w:val="800080"/>
      <w:u w:val="single"/>
    </w:rPr>
  </w:style>
  <w:style w:type="character" w:styleId="1121">
    <w:name w:val="Hyperlink"/>
    <w:uiPriority w:val="0"/>
    <w:qFormat/>
    <w:rPr>
      <w:color w:val="0000ff"/>
      <w:u w:val="single"/>
    </w:rPr>
  </w:style>
  <w:style w:type="character" w:styleId="1122">
    <w:name w:val="annotation reference"/>
    <w:uiPriority w:val="99"/>
    <w:qFormat/>
    <w:rPr>
      <w:sz w:val="21"/>
      <w:szCs w:val="21"/>
    </w:rPr>
  </w:style>
  <w:style w:type="paragraph" w:styleId="1123" w:customStyle="1">
    <w:name w:val="普通正文"/>
    <w:basedOn w:val="1076"/>
    <w:link w:val="1158"/>
    <w:uiPriority w:val="0"/>
    <w:qFormat/>
    <w:pPr>
      <w:ind w:firstLine="480"/>
      <w:jc w:val="left"/>
      <w:spacing w:before="120" w:after="120" w:line="360" w:lineRule="auto"/>
    </w:pPr>
    <w:rPr>
      <w:rFonts w:ascii="Arial" w:hAnsi="Arial"/>
      <w:sz w:val="24"/>
    </w:rPr>
  </w:style>
  <w:style w:type="paragraph" w:styleId="1124" w:customStyle="1">
    <w:name w:val="列出段落1"/>
    <w:basedOn w:val="1076"/>
    <w:link w:val="1159"/>
    <w:uiPriority w:val="0"/>
    <w:qFormat/>
    <w:pPr>
      <w:contextualSpacing/>
      <w:ind w:left="720"/>
      <w:jc w:val="left"/>
      <w:widowControl/>
    </w:pPr>
    <w:rPr>
      <w:sz w:val="24"/>
      <w:lang w:eastAsia="en-US" w:bidi="en-US"/>
    </w:rPr>
  </w:style>
  <w:style w:type="paragraph" w:styleId="1125" w:customStyle="1">
    <w:name w:val="标题3"/>
    <w:basedOn w:val="1076"/>
    <w:next w:val="1076"/>
    <w:uiPriority w:val="0"/>
    <w:qFormat/>
    <w:rPr>
      <w:rFonts w:eastAsia="方正黑体_GBK"/>
    </w:rPr>
  </w:style>
  <w:style w:type="paragraph" w:styleId="1126"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127" w:customStyle="1">
    <w:name w:val="Char Char Char Char1 Char Char"/>
    <w:basedOn w:val="1076"/>
    <w:uiPriority w:val="0"/>
    <w:qFormat/>
    <w:pPr>
      <w:tabs>
        <w:tab w:val="left" w:pos="360" w:leader="none"/>
      </w:tabs>
    </w:pPr>
    <w:rPr>
      <w:sz w:val="24"/>
    </w:rPr>
  </w:style>
  <w:style w:type="paragraph" w:styleId="1128" w:customStyle="1">
    <w:name w:val="正文空2格  1."/>
    <w:basedOn w:val="1076"/>
    <w:uiPriority w:val="0"/>
    <w:qFormat/>
    <w:pPr>
      <w:ind w:firstLine="480"/>
      <w:spacing w:line="360" w:lineRule="auto"/>
    </w:pPr>
    <w:rPr>
      <w:rFonts w:ascii="宋体" w:eastAsia="仿宋" w:cs="宋体"/>
      <w:sz w:val="28"/>
      <w:szCs w:val="20"/>
    </w:rPr>
  </w:style>
  <w:style w:type="paragraph" w:styleId="1129" w:customStyle="1">
    <w:name w:val="正文 1.1"/>
    <w:basedOn w:val="1076"/>
    <w:next w:val="1130"/>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30" w:customStyle="1">
    <w:name w:val="正文 1.1.1"/>
    <w:basedOn w:val="1076"/>
    <w:next w:val="1076"/>
    <w:uiPriority w:val="0"/>
    <w:qFormat/>
    <w:pPr>
      <w:numPr>
        <w:ilvl w:val="2"/>
        <w:numId w:val="2"/>
      </w:numPr>
      <w:spacing w:line="360" w:lineRule="auto"/>
      <w:outlineLvl w:val="2"/>
    </w:pPr>
    <w:rPr>
      <w:rFonts w:ascii="宋体" w:hAnsi="宋体"/>
      <w:color w:val="000000"/>
      <w:sz w:val="28"/>
      <w:szCs w:val="21"/>
    </w:rPr>
  </w:style>
  <w:style w:type="paragraph" w:styleId="1131" w:customStyle="1">
    <w:name w:val="默认段落字体 Para Char Char Char Char Char Char Char Char Char1 Char Char Char Char Char Char Char"/>
    <w:basedOn w:val="1086"/>
    <w:uiPriority w:val="0"/>
    <w:qFormat/>
    <w:rPr>
      <w:rFonts w:ascii="Tahoma" w:hAnsi="Tahoma"/>
      <w:sz w:val="24"/>
    </w:rPr>
  </w:style>
  <w:style w:type="paragraph" w:styleId="1132" w:customStyle="1">
    <w:name w:val="HTML 预先格式化"/>
    <w:basedOn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3">
    <w:name w:val="List Paragraph"/>
    <w:basedOn w:val="1076"/>
    <w:uiPriority w:val="0"/>
    <w:qFormat/>
    <w:pPr>
      <w:ind w:firstLine="420"/>
    </w:pPr>
    <w:rPr>
      <w:rFonts w:ascii="Calibri" w:hAnsi="Calibri"/>
      <w:szCs w:val="22"/>
    </w:rPr>
  </w:style>
  <w:style w:type="paragraph" w:styleId="1134" w:customStyle="1">
    <w:name w:val="xl47"/>
    <w:basedOn w:val="107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5"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36" w:customStyle="1">
    <w:name w:val="标题1"/>
    <w:basedOn w:val="1076"/>
    <w:next w:val="1076"/>
    <w:uiPriority w:val="0"/>
    <w:qFormat/>
    <w:pPr>
      <w:jc w:val="center"/>
      <w:spacing w:line="700" w:lineRule="atLeast"/>
      <w:tabs>
        <w:tab w:val="left" w:pos="9193" w:leader="none"/>
        <w:tab w:val="left" w:pos="9827" w:leader="none"/>
      </w:tabs>
    </w:pPr>
    <w:rPr>
      <w:rFonts w:eastAsia="方正小标宋_GBK"/>
      <w:sz w:val="44"/>
    </w:rPr>
  </w:style>
  <w:style w:type="paragraph" w:styleId="1137" w:customStyle="1">
    <w:name w:val="Coms Alinea"/>
    <w:uiPriority w:val="0"/>
    <w:qFormat/>
    <w:pPr>
      <w:widowControl w:val="off"/>
    </w:pPr>
    <w:rPr>
      <w:rFonts w:ascii="Arial" w:hAnsi="Arial" w:eastAsia="宋体" w:cs="Arial"/>
      <w:lang w:val="en-US" w:eastAsia="zh-CN" w:bidi="ar-SA"/>
    </w:rPr>
  </w:style>
  <w:style w:type="paragraph" w:styleId="1138" w:customStyle="1">
    <w:name w:val="Char Char Char Char"/>
    <w:basedOn w:val="1086"/>
    <w:uiPriority w:val="0"/>
    <w:qFormat/>
    <w:pPr>
      <w:spacing w:line="360" w:lineRule="auto"/>
    </w:pPr>
    <w:rPr>
      <w:rFonts w:ascii="Tahoma" w:hAnsi="Tahoma"/>
      <w:sz w:val="24"/>
    </w:rPr>
  </w:style>
  <w:style w:type="paragraph" w:styleId="1139" w:customStyle="1">
    <w:name w:val="Char"/>
    <w:basedOn w:val="1076"/>
    <w:uiPriority w:val="0"/>
    <w:qFormat/>
    <w:pPr>
      <w:tabs>
        <w:tab w:val="left" w:pos="360" w:leader="none"/>
      </w:tabs>
    </w:pPr>
    <w:rPr>
      <w:sz w:val="24"/>
    </w:rPr>
  </w:style>
  <w:style w:type="paragraph" w:styleId="1140" w:customStyle="1">
    <w:name w:val="正文 第一章"/>
    <w:basedOn w:val="1076"/>
    <w:next w:val="1129"/>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41" w:customStyle="1">
    <w:name w:val="第四级"/>
    <w:basedOn w:val="1076"/>
    <w:next w:val="1076"/>
    <w:uiPriority w:val="0"/>
    <w:qFormat/>
    <w:pPr>
      <w:numPr>
        <w:ilvl w:val="3"/>
        <w:numId w:val="2"/>
      </w:numPr>
      <w:spacing w:line="360" w:lineRule="auto"/>
    </w:pPr>
    <w:rPr>
      <w:rFonts w:ascii="宋体" w:hAnsi="宋体" w:eastAsia="仿宋"/>
      <w:sz w:val="28"/>
      <w:szCs w:val="21"/>
    </w:rPr>
  </w:style>
  <w:style w:type="paragraph" w:styleId="1142" w:customStyle="1">
    <w:name w:val="Char Char Char Char1 Char Char Char"/>
    <w:basedOn w:val="1086"/>
    <w:uiPriority w:val="0"/>
    <w:qFormat/>
    <w:pPr>
      <w:spacing w:line="360" w:lineRule="auto"/>
    </w:pPr>
    <w:rPr>
      <w:rFonts w:ascii="Tahoma" w:hAnsi="Tahoma"/>
      <w:sz w:val="24"/>
    </w:rPr>
  </w:style>
  <w:style w:type="paragraph" w:styleId="114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44" w:customStyle="1">
    <w:name w:val="BioQuote Tekst"/>
    <w:basedOn w:val="1076"/>
    <w:uiPriority w:val="0"/>
    <w:qFormat/>
    <w:pPr>
      <w:ind w:right="-1"/>
    </w:pPr>
    <w:rPr>
      <w:rFonts w:ascii="Arial" w:hAnsi="Arial"/>
      <w:sz w:val="22"/>
      <w:szCs w:val="20"/>
      <w:lang w:eastAsia="en-US"/>
    </w:rPr>
  </w:style>
  <w:style w:type="paragraph" w:styleId="1145" w:customStyle="1">
    <w:name w:val="_Style 66"/>
    <w:uiPriority w:val="99"/>
    <w:semiHidden/>
    <w:qFormat/>
    <w:rPr>
      <w:rFonts w:ascii="Times New Roman" w:hAnsi="Times New Roman" w:eastAsia="宋体" w:cs="Times New Roman"/>
      <w:sz w:val="21"/>
      <w:szCs w:val="24"/>
      <w:lang w:val="en-US" w:eastAsia="zh-CN" w:bidi="ar-SA"/>
    </w:rPr>
  </w:style>
  <w:style w:type="paragraph" w:styleId="1146" w:customStyle="1">
    <w:name w:val="标题2"/>
    <w:basedOn w:val="1076"/>
    <w:next w:val="1076"/>
    <w:uiPriority w:val="0"/>
    <w:qFormat/>
    <w:pPr>
      <w:jc w:val="center"/>
    </w:pPr>
    <w:rPr>
      <w:rFonts w:eastAsia="方正楷体_GBK"/>
    </w:rPr>
  </w:style>
  <w:style w:type="paragraph" w:styleId="1147" w:customStyle="1">
    <w:name w:val="Char1"/>
    <w:basedOn w:val="1076"/>
    <w:uiPriority w:val="0"/>
    <w:qFormat/>
    <w:rPr>
      <w:rFonts w:ascii="Tahoma" w:hAnsi="Tahoma"/>
      <w:sz w:val="24"/>
      <w:szCs w:val="20"/>
    </w:rPr>
  </w:style>
  <w:style w:type="character" w:styleId="1148" w:customStyle="1">
    <w:name w:val="正文文本 字符"/>
    <w:link w:val="1090"/>
    <w:uiPriority w:val="0"/>
    <w:qFormat/>
    <w:rPr>
      <w:rFonts w:ascii="楷体_GB2312" w:hAnsi="Arial" w:eastAsia="楷体_GB2312"/>
      <w:sz w:val="28"/>
    </w:rPr>
  </w:style>
  <w:style w:type="character" w:styleId="1149" w:customStyle="1">
    <w:name w:val="正文文本首行缩进 字符"/>
    <w:link w:val="1115"/>
    <w:uiPriority w:val="0"/>
    <w:qFormat/>
    <w:rPr>
      <w:rFonts w:ascii="楷体_GB2312" w:hAnsi="Arial" w:eastAsia="楷体_GB2312"/>
      <w:sz w:val="21"/>
      <w:szCs w:val="24"/>
    </w:rPr>
  </w:style>
  <w:style w:type="character" w:styleId="1150" w:customStyle="1">
    <w:name w:val="标题 1 字符"/>
    <w:link w:val="1077"/>
    <w:uiPriority w:val="0"/>
    <w:qFormat/>
    <w:rPr>
      <w:rFonts w:ascii="楷体_GB2312" w:eastAsia="楷体_GB2312"/>
      <w:sz w:val="28"/>
      <w:lang w:val="en-US" w:eastAsia="zh-CN" w:bidi="ar-SA"/>
    </w:rPr>
  </w:style>
  <w:style w:type="character" w:styleId="1151" w:customStyle="1">
    <w:name w:val="标题 2 字符"/>
    <w:link w:val="1078"/>
    <w:uiPriority w:val="0"/>
    <w:qFormat/>
    <w:rPr>
      <w:rFonts w:ascii="Arial" w:hAnsi="Arial" w:eastAsia="幼圆"/>
      <w:b/>
      <w:sz w:val="44"/>
    </w:rPr>
  </w:style>
  <w:style w:type="character" w:styleId="1152" w:customStyle="1">
    <w:name w:val="正文缩进 字符"/>
    <w:link w:val="1085"/>
    <w:uiPriority w:val="0"/>
    <w:qFormat/>
    <w:rPr>
      <w:rFonts w:eastAsia="宋体"/>
      <w:sz w:val="21"/>
      <w:lang w:val="en-US" w:eastAsia="zh-CN" w:bidi="ar-SA"/>
    </w:rPr>
  </w:style>
  <w:style w:type="character" w:styleId="1153" w:customStyle="1">
    <w:name w:val="批注文字 字符"/>
    <w:link w:val="1088"/>
    <w:uiPriority w:val="99"/>
    <w:qFormat/>
    <w:rPr>
      <w:sz w:val="21"/>
      <w:szCs w:val="24"/>
    </w:rPr>
  </w:style>
  <w:style w:type="character" w:styleId="1154" w:customStyle="1">
    <w:name w:val="正文文本缩进 字符"/>
    <w:link w:val="1092"/>
    <w:uiPriority w:val="0"/>
    <w:qFormat/>
    <w:rPr>
      <w:rFonts w:ascii="楷体_GB2312" w:eastAsia="楷体_GB2312"/>
      <w:sz w:val="32"/>
    </w:rPr>
  </w:style>
  <w:style w:type="character" w:styleId="1155" w:customStyle="1">
    <w:name w:val="HTML 预设格式 字符"/>
    <w:link w:val="1111"/>
    <w:uiPriority w:val="0"/>
    <w:qFormat/>
    <w:rPr>
      <w:rFonts w:ascii="黑体" w:hAnsi="Courier New" w:eastAsia="黑体" w:cs="Courier New"/>
    </w:rPr>
  </w:style>
  <w:style w:type="character" w:styleId="1156" w:customStyle="1">
    <w:name w:val="批注主题 字符"/>
    <w:link w:val="1114"/>
    <w:uiPriority w:val="0"/>
    <w:qFormat/>
    <w:rPr>
      <w:b/>
      <w:bCs/>
      <w:sz w:val="21"/>
      <w:szCs w:val="24"/>
    </w:rPr>
  </w:style>
  <w:style w:type="character" w:styleId="1157" w:customStyle="1">
    <w:name w:val="正文文本首行缩进 2 字符"/>
    <w:link w:val="1116"/>
    <w:uiPriority w:val="0"/>
    <w:qFormat/>
    <w:rPr>
      <w:rFonts w:ascii="楷体_GB2312" w:eastAsia="楷体_GB2312"/>
      <w:sz w:val="21"/>
      <w:szCs w:val="24"/>
    </w:rPr>
  </w:style>
  <w:style w:type="character" w:styleId="1158" w:customStyle="1">
    <w:name w:val="普通正文 Char"/>
    <w:link w:val="1123"/>
    <w:uiPriority w:val="0"/>
    <w:qFormat/>
    <w:rPr>
      <w:rFonts w:ascii="Arial" w:hAnsi="Arial"/>
      <w:sz w:val="24"/>
      <w:szCs w:val="24"/>
    </w:rPr>
  </w:style>
  <w:style w:type="character" w:styleId="1159" w:customStyle="1">
    <w:name w:val="列出段落 Char"/>
    <w:link w:val="1124"/>
    <w:uiPriority w:val="0"/>
    <w:qFormat/>
    <w:rPr>
      <w:rFonts w:ascii="Calibri" w:hAnsi="Calibri"/>
      <w:sz w:val="24"/>
      <w:szCs w:val="24"/>
      <w:lang w:eastAsia="en-US" w:bidi="en-US"/>
    </w:rPr>
  </w:style>
  <w:style w:type="character" w:styleId="1160" w:customStyle="1">
    <w:name w:val="apple-converted-space"/>
    <w:uiPriority w:val="0"/>
    <w:qFormat/>
  </w:style>
  <w:style w:type="character" w:styleId="1161" w:customStyle="1">
    <w:name w:val="标题2 Char"/>
    <w:uiPriority w:val="0"/>
    <w:qFormat/>
    <w:rPr>
      <w:rFonts w:ascii="方正楷体_GBK" w:hAnsi="Book Antiqua" w:eastAsia="方正楷体_GBK"/>
      <w:sz w:val="32"/>
      <w:lang w:val="en-US" w:eastAsia="zh-CN" w:bidi="ar-SA"/>
    </w:rPr>
  </w:style>
  <w:style w:type="character" w:styleId="1162" w:customStyle="1">
    <w:name w:val="jj1"/>
    <w:uiPriority w:val="0"/>
    <w:qFormat/>
    <w:rPr>
      <w:sz w:val="20"/>
      <w:szCs w:val="20"/>
      <w:u w:val="none"/>
    </w:rPr>
  </w:style>
  <w:style w:type="paragraph" w:styleId="1163" w:customStyle="1">
    <w:name w:val="正文1"/>
    <w:basedOn w:val="1076"/>
    <w:uiPriority w:val="0"/>
    <w:qFormat/>
    <w:pPr>
      <w:ind w:right="-167"/>
      <w:spacing w:line="440" w:lineRule="exact"/>
      <w:widowControl/>
    </w:pPr>
    <w:rPr>
      <w:b/>
    </w:rPr>
  </w:style>
  <w:style w:type="character" w:styleId="1164" w:customStyle="1">
    <w:name w:val="NormalCharacter"/>
    <w:uiPriority w:val="0"/>
    <w:qFormat/>
    <w:rPr>
      <w:rFonts w:ascii="Times New Roman" w:hAnsi="Times New Roman" w:eastAsia="宋体" w:cs="Times New Roman"/>
      <w:sz w:val="21"/>
      <w:szCs w:val="24"/>
      <w:lang w:val="en-US" w:eastAsia="zh-CN" w:bidi="ar-SA"/>
    </w:rPr>
  </w:style>
  <w:style w:type="paragraph" w:styleId="1165" w:customStyle="1">
    <w:name w:val="首行缩进"/>
    <w:basedOn w:val="1076"/>
    <w:uiPriority w:val="0"/>
    <w:qFormat/>
    <w:pPr>
      <w:ind w:firstLine="480"/>
      <w:spacing w:line="360" w:lineRule="auto"/>
    </w:pPr>
    <w:rPr>
      <w:rFonts w:ascii="宋体" w:hAnsi="宋体" w:cs="宋体"/>
      <w:sz w:val="24"/>
    </w:rPr>
  </w:style>
  <w:style w:type="paragraph" w:styleId="1166" w:customStyle="1">
    <w:name w:val="_Style 7"/>
    <w:basedOn w:val="1076"/>
    <w:next w:val="1133"/>
    <w:uiPriority w:val="34"/>
    <w:qFormat/>
    <w:pPr>
      <w:ind w:firstLine="420"/>
    </w:pPr>
  </w:style>
  <w:style w:type="paragraph" w:styleId="11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68" w:customStyle="1">
    <w:name w:val="正文文本 21"/>
    <w:basedOn w:val="1076"/>
    <w:uiPriority w:val="0"/>
    <w:qFormat/>
    <w:pPr>
      <w:jc w:val="center"/>
      <w:widowControl/>
    </w:pPr>
    <w:rPr>
      <w:rFonts w:ascii="楷体_GB2312" w:eastAsia="楷体_GB2312"/>
      <w:sz w:val="28"/>
      <w:szCs w:val="28"/>
    </w:rPr>
  </w:style>
  <w:style w:type="paragraph" w:styleId="1169" w:customStyle="1">
    <w:name w:val="列表段落1"/>
    <w:basedOn w:val="1076"/>
    <w:uiPriority w:val="0"/>
    <w:qFormat/>
    <w:pPr>
      <w:contextualSpacing/>
      <w:ind w:left="720"/>
      <w:jc w:val="left"/>
      <w:widowControl/>
    </w:pPr>
    <w:rPr>
      <w:rFonts w:ascii="Calibri" w:hAnsi="Calibri"/>
      <w:sz w:val="24"/>
      <w:lang w:eastAsia="en-US" w:bidi="en-US"/>
    </w:rPr>
  </w:style>
  <w:style w:type="character" w:styleId="1170" w:customStyle="1">
    <w:name w:val="font11"/>
    <w:basedOn w:val="1082"/>
    <w:uiPriority w:val="0"/>
    <w:qFormat/>
    <w:rPr>
      <w:rFonts w:hint="eastAsia" w:ascii="宋体" w:hAnsi="宋体" w:eastAsia="宋体" w:cs="宋体"/>
      <w:color w:val="000000"/>
      <w:sz w:val="16"/>
      <w:szCs w:val="16"/>
      <w:u w:val="none"/>
    </w:rPr>
  </w:style>
  <w:style w:type="paragraph" w:styleId="1171" w:customStyle="1">
    <w:name w:val="正文首行缩进1"/>
    <w:basedOn w:val="1076"/>
    <w:next w:val="1172"/>
    <w:uiPriority w:val="99"/>
    <w:qFormat/>
    <w:pPr>
      <w:ind w:firstLine="200"/>
      <w:spacing w:line="360" w:lineRule="auto"/>
    </w:pPr>
    <w:rPr>
      <w:rFonts w:ascii="仿宋_GB2312" w:eastAsia="仿宋_GB2312"/>
      <w:sz w:val="30"/>
      <w:szCs w:val="30"/>
    </w:rPr>
  </w:style>
  <w:style w:type="paragraph" w:styleId="1172" w:customStyle="1">
    <w:name w:val="目录 61"/>
    <w:basedOn w:val="1076"/>
    <w:next w:val="1076"/>
    <w:uiPriority w:val="0"/>
    <w:semiHidden/>
    <w:qFormat/>
    <w:pPr>
      <w:ind w:left="2100"/>
    </w:pPr>
  </w:style>
  <w:style w:type="paragraph" w:styleId="1173" w:customStyle="1">
    <w:name w:val="Footer1"/>
    <w:basedOn w:val="1076"/>
    <w:uiPriority w:val="99"/>
    <w:unhideWhenUsed/>
    <w:qFormat/>
    <w:pPr>
      <w:tabs>
        <w:tab w:val="center" w:pos="7143" w:leader="none"/>
        <w:tab w:val="right" w:pos="14287" w:leader="none"/>
      </w:tabs>
    </w:pPr>
  </w:style>
  <w:style w:type="paragraph" w:styleId="1174" w:customStyle="1">
    <w:name w:val="纯文本1"/>
    <w:basedOn w:val="1076"/>
    <w:uiPriority w:val="0"/>
    <w:qFormat/>
    <w:rPr>
      <w:rFonts w:hint="eastAsia" w:ascii="宋体" w:hAnsi="Courier New"/>
      <w:szCs w:val="20"/>
    </w:rPr>
  </w:style>
  <w:style w:type="paragraph" w:styleId="1175" w:customStyle="1">
    <w:name w:val="4"/>
    <w:basedOn w:val="1076"/>
    <w:next w:val="1107"/>
    <w:uiPriority w:val="0"/>
    <w:qFormat/>
    <w:pPr>
      <w:ind w:firstLine="420"/>
      <w:spacing w:line="360" w:lineRule="auto"/>
    </w:pPr>
    <w:rPr>
      <w:rFonts w:ascii="Calibri" w:hAnsi="Calibri"/>
      <w:color w:val="ff0000"/>
      <w:sz w:val="24"/>
    </w:rPr>
  </w:style>
  <w:style w:type="paragraph" w:styleId="1176" w:customStyle="1">
    <w:name w:val="Fließtext"/>
    <w:basedOn w:val="1076"/>
    <w:uiPriority w:val="0"/>
    <w:qFormat/>
    <w:rPr>
      <w:szCs w:val="20"/>
    </w:rPr>
  </w:style>
  <w:style w:type="paragraph" w:styleId="1177" w:customStyle="1">
    <w:name w:val="_Style 2"/>
    <w:basedOn w:val="1077"/>
    <w:next w:val="1076"/>
    <w:uiPriority w:val="0"/>
    <w:qFormat/>
    <w:pPr>
      <w:keepLines/>
      <w:spacing w:before="340" w:after="330" w:line="578" w:lineRule="auto"/>
      <w:outlineLvl w:val="9"/>
    </w:pPr>
    <w:rPr>
      <w:rFonts w:ascii="Times New Roman" w:eastAsia="宋体"/>
      <w:b/>
      <w:bCs/>
      <w:sz w:val="44"/>
      <w:szCs w:val="44"/>
    </w:rPr>
  </w:style>
  <w:style w:type="paragraph" w:styleId="1178" w:customStyle="1">
    <w:name w:val="1"/>
    <w:basedOn w:val="1076"/>
    <w:uiPriority w:val="0"/>
    <w:qFormat/>
    <w:pPr>
      <w:jc w:val="left"/>
      <w:spacing w:line="400" w:lineRule="exact"/>
    </w:pPr>
    <w:rPr>
      <w:rFonts w:hint="eastAsia" w:ascii="宋体" w:hAnsi="宋体" w:eastAsia="宋体" w:cs="宋体"/>
      <w:sz w:val="20"/>
      <w:szCs w:val="20"/>
      <w:u w:val="single"/>
    </w:rPr>
  </w:style>
  <w:style w:type="paragraph" w:styleId="1179" w:customStyle="1">
    <w:name w:val="列出段落2"/>
    <w:basedOn w:val="1076"/>
    <w:uiPriority w:val="0"/>
    <w:qFormat/>
    <w:pPr>
      <w:ind w:firstLine="420"/>
    </w:pPr>
    <w:rPr>
      <w:rFonts w:ascii="Calibri" w:hAnsi="Calibri" w:eastAsia="宋体" w:cs="Times New Roman"/>
      <w:szCs w:val="22"/>
    </w:rPr>
  </w:style>
  <w:style w:type="paragraph" w:styleId="1180" w:customStyle="1">
    <w:name w:val="正文首行缩进 21"/>
    <w:basedOn w:val="1181"/>
    <w:uiPriority w:val="0"/>
    <w:qFormat/>
    <w:pPr>
      <w:ind w:firstLine="420"/>
    </w:pPr>
  </w:style>
  <w:style w:type="paragraph" w:styleId="1181" w:customStyle="1">
    <w:name w:val="正文文本缩进1"/>
    <w:basedOn w:val="1076"/>
    <w:uiPriority w:val="0"/>
    <w:qFormat/>
    <w:pPr>
      <w:ind w:left="420"/>
      <w:spacing w:after="120"/>
    </w:pPr>
  </w:style>
  <w:style w:type="paragraph" w:styleId="1182" w:customStyle="1">
    <w:name w:val="普通(网站)1"/>
    <w:basedOn w:val="1076"/>
    <w:uiPriority w:val="99"/>
    <w:qFormat/>
    <w:pPr>
      <w:spacing w:before="100" w:beforeAutospacing="1" w:after="100" w:afterAutospacing="1"/>
      <w:widowControl/>
    </w:pPr>
    <w:rPr>
      <w:sz w:val="24"/>
    </w:rPr>
  </w:style>
  <w:style w:type="paragraph" w:styleId="1183" w:customStyle="1">
    <w:name w:val="列出段落3"/>
    <w:basedOn w:val="1076"/>
    <w:uiPriority w:val="34"/>
    <w:qFormat/>
    <w:pPr>
      <w:ind w:firstLine="420"/>
    </w:pPr>
    <w:rPr>
      <w:rFonts w:ascii="Times New Roman" w:hAnsi="Times New Roman" w:eastAsia="宋体" w:cs="Times New Roman"/>
      <w:szCs w:val="21"/>
    </w:rPr>
  </w:style>
  <w:style w:type="numbering" w:styleId="10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熊伟</cp:lastModifiedBy>
  <cp:revision>14</cp:revision>
  <dcterms:created xsi:type="dcterms:W3CDTF">2025-05-15T03:14:00Z</dcterms:created>
  <dcterms:modified xsi:type="dcterms:W3CDTF">2026-11-02T07:06:23Z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DA87D295894F47849C07FBA1F79DA095_13</vt:lpwstr>
  </property>
  <property fmtid="{D5CDD505-2E9C-101B-9397-08002B2CF9AE}" pid="4" name="KSOTemplateDocerSaveRecord">
    <vt:lpwstr>eyJoZGlkIjoiMWJkMGVkMTlhYTkwZTc4MWYxOGFkZDg5YjM5NzYyODAiLCJ1c2VySWQiOiIxNDYyMzk2OTEzIn0=</vt:lpwstr>
  </property>
</Properties>
</file>