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11.03 定稿</w:t>
      </w:r>
      <w:r>
        <w:rPr>
          <w:rFonts w:hint="eastAsia" w:ascii="黑体" w:hAnsi="黑体" w:eastAsia="黑体" w:cs="黑体"/>
          <w:b w:val="0"/>
          <w:bCs w:val="0"/>
          <w:sz w:val="32"/>
          <w:szCs w:val="32"/>
          <w:highlight w:val="yellow"/>
          <w:lang w:eastAsia="zh-CN"/>
        </w:rPr>
        <w:t xml:space="preserve">】</w:t>
      </w:r>
      <w:r/>
    </w:p>
    <w:p>
      <w:pPr>
        <w:pStyle w:val="891"/>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891"/>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w:t>
      </w:r>
      <w:r>
        <w:rPr>
          <w:rFonts w:hint="eastAsia" w:ascii="楷体" w:hAnsi="楷体" w:eastAsia="楷体"/>
          <w:b/>
          <w:bCs/>
          <w:color w:val="000000"/>
          <w:sz w:val="32"/>
          <w:szCs w:val="21"/>
          <w:u w:val="single"/>
        </w:rPr>
        <w:t xml:space="preserve">兴化经济开发区</w:t>
      </w:r>
      <w:r>
        <w:rPr>
          <w:rFonts w:hint="eastAsia" w:ascii="楷体" w:hAnsi="楷体" w:eastAsia="楷体"/>
          <w:b/>
          <w:bCs/>
          <w:color w:val="000000"/>
          <w:sz w:val="32"/>
          <w:szCs w:val="21"/>
          <w:u w:val="single"/>
          <w:lang w:eastAsia="zh-CN"/>
        </w:rPr>
        <w:t xml:space="preserve">安全生产履职信息平台二期</w:t>
      </w:r>
      <w:r>
        <w:rPr>
          <w:rFonts w:hint="eastAsia" w:ascii="楷体" w:hAnsi="楷体" w:eastAsia="楷体"/>
          <w:b/>
          <w:bCs/>
          <w:color w:val="000000"/>
          <w:sz w:val="32"/>
          <w:szCs w:val="21"/>
          <w:u w:val="single"/>
          <w:lang w:val="en-US" w:eastAsia="zh-CN"/>
        </w:rPr>
        <w:t xml:space="preserve"> </w:t>
      </w:r>
      <w:r/>
    </w:p>
    <w:p>
      <w:pPr>
        <w:ind w:left="42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JSZC-321281-JZCG-C2026</w:t>
      </w:r>
      <w:r>
        <w:rPr>
          <w:rFonts w:hint="eastAsia" w:ascii="楷体" w:hAnsi="楷体" w:eastAsia="楷体"/>
          <w:b/>
          <w:bCs/>
          <w:sz w:val="36"/>
          <w:highlight w:val="none"/>
          <w:u w:val="single"/>
          <w:lang w:val="en-US" w:eastAsia="zh-CN"/>
        </w:rPr>
        <w:t xml:space="preserve">-0020  </w:t>
      </w:r>
      <w:r>
        <w:rPr>
          <w:rFonts w:hint="eastAsia" w:ascii="楷体" w:hAnsi="楷体" w:eastAsia="楷体"/>
          <w:b/>
          <w:bCs/>
          <w:sz w:val="36"/>
          <w:u w:val="single"/>
          <w:lang w:val="en-US" w:eastAsia="zh-CN"/>
        </w:rPr>
        <w:t xml:space="preserve">  </w:t>
      </w:r>
      <w:r>
        <w:rPr>
          <w:rFonts w:hint="eastAsia" w:ascii="楷体" w:hAnsi="楷体" w:eastAsia="楷体"/>
          <w:b/>
          <w:bCs/>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江苏省兴化经济开发区管理委员会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89"/>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pStyle w:val="889"/>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89"/>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11</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_GBK" w:hAnsi="方正小标宋_GBK" w:eastAsia="方正小标宋_GBK" w:cs="Times New Roman"/>
          <w:sz w:val="36"/>
          <w:szCs w:val="36"/>
        </w:rPr>
      </w:pPr>
      <w:r>
        <w:rPr>
          <w:rFonts w:hint="eastAsia" w:ascii="方正小标宋_GBK" w:hAnsi="方正小标宋_GBK" w:eastAsia="方正小标宋_GBK" w:cs="Times New Roman"/>
          <w:sz w:val="36"/>
          <w:szCs w:val="36"/>
        </w:rPr>
        <w:t xml:space="preserve">兴化市</w:t>
      </w:r>
      <w:r>
        <w:rPr>
          <w:rFonts w:ascii="方正小标宋_GBK" w:hAnsi="方正小标宋_GBK" w:eastAsia="方正小标宋_GBK" w:cs="Times New Roman"/>
          <w:sz w:val="36"/>
          <w:szCs w:val="36"/>
        </w:rPr>
        <w:t xml:space="preserve">政府采购</w:t>
      </w:r>
      <w:r>
        <w:rPr>
          <w:rFonts w:hint="eastAsia" w:ascii="方正小标宋_GBK" w:hAnsi="方正小标宋_GBK" w:eastAsia="方正小标宋_GBK"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89"/>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89"/>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7" o:title=""/>
              </v:shape>
            </w:pict>
          </mc:Fallback>
        </mc:AlternateContent>
      </w:r>
      <w:r/>
    </w:p>
    <w:p>
      <w:pPr>
        <w:pStyle w:val="889"/>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9"/>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89"/>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89"/>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97"/>
          <w:rFonts w:hint="eastAsia" w:ascii="仿宋" w:hAnsi="仿宋" w:eastAsia="仿宋" w:cs="仿宋"/>
          <w:color w:val="auto"/>
          <w:spacing w:val="1"/>
          <w:sz w:val="28"/>
          <w:szCs w:val="28"/>
        </w:rPr>
        <w:t xml:space="preserve">http://www.ccgp-jiangsu.gov.cn/jiangsu/paying.html</w:t>
      </w:r>
      <w:r>
        <w:rPr>
          <w:rStyle w:val="897"/>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97"/>
          <w:rFonts w:hint="eastAsia" w:ascii="仿宋" w:hAnsi="仿宋" w:eastAsia="仿宋" w:cs="仿宋"/>
          <w:color w:val="auto"/>
          <w:spacing w:val="1"/>
          <w:sz w:val="28"/>
          <w:szCs w:val="28"/>
        </w:rPr>
        <w:t xml:space="preserve">https://www.crcrfsp.com/</w:t>
      </w:r>
      <w:r>
        <w:rPr>
          <w:rStyle w:val="897"/>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168"/>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168"/>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8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8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8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8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9"/>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8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89"/>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89"/>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89"/>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91"/>
      </w:pPr>
      <w:r/>
      <w:r/>
    </w:p>
    <w:p>
      <w:pPr>
        <w:pStyle w:val="891"/>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pacing w:val="-6"/>
          <w:sz w:val="32"/>
          <w:szCs w:val="36"/>
        </w:rPr>
      </w:pPr>
      <w:r>
        <w:rPr>
          <w:rFonts w:hint="eastAsia" w:ascii="黑体" w:hAnsi="黑体" w:eastAsia="黑体" w:cs="黑体"/>
          <w:sz w:val="32"/>
          <w:szCs w:val="36"/>
          <w:lang w:val="en-US" w:eastAsia="zh-CN"/>
        </w:rPr>
        <w:t xml:space="preserve">2.</w:t>
      </w:r>
      <w:r>
        <w:rPr>
          <w:rFonts w:hint="eastAsia" w:ascii="黑体" w:hAnsi="黑体" w:eastAsia="黑体" w:cs="黑体"/>
          <w:spacing w:val="-6"/>
          <w:sz w:val="32"/>
          <w:szCs w:val="36"/>
          <w:lang w:val="en-US" w:eastAsia="zh-CN"/>
        </w:rPr>
        <w:t xml:space="preserve">“苏采云” 平台网址：https://jszfcg.jsczt.cn/jszc/login</w:t>
      </w:r>
      <w:r/>
    </w:p>
    <w:p>
      <w:p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4</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17</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22</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江苏省兴化经济开发区管理委员会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u w:val="single"/>
        </w:rPr>
        <w:t xml:space="preserve">兴化经济开发区</w:t>
      </w:r>
      <w:r>
        <w:rPr>
          <w:rFonts w:hint="eastAsia" w:ascii="仿宋_GB2312" w:hAnsi="仿宋_GB2312" w:eastAsia="仿宋_GB2312" w:cs="仿宋_GB2312"/>
          <w:sz w:val="28"/>
          <w:szCs w:val="28"/>
          <w:u w:val="single"/>
          <w:lang w:eastAsia="zh-CN"/>
        </w:rPr>
        <w:t xml:space="preserve">安全生产履职信息平台二期</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(JSZC-321281-JZCG-C2026-0020</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rPr>
        <w:t xml:space="preserve">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val="en-US" w:eastAsia="zh-CN"/>
        </w:rPr>
        <w:t xml:space="preserve">兴化经济开发区安全生产履职信息平台二期 </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11</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17</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28359079"/>
      <w:r/>
      <w:bookmarkStart w:id="8" w:name="_Toc38985263"/>
      <w:r/>
      <w:bookmarkStart w:id="9" w:name="_Toc35393790"/>
      <w:r/>
      <w:bookmarkStart w:id="10" w:name="_Toc28359002"/>
      <w:r/>
      <w:bookmarkStart w:id="11" w:name="_Toc35393621"/>
      <w:r/>
      <w:bookmarkStart w:id="12" w:name="_Hlk24379207"/>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r/>
    </w:p>
    <w:p>
      <w:pPr>
        <w:ind w:left="0" w:right="0" w:firstLine="560"/>
        <w:keepLines w:val="0"/>
        <w:keepNext w:val="0"/>
        <w:pageBreakBefore w:val="0"/>
        <w:spacing w:line="47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1.项目编号：JSZC-321281-JZCG-C2026-0020</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2.项目名称：兴化经济开发区</w:t>
      </w:r>
      <w:r>
        <w:rPr>
          <w:rFonts w:hint="eastAsia" w:ascii="仿宋_GB2312" w:hAnsi="仿宋_GB2312" w:eastAsia="仿宋_GB2312" w:cs="仿宋_GB2312"/>
          <w:color w:val="auto"/>
          <w:sz w:val="28"/>
          <w:szCs w:val="28"/>
          <w:highlight w:val="none"/>
          <w:lang w:eastAsia="zh-CN"/>
        </w:rPr>
        <w:t xml:space="preserve">安全生产履职信息平台二期</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pageBreakBefore w:val="0"/>
        <w:spacing w:line="47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38.5</w:t>
      </w:r>
      <w:r>
        <w:rPr>
          <w:rFonts w:hint="eastAsia" w:ascii="仿宋_GB2312" w:hAnsi="仿宋_GB2312" w:eastAsia="仿宋_GB2312" w:cs="仿宋_GB2312"/>
          <w:b w:val="0"/>
          <w:bCs w:val="0"/>
          <w:color w:val="auto"/>
          <w:sz w:val="28"/>
          <w:szCs w:val="28"/>
          <w:highlight w:val="none"/>
          <w:lang w:val="en-US" w:eastAsia="zh-CN"/>
        </w:rPr>
        <w:t xml:space="preserve">0万</w:t>
      </w:r>
      <w:r>
        <w:rPr>
          <w:rFonts w:hint="eastAsia" w:ascii="仿宋_GB2312" w:hAnsi="仿宋_GB2312" w:eastAsia="仿宋_GB2312" w:cs="仿宋_GB2312"/>
          <w:b w:val="0"/>
          <w:bCs w:val="0"/>
          <w:color w:val="auto"/>
          <w:sz w:val="28"/>
          <w:szCs w:val="28"/>
          <w:highlight w:val="none"/>
          <w:lang w:eastAsia="zh-CN"/>
        </w:rPr>
        <w:t xml:space="preserve">元</w:t>
      </w:r>
      <w:r/>
    </w:p>
    <w:p>
      <w:pPr>
        <w:ind w:left="0" w:right="0" w:firstLine="560"/>
        <w:keepLines w:val="0"/>
        <w:keepNext w:val="0"/>
        <w:pageBreakBefore w:val="0"/>
        <w:spacing w:line="47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：建设统一数据中心、企业分类监管系统（高危动火专项监管、工贸及小化工小医药企业监管、高处作业精准管控）、“四位一体” 协同监管、监管执法协同系统，接入布控球、无人机等 5 类现有设备，并完成一期数据迁移。平台部署于政务云，支持微信小程序与泰政通双端登录，按等保二级建设并配置 AI 算力；建设周期</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lang w:eastAsia="zh-CN"/>
        </w:rPr>
        <w:t xml:space="preserve">个月</w:t>
      </w:r>
      <w:r>
        <w:rPr>
          <w:rFonts w:hint="eastAsia" w:ascii="仿宋_GB2312" w:hAnsi="仿宋_GB2312" w:eastAsia="仿宋_GB2312" w:cs="仿宋_GB2312"/>
          <w:color w:val="auto"/>
          <w:sz w:val="28"/>
          <w:szCs w:val="28"/>
          <w:highlight w:val="none"/>
          <w:lang w:eastAsia="zh-CN"/>
        </w:rPr>
        <w:t xml:space="preserve">，质保期 1 年。（详细内容见磋商文件第四章</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eastAsia="zh-CN"/>
        </w:rPr>
        <w:t xml:space="preserve">采购需求）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.合同履行期限：采购合同签订后</w:t>
      </w:r>
      <w:r>
        <w:rPr>
          <w:rFonts w:hint="eastAsia" w:ascii="仿宋_GB2312" w:hAnsi="仿宋_GB2312" w:eastAsia="仿宋_GB2312" w:cs="仿宋_GB2312"/>
          <w:color w:val="auto"/>
          <w:sz w:val="28"/>
          <w:szCs w:val="28"/>
          <w:highlight w:val="none"/>
          <w:lang w:val="en-US" w:eastAsia="zh-CN"/>
        </w:rPr>
        <w:t xml:space="preserve">1个月内</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完成全部工作内容 。</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9.</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bookmarkStart w:id="13" w:name="_Toc35393622"/>
      <w:r/>
      <w:bookmarkStart w:id="14" w:name="_Toc28359080"/>
      <w:r/>
      <w:bookmarkStart w:id="15" w:name="_Toc28359003"/>
      <w:r/>
      <w:bookmarkStart w:id="16" w:name="_Toc35393791"/>
      <w:r/>
      <w:bookmarkStart w:id="17" w:name="_Toc38985264"/>
      <w:r>
        <w:rPr>
          <w:rFonts w:hint="eastAsia" w:ascii="黑体" w:hAnsi="黑体" w:eastAsia="黑体" w:cs="黑体"/>
          <w:b w:val="0"/>
          <w:bCs w:val="0"/>
          <w:color w:val="auto"/>
          <w:sz w:val="28"/>
          <w:szCs w:val="28"/>
          <w:highlight w:val="none"/>
        </w:rPr>
        <w:t xml:space="preserve">二、申请人的资格要求</w:t>
      </w:r>
      <w:bookmarkEnd w:id="13"/>
      <w:r/>
      <w:bookmarkEnd w:id="14"/>
      <w:r/>
      <w:bookmarkEnd w:id="15"/>
      <w:r/>
      <w:bookmarkEnd w:id="16"/>
      <w:r/>
      <w:bookmarkEnd w:id="17"/>
      <w:r/>
      <w:r/>
    </w:p>
    <w:p>
      <w:pPr>
        <w:ind w:left="0" w:right="0" w:firstLine="562"/>
        <w:pageBreakBefore w:val="0"/>
        <w:spacing w:line="470" w:lineRule="exact"/>
        <w:widowControl w:val="off"/>
        <w:rPr>
          <w:rFonts w:hint="eastAsia" w:ascii="方正楷体_GBK" w:hAnsi="方正楷体_GBK" w:eastAsia="方正楷体_GBK" w:cs="方正楷体_GBK"/>
          <w:b/>
          <w:bCs/>
          <w:color w:val="auto"/>
          <w:sz w:val="28"/>
          <w:szCs w:val="28"/>
          <w:highlight w:val="none"/>
          <w:lang w:eastAsia="zh-CN"/>
        </w:rPr>
      </w:pPr>
      <w:r/>
      <w:bookmarkStart w:id="18" w:name="_Toc28359081"/>
      <w:r/>
      <w:bookmarkStart w:id="19" w:name="_Toc35393623"/>
      <w:r/>
      <w:bookmarkStart w:id="20" w:name="_Toc35393792"/>
      <w:r/>
      <w:bookmarkStart w:id="21" w:name="_Toc28359004"/>
      <w:r/>
      <w:bookmarkStart w:id="22" w:name="_Toc38985265"/>
      <w:r>
        <w:rPr>
          <w:rFonts w:hint="eastAsia" w:ascii="方正楷体_GBK" w:hAnsi="方正楷体_GBK" w:eastAsia="方正楷体_GBK" w:cs="方正楷体_GBK"/>
          <w:b/>
          <w:bCs/>
          <w:color w:val="auto"/>
          <w:sz w:val="28"/>
          <w:szCs w:val="28"/>
          <w:highlight w:val="none"/>
        </w:rPr>
        <w:t xml:space="preserve">（一）通用资格要求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法人或者其他组织的营业执照等证明文件，自然人的身份证明；</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562"/>
        <w:pageBreakBefore w:val="0"/>
        <w:spacing w:line="470" w:lineRule="exact"/>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（二）落实政府采购政策需满足的资格要求：</w:t>
      </w:r>
      <w:r/>
    </w:p>
    <w:p>
      <w:pPr>
        <w:numPr>
          <w:ilvl w:val="0"/>
          <w:numId w:val="0"/>
        </w:numPr>
        <w:ind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i w:val="0"/>
          <w:iCs w:val="0"/>
          <w:color w:val="auto"/>
          <w:sz w:val="28"/>
          <w:szCs w:val="28"/>
          <w:highlight w:val="none"/>
          <w:u w:val="none"/>
          <w:lang w:eastAsia="zh-CN"/>
        </w:rPr>
        <w:t xml:space="preserve">无</w:t>
      </w:r>
      <w:r>
        <w:rPr>
          <w:rFonts w:hint="eastAsia" w:ascii="黑体" w:hAnsi="黑体" w:eastAsia="黑体" w:cs="黑体"/>
          <w:b w:val="0"/>
          <w:bCs w:val="0"/>
          <w:i w:val="0"/>
          <w:iCs w:val="0"/>
          <w:color w:val="auto"/>
          <w:sz w:val="28"/>
          <w:szCs w:val="28"/>
          <w:highlight w:val="none"/>
          <w:u w:val="none"/>
          <w:lang w:eastAsia="zh-CN"/>
        </w:rPr>
        <w:t xml:space="preserve">。</w:t>
      </w:r>
      <w:r/>
    </w:p>
    <w:p>
      <w:pPr>
        <w:ind w:left="0" w:right="0" w:firstLine="562"/>
        <w:pageBreakBefore w:val="0"/>
        <w:spacing w:line="47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rPr>
        <w:t xml:space="preserve">（</w:t>
      </w:r>
      <w:r>
        <w:rPr>
          <w:rFonts w:hint="eastAsia" w:ascii="方正楷体_GBK" w:hAnsi="方正楷体_GBK" w:eastAsia="方正楷体_GBK" w:cs="方正楷体_GBK"/>
          <w:b/>
          <w:bCs/>
          <w:color w:val="auto"/>
          <w:sz w:val="28"/>
          <w:szCs w:val="28"/>
          <w:highlight w:val="none"/>
          <w:lang w:eastAsia="zh-CN"/>
        </w:rPr>
        <w:t xml:space="preserve">三</w:t>
      </w:r>
      <w:r>
        <w:rPr>
          <w:rFonts w:hint="eastAsia" w:ascii="方正楷体_GBK" w:hAnsi="方正楷体_GBK" w:eastAsia="方正楷体_GBK" w:cs="方正楷体_GBK"/>
          <w:b/>
          <w:bCs/>
          <w:color w:val="auto"/>
          <w:sz w:val="28"/>
          <w:szCs w:val="28"/>
          <w:highlight w:val="none"/>
        </w:rPr>
        <w:t xml:space="preserve">）本项目的特定资格要求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470" w:lineRule="exact"/>
        <w:widowControl w:val="off"/>
        <w:rPr>
          <w:rFonts w:hint="eastAsia" w:ascii="方正楷体_GBK" w:hAnsi="方正楷体_GBK" w:eastAsia="方正楷体_GBK" w:cs="方正楷体_GBK"/>
          <w:b w:val="0"/>
          <w:bCs w:val="0"/>
          <w:color w:val="auto"/>
          <w:sz w:val="28"/>
          <w:szCs w:val="28"/>
          <w:highlight w:val="none"/>
          <w:lang w:eastAsia="zh-CN"/>
        </w:rPr>
      </w:pPr>
      <w:r>
        <w:rPr>
          <w:rFonts w:hint="eastAsia" w:ascii="方正楷体_GBK" w:hAnsi="方正楷体_GBK" w:eastAsia="方正楷体_GBK" w:cs="方正楷体_GBK"/>
          <w:b w:val="0"/>
          <w:bCs w:val="0"/>
          <w:color w:val="auto"/>
          <w:sz w:val="28"/>
          <w:szCs w:val="28"/>
          <w:highlight w:val="none"/>
          <w:lang w:eastAsia="zh-CN"/>
        </w:rPr>
        <w:t xml:space="preserve">无。</w:t>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8"/>
      <w:r/>
      <w:bookmarkEnd w:id="19"/>
      <w:r/>
      <w:bookmarkEnd w:id="20"/>
      <w:r/>
      <w:bookmarkEnd w:id="21"/>
      <w:r/>
      <w:bookmarkEnd w:id="22"/>
      <w:r>
        <w:rPr>
          <w:rFonts w:hint="eastAsia" w:ascii="黑体" w:hAnsi="黑体" w:eastAsia="黑体" w:cs="黑体"/>
          <w:b w:val="0"/>
          <w:bCs w:val="0"/>
          <w:color w:val="auto"/>
          <w:sz w:val="28"/>
          <w:szCs w:val="28"/>
          <w:highlight w:val="none"/>
        </w:rPr>
        <w:t xml:space="preserve">磋商文件</w:t>
      </w:r>
      <w:bookmarkStart w:id="23" w:name="_Toc38985266"/>
      <w:r/>
      <w:bookmarkStart w:id="24" w:name="_Toc35393793"/>
      <w:r/>
      <w:bookmarkStart w:id="25" w:name="_Toc28359005"/>
      <w:r/>
      <w:bookmarkStart w:id="26" w:name="_Toc35393624"/>
      <w:r/>
      <w:bookmarkStart w:id="27" w:name="_Toc28359082"/>
      <w:r/>
      <w:r/>
    </w:p>
    <w:p>
      <w:pPr>
        <w:ind w:left="0" w:right="0" w:firstLine="560"/>
        <w:keepLines/>
        <w:keepNext/>
        <w:pageBreakBefore w:val="0"/>
        <w:spacing w:line="47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47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3"/>
      <w:r/>
      <w:bookmarkEnd w:id="24"/>
      <w:r/>
      <w:bookmarkEnd w:id="25"/>
      <w:r/>
      <w:bookmarkEnd w:id="26"/>
      <w:r/>
      <w:bookmarkEnd w:id="27"/>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8" w:name="_Toc35393794"/>
      <w:r/>
      <w:bookmarkStart w:id="29" w:name="_Toc35393625"/>
      <w:r/>
      <w:bookmarkStart w:id="30" w:name="_Toc28359084"/>
      <w:r/>
      <w:bookmarkStart w:id="31" w:name="_Toc38985267"/>
      <w:r/>
      <w:bookmarkStart w:id="32" w:name="_Toc28359007"/>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47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none"/>
        </w:rPr>
        <w:t xml:space="preserve">202</w:t>
      </w:r>
      <w:r>
        <w:rPr>
          <w:rFonts w:hint="eastAsia" w:ascii="仿宋_GB2312" w:hAnsi="仿宋_GB2312" w:eastAsia="仿宋_GB2312" w:cs="仿宋_GB2312"/>
          <w:b/>
          <w:bCs/>
          <w:color w:val="auto"/>
          <w:sz w:val="28"/>
          <w:szCs w:val="28"/>
          <w:highlight w:val="yellow"/>
          <w:u w:val="none"/>
          <w:lang w:val="en-US" w:eastAsia="zh-CN"/>
        </w:rPr>
        <w:t xml:space="preserve">6</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11</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17  </w:t>
      </w:r>
      <w:r>
        <w:rPr>
          <w:rFonts w:hint="eastAsia" w:ascii="仿宋_GB2312" w:hAnsi="仿宋_GB2312" w:eastAsia="仿宋_GB2312" w:cs="仿宋_GB2312"/>
          <w:b/>
          <w:bCs/>
          <w:color w:val="auto"/>
          <w:sz w:val="28"/>
          <w:szCs w:val="28"/>
          <w:highlight w:val="yellow"/>
          <w:u w:val="none"/>
        </w:rPr>
        <w:t xml:space="preserve">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bookmarkStart w:id="33"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b/>
          <w:bCs/>
          <w:color w:val="auto"/>
          <w:sz w:val="28"/>
          <w:szCs w:val="28"/>
          <w:highlight w:val="yellow"/>
        </w:rPr>
        <w:t xml:space="preserve">202</w:t>
      </w:r>
      <w:r>
        <w:rPr>
          <w:rFonts w:hint="eastAsia" w:ascii="仿宋_GB2312" w:hAnsi="仿宋_GB2312" w:eastAsia="仿宋_GB2312" w:cs="仿宋_GB2312"/>
          <w:b/>
          <w:bCs/>
          <w:color w:val="auto"/>
          <w:sz w:val="28"/>
          <w:szCs w:val="28"/>
          <w:highlight w:val="yellow"/>
          <w:lang w:val="en-US" w:eastAsia="zh-CN"/>
        </w:rPr>
        <w:t xml:space="preserve">6</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11</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17</w:t>
      </w:r>
      <w:r>
        <w:rPr>
          <w:rFonts w:hint="eastAsia" w:ascii="仿宋_GB2312" w:hAnsi="仿宋_GB2312" w:eastAsia="仿宋_GB2312" w:cs="仿宋_GB2312"/>
          <w:b/>
          <w:bCs/>
          <w:color w:val="auto"/>
          <w:sz w:val="28"/>
          <w:szCs w:val="28"/>
          <w:highlight w:val="yellow"/>
        </w:rPr>
        <w:t xml:space="preserve"> </w:t>
      </w:r>
      <w:r>
        <w:rPr>
          <w:rFonts w:hint="eastAsia" w:ascii="仿宋_GB2312" w:hAnsi="仿宋_GB2312" w:eastAsia="仿宋_GB2312" w:cs="仿宋_GB2312"/>
          <w:b/>
          <w:bCs/>
          <w:color w:val="auto"/>
          <w:sz w:val="28"/>
          <w:szCs w:val="28"/>
          <w:highlight w:val="yellow"/>
          <w:lang w:val="en-US" w:eastAsia="zh-CN"/>
        </w:rPr>
        <w:t xml:space="preserve"> </w:t>
      </w:r>
      <w:r>
        <w:rPr>
          <w:rFonts w:hint="eastAsia" w:ascii="仿宋_GB2312" w:hAnsi="仿宋_GB2312" w:eastAsia="仿宋_GB2312" w:cs="仿宋_GB2312"/>
          <w:b/>
          <w:bCs/>
          <w:color w:val="auto"/>
          <w:sz w:val="28"/>
          <w:szCs w:val="28"/>
          <w:highlight w:val="yellow"/>
        </w:rPr>
        <w:t xml:space="preserve">09:30</w:t>
      </w:r>
      <w:r>
        <w:rPr>
          <w:rFonts w:hint="eastAsia" w:ascii="仿宋_GB2312" w:hAnsi="仿宋_GB2312" w:eastAsia="仿宋_GB2312" w:cs="仿宋_GB2312"/>
          <w:color w:val="auto"/>
          <w:sz w:val="28"/>
          <w:szCs w:val="28"/>
          <w:highlight w:val="yellow"/>
        </w:rPr>
        <w:t xml:space="preserve"> </w:t>
      </w:r>
      <w:r>
        <w:rPr>
          <w:rFonts w:hint="eastAsia" w:ascii="仿宋_GB2312" w:hAnsi="仿宋_GB2312" w:eastAsia="仿宋_GB2312" w:cs="仿宋_GB2312"/>
          <w:color w:val="auto"/>
          <w:sz w:val="28"/>
          <w:szCs w:val="28"/>
          <w:highlight w:val="none"/>
        </w:rPr>
        <w:t xml:space="preserve">（北京时间）</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Start w:id="231" w:name="_GoBack"/>
      <w:r/>
      <w:bookmarkEnd w:id="231"/>
      <w:r/>
      <w:bookmarkEnd w:id="33"/>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8"/>
      <w:r/>
      <w:bookmarkEnd w:id="29"/>
      <w:r/>
      <w:bookmarkEnd w:id="30"/>
      <w:r/>
      <w:bookmarkEnd w:id="31"/>
      <w:r/>
      <w:bookmarkEnd w:id="32"/>
      <w:r/>
      <w:r/>
    </w:p>
    <w:p>
      <w:pPr>
        <w:ind w:left="0" w:right="0" w:firstLine="560"/>
        <w:pageBreakBefore w:val="0"/>
        <w:spacing w:line="470" w:lineRule="exact"/>
        <w:widowControl w:val="off"/>
        <w:rPr>
          <w:rFonts w:hint="eastAsia" w:ascii="仿宋_GB2312" w:hAnsi="仿宋_GB2312" w:eastAsia="仿宋_GB2312" w:cs="仿宋_GB2312"/>
          <w:sz w:val="28"/>
          <w:szCs w:val="28"/>
          <w:highlight w:val="none"/>
        </w:rPr>
      </w:pPr>
      <w:r/>
      <w:bookmarkStart w:id="34" w:name="_Toc35393626"/>
      <w:r/>
      <w:bookmarkStart w:id="35" w:name="_Toc35393795"/>
      <w:r/>
      <w:bookmarkStart w:id="36" w:name="_Toc38985268"/>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47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4"/>
      <w:r/>
      <w:bookmarkEnd w:id="35"/>
      <w:r/>
      <w:bookmarkEnd w:id="36"/>
      <w:r/>
      <w:r/>
    </w:p>
    <w:p>
      <w:pPr>
        <w:ind w:firstLine="560"/>
        <w:pageBreakBefore w:val="0"/>
        <w:spacing w:line="470" w:lineRule="exact"/>
        <w:rPr>
          <w:rFonts w:hint="eastAsia" w:ascii="仿宋_GB2312" w:hAnsi="仿宋_GB2312" w:eastAsia="仿宋_GB2312" w:cs="仿宋_GB2312"/>
          <w:color w:val="auto"/>
          <w:sz w:val="28"/>
          <w:szCs w:val="28"/>
          <w:highlight w:val="none"/>
        </w:rPr>
      </w:pPr>
      <w:r/>
      <w:bookmarkStart w:id="37" w:name="_Toc28359008"/>
      <w:r/>
      <w:bookmarkStart w:id="38" w:name="_Toc38985269"/>
      <w:r/>
      <w:bookmarkStart w:id="39" w:name="_Toc35393796"/>
      <w:r/>
      <w:bookmarkStart w:id="40" w:name="_Toc28359085"/>
      <w:r/>
      <w:bookmarkStart w:id="41" w:name="_Toc35393627"/>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47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470" w:lineRule="exact"/>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highlight w:val="none"/>
          <w:u w:val="single"/>
        </w:rPr>
        <w:t xml:space="preserve">如潜在</w:t>
      </w:r>
      <w:r>
        <w:rPr>
          <w:rFonts w:hint="eastAsia" w:ascii="黑体" w:hAnsi="黑体" w:eastAsia="黑体" w:cs="黑体"/>
          <w:i/>
          <w:iCs/>
          <w:color w:val="auto"/>
          <w:sz w:val="28"/>
          <w:szCs w:val="28"/>
          <w:highlight w:val="none"/>
          <w:u w:val="single"/>
          <w:lang w:eastAsia="zh-CN"/>
        </w:rPr>
        <w:t xml:space="preserve">投标人</w:t>
      </w:r>
      <w:r>
        <w:rPr>
          <w:rFonts w:hint="eastAsia" w:ascii="黑体" w:hAnsi="黑体" w:eastAsia="黑体" w:cs="黑体"/>
          <w:i/>
          <w:iCs/>
          <w:color w:val="auto"/>
          <w:sz w:val="28"/>
          <w:szCs w:val="28"/>
          <w:highlight w:val="none"/>
          <w:u w:val="single"/>
        </w:rPr>
        <w:t xml:space="preserve">未按上述要求操作，将自行承担所产生的风险。</w:t>
      </w:r>
      <w:r/>
    </w:p>
    <w:p>
      <w:pPr>
        <w:ind w:firstLine="560"/>
        <w:pageBreakBefore w:val="0"/>
        <w:spacing w:line="47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47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47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7"/>
      <w:r/>
      <w:bookmarkEnd w:id="38"/>
      <w:r/>
      <w:bookmarkEnd w:id="39"/>
      <w:r/>
      <w:bookmarkEnd w:id="40"/>
      <w:r/>
      <w:bookmarkEnd w:id="41"/>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bookmarkStart w:id="42" w:name="OLE_LINK22"/>
      <w:r/>
      <w:bookmarkStart w:id="43" w:name="_Toc28359087"/>
      <w:r/>
      <w:bookmarkStart w:id="44" w:name="_Toc28359010"/>
      <w:r/>
      <w:bookmarkStart w:id="45" w:name="OLE_LINK4"/>
      <w:r/>
      <w:bookmarkStart w:id="46" w:name="OLE_LINK3"/>
      <w:r/>
      <w:bookmarkStart w:id="47" w:name="OLE_LINK9"/>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bookmarkStart w:id="48" w:name="_Toc28359086"/>
      <w:r/>
      <w:bookmarkStart w:id="49" w:name="_Toc28359009"/>
      <w:r>
        <w:rPr>
          <w:rFonts w:hint="eastAsia" w:ascii="仿宋_GB2312" w:hAnsi="仿宋_GB2312" w:eastAsia="仿宋_GB2312" w:cs="仿宋_GB2312"/>
          <w:color w:val="auto"/>
          <w:sz w:val="28"/>
          <w:szCs w:val="28"/>
          <w:highlight w:val="none"/>
          <w:lang w:val="en-US" w:eastAsia="zh-CN"/>
        </w:rPr>
        <w:t xml:space="preserve">名称：江苏省兴化经济开发区管理委员会</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地址</w:t>
      </w:r>
      <w:r>
        <w:rPr>
          <w:rFonts w:hint="eastAsia" w:ascii="仿宋_GB2312" w:hAnsi="仿宋_GB2312" w:eastAsia="仿宋_GB2312" w:cs="仿宋_GB2312"/>
          <w:sz w:val="28"/>
          <w:szCs w:val="28"/>
          <w:highlight w:val="none"/>
          <w:lang w:val="en-US" w:eastAsia="zh-CN"/>
        </w:rPr>
        <w:t xml:space="preserve">：兴化市经济开发区红星中路19号</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联系方式：</w:t>
      </w:r>
      <w:r>
        <w:rPr>
          <w:rFonts w:hint="eastAsia" w:ascii="仿宋_GB2312" w:hAnsi="仿宋_GB2312" w:eastAsia="仿宋_GB2312" w:cs="仿宋_GB2312"/>
          <w:sz w:val="28"/>
          <w:szCs w:val="28"/>
          <w:highlight w:val="none"/>
          <w:lang w:eastAsia="zh-CN"/>
        </w:rPr>
        <w:t xml:space="preserve">孙女士</w:t>
      </w:r>
      <w:r>
        <w:rPr>
          <w:rFonts w:hint="eastAsia" w:ascii="仿宋_GB2312" w:hAnsi="仿宋_GB2312" w:eastAsia="仿宋_GB2312" w:cs="仿宋_GB2312"/>
          <w:sz w:val="28"/>
          <w:szCs w:val="28"/>
          <w:highlight w:val="none"/>
          <w:lang w:val="en-US" w:eastAsia="zh-CN"/>
        </w:rPr>
        <w:t xml:space="preserve">   17834622866</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48"/>
      <w:r/>
      <w:bookmarkEnd w:id="49"/>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2"/>
      <w:r/>
      <w:bookmarkEnd w:id="43"/>
      <w:r/>
      <w:bookmarkEnd w:id="44"/>
      <w:r/>
      <w:bookmarkEnd w:id="45"/>
      <w:r/>
      <w:bookmarkEnd w:id="46"/>
      <w:r/>
      <w:bookmarkEnd w:id="47"/>
      <w:r/>
      <w:r/>
    </w:p>
    <w:p>
      <w:pPr>
        <w:ind w:firstLine="560"/>
        <w:jc w:val="left"/>
        <w:keepLines w:val="0"/>
        <w:keepNext w:val="0"/>
        <w:pageBreakBefore w:val="0"/>
        <w:spacing w:line="470" w:lineRule="exact"/>
        <w:widowControl/>
        <w:rPr>
          <w:rFonts w:hint="eastAsia" w:ascii="仿宋_GB2312" w:hAnsi="仿宋_GB2312" w:eastAsia="仿宋_GB2312" w:cs="仿宋_GB2312"/>
          <w:color w:val="auto"/>
          <w:sz w:val="28"/>
          <w:szCs w:val="28"/>
          <w:highlight w:val="none"/>
          <w:lang w:val="en-US" w:eastAsia="zh-CN"/>
        </w:rPr>
        <w:outlineLvl w:val="1"/>
      </w:pPr>
      <w:r>
        <w:rPr>
          <w:rFonts w:hint="eastAsia" w:ascii="仿宋_GB2312" w:hAnsi="仿宋_GB2312" w:eastAsia="仿宋_GB2312" w:cs="仿宋_GB2312"/>
          <w:color w:val="auto"/>
          <w:sz w:val="28"/>
          <w:szCs w:val="28"/>
          <w:highlight w:val="none"/>
          <w:lang w:val="en-US" w:eastAsia="zh-CN"/>
        </w:rPr>
        <w:t xml:space="preserve">3.项目联系方式</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sz w:val="28"/>
          <w:szCs w:val="28"/>
          <w:highlight w:val="none"/>
          <w:lang w:eastAsia="zh-CN"/>
        </w:rPr>
        <w:t xml:space="preserve">孙女士</w:t>
      </w:r>
      <w:r>
        <w:rPr>
          <w:rFonts w:hint="eastAsia" w:ascii="仿宋_GB2312" w:hAnsi="仿宋_GB2312" w:eastAsia="仿宋_GB2312" w:cs="仿宋_GB2312"/>
          <w:sz w:val="28"/>
          <w:szCs w:val="28"/>
          <w:highlight w:val="none"/>
          <w:lang w:val="en-US" w:eastAsia="zh-CN"/>
        </w:rPr>
        <w:t xml:space="preserve">   17834622866</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47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0"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0"/>
      <w:r>
        <w:rPr>
          <w:rFonts w:hint="eastAsia" w:ascii="黑体" w:hAnsi="黑体" w:eastAsia="黑体" w:cs="黑体"/>
          <w:b w:val="0"/>
          <w:bCs w:val="0"/>
          <w:sz w:val="36"/>
          <w:szCs w:val="36"/>
        </w:rPr>
        <w:t xml:space="preserve">供应商须知</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firstLine="436"/>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51" w:name="_Toc16938519"/>
      <w:r/>
      <w:bookmarkStart w:id="52" w:name="_Toc20823275"/>
      <w:r/>
      <w:bookmarkStart w:id="53" w:name="_Toc120614214"/>
      <w:r/>
      <w:bookmarkStart w:id="54" w:name="_Toc513029203"/>
      <w:r/>
      <w:bookmarkStart w:id="55" w:name="_Toc20823314"/>
      <w:r/>
      <w:bookmarkStart w:id="56" w:name="_Toc120614221"/>
      <w:r/>
      <w:bookmarkStart w:id="57" w:name="_Toc513029242"/>
      <w:r/>
      <w:bookmarkStart w:id="58" w:name="_Toc479757207"/>
      <w:r/>
      <w:bookmarkStart w:id="59" w:name="_Toc16938558"/>
      <w:r>
        <w:rPr>
          <w:rFonts w:hint="eastAsia" w:ascii="仿宋_GB2312" w:hAnsi="仿宋_GB2312" w:eastAsia="仿宋_GB2312" w:cs="仿宋_GB2312"/>
          <w:b/>
          <w:bCs/>
          <w:sz w:val="28"/>
          <w:szCs w:val="28"/>
        </w:rPr>
        <w:t xml:space="preserve">一、总则</w:t>
      </w:r>
      <w:bookmarkEnd w:id="51"/>
      <w:r/>
      <w:bookmarkEnd w:id="52"/>
      <w:r/>
      <w:bookmarkEnd w:id="53"/>
      <w:r/>
      <w:bookmarkEnd w:id="54"/>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0" w:name="_Hlt16619475"/>
      <w:r/>
      <w:bookmarkEnd w:id="60"/>
      <w:r/>
      <w:bookmarkStart w:id="61" w:name="_Toc458694821"/>
      <w:r/>
      <w:bookmarkStart w:id="62" w:name="_Toc16938520"/>
      <w:r/>
      <w:bookmarkStart w:id="63" w:name="_Toc513029204"/>
      <w:r/>
      <w:bookmarkStart w:id="64" w:name="_Toc20823276"/>
      <w:r>
        <w:rPr>
          <w:rFonts w:hint="eastAsia" w:ascii="仿宋_GB2312" w:hAnsi="仿宋_GB2312" w:eastAsia="仿宋_GB2312" w:cs="仿宋_GB2312"/>
          <w:sz w:val="28"/>
          <w:szCs w:val="28"/>
        </w:rPr>
        <w:t xml:space="preserve">1</w:t>
      </w:r>
      <w:bookmarkEnd w:id="61"/>
      <w:r>
        <w:rPr>
          <w:rFonts w:hint="eastAsia" w:ascii="仿宋_GB2312" w:hAnsi="仿宋_GB2312" w:eastAsia="仿宋_GB2312" w:cs="仿宋_GB2312"/>
          <w:sz w:val="28"/>
          <w:szCs w:val="28"/>
        </w:rPr>
        <w:t xml:space="preserve">、采购方式</w:t>
      </w:r>
      <w:bookmarkEnd w:id="62"/>
      <w:r/>
      <w:bookmarkEnd w:id="63"/>
      <w:r/>
      <w:bookmarkEnd w:id="64"/>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5" w:name="_Toc16938521"/>
      <w:r/>
      <w:bookmarkStart w:id="66" w:name="_Toc513029205"/>
      <w:r/>
      <w:bookmarkStart w:id="67" w:name="_Toc20823277"/>
      <w:r>
        <w:rPr>
          <w:rFonts w:hint="eastAsia" w:ascii="仿宋_GB2312" w:hAnsi="仿宋_GB2312" w:eastAsia="仿宋_GB2312" w:cs="仿宋_GB2312"/>
          <w:sz w:val="28"/>
          <w:szCs w:val="28"/>
        </w:rPr>
        <w:t xml:space="preserve">2、合格的</w:t>
      </w:r>
      <w:bookmarkEnd w:id="65"/>
      <w:r/>
      <w:bookmarkEnd w:id="66"/>
      <w:r/>
      <w:bookmarkEnd w:id="67"/>
      <w:r>
        <w:rPr>
          <w:rFonts w:hint="eastAsia" w:ascii="仿宋_GB2312" w:hAnsi="仿宋_GB2312" w:eastAsia="仿宋_GB2312" w:cs="仿宋_GB2312"/>
          <w:sz w:val="28"/>
          <w:szCs w:val="28"/>
        </w:rPr>
        <w:t xml:space="preserve">供应商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8" w:name="_Toc16938522"/>
      <w:r/>
      <w:bookmarkStart w:id="69" w:name="_Toc513029206"/>
      <w:r/>
      <w:bookmarkStart w:id="70" w:name="_Toc20823278"/>
      <w:r>
        <w:rPr>
          <w:rFonts w:hint="eastAsia" w:ascii="仿宋_GB2312" w:hAnsi="仿宋_GB2312" w:eastAsia="仿宋_GB2312" w:cs="仿宋_GB2312"/>
          <w:sz w:val="28"/>
          <w:szCs w:val="28"/>
        </w:rPr>
        <w:t xml:space="preserve">3、适用法律</w:t>
      </w:r>
      <w:bookmarkEnd w:id="68"/>
      <w:r/>
      <w:bookmarkEnd w:id="69"/>
      <w:r/>
      <w:bookmarkEnd w:id="70"/>
      <w:r/>
      <w:r/>
    </w:p>
    <w:p>
      <w:pPr>
        <w:ind w:firstLine="49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1" w:name="_Toc513029207"/>
      <w:r/>
      <w:bookmarkStart w:id="72" w:name="_Toc20823279"/>
      <w:r/>
      <w:bookmarkStart w:id="73" w:name="_Toc16938523"/>
      <w:r/>
      <w:bookmarkStart w:id="74" w:name="_Toc462564067"/>
      <w:r>
        <w:rPr>
          <w:rFonts w:hint="eastAsia" w:ascii="仿宋_GB2312" w:hAnsi="仿宋_GB2312" w:eastAsia="仿宋_GB2312" w:cs="仿宋_GB2312"/>
          <w:sz w:val="28"/>
          <w:szCs w:val="28"/>
        </w:rPr>
        <w:t xml:space="preserve">4、磋商费用</w:t>
      </w:r>
      <w:bookmarkEnd w:id="71"/>
      <w:r/>
      <w:bookmarkEnd w:id="72"/>
      <w:r/>
      <w:bookmarkEnd w:id="73"/>
      <w:r/>
      <w:bookmarkEnd w:id="74"/>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75" w:name="_Toc16938525"/>
      <w:r/>
      <w:bookmarkStart w:id="76" w:name="_Toc20823281"/>
      <w:r/>
      <w:bookmarkStart w:id="77" w:name="_Toc513029209"/>
      <w:r/>
      <w:bookmarkStart w:id="78" w:name="_Toc120614215"/>
      <w:r>
        <w:rPr>
          <w:rFonts w:hint="eastAsia" w:ascii="仿宋_GB2312" w:hAnsi="仿宋_GB2312" w:eastAsia="仿宋_GB2312" w:cs="仿宋_GB2312"/>
          <w:b/>
          <w:bCs/>
          <w:sz w:val="28"/>
          <w:szCs w:val="28"/>
        </w:rPr>
        <w:t xml:space="preserve">二、</w:t>
      </w:r>
      <w:bookmarkEnd w:id="75"/>
      <w:r/>
      <w:bookmarkEnd w:id="76"/>
      <w:r/>
      <w:bookmarkEnd w:id="77"/>
      <w:r/>
      <w:bookmarkEnd w:id="78"/>
      <w:r>
        <w:rPr>
          <w:rFonts w:hint="eastAsia" w:ascii="仿宋_GB2312" w:hAnsi="仿宋_GB2312" w:eastAsia="仿宋_GB2312" w:cs="仿宋_GB2312"/>
          <w:b/>
          <w:bCs/>
          <w:sz w:val="28"/>
          <w:szCs w:val="28"/>
        </w:rPr>
        <w:t xml:space="preserve">磋商文件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9" w:name="_Toc513029210"/>
      <w:r/>
      <w:bookmarkStart w:id="80" w:name="_Toc16938526"/>
      <w:r/>
      <w:bookmarkStart w:id="81" w:name="_Toc20823282"/>
      <w:r>
        <w:rPr>
          <w:rFonts w:hint="eastAsia" w:ascii="仿宋_GB2312" w:hAnsi="仿宋_GB2312" w:eastAsia="仿宋_GB2312" w:cs="仿宋_GB2312"/>
          <w:sz w:val="28"/>
          <w:szCs w:val="28"/>
        </w:rPr>
        <w:t xml:space="preserve">6、磋商文件构成</w:t>
      </w:r>
      <w:bookmarkEnd w:id="79"/>
      <w:r/>
      <w:bookmarkEnd w:id="80"/>
      <w:r/>
      <w:bookmarkEnd w:id="81"/>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2" w:name="_Toc20823283"/>
      <w:r/>
      <w:bookmarkStart w:id="83" w:name="_Toc513029211"/>
      <w:r/>
      <w:bookmarkStart w:id="84" w:name="_Toc16938527"/>
      <w:r/>
      <w:bookmarkStart w:id="85" w:name="_Toc462564070"/>
      <w:r>
        <w:rPr>
          <w:rFonts w:hint="eastAsia" w:ascii="仿宋_GB2312" w:hAnsi="仿宋_GB2312" w:eastAsia="仿宋_GB2312" w:cs="仿宋_GB2312"/>
          <w:sz w:val="28"/>
          <w:szCs w:val="28"/>
        </w:rPr>
        <w:t xml:space="preserve">7、磋商文件的澄清</w:t>
      </w:r>
      <w:bookmarkEnd w:id="82"/>
      <w:r/>
      <w:bookmarkEnd w:id="83"/>
      <w:r/>
      <w:bookmarkEnd w:id="84"/>
      <w:r/>
      <w:bookmarkEnd w:id="8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6" w:name="_Toc513029212"/>
      <w:r/>
      <w:bookmarkStart w:id="87" w:name="_Toc20823284"/>
      <w:r/>
      <w:bookmarkStart w:id="88" w:name="_Toc16938528"/>
      <w:r/>
      <w:bookmarkStart w:id="89" w:name="_Toc462564071"/>
      <w:r>
        <w:rPr>
          <w:rFonts w:hint="eastAsia" w:ascii="仿宋_GB2312" w:hAnsi="仿宋_GB2312" w:eastAsia="仿宋_GB2312" w:cs="仿宋_GB2312"/>
          <w:sz w:val="28"/>
          <w:szCs w:val="28"/>
        </w:rPr>
        <w:t xml:space="preserve">8、磋商文件的澄清和修改</w:t>
      </w:r>
      <w:bookmarkEnd w:id="86"/>
      <w:r/>
      <w:bookmarkEnd w:id="87"/>
      <w:r/>
      <w:bookmarkEnd w:id="88"/>
      <w:r/>
      <w:bookmarkEnd w:id="8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90" w:name="_Toc513029213"/>
      <w:r/>
      <w:bookmarkStart w:id="91" w:name="_Toc20823285"/>
      <w:r/>
      <w:bookmarkStart w:id="92" w:name="_Toc462564072"/>
      <w:r/>
      <w:bookmarkStart w:id="93" w:name="_Toc120614216"/>
      <w:r/>
      <w:bookmarkStart w:id="94" w:name="_Toc16938529"/>
      <w:r>
        <w:rPr>
          <w:rFonts w:hint="eastAsia" w:ascii="仿宋_GB2312" w:hAnsi="仿宋_GB2312" w:eastAsia="仿宋_GB2312" w:cs="仿宋_GB2312"/>
          <w:b/>
          <w:bCs/>
          <w:sz w:val="28"/>
          <w:szCs w:val="28"/>
        </w:rPr>
        <w:t xml:space="preserve">三、响应文件的编制</w:t>
      </w:r>
      <w:bookmarkEnd w:id="90"/>
      <w:r/>
      <w:bookmarkEnd w:id="91"/>
      <w:r/>
      <w:bookmarkEnd w:id="92"/>
      <w:r/>
      <w:bookmarkEnd w:id="93"/>
      <w:r/>
      <w:bookmarkEnd w:id="94"/>
      <w:r/>
      <w:r/>
    </w:p>
    <w:p>
      <w:pPr>
        <w:ind w:firstLine="560"/>
        <w:keepLines/>
        <w:keepNext/>
        <w:pageBreakBefore w:val="0"/>
        <w:spacing w:line="500" w:lineRule="exact"/>
        <w:widowControl w:val="off"/>
        <w:rPr>
          <w:rFonts w:hint="eastAsia" w:ascii="仿宋_GB2312" w:hAnsi="仿宋_GB2312" w:eastAsia="仿宋_GB2312" w:cs="仿宋_GB2312"/>
          <w:b/>
          <w:sz w:val="28"/>
          <w:szCs w:val="28"/>
        </w:rPr>
        <w:outlineLvl w:val="3"/>
      </w:pPr>
      <w:r/>
      <w:bookmarkStart w:id="95" w:name="_Toc20823286"/>
      <w:r/>
      <w:bookmarkStart w:id="96" w:name="_Toc462564073"/>
      <w:r/>
      <w:bookmarkStart w:id="97" w:name="_Toc16938530"/>
      <w:r/>
      <w:bookmarkStart w:id="98" w:name="_Toc513029214"/>
      <w:r>
        <w:rPr>
          <w:rFonts w:hint="eastAsia" w:ascii="仿宋_GB2312" w:hAnsi="仿宋_GB2312" w:eastAsia="仿宋_GB2312" w:cs="仿宋_GB2312"/>
          <w:sz w:val="28"/>
          <w:szCs w:val="28"/>
        </w:rPr>
        <w:t xml:space="preserve">9、响应文件的语言及度量衡单位</w:t>
      </w:r>
      <w:bookmarkEnd w:id="95"/>
      <w:r/>
      <w:bookmarkEnd w:id="96"/>
      <w:r/>
      <w:bookmarkEnd w:id="97"/>
      <w:r/>
      <w:bookmarkEnd w:id="98"/>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99" w:name="_Toc20823287"/>
      <w:r/>
      <w:bookmarkStart w:id="100" w:name="_Toc513029215"/>
      <w:r/>
      <w:bookmarkStart w:id="101" w:name="_Toc462564074"/>
      <w:r/>
      <w:bookmarkStart w:id="102" w:name="_Toc16938531"/>
      <w:r>
        <w:rPr>
          <w:rFonts w:hint="eastAsia" w:ascii="仿宋_GB2312" w:hAnsi="仿宋_GB2312" w:eastAsia="仿宋_GB2312" w:cs="仿宋_GB2312"/>
          <w:sz w:val="28"/>
          <w:szCs w:val="28"/>
        </w:rPr>
        <w:t xml:space="preserve">10、响应文件构成</w:t>
      </w:r>
      <w:bookmarkEnd w:id="99"/>
      <w:r/>
      <w:bookmarkEnd w:id="100"/>
      <w:r/>
      <w:bookmarkEnd w:id="101"/>
      <w:r/>
      <w:bookmarkEnd w:id="10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3" w:name="_Hlt26670360"/>
      <w:r/>
      <w:bookmarkEnd w:id="103"/>
      <w:r/>
      <w:bookmarkStart w:id="104" w:name="_Hlt26954838"/>
      <w:r/>
      <w:bookmarkEnd w:id="104"/>
      <w:r/>
      <w:bookmarkStart w:id="105" w:name="_Hlt26668975"/>
      <w:r/>
      <w:bookmarkEnd w:id="105"/>
      <w:r/>
      <w:bookmarkStart w:id="106" w:name="_Toc513029219"/>
      <w:r/>
      <w:bookmarkStart w:id="107" w:name="_Toc14577357"/>
      <w:r/>
      <w:bookmarkStart w:id="108" w:name="_Toc49090509"/>
      <w:r/>
      <w:bookmarkStart w:id="109" w:name="_Toc513029216"/>
      <w:r/>
      <w:bookmarkStart w:id="110" w:name="_Toc49090507"/>
      <w:r/>
      <w:bookmarkStart w:id="111" w:name="_Toc14577354"/>
      <w:r/>
      <w:bookmarkStart w:id="112" w:name="_Toc14577355"/>
      <w:r/>
      <w:bookmarkStart w:id="113" w:name="_Toc49090508"/>
      <w:r>
        <w:rPr>
          <w:rFonts w:hint="eastAsia" w:ascii="仿宋_GB2312" w:hAnsi="仿宋_GB2312" w:eastAsia="仿宋_GB2312" w:cs="仿宋_GB2312"/>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4" w:name="_Hlt26670486"/>
      <w:r/>
      <w:bookmarkEnd w:id="114"/>
      <w:r/>
      <w:bookmarkStart w:id="115" w:name="_Hlt26954846"/>
      <w:r/>
      <w:bookmarkEnd w:id="115"/>
      <w:r/>
      <w:bookmarkStart w:id="116" w:name="_Hlt26670482"/>
      <w:r/>
      <w:bookmarkEnd w:id="116"/>
      <w:r/>
      <w:bookmarkStart w:id="117" w:name="_Hlt26954848"/>
      <w:r/>
      <w:bookmarkEnd w:id="117"/>
      <w:r/>
      <w:bookmarkStart w:id="118" w:name="_Hlt26954731"/>
      <w:r/>
      <w:bookmarkEnd w:id="118"/>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9" w:name="_Toc14577359"/>
      <w:r/>
      <w:bookmarkStart w:id="120" w:name="_Toc49090510"/>
      <w:r>
        <w:rPr>
          <w:rFonts w:hint="eastAsia" w:ascii="仿宋_GB2312" w:hAnsi="仿宋_GB2312" w:eastAsia="仿宋_GB2312" w:cs="仿宋_GB2312"/>
          <w:sz w:val="28"/>
          <w:szCs w:val="28"/>
        </w:rPr>
        <w:t xml:space="preserve">15、磋商响应函</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19"/>
      <w:r/>
      <w:bookmarkEnd w:id="120"/>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1" w:name="_Toc49090511"/>
      <w:r/>
      <w:bookmarkStart w:id="122" w:name="_Toc14577360"/>
      <w:r>
        <w:rPr>
          <w:rFonts w:hint="eastAsia" w:ascii="仿宋_GB2312" w:hAnsi="仿宋_GB2312" w:eastAsia="仿宋_GB2312" w:cs="仿宋_GB2312"/>
          <w:sz w:val="28"/>
          <w:szCs w:val="28"/>
        </w:rPr>
        <w:t xml:space="preserve">16、磋商有效期</w:t>
      </w:r>
      <w:bookmarkEnd w:id="121"/>
      <w:r/>
      <w:bookmarkEnd w:id="122"/>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ascii="仿宋_GB2312" w:hAnsi="仿宋_GB2312" w:eastAsia="仿宋_GB2312" w:cs="仿宋_GB2312"/>
          <w:b/>
          <w:bCs/>
          <w:sz w:val="28"/>
          <w:szCs w:val="28"/>
        </w:rPr>
        <w:t xml:space="preserve">四、响应文件的递交</w:t>
      </w:r>
      <w:bookmarkEnd w:id="125"/>
      <w:r/>
      <w:bookmarkEnd w:id="126"/>
      <w:r/>
      <w:bookmarkEnd w:id="127"/>
      <w:r/>
      <w:bookmarkEnd w:id="128"/>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9" w:name="_Toc513029225"/>
      <w:r/>
      <w:bookmarkStart w:id="130" w:name="_Toc462564084"/>
      <w:r/>
      <w:bookmarkStart w:id="131" w:name="_Toc16938541"/>
      <w:r/>
      <w:bookmarkStart w:id="132" w:name="_Toc20823297"/>
      <w:r>
        <w:rPr>
          <w:rFonts w:hint="eastAsia" w:ascii="仿宋_GB2312" w:hAnsi="仿宋_GB2312" w:eastAsia="仿宋_GB2312" w:cs="仿宋_GB2312"/>
          <w:sz w:val="28"/>
          <w:szCs w:val="28"/>
        </w:rPr>
        <w:t xml:space="preserve">18、电子磋商</w:t>
      </w:r>
      <w:bookmarkEnd w:id="129"/>
      <w:r/>
      <w:bookmarkEnd w:id="130"/>
      <w:r/>
      <w:bookmarkEnd w:id="131"/>
      <w:r/>
      <w:bookmarkEnd w:id="132"/>
      <w:r>
        <w:rPr>
          <w:rFonts w:hint="eastAsia" w:ascii="仿宋_GB2312" w:hAnsi="仿宋_GB2312" w:eastAsia="仿宋_GB2312" w:cs="仿宋_GB2312"/>
          <w:sz w:val="28"/>
          <w:szCs w:val="28"/>
        </w:rPr>
        <w:t xml:space="preserve">响应文件的递交</w:t>
      </w:r>
      <w:r/>
    </w:p>
    <w:p>
      <w:pPr>
        <w:ind w:firstLine="70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3" w:name="_Toc20823298"/>
      <w:r/>
      <w:bookmarkStart w:id="134" w:name="_Toc513029226"/>
      <w:r/>
      <w:bookmarkStart w:id="135" w:name="_Toc16938542"/>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3"/>
      <w:r/>
      <w:bookmarkEnd w:id="134"/>
      <w:r/>
      <w:bookmarkEnd w:id="135"/>
      <w:r/>
      <w:r/>
    </w:p>
    <w:p>
      <w:pPr>
        <w:ind w:firstLine="560"/>
        <w:pageBreakBefore w:val="0"/>
        <w:spacing w:line="50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6" w:name="_Toc513029227"/>
      <w:r/>
      <w:bookmarkStart w:id="137" w:name="_Toc20823299"/>
      <w:r/>
      <w:bookmarkStart w:id="138" w:name="_Toc16938543"/>
      <w:r>
        <w:rPr>
          <w:rFonts w:hint="eastAsia" w:ascii="仿宋_GB2312" w:hAnsi="仿宋_GB2312" w:eastAsia="仿宋_GB2312" w:cs="仿宋_GB2312"/>
          <w:sz w:val="28"/>
          <w:szCs w:val="28"/>
        </w:rPr>
        <w:t xml:space="preserve">20、响应文件</w:t>
      </w:r>
      <w:bookmarkEnd w:id="136"/>
      <w:r/>
      <w:bookmarkEnd w:id="137"/>
      <w:r/>
      <w:bookmarkEnd w:id="138"/>
      <w:r>
        <w:rPr>
          <w:rFonts w:hint="eastAsia" w:ascii="仿宋_GB2312" w:hAnsi="仿宋_GB2312" w:eastAsia="仿宋_GB2312" w:cs="仿宋_GB2312"/>
          <w:sz w:val="28"/>
          <w:szCs w:val="28"/>
        </w:rPr>
        <w:t xml:space="preserve">的拒收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9" w:name="_Toc16938544"/>
      <w:r/>
      <w:bookmarkStart w:id="140" w:name="_Toc20823300"/>
      <w:r/>
      <w:bookmarkStart w:id="141" w:name="_Toc513029228"/>
      <w:r>
        <w:rPr>
          <w:rFonts w:hint="eastAsia" w:ascii="仿宋_GB2312" w:hAnsi="仿宋_GB2312" w:eastAsia="仿宋_GB2312" w:cs="仿宋_GB2312"/>
          <w:sz w:val="28"/>
          <w:szCs w:val="28"/>
        </w:rPr>
        <w:t xml:space="preserve">21、响应文件的撤回和修改</w:t>
      </w:r>
      <w:bookmarkEnd w:id="139"/>
      <w:r/>
      <w:bookmarkEnd w:id="140"/>
      <w:r/>
      <w:bookmarkEnd w:id="141"/>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42" w:name="_Toc513029229"/>
      <w:r/>
      <w:bookmarkStart w:id="143" w:name="_Toc120614218"/>
      <w:r/>
      <w:bookmarkStart w:id="144" w:name="_Toc16938545"/>
      <w:r/>
      <w:bookmarkStart w:id="145" w:name="_Toc20823301"/>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2"/>
      <w:r/>
      <w:bookmarkEnd w:id="143"/>
      <w:r/>
      <w:bookmarkEnd w:id="144"/>
      <w:r/>
      <w:bookmarkEnd w:id="145"/>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6" w:name="_Toc513029230"/>
      <w:r/>
      <w:bookmarkStart w:id="147" w:name="_Toc20823302"/>
      <w:r/>
      <w:bookmarkStart w:id="148" w:name="_Toc16938546"/>
      <w:r>
        <w:rPr>
          <w:rFonts w:hint="eastAsia" w:ascii="仿宋_GB2312" w:hAnsi="仿宋_GB2312" w:eastAsia="仿宋_GB2312" w:cs="仿宋_GB2312"/>
          <w:color w:val="auto"/>
          <w:sz w:val="28"/>
          <w:szCs w:val="28"/>
        </w:rPr>
        <w:t xml:space="preserve">22、</w:t>
      </w:r>
      <w:bookmarkEnd w:id="146"/>
      <w:r/>
      <w:bookmarkEnd w:id="147"/>
      <w:r/>
      <w:bookmarkEnd w:id="148"/>
      <w:r>
        <w:rPr>
          <w:rFonts w:hint="eastAsia" w:ascii="仿宋_GB2312" w:hAnsi="仿宋_GB2312" w:eastAsia="仿宋_GB2312" w:cs="仿宋_GB2312"/>
          <w:color w:val="auto"/>
          <w:sz w:val="28"/>
          <w:szCs w:val="28"/>
        </w:rPr>
        <w:t xml:space="preserve">响应文件解密</w:t>
      </w:r>
      <w:r/>
    </w:p>
    <w:p>
      <w:pPr>
        <w:ind w:firstLine="42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9" w:name="_Toc513029231"/>
      <w:r/>
      <w:bookmarkStart w:id="150" w:name="_Toc20823303"/>
      <w:r/>
      <w:bookmarkStart w:id="151" w:name="_Toc16938547"/>
      <w:r>
        <w:rPr>
          <w:rFonts w:hint="eastAsia" w:ascii="仿宋_GB2312" w:hAnsi="仿宋_GB2312" w:eastAsia="仿宋_GB2312" w:cs="仿宋_GB2312"/>
          <w:color w:val="auto"/>
          <w:sz w:val="28"/>
          <w:szCs w:val="28"/>
        </w:rPr>
        <w:t xml:space="preserve">23、磋商小组</w:t>
      </w:r>
      <w:r/>
    </w:p>
    <w:p>
      <w:pPr>
        <w:pageBreakBefore w:val="0"/>
        <w:spacing w:line="50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49"/>
      <w:r/>
      <w:bookmarkEnd w:id="150"/>
      <w:r/>
      <w:bookmarkEnd w:id="151"/>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52" w:name="_Toc16938548"/>
      <w:r/>
      <w:bookmarkStart w:id="153" w:name="_Toc20823304"/>
      <w:r/>
      <w:bookmarkStart w:id="154" w:name="_Toc513029232"/>
      <w:r>
        <w:rPr>
          <w:rFonts w:hint="eastAsia" w:ascii="仿宋_GB2312" w:hAnsi="仿宋_GB2312" w:eastAsia="仿宋_GB2312" w:cs="仿宋_GB2312"/>
          <w:sz w:val="28"/>
          <w:szCs w:val="28"/>
        </w:rPr>
        <w:t xml:space="preserve">25、评审过程中的的澄清</w:t>
      </w:r>
      <w:bookmarkEnd w:id="152"/>
      <w:r/>
      <w:bookmarkEnd w:id="153"/>
      <w:r/>
      <w:bookmarkEnd w:id="154"/>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接到磋商小组澄清、说明和更正要求的供应商如未按规定做出澄清、说明和更正，其风险由供应商自行承担。</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5" w:name="_Toc513029233"/>
      <w:r/>
      <w:bookmarkStart w:id="156" w:name="_Toc16938549"/>
      <w:r/>
      <w:bookmarkStart w:id="157" w:name="_Toc20823305"/>
      <w:r>
        <w:rPr>
          <w:rFonts w:hint="eastAsia" w:ascii="仿宋_GB2312" w:hAnsi="仿宋_GB2312" w:eastAsia="仿宋_GB2312" w:cs="仿宋_GB2312"/>
          <w:color w:val="auto"/>
          <w:sz w:val="28"/>
          <w:szCs w:val="28"/>
        </w:rPr>
        <w:t xml:space="preserve">26、对响应文件的审</w:t>
      </w:r>
      <w:bookmarkEnd w:id="155"/>
      <w:r/>
      <w:bookmarkEnd w:id="156"/>
      <w:r/>
      <w:bookmarkEnd w:id="157"/>
      <w:r>
        <w:rPr>
          <w:rFonts w:hint="eastAsia" w:ascii="仿宋_GB2312" w:hAnsi="仿宋_GB2312" w:eastAsia="仿宋_GB2312" w:cs="仿宋_GB2312"/>
          <w:color w:val="auto"/>
          <w:sz w:val="28"/>
          <w:szCs w:val="28"/>
        </w:rPr>
        <w:t xml:space="preserve">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0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00" w:lineRule="exact"/>
        <w:widowControl w:val="off"/>
        <w:rPr>
          <w:rFonts w:hint="eastAsia" w:ascii="仿宋_GB2312" w:hAnsi="仿宋_GB2312" w:eastAsia="仿宋_GB2312" w:cs="仿宋_GB2312"/>
          <w:color w:val="auto"/>
          <w:sz w:val="28"/>
          <w:szCs w:val="28"/>
        </w:rPr>
      </w:pPr>
      <w:r/>
      <w:bookmarkStart w:id="158" w:name="_Toc20823306"/>
      <w:r/>
      <w:bookmarkStart w:id="159" w:name="_Toc16938550"/>
      <w:r/>
      <w:bookmarkStart w:id="160" w:name="_Toc513029234"/>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56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8"/>
      <w:r/>
      <w:bookmarkEnd w:id="159"/>
      <w:r/>
      <w:bookmarkEnd w:id="160"/>
      <w:r>
        <w:rPr>
          <w:rFonts w:hint="eastAsia" w:ascii="仿宋_GB2312" w:hAnsi="仿宋_GB2312" w:eastAsia="仿宋_GB2312" w:cs="仿宋_GB2312"/>
          <w:color w:val="auto"/>
          <w:sz w:val="28"/>
          <w:szCs w:val="28"/>
        </w:rPr>
        <w:t xml:space="preserve">磋商程序及评审方法和评审标准</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w:t>
      </w:r>
      <w:r>
        <w:rPr>
          <w:rFonts w:hint="eastAsia" w:ascii="仿宋_GB2312" w:hAnsi="仿宋_GB2312" w:eastAsia="仿宋_GB2312" w:cs="仿宋_GB2312"/>
          <w:color w:val="auto"/>
          <w:sz w:val="28"/>
          <w:szCs w:val="28"/>
          <w:lang w:eastAsia="zh-CN"/>
        </w:rPr>
        <w:t xml:space="preserve">管理</w:t>
      </w:r>
      <w:r>
        <w:rPr>
          <w:rFonts w:hint="eastAsia" w:ascii="仿宋_GB2312" w:hAnsi="仿宋_GB2312" w:eastAsia="仿宋_GB2312" w:cs="仿宋_GB2312"/>
          <w:color w:val="auto"/>
          <w:sz w:val="28"/>
          <w:szCs w:val="28"/>
        </w:rPr>
        <w:t xml:space="preserve">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ageBreakBefore w:val="0"/>
        <w:spacing w:line="500" w:lineRule="exact"/>
        <w:widowControl w:val="off"/>
        <w:tabs>
          <w:tab w:val="left" w:pos="900" w:leader="none"/>
        </w:tabs>
        <w:rPr>
          <w:rFonts w:hint="eastAsia" w:ascii="仿宋_GB2312" w:hAnsi="仿宋_GB2312" w:eastAsia="仿宋_GB2312" w:cs="仿宋_GB2312"/>
          <w:sz w:val="28"/>
          <w:szCs w:val="28"/>
        </w:rPr>
      </w:pPr>
      <w:r>
        <w:rPr>
          <w:rFonts w:hint="eastAsia" w:ascii="仿宋" w:hAnsi="仿宋" w:eastAsia="仿宋" w:cs="仿宋_GB2312"/>
          <w:b/>
          <w:bCs/>
          <w:sz w:val="28"/>
          <w:szCs w:val="28"/>
          <w:highlight w:val="none"/>
        </w:rPr>
        <w:t xml:space="preserve">（</w:t>
      </w:r>
      <w:r>
        <w:rPr>
          <w:rFonts w:hint="eastAsia" w:ascii="仿宋" w:hAnsi="仿宋" w:eastAsia="仿宋" w:cs="仿宋_GB2312"/>
          <w:b/>
          <w:bCs/>
          <w:sz w:val="28"/>
          <w:szCs w:val="28"/>
          <w:highlight w:val="yellow"/>
          <w:lang w:eastAsia="zh-CN"/>
        </w:rPr>
        <w:t xml:space="preserve">特别提醒</w:t>
      </w:r>
      <w:r>
        <w:rPr>
          <w:rFonts w:hint="eastAsia" w:ascii="仿宋" w:hAnsi="仿宋" w:eastAsia="仿宋" w:cs="仿宋_GB2312"/>
          <w:b/>
          <w:bCs/>
          <w:sz w:val="28"/>
          <w:szCs w:val="28"/>
          <w:highlight w:val="none"/>
          <w:lang w:eastAsia="zh-CN"/>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w:t>
      </w:r>
      <w:r>
        <w:rPr>
          <w:rFonts w:hint="eastAsia" w:ascii="仿宋" w:hAnsi="仿宋" w:eastAsia="仿宋"/>
          <w:b/>
          <w:color w:val="ff0000"/>
          <w:sz w:val="28"/>
          <w:szCs w:val="28"/>
          <w:lang w:eastAsia="zh-CN"/>
        </w:rPr>
        <w:t xml:space="preserve">。</w:t>
      </w:r>
      <w:r>
        <w:rPr>
          <w:rFonts w:hint="eastAsia" w:ascii="仿宋" w:hAnsi="仿宋" w:eastAsia="仿宋"/>
          <w:b/>
          <w:color w:val="ff0000"/>
          <w:sz w:val="28"/>
          <w:szCs w:val="28"/>
        </w:rPr>
        <w:t xml:space="preserve">未在规定时间内提交最后报价的，视同退出本次</w:t>
      </w:r>
      <w:r>
        <w:rPr>
          <w:rFonts w:hint="eastAsia" w:ascii="仿宋" w:hAnsi="仿宋" w:eastAsia="仿宋"/>
          <w:b/>
          <w:color w:val="ff0000"/>
          <w:sz w:val="28"/>
          <w:szCs w:val="28"/>
          <w:lang w:eastAsia="zh-CN"/>
        </w:rPr>
        <w:t xml:space="preserve">磋商。</w:t>
      </w:r>
      <w:r>
        <w:rPr>
          <w:rFonts w:hint="eastAsia" w:ascii="仿宋" w:hAnsi="仿宋" w:eastAsia="仿宋" w:cs="仿宋_GB2312"/>
          <w:sz w:val="28"/>
          <w:szCs w:val="28"/>
        </w:rPr>
        <w:t xml:space="preserve">）</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61" w:name="_Toc513029235"/>
      <w:r/>
      <w:bookmarkStart w:id="162" w:name="_Toc16938551"/>
      <w:r/>
      <w:bookmarkStart w:id="163" w:name="_Toc120614219"/>
      <w:r/>
      <w:bookmarkStart w:id="164" w:name="_Toc20823307"/>
      <w:r>
        <w:rPr>
          <w:rFonts w:hint="eastAsia" w:ascii="仿宋_GB2312" w:hAnsi="仿宋_GB2312" w:eastAsia="仿宋_GB2312" w:cs="仿宋_GB2312"/>
          <w:b/>
          <w:bCs/>
          <w:color w:val="auto"/>
          <w:sz w:val="28"/>
          <w:szCs w:val="28"/>
        </w:rPr>
        <w:t xml:space="preserve">六、</w:t>
      </w:r>
      <w:bookmarkEnd w:id="161"/>
      <w:r/>
      <w:bookmarkEnd w:id="162"/>
      <w:r/>
      <w:bookmarkEnd w:id="163"/>
      <w:r/>
      <w:bookmarkEnd w:id="164"/>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00" w:lineRule="exact"/>
        <w:widowControl w:val="off"/>
        <w:rPr>
          <w:rFonts w:hint="eastAsia" w:ascii="仿宋_GB2312" w:hAnsi="仿宋_GB2312" w:eastAsia="仿宋_GB2312" w:cs="仿宋_GB2312"/>
          <w:bCs/>
          <w:color w:val="auto"/>
          <w:sz w:val="28"/>
          <w:szCs w:val="28"/>
        </w:rPr>
        <w:outlineLvl w:val="3"/>
      </w:pPr>
      <w:r/>
      <w:bookmarkStart w:id="165" w:name="_Toc513029238"/>
      <w:r/>
      <w:bookmarkStart w:id="166" w:name="_Toc20823310"/>
      <w:r/>
      <w:bookmarkStart w:id="167" w:name="_Toc16938554"/>
      <w:r>
        <w:rPr>
          <w:rFonts w:hint="eastAsia" w:ascii="仿宋_GB2312" w:hAnsi="仿宋_GB2312" w:eastAsia="仿宋_GB2312" w:cs="仿宋_GB2312"/>
          <w:bCs/>
          <w:color w:val="auto"/>
          <w:sz w:val="28"/>
          <w:szCs w:val="28"/>
        </w:rPr>
        <w:t xml:space="preserve">28、</w:t>
      </w:r>
      <w:bookmarkEnd w:id="165"/>
      <w:r>
        <w:rPr>
          <w:rFonts w:hint="eastAsia" w:ascii="仿宋_GB2312" w:hAnsi="仿宋_GB2312" w:eastAsia="仿宋_GB2312" w:cs="仿宋_GB2312"/>
          <w:bCs/>
          <w:color w:val="auto"/>
          <w:sz w:val="28"/>
          <w:szCs w:val="28"/>
        </w:rPr>
        <w:t xml:space="preserve">确定</w:t>
      </w:r>
      <w:bookmarkEnd w:id="166"/>
      <w:r/>
      <w:bookmarkEnd w:id="167"/>
      <w:r>
        <w:rPr>
          <w:rFonts w:hint="eastAsia" w:ascii="仿宋_GB2312" w:hAnsi="仿宋_GB2312" w:eastAsia="仿宋_GB2312" w:cs="仿宋_GB2312"/>
          <w:bCs/>
          <w:color w:val="auto"/>
          <w:sz w:val="28"/>
          <w:szCs w:val="28"/>
        </w:rPr>
        <w:t xml:space="preserve">成交单位</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68" w:name="_Toc200451960"/>
      <w:r>
        <w:rPr>
          <w:rFonts w:hint="eastAsia" w:ascii="仿宋_GB2312" w:hAnsi="仿宋_GB2312" w:eastAsia="仿宋_GB2312" w:cs="仿宋_GB2312"/>
          <w:bCs/>
          <w:sz w:val="28"/>
          <w:szCs w:val="28"/>
        </w:rPr>
        <w:t xml:space="preserve">29、质疑处理</w:t>
      </w:r>
      <w:bookmarkEnd w:id="168"/>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0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第一章。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69" w:name="_Toc120614220"/>
      <w:r/>
      <w:bookmarkStart w:id="170" w:name="_Toc513029236"/>
      <w:r/>
      <w:bookmarkStart w:id="171" w:name="_Toc20823308"/>
      <w:r/>
      <w:bookmarkStart w:id="172" w:name="_Toc16938552"/>
      <w:r>
        <w:rPr>
          <w:rFonts w:hint="eastAsia" w:ascii="仿宋_GB2312" w:hAnsi="仿宋_GB2312" w:eastAsia="仿宋_GB2312" w:cs="仿宋_GB2312"/>
          <w:b/>
          <w:bCs/>
          <w:sz w:val="28"/>
          <w:szCs w:val="28"/>
        </w:rPr>
        <w:t xml:space="preserve">七、授予合同</w:t>
      </w:r>
      <w:bookmarkEnd w:id="169"/>
      <w:r/>
      <w:bookmarkEnd w:id="170"/>
      <w:r/>
      <w:bookmarkEnd w:id="171"/>
      <w:r/>
      <w:bookmarkEnd w:id="172"/>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73" w:name="_Toc16938553"/>
      <w:r/>
      <w:bookmarkStart w:id="174" w:name="_Toc20823309"/>
      <w:r/>
      <w:bookmarkStart w:id="175" w:name="_Toc513029237"/>
      <w:r>
        <w:rPr>
          <w:rFonts w:hint="eastAsia" w:ascii="仿宋_GB2312" w:hAnsi="仿宋_GB2312" w:eastAsia="仿宋_GB2312" w:cs="仿宋_GB2312"/>
          <w:bCs/>
          <w:sz w:val="28"/>
          <w:szCs w:val="28"/>
        </w:rPr>
        <w:t xml:space="preserve">31. 签订合同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3"/>
      <w:r/>
      <w:bookmarkEnd w:id="174"/>
      <w:r/>
      <w:bookmarkEnd w:id="175"/>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rPr>
          <w:rFonts w:eastAsia="黑体"/>
        </w:rPr>
      </w:pPr>
      <w:r>
        <w:rPr>
          <w:rFonts w:eastAsia="黑体"/>
        </w:rPr>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right="0"/>
        <w:jc w:val="center"/>
        <w:pageBreakBefore w:val="0"/>
        <w:spacing w:line="520" w:lineRule="exact"/>
        <w:widowControl w:val="off"/>
        <w:rPr>
          <w:rFonts w:hint="eastAsia" w:ascii="黑体" w:hAnsi="黑体" w:eastAsia="黑体" w:cs="黑体"/>
          <w:b w:val="0"/>
          <w:bCs w:val="0"/>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第三章  合同</w:t>
      </w:r>
      <w:bookmarkEnd w:id="55"/>
      <w:r/>
      <w:bookmarkEnd w:id="56"/>
      <w:r/>
      <w:bookmarkEnd w:id="57"/>
      <w:r/>
      <w:bookmarkEnd w:id="58"/>
      <w:r/>
      <w:bookmarkEnd w:id="59"/>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6" w:name="_Toc16938559"/>
      <w:r/>
      <w:bookmarkStart w:id="177" w:name="_Toc513029243"/>
      <w:r/>
      <w:bookmarkStart w:id="178" w:name="_Toc20823315"/>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6"/>
      <w:r/>
      <w:bookmarkEnd w:id="177"/>
      <w:r/>
      <w:bookmarkEnd w:id="178"/>
      <w:r/>
      <w:r/>
    </w:p>
    <w:p>
      <w:pPr>
        <w:ind w:firstLine="800"/>
        <w:jc w:val="center"/>
        <w:spacing w:line="520" w:lineRule="exact"/>
        <w:rPr>
          <w:rFonts w:ascii="方正小标宋_GBK" w:hAnsi="方正小标宋_GBK" w:eastAsia="方正小标宋_GBK" w:cs="方正小标宋_GBK"/>
          <w:bCs/>
          <w:sz w:val="40"/>
          <w:szCs w:val="40"/>
        </w:rPr>
        <w:outlineLvl w:val="0"/>
      </w:pPr>
      <w:r/>
      <w:bookmarkStart w:id="179" w:name="_Hlt16619369"/>
      <w:r/>
      <w:bookmarkEnd w:id="179"/>
      <w:r/>
      <w:bookmarkStart w:id="180" w:name="_Toc16938590"/>
      <w:r/>
      <w:bookmarkStart w:id="181" w:name="_Toc120614244"/>
      <w:r/>
      <w:bookmarkStart w:id="182" w:name="_Toc20823346"/>
      <w:r/>
      <w:bookmarkStart w:id="183" w:name="_Hlt16619350"/>
      <w:r/>
      <w:bookmarkStart w:id="184" w:name="_Toc479757211"/>
      <w:r/>
      <w:bookmarkStart w:id="185" w:name="_Toc462564139"/>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8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8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8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86"/>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项目的</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结果，签署本合同。</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86"/>
        <w:ind w:firstLine="562"/>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86"/>
        <w:ind w:firstLine="560"/>
        <w:keepLines w:val="0"/>
        <w:keepNext w:val="0"/>
        <w:pageBreakBefore w:val="0"/>
        <w:spacing w:line="480" w:lineRule="exact"/>
        <w:widowControl w:val="off"/>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不设置</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keepLines w:val="0"/>
        <w:keepNext w:val="0"/>
        <w:pageBreakBefore w:val="0"/>
        <w:spacing w:line="480" w:lineRule="exact"/>
        <w:widowControl w:val="off"/>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8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8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8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8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8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86"/>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86"/>
        <w:ind w:firstLine="562"/>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86"/>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86"/>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86"/>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86"/>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8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8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8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86"/>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86"/>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180"/>
      <w:r/>
      <w:bookmarkEnd w:id="181"/>
      <w:r/>
      <w:bookmarkEnd w:id="182"/>
      <w:r/>
      <w:bookmarkEnd w:id="183"/>
      <w:r/>
      <w:bookmarkStart w:id="186" w:name="_Toc49090575"/>
      <w:r/>
      <w:bookmarkStart w:id="187" w:name="_Toc26554093"/>
      <w:r/>
      <w:r/>
    </w:p>
    <w:p>
      <w:pPr>
        <w:pStyle w:val="1086"/>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rPr>
          <w:rFonts w:hint="eastAsia"/>
        </w:rPr>
      </w:pPr>
      <w:r>
        <w:rPr>
          <w:rFonts w:hint="eastAsia"/>
        </w:rPr>
      </w:r>
      <w:r/>
    </w:p>
    <w:p>
      <w:pPr>
        <w:rPr>
          <w:rFonts w:hint="eastAsia"/>
        </w:rPr>
      </w:pPr>
      <w:r>
        <w:rPr>
          <w:rFonts w:hint="eastAsia"/>
        </w:rPr>
      </w:r>
      <w:r/>
    </w:p>
    <w:p>
      <w:pPr>
        <w:spacing w:line="560" w:lineRule="exact"/>
        <w:rPr>
          <w:rFonts w:ascii="黑体" w:hAnsi="黑体" w:eastAsia="黑体" w:cs="黑体"/>
          <w:color w:val="000000"/>
          <w:sz w:val="28"/>
          <w:szCs w:val="28"/>
        </w:rPr>
      </w:pPr>
      <w:r/>
      <w:bookmarkStart w:id="188" w:name="_Toc120614281"/>
      <w:r>
        <w:rPr>
          <w:rFonts w:hint="eastAsia" w:ascii="黑体" w:hAnsi="黑体" w:eastAsia="黑体" w:cs="黑体"/>
          <w:color w:val="000000"/>
          <w:sz w:val="28"/>
          <w:szCs w:val="28"/>
        </w:rPr>
        <w:t xml:space="preserve">①项目属性:</w:t>
      </w:r>
      <w:r>
        <w:rPr>
          <w:rFonts w:hint="eastAsia" w:ascii="黑体" w:hAnsi="黑体" w:eastAsia="黑体" w:cs="黑体"/>
          <w:color w:val="000000"/>
          <w:sz w:val="28"/>
          <w:szCs w:val="28"/>
          <w:lang w:val="en-US" w:eastAsia="zh-CN"/>
        </w:rPr>
        <w:t xml:space="preserve">服务类</w:t>
      </w:r>
      <w:r>
        <w:rPr>
          <w:rFonts w:hint="eastAsia" w:ascii="黑体" w:hAnsi="黑体" w:eastAsia="黑体" w:cs="黑体"/>
          <w:color w:val="000000"/>
          <w:sz w:val="28"/>
          <w:szCs w:val="28"/>
        </w:rPr>
        <w:t xml:space="preserve">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864"/>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sz w:val="28"/>
                <w:szCs w:val="28"/>
                <w:lang w:val="en-US"/>
              </w:rPr>
            </w:pPr>
            <w:r>
              <w:rPr>
                <w:rFonts w:hint="eastAsia" w:ascii="仿宋_GB2312" w:hAnsi="仿宋_GB2312" w:eastAsia="仿宋_GB2312" w:cs="仿宋_GB2312"/>
                <w:color w:val="auto"/>
                <w:sz w:val="28"/>
                <w:szCs w:val="28"/>
                <w:highlight w:val="none"/>
                <w:lang w:eastAsia="zh-CN"/>
              </w:rPr>
              <w:t xml:space="preserve">安全生产履职信息平台二期</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color w:val="auto"/>
                <w:sz w:val="28"/>
                <w:szCs w:val="28"/>
                <w:highlight w:val="none"/>
              </w:rPr>
              <w:t xml:space="preserve">软件和信息技术服务业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864"/>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keepLines w:val="0"/>
        <w:keepNext w:val="0"/>
        <w:pageBreakBefore w:val="0"/>
        <w:spacing w:line="0" w:lineRule="atLeast"/>
        <w:rPr>
          <w:rFonts w:ascii="黑体" w:hAnsi="黑体" w:eastAsia="黑体" w:cs="黑体"/>
          <w:color w:val="000000"/>
          <w:sz w:val="28"/>
          <w:szCs w:val="28"/>
        </w:rPr>
      </w:pPr>
      <w:r>
        <w:rPr>
          <w:rFonts w:ascii="黑体" w:hAnsi="黑体" w:eastAsia="黑体" w:cs="黑体"/>
          <w:color w:val="000000"/>
          <w:sz w:val="28"/>
          <w:szCs w:val="28"/>
        </w:rPr>
      </w:r>
      <w:r/>
    </w:p>
    <w:p>
      <w:pPr>
        <w:keepLines w:val="0"/>
        <w:keepNext w:val="0"/>
        <w:pageBreakBefore w:val="0"/>
        <w:spacing w:line="0" w:lineRule="atLeas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rPr>
        <w:t xml:space="preserve">④</w:t>
      </w:r>
      <w:r>
        <w:rPr>
          <w:rFonts w:hint="eastAsia" w:ascii="黑体" w:hAnsi="黑体" w:eastAsia="黑体" w:cs="黑体"/>
          <w:color w:val="000000"/>
          <w:sz w:val="28"/>
          <w:szCs w:val="28"/>
          <w:lang w:val="en-US" w:eastAsia="zh-CN"/>
        </w:rPr>
        <w:t xml:space="preserve">具体清单</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70"/>
        <w:gridCol w:w="2326"/>
        <w:gridCol w:w="2295"/>
        <w:gridCol w:w="3428"/>
      </w:tblGrid>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费用类别</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明细项目</w:t>
            </w:r>
            <w:r/>
          </w:p>
        </w:tc>
        <w:tc>
          <w:tcPr>
            <w:tcMar>
              <w:left w:w="120" w:type="dxa"/>
              <w:top w:w="60" w:type="dxa"/>
              <w:right w:w="120" w:type="dxa"/>
              <w:bottom w:w="30" w:type="dxa"/>
            </w:tcMar>
            <w:tcW w:w="3428"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备注</w:t>
            </w:r>
            <w:r/>
          </w:p>
        </w:tc>
      </w:tr>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系统开发</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功能模块开发</w:t>
            </w:r>
            <w:r/>
          </w:p>
        </w:tc>
        <w:tc>
          <w:tcPr>
            <w:tcMar>
              <w:left w:w="120" w:type="dxa"/>
              <w:top w:w="60" w:type="dxa"/>
              <w:right w:w="120" w:type="dxa"/>
              <w:bottom w:w="30" w:type="dxa"/>
            </w:tcMar>
            <w:tcW w:w="3428" w:type="dxa"/>
            <w:vAlign w:val="center"/>
            <w:textDirection w:val="lrTb"/>
            <w:noWrap w:val="false"/>
          </w:tcPr>
          <w:p>
            <w:pPr>
              <w:ind w:left="0"/>
              <w:jc w:val="left"/>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含实施、培训等附属服务</w:t>
            </w:r>
            <w:r/>
          </w:p>
        </w:tc>
      </w:tr>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一期数据迁移费用</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数据迁移与校验</w:t>
            </w:r>
            <w:r/>
          </w:p>
        </w:tc>
        <w:tc>
          <w:tcPr>
            <w:tcMar>
              <w:left w:w="120" w:type="dxa"/>
              <w:top w:w="60" w:type="dxa"/>
              <w:right w:w="120" w:type="dxa"/>
              <w:bottom w:w="30" w:type="dxa"/>
            </w:tcMar>
            <w:tcW w:w="3428" w:type="dxa"/>
            <w:vAlign w:val="center"/>
            <w:textDirection w:val="lrTb"/>
            <w:noWrap w:val="false"/>
          </w:tcPr>
          <w:p>
            <w:pPr>
              <w:ind w:left="0"/>
              <w:jc w:val="left"/>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一期平台历史数据迁移</w:t>
            </w:r>
            <w:r/>
          </w:p>
        </w:tc>
      </w:tr>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智能设备接入</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5类</w:t>
            </w:r>
            <w:r>
              <w:rPr>
                <w:rFonts w:hint="eastAsia" w:ascii="仿宋" w:hAnsi="仿宋" w:eastAsia="仿宋" w:cs="仿宋"/>
                <w:sz w:val="24"/>
                <w:szCs w:val="24"/>
                <w:highlight w:val="none"/>
              </w:rPr>
              <w:t xml:space="preserve">设备接入</w:t>
            </w:r>
            <w:r/>
          </w:p>
        </w:tc>
        <w:tc>
          <w:tcPr>
            <w:tcMar>
              <w:left w:w="120" w:type="dxa"/>
              <w:top w:w="60" w:type="dxa"/>
              <w:right w:w="120" w:type="dxa"/>
              <w:bottom w:w="30" w:type="dxa"/>
            </w:tcMar>
            <w:tcW w:w="3428" w:type="dxa"/>
            <w:vAlign w:val="center"/>
            <w:textDirection w:val="lrTb"/>
            <w:noWrap w:val="false"/>
          </w:tcPr>
          <w:p>
            <w:pPr>
              <w:ind w:left="0"/>
              <w:jc w:val="left"/>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
              </w:rPr>
              <w:t xml:space="preserve">布控球、无人机、执法记录仪、固定摄像头、物联网网关统一接入，仅展示画面 / 状态，设备调度识别由原厂后台完成</w:t>
            </w:r>
            <w:r/>
          </w:p>
        </w:tc>
      </w:tr>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服务器租赁</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政务云服务器1台/年</w:t>
            </w:r>
            <w:r/>
          </w:p>
        </w:tc>
        <w:tc>
          <w:tcPr>
            <w:tcMar>
              <w:left w:w="120" w:type="dxa"/>
              <w:top w:w="60" w:type="dxa"/>
              <w:right w:w="120" w:type="dxa"/>
              <w:bottom w:w="30" w:type="dxa"/>
            </w:tcMar>
            <w:tcW w:w="3428" w:type="dxa"/>
            <w:vAlign w:val="center"/>
            <w:textDirection w:val="lrTb"/>
            <w:noWrap w:val="false"/>
          </w:tcPr>
          <w:p>
            <w:pPr>
              <w:ind w:left="0"/>
              <w:jc w:val="left"/>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VCPU:8GHz；内存：16GB；存储：2TB；带宽：10M</w:t>
            </w:r>
            <w:r/>
          </w:p>
        </w:tc>
      </w:tr>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AI算力租赁</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FP16算力卡1卡/年</w:t>
            </w:r>
            <w:r/>
          </w:p>
        </w:tc>
        <w:tc>
          <w:tcPr>
            <w:tcMar>
              <w:left w:w="120" w:type="dxa"/>
              <w:top w:w="60" w:type="dxa"/>
              <w:right w:w="120" w:type="dxa"/>
              <w:bottom w:w="30" w:type="dxa"/>
            </w:tcMar>
            <w:tcW w:w="3428" w:type="dxa"/>
            <w:vAlign w:val="center"/>
            <w:textDirection w:val="lrTb"/>
            <w:noWrap w:val="false"/>
          </w:tcPr>
          <w:p>
            <w:pPr>
              <w:ind w:left="0"/>
              <w:jc w:val="left"/>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支撑AI功能运行</w:t>
            </w:r>
            <w:r/>
          </w:p>
        </w:tc>
      </w:tr>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维护费</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运维服务1年</w:t>
            </w:r>
            <w:r/>
          </w:p>
        </w:tc>
        <w:tc>
          <w:tcPr>
            <w:tcMar>
              <w:left w:w="120" w:type="dxa"/>
              <w:top w:w="60" w:type="dxa"/>
              <w:right w:w="120" w:type="dxa"/>
              <w:bottom w:w="30" w:type="dxa"/>
            </w:tcMar>
            <w:tcW w:w="3428" w:type="dxa"/>
            <w:vAlign w:val="center"/>
            <w:textDirection w:val="lrTb"/>
            <w:noWrap w:val="false"/>
          </w:tcPr>
          <w:p>
            <w:pPr>
              <w:ind w:left="0"/>
              <w:jc w:val="left"/>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运维服务1年</w:t>
            </w:r>
            <w:r/>
          </w:p>
        </w:tc>
      </w:tr>
      <w:tr>
        <w:trPr>
          <w:jc w:val="center"/>
        </w:trPr>
        <w:tc>
          <w:tcPr>
            <w:tcMar>
              <w:left w:w="120" w:type="dxa"/>
              <w:top w:w="60" w:type="dxa"/>
              <w:right w:w="120" w:type="dxa"/>
              <w:bottom w:w="30" w:type="dxa"/>
            </w:tcMar>
            <w:tcW w:w="870"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p>
        </w:tc>
        <w:tc>
          <w:tcPr>
            <w:tcMar>
              <w:left w:w="120" w:type="dxa"/>
              <w:top w:w="60" w:type="dxa"/>
              <w:right w:w="120" w:type="dxa"/>
              <w:bottom w:w="30" w:type="dxa"/>
            </w:tcMar>
            <w:tcW w:w="2326"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信息化网络安全管理费用</w:t>
            </w:r>
            <w:r/>
          </w:p>
        </w:tc>
        <w:tc>
          <w:tcPr>
            <w:tcMar>
              <w:left w:w="120" w:type="dxa"/>
              <w:top w:w="60" w:type="dxa"/>
              <w:right w:w="120" w:type="dxa"/>
              <w:bottom w:w="30" w:type="dxa"/>
            </w:tcMar>
            <w:tcW w:w="2295" w:type="dxa"/>
            <w:vAlign w:val="center"/>
            <w:textDirection w:val="lrTb"/>
            <w:noWrap w:val="false"/>
          </w:tcPr>
          <w:p>
            <w:pPr>
              <w:ind w:left="0"/>
              <w:jc w:val="center"/>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等保测评、安全加固、安全运维</w:t>
            </w:r>
            <w:r/>
          </w:p>
        </w:tc>
        <w:tc>
          <w:tcPr>
            <w:tcMar>
              <w:left w:w="120" w:type="dxa"/>
              <w:top w:w="60" w:type="dxa"/>
              <w:right w:w="120" w:type="dxa"/>
              <w:bottom w:w="30" w:type="dxa"/>
            </w:tcMar>
            <w:tcW w:w="3428" w:type="dxa"/>
            <w:vAlign w:val="center"/>
            <w:textDirection w:val="lrTb"/>
            <w:noWrap w:val="false"/>
          </w:tcPr>
          <w:p>
            <w:pPr>
              <w:ind w:left="0"/>
              <w:jc w:val="left"/>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符合工信部要求</w:t>
            </w:r>
            <w:r/>
          </w:p>
        </w:tc>
      </w:tr>
    </w:tbl>
    <w:p>
      <w:pPr>
        <w:rPr>
          <w:rFonts w:hint="eastAsia" w:ascii="黑体" w:hAnsi="黑体" w:eastAsia="黑体" w:cs="方正黑体_GBK"/>
          <w:bCs/>
          <w:color w:val="000000"/>
          <w:sz w:val="28"/>
          <w:szCs w:val="28"/>
        </w:rPr>
      </w:pPr>
      <w:r>
        <w:rPr>
          <w:rFonts w:hint="eastAsia" w:ascii="黑体" w:hAnsi="黑体" w:eastAsia="黑体" w:cs="方正黑体_GBK"/>
          <w:bCs/>
          <w:color w:val="000000"/>
          <w:sz w:val="28"/>
          <w:szCs w:val="28"/>
        </w:rPr>
        <w:br w:type="page" w:clear="all"/>
      </w:r>
      <w:r/>
    </w:p>
    <w:p>
      <w:pPr>
        <w:numPr>
          <w:ilvl w:val="0"/>
          <w:numId w:val="0"/>
        </w:numPr>
        <w:ind w:firstLine="560"/>
        <w:keepLines w:val="0"/>
        <w:keepNext w:val="0"/>
        <w:pageBreakBefore w:val="0"/>
        <w:spacing w:beforeAutospacing="0" w:afterAutospacing="0" w:line="500" w:lineRule="exact"/>
        <w:widowControl w:val="off"/>
        <w:rPr>
          <w:rFonts w:hint="eastAsia" w:ascii="黑体" w:hAnsi="黑体" w:eastAsia="黑体" w:cs="方正黑体_GBK"/>
          <w:bCs/>
          <w:color w:val="000000"/>
          <w:sz w:val="28"/>
          <w:szCs w:val="28"/>
          <w:lang w:eastAsia="zh-CN"/>
        </w:rPr>
      </w:pPr>
      <w:r>
        <w:rPr>
          <w:rFonts w:hint="eastAsia" w:ascii="黑体" w:hAnsi="黑体" w:eastAsia="黑体" w:cs="方正黑体_GBK"/>
          <w:bCs/>
          <w:color w:val="000000"/>
          <w:sz w:val="28"/>
          <w:szCs w:val="28"/>
        </w:rPr>
        <w:t xml:space="preserve">项目概况</w:t>
      </w:r>
      <w:r>
        <w:rPr>
          <w:rFonts w:hint="eastAsia" w:ascii="黑体" w:hAnsi="黑体" w:eastAsia="黑体" w:cs="方正黑体_GBK"/>
          <w:bCs/>
          <w:color w:val="000000"/>
          <w:sz w:val="28"/>
          <w:szCs w:val="28"/>
          <w:lang w:eastAsia="zh-CN"/>
        </w:rPr>
        <w:t xml:space="preserve">：</w:t>
      </w:r>
      <w:r/>
    </w:p>
    <w:p>
      <w:pPr>
        <w:pStyle w:val="1156"/>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仿宋_GB2312" w:hAnsi="仿宋_GB2312" w:eastAsia="仿宋_GB2312" w:cs="仿宋_GB2312"/>
          <w:i w:val="0"/>
          <w:iCs w:val="0"/>
          <w:color w:val="000000"/>
          <w:sz w:val="28"/>
          <w:szCs w:val="28"/>
          <w:lang w:val="en-US" w:eastAsia="zh-CN" w:bidi="ar-SA"/>
        </w:rPr>
        <w:t xml:space="preserve">1.</w:t>
      </w:r>
      <w:r>
        <w:rPr>
          <w:rFonts w:hint="eastAsia" w:ascii="黑体" w:hAnsi="黑体" w:eastAsia="黑体" w:cs="仿宋"/>
          <w:i w:val="0"/>
          <w:iCs w:val="0"/>
          <w:color w:val="auto"/>
          <w:sz w:val="28"/>
          <w:szCs w:val="28"/>
          <w:highlight w:val="none"/>
          <w:u w:val="none"/>
          <w:lang w:val="en-US" w:eastAsia="zh-CN" w:bidi="ar-SA"/>
        </w:rPr>
        <w:t xml:space="preserve">本项目总预算为：人民币 叁拾捌万伍仟元整（¥：385000.00元）。</w:t>
      </w:r>
      <w:r/>
    </w:p>
    <w:p>
      <w:pPr>
        <w:pStyle w:val="1156"/>
        <w:ind w:firstLine="560"/>
        <w:keepLines w:val="0"/>
        <w:keepNext w:val="0"/>
        <w:pageBreakBefore w:val="0"/>
        <w:spacing w:before="0" w:beforeAutospacing="0" w:after="0" w:afterAutospacing="0" w:line="500" w:lineRule="exact"/>
        <w:widowControl/>
        <w:rPr>
          <w:rFonts w:hint="eastAsia" w:ascii="黑体" w:hAnsi="黑体" w:eastAsia="黑体" w:cs="仿宋"/>
          <w:i/>
          <w:sz w:val="28"/>
          <w:szCs w:val="28"/>
          <w:highlight w:val="none"/>
          <w:u w:val="single"/>
          <w:lang w:val="en-US" w:eastAsia="zh-CN" w:bidi="ar-SA"/>
        </w:rPr>
      </w:pPr>
      <w:r>
        <w:rPr>
          <w:rFonts w:hint="eastAsia" w:ascii="黑体" w:hAnsi="黑体" w:eastAsia="黑体" w:cs="仿宋"/>
          <w:i/>
          <w:color w:val="auto"/>
          <w:sz w:val="28"/>
          <w:szCs w:val="28"/>
          <w:highlight w:val="none"/>
          <w:u w:val="single"/>
          <w:lang w:val="en-US" w:eastAsia="zh-CN" w:bidi="ar-SA"/>
        </w:rPr>
        <w:t xml:space="preserve">2.最后响应报价高于采购预算价的，将被判定为无效投标文件。  </w:t>
      </w:r>
      <w:r/>
    </w:p>
    <w:p>
      <w:pPr>
        <w:ind w:left="0" w:right="0" w:firstLine="560"/>
        <w:keepLines w:val="0"/>
        <w:keepNext w:val="0"/>
        <w:pageBreakBefore w:val="0"/>
        <w:spacing w:beforeAutospacing="0" w:afterAutospacing="0"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简介</w:t>
      </w:r>
      <w:r>
        <w:rPr>
          <w:rFonts w:hint="eastAsia" w:ascii="仿宋_GB2312" w:hAnsi="仿宋_GB2312" w:eastAsia="仿宋_GB2312" w:cs="仿宋_GB2312"/>
          <w:color w:val="auto"/>
          <w:sz w:val="28"/>
          <w:szCs w:val="28"/>
          <w:highlight w:val="none"/>
        </w:rPr>
        <w:t xml:space="preserve">：</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安全生产履职信息平台二期</w:t>
      </w:r>
      <w:r>
        <w:rPr>
          <w:rFonts w:hint="eastAsia" w:ascii="仿宋_GB2312" w:hAnsi="仿宋_GB2312" w:eastAsia="仿宋_GB2312" w:cs="仿宋_GB2312"/>
          <w:color w:val="auto"/>
          <w:sz w:val="28"/>
          <w:szCs w:val="28"/>
          <w:highlight w:val="none"/>
          <w:lang w:eastAsia="zh-CN"/>
        </w:rPr>
        <w:t xml:space="preserve">项目</w:t>
      </w:r>
      <w:r>
        <w:rPr>
          <w:rFonts w:hint="eastAsia" w:ascii="仿宋_GB2312" w:hAnsi="仿宋_GB2312" w:eastAsia="仿宋_GB2312" w:cs="仿宋_GB2312"/>
          <w:color w:val="auto"/>
          <w:sz w:val="28"/>
          <w:szCs w:val="28"/>
          <w:highlight w:val="none"/>
        </w:rPr>
        <w:t xml:space="preserve">，预算38.5</w:t>
      </w:r>
      <w:r>
        <w:rPr>
          <w:rFonts w:hint="eastAsia" w:ascii="仿宋_GB2312" w:hAnsi="仿宋_GB2312" w:eastAsia="仿宋_GB2312" w:cs="仿宋_GB2312"/>
          <w:color w:val="auto"/>
          <w:sz w:val="28"/>
          <w:szCs w:val="28"/>
          <w:highlight w:val="none"/>
          <w:lang w:val="en-US" w:eastAsia="zh-CN"/>
        </w:rPr>
        <w:t xml:space="preserve">0</w:t>
      </w:r>
      <w:r>
        <w:rPr>
          <w:rFonts w:hint="eastAsia" w:ascii="仿宋_GB2312" w:hAnsi="仿宋_GB2312" w:eastAsia="仿宋_GB2312" w:cs="仿宋_GB2312"/>
          <w:color w:val="auto"/>
          <w:sz w:val="28"/>
          <w:szCs w:val="28"/>
          <w:highlight w:val="none"/>
        </w:rPr>
        <w:t xml:space="preserve">万元。建设统一数据中心、企业分类监管系统（高危动火专项监管、工贸及小化工小医药企业监管、高处作业精准管控）、“四位一体” 协同监管、监管执法协同系统，接入布控球、无人机等5类现有设备并完成一期数据迁移。平台部署于政务云，支持微信小程序与泰政通双端登录，按等保二级建设并配置 AI算力；建设周期</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个月，质保期1年。</w:t>
      </w:r>
      <w:r/>
    </w:p>
    <w:p>
      <w:pPr>
        <w:pageBreakBefore w:val="0"/>
        <w:spacing w:beforeAutospacing="0" w:afterAutospacing="0" w:line="500" w:lineRule="exact"/>
      </w:pPr>
      <w:r/>
      <w:r/>
    </w:p>
    <w:p>
      <w:pPr>
        <w:numPr>
          <w:ilvl w:val="0"/>
          <w:numId w:val="5"/>
        </w:numPr>
        <w:ind w:firstLine="560"/>
        <w:keepLines w:val="0"/>
        <w:keepNext w:val="0"/>
        <w:pageBreakBefore w:val="0"/>
        <w:spacing w:beforeAutospacing="0" w:afterAutospacing="0"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项目背景</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安全生产履职信息平台一期已建成安全履职、危险作业、污水监管等基础功能，有效提升开发区安全生产数字化监管能力。但伴随开发区工贸、高危动火、小化工小医药类企业不断集聚，企业业态复杂、风险点位分散、监管链条拉长，一期平台短板逐步显现：缺少企业分类精准监管能力，多源数据整合不足，AI智能分析与隐患闭环处置机制不完善，难以满足“事前预防、精准管控”的现代安全监管工作要求。</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当前开发区正推进高处作业“小切口”精准管控与“四位一体”安全监管机制落地。按照高处作业管控相关措施，需针对建筑工地、自建房、企业三类高处作业落实分类报备、布控球实时监控、无人机空中巡查等举措，压实全链条监管责任。“四位一体” 机制要求应急、消防、派出所、综治实现信息归集、联合会商、风险预警、闭环督办，而一期平台在高处作业全流程管控、多部门协同闭环处置上存在功能空白，亟需升级补齐。</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为破解现有监管的数据割裂、预警滞后、处置流程不闭环等突出问题，实施平台二期改建。依托人工智能、物联网、大数据等技术，结合无人机、布控球等现有感知设备，全方位采集安全生产要素，打通数据互联互通，实现不安全行为、风险状态智能化研判处置。新增高危动火监管、智能设备接入、AI识别结果运用、多部门线上会商、任务闭环交办等能力，搭建一体化智能监管体系，推动安全生产治理向精准高效、全程可追溯转型，夯实区域安全发展根基。</w:t>
      </w:r>
      <w:r/>
    </w:p>
    <w:p>
      <w:pPr>
        <w:ind w:firstLine="560"/>
        <w:keepLines w:val="0"/>
        <w:keepNext w:val="0"/>
        <w:pageBreakBefore w:val="0"/>
        <w:spacing w:beforeAutospacing="0" w:afterAutospacing="0"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二、建设目标</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平台二期改建立足开发区安全生产监管实际，围绕社会治理、政府监管、企业发展三类需求，兼顾技术落地与长期运行成效，构建数据统一归集、风险精准预警、部门协同联动、处置闭环可溯的安全生产数字化监管体系。</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在社会治理层面，搭建统一数据中心，归集高危动火报备、布控球视频、无人机巡查、网格巡检等多源业务数据，落实“一数一源、一源多用”，打通数据壁垒，为安全生产监管提供坚实数据底座，提升区域安全社会治理精细化水平。平台预留市级应急平台标准化数据接口，可按需完成数据共享交换，实现上下级业务数据互通。</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在政府监管层面，实现差异化精准监管。针对高危动火企业，实现作业申报、专家评估、现场设备监</w:t>
      </w:r>
      <w:r>
        <w:rPr>
          <w:rFonts w:hint="eastAsia" w:ascii="仿宋_GB2312" w:hAnsi="仿宋_GB2312" w:eastAsia="仿宋_GB2312" w:cs="仿宋_GB2312"/>
          <w:color w:val="auto"/>
          <w:sz w:val="28"/>
          <w:szCs w:val="28"/>
          <w:highlight w:val="none"/>
        </w:rPr>
        <w:t xml:space="preserve">管、台账归档全流程数字化管控；针对工贸、小化工小医药企业，依托水电气等多维监测数据开展异常智能研判，打通企业自查与网格巡查联动通道；针对建筑工地、自建房、企业三类高处作业场景，落实报备、监测、预警、整改销号全链条管理，落实高处作业 “小切口” 管控要求。落地 “四位一体” 线上协同监管能力，支撑应急、消防、派出所、综治多部门开展线上会商、意见表决、决议生成、任务一键派发，压缩跨部门沟通响应周期。建立红黄橙分级智能预警和闭环处置流程，实现预警派单、核查处置、复查归档全流程留痕，降低人工监管压力，提升监管效能。</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在企业发展层面，落实“主动申报享服务、违规操作严管控”管理模式，压实企业安全生产主体责任。为企业提供作业线上申报、预警接收、整改线上反馈通道，倒逼企业开展自查自纠，提升隐患整改达标率，减少安全事故带来的停产损失，护航企业稳定发展。</w:t>
      </w:r>
      <w:r/>
    </w:p>
    <w:p>
      <w:pPr>
        <w:pStyle w:val="889"/>
        <w:pageBreakBefore w:val="0"/>
        <w:spacing w:beforeAutospacing="0" w:afterAutospacing="0"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项目兼顾系统建设可行性与后期运行实效。政策上契合国家及省市安全生产数字化转型相关要求；技术上依托政务云资源，融合物联网、AI 成熟技术，适配信创国产化改造路线；资金使用依托本级财政予以保障。项目建成后，实现高处作业报备率、违规处置效率显著提升，缩短违规作业响应处置时间；强化高危动火作业台账管理，做到“一项目一台账”；固化“四位一体”会商交办全流程留痕，实现可追溯、可考核。通过数字化手段降低综合管理成本，为监管决策提供数据支撑，全面强化开发区安全生产监管执法能力，为区域高质量发展筑牢安全保障。</w:t>
      </w:r>
      <w:r/>
    </w:p>
    <w:p>
      <w:pPr>
        <w:ind w:firstLine="560"/>
        <w:keepLines w:val="0"/>
        <w:keepNext w:val="0"/>
        <w:pageBreakBefore w:val="0"/>
        <w:spacing w:beforeAutospacing="0" w:afterAutospacing="0"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三、建设原则</w:t>
      </w:r>
      <w:r/>
    </w:p>
    <w:p>
      <w:pPr>
        <w:ind w:firstLine="562"/>
        <w:jc w:val="left"/>
        <w:keepLines w:val="0"/>
        <w:keepNext w:val="0"/>
        <w:pageBreakBefore w:val="0"/>
        <w:spacing w:beforeAutospacing="0" w:afterAutospacing="0" w:line="500" w:lineRule="exact"/>
        <w:widowControl/>
        <w:rPr>
          <w:rFonts w:hint="eastAsia" w:ascii="仿宋_GB2312" w:hAnsi="仿宋_GB2312" w:eastAsia="仿宋_GB2312" w:cs="仿宋_GB2312"/>
          <w:b/>
          <w:bCs/>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1.业务引领，需求导向 </w:t>
      </w:r>
      <w:r/>
    </w:p>
    <w:p>
      <w:pPr>
        <w:numPr>
          <w:ilvl w:val="0"/>
          <w:numId w:val="0"/>
        </w:numPr>
        <w:ind w:firstLine="560"/>
        <w:keepLines w:val="0"/>
        <w:keepNext w:val="0"/>
        <w:pageBreakBefore w:val="0"/>
        <w:spacing w:beforeAutospacing="0" w:afterAutospacing="0" w:line="500" w:lineRule="exact"/>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rPr>
        <w:t xml:space="preserve">紧扣开发区安全生产监管实际，围绕高危动火管控、高处作业“小切口”治理、“四位一体”多部门协同监管核心业务目标，功能设计贴合监管人员、网格员、企业的实操场景，聚焦风险预警、任务闭环处置等实际业务价值，以业务需求驱动技术实现，杜绝技术堆砌，切实解决监管痛点难点。</w:t>
      </w:r>
      <w:r/>
    </w:p>
    <w:p>
      <w:pPr>
        <w:ind w:firstLine="562"/>
        <w:jc w:val="left"/>
        <w:keepLines w:val="0"/>
        <w:keepNext w:val="0"/>
        <w:pageBreakBefore w:val="0"/>
        <w:spacing w:beforeAutospacing="0" w:afterAutospacing="0" w:line="500" w:lineRule="exact"/>
        <w:widowControl/>
        <w:rPr>
          <w:rFonts w:hint="eastAsia" w:ascii="仿宋_GB2312" w:hAnsi="仿宋_GB2312" w:eastAsia="仿宋_GB2312" w:cs="仿宋_GB2312"/>
          <w:b/>
          <w:bCs/>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2.利旧集约，避免重复 </w:t>
      </w:r>
      <w:r/>
    </w:p>
    <w:p>
      <w:pPr>
        <w:numPr>
          <w:ilvl w:val="0"/>
          <w:numId w:val="0"/>
        </w:numPr>
        <w:ind w:firstLine="560"/>
        <w:keepLines w:val="0"/>
        <w:keepNext w:val="0"/>
        <w:pageBreakBefore w:val="0"/>
        <w:spacing w:beforeAutospacing="0" w:afterAutospacing="0" w:line="500" w:lineRule="exact"/>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rPr>
        <w:t xml:space="preserve">充分复用安全生产履职信息平台一期现有软件底座、业务功能与企业基础档案，收编布控球、无人机、摄像头等现有存量硬件设备，仅做设备状态、画面、预警结果调取展示，不新增硬件采购。坚持增量开发、迭代升级，聚焦一期缺</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失的核心业务模块开展建设，严控重复建设，充分盘活已有信息化资源，提升财政资金使用效益。</w:t>
      </w:r>
      <w:r/>
    </w:p>
    <w:p>
      <w:pPr>
        <w:ind w:firstLine="562"/>
        <w:jc w:val="left"/>
        <w:keepLines w:val="0"/>
        <w:keepNext w:val="0"/>
        <w:pageBreakBefore w:val="0"/>
        <w:spacing w:beforeAutospacing="0" w:afterAutospacing="0" w:line="500" w:lineRule="exact"/>
        <w:widowControl/>
        <w:rPr>
          <w:rFonts w:hint="eastAsia" w:ascii="仿宋_GB2312" w:hAnsi="仿宋_GB2312" w:eastAsia="仿宋_GB2312" w:cs="仿宋_GB2312"/>
          <w:b/>
          <w:bCs/>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3.安全合规，自主可控 </w:t>
      </w:r>
      <w:r/>
    </w:p>
    <w:p>
      <w:pPr>
        <w:numPr>
          <w:ilvl w:val="0"/>
          <w:numId w:val="0"/>
        </w:numPr>
        <w:ind w:firstLine="560"/>
        <w:keepLines w:val="0"/>
        <w:keepNext w:val="0"/>
        <w:pageBreakBefore w:val="0"/>
        <w:spacing w:beforeAutospacing="0" w:afterAutospacing="0" w:line="500" w:lineRule="exact"/>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rPr>
        <w:t xml:space="preserve">系统严格按照网络安全等级保护二级标准规划建设，落实数据脱敏、传输加密、分级角色权限管控，规范政务数据共享接口管理。同步落实信创国产化建设计划，分阶段完成软硬件适配迁移，采用AI框架开展算法建设，保障系统、业务数据全生命周期安全可控。</w:t>
      </w:r>
      <w:r/>
    </w:p>
    <w:p>
      <w:pPr>
        <w:ind w:firstLine="562"/>
        <w:jc w:val="left"/>
        <w:keepLines w:val="0"/>
        <w:keepNext w:val="0"/>
        <w:pageBreakBefore w:val="0"/>
        <w:spacing w:beforeAutospacing="0" w:afterAutospacing="0" w:line="500" w:lineRule="exact"/>
        <w:widowControl/>
        <w:rPr>
          <w:rFonts w:hint="eastAsia" w:ascii="仿宋_GB2312" w:hAnsi="仿宋_GB2312" w:eastAsia="仿宋_GB2312" w:cs="仿宋_GB2312"/>
          <w:b/>
          <w:bCs/>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4.AI 辅助，人工主导 </w:t>
      </w:r>
      <w:r/>
    </w:p>
    <w:p>
      <w:pPr>
        <w:numPr>
          <w:ilvl w:val="0"/>
          <w:numId w:val="0"/>
        </w:numPr>
        <w:ind w:firstLine="560"/>
        <w:keepLines w:val="0"/>
        <w:keepNext w:val="0"/>
        <w:pageBreakBefore w:val="0"/>
        <w:spacing w:beforeAutospacing="0" w:afterAutospacing="0" w:line="500" w:lineRule="exact"/>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rPr>
        <w:t xml:space="preserve">AI定位为监管辅助工具，AI输出结果仅作为工作参考，全部需要工作人员人工复核确认，AI 不替代监管人员履职与法定业务流程，做到权责清晰，保证监管处置工作合法规范。</w:t>
      </w:r>
      <w:r/>
    </w:p>
    <w:p>
      <w:pPr>
        <w:ind w:firstLine="562"/>
        <w:jc w:val="left"/>
        <w:keepLines w:val="0"/>
        <w:keepNext w:val="0"/>
        <w:pageBreakBefore w:val="0"/>
        <w:spacing w:beforeAutospacing="0" w:afterAutospacing="0" w:line="500" w:lineRule="exact"/>
        <w:widowControl/>
        <w:rPr>
          <w:rFonts w:hint="eastAsia" w:ascii="仿宋_GB2312" w:hAnsi="仿宋_GB2312" w:eastAsia="仿宋_GB2312" w:cs="仿宋_GB2312"/>
          <w:b/>
          <w:bCs/>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5.政企协同，闭环治理 </w:t>
      </w:r>
      <w:r/>
    </w:p>
    <w:p>
      <w:pPr>
        <w:numPr>
          <w:ilvl w:val="0"/>
          <w:numId w:val="0"/>
        </w:numPr>
        <w:ind w:firstLine="560"/>
        <w:keepLines w:val="0"/>
        <w:keepNext w:val="0"/>
        <w:pageBreakBefore w:val="0"/>
        <w:spacing w:beforeAutospacing="0" w:afterAutospacing="0" w:line="500" w:lineRule="exact"/>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rPr>
        <w:t xml:space="preserve">打通监管端、网格员端与企业端业务通道，构建作业申报上报、风险预警派发、企业整改反馈、核查销号归档完整业务闭环。压实企业安全生产主体责任，实现政府精准监管、企业自查自纠、多部门联合处置的安全生产共治格局。</w:t>
      </w:r>
      <w:r/>
    </w:p>
    <w:p>
      <w:pPr>
        <w:ind w:firstLine="560"/>
        <w:keepLines w:val="0"/>
        <w:keepNext w:val="0"/>
        <w:pageBreakBefore w:val="0"/>
        <w:spacing w:beforeAutospacing="0" w:afterAutospacing="0" w:line="500" w:lineRule="exact"/>
        <w:rPr>
          <w:rFonts w:hint="default"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四、项目需求</w:t>
      </w:r>
      <w:r/>
    </w:p>
    <w:p>
      <w:pPr>
        <w:pStyle w:val="855"/>
        <w:ind w:left="0" w:firstLine="560"/>
        <w:jc w:val="both"/>
        <w:pageBreakBefore w:val="0"/>
        <w:spacing w:before="0" w:beforeAutospacing="0" w:after="0" w:afterAutospacing="0" w:line="500" w:lineRule="exact"/>
        <w:rPr>
          <w:rFonts w:hint="eastAsia" w:ascii="楷体" w:hAnsi="楷体" w:eastAsia="楷体" w:cs="楷体"/>
          <w:sz w:val="28"/>
          <w:szCs w:val="28"/>
          <w:highlight w:val="none"/>
          <w:lang w:val="en-US" w:eastAsia="zh-CN" w:bidi="ar-SA"/>
        </w:rPr>
      </w:pPr>
      <w:r/>
      <w:bookmarkStart w:id="189" w:name="_Toc25102"/>
      <w:r/>
      <w:bookmarkStart w:id="190" w:name="heading_10"/>
      <w:r>
        <w:rPr>
          <w:rFonts w:hint="eastAsia" w:ascii="楷体" w:hAnsi="楷体" w:eastAsia="楷体" w:cs="楷体"/>
          <w:sz w:val="28"/>
          <w:szCs w:val="28"/>
          <w:highlight w:val="none"/>
          <w:lang w:val="en-US" w:eastAsia="zh-CN" w:bidi="ar-SA"/>
        </w:rPr>
        <w:t xml:space="preserve">（一）业务需求</w:t>
      </w:r>
      <w:bookmarkEnd w:id="189"/>
      <w:r/>
      <w:bookmarkEnd w:id="190"/>
      <w:r/>
      <w:r/>
    </w:p>
    <w:p>
      <w:pPr>
        <w:ind w:left="0" w:firstLine="562"/>
        <w:jc w:val="left"/>
        <w:pageBreakBefore w:val="0"/>
        <w:spacing w:beforeAutospacing="0" w:afterAutospacing="0" w:line="500" w:lineRule="exact"/>
        <w:rPr>
          <w:rFonts w:eastAsia="仿宋_GB2312"/>
          <w:sz w:val="28"/>
          <w:szCs w:val="28"/>
          <w:highlight w:val="none"/>
        </w:rPr>
      </w:pPr>
      <w:r>
        <w:rPr>
          <w:rFonts w:ascii="Arial" w:hAnsi="Arial" w:eastAsia="仿宋_GB2312" w:cs="Arial"/>
          <w:b/>
          <w:sz w:val="28"/>
          <w:szCs w:val="28"/>
          <w:highlight w:val="none"/>
        </w:rPr>
        <w:t xml:space="preserve">1.总体需求概述</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（1）核心用户包括开发区监管人员、网格员/执法人员、</w:t>
      </w:r>
      <w:r>
        <w:rPr>
          <w:rFonts w:hint="eastAsia" w:eastAsia="仿宋_GB2312" w:cs="Arial"/>
          <w:sz w:val="28"/>
          <w:szCs w:val="28"/>
          <w:highlight w:val="none"/>
          <w:lang w:val="en-US" w:eastAsia="zh-CN"/>
        </w:rPr>
        <w:t xml:space="preserve">四部门负责人、</w:t>
      </w:r>
      <w:r>
        <w:rPr>
          <w:rFonts w:ascii="Arial" w:hAnsi="Arial" w:eastAsia="仿宋_GB2312" w:cs="Arial"/>
          <w:sz w:val="28"/>
          <w:szCs w:val="28"/>
          <w:highlight w:val="none"/>
        </w:rPr>
        <w:t xml:space="preserve">企业用户及专家用户，需满足多角色协同监管需求。</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（2）需实现数据整合共享，涵盖企业基础信息、生产数据、监管数据、布控球视频流接入、无人机影像接入、网格巡查记录等多源数据的归集与统一管理。</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（3）针对高危动火企业，需支持作业申报、专家评估、布控球接入查看、无人机巡查接入查看等全流程业务。</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（4）针对工贸及小化工小医药企业，需提供多维数据监测、异常排查分析、自查与巡查联动等功能。</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（5）针对高处作业全场景（建筑工地、自建房、企业），需提供分类报备管理、布控球/无人机接入查看、</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违规识别预警结果展示、设备状态查看、移动端快查、专项分析等功能。</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（6）针对"四位一体"协同机制，需提供线上会议、</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语音转写、纪要生成、决议表决、事项一键转派等功能。</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（7）需建立"预警任务处置归档"闭环管理流程，实现任务指派、进度跟踪、责任追溯。</w:t>
      </w:r>
      <w:r/>
    </w:p>
    <w:p>
      <w:pPr>
        <w:ind w:left="0" w:firstLine="562"/>
        <w:jc w:val="left"/>
        <w:pageBreakBefore w:val="0"/>
        <w:spacing w:beforeAutospacing="0" w:afterAutospacing="0" w:line="500" w:lineRule="exact"/>
        <w:rPr>
          <w:rFonts w:eastAsia="仿宋_GB2312"/>
          <w:sz w:val="28"/>
          <w:szCs w:val="28"/>
          <w:highlight w:val="none"/>
        </w:rPr>
      </w:pPr>
      <w:r>
        <w:rPr>
          <w:rFonts w:ascii="Arial" w:hAnsi="Arial" w:eastAsia="仿宋_GB2312" w:cs="Arial"/>
          <w:b/>
          <w:sz w:val="28"/>
          <w:szCs w:val="28"/>
          <w:highlight w:val="none"/>
        </w:rPr>
        <w:t xml:space="preserve">2.详细需求内容</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（1）</w:t>
      </w:r>
      <w:r>
        <w:rPr>
          <w:rFonts w:hint="eastAsia" w:ascii="Arial" w:hAnsi="Arial" w:eastAsia="仿宋_GB2312" w:cs="Arial"/>
          <w:sz w:val="28"/>
          <w:szCs w:val="28"/>
          <w:highlight w:val="none"/>
        </w:rPr>
        <w:t xml:space="preserve">统一数据中心（基础底座模块）</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1）数据接入层：支持多渠道数据汇入，包括企业自查上传、用水用电数据、无人机巡查数据接入、高处作业报备数据、布控球视频流接入、巡查记录等。</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2）数据处理层：通过清洗、脱敏、融合等处理，形成企业基础档案库、生产动态数据库、监管执法数据库三大核心库，建立"一企一档"数字化档案，同步关联历史记录与风险画像。</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3）数据服务层：提供数据查询、统计分析、接口共享服务，支撑各业务模块数据调用，包括推送企业风险等级、历史违规信息</w:t>
      </w:r>
      <w:r>
        <w:rPr>
          <w:rFonts w:hint="eastAsia" w:eastAsia="仿宋_GB2312" w:cs="Arial"/>
          <w:sz w:val="28"/>
          <w:szCs w:val="28"/>
          <w:highlight w:val="none"/>
          <w:lang w:eastAsia="zh-CN"/>
        </w:rPr>
        <w:t xml:space="preserve">；预留市局应急平台数据交互接口</w:t>
      </w:r>
      <w:r>
        <w:rPr>
          <w:rFonts w:ascii="Arial" w:hAnsi="Arial" w:eastAsia="仿宋_GB2312" w:cs="Arial"/>
          <w:sz w:val="28"/>
          <w:szCs w:val="28"/>
          <w:highlight w:val="none"/>
        </w:rPr>
        <w:t xml:space="preserve">。</w:t>
      </w:r>
      <w:r/>
    </w:p>
    <w:p>
      <w:p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ascii="Arial" w:hAnsi="Arial" w:eastAsia="仿宋_GB2312" w:cs="Arial"/>
          <w:sz w:val="28"/>
          <w:szCs w:val="28"/>
          <w:highlight w:val="none"/>
        </w:rPr>
        <w:t xml:space="preserve">（2）企业分类监管系统</w:t>
      </w:r>
      <w:r>
        <w:rPr>
          <w:rFonts w:hint="eastAsia" w:ascii="Arial" w:hAnsi="Arial" w:eastAsia="仿宋_GB2312" w:cs="Arial"/>
          <w:sz w:val="28"/>
          <w:szCs w:val="28"/>
          <w:highlight w:val="none"/>
        </w:rPr>
        <w:t xml:space="preserve">（核心业务大类，平级于四位一体、监管执法协同系统）</w:t>
      </w:r>
      <w:r/>
    </w:p>
    <w:p>
      <w:p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本系统下设三大独立子模块，针对开发区不同风险业态差异化管控：</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1）高危动火企业专项监管模块</w:t>
      </w:r>
      <w:r/>
    </w:p>
    <w:p>
      <w:pPr>
        <w:numPr>
          <w:ilvl w:val="0"/>
          <w:numId w:val="3"/>
        </w:num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作业申报管理：企业通过系统提交</w:t>
      </w:r>
      <w:r>
        <w:rPr>
          <w:rFonts w:hint="eastAsia" w:ascii="Arial" w:hAnsi="Arial" w:eastAsia="仿宋_GB2312" w:cs="Arial"/>
          <w:sz w:val="28"/>
          <w:szCs w:val="28"/>
          <w:highlight w:val="none"/>
          <w:lang w:val="en-US" w:eastAsia="zh-CN"/>
        </w:rPr>
        <w:t xml:space="preserve">  </w:t>
      </w:r>
      <w:r>
        <w:rPr>
          <w:rFonts w:ascii="Arial" w:hAnsi="Arial" w:eastAsia="仿宋_GB2312" w:cs="Arial"/>
          <w:sz w:val="28"/>
          <w:szCs w:val="28"/>
          <w:highlight w:val="none"/>
        </w:rPr>
        <w:t xml:space="preserve">申请，上传作业方案、人员资质等材料，未申报企业自动标记为重点巡查对象。</w:t>
      </w:r>
      <w:r/>
    </w:p>
    <w:p>
      <w:pPr>
        <w:numPr>
          <w:ilvl w:val="0"/>
          <w:numId w:val="0"/>
        </w:numPr>
        <w:jc w:val="left"/>
        <w:pageBreakBefore w:val="0"/>
        <w:spacing w:beforeAutospacing="0" w:afterAutospacing="0" w:line="500" w:lineRule="exact"/>
        <w:rPr>
          <w:rFonts w:eastAsia="仿宋_GB2312"/>
          <w:sz w:val="28"/>
          <w:szCs w:val="28"/>
          <w:highlight w:val="none"/>
        </w:rPr>
      </w:pPr>
      <w:r>
        <w:rPr>
          <w:rFonts w:hint="eastAsia" w:ascii="Arial" w:hAnsi="Arial" w:eastAsia="仿宋_GB2312" w:cs="Arial"/>
          <w:sz w:val="28"/>
          <w:szCs w:val="28"/>
          <w:highlight w:val="none"/>
          <w:lang w:val="en-US" w:eastAsia="zh-CN"/>
        </w:rPr>
        <w:t xml:space="preserve">2.</w:t>
      </w:r>
      <w:r>
        <w:rPr>
          <w:rFonts w:ascii="Arial" w:hAnsi="Arial" w:eastAsia="仿宋_GB2312" w:cs="Arial"/>
          <w:sz w:val="28"/>
          <w:szCs w:val="28"/>
          <w:highlight w:val="none"/>
        </w:rPr>
        <w:t xml:space="preserve">专家评估留痕模块：专家在线查看企业台账（合同、保险、培训记录），上传现场评估</w:t>
      </w:r>
      <w:r>
        <w:rPr>
          <w:rFonts w:hint="eastAsia" w:eastAsia="仿宋_GB2312" w:cs="Arial"/>
          <w:sz w:val="28"/>
          <w:szCs w:val="28"/>
          <w:highlight w:val="none"/>
          <w:lang w:eastAsia="zh-CN"/>
        </w:rPr>
        <w:t xml:space="preserve">的</w:t>
      </w:r>
      <w:r>
        <w:rPr>
          <w:rFonts w:ascii="Arial" w:hAnsi="Arial" w:eastAsia="仿宋_GB2312" w:cs="Arial"/>
          <w:sz w:val="28"/>
          <w:szCs w:val="28"/>
          <w:highlight w:val="none"/>
        </w:rPr>
        <w:t xml:space="preserve">影像资料，复杂问题附加指导意见，</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自动汇总生成可下载的评估报告。</w:t>
      </w:r>
      <w:r/>
    </w:p>
    <w:p>
      <w:pPr>
        <w:numPr>
          <w:ilvl w:val="0"/>
          <w:numId w:val="6"/>
        </w:numPr>
        <w:ind w:left="0" w:firstLine="560"/>
        <w:jc w:val="left"/>
        <w:pageBreakBefore w:val="0"/>
        <w:spacing w:beforeAutospacing="0" w:afterAutospacing="0" w:line="500" w:lineRule="exact"/>
        <w:rPr>
          <w:rFonts w:ascii="Arial" w:hAnsi="Arial" w:eastAsia="仿宋_GB2312" w:cs="Arial"/>
          <w:sz w:val="28"/>
          <w:szCs w:val="28"/>
          <w:highlight w:val="none"/>
        </w:rPr>
      </w:pPr>
      <w:r>
        <w:rPr>
          <w:rFonts w:ascii="Arial" w:hAnsi="Arial" w:eastAsia="仿宋_GB2312" w:cs="Arial"/>
          <w:sz w:val="28"/>
          <w:szCs w:val="28"/>
          <w:highlight w:val="none"/>
        </w:rPr>
        <w:t xml:space="preserve">布控球接入查看：依托评估结果布设点位，平台同步展示设备在线状态与实时作业画面。</w:t>
      </w:r>
      <w:r/>
    </w:p>
    <w:p>
      <w:pPr>
        <w:numPr>
          <w:ilvl w:val="0"/>
          <w:numId w:val="7"/>
        </w:num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无人机巡查接入：</w:t>
      </w:r>
      <w:r>
        <w:rPr>
          <w:rFonts w:hint="eastAsia" w:ascii="Arial" w:hAnsi="Arial" w:eastAsia="仿宋_GB2312" w:cs="Arial"/>
          <w:sz w:val="28"/>
          <w:szCs w:val="28"/>
          <w:highlight w:val="none"/>
        </w:rPr>
        <w:t xml:space="preserve">对零报备企业自动规划巡查航线，巡查画面、轨迹同步至平台存档</w:t>
      </w:r>
      <w:r>
        <w:rPr>
          <w:rFonts w:ascii="Arial" w:hAnsi="Arial" w:eastAsia="仿宋_GB2312" w:cs="Arial"/>
          <w:sz w:val="28"/>
          <w:szCs w:val="28"/>
          <w:highlight w:val="none"/>
        </w:rPr>
        <w:t xml:space="preserve">。</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2）工贸与小化工小医药企业监管模块</w:t>
      </w:r>
      <w:r/>
    </w:p>
    <w:p>
      <w:pPr>
        <w:numPr>
          <w:ilvl w:val="0"/>
          <w:numId w:val="8"/>
        </w:num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多维数据监测：根据水电气使用量、原材料消耗等数据，设定行业基准值，偏离阈值时自动启动异常分析。</w:t>
      </w:r>
      <w:r/>
    </w:p>
    <w:p>
      <w:pPr>
        <w:numPr>
          <w:ilvl w:val="0"/>
          <w:numId w:val="9"/>
        </w:num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异常排查分析：</w:t>
      </w:r>
      <w:r>
        <w:rPr>
          <w:rFonts w:hint="eastAsia" w:ascii="Arial" w:hAnsi="Arial" w:eastAsia="仿宋_GB2312" w:cs="Arial"/>
          <w:sz w:val="28"/>
          <w:szCs w:val="28"/>
          <w:highlight w:val="none"/>
        </w:rPr>
        <w:t xml:space="preserve">AI 自动生成核查建议报告，区分超产、偷排、违规生产等嫌疑</w:t>
      </w:r>
      <w:r>
        <w:rPr>
          <w:rFonts w:ascii="Arial" w:hAnsi="Arial" w:eastAsia="仿宋_GB2312" w:cs="Arial"/>
          <w:sz w:val="28"/>
          <w:szCs w:val="28"/>
          <w:highlight w:val="none"/>
        </w:rPr>
        <w:t xml:space="preserve">。</w:t>
      </w:r>
      <w:r/>
    </w:p>
    <w:p>
      <w:pPr>
        <w:numPr>
          <w:ilvl w:val="0"/>
          <w:numId w:val="10"/>
        </w:num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自查与巡查联动：</w:t>
      </w:r>
      <w:r>
        <w:rPr>
          <w:rFonts w:hint="eastAsia" w:ascii="Arial" w:hAnsi="Arial" w:eastAsia="仿宋_GB2312" w:cs="Arial"/>
          <w:sz w:val="28"/>
          <w:szCs w:val="28"/>
          <w:highlight w:val="none"/>
        </w:rPr>
        <w:t xml:space="preserve">企业月度自查线上上报，网格员现场核验，虚假填报自动预警</w:t>
      </w:r>
      <w:r>
        <w:rPr>
          <w:rFonts w:ascii="Arial" w:hAnsi="Arial" w:eastAsia="仿宋_GB2312" w:cs="Arial"/>
          <w:sz w:val="28"/>
          <w:szCs w:val="28"/>
          <w:highlight w:val="none"/>
        </w:rPr>
        <w:t xml:space="preserve">。</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3）高处作业精准管控模块</w:t>
      </w:r>
      <w:r>
        <w:rPr>
          <w:rFonts w:hint="eastAsia" w:ascii="Arial" w:hAnsi="Arial" w:eastAsia="仿宋_GB2312" w:cs="Arial"/>
          <w:sz w:val="28"/>
          <w:szCs w:val="28"/>
          <w:highlight w:val="none"/>
        </w:rPr>
        <w:t xml:space="preserve">（三类场景全覆盖）</w:t>
      </w:r>
      <w:r/>
    </w:p>
    <w:p>
      <w:pPr>
        <w:numPr>
          <w:ilvl w:val="0"/>
          <w:numId w:val="11"/>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场景台账管理：建筑工地、自建房、企业分开建立独立台账，记录作业全生命周期状态。</w:t>
      </w:r>
      <w:r/>
    </w:p>
    <w:p>
      <w:pPr>
        <w:numPr>
          <w:ilvl w:val="0"/>
          <w:numId w:val="11"/>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作业报备数据融合：对接统一数据中心，结合用电波动智能识别未报备违规高处作业。</w:t>
      </w:r>
      <w:r/>
    </w:p>
    <w:p>
      <w:pPr>
        <w:numPr>
          <w:ilvl w:val="0"/>
          <w:numId w:val="11"/>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智能设备接入与 预警汇总：接入布控球、无人机、摄像头 识别结果，汇总安全带缺失、无监护等违规预警。</w:t>
      </w:r>
      <w:r/>
    </w:p>
    <w:p>
      <w:pPr>
        <w:numPr>
          <w:ilvl w:val="0"/>
          <w:numId w:val="11"/>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违规预警处置闭环：预警自动派发网格任务，整改复查全程留痕，关联企业安全信用档案。</w:t>
      </w:r>
      <w:r/>
    </w:p>
    <w:p>
      <w:pPr>
        <w:numPr>
          <w:ilvl w:val="0"/>
          <w:numId w:val="11"/>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高处作业专项分析：自动构建企业风险画像，AI 生成月度高处作业安全分析报告。</w:t>
      </w:r>
      <w:r/>
    </w:p>
    <w:p>
      <w:pPr>
        <w:numPr>
          <w:ilvl w:val="0"/>
          <w:numId w:val="11"/>
        </w:numPr>
        <w:ind w:left="0" w:firstLine="560"/>
        <w:jc w:val="left"/>
        <w:pageBreakBefore w:val="0"/>
        <w:spacing w:beforeAutospacing="0" w:afterAutospacing="0" w:line="500" w:lineRule="exact"/>
        <w:rPr>
          <w:rFonts w:eastAsia="仿宋_GB2312"/>
          <w:sz w:val="28"/>
          <w:szCs w:val="28"/>
          <w:highlight w:val="none"/>
        </w:rPr>
      </w:pPr>
      <w:r>
        <w:rPr>
          <w:rFonts w:hint="eastAsia" w:ascii="Arial" w:hAnsi="Arial" w:eastAsia="仿宋_GB2312" w:cs="Arial"/>
          <w:sz w:val="28"/>
          <w:szCs w:val="28"/>
          <w:highlight w:val="none"/>
        </w:rPr>
        <w:t xml:space="preserve">移动端高处作业快查：巡查端专属入口，一键查看辖区当日全部高处作业报备、设备布控、历史违规</w:t>
      </w:r>
      <w:r>
        <w:rPr>
          <w:rFonts w:ascii="Arial" w:hAnsi="Arial" w:eastAsia="仿宋_GB2312" w:cs="Arial"/>
          <w:sz w:val="28"/>
          <w:szCs w:val="28"/>
          <w:highlight w:val="none"/>
        </w:rPr>
        <w:t xml:space="preserve">。</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w:t>
      </w:r>
      <w:r>
        <w:rPr>
          <w:rFonts w:hint="eastAsia" w:eastAsia="仿宋_GB2312" w:cs="Arial"/>
          <w:sz w:val="28"/>
          <w:szCs w:val="28"/>
          <w:highlight w:val="none"/>
          <w:lang w:val="en-US" w:eastAsia="zh-CN"/>
        </w:rPr>
        <w:t xml:space="preserve">3</w:t>
      </w:r>
      <w:r>
        <w:rPr>
          <w:rFonts w:ascii="Arial" w:hAnsi="Arial" w:eastAsia="仿宋_GB2312" w:cs="Arial"/>
          <w:sz w:val="28"/>
          <w:szCs w:val="28"/>
          <w:highlight w:val="none"/>
        </w:rPr>
        <w:t xml:space="preserve">）四位一体协同监管模块</w:t>
      </w:r>
      <w:r>
        <w:rPr>
          <w:rFonts w:hint="eastAsia" w:ascii="Arial" w:hAnsi="Arial" w:eastAsia="仿宋_GB2312" w:cs="Arial"/>
          <w:sz w:val="28"/>
          <w:szCs w:val="28"/>
          <w:highlight w:val="none"/>
        </w:rPr>
        <w:t xml:space="preserve">（独立跨部门业务模块）</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依据《"四位一体"安全监管工作机制》，实现安监、消防、综治、公安四部门负责人线上协同闭环：</w:t>
      </w:r>
      <w:r/>
    </w:p>
    <w:p>
      <w:p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① 会议创建与管理；② 文字 / 语音意见发表、AI 语音实时转写；③ AI 自动汇总意见、计算赞同率；④ 100% 赞同自动生成正式会议决议；⑤ 管理员拆分决议、一键派发处置任务；⑥ 全流程操作留痕，支持带安全水印导出归档。</w:t>
      </w:r>
      <w:r/>
    </w:p>
    <w:p>
      <w:p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ascii="Arial" w:hAnsi="Arial" w:eastAsia="仿宋_GB2312" w:cs="Arial"/>
          <w:sz w:val="28"/>
          <w:szCs w:val="28"/>
          <w:highlight w:val="none"/>
        </w:rPr>
        <w:t xml:space="preserve">（</w:t>
      </w:r>
      <w:r>
        <w:rPr>
          <w:rFonts w:hint="eastAsia" w:eastAsia="仿宋_GB2312" w:cs="Arial"/>
          <w:sz w:val="28"/>
          <w:szCs w:val="28"/>
          <w:highlight w:val="none"/>
          <w:lang w:val="en-US" w:eastAsia="zh-CN"/>
        </w:rPr>
        <w:t xml:space="preserve">4</w:t>
      </w:r>
      <w:r>
        <w:rPr>
          <w:rFonts w:ascii="Arial" w:hAnsi="Arial" w:eastAsia="仿宋_GB2312" w:cs="Arial"/>
          <w:sz w:val="28"/>
          <w:szCs w:val="28"/>
          <w:highlight w:val="none"/>
        </w:rPr>
        <w:t xml:space="preserve">）监管执法协同系统</w:t>
      </w:r>
      <w:r>
        <w:rPr>
          <w:rFonts w:hint="eastAsia" w:ascii="Arial" w:hAnsi="Arial" w:eastAsia="仿宋_GB2312" w:cs="Arial"/>
          <w:sz w:val="28"/>
          <w:szCs w:val="28"/>
          <w:highlight w:val="none"/>
        </w:rPr>
        <w:t xml:space="preserve">（平级于企业分类监管系统）</w:t>
      </w:r>
      <w:r/>
    </w:p>
    <w:p>
      <w:p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本系统为监管人员统一操作工作台，下设三大子模块，承载预警、巡查、后台管理全执法流程：</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1）</w:t>
      </w:r>
      <w:r>
        <w:rPr>
          <w:rFonts w:hint="eastAsia" w:ascii="Arial" w:hAnsi="Arial" w:eastAsia="仿宋_GB2312" w:cs="Arial"/>
          <w:sz w:val="28"/>
          <w:szCs w:val="28"/>
          <w:highlight w:val="none"/>
        </w:rPr>
        <w:t xml:space="preserve">数据分析看板子模块</w:t>
      </w:r>
      <w:r/>
    </w:p>
    <w:p>
      <w:pPr>
        <w:numPr>
          <w:ilvl w:val="0"/>
          <w:numId w:val="12"/>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可视化地图看板：展示企业分布、风险热力、高处作业点位、设备在线状态，多维度筛选统计。</w:t>
      </w:r>
      <w:r/>
    </w:p>
    <w:p>
      <w:pPr>
        <w:numPr>
          <w:ilvl w:val="0"/>
          <w:numId w:val="12"/>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智能预警中心：红黄橙三级预警集中展示，附带违规截图、精准定位信息。</w:t>
      </w:r>
      <w:r/>
    </w:p>
    <w:p>
      <w:pPr>
        <w:numPr>
          <w:ilvl w:val="0"/>
          <w:numId w:val="12"/>
        </w:numPr>
        <w:ind w:left="0" w:firstLine="560"/>
        <w:jc w:val="left"/>
        <w:pageBreakBefore w:val="0"/>
        <w:spacing w:beforeAutospacing="0" w:afterAutospacing="0" w:line="500" w:lineRule="exact"/>
        <w:rPr>
          <w:rFonts w:eastAsia="仿宋_GB2312"/>
          <w:sz w:val="28"/>
          <w:szCs w:val="28"/>
          <w:highlight w:val="none"/>
        </w:rPr>
      </w:pPr>
      <w:r>
        <w:rPr>
          <w:rFonts w:hint="eastAsia" w:ascii="Arial" w:hAnsi="Arial" w:eastAsia="仿宋_GB2312" w:cs="Arial"/>
          <w:sz w:val="28"/>
          <w:szCs w:val="28"/>
          <w:highlight w:val="none"/>
        </w:rPr>
        <w:t xml:space="preserve">任务管理模块：预警自动生成处置任务，支持人工指派，实时跟踪待办 / 处置中 / 已办结状态。</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2）</w:t>
      </w:r>
      <w:r>
        <w:rPr>
          <w:rFonts w:hint="eastAsia" w:ascii="Arial" w:hAnsi="Arial" w:eastAsia="仿宋_GB2312" w:cs="Arial"/>
          <w:sz w:val="28"/>
          <w:szCs w:val="28"/>
          <w:highlight w:val="none"/>
        </w:rPr>
        <w:t xml:space="preserve">巡查端子模块</w:t>
      </w:r>
      <w:r/>
    </w:p>
    <w:p>
      <w:pPr>
        <w:numPr>
          <w:ilvl w:val="0"/>
          <w:numId w:val="13"/>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网格信息管理：展示责任区企业、风险点位，支持现场签到、现场取证上传。</w:t>
      </w:r>
      <w:r/>
    </w:p>
    <w:p>
      <w:pPr>
        <w:numPr>
          <w:ilvl w:val="0"/>
          <w:numId w:val="13"/>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远程核查功能：实时调取布控球、固定摄像头画面，远程抽查高危作业防护措施。</w:t>
      </w:r>
      <w:r/>
    </w:p>
    <w:p>
      <w:pPr>
        <w:numPr>
          <w:ilvl w:val="0"/>
          <w:numId w:val="13"/>
        </w:numPr>
        <w:ind w:left="0" w:firstLine="560"/>
        <w:jc w:val="left"/>
        <w:pageBreakBefore w:val="0"/>
        <w:spacing w:beforeAutospacing="0" w:afterAutospacing="0" w:line="500" w:lineRule="exact"/>
        <w:rPr>
          <w:rFonts w:eastAsia="仿宋_GB2312"/>
          <w:sz w:val="28"/>
          <w:szCs w:val="28"/>
          <w:highlight w:val="none"/>
        </w:rPr>
      </w:pPr>
      <w:r>
        <w:rPr>
          <w:rFonts w:hint="eastAsia" w:ascii="Arial" w:hAnsi="Arial" w:eastAsia="仿宋_GB2312" w:cs="Arial"/>
          <w:sz w:val="28"/>
          <w:szCs w:val="28"/>
          <w:highlight w:val="none"/>
        </w:rPr>
        <w:t xml:space="preserve">执法轨迹追踪：集成 GPS 定位、执法记录仪数据，全程记录执法路线与现场影像</w:t>
      </w:r>
      <w:r>
        <w:rPr>
          <w:rFonts w:ascii="Arial" w:hAnsi="Arial" w:eastAsia="仿宋_GB2312" w:cs="Arial"/>
          <w:sz w:val="28"/>
          <w:szCs w:val="28"/>
          <w:highlight w:val="none"/>
        </w:rPr>
        <w:t xml:space="preserve">。</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3）</w:t>
      </w:r>
      <w:r>
        <w:rPr>
          <w:rFonts w:hint="eastAsia" w:ascii="Arial" w:hAnsi="Arial" w:eastAsia="仿宋_GB2312" w:cs="Arial"/>
          <w:sz w:val="28"/>
          <w:szCs w:val="28"/>
          <w:highlight w:val="none"/>
        </w:rPr>
        <w:t xml:space="preserve">网页后台管理系统子模块</w:t>
      </w:r>
      <w:r/>
    </w:p>
    <w:p>
      <w:pPr>
        <w:numPr>
          <w:ilvl w:val="0"/>
          <w:numId w:val="14"/>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分级用户权限管理：区分管理员、监管人员、网格员、企业用户等多角色权限。</w:t>
      </w:r>
      <w:r/>
    </w:p>
    <w:p>
      <w:pPr>
        <w:numPr>
          <w:ilvl w:val="0"/>
          <w:numId w:val="14"/>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智能设备统一总览平台：一屏集中查看布控球、无人机、执法仪、摄像头全部设备在线状态与实时画面。</w:t>
      </w:r>
      <w:r/>
    </w:p>
    <w:p>
      <w:pPr>
        <w:numPr>
          <w:ilvl w:val="0"/>
          <w:numId w:val="14"/>
        </w:numPr>
        <w:ind w:left="0" w:firstLine="560"/>
        <w:jc w:val="left"/>
        <w:pageBreakBefore w:val="0"/>
        <w:spacing w:beforeAutospacing="0" w:afterAutospacing="0" w:line="500" w:lineRule="exact"/>
        <w:rPr>
          <w:rFonts w:hint="eastAsia" w:ascii="Arial" w:hAnsi="Arial" w:eastAsia="仿宋_GB2312" w:cs="Arial"/>
          <w:sz w:val="28"/>
          <w:szCs w:val="28"/>
          <w:highlight w:val="none"/>
        </w:rPr>
      </w:pPr>
      <w:r>
        <w:rPr>
          <w:rFonts w:hint="eastAsia" w:ascii="Arial" w:hAnsi="Arial" w:eastAsia="仿宋_GB2312" w:cs="Arial"/>
          <w:sz w:val="28"/>
          <w:szCs w:val="28"/>
          <w:highlight w:val="none"/>
        </w:rPr>
        <w:t xml:space="preserve">联动处置平台：固化「预警生成 - 派单处置 - 设备核验 - 整改佐证 - 归档销号」全闭环流程。</w:t>
      </w:r>
      <w:r/>
    </w:p>
    <w:p>
      <w:pPr>
        <w:numPr>
          <w:ilvl w:val="0"/>
          <w:numId w:val="14"/>
        </w:numPr>
        <w:ind w:left="0" w:firstLine="560"/>
        <w:jc w:val="left"/>
        <w:pageBreakBefore w:val="0"/>
        <w:spacing w:beforeAutospacing="0" w:afterAutospacing="0" w:line="500" w:lineRule="exact"/>
        <w:rPr>
          <w:rFonts w:eastAsia="仿宋_GB2312"/>
          <w:sz w:val="28"/>
          <w:szCs w:val="28"/>
          <w:highlight w:val="none"/>
        </w:rPr>
      </w:pPr>
      <w:r>
        <w:rPr>
          <w:rFonts w:hint="eastAsia" w:ascii="Arial" w:hAnsi="Arial" w:eastAsia="仿宋_GB2312" w:cs="Arial"/>
          <w:sz w:val="28"/>
          <w:szCs w:val="28"/>
          <w:highlight w:val="none"/>
        </w:rPr>
        <w:t xml:space="preserve">多维度数据统计分析：自动生成高危动火、高处作业、企业履职专项监管报表</w:t>
      </w:r>
      <w:r>
        <w:rPr>
          <w:rFonts w:ascii="Arial" w:hAnsi="Arial" w:eastAsia="仿宋_GB2312" w:cs="Arial"/>
          <w:sz w:val="28"/>
          <w:szCs w:val="28"/>
          <w:highlight w:val="none"/>
        </w:rPr>
        <w:t xml:space="preserve">。</w:t>
      </w:r>
      <w:r/>
    </w:p>
    <w:p>
      <w:pPr>
        <w:ind w:left="533" w:firstLine="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w:t>
      </w:r>
      <w:r>
        <w:rPr>
          <w:rFonts w:hint="eastAsia" w:eastAsia="仿宋_GB2312" w:cs="Arial"/>
          <w:sz w:val="28"/>
          <w:szCs w:val="28"/>
          <w:highlight w:val="none"/>
          <w:lang w:val="en-US" w:eastAsia="zh-CN"/>
        </w:rPr>
        <w:t xml:space="preserve">5</w:t>
      </w:r>
      <w:r>
        <w:rPr>
          <w:rFonts w:ascii="Arial" w:hAnsi="Arial" w:eastAsia="仿宋_GB2312" w:cs="Arial"/>
          <w:sz w:val="28"/>
          <w:szCs w:val="28"/>
          <w:highlight w:val="none"/>
        </w:rPr>
        <w:t xml:space="preserve">）</w:t>
      </w:r>
      <w:r>
        <w:rPr>
          <w:rFonts w:hint="eastAsia" w:ascii="Arial" w:hAnsi="Arial" w:eastAsia="仿宋_GB2312" w:cs="Arial"/>
          <w:sz w:val="28"/>
          <w:szCs w:val="28"/>
          <w:highlight w:val="none"/>
        </w:rPr>
        <w:t xml:space="preserve">智能设备接入管理（公共支撑能力，全平台各模块共用）</w:t>
      </w:r>
      <w:r/>
    </w:p>
    <w:p>
      <w:pPr>
        <w:numPr>
          <w:ilvl w:val="0"/>
          <w:numId w:val="0"/>
        </w:numPr>
        <w:ind w:firstLine="560"/>
        <w:jc w:val="left"/>
        <w:pageBreakBefore w:val="0"/>
        <w:spacing w:beforeAutospacing="0" w:afterAutospacing="0" w:line="500" w:lineRule="exact"/>
        <w:rPr>
          <w:rFonts w:eastAsia="仿宋_GB2312"/>
          <w:sz w:val="28"/>
          <w:szCs w:val="28"/>
          <w:highlight w:val="none"/>
        </w:rPr>
      </w:pPr>
      <w:r>
        <w:rPr>
          <w:rFonts w:hint="eastAsia" w:eastAsia="仿宋_GB2312"/>
          <w:sz w:val="28"/>
          <w:szCs w:val="28"/>
          <w:highlight w:val="none"/>
        </w:rPr>
        <w:t xml:space="preserve">统一对接布控球、无人机、执法记录仪、固定摄像头、物联网网关原厂后台；平台仅同步展示设备在线状态、实时画面、巡查轨迹、预警结果；设备调度、航线规划、智能识别运算由设备原厂后台独立完成。</w:t>
      </w:r>
      <w:r/>
    </w:p>
    <w:p>
      <w:pPr>
        <w:pStyle w:val="855"/>
        <w:ind w:left="0" w:firstLine="560"/>
        <w:jc w:val="both"/>
        <w:pageBreakBefore w:val="0"/>
        <w:spacing w:before="0" w:beforeAutospacing="0" w:after="0" w:afterAutospacing="0" w:line="500" w:lineRule="exact"/>
        <w:rPr>
          <w:rFonts w:hint="eastAsia" w:ascii="楷体" w:hAnsi="楷体" w:eastAsia="楷体" w:cs="楷体"/>
          <w:sz w:val="28"/>
          <w:szCs w:val="28"/>
          <w:highlight w:val="none"/>
          <w:lang w:val="en-US" w:eastAsia="zh-CN" w:bidi="ar-SA"/>
        </w:rPr>
      </w:pPr>
      <w:r/>
      <w:bookmarkStart w:id="191" w:name="_Toc23564"/>
      <w:r/>
      <w:bookmarkStart w:id="192" w:name="heading_11"/>
      <w:r>
        <w:rPr>
          <w:rFonts w:hint="eastAsia" w:ascii="楷体" w:hAnsi="楷体" w:eastAsia="楷体" w:cs="楷体"/>
          <w:sz w:val="28"/>
          <w:szCs w:val="28"/>
          <w:highlight w:val="none"/>
          <w:lang w:val="en-US" w:eastAsia="zh-CN" w:bidi="ar-SA"/>
        </w:rPr>
        <w:t xml:space="preserve">（二）技术需求</w:t>
      </w:r>
      <w:bookmarkEnd w:id="191"/>
      <w:r/>
      <w:bookmarkEnd w:id="192"/>
      <w:r/>
      <w:r/>
    </w:p>
    <w:p>
      <w:pPr>
        <w:ind w:left="0" w:firstLine="562"/>
        <w:jc w:val="left"/>
        <w:pageBreakBefore w:val="0"/>
        <w:spacing w:beforeAutospacing="0" w:afterAutospacing="0" w:line="500" w:lineRule="exact"/>
        <w:rPr>
          <w:rFonts w:eastAsia="仿宋_GB2312"/>
          <w:sz w:val="28"/>
          <w:szCs w:val="28"/>
          <w:highlight w:val="none"/>
        </w:rPr>
      </w:pPr>
      <w:r>
        <w:rPr>
          <w:rFonts w:ascii="Arial" w:hAnsi="Arial" w:eastAsia="仿宋_GB2312" w:cs="Arial"/>
          <w:b/>
          <w:sz w:val="28"/>
          <w:szCs w:val="28"/>
          <w:highlight w:val="none"/>
        </w:rPr>
        <w:t xml:space="preserve">1.性能需求</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平台部署于政务云，云主机要求如下：最大用户数≥100，平台并发数≥100，可视化大屏需独立显卡。</w:t>
      </w:r>
      <w:r>
        <w:rPr>
          <w:rFonts w:hint="eastAsia" w:ascii="仿宋_GB2312" w:hAnsi="仿宋_GB2312" w:eastAsia="仿宋_GB2312" w:cs="仿宋_GB2312"/>
          <w:color w:val="auto"/>
          <w:sz w:val="28"/>
          <w:szCs w:val="28"/>
          <w:highlight w:val="none"/>
          <w:lang w:val="en-US" w:eastAsia="zh-CN" w:bidi="ar-SA"/>
        </w:rPr>
        <w:t xml:space="preserve">全面适配国产操作系统、国产主流硬件设备，保障自主可控。</w:t>
      </w:r>
      <w:r/>
    </w:p>
    <w:p>
      <w:pPr>
        <w:ind w:left="0" w:firstLine="562"/>
        <w:jc w:val="left"/>
        <w:pageBreakBefore w:val="0"/>
        <w:spacing w:beforeAutospacing="0" w:afterAutospacing="0" w:line="500" w:lineRule="exact"/>
        <w:rPr>
          <w:rFonts w:eastAsia="仿宋_GB2312"/>
          <w:sz w:val="28"/>
          <w:szCs w:val="28"/>
          <w:highlight w:val="none"/>
        </w:rPr>
      </w:pPr>
      <w:r>
        <w:rPr>
          <w:rFonts w:ascii="Arial" w:hAnsi="Arial" w:eastAsia="仿宋_GB2312" w:cs="Arial"/>
          <w:b/>
          <w:sz w:val="28"/>
          <w:szCs w:val="28"/>
          <w:highlight w:val="none"/>
        </w:rPr>
        <w:t xml:space="preserve">2.输出需求</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提供微信小程序端和泰政通端双端登录功能，且与泰州通互联互通。</w:t>
      </w:r>
      <w:r/>
    </w:p>
    <w:p>
      <w:pPr>
        <w:ind w:left="0" w:firstLine="562"/>
        <w:jc w:val="left"/>
        <w:pageBreakBefore w:val="0"/>
        <w:spacing w:beforeAutospacing="0" w:afterAutospacing="0" w:line="500" w:lineRule="exact"/>
        <w:rPr>
          <w:rFonts w:eastAsia="仿宋_GB2312"/>
          <w:sz w:val="28"/>
          <w:szCs w:val="28"/>
          <w:highlight w:val="none"/>
        </w:rPr>
      </w:pPr>
      <w:r>
        <w:rPr>
          <w:rFonts w:ascii="Arial" w:hAnsi="Arial" w:eastAsia="仿宋_GB2312" w:cs="Arial"/>
          <w:b/>
          <w:sz w:val="28"/>
          <w:szCs w:val="28"/>
          <w:highlight w:val="none"/>
        </w:rPr>
        <w:t xml:space="preserve">3.云资源需求</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选用政务云为云服务器资源，根据系统预计的用户量和数据存储量，配置相应的资源。同时，结合政务云的安全组策略、网络防火墙等功能，保障系统的网络安全。</w:t>
      </w:r>
      <w:r/>
    </w:p>
    <w:p>
      <w:pPr>
        <w:ind w:left="0" w:firstLine="562"/>
        <w:jc w:val="left"/>
        <w:pageBreakBefore w:val="0"/>
        <w:spacing w:beforeAutospacing="0" w:afterAutospacing="0" w:line="500" w:lineRule="exact"/>
        <w:rPr>
          <w:rFonts w:eastAsia="仿宋_GB2312"/>
          <w:sz w:val="28"/>
          <w:szCs w:val="28"/>
          <w:highlight w:val="none"/>
        </w:rPr>
      </w:pPr>
      <w:r>
        <w:rPr>
          <w:rFonts w:ascii="Arial" w:hAnsi="Arial" w:eastAsia="仿宋_GB2312" w:cs="Arial"/>
          <w:b/>
          <w:sz w:val="28"/>
          <w:szCs w:val="28"/>
          <w:highlight w:val="none"/>
        </w:rPr>
        <w:t xml:space="preserve">4.</w:t>
      </w:r>
      <w:r>
        <w:rPr>
          <w:rFonts w:ascii="Times New Roman" w:hAnsi="Times New Roman" w:eastAsia="仿宋_GB2312" w:cs="Arial"/>
          <w:b/>
          <w:sz w:val="28"/>
          <w:szCs w:val="28"/>
          <w:highlight w:val="none"/>
        </w:rPr>
        <w:t xml:space="preserve">AI</w:t>
      </w:r>
      <w:r>
        <w:rPr>
          <w:rFonts w:ascii="Arial" w:hAnsi="Arial" w:eastAsia="仿宋_GB2312" w:cs="Arial"/>
          <w:b/>
          <w:sz w:val="28"/>
          <w:szCs w:val="28"/>
          <w:highlight w:val="none"/>
        </w:rPr>
        <w:t xml:space="preserve">算力需求</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平台</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功能（</w:t>
      </w:r>
      <w:r>
        <w:rPr>
          <w:rFonts w:hint="eastAsia" w:eastAsia="仿宋_GB2312" w:cs="Arial"/>
          <w:sz w:val="28"/>
          <w:szCs w:val="28"/>
          <w:highlight w:val="none"/>
          <w:lang w:eastAsia="zh-CN"/>
        </w:rPr>
        <w:t xml:space="preserve">智能预警</w:t>
      </w:r>
      <w:r>
        <w:rPr>
          <w:rFonts w:hint="eastAsia" w:ascii="Arial" w:hAnsi="Arial" w:eastAsia="仿宋_GB2312" w:cs="Arial"/>
          <w:sz w:val="28"/>
          <w:szCs w:val="28"/>
          <w:highlight w:val="none"/>
        </w:rPr>
        <w:t xml:space="preserve">、专家评估报告、月度安全分析报告、语音转写、决议生成等</w:t>
      </w:r>
      <w:r>
        <w:rPr>
          <w:rFonts w:ascii="Arial" w:hAnsi="Arial" w:eastAsia="仿宋_GB2312" w:cs="Arial"/>
          <w:sz w:val="28"/>
          <w:szCs w:val="28"/>
          <w:highlight w:val="none"/>
        </w:rPr>
        <w:t xml:space="preserve">）需要独立的算力支撑，采用</w:t>
      </w:r>
      <w:r>
        <w:rPr>
          <w:rFonts w:ascii="Times New Roman" w:hAnsi="Times New Roman" w:eastAsia="仿宋_GB2312" w:cs="Arial"/>
          <w:sz w:val="28"/>
          <w:szCs w:val="28"/>
          <w:highlight w:val="none"/>
        </w:rPr>
        <w:t xml:space="preserve">FP</w:t>
      </w:r>
      <w:r>
        <w:rPr>
          <w:rFonts w:ascii="Arial" w:hAnsi="Arial" w:eastAsia="仿宋_GB2312" w:cs="Arial"/>
          <w:sz w:val="28"/>
          <w:szCs w:val="28"/>
          <w:highlight w:val="none"/>
        </w:rPr>
        <w:t xml:space="preserve">16精度算力卡，满足</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模型推理需求。</w:t>
      </w:r>
      <w:r/>
    </w:p>
    <w:p>
      <w:pPr>
        <w:ind w:left="0" w:firstLine="562"/>
        <w:jc w:val="left"/>
        <w:pageBreakBefore w:val="0"/>
        <w:spacing w:beforeAutospacing="0" w:afterAutospacing="0" w:line="500" w:lineRule="exact"/>
        <w:rPr>
          <w:rFonts w:eastAsia="仿宋_GB2312"/>
          <w:sz w:val="28"/>
          <w:szCs w:val="28"/>
          <w:highlight w:val="none"/>
        </w:rPr>
      </w:pPr>
      <w:r>
        <w:rPr>
          <w:rFonts w:ascii="Arial" w:hAnsi="Arial" w:eastAsia="仿宋_GB2312" w:cs="Arial"/>
          <w:b/>
          <w:sz w:val="28"/>
          <w:szCs w:val="28"/>
          <w:highlight w:val="none"/>
        </w:rPr>
        <w:t xml:space="preserve">5.安全需求</w:t>
      </w:r>
      <w:r/>
    </w:p>
    <w:p>
      <w:pPr>
        <w:ind w:left="0" w:firstLine="560"/>
        <w:jc w:val="left"/>
        <w:pageBreakBefore w:val="0"/>
        <w:spacing w:beforeAutospacing="0" w:afterAutospacing="0" w:line="500" w:lineRule="exact"/>
        <w:rPr>
          <w:rFonts w:ascii="Arial" w:hAnsi="Arial" w:eastAsia="仿宋_GB2312" w:cs="Arial"/>
          <w:sz w:val="28"/>
          <w:szCs w:val="28"/>
          <w:highlight w:val="none"/>
        </w:rPr>
      </w:pPr>
      <w:r>
        <w:rPr>
          <w:rFonts w:ascii="Arial" w:hAnsi="Arial" w:eastAsia="仿宋_GB2312" w:cs="Arial"/>
          <w:sz w:val="28"/>
          <w:szCs w:val="28"/>
          <w:highlight w:val="none"/>
        </w:rPr>
        <w:t xml:space="preserve">采用了数据脱敏技术、防火墙等技术手段，对数据传输过程进行加密和访问控制，确保数据的安全性。系统按等保二级要求进行规划建设。</w:t>
      </w:r>
      <w:r/>
    </w:p>
    <w:p>
      <w:pPr>
        <w:ind w:left="0" w:firstLine="562"/>
        <w:jc w:val="left"/>
        <w:pageBreakBefore w:val="0"/>
        <w:spacing w:beforeAutospacing="0" w:afterAutospacing="0" w:line="500" w:lineRule="exact"/>
        <w:rPr>
          <w:rFonts w:hint="default" w:ascii="Arial" w:hAnsi="Arial" w:eastAsia="仿宋_GB2312" w:cs="Arial"/>
          <w:b/>
          <w:sz w:val="28"/>
          <w:szCs w:val="28"/>
          <w:highlight w:val="none"/>
          <w:lang w:val="en-US" w:eastAsia="zh-CN"/>
        </w:rPr>
      </w:pPr>
      <w:r/>
      <w:bookmarkStart w:id="193" w:name="_Toc14476"/>
      <w:r/>
      <w:bookmarkStart w:id="194" w:name="heading_29"/>
      <w:r>
        <w:rPr>
          <w:rFonts w:hint="eastAsia" w:ascii="Arial" w:hAnsi="Arial" w:eastAsia="仿宋_GB2312" w:cs="Arial"/>
          <w:b/>
          <w:sz w:val="28"/>
          <w:szCs w:val="28"/>
          <w:highlight w:val="none"/>
          <w:lang w:val="en-US" w:eastAsia="zh-CN"/>
        </w:rPr>
        <w:t xml:space="preserve">6.</w:t>
      </w:r>
      <w:bookmarkEnd w:id="193"/>
      <w:r/>
      <w:bookmarkEnd w:id="194"/>
      <w:r>
        <w:rPr>
          <w:rFonts w:hint="eastAsia" w:ascii="Arial" w:hAnsi="Arial" w:eastAsia="仿宋_GB2312" w:cs="Arial"/>
          <w:b/>
          <w:sz w:val="28"/>
          <w:szCs w:val="28"/>
          <w:highlight w:val="none"/>
          <w:lang w:val="en-US" w:eastAsia="zh-CN"/>
        </w:rPr>
        <w:t xml:space="preserve">数据对接</w:t>
      </w:r>
      <w:r/>
    </w:p>
    <w:p>
      <w:pPr>
        <w:ind w:firstLine="560"/>
        <w:pageBreakBefore w:val="0"/>
        <w:spacing w:beforeAutospacing="0" w:afterAutospacing="0" w:line="500" w:lineRule="exact"/>
        <w:rPr>
          <w:rFonts w:hint="default"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数据对接：需与一期开发的平台及相关数据对接。</w:t>
      </w:r>
      <w:r/>
    </w:p>
    <w:p>
      <w:pPr>
        <w:ind w:left="0" w:firstLine="562"/>
        <w:jc w:val="left"/>
        <w:pageBreakBefore w:val="0"/>
        <w:spacing w:beforeAutospacing="0" w:afterAutospacing="0" w:line="500" w:lineRule="exact"/>
        <w:rPr>
          <w:rFonts w:eastAsia="仿宋_GB2312"/>
          <w:sz w:val="28"/>
          <w:szCs w:val="28"/>
          <w:highlight w:val="none"/>
        </w:rPr>
      </w:pPr>
      <w:r>
        <w:rPr>
          <w:rFonts w:hint="eastAsia" w:ascii="Arial" w:hAnsi="Arial" w:eastAsia="仿宋_GB2312" w:cs="Arial"/>
          <w:b/>
          <w:sz w:val="28"/>
          <w:szCs w:val="28"/>
          <w:highlight w:val="none"/>
          <w:lang w:val="en-US" w:eastAsia="zh-CN"/>
        </w:rPr>
        <w:t xml:space="preserve">7</w:t>
      </w:r>
      <w:r>
        <w:rPr>
          <w:rFonts w:ascii="Arial" w:hAnsi="Arial" w:eastAsia="仿宋_GB2312" w:cs="Arial"/>
          <w:b/>
          <w:sz w:val="28"/>
          <w:szCs w:val="28"/>
          <w:highlight w:val="none"/>
        </w:rPr>
        <w:t xml:space="preserve">.培训、运维需求</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为确保系统投入使用后，能够稳定、良好地运行，达到建设预期的目的，需对相关人员进行全面、细致的培训工作。使该项目的操作人员充分了解与项目相关的系统软件和操作环境，以及对系统设计及其相关业务的认识，以便更好地开展工作。经过培训，操作人员能够独立进行使用、管理、维护和日常处理，保证系统正常、安全地运行。</w:t>
      </w:r>
      <w:r/>
    </w:p>
    <w:p>
      <w:pPr>
        <w:ind w:firstLine="560"/>
        <w:keepLines w:val="0"/>
        <w:keepNext w:val="0"/>
        <w:pageBreakBefore w:val="0"/>
        <w:spacing w:beforeAutospacing="0" w:afterAutospacing="0" w:line="500" w:lineRule="exact"/>
        <w:rPr>
          <w:rFonts w:hint="eastAsia" w:ascii="黑体" w:hAnsi="黑体" w:eastAsia="黑体" w:cs="黑体"/>
          <w:color w:val="auto"/>
          <w:sz w:val="28"/>
          <w:szCs w:val="28"/>
          <w:highlight w:val="none"/>
          <w:lang w:val="en-US" w:eastAsia="zh-CN"/>
        </w:rPr>
        <w:outlineLvl w:val="1"/>
      </w:pPr>
      <w:r/>
      <w:bookmarkStart w:id="195" w:name="_Toc31525"/>
      <w:r/>
      <w:bookmarkStart w:id="196" w:name="heading_12"/>
      <w:r>
        <w:rPr>
          <w:rFonts w:hint="eastAsia" w:ascii="黑体" w:hAnsi="黑体" w:eastAsia="黑体" w:cs="黑体"/>
          <w:color w:val="auto"/>
          <w:sz w:val="28"/>
          <w:szCs w:val="28"/>
          <w:highlight w:val="none"/>
          <w:lang w:val="en-US" w:eastAsia="zh-CN"/>
        </w:rPr>
        <w:t xml:space="preserve">五、技术方案</w:t>
      </w:r>
      <w:bookmarkEnd w:id="195"/>
      <w:r/>
      <w:bookmarkEnd w:id="196"/>
      <w:r/>
      <w:r/>
    </w:p>
    <w:p>
      <w:pPr>
        <w:pStyle w:val="855"/>
        <w:ind w:left="0" w:firstLine="560"/>
        <w:jc w:val="both"/>
        <w:pageBreakBefore w:val="0"/>
        <w:spacing w:before="0" w:beforeAutospacing="0" w:after="0" w:afterAutospacing="0" w:line="500" w:lineRule="exact"/>
        <w:rPr>
          <w:rFonts w:hint="eastAsia" w:ascii="楷体" w:hAnsi="楷体" w:eastAsia="楷体" w:cs="楷体"/>
          <w:sz w:val="28"/>
          <w:szCs w:val="28"/>
          <w:highlight w:val="none"/>
          <w:lang w:val="en-US" w:eastAsia="zh-CN" w:bidi="ar-SA"/>
        </w:rPr>
      </w:pPr>
      <w:r/>
      <w:bookmarkStart w:id="197" w:name="heading_13"/>
      <w:r/>
      <w:bookmarkStart w:id="198" w:name="_Toc1359"/>
      <w:r>
        <w:rPr>
          <w:rFonts w:hint="eastAsia" w:ascii="楷体" w:hAnsi="楷体" w:eastAsia="楷体" w:cs="楷体"/>
          <w:sz w:val="28"/>
          <w:szCs w:val="28"/>
          <w:highlight w:val="none"/>
          <w:lang w:val="en-US" w:eastAsia="zh-CN" w:bidi="ar-SA"/>
        </w:rPr>
        <w:t xml:space="preserve">（一）总体架构</w:t>
      </w:r>
      <w:bookmarkEnd w:id="197"/>
      <w:r/>
      <w:bookmarkEnd w:id="198"/>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系统采用微服务架构，前端通过微信小程序端与泰政通双端兼容与用户进行交互，平台可与泰州通互通互联。后端架构包括应用层、服务层、数据层等。应用层负责实现各项业务功能；服务层提供各种基础服务，如用户认证服务、数据接口服务等，数据层负责数据的存储和管理。二期开发需与一期平台进行对接。系统各组成部分相互协作，共同支撑整个安全生产履职系统的运行，实现系统的高可用性和扩展性。</w:t>
      </w:r>
      <w:r/>
    </w:p>
    <w:p>
      <w:pPr>
        <w:ind w:left="0" w:firstLine="560"/>
        <w:jc w:val="left"/>
        <w:pageBreakBefore w:val="0"/>
        <w:spacing w:beforeAutospacing="0" w:afterAutospacing="0" w:line="500" w:lineRule="exact"/>
        <w:rPr>
          <w:rFonts w:eastAsia="仿宋_GB2312"/>
          <w:sz w:val="28"/>
          <w:szCs w:val="28"/>
          <w:highlight w:val="none"/>
        </w:rPr>
      </w:pPr>
      <w:r>
        <w:rPr>
          <w:rFonts w:ascii="Arial" w:hAnsi="Arial" w:eastAsia="仿宋_GB2312" w:cs="Arial"/>
          <w:sz w:val="28"/>
          <w:szCs w:val="28"/>
          <w:highlight w:val="none"/>
        </w:rPr>
        <w:t xml:space="preserve">技术支撑是融合物联网、大数据、</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等技术。物联网技术即接入布控球、</w:t>
      </w:r>
      <w:r>
        <w:rPr>
          <w:rFonts w:hint="eastAsia" w:eastAsia="仿宋_GB2312" w:cs="Arial"/>
          <w:sz w:val="28"/>
          <w:szCs w:val="28"/>
          <w:highlight w:val="none"/>
          <w:lang w:val="en-US" w:eastAsia="zh-CN"/>
        </w:rPr>
        <w:t xml:space="preserve">智能监控</w:t>
      </w:r>
      <w:r>
        <w:rPr>
          <w:rFonts w:ascii="Arial" w:hAnsi="Arial" w:eastAsia="仿宋_GB2312" w:cs="Arial"/>
          <w:sz w:val="28"/>
          <w:szCs w:val="28"/>
          <w:highlight w:val="none"/>
        </w:rPr>
        <w:t xml:space="preserve">等设备自有后台，实现水电气、设备运行数据实时采集与画面展示；分析技术是接入设备自有后台的</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识别结果，结合业务规则自动生成评估报告与处置建议；卫星定位与无人机技术是实现执法轨迹追踪与空中巡查画面实时回传查看，无人机调度由设备自有后台完成。</w:t>
      </w:r>
      <w:r/>
    </w:p>
    <w:p>
      <w:pPr>
        <w:pStyle w:val="855"/>
        <w:ind w:left="0" w:firstLine="560"/>
        <w:jc w:val="both"/>
        <w:pageBreakBefore w:val="0"/>
        <w:spacing w:before="0" w:beforeAutospacing="0" w:after="0" w:afterAutospacing="0" w:line="500" w:lineRule="exact"/>
        <w:rPr>
          <w:rFonts w:hint="eastAsia" w:ascii="楷体" w:hAnsi="楷体" w:eastAsia="楷体" w:cs="楷体"/>
          <w:sz w:val="28"/>
          <w:szCs w:val="28"/>
          <w:highlight w:val="none"/>
          <w:lang w:val="en-US" w:eastAsia="zh-CN" w:bidi="ar-SA"/>
        </w:rPr>
      </w:pPr>
      <w:r/>
      <w:bookmarkStart w:id="199" w:name="_Toc17506"/>
      <w:r/>
      <w:bookmarkStart w:id="200" w:name="heading_14"/>
      <w:r>
        <w:rPr>
          <w:rFonts w:hint="eastAsia" w:ascii="楷体" w:hAnsi="楷体" w:eastAsia="楷体" w:cs="楷体"/>
          <w:sz w:val="28"/>
          <w:szCs w:val="28"/>
          <w:highlight w:val="none"/>
          <w:lang w:val="en-US" w:eastAsia="zh-CN" w:bidi="ar-SA"/>
        </w:rPr>
        <w:t xml:space="preserve">（二）主要功能设计</w:t>
      </w:r>
      <w:bookmarkEnd w:id="199"/>
      <w:r/>
      <w:bookmarkEnd w:id="200"/>
      <w:r/>
      <w:r/>
    </w:p>
    <w:p>
      <w:pPr>
        <w:ind w:left="0" w:firstLine="560"/>
        <w:jc w:val="left"/>
        <w:pageBreakBefore w:val="0"/>
        <w:spacing w:beforeAutospacing="0" w:afterAutospacing="0" w:line="500" w:lineRule="exact"/>
        <w:rPr>
          <w:sz w:val="28"/>
          <w:szCs w:val="28"/>
          <w:highlight w:val="none"/>
        </w:rPr>
      </w:pPr>
      <w:r>
        <w:rPr>
          <w:rFonts w:ascii="Arial" w:hAnsi="Arial" w:eastAsia="仿宋_GB2312" w:cs="Arial"/>
          <w:sz w:val="28"/>
          <w:szCs w:val="28"/>
          <w:highlight w:val="none"/>
        </w:rPr>
        <w:t xml:space="preserve">说明：</w:t>
      </w:r>
      <w:r>
        <w:rPr>
          <w:rFonts w:hint="eastAsia" w:ascii="Arial" w:hAnsi="Arial" w:eastAsia="仿宋_GB2312" w:cs="Arial"/>
          <w:sz w:val="28"/>
          <w:szCs w:val="28"/>
          <w:highlight w:val="none"/>
        </w:rPr>
        <w:t xml:space="preserve">标注</w:t>
      </w:r>
      <w:r>
        <w:rPr>
          <w:rFonts w:hint="eastAsia" w:eastAsia="仿宋_GB2312" w:cs="Arial"/>
          <w:color w:val="d83931"/>
          <w:sz w:val="28"/>
          <w:szCs w:val="28"/>
          <w:highlight w:val="none"/>
          <w:lang w:eastAsia="zh-CN"/>
        </w:rPr>
        <w:t xml:space="preserve">【新增】</w:t>
      </w:r>
      <w:r>
        <w:rPr>
          <w:rFonts w:hint="eastAsia" w:ascii="Arial" w:hAnsi="Arial" w:eastAsia="仿宋_GB2312" w:cs="Arial"/>
          <w:sz w:val="28"/>
          <w:szCs w:val="28"/>
          <w:highlight w:val="none"/>
        </w:rPr>
        <w:t xml:space="preserve">的为二期新增功能，标注</w:t>
      </w:r>
      <w:r>
        <w:rPr>
          <w:rFonts w:hint="eastAsia" w:ascii="Arial" w:hAnsi="Arial" w:eastAsia="仿宋_GB2312" w:cs="Arial"/>
          <w:color w:val="245bdb"/>
          <w:sz w:val="28"/>
          <w:szCs w:val="28"/>
          <w:highlight w:val="none"/>
        </w:rPr>
        <w:t xml:space="preserve">【升级】</w:t>
      </w:r>
      <w:r>
        <w:rPr>
          <w:rFonts w:hint="eastAsia" w:ascii="Arial" w:hAnsi="Arial" w:eastAsia="仿宋_GB2312" w:cs="Arial"/>
          <w:sz w:val="28"/>
          <w:szCs w:val="28"/>
          <w:highlight w:val="none"/>
        </w:rPr>
        <w:t xml:space="preserve">的为在一期基础上升级的功能；表格按「底层底座→公共支撑→核心业务大类（企业分类监管系统）→跨部门协同模块→监管执法协同系统」排序，明确父子模块从属关系。</w:t>
      </w:r>
      <w:r/>
    </w:p>
    <w:tbl>
      <w:tblPr>
        <w:tblStyle w:val="864"/>
        <w:tblW w:w="4998"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 w:type="dxa"/>
          <w:top w:w="0" w:type="dxa"/>
          <w:right w:w="10" w:type="dxa"/>
          <w:bottom w:w="0" w:type="dxa"/>
        </w:tblCellMar>
        <w:tblLook w:val="04A0" w:firstRow="1" w:lastRow="0" w:firstColumn="1" w:lastColumn="0" w:noHBand="0" w:noVBand="1"/>
      </w:tblPr>
      <w:tblGrid>
        <w:gridCol w:w="523"/>
        <w:gridCol w:w="913"/>
        <w:gridCol w:w="1111"/>
        <w:gridCol w:w="2141"/>
        <w:gridCol w:w="4096"/>
        <w:gridCol w:w="523"/>
      </w:tblGrid>
      <w:tr>
        <w:trPr>
          <w:trHeight w:val="937"/>
        </w:trPr>
        <w:tc>
          <w:tcPr>
            <w:tcMar>
              <w:left w:w="120" w:type="dxa"/>
              <w:top w:w="60" w:type="dxa"/>
              <w:right w:w="120" w:type="dxa"/>
              <w:bottom w:w="30" w:type="dxa"/>
            </w:tcMar>
            <w:tcW w:w="480" w:type="dxa"/>
            <w:vAlign w:val="center"/>
            <w:textDirection w:val="lrTb"/>
            <w:noWrap w:val="false"/>
          </w:tcPr>
          <w:p>
            <w:pPr>
              <w:ind w:left="0" w:firstLine="0"/>
              <w:jc w:val="center"/>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tcMar>
              <w:left w:w="120" w:type="dxa"/>
              <w:top w:w="60" w:type="dxa"/>
              <w:right w:w="120" w:type="dxa"/>
              <w:bottom w:w="30" w:type="dxa"/>
            </w:tcMar>
            <w:tcW w:w="838" w:type="dxa"/>
            <w:vAlign w:val="center"/>
            <w:textDirection w:val="lrTb"/>
            <w:noWrap w:val="false"/>
          </w:tcPr>
          <w:p>
            <w:pPr>
              <w:ind w:left="0" w:firstLine="0"/>
              <w:jc w:val="center"/>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一级父模块</w:t>
            </w:r>
            <w:r/>
          </w:p>
        </w:tc>
        <w:tc>
          <w:tcPr>
            <w:tcMar>
              <w:left w:w="120" w:type="dxa"/>
              <w:top w:w="60" w:type="dxa"/>
              <w:right w:w="120" w:type="dxa"/>
              <w:bottom w:w="30" w:type="dxa"/>
            </w:tcMar>
            <w:tcW w:w="1020" w:type="dxa"/>
            <w:vAlign w:val="center"/>
            <w:textDirection w:val="lrTb"/>
            <w:noWrap w:val="false"/>
          </w:tcPr>
          <w:p>
            <w:pPr>
              <w:ind w:lef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二级子模块</w:t>
            </w:r>
            <w:r/>
          </w:p>
        </w:tc>
        <w:tc>
          <w:tcPr>
            <w:tcMar>
              <w:left w:w="120" w:type="dxa"/>
              <w:top w:w="60" w:type="dxa"/>
              <w:right w:w="120" w:type="dxa"/>
              <w:bottom w:w="30" w:type="dxa"/>
            </w:tcMar>
            <w:tcW w:w="1965" w:type="dxa"/>
            <w:vAlign w:val="center"/>
            <w:textDirection w:val="lrTb"/>
            <w:noWrap w:val="false"/>
          </w:tcPr>
          <w:p>
            <w:pPr>
              <w:ind w:left="0" w:firstLine="0"/>
              <w:jc w:val="center"/>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三级功能</w:t>
            </w:r>
            <w:r/>
          </w:p>
        </w:tc>
        <w:tc>
          <w:tcPr>
            <w:tcMar>
              <w:left w:w="120" w:type="dxa"/>
              <w:top w:w="60" w:type="dxa"/>
              <w:right w:w="120" w:type="dxa"/>
              <w:bottom w:w="30" w:type="dxa"/>
            </w:tcMar>
            <w:tcW w:w="3759" w:type="dxa"/>
            <w:vAlign w:val="center"/>
            <w:textDirection w:val="lrTb"/>
            <w:noWrap w:val="false"/>
          </w:tcPr>
          <w:p>
            <w:pPr>
              <w:ind w:left="0" w:firstLine="0"/>
              <w:jc w:val="center"/>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功能描述</w:t>
            </w:r>
            <w:r/>
          </w:p>
        </w:tc>
        <w:tc>
          <w:tcPr>
            <w:tcMar>
              <w:left w:w="120" w:type="dxa"/>
              <w:top w:w="60" w:type="dxa"/>
              <w:right w:w="120" w:type="dxa"/>
              <w:bottom w:w="30" w:type="dxa"/>
            </w:tcMar>
            <w:tcW w:w="480" w:type="dxa"/>
            <w:vAlign w:val="center"/>
            <w:textDirection w:val="lrTb"/>
            <w:noWrap w:val="false"/>
          </w:tcPr>
          <w:p>
            <w:pPr>
              <w:ind w:left="0" w:firstLine="0"/>
              <w:jc w:val="center"/>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标签</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Mar>
              <w:left w:w="120" w:type="dxa"/>
              <w:top w:w="60" w:type="dxa"/>
              <w:right w:w="120" w:type="dxa"/>
              <w:bottom w:w="30" w:type="dxa"/>
            </w:tcMar>
            <w:tcW w:w="838" w:type="dxa"/>
            <w:vAlign w:val="center"/>
            <w:vMerge w:val="restart"/>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统一数据中心（底层底座）</w:t>
            </w:r>
            <w:r/>
          </w:p>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数据接入层</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多源数据汇入</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支持企业自查、水电气、无人机、布控球、巡查、高处作业报备多渠道数据接入</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417ff9"/>
                <w:sz w:val="24"/>
                <w:szCs w:val="24"/>
                <w:highlight w:val="none"/>
                <w:u w:val="none"/>
                <w:lang w:val="en-US" w:eastAsia="zh-CN" w:bidi="ar"/>
              </w:rPr>
              <w:t xml:space="preserve">升级</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数据处理层</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企业数字档案库</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数据清洗脱敏融合，搭建三大核心数据库，生成一企一档与企业风险画像</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417ff9"/>
                <w:sz w:val="24"/>
                <w:szCs w:val="24"/>
                <w:highlight w:val="none"/>
                <w:u w:val="none"/>
                <w:lang w:val="en-US" w:eastAsia="zh-CN" w:bidi="ar"/>
              </w:rPr>
              <w:t xml:space="preserve">升级</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数据服务层</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数据共享接口服务</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支撑全业务模块数据调用，预留市局应急平台标准化交互接口</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417ff9"/>
                <w:sz w:val="24"/>
                <w:szCs w:val="24"/>
                <w:highlight w:val="none"/>
                <w:u w:val="none"/>
                <w:lang w:val="en-US" w:eastAsia="zh-CN" w:bidi="ar"/>
              </w:rPr>
              <w:t xml:space="preserve">升级</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Mar>
              <w:left w:w="120" w:type="dxa"/>
              <w:top w:w="60" w:type="dxa"/>
              <w:right w:w="120" w:type="dxa"/>
              <w:bottom w:w="30" w:type="dxa"/>
            </w:tcMar>
            <w:tcW w:w="838" w:type="dxa"/>
            <w:vAlign w:val="center"/>
            <w:vMerge w:val="restart"/>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智能设备接入管理（公共支撑）</w:t>
            </w:r>
            <w:r/>
          </w:p>
        </w:tc>
        <w:tc>
          <w:tcPr>
            <w:tcMar>
              <w:left w:w="120" w:type="dxa"/>
              <w:top w:w="60" w:type="dxa"/>
              <w:right w:w="120" w:type="dxa"/>
              <w:bottom w:w="30" w:type="dxa"/>
            </w:tcMar>
            <w:tcW w:w="1020" w:type="dxa"/>
            <w:vAlign w:val="center"/>
            <w:vMerge w:val="restart"/>
            <w:textDirection w:val="lrTb"/>
            <w:noWrap w:val="false"/>
          </w:tcPr>
          <w:p>
            <w:pPr>
              <w:ind w:lef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设备统一接入总览</w:t>
            </w:r>
            <w:r/>
          </w:p>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布控球接入查看</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同步设备在线状态、实时画面，仅展示结果，设备调度识别由原厂后台完成</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无人机接入查看</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同步巡查画面、飞行轨迹，平台仅调取展示数据</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执法仪 / 摄像头 / 物联网网关接入</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同步执法记录、监控画面、网关设备运行状态</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Mar>
              <w:left w:w="120" w:type="dxa"/>
              <w:top w:w="60" w:type="dxa"/>
              <w:right w:w="120" w:type="dxa"/>
              <w:bottom w:w="30" w:type="dxa"/>
            </w:tcMar>
            <w:tcW w:w="838" w:type="dxa"/>
            <w:vAlign w:val="center"/>
            <w:vMerge w:val="restart"/>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企业分类监管系统（核心业务大类）</w:t>
            </w:r>
            <w:r/>
          </w:p>
        </w:tc>
        <w:tc>
          <w:tcPr>
            <w:tcMar>
              <w:left w:w="120" w:type="dxa"/>
              <w:top w:w="60" w:type="dxa"/>
              <w:right w:w="120" w:type="dxa"/>
              <w:bottom w:w="30" w:type="dxa"/>
            </w:tcMar>
            <w:tcW w:w="1020" w:type="dxa"/>
            <w:vAlign w:val="center"/>
            <w:vMerge w:val="restart"/>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高危动火企业专项监管</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作业申报管理</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企业线上动火申请，无报备企业标记重点巡查对象</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专家评估留痕模块</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专家线上评审台账，AI 自动汇总生成可下载评估报告</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布控球 / 无人机巡查接入</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动火点位视频监控、空白区域无人机巡查记录存档</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restart"/>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工贸与小化工小医药监管</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多维数据监测</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水电气、原材料消耗阈值监控，生产活跃度关联分析</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异常排查分析</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AI 研判数据异动，输出超产、偷排核查建议</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自查巡查联动</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企业自查线上上报，网格员核验，虚假填报预警</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restart"/>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高处作业精准管控</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场景台账管理</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建筑工地 / 自建房 / 企业三类作业全生命周期台账管理</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作业报备与数据融合</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小程序线上报备，联动用电数据识别未报备违规作业</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AI 违规预警闭环</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汇总设备 AI 识别隐患，自动生成处置任务，整改复查销号</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专项分析与移动端快查</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245bdb"/>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企业风险画像、月度 AI 分析报告、网格员移动端快速核查入口</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tcMar>
              <w:left w:w="120" w:type="dxa"/>
              <w:top w:w="60" w:type="dxa"/>
              <w:right w:w="120" w:type="dxa"/>
              <w:bottom w:w="30" w:type="dxa"/>
            </w:tcMar>
            <w:tcW w:w="838"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“四位一体” 协同监管模块（独立跨部门模块）</w:t>
            </w:r>
            <w:r/>
          </w:p>
        </w:tc>
        <w:tc>
          <w:tcPr>
            <w:tcMar>
              <w:left w:w="120" w:type="dxa"/>
              <w:top w:w="60" w:type="dxa"/>
              <w:right w:w="120" w:type="dxa"/>
              <w:bottom w:w="30" w:type="dxa"/>
            </w:tcMar>
            <w:tcW w:w="102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线上会议全流程功能</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会议创建、意见发表、AI 汇总表决、决议拆分交办、水印导出</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仅限四部门负责人使用，会商、决议、任务派发全程留痕</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ff0000"/>
                <w:sz w:val="24"/>
                <w:szCs w:val="24"/>
                <w:highlight w:val="none"/>
                <w:u w:val="none"/>
                <w:lang w:val="en-US" w:eastAsia="zh-CN" w:bidi="ar"/>
              </w:rPr>
              <w:t xml:space="preserve">新增</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tcMar>
              <w:left w:w="120" w:type="dxa"/>
              <w:top w:w="60" w:type="dxa"/>
              <w:right w:w="120" w:type="dxa"/>
              <w:bottom w:w="30" w:type="dxa"/>
            </w:tcMar>
            <w:tcW w:w="838" w:type="dxa"/>
            <w:vAlign w:val="center"/>
            <w:vMerge w:val="restart"/>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监管执法协同系统（核心业务大类）</w:t>
            </w:r>
            <w:r/>
          </w:p>
        </w:tc>
        <w:tc>
          <w:tcPr>
            <w:tcMar>
              <w:left w:w="120" w:type="dxa"/>
              <w:top w:w="60" w:type="dxa"/>
              <w:right w:w="120" w:type="dxa"/>
              <w:bottom w:w="30" w:type="dxa"/>
            </w:tcMar>
            <w:tcW w:w="102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数据分析看板子模块</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可视化大屏、智能预警中心、任务管理</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地图风险展示、三级预警推送、预警自动生成处置任务</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417ff9"/>
                <w:sz w:val="24"/>
                <w:szCs w:val="24"/>
                <w:highlight w:val="none"/>
                <w:u w:val="none"/>
                <w:lang w:val="en-US" w:eastAsia="zh-CN" w:bidi="ar"/>
              </w:rPr>
              <w:t xml:space="preserve">升级</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巡查端子模块</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网格管理、远程核查、执法轨迹追踪</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网格企业清单、视频远程抽查、执法 GPS 轨迹记录</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417ff9"/>
                <w:sz w:val="24"/>
                <w:szCs w:val="24"/>
                <w:highlight w:val="none"/>
                <w:u w:val="none"/>
                <w:lang w:val="en-US" w:eastAsia="zh-CN" w:bidi="ar"/>
              </w:rPr>
              <w:t xml:space="preserve">升级</w:t>
            </w:r>
            <w:r/>
          </w:p>
        </w:tc>
      </w:tr>
      <w:tr>
        <w:trPr/>
        <w:tc>
          <w:tcPr>
            <w:tcMar>
              <w:left w:w="120" w:type="dxa"/>
              <w:top w:w="60" w:type="dxa"/>
              <w:right w:w="120" w:type="dxa"/>
              <w:bottom w:w="30" w:type="dxa"/>
            </w:tcMar>
            <w:tcW w:w="480" w:type="dxa"/>
            <w:vAlign w:val="center"/>
            <w:textDirection w:val="lrTb"/>
            <w:noWrap w:val="false"/>
          </w:tcPr>
          <w:p>
            <w:pPr>
              <w:ind w:left="0" w:firstLine="0"/>
              <w:jc w:val="righ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Mar>
              <w:left w:w="120" w:type="dxa"/>
              <w:top w:w="60" w:type="dxa"/>
              <w:right w:w="120" w:type="dxa"/>
              <w:bottom w:w="30" w:type="dxa"/>
            </w:tcMar>
            <w:tcW w:w="838" w:type="dxa"/>
            <w:vAlign w:val="center"/>
            <w:vMerge w:val="continue"/>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Mar>
              <w:left w:w="120" w:type="dxa"/>
              <w:top w:w="60" w:type="dxa"/>
              <w:right w:w="120" w:type="dxa"/>
              <w:bottom w:w="30" w:type="dxa"/>
            </w:tcMar>
            <w:tcW w:w="102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网页后台管理系统子模块</w:t>
            </w:r>
            <w:r/>
          </w:p>
        </w:tc>
        <w:tc>
          <w:tcPr>
            <w:tcMar>
              <w:left w:w="120" w:type="dxa"/>
              <w:top w:w="60" w:type="dxa"/>
              <w:right w:w="120" w:type="dxa"/>
              <w:bottom w:w="30" w:type="dxa"/>
            </w:tcMar>
            <w:tcW w:w="1965"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权限管理、设备总览、联动处置、统计报表</w:t>
            </w:r>
            <w:r/>
          </w:p>
        </w:tc>
        <w:tc>
          <w:tcPr>
            <w:tcMar>
              <w:left w:w="120" w:type="dxa"/>
              <w:top w:w="60" w:type="dxa"/>
              <w:right w:w="120" w:type="dxa"/>
              <w:bottom w:w="30" w:type="dxa"/>
            </w:tcMar>
            <w:tcW w:w="3759" w:type="dxa"/>
            <w:vAlign w:val="center"/>
            <w:textDirection w:val="lrTb"/>
            <w:noWrap w:val="false"/>
          </w:tcPr>
          <w:p>
            <w:pPr>
              <w:ind w:left="0" w:firstLine="0"/>
              <w:jc w:val="left"/>
              <w:keepLines w:val="0"/>
              <w:keepNext w:val="0"/>
              <w:widowControl/>
              <w:rPr>
                <w:rFonts w:hint="eastAsia" w:ascii="仿宋" w:hAnsi="仿宋" w:eastAsia="仿宋" w:cs="仿宋"/>
                <w:color w:val="d83931"/>
                <w:sz w:val="24"/>
                <w:szCs w:val="24"/>
                <w:highlight w:val="none"/>
                <w:lang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多角色分级权限、全设备统一查看、全业务闭环处置、专项监管报表</w:t>
            </w:r>
            <w:r/>
          </w:p>
        </w:tc>
        <w:tc>
          <w:tcPr>
            <w:tcMar>
              <w:left w:w="120" w:type="dxa"/>
              <w:top w:w="60" w:type="dxa"/>
              <w:right w:w="120" w:type="dxa"/>
              <w:bottom w:w="30" w:type="dxa"/>
            </w:tcMar>
            <w:tcW w:w="480" w:type="dxa"/>
            <w:vAlign w:val="center"/>
            <w:textDirection w:val="lrTb"/>
            <w:noWrap w:val="false"/>
          </w:tcPr>
          <w:p>
            <w:pPr>
              <w:ind w:left="0" w:firstLine="0"/>
              <w:jc w:val="left"/>
              <w:keepLines w:val="0"/>
              <w:keepNext w:val="0"/>
              <w:widowControl/>
              <w:rPr>
                <w:rFonts w:hint="eastAsia" w:ascii="仿宋" w:hAnsi="仿宋" w:eastAsia="仿宋" w:cs="仿宋"/>
                <w:sz w:val="24"/>
                <w:szCs w:val="24"/>
                <w:highlight w:val="none"/>
                <w:lang w:eastAsia="zh-CN"/>
              </w:rPr>
              <w:suppressLineNumbers w:val="0"/>
            </w:pPr>
            <w:r>
              <w:rPr>
                <w:rFonts w:hint="eastAsia" w:ascii="仿宋" w:hAnsi="仿宋" w:eastAsia="仿宋" w:cs="仿宋"/>
                <w:i w:val="0"/>
                <w:iCs w:val="0"/>
                <w:color w:val="417ff9"/>
                <w:sz w:val="24"/>
                <w:szCs w:val="24"/>
                <w:highlight w:val="none"/>
                <w:u w:val="none"/>
                <w:lang w:val="en-US" w:eastAsia="zh-CN" w:bidi="ar"/>
              </w:rPr>
              <w:t xml:space="preserve">升级</w:t>
            </w:r>
            <w:r/>
          </w:p>
        </w:tc>
      </w:tr>
    </w:tbl>
    <w:p>
      <w:pPr>
        <w:pStyle w:val="855"/>
        <w:ind w:left="0" w:firstLine="560"/>
        <w:jc w:val="both"/>
        <w:pageBreakBefore w:val="0"/>
        <w:spacing w:before="0" w:after="0" w:line="500" w:lineRule="exact"/>
        <w:rPr>
          <w:rFonts w:hint="eastAsia" w:ascii="楷体" w:hAnsi="楷体" w:eastAsia="楷体" w:cs="楷体"/>
          <w:sz w:val="28"/>
          <w:szCs w:val="28"/>
          <w:highlight w:val="none"/>
          <w:lang w:val="en-US" w:eastAsia="zh-CN" w:bidi="ar-SA"/>
        </w:rPr>
      </w:pPr>
      <w:r/>
      <w:bookmarkStart w:id="201" w:name="_Toc29344"/>
      <w:r/>
      <w:bookmarkStart w:id="202" w:name="heading_15"/>
      <w:r>
        <w:rPr>
          <w:rFonts w:hint="eastAsia" w:ascii="楷体" w:hAnsi="楷体" w:eastAsia="楷体" w:cs="楷体"/>
          <w:sz w:val="28"/>
          <w:szCs w:val="28"/>
          <w:highlight w:val="none"/>
          <w:lang w:val="en-US" w:eastAsia="zh-CN" w:bidi="ar-SA"/>
        </w:rPr>
        <w:t xml:space="preserve">（三）</w:t>
      </w:r>
      <w:r>
        <w:rPr>
          <w:rFonts w:hint="eastAsia" w:ascii="Times New Roman" w:hAnsi="Times New Roman" w:eastAsia="楷体" w:cs="楷体"/>
          <w:sz w:val="28"/>
          <w:szCs w:val="28"/>
          <w:highlight w:val="none"/>
          <w:lang w:val="en-US" w:eastAsia="zh-CN" w:bidi="ar-SA"/>
        </w:rPr>
        <w:t xml:space="preserve">AI</w:t>
      </w:r>
      <w:r>
        <w:rPr>
          <w:rFonts w:hint="eastAsia" w:ascii="楷体" w:hAnsi="楷体" w:eastAsia="楷体" w:cs="楷体"/>
          <w:sz w:val="28"/>
          <w:szCs w:val="28"/>
          <w:highlight w:val="none"/>
          <w:lang w:val="en-US" w:eastAsia="zh-CN" w:bidi="ar-SA"/>
        </w:rPr>
        <w:t xml:space="preserve">算力说明</w:t>
      </w:r>
      <w:bookmarkEnd w:id="201"/>
      <w:r/>
      <w:bookmarkEnd w:id="202"/>
      <w:r/>
      <w:r/>
    </w:p>
    <w:p>
      <w:pPr>
        <w:ind w:left="0" w:firstLine="560"/>
        <w:jc w:val="left"/>
        <w:pageBreakBefore w:val="0"/>
        <w:spacing w:line="500" w:lineRule="exact"/>
        <w:rPr>
          <w:rFonts w:eastAsia="仿宋_GB2312"/>
          <w:sz w:val="28"/>
          <w:szCs w:val="28"/>
          <w:highlight w:val="none"/>
        </w:rPr>
      </w:pPr>
      <w:r>
        <w:rPr>
          <w:rFonts w:ascii="Arial" w:hAnsi="Arial" w:eastAsia="仿宋_GB2312" w:cs="Arial"/>
          <w:sz w:val="28"/>
          <w:szCs w:val="28"/>
          <w:highlight w:val="none"/>
        </w:rPr>
        <w:t xml:space="preserve">本平台</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功能模块包括：</w:t>
      </w:r>
      <w:r>
        <w:rPr>
          <w:rFonts w:hint="eastAsia" w:eastAsia="仿宋_GB2312" w:cs="Arial"/>
          <w:sz w:val="28"/>
          <w:szCs w:val="28"/>
          <w:highlight w:val="none"/>
          <w:lang w:val="en-US" w:eastAsia="zh-CN"/>
        </w:rPr>
        <w:t xml:space="preserve">智能预警</w:t>
      </w:r>
      <w:r>
        <w:rPr>
          <w:rFonts w:ascii="Arial" w:hAnsi="Arial" w:eastAsia="仿宋_GB2312" w:cs="Arial"/>
          <w:sz w:val="28"/>
          <w:szCs w:val="28"/>
          <w:highlight w:val="none"/>
        </w:rPr>
        <w:t xml:space="preserve">、</w:t>
      </w:r>
      <w:r>
        <w:rPr>
          <w:rFonts w:hint="eastAsia" w:eastAsia="仿宋_GB2312" w:cs="Arial"/>
          <w:sz w:val="28"/>
          <w:szCs w:val="28"/>
          <w:highlight w:val="none"/>
          <w:lang w:val="en-US" w:eastAsia="zh-CN"/>
        </w:rPr>
        <w:t xml:space="preserve">专家评估报告、月度安全分析报告、</w:t>
      </w:r>
      <w:r>
        <w:rPr>
          <w:rFonts w:ascii="Arial" w:hAnsi="Arial" w:eastAsia="仿宋_GB2312" w:cs="Arial"/>
          <w:sz w:val="28"/>
          <w:szCs w:val="28"/>
          <w:highlight w:val="none"/>
        </w:rPr>
        <w:t xml:space="preserve">语音转写、文本摘要</w:t>
      </w:r>
      <w:r>
        <w:rPr>
          <w:rFonts w:hint="eastAsia" w:eastAsia="仿宋_GB2312" w:cs="Arial"/>
          <w:sz w:val="28"/>
          <w:szCs w:val="28"/>
          <w:highlight w:val="none"/>
          <w:lang w:val="en-US" w:eastAsia="zh-CN"/>
        </w:rPr>
        <w:t xml:space="preserve">并生成决议</w:t>
      </w:r>
      <w:r>
        <w:rPr>
          <w:rFonts w:ascii="Arial" w:hAnsi="Arial" w:eastAsia="仿宋_GB2312" w:cs="Arial"/>
          <w:sz w:val="28"/>
          <w:szCs w:val="28"/>
          <w:highlight w:val="none"/>
        </w:rPr>
        <w:t xml:space="preserve">等。为保障</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功能稳定运行，需配置独立的</w:t>
      </w:r>
      <w:r>
        <w:rPr>
          <w:rFonts w:ascii="Times New Roman" w:hAnsi="Times New Roman" w:eastAsia="仿宋_GB2312" w:cs="Arial"/>
          <w:sz w:val="28"/>
          <w:szCs w:val="28"/>
          <w:highlight w:val="none"/>
        </w:rPr>
        <w:t xml:space="preserve">AI</w:t>
      </w:r>
      <w:r>
        <w:rPr>
          <w:rFonts w:ascii="Arial" w:hAnsi="Arial" w:eastAsia="仿宋_GB2312" w:cs="Arial"/>
          <w:sz w:val="28"/>
          <w:szCs w:val="28"/>
          <w:highlight w:val="none"/>
        </w:rPr>
        <w:t xml:space="preserve">算力资源：</w:t>
      </w:r>
      <w:r/>
    </w:p>
    <w:p>
      <w:pPr>
        <w:numPr>
          <w:ilvl w:val="0"/>
          <w:numId w:val="15"/>
        </w:numPr>
        <w:ind w:left="0" w:firstLine="562"/>
        <w:jc w:val="left"/>
        <w:pageBreakBefore w:val="0"/>
        <w:spacing w:line="500" w:lineRule="exact"/>
        <w:rPr>
          <w:rFonts w:eastAsia="仿宋_GB2312"/>
          <w:sz w:val="28"/>
          <w:szCs w:val="28"/>
          <w:highlight w:val="none"/>
        </w:rPr>
      </w:pPr>
      <w:r>
        <w:rPr>
          <w:rFonts w:ascii="Arial" w:hAnsi="Arial" w:eastAsia="仿宋_GB2312" w:cs="Arial"/>
          <w:b/>
          <w:sz w:val="28"/>
          <w:szCs w:val="28"/>
          <w:highlight w:val="none"/>
        </w:rPr>
        <w:t xml:space="preserve">算力规格：</w:t>
      </w:r>
      <w:r>
        <w:rPr>
          <w:rFonts w:ascii="Times New Roman" w:hAnsi="Times New Roman" w:eastAsia="仿宋_GB2312" w:cs="Arial"/>
          <w:sz w:val="28"/>
          <w:szCs w:val="28"/>
          <w:highlight w:val="none"/>
        </w:rPr>
        <w:t xml:space="preserve">FP</w:t>
      </w:r>
      <w:r>
        <w:rPr>
          <w:rFonts w:ascii="Arial" w:hAnsi="Arial" w:eastAsia="仿宋_GB2312" w:cs="Arial"/>
          <w:sz w:val="28"/>
          <w:szCs w:val="28"/>
          <w:highlight w:val="none"/>
        </w:rPr>
        <w:t xml:space="preserve">16精度算力卡，满足深度学习模型推理需求</w:t>
      </w:r>
      <w:r/>
    </w:p>
    <w:p>
      <w:pPr>
        <w:numPr>
          <w:ilvl w:val="0"/>
          <w:numId w:val="16"/>
        </w:numPr>
        <w:ind w:left="0" w:firstLine="562"/>
        <w:jc w:val="left"/>
        <w:pageBreakBefore w:val="0"/>
        <w:spacing w:line="500" w:lineRule="exact"/>
        <w:rPr>
          <w:rFonts w:eastAsia="仿宋_GB2312"/>
          <w:sz w:val="28"/>
          <w:szCs w:val="28"/>
          <w:highlight w:val="none"/>
        </w:rPr>
      </w:pPr>
      <w:r>
        <w:rPr>
          <w:rFonts w:ascii="Arial" w:hAnsi="Arial" w:eastAsia="仿宋_GB2312" w:cs="Arial"/>
          <w:b/>
          <w:sz w:val="28"/>
          <w:szCs w:val="28"/>
          <w:highlight w:val="none"/>
        </w:rPr>
        <w:t xml:space="preserve">算力规模：</w:t>
      </w:r>
      <w:r>
        <w:rPr>
          <w:rFonts w:ascii="Arial" w:hAnsi="Arial" w:eastAsia="仿宋_GB2312" w:cs="Arial"/>
          <w:sz w:val="28"/>
          <w:szCs w:val="28"/>
          <w:highlight w:val="none"/>
        </w:rPr>
        <w:t xml:space="preserve">1卡，支持并发处理多路视频流分析与语音识别任务</w:t>
      </w:r>
      <w:r/>
    </w:p>
    <w:p>
      <w:pPr>
        <w:numPr>
          <w:ilvl w:val="0"/>
          <w:numId w:val="17"/>
        </w:numPr>
        <w:ind w:left="0" w:firstLine="562"/>
        <w:jc w:val="left"/>
        <w:pageBreakBefore w:val="0"/>
        <w:spacing w:line="500" w:lineRule="exact"/>
        <w:rPr>
          <w:rFonts w:eastAsia="仿宋_GB2312"/>
          <w:sz w:val="28"/>
          <w:szCs w:val="28"/>
          <w:highlight w:val="none"/>
        </w:rPr>
      </w:pPr>
      <w:r>
        <w:rPr>
          <w:rFonts w:ascii="Arial" w:hAnsi="Arial" w:eastAsia="仿宋_GB2312" w:cs="Arial"/>
          <w:b/>
          <w:sz w:val="28"/>
          <w:szCs w:val="28"/>
          <w:highlight w:val="none"/>
        </w:rPr>
        <w:t xml:space="preserve">部署方式：</w:t>
      </w:r>
      <w:r>
        <w:rPr>
          <w:rFonts w:ascii="Arial" w:hAnsi="Arial" w:eastAsia="仿宋_GB2312" w:cs="Arial"/>
          <w:sz w:val="28"/>
          <w:szCs w:val="28"/>
          <w:highlight w:val="none"/>
        </w:rPr>
        <w:t xml:space="preserve">算力资源通过政务云租赁方式获取，按需弹性扩容</w:t>
      </w:r>
      <w:r/>
    </w:p>
    <w:p>
      <w:pPr>
        <w:pStyle w:val="855"/>
        <w:ind w:left="0" w:firstLine="560"/>
        <w:jc w:val="both"/>
        <w:pageBreakBefore w:val="0"/>
        <w:spacing w:before="0" w:after="0" w:line="500" w:lineRule="exact"/>
        <w:rPr>
          <w:rFonts w:hint="eastAsia" w:ascii="楷体" w:hAnsi="楷体" w:eastAsia="楷体" w:cs="楷体"/>
          <w:sz w:val="28"/>
          <w:szCs w:val="28"/>
          <w:highlight w:val="none"/>
          <w:lang w:val="en-US" w:eastAsia="zh-CN" w:bidi="ar-SA"/>
        </w:rPr>
      </w:pPr>
      <w:r/>
      <w:bookmarkStart w:id="203" w:name="heading_16"/>
      <w:r/>
      <w:bookmarkStart w:id="204" w:name="_Toc22772"/>
      <w:r>
        <w:rPr>
          <w:rFonts w:hint="eastAsia" w:ascii="楷体" w:hAnsi="楷体" w:eastAsia="楷体" w:cs="楷体"/>
          <w:sz w:val="28"/>
          <w:szCs w:val="28"/>
          <w:highlight w:val="none"/>
          <w:lang w:val="en-US" w:eastAsia="zh-CN" w:bidi="ar-SA"/>
        </w:rPr>
        <w:t xml:space="preserve">（四）</w:t>
      </w:r>
      <w:bookmarkEnd w:id="203"/>
      <w:r>
        <w:rPr>
          <w:rFonts w:hint="eastAsia" w:ascii="楷体" w:hAnsi="楷体" w:eastAsia="楷体" w:cs="楷体"/>
          <w:sz w:val="28"/>
          <w:szCs w:val="28"/>
          <w:highlight w:val="none"/>
          <w:lang w:val="en-US" w:eastAsia="zh-CN" w:bidi="ar-SA"/>
        </w:rPr>
        <w:t xml:space="preserve">数据供需</w:t>
      </w:r>
      <w:bookmarkEnd w:id="204"/>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05" w:name="heading_17"/>
      <w:r/>
      <w:bookmarkStart w:id="206" w:name="_Toc30846"/>
      <w:r>
        <w:rPr>
          <w:rFonts w:hint="eastAsia" w:ascii="仿宋_GB2312" w:hAnsi="仿宋_GB2312" w:eastAsia="仿宋_GB2312" w:cs="仿宋_GB2312"/>
          <w:color w:val="auto"/>
          <w:sz w:val="28"/>
          <w:szCs w:val="28"/>
          <w:highlight w:val="none"/>
          <w:lang w:val="en-US" w:eastAsia="zh-CN"/>
        </w:rPr>
        <w:t xml:space="preserve">平台输出标准化数据接口，生成的数据可接入泰州市公共数据平台及信创园。数据对接：需与一期开发的平台及相关数据对接。</w:t>
      </w:r>
      <w:r/>
    </w:p>
    <w:p>
      <w:pPr>
        <w:pStyle w:val="855"/>
        <w:ind w:left="0" w:firstLine="560"/>
        <w:jc w:val="both"/>
        <w:pageBreakBefore w:val="0"/>
        <w:spacing w:before="0" w:after="0" w:line="500" w:lineRule="exact"/>
        <w:rPr>
          <w:rFonts w:hint="eastAsia" w:ascii="楷体" w:hAnsi="楷体" w:eastAsia="楷体" w:cs="楷体"/>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（五）</w:t>
      </w:r>
      <w:bookmarkEnd w:id="205"/>
      <w:r/>
      <w:bookmarkStart w:id="207" w:name="heading_18"/>
      <w:r>
        <w:rPr>
          <w:rFonts w:hint="eastAsia" w:ascii="楷体" w:hAnsi="楷体" w:eastAsia="楷体" w:cs="楷体"/>
          <w:sz w:val="28"/>
          <w:szCs w:val="28"/>
          <w:highlight w:val="none"/>
          <w:lang w:val="en-US" w:eastAsia="zh-CN" w:bidi="ar-SA"/>
        </w:rPr>
        <w:t xml:space="preserve">信息安全</w:t>
      </w:r>
      <w:bookmarkEnd w:id="206"/>
      <w:r/>
      <w:bookmarkEnd w:id="207"/>
      <w:r/>
      <w:r/>
    </w:p>
    <w:p>
      <w:pPr>
        <w:ind w:left="0" w:firstLine="560"/>
        <w:jc w:val="left"/>
        <w:pageBreakBefore w:val="0"/>
        <w:spacing w:line="500" w:lineRule="exact"/>
        <w:rPr>
          <w:rFonts w:eastAsia="仿宋_GB2312"/>
          <w:sz w:val="28"/>
          <w:szCs w:val="28"/>
          <w:highlight w:val="none"/>
        </w:rPr>
      </w:pPr>
      <w:r>
        <w:rPr>
          <w:rFonts w:ascii="Arial" w:hAnsi="Arial" w:eastAsia="仿宋_GB2312" w:cs="Arial"/>
          <w:sz w:val="28"/>
          <w:szCs w:val="28"/>
          <w:highlight w:val="none"/>
        </w:rPr>
        <w:t xml:space="preserve">本项目部署于政务云，服务器安全以政务云提供的基础信息安全技术服务为主。本信息系统安全按等保二级要求进行方案规划建设。</w:t>
      </w:r>
      <w:r/>
    </w:p>
    <w:p>
      <w:pPr>
        <w:ind w:firstLine="560"/>
        <w:keepLines w:val="0"/>
        <w:keepNext w:val="0"/>
        <w:pageBreakBefore w:val="0"/>
        <w:spacing w:line="500" w:lineRule="exact"/>
        <w:rPr>
          <w:rFonts w:hint="eastAsia" w:ascii="黑体" w:hAnsi="黑体" w:eastAsia="黑体" w:cs="黑体"/>
          <w:color w:val="auto"/>
          <w:sz w:val="28"/>
          <w:szCs w:val="28"/>
          <w:highlight w:val="none"/>
          <w:lang w:val="en-US" w:eastAsia="zh-CN"/>
        </w:rPr>
        <w:outlineLvl w:val="1"/>
      </w:pPr>
      <w:r/>
      <w:bookmarkStart w:id="208" w:name="_Toc28989"/>
      <w:r/>
      <w:bookmarkStart w:id="209" w:name="heading_19"/>
      <w:r>
        <w:rPr>
          <w:rFonts w:hint="eastAsia" w:ascii="黑体" w:hAnsi="黑体" w:eastAsia="黑体" w:cs="黑体"/>
          <w:color w:val="auto"/>
          <w:sz w:val="28"/>
          <w:szCs w:val="28"/>
          <w:highlight w:val="none"/>
          <w:lang w:val="en-US" w:eastAsia="zh-CN"/>
        </w:rPr>
        <w:t xml:space="preserve">六、收编设备清单</w:t>
      </w:r>
      <w:bookmarkEnd w:id="208"/>
      <w:r/>
      <w:bookmarkEnd w:id="209"/>
      <w:r/>
      <w:r/>
    </w:p>
    <w:tbl>
      <w:tblPr>
        <w:tblStyle w:val="864"/>
        <w:tblW w:w="0" w:type="auto"/>
        <w:jc w:val="center"/>
        <w:tblBorders>
          <w:top w:val="single" w:color="82A7FC" w:sz="0" w:space="0"/>
          <w:left w:val="single" w:color="82A7FC" w:sz="0" w:space="0"/>
          <w:bottom w:val="single" w:color="82A7FC" w:sz="0" w:space="0"/>
          <w:right w:val="single" w:color="82A7FC" w:sz="0" w:space="0"/>
          <w:insideH w:val="single" w:color="82A7FC" w:sz="0" w:space="0"/>
          <w:insideV w:val="single" w:color="82A7FC" w:sz="0" w:space="0"/>
        </w:tblBorders>
        <w:tblLayout w:type="fixed"/>
        <w:tblCellMar>
          <w:left w:w="10" w:type="dxa"/>
          <w:top w:w="0" w:type="dxa"/>
          <w:right w:w="10" w:type="dxa"/>
          <w:bottom w:w="0" w:type="dxa"/>
        </w:tblCellMar>
        <w:tblLook w:val="04A0" w:firstRow="1" w:lastRow="0" w:firstColumn="1" w:lastColumn="0" w:noHBand="0" w:noVBand="1"/>
      </w:tblPr>
      <w:tblGrid>
        <w:gridCol w:w="9126"/>
      </w:tblGrid>
      <w:tr>
        <w:trPr>
          <w:jc w:val="center"/>
        </w:trPr>
        <w:tc>
          <w:tcPr>
            <w:shd w:val="clear" w:color="auto" w:fill="f0f4ff"/>
            <w:tcMar>
              <w:left w:w="120" w:type="dxa"/>
              <w:top w:w="60" w:type="dxa"/>
              <w:right w:w="120" w:type="dxa"/>
              <w:bottom w:w="30" w:type="dxa"/>
            </w:tcMar>
            <w:tcW w:w="9126" w:type="dxa"/>
            <w:textDirection w:val="lrTb"/>
            <w:noWrap w:val="false"/>
          </w:tcPr>
          <w:p>
            <w:pPr>
              <w:ind w:left="0"/>
              <w:jc w:val="left"/>
              <w:spacing w:before="120" w:after="120" w:line="288" w:lineRule="auto"/>
              <w:rPr>
                <w:highlight w:val="none"/>
              </w:rPr>
            </w:pPr>
            <w:r>
              <w:rPr>
                <w:rFonts w:ascii="Arial" w:hAnsi="Arial" w:eastAsia="仿宋_GB2312" w:cs="Arial"/>
                <w:b/>
                <w:bCs/>
                <w:sz w:val="28"/>
                <w:highlight w:val="none"/>
              </w:rPr>
              <w:t xml:space="preserve">说明：</w:t>
            </w:r>
            <w:r>
              <w:rPr>
                <w:rFonts w:ascii="Arial" w:hAnsi="Arial" w:eastAsia="仿宋_GB2312" w:cs="Arial"/>
                <w:sz w:val="28"/>
                <w:highlight w:val="none"/>
              </w:rPr>
              <w:t xml:space="preserve">本项目为纯软件开发项目，方案中涉及的所有设备均为收编现有设备，不新增硬件设备采购。以下设备均为开发区现有或其他项目已采购设备，本项目仅负责接入各设备自有后台，实现设备画面显示和数据汇总分析；设备的远程控制、调度操作、</w:t>
            </w:r>
            <w:r>
              <w:rPr>
                <w:rFonts w:ascii="Times New Roman" w:hAnsi="Times New Roman" w:eastAsia="仿宋_GB2312" w:cs="Arial"/>
                <w:sz w:val="28"/>
                <w:highlight w:val="none"/>
              </w:rPr>
              <w:t xml:space="preserve">AI</w:t>
            </w:r>
            <w:r>
              <w:rPr>
                <w:rFonts w:ascii="Arial" w:hAnsi="Arial" w:eastAsia="仿宋_GB2312" w:cs="Arial"/>
                <w:sz w:val="28"/>
                <w:highlight w:val="none"/>
              </w:rPr>
              <w:t xml:space="preserve">违规识别、智能分析等功能均由各设备自有后台完成，本平台仅调取展示最终结果。</w:t>
            </w:r>
            <w:r/>
          </w:p>
        </w:tc>
      </w:tr>
    </w:tbl>
    <w:p>
      <w:pPr>
        <w:rPr>
          <w:highlight w:val="none"/>
        </w:rPr>
      </w:pPr>
      <w:r>
        <w:rPr>
          <w:highlight w:val="none"/>
        </w:rPr>
      </w:r>
      <w:r/>
    </w:p>
    <w:tbl>
      <w:tblPr>
        <w:tblStyle w:val="864"/>
        <w:tblW w:w="4998"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 w:type="dxa"/>
          <w:top w:w="0" w:type="dxa"/>
          <w:right w:w="10" w:type="dxa"/>
          <w:bottom w:w="0" w:type="dxa"/>
        </w:tblCellMar>
        <w:tblLook w:val="04A0" w:firstRow="1" w:lastRow="0" w:firstColumn="1" w:lastColumn="0" w:noHBand="0" w:noVBand="1"/>
      </w:tblPr>
      <w:tblGrid>
        <w:gridCol w:w="569"/>
        <w:gridCol w:w="1012"/>
        <w:gridCol w:w="844"/>
        <w:gridCol w:w="656"/>
        <w:gridCol w:w="2498"/>
        <w:gridCol w:w="1235"/>
        <w:gridCol w:w="1615"/>
        <w:gridCol w:w="879"/>
      </w:tblGrid>
      <w:tr>
        <w:trPr>
          <w:trHeight w:val="867"/>
        </w:trPr>
        <w:tc>
          <w:tcPr>
            <w:tcMar>
              <w:left w:w="120" w:type="dxa"/>
              <w:top w:w="60" w:type="dxa"/>
              <w:right w:w="120" w:type="dxa"/>
              <w:bottom w:w="30" w:type="dxa"/>
            </w:tcMar>
            <w:tcW w:w="306"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序号</w:t>
            </w:r>
            <w:r/>
          </w:p>
        </w:tc>
        <w:tc>
          <w:tcPr>
            <w:tcMar>
              <w:left w:w="120" w:type="dxa"/>
              <w:top w:w="60" w:type="dxa"/>
              <w:right w:w="120" w:type="dxa"/>
              <w:bottom w:w="30" w:type="dxa"/>
            </w:tcMar>
            <w:tcW w:w="54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设备名称</w:t>
            </w:r>
            <w:r/>
          </w:p>
        </w:tc>
        <w:tc>
          <w:tcPr>
            <w:tcMar>
              <w:left w:w="120" w:type="dxa"/>
              <w:top w:w="60" w:type="dxa"/>
              <w:right w:w="120" w:type="dxa"/>
              <w:bottom w:w="30" w:type="dxa"/>
            </w:tcMar>
            <w:tcW w:w="45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数量</w:t>
            </w:r>
            <w:r/>
          </w:p>
        </w:tc>
        <w:tc>
          <w:tcPr>
            <w:tcMar>
              <w:left w:w="120" w:type="dxa"/>
              <w:top w:w="60" w:type="dxa"/>
              <w:right w:w="120" w:type="dxa"/>
              <w:bottom w:w="30" w:type="dxa"/>
            </w:tcMar>
            <w:tcW w:w="35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单位</w:t>
            </w:r>
            <w:r/>
          </w:p>
        </w:tc>
        <w:tc>
          <w:tcPr>
            <w:tcMar>
              <w:left w:w="120" w:type="dxa"/>
              <w:top w:w="60" w:type="dxa"/>
              <w:right w:w="120" w:type="dxa"/>
              <w:bottom w:w="30" w:type="dxa"/>
            </w:tcMar>
            <w:tcW w:w="1341"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规格参数</w:t>
            </w:r>
            <w:r/>
          </w:p>
        </w:tc>
        <w:tc>
          <w:tcPr>
            <w:tcMar>
              <w:left w:w="120" w:type="dxa"/>
              <w:top w:w="60" w:type="dxa"/>
              <w:right w:w="120" w:type="dxa"/>
              <w:bottom w:w="30" w:type="dxa"/>
            </w:tcMar>
            <w:tcW w:w="66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设备来源</w:t>
            </w:r>
            <w:r/>
          </w:p>
        </w:tc>
        <w:tc>
          <w:tcPr>
            <w:tcMar>
              <w:left w:w="120" w:type="dxa"/>
              <w:top w:w="60" w:type="dxa"/>
              <w:right w:w="120" w:type="dxa"/>
              <w:bottom w:w="30" w:type="dxa"/>
            </w:tcMar>
            <w:tcW w:w="867"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具体点位</w:t>
            </w:r>
            <w:r/>
          </w:p>
        </w:tc>
        <w:tc>
          <w:tcPr>
            <w:tcMar>
              <w:left w:w="120" w:type="dxa"/>
              <w:top w:w="60" w:type="dxa"/>
              <w:right w:w="120" w:type="dxa"/>
              <w:bottom w:w="30" w:type="dxa"/>
            </w:tcMar>
            <w:tcW w:w="47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4"/>
                <w:szCs w:val="21"/>
                <w:highlight w:val="none"/>
              </w:rPr>
              <w:t xml:space="preserve">备注</w:t>
            </w:r>
            <w:r/>
          </w:p>
        </w:tc>
      </w:tr>
      <w:tr>
        <w:trPr/>
        <w:tc>
          <w:tcPr>
            <w:tcMar>
              <w:left w:w="120" w:type="dxa"/>
              <w:top w:w="60" w:type="dxa"/>
              <w:right w:w="120" w:type="dxa"/>
              <w:bottom w:w="30" w:type="dxa"/>
            </w:tcMar>
            <w:tcW w:w="306"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20" w:type="dxa"/>
              <w:top w:w="60" w:type="dxa"/>
              <w:right w:w="120" w:type="dxa"/>
              <w:bottom w:w="30" w:type="dxa"/>
            </w:tcMar>
            <w:tcW w:w="54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布控球</w:t>
            </w:r>
            <w:r/>
          </w:p>
        </w:tc>
        <w:tc>
          <w:tcPr>
            <w:tcMar>
              <w:left w:w="120" w:type="dxa"/>
              <w:top w:w="60" w:type="dxa"/>
              <w:right w:w="120" w:type="dxa"/>
              <w:bottom w:w="30" w:type="dxa"/>
            </w:tcMar>
            <w:tcW w:w="45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p>
        </w:tc>
        <w:tc>
          <w:tcPr>
            <w:tcMar>
              <w:left w:w="120" w:type="dxa"/>
              <w:top w:w="60" w:type="dxa"/>
              <w:right w:w="120" w:type="dxa"/>
              <w:bottom w:w="30" w:type="dxa"/>
            </w:tcMar>
            <w:tcW w:w="35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Mar>
              <w:left w:w="120" w:type="dxa"/>
              <w:top w:w="60" w:type="dxa"/>
              <w:right w:w="120" w:type="dxa"/>
              <w:bottom w:w="30" w:type="dxa"/>
            </w:tcMar>
            <w:tcW w:w="1341"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Times New Roman" w:hAnsi="Times New Roman" w:eastAsia="仿宋" w:cs="仿宋"/>
                <w:sz w:val="24"/>
                <w:szCs w:val="24"/>
                <w:highlight w:val="none"/>
              </w:rPr>
              <w:t xml:space="preserve">G</w:t>
            </w:r>
            <w:r>
              <w:rPr>
                <w:rFonts w:hint="eastAsia" w:ascii="仿宋" w:hAnsi="仿宋" w:eastAsia="仿宋" w:cs="仿宋"/>
                <w:sz w:val="24"/>
                <w:szCs w:val="24"/>
                <w:highlight w:val="none"/>
              </w:rPr>
              <w:t xml:space="preserve">/5</w:t>
            </w:r>
            <w:r>
              <w:rPr>
                <w:rFonts w:hint="eastAsia" w:ascii="Times New Roman" w:hAnsi="Times New Roman" w:eastAsia="仿宋" w:cs="仿宋"/>
                <w:sz w:val="24"/>
                <w:szCs w:val="24"/>
                <w:highlight w:val="none"/>
              </w:rPr>
              <w:t xml:space="preserve">G</w:t>
            </w:r>
            <w:r>
              <w:rPr>
                <w:rFonts w:hint="eastAsia" w:ascii="仿宋" w:hAnsi="仿宋" w:eastAsia="仿宋" w:cs="仿宋"/>
                <w:sz w:val="24"/>
                <w:szCs w:val="24"/>
                <w:highlight w:val="none"/>
              </w:rPr>
              <w:t xml:space="preserve">无线传输，1080</w:t>
            </w:r>
            <w:r>
              <w:rPr>
                <w:rFonts w:hint="eastAsia" w:ascii="Times New Roman" w:hAnsi="Times New Roman" w:eastAsia="仿宋" w:cs="仿宋"/>
                <w:sz w:val="24"/>
                <w:szCs w:val="24"/>
                <w:highlight w:val="none"/>
              </w:rPr>
              <w:t xml:space="preserve">P</w:t>
            </w:r>
            <w:r>
              <w:rPr>
                <w:rFonts w:hint="eastAsia" w:ascii="仿宋" w:hAnsi="仿宋" w:eastAsia="仿宋" w:cs="仿宋"/>
                <w:sz w:val="24"/>
                <w:szCs w:val="24"/>
                <w:highlight w:val="none"/>
              </w:rPr>
              <w:t xml:space="preserve">高清，支持双向语音，续航≥8小时，视频留存≥30天</w:t>
            </w:r>
            <w:r/>
          </w:p>
        </w:tc>
        <w:tc>
          <w:tcPr>
            <w:tcMar>
              <w:left w:w="120" w:type="dxa"/>
              <w:top w:w="60" w:type="dxa"/>
              <w:right w:w="120" w:type="dxa"/>
              <w:bottom w:w="30" w:type="dxa"/>
            </w:tcMar>
            <w:tcW w:w="66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开发区</w:t>
            </w:r>
            <w:r>
              <w:rPr>
                <w:rFonts w:hint="eastAsia" w:ascii="仿宋" w:hAnsi="仿宋" w:eastAsia="仿宋" w:cs="仿宋"/>
                <w:sz w:val="24"/>
                <w:szCs w:val="24"/>
                <w:highlight w:val="none"/>
                <w:lang w:val="en-US" w:eastAsia="zh-CN"/>
              </w:rPr>
              <w:t xml:space="preserve">安监局</w:t>
            </w:r>
            <w:r>
              <w:rPr>
                <w:rFonts w:hint="eastAsia" w:ascii="仿宋" w:hAnsi="仿宋" w:eastAsia="仿宋" w:cs="仿宋"/>
                <w:sz w:val="24"/>
                <w:szCs w:val="24"/>
                <w:highlight w:val="none"/>
              </w:rPr>
              <w:t xml:space="preserve">现有设备</w:t>
            </w:r>
            <w:r/>
          </w:p>
        </w:tc>
        <w:tc>
          <w:tcPr>
            <w:tcMar>
              <w:left w:w="120" w:type="dxa"/>
              <w:top w:w="60" w:type="dxa"/>
              <w:right w:w="120" w:type="dxa"/>
              <w:bottom w:w="30" w:type="dxa"/>
            </w:tcMar>
            <w:tcW w:w="867"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高危动火作业现场、高处作业现场、重点企业厂区</w:t>
            </w:r>
            <w:r/>
          </w:p>
        </w:tc>
        <w:tc>
          <w:tcPr>
            <w:tcMar>
              <w:left w:w="120" w:type="dxa"/>
              <w:top w:w="60" w:type="dxa"/>
              <w:right w:w="120" w:type="dxa"/>
              <w:bottom w:w="30" w:type="dxa"/>
            </w:tcMar>
            <w:tcW w:w="472" w:type="pct"/>
            <w:vAlign w:val="center"/>
            <w:vMerge w:val="restart"/>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可用于本项目，接入平台实时查看</w:t>
            </w:r>
            <w:r/>
          </w:p>
        </w:tc>
      </w:tr>
      <w:tr>
        <w:trPr/>
        <w:tc>
          <w:tcPr>
            <w:tcMar>
              <w:left w:w="120" w:type="dxa"/>
              <w:top w:w="60" w:type="dxa"/>
              <w:right w:w="120" w:type="dxa"/>
              <w:bottom w:w="30" w:type="dxa"/>
            </w:tcMar>
            <w:tcW w:w="306"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20" w:type="dxa"/>
              <w:top w:w="60" w:type="dxa"/>
              <w:right w:w="120" w:type="dxa"/>
              <w:bottom w:w="30" w:type="dxa"/>
            </w:tcMar>
            <w:tcW w:w="54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无人机</w:t>
            </w:r>
            <w:r/>
          </w:p>
        </w:tc>
        <w:tc>
          <w:tcPr>
            <w:tcMar>
              <w:left w:w="120" w:type="dxa"/>
              <w:top w:w="60" w:type="dxa"/>
              <w:right w:w="120" w:type="dxa"/>
              <w:bottom w:w="30" w:type="dxa"/>
            </w:tcMar>
            <w:tcW w:w="45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20" w:type="dxa"/>
              <w:top w:w="60" w:type="dxa"/>
              <w:right w:w="120" w:type="dxa"/>
              <w:bottom w:w="30" w:type="dxa"/>
            </w:tcMar>
            <w:tcW w:w="35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架</w:t>
            </w:r>
            <w:r/>
          </w:p>
        </w:tc>
        <w:tc>
          <w:tcPr>
            <w:tcMar>
              <w:left w:w="120" w:type="dxa"/>
              <w:top w:w="60" w:type="dxa"/>
              <w:right w:w="120" w:type="dxa"/>
              <w:bottom w:w="30" w:type="dxa"/>
            </w:tcMar>
            <w:tcW w:w="1341"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Times New Roman" w:hAnsi="Times New Roman" w:eastAsia="仿宋" w:cs="仿宋"/>
                <w:sz w:val="24"/>
                <w:szCs w:val="24"/>
                <w:highlight w:val="none"/>
              </w:rPr>
              <w:t xml:space="preserve">K</w:t>
            </w:r>
            <w:r>
              <w:rPr>
                <w:rFonts w:hint="eastAsia" w:ascii="仿宋" w:hAnsi="仿宋" w:eastAsia="仿宋" w:cs="仿宋"/>
                <w:sz w:val="24"/>
                <w:szCs w:val="24"/>
                <w:highlight w:val="none"/>
              </w:rPr>
              <w:t xml:space="preserve">高清摄像头，续航≥30分钟，支持航线规划，实时图传</w:t>
            </w:r>
            <w:r/>
          </w:p>
        </w:tc>
        <w:tc>
          <w:tcPr>
            <w:tcMar>
              <w:left w:w="120" w:type="dxa"/>
              <w:top w:w="60" w:type="dxa"/>
              <w:right w:w="120" w:type="dxa"/>
              <w:bottom w:w="30" w:type="dxa"/>
            </w:tcMar>
            <w:tcW w:w="66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开发区</w:t>
            </w:r>
            <w:r>
              <w:rPr>
                <w:rFonts w:hint="eastAsia" w:ascii="仿宋" w:hAnsi="仿宋" w:eastAsia="仿宋" w:cs="仿宋"/>
                <w:sz w:val="24"/>
                <w:szCs w:val="24"/>
                <w:highlight w:val="none"/>
                <w:lang w:val="en-US" w:eastAsia="zh-CN"/>
              </w:rPr>
              <w:t xml:space="preserve">管委会</w:t>
            </w:r>
            <w:r>
              <w:rPr>
                <w:rFonts w:hint="eastAsia" w:ascii="仿宋" w:hAnsi="仿宋" w:eastAsia="仿宋" w:cs="仿宋"/>
                <w:sz w:val="24"/>
                <w:szCs w:val="24"/>
                <w:highlight w:val="none"/>
              </w:rPr>
              <w:t xml:space="preserve">现有设备</w:t>
            </w:r>
            <w:r/>
          </w:p>
        </w:tc>
        <w:tc>
          <w:tcPr>
            <w:tcMar>
              <w:left w:w="120" w:type="dxa"/>
              <w:top w:w="60" w:type="dxa"/>
              <w:right w:w="120" w:type="dxa"/>
              <w:bottom w:w="30" w:type="dxa"/>
            </w:tcMar>
            <w:tcW w:w="867"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开发区全域巡查、重点区域空中巡查</w:t>
            </w:r>
            <w:r/>
          </w:p>
        </w:tc>
        <w:tc>
          <w:tcPr>
            <w:tcMar>
              <w:left w:w="120" w:type="dxa"/>
              <w:top w:w="60" w:type="dxa"/>
              <w:right w:w="120" w:type="dxa"/>
              <w:bottom w:w="30" w:type="dxa"/>
            </w:tcMar>
            <w:tcW w:w="472" w:type="pct"/>
            <w:vAlign w:val="center"/>
            <w:vMerge w:val="continue"/>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Mar>
              <w:left w:w="120" w:type="dxa"/>
              <w:top w:w="60" w:type="dxa"/>
              <w:right w:w="120" w:type="dxa"/>
              <w:bottom w:w="30" w:type="dxa"/>
            </w:tcMar>
            <w:tcW w:w="306"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20" w:type="dxa"/>
              <w:top w:w="60" w:type="dxa"/>
              <w:right w:w="120" w:type="dxa"/>
              <w:bottom w:w="30" w:type="dxa"/>
            </w:tcMar>
            <w:tcW w:w="54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执法记录仪</w:t>
            </w:r>
            <w:r/>
          </w:p>
        </w:tc>
        <w:tc>
          <w:tcPr>
            <w:tcMar>
              <w:left w:w="120" w:type="dxa"/>
              <w:top w:w="60" w:type="dxa"/>
              <w:right w:w="120" w:type="dxa"/>
              <w:bottom w:w="30" w:type="dxa"/>
            </w:tcMar>
            <w:tcW w:w="45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p>
        </w:tc>
        <w:tc>
          <w:tcPr>
            <w:tcMar>
              <w:left w:w="120" w:type="dxa"/>
              <w:top w:w="60" w:type="dxa"/>
              <w:right w:w="120" w:type="dxa"/>
              <w:bottom w:w="30" w:type="dxa"/>
            </w:tcMar>
            <w:tcW w:w="35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Mar>
              <w:left w:w="120" w:type="dxa"/>
              <w:top w:w="60" w:type="dxa"/>
              <w:right w:w="120" w:type="dxa"/>
              <w:bottom w:w="30" w:type="dxa"/>
            </w:tcMar>
            <w:tcW w:w="1341"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1080</w:t>
            </w:r>
            <w:r>
              <w:rPr>
                <w:rFonts w:hint="eastAsia" w:ascii="Times New Roman" w:hAnsi="Times New Roman" w:eastAsia="仿宋" w:cs="仿宋"/>
                <w:sz w:val="24"/>
                <w:szCs w:val="24"/>
                <w:highlight w:val="none"/>
              </w:rPr>
              <w:t xml:space="preserve">P</w:t>
            </w:r>
            <w:r>
              <w:rPr>
                <w:rFonts w:hint="eastAsia" w:ascii="仿宋" w:hAnsi="仿宋" w:eastAsia="仿宋" w:cs="仿宋"/>
                <w:sz w:val="24"/>
                <w:szCs w:val="24"/>
                <w:highlight w:val="none"/>
              </w:rPr>
              <w:t xml:space="preserve">高清录制，支持</w:t>
            </w:r>
            <w:r>
              <w:rPr>
                <w:rFonts w:hint="eastAsia" w:ascii="Times New Roman" w:hAnsi="Times New Roman" w:eastAsia="仿宋" w:cs="仿宋"/>
                <w:sz w:val="24"/>
                <w:szCs w:val="24"/>
                <w:highlight w:val="none"/>
              </w:rPr>
              <w:t xml:space="preserve">GPS</w:t>
            </w:r>
            <w:r>
              <w:rPr>
                <w:rFonts w:hint="eastAsia" w:ascii="仿宋" w:hAnsi="仿宋" w:eastAsia="仿宋" w:cs="仿宋"/>
                <w:sz w:val="24"/>
                <w:szCs w:val="24"/>
                <w:highlight w:val="none"/>
              </w:rPr>
              <w:t xml:space="preserve">定位，夜视功能，续航≥8小时</w:t>
            </w:r>
            <w:r/>
          </w:p>
        </w:tc>
        <w:tc>
          <w:tcPr>
            <w:tcMar>
              <w:left w:w="120" w:type="dxa"/>
              <w:top w:w="60" w:type="dxa"/>
              <w:right w:w="120" w:type="dxa"/>
              <w:bottom w:w="30" w:type="dxa"/>
            </w:tcMar>
            <w:tcW w:w="66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开发区</w:t>
            </w:r>
            <w:r>
              <w:rPr>
                <w:rFonts w:hint="eastAsia" w:ascii="仿宋" w:hAnsi="仿宋" w:eastAsia="仿宋" w:cs="仿宋"/>
                <w:sz w:val="24"/>
                <w:szCs w:val="24"/>
                <w:highlight w:val="none"/>
                <w:lang w:val="en-US" w:eastAsia="zh-CN"/>
              </w:rPr>
              <w:t xml:space="preserve">安监局</w:t>
            </w:r>
            <w:r>
              <w:rPr>
                <w:rFonts w:hint="eastAsia" w:ascii="仿宋" w:hAnsi="仿宋" w:eastAsia="仿宋" w:cs="仿宋"/>
                <w:sz w:val="24"/>
                <w:szCs w:val="24"/>
                <w:highlight w:val="none"/>
              </w:rPr>
              <w:t xml:space="preserve">执法人员配备</w:t>
            </w:r>
            <w:r/>
          </w:p>
        </w:tc>
        <w:tc>
          <w:tcPr>
            <w:tcMar>
              <w:left w:w="120" w:type="dxa"/>
              <w:top w:w="60" w:type="dxa"/>
              <w:right w:w="120" w:type="dxa"/>
              <w:bottom w:w="30" w:type="dxa"/>
            </w:tcMar>
            <w:tcW w:w="867"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执法人员随身携带，现场执法记录</w:t>
            </w:r>
            <w:r/>
          </w:p>
        </w:tc>
        <w:tc>
          <w:tcPr>
            <w:tcMar>
              <w:left w:w="120" w:type="dxa"/>
              <w:top w:w="60" w:type="dxa"/>
              <w:right w:w="120" w:type="dxa"/>
              <w:bottom w:w="30" w:type="dxa"/>
            </w:tcMar>
            <w:tcW w:w="472" w:type="pct"/>
            <w:vAlign w:val="center"/>
            <w:vMerge w:val="continue"/>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Mar>
              <w:left w:w="120" w:type="dxa"/>
              <w:top w:w="60" w:type="dxa"/>
              <w:right w:w="120" w:type="dxa"/>
              <w:bottom w:w="30" w:type="dxa"/>
            </w:tcMar>
            <w:tcW w:w="306"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20" w:type="dxa"/>
              <w:top w:w="60" w:type="dxa"/>
              <w:right w:w="120" w:type="dxa"/>
              <w:bottom w:w="30" w:type="dxa"/>
            </w:tcMar>
            <w:tcW w:w="54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固定摄像头</w:t>
            </w:r>
            <w:r/>
          </w:p>
        </w:tc>
        <w:tc>
          <w:tcPr>
            <w:tcMar>
              <w:left w:w="120" w:type="dxa"/>
              <w:top w:w="60" w:type="dxa"/>
              <w:right w:w="120" w:type="dxa"/>
              <w:bottom w:w="30" w:type="dxa"/>
            </w:tcMar>
            <w:tcW w:w="453" w:type="pct"/>
            <w:vAlign w:val="center"/>
            <w:textDirection w:val="lrTb"/>
            <w:noWrap w:val="false"/>
          </w:tcPr>
          <w:p>
            <w:pPr>
              <w:ind w:left="0"/>
              <w:jc w:val="center"/>
              <w:keepLines w:val="0"/>
              <w:keepNext w:val="0"/>
              <w:pageBreakBefore w:val="0"/>
              <w:spacing w:line="36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200</w:t>
            </w:r>
            <w:r/>
          </w:p>
        </w:tc>
        <w:tc>
          <w:tcPr>
            <w:tcMar>
              <w:left w:w="120" w:type="dxa"/>
              <w:top w:w="60" w:type="dxa"/>
              <w:right w:w="120" w:type="dxa"/>
              <w:bottom w:w="30" w:type="dxa"/>
            </w:tcMar>
            <w:tcW w:w="35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w:t>
            </w:r>
            <w:r/>
          </w:p>
        </w:tc>
        <w:tc>
          <w:tcPr>
            <w:tcMar>
              <w:left w:w="120" w:type="dxa"/>
              <w:top w:w="60" w:type="dxa"/>
              <w:right w:w="120" w:type="dxa"/>
              <w:bottom w:w="30" w:type="dxa"/>
            </w:tcMar>
            <w:tcW w:w="1341"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200万像素，支持红外夜视，全天候监控</w:t>
            </w:r>
            <w:r/>
          </w:p>
        </w:tc>
        <w:tc>
          <w:tcPr>
            <w:tcMar>
              <w:left w:w="120" w:type="dxa"/>
              <w:top w:w="60" w:type="dxa"/>
              <w:right w:w="120" w:type="dxa"/>
              <w:bottom w:w="30" w:type="dxa"/>
            </w:tcMar>
            <w:tcW w:w="66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开发区现有设备</w:t>
            </w:r>
            <w:r/>
          </w:p>
        </w:tc>
        <w:tc>
          <w:tcPr>
            <w:tcMar>
              <w:left w:w="120" w:type="dxa"/>
              <w:top w:w="60" w:type="dxa"/>
              <w:right w:w="120" w:type="dxa"/>
              <w:bottom w:w="30" w:type="dxa"/>
            </w:tcMar>
            <w:tcW w:w="867"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重点企业门口、重大危险源区域、关键路口</w:t>
            </w:r>
            <w:r/>
          </w:p>
        </w:tc>
        <w:tc>
          <w:tcPr>
            <w:tcMar>
              <w:left w:w="120" w:type="dxa"/>
              <w:top w:w="60" w:type="dxa"/>
              <w:right w:w="120" w:type="dxa"/>
              <w:bottom w:w="30" w:type="dxa"/>
            </w:tcMar>
            <w:tcW w:w="472" w:type="pct"/>
            <w:vAlign w:val="center"/>
            <w:vMerge w:val="continue"/>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Mar>
              <w:left w:w="120" w:type="dxa"/>
              <w:top w:w="60" w:type="dxa"/>
              <w:right w:w="120" w:type="dxa"/>
              <w:bottom w:w="30" w:type="dxa"/>
            </w:tcMar>
            <w:tcW w:w="306"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Mar>
              <w:left w:w="120" w:type="dxa"/>
              <w:top w:w="60" w:type="dxa"/>
              <w:right w:w="120" w:type="dxa"/>
              <w:bottom w:w="30" w:type="dxa"/>
            </w:tcMar>
            <w:tcW w:w="54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物联网网关</w:t>
            </w:r>
            <w:r/>
          </w:p>
        </w:tc>
        <w:tc>
          <w:tcPr>
            <w:tcMar>
              <w:left w:w="120" w:type="dxa"/>
              <w:top w:w="60" w:type="dxa"/>
              <w:right w:w="120" w:type="dxa"/>
              <w:bottom w:w="30" w:type="dxa"/>
            </w:tcMar>
            <w:tcW w:w="45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p>
        </w:tc>
        <w:tc>
          <w:tcPr>
            <w:tcMar>
              <w:left w:w="120" w:type="dxa"/>
              <w:top w:w="60" w:type="dxa"/>
              <w:right w:w="120" w:type="dxa"/>
              <w:bottom w:w="30" w:type="dxa"/>
            </w:tcMar>
            <w:tcW w:w="35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Mar>
              <w:left w:w="120" w:type="dxa"/>
              <w:top w:w="60" w:type="dxa"/>
              <w:right w:w="120" w:type="dxa"/>
              <w:bottom w:w="30" w:type="dxa"/>
            </w:tcMar>
            <w:tcW w:w="1341"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支持多协议接入，4</w:t>
            </w:r>
            <w:r>
              <w:rPr>
                <w:rFonts w:hint="eastAsia" w:ascii="Times New Roman" w:hAnsi="Times New Roman" w:eastAsia="仿宋" w:cs="仿宋"/>
                <w:sz w:val="24"/>
                <w:szCs w:val="24"/>
                <w:highlight w:val="none"/>
              </w:rPr>
              <w:t xml:space="preserve">G</w:t>
            </w:r>
            <w:r>
              <w:rPr>
                <w:rFonts w:hint="eastAsia" w:ascii="仿宋" w:hAnsi="仿宋" w:eastAsia="仿宋" w:cs="仿宋"/>
                <w:sz w:val="24"/>
                <w:szCs w:val="24"/>
                <w:highlight w:val="none"/>
              </w:rPr>
              <w:t xml:space="preserve">/以太网传输，工业级防护</w:t>
            </w:r>
            <w:r/>
          </w:p>
        </w:tc>
        <w:tc>
          <w:tcPr>
            <w:tcMar>
              <w:left w:w="120" w:type="dxa"/>
              <w:top w:w="60" w:type="dxa"/>
              <w:right w:w="120" w:type="dxa"/>
              <w:bottom w:w="30" w:type="dxa"/>
            </w:tcMar>
            <w:tcW w:w="663"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开发区现有设备</w:t>
            </w:r>
            <w:r/>
          </w:p>
        </w:tc>
        <w:tc>
          <w:tcPr>
            <w:tcMar>
              <w:left w:w="120" w:type="dxa"/>
              <w:top w:w="60" w:type="dxa"/>
              <w:right w:w="120" w:type="dxa"/>
              <w:bottom w:w="30" w:type="dxa"/>
            </w:tcMar>
            <w:tcW w:w="867"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重点企业机房/监控室</w:t>
            </w:r>
            <w:r/>
          </w:p>
        </w:tc>
        <w:tc>
          <w:tcPr>
            <w:tcMar>
              <w:left w:w="120" w:type="dxa"/>
              <w:top w:w="60" w:type="dxa"/>
              <w:right w:w="120" w:type="dxa"/>
              <w:bottom w:w="30" w:type="dxa"/>
            </w:tcMar>
            <w:tcW w:w="472" w:type="pct"/>
            <w:vAlign w:val="center"/>
            <w:textDirection w:val="lrTb"/>
            <w:noWrap w:val="false"/>
          </w:tcPr>
          <w:p>
            <w:pPr>
              <w:ind w:left="0"/>
              <w:jc w:val="center"/>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可用于本项目</w:t>
            </w:r>
            <w:r/>
          </w:p>
        </w:tc>
      </w:tr>
    </w:tbl>
    <w:p>
      <w:pPr>
        <w:ind w:left="0" w:firstLine="562"/>
        <w:jc w:val="left"/>
        <w:keepLines w:val="0"/>
        <w:keepNext w:val="0"/>
        <w:pageBreakBefore w:val="0"/>
        <w:spacing w:line="500" w:lineRule="exact"/>
        <w:rPr>
          <w:rFonts w:eastAsia="仿宋_GB2312"/>
          <w:sz w:val="28"/>
          <w:highlight w:val="none"/>
        </w:rPr>
      </w:pPr>
      <w:r>
        <w:rPr>
          <w:rFonts w:ascii="Arial" w:hAnsi="Arial" w:eastAsia="仿宋_GB2312" w:cs="Arial"/>
          <w:b/>
          <w:sz w:val="28"/>
          <w:highlight w:val="none"/>
        </w:rPr>
        <w:t xml:space="preserve">设备接入说明：</w:t>
      </w:r>
      <w:r/>
    </w:p>
    <w:p>
      <w:pPr>
        <w:numPr>
          <w:ilvl w:val="0"/>
          <w:numId w:val="18"/>
        </w:numPr>
        <w:ind w:left="0" w:firstLine="560"/>
        <w:jc w:val="left"/>
        <w:keepLines w:val="0"/>
        <w:keepNext w:val="0"/>
        <w:pageBreakBefore w:val="0"/>
        <w:spacing w:line="500" w:lineRule="exact"/>
        <w:rPr>
          <w:rFonts w:eastAsia="仿宋_GB2312"/>
          <w:sz w:val="28"/>
          <w:highlight w:val="none"/>
        </w:rPr>
      </w:pPr>
      <w:r>
        <w:rPr>
          <w:rFonts w:ascii="Arial" w:hAnsi="Arial" w:eastAsia="仿宋_GB2312" w:cs="Arial"/>
          <w:sz w:val="28"/>
          <w:highlight w:val="none"/>
        </w:rPr>
        <w:t xml:space="preserve">本项目仅负责接入上述设备自有后台，实现平台画面显示和数据汇总分析</w:t>
      </w:r>
      <w:r/>
    </w:p>
    <w:p>
      <w:pPr>
        <w:numPr>
          <w:ilvl w:val="0"/>
          <w:numId w:val="19"/>
        </w:numPr>
        <w:ind w:left="0" w:firstLine="560"/>
        <w:jc w:val="left"/>
        <w:keepLines w:val="0"/>
        <w:keepNext w:val="0"/>
        <w:pageBreakBefore w:val="0"/>
        <w:spacing w:line="500" w:lineRule="exact"/>
        <w:rPr>
          <w:rFonts w:eastAsia="仿宋_GB2312"/>
          <w:sz w:val="28"/>
          <w:highlight w:val="none"/>
        </w:rPr>
      </w:pPr>
      <w:r>
        <w:rPr>
          <w:rFonts w:ascii="Arial" w:hAnsi="Arial" w:eastAsia="仿宋_GB2312" w:cs="Arial"/>
          <w:sz w:val="28"/>
          <w:highlight w:val="none"/>
        </w:rPr>
        <w:t xml:space="preserve">不涉及设备的远程控制、调度操作、画面识别分析等功能，这些功能均由各设备自有后台完成</w:t>
      </w:r>
      <w:r/>
    </w:p>
    <w:p>
      <w:pPr>
        <w:numPr>
          <w:ilvl w:val="0"/>
          <w:numId w:val="20"/>
        </w:numPr>
        <w:ind w:left="0" w:firstLine="560"/>
        <w:jc w:val="left"/>
        <w:keepLines w:val="0"/>
        <w:keepNext w:val="0"/>
        <w:pageBreakBefore w:val="0"/>
        <w:spacing w:line="500" w:lineRule="exact"/>
        <w:rPr>
          <w:rFonts w:eastAsia="仿宋_GB2312"/>
          <w:sz w:val="28"/>
          <w:highlight w:val="none"/>
        </w:rPr>
      </w:pPr>
      <w:r>
        <w:rPr>
          <w:rFonts w:ascii="Arial" w:hAnsi="Arial" w:eastAsia="仿宋_GB2312" w:cs="Arial"/>
          <w:sz w:val="28"/>
          <w:highlight w:val="none"/>
        </w:rPr>
        <w:t xml:space="preserve">设备的日常维护、管理、更新由设备所属部门负责</w:t>
      </w:r>
      <w:r/>
    </w:p>
    <w:p>
      <w:pPr>
        <w:numPr>
          <w:ilvl w:val="0"/>
          <w:numId w:val="21"/>
        </w:numPr>
        <w:ind w:left="0" w:firstLine="560"/>
        <w:jc w:val="left"/>
        <w:keepLines w:val="0"/>
        <w:keepNext w:val="0"/>
        <w:pageBreakBefore w:val="0"/>
        <w:spacing w:line="500" w:lineRule="exact"/>
        <w:rPr>
          <w:rFonts w:eastAsia="仿宋_GB2312"/>
          <w:sz w:val="28"/>
          <w:highlight w:val="none"/>
        </w:rPr>
      </w:pPr>
      <w:r>
        <w:rPr>
          <w:rFonts w:ascii="Arial" w:hAnsi="Arial" w:eastAsia="仿宋_GB2312" w:cs="Arial"/>
          <w:sz w:val="28"/>
          <w:highlight w:val="none"/>
        </w:rPr>
        <w:t xml:space="preserve">平台提供统一的设备接入管理界面，支持查看设备在线状态、调取实时画面</w:t>
      </w:r>
      <w:r/>
    </w:p>
    <w:p>
      <w:pPr>
        <w:numPr>
          <w:ilvl w:val="0"/>
          <w:numId w:val="22"/>
        </w:numPr>
        <w:ind w:firstLine="560"/>
        <w:keepLines w:val="0"/>
        <w:keepNext w:val="0"/>
        <w:pageBreakBefore w:val="0"/>
        <w:spacing w:line="50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实施方案要求</w:t>
      </w:r>
      <w:r/>
    </w:p>
    <w:p>
      <w:pPr>
        <w:ind w:firstLine="562"/>
        <w:keepLines w:val="0"/>
        <w:keepNext w:val="0"/>
        <w:pageBreakBefore w:val="0"/>
        <w:spacing w:line="500" w:lineRule="exact"/>
        <w:widowControl w:val="off"/>
        <w:rPr>
          <w:rFonts w:hint="eastAsia" w:ascii="仿宋_GB2312" w:hAnsi="仿宋_GB2312" w:eastAsia="仿宋_GB2312" w:cs="仿宋_GB2312"/>
          <w:b/>
          <w:bCs/>
          <w:i w:val="0"/>
          <w:iCs w:val="0"/>
          <w:caps w:val="0"/>
          <w:color w:val="0f1115"/>
          <w:spacing w:val="0"/>
          <w:sz w:val="28"/>
          <w:szCs w:val="28"/>
          <w:shd w:val="clear" w:color="auto" w:fill="ffffff"/>
          <w:lang w:val="en-US" w:eastAsia="zh-CN"/>
        </w:rPr>
      </w:pPr>
      <w:r>
        <w:rPr>
          <w:rFonts w:hint="eastAsia" w:ascii="仿宋_GB2312" w:hAnsi="仿宋_GB2312" w:eastAsia="仿宋_GB2312" w:cs="仿宋_GB2312"/>
          <w:b/>
          <w:bCs/>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b/>
          <w:bCs/>
          <w:i w:val="0"/>
          <w:iCs w:val="0"/>
          <w:caps w:val="0"/>
          <w:color w:val="0f1115"/>
          <w:spacing w:val="0"/>
          <w:sz w:val="28"/>
          <w:szCs w:val="28"/>
          <w:shd w:val="clear" w:color="auto" w:fill="ffffff"/>
          <w:lang w:val="en-US" w:eastAsia="zh-CN"/>
        </w:rPr>
        <w:t xml:space="preserve">一</w:t>
      </w:r>
      <w:r>
        <w:rPr>
          <w:rFonts w:hint="eastAsia" w:ascii="仿宋_GB2312" w:hAnsi="仿宋_GB2312" w:eastAsia="仿宋_GB2312" w:cs="仿宋_GB2312"/>
          <w:b/>
          <w:bCs/>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b/>
          <w:bCs/>
          <w:i w:val="0"/>
          <w:iCs w:val="0"/>
          <w:caps w:val="0"/>
          <w:color w:val="0f1115"/>
          <w:spacing w:val="0"/>
          <w:sz w:val="28"/>
          <w:szCs w:val="28"/>
          <w:shd w:val="clear" w:color="auto" w:fill="ffffff"/>
        </w:rPr>
        <w:t xml:space="preserve">整体实施方案</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1.项目建设思路</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充分了解江苏省兴化经济开发区安全生产履职信息平台，统筹统一数据中心升级、高危动火专项监管、工贸及小化工小医药企业监管、高处作业精准管控、“四位一体”协同监管、监管执法协同系统及智能设备接入管理（布控球、无人机、执法记录仪、固定摄像头、物联网网关）等建设内容。</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2.实施要求</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须承诺与一期平台及相关数据对接，完成一期企业基础数据、监管数据及用户权限数据迁移，实现与泰州通、泰政通互联互通，并预留与兴化市应急管理局平台的数据交互接口；按网络安全等级保护二级和信创要求建设；坚持AI辅助、人工主导，AI预警、AI识别、风险研判结果仅作监管辅助参考，隐患认定、整改销号须由在岗监管执法人员人工确认；确保按采购人规定时限上线运行。</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3.组织架构</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须建立项目组织架构，明确项目经理、技术负责人、运维负责人等岗位职责与分工。</w:t>
      </w:r>
      <w:r/>
    </w:p>
    <w:p>
      <w:pPr>
        <w:ind w:firstLine="562"/>
        <w:keepLines w:val="0"/>
        <w:keepNext w:val="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
          <w:bCs/>
          <w:i w:val="0"/>
          <w:iCs w:val="0"/>
          <w:caps w:val="0"/>
          <w:color w:val="0f1115"/>
          <w:spacing w:val="0"/>
          <w:sz w:val="28"/>
          <w:szCs w:val="28"/>
          <w:shd w:val="clear" w:color="auto" w:fill="ffffff"/>
          <w:lang w:val="en-US" w:eastAsia="zh-CN"/>
        </w:rPr>
        <w:t xml:space="preserve">（二）进度计划与应急事件处置方案</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1.进度计划</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根据采购人规定的建设周期，分阶段明确需求调研与架构设计、系统开发与功能实现、一期数据迁移与设备接入联调、部署联调与试运行、培训、验收上线等进度安排，提供里程碑及交付物。</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2.应急事件预防与处置</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针对数据安全、系统故障、进度延误、人员变动等风险，制定预防、预警、分级响应、处置、恢复和报告措施。</w:t>
      </w:r>
      <w:r/>
    </w:p>
    <w:p>
      <w:pPr>
        <w:ind w:firstLine="562"/>
        <w:keepLines w:val="0"/>
        <w:keepNext w:val="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
          <w:bCs/>
          <w:i w:val="0"/>
          <w:iCs w:val="0"/>
          <w:caps w:val="0"/>
          <w:color w:val="0f1115"/>
          <w:spacing w:val="0"/>
          <w:sz w:val="28"/>
          <w:szCs w:val="28"/>
          <w:shd w:val="clear" w:color="auto" w:fill="ffffff"/>
          <w:lang w:val="en-US" w:eastAsia="zh-CN"/>
        </w:rPr>
        <w:t xml:space="preserve">（三）售后服务保障措施及响应</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（1）服务保障体系</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建立7×24小时运维服务团队，提供远程运维与现场运维服务。</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（2）响应时间与方式</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明确故障分级响应机制，一级故障响应时间≤1小时、解决时间≤3小时；二级故障响应时间≤1小时、解决时间≤6小时；三级故障响应时间≤1小时、解决时间≤12小时；现场运维到达时间≤3小时。</w:t>
      </w:r>
      <w:r/>
    </w:p>
    <w:p>
      <w:pPr>
        <w:ind w:firstLine="560"/>
        <w:keepLines w:val="0"/>
        <w:keepNext w:val="0"/>
        <w:pageBreakBefore w:val="0"/>
        <w:spacing w:line="500" w:lineRule="exact"/>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（3）服务内容</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sz w:val="28"/>
          <w:szCs w:val="28"/>
          <w:lang w:val="en-US" w:eastAsia="zh-CN"/>
        </w:rPr>
        <w:t xml:space="preserve">覆盖技术运维</w:t>
      </w:r>
      <w:r>
        <w:rPr>
          <w:rFonts w:hint="eastAsia" w:ascii="仿宋_GB2312" w:hAnsi="仿宋_GB2312" w:eastAsia="仿宋_GB2312" w:cs="仿宋_GB2312"/>
          <w:bCs/>
          <w:color w:val="auto"/>
          <w:sz w:val="28"/>
          <w:szCs w:val="28"/>
          <w:lang w:val="en-US" w:eastAsia="zh-CN"/>
        </w:rPr>
        <w:t xml:space="preserve">、功能运维、数据运维、培训支撑等，包括平台运行监控、故障处置、安全漏洞修复、数据备份恢复等。</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（4）服务期限与运维报告</w:t>
      </w:r>
      <w:r/>
    </w:p>
    <w:p>
      <w:pPr>
        <w:ind w:firstLine="560"/>
        <w:keepLines w:val="0"/>
        <w:keepNext w:val="0"/>
        <w:pageBreakBefore w:val="0"/>
        <w:spacing w:line="500" w:lineRule="exact"/>
        <w:rPr>
          <w:rFonts w:hint="eastAsia" w:ascii="仿宋_GB2312" w:hAnsi="仿宋_GB2312" w:eastAsia="仿宋_GB2312" w:cs="仿宋_GB2312"/>
          <w:i w:val="0"/>
          <w:iCs w:val="0"/>
          <w:caps w:val="0"/>
          <w:color w:val="auto"/>
          <w:spacing w:val="0"/>
          <w:sz w:val="28"/>
          <w:szCs w:val="28"/>
          <w:shd w:val="clear" w:color="auto" w:fill="ffffff"/>
          <w:lang w:val="en-US" w:eastAsia="zh-CN"/>
        </w:rPr>
      </w:pPr>
      <w:r>
        <w:rPr>
          <w:rFonts w:hint="eastAsia" w:ascii="仿宋_GB2312" w:hAnsi="仿宋_GB2312" w:eastAsia="仿宋_GB2312" w:cs="仿宋_GB2312"/>
          <w:bCs/>
          <w:color w:val="auto"/>
          <w:sz w:val="28"/>
          <w:szCs w:val="28"/>
          <w:lang w:val="en-US" w:eastAsia="zh-CN"/>
        </w:rPr>
        <w:t xml:space="preserve">自项目验收合格之日起提供1年运维服务，每年出具一次运维报告</w:t>
      </w:r>
      <w:r>
        <w:rPr>
          <w:rFonts w:hint="eastAsia" w:ascii="仿宋_GB2312" w:hAnsi="仿宋_GB2312" w:eastAsia="仿宋_GB2312" w:cs="仿宋_GB2312"/>
          <w:i w:val="0"/>
          <w:iCs w:val="0"/>
          <w:caps w:val="0"/>
          <w:color w:val="auto"/>
          <w:spacing w:val="0"/>
          <w:sz w:val="28"/>
          <w:szCs w:val="28"/>
          <w:shd w:val="clear" w:color="auto" w:fill="ffffff"/>
          <w:lang w:val="en-US" w:eastAsia="zh-CN"/>
        </w:rPr>
        <w:t xml:space="preserve">。</w:t>
      </w:r>
      <w:r/>
    </w:p>
    <w:p>
      <w:pPr>
        <w:numPr>
          <w:ilvl w:val="0"/>
          <w:numId w:val="0"/>
        </w:numPr>
        <w:ind w:firstLine="560"/>
        <w:keepLines w:val="0"/>
        <w:keepNext w:val="0"/>
        <w:pageBreakBefore w:val="0"/>
        <w:spacing w:line="50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八、商务要求</w:t>
      </w:r>
      <w:r/>
    </w:p>
    <w:p>
      <w:pPr>
        <w:ind w:firstLine="562"/>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1.履约保证金</w:t>
      </w:r>
      <w:r/>
    </w:p>
    <w:p>
      <w:pPr>
        <w:pStyle w:val="1174"/>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w:t>
      </w:r>
      <w:r>
        <w:rPr>
          <w:rFonts w:hint="eastAsia" w:ascii="仿宋_GB2312" w:hAnsi="仿宋_GB2312" w:eastAsia="仿宋_GB2312" w:cs="仿宋_GB2312"/>
          <w:color w:val="auto"/>
          <w:sz w:val="28"/>
          <w:szCs w:val="28"/>
          <w:highlight w:val="none"/>
          <w:u w:val="single"/>
          <w:lang w:val="en-US" w:eastAsia="zh-CN" w:bidi="ar-SA"/>
        </w:rPr>
        <w:t xml:space="preserve"> </w:t>
      </w:r>
      <w:r>
        <w:rPr>
          <w:rFonts w:hint="eastAsia" w:ascii="仿宋_GB2312" w:hAnsi="仿宋_GB2312" w:eastAsia="仿宋_GB2312" w:cs="仿宋_GB2312"/>
          <w:b/>
          <w:bCs/>
          <w:color w:val="auto"/>
          <w:sz w:val="28"/>
          <w:szCs w:val="28"/>
          <w:highlight w:val="none"/>
          <w:u w:val="single"/>
          <w:lang w:val="en-US" w:eastAsia="zh-CN" w:bidi="ar-SA"/>
        </w:rPr>
        <w:t xml:space="preserve">不收取 </w:t>
      </w:r>
      <w:r>
        <w:rPr>
          <w:rFonts w:hint="eastAsia" w:ascii="仿宋_GB2312" w:hAnsi="仿宋_GB2312" w:eastAsia="仿宋_GB2312" w:cs="仿宋_GB2312"/>
          <w:color w:val="auto"/>
          <w:sz w:val="28"/>
          <w:szCs w:val="28"/>
          <w:highlight w:val="none"/>
          <w:lang w:val="en-US" w:eastAsia="zh-CN" w:bidi="ar-SA"/>
        </w:rPr>
        <w:t xml:space="preserve">履约保证金。</w:t>
      </w:r>
      <w:r/>
    </w:p>
    <w:p>
      <w:pPr>
        <w:ind w:firstLine="562"/>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2.付款方式</w:t>
      </w:r>
      <w:r/>
    </w:p>
    <w:p>
      <w:pPr>
        <w:ind w:left="0" w:firstLine="560"/>
        <w:jc w:val="left"/>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sz w:val="28"/>
          <w:highlight w:val="none"/>
        </w:rPr>
        <w:t xml:space="preserve">合同签订后，支付30%作为项目开发的启动资金。项目通过验收后，支付合同价总额的60%。合同签订验收合格满一年后，支付合同价总额的</w:t>
      </w:r>
      <w:r>
        <w:rPr>
          <w:rFonts w:hint="eastAsia" w:ascii="仿宋_GB2312" w:hAnsi="仿宋_GB2312" w:eastAsia="仿宋_GB2312" w:cs="仿宋_GB2312"/>
          <w:sz w:val="28"/>
          <w:highlight w:val="none"/>
          <w:lang w:val="en-US" w:eastAsia="zh-CN"/>
        </w:rPr>
        <w:t xml:space="preserve">1</w:t>
      </w:r>
      <w:r>
        <w:rPr>
          <w:rFonts w:hint="eastAsia" w:ascii="仿宋_GB2312" w:hAnsi="仿宋_GB2312" w:eastAsia="仿宋_GB2312" w:cs="仿宋_GB2312"/>
          <w:sz w:val="28"/>
          <w:highlight w:val="none"/>
        </w:rPr>
        <w:t xml:space="preserve">0%。</w:t>
      </w:r>
      <w:r/>
    </w:p>
    <w:p>
      <w:pPr>
        <w:ind w:firstLine="562"/>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3.服务期限</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自合同签订之日起1个月内，完成本项目全部建设内容并交付采购人。验收合格后提供1年免费运维服务期。</w:t>
      </w:r>
      <w:r/>
    </w:p>
    <w:p>
      <w:pPr>
        <w:ind w:firstLine="562"/>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4.项目验收要求</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采购文件、投标（响应）文件及有关国家的服务标准规定，均作为服务确认（验收）标准。服务确认（验收）合格后，中标（成交）供应商凭用户出具的服务合格书至采购人处根据合同规定办理付款手续。</w:t>
      </w:r>
      <w:r/>
    </w:p>
    <w:p>
      <w:pPr>
        <w:ind w:firstLine="562"/>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5.采购标的所属行业</w:t>
      </w:r>
      <w:r/>
    </w:p>
    <w:p>
      <w:pPr>
        <w:ind w:firstLine="560"/>
        <w:keepLines w:val="0"/>
        <w:keepNext w:val="0"/>
        <w:pageBreakBefore w:val="0"/>
        <w:spacing w:line="500" w:lineRule="exact"/>
        <w:widowControl w:val="off"/>
        <w:rPr>
          <w:rFonts w:hint="eastAsia" w:ascii="黑体" w:hAnsi="黑体" w:eastAsia="黑体" w:cs="黑体"/>
          <w:b w:val="0"/>
          <w:bCs w:val="0"/>
          <w:color w:val="auto"/>
          <w:sz w:val="36"/>
          <w:szCs w:val="36"/>
          <w:highlight w:val="none"/>
        </w:rPr>
      </w:pPr>
      <w:r>
        <w:rPr>
          <w:rFonts w:hint="eastAsia" w:ascii="仿宋_GB2312" w:hAnsi="仿宋_GB2312" w:eastAsia="仿宋_GB2312" w:cs="仿宋_GB2312"/>
          <w:color w:val="auto"/>
          <w:sz w:val="28"/>
          <w:szCs w:val="28"/>
          <w:highlight w:val="none"/>
        </w:rPr>
        <w:t xml:space="preserve">参照《关于印发中小企业划型标准规定的通知》（工信部联企业〔2011〕300号）文件，本项目采购标的所属行业为：</w:t>
      </w:r>
      <w:r>
        <w:rPr>
          <w:rFonts w:hint="eastAsia" w:ascii="仿宋_GB2312" w:hAnsi="仿宋_GB2312" w:eastAsia="仿宋_GB2312" w:cs="仿宋_GB2312"/>
          <w:b/>
          <w:bCs/>
          <w:color w:val="auto"/>
          <w:sz w:val="28"/>
          <w:szCs w:val="28"/>
          <w:highlight w:val="none"/>
          <w:u w:val="single"/>
        </w:rPr>
        <w:t xml:space="preserve">软件和信息技术服务业</w:t>
      </w:r>
      <w:r>
        <w:rPr>
          <w:rFonts w:hint="eastAsia" w:ascii="仿宋_GB2312" w:hAnsi="仿宋_GB2312" w:eastAsia="仿宋_GB2312" w:cs="仿宋_GB2312"/>
          <w:color w:val="auto"/>
          <w:sz w:val="28"/>
          <w:szCs w:val="28"/>
          <w:highlight w:val="none"/>
        </w:rPr>
        <w:t xml:space="preserve">。</w:t>
      </w:r>
      <w:r>
        <w:rPr>
          <w:rFonts w:hint="eastAsia" w:ascii="黑体" w:hAnsi="黑体" w:eastAsia="黑体" w:cs="黑体"/>
          <w:b w:val="0"/>
          <w:bCs w:val="0"/>
          <w:color w:val="auto"/>
          <w:sz w:val="36"/>
          <w:szCs w:val="36"/>
          <w:highlight w:val="none"/>
        </w:rPr>
        <w:br w:type="page" w:clear="all"/>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560"/>
        <w:jc w:val="left"/>
        <w:keepLines w:val="0"/>
        <w:keepNext w:val="0"/>
        <w:pageBreakBefore w:val="0"/>
        <w:spacing w:line="50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jc w:val="left"/>
        <w:keepLines w:val="0"/>
        <w:keepNext w:val="0"/>
        <w:pageBreakBefore w:val="0"/>
        <w:spacing w:line="500" w:lineRule="exact"/>
        <w:widowControl w:val="off"/>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5、本项目</w:t>
      </w:r>
      <w:r>
        <w:rPr>
          <w:rFonts w:hint="eastAsia" w:ascii="仿宋_GB2312" w:hAnsi="仿宋_GB2312" w:eastAsia="仿宋_GB2312" w:cs="仿宋_GB2312"/>
          <w:b/>
          <w:bCs/>
          <w:sz w:val="28"/>
          <w:szCs w:val="28"/>
          <w:u w:val="single"/>
          <w:lang w:eastAsia="zh-CN"/>
        </w:rPr>
        <w:t xml:space="preserve">不</w:t>
      </w:r>
      <w:r>
        <w:rPr>
          <w:rFonts w:hint="eastAsia" w:ascii="仿宋_GB2312" w:hAnsi="仿宋_GB2312" w:eastAsia="仿宋_GB2312" w:cs="仿宋_GB2312"/>
          <w:b/>
          <w:bCs/>
          <w:sz w:val="28"/>
          <w:szCs w:val="28"/>
          <w:u w:val="single"/>
        </w:rPr>
        <w:t xml:space="preserve">同意</w:t>
      </w:r>
      <w:r>
        <w:rPr>
          <w:rFonts w:hint="eastAsia" w:ascii="仿宋_GB2312" w:hAnsi="仿宋_GB2312" w:eastAsia="仿宋_GB2312" w:cs="仿宋_GB2312"/>
          <w:sz w:val="28"/>
          <w:szCs w:val="28"/>
        </w:rPr>
        <w:t xml:space="preserve">联合体参加</w:t>
      </w:r>
      <w:r>
        <w:rPr>
          <w:rFonts w:hint="eastAsia" w:ascii="仿宋_GB2312" w:hAnsi="仿宋_GB2312" w:eastAsia="仿宋_GB2312" w:cs="仿宋_GB2312"/>
          <w:sz w:val="28"/>
          <w:szCs w:val="28"/>
          <w:lang w:eastAsia="zh-CN"/>
        </w:rPr>
        <w:t xml:space="preserve">投标。</w:t>
      </w:r>
      <w:r/>
    </w:p>
    <w:p>
      <w:pPr>
        <w:ind w:left="0" w:right="0"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二、关于报价的相关要求</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auto"/>
          <w:sz w:val="28"/>
          <w:szCs w:val="28"/>
        </w:rPr>
        <w:t xml:space="preserve">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）供应商未在</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小组规定的时间内完成最后报价的视为放弃</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，其</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）各供应商最后报价结束后,如</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小组应当将其作为无效响应文件处理。</w:t>
      </w:r>
      <w:r/>
    </w:p>
    <w:p>
      <w:pPr>
        <w:pStyle w:val="1083"/>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lang w:eastAsia="zh-CN"/>
        </w:rPr>
        <w:t xml:space="preserve">磋商</w:t>
      </w:r>
      <w:r>
        <w:rPr>
          <w:rFonts w:hint="eastAsia" w:ascii="仿宋" w:hAnsi="仿宋" w:eastAsia="仿宋" w:cs="宋体"/>
          <w:b/>
          <w:szCs w:val="28"/>
        </w:rPr>
        <w:t xml:space="preserve">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83"/>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磋商小组</w:t>
      </w:r>
      <w:r>
        <w:rPr>
          <w:rFonts w:hint="eastAsia" w:ascii="黑体" w:hAnsi="黑体" w:eastAsia="黑体" w:cs="黑体"/>
          <w:b w:val="0"/>
          <w:bCs/>
          <w:szCs w:val="28"/>
        </w:rPr>
        <w:t xml:space="preserve">应当启动异常低价投标(响应)审查程序:</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3"/>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keepLines w:val="0"/>
        <w:keepNext w:val="0"/>
        <w:pageBreakBefore w:val="0"/>
        <w:spacing w:line="50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三、</w:t>
      </w:r>
      <w:r>
        <w:rPr>
          <w:rFonts w:hint="eastAsia" w:ascii="黑体" w:hAnsi="黑体" w:eastAsia="黑体" w:cs="黑体"/>
          <w:bCs/>
          <w:color w:val="auto"/>
          <w:sz w:val="28"/>
          <w:szCs w:val="28"/>
        </w:rPr>
        <w:t xml:space="preserve">政府采购中实施本国产品标准及相关政策</w:t>
      </w:r>
      <w:r/>
    </w:p>
    <w:p>
      <w:pPr>
        <w:ind w:firstLine="562"/>
        <w:keepLines w:val="0"/>
        <w:keepNext w:val="0"/>
        <w:pageBreakBefore w:val="0"/>
        <w:spacing w:line="500" w:lineRule="exact"/>
        <w:rPr>
          <w:rFonts w:hint="eastAsia" w:ascii="仿宋_GB2312" w:hAnsi="仿宋_GB2312" w:eastAsia="仿宋_GB2312" w:cs="仿宋_GB2312"/>
          <w:b/>
          <w:bCs w:val="0"/>
          <w:color w:val="auto"/>
          <w:sz w:val="28"/>
          <w:szCs w:val="28"/>
        </w:rPr>
      </w:pPr>
      <w:r>
        <w:rPr>
          <w:rFonts w:hint="eastAsia" w:ascii="仿宋_GB2312" w:hAnsi="仿宋_GB2312" w:eastAsia="仿宋_GB2312" w:cs="仿宋_GB2312"/>
          <w:b/>
          <w:bCs w:val="0"/>
          <w:color w:val="auto"/>
          <w:sz w:val="28"/>
          <w:szCs w:val="28"/>
          <w:lang w:eastAsia="zh-CN"/>
        </w:rPr>
        <w:t xml:space="preserve">【注：本项“政府采购中实施本国产品标准及相关政策”属于通用表述，如若项目采购内容为服务，且项目采购包无采购实物货物，则所有供应商均不享受本国产品价格扣除。】</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highlight w:val="none"/>
        </w:rPr>
        <w:t xml:space="preserve">的价格扣除，用扣除后的价格参与评审。供应商未填写比例数值，或比例数值未达到80%的，将不享受本国产品价格评审优惠。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highlight w:val="none"/>
          <w:lang w:eastAsia="zh-CN"/>
        </w:rPr>
        <w:t xml:space="preserve">6</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供应商需按照招标</w:t>
      </w:r>
      <w:r>
        <w:rPr>
          <w:rFonts w:hint="eastAsia" w:ascii="仿宋_GB2312" w:hAnsi="仿宋_GB2312" w:eastAsia="仿宋_GB2312" w:cs="仿宋_GB2312"/>
          <w:color w:val="auto"/>
          <w:sz w:val="28"/>
          <w:szCs w:val="28"/>
        </w:rPr>
        <w:t xml:space="preserve">文件的要求提供《关于符合本国产品标准的声明函》（以下简称《声明函》），如不提供将不享受本国产品价格评审优惠。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0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四、评审办法和评审标准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000000"/>
          <w:sz w:val="28"/>
          <w:szCs w:val="28"/>
        </w:rPr>
        <w:t xml:space="preserve">本次评标采用</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，由</w:t>
      </w:r>
      <w:r>
        <w:rPr>
          <w:rFonts w:hint="eastAsia" w:ascii="仿宋_GB2312" w:hAnsi="仿宋_GB2312" w:eastAsia="仿宋_GB2312" w:cs="仿宋_GB2312"/>
          <w:sz w:val="28"/>
          <w:szCs w:val="28"/>
          <w:lang w:eastAsia="zh-CN"/>
        </w:rPr>
        <w:t xml:space="preserve">磋商小组</w:t>
      </w:r>
      <w:r>
        <w:rPr>
          <w:rFonts w:hint="eastAsia" w:ascii="仿宋_GB2312" w:hAnsi="仿宋_GB2312" w:eastAsia="仿宋_GB2312" w:cs="仿宋_GB2312"/>
          <w:sz w:val="28"/>
          <w:szCs w:val="28"/>
        </w:rPr>
        <w:t xml:space="preserve">根据评分办法规定的各项因素综合评定打分，按照最终得分由高到低的顺序排列。最终得分相同的，按照</w:t>
      </w:r>
      <w:r>
        <w:rPr>
          <w:rFonts w:hint="eastAsia" w:ascii="仿宋_GB2312" w:hAnsi="仿宋_GB2312" w:eastAsia="仿宋_GB2312" w:cs="仿宋_GB2312"/>
          <w:sz w:val="28"/>
          <w:szCs w:val="28"/>
          <w:lang w:eastAsia="zh-CN"/>
        </w:rPr>
        <w:t xml:space="preserve">最后响应</w:t>
      </w:r>
      <w:r>
        <w:rPr>
          <w:rFonts w:hint="eastAsia" w:ascii="仿宋_GB2312" w:hAnsi="仿宋_GB2312" w:eastAsia="仿宋_GB2312" w:cs="仿宋_GB2312"/>
          <w:sz w:val="28"/>
          <w:szCs w:val="28"/>
        </w:rPr>
        <w:t xml:space="preserve">报价由低到高顺序排列。得分相同且</w:t>
      </w:r>
      <w:r>
        <w:rPr>
          <w:rFonts w:hint="eastAsia" w:ascii="仿宋_GB2312" w:hAnsi="仿宋_GB2312" w:eastAsia="仿宋_GB2312" w:cs="仿宋_GB2312"/>
          <w:sz w:val="28"/>
          <w:szCs w:val="28"/>
          <w:lang w:eastAsia="zh-CN"/>
        </w:rPr>
        <w:t xml:space="preserve">响应</w:t>
      </w:r>
      <w:r>
        <w:rPr>
          <w:rFonts w:hint="eastAsia" w:ascii="仿宋_GB2312" w:hAnsi="仿宋_GB2312" w:eastAsia="仿宋_GB2312" w:cs="仿宋_GB2312"/>
          <w:sz w:val="28"/>
          <w:szCs w:val="28"/>
        </w:rPr>
        <w:t xml:space="preserve">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000000"/>
          <w:sz w:val="28"/>
          <w:szCs w:val="28"/>
        </w:rPr>
        <w:t xml:space="preserve">本项目选取</w:t>
      </w:r>
      <w:r>
        <w:rPr>
          <w:rFonts w:hint="eastAsia" w:ascii="仿宋_GB2312" w:hAnsi="仿宋_GB2312" w:eastAsia="仿宋_GB2312" w:cs="仿宋_GB2312"/>
          <w:b w:val="0"/>
          <w:bCs w:val="0"/>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3名</w:t>
      </w:r>
      <w:r>
        <w:rPr>
          <w:rFonts w:hint="eastAsia" w:ascii="仿宋_GB2312" w:hAnsi="仿宋_GB2312" w:eastAsia="仿宋_GB2312" w:cs="仿宋_GB2312"/>
          <w:b/>
          <w:bCs/>
          <w:color w:val="000000"/>
          <w:sz w:val="28"/>
          <w:szCs w:val="28"/>
          <w:u w:val="single"/>
          <w:lang w:eastAsia="zh-CN"/>
        </w:rPr>
        <w:t xml:space="preserve">成交</w:t>
      </w:r>
      <w:r>
        <w:rPr>
          <w:rFonts w:hint="eastAsia" w:ascii="仿宋_GB2312" w:hAnsi="仿宋_GB2312" w:eastAsia="仿宋_GB2312" w:cs="仿宋_GB2312"/>
          <w:b/>
          <w:bCs/>
          <w:color w:val="000000"/>
          <w:sz w:val="28"/>
          <w:szCs w:val="28"/>
          <w:u w:val="single"/>
        </w:rPr>
        <w:t xml:space="preserve">候选人</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。采购人确定最终得分最高且排名第一的</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候选人为</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供应商。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r>
      <w:r/>
    </w:p>
    <w:p>
      <w:pPr>
        <w:pStyle w:val="889"/>
        <w:ind w:left="0" w:firstLine="0"/>
        <w:jc w:val="center"/>
        <w:keepLines w:val="0"/>
        <w:keepNext w:val="0"/>
        <w:pageBreakBefore w:val="0"/>
        <w:spacing w:beforeAutospacing="0" w:after="181" w:afterAutospacing="0" w:line="480" w:lineRule="exact"/>
        <w:widowControl w:val="off"/>
        <w:rPr>
          <w:rFonts w:hint="eastAsia" w:ascii="黑体" w:hAnsi="黑体" w:eastAsia="黑体" w:cs="黑体"/>
          <w:b w:val="0"/>
          <w:bCs/>
          <w:color w:val="auto"/>
          <w:sz w:val="32"/>
          <w:szCs w:val="32"/>
          <w:highlight w:val="none"/>
          <w:lang w:eastAsia="zh-CN"/>
        </w:rPr>
      </w:pPr>
      <w:r>
        <w:rPr>
          <w:rFonts w:hint="eastAsia" w:ascii="黑体" w:hAnsi="黑体" w:eastAsia="黑体" w:cs="黑体"/>
          <w:b w:val="0"/>
          <w:bCs/>
          <w:color w:val="auto"/>
          <w:sz w:val="32"/>
          <w:szCs w:val="32"/>
          <w:highlight w:val="none"/>
        </w:rPr>
        <w:t xml:space="preserve">评分办法</w:t>
      </w:r>
      <w:r/>
    </w:p>
    <w:p>
      <w:pPr>
        <w:pStyle w:val="872"/>
        <w:ind w:left="0" w:firstLine="560"/>
        <w:keepLines w:val="0"/>
        <w:keepNext w:val="0"/>
        <w:pageBreakBefore w:val="0"/>
        <w:spacing w:line="520" w:lineRule="exact"/>
        <w:widowControl w:val="off"/>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一、价格分 F1（10分）</w:t>
      </w:r>
      <w:r/>
    </w:p>
    <w:p>
      <w:pPr>
        <w:ind w:firstLine="560"/>
        <w:keepLines w:val="0"/>
        <w:keepNext w:val="0"/>
        <w:pageBreakBefore w:val="0"/>
        <w:spacing w:line="520" w:lineRule="exact"/>
        <w:widowControl w:val="off"/>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价格分采用低价优先法计算，即满足磋商文件要求且最后报价最低的供应商的价格为磋商基准价，其价格分为满分。其他供应商的价格分统一按照下列公式计算：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20" w:lineRule="exact"/>
        <w:widowControl w:val="off"/>
        <w:rPr>
          <w:rFonts w:hint="eastAsia" w:ascii="仿宋_GB2312" w:hAnsi="仿宋_GB2312" w:eastAsia="仿宋_GB2312" w:cs="仿宋_GB2312"/>
          <w:b w:val="0"/>
          <w:bCs w:val="0"/>
          <w:color w:val="auto"/>
          <w:sz w:val="28"/>
          <w:szCs w:val="28"/>
          <w:lang w:val="en-US" w:eastAsia="zh-CN" w:bidi="ar-SA"/>
        </w:rPr>
      </w:pPr>
      <w:r/>
      <w:bookmarkStart w:id="210" w:name="No94_Z2T24K5"/>
      <w:r/>
      <w:bookmarkEnd w:id="210"/>
      <w:r>
        <w:rPr>
          <w:rFonts w:hint="eastAsia" w:ascii="仿宋_GB2312" w:hAnsi="仿宋_GB2312" w:eastAsia="仿宋_GB2312" w:cs="仿宋_GB2312"/>
          <w:b w:val="0"/>
          <w:bCs w:val="0"/>
          <w:color w:val="auto"/>
          <w:sz w:val="28"/>
          <w:szCs w:val="28"/>
          <w:lang w:val="en-US" w:eastAsia="zh-CN" w:bidi="ar-SA"/>
        </w:rPr>
        <w:t xml:space="preserve">磋商报价得分=（磋商基准价/最后磋商报价）×10</w:t>
      </w:r>
      <w:r/>
    </w:p>
    <w:p>
      <w:pPr>
        <w:pStyle w:val="872"/>
        <w:ind w:left="0" w:firstLine="560"/>
        <w:keepLines w:val="0"/>
        <w:keepNext w:val="0"/>
        <w:pageBreakBefore w:val="0"/>
        <w:spacing w:line="520" w:lineRule="exact"/>
        <w:widowControl w:val="off"/>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二、企业综合实力F2（3分）</w:t>
      </w:r>
      <w:r/>
    </w:p>
    <w:p>
      <w:pPr>
        <w:ind w:firstLine="562"/>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val="0"/>
          <w:sz w:val="28"/>
          <w:szCs w:val="28"/>
        </w:rPr>
        <w:t xml:space="preserve">1</w:t>
      </w:r>
      <w:r>
        <w:rPr>
          <w:rFonts w:hint="eastAsia" w:ascii="仿宋_GB2312" w:hAnsi="仿宋_GB2312" w:eastAsia="仿宋_GB2312" w:cs="仿宋_GB2312"/>
          <w:b/>
          <w:bCs w:val="0"/>
          <w:sz w:val="28"/>
          <w:szCs w:val="28"/>
          <w:lang w:val="en-US" w:eastAsia="zh-CN"/>
        </w:rPr>
        <w:t xml:space="preserve">.</w:t>
      </w:r>
      <w:r>
        <w:rPr>
          <w:rFonts w:hint="eastAsia" w:ascii="仿宋_GB2312" w:hAnsi="仿宋_GB2312" w:eastAsia="仿宋_GB2312" w:cs="仿宋_GB2312"/>
          <w:b/>
          <w:bCs w:val="0"/>
          <w:sz w:val="28"/>
          <w:szCs w:val="28"/>
        </w:rPr>
        <w:t xml:space="preserve">认证证书</w:t>
      </w:r>
      <w:r>
        <w:rPr>
          <w:rFonts w:hint="eastAsia" w:ascii="仿宋_GB2312" w:hAnsi="仿宋_GB2312" w:eastAsia="仿宋_GB2312" w:cs="仿宋_GB2312"/>
          <w:b/>
          <w:bCs w:val="0"/>
          <w:sz w:val="28"/>
          <w:szCs w:val="28"/>
          <w:lang w:eastAsia="zh-CN"/>
        </w:rPr>
        <w:t xml:space="preserve">（</w:t>
      </w:r>
      <w:r>
        <w:rPr>
          <w:rFonts w:hint="eastAsia" w:ascii="仿宋_GB2312" w:hAnsi="仿宋_GB2312" w:eastAsia="仿宋_GB2312" w:cs="仿宋_GB2312"/>
          <w:b/>
          <w:bCs w:val="0"/>
          <w:sz w:val="28"/>
          <w:szCs w:val="28"/>
          <w:lang w:val="en-US" w:eastAsia="zh-CN"/>
        </w:rPr>
        <w:t xml:space="preserve">3分</w:t>
      </w:r>
      <w:r>
        <w:rPr>
          <w:rFonts w:hint="eastAsia" w:ascii="仿宋_GB2312" w:hAnsi="仿宋_GB2312" w:eastAsia="仿宋_GB2312" w:cs="仿宋_GB2312"/>
          <w:b/>
          <w:bCs w:val="0"/>
          <w:sz w:val="28"/>
          <w:szCs w:val="28"/>
          <w:lang w:eastAsia="zh-CN"/>
        </w:rPr>
        <w:t xml:space="preserve">）</w:t>
      </w:r>
      <w:r>
        <w:rPr>
          <w:rFonts w:hint="eastAsia" w:ascii="仿宋_GB2312" w:hAnsi="仿宋_GB2312" w:eastAsia="仿宋_GB2312" w:cs="仿宋_GB2312"/>
          <w:b/>
          <w:bCs w:val="0"/>
          <w:sz w:val="28"/>
          <w:szCs w:val="28"/>
          <w:lang w:val="en-US" w:eastAsia="zh-CN"/>
        </w:rPr>
        <w:t xml:space="preserve">:</w:t>
      </w:r>
      <w:r>
        <w:rPr>
          <w:rFonts w:hint="eastAsia" w:ascii="仿宋_GB2312" w:hAnsi="仿宋_GB2312" w:eastAsia="仿宋_GB2312" w:cs="仿宋_GB2312"/>
          <w:bCs/>
          <w:sz w:val="28"/>
          <w:szCs w:val="28"/>
        </w:rPr>
        <w:t xml:space="preserve">供应商具有有效的经国家认监委平台备案的质量管理体系认证证书、</w:t>
      </w:r>
      <w:r>
        <w:rPr>
          <w:rFonts w:hint="eastAsia" w:ascii="仿宋_GB2312" w:hAnsi="仿宋_GB2312" w:eastAsia="仿宋_GB2312" w:cs="仿宋_GB2312"/>
          <w:bCs/>
          <w:sz w:val="28"/>
          <w:szCs w:val="28"/>
          <w:lang w:val="en-US" w:eastAsia="zh-CN"/>
        </w:rPr>
        <w:t xml:space="preserve">环境管理体系认证证书、职业健康管理</w:t>
      </w:r>
      <w:r>
        <w:rPr>
          <w:rFonts w:hint="eastAsia" w:ascii="仿宋_GB2312" w:hAnsi="仿宋_GB2312" w:eastAsia="仿宋_GB2312" w:cs="仿宋_GB2312"/>
          <w:bCs/>
          <w:sz w:val="28"/>
          <w:szCs w:val="28"/>
        </w:rPr>
        <w:t xml:space="preserve">体系认证证书，每具备一项得</w:t>
      </w:r>
      <w:r>
        <w:rPr>
          <w:rFonts w:hint="eastAsia" w:ascii="仿宋_GB2312" w:hAnsi="仿宋_GB2312" w:eastAsia="仿宋_GB2312" w:cs="仿宋_GB2312"/>
          <w:bCs/>
          <w:sz w:val="28"/>
          <w:szCs w:val="28"/>
          <w:lang w:val="en-US" w:eastAsia="zh-CN"/>
        </w:rPr>
        <w:t xml:space="preserve">1</w:t>
      </w:r>
      <w:r>
        <w:rPr>
          <w:rFonts w:hint="eastAsia" w:ascii="仿宋_GB2312" w:hAnsi="仿宋_GB2312" w:eastAsia="仿宋_GB2312" w:cs="仿宋_GB2312"/>
          <w:bCs/>
          <w:sz w:val="28"/>
          <w:szCs w:val="28"/>
        </w:rPr>
        <w:t xml:space="preserve">分，最高得</w:t>
      </w:r>
      <w:r>
        <w:rPr>
          <w:rFonts w:hint="eastAsia" w:ascii="仿宋_GB2312" w:hAnsi="仿宋_GB2312" w:eastAsia="仿宋_GB2312" w:cs="仿宋_GB2312"/>
          <w:bCs/>
          <w:sz w:val="28"/>
          <w:szCs w:val="28"/>
          <w:lang w:val="en-US" w:eastAsia="zh-CN"/>
        </w:rPr>
        <w:t xml:space="preserve">3</w:t>
      </w:r>
      <w:r>
        <w:rPr>
          <w:rFonts w:hint="eastAsia" w:ascii="仿宋_GB2312" w:hAnsi="仿宋_GB2312" w:eastAsia="仿宋_GB2312" w:cs="仿宋_GB2312"/>
          <w:bCs/>
          <w:sz w:val="28"/>
          <w:szCs w:val="28"/>
        </w:rPr>
        <w:t xml:space="preserve">分。</w:t>
      </w:r>
      <w:r/>
    </w:p>
    <w:p>
      <w:pPr>
        <w:numPr>
          <w:ilvl w:val="0"/>
          <w:numId w:val="0"/>
        </w:num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以上证书均须提供认证证书</w:t>
      </w:r>
      <w:r>
        <w:rPr>
          <w:rFonts w:hint="eastAsia" w:ascii="仿宋_GB2312" w:hAnsi="仿宋_GB2312" w:eastAsia="仿宋_GB2312" w:cs="仿宋_GB2312"/>
          <w:color w:val="auto"/>
          <w:sz w:val="28"/>
          <w:szCs w:val="28"/>
          <w:highlight w:val="none"/>
          <w:lang w:val="en-US" w:eastAsia="zh-CN"/>
        </w:rPr>
        <w:t xml:space="preserve">扫描</w:t>
      </w:r>
      <w:r>
        <w:rPr>
          <w:rFonts w:hint="eastAsia" w:ascii="仿宋_GB2312" w:hAnsi="仿宋_GB2312" w:eastAsia="仿宋_GB2312" w:cs="仿宋_GB2312"/>
          <w:color w:val="auto"/>
          <w:sz w:val="28"/>
          <w:szCs w:val="28"/>
          <w:highlight w:val="none"/>
        </w:rPr>
        <w:t xml:space="preserve">件及国家认证认可监督管理委员会平台</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http://cx.cnca.cn/CertECloud/result/skipResultList</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查询截图加盖供应商公章，不提供不得分。</w:t>
      </w:r>
      <w:r>
        <w:rPr>
          <w:rFonts w:hint="eastAsia" w:ascii="仿宋_GB2312" w:hAnsi="仿宋_GB2312" w:eastAsia="仿宋_GB2312" w:cs="仿宋_GB2312"/>
          <w:color w:val="auto"/>
          <w:sz w:val="28"/>
          <w:szCs w:val="28"/>
          <w:highlight w:val="none"/>
          <w:lang w:eastAsia="zh-CN"/>
        </w:rPr>
        <w:t xml:space="preserve">）</w:t>
      </w:r>
      <w:r/>
    </w:p>
    <w:p>
      <w:pPr>
        <w:pStyle w:val="872"/>
        <w:ind w:left="0" w:firstLine="560"/>
        <w:keepLines w:val="0"/>
        <w:keepNext w:val="0"/>
        <w:pageBreakBefore w:val="0"/>
        <w:spacing w:line="520" w:lineRule="exact"/>
        <w:widowControl w:val="off"/>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三、人员配置F3（36分）</w:t>
      </w:r>
      <w:r/>
    </w:p>
    <w:p>
      <w:pPr>
        <w:ind w:firstLine="562"/>
        <w:keepLines w:val="0"/>
        <w:keepNext w:val="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
          <w:bCs w:val="0"/>
          <w:color w:val="auto"/>
          <w:sz w:val="28"/>
          <w:szCs w:val="28"/>
        </w:rPr>
        <w:t xml:space="preserve">1</w:t>
      </w:r>
      <w:r>
        <w:rPr>
          <w:rFonts w:hint="eastAsia" w:ascii="仿宋_GB2312" w:hAnsi="仿宋_GB2312" w:eastAsia="仿宋_GB2312" w:cs="仿宋_GB2312"/>
          <w:b/>
          <w:bCs w:val="0"/>
          <w:color w:val="auto"/>
          <w:sz w:val="28"/>
          <w:szCs w:val="28"/>
          <w:lang w:val="en-US" w:eastAsia="zh-CN"/>
        </w:rPr>
        <w:t xml:space="preserve">.</w:t>
      </w:r>
      <w:r>
        <w:rPr>
          <w:rFonts w:hint="eastAsia" w:ascii="仿宋_GB2312" w:hAnsi="仿宋_GB2312" w:eastAsia="仿宋_GB2312" w:cs="仿宋_GB2312"/>
          <w:b/>
          <w:bCs w:val="0"/>
          <w:color w:val="auto"/>
          <w:sz w:val="28"/>
          <w:szCs w:val="28"/>
        </w:rPr>
        <w:t xml:space="preserve">项目负责人（</w:t>
      </w:r>
      <w:r>
        <w:rPr>
          <w:rFonts w:hint="eastAsia" w:ascii="仿宋_GB2312" w:hAnsi="仿宋_GB2312" w:eastAsia="仿宋_GB2312" w:cs="仿宋_GB2312"/>
          <w:b/>
          <w:bCs w:val="0"/>
          <w:color w:val="auto"/>
          <w:sz w:val="28"/>
          <w:szCs w:val="28"/>
          <w:lang w:val="en-US" w:eastAsia="zh-CN"/>
        </w:rPr>
        <w:t xml:space="preserve">12</w:t>
      </w:r>
      <w:r>
        <w:rPr>
          <w:rFonts w:hint="eastAsia" w:ascii="仿宋_GB2312" w:hAnsi="仿宋_GB2312" w:eastAsia="仿宋_GB2312" w:cs="仿宋_GB2312"/>
          <w:b/>
          <w:bCs w:val="0"/>
          <w:color w:val="auto"/>
          <w:sz w:val="28"/>
          <w:szCs w:val="28"/>
        </w:rPr>
        <w:t xml:space="preserve">分）：</w:t>
      </w:r>
      <w:r>
        <w:rPr>
          <w:rFonts w:hint="eastAsia" w:ascii="仿宋_GB2312" w:hAnsi="仿宋_GB2312" w:eastAsia="仿宋_GB2312" w:cs="仿宋_GB2312"/>
          <w:color w:val="auto"/>
          <w:sz w:val="28"/>
          <w:szCs w:val="28"/>
        </w:rPr>
        <w:t xml:space="preserve">供应商针对本项目应配备项目负责人</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名，</w:t>
      </w:r>
      <w:r>
        <w:rPr>
          <w:rFonts w:hint="eastAsia" w:ascii="仿宋_GB2312" w:hAnsi="仿宋_GB2312" w:eastAsia="仿宋_GB2312" w:cs="仿宋_GB2312"/>
          <w:bCs/>
          <w:color w:val="auto"/>
          <w:sz w:val="28"/>
          <w:szCs w:val="28"/>
        </w:rPr>
        <w:t xml:space="preserve">拟投入本项目的</w:t>
      </w:r>
      <w:r>
        <w:rPr>
          <w:rFonts w:hint="eastAsia" w:ascii="仿宋_GB2312" w:hAnsi="仿宋_GB2312" w:eastAsia="仿宋_GB2312" w:cs="仿宋_GB2312"/>
          <w:color w:val="auto"/>
          <w:sz w:val="28"/>
          <w:szCs w:val="28"/>
        </w:rPr>
        <w:t xml:space="preserve">项目负责人具有</w:t>
      </w:r>
      <w:r>
        <w:rPr>
          <w:rFonts w:hint="eastAsia" w:ascii="仿宋_GB2312" w:hAnsi="仿宋_GB2312" w:eastAsia="仿宋_GB2312" w:cs="仿宋_GB2312"/>
          <w:color w:val="auto"/>
          <w:sz w:val="28"/>
          <w:szCs w:val="28"/>
          <w:lang w:eastAsia="zh-CN"/>
        </w:rPr>
        <w:t xml:space="preserve">：</w:t>
      </w:r>
      <w:r>
        <w:rPr>
          <w:rFonts w:hint="eastAsia" w:ascii="仿宋_GB2312" w:hAnsi="仿宋_GB2312" w:eastAsia="仿宋_GB2312" w:cs="仿宋_GB2312"/>
          <w:color w:val="auto"/>
          <w:sz w:val="28"/>
          <w:szCs w:val="28"/>
        </w:rPr>
        <w:t xml:space="preserve">高级系统架构师、高级信息系统项目管理师、</w:t>
      </w:r>
      <w:r>
        <w:rPr>
          <w:rFonts w:hint="eastAsia" w:ascii="仿宋_GB2312" w:hAnsi="仿宋_GB2312" w:eastAsia="仿宋_GB2312" w:cs="仿宋_GB2312"/>
          <w:color w:val="auto"/>
          <w:sz w:val="28"/>
          <w:szCs w:val="28"/>
          <w:lang w:val="en-US" w:eastAsia="zh-CN"/>
        </w:rPr>
        <w:t xml:space="preserve">高级</w:t>
      </w:r>
      <w:r>
        <w:rPr>
          <w:rFonts w:hint="eastAsia" w:ascii="仿宋_GB2312" w:hAnsi="仿宋_GB2312" w:eastAsia="仿宋_GB2312" w:cs="仿宋_GB2312"/>
          <w:color w:val="auto"/>
          <w:sz w:val="28"/>
          <w:szCs w:val="28"/>
        </w:rPr>
        <w:t xml:space="preserve">信创</w:t>
      </w:r>
      <w:r>
        <w:rPr>
          <w:rFonts w:hint="eastAsia" w:ascii="仿宋_GB2312" w:hAnsi="仿宋_GB2312" w:eastAsia="仿宋_GB2312" w:cs="仿宋_GB2312"/>
          <w:color w:val="auto"/>
          <w:sz w:val="28"/>
          <w:szCs w:val="28"/>
          <w:lang w:val="en-US" w:eastAsia="zh-CN"/>
        </w:rPr>
        <w:t xml:space="preserve">集成项目</w:t>
      </w:r>
      <w:r>
        <w:rPr>
          <w:rFonts w:hint="eastAsia" w:ascii="仿宋_GB2312" w:hAnsi="仿宋_GB2312" w:eastAsia="仿宋_GB2312" w:cs="仿宋_GB2312"/>
          <w:color w:val="auto"/>
          <w:sz w:val="28"/>
          <w:szCs w:val="28"/>
        </w:rPr>
        <w:t xml:space="preserve">管理师</w:t>
      </w:r>
      <w:r>
        <w:rPr>
          <w:rFonts w:hint="eastAsia" w:ascii="仿宋_GB2312" w:hAnsi="仿宋_GB2312" w:eastAsia="仿宋_GB2312" w:cs="仿宋_GB2312"/>
          <w:color w:val="auto"/>
          <w:sz w:val="28"/>
          <w:szCs w:val="28"/>
          <w:lang w:eastAsia="zh-CN"/>
        </w:rPr>
        <w:t xml:space="preserve">、</w:t>
      </w:r>
      <w:r>
        <w:rPr>
          <w:rFonts w:hint="eastAsia" w:ascii="仿宋_GB2312" w:hAnsi="仿宋_GB2312" w:eastAsia="仿宋_GB2312" w:cs="仿宋_GB2312"/>
          <w:color w:val="auto"/>
          <w:sz w:val="28"/>
          <w:szCs w:val="28"/>
        </w:rPr>
        <w:t xml:space="preserve">高级工程师(</w:t>
      </w:r>
      <w:r>
        <w:rPr>
          <w:rFonts w:hint="eastAsia" w:ascii="仿宋_GB2312" w:hAnsi="仿宋_GB2312" w:eastAsia="仿宋_GB2312" w:cs="仿宋_GB2312"/>
          <w:color w:val="auto"/>
          <w:sz w:val="28"/>
          <w:szCs w:val="28"/>
          <w:lang w:val="en-US" w:eastAsia="zh-CN"/>
        </w:rPr>
        <w:t xml:space="preserve">专业：</w:t>
      </w:r>
      <w:r>
        <w:rPr>
          <w:rFonts w:hint="eastAsia" w:ascii="仿宋_GB2312" w:hAnsi="仿宋_GB2312" w:eastAsia="仿宋_GB2312" w:cs="仿宋_GB2312"/>
          <w:color w:val="auto"/>
          <w:sz w:val="28"/>
          <w:szCs w:val="28"/>
        </w:rPr>
        <w:t xml:space="preserve">数字经济</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电子信息</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工程)</w:t>
      </w:r>
      <w:r>
        <w:rPr>
          <w:rFonts w:hint="eastAsia" w:ascii="仿宋_GB2312" w:hAnsi="仿宋_GB2312" w:eastAsia="仿宋_GB2312" w:cs="仿宋_GB2312"/>
          <w:color w:val="auto"/>
          <w:sz w:val="28"/>
          <w:szCs w:val="28"/>
          <w:lang w:eastAsia="zh-CN"/>
        </w:rPr>
        <w:t xml:space="preserve">、</w:t>
      </w:r>
      <w:r>
        <w:rPr>
          <w:rFonts w:hint="eastAsia" w:ascii="仿宋_GB2312" w:hAnsi="仿宋_GB2312" w:eastAsia="仿宋_GB2312" w:cs="仿宋_GB2312"/>
          <w:color w:val="auto"/>
          <w:sz w:val="28"/>
          <w:szCs w:val="28"/>
        </w:rPr>
        <w:t xml:space="preserve">CISA</w:t>
      </w:r>
      <w:r>
        <w:rPr>
          <w:rFonts w:hint="eastAsia" w:ascii="仿宋_GB2312" w:hAnsi="仿宋_GB2312" w:eastAsia="仿宋_GB2312" w:cs="仿宋_GB2312"/>
          <w:color w:val="auto"/>
          <w:sz w:val="28"/>
          <w:szCs w:val="28"/>
          <w:lang w:val="en-US" w:eastAsia="zh-CN"/>
        </w:rPr>
        <w:t xml:space="preserve">W</w:t>
      </w:r>
      <w:r>
        <w:rPr>
          <w:rFonts w:hint="eastAsia" w:ascii="仿宋_GB2312" w:hAnsi="仿宋_GB2312" w:eastAsia="仿宋_GB2312" w:cs="仿宋_GB2312"/>
          <w:color w:val="auto"/>
          <w:sz w:val="28"/>
          <w:szCs w:val="28"/>
        </w:rPr>
        <w:t xml:space="preserve">信息安全保障人员</w:t>
      </w:r>
      <w:r>
        <w:rPr>
          <w:rFonts w:hint="eastAsia" w:ascii="仿宋_GB2312" w:hAnsi="仿宋_GB2312" w:eastAsia="仿宋_GB2312" w:cs="仿宋_GB2312"/>
          <w:color w:val="auto"/>
          <w:sz w:val="28"/>
          <w:szCs w:val="28"/>
          <w:lang w:eastAsia="zh-CN"/>
        </w:rPr>
        <w:t xml:space="preserve">（</w:t>
      </w:r>
      <w:r>
        <w:rPr>
          <w:rFonts w:hint="eastAsia" w:ascii="仿宋_GB2312" w:hAnsi="仿宋_GB2312" w:eastAsia="仿宋_GB2312" w:cs="仿宋_GB2312"/>
          <w:color w:val="auto"/>
          <w:sz w:val="28"/>
          <w:szCs w:val="28"/>
          <w:lang w:val="en-US" w:eastAsia="zh-CN"/>
        </w:rPr>
        <w:t xml:space="preserve">认证方向：安全软件</w:t>
      </w:r>
      <w:r>
        <w:rPr>
          <w:rFonts w:hint="eastAsia" w:ascii="仿宋_GB2312" w:hAnsi="仿宋_GB2312" w:eastAsia="仿宋_GB2312" w:cs="仿宋_GB2312"/>
          <w:color w:val="auto"/>
          <w:sz w:val="28"/>
          <w:szCs w:val="28"/>
          <w:lang w:eastAsia="zh-CN"/>
        </w:rPr>
        <w:t xml:space="preserve">）、</w:t>
      </w:r>
      <w:r>
        <w:rPr>
          <w:rFonts w:hint="eastAsia" w:ascii="仿宋_GB2312" w:hAnsi="仿宋_GB2312" w:eastAsia="仿宋_GB2312" w:cs="仿宋_GB2312"/>
          <w:color w:val="auto"/>
          <w:sz w:val="28"/>
          <w:szCs w:val="28"/>
        </w:rPr>
        <w:t xml:space="preserve">软件设计师</w:t>
      </w:r>
      <w:r>
        <w:rPr>
          <w:rFonts w:hint="eastAsia" w:ascii="仿宋_GB2312" w:hAnsi="仿宋_GB2312" w:eastAsia="仿宋_GB2312" w:cs="仿宋_GB2312"/>
          <w:color w:val="auto"/>
          <w:sz w:val="28"/>
          <w:szCs w:val="28"/>
          <w:lang w:val="en-US" w:eastAsia="zh-CN" w:bidi="ar-SA"/>
        </w:rPr>
        <w:t xml:space="preserve">证书</w:t>
      </w:r>
      <w:r>
        <w:rPr>
          <w:rFonts w:hint="eastAsia" w:ascii="仿宋_GB2312" w:hAnsi="仿宋_GB2312" w:eastAsia="仿宋_GB2312" w:cs="仿宋_GB2312"/>
          <w:color w:val="auto"/>
          <w:sz w:val="28"/>
          <w:szCs w:val="28"/>
        </w:rPr>
        <w:t xml:space="preserve">的，</w:t>
      </w:r>
      <w:r>
        <w:rPr>
          <w:rFonts w:hint="eastAsia" w:ascii="仿宋_GB2312" w:hAnsi="仿宋_GB2312" w:eastAsia="仿宋_GB2312" w:cs="仿宋_GB2312"/>
          <w:color w:val="auto"/>
          <w:sz w:val="28"/>
          <w:szCs w:val="28"/>
          <w:lang w:val="en-US" w:eastAsia="zh-CN" w:bidi="ar-SA"/>
        </w:rPr>
        <w:t xml:space="preserve">每有</w:t>
      </w:r>
      <w:r>
        <w:rPr>
          <w:rFonts w:hint="eastAsia" w:ascii="仿宋_GB2312" w:hAnsi="仿宋_GB2312" w:eastAsia="仿宋_GB2312" w:cs="仿宋_GB2312"/>
          <w:color w:val="auto"/>
          <w:sz w:val="28"/>
          <w:szCs w:val="28"/>
        </w:rPr>
        <w:t xml:space="preserve">一个得</w:t>
      </w:r>
      <w:r>
        <w:rPr>
          <w:rFonts w:hint="eastAsia" w:ascii="仿宋_GB2312" w:hAnsi="仿宋_GB2312" w:eastAsia="仿宋_GB2312" w:cs="仿宋_GB2312"/>
          <w:color w:val="auto"/>
          <w:sz w:val="28"/>
          <w:szCs w:val="28"/>
          <w:lang w:val="en-US" w:eastAsia="zh-CN"/>
        </w:rPr>
        <w:t xml:space="preserve">2</w:t>
      </w:r>
      <w:r>
        <w:rPr>
          <w:rFonts w:hint="eastAsia" w:ascii="仿宋_GB2312" w:hAnsi="仿宋_GB2312" w:eastAsia="仿宋_GB2312" w:cs="仿宋_GB2312"/>
          <w:color w:val="auto"/>
          <w:sz w:val="28"/>
          <w:szCs w:val="28"/>
        </w:rPr>
        <w:t xml:space="preserve">分，最高得</w:t>
      </w:r>
      <w:r>
        <w:rPr>
          <w:rFonts w:hint="eastAsia" w:ascii="仿宋_GB2312" w:hAnsi="仿宋_GB2312" w:eastAsia="仿宋_GB2312" w:cs="仿宋_GB2312"/>
          <w:color w:val="auto"/>
          <w:sz w:val="28"/>
          <w:szCs w:val="28"/>
          <w:lang w:val="en-US" w:eastAsia="zh-CN"/>
        </w:rPr>
        <w:t xml:space="preserve">12</w:t>
      </w:r>
      <w:r>
        <w:rPr>
          <w:rFonts w:hint="eastAsia" w:ascii="仿宋_GB2312" w:hAnsi="仿宋_GB2312" w:eastAsia="仿宋_GB2312" w:cs="仿宋_GB2312"/>
          <w:color w:val="auto"/>
          <w:sz w:val="28"/>
          <w:szCs w:val="28"/>
        </w:rPr>
        <w:t xml:space="preserve">分</w:t>
      </w:r>
      <w:r>
        <w:rPr>
          <w:rFonts w:hint="eastAsia" w:ascii="仿宋_GB2312" w:hAnsi="仿宋_GB2312" w:eastAsia="仿宋_GB2312" w:cs="仿宋_GB2312"/>
          <w:bCs/>
          <w:color w:val="auto"/>
          <w:sz w:val="28"/>
          <w:szCs w:val="28"/>
        </w:rPr>
        <w:t xml:space="preserve">。</w:t>
      </w:r>
      <w:r/>
    </w:p>
    <w:p>
      <w:pPr>
        <w:ind w:firstLine="562"/>
        <w:keepLines w:val="0"/>
        <w:keepNext w:val="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
          <w:bCs w:val="0"/>
          <w:color w:val="auto"/>
          <w:sz w:val="28"/>
          <w:szCs w:val="28"/>
        </w:rPr>
        <w:t xml:space="preserve">2</w:t>
      </w:r>
      <w:r>
        <w:rPr>
          <w:rFonts w:hint="eastAsia" w:ascii="仿宋_GB2312" w:hAnsi="仿宋_GB2312" w:eastAsia="仿宋_GB2312" w:cs="仿宋_GB2312"/>
          <w:b/>
          <w:bCs w:val="0"/>
          <w:color w:val="auto"/>
          <w:sz w:val="28"/>
          <w:szCs w:val="28"/>
          <w:lang w:val="en-US" w:eastAsia="zh-CN"/>
        </w:rPr>
        <w:t xml:space="preserve">.</w:t>
      </w:r>
      <w:r>
        <w:rPr>
          <w:rFonts w:hint="eastAsia" w:ascii="仿宋_GB2312" w:hAnsi="仿宋_GB2312" w:eastAsia="仿宋_GB2312" w:cs="仿宋_GB2312"/>
          <w:b/>
          <w:bCs w:val="0"/>
          <w:color w:val="auto"/>
          <w:sz w:val="28"/>
          <w:szCs w:val="28"/>
        </w:rPr>
        <w:t xml:space="preserve">技术负责人（</w:t>
      </w:r>
      <w:r>
        <w:rPr>
          <w:rFonts w:hint="eastAsia" w:ascii="仿宋_GB2312" w:hAnsi="仿宋_GB2312" w:eastAsia="仿宋_GB2312" w:cs="仿宋_GB2312"/>
          <w:b/>
          <w:bCs w:val="0"/>
          <w:color w:val="auto"/>
          <w:sz w:val="28"/>
          <w:szCs w:val="28"/>
          <w:lang w:val="en-US" w:eastAsia="zh-CN"/>
        </w:rPr>
        <w:t xml:space="preserve">10</w:t>
      </w:r>
      <w:r>
        <w:rPr>
          <w:rFonts w:hint="eastAsia" w:ascii="仿宋_GB2312" w:hAnsi="仿宋_GB2312" w:eastAsia="仿宋_GB2312" w:cs="仿宋_GB2312"/>
          <w:b/>
          <w:bCs w:val="0"/>
          <w:color w:val="auto"/>
          <w:sz w:val="28"/>
          <w:szCs w:val="28"/>
        </w:rPr>
        <w:t xml:space="preserve">分）：</w:t>
      </w:r>
      <w:r>
        <w:rPr>
          <w:rFonts w:hint="eastAsia" w:ascii="仿宋_GB2312" w:hAnsi="仿宋_GB2312" w:eastAsia="仿宋_GB2312" w:cs="仿宋_GB2312"/>
          <w:color w:val="auto"/>
          <w:sz w:val="28"/>
          <w:szCs w:val="28"/>
        </w:rPr>
        <w:t xml:space="preserve">供应商针对本项目应配备</w:t>
      </w:r>
      <w:r>
        <w:rPr>
          <w:rFonts w:hint="eastAsia" w:ascii="仿宋_GB2312" w:hAnsi="仿宋_GB2312" w:eastAsia="仿宋_GB2312" w:cs="仿宋_GB2312"/>
          <w:color w:val="auto"/>
          <w:sz w:val="28"/>
          <w:szCs w:val="28"/>
          <w:lang w:eastAsia="zh-CN"/>
        </w:rPr>
        <w:t xml:space="preserve">技术</w:t>
      </w:r>
      <w:r>
        <w:rPr>
          <w:rFonts w:hint="eastAsia" w:ascii="仿宋_GB2312" w:hAnsi="仿宋_GB2312" w:eastAsia="仿宋_GB2312" w:cs="仿宋_GB2312"/>
          <w:color w:val="auto"/>
          <w:sz w:val="28"/>
          <w:szCs w:val="28"/>
        </w:rPr>
        <w:t xml:space="preserve">负责人</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名，</w:t>
      </w:r>
      <w:r>
        <w:rPr>
          <w:rFonts w:hint="eastAsia" w:ascii="仿宋_GB2312" w:hAnsi="仿宋_GB2312" w:eastAsia="仿宋_GB2312" w:cs="仿宋_GB2312"/>
          <w:bCs/>
          <w:color w:val="auto"/>
          <w:sz w:val="28"/>
          <w:szCs w:val="28"/>
        </w:rPr>
        <w:t xml:space="preserve">拟投入本项目的技术负责人具有：软件工程师、</w:t>
      </w:r>
      <w:r>
        <w:rPr>
          <w:rFonts w:hint="eastAsia" w:ascii="仿宋_GB2312" w:hAnsi="仿宋_GB2312" w:eastAsia="仿宋_GB2312" w:cs="仿宋_GB2312"/>
          <w:bCs/>
          <w:color w:val="auto"/>
          <w:sz w:val="28"/>
          <w:szCs w:val="28"/>
          <w:lang w:val="en-US" w:eastAsia="zh-CN"/>
        </w:rPr>
        <w:t xml:space="preserve">IT服务项目经理、信息技术应用创新服务经理、</w:t>
      </w:r>
      <w:r>
        <w:rPr>
          <w:rFonts w:hint="eastAsia" w:ascii="仿宋_GB2312" w:hAnsi="仿宋_GB2312" w:eastAsia="仿宋_GB2312" w:cs="仿宋_GB2312"/>
          <w:bCs/>
          <w:color w:val="auto"/>
          <w:sz w:val="28"/>
          <w:szCs w:val="28"/>
        </w:rPr>
        <w:t xml:space="preserve">信创规划管理师、</w:t>
      </w:r>
      <w:r>
        <w:rPr>
          <w:rFonts w:hint="eastAsia" w:ascii="仿宋_GB2312" w:hAnsi="仿宋_GB2312" w:eastAsia="仿宋_GB2312" w:cs="仿宋_GB2312"/>
          <w:bCs/>
          <w:color w:val="auto"/>
          <w:sz w:val="28"/>
          <w:szCs w:val="28"/>
          <w:lang w:val="en-US" w:eastAsia="zh-CN"/>
        </w:rPr>
        <w:t xml:space="preserve">注册信息安全管理人员</w:t>
      </w:r>
      <w:r>
        <w:rPr>
          <w:rFonts w:hint="eastAsia" w:ascii="仿宋_GB2312" w:hAnsi="仿宋_GB2312" w:eastAsia="仿宋_GB2312" w:cs="仿宋_GB2312"/>
          <w:bCs/>
          <w:color w:val="auto"/>
          <w:sz w:val="28"/>
          <w:szCs w:val="28"/>
        </w:rPr>
        <w:t xml:space="preserve">证书</w:t>
      </w:r>
      <w:r>
        <w:rPr>
          <w:rFonts w:hint="eastAsia" w:ascii="仿宋_GB2312" w:hAnsi="仿宋_GB2312" w:eastAsia="仿宋_GB2312" w:cs="仿宋_GB2312"/>
          <w:bCs/>
          <w:color w:val="auto"/>
          <w:sz w:val="28"/>
          <w:szCs w:val="28"/>
          <w:lang w:eastAsia="zh-CN"/>
        </w:rPr>
        <w:t xml:space="preserve">的</w:t>
      </w:r>
      <w:r>
        <w:rPr>
          <w:rFonts w:hint="eastAsia" w:ascii="仿宋_GB2312" w:hAnsi="仿宋_GB2312" w:eastAsia="仿宋_GB2312" w:cs="仿宋_GB2312"/>
          <w:bCs/>
          <w:color w:val="auto"/>
          <w:sz w:val="28"/>
          <w:szCs w:val="28"/>
        </w:rPr>
        <w:t xml:space="preserve">，每有一个得2分，</w:t>
      </w:r>
      <w:r>
        <w:rPr>
          <w:rFonts w:hint="eastAsia" w:ascii="仿宋_GB2312" w:hAnsi="仿宋_GB2312" w:eastAsia="仿宋_GB2312" w:cs="仿宋_GB2312"/>
          <w:color w:val="auto"/>
          <w:sz w:val="28"/>
          <w:szCs w:val="28"/>
        </w:rPr>
        <w:t xml:space="preserve">最高得</w:t>
      </w:r>
      <w:r>
        <w:rPr>
          <w:rFonts w:hint="eastAsia" w:ascii="仿宋_GB2312" w:hAnsi="仿宋_GB2312" w:eastAsia="仿宋_GB2312" w:cs="仿宋_GB2312"/>
          <w:bCs/>
          <w:color w:val="auto"/>
          <w:sz w:val="28"/>
          <w:szCs w:val="28"/>
          <w:lang w:val="en-US" w:eastAsia="zh-CN"/>
        </w:rPr>
        <w:t xml:space="preserve">10</w:t>
      </w:r>
      <w:r>
        <w:rPr>
          <w:rFonts w:hint="eastAsia" w:ascii="仿宋_GB2312" w:hAnsi="仿宋_GB2312" w:eastAsia="仿宋_GB2312" w:cs="仿宋_GB2312"/>
          <w:bCs/>
          <w:color w:val="auto"/>
          <w:sz w:val="28"/>
          <w:szCs w:val="28"/>
        </w:rPr>
        <w:t xml:space="preserve">分。</w:t>
      </w:r>
      <w:r/>
    </w:p>
    <w:p>
      <w:pPr>
        <w:ind w:firstLine="562"/>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3.</w:t>
      </w:r>
      <w:r>
        <w:rPr>
          <w:rFonts w:hint="eastAsia" w:ascii="仿宋_GB2312" w:hAnsi="仿宋_GB2312" w:eastAsia="仿宋_GB2312" w:cs="仿宋_GB2312"/>
          <w:b/>
          <w:bCs w:val="0"/>
          <w:color w:val="auto"/>
          <w:sz w:val="28"/>
          <w:szCs w:val="28"/>
        </w:rPr>
        <w:t xml:space="preserve">信息安全负责人</w:t>
      </w:r>
      <w:r>
        <w:rPr>
          <w:rFonts w:hint="eastAsia" w:ascii="仿宋_GB2312" w:hAnsi="仿宋_GB2312" w:eastAsia="仿宋_GB2312" w:cs="仿宋_GB2312"/>
          <w:b/>
          <w:bCs w:val="0"/>
          <w:color w:val="auto"/>
          <w:sz w:val="28"/>
          <w:szCs w:val="28"/>
          <w:lang w:eastAsia="zh-CN"/>
        </w:rPr>
        <w:t xml:space="preserve">（</w:t>
      </w:r>
      <w:r>
        <w:rPr>
          <w:rFonts w:hint="eastAsia" w:ascii="仿宋_GB2312" w:hAnsi="仿宋_GB2312" w:eastAsia="仿宋_GB2312" w:cs="仿宋_GB2312"/>
          <w:b/>
          <w:bCs w:val="0"/>
          <w:color w:val="auto"/>
          <w:sz w:val="28"/>
          <w:szCs w:val="28"/>
          <w:lang w:val="en-US" w:eastAsia="zh-CN"/>
        </w:rPr>
        <w:t xml:space="preserve">6分</w:t>
      </w:r>
      <w:r>
        <w:rPr>
          <w:rFonts w:hint="eastAsia" w:ascii="仿宋_GB2312" w:hAnsi="仿宋_GB2312" w:eastAsia="仿宋_GB2312" w:cs="仿宋_GB2312"/>
          <w:b/>
          <w:bCs w:val="0"/>
          <w:color w:val="auto"/>
          <w:sz w:val="28"/>
          <w:szCs w:val="28"/>
          <w:lang w:eastAsia="zh-CN"/>
        </w:rPr>
        <w:t xml:space="preserve">）：</w:t>
      </w:r>
      <w:r>
        <w:rPr>
          <w:rFonts w:hint="eastAsia" w:ascii="仿宋_GB2312" w:hAnsi="仿宋_GB2312" w:eastAsia="仿宋_GB2312" w:cs="仿宋_GB2312"/>
          <w:color w:val="auto"/>
          <w:sz w:val="28"/>
          <w:szCs w:val="28"/>
        </w:rPr>
        <w:t xml:space="preserve">供应商针对本项目应配备信息安全负责人</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名，</w:t>
      </w:r>
      <w:r>
        <w:rPr>
          <w:rFonts w:hint="eastAsia" w:ascii="仿宋_GB2312" w:hAnsi="仿宋_GB2312" w:eastAsia="仿宋_GB2312" w:cs="仿宋_GB2312"/>
          <w:bCs/>
          <w:color w:val="auto"/>
          <w:sz w:val="28"/>
          <w:szCs w:val="28"/>
        </w:rPr>
        <w:t xml:space="preserve">拟投入本项目的</w:t>
      </w:r>
      <w:r>
        <w:rPr>
          <w:rFonts w:hint="eastAsia" w:ascii="仿宋_GB2312" w:hAnsi="仿宋_GB2312" w:eastAsia="仿宋_GB2312" w:cs="仿宋_GB2312"/>
          <w:bCs/>
          <w:color w:val="auto"/>
          <w:sz w:val="28"/>
          <w:szCs w:val="28"/>
          <w:lang w:eastAsia="zh-CN"/>
        </w:rPr>
        <w:t xml:space="preserve">信息安全负责人具有：CISAW信息安全保障人员认证证书（安全运维</w:t>
      </w:r>
      <w:r>
        <w:rPr>
          <w:rFonts w:hint="eastAsia" w:ascii="仿宋_GB2312" w:hAnsi="仿宋_GB2312" w:eastAsia="仿宋_GB2312" w:cs="仿宋_GB2312"/>
          <w:bCs/>
          <w:color w:val="auto"/>
          <w:sz w:val="28"/>
          <w:szCs w:val="28"/>
          <w:lang w:val="en-US" w:eastAsia="zh-CN"/>
        </w:rPr>
        <w:t xml:space="preserve">[</w:t>
      </w:r>
      <w:r>
        <w:rPr>
          <w:rFonts w:hint="eastAsia" w:ascii="仿宋_GB2312" w:hAnsi="仿宋_GB2312" w:eastAsia="仿宋_GB2312" w:cs="仿宋_GB2312"/>
          <w:bCs/>
          <w:color w:val="auto"/>
          <w:sz w:val="28"/>
          <w:szCs w:val="28"/>
          <w:lang w:eastAsia="zh-CN"/>
        </w:rPr>
        <w:t xml:space="preserve">专业级</w:t>
      </w:r>
      <w:r>
        <w:rPr>
          <w:rFonts w:hint="eastAsia" w:ascii="仿宋_GB2312" w:hAnsi="仿宋_GB2312" w:eastAsia="仿宋_GB2312" w:cs="仿宋_GB2312"/>
          <w:bCs/>
          <w:color w:val="auto"/>
          <w:sz w:val="28"/>
          <w:szCs w:val="28"/>
          <w:lang w:val="en-US" w:eastAsia="zh-CN"/>
        </w:rPr>
        <w:t xml:space="preserve">]</w:t>
      </w:r>
      <w:r>
        <w:rPr>
          <w:rFonts w:hint="eastAsia" w:ascii="仿宋_GB2312" w:hAnsi="仿宋_GB2312" w:eastAsia="仿宋_GB2312" w:cs="仿宋_GB2312"/>
          <w:bCs/>
          <w:color w:val="auto"/>
          <w:sz w:val="28"/>
          <w:szCs w:val="28"/>
          <w:lang w:eastAsia="zh-CN"/>
        </w:rPr>
        <w:t xml:space="preserve">）、CISAW信息安全保障人员认证证书（安全集成</w:t>
      </w:r>
      <w:r>
        <w:rPr>
          <w:rFonts w:hint="eastAsia" w:ascii="仿宋_GB2312" w:hAnsi="仿宋_GB2312" w:eastAsia="仿宋_GB2312" w:cs="仿宋_GB2312"/>
          <w:bCs/>
          <w:color w:val="auto"/>
          <w:sz w:val="28"/>
          <w:szCs w:val="28"/>
          <w:lang w:val="en-US" w:eastAsia="zh-CN"/>
        </w:rPr>
        <w:t xml:space="preserve">[</w:t>
      </w:r>
      <w:r>
        <w:rPr>
          <w:rFonts w:hint="eastAsia" w:ascii="仿宋_GB2312" w:hAnsi="仿宋_GB2312" w:eastAsia="仿宋_GB2312" w:cs="仿宋_GB2312"/>
          <w:bCs/>
          <w:color w:val="auto"/>
          <w:sz w:val="28"/>
          <w:szCs w:val="28"/>
          <w:lang w:eastAsia="zh-CN"/>
        </w:rPr>
        <w:t xml:space="preserve">专业级</w:t>
      </w:r>
      <w:r>
        <w:rPr>
          <w:rFonts w:hint="eastAsia" w:ascii="仿宋_GB2312" w:hAnsi="仿宋_GB2312" w:eastAsia="仿宋_GB2312" w:cs="仿宋_GB2312"/>
          <w:bCs/>
          <w:color w:val="auto"/>
          <w:sz w:val="28"/>
          <w:szCs w:val="28"/>
          <w:lang w:val="en-US" w:eastAsia="zh-CN"/>
        </w:rPr>
        <w:t xml:space="preserve">]</w:t>
      </w:r>
      <w:r>
        <w:rPr>
          <w:rFonts w:hint="eastAsia" w:ascii="仿宋_GB2312" w:hAnsi="仿宋_GB2312" w:eastAsia="仿宋_GB2312" w:cs="仿宋_GB2312"/>
          <w:bCs/>
          <w:color w:val="auto"/>
          <w:sz w:val="28"/>
          <w:szCs w:val="28"/>
          <w:lang w:eastAsia="zh-CN"/>
        </w:rPr>
        <w:t xml:space="preserve">）、注册信息安全专业人员（CISP）</w:t>
      </w:r>
      <w:r>
        <w:rPr>
          <w:rFonts w:hint="eastAsia" w:ascii="仿宋_GB2312" w:hAnsi="仿宋_GB2312" w:eastAsia="仿宋_GB2312" w:cs="仿宋_GB2312"/>
          <w:bCs/>
          <w:color w:val="auto"/>
          <w:sz w:val="28"/>
          <w:szCs w:val="28"/>
        </w:rPr>
        <w:t xml:space="preserve">证书</w:t>
      </w:r>
      <w:r>
        <w:rPr>
          <w:rFonts w:hint="eastAsia" w:ascii="仿宋_GB2312" w:hAnsi="仿宋_GB2312" w:eastAsia="仿宋_GB2312" w:cs="仿宋_GB2312"/>
          <w:bCs/>
          <w:color w:val="auto"/>
          <w:sz w:val="28"/>
          <w:szCs w:val="28"/>
          <w:lang w:eastAsia="zh-CN"/>
        </w:rPr>
        <w:t xml:space="preserve">的</w:t>
      </w:r>
      <w:r>
        <w:rPr>
          <w:rFonts w:hint="eastAsia" w:ascii="仿宋_GB2312" w:hAnsi="仿宋_GB2312" w:eastAsia="仿宋_GB2312" w:cs="仿宋_GB2312"/>
          <w:bCs/>
          <w:color w:val="auto"/>
          <w:sz w:val="28"/>
          <w:szCs w:val="28"/>
        </w:rPr>
        <w:t xml:space="preserve">，每有一个得2分，</w:t>
      </w:r>
      <w:r>
        <w:rPr>
          <w:rFonts w:hint="eastAsia" w:ascii="仿宋_GB2312" w:hAnsi="仿宋_GB2312" w:eastAsia="仿宋_GB2312" w:cs="仿宋_GB2312"/>
          <w:color w:val="auto"/>
          <w:sz w:val="28"/>
          <w:szCs w:val="28"/>
        </w:rPr>
        <w:t xml:space="preserve">最高</w:t>
      </w:r>
      <w:r>
        <w:rPr>
          <w:rFonts w:hint="eastAsia" w:ascii="仿宋_GB2312" w:hAnsi="仿宋_GB2312" w:eastAsia="仿宋_GB2312" w:cs="仿宋_GB2312"/>
          <w:bCs/>
          <w:color w:val="auto"/>
          <w:sz w:val="28"/>
          <w:szCs w:val="28"/>
        </w:rPr>
        <w:t xml:space="preserve">得</w:t>
      </w:r>
      <w:r>
        <w:rPr>
          <w:rFonts w:hint="eastAsia" w:ascii="仿宋_GB2312" w:hAnsi="仿宋_GB2312" w:eastAsia="仿宋_GB2312" w:cs="仿宋_GB2312"/>
          <w:bCs/>
          <w:color w:val="auto"/>
          <w:sz w:val="28"/>
          <w:szCs w:val="28"/>
          <w:lang w:val="en-US" w:eastAsia="zh-CN"/>
        </w:rPr>
        <w:t xml:space="preserve">6</w:t>
      </w:r>
      <w:r>
        <w:rPr>
          <w:rFonts w:hint="eastAsia" w:ascii="仿宋_GB2312" w:hAnsi="仿宋_GB2312" w:eastAsia="仿宋_GB2312" w:cs="仿宋_GB2312"/>
          <w:bCs/>
          <w:color w:val="auto"/>
          <w:sz w:val="28"/>
          <w:szCs w:val="28"/>
        </w:rPr>
        <w:t xml:space="preserve">分。</w:t>
      </w:r>
      <w:r/>
    </w:p>
    <w:p>
      <w:pPr>
        <w:ind w:firstLine="562"/>
        <w:keepLines w:val="0"/>
        <w:keepNext w:val="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
          <w:bCs w:val="0"/>
          <w:color w:val="auto"/>
          <w:sz w:val="28"/>
          <w:szCs w:val="28"/>
          <w:lang w:val="en-US" w:eastAsia="zh-CN"/>
        </w:rPr>
        <w:t xml:space="preserve">4.</w:t>
      </w:r>
      <w:r>
        <w:rPr>
          <w:rFonts w:hint="eastAsia" w:ascii="仿宋_GB2312" w:hAnsi="仿宋_GB2312" w:eastAsia="仿宋_GB2312" w:cs="仿宋_GB2312"/>
          <w:b/>
          <w:bCs w:val="0"/>
          <w:color w:val="auto"/>
          <w:sz w:val="28"/>
          <w:szCs w:val="28"/>
        </w:rPr>
        <w:t xml:space="preserve">运维负责人（</w:t>
      </w:r>
      <w:r>
        <w:rPr>
          <w:rFonts w:hint="eastAsia" w:ascii="仿宋_GB2312" w:hAnsi="仿宋_GB2312" w:eastAsia="仿宋_GB2312" w:cs="仿宋_GB2312"/>
          <w:b/>
          <w:bCs w:val="0"/>
          <w:color w:val="auto"/>
          <w:sz w:val="28"/>
          <w:szCs w:val="28"/>
          <w:lang w:val="en-US" w:eastAsia="zh-CN"/>
        </w:rPr>
        <w:t xml:space="preserve">8</w:t>
      </w:r>
      <w:r>
        <w:rPr>
          <w:rFonts w:hint="eastAsia" w:ascii="仿宋_GB2312" w:hAnsi="仿宋_GB2312" w:eastAsia="仿宋_GB2312" w:cs="仿宋_GB2312"/>
          <w:b/>
          <w:bCs w:val="0"/>
          <w:color w:val="auto"/>
          <w:sz w:val="28"/>
          <w:szCs w:val="28"/>
        </w:rPr>
        <w:t xml:space="preserve">分）：</w:t>
      </w:r>
      <w:r>
        <w:rPr>
          <w:rFonts w:hint="eastAsia" w:ascii="仿宋_GB2312" w:hAnsi="仿宋_GB2312" w:eastAsia="仿宋_GB2312" w:cs="仿宋_GB2312"/>
          <w:color w:val="auto"/>
          <w:sz w:val="28"/>
          <w:szCs w:val="28"/>
        </w:rPr>
        <w:t xml:space="preserve">供应商针对本项目应配备运维负责人</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名</w:t>
      </w:r>
      <w:r>
        <w:rPr>
          <w:rFonts w:hint="eastAsia" w:ascii="仿宋_GB2312" w:hAnsi="仿宋_GB2312" w:eastAsia="仿宋_GB2312" w:cs="仿宋_GB2312"/>
          <w:bCs/>
          <w:color w:val="auto"/>
          <w:sz w:val="28"/>
          <w:szCs w:val="28"/>
        </w:rPr>
        <w:t xml:space="preserve">，拟投入本项目的运维负责人具有</w:t>
      </w:r>
      <w:r>
        <w:rPr>
          <w:rFonts w:hint="eastAsia" w:ascii="仿宋_GB2312" w:hAnsi="仿宋_GB2312" w:eastAsia="仿宋_GB2312" w:cs="仿宋_GB2312"/>
          <w:bCs/>
          <w:color w:val="auto"/>
          <w:sz w:val="28"/>
          <w:szCs w:val="28"/>
          <w:lang w:eastAsia="zh-CN"/>
        </w:rPr>
        <w:t xml:space="preserve">：</w:t>
      </w:r>
      <w:r>
        <w:rPr>
          <w:rFonts w:hint="eastAsia" w:ascii="仿宋_GB2312" w:hAnsi="仿宋_GB2312" w:eastAsia="仿宋_GB2312" w:cs="仿宋_GB2312"/>
          <w:bCs/>
          <w:color w:val="auto"/>
          <w:sz w:val="28"/>
          <w:szCs w:val="28"/>
        </w:rPr>
        <w:t xml:space="preserve">系统分析师、网络工程师、系统架构师、信息系统项目管理师</w:t>
      </w:r>
      <w:r>
        <w:rPr>
          <w:rFonts w:hint="eastAsia" w:ascii="仿宋_GB2312" w:hAnsi="仿宋_GB2312" w:eastAsia="仿宋_GB2312" w:cs="仿宋_GB2312"/>
          <w:bCs/>
          <w:color w:val="auto"/>
          <w:sz w:val="28"/>
          <w:szCs w:val="28"/>
          <w:lang w:eastAsia="zh-CN"/>
        </w:rPr>
        <w:t xml:space="preserve">证书</w:t>
      </w:r>
      <w:r>
        <w:rPr>
          <w:rFonts w:hint="eastAsia" w:ascii="仿宋_GB2312" w:hAnsi="仿宋_GB2312" w:eastAsia="仿宋_GB2312" w:cs="仿宋_GB2312"/>
          <w:bCs/>
          <w:color w:val="auto"/>
          <w:sz w:val="28"/>
          <w:szCs w:val="28"/>
        </w:rPr>
        <w:t xml:space="preserve">的，</w:t>
      </w:r>
      <w:r>
        <w:rPr>
          <w:rFonts w:hint="eastAsia" w:ascii="仿宋_GB2312" w:hAnsi="仿宋_GB2312" w:eastAsia="仿宋_GB2312" w:cs="仿宋_GB2312"/>
          <w:bCs/>
          <w:color w:val="auto"/>
          <w:sz w:val="28"/>
          <w:szCs w:val="28"/>
          <w:lang w:eastAsia="zh-CN"/>
        </w:rPr>
        <w:t xml:space="preserve">每</w:t>
      </w:r>
      <w:r>
        <w:rPr>
          <w:rFonts w:hint="eastAsia" w:ascii="仿宋_GB2312" w:hAnsi="仿宋_GB2312" w:eastAsia="仿宋_GB2312" w:cs="仿宋_GB2312"/>
          <w:bCs/>
          <w:color w:val="auto"/>
          <w:sz w:val="28"/>
          <w:szCs w:val="28"/>
        </w:rPr>
        <w:t xml:space="preserve">有一个得</w:t>
      </w:r>
      <w:r>
        <w:rPr>
          <w:rFonts w:hint="eastAsia" w:ascii="仿宋_GB2312" w:hAnsi="仿宋_GB2312" w:eastAsia="仿宋_GB2312" w:cs="仿宋_GB2312"/>
          <w:bCs/>
          <w:color w:val="auto"/>
          <w:sz w:val="28"/>
          <w:szCs w:val="28"/>
          <w:lang w:val="en-US" w:eastAsia="zh-CN"/>
        </w:rPr>
        <w:t xml:space="preserve">2</w:t>
      </w:r>
      <w:r>
        <w:rPr>
          <w:rFonts w:hint="eastAsia" w:ascii="仿宋_GB2312" w:hAnsi="仿宋_GB2312" w:eastAsia="仿宋_GB2312" w:cs="仿宋_GB2312"/>
          <w:bCs/>
          <w:color w:val="auto"/>
          <w:sz w:val="28"/>
          <w:szCs w:val="28"/>
        </w:rPr>
        <w:t xml:space="preserve">分，最高得</w:t>
      </w:r>
      <w:r>
        <w:rPr>
          <w:rFonts w:hint="eastAsia" w:ascii="仿宋_GB2312" w:hAnsi="仿宋_GB2312" w:eastAsia="仿宋_GB2312" w:cs="仿宋_GB2312"/>
          <w:bCs/>
          <w:color w:val="auto"/>
          <w:sz w:val="28"/>
          <w:szCs w:val="28"/>
          <w:lang w:val="en-US" w:eastAsia="zh-CN"/>
        </w:rPr>
        <w:t xml:space="preserve">8</w:t>
      </w:r>
      <w:r>
        <w:rPr>
          <w:rFonts w:hint="eastAsia" w:ascii="仿宋_GB2312" w:hAnsi="仿宋_GB2312" w:eastAsia="仿宋_GB2312" w:cs="仿宋_GB2312"/>
          <w:bCs/>
          <w:color w:val="auto"/>
          <w:sz w:val="28"/>
          <w:szCs w:val="28"/>
        </w:rPr>
        <w:t xml:space="preserve">分。</w:t>
      </w:r>
      <w:r/>
    </w:p>
    <w:p>
      <w:pPr>
        <w:numPr>
          <w:ilvl w:val="0"/>
          <w:numId w:val="0"/>
        </w:numPr>
        <w:ind w:firstLine="562"/>
        <w:keepLines w:val="0"/>
        <w:keepNext w:val="0"/>
        <w:pageBreakBefore w:val="0"/>
        <w:spacing w:line="520" w:lineRule="exact"/>
        <w:widowControl w:val="off"/>
        <w:rPr>
          <w:rFonts w:hint="default" w:ascii="仿宋_GB2312" w:hAnsi="仿宋_GB2312" w:eastAsia="仿宋_GB2312" w:cs="仿宋_GB2312"/>
          <w:b/>
          <w:bCs/>
          <w:color w:val="auto"/>
          <w:sz w:val="28"/>
          <w:szCs w:val="28"/>
          <w:u w:val="none"/>
          <w:lang w:val="en-US" w:eastAsia="zh-CN" w:bidi="ar-SA"/>
        </w:rPr>
      </w:pPr>
      <w:r>
        <w:rPr>
          <w:rFonts w:hint="default" w:ascii="仿宋_GB2312" w:hAnsi="仿宋_GB2312" w:eastAsia="仿宋_GB2312" w:cs="仿宋_GB2312"/>
          <w:b/>
          <w:bCs/>
          <w:color w:val="auto"/>
          <w:sz w:val="28"/>
          <w:szCs w:val="28"/>
          <w:u w:val="none"/>
          <w:lang w:val="en-US" w:eastAsia="zh-CN" w:bidi="ar-SA"/>
        </w:rPr>
      </w:r>
      <w:r/>
    </w:p>
    <w:p>
      <w:pPr>
        <w:numPr>
          <w:ilvl w:val="0"/>
          <w:numId w:val="0"/>
        </w:numPr>
        <w:ind w:firstLine="562"/>
        <w:keepLines w:val="0"/>
        <w:keepNext w:val="0"/>
        <w:pageBreakBefore w:val="0"/>
        <w:spacing w:line="520" w:lineRule="exact"/>
        <w:widowControl w:val="off"/>
        <w:rPr>
          <w:rFonts w:hint="default" w:ascii="仿宋_GB2312" w:hAnsi="仿宋_GB2312" w:eastAsia="仿宋_GB2312" w:cs="仿宋_GB2312"/>
          <w:color w:val="auto"/>
          <w:sz w:val="28"/>
          <w:szCs w:val="28"/>
          <w:u w:val="none"/>
          <w:lang w:val="en-US" w:eastAsia="zh-CN" w:bidi="ar-SA"/>
        </w:rPr>
      </w:pPr>
      <w:r>
        <w:rPr>
          <w:rFonts w:hint="default" w:ascii="仿宋_GB2312" w:hAnsi="仿宋_GB2312" w:eastAsia="仿宋_GB2312" w:cs="仿宋_GB2312"/>
          <w:b/>
          <w:bCs/>
          <w:color w:val="auto"/>
          <w:sz w:val="28"/>
          <w:szCs w:val="28"/>
          <w:u w:val="none"/>
          <w:lang w:val="en-US" w:eastAsia="zh-CN" w:bidi="ar-SA"/>
        </w:rPr>
        <w:t xml:space="preserve">注：</w:t>
      </w:r>
      <w:r>
        <w:rPr>
          <w:rFonts w:hint="default" w:ascii="仿宋_GB2312" w:hAnsi="仿宋_GB2312" w:eastAsia="仿宋_GB2312" w:cs="仿宋_GB2312"/>
          <w:color w:val="auto"/>
          <w:sz w:val="28"/>
          <w:szCs w:val="28"/>
          <w:u w:val="none"/>
          <w:lang w:val="en-US" w:eastAsia="zh-CN" w:bidi="ar-SA"/>
        </w:rPr>
        <w:t xml:space="preserve">（1）拟</w:t>
      </w:r>
      <w:r>
        <w:rPr>
          <w:rFonts w:hint="default" w:ascii="仿宋_GB2312" w:hAnsi="仿宋_GB2312" w:eastAsia="仿宋_GB2312" w:cs="仿宋_GB2312"/>
          <w:b w:val="0"/>
          <w:bCs w:val="0"/>
          <w:color w:val="auto"/>
          <w:sz w:val="28"/>
          <w:szCs w:val="28"/>
          <w:u w:val="none"/>
          <w:lang w:val="en-US" w:eastAsia="zh-CN" w:bidi="ar-SA"/>
        </w:rPr>
        <w:t xml:space="preserve">投入本项目的项目负责人、</w:t>
      </w:r>
      <w:r>
        <w:rPr>
          <w:rFonts w:hint="eastAsia" w:ascii="仿宋_GB2312" w:hAnsi="仿宋_GB2312" w:eastAsia="仿宋_GB2312" w:cs="仿宋_GB2312"/>
          <w:b w:val="0"/>
          <w:bCs w:val="0"/>
          <w:color w:val="auto"/>
          <w:sz w:val="28"/>
          <w:szCs w:val="28"/>
        </w:rPr>
        <w:t xml:space="preserve">技术负责人</w:t>
      </w:r>
      <w:r>
        <w:rPr>
          <w:rFonts w:hint="eastAsia" w:ascii="仿宋_GB2312" w:hAnsi="仿宋_GB2312" w:eastAsia="仿宋_GB2312" w:cs="仿宋_GB2312"/>
          <w:b w:val="0"/>
          <w:bCs w:val="0"/>
          <w:color w:val="auto"/>
          <w:sz w:val="28"/>
          <w:szCs w:val="28"/>
          <w:lang w:eastAsia="zh-CN"/>
        </w:rPr>
        <w:t xml:space="preserve">、</w:t>
      </w:r>
      <w:r>
        <w:rPr>
          <w:rFonts w:hint="eastAsia" w:ascii="仿宋_GB2312" w:hAnsi="仿宋_GB2312" w:eastAsia="仿宋_GB2312" w:cs="仿宋_GB2312"/>
          <w:b w:val="0"/>
          <w:bCs w:val="0"/>
          <w:color w:val="auto"/>
          <w:sz w:val="28"/>
          <w:szCs w:val="28"/>
        </w:rPr>
        <w:t xml:space="preserve">信息安全负责人</w:t>
      </w:r>
      <w:r>
        <w:rPr>
          <w:rFonts w:hint="default" w:ascii="仿宋_GB2312" w:hAnsi="仿宋_GB2312" w:eastAsia="仿宋_GB2312" w:cs="仿宋_GB2312"/>
          <w:b w:val="0"/>
          <w:bCs w:val="0"/>
          <w:color w:val="auto"/>
          <w:sz w:val="28"/>
          <w:szCs w:val="28"/>
          <w:u w:val="none"/>
          <w:lang w:val="en-US" w:eastAsia="zh-CN" w:bidi="ar-SA"/>
        </w:rPr>
        <w:t xml:space="preserve">、运维负责人须为不同人员，不得相互兼任。</w:t>
      </w:r>
      <w:r/>
    </w:p>
    <w:p>
      <w:pPr>
        <w:numPr>
          <w:ilvl w:val="0"/>
          <w:numId w:val="0"/>
        </w:numPr>
        <w:ind w:firstLine="560"/>
        <w:keepLines w:val="0"/>
        <w:keepNext w:val="0"/>
        <w:pageBreakBefore w:val="0"/>
        <w:spacing w:line="520" w:lineRule="exact"/>
        <w:widowControl w:val="off"/>
        <w:rPr>
          <w:rFonts w:hint="default" w:ascii="仿宋_GB2312" w:hAnsi="仿宋_GB2312" w:eastAsia="仿宋_GB2312" w:cs="仿宋_GB2312"/>
          <w:color w:val="auto"/>
          <w:sz w:val="28"/>
          <w:szCs w:val="28"/>
          <w:u w:val="none"/>
          <w:lang w:val="en-US" w:eastAsia="zh-CN" w:bidi="ar-SA"/>
        </w:rPr>
      </w:pPr>
      <w:r>
        <w:rPr>
          <w:rFonts w:hint="default" w:ascii="仿宋_GB2312" w:hAnsi="仿宋_GB2312" w:eastAsia="仿宋_GB2312" w:cs="仿宋_GB2312"/>
          <w:color w:val="auto"/>
          <w:sz w:val="28"/>
          <w:szCs w:val="28"/>
          <w:u w:val="none"/>
          <w:lang w:val="en-US" w:eastAsia="zh-CN" w:bidi="ar-SA"/>
        </w:rPr>
        <w:t xml:space="preserve">（2）上述证书须由国家机关或其依法授权、委托的机构颁发，例如人力资源和社会保障部</w:t>
      </w:r>
      <w:r>
        <w:rPr>
          <w:rFonts w:hint="eastAsia" w:ascii="仿宋_GB2312" w:hAnsi="仿宋_GB2312" w:eastAsia="仿宋_GB2312" w:cs="仿宋_GB2312"/>
          <w:bCs/>
          <w:color w:val="auto"/>
          <w:sz w:val="28"/>
          <w:szCs w:val="28"/>
          <w:lang w:eastAsia="zh-CN"/>
        </w:rPr>
        <w:t xml:space="preserve">、</w:t>
      </w:r>
      <w:r>
        <w:rPr>
          <w:rFonts w:hint="eastAsia" w:ascii="仿宋_GB2312" w:hAnsi="仿宋_GB2312" w:eastAsia="仿宋_GB2312" w:cs="仿宋_GB2312"/>
          <w:bCs/>
          <w:color w:val="auto"/>
          <w:sz w:val="28"/>
          <w:szCs w:val="28"/>
        </w:rPr>
        <w:t xml:space="preserve">工业和信息化部、江苏省住房和城乡建设厅、中国网络安全审查认证和市场监管大数据中心</w:t>
      </w:r>
      <w:r>
        <w:rPr>
          <w:rFonts w:hint="eastAsia" w:ascii="仿宋_GB2312" w:hAnsi="仿宋_GB2312" w:eastAsia="仿宋_GB2312" w:cs="仿宋_GB2312"/>
          <w:bCs/>
          <w:color w:val="auto"/>
          <w:sz w:val="28"/>
          <w:szCs w:val="28"/>
          <w:lang w:eastAsia="zh-CN"/>
        </w:rPr>
        <w:t xml:space="preserve">、中国信息安全测评中心、中国电子技术标准化研究院</w:t>
      </w:r>
      <w:r>
        <w:rPr>
          <w:rFonts w:hint="default" w:ascii="仿宋_GB2312" w:hAnsi="仿宋_GB2312" w:eastAsia="仿宋_GB2312" w:cs="仿宋_GB2312"/>
          <w:color w:val="auto"/>
          <w:sz w:val="28"/>
          <w:szCs w:val="28"/>
          <w:u w:val="none"/>
          <w:lang w:val="en-US" w:eastAsia="zh-CN" w:bidi="ar-SA"/>
        </w:rPr>
        <w:t xml:space="preserve">及其授权、委托的机构等，且证书真实有效。证书名称如有调整，以发证机构现行有效名称为准。</w:t>
      </w:r>
      <w:r/>
    </w:p>
    <w:p>
      <w:pPr>
        <w:numPr>
          <w:ilvl w:val="0"/>
          <w:numId w:val="0"/>
        </w:numPr>
        <w:ind w:firstLine="560"/>
        <w:keepLines w:val="0"/>
        <w:keepNext w:val="0"/>
        <w:pageBreakBefore w:val="0"/>
        <w:spacing w:line="520" w:lineRule="exact"/>
        <w:widowControl w:val="off"/>
        <w:rPr>
          <w:rFonts w:hint="default" w:ascii="仿宋_GB2312" w:hAnsi="仿宋_GB2312" w:eastAsia="仿宋_GB2312" w:cs="仿宋_GB2312"/>
          <w:color w:val="auto"/>
          <w:sz w:val="28"/>
          <w:szCs w:val="28"/>
          <w:u w:val="none"/>
          <w:lang w:val="en-US" w:eastAsia="zh-CN" w:bidi="ar-SA"/>
        </w:rPr>
      </w:pPr>
      <w:r>
        <w:rPr>
          <w:rFonts w:hint="default" w:ascii="仿宋_GB2312" w:hAnsi="仿宋_GB2312" w:eastAsia="仿宋_GB2312" w:cs="仿宋_GB2312"/>
          <w:color w:val="auto"/>
          <w:sz w:val="28"/>
          <w:szCs w:val="28"/>
          <w:u w:val="none"/>
          <w:lang w:val="en-US" w:eastAsia="zh-CN" w:bidi="ar-SA"/>
        </w:rPr>
        <w:t xml:space="preserve">（3）供应商须提供上述人员相应证书原件的扫描件（加盖供应商公章），以及上述人员投标</w:t>
      </w:r>
      <w:r>
        <w:rPr>
          <w:rFonts w:hint="eastAsia" w:ascii="仿宋_GB2312" w:hAnsi="仿宋_GB2312" w:eastAsia="仿宋_GB2312" w:cs="仿宋_GB2312"/>
          <w:color w:val="auto"/>
          <w:sz w:val="28"/>
          <w:szCs w:val="28"/>
          <w:u w:val="none"/>
          <w:lang w:val="en-US" w:eastAsia="zh-CN" w:bidi="ar-SA"/>
        </w:rPr>
        <w:t xml:space="preserve">（响应）</w:t>
      </w:r>
      <w:r>
        <w:rPr>
          <w:rFonts w:hint="default" w:ascii="仿宋_GB2312" w:hAnsi="仿宋_GB2312" w:eastAsia="仿宋_GB2312" w:cs="仿宋_GB2312"/>
          <w:color w:val="auto"/>
          <w:sz w:val="28"/>
          <w:szCs w:val="28"/>
          <w:u w:val="none"/>
          <w:lang w:val="en-US" w:eastAsia="zh-CN" w:bidi="ar-SA"/>
        </w:rPr>
        <w:t xml:space="preserve">截止时间前六个月内任意一个月由供应商为其缴纳社会保险的证明扫描件（加盖供应商公章）。未提供或提供不符合要求的，相应证书不予计分；未提供社会保险缴纳证明或提供不符合要求的，该人员所在评分项不得分。本项评分以投标</w:t>
      </w:r>
      <w:r>
        <w:rPr>
          <w:rFonts w:hint="eastAsia" w:ascii="仿宋_GB2312" w:hAnsi="仿宋_GB2312" w:eastAsia="仿宋_GB2312" w:cs="仿宋_GB2312"/>
          <w:color w:val="auto"/>
          <w:sz w:val="28"/>
          <w:szCs w:val="28"/>
          <w:u w:val="none"/>
          <w:lang w:val="en-US" w:eastAsia="zh-CN" w:bidi="ar-SA"/>
        </w:rPr>
        <w:t xml:space="preserve">（响应）</w:t>
      </w:r>
      <w:r>
        <w:rPr>
          <w:rFonts w:hint="default" w:ascii="仿宋_GB2312" w:hAnsi="仿宋_GB2312" w:eastAsia="仿宋_GB2312" w:cs="仿宋_GB2312"/>
          <w:color w:val="auto"/>
          <w:sz w:val="28"/>
          <w:szCs w:val="28"/>
          <w:u w:val="none"/>
          <w:lang w:val="en-US" w:eastAsia="zh-CN" w:bidi="ar-SA"/>
        </w:rPr>
        <w:t xml:space="preserve">文件中提供的证明材料为准。</w:t>
      </w:r>
      <w:r/>
    </w:p>
    <w:p>
      <w:pPr>
        <w:pStyle w:val="872"/>
        <w:ind w:left="0" w:firstLine="560"/>
        <w:keepLines w:val="0"/>
        <w:keepNext w:val="0"/>
        <w:pageBreakBefore w:val="0"/>
        <w:spacing w:line="520" w:lineRule="exact"/>
        <w:widowControl w:val="off"/>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四、系统演示F4（33分）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1.企业端动火作业在线申报：</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演示企业端在线提交动火作业申报，作业负责人由登录账号自动带入，填写作业类型、作业起止时间、作业名称、动火级别、作业人数、现场监护与夜间作业标识、作业地点、作业场所描述等要素齐全，申请布控球点位和数量同步变化，申请点位的风险类别、点位位置、覆盖半径、原因说明。提供全面演示得3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2.作业方案与人员资质材料上传：</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演示动火作业票、施工方案、应急预案、特种作业人员资质等材料在线上传与在线预览，必填项自动校验，材料缺失时阻断提交并给出明确提示；安全承诺书可在线手写签字查看确认。提供全面演示得3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3.管理员派发任务单：</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管理员接收申请单，预览申请布控球数和现有布控球库存，选择评估专家并派发任务单。提供全面演示得2分，部分演示得1分，未提供演示不得分。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4.专家线上接收任务与申报资料查看：</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专家端接收评估任务，在线查看企业申报材料（作业票、施工方案、应急预案、特种作业证）与申报详情，预览核查事项清单。提供全面演示得2分，部分演示得1分，未提供演示不得分。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5.专家提交评估时间：</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演示专家提交评估时间，提交后上门评估时间同步至监管端企业端与作业单时间线，管理员、监管员、企业安全员可查看。提供全面演示得2分，部分演示得1分，未提供演示不得分。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6.专家现场定位签到：</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演示专家到评估现场进行定位签到，显示允许偏差范围、当前位置、与作业点距离，获取地图定位，获得最新位置和距离；签到成功后状态变为评估中。提供全面演示得2分，部分演示得1分，未提供演示不得分。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7.现场评估上传留痕：</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显示布控球库存；支持拍摄/上传现场照片，自动叠加时间、经纬度、地址水印，支持一次多张；对照核查清单进行评估，清单与预览的核查事项清单应一致；点位核查与申请点位一致，上传点位照片和评估结果，支持新增点位，所有信息一一对应，形成可追溯的评估证据。提供全面演示得3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8.评估指导意见：</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按评估维度逐项作出“符合 / 不符合 / 不适用”三态判定，判定为“不符合”的必须填写原因，复杂问题附加专家指导意见。提供全面演示得3分，部分演示得1分，未提供演示不得分。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9.评估结论联动布控点位：</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依据评估结论确定布控球布设点位与数量，点位信息随评估结果同步生成并可查看，数据不丢失、不重复，安装数量随确认安装的点位自动更新。提供全面演示得3分，部分演示得1分，未提供演示不得分。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10.AI 自动汇总专家意见生成评估报告：</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评估提交后系统按固定模板自动汇总评估维度结论、不符合项及原因、专家意见、现场影像与专家签名，一键生成评估报告。提供全面演示得3分，部分演示得1分，未提供演示不得分。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11.报告要素完整、生成逻辑合理：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报告包含评估结论、作业基本信息、现场核查与隐患点、点位明细、评估结论、合规性依据、专家意见、综合研判等要素，内容来源于本次真实评估数据；报告支持预览，内含现场影像留痕和专家签名，布局排版清晰合理，支持按常用文档形式下载导出，供企业、监管查阅留存。提供全面演示得4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
          <w:bCs w:val="0"/>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12.按评估点位绑定作业现场：</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依据评估确定的点位将布控球与动火作业单绑定，作业单与设备可双向关联跳转，绑定与解绑过程留痕，平台同步展示设备在线状态与实时作业画面。提供全面演示得3分，部分演示得1分，未提供演示不得分。</w:t>
      </w:r>
      <w:r/>
    </w:p>
    <w:p>
      <w:pPr>
        <w:ind w:firstLine="562"/>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说明：</w:t>
      </w:r>
      <w:r>
        <w:rPr>
          <w:rFonts w:hint="eastAsia" w:ascii="仿宋_GB2312" w:hAnsi="仿宋_GB2312" w:eastAsia="仿宋_GB2312" w:cs="仿宋_GB2312"/>
          <w:bCs/>
          <w:color w:val="auto"/>
          <w:sz w:val="28"/>
          <w:szCs w:val="28"/>
          <w:lang w:val="en-US" w:eastAsia="zh-CN"/>
        </w:rPr>
        <w:t xml:space="preserve">上传的演示视频将作为投标（响应）文件的组成部分，供应商应提供相应功能演示视频；通过PPT、图片、WORD文档等演示形式的，均视为不满足演示要求，不得分。视频时长总计不超过15分钟。</w:t>
      </w:r>
      <w:r/>
    </w:p>
    <w:p>
      <w:pPr>
        <w:ind w:firstLine="562"/>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
          <w:bCs w:val="0"/>
          <w:color w:val="auto"/>
          <w:sz w:val="28"/>
          <w:szCs w:val="28"/>
          <w:lang w:val="en-US" w:eastAsia="zh-CN"/>
        </w:rPr>
        <w:t xml:space="preserve">注：</w:t>
      </w:r>
      <w:r>
        <w:rPr>
          <w:rFonts w:hint="eastAsia" w:ascii="仿宋_GB2312" w:hAnsi="仿宋_GB2312" w:eastAsia="仿宋_GB2312" w:cs="仿宋_GB2312"/>
          <w:bCs/>
          <w:color w:val="auto"/>
          <w:sz w:val="28"/>
          <w:szCs w:val="28"/>
          <w:lang w:val="en-US" w:eastAsia="zh-CN"/>
        </w:rPr>
        <w:t xml:space="preserve">投标人需按照规定的演示内容制作演示视频文件，视频文件的格式为*.mp4或*.avi，投标人须将视频文件分段压缩为*.zip文件上传至苏采云平台，视频以专项命名（单个文件不得大于50M，所有文件总共不得大于300M）。具体演示视频上传操作请详细阅读《江苏省政府采购管理交易系统（苏采云）供应商操作指南》。</w:t>
      </w:r>
      <w:r/>
    </w:p>
    <w:p>
      <w:pPr>
        <w:pStyle w:val="872"/>
        <w:ind w:left="0" w:firstLine="560"/>
        <w:keepLines w:val="0"/>
        <w:keepNext w:val="0"/>
        <w:pageBreakBefore w:val="0"/>
        <w:spacing w:line="520" w:lineRule="exact"/>
        <w:widowControl w:val="off"/>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五、实施方案 F5（18分）</w:t>
      </w:r>
      <w:r/>
    </w:p>
    <w:p>
      <w:pPr>
        <w:ind w:firstLine="562"/>
        <w:keepLines w:val="0"/>
        <w:keepNext w:val="0"/>
        <w:pageBreakBefore w:val="0"/>
        <w:spacing w:line="520" w:lineRule="exact"/>
        <w:widowControl w:val="off"/>
        <w:rPr>
          <w:rFonts w:hint="eastAsia" w:ascii="仿宋_GB2312" w:hAnsi="仿宋_GB2312" w:eastAsia="仿宋_GB2312" w:cs="仿宋_GB2312"/>
          <w:b/>
          <w:bCs/>
          <w:i w:val="0"/>
          <w:iCs w:val="0"/>
          <w:caps w:val="0"/>
          <w:color w:val="auto"/>
          <w:spacing w:val="0"/>
          <w:sz w:val="28"/>
          <w:szCs w:val="28"/>
          <w:shd w:val="clear" w:color="auto" w:fill="ffffff"/>
          <w:lang w:val="en-US" w:eastAsia="zh-CN"/>
        </w:rPr>
      </w:pPr>
      <w:r>
        <w:rPr>
          <w:rFonts w:hint="eastAsia" w:ascii="仿宋_GB2312" w:hAnsi="仿宋_GB2312" w:eastAsia="仿宋_GB2312" w:cs="仿宋_GB2312"/>
          <w:b/>
          <w:bCs/>
          <w:i w:val="0"/>
          <w:iCs w:val="0"/>
          <w:caps w:val="0"/>
          <w:color w:val="auto"/>
          <w:spacing w:val="0"/>
          <w:sz w:val="28"/>
          <w:szCs w:val="28"/>
          <w:shd w:val="clear" w:color="auto" w:fill="ffffff"/>
          <w:lang w:val="en-US" w:eastAsia="zh-CN"/>
        </w:rPr>
        <w:t xml:space="preserve">1、整体实施方案（6 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(1)供应商投标（响应）文件未符合“整体实施方案”中全部条款要求的，视为不符合采购文件，本项得0分。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(2)供应商投标（响应）文件符合“整体实施方案”中全部条款要求的，视为符合采购文件，本项得3分。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(3)经评委认定，供应商投标（响应）文件对“整体实施方案”中“项目建设思路”“实施要求”“组织架构”三项要求的响应内容全部优于采购文件要求的，本项得6分。</w:t>
      </w:r>
      <w:r/>
    </w:p>
    <w:p>
      <w:pPr>
        <w:ind w:firstLine="562"/>
        <w:keepLines w:val="0"/>
        <w:keepNext w:val="0"/>
        <w:pageBreakBefore w:val="0"/>
        <w:spacing w:line="520" w:lineRule="exact"/>
        <w:widowControl w:val="off"/>
        <w:rPr>
          <w:rFonts w:hint="eastAsia" w:ascii="仿宋_GB2312" w:hAnsi="仿宋_GB2312" w:eastAsia="仿宋_GB2312" w:cs="仿宋_GB2312"/>
          <w:b/>
          <w:bCs/>
          <w:i w:val="0"/>
          <w:iCs w:val="0"/>
          <w:caps w:val="0"/>
          <w:color w:val="auto"/>
          <w:spacing w:val="0"/>
          <w:sz w:val="28"/>
          <w:szCs w:val="28"/>
          <w:shd w:val="clear" w:color="auto" w:fill="ffffff"/>
          <w:lang w:val="en-US" w:eastAsia="zh-CN"/>
        </w:rPr>
      </w:pPr>
      <w:r>
        <w:rPr>
          <w:rFonts w:hint="eastAsia" w:ascii="仿宋_GB2312" w:hAnsi="仿宋_GB2312" w:eastAsia="仿宋_GB2312" w:cs="仿宋_GB2312"/>
          <w:b/>
          <w:bCs/>
          <w:i w:val="0"/>
          <w:iCs w:val="0"/>
          <w:caps w:val="0"/>
          <w:color w:val="auto"/>
          <w:spacing w:val="0"/>
          <w:sz w:val="28"/>
          <w:szCs w:val="28"/>
          <w:shd w:val="clear" w:color="auto" w:fill="ffffff"/>
          <w:lang w:val="en-US" w:eastAsia="zh-CN"/>
        </w:rPr>
        <w:t xml:space="preserve">2、进度计划与应急事件处置方案（6分）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(1)供应商投标（响应）文件未符合“进度计划与应急事件处置方案”中全部条款要求的，视为不符合采购文件，本项得0分。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(2)供应商投标（响应）文件符合“进度计划与应急事件处置方案”中全部条款要求的，视为符合采购文件，本项得3分。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(3)经评委认定，供应商投标（响应）文件对“进度计划与应急事件处置方案”中“进度计划”“应急事件预防与处置”两项要求的响应内容全部优于采购文件要求的，本项得6分。</w:t>
      </w:r>
      <w:r/>
    </w:p>
    <w:p>
      <w:pPr>
        <w:ind w:firstLine="562"/>
        <w:keepLines w:val="0"/>
        <w:keepNext w:val="0"/>
        <w:pageBreakBefore w:val="0"/>
        <w:spacing w:line="520" w:lineRule="exact"/>
        <w:widowControl w:val="off"/>
        <w:rPr>
          <w:rFonts w:hint="eastAsia" w:ascii="仿宋_GB2312" w:hAnsi="仿宋_GB2312" w:eastAsia="仿宋_GB2312" w:cs="仿宋_GB2312"/>
          <w:b/>
          <w:bCs/>
          <w:i w:val="0"/>
          <w:iCs w:val="0"/>
          <w:caps w:val="0"/>
          <w:color w:val="auto"/>
          <w:spacing w:val="0"/>
          <w:sz w:val="28"/>
          <w:szCs w:val="28"/>
          <w:shd w:val="clear" w:color="auto" w:fill="ffffff"/>
          <w:lang w:val="en-US" w:eastAsia="zh-CN"/>
        </w:rPr>
      </w:pPr>
      <w:r>
        <w:rPr>
          <w:rFonts w:hint="eastAsia" w:ascii="仿宋_GB2312" w:hAnsi="仿宋_GB2312" w:eastAsia="仿宋_GB2312" w:cs="仿宋_GB2312"/>
          <w:b/>
          <w:bCs/>
          <w:i w:val="0"/>
          <w:iCs w:val="0"/>
          <w:caps w:val="0"/>
          <w:color w:val="auto"/>
          <w:spacing w:val="0"/>
          <w:sz w:val="28"/>
          <w:szCs w:val="28"/>
          <w:shd w:val="clear" w:color="auto" w:fill="ffffff"/>
          <w:lang w:val="en-US" w:eastAsia="zh-CN"/>
        </w:rPr>
        <w:t xml:space="preserve">3、售后服务保障措施及响应（6 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(1)供应商投标（响应）文件未符合“售后服务保障措施及响应”中全部条款要求的，视为不符合采购文件，本项得0分。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 xml:space="preserve">(2)供应商投标（响应）文件符合“售后服务保障措施及响应”中全部条款要求的，视为符合采购文件，本项得3分。</w:t>
      </w:r>
      <w:r/>
    </w:p>
    <w:p>
      <w:pPr>
        <w:ind w:firstLine="560"/>
        <w:keepLines w:val="0"/>
        <w:keepNext w:val="0"/>
        <w:pageBreakBefore w:val="0"/>
        <w:spacing w:line="520" w:lineRule="exact"/>
        <w:widowControl w:val="off"/>
        <w:rPr>
          <w:rFonts w:hint="eastAsia" w:ascii="仿宋_GB2312" w:hAnsi="仿宋_GB2312" w:eastAsia="仿宋_GB2312" w:cs="仿宋_GB2312"/>
          <w:i w:val="0"/>
          <w:iCs w:val="0"/>
          <w:caps w:val="0"/>
          <w:color w:val="auto"/>
          <w:spacing w:val="0"/>
          <w:sz w:val="28"/>
          <w:szCs w:val="28"/>
          <w:shd w:val="clear" w:color="auto" w:fill="ffffff"/>
        </w:rPr>
      </w:pPr>
      <w:r>
        <w:rPr>
          <w:rFonts w:hint="eastAsia" w:ascii="仿宋_GB2312" w:hAnsi="仿宋_GB2312" w:eastAsia="仿宋_GB2312" w:cs="仿宋_GB2312"/>
          <w:bCs/>
          <w:color w:val="auto"/>
          <w:sz w:val="28"/>
          <w:szCs w:val="28"/>
          <w:lang w:val="en-US" w:eastAsia="zh-CN"/>
        </w:rPr>
        <w:t xml:space="preserve">(3)经评委认定，供应商投标（响应）文件对“售后服务保障措施及响应”中“服务保障体系”“响应时间与方式”“服务内容”“服务期限与运维报告”四项要求的响应内容全部优于采购文件要求的，本项得6分。</w:t>
      </w:r>
      <w:r/>
    </w:p>
    <w:p>
      <w:pPr>
        <w:ind w:firstLine="560"/>
        <w:keepLines w:val="0"/>
        <w:keepNext w:val="0"/>
        <w:pageBreakBefore w:val="0"/>
        <w:spacing w:line="52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r>
      <w:r/>
    </w:p>
    <w:p>
      <w:pPr>
        <w:ind w:firstLine="560"/>
        <w:keepLines w:val="0"/>
        <w:keepNext w:val="0"/>
        <w:pageBreakBefore w:val="0"/>
        <w:spacing w:line="500" w:lineRule="exact"/>
        <w:widowControl w:val="off"/>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综合得分＝F1+F2+F3+F4+F5</w:t>
      </w:r>
      <w:r/>
    </w:p>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pStyle w:val="900"/>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6"/>
      <w:r/>
      <w:bookmarkEnd w:id="187"/>
      <w:r/>
      <w:bookmarkEnd w:id="188"/>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211" w:name="_Hlt26671244"/>
      <w:r/>
      <w:bookmarkEnd w:id="211"/>
      <w:r/>
      <w:bookmarkStart w:id="212" w:name="_Hlt26955039"/>
      <w:r/>
      <w:bookmarkEnd w:id="212"/>
      <w:r/>
      <w:bookmarkStart w:id="213" w:name="_Toc26554094"/>
      <w:r/>
      <w:bookmarkStart w:id="214" w:name="_Toc120614282"/>
      <w:r/>
      <w:bookmarkStart w:id="215"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一、法人或者其他组织的营业执照等证明文件，自然人的身份证明</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二、财务状况报告</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w:t>
      </w:r>
      <w:r>
        <w:rPr>
          <w:rFonts w:hint="eastAsia" w:ascii="黑体" w:hAnsi="黑体" w:eastAsia="黑体" w:cs="黑体"/>
          <w:b w:val="0"/>
          <w:bCs w:val="0"/>
          <w:i w:val="0"/>
          <w:iCs/>
          <w:sz w:val="28"/>
          <w:szCs w:val="28"/>
          <w:highlight w:val="none"/>
          <w:u w:val="none"/>
        </w:rPr>
        <w:t xml:space="preserve">面声明</w:t>
      </w:r>
      <w:r/>
    </w:p>
    <w:p>
      <w:pPr>
        <w:ind w:left="0" w:right="0" w:firstLine="560"/>
        <w:pageBreakBefore w:val="0"/>
        <w:spacing w:line="520" w:lineRule="exact"/>
        <w:rPr>
          <w:rFonts w:hint="eastAsia" w:ascii="黑体" w:hAnsi="黑体" w:eastAsia="黑体" w:cs="黑体"/>
          <w:b w:val="0"/>
          <w:bCs w:val="0"/>
          <w:i w:val="0"/>
          <w:iCs/>
          <w:color w:val="ff0000"/>
          <w:sz w:val="24"/>
          <w:szCs w:val="24"/>
          <w:highlight w:val="none"/>
          <w:u w:val="none"/>
          <w:lang w:eastAsia="zh-CN"/>
        </w:rPr>
      </w:pPr>
      <w:r>
        <w:rPr>
          <w:rFonts w:hint="eastAsia" w:ascii="黑体" w:hAnsi="黑体" w:eastAsia="黑体" w:cs="黑体"/>
          <w:b w:val="0"/>
          <w:bCs w:val="0"/>
          <w:i w:val="0"/>
          <w:iCs/>
          <w:sz w:val="28"/>
          <w:szCs w:val="28"/>
          <w:highlight w:val="none"/>
          <w:u w:val="none"/>
        </w:rPr>
        <w:t xml:space="preserve">六、特定资格要求的证明文件</w:t>
      </w:r>
      <w:r>
        <w:rPr>
          <w:rFonts w:hint="eastAsia" w:ascii="黑体" w:hAnsi="黑体" w:eastAsia="黑体" w:cs="黑体"/>
          <w:i/>
          <w:color w:val="ff0000"/>
          <w:sz w:val="24"/>
          <w:szCs w:val="24"/>
          <w:u w:val="single"/>
        </w:rPr>
        <w:t xml:space="preserve">（如果项目设置特定资格要求，则需要提供）</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八、磋商响应函</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lang w:eastAsia="zh-CN"/>
        </w:rPr>
      </w:pPr>
      <w:r>
        <w:rPr>
          <w:rFonts w:hint="eastAsia" w:ascii="黑体" w:hAnsi="黑体" w:eastAsia="黑体" w:cs="黑体"/>
          <w:b w:val="0"/>
          <w:bCs w:val="0"/>
          <w:i w:val="0"/>
          <w:iCs/>
          <w:sz w:val="28"/>
          <w:szCs w:val="28"/>
          <w:highlight w:val="none"/>
          <w:u w:val="none"/>
        </w:rPr>
        <w:t xml:space="preserve">九、</w:t>
      </w:r>
      <w:r>
        <w:rPr>
          <w:rFonts w:hint="eastAsia" w:ascii="黑体" w:hAnsi="黑体" w:eastAsia="黑体" w:cs="黑体"/>
          <w:b w:val="0"/>
          <w:bCs w:val="0"/>
          <w:i w:val="0"/>
          <w:iCs/>
          <w:sz w:val="28"/>
          <w:szCs w:val="28"/>
          <w:highlight w:val="none"/>
          <w:u w:val="none"/>
          <w:lang w:eastAsia="zh-CN"/>
        </w:rPr>
        <w:t xml:space="preserve">竞争性磋商首次报价书</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一</w:t>
      </w:r>
      <w:r>
        <w:rPr>
          <w:rFonts w:hint="eastAsia" w:ascii="黑体" w:hAnsi="黑体" w:eastAsia="黑体" w:cs="黑体"/>
          <w:b w:val="0"/>
          <w:bCs w:val="0"/>
          <w:i w:val="0"/>
          <w:iCs/>
          <w:color w:val="auto"/>
          <w:sz w:val="28"/>
          <w:szCs w:val="28"/>
          <w:highlight w:val="none"/>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二</w:t>
      </w:r>
      <w:r>
        <w:rPr>
          <w:rFonts w:hint="eastAsia" w:ascii="黑体" w:hAnsi="黑体" w:eastAsia="黑体" w:cs="黑体"/>
          <w:b w:val="0"/>
          <w:bCs w:val="0"/>
          <w:i w:val="0"/>
          <w:iCs/>
          <w:color w:val="auto"/>
          <w:sz w:val="28"/>
          <w:szCs w:val="28"/>
          <w:highlight w:val="none"/>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三</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服务</w:t>
      </w:r>
      <w:r>
        <w:rPr>
          <w:rFonts w:hint="eastAsia" w:ascii="黑体" w:hAnsi="黑体" w:eastAsia="黑体" w:cs="黑体"/>
          <w:b w:val="0"/>
          <w:bCs w:val="0"/>
          <w:i w:val="0"/>
          <w:iCs/>
          <w:color w:val="auto"/>
          <w:sz w:val="28"/>
          <w:szCs w:val="28"/>
          <w:highlight w:val="none"/>
          <w:u w:val="none"/>
        </w:rPr>
        <w:t xml:space="preserve">要求响应及偏离表</w:t>
      </w:r>
      <w:r/>
    </w:p>
    <w:p>
      <w:pPr>
        <w:ind w:left="0" w:right="0" w:firstLine="560"/>
        <w:pageBreakBefore w:val="0"/>
        <w:spacing w:line="520" w:lineRule="exact"/>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pPr>
      <w:r>
        <w:rPr>
          <w:rFonts w:hint="eastAsia" w:ascii="黑体" w:hAnsi="黑体" w:eastAsia="黑体" w:cs="黑体"/>
          <w:b w:val="0"/>
          <w:bCs w:val="0"/>
          <w:i w:val="0"/>
          <w:iCs/>
          <w:color w:val="000000" w:themeColor="text1"/>
          <w:sz w:val="28"/>
          <w:szCs w:val="28"/>
          <w:highlight w:val="none"/>
          <w:u w:val="none"/>
          <w:lang w:eastAsia="zh-CN"/>
          <w14:textFill>
            <w14:solidFill>
              <w14:schemeClr w14:val="tx1"/>
            </w14:solidFill>
          </w14:textFill>
        </w:rPr>
        <w:t xml:space="preserve">十四、</w:t>
      </w:r>
      <w:r>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五</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磋商</w:t>
      </w:r>
      <w:r>
        <w:rPr>
          <w:rFonts w:hint="eastAsia" w:ascii="黑体" w:hAnsi="黑体" w:eastAsia="黑体" w:cs="黑体"/>
          <w:b w:val="0"/>
          <w:bCs w:val="0"/>
          <w:i w:val="0"/>
          <w:iCs/>
          <w:color w:val="auto"/>
          <w:sz w:val="28"/>
          <w:szCs w:val="28"/>
          <w:highlight w:val="none"/>
          <w:u w:val="none"/>
        </w:rPr>
        <w:t xml:space="preserve">文件中要求提供的承诺、声明等</w:t>
      </w:r>
      <w:r>
        <w:rPr>
          <w:rFonts w:hint="eastAsia" w:ascii="黑体" w:hAnsi="黑体" w:eastAsia="黑体" w:cs="黑体"/>
          <w:b w:val="0"/>
          <w:bCs w:val="0"/>
          <w:i w:val="0"/>
          <w:iCs/>
          <w:color w:val="auto"/>
          <w:sz w:val="28"/>
          <w:szCs w:val="28"/>
          <w:u w:val="none"/>
        </w:rPr>
        <w:t xml:space="preserve">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一、法人或者其他组织的营业执照等证明文件，自然人的身份证明</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2"/>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
          <w:bCs w:val="0"/>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bookmarkEnd w:id="213"/>
      <w:r/>
      <w:bookmarkEnd w:id="214"/>
      <w:r/>
      <w:bookmarkEnd w:id="215"/>
      <w:r/>
      <w:r/>
    </w:p>
    <w:p>
      <w:pPr>
        <w:ind w:left="0" w:right="0" w:firstLine="640"/>
        <w:pageBreakBefore w:val="0"/>
        <w:spacing w:line="520" w:lineRule="exact"/>
        <w:rPr>
          <w:rFonts w:hint="eastAsia" w:ascii="仿宋_GB2312" w:hAnsi="仿宋_GB2312" w:eastAsia="黑体" w:cs="仿宋_GB2312"/>
          <w:bCs/>
          <w:i w:val="0"/>
          <w:iCs w:val="0"/>
          <w:sz w:val="32"/>
          <w:szCs w:val="32"/>
          <w:highlight w:val="yellow"/>
          <w:u w:val="single"/>
          <w:lang w:val="en-US" w:eastAsia="zh-CN"/>
        </w:rPr>
      </w:pPr>
      <w:r/>
      <w:bookmarkStart w:id="216" w:name="_Toc120614284"/>
      <w:r>
        <w:rPr>
          <w:rFonts w:hint="eastAsia" w:ascii="仿宋_GB2312" w:hAnsi="仿宋_GB2312" w:eastAsia="仿宋_GB2312" w:cs="仿宋_GB2312"/>
          <w:bCs/>
          <w:i w:val="0"/>
          <w:iCs w:val="0"/>
          <w:sz w:val="32"/>
          <w:szCs w:val="32"/>
          <w:highlight w:val="yellow"/>
          <w:u w:val="single"/>
          <w:lang w:val="en-US" w:eastAsia="zh-CN"/>
        </w:rPr>
        <w:t xml:space="preserve">本项目无特定资格要求，无需提供。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right="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项目采购活动的合法代理人，以本单位名义全权处理一切与该项目采购有关的事务。</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217" w:name="_Hlt26671380"/>
      <w:r/>
      <w:bookmarkEnd w:id="217"/>
      <w:r/>
      <w:bookmarkStart w:id="218" w:name="_Hlt26955070"/>
      <w:r/>
      <w:bookmarkEnd w:id="218"/>
      <w:r/>
      <w:bookmarkStart w:id="219" w:name="_格式3__银行出具的资信证明"/>
      <w:r/>
      <w:bookmarkEnd w:id="219"/>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jc w:val="center"/>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20" w:name="TBR"/>
      <w:r/>
      <w:bookmarkEnd w:id="220"/>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21" w:name="XMMC"/>
      <w:r/>
      <w:bookmarkEnd w:id="22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22" w:name="XMBH"/>
      <w:r/>
      <w:bookmarkEnd w:id="222"/>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23" w:name="FBH"/>
      <w:r/>
      <w:bookmarkEnd w:id="223"/>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864"/>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24" w:name="JEDX"/>
            <w:r/>
            <w:bookmarkEnd w:id="224"/>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25" w:name="JEXX"/>
            <w:r/>
            <w:bookmarkEnd w:id="225"/>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26" w:name="NF"/>
      <w:r/>
      <w:bookmarkEnd w:id="226"/>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27" w:name="YF"/>
      <w:r/>
      <w:bookmarkEnd w:id="227"/>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28" w:name="RI"/>
      <w:r/>
      <w:bookmarkEnd w:id="228"/>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_GBK" w:hAnsi="方正小标宋_GBK" w:eastAsia="方正小标宋_GBK" w:cs="方正小标宋_GBK"/>
          <w:sz w:val="40"/>
          <w:szCs w:val="40"/>
          <w:highlight w:val="none"/>
        </w:rPr>
      </w:pPr>
      <w:r>
        <w:rPr>
          <w:rFonts w:hint="eastAsia" w:ascii="方正小标宋_GBK" w:hAnsi="方正小标宋_GBK" w:eastAsia="方正小标宋_GBK" w:cs="方正小标宋_GBK"/>
          <w:sz w:val="40"/>
          <w:szCs w:val="40"/>
          <w:highlight w:val="none"/>
        </w:rPr>
        <w:t xml:space="preserve">报价合理性</w:t>
      </w:r>
      <w:r>
        <w:rPr>
          <w:rFonts w:hint="eastAsia" w:ascii="方正小标宋_GBK" w:hAnsi="方正小标宋_GBK" w:eastAsia="方正小标宋_GBK" w:cs="方正小标宋_GBK"/>
          <w:sz w:val="40"/>
          <w:szCs w:val="40"/>
          <w:highlight w:val="none"/>
          <w:lang w:eastAsia="zh-CN"/>
        </w:rPr>
        <w:t xml:space="preserve">告知</w:t>
      </w:r>
      <w:r>
        <w:rPr>
          <w:rFonts w:hint="eastAsia" w:ascii="方正小标宋_GBK" w:hAnsi="方正小标宋_GBK" w:eastAsia="方正小标宋_GBK" w:cs="方正小标宋_GBK"/>
          <w:sz w:val="40"/>
          <w:szCs w:val="40"/>
          <w:highlight w:val="none"/>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auto"/>
          <w:spacing w:val="0"/>
          <w:sz w:val="28"/>
          <w:szCs w:val="28"/>
          <w:highlight w:val="none"/>
          <w:lang w:eastAsia="zh-CN"/>
        </w:rPr>
        <w:t xml:space="preserve">“</w:t>
      </w:r>
      <w:r>
        <w:rPr>
          <w:rFonts w:hint="eastAsia" w:ascii="黑体" w:hAnsi="黑体" w:eastAsia="黑体" w:cs="黑体"/>
          <w:b/>
          <w:bCs/>
          <w:color w:val="auto"/>
          <w:spacing w:val="0"/>
          <w:sz w:val="28"/>
          <w:szCs w:val="28"/>
          <w:highlight w:val="yellow"/>
          <w:u w:val="single"/>
        </w:rPr>
        <w:t xml:space="preserve">处以采购金额</w:t>
      </w:r>
      <w:r>
        <w:rPr>
          <w:rFonts w:hint="eastAsia" w:ascii="黑体" w:hAnsi="黑体" w:eastAsia="黑体" w:cs="黑体"/>
          <w:b/>
          <w:bCs/>
          <w:color w:val="auto"/>
          <w:spacing w:val="0"/>
          <w:sz w:val="28"/>
          <w:szCs w:val="28"/>
          <w:highlight w:val="yellow"/>
          <w:u w:val="single"/>
          <w:lang w:eastAsia="zh-CN"/>
        </w:rPr>
        <w:t xml:space="preserve">（预算金额）</w:t>
      </w:r>
      <w:r>
        <w:rPr>
          <w:rFonts w:hint="eastAsia" w:ascii="黑体" w:hAnsi="黑体" w:eastAsia="黑体" w:cs="黑体"/>
          <w:b/>
          <w:bCs/>
          <w:color w:val="auto"/>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auto"/>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ind w:firstLine="560"/>
        <w:keepLines w:val="0"/>
        <w:keepNext w:val="0"/>
        <w:pageBreakBefore w:val="0"/>
        <w:spacing w:line="500" w:lineRule="exact"/>
        <w:widowControl w:val="off"/>
        <w:rPr>
          <w:rFonts w:hint="eastAsia" w:ascii="仿宋_GB2312" w:hAnsi="仿宋_GB2312" w:eastAsia="仿宋_GB2312" w:cs="仿宋_GB2312"/>
          <w:b/>
          <w:sz w:val="28"/>
          <w:szCs w:val="28"/>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right="0"/>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p>
    <w:p>
      <w:pPr>
        <w:ind w:right="0"/>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right="0"/>
        <w:jc w:val="both"/>
        <w:pageBreakBefore w:val="0"/>
        <w:spacing w:line="520" w:lineRule="exact"/>
        <w:rPr>
          <w:rFonts w:hint="eastAsia" w:ascii="黑体" w:hAnsi="黑体" w:eastAsia="黑体" w:cs="黑体"/>
          <w:b w:val="0"/>
          <w:bCs/>
          <w:color w:val="ff0000"/>
          <w:spacing w:val="-6"/>
          <w:sz w:val="28"/>
          <w:szCs w:val="28"/>
          <w:highlight w:val="none"/>
          <w:lang w:eastAsia="zh-CN"/>
        </w:rPr>
      </w:pPr>
      <w:r>
        <w:rPr>
          <w:rFonts w:hint="eastAsia" w:ascii="黑体" w:hAnsi="黑体" w:eastAsia="黑体" w:cs="黑体"/>
          <w:b w:val="0"/>
          <w:bCs/>
          <w:color w:val="ff0000"/>
          <w:spacing w:val="-6"/>
          <w:sz w:val="28"/>
          <w:szCs w:val="28"/>
          <w:highlight w:val="none"/>
          <w:lang w:eastAsia="zh-CN"/>
        </w:rPr>
        <w:t xml:space="preserve">【如供应商非</w:t>
      </w:r>
      <w:r>
        <w:rPr>
          <w:rFonts w:hint="eastAsia" w:ascii="黑体" w:hAnsi="黑体" w:eastAsia="黑体" w:cs="黑体"/>
          <w:b w:val="0"/>
          <w:bCs/>
          <w:color w:val="ff0000"/>
          <w:spacing w:val="-6"/>
          <w:sz w:val="28"/>
          <w:szCs w:val="28"/>
          <w:highlight w:val="none"/>
        </w:rPr>
        <w:t xml:space="preserve">残疾人福利性单位</w:t>
      </w:r>
      <w:r>
        <w:rPr>
          <w:rFonts w:hint="eastAsia" w:ascii="黑体" w:hAnsi="黑体" w:eastAsia="黑体" w:cs="黑体"/>
          <w:b w:val="0"/>
          <w:bCs/>
          <w:color w:val="ff0000"/>
          <w:spacing w:val="-6"/>
          <w:sz w:val="28"/>
          <w:szCs w:val="28"/>
          <w:highlight w:val="none"/>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229" w:name="_Hlk76057113"/>
      <w:r>
        <w:rPr>
          <w:rFonts w:hint="eastAsia" w:ascii="黑体" w:hAnsi="黑体" w:eastAsia="黑体" w:cs="黑体"/>
          <w:b w:val="0"/>
          <w:bCs/>
          <w:i/>
          <w:iCs/>
          <w:sz w:val="28"/>
          <w:szCs w:val="28"/>
          <w:highlight w:val="none"/>
          <w:u w:val="single"/>
        </w:rPr>
        <w:t xml:space="preserve">分项报价表（服务）</w:t>
      </w:r>
      <w:bookmarkEnd w:id="229"/>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86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1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default" w:ascii="宋体" w:hAnsi="宋体" w:eastAsia="宋体"/>
                <w:sz w:val="24"/>
                <w:szCs w:val="24"/>
                <w:u w:val="single"/>
                <w:lang w:eastAsia="zh-CN"/>
              </w:rPr>
            </w:pPr>
            <w:r>
              <w:rPr>
                <w:rFonts w:hint="eastAsia" w:ascii="宋体" w:hAnsi="宋体"/>
                <w:sz w:val="24"/>
                <w:szCs w:val="24"/>
              </w:rPr>
              <w:t xml:space="preserve">投标总报价（人民币：元）</w:t>
            </w:r>
            <w:r>
              <w:rPr>
                <w:rFonts w:hint="eastAsia" w:ascii="宋体" w:hAnsi="宋体"/>
                <w:sz w:val="24"/>
                <w:szCs w:val="24"/>
                <w:lang w:eastAsia="zh-CN"/>
              </w:rPr>
              <w:t xml:space="preserve">：</w:t>
            </w:r>
            <w:r>
              <w:rPr>
                <w:rFonts w:hint="eastAsia" w:ascii="宋体" w:hAnsi="宋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pStyle w:val="866"/>
        <w:keepLines w:val="0"/>
        <w:keepNext w:val="0"/>
        <w:pageBreakBefore w:val="0"/>
        <w:spacing w:line="500" w:lineRule="exact"/>
        <w:widowControl w:val="off"/>
        <w:rPr>
          <w:rFonts w:hint="eastAsia"/>
          <w:sz w:val="28"/>
          <w:szCs w:val="28"/>
        </w:rPr>
      </w:pPr>
      <w:r>
        <w:rPr>
          <w:rFonts w:hint="eastAsia"/>
          <w:sz w:val="28"/>
          <w:szCs w:val="28"/>
        </w:rPr>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注：合同中分项单价按同比例折算确定，计算规则为：</w:t>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pacing w:val="-11"/>
          <w:sz w:val="28"/>
          <w:szCs w:val="28"/>
          <w:highlight w:val="yellow"/>
          <w:u w:val="single"/>
          <w:lang w:val="en-US" w:eastAsia="zh-CN" w:bidi="ar-SA"/>
        </w:rPr>
        <w:t xml:space="preserve">合同分项单价 = 首轮响应分项单价 ×（最终磋商总报价 ÷ 首轮响应总报价）</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服务</w:t>
      </w:r>
      <w:r>
        <w:rPr>
          <w:rFonts w:hint="eastAsia" w:ascii="黑体" w:hAnsi="黑体" w:eastAsia="黑体" w:cs="黑体"/>
          <w:b w:val="0"/>
          <w:bCs/>
          <w:i/>
          <w:iCs/>
          <w:sz w:val="28"/>
          <w:szCs w:val="28"/>
          <w:u w:val="single"/>
        </w:rPr>
        <w:t xml:space="preserve">要求响应及偏离表</w:t>
      </w:r>
      <w:r/>
    </w:p>
    <w:p>
      <w:pPr>
        <w:pStyle w:val="891"/>
      </w:pPr>
      <w:r/>
      <w:r/>
    </w:p>
    <w:tbl>
      <w:tblPr>
        <w:tblStyle w:val="864"/>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216"/>
      <w:r/>
      <w:r/>
    </w:p>
    <w:p>
      <w:pPr>
        <w:rPr>
          <w:rFonts w:hint="eastAsia" w:ascii="仿宋_GB2312" w:hAnsi="仿宋_GB2312" w:eastAsia="仿宋_GB2312" w:cs="仿宋_GB2312"/>
          <w:b/>
          <w:sz w:val="28"/>
          <w:szCs w:val="28"/>
        </w:rPr>
      </w:pPr>
      <w:r/>
      <w:bookmarkStart w:id="230" w:name="_Hlt26955054"/>
      <w:r/>
      <w:bookmarkEnd w:id="230"/>
      <w:r>
        <w:rPr>
          <w:rFonts w:hint="eastAsia" w:ascii="仿宋_GB2312" w:hAnsi="仿宋_GB2312" w:eastAsia="仿宋_GB2312" w:cs="仿宋_GB2312"/>
          <w:b/>
          <w:sz w:val="28"/>
          <w:szCs w:val="28"/>
        </w:rPr>
        <w:br w:type="page" w:clear="all"/>
      </w:r>
      <w:bookmarkEnd w:id="184"/>
      <w:r/>
      <w:bookmarkEnd w:id="185"/>
      <w:r/>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889"/>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8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96"/>
          <w:rFonts w:hint="eastAsia" w:ascii="仿宋_GB2312" w:hAnsi="仿宋_GB2312" w:eastAsia="仿宋_GB2312" w:cs="仿宋_GB2312"/>
          <w:i w:val="0"/>
          <w:color w:val="auto"/>
          <w:sz w:val="28"/>
          <w:szCs w:val="28"/>
          <w:u w:val="single"/>
          <w:shd w:val="clear" w:color="auto" w:fill="ffffff"/>
        </w:rPr>
        <w:t xml:space="preserve">（产品名称1）</w:t>
      </w:r>
      <w:r>
        <w:rPr>
          <w:rStyle w:val="896"/>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96"/>
          <w:rFonts w:hint="eastAsia" w:ascii="仿宋_GB2312" w:hAnsi="仿宋_GB2312" w:eastAsia="仿宋_GB2312" w:cs="仿宋_GB2312"/>
          <w:i w:val="0"/>
          <w:color w:val="auto"/>
          <w:sz w:val="28"/>
          <w:szCs w:val="28"/>
          <w:u w:val="single"/>
          <w:shd w:val="clear" w:color="auto" w:fill="ffffff"/>
        </w:rPr>
        <w:t xml:space="preserve">（厂名）</w:t>
      </w:r>
      <w:r>
        <w:rPr>
          <w:rStyle w:val="896"/>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96"/>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96"/>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96"/>
          <w:rFonts w:hint="eastAsia" w:ascii="仿宋_GB2312" w:hAnsi="仿宋_GB2312" w:eastAsia="仿宋_GB2312" w:cs="仿宋_GB2312"/>
          <w:strike/>
          <w:color w:val="ff0000"/>
          <w:sz w:val="28"/>
          <w:szCs w:val="28"/>
          <w:highlight w:val="none"/>
          <w:u w:val="single"/>
          <w:shd w:val="clear" w:color="auto" w:fill="ffffff"/>
        </w:rPr>
        <w:t xml:space="preserve">。</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96"/>
          <w:rFonts w:hint="eastAsia" w:ascii="仿宋_GB2312" w:hAnsi="仿宋_GB2312" w:eastAsia="仿宋_GB2312" w:cs="仿宋_GB2312"/>
          <w:strike/>
          <w:color w:val="ff0000"/>
          <w:sz w:val="28"/>
          <w:szCs w:val="28"/>
          <w:highlight w:val="none"/>
          <w:u w:val="single"/>
          <w:shd w:val="clear" w:color="auto" w:fill="ffffff"/>
        </w:rPr>
        <w:t xml:space="preserve">的</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96"/>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96"/>
          <w:rFonts w:hint="eastAsia" w:ascii="仿宋_GB2312" w:hAnsi="仿宋_GB2312" w:eastAsia="仿宋_GB2312" w:cs="仿宋_GB2312"/>
          <w:strike/>
          <w:color w:val="ff0000"/>
          <w:sz w:val="28"/>
          <w:szCs w:val="28"/>
          <w:highlight w:val="none"/>
          <w:u w:val="single"/>
          <w:shd w:val="clear" w:color="auto" w:fill="ffffff"/>
        </w:rPr>
        <w:t xml:space="preserve">的</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96"/>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8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96"/>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96"/>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96"/>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96"/>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96"/>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8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8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8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89"/>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89"/>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89"/>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p>
    <w:p>
      <w:pPr>
        <w:pStyle w:val="889"/>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8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8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8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8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8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89"/>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磋商</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楷体">
    <w:panose1 w:val="02010609060101010101"/>
  </w:font>
  <w:font w:name="Symbol">
    <w:panose1 w:val="05050102010706020507"/>
  </w:font>
  <w:font w:name="方正仿宋_GB2312">
    <w:panose1 w:val="020B0503020202020204"/>
  </w:font>
  <w:font w:name="仿宋">
    <w:panose1 w:val="0201060906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upperLetter"/>
      <w:pStyle w:val="11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5"/>
      <w:isLgl w:val="false"/>
      <w:suff w:val="nothing"/>
      <w:lvlText w:val=""/>
      <w:lvlJc w:val="left"/>
      <w:pPr>
        <w:ind w:left="0" w:firstLine="0"/>
      </w:pPr>
      <w:rPr>
        <w:rFonts w:hint="eastAsia"/>
      </w:rPr>
    </w:lvl>
    <w:lvl w:ilvl="6">
      <w:start w:val="1"/>
      <w:numFmt w:val="decimal"/>
      <w:pStyle w:val="1056"/>
      <w:isLgl w:val="false"/>
      <w:suff w:val="nothing"/>
      <w:lvlText w:val=""/>
      <w:lvlJc w:val="left"/>
      <w:pPr>
        <w:ind w:left="0" w:firstLine="0"/>
      </w:pPr>
      <w:rPr>
        <w:rFonts w:hint="eastAsia"/>
      </w:rPr>
    </w:lvl>
    <w:lvl w:ilvl="7">
      <w:start w:val="1"/>
      <w:numFmt w:val="decimal"/>
      <w:pStyle w:val="1057"/>
      <w:isLgl w:val="false"/>
      <w:suff w:val="nothing"/>
      <w:lvlText w:val=""/>
      <w:lvlJc w:val="left"/>
      <w:pPr>
        <w:ind w:left="0" w:firstLine="0"/>
      </w:pPr>
      <w:rPr>
        <w:rFonts w:hint="eastAsia"/>
      </w:rPr>
    </w:lvl>
    <w:lvl w:ilvl="8">
      <w:start w:val="1"/>
      <w:numFmt w:val="decimal"/>
      <w:pStyle w:val="1058"/>
      <w:isLgl w:val="false"/>
      <w:suff w:val="nothing"/>
      <w:lvlText w:val=""/>
      <w:lvlJc w:val="left"/>
      <w:pPr>
        <w:ind w:left="0" w:firstLine="0"/>
      </w:pPr>
      <w:rPr>
        <w:rFonts w:hint="eastAsia"/>
      </w:rPr>
    </w:lvl>
  </w:abstractNum>
  <w:abstractNum w:abstractNumId="15">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0"/>
      <w:numFmt w:val="bullet"/>
      <w:isLgl w:val="false"/>
      <w:suff w:val="tab"/>
      <w:lvlText w:val="•"/>
      <w:lvlJc w:val="left"/>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0"/>
      <w:numFmt w:val="bullet"/>
      <w:isLgl w:val="false"/>
      <w:suff w:val="tab"/>
      <w:lvlText w:val="•"/>
      <w:lvlJc w:val="left"/>
      <w:pPr>
        <w:ind w:left="0" w:firstLine="560"/>
        <w:tabs>
          <w:tab w:val="left" w:pos="420" w:leader="none"/>
        </w:tabs>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0"/>
  </w:num>
  <w:num w:numId="3">
    <w:abstractNumId w:val="9"/>
  </w:num>
  <w:num w:numId="4">
    <w:abstractNumId w:val="2"/>
  </w:num>
  <w:num w:numId="5">
    <w:abstractNumId w:val="19"/>
  </w:num>
  <w:num w:numId="6">
    <w:abstractNumId w:val="18"/>
  </w:num>
  <w:num w:numId="7">
    <w:abstractNumId w:val="20"/>
  </w:num>
  <w:num w:numId="8">
    <w:abstractNumId w:val="12"/>
  </w:num>
  <w:num w:numId="9">
    <w:abstractNumId w:val="17"/>
  </w:num>
  <w:num w:numId="10">
    <w:abstractNumId w:val="7"/>
  </w:num>
  <w:num w:numId="11">
    <w:abstractNumId w:val="21"/>
  </w:num>
  <w:num w:numId="12">
    <w:abstractNumId w:val="16"/>
  </w:num>
  <w:num w:numId="13">
    <w:abstractNumId w:val="15"/>
  </w:num>
  <w:num w:numId="14">
    <w:abstractNumId w:val="13"/>
  </w:num>
  <w:num w:numId="15">
    <w:abstractNumId w:val="11"/>
  </w:num>
  <w:num w:numId="16">
    <w:abstractNumId w:val="8"/>
  </w:num>
  <w:num w:numId="17">
    <w:abstractNumId w:val="4"/>
  </w:num>
  <w:num w:numId="18">
    <w:abstractNumId w:val="1"/>
  </w:num>
  <w:num w:numId="19">
    <w:abstractNumId w:val="3"/>
  </w:num>
  <w:num w:numId="20">
    <w:abstractNumId w:val="5"/>
  </w:num>
  <w:num w:numId="21">
    <w:abstractNumId w:val="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link w:val="1168"/>
    <w:uiPriority w:val="0"/>
    <w:qFormat/>
    <w:pPr>
      <w:jc w:val="both"/>
      <w:widowControl w:val="off"/>
    </w:pPr>
    <w:rPr>
      <w:rFonts w:hint="default" w:ascii="Calibri" w:hAnsi="Calibri" w:eastAsia="宋体" w:cs="Times New Roman"/>
      <w:sz w:val="21"/>
      <w:szCs w:val="22"/>
      <w:lang w:val="en-US" w:eastAsia="zh-CN" w:bidi="ar-SA"/>
    </w:rPr>
  </w:style>
  <w:style w:type="paragraph" w:styleId="854">
    <w:name w:val="Heading 1"/>
    <w:basedOn w:val="853"/>
    <w:next w:val="853"/>
    <w:link w:val="1164"/>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link w:val="902"/>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link w:val="903"/>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link w:val="904"/>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905"/>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link w:val="906"/>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link w:val="908"/>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link w:val="909"/>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0"/>
    <w:semiHidden/>
    <w:qFormat/>
    <w:pPr>
      <w:ind w:left="1260"/>
      <w:jc w:val="left"/>
    </w:pPr>
    <w:rPr>
      <w:rFonts w:ascii="Times New Roman" w:hAnsi="Times New Roman"/>
      <w:szCs w:val="21"/>
    </w:rPr>
  </w:style>
  <w:style w:type="paragraph" w:styleId="866">
    <w:name w:val="table of authorities"/>
    <w:basedOn w:val="853"/>
    <w:next w:val="853"/>
    <w:uiPriority w:val="99"/>
    <w:qFormat/>
    <w:pPr>
      <w:ind w:left="420"/>
    </w:pPr>
  </w:style>
  <w:style w:type="paragraph" w:styleId="867">
    <w:name w:val="Normal Indent"/>
    <w:basedOn w:val="853"/>
    <w:next w:val="868"/>
    <w:uiPriority w:val="0"/>
    <w:unhideWhenUsed/>
    <w:qFormat/>
    <w:pPr>
      <w:ind w:firstLine="420"/>
    </w:pPr>
    <w:rPr>
      <w:rFonts w:ascii="Times New Roman" w:hAnsi="Times New Roman" w:eastAsia="宋体"/>
      <w:sz w:val="20"/>
      <w:szCs w:val="21"/>
    </w:rPr>
  </w:style>
  <w:style w:type="paragraph" w:styleId="868">
    <w:name w:val="Body Text"/>
    <w:basedOn w:val="853"/>
    <w:next w:val="853"/>
    <w:uiPriority w:val="0"/>
    <w:unhideWhenUsed/>
    <w:qFormat/>
    <w:rPr>
      <w:rFonts w:ascii="楷体_GB2312" w:hAnsi="Arial" w:eastAsia="楷体_GB2312" w:cs="Times New Roman"/>
      <w:sz w:val="28"/>
      <w:szCs w:val="28"/>
    </w:rPr>
  </w:style>
  <w:style w:type="paragraph" w:styleId="869">
    <w:name w:val="Caption"/>
    <w:basedOn w:val="853"/>
    <w:next w:val="8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0">
    <w:name w:val="Document Map"/>
    <w:basedOn w:val="853"/>
    <w:uiPriority w:val="99"/>
    <w:unhideWhenUsed/>
    <w:qFormat/>
    <w:pPr>
      <w:jc w:val="left"/>
      <w:spacing w:line="360" w:lineRule="auto"/>
      <w:widowControl/>
    </w:pPr>
    <w:rPr>
      <w:rFonts w:ascii="宋体" w:hAnsi="Calibri" w:eastAsia="宋体" w:cs="Times New Roman"/>
      <w:sz w:val="18"/>
      <w:szCs w:val="18"/>
      <w14:ligatures w14:val="none"/>
    </w:rPr>
  </w:style>
  <w:style w:type="paragraph" w:styleId="871">
    <w:name w:val="Body Text Indent"/>
    <w:basedOn w:val="853"/>
    <w:uiPriority w:val="99"/>
    <w:qFormat/>
    <w:pPr>
      <w:ind w:firstLine="600"/>
    </w:pPr>
    <w:rPr>
      <w:rFonts w:eastAsia="仿宋_GB2312"/>
      <w:sz w:val="28"/>
    </w:rPr>
  </w:style>
  <w:style w:type="paragraph" w:styleId="872">
    <w:name w:val="index 4"/>
    <w:basedOn w:val="853"/>
    <w:next w:val="853"/>
    <w:uiPriority w:val="0"/>
    <w:qFormat/>
    <w:pPr>
      <w:ind w:left="600"/>
    </w:pPr>
    <w:rPr>
      <w:rFonts w:ascii="Verdana" w:hAnsi="Verdana"/>
      <w:szCs w:val="20"/>
    </w:rPr>
  </w:style>
  <w:style w:type="paragraph" w:styleId="873">
    <w:name w:val="toc 5"/>
    <w:basedOn w:val="853"/>
    <w:next w:val="853"/>
    <w:uiPriority w:val="0"/>
    <w:semiHidden/>
    <w:qFormat/>
    <w:pPr>
      <w:ind w:left="840"/>
      <w:jc w:val="left"/>
    </w:pPr>
    <w:rPr>
      <w:rFonts w:ascii="Times New Roman" w:hAnsi="Times New Roman"/>
      <w:szCs w:val="21"/>
    </w:rPr>
  </w:style>
  <w:style w:type="paragraph" w:styleId="874">
    <w:name w:val="toc 3"/>
    <w:basedOn w:val="853"/>
    <w:next w:val="853"/>
    <w:uiPriority w:val="0"/>
    <w:semiHidden/>
    <w:qFormat/>
    <w:pPr>
      <w:ind w:left="420"/>
      <w:jc w:val="left"/>
    </w:pPr>
    <w:rPr>
      <w:rFonts w:ascii="Times New Roman" w:hAnsi="Times New Roman"/>
      <w:i/>
      <w:iCs/>
      <w:szCs w:val="24"/>
    </w:rPr>
  </w:style>
  <w:style w:type="paragraph" w:styleId="875">
    <w:name w:val="Plain Text"/>
    <w:basedOn w:val="853"/>
    <w:uiPriority w:val="0"/>
    <w:qFormat/>
    <w:rPr>
      <w:rFonts w:ascii="宋体" w:hAnsi="Courier New"/>
      <w:szCs w:val="22"/>
    </w:rPr>
  </w:style>
  <w:style w:type="paragraph" w:styleId="876">
    <w:name w:val="toc 8"/>
    <w:basedOn w:val="853"/>
    <w:next w:val="853"/>
    <w:uiPriority w:val="0"/>
    <w:semiHidden/>
    <w:qFormat/>
    <w:pPr>
      <w:ind w:left="1470"/>
      <w:jc w:val="left"/>
    </w:pPr>
    <w:rPr>
      <w:rFonts w:ascii="Times New Roman" w:hAnsi="Times New Roman"/>
      <w:szCs w:val="21"/>
    </w:rPr>
  </w:style>
  <w:style w:type="paragraph" w:styleId="877">
    <w:name w:val="endnote text"/>
    <w:basedOn w:val="853"/>
    <w:link w:val="1047"/>
    <w:uiPriority w:val="99"/>
    <w:semiHidden/>
    <w:unhideWhenUsed/>
    <w:qFormat/>
    <w:pPr>
      <w:spacing w:after="0" w:line="240" w:lineRule="auto"/>
    </w:pPr>
    <w:rPr>
      <w:sz w:val="20"/>
    </w:rPr>
  </w:style>
  <w:style w:type="paragraph" w:styleId="878">
    <w:name w:val="Footer"/>
    <w:basedOn w:val="853"/>
    <w:link w:val="920"/>
    <w:uiPriority w:val="99"/>
    <w:unhideWhenUsed/>
    <w:qFormat/>
    <w:pPr>
      <w:spacing w:after="0" w:line="240" w:lineRule="auto"/>
      <w:tabs>
        <w:tab w:val="center" w:pos="7143" w:leader="none"/>
        <w:tab w:val="right" w:pos="14287" w:leader="none"/>
      </w:tabs>
    </w:pPr>
  </w:style>
  <w:style w:type="paragraph" w:styleId="879">
    <w:name w:val="Header"/>
    <w:basedOn w:val="853"/>
    <w:link w:val="918"/>
    <w:uiPriority w:val="99"/>
    <w:unhideWhenUsed/>
    <w:qFormat/>
    <w:pPr>
      <w:spacing w:after="0" w:line="240" w:lineRule="auto"/>
      <w:tabs>
        <w:tab w:val="center" w:pos="7143" w:leader="none"/>
        <w:tab w:val="right" w:pos="14287" w:leader="none"/>
      </w:tabs>
    </w:pPr>
  </w:style>
  <w:style w:type="paragraph" w:styleId="880">
    <w:name w:val="toc 1"/>
    <w:basedOn w:val="853"/>
    <w:next w:val="853"/>
    <w:uiPriority w:val="0"/>
    <w:semiHidden/>
    <w:qFormat/>
    <w:pPr>
      <w:jc w:val="left"/>
      <w:spacing w:before="120" w:after="120" w:line="400" w:lineRule="exact"/>
      <w:tabs>
        <w:tab w:val="right" w:pos="8720" w:leader="dot"/>
      </w:tabs>
    </w:pPr>
    <w:rPr>
      <w:rFonts w:ascii="宋体" w:hAnsi="宋体"/>
      <w:caps/>
      <w:sz w:val="24"/>
      <w:szCs w:val="24"/>
    </w:rPr>
  </w:style>
  <w:style w:type="paragraph" w:styleId="881">
    <w:name w:val="toc 4"/>
    <w:basedOn w:val="853"/>
    <w:next w:val="853"/>
    <w:uiPriority w:val="0"/>
    <w:semiHidden/>
    <w:qFormat/>
    <w:pPr>
      <w:ind w:left="630"/>
      <w:jc w:val="left"/>
    </w:pPr>
    <w:rPr>
      <w:rFonts w:ascii="Times New Roman" w:hAnsi="Times New Roman"/>
      <w:szCs w:val="21"/>
    </w:rPr>
  </w:style>
  <w:style w:type="paragraph" w:styleId="882">
    <w:name w:val="Subtitle"/>
    <w:basedOn w:val="853"/>
    <w:next w:val="853"/>
    <w:link w:val="913"/>
    <w:uiPriority w:val="11"/>
    <w:qFormat/>
    <w:pPr>
      <w:spacing w:before="200" w:after="200"/>
    </w:pPr>
    <w:rPr>
      <w:sz w:val="24"/>
      <w:szCs w:val="24"/>
    </w:rPr>
  </w:style>
  <w:style w:type="paragraph" w:styleId="883">
    <w:name w:val="footnote text"/>
    <w:basedOn w:val="853"/>
    <w:link w:val="1046"/>
    <w:uiPriority w:val="99"/>
    <w:semiHidden/>
    <w:unhideWhenUsed/>
    <w:qFormat/>
    <w:pPr>
      <w:spacing w:after="40" w:line="240" w:lineRule="auto"/>
    </w:pPr>
    <w:rPr>
      <w:sz w:val="18"/>
    </w:rPr>
  </w:style>
  <w:style w:type="paragraph" w:styleId="884">
    <w:name w:val="toc 6"/>
    <w:basedOn w:val="853"/>
    <w:next w:val="853"/>
    <w:uiPriority w:val="0"/>
    <w:semiHidden/>
    <w:qFormat/>
    <w:pPr>
      <w:ind w:left="1050"/>
      <w:jc w:val="left"/>
    </w:pPr>
    <w:rPr>
      <w:rFonts w:ascii="Times New Roman" w:hAnsi="Times New Roman"/>
      <w:szCs w:val="21"/>
    </w:rPr>
  </w:style>
  <w:style w:type="paragraph" w:styleId="885">
    <w:name w:val="table of figures"/>
    <w:basedOn w:val="853"/>
    <w:next w:val="853"/>
    <w:uiPriority w:val="99"/>
    <w:unhideWhenUsed/>
    <w:qFormat/>
    <w:pPr>
      <w:spacing w:after="0" w:afterAutospacing="0"/>
    </w:pPr>
  </w:style>
  <w:style w:type="paragraph" w:styleId="886">
    <w:name w:val="toc 2"/>
    <w:basedOn w:val="853"/>
    <w:next w:val="853"/>
    <w:uiPriority w:val="0"/>
    <w:semiHidden/>
    <w:qFormat/>
    <w:pPr>
      <w:ind w:left="210"/>
      <w:jc w:val="left"/>
    </w:pPr>
    <w:rPr>
      <w:rFonts w:ascii="Times New Roman" w:hAnsi="Times New Roman"/>
      <w:smallCaps/>
      <w:szCs w:val="24"/>
    </w:rPr>
  </w:style>
  <w:style w:type="paragraph" w:styleId="887">
    <w:name w:val="toc 9"/>
    <w:basedOn w:val="853"/>
    <w:next w:val="853"/>
    <w:uiPriority w:val="0"/>
    <w:semiHidden/>
    <w:qFormat/>
    <w:pPr>
      <w:ind w:left="1680"/>
      <w:jc w:val="left"/>
    </w:pPr>
    <w:rPr>
      <w:rFonts w:ascii="Times New Roman" w:hAnsi="Times New Roman"/>
      <w:szCs w:val="21"/>
    </w:rPr>
  </w:style>
  <w:style w:type="paragraph" w:styleId="888">
    <w:name w:val="HTML Preformatted"/>
    <w:basedOn w:val="853"/>
    <w:uiPriority w:val="99"/>
    <w:unhideWhenUsed/>
    <w:qFormat/>
    <w:rPr>
      <w:rFonts w:ascii="Courier New" w:hAnsi="Courier New" w:cs="Courier New"/>
      <w:sz w:val="20"/>
      <w:szCs w:val="20"/>
    </w:rPr>
  </w:style>
  <w:style w:type="paragraph" w:styleId="889">
    <w:name w:val="Normal (Web)"/>
    <w:basedOn w:val="853"/>
    <w:uiPriority w:val="99"/>
    <w:qFormat/>
    <w:pPr>
      <w:ind w:firstLine="420"/>
    </w:pPr>
    <w:rPr>
      <w:rFonts w:ascii="Calibri" w:hAnsi="Calibri"/>
      <w:szCs w:val="22"/>
    </w:rPr>
  </w:style>
  <w:style w:type="paragraph" w:styleId="890">
    <w:name w:val="Title"/>
    <w:basedOn w:val="853"/>
    <w:next w:val="853"/>
    <w:link w:val="912"/>
    <w:uiPriority w:val="10"/>
    <w:qFormat/>
    <w:pPr>
      <w:contextualSpacing/>
      <w:spacing w:before="300" w:after="200"/>
    </w:pPr>
    <w:rPr>
      <w:sz w:val="48"/>
      <w:szCs w:val="48"/>
    </w:rPr>
  </w:style>
  <w:style w:type="paragraph" w:styleId="891">
    <w:name w:val="Body Text First Indent"/>
    <w:basedOn w:val="868"/>
    <w:uiPriority w:val="0"/>
    <w:qFormat/>
    <w:pPr>
      <w:ind w:firstLine="200"/>
      <w:jc w:val="left"/>
      <w:spacing w:line="360" w:lineRule="auto"/>
    </w:pPr>
    <w:rPr>
      <w:bCs/>
      <w:sz w:val="24"/>
    </w:rPr>
  </w:style>
  <w:style w:type="table" w:styleId="8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63"/>
    <w:uiPriority w:val="22"/>
    <w:qFormat/>
    <w:rPr>
      <w:b/>
    </w:rPr>
  </w:style>
  <w:style w:type="character" w:styleId="894">
    <w:name w:val="endnote reference"/>
    <w:uiPriority w:val="99"/>
    <w:semiHidden/>
    <w:unhideWhenUsed/>
    <w:qFormat/>
    <w:rPr>
      <w:vertAlign w:val="superscript"/>
    </w:rPr>
  </w:style>
  <w:style w:type="character" w:styleId="895">
    <w:name w:val="page number"/>
    <w:basedOn w:val="863"/>
    <w:uiPriority w:val="99"/>
    <w:qFormat/>
    <w:rPr>
      <w:rFonts w:cs="Times New Roman"/>
    </w:rPr>
  </w:style>
  <w:style w:type="character" w:styleId="896">
    <w:name w:val="Emphasis"/>
    <w:basedOn w:val="863"/>
    <w:uiPriority w:val="0"/>
    <w:qFormat/>
    <w:rPr>
      <w:i/>
    </w:rPr>
  </w:style>
  <w:style w:type="character" w:styleId="897">
    <w:name w:val="Hyperlink"/>
    <w:basedOn w:val="863"/>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索引 41"/>
    <w:basedOn w:val="853"/>
    <w:next w:val="853"/>
    <w:uiPriority w:val="0"/>
    <w:semiHidden/>
    <w:qFormat/>
    <w:pPr>
      <w:ind w:left="1260"/>
    </w:pPr>
    <w:rPr>
      <w:rFonts w:ascii="Calibri" w:hAnsi="Calibri" w:eastAsia="Calibri" w:cs="宋体"/>
      <w:sz w:val="20"/>
      <w:lang w:val="zh-CN"/>
    </w:rPr>
  </w:style>
  <w:style w:type="paragraph" w:styleId="9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1" w:customStyle="1">
    <w:name w:val="Heading 1 Char"/>
    <w:link w:val="854"/>
    <w:uiPriority w:val="9"/>
    <w:qFormat/>
    <w:rPr>
      <w:rFonts w:ascii="Arial" w:hAnsi="Arial" w:eastAsia="Arial" w:cs="Arial"/>
      <w:sz w:val="40"/>
      <w:szCs w:val="40"/>
    </w:rPr>
  </w:style>
  <w:style w:type="character" w:styleId="902" w:customStyle="1">
    <w:name w:val="Heading 2 Char"/>
    <w:link w:val="855"/>
    <w:uiPriority w:val="9"/>
    <w:qFormat/>
    <w:rPr>
      <w:rFonts w:ascii="Arial" w:hAnsi="Arial" w:eastAsia="Arial" w:cs="Arial"/>
      <w:sz w:val="34"/>
    </w:rPr>
  </w:style>
  <w:style w:type="character" w:styleId="903" w:customStyle="1">
    <w:name w:val="Heading 3 Char"/>
    <w:link w:val="856"/>
    <w:uiPriority w:val="9"/>
    <w:qFormat/>
    <w:rPr>
      <w:rFonts w:ascii="Arial" w:hAnsi="Arial" w:eastAsia="Arial" w:cs="Arial"/>
      <w:sz w:val="30"/>
      <w:szCs w:val="30"/>
    </w:rPr>
  </w:style>
  <w:style w:type="character" w:styleId="904" w:customStyle="1">
    <w:name w:val="Heading 4 Char"/>
    <w:link w:val="857"/>
    <w:uiPriority w:val="9"/>
    <w:qFormat/>
    <w:rPr>
      <w:rFonts w:ascii="Arial" w:hAnsi="Arial" w:eastAsia="Arial" w:cs="Arial"/>
      <w:b/>
      <w:bCs/>
      <w:sz w:val="26"/>
      <w:szCs w:val="26"/>
    </w:rPr>
  </w:style>
  <w:style w:type="character" w:styleId="905" w:customStyle="1">
    <w:name w:val="Heading 5 Char"/>
    <w:link w:val="858"/>
    <w:uiPriority w:val="9"/>
    <w:qFormat/>
    <w:rPr>
      <w:rFonts w:ascii="Arial" w:hAnsi="Arial" w:eastAsia="Arial" w:cs="Arial"/>
      <w:b/>
      <w:bCs/>
      <w:sz w:val="24"/>
      <w:szCs w:val="24"/>
    </w:rPr>
  </w:style>
  <w:style w:type="character" w:styleId="906" w:customStyle="1">
    <w:name w:val="Heading 6 Char"/>
    <w:link w:val="859"/>
    <w:uiPriority w:val="9"/>
    <w:qFormat/>
    <w:rPr>
      <w:rFonts w:ascii="Arial" w:hAnsi="Arial" w:eastAsia="Arial" w:cs="Arial"/>
      <w:b/>
      <w:bCs/>
      <w:sz w:val="22"/>
      <w:szCs w:val="22"/>
    </w:rPr>
  </w:style>
  <w:style w:type="character" w:styleId="907" w:customStyle="1">
    <w:name w:val="Heading 7 Char"/>
    <w:link w:val="860"/>
    <w:uiPriority w:val="9"/>
    <w:qFormat/>
    <w:rPr>
      <w:rFonts w:ascii="Arial" w:hAnsi="Arial" w:eastAsia="Arial" w:cs="Arial"/>
      <w:b/>
      <w:bCs/>
      <w:i/>
      <w:iCs/>
      <w:sz w:val="22"/>
      <w:szCs w:val="22"/>
    </w:rPr>
  </w:style>
  <w:style w:type="character" w:styleId="908" w:customStyle="1">
    <w:name w:val="Heading 8 Char"/>
    <w:link w:val="861"/>
    <w:uiPriority w:val="9"/>
    <w:qFormat/>
    <w:rPr>
      <w:rFonts w:ascii="Arial" w:hAnsi="Arial" w:eastAsia="Arial" w:cs="Arial"/>
      <w:i/>
      <w:iCs/>
      <w:sz w:val="22"/>
      <w:szCs w:val="22"/>
    </w:rPr>
  </w:style>
  <w:style w:type="character" w:styleId="909" w:customStyle="1">
    <w:name w:val="Heading 9 Char"/>
    <w:link w:val="862"/>
    <w:uiPriority w:val="9"/>
    <w:qFormat/>
    <w:rPr>
      <w:rFonts w:ascii="Arial" w:hAnsi="Arial" w:eastAsia="Arial" w:cs="Arial"/>
      <w:i/>
      <w:iCs/>
      <w:sz w:val="21"/>
      <w:szCs w:val="21"/>
    </w:rPr>
  </w:style>
  <w:style w:type="paragraph" w:styleId="910">
    <w:name w:val="List Paragraph"/>
    <w:basedOn w:val="853"/>
    <w:uiPriority w:val="34"/>
    <w:qFormat/>
    <w:pPr>
      <w:contextualSpacing/>
      <w:ind w:left="720"/>
    </w:pPr>
  </w:style>
  <w:style w:type="paragraph" w:styleId="911">
    <w:name w:val="No Spacing"/>
    <w:uiPriority w:val="1"/>
    <w:qFormat/>
    <w:pPr>
      <w:spacing w:before="0" w:after="0" w:line="240" w:lineRule="auto"/>
    </w:pPr>
    <w:rPr>
      <w:rFonts w:hint="default" w:ascii="Calibri" w:hAnsi="Calibri" w:eastAsia="宋体" w:cs="Times New Roman"/>
    </w:rPr>
  </w:style>
  <w:style w:type="character" w:styleId="912" w:customStyle="1">
    <w:name w:val="Title Char"/>
    <w:link w:val="890"/>
    <w:uiPriority w:val="10"/>
    <w:qFormat/>
    <w:rPr>
      <w:sz w:val="48"/>
      <w:szCs w:val="48"/>
    </w:rPr>
  </w:style>
  <w:style w:type="character" w:styleId="913" w:customStyle="1">
    <w:name w:val="Subtitle Char"/>
    <w:link w:val="882"/>
    <w:uiPriority w:val="11"/>
    <w:qFormat/>
    <w:rPr>
      <w:sz w:val="24"/>
      <w:szCs w:val="24"/>
    </w:rPr>
  </w:style>
  <w:style w:type="paragraph" w:styleId="914">
    <w:name w:val="Quote"/>
    <w:basedOn w:val="853"/>
    <w:next w:val="853"/>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53"/>
    <w:next w:val="853"/>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link w:val="879"/>
    <w:uiPriority w:val="99"/>
    <w:qFormat/>
  </w:style>
  <w:style w:type="character" w:styleId="919" w:customStyle="1">
    <w:name w:val="Footer Char"/>
    <w:link w:val="878"/>
    <w:uiPriority w:val="99"/>
    <w:qFormat/>
  </w:style>
  <w:style w:type="character" w:styleId="920" w:customStyle="1">
    <w:name w:val="Caption Char"/>
    <w:link w:val="878"/>
    <w:uiPriority w:val="99"/>
    <w:qFormat/>
  </w:style>
  <w:style w:type="table" w:styleId="9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83"/>
    <w:uiPriority w:val="99"/>
    <w:qFormat/>
    <w:rPr>
      <w:sz w:val="18"/>
    </w:rPr>
  </w:style>
  <w:style w:type="character" w:styleId="1047" w:customStyle="1">
    <w:name w:val="Endnote Text Char"/>
    <w:link w:val="877"/>
    <w:uiPriority w:val="99"/>
    <w:qFormat/>
    <w:rPr>
      <w:sz w:val="20"/>
    </w:rPr>
  </w:style>
  <w:style w:type="paragraph" w:styleId="1048" w:customStyle="1">
    <w:name w:val="TOC Heading"/>
    <w:uiPriority w:val="39"/>
    <w:unhideWhenUsed/>
    <w:qFormat/>
    <w:rPr>
      <w:rFonts w:hint="default" w:ascii="Calibri" w:hAnsi="Calibri" w:eastAsia="宋体" w:cs="Times New Roman"/>
    </w:rPr>
  </w:style>
  <w:style w:type="paragraph" w:styleId="1049" w:customStyle="1">
    <w:name w:val="标题 11"/>
    <w:basedOn w:val="853"/>
    <w:next w:val="853"/>
    <w:link w:val="1065"/>
    <w:uiPriority w:val="0"/>
    <w:qFormat/>
    <w:pPr>
      <w:jc w:val="center"/>
      <w:keepNext/>
      <w:outlineLvl w:val="0"/>
    </w:pPr>
    <w:rPr>
      <w:rFonts w:ascii="楷体_GB2312" w:hAnsi="Times New Roman" w:eastAsia="楷体_GB2312"/>
      <w:sz w:val="28"/>
      <w:szCs w:val="28"/>
    </w:rPr>
  </w:style>
  <w:style w:type="paragraph" w:styleId="1050" w:customStyle="1">
    <w:name w:val="标题 21"/>
    <w:basedOn w:val="853"/>
    <w:next w:val="853"/>
    <w:link w:val="10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1" w:customStyle="1">
    <w:name w:val="正文缩进1"/>
    <w:basedOn w:val="853"/>
    <w:link w:val="1067"/>
    <w:uiPriority w:val="0"/>
    <w:qFormat/>
    <w:pPr>
      <w:ind w:firstLine="420"/>
    </w:pPr>
    <w:rPr>
      <w:szCs w:val="21"/>
    </w:rPr>
  </w:style>
  <w:style w:type="paragraph" w:styleId="1052" w:customStyle="1">
    <w:name w:val="标题 31"/>
    <w:basedOn w:val="853"/>
    <w:next w:val="1051"/>
    <w:link w:val="1068"/>
    <w:uiPriority w:val="0"/>
    <w:qFormat/>
    <w:pPr>
      <w:keepLines/>
      <w:keepNext/>
      <w:spacing w:before="260" w:after="260" w:line="416" w:lineRule="auto"/>
      <w:outlineLvl w:val="2"/>
    </w:pPr>
    <w:rPr>
      <w:rFonts w:ascii="Times New Roman" w:hAnsi="Times New Roman"/>
      <w:b/>
      <w:bCs/>
      <w:sz w:val="32"/>
      <w:szCs w:val="32"/>
    </w:rPr>
  </w:style>
  <w:style w:type="paragraph" w:styleId="1053" w:customStyle="1">
    <w:name w:val="标题 41"/>
    <w:basedOn w:val="853"/>
    <w:next w:val="1051"/>
    <w:link w:val="1069"/>
    <w:uiPriority w:val="0"/>
    <w:qFormat/>
    <w:pPr>
      <w:keepLines/>
      <w:keepNext/>
      <w:spacing w:before="280" w:after="290" w:line="376" w:lineRule="auto"/>
      <w:outlineLvl w:val="3"/>
    </w:pPr>
    <w:rPr>
      <w:rFonts w:ascii="Arial" w:hAnsi="Arial" w:eastAsia="黑体" w:cs="Arial"/>
      <w:b/>
      <w:bCs/>
      <w:sz w:val="28"/>
      <w:szCs w:val="28"/>
    </w:rPr>
  </w:style>
  <w:style w:type="paragraph" w:styleId="1054" w:customStyle="1">
    <w:name w:val="标题 51"/>
    <w:basedOn w:val="853"/>
    <w:next w:val="1051"/>
    <w:link w:val="1070"/>
    <w:uiPriority w:val="0"/>
    <w:qFormat/>
    <w:pPr>
      <w:keepNext/>
      <w:outlineLvl w:val="4"/>
    </w:pPr>
    <w:rPr>
      <w:rFonts w:ascii="宋体" w:hAnsi="Times New Roman"/>
      <w:color w:val="000000"/>
      <w:sz w:val="28"/>
      <w:szCs w:val="28"/>
    </w:rPr>
  </w:style>
  <w:style w:type="paragraph" w:styleId="1055" w:customStyle="1">
    <w:name w:val="标题 61"/>
    <w:basedOn w:val="853"/>
    <w:next w:val="853"/>
    <w:link w:val="10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6" w:customStyle="1">
    <w:name w:val="标题 71"/>
    <w:basedOn w:val="853"/>
    <w:next w:val="853"/>
    <w:link w:val="107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57" w:customStyle="1">
    <w:name w:val="标题 81"/>
    <w:basedOn w:val="853"/>
    <w:next w:val="853"/>
    <w:link w:val="10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58" w:customStyle="1">
    <w:name w:val="标题 91"/>
    <w:basedOn w:val="853"/>
    <w:next w:val="853"/>
    <w:link w:val="1074"/>
    <w:uiPriority w:val="0"/>
    <w:qFormat/>
    <w:pPr>
      <w:numPr>
        <w:ilvl w:val="8"/>
        <w:numId w:val="1"/>
      </w:numPr>
      <w:keepLines/>
      <w:keepNext/>
      <w:spacing w:before="240" w:after="64" w:line="320" w:lineRule="auto"/>
      <w:outlineLvl w:val="8"/>
    </w:pPr>
    <w:rPr>
      <w:rFonts w:ascii="Arial" w:hAnsi="Arial" w:eastAsia="黑体"/>
      <w:szCs w:val="21"/>
    </w:rPr>
  </w:style>
  <w:style w:type="character" w:styleId="1059" w:customStyle="1">
    <w:name w:val="默认段落字体1"/>
    <w:link w:val="853"/>
    <w:uiPriority w:val="1"/>
    <w:unhideWhenUsed/>
    <w:qFormat/>
  </w:style>
  <w:style w:type="table" w:styleId="1060" w:customStyle="1">
    <w:name w:val="普通表格1"/>
    <w:uiPriority w:val="99"/>
    <w:unhideWhenUsed/>
    <w:qFormat/>
    <w:tblPr/>
  </w:style>
  <w:style w:type="paragraph" w:styleId="1061" w:customStyle="1">
    <w:name w:val="正文文本首行缩进"/>
    <w:basedOn w:val="1062"/>
    <w:link w:val="1064"/>
    <w:uiPriority w:val="0"/>
    <w:qFormat/>
    <w:pPr>
      <w:ind w:firstLine="200"/>
      <w:spacing w:line="360" w:lineRule="auto"/>
    </w:pPr>
    <w:rPr>
      <w:rFonts w:ascii="仿宋_GB2312" w:hAnsi="Times New Roman" w:eastAsia="仿宋_GB2312"/>
      <w:sz w:val="30"/>
      <w:szCs w:val="30"/>
    </w:rPr>
  </w:style>
  <w:style w:type="paragraph" w:styleId="1062" w:customStyle="1">
    <w:name w:val="正文文本1"/>
    <w:basedOn w:val="853"/>
    <w:link w:val="1063"/>
    <w:uiPriority w:val="0"/>
    <w:qFormat/>
    <w:rPr>
      <w:rFonts w:ascii="楷体_GB2312" w:hAnsi="Arial" w:eastAsia="楷体_GB2312"/>
      <w:sz w:val="28"/>
      <w:szCs w:val="28"/>
    </w:rPr>
  </w:style>
  <w:style w:type="character" w:styleId="1063" w:customStyle="1">
    <w:name w:val="正文文本 字符"/>
    <w:link w:val="1062"/>
    <w:uiPriority w:val="0"/>
    <w:qFormat/>
    <w:rPr>
      <w:rFonts w:ascii="楷体_GB2312" w:hAnsi="Arial" w:eastAsia="楷体_GB2312" w:cs="Times New Roman"/>
      <w:sz w:val="28"/>
      <w:szCs w:val="28"/>
    </w:rPr>
  </w:style>
  <w:style w:type="character" w:styleId="1064" w:customStyle="1">
    <w:name w:val="正文文本首行缩进 字符"/>
    <w:link w:val="1061"/>
    <w:uiPriority w:val="0"/>
    <w:qFormat/>
    <w:rPr>
      <w:rFonts w:ascii="仿宋_GB2312" w:hAnsi="Times New Roman" w:eastAsia="仿宋_GB2312" w:cs="Times New Roman"/>
      <w:sz w:val="30"/>
      <w:szCs w:val="30"/>
    </w:rPr>
  </w:style>
  <w:style w:type="character" w:styleId="1065" w:customStyle="1">
    <w:name w:val="标题 1 字符"/>
    <w:link w:val="1049"/>
    <w:uiPriority w:val="0"/>
    <w:qFormat/>
    <w:rPr>
      <w:rFonts w:ascii="楷体_GB2312" w:hAnsi="Times New Roman" w:eastAsia="楷体_GB2312" w:cs="Times New Roman"/>
      <w:sz w:val="28"/>
      <w:szCs w:val="28"/>
    </w:rPr>
  </w:style>
  <w:style w:type="character" w:styleId="1066" w:customStyle="1">
    <w:name w:val="标题 2 字符"/>
    <w:link w:val="1050"/>
    <w:uiPriority w:val="0"/>
    <w:qFormat/>
    <w:rPr>
      <w:rFonts w:ascii="Arial" w:hAnsi="Arial" w:eastAsia="幼圆" w:cs="Arial"/>
      <w:b/>
      <w:bCs/>
      <w:sz w:val="44"/>
      <w:szCs w:val="44"/>
    </w:rPr>
  </w:style>
  <w:style w:type="character" w:styleId="1067" w:customStyle="1">
    <w:name w:val="正文缩进 字符"/>
    <w:link w:val="1051"/>
    <w:uiPriority w:val="0"/>
    <w:qFormat/>
    <w:rPr>
      <w:rFonts w:ascii="Calibri" w:hAnsi="Calibri" w:eastAsia="宋体" w:cs="Times New Roman"/>
      <w:szCs w:val="21"/>
    </w:rPr>
  </w:style>
  <w:style w:type="character" w:styleId="1068" w:customStyle="1">
    <w:name w:val="标题 3 字符"/>
    <w:link w:val="1052"/>
    <w:uiPriority w:val="0"/>
    <w:qFormat/>
    <w:rPr>
      <w:rFonts w:ascii="Times New Roman" w:hAnsi="Times New Roman" w:eastAsia="宋体" w:cs="Times New Roman"/>
      <w:b/>
      <w:bCs/>
      <w:sz w:val="32"/>
      <w:szCs w:val="32"/>
    </w:rPr>
  </w:style>
  <w:style w:type="character" w:styleId="1069" w:customStyle="1">
    <w:name w:val="标题 4 字符"/>
    <w:link w:val="1053"/>
    <w:uiPriority w:val="0"/>
    <w:qFormat/>
    <w:rPr>
      <w:rFonts w:ascii="Arial" w:hAnsi="Arial" w:eastAsia="黑体" w:cs="Arial"/>
      <w:b/>
      <w:bCs/>
      <w:sz w:val="28"/>
      <w:szCs w:val="28"/>
    </w:rPr>
  </w:style>
  <w:style w:type="character" w:styleId="1070" w:customStyle="1">
    <w:name w:val="标题 5 字符"/>
    <w:link w:val="1054"/>
    <w:uiPriority w:val="0"/>
    <w:qFormat/>
    <w:rPr>
      <w:rFonts w:ascii="宋体" w:hAnsi="Times New Roman" w:eastAsia="宋体" w:cs="Times New Roman"/>
      <w:color w:val="000000"/>
      <w:sz w:val="28"/>
      <w:szCs w:val="28"/>
    </w:rPr>
  </w:style>
  <w:style w:type="character" w:styleId="1071" w:customStyle="1">
    <w:name w:val="标题 6 字符"/>
    <w:link w:val="1055"/>
    <w:uiPriority w:val="0"/>
    <w:qFormat/>
    <w:rPr>
      <w:rFonts w:ascii="Arial" w:hAnsi="Arial" w:eastAsia="黑体" w:cs="Times New Roman"/>
      <w:b/>
      <w:bCs/>
      <w:sz w:val="24"/>
      <w:szCs w:val="24"/>
    </w:rPr>
  </w:style>
  <w:style w:type="character" w:styleId="1072" w:customStyle="1">
    <w:name w:val="标题 7 字符"/>
    <w:link w:val="1056"/>
    <w:uiPriority w:val="0"/>
    <w:qFormat/>
    <w:rPr>
      <w:rFonts w:ascii="Times New Roman" w:hAnsi="Times New Roman" w:eastAsia="宋体" w:cs="Times New Roman"/>
      <w:b/>
      <w:bCs/>
      <w:sz w:val="24"/>
      <w:szCs w:val="24"/>
    </w:rPr>
  </w:style>
  <w:style w:type="character" w:styleId="1073" w:customStyle="1">
    <w:name w:val="标题 8 字符"/>
    <w:link w:val="1057"/>
    <w:uiPriority w:val="0"/>
    <w:qFormat/>
    <w:rPr>
      <w:rFonts w:ascii="Arial" w:hAnsi="Arial" w:eastAsia="黑体" w:cs="Times New Roman"/>
      <w:sz w:val="24"/>
      <w:szCs w:val="24"/>
    </w:rPr>
  </w:style>
  <w:style w:type="character" w:styleId="1074" w:customStyle="1">
    <w:name w:val="标题 9 字符"/>
    <w:link w:val="1058"/>
    <w:uiPriority w:val="0"/>
    <w:qFormat/>
    <w:rPr>
      <w:rFonts w:ascii="Arial" w:hAnsi="Arial" w:eastAsia="黑体" w:cs="Times New Roman"/>
      <w:szCs w:val="21"/>
    </w:rPr>
  </w:style>
  <w:style w:type="paragraph" w:styleId="1075" w:customStyle="1">
    <w:name w:val="列表 31"/>
    <w:basedOn w:val="853"/>
    <w:uiPriority w:val="0"/>
    <w:qFormat/>
    <w:pPr>
      <w:ind w:left="100" w:hanging="200"/>
    </w:pPr>
    <w:rPr>
      <w:rFonts w:ascii="Times New Roman" w:hAnsi="Times New Roman"/>
      <w:szCs w:val="21"/>
    </w:rPr>
  </w:style>
  <w:style w:type="paragraph" w:styleId="1076" w:customStyle="1">
    <w:name w:val="文档结构图1"/>
    <w:basedOn w:val="853"/>
    <w:link w:val="1077"/>
    <w:uiPriority w:val="0"/>
    <w:semiHidden/>
    <w:qFormat/>
    <w:pPr>
      <w:shd w:val="clear" w:color="auto" w:fill="000080"/>
    </w:pPr>
    <w:rPr>
      <w:rFonts w:ascii="Times New Roman" w:hAnsi="Times New Roman"/>
      <w:szCs w:val="21"/>
    </w:rPr>
  </w:style>
  <w:style w:type="character" w:styleId="1077" w:customStyle="1">
    <w:name w:val="文档结构图 字符"/>
    <w:link w:val="1076"/>
    <w:uiPriority w:val="0"/>
    <w:semiHidden/>
    <w:qFormat/>
    <w:rPr>
      <w:rFonts w:ascii="Times New Roman" w:hAnsi="Times New Roman" w:eastAsia="宋体" w:cs="Times New Roman"/>
      <w:szCs w:val="21"/>
      <w:shd w:val="clear" w:color="auto" w:fill="000080"/>
    </w:rPr>
  </w:style>
  <w:style w:type="paragraph" w:styleId="1078" w:customStyle="1">
    <w:name w:val="批注文字1"/>
    <w:basedOn w:val="853"/>
    <w:link w:val="1079"/>
    <w:uiPriority w:val="0"/>
    <w:unhideWhenUsed/>
    <w:qFormat/>
    <w:pPr>
      <w:jc w:val="left"/>
    </w:pPr>
  </w:style>
  <w:style w:type="character" w:styleId="1079" w:customStyle="1">
    <w:name w:val="批注文字 字符"/>
    <w:link w:val="1078"/>
    <w:uiPriority w:val="0"/>
    <w:qFormat/>
    <w:rPr>
      <w:rFonts w:ascii="Calibri" w:hAnsi="Calibri" w:eastAsia="宋体" w:cs="Times New Roman"/>
    </w:rPr>
  </w:style>
  <w:style w:type="paragraph" w:styleId="1080" w:customStyle="1">
    <w:name w:val="正文文本 31"/>
    <w:basedOn w:val="853"/>
    <w:link w:val="1081"/>
    <w:uiPriority w:val="0"/>
    <w:qFormat/>
    <w:rPr>
      <w:rFonts w:ascii="仿宋_GB2312" w:hAnsi="Arial" w:eastAsia="仿宋_GB2312"/>
      <w:sz w:val="32"/>
      <w:szCs w:val="32"/>
    </w:rPr>
  </w:style>
  <w:style w:type="character" w:styleId="1081" w:customStyle="1">
    <w:name w:val="正文文本 3 字符"/>
    <w:link w:val="1080"/>
    <w:uiPriority w:val="0"/>
    <w:qFormat/>
    <w:rPr>
      <w:rFonts w:ascii="仿宋_GB2312" w:hAnsi="Arial" w:eastAsia="仿宋_GB2312" w:cs="Times New Roman"/>
      <w:sz w:val="32"/>
      <w:szCs w:val="32"/>
    </w:rPr>
  </w:style>
  <w:style w:type="paragraph" w:styleId="1082" w:customStyle="1">
    <w:name w:val="正文文本缩进1"/>
    <w:basedOn w:val="1083"/>
    <w:next w:val="853"/>
    <w:link w:val="1084"/>
    <w:uiPriority w:val="0"/>
    <w:unhideWhenUsed/>
    <w:qFormat/>
    <w:pPr>
      <w:ind w:left="420"/>
      <w:spacing w:after="120"/>
    </w:pPr>
  </w:style>
  <w:style w:type="paragraph" w:styleId="1083"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84" w:customStyle="1">
    <w:name w:val="正文文本缩进 字符"/>
    <w:link w:val="1082"/>
    <w:uiPriority w:val="0"/>
    <w:qFormat/>
    <w:rPr>
      <w:rFonts w:ascii="Calibri" w:hAnsi="Calibri" w:eastAsia="宋体" w:cs="Times New Roman"/>
    </w:rPr>
  </w:style>
  <w:style w:type="paragraph" w:styleId="1085" w:customStyle="1">
    <w:name w:val="列表 21"/>
    <w:basedOn w:val="853"/>
    <w:uiPriority w:val="0"/>
    <w:qFormat/>
    <w:pPr>
      <w:ind w:left="100" w:hanging="200"/>
    </w:pPr>
    <w:rPr>
      <w:rFonts w:ascii="Times New Roman" w:hAnsi="Times New Roman"/>
      <w:szCs w:val="21"/>
    </w:rPr>
  </w:style>
  <w:style w:type="paragraph" w:styleId="1086" w:customStyle="1">
    <w:name w:val="纯文本1"/>
    <w:basedOn w:val="853"/>
    <w:link w:val="1087"/>
    <w:uiPriority w:val="0"/>
    <w:qFormat/>
    <w:rPr>
      <w:rFonts w:ascii="宋体" w:hAnsi="Courier New" w:cs="Courier New"/>
      <w:szCs w:val="21"/>
    </w:rPr>
  </w:style>
  <w:style w:type="character" w:styleId="1087" w:customStyle="1">
    <w:name w:val="纯文本 字符"/>
    <w:link w:val="1086"/>
    <w:uiPriority w:val="0"/>
    <w:qFormat/>
    <w:rPr>
      <w:rFonts w:ascii="宋体" w:hAnsi="Courier New" w:eastAsia="宋体" w:cs="Courier New"/>
      <w:szCs w:val="21"/>
    </w:rPr>
  </w:style>
  <w:style w:type="paragraph" w:styleId="1088" w:customStyle="1">
    <w:name w:val="日期1"/>
    <w:basedOn w:val="853"/>
    <w:next w:val="853"/>
    <w:link w:val="1089"/>
    <w:uiPriority w:val="0"/>
    <w:qFormat/>
    <w:rPr>
      <w:rFonts w:ascii="Times New Roman" w:hAnsi="Times New Roman"/>
      <w:sz w:val="24"/>
      <w:szCs w:val="24"/>
    </w:rPr>
  </w:style>
  <w:style w:type="character" w:styleId="1089" w:customStyle="1">
    <w:name w:val="日期 字符"/>
    <w:link w:val="1088"/>
    <w:uiPriority w:val="0"/>
    <w:qFormat/>
    <w:rPr>
      <w:rFonts w:ascii="Times New Roman" w:hAnsi="Times New Roman" w:eastAsia="宋体" w:cs="Times New Roman"/>
      <w:sz w:val="24"/>
      <w:szCs w:val="24"/>
    </w:rPr>
  </w:style>
  <w:style w:type="paragraph" w:styleId="1090" w:customStyle="1">
    <w:name w:val="正文文本缩进 21"/>
    <w:basedOn w:val="853"/>
    <w:link w:val="1091"/>
    <w:uiPriority w:val="0"/>
    <w:qFormat/>
    <w:pPr>
      <w:ind w:left="630" w:firstLine="645"/>
    </w:pPr>
    <w:rPr>
      <w:rFonts w:ascii="Arial" w:hAnsi="Arial" w:eastAsia="仿宋_GB2312" w:cs="Arial"/>
      <w:sz w:val="32"/>
      <w:szCs w:val="32"/>
    </w:rPr>
  </w:style>
  <w:style w:type="character" w:styleId="1091" w:customStyle="1">
    <w:name w:val="正文文本缩进 2 字符"/>
    <w:link w:val="1090"/>
    <w:uiPriority w:val="0"/>
    <w:qFormat/>
    <w:rPr>
      <w:rFonts w:ascii="Arial" w:hAnsi="Arial" w:eastAsia="仿宋_GB2312" w:cs="Arial"/>
      <w:sz w:val="32"/>
      <w:szCs w:val="32"/>
    </w:rPr>
  </w:style>
  <w:style w:type="paragraph" w:styleId="1092" w:customStyle="1">
    <w:name w:val="批注框文本1"/>
    <w:basedOn w:val="853"/>
    <w:link w:val="1093"/>
    <w:uiPriority w:val="0"/>
    <w:semiHidden/>
    <w:qFormat/>
    <w:rPr>
      <w:rFonts w:ascii="Times New Roman" w:hAnsi="Times New Roman"/>
      <w:sz w:val="18"/>
      <w:szCs w:val="18"/>
    </w:rPr>
  </w:style>
  <w:style w:type="character" w:styleId="1093" w:customStyle="1">
    <w:name w:val="批注框文本 字符"/>
    <w:link w:val="1092"/>
    <w:uiPriority w:val="0"/>
    <w:semiHidden/>
    <w:qFormat/>
    <w:rPr>
      <w:rFonts w:ascii="Times New Roman" w:hAnsi="Times New Roman" w:eastAsia="宋体" w:cs="Times New Roman"/>
      <w:sz w:val="18"/>
      <w:szCs w:val="18"/>
    </w:rPr>
  </w:style>
  <w:style w:type="paragraph" w:styleId="1094" w:customStyle="1">
    <w:name w:val="页脚1"/>
    <w:basedOn w:val="853"/>
    <w:link w:val="1095"/>
    <w:uiPriority w:val="0"/>
    <w:qFormat/>
    <w:pPr>
      <w:jc w:val="left"/>
      <w:tabs>
        <w:tab w:val="center" w:pos="4153" w:leader="none"/>
        <w:tab w:val="right" w:pos="8306" w:leader="none"/>
      </w:tabs>
    </w:pPr>
    <w:rPr>
      <w:rFonts w:ascii="Times New Roman" w:hAnsi="Times New Roman"/>
      <w:sz w:val="18"/>
      <w:szCs w:val="18"/>
    </w:rPr>
  </w:style>
  <w:style w:type="character" w:styleId="1095" w:customStyle="1">
    <w:name w:val="页脚 字符"/>
    <w:link w:val="1094"/>
    <w:uiPriority w:val="0"/>
    <w:qFormat/>
    <w:rPr>
      <w:rFonts w:ascii="Times New Roman" w:hAnsi="Times New Roman" w:eastAsia="宋体" w:cs="Times New Roman"/>
      <w:sz w:val="18"/>
      <w:szCs w:val="18"/>
    </w:rPr>
  </w:style>
  <w:style w:type="paragraph" w:styleId="1096" w:customStyle="1">
    <w:name w:val="页眉1"/>
    <w:basedOn w:val="853"/>
    <w:link w:val="109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97" w:customStyle="1">
    <w:name w:val="页眉 字符"/>
    <w:link w:val="1096"/>
    <w:uiPriority w:val="0"/>
    <w:qFormat/>
    <w:rPr>
      <w:rFonts w:ascii="Times New Roman" w:hAnsi="Times New Roman" w:eastAsia="宋体" w:cs="Times New Roman"/>
      <w:sz w:val="18"/>
      <w:szCs w:val="18"/>
    </w:rPr>
  </w:style>
  <w:style w:type="paragraph" w:styleId="1098" w:customStyle="1">
    <w:name w:val="列表1"/>
    <w:basedOn w:val="853"/>
    <w:uiPriority w:val="0"/>
    <w:qFormat/>
    <w:pPr>
      <w:ind w:left="200" w:hanging="200"/>
    </w:pPr>
    <w:rPr>
      <w:rFonts w:ascii="Times New Roman" w:hAnsi="Times New Roman"/>
      <w:szCs w:val="21"/>
    </w:rPr>
  </w:style>
  <w:style w:type="paragraph" w:styleId="1099" w:customStyle="1">
    <w:name w:val="正文文本缩进 31"/>
    <w:basedOn w:val="853"/>
    <w:link w:val="1100"/>
    <w:uiPriority w:val="0"/>
    <w:qFormat/>
    <w:pPr>
      <w:ind w:left="645" w:firstLine="645"/>
    </w:pPr>
    <w:rPr>
      <w:rFonts w:ascii="Arial" w:hAnsi="Arial" w:eastAsia="仿宋_GB2312" w:cs="Arial"/>
      <w:color w:val="ffff00"/>
      <w:sz w:val="32"/>
      <w:szCs w:val="32"/>
    </w:rPr>
  </w:style>
  <w:style w:type="character" w:styleId="1100" w:customStyle="1">
    <w:name w:val="正文文本缩进 3 字符"/>
    <w:link w:val="1099"/>
    <w:uiPriority w:val="0"/>
    <w:qFormat/>
    <w:rPr>
      <w:rFonts w:ascii="Arial" w:hAnsi="Arial" w:eastAsia="仿宋_GB2312" w:cs="Arial"/>
      <w:color w:val="ffff00"/>
      <w:sz w:val="32"/>
      <w:szCs w:val="32"/>
    </w:rPr>
  </w:style>
  <w:style w:type="paragraph" w:styleId="1101" w:customStyle="1">
    <w:name w:val="图表目录1"/>
    <w:basedOn w:val="853"/>
    <w:next w:val="853"/>
    <w:uiPriority w:val="0"/>
    <w:semiHidden/>
    <w:qFormat/>
    <w:pPr>
      <w:ind w:left="840" w:hanging="420"/>
    </w:pPr>
    <w:rPr>
      <w:rFonts w:ascii="Times New Roman" w:hAnsi="Times New Roman"/>
      <w:szCs w:val="21"/>
    </w:rPr>
  </w:style>
  <w:style w:type="paragraph" w:styleId="1102" w:customStyle="1">
    <w:name w:val="正文文本 21"/>
    <w:basedOn w:val="853"/>
    <w:link w:val="1103"/>
    <w:uiPriority w:val="0"/>
    <w:qFormat/>
    <w:pPr>
      <w:jc w:val="center"/>
      <w:widowControl/>
    </w:pPr>
    <w:rPr>
      <w:rFonts w:ascii="楷体_GB2312" w:hAnsi="Times New Roman" w:eastAsia="楷体_GB2312"/>
      <w:sz w:val="28"/>
      <w:szCs w:val="28"/>
    </w:rPr>
  </w:style>
  <w:style w:type="character" w:styleId="1103" w:customStyle="1">
    <w:name w:val="正文文本 2 字符"/>
    <w:link w:val="1102"/>
    <w:uiPriority w:val="0"/>
    <w:qFormat/>
    <w:rPr>
      <w:rFonts w:ascii="楷体_GB2312" w:hAnsi="Times New Roman" w:eastAsia="楷体_GB2312" w:cs="Times New Roman"/>
      <w:sz w:val="28"/>
      <w:szCs w:val="28"/>
    </w:rPr>
  </w:style>
  <w:style w:type="paragraph" w:styleId="1104" w:customStyle="1">
    <w:name w:val="普通(网站)1"/>
    <w:basedOn w:val="853"/>
    <w:uiPriority w:val="99"/>
    <w:qFormat/>
    <w:pPr>
      <w:jc w:val="left"/>
      <w:spacing w:before="100" w:beforeAutospacing="1" w:after="100" w:afterAutospacing="1"/>
      <w:widowControl/>
    </w:pPr>
    <w:rPr>
      <w:rFonts w:ascii="宋体" w:hAnsi="宋体" w:cs="宋体"/>
      <w:sz w:val="24"/>
      <w:szCs w:val="24"/>
    </w:rPr>
  </w:style>
  <w:style w:type="paragraph" w:styleId="1105" w:customStyle="1">
    <w:name w:val="索引 11"/>
    <w:basedOn w:val="853"/>
    <w:next w:val="853"/>
    <w:uiPriority w:val="0"/>
    <w:semiHidden/>
    <w:qFormat/>
    <w:pPr>
      <w:spacing w:line="240" w:lineRule="atLeast"/>
    </w:pPr>
    <w:rPr>
      <w:rFonts w:ascii="Times New Roman" w:hAnsi="Times New Roman"/>
      <w:b/>
      <w:bCs/>
      <w:szCs w:val="21"/>
    </w:rPr>
  </w:style>
  <w:style w:type="paragraph" w:styleId="1106" w:customStyle="1">
    <w:name w:val="批注主题1"/>
    <w:basedOn w:val="1078"/>
    <w:next w:val="1078"/>
    <w:link w:val="1107"/>
    <w:uiPriority w:val="0"/>
    <w:semiHidden/>
    <w:qFormat/>
    <w:rPr>
      <w:rFonts w:ascii="Times New Roman" w:hAnsi="Times New Roman"/>
      <w:b/>
      <w:bCs/>
      <w:szCs w:val="21"/>
    </w:rPr>
  </w:style>
  <w:style w:type="character" w:styleId="1107" w:customStyle="1">
    <w:name w:val="批注主题 字符"/>
    <w:link w:val="1106"/>
    <w:uiPriority w:val="0"/>
    <w:semiHidden/>
    <w:qFormat/>
    <w:rPr>
      <w:rFonts w:ascii="Times New Roman" w:hAnsi="Times New Roman" w:eastAsia="宋体" w:cs="Times New Roman"/>
      <w:b/>
      <w:bCs/>
      <w:szCs w:val="21"/>
    </w:rPr>
  </w:style>
  <w:style w:type="paragraph" w:styleId="1108" w:customStyle="1">
    <w:name w:val="正文文本首行缩进 2"/>
    <w:basedOn w:val="1082"/>
    <w:link w:val="1109"/>
    <w:uiPriority w:val="0"/>
    <w:qFormat/>
    <w:pPr>
      <w:ind w:left="0" w:firstLine="420"/>
      <w:spacing w:after="0" w:line="360" w:lineRule="auto"/>
    </w:pPr>
    <w:rPr>
      <w:rFonts w:ascii="宋体" w:hAnsi="宋体"/>
      <w:szCs w:val="20"/>
    </w:rPr>
  </w:style>
  <w:style w:type="character" w:styleId="1109" w:customStyle="1">
    <w:name w:val="正文文本首行缩进 2 字符"/>
    <w:link w:val="1108"/>
    <w:uiPriority w:val="0"/>
    <w:qFormat/>
    <w:rPr>
      <w:rFonts w:ascii="宋体" w:hAnsi="宋体" w:eastAsia="宋体" w:cs="Times New Roman"/>
      <w:szCs w:val="20"/>
    </w:rPr>
  </w:style>
  <w:style w:type="table" w:styleId="1110" w:customStyle="1">
    <w:name w:val="网格型1"/>
    <w:basedOn w:val="1060"/>
    <w:uiPriority w:val="0"/>
    <w:qFormat/>
    <w:pPr>
      <w:jc w:val="both"/>
      <w:widowControl w:val="off"/>
    </w:pPr>
    <w:rPr>
      <w:rFonts w:ascii="Times New Roman" w:hAnsi="Times New Roman" w:eastAsia="宋体" w:cs="Times New Roman"/>
      <w:sz w:val="20"/>
      <w:szCs w:val="20"/>
    </w:rPr>
    <w:tblPr/>
  </w:style>
  <w:style w:type="character" w:styleId="1111" w:customStyle="1">
    <w:name w:val="要点1"/>
    <w:link w:val="853"/>
    <w:uiPriority w:val="0"/>
    <w:qFormat/>
    <w:rPr>
      <w:b/>
      <w:bCs/>
    </w:rPr>
  </w:style>
  <w:style w:type="character" w:styleId="1112" w:customStyle="1">
    <w:name w:val="页码1"/>
    <w:link w:val="853"/>
    <w:uiPriority w:val="0"/>
    <w:qFormat/>
  </w:style>
  <w:style w:type="character" w:styleId="1113" w:customStyle="1">
    <w:name w:val="访问过的超链接"/>
    <w:link w:val="853"/>
    <w:uiPriority w:val="0"/>
    <w:qFormat/>
    <w:rPr>
      <w:color w:val="800080"/>
      <w:u w:val="single"/>
    </w:rPr>
  </w:style>
  <w:style w:type="character" w:styleId="1114" w:customStyle="1">
    <w:name w:val="超链接1"/>
    <w:link w:val="853"/>
    <w:uiPriority w:val="0"/>
    <w:qFormat/>
    <w:rPr>
      <w:color w:val="0000ff"/>
      <w:u w:val="single"/>
    </w:rPr>
  </w:style>
  <w:style w:type="character" w:styleId="1115" w:customStyle="1">
    <w:name w:val="批注引用1"/>
    <w:link w:val="853"/>
    <w:uiPriority w:val="0"/>
    <w:semiHidden/>
    <w:qFormat/>
    <w:rPr>
      <w:sz w:val="21"/>
      <w:szCs w:val="21"/>
    </w:rPr>
  </w:style>
  <w:style w:type="character" w:styleId="1116" w:customStyle="1">
    <w:name w:val="font5 Char"/>
    <w:link w:val="853"/>
    <w:uiPriority w:val="0"/>
    <w:qFormat/>
    <w:rPr>
      <w:rFonts w:ascii="宋体" w:hAnsi="宋体" w:eastAsia="宋体"/>
      <w:sz w:val="28"/>
      <w:szCs w:val="28"/>
      <w:lang w:val="en-US" w:eastAsia="zh-CN" w:bidi="ar-SA"/>
    </w:rPr>
  </w:style>
  <w:style w:type="character" w:styleId="1117" w:customStyle="1">
    <w:name w:val="二级目录 Char"/>
    <w:link w:val="1118"/>
    <w:uiPriority w:val="0"/>
    <w:qFormat/>
    <w:rPr>
      <w:b/>
      <w:sz w:val="30"/>
      <w:szCs w:val="28"/>
    </w:rPr>
  </w:style>
  <w:style w:type="paragraph" w:styleId="1118" w:customStyle="1">
    <w:name w:val="二级目录"/>
    <w:next w:val="853"/>
    <w:link w:val="111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19" w:customStyle="1">
    <w:name w:val="列出段落 Char"/>
    <w:link w:val="1120"/>
    <w:uiPriority w:val="0"/>
    <w:qFormat/>
    <w:rPr>
      <w:rFonts w:ascii="Calibri" w:hAnsi="Calibri"/>
      <w:sz w:val="24"/>
      <w:szCs w:val="24"/>
      <w:lang w:eastAsia="en-US" w:bidi="en-US"/>
    </w:rPr>
  </w:style>
  <w:style w:type="paragraph" w:styleId="1120" w:customStyle="1">
    <w:name w:val="列出段落1"/>
    <w:basedOn w:val="853"/>
    <w:link w:val="1119"/>
    <w:uiPriority w:val="0"/>
    <w:qFormat/>
    <w:pPr>
      <w:contextualSpacing/>
      <w:ind w:left="720"/>
      <w:jc w:val="left"/>
      <w:widowControl/>
    </w:pPr>
    <w:rPr>
      <w:rFonts w:eastAsia="宋体" w:cs="Times New Roman"/>
      <w:sz w:val="24"/>
      <w:szCs w:val="24"/>
      <w:lang w:eastAsia="en-US" w:bidi="en-US"/>
    </w:rPr>
  </w:style>
  <w:style w:type="paragraph" w:styleId="1121" w:customStyle="1">
    <w:name w:val="Body Text(ch)"/>
    <w:basedOn w:val="853"/>
    <w:next w:val="1062"/>
    <w:uiPriority w:val="0"/>
    <w:qFormat/>
    <w:pPr>
      <w:spacing w:after="120"/>
    </w:pPr>
    <w:rPr>
      <w:rFonts w:ascii="宋体" w:hAnsi="Arial"/>
      <w:bCs/>
      <w:iCs/>
      <w:szCs w:val="24"/>
    </w:rPr>
  </w:style>
  <w:style w:type="paragraph" w:styleId="1122" w:customStyle="1">
    <w:name w:val="xl27"/>
    <w:basedOn w:val="8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6"/>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4" w:customStyle="1">
    <w:name w:val="Char"/>
    <w:basedOn w:val="853"/>
    <w:uiPriority w:val="0"/>
    <w:qFormat/>
    <w:pPr>
      <w:ind w:firstLine="200"/>
      <w:tabs>
        <w:tab w:val="left" w:pos="360" w:leader="none"/>
      </w:tabs>
    </w:pPr>
    <w:rPr>
      <w:rFonts w:ascii="Times New Roman" w:hAnsi="Times New Roman"/>
      <w:sz w:val="28"/>
      <w:szCs w:val="30"/>
    </w:rPr>
  </w:style>
  <w:style w:type="paragraph" w:styleId="1125" w:customStyle="1">
    <w:name w:val=" Char"/>
    <w:basedOn w:val="1076"/>
    <w:uiPriority w:val="0"/>
    <w:qFormat/>
    <w:rPr>
      <w:rFonts w:ascii="Tahoma" w:hAnsi="Tahoma"/>
      <w:sz w:val="24"/>
      <w:szCs w:val="24"/>
    </w:rPr>
  </w:style>
  <w:style w:type="paragraph" w:styleId="1126" w:customStyle="1">
    <w:name w:val="普通正文"/>
    <w:basedOn w:val="853"/>
    <w:uiPriority w:val="0"/>
    <w:qFormat/>
    <w:pPr>
      <w:ind w:firstLine="480"/>
      <w:jc w:val="left"/>
      <w:spacing w:before="120" w:after="120" w:line="360" w:lineRule="auto"/>
    </w:pPr>
    <w:rPr>
      <w:rFonts w:ascii="Arial" w:hAnsi="Arial"/>
      <w:sz w:val="24"/>
      <w:szCs w:val="24"/>
    </w:rPr>
  </w:style>
  <w:style w:type="paragraph" w:styleId="1127" w:customStyle="1">
    <w:name w:val="table_lines"/>
    <w:basedOn w:val="853"/>
    <w:uiPriority w:val="0"/>
    <w:qFormat/>
    <w:pPr>
      <w:jc w:val="left"/>
      <w:widowControl/>
    </w:pPr>
    <w:rPr>
      <w:rFonts w:ascii="Times New Roman" w:hAnsi="Times New Roman"/>
      <w:sz w:val="20"/>
      <w:szCs w:val="20"/>
      <w:lang w:val="de-DE" w:eastAsia="de-DE"/>
    </w:rPr>
  </w:style>
  <w:style w:type="paragraph" w:styleId="112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9" w:customStyle="1">
    <w:name w:val="font7"/>
    <w:basedOn w:val="853"/>
    <w:uiPriority w:val="0"/>
    <w:qFormat/>
    <w:pPr>
      <w:jc w:val="left"/>
      <w:spacing w:before="100" w:beforeAutospacing="1" w:after="100" w:afterAutospacing="1"/>
      <w:widowControl/>
    </w:pPr>
    <w:rPr>
      <w:rFonts w:hint="eastAsia" w:ascii="宋体" w:hAnsi="宋体"/>
      <w:sz w:val="18"/>
      <w:szCs w:val="18"/>
    </w:rPr>
  </w:style>
  <w:style w:type="paragraph" w:styleId="1130" w:customStyle="1">
    <w:name w:val=" Char Char Char Char"/>
    <w:basedOn w:val="1076"/>
    <w:uiPriority w:val="0"/>
    <w:qFormat/>
    <w:pPr>
      <w:spacing w:line="360" w:lineRule="auto"/>
    </w:pPr>
    <w:rPr>
      <w:rFonts w:ascii="Tahoma" w:hAnsi="Tahoma"/>
      <w:sz w:val="24"/>
      <w:szCs w:val="24"/>
    </w:rPr>
  </w:style>
  <w:style w:type="paragraph" w:styleId="1131" w:customStyle="1">
    <w:name w:val="列表段落"/>
    <w:basedOn w:val="853"/>
    <w:uiPriority w:val="0"/>
    <w:qFormat/>
    <w:pPr>
      <w:contextualSpacing/>
      <w:ind w:left="720"/>
      <w:jc w:val="left"/>
      <w:widowControl/>
    </w:pPr>
    <w:rPr>
      <w:sz w:val="24"/>
      <w:szCs w:val="24"/>
      <w:lang w:eastAsia="en-US" w:bidi="en-US"/>
    </w:rPr>
  </w:style>
  <w:style w:type="paragraph" w:styleId="1132" w:customStyle="1">
    <w:name w:val="4"/>
    <w:basedOn w:val="853"/>
    <w:next w:val="1099"/>
    <w:uiPriority w:val="0"/>
    <w:qFormat/>
    <w:pPr>
      <w:ind w:firstLine="420"/>
      <w:spacing w:line="360" w:lineRule="auto"/>
    </w:pPr>
    <w:rPr>
      <w:rFonts w:ascii="Times New Roman" w:hAnsi="Times New Roman"/>
      <w:color w:val="ff0000"/>
      <w:sz w:val="24"/>
      <w:szCs w:val="24"/>
    </w:rPr>
  </w:style>
  <w:style w:type="paragraph" w:styleId="1133" w:customStyle="1">
    <w:name w:val="普通 (Web)"/>
    <w:basedOn w:val="853"/>
    <w:uiPriority w:val="0"/>
    <w:qFormat/>
    <w:pPr>
      <w:jc w:val="left"/>
      <w:spacing w:before="100" w:beforeAutospacing="1" w:after="100" w:afterAutospacing="1"/>
      <w:widowControl/>
    </w:pPr>
    <w:rPr>
      <w:rFonts w:ascii="宋体" w:hAnsi="宋体"/>
      <w:sz w:val="24"/>
      <w:szCs w:val="24"/>
    </w:rPr>
  </w:style>
  <w:style w:type="paragraph" w:styleId="1134" w:customStyle="1">
    <w:name w:val=" Char Char Char Char Char Char Char Char Char Char"/>
    <w:basedOn w:val="853"/>
    <w:uiPriority w:val="0"/>
    <w:qFormat/>
    <w:pPr>
      <w:spacing w:line="360" w:lineRule="auto"/>
    </w:pPr>
    <w:rPr>
      <w:rFonts w:ascii="Times New Roman" w:hAnsi="Times New Roman"/>
      <w:sz w:val="24"/>
      <w:szCs w:val="20"/>
    </w:rPr>
  </w:style>
  <w:style w:type="paragraph" w:styleId="1135" w:customStyle="1">
    <w:name w:val="样式1"/>
    <w:basedOn w:val="853"/>
    <w:uiPriority w:val="0"/>
    <w:qFormat/>
    <w:pPr>
      <w:numPr>
        <w:ilvl w:val="0"/>
        <w:numId w:val="3"/>
      </w:numPr>
    </w:pPr>
    <w:rPr>
      <w:rFonts w:ascii="宋体" w:hAnsi="宋体"/>
      <w:szCs w:val="21"/>
    </w:rPr>
  </w:style>
  <w:style w:type="paragraph" w:styleId="1136" w:customStyle="1">
    <w:name w:val="font6"/>
    <w:basedOn w:val="853"/>
    <w:uiPriority w:val="0"/>
    <w:qFormat/>
    <w:pPr>
      <w:jc w:val="left"/>
      <w:spacing w:before="100" w:beforeAutospacing="1" w:after="100" w:afterAutospacing="1"/>
      <w:widowControl/>
    </w:pPr>
    <w:rPr>
      <w:rFonts w:hint="eastAsia" w:ascii="宋体" w:hAnsi="宋体"/>
      <w:sz w:val="28"/>
      <w:szCs w:val="28"/>
      <w:u w:val="single"/>
    </w:rPr>
  </w:style>
  <w:style w:type="paragraph" w:styleId="1137"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8" w:customStyle="1">
    <w:name w:val="图标"/>
    <w:basedOn w:val="853"/>
    <w:next w:val="85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9" w:customStyle="1">
    <w:name w:val="标题3"/>
    <w:basedOn w:val="853"/>
    <w:next w:val="853"/>
    <w:uiPriority w:val="0"/>
    <w:qFormat/>
    <w:pPr>
      <w:ind w:firstLine="624"/>
      <w:spacing w:line="590" w:lineRule="atLeast"/>
    </w:pPr>
    <w:rPr>
      <w:rFonts w:ascii="方正黑体_GBK" w:hAnsi="Times New Roman" w:eastAsia="方正黑体_GBK"/>
      <w:sz w:val="32"/>
      <w:szCs w:val="32"/>
    </w:rPr>
  </w:style>
  <w:style w:type="paragraph" w:styleId="1140" w:customStyle="1">
    <w:name w:val="xl24"/>
    <w:basedOn w:val="8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9"/>
    <w:basedOn w:val="85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customStyle="1">
    <w:name w:val="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143" w:customStyle="1">
    <w:name w:val="xl28"/>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145" w:customStyle="1">
    <w:name w:val="xl30"/>
    <w:basedOn w:val="853"/>
    <w:uiPriority w:val="0"/>
    <w:qFormat/>
    <w:pPr>
      <w:jc w:val="center"/>
      <w:spacing w:before="100" w:beforeAutospacing="1" w:after="100" w:afterAutospacing="1"/>
      <w:widowControl/>
    </w:pPr>
    <w:rPr>
      <w:rFonts w:ascii="宋体" w:hAnsi="宋体"/>
      <w:b/>
      <w:bCs/>
      <w:sz w:val="36"/>
      <w:szCs w:val="36"/>
    </w:rPr>
  </w:style>
  <w:style w:type="paragraph" w:styleId="1146" w:customStyle="1">
    <w:name w:val="Char Char Char Char"/>
    <w:basedOn w:val="1076"/>
    <w:uiPriority w:val="0"/>
    <w:qFormat/>
    <w:pPr>
      <w:spacing w:line="360" w:lineRule="auto"/>
    </w:pPr>
    <w:rPr>
      <w:rFonts w:ascii="Tahoma" w:hAnsi="Tahoma"/>
      <w:sz w:val="24"/>
      <w:szCs w:val="24"/>
    </w:rPr>
  </w:style>
  <w:style w:type="paragraph" w:styleId="1147" w:customStyle="1">
    <w:name w:val="table_1stline"/>
    <w:basedOn w:val="853"/>
    <w:uiPriority w:val="0"/>
    <w:qFormat/>
    <w:pPr>
      <w:jc w:val="left"/>
      <w:spacing w:before="120"/>
      <w:widowControl/>
    </w:pPr>
    <w:rPr>
      <w:rFonts w:ascii="Times New Roman" w:hAnsi="Times New Roman"/>
      <w:bCs/>
      <w:sz w:val="20"/>
      <w:szCs w:val="20"/>
      <w:lang w:val="de-DE" w:eastAsia="de-DE"/>
    </w:rPr>
  </w:style>
  <w:style w:type="paragraph" w:styleId="1148" w:customStyle="1">
    <w:name w:val="font5"/>
    <w:basedOn w:val="853"/>
    <w:uiPriority w:val="0"/>
    <w:qFormat/>
    <w:pPr>
      <w:jc w:val="left"/>
      <w:spacing w:before="100" w:beforeAutospacing="1" w:after="100" w:afterAutospacing="1"/>
      <w:widowControl/>
    </w:pPr>
    <w:rPr>
      <w:rFonts w:hint="eastAsia" w:ascii="宋体" w:hAnsi="宋体"/>
      <w:sz w:val="28"/>
      <w:szCs w:val="28"/>
    </w:rPr>
  </w:style>
  <w:style w:type="paragraph" w:styleId="1149" w:customStyle="1">
    <w:name w:val="标题1"/>
    <w:basedOn w:val="853"/>
    <w:next w:val="85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2" w:customStyle="1">
    <w:name w:val="列表段落1"/>
    <w:basedOn w:val="853"/>
    <w:uiPriority w:val="34"/>
    <w:qFormat/>
    <w:pPr>
      <w:ind w:firstLine="420"/>
    </w:pPr>
    <w:rPr>
      <w:rFonts w:ascii="Times New Roman" w:hAnsi="Times New Roman"/>
    </w:rPr>
  </w:style>
  <w:style w:type="paragraph" w:styleId="1153" w:customStyle="1">
    <w:name w:val="_Style 116"/>
    <w:basedOn w:val="853"/>
    <w:next w:val="1131"/>
    <w:uiPriority w:val="0"/>
    <w:qFormat/>
    <w:pPr>
      <w:contextualSpacing/>
      <w:ind w:left="720"/>
      <w:jc w:val="left"/>
      <w:widowControl/>
    </w:pPr>
    <w:rPr>
      <w:sz w:val="24"/>
      <w:szCs w:val="24"/>
      <w:lang w:eastAsia="en-US" w:bidi="en-US"/>
    </w:rPr>
  </w:style>
  <w:style w:type="paragraph" w:styleId="1154" w:customStyle="1">
    <w:name w:val="正文空两格"/>
    <w:basedOn w:val="853"/>
    <w:uiPriority w:val="0"/>
    <w:qFormat/>
    <w:pPr>
      <w:ind w:firstLine="200"/>
    </w:pPr>
    <w:rPr>
      <w:rFonts w:ascii="Times New Roman" w:hAnsi="Times New Roman"/>
      <w:szCs w:val="21"/>
    </w:rPr>
  </w:style>
  <w:style w:type="character" w:styleId="1155" w:customStyle="1">
    <w:name w:val="纯文本 Char"/>
    <w:link w:val="853"/>
    <w:uiPriority w:val="0"/>
    <w:qFormat/>
    <w:rPr>
      <w:rFonts w:ascii="宋体" w:hAnsi="Courier New" w:eastAsia="宋体" w:cs="Courier New"/>
      <w:szCs w:val="21"/>
    </w:rPr>
  </w:style>
  <w:style w:type="paragraph" w:styleId="1156" w:customStyle="1">
    <w:name w:val="black1"/>
    <w:basedOn w:val="853"/>
    <w:uiPriority w:val="99"/>
    <w:qFormat/>
    <w:pPr>
      <w:jc w:val="left"/>
      <w:spacing w:before="100" w:beforeAutospacing="1" w:after="100" w:afterAutospacing="1"/>
      <w:widowControl/>
    </w:pPr>
    <w:rPr>
      <w:rFonts w:ascii="宋体" w:hAnsi="宋体"/>
      <w:sz w:val="24"/>
    </w:rPr>
  </w:style>
  <w:style w:type="character" w:styleId="1157" w:customStyle="1">
    <w:name w:val="l-btn-left"/>
    <w:basedOn w:val="863"/>
    <w:uiPriority w:val="0"/>
    <w:qFormat/>
  </w:style>
  <w:style w:type="character" w:styleId="1158" w:customStyle="1">
    <w:name w:val="current"/>
    <w:basedOn w:val="863"/>
    <w:uiPriority w:val="0"/>
    <w:qFormat/>
    <w:rPr>
      <w:b/>
      <w:bCs/>
      <w:color w:val="05a7d8"/>
      <w:sz w:val="18"/>
      <w:szCs w:val="18"/>
    </w:rPr>
  </w:style>
  <w:style w:type="character" w:styleId="1159" w:customStyle="1">
    <w:name w:val="l-btn-text36"/>
    <w:basedOn w:val="863"/>
    <w:uiPriority w:val="0"/>
    <w:qFormat/>
  </w:style>
  <w:style w:type="paragraph" w:styleId="1160" w:customStyle="1">
    <w:name w:val="段"/>
    <w:basedOn w:val="853"/>
    <w:next w:val="853"/>
    <w:uiPriority w:val="0"/>
    <w:qFormat/>
    <w:pPr>
      <w:ind w:firstLine="200"/>
      <w:spacing w:line="360" w:lineRule="auto"/>
      <w:widowControl/>
    </w:pPr>
    <w:rPr>
      <w:rFonts w:ascii="宋体" w:hAnsi="宋体" w:cs="宋体"/>
      <w:sz w:val="24"/>
    </w:rPr>
  </w:style>
  <w:style w:type="paragraph" w:styleId="1161" w:customStyle="1">
    <w:name w:val="无间隔1"/>
    <w:basedOn w:val="853"/>
    <w:uiPriority w:val="0"/>
    <w:qFormat/>
    <w:pPr>
      <w:ind w:firstLine="200"/>
      <w:jc w:val="left"/>
      <w:spacing w:line="360" w:lineRule="auto"/>
      <w:widowControl/>
    </w:pPr>
    <w:rPr>
      <w:rFonts w:ascii="宋体" w:hAnsi="宋体"/>
      <w:sz w:val="24"/>
    </w:rPr>
  </w:style>
  <w:style w:type="character" w:styleId="1162" w:customStyle="1">
    <w:name w:val="font11"/>
    <w:basedOn w:val="863"/>
    <w:uiPriority w:val="0"/>
    <w:qFormat/>
    <w:rPr>
      <w:rFonts w:hint="eastAsia" w:ascii="微软雅黑" w:hAnsi="微软雅黑" w:eastAsia="微软雅黑" w:cs="微软雅黑"/>
      <w:color w:val="000000"/>
      <w:sz w:val="20"/>
      <w:szCs w:val="20"/>
      <w:u w:val="none"/>
    </w:rPr>
  </w:style>
  <w:style w:type="character" w:styleId="1163" w:customStyle="1">
    <w:name w:val="font51"/>
    <w:basedOn w:val="863"/>
    <w:uiPriority w:val="0"/>
    <w:qFormat/>
    <w:rPr>
      <w:rFonts w:hint="eastAsia" w:ascii="宋体" w:hAnsi="宋体" w:eastAsia="宋体" w:cs="宋体"/>
      <w:color w:val="000000"/>
      <w:sz w:val="24"/>
      <w:u w:val="none"/>
    </w:rPr>
  </w:style>
  <w:style w:type="character" w:styleId="1164" w:customStyle="1">
    <w:name w:val="标题 1 Char"/>
    <w:basedOn w:val="863"/>
    <w:link w:val="854"/>
    <w:uiPriority w:val="0"/>
    <w:qFormat/>
    <w:rPr>
      <w:rFonts w:ascii="宋体"/>
      <w:b/>
      <w:bCs/>
      <w:sz w:val="32"/>
      <w:szCs w:val="32"/>
    </w:rPr>
  </w:style>
  <w:style w:type="paragraph" w:styleId="1165" w:customStyle="1">
    <w:name w:val="Table Paragraph"/>
    <w:basedOn w:val="853"/>
    <w:uiPriority w:val="1"/>
    <w:qFormat/>
    <w:rPr>
      <w:rFonts w:ascii="宋体" w:hAnsi="宋体" w:eastAsia="宋体" w:cs="宋体"/>
      <w:szCs w:val="22"/>
      <w:lang w:val="zh-CN" w:bidi="zh-CN"/>
    </w:rPr>
  </w:style>
  <w:style w:type="character" w:styleId="1166" w:customStyle="1">
    <w:name w:val="Heading 1 Char1"/>
    <w:uiPriority w:val="99"/>
    <w:qFormat/>
    <w:rPr>
      <w:rFonts w:ascii="Century Schoolbook" w:hAnsi="Century Schoolbook"/>
      <w:sz w:val="20"/>
    </w:rPr>
  </w:style>
  <w:style w:type="paragraph" w:styleId="1167" w:customStyle="1">
    <w:name w:val="正文2"/>
    <w:basedOn w:val="853"/>
    <w:uiPriority w:val="0"/>
    <w:qFormat/>
    <w:pPr>
      <w:widowControl/>
    </w:pPr>
    <w:rPr>
      <w:rFonts w:ascii="Calibri" w:hAnsi="Calibri" w:cs="Calibri"/>
      <w:szCs w:val="21"/>
    </w:rPr>
  </w:style>
  <w:style w:type="character" w:styleId="1168" w:customStyle="1">
    <w:name w:val="超链接11"/>
    <w:link w:val="853"/>
    <w:uiPriority w:val="0"/>
    <w:qFormat/>
    <w:rPr>
      <w:rFonts w:ascii="Calibri" w:hAnsi="Calibri" w:eastAsia="宋体" w:cs="Times New Roman"/>
      <w:sz w:val="21"/>
      <w:szCs w:val="22"/>
      <w:lang w:val="en-US" w:eastAsia="zh-CN" w:bidi="ar-SA"/>
    </w:rPr>
  </w:style>
  <w:style w:type="character" w:styleId="1169" w:customStyle="1">
    <w:name w:val="titlebody"/>
    <w:uiPriority w:val="0"/>
    <w:qFormat/>
    <w:rPr>
      <w:rFonts w:ascii="宋体" w:hAnsi="宋体" w:eastAsia="宋体" w:cs="宋体"/>
      <w:b/>
      <w:bCs/>
      <w:color w:val="000000"/>
      <w:sz w:val="24"/>
      <w:szCs w:val="24"/>
    </w:rPr>
  </w:style>
  <w:style w:type="paragraph" w:styleId="1170" w:customStyle="1">
    <w:name w:val="批注文字12"/>
    <w:basedOn w:val="853"/>
    <w:uiPriority w:val="99"/>
    <w:unhideWhenUsed/>
    <w:qFormat/>
    <w:pPr>
      <w:jc w:val="left"/>
    </w:pPr>
  </w:style>
  <w:style w:type="paragraph" w:styleId="1171" w:customStyle="1">
    <w:name w:val="Plain Text2"/>
    <w:basedOn w:val="853"/>
    <w:uiPriority w:val="99"/>
    <w:qFormat/>
    <w:rPr>
      <w:rFonts w:ascii="宋体" w:hAnsi="Courier New" w:eastAsia="楷体_GB2312"/>
      <w:sz w:val="28"/>
      <w:szCs w:val="20"/>
    </w:rPr>
  </w:style>
  <w:style w:type="paragraph" w:styleId="1172" w:customStyle="1">
    <w:name w:val="脚注文本1"/>
    <w:basedOn w:val="1083"/>
    <w:next w:val="1173"/>
    <w:uiPriority w:val="0"/>
    <w:qFormat/>
    <w:pPr>
      <w:jc w:val="left"/>
    </w:pPr>
    <w:rPr>
      <w:rFonts w:ascii="宋体" w:hAnsi="宋体" w:eastAsia="Times New Roman"/>
      <w:sz w:val="18"/>
      <w:szCs w:val="18"/>
    </w:rPr>
  </w:style>
  <w:style w:type="paragraph" w:styleId="1173" w:customStyle="1">
    <w:name w:val="索引 51"/>
    <w:basedOn w:val="1083"/>
    <w:next w:val="1083"/>
    <w:uiPriority w:val="0"/>
    <w:qFormat/>
    <w:pPr>
      <w:ind w:left="798"/>
      <w:jc w:val="left"/>
    </w:pPr>
    <w:rPr>
      <w:rFonts w:ascii="Calibri" w:hAnsi="Calibri"/>
    </w:rPr>
  </w:style>
  <w:style w:type="paragraph" w:styleId="1174" w:customStyle="1">
    <w:name w:val="普通(网站)11"/>
    <w:basedOn w:val="853"/>
    <w:uiPriority w:val="0"/>
    <w:qFormat/>
    <w:pPr>
      <w:jc w:val="left"/>
      <w:spacing w:before="100" w:beforeAutospacing="1" w:after="100" w:afterAutospacing="1"/>
      <w:widowControl/>
    </w:pPr>
    <w:rPr>
      <w:rFonts w:hint="default" w:ascii="Times New Roman" w:hAnsi="Times New Roman" w:eastAsia="宋体" w:cs="Times New Roman"/>
      <w:sz w:val="24"/>
      <w:szCs w:val="21"/>
      <w:lang w:val="en-US" w:eastAsia="zh-CN" w:bidi="ar"/>
    </w:rPr>
  </w:style>
  <w:style w:type="paragraph" w:styleId="1175" w:customStyle="1">
    <w:name w:val="正文首行缩进 2111"/>
    <w:next w:val="853"/>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1176" w:customStyle="1">
    <w:name w:val="Table Text"/>
    <w:basedOn w:val="853"/>
    <w:uiPriority w:val="0"/>
    <w:semiHidden/>
    <w:qFormat/>
    <w:rPr>
      <w:rFonts w:ascii="仿宋" w:hAnsi="仿宋" w:eastAsia="仿宋" w:cs="仿宋"/>
      <w:sz w:val="22"/>
      <w:szCs w:val="22"/>
      <w:lang w:val="en-US" w:eastAsia="en-US" w:bidi="ar-SA"/>
    </w:rPr>
  </w:style>
  <w:style w:type="table" w:styleId="1177"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78" w:customStyle="1">
    <w:name w:val="正文仿宋"/>
    <w:basedOn w:val="853"/>
    <w:uiPriority w:val="0"/>
    <w:qFormat/>
    <w:pPr>
      <w:ind w:firstLine="520"/>
      <w:spacing w:line="350" w:lineRule="exact"/>
    </w:pPr>
    <w:rPr>
      <w:rFonts w:ascii="Times New Roman" w:hAnsi="Times New Roman" w:eastAsia="方正仿宋_GB2312" w:cs="Times New Roman"/>
      <w:sz w:val="24"/>
      <w:lang w:val="zh-CN"/>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10</cp:revision>
  <dcterms:created xsi:type="dcterms:W3CDTF">2023-09-14T01:51:00Z</dcterms:created>
  <dcterms:modified xsi:type="dcterms:W3CDTF">2026-11-03T09:17:42Z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570EE263056C4CB5865F55D999F9D82B_13</vt:lpwstr>
  </property>
  <property fmtid="{D5CDD505-2E9C-101B-9397-08002B2CF9AE}" pid="4" name="KSOTemplateDocerSaveRecord">
    <vt:lpwstr>eyJoZGlkIjoiM2VkM2Y2NWMzNzdmZjQ1MTEwZmRkMDM0YmVkYjZiZTEiLCJ1c2VySWQiOiIxMTQ1Mjk0NDgzIn0=</vt:lpwstr>
  </property>
</Properties>
</file>