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5"/>
        <w:rPr>
          <w:rFonts w:hint="eastAsia" w:ascii="宋体" w:hAnsi="宋体" w:cs="宋体"/>
          <w:highlight w:val="none"/>
        </w:rPr>
      </w:pPr>
    </w:p>
    <w:p w14:paraId="435724AD">
      <w:pPr>
        <w:pStyle w:val="85"/>
        <w:rPr>
          <w:rFonts w:hint="eastAsia" w:ascii="宋体" w:hAnsi="宋体" w:cs="宋体"/>
          <w:highlight w:val="none"/>
        </w:rPr>
      </w:pPr>
    </w:p>
    <w:p w14:paraId="4C2DA6E8">
      <w:pPr>
        <w:widowControl/>
        <w:shd w:val="clear" w:color="auto" w:fill="FFFFFF"/>
        <w:spacing w:line="360" w:lineRule="auto"/>
        <w:jc w:val="center"/>
        <w:rPr>
          <w:rFonts w:hint="eastAsia" w:ascii="宋体" w:hAnsi="宋体" w:cs="宋体"/>
          <w:b/>
          <w:spacing w:val="-20"/>
          <w:sz w:val="48"/>
          <w:szCs w:val="48"/>
          <w:highlight w:val="none"/>
        </w:rPr>
      </w:pPr>
    </w:p>
    <w:p w14:paraId="01FCA027">
      <w:pPr>
        <w:widowControl/>
        <w:shd w:val="clear" w:color="auto" w:fill="FFFFFF"/>
        <w:spacing w:line="360" w:lineRule="auto"/>
        <w:jc w:val="center"/>
        <w:rPr>
          <w:rFonts w:hint="eastAsia" w:ascii="宋体" w:hAnsi="宋体" w:cs="宋体"/>
          <w:b/>
          <w:kern w:val="0"/>
          <w:sz w:val="72"/>
          <w:szCs w:val="72"/>
          <w:highlight w:val="none"/>
        </w:rPr>
      </w:pPr>
      <w:r>
        <w:rPr>
          <w:rFonts w:hint="eastAsia" w:ascii="宋体" w:hAnsi="宋体" w:cs="宋体"/>
          <w:b/>
          <w:sz w:val="56"/>
          <w:szCs w:val="56"/>
          <w:highlight w:val="none"/>
          <w:lang w:eastAsia="zh-CN"/>
        </w:rPr>
        <w:t>液晶谷片区环卫保洁服务项目</w:t>
      </w:r>
    </w:p>
    <w:p w14:paraId="67FDD540">
      <w:pPr>
        <w:pStyle w:val="19"/>
        <w:rPr>
          <w:highlight w:val="none"/>
        </w:rPr>
      </w:pPr>
    </w:p>
    <w:p w14:paraId="536E7B7A">
      <w:pPr>
        <w:pStyle w:val="19"/>
        <w:jc w:val="both"/>
        <w:rPr>
          <w:highlight w:val="none"/>
        </w:rPr>
      </w:pPr>
    </w:p>
    <w:p w14:paraId="1B9F879E">
      <w:pPr>
        <w:rPr>
          <w:highlight w:val="none"/>
        </w:rPr>
      </w:pPr>
    </w:p>
    <w:p w14:paraId="11E74DF9">
      <w:pPr>
        <w:rPr>
          <w:highlight w:val="none"/>
        </w:rPr>
      </w:pPr>
    </w:p>
    <w:p w14:paraId="1B366696">
      <w:pPr>
        <w:pStyle w:val="41"/>
        <w:rPr>
          <w:rFonts w:hint="eastAsia" w:cs="宋体"/>
          <w:highlight w:val="none"/>
        </w:rPr>
      </w:pPr>
    </w:p>
    <w:p w14:paraId="4894B3A5">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项目编号：JSZC-320113-ZXTD-G2026-0011</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highlight w:val="none"/>
        </w:rPr>
      </w:pPr>
    </w:p>
    <w:p w14:paraId="70C716A1">
      <w:pPr>
        <w:widowControl/>
        <w:spacing w:line="360" w:lineRule="auto"/>
        <w:jc w:val="center"/>
        <w:rPr>
          <w:rFonts w:hint="eastAsia" w:ascii="宋体" w:hAnsi="宋体" w:cs="宋体"/>
          <w:b/>
          <w:kern w:val="0"/>
          <w:sz w:val="72"/>
          <w:szCs w:val="72"/>
          <w:highlight w:val="none"/>
        </w:rPr>
      </w:pPr>
    </w:p>
    <w:p w14:paraId="6B2F254A">
      <w:pPr>
        <w:widowControl/>
        <w:spacing w:line="360" w:lineRule="auto"/>
        <w:jc w:val="center"/>
        <w:rPr>
          <w:rFonts w:hint="eastAsia" w:ascii="宋体" w:hAnsi="宋体" w:cs="宋体"/>
          <w:b/>
          <w:kern w:val="0"/>
          <w:sz w:val="72"/>
          <w:szCs w:val="72"/>
          <w:highlight w:val="none"/>
        </w:rPr>
      </w:pPr>
    </w:p>
    <w:p w14:paraId="5EF8F815">
      <w:pPr>
        <w:pStyle w:val="19"/>
        <w:rPr>
          <w:highlight w:val="none"/>
        </w:rPr>
      </w:pPr>
    </w:p>
    <w:p w14:paraId="2C48CAC7">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采购人：</w:t>
      </w:r>
      <w:r>
        <w:rPr>
          <w:rFonts w:hint="eastAsia" w:ascii="宋体" w:hAnsi="宋体" w:cs="宋体"/>
          <w:b/>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采购代理机构：</w:t>
      </w:r>
      <w:r>
        <w:rPr>
          <w:rFonts w:hint="eastAsia" w:ascii="宋体" w:hAnsi="宋体" w:cs="宋体"/>
          <w:b/>
          <w:kern w:val="0"/>
          <w:sz w:val="36"/>
          <w:szCs w:val="36"/>
          <w:highlight w:val="none"/>
          <w:lang w:eastAsia="zh-CN"/>
        </w:rPr>
        <w:t>江苏泰鼎工程咨询有限公司</w:t>
      </w:r>
    </w:p>
    <w:p w14:paraId="6CDFADED">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t>202</w:t>
      </w:r>
      <w:r>
        <w:rPr>
          <w:rFonts w:hint="eastAsia" w:ascii="宋体" w:hAnsi="宋体" w:cs="宋体"/>
          <w:b/>
          <w:kern w:val="0"/>
          <w:sz w:val="36"/>
          <w:szCs w:val="36"/>
          <w:highlight w:val="none"/>
          <w:lang w:val="en-US" w:eastAsia="zh-CN"/>
        </w:rPr>
        <w:t>6</w:t>
      </w:r>
      <w:r>
        <w:rPr>
          <w:rFonts w:hint="eastAsia" w:ascii="宋体" w:hAnsi="宋体" w:cs="宋体"/>
          <w:b/>
          <w:kern w:val="0"/>
          <w:sz w:val="36"/>
          <w:szCs w:val="36"/>
          <w:highlight w:val="none"/>
        </w:rPr>
        <w:t>年</w:t>
      </w:r>
      <w:r>
        <w:rPr>
          <w:rFonts w:hint="eastAsia" w:ascii="宋体" w:hAnsi="宋体" w:cs="宋体"/>
          <w:b/>
          <w:kern w:val="0"/>
          <w:sz w:val="36"/>
          <w:szCs w:val="36"/>
          <w:highlight w:val="none"/>
          <w:lang w:val="en-US" w:eastAsia="zh-CN"/>
        </w:rPr>
        <w:t>11</w:t>
      </w:r>
      <w:r>
        <w:rPr>
          <w:rFonts w:hint="eastAsia" w:ascii="宋体" w:hAnsi="宋体" w:cs="宋体"/>
          <w:b/>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3"/>
        <w:tabs>
          <w:tab w:val="right" w:leader="dot" w:pos="8296"/>
        </w:tabs>
        <w:rPr>
          <w:rFonts w:hint="eastAsia" w:ascii="宋体" w:hAnsi="宋体" w:cs="宋体"/>
          <w:sz w:val="28"/>
          <w:szCs w:val="28"/>
          <w:highlight w:val="none"/>
        </w:rPr>
      </w:pPr>
    </w:p>
    <w:p w14:paraId="54D52AB3">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TOC \o "1-1" \h \u </w:instrText>
      </w:r>
      <w:r>
        <w:rPr>
          <w:rFonts w:hint="eastAsia" w:ascii="宋体" w:hAnsi="宋体" w:cs="宋体"/>
          <w:sz w:val="21"/>
          <w:szCs w:val="21"/>
          <w:highlight w:val="none"/>
        </w:rPr>
        <w:fldChar w:fldCharType="separate"/>
      </w: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_Toc22758 </w:instrText>
      </w:r>
      <w:r>
        <w:rPr>
          <w:rFonts w:hint="eastAsia" w:ascii="宋体" w:hAnsi="宋体" w:cs="宋体"/>
          <w:sz w:val="21"/>
          <w:szCs w:val="21"/>
          <w:highlight w:val="none"/>
        </w:rPr>
        <w:fldChar w:fldCharType="separate"/>
      </w:r>
      <w:r>
        <w:rPr>
          <w:rFonts w:hint="eastAsia" w:ascii="宋体" w:hAnsi="宋体" w:cs="宋体"/>
          <w:kern w:val="0"/>
          <w:sz w:val="21"/>
          <w:szCs w:val="21"/>
          <w:highlight w:val="none"/>
        </w:rPr>
        <w:t xml:space="preserve">第一章 </w:t>
      </w:r>
      <w:r>
        <w:rPr>
          <w:rFonts w:hint="eastAsia" w:ascii="宋体" w:hAnsi="宋体" w:cs="宋体"/>
          <w:sz w:val="21"/>
          <w:szCs w:val="21"/>
          <w:highlight w:val="none"/>
        </w:rPr>
        <w:t>招标公告</w:t>
      </w:r>
      <w:r>
        <w:rPr>
          <w:sz w:val="21"/>
          <w:szCs w:val="21"/>
          <w:highlight w:val="none"/>
        </w:rPr>
        <w:tab/>
      </w:r>
      <w:r>
        <w:rPr>
          <w:sz w:val="21"/>
          <w:szCs w:val="21"/>
          <w:highlight w:val="none"/>
        </w:rPr>
        <w:fldChar w:fldCharType="begin"/>
      </w:r>
      <w:r>
        <w:rPr>
          <w:sz w:val="21"/>
          <w:szCs w:val="21"/>
          <w:highlight w:val="none"/>
        </w:rPr>
        <w:instrText xml:space="preserve"> PAGEREF _Toc22758 \h </w:instrText>
      </w:r>
      <w:r>
        <w:rPr>
          <w:sz w:val="21"/>
          <w:szCs w:val="21"/>
          <w:highlight w:val="none"/>
        </w:rPr>
        <w:fldChar w:fldCharType="separate"/>
      </w:r>
      <w:r>
        <w:rPr>
          <w:sz w:val="21"/>
          <w:szCs w:val="21"/>
          <w:highlight w:val="none"/>
        </w:rPr>
        <w:t>2</w:t>
      </w:r>
      <w:r>
        <w:rPr>
          <w:sz w:val="21"/>
          <w:szCs w:val="21"/>
          <w:highlight w:val="none"/>
        </w:rPr>
        <w:fldChar w:fldCharType="end"/>
      </w:r>
      <w:r>
        <w:rPr>
          <w:rFonts w:hint="eastAsia" w:ascii="宋体" w:hAnsi="宋体" w:cs="宋体"/>
          <w:sz w:val="21"/>
          <w:szCs w:val="21"/>
          <w:highlight w:val="none"/>
        </w:rPr>
        <w:fldChar w:fldCharType="end"/>
      </w:r>
    </w:p>
    <w:p w14:paraId="13FF5D08">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_Toc7039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第二章 投标人须知</w:t>
      </w:r>
      <w:r>
        <w:rPr>
          <w:sz w:val="21"/>
          <w:szCs w:val="21"/>
          <w:highlight w:val="none"/>
        </w:rPr>
        <w:tab/>
      </w:r>
      <w:r>
        <w:rPr>
          <w:sz w:val="21"/>
          <w:szCs w:val="21"/>
          <w:highlight w:val="none"/>
        </w:rPr>
        <w:fldChar w:fldCharType="begin"/>
      </w:r>
      <w:r>
        <w:rPr>
          <w:sz w:val="21"/>
          <w:szCs w:val="21"/>
          <w:highlight w:val="none"/>
        </w:rPr>
        <w:instrText xml:space="preserve"> PAGEREF _Toc7039 \h </w:instrText>
      </w:r>
      <w:r>
        <w:rPr>
          <w:sz w:val="21"/>
          <w:szCs w:val="21"/>
          <w:highlight w:val="none"/>
        </w:rPr>
        <w:fldChar w:fldCharType="separate"/>
      </w:r>
      <w:r>
        <w:rPr>
          <w:sz w:val="21"/>
          <w:szCs w:val="21"/>
          <w:highlight w:val="none"/>
        </w:rPr>
        <w:t>6</w:t>
      </w:r>
      <w:r>
        <w:rPr>
          <w:sz w:val="21"/>
          <w:szCs w:val="21"/>
          <w:highlight w:val="none"/>
        </w:rPr>
        <w:fldChar w:fldCharType="end"/>
      </w:r>
      <w:r>
        <w:rPr>
          <w:rFonts w:hint="eastAsia" w:ascii="宋体" w:hAnsi="宋体" w:cs="宋体"/>
          <w:sz w:val="21"/>
          <w:szCs w:val="21"/>
          <w:highlight w:val="none"/>
        </w:rPr>
        <w:fldChar w:fldCharType="end"/>
      </w:r>
    </w:p>
    <w:p w14:paraId="57EBC990">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eastAsia"/>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_Toc32675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第三章 评标标准</w:t>
      </w:r>
      <w:r>
        <w:rPr>
          <w:sz w:val="21"/>
          <w:szCs w:val="21"/>
          <w:highlight w:val="none"/>
        </w:rPr>
        <w:tab/>
      </w:r>
      <w:r>
        <w:rPr>
          <w:sz w:val="21"/>
          <w:szCs w:val="21"/>
          <w:highlight w:val="none"/>
        </w:rPr>
        <w:fldChar w:fldCharType="begin"/>
      </w:r>
      <w:r>
        <w:rPr>
          <w:sz w:val="21"/>
          <w:szCs w:val="21"/>
          <w:highlight w:val="none"/>
        </w:rPr>
        <w:instrText xml:space="preserve"> PAGEREF _Toc32675 \h </w:instrText>
      </w:r>
      <w:r>
        <w:rPr>
          <w:sz w:val="21"/>
          <w:szCs w:val="21"/>
          <w:highlight w:val="none"/>
        </w:rPr>
        <w:fldChar w:fldCharType="separate"/>
      </w:r>
      <w:r>
        <w:rPr>
          <w:sz w:val="21"/>
          <w:szCs w:val="21"/>
          <w:highlight w:val="none"/>
        </w:rPr>
        <w:t>2</w:t>
      </w:r>
      <w:r>
        <w:rPr>
          <w:sz w:val="21"/>
          <w:szCs w:val="21"/>
          <w:highlight w:val="none"/>
        </w:rPr>
        <w:fldChar w:fldCharType="end"/>
      </w:r>
      <w:r>
        <w:rPr>
          <w:rFonts w:hint="eastAsia" w:ascii="宋体" w:hAnsi="宋体" w:cs="宋体"/>
          <w:sz w:val="21"/>
          <w:szCs w:val="21"/>
          <w:highlight w:val="none"/>
        </w:rPr>
        <w:fldChar w:fldCharType="end"/>
      </w:r>
      <w:r>
        <w:rPr>
          <w:rFonts w:hint="eastAsia" w:ascii="宋体" w:hAnsi="宋体" w:cs="宋体"/>
          <w:sz w:val="21"/>
          <w:szCs w:val="21"/>
          <w:highlight w:val="none"/>
          <w:lang w:val="en-US" w:eastAsia="zh-CN"/>
        </w:rPr>
        <w:t>0</w:t>
      </w:r>
    </w:p>
    <w:p w14:paraId="3BFF00C9">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_Toc25308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第四章 采购需求</w:t>
      </w:r>
      <w:r>
        <w:rPr>
          <w:sz w:val="21"/>
          <w:szCs w:val="21"/>
          <w:highlight w:val="none"/>
        </w:rPr>
        <w:tab/>
      </w:r>
      <w:r>
        <w:rPr>
          <w:rFonts w:hint="eastAsia" w:ascii="宋体" w:hAnsi="宋体" w:cs="宋体"/>
          <w:sz w:val="21"/>
          <w:szCs w:val="21"/>
          <w:highlight w:val="none"/>
        </w:rPr>
        <w:fldChar w:fldCharType="end"/>
      </w:r>
      <w:r>
        <w:rPr>
          <w:rFonts w:hint="eastAsia"/>
          <w:sz w:val="21"/>
          <w:szCs w:val="21"/>
          <w:highlight w:val="none"/>
          <w:lang w:eastAsia="zh-CN"/>
        </w:rPr>
        <w:t>2</w:t>
      </w:r>
      <w:r>
        <w:rPr>
          <w:rFonts w:hint="eastAsia"/>
          <w:sz w:val="21"/>
          <w:szCs w:val="21"/>
          <w:highlight w:val="none"/>
          <w:lang w:val="en-US" w:eastAsia="zh-CN"/>
        </w:rPr>
        <w:t>6</w:t>
      </w:r>
    </w:p>
    <w:p w14:paraId="61E0CD81">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_Toc1719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第五章 合同主要条款及格式</w:t>
      </w:r>
      <w:r>
        <w:rPr>
          <w:sz w:val="21"/>
          <w:szCs w:val="21"/>
          <w:highlight w:val="none"/>
        </w:rPr>
        <w:tab/>
      </w:r>
      <w:r>
        <w:rPr>
          <w:rFonts w:hint="eastAsia" w:ascii="宋体" w:hAnsi="宋体" w:cs="宋体"/>
          <w:sz w:val="21"/>
          <w:szCs w:val="21"/>
          <w:highlight w:val="none"/>
        </w:rPr>
        <w:fldChar w:fldCharType="end"/>
      </w:r>
      <w:r>
        <w:rPr>
          <w:rFonts w:hint="eastAsia"/>
          <w:sz w:val="21"/>
          <w:szCs w:val="21"/>
          <w:highlight w:val="none"/>
          <w:lang w:eastAsia="zh-CN"/>
        </w:rPr>
        <w:t>4</w:t>
      </w:r>
      <w:r>
        <w:rPr>
          <w:rFonts w:hint="eastAsia"/>
          <w:sz w:val="21"/>
          <w:szCs w:val="21"/>
          <w:highlight w:val="none"/>
          <w:lang w:val="en-US" w:eastAsia="zh-CN"/>
        </w:rPr>
        <w:t>9</w:t>
      </w:r>
    </w:p>
    <w:p w14:paraId="79DE7DFB">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rFonts w:hint="default"/>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_Toc13466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第六章 投标文件格式及附件</w:t>
      </w:r>
      <w:r>
        <w:rPr>
          <w:sz w:val="21"/>
          <w:szCs w:val="21"/>
          <w:highlight w:val="none"/>
        </w:rPr>
        <w:tab/>
      </w:r>
      <w:r>
        <w:rPr>
          <w:rFonts w:hint="eastAsia" w:ascii="宋体" w:hAnsi="宋体" w:cs="宋体"/>
          <w:sz w:val="21"/>
          <w:szCs w:val="21"/>
          <w:highlight w:val="none"/>
        </w:rPr>
        <w:fldChar w:fldCharType="end"/>
      </w:r>
      <w:r>
        <w:rPr>
          <w:rFonts w:hint="eastAsia"/>
          <w:sz w:val="21"/>
          <w:szCs w:val="21"/>
          <w:highlight w:val="none"/>
          <w:lang w:eastAsia="zh-CN"/>
        </w:rPr>
        <w:t>7</w:t>
      </w:r>
      <w:r>
        <w:rPr>
          <w:rFonts w:hint="eastAsia"/>
          <w:sz w:val="21"/>
          <w:szCs w:val="21"/>
          <w:highlight w:val="none"/>
          <w:lang w:val="en-US" w:eastAsia="zh-CN"/>
        </w:rPr>
        <w:t>1</w:t>
      </w:r>
    </w:p>
    <w:p w14:paraId="69FC9CA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cs="宋体"/>
          <w:sz w:val="28"/>
          <w:szCs w:val="28"/>
          <w:highlight w:val="none"/>
        </w:rPr>
      </w:pPr>
      <w:r>
        <w:rPr>
          <w:rFonts w:hint="eastAsia" w:ascii="宋体" w:hAnsi="宋体" w:cs="宋体"/>
          <w:sz w:val="21"/>
          <w:szCs w:val="21"/>
          <w:highlight w:val="none"/>
        </w:rPr>
        <w:fldChar w:fldCharType="end"/>
      </w:r>
    </w:p>
    <w:p w14:paraId="56522E9A">
      <w:pPr>
        <w:widowControl/>
        <w:shd w:val="clear" w:color="auto" w:fill="FFFFFF"/>
        <w:spacing w:line="360" w:lineRule="auto"/>
        <w:jc w:val="center"/>
        <w:rPr>
          <w:rFonts w:hint="eastAsia" w:ascii="宋体" w:hAnsi="宋体" w:cs="宋体"/>
          <w:b/>
          <w:kern w:val="0"/>
          <w:sz w:val="36"/>
          <w:szCs w:val="36"/>
          <w:highlight w:val="none"/>
        </w:rPr>
      </w:pPr>
    </w:p>
    <w:p w14:paraId="2487732A">
      <w:pPr>
        <w:pStyle w:val="3"/>
        <w:rPr>
          <w:rFonts w:hint="eastAsia" w:ascii="宋体" w:hAnsi="宋体" w:cs="宋体"/>
          <w:kern w:val="0"/>
          <w:szCs w:val="21"/>
          <w:highlight w:val="none"/>
        </w:rPr>
        <w:sectPr>
          <w:footerReference r:id="rId4"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pgNumType w:fmt="decimal" w:start="1"/>
          <w:cols w:space="720" w:num="1"/>
        </w:sectPr>
      </w:pPr>
      <w:bookmarkStart w:id="0" w:name="_Toc481057143"/>
      <w:bookmarkStart w:id="1" w:name="_Hlk52290185"/>
      <w:bookmarkStart w:id="2" w:name="_Hlk54715254"/>
    </w:p>
    <w:p w14:paraId="3CB4A9C7">
      <w:pPr>
        <w:pStyle w:val="3"/>
        <w:spacing w:line="360" w:lineRule="auto"/>
        <w:rPr>
          <w:rFonts w:hint="eastAsia" w:ascii="宋体" w:hAnsi="宋体" w:cs="宋体"/>
          <w:kern w:val="0"/>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highlight w:val="none"/>
        </w:rPr>
      </w:pPr>
      <w:r>
        <w:rPr>
          <w:rFonts w:hint="eastAsia" w:ascii="宋体" w:hAnsi="宋体" w:cs="宋体"/>
          <w:b/>
          <w:bCs/>
          <w:szCs w:val="21"/>
          <w:highlight w:val="none"/>
          <w:u w:val="single"/>
          <w:lang w:eastAsia="zh-CN"/>
        </w:rPr>
        <w:t>液晶谷片区环卫保洁服务项目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江苏政府采购网苏采云系统注册登记成功后系统内免费下载</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24</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spacing w:val="8"/>
          <w:kern w:val="0"/>
          <w:szCs w:val="21"/>
          <w:highlight w:val="none"/>
        </w:rPr>
      </w:pPr>
    </w:p>
    <w:p w14:paraId="4DE608F0">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1.1项目编号：JSZC-320113-ZXTD-G2026-0011</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液晶谷片区环卫保洁服务项目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w:t>
      </w:r>
      <w:r>
        <w:rPr>
          <w:rFonts w:hint="eastAsia" w:ascii="宋体" w:hAnsi="宋体" w:cs="宋体"/>
          <w:b w:val="0"/>
          <w:bCs/>
          <w:szCs w:val="21"/>
          <w:highlight w:val="none"/>
          <w:lang w:val="en-US" w:eastAsia="zh-CN"/>
        </w:rPr>
        <w:t>2842.4883</w:t>
      </w:r>
      <w:r>
        <w:rPr>
          <w:rFonts w:hint="eastAsia" w:ascii="宋体" w:hAnsi="宋体" w:cs="宋体"/>
          <w:b w:val="0"/>
          <w:bCs/>
          <w:szCs w:val="21"/>
          <w:highlight w:val="none"/>
        </w:rPr>
        <w:t>万元。</w:t>
      </w:r>
    </w:p>
    <w:p w14:paraId="35481C78">
      <w:pPr>
        <w:spacing w:line="360" w:lineRule="auto"/>
        <w:ind w:firstLine="420" w:firstLineChars="200"/>
        <w:rPr>
          <w:rFonts w:hint="eastAsia" w:ascii="宋体" w:hAnsi="宋体" w:cs="宋体"/>
          <w:bCs/>
          <w:szCs w:val="21"/>
          <w:highlight w:val="none"/>
        </w:rPr>
      </w:pPr>
      <w:r>
        <w:rPr>
          <w:rFonts w:hint="eastAsia" w:ascii="宋体" w:hAnsi="宋体" w:cs="宋体"/>
          <w:b w:val="0"/>
          <w:bCs/>
          <w:szCs w:val="21"/>
          <w:highlight w:val="none"/>
        </w:rPr>
        <w:t>1.4最高限价：人民币</w:t>
      </w:r>
      <w:r>
        <w:rPr>
          <w:rFonts w:hint="eastAsia" w:ascii="宋体" w:hAnsi="宋体" w:cs="宋体"/>
          <w:b w:val="0"/>
          <w:bCs/>
          <w:szCs w:val="21"/>
          <w:highlight w:val="none"/>
          <w:lang w:val="en-US" w:eastAsia="zh-CN"/>
        </w:rPr>
        <w:t>2842.4883万元/3年；947.4961</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/年。投标报价超过最高限价或单项限价的为无效投标，单项限价详见招标文件。</w:t>
      </w:r>
    </w:p>
    <w:p w14:paraId="49609C5D">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w:t>
      </w:r>
      <w:r>
        <w:rPr>
          <w:rFonts w:hint="eastAsia" w:ascii="宋体" w:hAnsi="宋体" w:cs="宋体"/>
          <w:b w:val="0"/>
          <w:bCs/>
          <w:szCs w:val="21"/>
          <w:highlight w:val="none"/>
          <w:lang w:val="en-US" w:eastAsia="zh-CN"/>
        </w:rPr>
        <w:t>5</w:t>
      </w:r>
      <w:r>
        <w:rPr>
          <w:rFonts w:hint="eastAsia" w:ascii="宋体" w:hAnsi="宋体" w:cs="宋体"/>
          <w:b w:val="0"/>
          <w:bCs/>
          <w:szCs w:val="21"/>
          <w:highlight w:val="none"/>
        </w:rPr>
        <w:t>采购需求：</w:t>
      </w:r>
      <w:r>
        <w:rPr>
          <w:rFonts w:hint="eastAsia" w:ascii="宋体" w:hAnsi="宋体" w:cs="宋体"/>
          <w:b w:val="0"/>
          <w:bCs/>
          <w:szCs w:val="21"/>
          <w:highlight w:val="none"/>
          <w:lang w:val="en-US" w:eastAsia="zh-CN"/>
        </w:rPr>
        <w:t>液晶谷片区环卫保洁服务项目。</w:t>
      </w:r>
      <w:r>
        <w:rPr>
          <w:rFonts w:hint="eastAsia" w:ascii="宋体" w:hAnsi="宋体" w:cs="宋体"/>
          <w:b w:val="0"/>
          <w:bCs/>
          <w:szCs w:val="21"/>
          <w:highlight w:val="none"/>
        </w:rPr>
        <w:t>技术参数详见招标文件。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w:t>
      </w:r>
      <w:r>
        <w:rPr>
          <w:rFonts w:hint="eastAsia" w:ascii="宋体" w:hAnsi="宋体" w:cs="宋体"/>
          <w:bCs/>
          <w:szCs w:val="21"/>
          <w:highlight w:val="none"/>
          <w:lang w:val="en-US" w:eastAsia="zh-CN"/>
        </w:rPr>
        <w:t>三年，合同一年一签，经考核合格后可续签下一年度合同</w:t>
      </w:r>
      <w:r>
        <w:rPr>
          <w:rFonts w:hint="eastAsia" w:ascii="宋体" w:hAnsi="宋体" w:cs="宋体"/>
          <w:bCs/>
          <w:szCs w:val="21"/>
          <w:highlight w:val="none"/>
        </w:rPr>
        <w:t>。</w:t>
      </w:r>
    </w:p>
    <w:p w14:paraId="29797C5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行业划分：其他未列明行业</w:t>
      </w:r>
      <w:r>
        <w:rPr>
          <w:rFonts w:hint="eastAsia" w:ascii="宋体" w:hAnsi="宋体" w:cs="宋体"/>
          <w:bCs/>
          <w:szCs w:val="21"/>
          <w:highlight w:val="none"/>
          <w:lang w:eastAsia="zh-CN"/>
        </w:rPr>
        <w:t>（</w:t>
      </w:r>
      <w:r>
        <w:rPr>
          <w:rFonts w:hint="eastAsia" w:ascii="宋体" w:hAnsi="宋体" w:cs="Arial"/>
          <w:spacing w:val="8"/>
          <w:kern w:val="0"/>
          <w:highlight w:val="none"/>
        </w:rPr>
        <w:t>水利、环境和公共设施管理业</w:t>
      </w:r>
      <w:r>
        <w:rPr>
          <w:rFonts w:hint="eastAsia" w:ascii="宋体" w:hAnsi="宋体" w:cs="宋体"/>
          <w:bCs/>
          <w:szCs w:val="21"/>
          <w:highlight w:val="none"/>
          <w:lang w:eastAsia="zh-CN"/>
        </w:rPr>
        <w:t>）</w:t>
      </w:r>
      <w:r>
        <w:rPr>
          <w:rFonts w:hint="eastAsia" w:ascii="宋体" w:hAnsi="宋体" w:cs="宋体"/>
          <w:bCs/>
          <w:szCs w:val="21"/>
          <w:highlight w:val="none"/>
        </w:rPr>
        <w:t>。</w:t>
      </w:r>
    </w:p>
    <w:p w14:paraId="227AA2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1.8</w:t>
      </w:r>
      <w:r>
        <w:rPr>
          <w:rFonts w:hint="eastAsia" w:ascii="宋体" w:hAnsi="宋体" w:cs="宋体"/>
          <w:bCs/>
          <w:szCs w:val="21"/>
          <w:highlight w:val="none"/>
        </w:rPr>
        <w:t>本项目非专门面向中小企业（或监狱企业或残疾人福利性单位）采购。</w:t>
      </w:r>
    </w:p>
    <w:p w14:paraId="7D0AA0FC">
      <w:pPr>
        <w:spacing w:line="360" w:lineRule="auto"/>
        <w:ind w:firstLine="420" w:firstLineChars="200"/>
        <w:rPr>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9</w:t>
      </w:r>
      <w:r>
        <w:rPr>
          <w:rFonts w:hint="eastAsia" w:ascii="宋体" w:hAnsi="宋体" w:cs="宋体"/>
          <w:bCs/>
          <w:szCs w:val="21"/>
          <w:highlight w:val="none"/>
        </w:rPr>
        <w:t>本项目</w:t>
      </w:r>
      <w:r>
        <w:rPr>
          <w:rFonts w:hint="eastAsia" w:ascii="宋体" w:hAnsi="宋体" w:cs="宋体"/>
          <w:bCs/>
          <w:szCs w:val="21"/>
          <w:highlight w:val="none"/>
          <w:lang w:val="en-US" w:eastAsia="zh-CN"/>
        </w:rPr>
        <w:t>不</w:t>
      </w:r>
      <w:r>
        <w:rPr>
          <w:rFonts w:hint="eastAsia" w:ascii="宋体" w:hAnsi="宋体" w:cs="宋体"/>
          <w:bCs/>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highlight w:val="none"/>
        </w:rPr>
      </w:pPr>
    </w:p>
    <w:p w14:paraId="241001AA">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w:t>
      </w:r>
      <w:r>
        <w:rPr>
          <w:rFonts w:hint="eastAsia" w:ascii="宋体" w:hAnsi="宋体" w:cs="宋体"/>
          <w:bCs/>
          <w:szCs w:val="21"/>
          <w:highlight w:val="none"/>
          <w:lang w:val="en-US" w:eastAsia="zh-CN"/>
        </w:rPr>
        <w:t>2025年度</w:t>
      </w:r>
      <w:r>
        <w:rPr>
          <w:rFonts w:hint="eastAsia" w:ascii="宋体" w:hAnsi="宋体" w:cs="宋体"/>
          <w:bCs/>
          <w:szCs w:val="21"/>
          <w:highlight w:val="none"/>
        </w:rPr>
        <w:t>的财务报表，或投标截止时间前六个月内银行出具的资信证明）；</w:t>
      </w:r>
    </w:p>
    <w:p w14:paraId="51B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598EB681">
      <w:pPr>
        <w:spacing w:line="360" w:lineRule="auto"/>
        <w:ind w:firstLine="454" w:firstLineChars="200"/>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2.2落实政府采购政策需满足的资格要求：</w:t>
      </w:r>
      <w:r>
        <w:rPr>
          <w:rFonts w:hint="eastAsia" w:ascii="宋体" w:hAnsi="宋体" w:cs="宋体"/>
          <w:b/>
          <w:spacing w:val="8"/>
          <w:kern w:val="0"/>
          <w:szCs w:val="21"/>
          <w:highlight w:val="none"/>
          <w:lang w:val="en-US" w:eastAsia="zh-CN"/>
        </w:rPr>
        <w:t>无。</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r>
        <w:rPr>
          <w:rFonts w:hint="eastAsia" w:ascii="宋体" w:hAnsi="宋体" w:cs="宋体"/>
          <w:b/>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szCs w:val="21"/>
          <w:highlight w:val="none"/>
          <w:lang w:eastAsia="zh-CN"/>
        </w:rPr>
      </w:pPr>
      <w:r>
        <w:rPr>
          <w:rFonts w:hint="eastAsia" w:ascii="宋体" w:hAnsi="宋体" w:cs="宋体"/>
          <w:b/>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提供《南京市政府采购供应商信用承诺书》（格式详见附件），法定代表人签字并盖单位公章</w:t>
      </w:r>
      <w:r>
        <w:rPr>
          <w:rFonts w:hint="eastAsia" w:ascii="宋体" w:hAnsi="宋体" w:cs="宋体"/>
          <w:b/>
          <w:szCs w:val="21"/>
          <w:highlight w:val="none"/>
          <w:lang w:eastAsia="zh-CN"/>
        </w:rPr>
        <w:t>。</w:t>
      </w:r>
    </w:p>
    <w:p w14:paraId="25D7FDB7">
      <w:pPr>
        <w:spacing w:line="360" w:lineRule="auto"/>
        <w:ind w:firstLine="426" w:firstLineChars="202"/>
        <w:rPr>
          <w:rFonts w:hint="eastAsia" w:ascii="宋体" w:hAnsi="宋体" w:cs="宋体"/>
          <w:b/>
          <w:szCs w:val="21"/>
          <w:highlight w:val="none"/>
        </w:rPr>
      </w:pPr>
      <w:r>
        <w:rPr>
          <w:rFonts w:hint="eastAsia" w:ascii="宋体" w:hAnsi="宋体" w:cs="宋体"/>
          <w:b/>
          <w:szCs w:val="21"/>
          <w:highlight w:val="none"/>
        </w:rPr>
        <w:t>2.5 拒绝下述供应商参加本次招标活动：</w:t>
      </w:r>
    </w:p>
    <w:p w14:paraId="771122BD">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w:t>
      </w:r>
      <w:r>
        <w:rPr>
          <w:rFonts w:hint="eastAsia" w:ascii="宋体" w:hAnsi="宋体" w:cs="宋体"/>
          <w:bCs/>
          <w:szCs w:val="21"/>
          <w:highlight w:val="none"/>
          <w:lang w:eastAsia="zh-CN"/>
        </w:rPr>
        <w:t>重大税收违法失信主体名单</w:t>
      </w:r>
      <w:r>
        <w:rPr>
          <w:rFonts w:hint="eastAsia" w:ascii="宋体" w:hAnsi="宋体" w:cs="宋体"/>
          <w:bCs/>
          <w:szCs w:val="21"/>
          <w:highlight w:val="none"/>
        </w:rPr>
        <w:t>、政府采购严重违法失信行为记录名单。</w:t>
      </w:r>
    </w:p>
    <w:p w14:paraId="583AF21D">
      <w:pPr>
        <w:spacing w:line="360" w:lineRule="auto"/>
        <w:ind w:firstLine="420" w:firstLineChars="200"/>
        <w:rPr>
          <w:rFonts w:hint="eastAsia" w:ascii="宋体" w:hAnsi="宋体" w:cs="宋体"/>
          <w:bCs/>
          <w:szCs w:val="21"/>
          <w:highlight w:val="none"/>
        </w:rPr>
      </w:pPr>
    </w:p>
    <w:p w14:paraId="768C0B27">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714B3AF0">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3.1时间：自招标文件公告发布之日起5个工作日</w:t>
      </w:r>
    </w:p>
    <w:p w14:paraId="59F70CAA">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 xml:space="preserve">3.2地点：江苏政府采购网苏采云系统注册登记成功后系统内免费下载 </w:t>
      </w:r>
    </w:p>
    <w:p w14:paraId="024517BB">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3.3方式：采用网上注册登记方式 </w:t>
      </w:r>
    </w:p>
    <w:p w14:paraId="3B44E74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3.4售价</w:t>
      </w:r>
      <w:r>
        <w:rPr>
          <w:rFonts w:hint="eastAsia" w:ascii="宋体" w:hAnsi="宋体" w:cs="宋体"/>
          <w:bCs/>
          <w:szCs w:val="21"/>
          <w:highlight w:val="none"/>
          <w:lang w:eastAsia="zh-CN"/>
        </w:rPr>
        <w:t>：</w:t>
      </w:r>
      <w:r>
        <w:rPr>
          <w:rFonts w:hint="eastAsia" w:ascii="宋体" w:hAnsi="宋体" w:cs="宋体"/>
          <w:bCs/>
          <w:szCs w:val="21"/>
          <w:highlight w:val="none"/>
        </w:rPr>
        <w:t>0.00元。</w:t>
      </w:r>
    </w:p>
    <w:p w14:paraId="1626D967">
      <w:pPr>
        <w:widowControl/>
        <w:spacing w:line="360" w:lineRule="auto"/>
        <w:ind w:firstLine="360"/>
        <w:rPr>
          <w:rFonts w:hint="eastAsia" w:ascii="宋体" w:hAnsi="宋体" w:cs="宋体"/>
          <w:szCs w:val="21"/>
          <w:highlight w:val="none"/>
        </w:rPr>
      </w:pPr>
    </w:p>
    <w:p w14:paraId="70B352AF">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2158683F">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4.1提交投标文件截止时间、开标时间：</w:t>
      </w:r>
      <w:r>
        <w:rPr>
          <w:rFonts w:hint="eastAsia" w:ascii="宋体" w:hAnsi="宋体" w:cs="宋体"/>
          <w:b/>
          <w:bCs w:val="0"/>
          <w:szCs w:val="21"/>
          <w:highlight w:val="none"/>
        </w:rPr>
        <w:t>202</w:t>
      </w:r>
      <w:r>
        <w:rPr>
          <w:rFonts w:hint="eastAsia" w:ascii="宋体" w:hAnsi="宋体" w:cs="宋体"/>
          <w:b/>
          <w:bCs w:val="0"/>
          <w:szCs w:val="21"/>
          <w:highlight w:val="none"/>
          <w:lang w:val="en-US" w:eastAsia="zh-CN"/>
        </w:rPr>
        <w:t>6</w:t>
      </w:r>
      <w:r>
        <w:rPr>
          <w:rFonts w:hint="eastAsia" w:ascii="宋体" w:hAnsi="宋体" w:cs="宋体"/>
          <w:b/>
          <w:bCs w:val="0"/>
          <w:szCs w:val="21"/>
          <w:highlight w:val="none"/>
        </w:rPr>
        <w:t>年</w:t>
      </w:r>
      <w:r>
        <w:rPr>
          <w:rFonts w:hint="eastAsia" w:ascii="宋体" w:hAnsi="宋体" w:cs="宋体"/>
          <w:b/>
          <w:bCs w:val="0"/>
          <w:szCs w:val="21"/>
          <w:highlight w:val="none"/>
          <w:lang w:val="en-US" w:eastAsia="zh-CN"/>
        </w:rPr>
        <w:t>11</w:t>
      </w:r>
      <w:r>
        <w:rPr>
          <w:rFonts w:hint="eastAsia" w:ascii="宋体" w:hAnsi="宋体" w:cs="宋体"/>
          <w:b/>
          <w:bCs w:val="0"/>
          <w:szCs w:val="21"/>
          <w:highlight w:val="none"/>
        </w:rPr>
        <w:t>月</w:t>
      </w:r>
      <w:r>
        <w:rPr>
          <w:rFonts w:hint="eastAsia" w:ascii="宋体" w:hAnsi="宋体" w:cs="宋体"/>
          <w:b/>
          <w:bCs w:val="0"/>
          <w:szCs w:val="21"/>
          <w:highlight w:val="none"/>
          <w:lang w:val="en-US" w:eastAsia="zh-CN"/>
        </w:rPr>
        <w:t>24</w:t>
      </w:r>
      <w:r>
        <w:rPr>
          <w:rFonts w:hint="eastAsia" w:ascii="宋体" w:hAnsi="宋体" w:cs="宋体"/>
          <w:b/>
          <w:bCs w:val="0"/>
          <w:szCs w:val="21"/>
          <w:highlight w:val="none"/>
        </w:rPr>
        <w:t>日</w:t>
      </w:r>
      <w:r>
        <w:rPr>
          <w:rFonts w:hint="eastAsia" w:ascii="宋体" w:hAnsi="宋体" w:cs="宋体"/>
          <w:b/>
          <w:bCs w:val="0"/>
          <w:szCs w:val="21"/>
          <w:highlight w:val="none"/>
          <w:lang w:val="en-US" w:eastAsia="zh-CN"/>
        </w:rPr>
        <w:t>09</w:t>
      </w:r>
      <w:r>
        <w:rPr>
          <w:rFonts w:hint="eastAsia" w:ascii="宋体" w:hAnsi="宋体" w:cs="宋体"/>
          <w:b/>
          <w:bCs w:val="0"/>
          <w:szCs w:val="21"/>
          <w:highlight w:val="none"/>
        </w:rPr>
        <w:t>点</w:t>
      </w:r>
      <w:r>
        <w:rPr>
          <w:rFonts w:hint="eastAsia" w:ascii="宋体" w:hAnsi="宋体" w:cs="宋体"/>
          <w:b/>
          <w:bCs w:val="0"/>
          <w:szCs w:val="21"/>
          <w:highlight w:val="none"/>
          <w:lang w:eastAsia="zh-CN"/>
        </w:rPr>
        <w:t>0</w:t>
      </w:r>
      <w:r>
        <w:rPr>
          <w:rFonts w:hint="eastAsia" w:ascii="宋体" w:hAnsi="宋体" w:cs="宋体"/>
          <w:b/>
          <w:bCs w:val="0"/>
          <w:szCs w:val="21"/>
          <w:highlight w:val="none"/>
          <w:lang w:val="en-US" w:eastAsia="zh-CN"/>
        </w:rPr>
        <w:t>0</w:t>
      </w:r>
      <w:r>
        <w:rPr>
          <w:rFonts w:hint="eastAsia" w:ascii="宋体" w:hAnsi="宋体" w:cs="宋体"/>
          <w:b/>
          <w:bCs w:val="0"/>
          <w:szCs w:val="21"/>
          <w:highlight w:val="none"/>
        </w:rPr>
        <w:t>分</w:t>
      </w:r>
      <w:r>
        <w:rPr>
          <w:rFonts w:hint="eastAsia" w:ascii="宋体" w:hAnsi="宋体" w:cs="宋体"/>
          <w:bCs/>
          <w:szCs w:val="21"/>
          <w:highlight w:val="none"/>
        </w:rPr>
        <w:t>（北京时间）</w:t>
      </w:r>
    </w:p>
    <w:p w14:paraId="72F30F8E">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4.2提交投标文件地点：江苏省政府采购管理交易系统（苏采云）（以下简称“苏采云”）</w:t>
      </w:r>
    </w:p>
    <w:p w14:paraId="46B6A30C">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4.3开标地点：“苏采云”网上开标大厅。</w:t>
      </w:r>
    </w:p>
    <w:p w14:paraId="52B0D764">
      <w:pPr>
        <w:widowControl/>
        <w:spacing w:line="360" w:lineRule="auto"/>
        <w:ind w:firstLine="370"/>
        <w:rPr>
          <w:rFonts w:hint="eastAsia" w:ascii="宋体" w:hAnsi="宋体" w:cs="宋体"/>
          <w:spacing w:val="8"/>
          <w:kern w:val="0"/>
          <w:szCs w:val="21"/>
          <w:highlight w:val="none"/>
        </w:rPr>
      </w:pPr>
    </w:p>
    <w:p w14:paraId="371D71AB">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4EC5916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75C79992">
      <w:pPr>
        <w:widowControl/>
        <w:spacing w:line="360" w:lineRule="auto"/>
        <w:ind w:firstLine="370"/>
        <w:rPr>
          <w:rFonts w:hint="eastAsia" w:ascii="宋体" w:hAnsi="宋体" w:cs="宋体"/>
          <w:spacing w:val="8"/>
          <w:kern w:val="0"/>
          <w:szCs w:val="21"/>
          <w:highlight w:val="none"/>
        </w:rPr>
      </w:pPr>
    </w:p>
    <w:p w14:paraId="37556FB6">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501F7175">
      <w:pPr>
        <w:pStyle w:val="85"/>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6.1本项目在</w:t>
      </w:r>
      <w:r>
        <w:rPr>
          <w:rFonts w:hint="eastAsia" w:ascii="宋体" w:hAnsi="宋体" w:cs="宋体"/>
          <w:b/>
          <w:bCs w:val="0"/>
          <w:szCs w:val="21"/>
          <w:highlight w:val="none"/>
          <w:lang w:val="zh-CN"/>
        </w:rPr>
        <w:t>江苏政府采购网、</w:t>
      </w:r>
      <w:r>
        <w:rPr>
          <w:rFonts w:hint="eastAsia" w:ascii="宋体" w:hAnsi="宋体" w:cs="宋体"/>
          <w:b/>
          <w:bCs w:val="0"/>
          <w:szCs w:val="21"/>
          <w:highlight w:val="none"/>
        </w:rPr>
        <w:t>中国政府采购网</w:t>
      </w:r>
      <w:r>
        <w:rPr>
          <w:rFonts w:hint="eastAsia" w:ascii="宋体" w:hAnsi="宋体" w:cs="宋体"/>
          <w:bCs/>
          <w:szCs w:val="21"/>
          <w:highlight w:val="none"/>
          <w:lang w:val="zh-CN"/>
        </w:rPr>
        <w:t>网站发布公告。</w:t>
      </w:r>
    </w:p>
    <w:p w14:paraId="77202CD0">
      <w:pPr>
        <w:pStyle w:val="85"/>
        <w:spacing w:line="360" w:lineRule="auto"/>
        <w:rPr>
          <w:rFonts w:hint="eastAsia" w:ascii="宋体" w:hAnsi="宋体" w:cs="宋体"/>
          <w:bCs/>
          <w:szCs w:val="21"/>
          <w:highlight w:val="none"/>
        </w:rPr>
      </w:pPr>
      <w:r>
        <w:rPr>
          <w:rFonts w:hint="eastAsia" w:ascii="宋体" w:hAnsi="宋体" w:cs="宋体"/>
          <w:bCs/>
          <w:szCs w:val="21"/>
          <w:highlight w:val="none"/>
          <w:lang w:val="zh-CN"/>
        </w:rPr>
        <w:t>6.</w:t>
      </w:r>
      <w:r>
        <w:rPr>
          <w:rFonts w:hint="eastAsia" w:ascii="宋体" w:hAnsi="宋体" w:cs="宋体"/>
          <w:bCs/>
          <w:szCs w:val="21"/>
          <w:highlight w:val="none"/>
        </w:rPr>
        <w:t>2勘察现场：</w:t>
      </w:r>
      <w:r>
        <w:rPr>
          <w:rFonts w:hint="eastAsia" w:ascii="宋体" w:hAnsi="宋体"/>
          <w:bCs/>
          <w:szCs w:val="21"/>
          <w:highlight w:val="none"/>
          <w:lang w:val="en-US" w:eastAsia="zh-CN"/>
        </w:rPr>
        <w:t>投标人</w:t>
      </w:r>
      <w:r>
        <w:rPr>
          <w:rFonts w:hint="eastAsia" w:ascii="宋体" w:hAnsi="宋体"/>
          <w:bCs/>
          <w:szCs w:val="21"/>
          <w:highlight w:val="none"/>
        </w:rPr>
        <w:t>可自行踏勘现场，了解项目相关情况。但投标人及其人员不得因此使</w:t>
      </w:r>
      <w:r>
        <w:rPr>
          <w:rFonts w:hint="eastAsia" w:ascii="宋体" w:hAnsi="宋体"/>
          <w:bCs/>
          <w:szCs w:val="21"/>
          <w:highlight w:val="none"/>
          <w:lang w:eastAsia="zh-CN"/>
        </w:rPr>
        <w:t>采购人</w:t>
      </w:r>
      <w:r>
        <w:rPr>
          <w:rFonts w:hint="eastAsia" w:ascii="宋体" w:hAnsi="宋体"/>
          <w:bCs/>
          <w:szCs w:val="21"/>
          <w:highlight w:val="none"/>
        </w:rPr>
        <w:t>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w:t>
      </w:r>
    </w:p>
    <w:p w14:paraId="4701678F">
      <w:pPr>
        <w:pStyle w:val="85"/>
        <w:spacing w:line="360" w:lineRule="auto"/>
        <w:rPr>
          <w:rFonts w:hint="eastAsia" w:ascii="宋体" w:hAnsi="宋体" w:cs="宋体"/>
          <w:bCs/>
          <w:szCs w:val="21"/>
          <w:highlight w:val="none"/>
        </w:rPr>
      </w:pPr>
      <w:r>
        <w:rPr>
          <w:rFonts w:hint="eastAsia" w:ascii="宋体" w:hAnsi="宋体" w:cs="宋体"/>
          <w:bCs/>
          <w:szCs w:val="21"/>
          <w:highlight w:val="none"/>
        </w:rPr>
        <w:t>6.3</w:t>
      </w:r>
      <w:r>
        <w:rPr>
          <w:rFonts w:hint="eastAsia" w:ascii="宋体" w:hAnsi="宋体" w:cs="宋体"/>
          <w:bCs/>
          <w:szCs w:val="21"/>
          <w:highlight w:val="none"/>
          <w:lang w:val="en-US" w:eastAsia="zh-CN"/>
        </w:rPr>
        <w:t>供应商</w:t>
      </w:r>
      <w:r>
        <w:rPr>
          <w:rFonts w:hint="eastAsia" w:ascii="宋体" w:hAnsi="宋体" w:cs="宋体"/>
          <w:bCs/>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5"/>
        <w:spacing w:line="360" w:lineRule="auto"/>
        <w:jc w:val="left"/>
        <w:rPr>
          <w:rFonts w:hint="eastAsia"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68063D7F">
      <w:pPr>
        <w:pStyle w:val="85"/>
        <w:spacing w:line="360" w:lineRule="auto"/>
        <w:rPr>
          <w:rFonts w:hint="eastAsia"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464F8815">
      <w:pPr>
        <w:pStyle w:val="85"/>
        <w:spacing w:line="360" w:lineRule="auto"/>
        <w:rPr>
          <w:rFonts w:hint="eastAsia" w:ascii="宋体" w:hAnsi="宋体" w:cs="宋体"/>
          <w:bCs/>
          <w:szCs w:val="21"/>
          <w:highlight w:val="none"/>
        </w:rPr>
      </w:pPr>
      <w:r>
        <w:rPr>
          <w:rFonts w:hint="eastAsia" w:ascii="宋体" w:hAnsi="宋体" w:cs="宋体"/>
          <w:bCs/>
          <w:szCs w:val="21"/>
          <w:highlight w:val="none"/>
        </w:rPr>
        <w:t>“苏采云”南京地区客服热线025-83633744、025-83633743。</w:t>
      </w:r>
    </w:p>
    <w:p w14:paraId="748782F0">
      <w:pPr>
        <w:pStyle w:val="85"/>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0C85384F">
      <w:pPr>
        <w:widowControl/>
        <w:wordWrap w:val="0"/>
        <w:spacing w:after="0" w:line="360" w:lineRule="auto"/>
        <w:ind w:firstLine="365" w:firstLineChars="173"/>
        <w:jc w:val="left"/>
        <w:rPr>
          <w:rFonts w:hint="eastAsia" w:ascii="宋体" w:hAnsi="宋体" w:cs="宋体"/>
          <w:b/>
          <w:bCs/>
          <w:szCs w:val="21"/>
          <w:highlight w:val="none"/>
          <w:lang w:val="zh-CN" w:eastAsia="zh-CN"/>
        </w:rPr>
      </w:pPr>
      <w:r>
        <w:rPr>
          <w:rFonts w:hint="eastAsia" w:ascii="宋体" w:hAnsi="宋体" w:cs="宋体"/>
          <w:b/>
          <w:bCs/>
          <w:szCs w:val="21"/>
          <w:highlight w:val="none"/>
          <w:lang w:val="zh-CN" w:eastAsia="zh-CN"/>
        </w:rPr>
        <w:t>6.</w:t>
      </w:r>
      <w:r>
        <w:rPr>
          <w:rFonts w:hint="eastAsia" w:ascii="宋体" w:hAnsi="宋体" w:cs="宋体"/>
          <w:b/>
          <w:bCs/>
          <w:szCs w:val="21"/>
          <w:highlight w:val="none"/>
          <w:lang w:val="en-US" w:eastAsia="zh-CN"/>
        </w:rPr>
        <w:t>4政府采购信用承诺</w:t>
      </w:r>
    </w:p>
    <w:p w14:paraId="2EE11534">
      <w:pPr>
        <w:widowControl/>
        <w:wordWrap w:val="0"/>
        <w:spacing w:after="0" w:line="360" w:lineRule="auto"/>
        <w:ind w:firstLine="363" w:firstLineChars="173"/>
        <w:jc w:val="left"/>
        <w:rPr>
          <w:rFonts w:ascii="宋体" w:hAnsi="宋体" w:cs="宋体"/>
          <w:szCs w:val="21"/>
          <w:highlight w:val="none"/>
        </w:rPr>
      </w:pPr>
      <w:r>
        <w:rPr>
          <w:rFonts w:ascii="宋体" w:hAnsi="宋体" w:cs="宋体"/>
          <w:szCs w:val="21"/>
          <w:highlight w:val="none"/>
          <w:lang w:val="zh-CN"/>
        </w:rPr>
        <w:t>根据《关于在政府采购活动中推行信用承诺制的通知》宁财购通〔2021〕5号规定，</w:t>
      </w:r>
      <w:r>
        <w:rPr>
          <w:rFonts w:ascii="宋体" w:hAnsi="宋体" w:cs="宋体"/>
          <w:szCs w:val="21"/>
          <w:highlight w:val="none"/>
        </w:rPr>
        <w:t>参加</w:t>
      </w:r>
      <w:r>
        <w:rPr>
          <w:rFonts w:ascii="宋体" w:hAnsi="宋体" w:cs="宋体"/>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由</w:t>
      </w:r>
      <w:r>
        <w:rPr>
          <w:rFonts w:ascii="宋体" w:hAnsi="宋体" w:cs="宋体"/>
          <w:b/>
          <w:bCs/>
          <w:szCs w:val="21"/>
          <w:highlight w:val="none"/>
        </w:rPr>
        <w:t>法定代表人</w:t>
      </w:r>
      <w:r>
        <w:rPr>
          <w:rFonts w:ascii="宋体" w:hAnsi="宋体" w:cs="宋体"/>
          <w:b/>
          <w:bCs/>
          <w:szCs w:val="21"/>
          <w:highlight w:val="none"/>
          <w:lang w:val="zh-CN"/>
        </w:rPr>
        <w:t>签字并盖单位公章，</w:t>
      </w:r>
      <w:r>
        <w:rPr>
          <w:rFonts w:ascii="宋体" w:hAnsi="宋体" w:cs="宋体"/>
          <w:b/>
          <w:bCs/>
          <w:szCs w:val="21"/>
          <w:highlight w:val="none"/>
        </w:rPr>
        <w:t>随</w:t>
      </w:r>
      <w:r>
        <w:rPr>
          <w:rFonts w:hint="eastAsia" w:ascii="宋体" w:hAnsi="宋体" w:cs="宋体"/>
          <w:b/>
          <w:bCs/>
          <w:szCs w:val="21"/>
          <w:highlight w:val="none"/>
          <w:lang w:val="en-US" w:eastAsia="zh-CN"/>
        </w:rPr>
        <w:t>投标</w:t>
      </w:r>
      <w:r>
        <w:rPr>
          <w:rFonts w:ascii="宋体" w:hAnsi="宋体" w:cs="宋体"/>
          <w:b/>
          <w:bCs/>
          <w:szCs w:val="21"/>
          <w:highlight w:val="none"/>
        </w:rPr>
        <w:t>文件一并递交。</w:t>
      </w:r>
    </w:p>
    <w:p w14:paraId="4C4BC1F1">
      <w:pPr>
        <w:widowControl/>
        <w:spacing w:after="0" w:line="360" w:lineRule="auto"/>
        <w:ind w:firstLine="363" w:firstLineChars="173"/>
        <w:rPr>
          <w:rFonts w:ascii="宋体" w:hAnsi="宋体" w:cs="宋体"/>
          <w:szCs w:val="21"/>
          <w:highlight w:val="none"/>
          <w:lang w:val="zh-CN"/>
        </w:rPr>
      </w:pPr>
      <w:r>
        <w:rPr>
          <w:rFonts w:ascii="宋体" w:hAnsi="宋体" w:cs="宋体"/>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6D6A93BA">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024DDC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102F662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4211203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5257BA92">
      <w:pPr>
        <w:widowControl/>
        <w:spacing w:line="360" w:lineRule="auto"/>
        <w:ind w:firstLine="422" w:firstLineChars="200"/>
        <w:rPr>
          <w:rFonts w:hint="eastAsia"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17ABCD6B">
      <w:pPr>
        <w:pStyle w:val="56"/>
        <w:rPr>
          <w:highlight w:val="none"/>
        </w:rPr>
      </w:pPr>
    </w:p>
    <w:p w14:paraId="33B6E8EE">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58FE467B">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联系人：魏欢</w:t>
      </w:r>
    </w:p>
    <w:p w14:paraId="71A55C91">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025-85580253</w:t>
      </w:r>
    </w:p>
    <w:p w14:paraId="5B35BCE8">
      <w:pPr>
        <w:widowControl/>
        <w:spacing w:line="360" w:lineRule="auto"/>
        <w:ind w:firstLine="363" w:firstLineChars="173"/>
        <w:rPr>
          <w:rFonts w:hint="eastAsia" w:ascii="宋体" w:hAnsi="宋体" w:eastAsia="宋体" w:cs="宋体"/>
          <w:bCs/>
          <w:szCs w:val="21"/>
          <w:highlight w:val="none"/>
        </w:rPr>
      </w:pPr>
      <w:r>
        <w:rPr>
          <w:rFonts w:hint="eastAsia" w:ascii="宋体" w:hAnsi="宋体" w:eastAsia="宋体" w:cs="宋体"/>
          <w:bCs/>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7.2采购代理机构信息</w:t>
      </w:r>
    </w:p>
    <w:p w14:paraId="2C22B7A0">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名称：江苏泰鼎工程咨询有限公司</w:t>
      </w:r>
    </w:p>
    <w:p w14:paraId="7F60EA96">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地址：南京市建邺区江东中路108号万达中心C座1303室</w:t>
      </w:r>
    </w:p>
    <w:p w14:paraId="791F2E57">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联系人：</w:t>
      </w:r>
      <w:r>
        <w:rPr>
          <w:rFonts w:hint="eastAsia" w:ascii="宋体" w:hAnsi="宋体" w:cs="宋体"/>
          <w:bCs/>
          <w:szCs w:val="21"/>
          <w:highlight w:val="none"/>
          <w:lang w:val="en-US" w:eastAsia="zh-CN"/>
        </w:rPr>
        <w:t>陈工、肖工</w:t>
      </w:r>
    </w:p>
    <w:p w14:paraId="75AEBC89">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电子邮箱：</w:t>
      </w:r>
      <w:r>
        <w:rPr>
          <w:rFonts w:hint="eastAsia" w:ascii="宋体" w:hAnsi="宋体" w:cs="宋体"/>
          <w:bCs/>
          <w:szCs w:val="21"/>
          <w:highlight w:val="none"/>
          <w:lang w:val="en-US" w:eastAsia="zh-CN"/>
        </w:rPr>
        <w:t>3842687197@qq.com</w:t>
      </w:r>
    </w:p>
    <w:p w14:paraId="66ED29DF">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联系方式：15077870622</w:t>
      </w:r>
    </w:p>
    <w:p w14:paraId="12F1617E">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7.3项目联系方式</w:t>
      </w:r>
    </w:p>
    <w:p w14:paraId="19872C96">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联系人：</w:t>
      </w:r>
      <w:r>
        <w:rPr>
          <w:rFonts w:hint="eastAsia" w:ascii="宋体" w:hAnsi="宋体" w:cs="宋体"/>
          <w:bCs/>
          <w:szCs w:val="21"/>
          <w:highlight w:val="none"/>
          <w:lang w:val="en-US" w:eastAsia="zh-CN"/>
        </w:rPr>
        <w:t>陈工、肖工</w:t>
      </w:r>
    </w:p>
    <w:p w14:paraId="4D798836">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电话：15077870622</w:t>
      </w:r>
    </w:p>
    <w:p w14:paraId="7F7EBF82">
      <w:pPr>
        <w:widowControl/>
        <w:spacing w:line="360" w:lineRule="auto"/>
        <w:ind w:firstLine="363" w:firstLineChars="173"/>
        <w:rPr>
          <w:rFonts w:hint="eastAsia" w:ascii="宋体" w:hAnsi="宋体" w:cs="宋体"/>
          <w:highlight w:val="none"/>
        </w:rPr>
      </w:pPr>
      <w:r>
        <w:rPr>
          <w:rFonts w:hint="eastAsia" w:ascii="宋体" w:hAnsi="宋体" w:cs="宋体"/>
          <w:highlight w:val="none"/>
        </w:rPr>
        <w:br w:type="page"/>
      </w:r>
    </w:p>
    <w:p w14:paraId="1BDB1F34">
      <w:pPr>
        <w:pStyle w:val="3"/>
        <w:spacing w:line="360" w:lineRule="auto"/>
        <w:jc w:val="center"/>
        <w:rPr>
          <w:rFonts w:hint="eastAsia" w:ascii="宋体" w:hAnsi="宋体" w:cs="宋体"/>
          <w:highlight w:val="none"/>
        </w:rPr>
      </w:pPr>
      <w:bookmarkStart w:id="4" w:name="_Toc7039"/>
      <w:bookmarkStart w:id="5" w:name="_Toc452625218"/>
      <w:r>
        <w:rPr>
          <w:rFonts w:hint="eastAsia" w:ascii="宋体" w:hAnsi="宋体" w:cs="宋体"/>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highlight w:val="none"/>
        </w:rPr>
      </w:pPr>
      <w:r>
        <w:rPr>
          <w:rFonts w:hint="eastAsia" w:ascii="宋体" w:hAnsi="宋体" w:cs="宋体"/>
          <w:b/>
          <w:bCs/>
          <w:kern w:val="0"/>
          <w:szCs w:val="21"/>
          <w:highlight w:val="none"/>
        </w:rPr>
        <w:t>一、总 则</w:t>
      </w:r>
    </w:p>
    <w:p w14:paraId="7E9E08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70BB41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0D684D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670756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F91D3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w:t>
      </w:r>
      <w:r>
        <w:rPr>
          <w:rFonts w:hint="eastAsia" w:ascii="宋体" w:hAnsi="宋体" w:cs="宋体"/>
          <w:color w:val="auto"/>
          <w:kern w:val="0"/>
          <w:szCs w:val="21"/>
          <w:highlight w:val="none"/>
        </w:rPr>
        <w:t>〔</w:t>
      </w:r>
      <w:r>
        <w:rPr>
          <w:rFonts w:hint="eastAsia" w:ascii="宋体" w:hAnsi="宋体" w:cs="宋体"/>
          <w:kern w:val="0"/>
          <w:szCs w:val="21"/>
          <w:highlight w:val="none"/>
        </w:rPr>
        <w:t>2017〕213号）。</w:t>
      </w:r>
    </w:p>
    <w:p w14:paraId="62A1A6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665840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3.7 本国产品支持政策</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本项目不适用</w:t>
      </w:r>
      <w:r>
        <w:rPr>
          <w:rFonts w:hint="eastAsia" w:ascii="宋体" w:hAnsi="宋体" w:cs="宋体"/>
          <w:kern w:val="0"/>
          <w:szCs w:val="21"/>
          <w:highlight w:val="none"/>
          <w:lang w:eastAsia="zh-CN"/>
        </w:rPr>
        <w:t>）</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7C377F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53D20C3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6D9F6C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3174FF7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682EB7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7EB1C5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0B53EBC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6E9D2C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本项目不接受</w:t>
      </w:r>
      <w:r>
        <w:rPr>
          <w:rFonts w:hint="eastAsia" w:ascii="宋体" w:hAnsi="宋体" w:cs="宋体"/>
          <w:b/>
          <w:bCs/>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采购需求偏离表</w:t>
      </w:r>
      <w:r>
        <w:rPr>
          <w:rFonts w:hint="eastAsia" w:ascii="宋体" w:hAnsi="宋体" w:cs="宋体"/>
          <w:kern w:val="0"/>
          <w:szCs w:val="21"/>
          <w:highlight w:val="none"/>
        </w:rPr>
        <w:t>》等处逐条标明满足与否。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highlight w:val="none"/>
        </w:rPr>
        <w:t>★</w:t>
      </w:r>
      <w:r>
        <w:rPr>
          <w:rFonts w:hint="eastAsia" w:ascii="宋体" w:hAnsi="宋体" w:cs="宋体"/>
          <w:b/>
          <w:bCs/>
          <w:kern w:val="0"/>
          <w:szCs w:val="21"/>
          <w:highlight w:val="none"/>
        </w:rPr>
        <w:t>”）的技术条款必须在投标文件中提供技术支持资料</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如需要</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具体以采购需求中文件要求为准</w:t>
      </w:r>
      <w:r>
        <w:rPr>
          <w:rFonts w:hint="eastAsia" w:ascii="宋体" w:hAnsi="宋体" w:cs="宋体"/>
          <w:b/>
          <w:bCs/>
          <w:kern w:val="0"/>
          <w:szCs w:val="21"/>
          <w:highlight w:val="none"/>
        </w:rPr>
        <w:t>。</w:t>
      </w:r>
    </w:p>
    <w:p w14:paraId="00C81B9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3D0938E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F2B526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F152A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eastAsia="zh-CN"/>
        </w:rPr>
        <w:t>南京市政府采购供应商信用承诺书</w:t>
      </w:r>
      <w:r>
        <w:rPr>
          <w:rFonts w:hint="eastAsia" w:ascii="宋体" w:hAnsi="宋体" w:cs="宋体"/>
          <w:kern w:val="0"/>
          <w:szCs w:val="21"/>
          <w:highlight w:val="none"/>
        </w:rPr>
        <w:t>》</w:t>
      </w:r>
      <w:r>
        <w:rPr>
          <w:rFonts w:hint="eastAsia" w:ascii="宋体" w:hAnsi="宋体" w:cs="宋体"/>
          <w:b/>
          <w:szCs w:val="21"/>
          <w:highlight w:val="none"/>
          <w:lang w:val="zh-CN"/>
        </w:rPr>
        <w:t>；</w:t>
      </w:r>
    </w:p>
    <w:p w14:paraId="1332144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w:t>
      </w:r>
      <w:r>
        <w:rPr>
          <w:rFonts w:hint="eastAsia" w:ascii="宋体" w:hAnsi="宋体" w:cs="宋体"/>
          <w:szCs w:val="21"/>
          <w:highlight w:val="none"/>
          <w:lang w:val="en-US" w:eastAsia="zh-CN"/>
        </w:rPr>
        <w:t>装卸</w:t>
      </w:r>
      <w:r>
        <w:rPr>
          <w:rFonts w:hint="eastAsia" w:ascii="宋体" w:hAnsi="宋体" w:cs="宋体"/>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2F4BA3D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284AB2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4A38AF1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文件为准。</w:t>
      </w:r>
    </w:p>
    <w:p w14:paraId="3BE582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77E7C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61FF48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477F0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kern w:val="0"/>
          <w:szCs w:val="21"/>
          <w:highlight w:val="none"/>
          <w:lang w:eastAsia="zh-CN"/>
        </w:rPr>
      </w:pPr>
      <w:r>
        <w:rPr>
          <w:rFonts w:hint="eastAsia" w:ascii="宋体" w:hAnsi="宋体" w:cs="宋体"/>
          <w:bCs/>
          <w:kern w:val="0"/>
          <w:szCs w:val="21"/>
          <w:highlight w:val="none"/>
        </w:rPr>
        <w:t>16.2 招标代理服务费：</w:t>
      </w:r>
    </w:p>
    <w:p w14:paraId="263504BC">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1、（1）本</w:t>
      </w:r>
      <w:r>
        <w:rPr>
          <w:rFonts w:hint="eastAsia" w:ascii="宋体" w:hAnsi="宋体" w:cs="宋体"/>
          <w:bCs/>
          <w:kern w:val="0"/>
          <w:szCs w:val="21"/>
          <w:highlight w:val="none"/>
        </w:rPr>
        <w:t>次招标，代理服务费</w:t>
      </w:r>
      <w:r>
        <w:rPr>
          <w:rFonts w:hint="eastAsia" w:ascii="Arial" w:hAnsi="Arial"/>
          <w:szCs w:val="21"/>
          <w:highlight w:val="none"/>
          <w:lang w:val="zh-CN"/>
        </w:rPr>
        <w:t>根据中标金额</w:t>
      </w:r>
      <w:r>
        <w:rPr>
          <w:rFonts w:hint="eastAsia" w:ascii="Arial" w:hAnsi="Arial"/>
          <w:szCs w:val="21"/>
          <w:highlight w:val="none"/>
          <w:lang w:val="en-US" w:eastAsia="zh-CN"/>
        </w:rPr>
        <w:t>按照《江苏省政府采购代理服务收费指导意见》（苏政采协[2024]20号）收费标准的</w:t>
      </w:r>
      <w:r>
        <w:rPr>
          <w:rFonts w:hint="eastAsia" w:ascii="Arial" w:hAnsi="Arial" w:cs="Times New Roman"/>
          <w:szCs w:val="21"/>
          <w:highlight w:val="none"/>
          <w:lang w:val="en-US" w:eastAsia="zh-CN"/>
        </w:rPr>
        <w:t>36.2</w:t>
      </w:r>
      <w:r>
        <w:rPr>
          <w:rFonts w:hint="eastAsia" w:ascii="Arial" w:hAnsi="Arial"/>
          <w:szCs w:val="21"/>
          <w:highlight w:val="none"/>
          <w:lang w:val="en-US" w:eastAsia="zh-CN"/>
        </w:rPr>
        <w:t>%取费（不足5000按5000计算）。</w:t>
      </w:r>
    </w:p>
    <w:p w14:paraId="6934BDA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kern w:val="0"/>
          <w:szCs w:val="21"/>
          <w:highlight w:val="none"/>
        </w:rPr>
      </w:pPr>
      <w:r>
        <w:rPr>
          <w:rFonts w:hint="eastAsia" w:ascii="Arial" w:hAnsi="Arial"/>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1F116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1687F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w:t>
      </w:r>
      <w:r>
        <w:rPr>
          <w:rFonts w:hint="eastAsia" w:ascii="宋体" w:hAnsi="宋体" w:cs="宋体"/>
          <w:kern w:val="0"/>
          <w:szCs w:val="21"/>
          <w:highlight w:val="none"/>
          <w:lang w:val="en-US" w:eastAsia="zh-CN"/>
        </w:rPr>
        <w:t xml:space="preserve"> </w:t>
      </w:r>
      <w:r>
        <w:rPr>
          <w:rFonts w:hint="eastAsia" w:ascii="宋体" w:hAnsi="宋体" w:cs="宋体"/>
          <w:kern w:val="0"/>
          <w:szCs w:val="21"/>
          <w:highlight w:val="none"/>
        </w:rPr>
        <w:t>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781D1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4F3FF59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54CEDFCA">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highlight w:val="none"/>
        </w:rPr>
      </w:pPr>
      <w:r>
        <w:rPr>
          <w:rFonts w:hint="eastAsia" w:ascii="宋体" w:hAnsi="宋体" w:cs="宋体"/>
          <w:highlight w:val="none"/>
        </w:rPr>
        <w:t>21.3投标人不足3家的，不得开标。</w:t>
      </w:r>
    </w:p>
    <w:p w14:paraId="7D458D8D">
      <w:pPr>
        <w:spacing w:line="360" w:lineRule="auto"/>
        <w:ind w:firstLine="420" w:firstLineChars="200"/>
        <w:rPr>
          <w:rFonts w:hint="eastAsia"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BF6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2DF84C6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1</w:t>
      </w:r>
      <w:r>
        <w:rPr>
          <w:rFonts w:hint="eastAsia" w:ascii="宋体" w:hAnsi="宋体" w:cs="宋体"/>
          <w:b/>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2</w:t>
      </w:r>
      <w:r>
        <w:rPr>
          <w:rFonts w:hint="eastAsia" w:ascii="宋体" w:hAnsi="宋体" w:cs="宋体"/>
          <w:b/>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highlight w:val="none"/>
        </w:rPr>
        <w:t>★</w:t>
      </w:r>
      <w:r>
        <w:rPr>
          <w:rFonts w:hint="eastAsia" w:ascii="宋体" w:hAnsi="宋体" w:cs="宋体"/>
          <w:b/>
          <w:bCs/>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（5）因重大变故，采购任务取消的</w:t>
      </w:r>
      <w:r>
        <w:rPr>
          <w:rFonts w:hint="eastAsia" w:ascii="宋体" w:hAnsi="宋体" w:cs="宋体"/>
          <w:b/>
          <w:bCs/>
          <w:kern w:val="0"/>
          <w:szCs w:val="21"/>
          <w:highlight w:val="none"/>
          <w:lang w:eastAsia="zh-CN"/>
        </w:rPr>
        <w:t>；</w:t>
      </w:r>
    </w:p>
    <w:p w14:paraId="0C05E56B">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45A7C9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lang w:val="en-US" w:eastAsia="zh-CN"/>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C27770C">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D913B1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2CAFF1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125CA17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AFB1F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3803A35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1D8DBDA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3A2EF5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15D5C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358D0D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kern w:val="0"/>
          <w:szCs w:val="21"/>
          <w:highlight w:val="none"/>
        </w:rPr>
        <w:t>。</w:t>
      </w:r>
    </w:p>
    <w:p w14:paraId="6B2EAE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0CAF6C45">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财政部门将依法予以处罚</w:t>
      </w:r>
      <w:r>
        <w:rPr>
          <w:rFonts w:hint="eastAsia" w:ascii="宋体" w:hAnsi="宋体" w:cs="宋体"/>
          <w:kern w:val="0"/>
          <w:szCs w:val="21"/>
          <w:highlight w:val="none"/>
        </w:rPr>
        <w:t>。</w:t>
      </w:r>
    </w:p>
    <w:p w14:paraId="7FA1F5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6</w:t>
      </w:r>
      <w:r>
        <w:rPr>
          <w:rFonts w:hint="eastAsia" w:ascii="宋体" w:hAnsi="宋体" w:cs="宋体"/>
          <w:kern w:val="0"/>
          <w:szCs w:val="21"/>
          <w:highlight w:val="none"/>
        </w:rPr>
        <w:t>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5EFB2FDA">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F50F4B2">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6C74AC75">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C143F32">
      <w:pPr>
        <w:rPr>
          <w:rFonts w:hint="eastAsia" w:ascii="宋体" w:hAnsi="宋体" w:cs="宋体"/>
          <w:highlight w:val="none"/>
        </w:rPr>
      </w:pPr>
      <w:r>
        <w:rPr>
          <w:rFonts w:hint="eastAsia" w:ascii="宋体" w:hAnsi="宋体" w:cs="宋体"/>
          <w:highlight w:val="none"/>
        </w:rPr>
        <w:br w:type="page"/>
      </w:r>
    </w:p>
    <w:p w14:paraId="3E531E26">
      <w:pPr>
        <w:pStyle w:val="3"/>
        <w:spacing w:line="360" w:lineRule="auto"/>
        <w:jc w:val="center"/>
        <w:rPr>
          <w:rFonts w:hint="eastAsia" w:ascii="宋体" w:hAnsi="宋体" w:cs="宋体"/>
          <w:highlight w:val="none"/>
        </w:rPr>
      </w:pP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评标标准</w:t>
      </w:r>
      <w:bookmarkEnd w:id="7"/>
    </w:p>
    <w:bookmarkEnd w:id="6"/>
    <w:p w14:paraId="0F2C89DC">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206"/>
        <w:gridCol w:w="6530"/>
        <w:gridCol w:w="1000"/>
      </w:tblGrid>
      <w:tr w14:paraId="4F0F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6EEF75E8">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序号</w:t>
            </w:r>
          </w:p>
        </w:tc>
        <w:tc>
          <w:tcPr>
            <w:tcW w:w="1206" w:type="dxa"/>
            <w:tcMar>
              <w:top w:w="0" w:type="dxa"/>
              <w:left w:w="108" w:type="dxa"/>
              <w:bottom w:w="0" w:type="dxa"/>
              <w:right w:w="108" w:type="dxa"/>
            </w:tcMar>
            <w:vAlign w:val="center"/>
          </w:tcPr>
          <w:p w14:paraId="6C080005">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评分因素</w:t>
            </w:r>
          </w:p>
        </w:tc>
        <w:tc>
          <w:tcPr>
            <w:tcW w:w="6530" w:type="dxa"/>
            <w:tcMar>
              <w:top w:w="0" w:type="dxa"/>
              <w:left w:w="108" w:type="dxa"/>
              <w:bottom w:w="0" w:type="dxa"/>
              <w:right w:w="108" w:type="dxa"/>
            </w:tcMar>
            <w:vAlign w:val="center"/>
          </w:tcPr>
          <w:p w14:paraId="6D14E751">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评审标准</w:t>
            </w:r>
          </w:p>
        </w:tc>
        <w:tc>
          <w:tcPr>
            <w:tcW w:w="1000" w:type="dxa"/>
            <w:tcMar>
              <w:top w:w="0" w:type="dxa"/>
              <w:left w:w="108" w:type="dxa"/>
              <w:bottom w:w="0" w:type="dxa"/>
              <w:right w:w="108" w:type="dxa"/>
            </w:tcMar>
            <w:vAlign w:val="center"/>
          </w:tcPr>
          <w:p w14:paraId="7443E211">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分值</w:t>
            </w:r>
          </w:p>
        </w:tc>
      </w:tr>
      <w:tr w14:paraId="5CD4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8BCA893">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1</w:t>
            </w:r>
          </w:p>
        </w:tc>
        <w:tc>
          <w:tcPr>
            <w:tcW w:w="1206" w:type="dxa"/>
            <w:tcMar>
              <w:top w:w="0" w:type="dxa"/>
              <w:left w:w="108" w:type="dxa"/>
              <w:bottom w:w="0" w:type="dxa"/>
              <w:right w:w="108" w:type="dxa"/>
            </w:tcMar>
            <w:vAlign w:val="center"/>
          </w:tcPr>
          <w:p w14:paraId="0DAD5F04">
            <w:pPr>
              <w:widowControl/>
              <w:spacing w:line="360" w:lineRule="auto"/>
              <w:jc w:val="center"/>
              <w:rPr>
                <w:rFonts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价格</w:t>
            </w:r>
          </w:p>
        </w:tc>
        <w:tc>
          <w:tcPr>
            <w:tcW w:w="6530" w:type="dxa"/>
            <w:tcMar>
              <w:top w:w="0" w:type="dxa"/>
              <w:left w:w="108" w:type="dxa"/>
              <w:bottom w:w="0" w:type="dxa"/>
              <w:right w:w="108" w:type="dxa"/>
            </w:tcMar>
            <w:vAlign w:val="center"/>
          </w:tcPr>
          <w:p w14:paraId="6F05B0A0">
            <w:pPr>
              <w:widowControl/>
              <w:spacing w:line="360" w:lineRule="auto"/>
              <w:rPr>
                <w:rFonts w:hint="default" w:ascii="宋体" w:hAnsi="宋体" w:eastAsia="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采用低价优先法计算，即满足招标文件基本要求且投标价格最低的投标报价为评标基准价为满分，即</w:t>
            </w:r>
            <w:r>
              <w:rPr>
                <w:rFonts w:hint="eastAsia" w:ascii="宋体" w:hAnsi="宋体"/>
                <w:b w:val="0"/>
                <w:bCs w:val="0"/>
                <w:color w:val="000000" w:themeColor="text1"/>
                <w:kern w:val="0"/>
                <w:highlight w:val="none"/>
                <w:lang w:val="en-US" w:eastAsia="zh-CN"/>
                <w14:textFill>
                  <w14:solidFill>
                    <w14:schemeClr w14:val="tx1"/>
                  </w14:solidFill>
                </w14:textFill>
              </w:rPr>
              <w:t>15</w:t>
            </w:r>
            <w:r>
              <w:rPr>
                <w:rFonts w:hint="eastAsia" w:ascii="宋体" w:hAnsi="宋体"/>
                <w:b w:val="0"/>
                <w:bCs w:val="0"/>
                <w:color w:val="000000" w:themeColor="text1"/>
                <w:kern w:val="0"/>
                <w:highlight w:val="none"/>
                <w14:textFill>
                  <w14:solidFill>
                    <w14:schemeClr w14:val="tx1"/>
                  </w14:solidFill>
                </w14:textFill>
              </w:rPr>
              <w:t>分。其他</w:t>
            </w:r>
            <w:r>
              <w:rPr>
                <w:rFonts w:hint="eastAsia" w:ascii="宋体" w:hAnsi="宋体"/>
                <w:b w:val="0"/>
                <w:bCs w:val="0"/>
                <w:color w:val="000000" w:themeColor="text1"/>
                <w:kern w:val="0"/>
                <w:highlight w:val="none"/>
                <w:lang w:val="en-US" w:eastAsia="zh-CN"/>
                <w14:textFill>
                  <w14:solidFill>
                    <w14:schemeClr w14:val="tx1"/>
                  </w14:solidFill>
                </w14:textFill>
              </w:rPr>
              <w:t>投标人</w:t>
            </w:r>
            <w:r>
              <w:rPr>
                <w:rFonts w:hint="eastAsia" w:ascii="宋体" w:hAnsi="宋体"/>
                <w:b w:val="0"/>
                <w:bCs w:val="0"/>
                <w:color w:val="000000" w:themeColor="text1"/>
                <w:kern w:val="0"/>
                <w:highlight w:val="none"/>
                <w14:textFill>
                  <w14:solidFill>
                    <w14:schemeClr w14:val="tx1"/>
                  </w14:solidFill>
                </w14:textFill>
              </w:rPr>
              <w:t>的价格分按照下列公式计算（小数点保留二位）；投标报价得分=（评标基准价/投标报价）×</w:t>
            </w:r>
            <w:r>
              <w:rPr>
                <w:rFonts w:hint="eastAsia" w:ascii="宋体" w:hAnsi="宋体"/>
                <w:b w:val="0"/>
                <w:bCs w:val="0"/>
                <w:color w:val="000000" w:themeColor="text1"/>
                <w:kern w:val="0"/>
                <w:highlight w:val="none"/>
                <w:lang w:val="en-US" w:eastAsia="zh-CN"/>
                <w14:textFill>
                  <w14:solidFill>
                    <w14:schemeClr w14:val="tx1"/>
                  </w14:solidFill>
                </w14:textFill>
              </w:rPr>
              <w:t>15</w:t>
            </w:r>
          </w:p>
        </w:tc>
        <w:tc>
          <w:tcPr>
            <w:tcW w:w="1000" w:type="dxa"/>
            <w:tcMar>
              <w:top w:w="0" w:type="dxa"/>
              <w:left w:w="108" w:type="dxa"/>
              <w:bottom w:w="0" w:type="dxa"/>
              <w:right w:w="108" w:type="dxa"/>
            </w:tcMar>
            <w:vAlign w:val="center"/>
          </w:tcPr>
          <w:p w14:paraId="6D83524C">
            <w:pPr>
              <w:widowControl/>
              <w:spacing w:line="360" w:lineRule="auto"/>
              <w:jc w:val="center"/>
              <w:rPr>
                <w:rFonts w:hint="default" w:ascii="宋体" w:hAnsi="宋体" w:eastAsia="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15</w:t>
            </w:r>
          </w:p>
        </w:tc>
      </w:tr>
      <w:tr w14:paraId="1799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1300117">
            <w:pPr>
              <w:widowControl/>
              <w:spacing w:line="360" w:lineRule="auto"/>
              <w:jc w:val="center"/>
              <w:rPr>
                <w:rFonts w:hint="eastAsia" w:ascii="宋体" w:hAnsi="宋体" w:eastAsia="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2</w:t>
            </w:r>
          </w:p>
        </w:tc>
        <w:tc>
          <w:tcPr>
            <w:tcW w:w="1206" w:type="dxa"/>
            <w:tcMar>
              <w:top w:w="0" w:type="dxa"/>
              <w:left w:w="108" w:type="dxa"/>
              <w:bottom w:w="0" w:type="dxa"/>
              <w:right w:w="108" w:type="dxa"/>
            </w:tcMar>
            <w:vAlign w:val="center"/>
          </w:tcPr>
          <w:p w14:paraId="4757E59C">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业绩</w:t>
            </w:r>
          </w:p>
        </w:tc>
        <w:tc>
          <w:tcPr>
            <w:tcW w:w="6530" w:type="dxa"/>
            <w:tcMar>
              <w:top w:w="0" w:type="dxa"/>
              <w:left w:w="108" w:type="dxa"/>
              <w:bottom w:w="0" w:type="dxa"/>
              <w:right w:w="108" w:type="dxa"/>
            </w:tcMar>
            <w:vAlign w:val="center"/>
          </w:tcPr>
          <w:p w14:paraId="2925F857">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2023年1月1日</w:t>
            </w:r>
            <w:r>
              <w:rPr>
                <w:rFonts w:hint="eastAsia" w:ascii="宋体" w:hAnsi="宋体" w:eastAsia="宋体" w:cs="宋体"/>
                <w:color w:val="auto"/>
                <w:sz w:val="21"/>
                <w:szCs w:val="21"/>
                <w:highlight w:val="none"/>
              </w:rPr>
              <w:t>（含）</w:t>
            </w:r>
            <w:r>
              <w:rPr>
                <w:rFonts w:hint="eastAsia" w:ascii="宋体" w:hAnsi="宋体"/>
                <w:b w:val="0"/>
                <w:bCs w:val="0"/>
                <w:color w:val="000000" w:themeColor="text1"/>
                <w:kern w:val="0"/>
                <w:highlight w:val="none"/>
                <w14:textFill>
                  <w14:solidFill>
                    <w14:schemeClr w14:val="tx1"/>
                  </w14:solidFill>
                </w14:textFill>
              </w:rPr>
              <w:t>以来</w:t>
            </w:r>
            <w:r>
              <w:rPr>
                <w:rFonts w:hint="eastAsia" w:ascii="宋体" w:hAnsi="宋体"/>
                <w:b w:val="0"/>
                <w:bCs w:val="0"/>
                <w:color w:val="000000" w:themeColor="text1"/>
                <w:kern w:val="0"/>
                <w:highlight w:val="none"/>
                <w:lang w:val="en-US" w:eastAsia="zh-CN"/>
                <w14:textFill>
                  <w14:solidFill>
                    <w14:schemeClr w14:val="tx1"/>
                  </w14:solidFill>
                </w14:textFill>
              </w:rPr>
              <w:t>投标人承</w:t>
            </w:r>
            <w:r>
              <w:rPr>
                <w:rFonts w:hint="eastAsia" w:ascii="宋体" w:hAnsi="宋体" w:eastAsia="宋体" w:cs="Times New Roman"/>
                <w:b w:val="0"/>
                <w:bCs w:val="0"/>
                <w:color w:val="000000" w:themeColor="text1"/>
                <w:kern w:val="0"/>
                <w:highlight w:val="none"/>
                <w:lang w:val="en-US" w:eastAsia="zh-CN"/>
                <w14:textFill>
                  <w14:solidFill>
                    <w14:schemeClr w14:val="tx1"/>
                  </w14:solidFill>
                </w14:textFill>
              </w:rPr>
              <w:t>担过道路清扫保洁项目业绩的</w:t>
            </w:r>
            <w:r>
              <w:rPr>
                <w:rFonts w:hint="eastAsia" w:ascii="宋体" w:hAnsi="宋体"/>
                <w:b w:val="0"/>
                <w:bCs w:val="0"/>
                <w:color w:val="000000" w:themeColor="text1"/>
                <w:kern w:val="0"/>
                <w:highlight w:val="none"/>
                <w14:textFill>
                  <w14:solidFill>
                    <w14:schemeClr w14:val="tx1"/>
                  </w14:solidFill>
                </w14:textFill>
              </w:rPr>
              <w:t>，一个得3分，最多得</w:t>
            </w:r>
            <w:r>
              <w:rPr>
                <w:rFonts w:hint="eastAsia" w:ascii="宋体" w:hAnsi="宋体"/>
                <w:b w:val="0"/>
                <w:bCs w:val="0"/>
                <w:color w:val="000000" w:themeColor="text1"/>
                <w:kern w:val="0"/>
                <w:highlight w:val="none"/>
                <w:lang w:val="en-US" w:eastAsia="zh-CN"/>
                <w14:textFill>
                  <w14:solidFill>
                    <w14:schemeClr w14:val="tx1"/>
                  </w14:solidFill>
                </w14:textFill>
              </w:rPr>
              <w:t>9</w:t>
            </w:r>
            <w:r>
              <w:rPr>
                <w:rFonts w:hint="eastAsia" w:ascii="宋体" w:hAnsi="宋体"/>
                <w:b w:val="0"/>
                <w:bCs w:val="0"/>
                <w:color w:val="000000" w:themeColor="text1"/>
                <w:kern w:val="0"/>
                <w:highlight w:val="none"/>
                <w14:textFill>
                  <w14:solidFill>
                    <w14:schemeClr w14:val="tx1"/>
                  </w14:solidFill>
                </w14:textFill>
              </w:rPr>
              <w:t>分。</w:t>
            </w:r>
          </w:p>
          <w:p w14:paraId="2672E758">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（注：提供合同扫描件加盖</w:t>
            </w:r>
            <w:r>
              <w:rPr>
                <w:rFonts w:hint="eastAsia" w:ascii="宋体" w:hAnsi="宋体"/>
                <w:b w:val="0"/>
                <w:bCs w:val="0"/>
                <w:color w:val="000000" w:themeColor="text1"/>
                <w:kern w:val="0"/>
                <w:highlight w:val="none"/>
                <w:lang w:val="en-US" w:eastAsia="zh-CN"/>
                <w14:textFill>
                  <w14:solidFill>
                    <w14:schemeClr w14:val="tx1"/>
                  </w14:solidFill>
                </w14:textFill>
              </w:rPr>
              <w:t>投标人</w:t>
            </w:r>
            <w:r>
              <w:rPr>
                <w:rFonts w:hint="eastAsia" w:ascii="宋体" w:hAnsi="宋体"/>
                <w:b w:val="0"/>
                <w:bCs w:val="0"/>
                <w:color w:val="000000" w:themeColor="text1"/>
                <w:kern w:val="0"/>
                <w:highlight w:val="none"/>
                <w14:textFill>
                  <w14:solidFill>
                    <w14:schemeClr w14:val="tx1"/>
                  </w14:solidFill>
                </w14:textFill>
              </w:rPr>
              <w:t>公章编入投标文件中，时间以合同签订时间为准</w:t>
            </w:r>
            <w:r>
              <w:rPr>
                <w:rFonts w:hint="eastAsia" w:ascii="宋体" w:hAnsi="宋体"/>
                <w:b w:val="0"/>
                <w:bCs w:val="0"/>
                <w:color w:val="000000" w:themeColor="text1"/>
                <w:kern w:val="0"/>
                <w:highlight w:val="none"/>
                <w:lang w:eastAsia="zh-CN"/>
                <w14:textFill>
                  <w14:solidFill>
                    <w14:schemeClr w14:val="tx1"/>
                  </w14:solidFill>
                </w14:textFill>
              </w:rPr>
              <w:t>，</w:t>
            </w:r>
            <w:r>
              <w:rPr>
                <w:rFonts w:hint="eastAsia" w:ascii="宋体" w:hAnsi="宋体"/>
                <w:b w:val="0"/>
                <w:bCs w:val="0"/>
                <w:color w:val="000000" w:themeColor="text1"/>
                <w:kern w:val="0"/>
                <w:highlight w:val="none"/>
                <w:lang w:val="en-US" w:eastAsia="zh-CN"/>
                <w14:textFill>
                  <w14:solidFill>
                    <w14:schemeClr w14:val="tx1"/>
                  </w14:solidFill>
                </w14:textFill>
              </w:rPr>
              <w:t>无签订时间不得分</w:t>
            </w:r>
            <w:r>
              <w:rPr>
                <w:rFonts w:hint="eastAsia" w:ascii="宋体" w:hAnsi="宋体"/>
                <w:b w:val="0"/>
                <w:bCs w:val="0"/>
                <w:color w:val="000000" w:themeColor="text1"/>
                <w:kern w:val="0"/>
                <w:highlight w:val="none"/>
                <w14:textFill>
                  <w14:solidFill>
                    <w14:schemeClr w14:val="tx1"/>
                  </w14:solidFill>
                </w14:textFill>
              </w:rPr>
              <w:t>，合同须能反映相关数据和内容，否则不得分。)</w:t>
            </w:r>
          </w:p>
        </w:tc>
        <w:tc>
          <w:tcPr>
            <w:tcW w:w="1000" w:type="dxa"/>
            <w:tcMar>
              <w:top w:w="0" w:type="dxa"/>
              <w:left w:w="108" w:type="dxa"/>
              <w:bottom w:w="0" w:type="dxa"/>
              <w:right w:w="108" w:type="dxa"/>
            </w:tcMar>
            <w:vAlign w:val="center"/>
          </w:tcPr>
          <w:p w14:paraId="14C79937">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9</w:t>
            </w:r>
          </w:p>
        </w:tc>
      </w:tr>
      <w:tr w14:paraId="7327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1FFA7C80">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3</w:t>
            </w:r>
          </w:p>
        </w:tc>
        <w:tc>
          <w:tcPr>
            <w:tcW w:w="1206" w:type="dxa"/>
            <w:tcMar>
              <w:top w:w="0" w:type="dxa"/>
              <w:left w:w="108" w:type="dxa"/>
              <w:bottom w:w="0" w:type="dxa"/>
              <w:right w:w="108" w:type="dxa"/>
            </w:tcMar>
            <w:vAlign w:val="center"/>
          </w:tcPr>
          <w:p w14:paraId="4B36745D">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车辆及设备</w:t>
            </w:r>
          </w:p>
        </w:tc>
        <w:tc>
          <w:tcPr>
            <w:tcW w:w="6530" w:type="dxa"/>
            <w:tcMar>
              <w:top w:w="0" w:type="dxa"/>
              <w:left w:w="108" w:type="dxa"/>
              <w:bottom w:w="0" w:type="dxa"/>
              <w:right w:w="108" w:type="dxa"/>
            </w:tcMar>
            <w:vAlign w:val="center"/>
          </w:tcPr>
          <w:p w14:paraId="73901095">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清洗车</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辆（总质量达到18000kg或以上/辆）不得分，在此基础上每增加一辆得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 xml:space="preserve">分； </w:t>
            </w:r>
          </w:p>
          <w:p w14:paraId="3A5C5929">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洒水车1辆（总质量达到15800kg或以上/辆）不得分，在此基础上每增加一辆得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6C05C30F">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3</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洗扫车</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辆（总质量达到18000kg或以上/辆）不得分，在此基础上每增加一辆得1分，最高得3分；</w:t>
            </w:r>
          </w:p>
          <w:p w14:paraId="3749219C">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4</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洗扫车</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辆（总质量达到15800kg或以上/辆）不得分，在此基础上每增加一辆得1分，最高得2分；</w:t>
            </w:r>
          </w:p>
          <w:p w14:paraId="4D028B18">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多功能抑尘车1辆（总质量达到18000kg或以上/辆）不得分，在此基础上每增加一辆得1分，最高得1分；</w:t>
            </w:r>
          </w:p>
          <w:p w14:paraId="55CF277A">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6</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自卸式垃圾车1台得1分，压缩式垃圾车1台得1分，最高得2分；</w:t>
            </w:r>
          </w:p>
          <w:p w14:paraId="0855E168">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7</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皮卡巡查捡拾车2辆，每有一辆得1分，最高得2分；</w:t>
            </w:r>
          </w:p>
          <w:p w14:paraId="4F0E70E6">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8</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慢车道、人行道小型机扫车</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辆，每有一辆得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分，最高得2分；</w:t>
            </w:r>
          </w:p>
          <w:p w14:paraId="31697A6B">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9</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3米及以上雪铲</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台，每有一台得</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分，最高得2分；</w:t>
            </w:r>
          </w:p>
          <w:p w14:paraId="3C620D30">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10</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cs="宋体"/>
                <w:szCs w:val="21"/>
                <w:highlight w:val="none"/>
              </w:rPr>
              <w:t>36</w:t>
            </w:r>
            <w:r>
              <w:rPr>
                <w:rFonts w:hint="eastAsia" w:ascii="宋体" w:hAnsi="宋体" w:eastAsia="宋体" w:cs="宋体"/>
                <w:sz w:val="21"/>
                <w:szCs w:val="21"/>
                <w:highlight w:val="none"/>
              </w:rPr>
              <w:t>台电动保洁三轮车，得2分。</w:t>
            </w:r>
          </w:p>
          <w:p w14:paraId="34A1E4E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rPr>
              <w:t>）</w:t>
            </w:r>
            <w:r>
              <w:rPr>
                <w:rFonts w:hint="eastAsia" w:ascii="宋体" w:hAnsi="宋体" w:cs="宋体"/>
                <w:color w:val="auto"/>
                <w:sz w:val="21"/>
                <w:szCs w:val="21"/>
                <w:highlight w:val="none"/>
                <w:lang w:val="en-US" w:eastAsia="zh-CN"/>
              </w:rPr>
              <w:t>投标人承诺如果中标，须提供自有或租赁或承诺的同等类别和数量的车辆及设备，在服务期限内不挪作他用</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如有新增、更换的车辆更换为新能源车辆，如为租赁车辆，在中标公告发布之后签订的租赁合同车辆应为新能源车辆，车辆设备</w:t>
            </w:r>
            <w:r>
              <w:rPr>
                <w:rFonts w:hint="eastAsia" w:ascii="宋体" w:hAnsi="宋体" w:eastAsia="宋体" w:cs="宋体"/>
                <w:sz w:val="21"/>
                <w:szCs w:val="21"/>
                <w:highlight w:val="none"/>
              </w:rPr>
              <w:t>在</w:t>
            </w:r>
            <w:r>
              <w:rPr>
                <w:rFonts w:hint="eastAsia" w:ascii="宋体" w:hAnsi="宋体" w:eastAsia="宋体" w:cs="宋体"/>
                <w:sz w:val="21"/>
                <w:szCs w:val="21"/>
                <w:highlight w:val="none"/>
                <w:lang w:val="en-US" w:eastAsia="zh-CN"/>
              </w:rPr>
              <w:t>规定的作业时间范围</w:t>
            </w:r>
            <w:r>
              <w:rPr>
                <w:rFonts w:hint="eastAsia" w:ascii="宋体" w:hAnsi="宋体" w:eastAsia="宋体" w:cs="宋体"/>
                <w:sz w:val="21"/>
                <w:szCs w:val="21"/>
                <w:highlight w:val="none"/>
              </w:rPr>
              <w:t>内不</w:t>
            </w:r>
            <w:r>
              <w:rPr>
                <w:rFonts w:hint="eastAsia" w:ascii="宋体" w:hAnsi="宋体" w:eastAsia="宋体" w:cs="宋体"/>
                <w:sz w:val="21"/>
                <w:szCs w:val="21"/>
                <w:highlight w:val="none"/>
                <w:lang w:val="en-US" w:eastAsia="zh-CN"/>
              </w:rPr>
              <w:t>得</w:t>
            </w:r>
            <w:r>
              <w:rPr>
                <w:rFonts w:hint="eastAsia" w:ascii="宋体" w:hAnsi="宋体" w:eastAsia="宋体" w:cs="宋体"/>
                <w:sz w:val="21"/>
                <w:szCs w:val="21"/>
                <w:highlight w:val="none"/>
              </w:rPr>
              <w:t>挪作他用，</w:t>
            </w:r>
            <w:r>
              <w:rPr>
                <w:rFonts w:hint="eastAsia" w:ascii="宋体" w:hAnsi="宋体" w:eastAsia="宋体" w:cs="宋体"/>
                <w:sz w:val="21"/>
                <w:szCs w:val="21"/>
                <w:highlight w:val="none"/>
                <w:lang w:val="en-US" w:eastAsia="zh-CN"/>
              </w:rPr>
              <w:t>如服务范围内包含精细化保洁要求，须按</w:t>
            </w:r>
            <w:r>
              <w:rPr>
                <w:rFonts w:hint="eastAsia" w:ascii="宋体" w:hAnsi="宋体" w:cs="宋体"/>
                <w:sz w:val="21"/>
                <w:szCs w:val="21"/>
                <w:highlight w:val="none"/>
                <w:lang w:val="en-US" w:eastAsia="zh-CN"/>
              </w:rPr>
              <w:t>采购人</w:t>
            </w:r>
            <w:r>
              <w:rPr>
                <w:rFonts w:hint="eastAsia" w:ascii="宋体" w:hAnsi="宋体" w:eastAsia="宋体" w:cs="宋体"/>
                <w:sz w:val="21"/>
                <w:szCs w:val="21"/>
                <w:highlight w:val="none"/>
                <w:lang w:val="en-US" w:eastAsia="zh-CN"/>
              </w:rPr>
              <w:t>要求额外配备</w:t>
            </w:r>
            <w:r>
              <w:rPr>
                <w:rFonts w:hint="eastAsia" w:ascii="宋体" w:hAnsi="宋体" w:eastAsia="宋体" w:cs="宋体"/>
                <w:sz w:val="21"/>
                <w:szCs w:val="21"/>
                <w:highlight w:val="none"/>
                <w:lang w:val="zh-CN"/>
              </w:rPr>
              <w:t>小型单兵水扫车：5辆，小型单兵水洗车：2辆，小型路面养护车：2辆。</w:t>
            </w:r>
            <w:r>
              <w:rPr>
                <w:rFonts w:hint="eastAsia" w:ascii="宋体" w:hAnsi="宋体" w:eastAsia="宋体" w:cs="宋体"/>
                <w:sz w:val="21"/>
                <w:szCs w:val="21"/>
                <w:highlight w:val="none"/>
              </w:rPr>
              <w:t>承诺书内容完整得1分，不完整或未提供承诺书不得分。（提供承诺书</w:t>
            </w:r>
            <w:r>
              <w:rPr>
                <w:rFonts w:hint="eastAsia" w:ascii="宋体" w:hAnsi="宋体" w:cs="宋体"/>
                <w:sz w:val="21"/>
                <w:szCs w:val="21"/>
                <w:highlight w:val="none"/>
                <w:lang w:val="en-US" w:eastAsia="zh-CN"/>
              </w:rPr>
              <w:t>加盖公章。</w:t>
            </w:r>
            <w:r>
              <w:rPr>
                <w:rFonts w:hint="eastAsia" w:ascii="宋体" w:hAnsi="宋体" w:eastAsia="宋体" w:cs="宋体"/>
                <w:sz w:val="21"/>
                <w:szCs w:val="21"/>
                <w:highlight w:val="none"/>
              </w:rPr>
              <w:t>）</w:t>
            </w:r>
          </w:p>
          <w:p w14:paraId="091ABFAC">
            <w:pP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（以上</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highlight w:val="none"/>
              </w:rPr>
              <w:t>车辆或设备需为</w:t>
            </w:r>
            <w:r>
              <w:rPr>
                <w:rFonts w:hint="eastAsia" w:ascii="宋体" w:hAnsi="宋体"/>
                <w:highlight w:val="none"/>
                <w:lang w:val="en-US" w:eastAsia="zh-CN"/>
              </w:rPr>
              <w:t>投标人</w:t>
            </w:r>
            <w:r>
              <w:rPr>
                <w:rFonts w:hint="eastAsia" w:ascii="宋体" w:hAnsi="宋体"/>
                <w:b/>
                <w:bCs/>
                <w:highlight w:val="none"/>
              </w:rPr>
              <w:t>自有或者租赁或承诺</w:t>
            </w:r>
            <w:r>
              <w:rPr>
                <w:rFonts w:hint="eastAsia" w:ascii="宋体" w:hAnsi="宋体"/>
                <w:highlight w:val="none"/>
                <w:lang w:eastAsia="zh-CN"/>
              </w:rPr>
              <w:t>，</w:t>
            </w:r>
            <w:r>
              <w:rPr>
                <w:rFonts w:hint="eastAsia" w:ascii="宋体" w:hAnsi="宋体" w:eastAsia="宋体" w:cs="宋体"/>
                <w:sz w:val="21"/>
                <w:szCs w:val="21"/>
                <w:highlight w:val="none"/>
              </w:rPr>
              <w:t>车辆及设备</w:t>
            </w:r>
            <w:r>
              <w:rPr>
                <w:rFonts w:hint="eastAsia" w:ascii="宋体" w:hAnsi="宋体" w:eastAsia="宋体" w:cs="宋体"/>
                <w:b/>
                <w:bCs/>
                <w:sz w:val="21"/>
                <w:szCs w:val="21"/>
                <w:highlight w:val="none"/>
              </w:rPr>
              <w:t>自有</w:t>
            </w:r>
            <w:r>
              <w:rPr>
                <w:rFonts w:hint="eastAsia" w:ascii="宋体" w:hAnsi="宋体" w:eastAsia="宋体" w:cs="宋体"/>
                <w:sz w:val="21"/>
                <w:szCs w:val="21"/>
                <w:highlight w:val="none"/>
              </w:rPr>
              <w:t>的需提供自有购置发票扫描件加盖公章</w:t>
            </w:r>
            <w:r>
              <w:rPr>
                <w:rFonts w:hint="eastAsia" w:ascii="宋体" w:hAnsi="宋体" w:cs="宋体"/>
                <w:sz w:val="21"/>
                <w:szCs w:val="21"/>
                <w:highlight w:val="none"/>
                <w:lang w:eastAsia="zh-CN"/>
              </w:rPr>
              <w:t>；</w:t>
            </w:r>
            <w:r>
              <w:rPr>
                <w:rFonts w:hint="eastAsia" w:ascii="宋体" w:hAnsi="宋体" w:eastAsia="宋体" w:cs="宋体"/>
                <w:b/>
                <w:bCs/>
                <w:sz w:val="21"/>
                <w:szCs w:val="21"/>
                <w:highlight w:val="none"/>
              </w:rPr>
              <w:t>租赁</w:t>
            </w:r>
            <w:r>
              <w:rPr>
                <w:rFonts w:hint="eastAsia" w:ascii="宋体" w:hAnsi="宋体" w:eastAsia="宋体" w:cs="宋体"/>
                <w:sz w:val="21"/>
                <w:szCs w:val="21"/>
                <w:highlight w:val="none"/>
              </w:rPr>
              <w:t>的需提供租赁合同扫描件加盖公章</w:t>
            </w:r>
            <w:r>
              <w:rPr>
                <w:rFonts w:hint="eastAsia" w:ascii="宋体" w:hAnsi="宋体" w:eastAsia="宋体" w:cs="宋体"/>
                <w:sz w:val="21"/>
                <w:szCs w:val="21"/>
                <w:highlight w:val="none"/>
                <w:lang w:eastAsia="zh-CN"/>
              </w:rPr>
              <w:t>，租赁期限需要覆盖服务期，如未覆盖服务期需要</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lang w:eastAsia="zh-CN"/>
              </w:rPr>
              <w:t>承诺</w:t>
            </w:r>
            <w:r>
              <w:rPr>
                <w:rFonts w:hint="eastAsia" w:ascii="宋体" w:hAnsi="宋体" w:eastAsia="宋体" w:cs="宋体"/>
                <w:sz w:val="21"/>
                <w:szCs w:val="21"/>
                <w:highlight w:val="none"/>
                <w:lang w:val="en-US" w:eastAsia="zh-CN"/>
              </w:rPr>
              <w:t>书</w:t>
            </w:r>
            <w:r>
              <w:rPr>
                <w:rFonts w:hint="eastAsia" w:ascii="宋体" w:hAnsi="宋体" w:eastAsia="宋体" w:cs="宋体"/>
                <w:sz w:val="21"/>
                <w:szCs w:val="21"/>
                <w:highlight w:val="none"/>
                <w:lang w:eastAsia="zh-CN"/>
              </w:rPr>
              <w:t>到期后续签并覆盖服务期</w:t>
            </w:r>
            <w:r>
              <w:rPr>
                <w:rFonts w:hint="eastAsia" w:ascii="宋体" w:hAnsi="宋体" w:cs="宋体"/>
                <w:sz w:val="21"/>
                <w:szCs w:val="21"/>
                <w:highlight w:val="none"/>
                <w:lang w:val="en-US" w:eastAsia="zh-CN"/>
              </w:rPr>
              <w:t>加盖公章</w:t>
            </w:r>
            <w:r>
              <w:rPr>
                <w:rFonts w:hint="eastAsia" w:ascii="宋体" w:hAnsi="宋体" w:cs="宋体"/>
                <w:sz w:val="21"/>
                <w:szCs w:val="21"/>
                <w:highlight w:val="none"/>
                <w:lang w:eastAsia="zh-CN"/>
              </w:rPr>
              <w:t>；</w:t>
            </w:r>
            <w:r>
              <w:rPr>
                <w:rFonts w:hint="eastAsia" w:ascii="宋体" w:hAnsi="宋体"/>
                <w:b/>
                <w:bCs/>
                <w:highlight w:val="none"/>
                <w:lang w:val="en-US" w:eastAsia="zh-CN"/>
              </w:rPr>
              <w:t>承诺</w:t>
            </w:r>
            <w:r>
              <w:rPr>
                <w:rFonts w:hint="eastAsia" w:ascii="宋体" w:hAnsi="宋体"/>
                <w:highlight w:val="none"/>
                <w:lang w:val="en-US" w:eastAsia="zh-CN"/>
              </w:rPr>
              <w:t>的</w:t>
            </w:r>
            <w:r>
              <w:rPr>
                <w:rFonts w:ascii="宋体" w:hAnsi="宋体"/>
                <w:highlight w:val="none"/>
              </w:rPr>
              <w:t>需</w:t>
            </w:r>
            <w:r>
              <w:rPr>
                <w:rFonts w:hint="eastAsia" w:ascii="宋体" w:hAnsi="宋体"/>
                <w:highlight w:val="none"/>
                <w:lang w:val="en-US" w:eastAsia="zh-CN"/>
              </w:rPr>
              <w:t>提供承诺书</w:t>
            </w:r>
            <w:r>
              <w:rPr>
                <w:rFonts w:hint="eastAsia" w:ascii="宋体" w:hAnsi="宋体" w:cs="宋体"/>
                <w:sz w:val="21"/>
                <w:szCs w:val="21"/>
                <w:highlight w:val="none"/>
                <w:lang w:val="en-US" w:eastAsia="zh-CN"/>
              </w:rPr>
              <w:t>加盖公章</w:t>
            </w:r>
            <w:r>
              <w:rPr>
                <w:rFonts w:hint="eastAsia" w:ascii="宋体" w:hAnsi="宋体"/>
                <w:highlight w:val="none"/>
                <w:lang w:val="en-US" w:eastAsia="zh-CN"/>
              </w:rPr>
              <w:t>：承诺中标后十日内备齐，否则不得分。</w:t>
            </w:r>
          </w:p>
          <w:p w14:paraId="1C100AB4">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eastAsia="宋体" w:cs="宋体"/>
                <w:sz w:val="21"/>
                <w:szCs w:val="21"/>
                <w:highlight w:val="none"/>
              </w:rPr>
              <w:t>以上车辆及设备扫描件须清晰可辨，能够反映相关信息，否则不得分。</w:t>
            </w:r>
          </w:p>
        </w:tc>
        <w:tc>
          <w:tcPr>
            <w:tcW w:w="1000" w:type="dxa"/>
            <w:tcMar>
              <w:top w:w="0" w:type="dxa"/>
              <w:left w:w="108" w:type="dxa"/>
              <w:bottom w:w="0" w:type="dxa"/>
              <w:right w:w="108" w:type="dxa"/>
            </w:tcMar>
            <w:vAlign w:val="center"/>
          </w:tcPr>
          <w:p w14:paraId="5C8E9A64">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20</w:t>
            </w:r>
          </w:p>
        </w:tc>
      </w:tr>
      <w:tr w14:paraId="5791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3AA9BE5D">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4</w:t>
            </w:r>
          </w:p>
        </w:tc>
        <w:tc>
          <w:tcPr>
            <w:tcW w:w="1206" w:type="dxa"/>
            <w:tcMar>
              <w:top w:w="0" w:type="dxa"/>
              <w:left w:w="108" w:type="dxa"/>
              <w:bottom w:w="0" w:type="dxa"/>
              <w:right w:w="108" w:type="dxa"/>
            </w:tcMar>
            <w:vAlign w:val="center"/>
          </w:tcPr>
          <w:p w14:paraId="733A26B8">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人员投入</w:t>
            </w:r>
          </w:p>
        </w:tc>
        <w:tc>
          <w:tcPr>
            <w:tcW w:w="6530" w:type="dxa"/>
            <w:tcMar>
              <w:top w:w="0" w:type="dxa"/>
              <w:left w:w="108" w:type="dxa"/>
              <w:bottom w:w="0" w:type="dxa"/>
              <w:right w:w="108" w:type="dxa"/>
            </w:tcMar>
            <w:vAlign w:val="center"/>
          </w:tcPr>
          <w:p w14:paraId="5B199CCF">
            <w:pPr>
              <w:widowControl/>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承诺</w:t>
            </w:r>
            <w:r>
              <w:rPr>
                <w:rFonts w:hint="eastAsia" w:ascii="宋体" w:hAnsi="宋体" w:eastAsia="宋体" w:cs="宋体"/>
                <w:sz w:val="21"/>
                <w:szCs w:val="21"/>
                <w:highlight w:val="none"/>
              </w:rPr>
              <w:t>投入本</w:t>
            </w:r>
            <w:r>
              <w:rPr>
                <w:rFonts w:hint="eastAsia" w:ascii="宋体" w:hAnsi="宋体" w:cs="宋体"/>
                <w:sz w:val="21"/>
                <w:szCs w:val="21"/>
                <w:highlight w:val="none"/>
                <w:lang w:val="en-US" w:eastAsia="zh-CN"/>
              </w:rPr>
              <w:t>项目</w:t>
            </w:r>
            <w:r>
              <w:rPr>
                <w:rFonts w:hint="eastAsia" w:ascii="宋体" w:hAnsi="宋体" w:eastAsia="宋体" w:cs="宋体"/>
                <w:sz w:val="21"/>
                <w:szCs w:val="21"/>
                <w:highlight w:val="none"/>
              </w:rPr>
              <w:t>人员不少于</w:t>
            </w:r>
            <w:r>
              <w:rPr>
                <w:rFonts w:hint="eastAsia" w:ascii="宋体" w:hAnsi="宋体" w:cs="宋体"/>
                <w:szCs w:val="21"/>
                <w:highlight w:val="none"/>
              </w:rPr>
              <w:t>44</w:t>
            </w:r>
            <w:r>
              <w:rPr>
                <w:rFonts w:hint="eastAsia" w:ascii="宋体" w:hAnsi="宋体" w:eastAsia="宋体" w:cs="宋体"/>
                <w:sz w:val="21"/>
                <w:szCs w:val="21"/>
                <w:highlight w:val="none"/>
              </w:rPr>
              <w:t>人</w:t>
            </w:r>
            <w:r>
              <w:rPr>
                <w:rFonts w:hint="eastAsia" w:ascii="宋体" w:hAnsi="宋体" w:cs="宋体"/>
                <w:color w:val="auto"/>
                <w:sz w:val="21"/>
                <w:szCs w:val="21"/>
                <w:highlight w:val="none"/>
              </w:rPr>
              <w:t>（其中：路面保洁人员不低于</w:t>
            </w:r>
            <w:r>
              <w:rPr>
                <w:rFonts w:hint="eastAsia" w:ascii="宋体" w:hAnsi="宋体" w:cs="宋体"/>
                <w:szCs w:val="21"/>
                <w:highlight w:val="none"/>
              </w:rPr>
              <w:t>21</w:t>
            </w:r>
            <w:r>
              <w:rPr>
                <w:rFonts w:hint="eastAsia" w:ascii="宋体" w:hAnsi="宋体" w:cs="宋体"/>
                <w:color w:val="auto"/>
                <w:sz w:val="21"/>
                <w:szCs w:val="21"/>
                <w:highlight w:val="none"/>
              </w:rPr>
              <w:t>人）</w:t>
            </w:r>
            <w:r>
              <w:rPr>
                <w:rFonts w:hint="eastAsia" w:ascii="宋体" w:hAnsi="宋体" w:eastAsia="宋体" w:cs="宋体"/>
                <w:sz w:val="21"/>
                <w:szCs w:val="21"/>
                <w:highlight w:val="none"/>
              </w:rPr>
              <w:t>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未提供或提供不全的不得分。</w:t>
            </w:r>
            <w:r>
              <w:rPr>
                <w:rFonts w:hint="eastAsia" w:ascii="宋体" w:hAnsi="宋体" w:eastAsia="宋体" w:cs="宋体"/>
                <w:sz w:val="21"/>
                <w:szCs w:val="21"/>
                <w:highlight w:val="none"/>
              </w:rPr>
              <w:t>（满分</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5FAB0C1B">
            <w:pPr>
              <w:widowControl/>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提供承诺书</w:t>
            </w:r>
            <w:r>
              <w:rPr>
                <w:rFonts w:hint="eastAsia" w:ascii="宋体" w:hAnsi="宋体" w:eastAsia="宋体" w:cs="宋体"/>
                <w:sz w:val="21"/>
                <w:szCs w:val="21"/>
                <w:highlight w:val="none"/>
                <w:lang w:val="en-US" w:eastAsia="zh-CN"/>
              </w:rPr>
              <w:t>并加盖公章</w:t>
            </w:r>
            <w:r>
              <w:rPr>
                <w:rFonts w:hint="eastAsia" w:ascii="宋体" w:hAnsi="宋体" w:cs="宋体"/>
                <w:sz w:val="21"/>
                <w:szCs w:val="21"/>
                <w:highlight w:val="none"/>
                <w:lang w:val="en-US" w:eastAsia="zh-CN"/>
              </w:rPr>
              <w:t>。</w:t>
            </w:r>
          </w:p>
        </w:tc>
        <w:tc>
          <w:tcPr>
            <w:tcW w:w="1000" w:type="dxa"/>
            <w:tcMar>
              <w:top w:w="0" w:type="dxa"/>
              <w:left w:w="108" w:type="dxa"/>
              <w:bottom w:w="0" w:type="dxa"/>
              <w:right w:w="108" w:type="dxa"/>
            </w:tcMar>
            <w:vAlign w:val="center"/>
          </w:tcPr>
          <w:p w14:paraId="4848A2AB">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1</w:t>
            </w:r>
          </w:p>
        </w:tc>
      </w:tr>
      <w:tr w14:paraId="6CB0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135AC7A3">
            <w:pPr>
              <w:widowControl/>
              <w:spacing w:line="360" w:lineRule="auto"/>
              <w:jc w:val="center"/>
              <w:rPr>
                <w:rFonts w:hint="eastAsia" w:ascii="宋体" w:hAnsi="宋体" w:eastAsia="宋体"/>
                <w:b/>
                <w:color w:val="000000" w:themeColor="text1"/>
                <w:kern w:val="0"/>
                <w:highlight w:val="none"/>
                <w:lang w:eastAsia="zh-CN"/>
                <w14:textFill>
                  <w14:solidFill>
                    <w14:schemeClr w14:val="tx1"/>
                  </w14:solidFill>
                </w14:textFill>
              </w:rPr>
            </w:pPr>
            <w:r>
              <w:rPr>
                <w:rFonts w:hint="eastAsia" w:ascii="宋体" w:hAnsi="宋体"/>
                <w:b/>
                <w:color w:val="000000" w:themeColor="text1"/>
                <w:kern w:val="0"/>
                <w:highlight w:val="none"/>
                <w:lang w:val="en-US" w:eastAsia="zh-CN"/>
                <w14:textFill>
                  <w14:solidFill>
                    <w14:schemeClr w14:val="tx1"/>
                  </w14:solidFill>
                </w14:textFill>
              </w:rPr>
              <w:t>5</w:t>
            </w:r>
          </w:p>
        </w:tc>
        <w:tc>
          <w:tcPr>
            <w:tcW w:w="1206" w:type="dxa"/>
            <w:vMerge w:val="restart"/>
            <w:tcMar>
              <w:top w:w="0" w:type="dxa"/>
              <w:left w:w="108" w:type="dxa"/>
              <w:bottom w:w="0" w:type="dxa"/>
              <w:right w:w="108" w:type="dxa"/>
            </w:tcMar>
            <w:vAlign w:val="center"/>
          </w:tcPr>
          <w:p w14:paraId="1AC45D9E">
            <w:pPr>
              <w:widowControl/>
              <w:spacing w:line="360" w:lineRule="auto"/>
              <w:jc w:val="center"/>
              <w:rPr>
                <w:rFonts w:ascii="宋体" w:hAnsi="宋体"/>
                <w:b/>
                <w:bCs/>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服务</w:t>
            </w:r>
            <w:r>
              <w:rPr>
                <w:rFonts w:hint="eastAsia" w:ascii="宋体" w:hAnsi="宋体"/>
                <w:b w:val="0"/>
                <w:bCs w:val="0"/>
                <w:color w:val="000000" w:themeColor="text1"/>
                <w:kern w:val="0"/>
                <w:highlight w:val="none"/>
                <w14:textFill>
                  <w14:solidFill>
                    <w14:schemeClr w14:val="tx1"/>
                  </w14:solidFill>
                </w14:textFill>
              </w:rPr>
              <w:t>方案</w:t>
            </w:r>
          </w:p>
        </w:tc>
        <w:tc>
          <w:tcPr>
            <w:tcW w:w="6530" w:type="dxa"/>
            <w:tcMar>
              <w:top w:w="0" w:type="dxa"/>
              <w:left w:w="108" w:type="dxa"/>
              <w:bottom w:w="0" w:type="dxa"/>
              <w:right w:w="108" w:type="dxa"/>
            </w:tcMar>
            <w:vAlign w:val="top"/>
          </w:tcPr>
          <w:p w14:paraId="1694DE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w:t>
            </w:r>
            <w:r>
              <w:rPr>
                <w:rFonts w:hint="eastAsia" w:ascii="宋体" w:hAnsi="宋体"/>
                <w:color w:val="auto"/>
                <w:szCs w:val="21"/>
                <w:highlight w:val="none"/>
                <w:lang w:eastAsia="zh-CN"/>
              </w:rPr>
              <w:t>）</w:t>
            </w:r>
            <w:r>
              <w:rPr>
                <w:rFonts w:ascii="宋体" w:hAnsi="宋体"/>
                <w:color w:val="auto"/>
                <w:szCs w:val="21"/>
                <w:highlight w:val="none"/>
              </w:rPr>
              <w:t>评委对投标人投标文件提供的</w:t>
            </w:r>
            <w:r>
              <w:rPr>
                <w:rFonts w:hint="eastAsia" w:ascii="宋体" w:hAnsi="宋体"/>
                <w:color w:val="auto"/>
                <w:szCs w:val="21"/>
                <w:highlight w:val="none"/>
              </w:rPr>
              <w:t>企业</w:t>
            </w:r>
            <w:r>
              <w:rPr>
                <w:rFonts w:ascii="宋体" w:hAnsi="宋体"/>
                <w:color w:val="auto"/>
                <w:szCs w:val="21"/>
                <w:highlight w:val="none"/>
              </w:rPr>
              <w:t>管理方案以及组织架构</w:t>
            </w:r>
            <w:r>
              <w:rPr>
                <w:rFonts w:hint="eastAsia" w:ascii="宋体" w:hAnsi="宋体"/>
                <w:color w:val="auto"/>
                <w:szCs w:val="21"/>
                <w:highlight w:val="none"/>
              </w:rPr>
              <w:t>等</w:t>
            </w:r>
            <w:r>
              <w:rPr>
                <w:rFonts w:ascii="宋体" w:hAnsi="宋体"/>
                <w:color w:val="auto"/>
                <w:szCs w:val="21"/>
                <w:highlight w:val="none"/>
              </w:rPr>
              <w:t>进行评分</w:t>
            </w:r>
            <w:r>
              <w:rPr>
                <w:rFonts w:hint="eastAsia" w:ascii="宋体" w:hAnsi="宋体"/>
                <w:color w:val="auto"/>
                <w:szCs w:val="21"/>
                <w:highlight w:val="none"/>
              </w:rPr>
              <w:t>：</w:t>
            </w:r>
          </w:p>
          <w:p w14:paraId="0AE5DC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hint="eastAsia" w:ascii="宋体" w:hAnsi="宋体"/>
                <w:color w:val="auto"/>
                <w:szCs w:val="21"/>
                <w:highlight w:val="none"/>
              </w:rPr>
              <w:t>（包括但不限于：1.企业管理方案；2.组织架构、组织管理体系；3.项目管理人员配备；4.岗位分工。）</w:t>
            </w:r>
          </w:p>
          <w:p w14:paraId="7BB7D9A3">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ascii="宋体" w:hAnsi="宋体"/>
                <w:color w:val="auto"/>
                <w:szCs w:val="21"/>
                <w:highlight w:val="none"/>
              </w:rPr>
              <w:t>管理方案以及组织架构科学、合理，能保证管理落实到位，组织管理体系完善，项目管理人员（例如</w:t>
            </w:r>
            <w:r>
              <w:rPr>
                <w:rFonts w:hint="eastAsia" w:ascii="宋体" w:hAnsi="宋体"/>
                <w:color w:val="auto"/>
                <w:szCs w:val="21"/>
                <w:highlight w:val="none"/>
                <w:lang w:val="en-US" w:eastAsia="zh-CN"/>
              </w:rPr>
              <w:t>项目负责人</w:t>
            </w:r>
            <w:r>
              <w:rPr>
                <w:rFonts w:ascii="宋体" w:hAnsi="宋体"/>
                <w:color w:val="auto"/>
                <w:szCs w:val="21"/>
                <w:highlight w:val="none"/>
              </w:rPr>
              <w:t>、质检、安检、班组长等）配备到位，项目管理事项明确，各岗位有明确的分工得</w:t>
            </w:r>
            <w:r>
              <w:rPr>
                <w:rFonts w:hint="eastAsia" w:ascii="宋体" w:hAnsi="宋体"/>
                <w:color w:val="auto"/>
                <w:szCs w:val="21"/>
                <w:highlight w:val="none"/>
                <w:lang w:val="en-US" w:eastAsia="zh-CN"/>
              </w:rPr>
              <w:t>8</w:t>
            </w:r>
            <w:r>
              <w:rPr>
                <w:rFonts w:ascii="宋体" w:hAnsi="宋体"/>
                <w:color w:val="auto"/>
                <w:szCs w:val="21"/>
                <w:highlight w:val="none"/>
              </w:rPr>
              <w:t>分</w:t>
            </w:r>
            <w:r>
              <w:rPr>
                <w:rFonts w:hint="eastAsia" w:ascii="宋体" w:hAnsi="宋体"/>
                <w:color w:val="auto"/>
                <w:szCs w:val="21"/>
                <w:highlight w:val="none"/>
              </w:rPr>
              <w:t>；</w:t>
            </w:r>
          </w:p>
          <w:p w14:paraId="021B83C1">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ascii="宋体" w:hAnsi="宋体"/>
                <w:color w:val="auto"/>
                <w:szCs w:val="21"/>
                <w:highlight w:val="none"/>
              </w:rPr>
              <w:t>管理方案以及组织架构基本合理，有一定科学性，基本能保证管理落实到位，组织管理体系基本完善，项目管理人员基本配备到位，管理事项、各岗位分工基本明确得</w:t>
            </w:r>
            <w:r>
              <w:rPr>
                <w:rFonts w:hint="eastAsia" w:ascii="宋体" w:hAnsi="宋体"/>
                <w:color w:val="auto"/>
                <w:szCs w:val="21"/>
                <w:highlight w:val="none"/>
                <w:lang w:val="en-US" w:eastAsia="zh-CN"/>
              </w:rPr>
              <w:t>6</w:t>
            </w:r>
            <w:r>
              <w:rPr>
                <w:rFonts w:ascii="宋体" w:hAnsi="宋体"/>
                <w:color w:val="auto"/>
                <w:szCs w:val="21"/>
                <w:highlight w:val="none"/>
              </w:rPr>
              <w:t>分；</w:t>
            </w:r>
          </w:p>
          <w:p w14:paraId="68206FCE">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ascii="宋体" w:hAnsi="宋体"/>
                <w:color w:val="auto"/>
                <w:szCs w:val="21"/>
                <w:highlight w:val="none"/>
              </w:rPr>
              <w:t>管理方案以及组织架构不合理，没有科学性、组织管理体系</w:t>
            </w:r>
            <w:r>
              <w:rPr>
                <w:rFonts w:hint="eastAsia" w:ascii="宋体" w:hAnsi="宋体"/>
                <w:color w:val="auto"/>
                <w:szCs w:val="21"/>
                <w:highlight w:val="none"/>
              </w:rPr>
              <w:t>不完善</w:t>
            </w:r>
            <w:r>
              <w:rPr>
                <w:rFonts w:ascii="宋体" w:hAnsi="宋体"/>
                <w:color w:val="auto"/>
                <w:szCs w:val="21"/>
                <w:highlight w:val="none"/>
              </w:rPr>
              <w:t>，项目管理人员配备不到位，项目管理事项不全，各岗位分工不明确得</w:t>
            </w:r>
            <w:r>
              <w:rPr>
                <w:rFonts w:hint="eastAsia" w:ascii="宋体" w:hAnsi="宋体"/>
                <w:color w:val="auto"/>
                <w:szCs w:val="21"/>
                <w:highlight w:val="none"/>
                <w:lang w:val="en-US" w:eastAsia="zh-CN"/>
              </w:rPr>
              <w:t>3</w:t>
            </w:r>
            <w:r>
              <w:rPr>
                <w:rFonts w:ascii="宋体" w:hAnsi="宋体"/>
                <w:color w:val="auto"/>
                <w:szCs w:val="21"/>
                <w:highlight w:val="none"/>
              </w:rPr>
              <w:t>分；</w:t>
            </w:r>
          </w:p>
          <w:p w14:paraId="5360B075">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highlight w:val="none"/>
              </w:rPr>
            </w:pPr>
            <w:r>
              <w:rPr>
                <w:rFonts w:hint="eastAsia" w:ascii="宋体" w:hAnsi="宋体"/>
                <w:color w:val="auto"/>
                <w:szCs w:val="21"/>
                <w:highlight w:val="none"/>
              </w:rPr>
              <w:t>未提供</w:t>
            </w:r>
            <w:r>
              <w:rPr>
                <w:rFonts w:ascii="宋体" w:hAnsi="宋体"/>
                <w:color w:val="auto"/>
                <w:szCs w:val="21"/>
                <w:highlight w:val="none"/>
              </w:rPr>
              <w:t>管理方案以及组织架构</w:t>
            </w:r>
            <w:r>
              <w:rPr>
                <w:rFonts w:hint="eastAsia" w:ascii="宋体" w:hAnsi="宋体"/>
                <w:color w:val="auto"/>
                <w:szCs w:val="21"/>
                <w:highlight w:val="none"/>
              </w:rPr>
              <w:t>等</w:t>
            </w:r>
            <w:r>
              <w:rPr>
                <w:rFonts w:ascii="宋体" w:hAnsi="宋体"/>
                <w:color w:val="auto"/>
                <w:szCs w:val="21"/>
                <w:highlight w:val="none"/>
              </w:rPr>
              <w:t>得0分。</w:t>
            </w:r>
          </w:p>
        </w:tc>
        <w:tc>
          <w:tcPr>
            <w:tcW w:w="1000" w:type="dxa"/>
            <w:tcMar>
              <w:top w:w="0" w:type="dxa"/>
              <w:left w:w="108" w:type="dxa"/>
              <w:bottom w:w="0" w:type="dxa"/>
              <w:right w:w="108" w:type="dxa"/>
            </w:tcMar>
            <w:vAlign w:val="center"/>
          </w:tcPr>
          <w:p w14:paraId="299EF9B1">
            <w:pPr>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cs="宋体"/>
                <w:b/>
                <w:color w:val="auto"/>
                <w:szCs w:val="21"/>
                <w:highlight w:val="none"/>
                <w:lang w:val="en-US" w:eastAsia="zh-CN"/>
              </w:rPr>
              <w:t>8</w:t>
            </w:r>
          </w:p>
        </w:tc>
      </w:tr>
      <w:tr w14:paraId="269B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7598EDF4">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57CAC93D">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2B04DB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lang w:eastAsia="zh-CN"/>
              </w:rPr>
              <w:t>）</w:t>
            </w:r>
            <w:r>
              <w:rPr>
                <w:rFonts w:ascii="宋体" w:hAnsi="宋体" w:eastAsia="宋体" w:cs="Times New Roman"/>
                <w:color w:val="auto"/>
                <w:szCs w:val="21"/>
                <w:highlight w:val="none"/>
              </w:rPr>
              <w:t>评委对投标人投标文件提供的内部管理制度和员工考核管理办法等设定</w:t>
            </w:r>
            <w:r>
              <w:rPr>
                <w:rFonts w:hint="eastAsia" w:ascii="宋体" w:hAnsi="宋体" w:eastAsia="宋体" w:cs="Times New Roman"/>
                <w:color w:val="auto"/>
                <w:szCs w:val="21"/>
                <w:highlight w:val="none"/>
              </w:rPr>
              <w:t>进行</w:t>
            </w:r>
            <w:r>
              <w:rPr>
                <w:rFonts w:ascii="宋体" w:hAnsi="宋体" w:eastAsia="宋体" w:cs="Times New Roman"/>
                <w:color w:val="auto"/>
                <w:szCs w:val="21"/>
                <w:highlight w:val="none"/>
              </w:rPr>
              <w:t>评分</w:t>
            </w:r>
            <w:r>
              <w:rPr>
                <w:rFonts w:hint="eastAsia" w:ascii="宋体" w:hAnsi="宋体" w:eastAsia="宋体" w:cs="Times New Roman"/>
                <w:color w:val="auto"/>
                <w:szCs w:val="21"/>
                <w:highlight w:val="none"/>
              </w:rPr>
              <w:t>：</w:t>
            </w:r>
          </w:p>
          <w:p w14:paraId="323069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（包括但不限于：</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.制定内部管理和考核办法，考核办法包括：管理人员考核办法、环卫工人考核办法等；</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.考核内容设定科学、合理，将清扫保洁任务分解至全体环卫工人，切忌重量轻质；</w:t>
            </w: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.制定内部管理清退制度，实行末位淘汰等奖优罚劣措施，保证队伍的素质。）</w:t>
            </w:r>
          </w:p>
          <w:p w14:paraId="760C92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内部管理制度和员工考核管理办法科学、合理、有效及可操作性强得</w:t>
            </w:r>
            <w:r>
              <w:rPr>
                <w:rFonts w:hint="eastAsia" w:ascii="宋体" w:hAnsi="宋体" w:cs="Times New Roman"/>
                <w:color w:val="auto"/>
                <w:szCs w:val="21"/>
                <w:highlight w:val="none"/>
                <w:lang w:val="en-US" w:eastAsia="zh-CN"/>
              </w:rPr>
              <w:t>8</w:t>
            </w:r>
            <w:r>
              <w:rPr>
                <w:rFonts w:ascii="宋体" w:hAnsi="宋体" w:eastAsia="宋体" w:cs="Times New Roman"/>
                <w:color w:val="auto"/>
                <w:szCs w:val="21"/>
                <w:highlight w:val="none"/>
              </w:rPr>
              <w:t>分；</w:t>
            </w:r>
          </w:p>
          <w:p w14:paraId="5FD406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内部管理制度和员工考核管理办法较为完整、合理、基本有效，有一定可操作性得</w:t>
            </w:r>
            <w:r>
              <w:rPr>
                <w:rFonts w:hint="eastAsia" w:ascii="宋体" w:hAnsi="宋体" w:cs="Times New Roman"/>
                <w:color w:val="auto"/>
                <w:szCs w:val="21"/>
                <w:highlight w:val="none"/>
                <w:lang w:val="en-US" w:eastAsia="zh-CN"/>
              </w:rPr>
              <w:t>6</w:t>
            </w:r>
            <w:r>
              <w:rPr>
                <w:rFonts w:ascii="宋体" w:hAnsi="宋体" w:eastAsia="宋体" w:cs="Times New Roman"/>
                <w:color w:val="auto"/>
                <w:szCs w:val="21"/>
                <w:highlight w:val="none"/>
              </w:rPr>
              <w:t>分；</w:t>
            </w:r>
          </w:p>
          <w:p w14:paraId="29CA0A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内部管理制度和员工考核管理办法不完整，重点不突出，</w:t>
            </w:r>
            <w:r>
              <w:rPr>
                <w:rFonts w:hint="eastAsia" w:ascii="宋体" w:hAnsi="宋体" w:eastAsia="宋体" w:cs="Times New Roman"/>
                <w:color w:val="auto"/>
                <w:szCs w:val="21"/>
                <w:highlight w:val="none"/>
              </w:rPr>
              <w:t>与需求有较大偏离，</w:t>
            </w:r>
            <w:r>
              <w:rPr>
                <w:rFonts w:ascii="宋体" w:hAnsi="宋体" w:eastAsia="宋体" w:cs="Times New Roman"/>
                <w:color w:val="auto"/>
                <w:szCs w:val="21"/>
                <w:highlight w:val="none"/>
              </w:rPr>
              <w:t>合理性、可操作性</w:t>
            </w:r>
            <w:r>
              <w:rPr>
                <w:rFonts w:hint="eastAsia" w:ascii="宋体" w:hAnsi="宋体" w:eastAsia="宋体" w:cs="Times New Roman"/>
                <w:color w:val="auto"/>
                <w:szCs w:val="21"/>
                <w:highlight w:val="none"/>
              </w:rPr>
              <w:t>低</w:t>
            </w:r>
            <w:r>
              <w:rPr>
                <w:rFonts w:ascii="宋体" w:hAnsi="宋体" w:eastAsia="宋体" w:cs="Times New Roman"/>
                <w:color w:val="auto"/>
                <w:szCs w:val="21"/>
                <w:highlight w:val="none"/>
              </w:rPr>
              <w:t>得</w:t>
            </w:r>
            <w:r>
              <w:rPr>
                <w:rFonts w:hint="eastAsia" w:ascii="宋体" w:hAnsi="宋体" w:cs="Times New Roman"/>
                <w:color w:val="auto"/>
                <w:szCs w:val="21"/>
                <w:highlight w:val="none"/>
                <w:lang w:val="en-US" w:eastAsia="zh-CN"/>
              </w:rPr>
              <w:t>3</w:t>
            </w:r>
            <w:r>
              <w:rPr>
                <w:rFonts w:ascii="宋体" w:hAnsi="宋体" w:eastAsia="宋体" w:cs="Times New Roman"/>
                <w:color w:val="auto"/>
                <w:szCs w:val="21"/>
                <w:highlight w:val="none"/>
              </w:rPr>
              <w:t>分；</w:t>
            </w:r>
          </w:p>
          <w:p w14:paraId="3877710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000000" w:themeColor="text1"/>
                <w:kern w:val="0"/>
                <w:highlight w:val="none"/>
                <w14:textFill>
                  <w14:solidFill>
                    <w14:schemeClr w14:val="tx1"/>
                  </w14:solidFill>
                </w14:textFill>
              </w:rPr>
            </w:pPr>
            <w:r>
              <w:rPr>
                <w:rFonts w:hint="eastAsia" w:ascii="宋体" w:hAnsi="宋体" w:eastAsia="宋体" w:cs="Times New Roman"/>
                <w:color w:val="auto"/>
                <w:szCs w:val="21"/>
                <w:highlight w:val="none"/>
              </w:rPr>
              <w:t>未提供</w:t>
            </w:r>
            <w:r>
              <w:rPr>
                <w:rFonts w:ascii="宋体" w:hAnsi="宋体" w:eastAsia="宋体" w:cs="Times New Roman"/>
                <w:color w:val="auto"/>
                <w:szCs w:val="21"/>
                <w:highlight w:val="none"/>
              </w:rPr>
              <w:t>管理制度和员工考核管理办法</w:t>
            </w:r>
            <w:r>
              <w:rPr>
                <w:rFonts w:hint="eastAsia" w:ascii="宋体" w:hAnsi="宋体" w:eastAsia="宋体" w:cs="Times New Roman"/>
                <w:color w:val="auto"/>
                <w:szCs w:val="21"/>
                <w:highlight w:val="none"/>
              </w:rPr>
              <w:t>等</w:t>
            </w:r>
            <w:r>
              <w:rPr>
                <w:rFonts w:ascii="宋体" w:hAnsi="宋体" w:eastAsia="宋体" w:cs="Times New Roman"/>
                <w:color w:val="auto"/>
                <w:szCs w:val="21"/>
                <w:highlight w:val="none"/>
              </w:rPr>
              <w:t>得0分。</w:t>
            </w:r>
          </w:p>
        </w:tc>
        <w:tc>
          <w:tcPr>
            <w:tcW w:w="1000" w:type="dxa"/>
            <w:tcMar>
              <w:top w:w="0" w:type="dxa"/>
              <w:left w:w="108" w:type="dxa"/>
              <w:bottom w:w="0" w:type="dxa"/>
              <w:right w:w="108" w:type="dxa"/>
            </w:tcMar>
            <w:vAlign w:val="center"/>
          </w:tcPr>
          <w:p w14:paraId="45B6C847">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auto"/>
                <w:kern w:val="0"/>
                <w:highlight w:val="none"/>
                <w:lang w:val="en-US" w:eastAsia="zh-CN"/>
              </w:rPr>
              <w:t>8</w:t>
            </w:r>
          </w:p>
        </w:tc>
      </w:tr>
      <w:tr w14:paraId="43B5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0084902E">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748F2658">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3796072E">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（3）评委对投标人投标文件提供的道路清扫保洁方案进行评分：</w:t>
            </w:r>
          </w:p>
          <w:p w14:paraId="2B56A45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（包括但不限于：1.日常保洁方案；2.重大节假日保障保洁方案；3.防汛保洁方案；4.扫雪防冻保洁方案；5.极端天气保障保洁方案。）</w:t>
            </w:r>
          </w:p>
          <w:p w14:paraId="70711610">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道路清扫保洁方案的针对性、完整性、合理性、操作性强得8分；</w:t>
            </w:r>
          </w:p>
          <w:p w14:paraId="48B87026">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道路清扫保洁方案的针对性、完整性、合理性、操作性较强得6分；</w:t>
            </w:r>
          </w:p>
          <w:p w14:paraId="02CF518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道路清扫保洁方案的针对性弱、可操作性弱，不完整且不合理得3分；</w:t>
            </w:r>
          </w:p>
          <w:p w14:paraId="548FBB70">
            <w:pPr>
              <w:pStyle w:val="158"/>
              <w:spacing w:line="360" w:lineRule="auto"/>
              <w:ind w:left="0" w:leftChars="0" w:firstLine="0" w:firstLineChars="0"/>
              <w:rPr>
                <w:highlight w:val="none"/>
              </w:rPr>
            </w:pPr>
            <w:r>
              <w:rPr>
                <w:rFonts w:hint="eastAsia" w:ascii="宋体" w:hAnsi="宋体" w:eastAsia="宋体" w:cs="Times New Roman"/>
                <w:color w:val="auto"/>
                <w:kern w:val="2"/>
                <w:sz w:val="21"/>
                <w:szCs w:val="21"/>
                <w:highlight w:val="none"/>
                <w:lang w:val="en-US" w:eastAsia="zh-CN" w:bidi="ar-SA"/>
              </w:rPr>
              <w:t>未提供道路清扫保洁方案等得0分。</w:t>
            </w:r>
          </w:p>
        </w:tc>
        <w:tc>
          <w:tcPr>
            <w:tcW w:w="1000" w:type="dxa"/>
            <w:tcMar>
              <w:top w:w="0" w:type="dxa"/>
              <w:left w:w="108" w:type="dxa"/>
              <w:bottom w:w="0" w:type="dxa"/>
              <w:right w:w="108" w:type="dxa"/>
            </w:tcMar>
            <w:vAlign w:val="center"/>
          </w:tcPr>
          <w:p w14:paraId="49471B42">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auto"/>
                <w:kern w:val="0"/>
                <w:highlight w:val="none"/>
                <w:lang w:val="en-US" w:eastAsia="zh-CN"/>
              </w:rPr>
              <w:t>8</w:t>
            </w:r>
          </w:p>
        </w:tc>
      </w:tr>
      <w:tr w14:paraId="1056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1C371A1">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6D78F709">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495F2A77">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（4）评委对投标人投标文件提供的道路清扫保洁总进度、季进度、月进度、日进度计划方案进行评分：</w:t>
            </w:r>
          </w:p>
          <w:p w14:paraId="3D8BC42C">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（包括但不限于：1.人员进度计划；2.设备进度计划；3.物料进度计划；4.进度保障措施。）</w:t>
            </w:r>
          </w:p>
          <w:p w14:paraId="363F8B52">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进度计划方案的针对性、完整性、合理性、操作性强得8分；</w:t>
            </w:r>
          </w:p>
          <w:p w14:paraId="35A736BC">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进度计划方案的针对性、完整性、合理性、操作性较强得6分；</w:t>
            </w:r>
          </w:p>
          <w:p w14:paraId="7E71A5AD">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进度计划方案的针对性弱、可操作性弱，不完整且不合理得3分；</w:t>
            </w:r>
          </w:p>
          <w:p w14:paraId="319F1196">
            <w:pPr>
              <w:pStyle w:val="158"/>
              <w:spacing w:line="360" w:lineRule="auto"/>
              <w:ind w:left="0" w:leftChars="0" w:firstLine="0" w:firstLineChars="0"/>
              <w:rPr>
                <w:rFonts w:ascii="宋体" w:hAnsi="宋体"/>
                <w:b/>
                <w:color w:val="000000" w:themeColor="text1"/>
                <w:kern w:val="0"/>
                <w:highlight w:val="none"/>
                <w14:textFill>
                  <w14:solidFill>
                    <w14:schemeClr w14:val="tx1"/>
                  </w14:solidFill>
                </w14:textFill>
              </w:rPr>
            </w:pPr>
            <w:r>
              <w:rPr>
                <w:rFonts w:hint="eastAsia" w:ascii="宋体" w:hAnsi="宋体" w:eastAsia="宋体" w:cs="Times New Roman"/>
                <w:color w:val="auto"/>
                <w:kern w:val="2"/>
                <w:sz w:val="21"/>
                <w:szCs w:val="21"/>
                <w:highlight w:val="none"/>
                <w:lang w:val="en-US" w:eastAsia="zh-CN" w:bidi="ar-SA"/>
              </w:rPr>
              <w:t>未提供进度计划方案等得0分。</w:t>
            </w:r>
          </w:p>
        </w:tc>
        <w:tc>
          <w:tcPr>
            <w:tcW w:w="1000" w:type="dxa"/>
            <w:tcMar>
              <w:top w:w="0" w:type="dxa"/>
              <w:left w:w="108" w:type="dxa"/>
              <w:bottom w:w="0" w:type="dxa"/>
              <w:right w:w="108" w:type="dxa"/>
            </w:tcMar>
            <w:vAlign w:val="center"/>
          </w:tcPr>
          <w:p w14:paraId="58A8F492">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auto"/>
                <w:kern w:val="0"/>
                <w:highlight w:val="none"/>
                <w:lang w:val="en-US" w:eastAsia="zh-CN"/>
              </w:rPr>
              <w:t>8</w:t>
            </w:r>
          </w:p>
        </w:tc>
      </w:tr>
      <w:tr w14:paraId="5465B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3DF83E7">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6DDF346D">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38A7CBAA">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（5）评委对投标人投标文件提供的人工清扫保洁作业力量保障情况进行评分：</w:t>
            </w:r>
          </w:p>
          <w:p w14:paraId="1D22FB6B">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（包括但不限于：1.根据清扫保洁时间，合理调配保洁人员；2.合理编排班次，保证街面有充足的环卫工人；3.保洁作业人员的素质及年龄结构等。）</w:t>
            </w:r>
          </w:p>
          <w:p w14:paraId="06DBCFF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人工清扫保洁作业力量充足，保障情况完整得力得8分；</w:t>
            </w:r>
          </w:p>
          <w:p w14:paraId="5DE294EA">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人工清扫保洁作业力量基本能够满足项目运行，保障情况基本完整得6分；</w:t>
            </w:r>
          </w:p>
          <w:p w14:paraId="3096A133">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人工清扫保洁作业力量弱，不能满足项目运行要求，保障情况不完整得3分；</w:t>
            </w:r>
          </w:p>
          <w:p w14:paraId="4F423BD3">
            <w:pPr>
              <w:pStyle w:val="158"/>
              <w:spacing w:line="360" w:lineRule="auto"/>
              <w:ind w:left="0" w:leftChars="0" w:firstLine="0" w:firstLineChars="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未提供人工清扫保洁作业力量保障情况等得0分。</w:t>
            </w:r>
          </w:p>
        </w:tc>
        <w:tc>
          <w:tcPr>
            <w:tcW w:w="1000" w:type="dxa"/>
            <w:tcMar>
              <w:top w:w="0" w:type="dxa"/>
              <w:left w:w="108" w:type="dxa"/>
              <w:bottom w:w="0" w:type="dxa"/>
              <w:right w:w="108" w:type="dxa"/>
            </w:tcMar>
            <w:vAlign w:val="center"/>
          </w:tcPr>
          <w:p w14:paraId="7A2C3AAE">
            <w:pPr>
              <w:widowControl/>
              <w:spacing w:line="360" w:lineRule="auto"/>
              <w:jc w:val="center"/>
              <w:rPr>
                <w:rFonts w:hint="eastAsia" w:ascii="宋体" w:hAnsi="宋体" w:eastAsia="宋体"/>
                <w:b/>
                <w:bCs/>
                <w:color w:val="000000" w:themeColor="text1"/>
                <w:kern w:val="0"/>
                <w:highlight w:val="none"/>
                <w:lang w:val="en-US" w:eastAsia="zh-CN"/>
                <w14:textFill>
                  <w14:solidFill>
                    <w14:schemeClr w14:val="tx1"/>
                  </w14:solidFill>
                </w14:textFill>
              </w:rPr>
            </w:pPr>
            <w:r>
              <w:rPr>
                <w:rFonts w:hint="eastAsia" w:ascii="宋体" w:hAnsi="宋体"/>
                <w:b/>
                <w:bCs/>
                <w:color w:val="auto"/>
                <w:kern w:val="0"/>
                <w:highlight w:val="none"/>
                <w:lang w:val="en-US" w:eastAsia="zh-CN"/>
              </w:rPr>
              <w:t>8</w:t>
            </w:r>
          </w:p>
        </w:tc>
      </w:tr>
      <w:tr w14:paraId="2771B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5C36231B">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0DD5E1FF">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0C9E33E6">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（6）评委对投标人投标文件提供的突击保障任务和突发问题或纠纷等的应急预案等进行评分：</w:t>
            </w:r>
          </w:p>
          <w:p w14:paraId="756BA71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（包括但不限于：1.确定承诺响应时间；2.保证足额的人员、车辆、机械、设备、物资等；3.制定突发事件的处理方案。）</w:t>
            </w:r>
          </w:p>
          <w:p w14:paraId="5E2A5CF9">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突击保障任务和突发问题或纠纷等的应急预案完整、可操作性强，切实可行得8分；</w:t>
            </w:r>
          </w:p>
          <w:p w14:paraId="1E62885B">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突击保障任务和突发问题或纠纷等的应急预案不够完整但基本合理，有一定可操作性，基本可行得6分；</w:t>
            </w:r>
          </w:p>
          <w:p w14:paraId="6743D2AC">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突击保障任务和突发问题或纠纷等的应急预案不完整不合理，可操作性和可行性有欠缺得3分；</w:t>
            </w:r>
          </w:p>
          <w:p w14:paraId="211C9AA6">
            <w:pPr>
              <w:pStyle w:val="158"/>
              <w:spacing w:line="360" w:lineRule="auto"/>
              <w:ind w:left="0" w:leftChars="0" w:firstLine="0" w:firstLineChars="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未提供突击保障任务和突发问题或纠纷等的应急预案等得0分。</w:t>
            </w:r>
          </w:p>
        </w:tc>
        <w:tc>
          <w:tcPr>
            <w:tcW w:w="1000" w:type="dxa"/>
            <w:tcMar>
              <w:top w:w="0" w:type="dxa"/>
              <w:left w:w="108" w:type="dxa"/>
              <w:bottom w:w="0" w:type="dxa"/>
              <w:right w:w="108" w:type="dxa"/>
            </w:tcMar>
            <w:vAlign w:val="center"/>
          </w:tcPr>
          <w:p w14:paraId="1647AEDB">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auto"/>
                <w:kern w:val="0"/>
                <w:highlight w:val="none"/>
                <w:lang w:val="en-US" w:eastAsia="zh-CN"/>
              </w:rPr>
              <w:t>8</w:t>
            </w:r>
          </w:p>
        </w:tc>
      </w:tr>
      <w:tr w14:paraId="4967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28E10BC6">
            <w:pPr>
              <w:widowControl/>
              <w:spacing w:line="360" w:lineRule="auto"/>
              <w:jc w:val="center"/>
              <w:rPr>
                <w:rFonts w:ascii="宋体" w:hAnsi="宋体"/>
                <w:b/>
                <w:bCs/>
                <w:color w:val="000000" w:themeColor="text1"/>
                <w:kern w:val="0"/>
                <w:highlight w:val="none"/>
                <w14:textFill>
                  <w14:solidFill>
                    <w14:schemeClr w14:val="tx1"/>
                  </w14:solidFill>
                </w14:textFill>
              </w:rPr>
            </w:pPr>
          </w:p>
        </w:tc>
        <w:tc>
          <w:tcPr>
            <w:tcW w:w="1206" w:type="dxa"/>
            <w:vMerge w:val="continue"/>
            <w:vAlign w:val="center"/>
          </w:tcPr>
          <w:p w14:paraId="44083DA7">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76FE0060">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评委对投标人投标文件提供的环卫工人培训方案制定的情况进行评分：（包括但不限于：1.有培训的内容，如岗位标准、安全生产、专业知识、职业道德规范；2.培训的方式，理论学习和实践操作，有定期培训制度；3.上岗培训方案：除明确培训的时间、内容、形式外，对培训测试不符合的员工不予聘用等。）</w:t>
            </w:r>
          </w:p>
          <w:p w14:paraId="0FC91FEE">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环卫工人培训方案科学、全面、合理、完整得4分；</w:t>
            </w:r>
          </w:p>
          <w:p w14:paraId="7BF95AAC">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环卫工人培训方案有但不具体、方案基本全面、有一定合理性、基本完整得2分；</w:t>
            </w:r>
          </w:p>
          <w:p w14:paraId="708D4751">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环卫工人培训方案有，但没有重点，没有具体内容，没有具体措施得1分；</w:t>
            </w:r>
          </w:p>
          <w:p w14:paraId="449A0AFD">
            <w:pPr>
              <w:pStyle w:val="158"/>
              <w:spacing w:line="360" w:lineRule="auto"/>
              <w:ind w:left="0" w:leftChars="0" w:firstLine="0" w:firstLineChars="0"/>
              <w:rPr>
                <w:highlight w:val="none"/>
              </w:rPr>
            </w:pPr>
            <w:r>
              <w:rPr>
                <w:rFonts w:hint="eastAsia" w:ascii="宋体" w:hAnsi="宋体" w:eastAsia="宋体" w:cs="Times New Roman"/>
                <w:color w:val="auto"/>
                <w:kern w:val="2"/>
                <w:sz w:val="21"/>
                <w:szCs w:val="21"/>
                <w:highlight w:val="none"/>
                <w:lang w:val="en-US" w:eastAsia="zh-CN" w:bidi="ar-SA"/>
              </w:rPr>
              <w:t>未提供环卫工人培训方案等得0分。</w:t>
            </w:r>
          </w:p>
        </w:tc>
        <w:tc>
          <w:tcPr>
            <w:tcW w:w="1000" w:type="dxa"/>
            <w:tcMar>
              <w:top w:w="0" w:type="dxa"/>
              <w:left w:w="108" w:type="dxa"/>
              <w:bottom w:w="0" w:type="dxa"/>
              <w:right w:w="108" w:type="dxa"/>
            </w:tcMar>
            <w:vAlign w:val="center"/>
          </w:tcPr>
          <w:p w14:paraId="7D8EF51B">
            <w:pPr>
              <w:widowControl/>
              <w:spacing w:line="360" w:lineRule="auto"/>
              <w:jc w:val="center"/>
              <w:rPr>
                <w:rFonts w:hint="eastAsia" w:ascii="宋体" w:hAnsi="宋体" w:eastAsia="宋体"/>
                <w:b/>
                <w:bCs/>
                <w:color w:val="000000" w:themeColor="text1"/>
                <w:kern w:val="0"/>
                <w:highlight w:val="none"/>
                <w:lang w:eastAsia="zh-CN"/>
                <w14:textFill>
                  <w14:solidFill>
                    <w14:schemeClr w14:val="tx1"/>
                  </w14:solidFill>
                </w14:textFill>
              </w:rPr>
            </w:pPr>
            <w:r>
              <w:rPr>
                <w:rFonts w:hint="eastAsia" w:ascii="宋体" w:hAnsi="宋体"/>
                <w:b/>
                <w:bCs/>
                <w:color w:val="auto"/>
                <w:kern w:val="0"/>
                <w:highlight w:val="none"/>
                <w:lang w:val="en-US" w:eastAsia="zh-CN"/>
              </w:rPr>
              <w:t>4</w:t>
            </w:r>
          </w:p>
        </w:tc>
      </w:tr>
      <w:tr w14:paraId="1DDC1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4963A8C3">
            <w:pPr>
              <w:widowControl/>
              <w:spacing w:line="360" w:lineRule="auto"/>
              <w:jc w:val="center"/>
              <w:rPr>
                <w:rFonts w:ascii="宋体" w:hAnsi="宋体"/>
                <w:b/>
                <w:bCs/>
                <w:color w:val="000000" w:themeColor="text1"/>
                <w:kern w:val="0"/>
                <w:highlight w:val="none"/>
                <w14:textFill>
                  <w14:solidFill>
                    <w14:schemeClr w14:val="tx1"/>
                  </w14:solidFill>
                </w14:textFill>
              </w:rPr>
            </w:pPr>
          </w:p>
        </w:tc>
        <w:tc>
          <w:tcPr>
            <w:tcW w:w="1206" w:type="dxa"/>
            <w:vMerge w:val="continue"/>
            <w:vAlign w:val="center"/>
          </w:tcPr>
          <w:p w14:paraId="02B808C0">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407320B4">
            <w:pPr>
              <w:spacing w:line="360" w:lineRule="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w:t>
            </w:r>
            <w:r>
              <w:rPr>
                <w:rFonts w:hint="eastAsia" w:ascii="宋体" w:hAnsi="宋体" w:cs="Times New Roman"/>
                <w:color w:val="auto"/>
                <w:kern w:val="2"/>
                <w:sz w:val="21"/>
                <w:szCs w:val="21"/>
                <w:highlight w:val="none"/>
                <w:lang w:val="en-US" w:eastAsia="zh-CN" w:bidi="ar-SA"/>
              </w:rPr>
              <w:t>8</w:t>
            </w:r>
            <w:r>
              <w:rPr>
                <w:rFonts w:hint="eastAsia" w:ascii="宋体" w:hAnsi="宋体" w:eastAsia="宋体" w:cs="Times New Roman"/>
                <w:color w:val="auto"/>
                <w:kern w:val="2"/>
                <w:sz w:val="21"/>
                <w:szCs w:val="21"/>
                <w:highlight w:val="none"/>
                <w:lang w:val="en-US" w:eastAsia="zh-CN" w:bidi="ar-SA"/>
              </w:rPr>
              <w:t>）评委对投标人投标文件提供的档案资料管理制度、台账管理方案进行评分：</w:t>
            </w:r>
          </w:p>
          <w:p w14:paraId="6F395A9E">
            <w:pPr>
              <w:widowControl/>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内容</w:t>
            </w:r>
            <w:r>
              <w:rPr>
                <w:rFonts w:hint="eastAsia" w:ascii="宋体" w:hAnsi="宋体" w:eastAsia="宋体" w:cs="宋体"/>
                <w:color w:val="auto"/>
                <w:sz w:val="21"/>
                <w:szCs w:val="21"/>
                <w:highlight w:val="none"/>
              </w:rPr>
              <w:t>清晰</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完整</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rPr>
              <w:t>方案能</w:t>
            </w:r>
            <w:r>
              <w:rPr>
                <w:rFonts w:hint="eastAsia" w:ascii="宋体" w:hAnsi="宋体" w:cs="宋体"/>
                <w:color w:val="auto"/>
                <w:sz w:val="21"/>
                <w:szCs w:val="21"/>
                <w:highlight w:val="none"/>
                <w:lang w:val="en-US" w:eastAsia="zh-CN"/>
              </w:rPr>
              <w:t>满足项目</w:t>
            </w:r>
            <w:r>
              <w:rPr>
                <w:rFonts w:hint="eastAsia" w:ascii="宋体" w:hAnsi="宋体" w:eastAsia="宋体" w:cs="宋体"/>
                <w:color w:val="auto"/>
                <w:sz w:val="21"/>
                <w:szCs w:val="21"/>
                <w:highlight w:val="none"/>
              </w:rPr>
              <w:t>需求得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6CEFBBA9">
            <w:pPr>
              <w:widowControl/>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内容</w:t>
            </w:r>
            <w:r>
              <w:rPr>
                <w:rFonts w:hint="eastAsia" w:ascii="宋体" w:hAnsi="宋体" w:eastAsia="宋体" w:cs="宋体"/>
                <w:color w:val="auto"/>
                <w:sz w:val="21"/>
                <w:szCs w:val="21"/>
                <w:highlight w:val="none"/>
              </w:rPr>
              <w:t>清晰性一般，</w:t>
            </w:r>
            <w:r>
              <w:rPr>
                <w:rFonts w:hint="eastAsia" w:ascii="宋体" w:hAnsi="宋体" w:cs="宋体"/>
                <w:color w:val="auto"/>
                <w:sz w:val="21"/>
                <w:szCs w:val="21"/>
                <w:highlight w:val="none"/>
                <w:lang w:val="en-US" w:eastAsia="zh-CN"/>
              </w:rPr>
              <w:t>完整性</w:t>
            </w:r>
            <w:r>
              <w:rPr>
                <w:rFonts w:hint="eastAsia" w:ascii="宋体" w:hAnsi="宋体" w:eastAsia="宋体" w:cs="宋体"/>
                <w:color w:val="auto"/>
                <w:sz w:val="21"/>
                <w:szCs w:val="21"/>
                <w:highlight w:val="none"/>
              </w:rPr>
              <w:t>一般，</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5D4242CF">
            <w:pPr>
              <w:widowControl/>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内容</w:t>
            </w:r>
            <w:r>
              <w:rPr>
                <w:rFonts w:hint="eastAsia" w:ascii="宋体" w:hAnsi="宋体" w:eastAsia="宋体" w:cs="宋体"/>
                <w:color w:val="auto"/>
                <w:sz w:val="21"/>
                <w:szCs w:val="21"/>
                <w:highlight w:val="none"/>
              </w:rPr>
              <w:t>描述模糊</w:t>
            </w:r>
            <w:r>
              <w:rPr>
                <w:rFonts w:hint="eastAsia" w:ascii="宋体" w:hAnsi="宋体" w:cs="宋体"/>
                <w:color w:val="auto"/>
                <w:sz w:val="21"/>
                <w:szCs w:val="21"/>
                <w:highlight w:val="none"/>
                <w:lang w:val="en-US" w:eastAsia="zh-CN"/>
              </w:rPr>
              <w:t>有</w:t>
            </w:r>
            <w:r>
              <w:rPr>
                <w:rFonts w:hint="eastAsia" w:ascii="宋体" w:hAnsi="宋体" w:eastAsia="宋体" w:cs="宋体"/>
                <w:color w:val="auto"/>
                <w:sz w:val="21"/>
                <w:szCs w:val="21"/>
                <w:highlight w:val="none"/>
              </w:rPr>
              <w:t>缺漏，</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rPr>
              <w:t>方案有偏差</w:t>
            </w:r>
            <w:r>
              <w:rPr>
                <w:rFonts w:hint="eastAsia" w:ascii="宋体" w:hAnsi="宋体" w:cs="宋体"/>
                <w:color w:val="auto"/>
                <w:sz w:val="21"/>
                <w:szCs w:val="21"/>
                <w:highlight w:val="none"/>
                <w:lang w:val="en-US" w:eastAsia="zh-CN"/>
              </w:rPr>
              <w:t>不满足项目需求</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FAD93F8">
            <w:pPr>
              <w:pStyle w:val="158"/>
              <w:ind w:left="0" w:leftChars="0" w:firstLine="0" w:firstLineChars="0"/>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未提供</w:t>
            </w:r>
            <w:r>
              <w:rPr>
                <w:rFonts w:hint="eastAsia" w:ascii="宋体" w:hAnsi="宋体" w:eastAsia="宋体" w:cs="Times New Roman"/>
                <w:color w:val="auto"/>
                <w:kern w:val="2"/>
                <w:sz w:val="21"/>
                <w:szCs w:val="21"/>
                <w:highlight w:val="none"/>
                <w:lang w:val="en-US" w:eastAsia="zh-CN" w:bidi="ar-SA"/>
              </w:rPr>
              <w:t>档案资料管理制度、台账管理方案得0分</w:t>
            </w:r>
            <w:r>
              <w:rPr>
                <w:rFonts w:hint="eastAsia" w:ascii="宋体" w:hAnsi="宋体" w:eastAsia="宋体" w:cs="宋体"/>
                <w:color w:val="auto"/>
                <w:sz w:val="21"/>
                <w:szCs w:val="21"/>
                <w:highlight w:val="none"/>
              </w:rPr>
              <w:t>。</w:t>
            </w:r>
          </w:p>
        </w:tc>
        <w:tc>
          <w:tcPr>
            <w:tcW w:w="1000" w:type="dxa"/>
            <w:tcMar>
              <w:top w:w="0" w:type="dxa"/>
              <w:left w:w="108" w:type="dxa"/>
              <w:bottom w:w="0" w:type="dxa"/>
              <w:right w:w="108" w:type="dxa"/>
            </w:tcMar>
            <w:vAlign w:val="center"/>
          </w:tcPr>
          <w:p w14:paraId="7A4E1831">
            <w:pPr>
              <w:widowControl/>
              <w:spacing w:line="360" w:lineRule="auto"/>
              <w:jc w:val="center"/>
              <w:rPr>
                <w:rFonts w:hint="eastAsia"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auto"/>
                <w:kern w:val="0"/>
                <w:highlight w:val="none"/>
                <w:lang w:val="en-US" w:eastAsia="zh-CN"/>
              </w:rPr>
              <w:t>3</w:t>
            </w:r>
          </w:p>
        </w:tc>
      </w:tr>
      <w:tr w14:paraId="2C6C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846" w:type="dxa"/>
            <w:gridSpan w:val="2"/>
            <w:vAlign w:val="center"/>
          </w:tcPr>
          <w:p w14:paraId="0D70022E">
            <w:pPr>
              <w:widowControl/>
              <w:spacing w:line="360" w:lineRule="auto"/>
              <w:jc w:val="center"/>
              <w:rPr>
                <w:rFonts w:hint="eastAsia" w:ascii="宋体" w:hAnsi="宋体" w:eastAsia="宋体"/>
                <w:color w:val="000000" w:themeColor="text1"/>
                <w:kern w:val="0"/>
                <w:highlight w:val="none"/>
                <w:lang w:val="en-US" w:eastAsia="zh-CN"/>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合计</w:t>
            </w:r>
          </w:p>
        </w:tc>
        <w:tc>
          <w:tcPr>
            <w:tcW w:w="7530" w:type="dxa"/>
            <w:gridSpan w:val="2"/>
            <w:tcMar>
              <w:top w:w="0" w:type="dxa"/>
              <w:left w:w="108" w:type="dxa"/>
              <w:bottom w:w="0" w:type="dxa"/>
              <w:right w:w="108" w:type="dxa"/>
            </w:tcMar>
            <w:vAlign w:val="center"/>
          </w:tcPr>
          <w:p w14:paraId="6848D416">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eastAsia="宋体" w:cs="Times New Roman"/>
                <w:color w:val="000000" w:themeColor="text1"/>
                <w:kern w:val="0"/>
                <w:highlight w:val="none"/>
                <w:lang w:val="en-US" w:eastAsia="zh-CN"/>
                <w14:textFill>
                  <w14:solidFill>
                    <w14:schemeClr w14:val="tx1"/>
                  </w14:solidFill>
                </w14:textFill>
              </w:rPr>
              <w:t>100分</w:t>
            </w:r>
          </w:p>
        </w:tc>
      </w:tr>
    </w:tbl>
    <w:p w14:paraId="0F5CE2D6">
      <w:pPr>
        <w:pStyle w:val="56"/>
        <w:jc w:val="center"/>
        <w:rPr>
          <w:rFonts w:hint="eastAsia" w:eastAsia="宋体"/>
          <w:highlight w:val="none"/>
          <w:lang w:val="en-US" w:eastAsia="zh-CN"/>
        </w:rPr>
      </w:pPr>
    </w:p>
    <w:p w14:paraId="5EFC9E38">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说明：</w:t>
      </w:r>
    </w:p>
    <w:p w14:paraId="21C768A6">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1.所有认证、证明和业绩均以有效清晰的证明文件的</w:t>
      </w:r>
      <w:r>
        <w:rPr>
          <w:rFonts w:hint="eastAsia" w:ascii="宋体" w:hAnsi="宋体" w:cs="宋体"/>
          <w:bCs/>
          <w:sz w:val="21"/>
          <w:szCs w:val="21"/>
          <w:highlight w:val="none"/>
          <w:lang w:val="en-US" w:eastAsia="zh-CN"/>
        </w:rPr>
        <w:t>扫描件</w:t>
      </w:r>
      <w:r>
        <w:rPr>
          <w:rFonts w:hint="eastAsia" w:ascii="宋体" w:hAnsi="宋体" w:cs="宋体"/>
          <w:bCs/>
          <w:sz w:val="21"/>
          <w:szCs w:val="21"/>
          <w:highlight w:val="none"/>
        </w:rPr>
        <w:t>为依据。</w:t>
      </w:r>
    </w:p>
    <w:p w14:paraId="2E26BF77">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2.小微企业价格扣除</w:t>
      </w:r>
    </w:p>
    <w:p w14:paraId="0E30B38E">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highlight w:val="none"/>
        </w:rPr>
        <w:t>。</w:t>
      </w:r>
    </w:p>
    <w:p w14:paraId="6ED1EF5F">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3.监狱和戒毒企业的价格扣除</w:t>
      </w:r>
    </w:p>
    <w:p w14:paraId="5A5F803D">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4.残疾人福利性单位的价格扣除</w:t>
      </w:r>
    </w:p>
    <w:p w14:paraId="3FE7A815">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4.2 残疾人福利性单位需提供《残疾人福利性单位声明函》。</w:t>
      </w:r>
    </w:p>
    <w:p w14:paraId="23D4B23C">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4.3 残疾人福利性单位标准请参照《关于促进残疾人就业政府采购政策的通知》（财库〔2017〕141号）。</w:t>
      </w:r>
    </w:p>
    <w:p w14:paraId="0042E056">
      <w:pPr>
        <w:spacing w:line="360" w:lineRule="auto"/>
        <w:rPr>
          <w:rFonts w:hint="eastAsia" w:ascii="宋体" w:hAnsi="宋体" w:cs="宋体"/>
          <w:b/>
          <w:bCs/>
          <w:kern w:val="0"/>
          <w:sz w:val="21"/>
          <w:szCs w:val="21"/>
          <w:highlight w:val="none"/>
        </w:rPr>
      </w:pPr>
      <w:r>
        <w:rPr>
          <w:rFonts w:hint="eastAsia" w:ascii="宋体" w:hAnsi="宋体" w:cs="宋体"/>
          <w:bCs/>
          <w:kern w:val="0"/>
          <w:sz w:val="21"/>
          <w:szCs w:val="21"/>
          <w:highlight w:val="none"/>
        </w:rPr>
        <w:t>5. 监狱企业、残疾人福利性单位属于小型、微型企业的，不重复享受政策。</w:t>
      </w:r>
      <w:r>
        <w:rPr>
          <w:rFonts w:hint="eastAsia" w:ascii="宋体" w:hAnsi="宋体" w:cs="宋体"/>
          <w:kern w:val="0"/>
          <w:sz w:val="21"/>
          <w:szCs w:val="21"/>
          <w:highlight w:val="none"/>
        </w:rPr>
        <w:br w:type="page"/>
      </w:r>
    </w:p>
    <w:p w14:paraId="63E4702C">
      <w:pPr>
        <w:pStyle w:val="3"/>
        <w:spacing w:line="360" w:lineRule="auto"/>
        <w:jc w:val="center"/>
        <w:rPr>
          <w:rFonts w:hint="eastAsia" w:ascii="宋体" w:hAnsi="宋体" w:cs="宋体"/>
          <w:highlight w:val="none"/>
        </w:rPr>
      </w:pPr>
      <w:bookmarkStart w:id="8" w:name="_Toc31739"/>
      <w:bookmarkStart w:id="9" w:name="_Hlk96071152"/>
      <w:bookmarkStart w:id="10" w:name="_Toc481057147"/>
      <w:r>
        <w:rPr>
          <w:rFonts w:hint="eastAsia" w:ascii="宋体" w:hAnsi="宋体" w:cs="宋体"/>
          <w:highlight w:val="none"/>
        </w:rPr>
        <w:t xml:space="preserve"> </w:t>
      </w:r>
      <w:bookmarkStart w:id="11" w:name="_Toc25308"/>
      <w:r>
        <w:rPr>
          <w:rFonts w:hint="eastAsia" w:ascii="宋体" w:hAnsi="宋体" w:cs="宋体"/>
          <w:highlight w:val="none"/>
        </w:rPr>
        <w:t>采购需求</w:t>
      </w:r>
      <w:bookmarkEnd w:id="8"/>
      <w:bookmarkEnd w:id="11"/>
    </w:p>
    <w:bookmarkEnd w:id="9"/>
    <w:bookmarkEnd w:id="10"/>
    <w:p w14:paraId="6472B321">
      <w:pPr>
        <w:adjustRightInd w:val="0"/>
        <w:snapToGrid w:val="0"/>
        <w:spacing w:line="360" w:lineRule="auto"/>
        <w:ind w:firstLine="413" w:firstLineChars="196"/>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一、项目概况与招标范围</w:t>
      </w:r>
    </w:p>
    <w:p w14:paraId="2C695559">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1、地点及范围：液晶谷片区</w:t>
      </w:r>
    </w:p>
    <w:p w14:paraId="648B9AA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2、规模：具体内容详见招标文件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工作量</w:t>
      </w:r>
      <w:r>
        <w:rPr>
          <w:rFonts w:hint="eastAsia" w:ascii="宋体" w:hAnsi="宋体" w:eastAsia="宋体" w:cs="宋体"/>
          <w:color w:val="000000" w:themeColor="text1"/>
          <w:sz w:val="21"/>
          <w:szCs w:val="21"/>
          <w:highlight w:val="none"/>
          <w14:textFill>
            <w14:solidFill>
              <w14:schemeClr w14:val="tx1"/>
            </w14:solidFill>
          </w14:textFill>
        </w:rPr>
        <w:t>清单。（实际管养范围以清单为准）。</w:t>
      </w:r>
    </w:p>
    <w:p w14:paraId="38885FE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3、服务期：</w:t>
      </w:r>
      <w:r>
        <w:rPr>
          <w:rFonts w:hint="eastAsia" w:ascii="宋体" w:hAnsi="宋体" w:eastAsia="宋体" w:cs="宋体"/>
          <w:color w:val="000000" w:themeColor="text1"/>
          <w:sz w:val="21"/>
          <w:szCs w:val="21"/>
          <w:highlight w:val="none"/>
          <w:lang w:val="en-US" w:eastAsia="zh-CN"/>
          <w14:textFill>
            <w14:solidFill>
              <w14:schemeClr w14:val="tx1"/>
            </w14:solidFill>
          </w14:textFill>
        </w:rPr>
        <w:t>三年，合同一年一签，经考核合格后可续签下一年度合同</w:t>
      </w:r>
      <w:r>
        <w:rPr>
          <w:rFonts w:hint="eastAsia" w:ascii="宋体" w:hAnsi="宋体" w:eastAsia="宋体" w:cs="宋体"/>
          <w:color w:val="000000" w:themeColor="text1"/>
          <w:sz w:val="21"/>
          <w:szCs w:val="21"/>
          <w:highlight w:val="none"/>
          <w14:textFill>
            <w14:solidFill>
              <w14:schemeClr w14:val="tx1"/>
            </w14:solidFill>
          </w14:textFill>
        </w:rPr>
        <w:t>。最多续签两年</w:t>
      </w:r>
      <w:r>
        <w:rPr>
          <w:rFonts w:hint="eastAsia" w:ascii="宋体" w:hAnsi="宋体" w:cs="宋体"/>
          <w:color w:val="000000" w:themeColor="text1"/>
          <w:sz w:val="21"/>
          <w:szCs w:val="21"/>
          <w:highlight w:val="none"/>
          <w:lang w:eastAsia="zh-CN"/>
          <w14:textFill>
            <w14:solidFill>
              <w14:schemeClr w14:val="tx1"/>
            </w14:solidFill>
          </w14:textFill>
        </w:rPr>
        <w:t>。</w:t>
      </w:r>
    </w:p>
    <w:p w14:paraId="5ECFEFDB">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二、承包方式</w:t>
      </w:r>
    </w:p>
    <w:p w14:paraId="53A439D8">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1、本合同执行期间合同单价不变,最终结算以实际</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审核工作量为准，如服务范围不变，合同总价也不予调整。服务范围如有调整，</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将提前30日以书面形式通知</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w:t>
      </w:r>
    </w:p>
    <w:p w14:paraId="0A00CF8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一律不得将本项目分包、转包及变相经济转承包；一经发现立即取消承包资格，作违约处理，并承担由此引起的法律责任及一切经济损失。</w:t>
      </w:r>
    </w:p>
    <w:p w14:paraId="082C24BC">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三、招标作业内容及要求</w:t>
      </w:r>
    </w:p>
    <w:p w14:paraId="4A05B62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（一）招标作业内容</w:t>
      </w:r>
    </w:p>
    <w:p w14:paraId="3F3CD1A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1、报价范围：详见附件1环卫保洁设施量明细表。</w:t>
      </w:r>
    </w:p>
    <w:p w14:paraId="7ECD8B78">
      <w:pPr>
        <w:autoSpaceDE w:val="0"/>
        <w:autoSpaceDN w:val="0"/>
        <w:adjustRightInd w:val="0"/>
        <w:spacing w:line="360" w:lineRule="auto"/>
        <w:ind w:firstLine="420" w:firstLineChars="200"/>
        <w:jc w:val="lef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zh-CN"/>
        </w:rPr>
        <w:t>2、垃圾清运：保洁过程中产生的作业垃圾由作业企业</w:t>
      </w:r>
      <w:r>
        <w:rPr>
          <w:rFonts w:hint="eastAsia" w:ascii="宋体" w:hAnsi="宋体" w:cs="宋体"/>
          <w:color w:val="auto"/>
          <w:kern w:val="0"/>
          <w:sz w:val="21"/>
          <w:szCs w:val="21"/>
          <w:highlight w:val="none"/>
          <w:lang w:val="en-US" w:eastAsia="zh-CN"/>
        </w:rPr>
        <w:t>按规定自行妥善处理</w:t>
      </w:r>
      <w:r>
        <w:rPr>
          <w:rFonts w:hint="eastAsia" w:ascii="宋体" w:hAnsi="宋体" w:eastAsia="宋体" w:cs="宋体"/>
          <w:color w:val="auto"/>
          <w:kern w:val="0"/>
          <w:sz w:val="21"/>
          <w:szCs w:val="21"/>
          <w:highlight w:val="none"/>
          <w:lang w:val="zh-CN"/>
        </w:rPr>
        <w:t>。</w:t>
      </w:r>
    </w:p>
    <w:p w14:paraId="487B22A7">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（二）质量要求</w:t>
      </w:r>
    </w:p>
    <w:p w14:paraId="55DEE771">
      <w:pPr>
        <w:autoSpaceDE w:val="0"/>
        <w:autoSpaceDN w:val="0"/>
        <w:adjustRightInd w:val="0"/>
        <w:spacing w:line="360" w:lineRule="auto"/>
        <w:ind w:firstLine="420" w:firstLineChars="200"/>
        <w:jc w:val="left"/>
        <w:rPr>
          <w:rFonts w:hint="eastAsia" w:ascii="宋体" w:hAnsi="宋体" w:eastAsia="宋体" w:cs="宋体"/>
          <w:b w:val="0"/>
          <w:bCs w:val="0"/>
          <w:color w:val="auto"/>
          <w:kern w:val="0"/>
          <w:sz w:val="21"/>
          <w:szCs w:val="21"/>
          <w:highlight w:val="none"/>
          <w:lang w:val="zh-CN" w:eastAsia="zh-CN" w:bidi="ar-SA"/>
        </w:rPr>
      </w:pPr>
      <w:r>
        <w:rPr>
          <w:rFonts w:hint="eastAsia" w:ascii="宋体" w:hAnsi="宋体" w:eastAsia="宋体" w:cs="宋体"/>
          <w:color w:val="auto"/>
          <w:kern w:val="0"/>
          <w:sz w:val="21"/>
          <w:szCs w:val="21"/>
          <w:highlight w:val="none"/>
          <w:lang w:val="en-US"/>
        </w:rPr>
        <w:t>清扫保洁标准见《南京市城市管理局环境卫生管理考核办法》、</w:t>
      </w:r>
      <w:r>
        <w:rPr>
          <w:rFonts w:hint="eastAsia" w:ascii="宋体" w:hAnsi="宋体" w:eastAsia="宋体" w:cs="宋体"/>
          <w:b w:val="0"/>
          <w:bCs w:val="0"/>
          <w:color w:val="auto"/>
          <w:kern w:val="0"/>
          <w:sz w:val="21"/>
          <w:szCs w:val="21"/>
          <w:highlight w:val="none"/>
          <w:lang w:val="en-US"/>
        </w:rPr>
        <w:t>《</w:t>
      </w:r>
      <w:r>
        <w:rPr>
          <w:rFonts w:hint="eastAsia" w:ascii="宋体" w:hAnsi="宋体" w:eastAsia="宋体" w:cs="宋体"/>
          <w:b w:val="0"/>
          <w:bCs w:val="0"/>
          <w:color w:val="auto"/>
          <w:kern w:val="0"/>
          <w:sz w:val="21"/>
          <w:szCs w:val="21"/>
          <w:highlight w:val="none"/>
          <w:lang w:val="zh-CN" w:eastAsia="zh-CN" w:bidi="ar-SA"/>
        </w:rPr>
        <w:t>南京市栖霞区城市管理</w:t>
      </w:r>
    </w:p>
    <w:p w14:paraId="3E26CC3D">
      <w:pPr>
        <w:autoSpaceDE w:val="0"/>
        <w:autoSpaceDN w:val="0"/>
        <w:adjustRightInd w:val="0"/>
        <w:spacing w:line="360" w:lineRule="auto"/>
        <w:ind w:firstLine="0" w:firstLineChars="0"/>
        <w:jc w:val="left"/>
        <w:rPr>
          <w:rFonts w:hint="eastAsia" w:ascii="宋体" w:hAnsi="宋体" w:eastAsia="宋体" w:cs="宋体"/>
          <w:color w:val="auto"/>
          <w:kern w:val="0"/>
          <w:sz w:val="21"/>
          <w:szCs w:val="21"/>
          <w:highlight w:val="none"/>
          <w:lang w:val="zh-CN"/>
        </w:rPr>
      </w:pPr>
      <w:r>
        <w:rPr>
          <w:rFonts w:hint="eastAsia" w:ascii="宋体" w:hAnsi="宋体" w:eastAsia="宋体" w:cs="宋体"/>
          <w:b w:val="0"/>
          <w:bCs w:val="0"/>
          <w:color w:val="auto"/>
          <w:kern w:val="0"/>
          <w:sz w:val="21"/>
          <w:szCs w:val="21"/>
          <w:highlight w:val="none"/>
          <w:lang w:val="zh-CN" w:eastAsia="zh-CN" w:bidi="ar-SA"/>
        </w:rPr>
        <w:t>局环境卫生质量标准</w:t>
      </w:r>
      <w:r>
        <w:rPr>
          <w:rFonts w:hint="eastAsia" w:ascii="宋体" w:hAnsi="宋体" w:eastAsia="宋体" w:cs="宋体"/>
          <w:b w:val="0"/>
          <w:bCs w:val="0"/>
          <w:color w:val="auto"/>
          <w:kern w:val="0"/>
          <w:sz w:val="21"/>
          <w:szCs w:val="21"/>
          <w:highlight w:val="none"/>
          <w:lang w:val="en-US"/>
        </w:rPr>
        <w:t>》、《</w:t>
      </w:r>
      <w:r>
        <w:rPr>
          <w:rFonts w:hint="eastAsia" w:ascii="宋体" w:hAnsi="宋体" w:eastAsia="宋体" w:cs="宋体"/>
          <w:b w:val="0"/>
          <w:bCs w:val="0"/>
          <w:i w:val="0"/>
          <w:iCs w:val="0"/>
          <w:color w:val="auto"/>
          <w:kern w:val="0"/>
          <w:sz w:val="21"/>
          <w:szCs w:val="21"/>
          <w:highlight w:val="none"/>
          <w:u w:val="none"/>
          <w:lang w:val="zh-CN" w:eastAsia="zh-CN" w:bidi="ar-SA"/>
        </w:rPr>
        <w:t>南京市栖霞区城市管理局环卫作业规范</w:t>
      </w:r>
      <w:r>
        <w:rPr>
          <w:rFonts w:hint="eastAsia" w:ascii="宋体" w:hAnsi="宋体" w:eastAsia="宋体" w:cs="宋体"/>
          <w:b w:val="0"/>
          <w:bCs w:val="0"/>
          <w:color w:val="auto"/>
          <w:kern w:val="0"/>
          <w:sz w:val="21"/>
          <w:szCs w:val="21"/>
          <w:highlight w:val="none"/>
          <w:lang w:val="en-US"/>
        </w:rPr>
        <w:t>》</w:t>
      </w:r>
      <w:r>
        <w:rPr>
          <w:rFonts w:hint="eastAsia" w:ascii="宋体" w:hAnsi="宋体" w:eastAsia="宋体" w:cs="宋体"/>
          <w:color w:val="auto"/>
          <w:kern w:val="0"/>
          <w:sz w:val="21"/>
          <w:szCs w:val="21"/>
          <w:highlight w:val="none"/>
          <w:lang w:val="en-US"/>
        </w:rPr>
        <w:t>。</w:t>
      </w:r>
    </w:p>
    <w:p w14:paraId="071F921A">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中标人</w:t>
      </w:r>
      <w:r>
        <w:rPr>
          <w:rFonts w:hint="eastAsia" w:ascii="宋体" w:hAnsi="宋体" w:eastAsia="宋体" w:cs="宋体"/>
          <w:color w:val="auto"/>
          <w:sz w:val="21"/>
          <w:szCs w:val="21"/>
          <w:highlight w:val="none"/>
        </w:rPr>
        <w:t>必须符合服务质量标准要求，若不符合其质量标准要求，由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sz w:val="21"/>
          <w:szCs w:val="21"/>
          <w:highlight w:val="none"/>
        </w:rPr>
        <w:t>无偿服务。若因</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sz w:val="21"/>
          <w:szCs w:val="21"/>
          <w:highlight w:val="none"/>
        </w:rPr>
        <w:t>原因不能按时保质完成服务，则</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有权另外安排单位服务，其相应费用将从费用中扣除。</w:t>
      </w:r>
    </w:p>
    <w:p w14:paraId="0068DD36">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（三）管理要求</w:t>
      </w:r>
    </w:p>
    <w:p w14:paraId="4CE5540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应加强对作业质量管理，做好作业质量自查日记并报监管部门，每月月底前向管理部门提交本月工作情况自查表、有关情况书面报告和下月作业安排计划。</w:t>
      </w:r>
    </w:p>
    <w:p w14:paraId="5700D39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（2）规范管理、文明作业，自觉接受</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及上级各部门领导的检查和社会监督，对发现的问题要及时整改。</w:t>
      </w:r>
    </w:p>
    <w:p w14:paraId="0DCD94DD">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（3）清扫保洁员上岗须统一着装，佩戴上岗证、穿安全反光背心等，对发现的问题要及时整改。</w:t>
      </w:r>
    </w:p>
    <w:p w14:paraId="4CCC95B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（4）作业时应严格遵守劳动纪律，遵守安全操作规范，确保安全，发生各种意外事故由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自行依照法律法规妥善处理。</w:t>
      </w:r>
    </w:p>
    <w:p w14:paraId="6683A54E">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不得向沿街单位和个人擅自收取任何费用。</w:t>
      </w:r>
    </w:p>
    <w:p w14:paraId="338FADC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（6）保持取水栓、果壳箱等设施的整洁完好，承包期间由于管理不善，造成破损的，由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负责赔偿；对不能修复的果壳箱及时上报</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w:t>
      </w:r>
    </w:p>
    <w:p w14:paraId="3EAC65DD">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（7）保洁时不能将垃圾、污水溅到行人身上，垃圾应倾倒指定地点，不焚烧垃圾、树叶，树枝落叶旺季及时清扫干净。</w:t>
      </w:r>
    </w:p>
    <w:p w14:paraId="516F4851">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（8）作业时作业工具应摆（停）放地点适当，不影响行人和交通，收工后</w:t>
      </w:r>
      <w:r>
        <w:rPr>
          <w:rFonts w:hint="eastAsia" w:ascii="宋体" w:hAnsi="宋体" w:cs="宋体"/>
          <w:color w:val="auto"/>
          <w:kern w:val="0"/>
          <w:sz w:val="21"/>
          <w:szCs w:val="21"/>
          <w:highlight w:val="none"/>
          <w:lang w:val="en-US" w:eastAsia="zh-CN"/>
        </w:rPr>
        <w:t>再</w:t>
      </w:r>
      <w:r>
        <w:rPr>
          <w:rFonts w:hint="eastAsia" w:ascii="宋体" w:hAnsi="宋体" w:eastAsia="宋体" w:cs="宋体"/>
          <w:color w:val="auto"/>
          <w:kern w:val="0"/>
          <w:sz w:val="21"/>
          <w:szCs w:val="21"/>
          <w:highlight w:val="none"/>
          <w:lang w:val="zh-CN"/>
        </w:rPr>
        <w:t>存放由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自行负责。</w:t>
      </w:r>
    </w:p>
    <w:p w14:paraId="2166A04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（9）专用作业车辆要有编号，有监督电话、有负责单位、车辆停放自行负责。</w:t>
      </w:r>
    </w:p>
    <w:p w14:paraId="6BAFD78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（10）遇到乱丢、乱扔、渣土抛洒污染路面等不文明行为及未及时按要求处置垃圾的店家、单位，应进行劝阻，并进行市容环卫法规的宣传教育，做到说话文明，以理服人，对不听劝阻造成不良影响的，应及时向</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报告。</w:t>
      </w:r>
    </w:p>
    <w:p w14:paraId="39E0DF2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（11）</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发现随意倾倒、抛洒、堆放城市生活垃圾的，由</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责令停止违法行为，限期整改，对</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处以</w:t>
      </w:r>
      <w:r>
        <w:rPr>
          <w:rFonts w:hint="eastAsia" w:ascii="宋体" w:hAnsi="宋体" w:cs="宋体"/>
          <w:color w:val="auto"/>
          <w:kern w:val="0"/>
          <w:sz w:val="21"/>
          <w:szCs w:val="21"/>
          <w:highlight w:val="none"/>
          <w:lang w:val="en-US" w:eastAsia="zh-CN"/>
        </w:rPr>
        <w:t>相应</w:t>
      </w:r>
      <w:r>
        <w:rPr>
          <w:rFonts w:hint="eastAsia" w:ascii="宋体" w:hAnsi="宋体" w:eastAsia="宋体" w:cs="宋体"/>
          <w:color w:val="auto"/>
          <w:kern w:val="0"/>
          <w:sz w:val="21"/>
          <w:szCs w:val="21"/>
          <w:highlight w:val="none"/>
          <w:lang w:val="zh-CN"/>
        </w:rPr>
        <w:t>罚款。</w:t>
      </w:r>
    </w:p>
    <w:p w14:paraId="78682F46">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（12）在</w:t>
      </w:r>
      <w:r>
        <w:rPr>
          <w:rFonts w:hint="eastAsia" w:ascii="宋体" w:hAnsi="宋体" w:cs="宋体"/>
          <w:color w:val="auto"/>
          <w:kern w:val="0"/>
          <w:sz w:val="21"/>
          <w:szCs w:val="21"/>
          <w:highlight w:val="none"/>
          <w:lang w:val="en-US" w:eastAsia="zh-CN"/>
        </w:rPr>
        <w:t>合同期间</w:t>
      </w:r>
      <w:r>
        <w:rPr>
          <w:rFonts w:hint="eastAsia" w:ascii="宋体" w:hAnsi="宋体" w:eastAsia="宋体" w:cs="宋体"/>
          <w:color w:val="auto"/>
          <w:kern w:val="0"/>
          <w:sz w:val="21"/>
          <w:szCs w:val="21"/>
          <w:highlight w:val="none"/>
          <w:lang w:val="zh-CN"/>
        </w:rPr>
        <w:t>，垃圾箱损坏及内桶被盗的相关费用由</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承担。</w:t>
      </w:r>
    </w:p>
    <w:p w14:paraId="0E6D2179">
      <w:pPr>
        <w:autoSpaceDE w:val="0"/>
        <w:autoSpaceDN w:val="0"/>
        <w:adjustRightInd w:val="0"/>
        <w:spacing w:line="360" w:lineRule="auto"/>
        <w:ind w:firstLine="420" w:firstLineChars="200"/>
        <w:jc w:val="left"/>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13</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本项目的项目负责人不得随意变更，如确需变更，应经</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书面同意，并同时向</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缴纳违约金2万元/人次。其他用工人员如需变更，需经</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许可；每年人员变动不得超过总人数的10%。</w:t>
      </w:r>
    </w:p>
    <w:p w14:paraId="645829B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（四）员工劳动保障要求</w:t>
      </w:r>
    </w:p>
    <w:p w14:paraId="7D0708C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必须执行劳动管理等方面的法律、法规、规章和其他规范性文件规定的有关员工保障的其他规定。</w:t>
      </w:r>
    </w:p>
    <w:p w14:paraId="4BC5C0D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必须</w:t>
      </w:r>
      <w:r>
        <w:rPr>
          <w:rFonts w:hint="eastAsia" w:ascii="宋体" w:hAnsi="宋体" w:cs="宋体"/>
          <w:color w:val="auto"/>
          <w:kern w:val="0"/>
          <w:sz w:val="21"/>
          <w:szCs w:val="21"/>
          <w:highlight w:val="none"/>
          <w:lang w:val="en-US" w:eastAsia="zh-CN"/>
        </w:rPr>
        <w:t>按国家规定要求</w:t>
      </w:r>
      <w:r>
        <w:rPr>
          <w:rFonts w:hint="eastAsia" w:ascii="宋体" w:hAnsi="宋体" w:eastAsia="宋体" w:cs="宋体"/>
          <w:color w:val="auto"/>
          <w:kern w:val="0"/>
          <w:sz w:val="21"/>
          <w:szCs w:val="21"/>
          <w:highlight w:val="none"/>
          <w:lang w:val="zh-CN"/>
        </w:rPr>
        <w:t>为员工缴纳五险及第三方责任险</w:t>
      </w:r>
      <w:r>
        <w:rPr>
          <w:rFonts w:hint="eastAsia" w:ascii="宋体" w:hAnsi="宋体" w:cs="宋体"/>
          <w:color w:val="auto"/>
          <w:kern w:val="0"/>
          <w:sz w:val="21"/>
          <w:szCs w:val="21"/>
          <w:highlight w:val="none"/>
          <w:lang w:val="en-US" w:eastAsia="zh-CN"/>
        </w:rPr>
        <w:t>等</w:t>
      </w:r>
      <w:r>
        <w:rPr>
          <w:rFonts w:hint="eastAsia" w:ascii="宋体" w:hAnsi="宋体" w:eastAsia="宋体" w:cs="宋体"/>
          <w:color w:val="auto"/>
          <w:kern w:val="0"/>
          <w:sz w:val="21"/>
          <w:szCs w:val="21"/>
          <w:highlight w:val="none"/>
          <w:lang w:val="zh-CN"/>
        </w:rPr>
        <w:t>，不私搭乱建房屋。</w:t>
      </w:r>
    </w:p>
    <w:p w14:paraId="411E5775">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支付给员工的月工资（不含加班工资）需不低于南京市最低工资，并作为计算员工最低工资标准的起点，以保障员工的合理报酬。员工的工资、岗位津贴、加班工资等必须确保按月发放，</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不得拖欠员工工资（含加班工资）。</w:t>
      </w:r>
    </w:p>
    <w:p w14:paraId="05210F12">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按照以人为本原则关心员工，严格遵守有关劳动法规，保障职工合法权益，加班时间不得超过法律、法规规定的加班时间上限，并应按规定及时发放加班工资和高温补贴。如因违法、违规行为造成不良影响者，其责任由作业方自负。</w:t>
      </w:r>
    </w:p>
    <w:p w14:paraId="44E3A29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与员工解除或终止劳动关系。必须依照劳动管理等</w:t>
      </w:r>
      <w:r>
        <w:rPr>
          <w:rFonts w:hint="eastAsia" w:ascii="宋体" w:hAnsi="宋体" w:cs="宋体"/>
          <w:color w:val="auto"/>
          <w:kern w:val="0"/>
          <w:sz w:val="21"/>
          <w:szCs w:val="21"/>
          <w:highlight w:val="none"/>
          <w:lang w:val="en-US" w:eastAsia="zh-CN"/>
        </w:rPr>
        <w:t>方面</w:t>
      </w:r>
      <w:r>
        <w:rPr>
          <w:rFonts w:hint="eastAsia" w:ascii="宋体" w:hAnsi="宋体" w:eastAsia="宋体" w:cs="宋体"/>
          <w:color w:val="auto"/>
          <w:kern w:val="0"/>
          <w:sz w:val="21"/>
          <w:szCs w:val="21"/>
          <w:highlight w:val="none"/>
          <w:lang w:val="zh-CN"/>
        </w:rPr>
        <w:t>法律、法规、规章和其他规范性文件的规定向员工支付经济补偿金、赔偿金及其他应当支付的款项。</w:t>
      </w:r>
    </w:p>
    <w:p w14:paraId="27C2099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6、定期对环卫工人进行交通安全培训教育，提高自我保护意识和能力。做好环卫宣传工作。维护环卫工人的权益，定期为环卫工人体检（每年至少一次）。</w:t>
      </w:r>
    </w:p>
    <w:p w14:paraId="01FC8A8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7、每年</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必须如期开展环卫日活动。</w:t>
      </w:r>
    </w:p>
    <w:p w14:paraId="350A69AD">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zh-CN"/>
        </w:rPr>
        <w:t>四、投标报价</w:t>
      </w:r>
      <w:r>
        <w:rPr>
          <w:rFonts w:hint="eastAsia" w:ascii="宋体" w:hAnsi="宋体" w:eastAsia="宋体" w:cs="宋体"/>
          <w:b/>
          <w:bCs/>
          <w:color w:val="auto"/>
          <w:kern w:val="0"/>
          <w:sz w:val="21"/>
          <w:szCs w:val="21"/>
          <w:highlight w:val="none"/>
          <w:lang w:val="en-US" w:eastAsia="zh-CN"/>
        </w:rPr>
        <w:t>要求</w:t>
      </w:r>
    </w:p>
    <w:p w14:paraId="254F09D4">
      <w:pPr>
        <w:pStyle w:val="158"/>
        <w:spacing w:line="360" w:lineRule="auto"/>
        <w:ind w:left="0" w:leftChars="0" w:firstLine="211" w:firstLineChars="100"/>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14:textFill>
            <w14:solidFill>
              <w14:schemeClr w14:val="tx1"/>
            </w14:solidFill>
          </w14:textFill>
        </w:rPr>
        <w:t>日常</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保洁</w:t>
      </w:r>
      <w:r>
        <w:rPr>
          <w:rFonts w:hint="eastAsia" w:ascii="宋体" w:hAnsi="宋体" w:eastAsia="宋体" w:cs="宋体"/>
          <w:b/>
          <w:bCs w:val="0"/>
          <w:color w:val="000000" w:themeColor="text1"/>
          <w:sz w:val="21"/>
          <w:szCs w:val="21"/>
          <w:highlight w:val="none"/>
          <w14:textFill>
            <w14:solidFill>
              <w14:schemeClr w14:val="tx1"/>
            </w14:solidFill>
          </w14:textFill>
        </w:rPr>
        <w:t>设施量</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及单项限价</w:t>
      </w:r>
      <w:r>
        <w:rPr>
          <w:rFonts w:hint="eastAsia" w:ascii="宋体" w:hAnsi="宋体" w:eastAsia="宋体" w:cs="宋体"/>
          <w:b/>
          <w:bCs w:val="0"/>
          <w:color w:val="000000" w:themeColor="text1"/>
          <w:sz w:val="21"/>
          <w:szCs w:val="21"/>
          <w:highlight w:val="none"/>
          <w14:textFill>
            <w14:solidFill>
              <w14:schemeClr w14:val="tx1"/>
            </w14:solidFill>
          </w14:textFill>
        </w:rPr>
        <w:t>（表中为单年预估量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6"/>
        <w:tblW w:w="8562" w:type="dxa"/>
        <w:tblInd w:w="91" w:type="dxa"/>
        <w:tblLayout w:type="autofit"/>
        <w:tblCellMar>
          <w:top w:w="0" w:type="dxa"/>
          <w:left w:w="108" w:type="dxa"/>
          <w:bottom w:w="0" w:type="dxa"/>
          <w:right w:w="108" w:type="dxa"/>
        </w:tblCellMar>
      </w:tblPr>
      <w:tblGrid>
        <w:gridCol w:w="812"/>
        <w:gridCol w:w="2240"/>
        <w:gridCol w:w="1771"/>
        <w:gridCol w:w="1360"/>
        <w:gridCol w:w="2379"/>
      </w:tblGrid>
      <w:tr w14:paraId="1BF53DFB">
        <w:tblPrEx>
          <w:tblCellMar>
            <w:top w:w="0" w:type="dxa"/>
            <w:left w:w="108" w:type="dxa"/>
            <w:bottom w:w="0" w:type="dxa"/>
            <w:right w:w="108" w:type="dxa"/>
          </w:tblCellMar>
        </w:tblPrEx>
        <w:trPr>
          <w:trHeight w:val="558"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26D3">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F5DF">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8244">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面积</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2DC4">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2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8977">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单项限价</w:t>
            </w:r>
          </w:p>
        </w:tc>
      </w:tr>
      <w:tr w14:paraId="07E4ABD6">
        <w:tblPrEx>
          <w:tblCellMar>
            <w:top w:w="0" w:type="dxa"/>
            <w:left w:w="108" w:type="dxa"/>
            <w:bottom w:w="0" w:type="dxa"/>
            <w:right w:w="108" w:type="dxa"/>
          </w:tblCellMar>
        </w:tblPrEx>
        <w:trPr>
          <w:trHeight w:val="51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0C97">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1</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8D5B">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三级道路</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9213">
            <w:pPr>
              <w:keepNext w:val="0"/>
              <w:keepLines w:val="0"/>
              <w:widowControl/>
              <w:suppressLineNumbers w:val="0"/>
              <w:jc w:val="center"/>
              <w:textAlignment w:val="auto"/>
              <w:rPr>
                <w:rFonts w:hint="default"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1003328.88</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1C7D0">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ED7A5">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9.22元/</w:t>
            </w:r>
            <w:r>
              <w:rPr>
                <w:rFonts w:hint="eastAsia" w:ascii="宋体" w:hAnsi="宋体" w:eastAsia="宋体" w:cs="宋体"/>
                <w:color w:val="000000" w:themeColor="text1"/>
                <w:sz w:val="21"/>
                <w:szCs w:val="21"/>
                <w:highlight w:val="none"/>
                <w:lang w:bidi="ar"/>
                <w14:textFill>
                  <w14:solidFill>
                    <w14:schemeClr w14:val="tx1"/>
                  </w14:solidFill>
                </w14:textFill>
              </w:rPr>
              <w:t>m²</w:t>
            </w:r>
            <w:r>
              <w:rPr>
                <w:rFonts w:hint="eastAsia" w:ascii="宋体" w:hAnsi="宋体" w:cs="宋体"/>
                <w:color w:val="000000" w:themeColor="text1"/>
                <w:sz w:val="21"/>
                <w:szCs w:val="21"/>
                <w:highlight w:val="none"/>
                <w:lang w:val="en-US" w:eastAsia="zh-CN" w:bidi="ar"/>
                <w14:textFill>
                  <w14:solidFill>
                    <w14:schemeClr w14:val="tx1"/>
                  </w14:solidFill>
                </w14:textFill>
              </w:rPr>
              <w:t>/年</w:t>
            </w:r>
          </w:p>
        </w:tc>
      </w:tr>
      <w:tr w14:paraId="0E570AEA">
        <w:tblPrEx>
          <w:tblCellMar>
            <w:top w:w="0" w:type="dxa"/>
            <w:left w:w="108" w:type="dxa"/>
            <w:bottom w:w="0" w:type="dxa"/>
            <w:right w:w="108" w:type="dxa"/>
          </w:tblCellMar>
        </w:tblPrEx>
        <w:trPr>
          <w:trHeight w:val="51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000B">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2</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CA397">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绿化带垃圾捡拾</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407FA">
            <w:pPr>
              <w:keepNext w:val="0"/>
              <w:keepLines w:val="0"/>
              <w:widowControl/>
              <w:suppressLineNumbers w:val="0"/>
              <w:jc w:val="center"/>
              <w:textAlignment w:val="auto"/>
              <w:rPr>
                <w:rFonts w:hint="default"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506692.79</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B3579">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527E">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0.43元/</w:t>
            </w:r>
            <w:r>
              <w:rPr>
                <w:rFonts w:hint="eastAsia" w:ascii="宋体" w:hAnsi="宋体" w:eastAsia="宋体" w:cs="宋体"/>
                <w:color w:val="000000" w:themeColor="text1"/>
                <w:sz w:val="21"/>
                <w:szCs w:val="21"/>
                <w:highlight w:val="none"/>
                <w:lang w:bidi="ar"/>
                <w14:textFill>
                  <w14:solidFill>
                    <w14:schemeClr w14:val="tx1"/>
                  </w14:solidFill>
                </w14:textFill>
              </w:rPr>
              <w:t>m²</w:t>
            </w:r>
            <w:r>
              <w:rPr>
                <w:rFonts w:hint="eastAsia" w:ascii="宋体" w:hAnsi="宋体" w:cs="宋体"/>
                <w:color w:val="000000" w:themeColor="text1"/>
                <w:sz w:val="21"/>
                <w:szCs w:val="21"/>
                <w:highlight w:val="none"/>
                <w:lang w:val="en-US" w:eastAsia="zh-CN" w:bidi="ar"/>
                <w14:textFill>
                  <w14:solidFill>
                    <w14:schemeClr w14:val="tx1"/>
                  </w14:solidFill>
                </w14:textFill>
              </w:rPr>
              <w:t>/年</w:t>
            </w:r>
          </w:p>
        </w:tc>
      </w:tr>
    </w:tbl>
    <w:p w14:paraId="4EAA3FA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lang w:val="zh-CN"/>
        </w:rPr>
        <w:t>）投标人按招标文件规定的质量要求，结合作业地段实际和企业自身实力自主报价。</w:t>
      </w:r>
    </w:p>
    <w:p w14:paraId="5F369800">
      <w:pPr>
        <w:autoSpaceDE w:val="0"/>
        <w:autoSpaceDN w:val="0"/>
        <w:adjustRightInd w:val="0"/>
        <w:spacing w:line="360" w:lineRule="auto"/>
        <w:ind w:firstLine="422" w:firstLineChars="200"/>
        <w:jc w:val="left"/>
        <w:rPr>
          <w:rFonts w:hint="eastAsia" w:ascii="宋体" w:hAnsi="宋体" w:eastAsia="宋体" w:cs="宋体"/>
          <w:color w:val="auto"/>
          <w:kern w:val="0"/>
          <w:sz w:val="21"/>
          <w:szCs w:val="21"/>
          <w:highlight w:val="none"/>
          <w:lang w:val="zh-CN"/>
        </w:rPr>
      </w:pP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rPr>
        <w:t>报价要求：以人民币为报价货币，</w:t>
      </w:r>
      <w:r>
        <w:rPr>
          <w:rFonts w:hint="eastAsia" w:ascii="宋体" w:hAnsi="宋体" w:cs="宋体"/>
          <w:b/>
          <w:bCs/>
          <w:color w:val="auto"/>
          <w:szCs w:val="21"/>
          <w:highlight w:val="none"/>
          <w:lang w:val="zh-CN"/>
        </w:rPr>
        <w:t>所有投标报价均以人民币（元）为计算单位，所有投标报价均为含税价。</w:t>
      </w:r>
      <w:r>
        <w:rPr>
          <w:rFonts w:hint="eastAsia" w:ascii="宋体" w:hAnsi="宋体" w:cs="宋体"/>
          <w:b/>
          <w:bCs/>
          <w:color w:val="auto"/>
          <w:kern w:val="0"/>
          <w:szCs w:val="21"/>
          <w:highlight w:val="none"/>
        </w:rPr>
        <w:t>具体报价内容及要求：①投标报价应当包括投标文件中列出的或隐含的为承担本项目所需的一切责任和义务所需的费用（应包含日常管养、外部协调、检查、考核、车辆、应急服务、卫生城市复审、防汛抗旱、扫雪防冻、防台风等恶劣天气、验收、</w:t>
      </w:r>
      <w:r>
        <w:rPr>
          <w:rFonts w:hint="eastAsia" w:ascii="宋体" w:hAnsi="宋体" w:cs="宋体"/>
          <w:b/>
          <w:bCs/>
          <w:color w:val="auto"/>
          <w:kern w:val="0"/>
          <w:szCs w:val="21"/>
          <w:highlight w:val="none"/>
          <w:lang w:eastAsia="zh-CN"/>
        </w:rPr>
        <w:t>采购人</w:t>
      </w:r>
      <w:r>
        <w:rPr>
          <w:rFonts w:hint="eastAsia" w:ascii="宋体" w:hAnsi="宋体" w:cs="宋体"/>
          <w:b/>
          <w:bCs/>
          <w:color w:val="auto"/>
          <w:kern w:val="0"/>
          <w:szCs w:val="21"/>
          <w:highlight w:val="none"/>
        </w:rPr>
        <w:t>下达的指令性任务等的所有含税费用，以及支付给员工的工资和国家强制缴纳的各种社会保障资金、保险费用（第三者责任险、公众责任险等）、相关福利待遇、加班费、体检费、服务所用设施设备折旧费、服务所用工具购置及维护费用、服务所用材料消耗费用、燃油费、管理费、利润、税费以及政策性费用调整），以及投标人认为需要的其他费用等。除合同另有规定外，应视为投标人不再有报价以外的任何附加费用。未列和没有填写的项目费用，应视为已包括在相关项目的报价中。②投标人报价应充分考虑施工场地障碍条件和现场各种不利条件发生的可能性所带来的风险，应仔细阅读和理解招标文件中有关招标养护范围、设施维修养护内容、技术标准、施工要求、质量目标、安全文明目标、合同义务和费用条款，并充分考察项目现场情况和条件（包括地下情况、交通条件、水电条件、场地条件等），结合企业自身条件进行报价。必须考虑自然的和人为的破坏、被盗等原因和风险，综合考虑目前现状（由投标人自行到现场勘察）所有达到养护标准的费用。③投标人的任何错漏、优惠、竞争性报价不得作为减轻责任、减少服务、增加收费、降低质量的理由。</w:t>
      </w:r>
    </w:p>
    <w:p w14:paraId="76E3A5F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在合同执行中，除上述费用及招标文件规定的由</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负责的工作范围以外，需要</w:t>
      </w:r>
      <w:r>
        <w:rPr>
          <w:rFonts w:hint="eastAsia" w:ascii="宋体" w:hAnsi="宋体" w:cs="宋体"/>
          <w:color w:val="auto"/>
          <w:kern w:val="0"/>
          <w:sz w:val="21"/>
          <w:szCs w:val="21"/>
          <w:highlight w:val="none"/>
          <w:lang w:val="zh-CN"/>
        </w:rPr>
        <w:t>采购人</w:t>
      </w:r>
      <w:r>
        <w:rPr>
          <w:rFonts w:hint="eastAsia" w:ascii="宋体" w:hAnsi="宋体" w:eastAsia="宋体" w:cs="宋体"/>
          <w:color w:val="auto"/>
          <w:kern w:val="0"/>
          <w:sz w:val="21"/>
          <w:szCs w:val="21"/>
          <w:highlight w:val="none"/>
          <w:lang w:val="zh-CN"/>
        </w:rPr>
        <w:t>协调或提供便利的工作应当在投标文件当中加以说明。</w:t>
      </w:r>
    </w:p>
    <w:p w14:paraId="4BCD435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zh-CN"/>
        </w:rPr>
        <w:t>）重大活动时</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服从主管部门调配，因保障重大活动而产生的保洁费用，</w:t>
      </w:r>
      <w:r>
        <w:rPr>
          <w:rFonts w:hint="eastAsia" w:ascii="宋体" w:hAnsi="宋体" w:cs="宋体"/>
          <w:color w:val="auto"/>
          <w:kern w:val="0"/>
          <w:sz w:val="21"/>
          <w:szCs w:val="21"/>
          <w:highlight w:val="none"/>
          <w:lang w:val="en-US" w:eastAsia="zh-CN"/>
        </w:rPr>
        <w:t>由中标人支付</w:t>
      </w:r>
      <w:r>
        <w:rPr>
          <w:rFonts w:hint="eastAsia" w:ascii="宋体" w:hAnsi="宋体" w:eastAsia="宋体" w:cs="宋体"/>
          <w:color w:val="auto"/>
          <w:kern w:val="0"/>
          <w:sz w:val="21"/>
          <w:szCs w:val="21"/>
          <w:highlight w:val="none"/>
          <w:lang w:val="zh-CN"/>
        </w:rPr>
        <w:t>。</w:t>
      </w:r>
    </w:p>
    <w:p w14:paraId="179C066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在合同执行中，经</w:t>
      </w:r>
      <w:r>
        <w:rPr>
          <w:rFonts w:hint="eastAsia" w:ascii="宋体" w:hAnsi="宋体" w:cs="宋体"/>
          <w:color w:val="auto"/>
          <w:kern w:val="0"/>
          <w:sz w:val="21"/>
          <w:szCs w:val="21"/>
          <w:highlight w:val="none"/>
          <w:lang w:val="zh-CN"/>
        </w:rPr>
        <w:t>采购人</w:t>
      </w:r>
      <w:r>
        <w:rPr>
          <w:rFonts w:hint="eastAsia" w:ascii="宋体" w:hAnsi="宋体" w:eastAsia="宋体" w:cs="宋体"/>
          <w:color w:val="auto"/>
          <w:kern w:val="0"/>
          <w:sz w:val="21"/>
          <w:szCs w:val="21"/>
          <w:highlight w:val="none"/>
          <w:lang w:val="zh-CN"/>
        </w:rPr>
        <w:t>发现</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承诺文件有虚假承诺行为的，一经查实，</w:t>
      </w:r>
      <w:r>
        <w:rPr>
          <w:rFonts w:hint="eastAsia" w:ascii="宋体" w:hAnsi="宋体" w:cs="宋体"/>
          <w:color w:val="auto"/>
          <w:kern w:val="0"/>
          <w:sz w:val="21"/>
          <w:szCs w:val="21"/>
          <w:highlight w:val="none"/>
          <w:lang w:val="zh-CN"/>
        </w:rPr>
        <w:t>采购人</w:t>
      </w:r>
      <w:r>
        <w:rPr>
          <w:rFonts w:hint="eastAsia" w:ascii="宋体" w:hAnsi="宋体" w:eastAsia="宋体" w:cs="宋体"/>
          <w:color w:val="auto"/>
          <w:kern w:val="0"/>
          <w:sz w:val="21"/>
          <w:szCs w:val="21"/>
          <w:highlight w:val="none"/>
          <w:lang w:val="zh-CN"/>
        </w:rPr>
        <w:t>有权立即终止合同，经费结算至合同终止前一个月。</w:t>
      </w:r>
    </w:p>
    <w:p w14:paraId="4B21CAEB">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五、其他</w:t>
      </w:r>
    </w:p>
    <w:p w14:paraId="187143A5">
      <w:pPr>
        <w:autoSpaceDE/>
        <w:autoSpaceDN/>
        <w:adjustRightInd/>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签订合同后，按规定</w:t>
      </w:r>
      <w:r>
        <w:rPr>
          <w:rFonts w:hint="eastAsia" w:ascii="宋体" w:hAnsi="宋体" w:cs="宋体"/>
          <w:color w:val="auto"/>
          <w:kern w:val="0"/>
          <w:sz w:val="21"/>
          <w:szCs w:val="21"/>
          <w:highlight w:val="none"/>
          <w:lang w:val="en-US" w:eastAsia="zh-CN"/>
        </w:rPr>
        <w:t>办理南京市</w:t>
      </w:r>
      <w:r>
        <w:rPr>
          <w:rFonts w:hint="eastAsia" w:ascii="宋体" w:hAnsi="宋体" w:eastAsia="宋体" w:cs="宋体"/>
          <w:color w:val="auto"/>
          <w:kern w:val="0"/>
          <w:sz w:val="21"/>
          <w:szCs w:val="21"/>
          <w:highlight w:val="none"/>
          <w:lang w:val="zh-CN"/>
        </w:rPr>
        <w:t>“从事城市生活垃圾经营性清扫、收集、运输服务许可证”。</w:t>
      </w:r>
    </w:p>
    <w:p w14:paraId="4F5F6CCF">
      <w:pPr>
        <w:autoSpaceDE w:val="0"/>
        <w:autoSpaceDN w:val="0"/>
        <w:adjustRightInd w:val="0"/>
        <w:spacing w:line="360" w:lineRule="auto"/>
        <w:ind w:firstLine="422" w:firstLineChars="200"/>
        <w:jc w:val="left"/>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六</w:t>
      </w:r>
      <w:r>
        <w:rPr>
          <w:rFonts w:hint="eastAsia" w:ascii="宋体" w:hAnsi="宋体" w:eastAsia="宋体" w:cs="宋体"/>
          <w:b/>
          <w:bCs/>
          <w:color w:val="auto"/>
          <w:kern w:val="0"/>
          <w:sz w:val="21"/>
          <w:szCs w:val="21"/>
          <w:highlight w:val="none"/>
          <w:lang w:val="en-US" w:eastAsia="zh-CN"/>
        </w:rPr>
        <w:t>、</w:t>
      </w:r>
      <w:r>
        <w:rPr>
          <w:rFonts w:hint="eastAsia" w:ascii="宋体" w:hAnsi="宋体" w:cs="宋体"/>
          <w:b/>
          <w:bCs/>
          <w:color w:val="auto"/>
          <w:kern w:val="0"/>
          <w:sz w:val="21"/>
          <w:szCs w:val="21"/>
          <w:highlight w:val="none"/>
          <w:lang w:val="en-US" w:eastAsia="zh-CN"/>
        </w:rPr>
        <w:t>清退</w:t>
      </w:r>
      <w:r>
        <w:rPr>
          <w:rFonts w:hint="eastAsia" w:ascii="宋体" w:hAnsi="宋体" w:eastAsia="宋体" w:cs="宋体"/>
          <w:b/>
          <w:bCs/>
          <w:color w:val="auto"/>
          <w:kern w:val="0"/>
          <w:sz w:val="21"/>
          <w:szCs w:val="21"/>
          <w:highlight w:val="none"/>
          <w:lang w:val="en-US" w:eastAsia="zh-CN"/>
        </w:rPr>
        <w:t>机制</w:t>
      </w:r>
    </w:p>
    <w:p w14:paraId="489A7EA1">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合同期内，如年度累计两个月考核不合格，由采购人进行约谈。连续两个月或年度累计三个月考核不合格，于次月终止该片区的合同，不再续签后续合同。合同进行转包、分包的，采购人有权单方终止承包方的合同，本年度剩余的环卫保洁经费不予结算，取消其下一轮续签合同资格且不得参与我局下一轮的环卫保洁投标工作。</w:t>
      </w:r>
    </w:p>
    <w:p w14:paraId="7E607994">
      <w:pPr>
        <w:autoSpaceDE w:val="0"/>
        <w:autoSpaceDN w:val="0"/>
        <w:adjustRightInd w:val="0"/>
        <w:spacing w:line="360" w:lineRule="auto"/>
        <w:ind w:firstLine="422" w:firstLineChars="200"/>
        <w:jc w:val="left"/>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七</w:t>
      </w:r>
      <w:r>
        <w:rPr>
          <w:rFonts w:hint="eastAsia" w:ascii="宋体" w:hAnsi="宋体" w:eastAsia="宋体" w:cs="宋体"/>
          <w:b/>
          <w:bCs/>
          <w:color w:val="auto"/>
          <w:kern w:val="0"/>
          <w:sz w:val="21"/>
          <w:szCs w:val="21"/>
          <w:highlight w:val="none"/>
          <w:lang w:val="en-US" w:eastAsia="zh-CN"/>
        </w:rPr>
        <w:t>、付款方式及考核</w:t>
      </w:r>
      <w:r>
        <w:rPr>
          <w:rFonts w:hint="eastAsia" w:ascii="宋体" w:hAnsi="宋体" w:cs="宋体"/>
          <w:b/>
          <w:bCs/>
          <w:color w:val="auto"/>
          <w:kern w:val="0"/>
          <w:sz w:val="21"/>
          <w:szCs w:val="21"/>
          <w:highlight w:val="none"/>
          <w:lang w:val="en-US" w:eastAsia="zh-CN"/>
        </w:rPr>
        <w:t>要求</w:t>
      </w:r>
    </w:p>
    <w:p w14:paraId="6EEA64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合同签订且工作实施6个月后，达到考核标准，支付当年度合同总额的50%（须扣除当期考核费用），当年度服务期满后，完成全年考核任务，支付当年度剩余50%（须扣除当期考核费用）费用。付款时扣除当期考核罚款。每次付款前，</w:t>
      </w:r>
      <w:r>
        <w:rPr>
          <w:rFonts w:hint="eastAsia" w:ascii="宋体" w:hAnsi="宋体" w:cs="宋体"/>
          <w:sz w:val="21"/>
          <w:szCs w:val="21"/>
          <w:highlight w:val="none"/>
          <w:lang w:val="en-US" w:eastAsia="zh-CN"/>
        </w:rPr>
        <w:t>中标人</w:t>
      </w:r>
      <w:r>
        <w:rPr>
          <w:rFonts w:hint="eastAsia" w:ascii="宋体" w:hAnsi="宋体" w:eastAsia="宋体" w:cs="宋体"/>
          <w:sz w:val="21"/>
          <w:szCs w:val="21"/>
          <w:highlight w:val="none"/>
        </w:rPr>
        <w:t>应当提交付款申请以及同等金额的增值税</w:t>
      </w:r>
      <w:r>
        <w:rPr>
          <w:rFonts w:hint="eastAsia" w:ascii="宋体" w:hAnsi="宋体" w:cs="宋体"/>
          <w:sz w:val="21"/>
          <w:szCs w:val="21"/>
          <w:highlight w:val="none"/>
          <w:lang w:val="en-US" w:eastAsia="zh-CN"/>
        </w:rPr>
        <w:t>专用</w:t>
      </w:r>
      <w:r>
        <w:rPr>
          <w:rFonts w:hint="eastAsia" w:ascii="宋体" w:hAnsi="宋体" w:eastAsia="宋体" w:cs="宋体"/>
          <w:sz w:val="21"/>
          <w:szCs w:val="21"/>
          <w:highlight w:val="none"/>
        </w:rPr>
        <w:t>发票，</w:t>
      </w:r>
      <w:r>
        <w:rPr>
          <w:rFonts w:hint="eastAsia" w:ascii="宋体" w:hAnsi="宋体" w:cs="宋体"/>
          <w:color w:val="auto"/>
          <w:kern w:val="0"/>
          <w:sz w:val="21"/>
          <w:szCs w:val="21"/>
          <w:highlight w:val="none"/>
          <w:lang w:val="en-US" w:eastAsia="zh-CN"/>
        </w:rPr>
        <w:t>采购人</w:t>
      </w:r>
      <w:r>
        <w:rPr>
          <w:rFonts w:hint="eastAsia" w:ascii="宋体" w:hAnsi="宋体" w:eastAsia="宋体" w:cs="宋体"/>
          <w:sz w:val="21"/>
          <w:szCs w:val="21"/>
          <w:highlight w:val="none"/>
        </w:rPr>
        <w:t>复核无误后将在30日内支付。</w:t>
      </w:r>
    </w:p>
    <w:p w14:paraId="4A28D97A">
      <w:pPr>
        <w:pStyle w:val="56"/>
        <w:spacing w:line="360" w:lineRule="auto"/>
        <w:rPr>
          <w:rFonts w:hint="eastAsia" w:ascii="宋体" w:hAnsi="宋体" w:eastAsia="宋体"/>
          <w:b/>
          <w:bCs/>
          <w:szCs w:val="21"/>
          <w:highlight w:val="none"/>
          <w:lang w:eastAsia="zh-CN"/>
        </w:rPr>
      </w:pPr>
      <w:r>
        <w:rPr>
          <w:rFonts w:hint="eastAsia" w:ascii="宋体" w:hAnsi="宋体"/>
          <w:b/>
          <w:bCs/>
          <w:szCs w:val="21"/>
          <w:highlight w:val="none"/>
          <w:lang w:val="en-US" w:eastAsia="zh-CN"/>
        </w:rPr>
        <w:t>2、</w:t>
      </w:r>
      <w:r>
        <w:rPr>
          <w:rFonts w:hint="eastAsia" w:ascii="宋体" w:hAnsi="宋体"/>
          <w:b/>
          <w:bCs/>
          <w:szCs w:val="21"/>
          <w:highlight w:val="none"/>
        </w:rPr>
        <w:t>考核办法</w:t>
      </w:r>
      <w:r>
        <w:rPr>
          <w:rFonts w:hint="eastAsia" w:ascii="宋体" w:hAnsi="宋体"/>
          <w:b/>
          <w:bCs/>
          <w:szCs w:val="21"/>
          <w:highlight w:val="none"/>
          <w:lang w:eastAsia="zh-CN"/>
        </w:rPr>
        <w:t>：</w:t>
      </w:r>
    </w:p>
    <w:p w14:paraId="03FBFF73">
      <w:pPr>
        <w:pStyle w:val="56"/>
        <w:spacing w:line="360" w:lineRule="auto"/>
        <w:rPr>
          <w:rFonts w:hint="eastAsia" w:ascii="宋体" w:hAnsi="宋体"/>
          <w:szCs w:val="21"/>
          <w:highlight w:val="none"/>
        </w:rPr>
      </w:pPr>
      <w:r>
        <w:rPr>
          <w:rFonts w:hint="eastAsia" w:ascii="宋体" w:hAnsi="宋体"/>
          <w:szCs w:val="21"/>
          <w:highlight w:val="none"/>
        </w:rPr>
        <w:t>由</w:t>
      </w:r>
      <w:r>
        <w:rPr>
          <w:rFonts w:hint="eastAsia" w:ascii="宋体" w:hAnsi="宋体" w:cs="宋体"/>
          <w:color w:val="auto"/>
          <w:kern w:val="0"/>
          <w:sz w:val="21"/>
          <w:szCs w:val="21"/>
          <w:highlight w:val="none"/>
          <w:lang w:val="en-US" w:eastAsia="zh-CN"/>
        </w:rPr>
        <w:t>采购人</w:t>
      </w:r>
      <w:r>
        <w:rPr>
          <w:rFonts w:hint="eastAsia" w:ascii="宋体" w:hAnsi="宋体"/>
          <w:szCs w:val="21"/>
          <w:highlight w:val="none"/>
        </w:rPr>
        <w:t>、行业主管部门或受委托的有关单位采取</w:t>
      </w:r>
      <w:r>
        <w:rPr>
          <w:rFonts w:hint="eastAsia" w:ascii="宋体" w:hAnsi="宋体"/>
          <w:szCs w:val="21"/>
          <w:highlight w:val="none"/>
          <w:lang w:val="en-US" w:eastAsia="zh-CN"/>
        </w:rPr>
        <w:t>日常检查、</w:t>
      </w:r>
      <w:r>
        <w:rPr>
          <w:rFonts w:hint="eastAsia" w:ascii="宋体" w:hAnsi="宋体"/>
          <w:szCs w:val="21"/>
          <w:highlight w:val="none"/>
        </w:rPr>
        <w:t>随机检查</w:t>
      </w:r>
      <w:r>
        <w:rPr>
          <w:rFonts w:hint="eastAsia" w:ascii="宋体" w:hAnsi="宋体"/>
          <w:szCs w:val="21"/>
          <w:highlight w:val="none"/>
          <w:lang w:val="en-US" w:eastAsia="zh-CN"/>
        </w:rPr>
        <w:t>和</w:t>
      </w:r>
      <w:r>
        <w:rPr>
          <w:rFonts w:hint="eastAsia" w:ascii="宋体" w:hAnsi="宋体"/>
          <w:szCs w:val="21"/>
          <w:highlight w:val="none"/>
        </w:rPr>
        <w:t>专项检查的方法。其中保洁类专项检查为现场暗查考核，每周不少于</w:t>
      </w:r>
      <w:r>
        <w:rPr>
          <w:rFonts w:hint="eastAsia" w:ascii="宋体" w:hAnsi="宋体"/>
          <w:szCs w:val="21"/>
          <w:highlight w:val="none"/>
          <w:lang w:val="en-US" w:eastAsia="zh-CN"/>
        </w:rPr>
        <w:t>1</w:t>
      </w:r>
      <w:r>
        <w:rPr>
          <w:rFonts w:hint="eastAsia" w:ascii="宋体" w:hAnsi="宋体"/>
          <w:szCs w:val="21"/>
          <w:highlight w:val="none"/>
        </w:rPr>
        <w:t>次，不通知被查单位，随机抽签确定；作业车辆专项检查每月一次。随机检查不限定区域、时间，所有设施、任何时间均可以检查。群众举报、媒体曝光、环保扬尘污染督查及各级领导指出问题，纳入随机考核范畴，限期整改。</w:t>
      </w:r>
    </w:p>
    <w:p w14:paraId="68B01B69">
      <w:pPr>
        <w:pStyle w:val="56"/>
        <w:spacing w:line="360" w:lineRule="auto"/>
        <w:ind w:firstLine="422"/>
        <w:rPr>
          <w:rFonts w:hint="eastAsia" w:ascii="宋体" w:hAnsi="宋体"/>
          <w:b/>
          <w:bCs/>
          <w:szCs w:val="21"/>
          <w:highlight w:val="none"/>
        </w:rPr>
      </w:pPr>
      <w:r>
        <w:rPr>
          <w:rFonts w:hint="eastAsia" w:ascii="宋体" w:hAnsi="宋体"/>
          <w:b/>
          <w:bCs/>
          <w:szCs w:val="21"/>
          <w:highlight w:val="none"/>
        </w:rPr>
        <w:t>考核计分与奖惩</w:t>
      </w:r>
    </w:p>
    <w:p w14:paraId="1F910151">
      <w:pPr>
        <w:pStyle w:val="56"/>
        <w:spacing w:line="360" w:lineRule="auto"/>
        <w:rPr>
          <w:rFonts w:hint="eastAsia" w:ascii="宋体" w:hAnsi="宋体"/>
          <w:szCs w:val="21"/>
          <w:highlight w:val="none"/>
        </w:rPr>
      </w:pPr>
      <w:r>
        <w:rPr>
          <w:rFonts w:hint="eastAsia" w:ascii="宋体" w:hAnsi="宋体"/>
          <w:szCs w:val="21"/>
          <w:highlight w:val="none"/>
        </w:rPr>
        <w:t>（1）考核检查项目实行累计扣分制，凡是检查考核不符合环卫作业管理和质量标准或是发现问题处理不及时，按照市、区当年《环境卫生管理考核办法》和《评分细则》扣分标准扣除相应分数。</w:t>
      </w:r>
    </w:p>
    <w:p w14:paraId="26D10BBC">
      <w:pPr>
        <w:pStyle w:val="56"/>
        <w:spacing w:line="360" w:lineRule="auto"/>
        <w:rPr>
          <w:rFonts w:hint="eastAsia" w:ascii="宋体" w:hAnsi="宋体"/>
          <w:szCs w:val="21"/>
          <w:highlight w:val="none"/>
        </w:rPr>
      </w:pPr>
      <w:r>
        <w:rPr>
          <w:rFonts w:hint="eastAsia" w:ascii="宋体" w:hAnsi="宋体"/>
          <w:szCs w:val="21"/>
          <w:highlight w:val="none"/>
        </w:rPr>
        <w:t>（2）考核结果与环卫保洁服务费挂钩。</w:t>
      </w:r>
    </w:p>
    <w:p w14:paraId="5A2A6B13">
      <w:pPr>
        <w:pStyle w:val="56"/>
        <w:spacing w:line="360" w:lineRule="auto"/>
        <w:rPr>
          <w:rFonts w:hint="eastAsia" w:ascii="宋体" w:hAnsi="宋体"/>
          <w:szCs w:val="21"/>
          <w:highlight w:val="none"/>
        </w:rPr>
      </w:pPr>
      <w:r>
        <w:rPr>
          <w:rFonts w:hint="eastAsia" w:ascii="宋体" w:hAnsi="宋体"/>
          <w:szCs w:val="21"/>
          <w:highlight w:val="none"/>
        </w:rPr>
        <w:t>计算方法</w:t>
      </w:r>
    </w:p>
    <w:p w14:paraId="4DC195AF">
      <w:pPr>
        <w:pStyle w:val="56"/>
        <w:spacing w:line="360" w:lineRule="auto"/>
        <w:rPr>
          <w:rFonts w:hint="eastAsia" w:ascii="宋体" w:hAnsi="宋体"/>
          <w:szCs w:val="21"/>
          <w:highlight w:val="none"/>
        </w:rPr>
      </w:pPr>
      <w:r>
        <w:rPr>
          <w:rFonts w:hint="eastAsia" w:ascii="宋体" w:hAnsi="宋体"/>
          <w:szCs w:val="21"/>
          <w:highlight w:val="none"/>
        </w:rPr>
        <w:t>1）市、区两级主要领导、市主管部门、城市长效管理考评及媒体曝光、市民举报投诉按考评分值加倍扣分。</w:t>
      </w:r>
    </w:p>
    <w:p w14:paraId="5AA30F63">
      <w:pPr>
        <w:pStyle w:val="56"/>
        <w:spacing w:line="360" w:lineRule="auto"/>
        <w:rPr>
          <w:rFonts w:hint="default" w:ascii="宋体" w:hAnsi="宋体"/>
          <w:szCs w:val="21"/>
          <w:highlight w:val="none"/>
          <w:lang w:val="en-US"/>
        </w:rPr>
      </w:pPr>
      <w:r>
        <w:rPr>
          <w:rFonts w:hint="eastAsia" w:ascii="宋体" w:hAnsi="宋体"/>
          <w:szCs w:val="21"/>
          <w:highlight w:val="none"/>
        </w:rPr>
        <w:t>2）绩效考核以月为单位，实行每月累计扣分制度，设定每月市、区两级绩效考核满分为100分。考核中发现的问题，按照市、区当年《环境卫生管理考核办法》和《评分细则》扣分标准在100分内扣除相应分数</w:t>
      </w:r>
      <w:r>
        <w:rPr>
          <w:rFonts w:hint="eastAsia" w:ascii="宋体" w:hAnsi="宋体"/>
          <w:szCs w:val="21"/>
          <w:highlight w:val="none"/>
          <w:lang w:eastAsia="zh-CN"/>
        </w:rPr>
        <w:t>，80分（含80分）以上为合格，80分（不含80分）以下为不合格。</w:t>
      </w:r>
      <w:r>
        <w:rPr>
          <w:rFonts w:hint="eastAsia" w:ascii="宋体" w:hAnsi="宋体"/>
          <w:szCs w:val="21"/>
          <w:highlight w:val="none"/>
          <w:lang w:val="en-US" w:eastAsia="zh-CN"/>
        </w:rPr>
        <w:t>具体考核细则待合同签</w:t>
      </w:r>
      <w:r>
        <w:rPr>
          <w:rFonts w:hint="eastAsia" w:ascii="宋体" w:hAnsi="宋体"/>
          <w:color w:val="auto"/>
          <w:szCs w:val="21"/>
          <w:highlight w:val="none"/>
          <w:lang w:val="en-US" w:eastAsia="zh-CN"/>
        </w:rPr>
        <w:t>订时明确。</w:t>
      </w:r>
    </w:p>
    <w:p w14:paraId="27FB7302">
      <w:pPr>
        <w:pStyle w:val="56"/>
        <w:spacing w:line="360" w:lineRule="auto"/>
        <w:ind w:firstLine="422"/>
        <w:rPr>
          <w:rFonts w:hint="eastAsia" w:ascii="宋体" w:hAnsi="宋体" w:eastAsia="宋体"/>
          <w:b/>
          <w:bCs/>
          <w:szCs w:val="21"/>
          <w:highlight w:val="none"/>
          <w:lang w:eastAsia="zh-CN"/>
        </w:rPr>
      </w:pPr>
      <w:r>
        <w:rPr>
          <w:rFonts w:hint="eastAsia" w:ascii="宋体" w:hAnsi="宋体"/>
          <w:b/>
          <w:bCs/>
          <w:szCs w:val="21"/>
          <w:highlight w:val="none"/>
          <w:lang w:val="en-US" w:eastAsia="zh-CN"/>
        </w:rPr>
        <w:t>3、</w:t>
      </w:r>
      <w:r>
        <w:rPr>
          <w:rFonts w:hint="eastAsia" w:ascii="宋体" w:hAnsi="宋体"/>
          <w:b/>
          <w:bCs/>
          <w:szCs w:val="21"/>
          <w:highlight w:val="none"/>
        </w:rPr>
        <w:t>考核体系</w:t>
      </w:r>
      <w:r>
        <w:rPr>
          <w:rFonts w:hint="eastAsia" w:ascii="宋体" w:hAnsi="宋体"/>
          <w:b/>
          <w:bCs/>
          <w:szCs w:val="21"/>
          <w:highlight w:val="none"/>
          <w:lang w:eastAsia="zh-CN"/>
        </w:rPr>
        <w:t>：</w:t>
      </w:r>
    </w:p>
    <w:p w14:paraId="4DF10981">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szCs w:val="21"/>
          <w:highlight w:val="none"/>
        </w:rPr>
        <w:t>本项目绩效考核体系表参照市、区两级考核办法。如在合同期内所参照的考核办法进行了修订，则按照南京市、</w:t>
      </w:r>
      <w:r>
        <w:rPr>
          <w:rFonts w:hint="eastAsia" w:ascii="宋体" w:hAnsi="宋体"/>
          <w:szCs w:val="21"/>
          <w:highlight w:val="none"/>
          <w:lang w:val="en-US" w:eastAsia="zh-CN"/>
        </w:rPr>
        <w:t>栖霞区</w:t>
      </w:r>
      <w:r>
        <w:rPr>
          <w:rFonts w:hint="eastAsia" w:ascii="宋体" w:hAnsi="宋体"/>
          <w:szCs w:val="21"/>
          <w:highlight w:val="none"/>
        </w:rPr>
        <w:t>城管局发布的最新的环境卫生管理考核办法执行。</w:t>
      </w:r>
    </w:p>
    <w:p w14:paraId="2065D904">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八</w:t>
      </w:r>
      <w:r>
        <w:rPr>
          <w:rFonts w:hint="eastAsia" w:ascii="宋体" w:hAnsi="宋体" w:eastAsia="宋体" w:cs="宋体"/>
          <w:b/>
          <w:bCs/>
          <w:color w:val="auto"/>
          <w:kern w:val="0"/>
          <w:sz w:val="21"/>
          <w:szCs w:val="21"/>
          <w:highlight w:val="none"/>
          <w:lang w:val="en-US" w:eastAsia="zh-CN"/>
        </w:rPr>
        <w:t>、附件</w:t>
      </w:r>
    </w:p>
    <w:p w14:paraId="6D934768">
      <w:pPr>
        <w:pStyle w:val="2"/>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附件1、环卫保洁设施量明细表</w:t>
      </w:r>
    </w:p>
    <w:p w14:paraId="3B7B447A">
      <w:pPr>
        <w:pStyle w:val="2"/>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附件2、南京市栖霞区城市管理局环境卫生质量标准</w:t>
      </w:r>
    </w:p>
    <w:p w14:paraId="320385C1">
      <w:pPr>
        <w:pStyle w:val="2"/>
        <w:ind w:firstLine="420" w:firstLineChars="200"/>
        <w:jc w:val="left"/>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附件3、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5EA7CCD4">
      <w:pPr>
        <w:pStyle w:val="2"/>
        <w:rPr>
          <w:rFonts w:hint="default" w:eastAsia="宋体"/>
          <w:highlight w:val="none"/>
          <w:lang w:val="en-US" w:eastAsia="zh-CN"/>
        </w:rPr>
      </w:pPr>
    </w:p>
    <w:p w14:paraId="7380001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br w:type="page"/>
      </w:r>
    </w:p>
    <w:p w14:paraId="400B0934">
      <w:pPr>
        <w:pStyle w:val="158"/>
        <w:ind w:left="0" w:leftChars="0" w:firstLine="0" w:firstLineChars="0"/>
        <w:rPr>
          <w:rFonts w:hint="eastAsia"/>
          <w:highlight w:val="none"/>
          <w:lang w:val="en-US" w:eastAsia="zh-CN"/>
        </w:rPr>
        <w:sectPr>
          <w:footerReference r:id="rId7" w:type="first"/>
          <w:headerReference r:id="rId5" w:type="default"/>
          <w:footerReference r:id="rId6" w:type="default"/>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205D990A">
      <w:pPr>
        <w:pStyle w:val="158"/>
        <w:ind w:left="0" w:leftChars="0" w:firstLine="0" w:firstLineChars="0"/>
        <w:rPr>
          <w:rFonts w:hint="eastAsia"/>
          <w:sz w:val="21"/>
          <w:szCs w:val="21"/>
          <w:highlight w:val="none"/>
          <w:lang w:val="en-US" w:eastAsia="zh-CN"/>
        </w:rPr>
      </w:pPr>
      <w:r>
        <w:rPr>
          <w:rFonts w:hint="eastAsia"/>
          <w:sz w:val="21"/>
          <w:szCs w:val="21"/>
          <w:highlight w:val="none"/>
          <w:lang w:val="en-US" w:eastAsia="zh-CN"/>
        </w:rPr>
        <w:t>附件1</w:t>
      </w:r>
    </w:p>
    <w:p w14:paraId="03A45B98">
      <w:pPr>
        <w:pStyle w:val="158"/>
        <w:ind w:left="0" w:leftChars="0" w:firstLine="0" w:firstLineChars="0"/>
        <w:rPr>
          <w:rFonts w:hint="eastAsia"/>
          <w:sz w:val="21"/>
          <w:szCs w:val="21"/>
          <w:highlight w:val="none"/>
          <w:lang w:val="en-US" w:eastAsia="zh-CN"/>
        </w:rPr>
      </w:pPr>
    </w:p>
    <w:tbl>
      <w:tblPr>
        <w:tblStyle w:val="46"/>
        <w:tblW w:w="46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2"/>
        <w:gridCol w:w="2415"/>
        <w:gridCol w:w="1214"/>
        <w:gridCol w:w="1214"/>
        <w:gridCol w:w="1214"/>
        <w:gridCol w:w="1086"/>
        <w:gridCol w:w="1325"/>
        <w:gridCol w:w="1176"/>
        <w:gridCol w:w="2241"/>
        <w:gridCol w:w="835"/>
      </w:tblGrid>
      <w:tr w14:paraId="0F4A2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85" w:type="pct"/>
          <w:trHeight w:val="740" w:hRule="atLeast"/>
        </w:trPr>
        <w:tc>
          <w:tcPr>
            <w:tcW w:w="4714" w:type="pct"/>
            <w:gridSpan w:val="9"/>
            <w:tcBorders>
              <w:top w:val="nil"/>
              <w:left w:val="single" w:color="000000" w:sz="4" w:space="0"/>
              <w:bottom w:val="nil"/>
              <w:right w:val="nil"/>
            </w:tcBorders>
            <w:shd w:val="clear" w:color="auto" w:fill="auto"/>
            <w:vAlign w:val="center"/>
          </w:tcPr>
          <w:p w14:paraId="561114E2">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环卫保洁设施量明细表</w:t>
            </w:r>
          </w:p>
        </w:tc>
      </w:tr>
      <w:tr w14:paraId="0855B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18" w:type="pct"/>
          <w:trHeight w:val="74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5A84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7143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道路名称</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938D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人行道面积（㎡）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00B6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非机动车道面积（㎡）</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1807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机动车道面积（㎡）</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1D54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门坡（㎡）</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6E82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面积合计（㎡）</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52E6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道路等级</w:t>
            </w: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14759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所属片区</w:t>
            </w:r>
          </w:p>
        </w:tc>
      </w:tr>
      <w:tr w14:paraId="61EFC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3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CDA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0DA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毕升路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D04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F0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4795.85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EE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32300.00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817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245.50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83D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37341.35 </w:t>
            </w:r>
          </w:p>
        </w:tc>
        <w:tc>
          <w:tcPr>
            <w:tcW w:w="39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450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三级道路</w:t>
            </w: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409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60B26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18" w:type="pct"/>
          <w:trHeight w:val="3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5F2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46B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经天路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8D9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16476.00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F22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28289.43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775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170727.00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A5E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2000.15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6A2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217492.58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87213">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485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7709E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18" w:type="pct"/>
          <w:trHeight w:val="3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D9F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66F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天佑路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29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13968.00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8A6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30733.36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389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107252.00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052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4012.50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A72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155965.86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F37E">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181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6DE90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3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2A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87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广志路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6EB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11025.70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615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10920.57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E5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56000.00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6A2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320.75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953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78267.02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DAC7A">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32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5430C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18" w:type="pct"/>
          <w:trHeight w:val="3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A53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6F3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七乡河大道南延</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403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B74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12807.37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AA5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40430.00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00C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2DB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53237.37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C8BA1">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698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58C5B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18" w:type="pct"/>
          <w:trHeight w:val="3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742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60C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三环路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131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21302.00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5C1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20261.74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710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105889.00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ECE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2450.36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D04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149903.10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4463B">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623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40ED4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3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575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B38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仁文路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4E5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2056.76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BE8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1938.56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3F5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7036.00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A48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43.15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D2F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11074.47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E3475">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C61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06B74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3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384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3AB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仙悦路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0D1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2152.66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0A2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1788.90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0B0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3016.30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456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48.40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8C5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7006.26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99BE">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962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26B0D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3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AA8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7B0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大业路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5AE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6658.52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F8B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5604.87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72B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36179.66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65A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904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48443.05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3659">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CAC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液晶谷片区（实际属地龙潭）</w:t>
            </w:r>
          </w:p>
        </w:tc>
      </w:tr>
      <w:tr w14:paraId="12FAB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764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C57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科文路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CCA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2180.00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B1E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3E8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8314.00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15E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9E4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10704.00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97B8F">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410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78D1C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6C6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D12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仁居路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6FE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1840.00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12D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1040.00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DD1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3390.00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E69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115.00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A86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6385.00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D417D">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5F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68E15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6CA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E90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仙悦路2</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9E7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2649.00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3B7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1876.00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441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3805.00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D9B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223.40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6B8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8553.40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F4A8C">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41B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3275D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06B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F5A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同德路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D12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1117.32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DC2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60B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3528.00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96A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58.68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CC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4704.00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A0F27">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E21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40EFF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43F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D03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齐民中路（毕升路-同德路）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9E1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3460.00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F32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3325.00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260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8498.00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93D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226.80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3E7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15509.80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E91AE">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15C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10D98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E36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D93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后曹路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8D2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5319.00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3E1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3989.00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B7D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11968.00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5B1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A89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21276.00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F5B89">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A46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液晶谷片区（实际属地龙潭）</w:t>
            </w:r>
          </w:p>
        </w:tc>
      </w:tr>
      <w:tr w14:paraId="728AB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814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C89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小康路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534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2752.00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828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2294.00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65C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3211.00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C18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1FF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8257.00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8D82D">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509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液晶谷片区（实际属地龙潭）</w:t>
            </w:r>
          </w:p>
        </w:tc>
      </w:tr>
      <w:tr w14:paraId="6A745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774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65B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晴岚路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661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2472.00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EBD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3296.00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FCB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4120.00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BC6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8A6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9888.00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9548">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186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液晶谷片区（实际属地龙潭）</w:t>
            </w:r>
          </w:p>
        </w:tc>
      </w:tr>
      <w:tr w14:paraId="20CDD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B7F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0DF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金美路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709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4615.00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CFE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6153.00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4D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7692.00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EF8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A41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18460.00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21D3">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F42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液晶谷片区（实际属地龙潭）</w:t>
            </w:r>
          </w:p>
        </w:tc>
      </w:tr>
      <w:tr w14:paraId="53A13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226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7E4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知贤路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5A5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5886.00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F06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5789.00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858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6867.00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09C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825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18542.00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CD197">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756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液晶谷片区（实际属地龙潭）</w:t>
            </w:r>
          </w:p>
        </w:tc>
      </w:tr>
      <w:tr w14:paraId="5C3DE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651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BCC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福港大道</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B8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5976.00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D69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5229.00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877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16434.00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F2F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0C5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27639.00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9331C">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09F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液晶谷片区（实际属地龙潭）</w:t>
            </w:r>
          </w:p>
        </w:tc>
      </w:tr>
      <w:tr w14:paraId="0E870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D48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603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平港路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B3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6880.00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39A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6400.00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954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14116.00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658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CC4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27396.00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87D5D">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0C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液晶谷片区（实际属地龙潭）</w:t>
            </w:r>
          </w:p>
        </w:tc>
      </w:tr>
      <w:tr w14:paraId="076A8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54F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1F4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善行路</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650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3390.00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E62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2825.00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9C0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3955.00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8C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5FE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10170.00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72A68">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C28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液晶谷片区（实际属地龙潭）</w:t>
            </w:r>
          </w:p>
        </w:tc>
      </w:tr>
      <w:tr w14:paraId="15B6C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6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C0A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5C7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仙象路（西湖河-仙林大道）</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648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6000.00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35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11000.00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B4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7000.00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63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626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24000.00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7DB0A">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308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w:t>
            </w:r>
          </w:p>
        </w:tc>
      </w:tr>
      <w:tr w14:paraId="04F1D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B69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E67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花园路（龙南大道-靖安大道）</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49D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4958.06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FA9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6646.37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F97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21509.19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A3D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0.00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701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33113.62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2A9E3">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EF1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液晶谷片区（实际属地龙潭）</w:t>
            </w:r>
          </w:p>
        </w:tc>
      </w:tr>
      <w:tr w14:paraId="6E76E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D32D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25</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7615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小计</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BF82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133134.02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09B1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177003.02 </w:t>
            </w: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806F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683237.15 </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9333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9954.69 </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E661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1003328.88 </w:t>
            </w:r>
          </w:p>
        </w:tc>
        <w:tc>
          <w:tcPr>
            <w:tcW w:w="39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78593">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8A50B">
            <w:pPr>
              <w:jc w:val="center"/>
              <w:rPr>
                <w:rFonts w:hint="eastAsia" w:ascii="宋体" w:hAnsi="宋体" w:eastAsia="宋体" w:cs="宋体"/>
                <w:b/>
                <w:bCs/>
                <w:i w:val="0"/>
                <w:iCs w:val="0"/>
                <w:color w:val="000000"/>
                <w:sz w:val="22"/>
                <w:szCs w:val="22"/>
                <w:u w:val="none"/>
              </w:rPr>
            </w:pPr>
          </w:p>
        </w:tc>
      </w:tr>
      <w:tr w14:paraId="65ED9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18" w:type="pct"/>
          <w:trHeight w:val="400" w:hRule="atLeast"/>
        </w:trPr>
        <w:tc>
          <w:tcPr>
            <w:tcW w:w="2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A9D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9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CE5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绿化带垃圾捡拾</w:t>
            </w:r>
          </w:p>
        </w:tc>
        <w:tc>
          <w:tcPr>
            <w:tcW w:w="4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E9E12">
            <w:pPr>
              <w:jc w:val="center"/>
              <w:rPr>
                <w:rFonts w:hint="eastAsia" w:ascii="宋体" w:hAnsi="宋体" w:eastAsia="宋体" w:cs="宋体"/>
                <w:i w:val="0"/>
                <w:iCs w:val="0"/>
                <w:color w:val="000000"/>
                <w:sz w:val="22"/>
                <w:szCs w:val="22"/>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6B098">
            <w:pPr>
              <w:jc w:val="center"/>
              <w:rPr>
                <w:rFonts w:hint="eastAsia" w:ascii="宋体" w:hAnsi="宋体" w:eastAsia="宋体" w:cs="宋体"/>
                <w:i w:val="0"/>
                <w:iCs w:val="0"/>
                <w:color w:val="000000"/>
                <w:sz w:val="22"/>
                <w:szCs w:val="22"/>
                <w:u w:val="none"/>
              </w:rPr>
            </w:pPr>
          </w:p>
        </w:tc>
        <w:tc>
          <w:tcPr>
            <w:tcW w:w="5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8739C">
            <w:pPr>
              <w:jc w:val="center"/>
              <w:rPr>
                <w:rFonts w:hint="eastAsia" w:ascii="宋体" w:hAnsi="宋体" w:eastAsia="宋体" w:cs="宋体"/>
                <w:i w:val="0"/>
                <w:iCs w:val="0"/>
                <w:color w:val="000000"/>
                <w:sz w:val="22"/>
                <w:szCs w:val="22"/>
                <w:u w:val="none"/>
              </w:rPr>
            </w:pP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61AA6">
            <w:pPr>
              <w:jc w:val="center"/>
              <w:rPr>
                <w:rFonts w:hint="eastAsia" w:ascii="宋体" w:hAnsi="宋体" w:eastAsia="宋体" w:cs="宋体"/>
                <w:i w:val="0"/>
                <w:iCs w:val="0"/>
                <w:color w:val="000000"/>
                <w:sz w:val="22"/>
                <w:szCs w:val="22"/>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E02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506692.79 </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46746">
            <w:pPr>
              <w:jc w:val="center"/>
              <w:rPr>
                <w:rFonts w:hint="eastAsia" w:ascii="宋体" w:hAnsi="宋体" w:eastAsia="宋体" w:cs="宋体"/>
                <w:i w:val="0"/>
                <w:iCs w:val="0"/>
                <w:color w:val="000000"/>
                <w:sz w:val="24"/>
                <w:szCs w:val="24"/>
                <w:u w:val="none"/>
              </w:rPr>
            </w:pPr>
          </w:p>
        </w:tc>
        <w:tc>
          <w:tcPr>
            <w:tcW w:w="102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2476A">
            <w:pPr>
              <w:jc w:val="center"/>
              <w:rPr>
                <w:rFonts w:hint="eastAsia" w:ascii="宋体" w:hAnsi="宋体" w:eastAsia="宋体" w:cs="宋体"/>
                <w:i w:val="0"/>
                <w:iCs w:val="0"/>
                <w:color w:val="000000"/>
                <w:sz w:val="22"/>
                <w:szCs w:val="22"/>
                <w:u w:val="none"/>
              </w:rPr>
            </w:pPr>
          </w:p>
        </w:tc>
      </w:tr>
      <w:tr w14:paraId="33E92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18" w:type="pct"/>
          <w:trHeight w:val="400" w:hRule="atLeast"/>
        </w:trPr>
        <w:tc>
          <w:tcPr>
            <w:tcW w:w="4981"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1D8AFD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备注：1、门坡是指企业、单位大门出入口门扇</w:t>
            </w:r>
          </w:p>
        </w:tc>
      </w:tr>
    </w:tbl>
    <w:p w14:paraId="280A7D08">
      <w:pPr>
        <w:pStyle w:val="158"/>
        <w:ind w:left="0" w:leftChars="0" w:firstLine="0" w:firstLineChars="0"/>
        <w:rPr>
          <w:rFonts w:hint="default"/>
          <w:highlight w:val="none"/>
          <w:lang w:val="en-US" w:eastAsia="zh-CN"/>
        </w:rPr>
      </w:pPr>
    </w:p>
    <w:p w14:paraId="2E45688B">
      <w:pPr>
        <w:pStyle w:val="158"/>
        <w:ind w:left="0" w:leftChars="0" w:firstLine="0" w:firstLineChars="0"/>
        <w:rPr>
          <w:rFonts w:hint="default"/>
          <w:highlight w:val="none"/>
          <w:lang w:val="en-US" w:eastAsia="zh-CN"/>
        </w:rPr>
      </w:pPr>
    </w:p>
    <w:p w14:paraId="31B2F231">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sectPr>
          <w:pgSz w:w="16838" w:h="11906" w:orient="landscape"/>
          <w:pgMar w:top="1599" w:right="1440" w:bottom="1797" w:left="1440" w:header="851" w:footer="992" w:gutter="0"/>
          <w:pgBorders>
            <w:top w:val="none" w:sz="0" w:space="0"/>
            <w:left w:val="none" w:sz="0" w:space="0"/>
            <w:bottom w:val="none" w:sz="0" w:space="0"/>
            <w:right w:val="none" w:sz="0" w:space="0"/>
          </w:pgBorders>
          <w:pgNumType w:fmt="decimal"/>
          <w:cols w:space="0" w:num="1"/>
          <w:titlePg/>
          <w:rtlGutter w:val="0"/>
          <w:docGrid w:type="lines" w:linePitch="315" w:charSpace="0"/>
        </w:sectPr>
      </w:pPr>
    </w:p>
    <w:p w14:paraId="04ED614B">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2</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、南京市栖霞区城市管理局环境卫生质量标准</w:t>
      </w:r>
    </w:p>
    <w:p w14:paraId="2F95355E">
      <w:pPr>
        <w:jc w:val="center"/>
        <w:rPr>
          <w:rFonts w:hint="eastAsia" w:ascii="宋体" w:hAnsi="宋体" w:eastAsia="宋体" w:cs="宋体"/>
          <w:b/>
          <w:color w:val="auto"/>
          <w:sz w:val="21"/>
          <w:szCs w:val="21"/>
          <w:highlight w:val="none"/>
          <w:lang w:val="en-US" w:eastAsia="zh-CN"/>
        </w:rPr>
      </w:pPr>
    </w:p>
    <w:p w14:paraId="63EAB406">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南京市栖霞区城市管理局环境卫生质量标准</w:t>
      </w:r>
    </w:p>
    <w:p w14:paraId="7C7B5A64">
      <w:pPr>
        <w:jc w:val="center"/>
        <w:rPr>
          <w:rFonts w:hint="eastAsia" w:ascii="宋体" w:hAnsi="宋体" w:eastAsia="宋体" w:cs="宋体"/>
          <w:b/>
          <w:color w:val="auto"/>
          <w:sz w:val="21"/>
          <w:szCs w:val="21"/>
          <w:highlight w:val="none"/>
        </w:rPr>
      </w:pPr>
    </w:p>
    <w:p w14:paraId="11B02B51">
      <w:pPr>
        <w:pStyle w:val="3"/>
        <w:pageBreakBefore w:val="0"/>
        <w:numPr>
          <w:ilvl w:val="0"/>
          <w:numId w:val="0"/>
        </w:numPr>
        <w:kinsoku/>
        <w:wordWrap/>
        <w:overflowPunct/>
        <w:topLinePunct w:val="0"/>
        <w:autoSpaceDE/>
        <w:autoSpaceDN/>
        <w:bidi w:val="0"/>
        <w:spacing w:line="360" w:lineRule="auto"/>
        <w:ind w:left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一、道路</w:t>
      </w:r>
    </w:p>
    <w:p w14:paraId="0707DE5C">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1、保洁范围：液晶谷片区</w:t>
      </w:r>
    </w:p>
    <w:p w14:paraId="59486C1B">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bCs w:val="0"/>
          <w:color w:val="auto"/>
          <w:sz w:val="21"/>
          <w:szCs w:val="21"/>
          <w:highlight w:val="none"/>
        </w:rPr>
        <w:t>应符合下表规定：</w:t>
      </w:r>
    </w:p>
    <w:p w14:paraId="01AB0D4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道路保洁等级</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3"/>
        <w:gridCol w:w="7551"/>
      </w:tblGrid>
      <w:tr w14:paraId="3515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018101F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297587A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1988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15ED1C5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10D23E30">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1、商业网点集中，道路旁商业店铺占道路长度不小</w:t>
            </w:r>
            <w:r>
              <w:rPr>
                <w:rFonts w:hint="eastAsia" w:ascii="宋体" w:hAnsi="宋体" w:cs="宋体"/>
                <w:color w:val="auto"/>
                <w:sz w:val="21"/>
                <w:szCs w:val="21"/>
                <w:highlight w:val="none"/>
                <w:lang w:val="en-US" w:eastAsia="zh-CN"/>
              </w:rPr>
              <w:t>于</w:t>
            </w:r>
            <w:r>
              <w:rPr>
                <w:rFonts w:hint="eastAsia" w:ascii="宋体" w:hAnsi="宋体" w:eastAsia="宋体" w:cs="宋体"/>
                <w:color w:val="auto"/>
                <w:sz w:val="21"/>
                <w:szCs w:val="21"/>
                <w:highlight w:val="none"/>
              </w:rPr>
              <w:t>70%的繁华闹市地段。</w:t>
            </w:r>
          </w:p>
          <w:p w14:paraId="749E789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2、临街商业店铺占道路长度不少于30％的城市次干道及其附近路段。</w:t>
            </w:r>
          </w:p>
          <w:p w14:paraId="2F6DDA73">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3、主要旅游点、车站、港口的主干道及其所在地路段。</w:t>
            </w:r>
          </w:p>
          <w:p w14:paraId="7499C02E">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4、大型文化娱乐、展览等主要公共场所所在地路段。</w:t>
            </w:r>
          </w:p>
          <w:p w14:paraId="6CFABB5A">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5、平均人流量为100人次/分钟以上和公共交通线路较多的路段。</w:t>
            </w:r>
          </w:p>
          <w:p w14:paraId="75C4842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6、主要领导机关、外事机构所在地。</w:t>
            </w:r>
          </w:p>
        </w:tc>
      </w:tr>
      <w:tr w14:paraId="5EC5E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706269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4D82196A">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1、临街商业店铺占道路长度少于30％的城市主、次干道及其附近路段。</w:t>
            </w:r>
          </w:p>
          <w:p w14:paraId="2FDC3A8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2、公共文化娱乐活动场所所在路段。</w:t>
            </w:r>
          </w:p>
          <w:p w14:paraId="4F669C9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3、平均人流量为50－100人次/分钟的路段。</w:t>
            </w:r>
          </w:p>
          <w:p w14:paraId="41567A00">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4、有固定公共交通线路的路段。</w:t>
            </w:r>
          </w:p>
        </w:tc>
      </w:tr>
      <w:tr w14:paraId="1C17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740463B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267BC4E0">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1、商业网点较少的路段。</w:t>
            </w:r>
          </w:p>
          <w:p w14:paraId="09ABF6B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2、居民区和单位相间的路段。</w:t>
            </w:r>
          </w:p>
          <w:p w14:paraId="2D65CAB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3、城郊结合部的主要路段。</w:t>
            </w:r>
          </w:p>
          <w:p w14:paraId="18988CFC">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4、人流量、车流量一般的路段。</w:t>
            </w:r>
          </w:p>
        </w:tc>
      </w:tr>
      <w:tr w14:paraId="13A1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42807CB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74448B4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1、城郊结合部的支路。</w:t>
            </w:r>
          </w:p>
          <w:p w14:paraId="3D4279D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2、人流量、车流量较少的路段。</w:t>
            </w:r>
          </w:p>
        </w:tc>
      </w:tr>
    </w:tbl>
    <w:p w14:paraId="5B109DE1">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3、路面质量要求</w:t>
      </w:r>
    </w:p>
    <w:p w14:paraId="21918024">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路面保洁应达到路面整洁；</w:t>
      </w:r>
      <w:r>
        <w:rPr>
          <w:rFonts w:hint="eastAsia" w:ascii="宋体" w:hAnsi="宋体" w:eastAsia="宋体" w:cs="宋体"/>
          <w:color w:val="auto"/>
          <w:sz w:val="21"/>
          <w:szCs w:val="21"/>
          <w:highlight w:val="none"/>
        </w:rPr>
        <w:t>窨井盖沟眼畅通干净，道牙边无明显泥沙、浮土</w:t>
      </w:r>
      <w:r>
        <w:rPr>
          <w:rFonts w:hint="eastAsia" w:ascii="宋体" w:hAnsi="宋体" w:eastAsia="宋体" w:cs="宋体"/>
          <w:color w:val="auto"/>
          <w:kern w:val="0"/>
          <w:sz w:val="21"/>
          <w:szCs w:val="21"/>
          <w:highlight w:val="none"/>
        </w:rPr>
        <w:t>。</w:t>
      </w:r>
    </w:p>
    <w:p w14:paraId="1EE8A9AD">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（2）路面污染物定义：包括瓜皮果核、烟头、纸屑、塑料袋、落叶、落果、粪便等废弃物，以及积灰、痰迹、油污、果浆等污迹。</w:t>
      </w:r>
    </w:p>
    <w:p w14:paraId="02136F47">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路面污染物控制指标应符合下表规定：</w:t>
      </w:r>
    </w:p>
    <w:p w14:paraId="5273EC71">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道路路面污染物控制标准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9"/>
        <w:gridCol w:w="1091"/>
        <w:gridCol w:w="1089"/>
        <w:gridCol w:w="1091"/>
        <w:gridCol w:w="1091"/>
        <w:gridCol w:w="1089"/>
        <w:gridCol w:w="1091"/>
        <w:gridCol w:w="1092"/>
      </w:tblGrid>
      <w:tr w14:paraId="506B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624" w:type="pct"/>
            <w:tcBorders>
              <w:top w:val="single" w:color="auto" w:sz="4" w:space="0"/>
              <w:left w:val="single" w:color="auto" w:sz="4" w:space="0"/>
              <w:right w:val="single" w:color="auto" w:sz="4" w:space="0"/>
            </w:tcBorders>
            <w:noWrap w:val="0"/>
            <w:vAlign w:val="center"/>
          </w:tcPr>
          <w:p w14:paraId="59F198E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7E0095B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625" w:type="pct"/>
            <w:tcBorders>
              <w:top w:val="single" w:color="auto" w:sz="4" w:space="0"/>
              <w:left w:val="single" w:color="auto" w:sz="4" w:space="0"/>
              <w:right w:val="single" w:color="auto" w:sz="4" w:space="0"/>
            </w:tcBorders>
            <w:noWrap w:val="0"/>
            <w:vAlign w:val="center"/>
          </w:tcPr>
          <w:p w14:paraId="3D150E9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点状污染（处/500㎡）</w:t>
            </w:r>
          </w:p>
        </w:tc>
        <w:tc>
          <w:tcPr>
            <w:tcW w:w="624" w:type="pct"/>
            <w:tcBorders>
              <w:top w:val="single" w:color="auto" w:sz="4" w:space="0"/>
              <w:left w:val="single" w:color="auto" w:sz="4" w:space="0"/>
              <w:right w:val="single" w:color="auto" w:sz="4" w:space="0"/>
            </w:tcBorders>
            <w:noWrap w:val="0"/>
            <w:vAlign w:val="center"/>
          </w:tcPr>
          <w:p w14:paraId="177A2AE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w:t>
            </w:r>
          </w:p>
        </w:tc>
        <w:tc>
          <w:tcPr>
            <w:tcW w:w="625" w:type="pct"/>
            <w:tcBorders>
              <w:top w:val="single" w:color="auto" w:sz="4" w:space="0"/>
              <w:left w:val="single" w:color="auto" w:sz="4" w:space="0"/>
              <w:right w:val="single" w:color="auto" w:sz="4" w:space="0"/>
            </w:tcBorders>
            <w:noWrap w:val="0"/>
            <w:vAlign w:val="center"/>
          </w:tcPr>
          <w:p w14:paraId="290B655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w:t>
            </w:r>
          </w:p>
        </w:tc>
        <w:tc>
          <w:tcPr>
            <w:tcW w:w="625" w:type="pct"/>
            <w:tcBorders>
              <w:top w:val="single" w:color="auto" w:sz="4" w:space="0"/>
              <w:left w:val="single" w:color="auto" w:sz="4" w:space="0"/>
              <w:right w:val="single" w:color="auto" w:sz="4" w:space="0"/>
            </w:tcBorders>
            <w:noWrap w:val="0"/>
            <w:vAlign w:val="center"/>
          </w:tcPr>
          <w:p w14:paraId="1C26C3B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w:t>
            </w:r>
          </w:p>
          <w:p w14:paraId="313E699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（堆/500㎡）</w:t>
            </w:r>
          </w:p>
        </w:tc>
        <w:tc>
          <w:tcPr>
            <w:tcW w:w="624" w:type="pct"/>
            <w:tcBorders>
              <w:top w:val="single" w:color="auto" w:sz="4" w:space="0"/>
              <w:left w:val="single" w:color="auto" w:sz="4" w:space="0"/>
              <w:right w:val="single" w:color="auto" w:sz="4" w:space="0"/>
            </w:tcBorders>
            <w:noWrap w:val="0"/>
            <w:vAlign w:val="center"/>
          </w:tcPr>
          <w:p w14:paraId="00E04DA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w:t>
            </w:r>
          </w:p>
          <w:p w14:paraId="1DAC334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（平方米/500㎡）</w:t>
            </w:r>
          </w:p>
        </w:tc>
        <w:tc>
          <w:tcPr>
            <w:tcW w:w="625" w:type="pct"/>
            <w:tcBorders>
              <w:top w:val="single" w:color="auto" w:sz="4" w:space="0"/>
              <w:left w:val="single" w:color="auto" w:sz="4" w:space="0"/>
              <w:right w:val="single" w:color="auto" w:sz="4" w:space="0"/>
            </w:tcBorders>
            <w:noWrap w:val="0"/>
            <w:vAlign w:val="center"/>
          </w:tcPr>
          <w:p w14:paraId="10DEDA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车行道本色呈现率（%）</w:t>
            </w:r>
          </w:p>
        </w:tc>
        <w:tc>
          <w:tcPr>
            <w:tcW w:w="625" w:type="pct"/>
            <w:tcBorders>
              <w:top w:val="single" w:color="auto" w:sz="4" w:space="0"/>
              <w:left w:val="single" w:color="auto" w:sz="4" w:space="0"/>
              <w:right w:val="single" w:color="auto" w:sz="4" w:space="0"/>
            </w:tcBorders>
            <w:noWrap w:val="0"/>
            <w:vAlign w:val="center"/>
          </w:tcPr>
          <w:p w14:paraId="297BEF8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人行道本色呈现率（%）</w:t>
            </w:r>
          </w:p>
        </w:tc>
      </w:tr>
      <w:tr w14:paraId="63AE7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1FB402A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0B0152A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345EFAD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ECBD94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C68C37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6143023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947414E">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B08A9D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r>
      <w:tr w14:paraId="1BC5D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245BD4A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24EE34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29A0E0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F945CB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171BAD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0B52AFA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015F6AEC">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451CCCF">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0855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2D888B4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87F8EB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4336BF8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38C5C1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B74ABE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DCFEE8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02748B05">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00B5DDA">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r>
      <w:tr w14:paraId="4537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2191C84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F53E97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37E5298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91A59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21B3CC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039EEAF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BED8F59">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5829D9E">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1FA5567D">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人行道以50米长度为单元，污染物参照路面污染物标准。</w:t>
      </w:r>
    </w:p>
    <w:p w14:paraId="6BB20D7C">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注：对落叶的考核限于大面积落叶季节。</w:t>
      </w:r>
    </w:p>
    <w:p w14:paraId="4B018673">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kern w:val="0"/>
          <w:sz w:val="21"/>
          <w:szCs w:val="21"/>
          <w:highlight w:val="none"/>
        </w:rPr>
        <w:t>公交候车站、地铁站出入口、</w:t>
      </w:r>
      <w:r>
        <w:rPr>
          <w:rFonts w:hint="eastAsia" w:ascii="宋体" w:hAnsi="宋体" w:eastAsia="宋体" w:cs="宋体"/>
          <w:color w:val="auto"/>
          <w:sz w:val="21"/>
          <w:szCs w:val="21"/>
          <w:highlight w:val="none"/>
        </w:rPr>
        <w:t>人行天桥、人行过街地下通道、车行隧道的质量标准与相连接的道路相同。</w:t>
      </w:r>
    </w:p>
    <w:p w14:paraId="6E669687">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（4）人行道、</w:t>
      </w:r>
      <w:r>
        <w:rPr>
          <w:rFonts w:hint="eastAsia" w:ascii="宋体" w:hAnsi="宋体" w:eastAsia="宋体" w:cs="宋体"/>
          <w:color w:val="auto"/>
          <w:kern w:val="0"/>
          <w:sz w:val="21"/>
          <w:szCs w:val="21"/>
          <w:highlight w:val="none"/>
        </w:rPr>
        <w:t>路旁绿地、绿化隔离带、行道树穴内无积存垃圾和人畜粪便。</w:t>
      </w:r>
    </w:p>
    <w:p w14:paraId="029C8A38">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06D0B2C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cs="宋体"/>
          <w:color w:val="auto"/>
          <w:kern w:val="0"/>
          <w:sz w:val="21"/>
          <w:szCs w:val="21"/>
          <w:highlight w:val="none"/>
          <w:lang w:eastAsia="zh-CN"/>
        </w:rPr>
        <w:t>果皮箱</w:t>
      </w:r>
    </w:p>
    <w:p w14:paraId="7A899F77">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1）道路两侧或路口以及各类交通客运设施等的出入口附近应设置</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的设置间隔宜符合下列规定：商业、金融业街道：50m-100m；主干路、次干路、有辅道的快速路：100m-200m；支路、有人行道的快速路：200m-400m。</w:t>
      </w:r>
    </w:p>
    <w:p w14:paraId="0A2D3B35">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2）主次干道沿街两侧不得设置果皮箱以外的垃圾桶。</w:t>
      </w:r>
    </w:p>
    <w:p w14:paraId="4C2D2CD3">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3）应按规定设置生活垃圾分类收集容器，并依据垃圾品种配置相应的分类标识、体现对应的标志色。</w:t>
      </w:r>
    </w:p>
    <w:p w14:paraId="03360EC9">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应无残缺破损、无掉漆、封闭性好，干净美观，与周围环境相协调，并应能防雨、抗老化、防腐、阻燃。</w:t>
      </w:r>
    </w:p>
    <w:p w14:paraId="23E47E16">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5）容器放置点及周围2m内应整洁、无蝇、无存留垃圾和污水，地面见本色。保持距垃圾分类收集容器0.5m外无臭。</w:t>
      </w:r>
    </w:p>
    <w:p w14:paraId="059500A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（2）工具房</w:t>
      </w:r>
    </w:p>
    <w:p w14:paraId="6D2DE93E">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1）工具房应设置在道路两旁不影响观瞻的隐蔽位置。</w:t>
      </w:r>
    </w:p>
    <w:p w14:paraId="00F98AF1">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2）工具房仅供存放环卫工具使用，室内应保持干净整洁、工具应摆放整齐，任何单位和个人不得擅自改变工具房用途。</w:t>
      </w:r>
    </w:p>
    <w:p w14:paraId="3F0BD0BC">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3）工具房外墙墙面无乱张贴、乱涂写、无积尘、无明显污迹，房顶无垃圾、杂物堆积。</w:t>
      </w:r>
    </w:p>
    <w:p w14:paraId="5714D486">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11003469">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zh-CN"/>
        </w:rPr>
        <w:t>1）其他公共设施包括：交通护栏、道路隔音设施、天桥栏杆、雨棚、广告牌、路牌、邮筒、读报栏、休闲椅、康体娱乐设施、雕塑、人工造景等。</w:t>
      </w:r>
    </w:p>
    <w:p w14:paraId="60E026F6">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（2）道路两侧的道路交通设施、服务设施以及其他设施应保持完好，无污迹、积尘、无乱张贴、无残</w:t>
      </w:r>
      <w:r>
        <w:rPr>
          <w:rFonts w:hint="eastAsia" w:ascii="宋体" w:hAnsi="宋体" w:cs="宋体"/>
          <w:color w:val="auto"/>
          <w:kern w:val="0"/>
          <w:sz w:val="21"/>
          <w:szCs w:val="21"/>
          <w:highlight w:val="none"/>
          <w:lang w:val="en-US" w:eastAsia="zh-CN"/>
        </w:rPr>
        <w:t>缺</w:t>
      </w:r>
      <w:r>
        <w:rPr>
          <w:rFonts w:hint="eastAsia" w:ascii="宋体" w:hAnsi="宋体" w:eastAsia="宋体" w:cs="宋体"/>
          <w:color w:val="auto"/>
          <w:kern w:val="0"/>
          <w:sz w:val="21"/>
          <w:szCs w:val="21"/>
          <w:highlight w:val="none"/>
          <w:lang w:val="zh-CN"/>
        </w:rPr>
        <w:t>破损。</w:t>
      </w:r>
    </w:p>
    <w:p w14:paraId="262DEE2A">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（3）道路两侧的道路交通设施、服务设施以及其他设施污染物控制指标应符合下表规定：</w:t>
      </w:r>
    </w:p>
    <w:p w14:paraId="5B095775">
      <w:pPr>
        <w:pageBreakBefore w:val="0"/>
        <w:kinsoku/>
        <w:wordWrap/>
        <w:overflowPunct/>
        <w:topLinePunct w:val="0"/>
        <w:autoSpaceDE/>
        <w:autoSpaceDN/>
        <w:bidi w:val="0"/>
        <w:adjustRightInd w:val="0"/>
        <w:spacing w:line="360" w:lineRule="auto"/>
        <w:ind w:firstLine="422" w:firstLineChars="20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sz w:val="21"/>
          <w:szCs w:val="21"/>
          <w:highlight w:val="none"/>
        </w:rPr>
        <w:t>公共设施污染物控制指标</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1914"/>
        <w:gridCol w:w="1788"/>
        <w:gridCol w:w="1893"/>
        <w:gridCol w:w="1818"/>
      </w:tblGrid>
      <w:tr w14:paraId="0B1B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7FB2673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3AA03E9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03C39B7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0B02F0C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7D955AC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59CA26B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10DED87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040" w:type="pct"/>
            <w:tcBorders>
              <w:top w:val="single" w:color="auto" w:sz="4" w:space="0"/>
              <w:left w:val="single" w:color="auto" w:sz="4" w:space="0"/>
              <w:bottom w:val="single" w:color="auto" w:sz="4" w:space="0"/>
              <w:right w:val="single" w:color="auto" w:sz="4" w:space="0"/>
            </w:tcBorders>
            <w:noWrap w:val="0"/>
            <w:vAlign w:val="center"/>
          </w:tcPr>
          <w:p w14:paraId="55D9ABC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518FDB1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6D09B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32B4ED8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127A68C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300041C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30EBFA1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5EDDF96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2BC2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3C3AEA6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1AED9ED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1492AEE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31BBC1E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CB7A57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4673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61720B2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432F441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21DF767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0DECB50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9FE1A2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51C1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4EEFD5B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550B7DF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1A59A68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10E303B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E64BB6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19781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2EF884C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5D92F7DF">
      <w:pPr>
        <w:pStyle w:val="3"/>
        <w:pageBreakBefore w:val="0"/>
        <w:numPr>
          <w:ilvl w:val="0"/>
          <w:numId w:val="0"/>
        </w:numPr>
        <w:kinsoku/>
        <w:wordWrap/>
        <w:overflowPunct/>
        <w:topLinePunct w:val="0"/>
        <w:autoSpaceDE/>
        <w:autoSpaceDN/>
        <w:bidi w:val="0"/>
        <w:spacing w:line="360" w:lineRule="auto"/>
        <w:ind w:left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二、街巷</w:t>
      </w:r>
    </w:p>
    <w:p w14:paraId="574E7262">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b/>
          <w:bCs/>
          <w:color w:val="auto"/>
          <w:sz w:val="21"/>
          <w:szCs w:val="21"/>
          <w:highlight w:val="none"/>
        </w:rPr>
        <w:t>1、保洁范围：</w:t>
      </w:r>
      <w:r>
        <w:rPr>
          <w:rFonts w:hint="eastAsia" w:ascii="宋体" w:hAnsi="宋体" w:eastAsia="宋体" w:cs="宋体"/>
          <w:bCs/>
          <w:color w:val="auto"/>
          <w:sz w:val="21"/>
          <w:szCs w:val="21"/>
          <w:highlight w:val="none"/>
        </w:rPr>
        <w:t>包括车行道、人行道、公交站及附属公共设施，包括环境卫生设施、道路交通设施、服务设施以及其他设施。</w:t>
      </w:r>
    </w:p>
    <w:p w14:paraId="410A5638">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color w:val="auto"/>
          <w:sz w:val="21"/>
          <w:szCs w:val="21"/>
          <w:highlight w:val="none"/>
        </w:rPr>
        <w:t>根据街巷人流量及繁华程度，将划分为两个等级：</w:t>
      </w:r>
    </w:p>
    <w:p w14:paraId="0D20F7E4">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w:t>
      </w:r>
      <w:r>
        <w:rPr>
          <w:rFonts w:hint="eastAsia" w:ascii="宋体" w:hAnsi="宋体" w:eastAsia="宋体" w:cs="宋体"/>
          <w:b/>
          <w:color w:val="auto"/>
          <w:kern w:val="0"/>
          <w:sz w:val="21"/>
          <w:szCs w:val="21"/>
          <w:highlight w:val="none"/>
          <w:lang w:val="zh-CN"/>
        </w:rPr>
        <w:t>保洁等级</w:t>
      </w:r>
    </w:p>
    <w:tbl>
      <w:tblPr>
        <w:tblStyle w:val="4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02"/>
        <w:gridCol w:w="5822"/>
      </w:tblGrid>
      <w:tr w14:paraId="0D696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67F1896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3336" w:type="pct"/>
            <w:noWrap w:val="0"/>
            <w:vAlign w:val="center"/>
          </w:tcPr>
          <w:p w14:paraId="3AE022A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22A1C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7DB7B1B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3336" w:type="pct"/>
            <w:noWrap w:val="0"/>
            <w:vAlign w:val="center"/>
          </w:tcPr>
          <w:p w14:paraId="76C1AC8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w:t>
            </w:r>
            <w:r>
              <w:rPr>
                <w:rFonts w:hint="eastAsia" w:ascii="宋体" w:hAnsi="宋体" w:cs="宋体"/>
                <w:color w:val="auto"/>
                <w:sz w:val="21"/>
                <w:szCs w:val="21"/>
                <w:highlight w:val="none"/>
                <w:lang w:val="en-US" w:eastAsia="zh-CN"/>
              </w:rPr>
              <w:t>店</w:t>
            </w:r>
            <w:r>
              <w:rPr>
                <w:rFonts w:hint="eastAsia" w:ascii="宋体" w:hAnsi="宋体" w:eastAsia="宋体" w:cs="宋体"/>
                <w:color w:val="auto"/>
                <w:sz w:val="21"/>
                <w:szCs w:val="21"/>
                <w:highlight w:val="none"/>
              </w:rPr>
              <w:t>铺面超过60%的繁华街巷。</w:t>
            </w:r>
          </w:p>
        </w:tc>
      </w:tr>
      <w:tr w14:paraId="768BF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4834750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3336" w:type="pct"/>
            <w:noWrap w:val="0"/>
            <w:vAlign w:val="center"/>
          </w:tcPr>
          <w:p w14:paraId="7791442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w:t>
            </w:r>
            <w:r>
              <w:rPr>
                <w:rFonts w:hint="eastAsia" w:ascii="宋体" w:hAnsi="宋体" w:cs="宋体"/>
                <w:color w:val="auto"/>
                <w:sz w:val="21"/>
                <w:szCs w:val="21"/>
                <w:highlight w:val="none"/>
                <w:lang w:val="en-US" w:eastAsia="zh-CN"/>
              </w:rPr>
              <w:t>店</w:t>
            </w:r>
            <w:r>
              <w:rPr>
                <w:rFonts w:hint="eastAsia" w:ascii="宋体" w:hAnsi="宋体" w:eastAsia="宋体" w:cs="宋体"/>
                <w:color w:val="auto"/>
                <w:sz w:val="21"/>
                <w:szCs w:val="21"/>
                <w:highlight w:val="none"/>
              </w:rPr>
              <w:t>铺低于60%的一般街巷。</w:t>
            </w:r>
          </w:p>
        </w:tc>
      </w:tr>
    </w:tbl>
    <w:p w14:paraId="137293F7">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3、路面质量要求</w:t>
      </w:r>
    </w:p>
    <w:p w14:paraId="690E5006">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（1）街巷路面应达到路面整洁；窨井盖沟眼畅通干净，路牙边无明显泥沙、浮土。</w:t>
      </w:r>
    </w:p>
    <w:p w14:paraId="70BD29B7">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（2）街巷路面污染物控制指标应符合下表规定：</w:t>
      </w:r>
    </w:p>
    <w:p w14:paraId="6C9A243E">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街巷路面污染物控制标准</w:t>
      </w:r>
    </w:p>
    <w:tbl>
      <w:tblPr>
        <w:tblStyle w:val="46"/>
        <w:tblpPr w:leftFromText="180" w:rightFromText="180" w:vertAnchor="text" w:horzAnchor="margin" w:tblpXSpec="center" w:tblpY="13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1288"/>
        <w:gridCol w:w="1288"/>
        <w:gridCol w:w="1288"/>
        <w:gridCol w:w="1288"/>
        <w:gridCol w:w="1288"/>
        <w:gridCol w:w="1290"/>
      </w:tblGrid>
      <w:tr w14:paraId="45E07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568" w:type="pct"/>
            <w:tcBorders>
              <w:top w:val="single" w:color="auto" w:sz="4" w:space="0"/>
              <w:left w:val="single" w:color="auto" w:sz="4" w:space="0"/>
              <w:right w:val="single" w:color="auto" w:sz="4" w:space="0"/>
            </w:tcBorders>
            <w:noWrap w:val="0"/>
            <w:vAlign w:val="center"/>
          </w:tcPr>
          <w:p w14:paraId="30DA6FB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6D0D2E8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738" w:type="pct"/>
            <w:tcBorders>
              <w:top w:val="single" w:color="auto" w:sz="4" w:space="0"/>
              <w:left w:val="single" w:color="auto" w:sz="4" w:space="0"/>
              <w:right w:val="single" w:color="auto" w:sz="4" w:space="0"/>
            </w:tcBorders>
            <w:noWrap w:val="0"/>
            <w:vAlign w:val="center"/>
          </w:tcPr>
          <w:p w14:paraId="35D31FE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点状污染物（处/500m2）</w:t>
            </w:r>
          </w:p>
        </w:tc>
        <w:tc>
          <w:tcPr>
            <w:tcW w:w="738" w:type="pct"/>
            <w:tcBorders>
              <w:top w:val="single" w:color="auto" w:sz="4" w:space="0"/>
              <w:left w:val="single" w:color="auto" w:sz="4" w:space="0"/>
              <w:right w:val="single" w:color="auto" w:sz="4" w:space="0"/>
            </w:tcBorders>
            <w:noWrap w:val="0"/>
            <w:vAlign w:val="center"/>
          </w:tcPr>
          <w:p w14:paraId="044CED3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块状污染物（处/500m2）</w:t>
            </w:r>
          </w:p>
        </w:tc>
        <w:tc>
          <w:tcPr>
            <w:tcW w:w="738" w:type="pct"/>
            <w:tcBorders>
              <w:top w:val="single" w:color="auto" w:sz="4" w:space="0"/>
              <w:left w:val="single" w:color="auto" w:sz="4" w:space="0"/>
              <w:right w:val="single" w:color="auto" w:sz="4" w:space="0"/>
            </w:tcBorders>
            <w:noWrap w:val="0"/>
            <w:vAlign w:val="center"/>
          </w:tcPr>
          <w:p w14:paraId="71476E3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条状污染物（处/500m2）</w:t>
            </w:r>
          </w:p>
        </w:tc>
        <w:tc>
          <w:tcPr>
            <w:tcW w:w="738" w:type="pct"/>
            <w:tcBorders>
              <w:top w:val="single" w:color="auto" w:sz="4" w:space="0"/>
              <w:left w:val="single" w:color="auto" w:sz="4" w:space="0"/>
              <w:right w:val="single" w:color="auto" w:sz="4" w:space="0"/>
            </w:tcBorders>
            <w:noWrap w:val="0"/>
            <w:vAlign w:val="center"/>
          </w:tcPr>
          <w:p w14:paraId="7F428FC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落叶（堆/500m2）</w:t>
            </w:r>
          </w:p>
        </w:tc>
        <w:tc>
          <w:tcPr>
            <w:tcW w:w="738" w:type="pct"/>
            <w:tcBorders>
              <w:top w:val="single" w:color="auto" w:sz="4" w:space="0"/>
              <w:left w:val="single" w:color="auto" w:sz="4" w:space="0"/>
              <w:right w:val="single" w:color="auto" w:sz="4" w:space="0"/>
            </w:tcBorders>
            <w:noWrap w:val="0"/>
            <w:vAlign w:val="center"/>
          </w:tcPr>
          <w:p w14:paraId="423ADFD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污水（平方米/500㎡）</w:t>
            </w:r>
          </w:p>
        </w:tc>
        <w:tc>
          <w:tcPr>
            <w:tcW w:w="739" w:type="pct"/>
            <w:tcBorders>
              <w:top w:val="single" w:color="auto" w:sz="4" w:space="0"/>
              <w:left w:val="single" w:color="auto" w:sz="4" w:space="0"/>
              <w:right w:val="single" w:color="auto" w:sz="4" w:space="0"/>
            </w:tcBorders>
            <w:noWrap w:val="0"/>
            <w:vAlign w:val="center"/>
          </w:tcPr>
          <w:p w14:paraId="76B23EC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街巷现本色呈现率（%）</w:t>
            </w:r>
          </w:p>
        </w:tc>
      </w:tr>
      <w:tr w14:paraId="1A10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315E783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3C996A4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1572B02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0F1CDDB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9F73D5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2DD42D8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670D3384">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1750A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571641A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D81607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C8F82B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FEF6CA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5782F4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60AEF93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555821CA">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68667283">
      <w:pPr>
        <w:pStyle w:val="2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注：对落叶的考核限于大面积落叶季节。</w:t>
      </w:r>
    </w:p>
    <w:p w14:paraId="5BC7AB91">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4EACF976">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CN"/>
        </w:rPr>
        <w:t>（1）</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：街巷两侧或路口应设置</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的设置间隔宜符合下列规定：</w:t>
      </w:r>
    </w:p>
    <w:p w14:paraId="2D39E761">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1）繁华街巷：50m-100m；</w:t>
      </w:r>
    </w:p>
    <w:p w14:paraId="186306E0">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2）普通街巷：100m-200m。</w:t>
      </w:r>
    </w:p>
    <w:p w14:paraId="350877C9">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保洁要求同道路</w:t>
      </w: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要求第3、4、5条。</w:t>
      </w:r>
    </w:p>
    <w:p w14:paraId="13A1D3A5">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（2）工具房：工</w:t>
      </w:r>
      <w:r>
        <w:rPr>
          <w:rFonts w:hint="eastAsia" w:ascii="宋体" w:hAnsi="宋体" w:eastAsia="宋体" w:cs="宋体"/>
          <w:b w:val="0"/>
          <w:bCs w:val="0"/>
          <w:color w:val="auto"/>
          <w:sz w:val="21"/>
          <w:szCs w:val="21"/>
          <w:highlight w:val="none"/>
        </w:rPr>
        <w:t>具房的设置及保洁质量要求参照道路。</w:t>
      </w:r>
    </w:p>
    <w:p w14:paraId="233910D2">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4CB70EB9">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kern w:val="0"/>
          <w:sz w:val="21"/>
          <w:szCs w:val="21"/>
          <w:highlight w:val="none"/>
        </w:rPr>
        <w:t>应保持完好，无污迹、积尘、无乱张贴、无残缺破损。</w:t>
      </w:r>
    </w:p>
    <w:p w14:paraId="16912EA5">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sz w:val="21"/>
          <w:szCs w:val="21"/>
          <w:highlight w:val="none"/>
        </w:rPr>
        <w:t>污染物控制指标应符合下表规定：</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1324"/>
        <w:gridCol w:w="1752"/>
        <w:gridCol w:w="2198"/>
        <w:gridCol w:w="2062"/>
      </w:tblGrid>
      <w:tr w14:paraId="30ABB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4947CD2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55028C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3118866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2F32D9A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094DF63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2FF5570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2389CB5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59940DD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6831BCE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1C24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166A29F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1A77EE9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4CEB790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05D437C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6EFAD43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517AC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45DF642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21610B9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65D08F5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59DE161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75DD1DE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07240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2608AE93">
            <w:pPr>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6CD19514">
      <w:pPr>
        <w:pStyle w:val="3"/>
        <w:pageBreakBefore w:val="0"/>
        <w:numPr>
          <w:ilvl w:val="0"/>
          <w:numId w:val="0"/>
        </w:numPr>
        <w:kinsoku/>
        <w:wordWrap/>
        <w:overflowPunct/>
        <w:topLinePunct w:val="0"/>
        <w:autoSpaceDE/>
        <w:autoSpaceDN/>
        <w:bidi w:val="0"/>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三、无物管居住区保洁质量要求</w:t>
      </w:r>
    </w:p>
    <w:p w14:paraId="3BD83F35">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zh-CN"/>
        </w:rPr>
        <w:t>1、无物管居住区的生活垃圾，</w:t>
      </w:r>
      <w:r>
        <w:rPr>
          <w:rFonts w:hint="eastAsia" w:ascii="宋体" w:hAnsi="宋体" w:eastAsia="宋体" w:cs="宋体"/>
          <w:color w:val="auto"/>
          <w:sz w:val="21"/>
          <w:szCs w:val="21"/>
          <w:highlight w:val="none"/>
        </w:rPr>
        <w:t>应集中贮存于密闭的垃圾箱（桶）内或袋装，每天定时收集和清运。</w:t>
      </w:r>
    </w:p>
    <w:p w14:paraId="2FD918A5">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保洁要求同道路</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要求第3、4、5条。</w:t>
      </w:r>
    </w:p>
    <w:p w14:paraId="6223F0EF">
      <w:pP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br w:type="page"/>
      </w:r>
    </w:p>
    <w:p w14:paraId="2EBED797">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580FF8EC">
      <w:pPr>
        <w:pageBreakBefore w:val="0"/>
        <w:kinsoku/>
        <w:wordWrap/>
        <w:overflowPunct/>
        <w:topLinePunct w:val="0"/>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南京市栖霞区城市管理局环卫作业规范</w:t>
      </w:r>
    </w:p>
    <w:p w14:paraId="1883843F">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一、基本规范要求</w:t>
      </w:r>
    </w:p>
    <w:p w14:paraId="0286393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（1）环卫管理和作业做到文明、安全、清洁和有序，最大限度地减少对环境的污染和对公众生活的影响。</w:t>
      </w:r>
    </w:p>
    <w:p w14:paraId="5FC4698C">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（2）环卫作业单位应建立健全安全生产管理制度和落实安全生产责任人，建立当班检查考核制度，制定班组长、检查员检查要求，严</w:t>
      </w:r>
      <w:r>
        <w:rPr>
          <w:rFonts w:hint="eastAsia" w:ascii="宋体" w:hAnsi="宋体" w:eastAsia="宋体" w:cs="宋体"/>
          <w:color w:val="auto"/>
          <w:kern w:val="0"/>
          <w:sz w:val="21"/>
          <w:szCs w:val="21"/>
          <w:highlight w:val="none"/>
        </w:rPr>
        <w:t>格按操作规程操作</w:t>
      </w:r>
      <w:r>
        <w:rPr>
          <w:rFonts w:hint="eastAsia" w:ascii="宋体" w:hAnsi="宋体" w:eastAsia="宋体" w:cs="宋体"/>
          <w:color w:val="auto"/>
          <w:sz w:val="21"/>
          <w:szCs w:val="21"/>
          <w:highlight w:val="none"/>
        </w:rPr>
        <w:t>，有完整的作业和安全检查记录。</w:t>
      </w:r>
    </w:p>
    <w:p w14:paraId="55BE6C94">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（3）作业人员应严格按照作业时间，按时上岗，准点离岗，并做好交接班工作。不得与他人聊天，不得在岗上抽烟、吃</w:t>
      </w:r>
      <w:r>
        <w:rPr>
          <w:rFonts w:hint="eastAsia" w:ascii="宋体" w:hAnsi="宋体" w:cs="宋体"/>
          <w:color w:val="auto"/>
          <w:sz w:val="21"/>
          <w:szCs w:val="21"/>
          <w:highlight w:val="none"/>
          <w:lang w:val="en-US" w:eastAsia="zh-CN"/>
        </w:rPr>
        <w:t>零食</w:t>
      </w:r>
      <w:r>
        <w:rPr>
          <w:rFonts w:hint="eastAsia" w:ascii="宋体" w:hAnsi="宋体" w:eastAsia="宋体" w:cs="宋体"/>
          <w:color w:val="auto"/>
          <w:sz w:val="21"/>
          <w:szCs w:val="21"/>
          <w:highlight w:val="none"/>
        </w:rPr>
        <w:t>，不得从事看棋、看牌、看书报、听收音机、做私活等与作业无关的事情。</w:t>
      </w:r>
    </w:p>
    <w:p w14:paraId="1A9E75BD">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（4）环卫作业人员在作业中必须文明用语，不得无故打骂人；环卫作业人员必须服从各级管理员的管理，不得殴打、辱骂管理员。</w:t>
      </w:r>
    </w:p>
    <w:p w14:paraId="281DDCF2">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（5）各类环卫作业车辆（机动车）出车前必须进行检查，确保车况良好方可进行环卫作业。环卫作业车辆应严格遵守交通规则，尽量避开交通高峰时段作业。</w:t>
      </w:r>
    </w:p>
    <w:p w14:paraId="1DECBD70">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二</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人员配置要求</w:t>
      </w:r>
    </w:p>
    <w:p w14:paraId="215468FC">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细化专业分工，明确工作量，实现清扫保洁与垃圾收集作业分离，建立清扫员、保洁员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水洗员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收集员四个专业岗位</w:t>
      </w:r>
      <w:r>
        <w:rPr>
          <w:rFonts w:hint="default" w:ascii="宋体" w:hAnsi="宋体" w:eastAsia="宋体" w:cs="宋体"/>
          <w:color w:val="auto"/>
          <w:sz w:val="21"/>
          <w:szCs w:val="21"/>
          <w:highlight w:val="none"/>
          <w:lang w:val="en-US" w:eastAsia="zh-CN"/>
        </w:rPr>
        <w:t>。</w:t>
      </w:r>
    </w:p>
    <w:p w14:paraId="2D42356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（1）清扫员：负责对慢车道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人行道和街巷路面进行人工普扫，一</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二</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三级，繁华街巷每日至少普扫两次</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配备标准：一级道路4200m2/人，二级道路5000m2/人，三级道路6000m2/人，四级道路7000m2/人，繁华街巷4000m2/人，普通街巷清扫6000m2/人，商业圈3000m2/人，饮食一条街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创业市场周边2000m2/人，使用手推式清扫机清扫量增加20%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负责利用小型清扫车或清洗车对慢车道进行清扫清洗，每天作业长度12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18公里</w:t>
      </w:r>
      <w:r>
        <w:rPr>
          <w:rFonts w:hint="default" w:ascii="宋体" w:hAnsi="宋体" w:eastAsia="宋体" w:cs="宋体"/>
          <w:color w:val="auto"/>
          <w:sz w:val="21"/>
          <w:szCs w:val="21"/>
          <w:highlight w:val="none"/>
          <w:lang w:val="en-US" w:eastAsia="zh-CN"/>
        </w:rPr>
        <w:t>。</w:t>
      </w:r>
    </w:p>
    <w:p w14:paraId="16B8B823">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（2）保洁员：负责对慢车道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街巷路面</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路旁绿地</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绿化隔离带漂浮垃圾进行捡拾作业，负责对路边果皮箱进行清洗清掏，配备标准：一级道路5000m2/人，二级道路6000m2/人，三级道路8400m2/人，四级道路9800m2/人，繁华街巷5000m2/人，普通街巷保洁9800m2/人，商业圈4000m2/人，饮食一条街、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创业市场周边3000m2/人，使用手推式清扫机保洁量增加20%，使用电动车快速捡拾为9000m2/人</w:t>
      </w:r>
      <w:r>
        <w:rPr>
          <w:rFonts w:hint="default" w:ascii="宋体" w:hAnsi="宋体" w:eastAsia="宋体" w:cs="宋体"/>
          <w:color w:val="auto"/>
          <w:sz w:val="21"/>
          <w:szCs w:val="21"/>
          <w:highlight w:val="none"/>
          <w:lang w:val="en-US" w:eastAsia="zh-CN"/>
        </w:rPr>
        <w:t>。</w:t>
      </w:r>
    </w:p>
    <w:p w14:paraId="64ED2958">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（3）水洗员：负责利用手持高压水枪对慢车道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隔离栏下</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路牙进行水扫，清除路面漂浮垃圾及灰尘，水扫作业面积12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18万平方米/人/天；负责利用手持高压水枪和毛刷对大垃圾筒</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临时转运点及周边2米</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沿街路面油污进行清洗，清洗大垃圾筒80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120只/人/天，清洗收集点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临时转运点及周边100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150处/人/天，清洗路面油污80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100处/人/天，负责利用自动化洗桶车清洗大垃圾桶，每日清洗300只</w:t>
      </w:r>
      <w:r>
        <w:rPr>
          <w:rFonts w:hint="default" w:ascii="宋体" w:hAnsi="宋体" w:eastAsia="宋体" w:cs="宋体"/>
          <w:color w:val="auto"/>
          <w:sz w:val="21"/>
          <w:szCs w:val="21"/>
          <w:highlight w:val="none"/>
          <w:lang w:val="en-US" w:eastAsia="zh-CN"/>
        </w:rPr>
        <w:t>。</w:t>
      </w:r>
    </w:p>
    <w:p w14:paraId="17012A0E">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（4）收集员：负责利用自动或半自动装卸垃圾收集车收集沿街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小区内的垃圾，运送到收集站或中转站</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运距在2公里范围内的，自动装卸垃圾收集车每天运输13趟，半自动装卸垃圾收集车每天运输10趟；运距在4公里范围内的，自动装卸垃圾收集车每天运输10趟，半自动装卸垃圾收集车每天运输8趟</w:t>
      </w:r>
      <w:r>
        <w:rPr>
          <w:rFonts w:hint="default" w:ascii="宋体" w:hAnsi="宋体" w:eastAsia="宋体" w:cs="宋体"/>
          <w:color w:val="auto"/>
          <w:sz w:val="21"/>
          <w:szCs w:val="21"/>
          <w:highlight w:val="none"/>
          <w:lang w:val="en-US" w:eastAsia="zh-CN"/>
        </w:rPr>
        <w:t>。</w:t>
      </w:r>
    </w:p>
    <w:p w14:paraId="7BBAA179">
      <w:pPr>
        <w:pageBreakBefore w:val="0"/>
        <w:kinsoku/>
        <w:wordWrap/>
        <w:overflowPunct/>
        <w:topLinePunct w:val="0"/>
        <w:bidi w:val="0"/>
        <w:adjustRightIn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使用机械设备进行清扫保洁人员年龄不得大于55周岁，普通清扫保洁人员年龄不得大于60周岁，保洁人员每年应定期进行体检，确保无重大疾病上岗</w:t>
      </w:r>
      <w:r>
        <w:rPr>
          <w:rFonts w:hint="default" w:ascii="宋体" w:hAnsi="宋体" w:eastAsia="宋体" w:cs="宋体"/>
          <w:b/>
          <w:bCs/>
          <w:color w:val="auto"/>
          <w:sz w:val="21"/>
          <w:szCs w:val="21"/>
          <w:highlight w:val="none"/>
          <w:lang w:val="en-US" w:eastAsia="zh-CN"/>
        </w:rPr>
        <w:t>。</w:t>
      </w:r>
    </w:p>
    <w:p w14:paraId="0DFC83EE">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三、人员工资发放及服装要求</w:t>
      </w:r>
    </w:p>
    <w:p w14:paraId="2F95D0F9">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（1）规范用工与薪酬管理。作业单位必须依法与职工签订劳动合同，按规定办理并持续提高社会保险参保比例。严格执行薪酬标准，一线环卫职工月基础工资不低于</w:t>
      </w:r>
      <w:r>
        <w:rPr>
          <w:rFonts w:hint="default" w:ascii="宋体" w:hAnsi="宋体" w:eastAsia="宋体" w:cs="宋体"/>
          <w:color w:val="auto"/>
          <w:sz w:val="21"/>
          <w:szCs w:val="21"/>
          <w:highlight w:val="none"/>
          <w:lang w:val="en-US" w:eastAsia="zh-CN"/>
        </w:rPr>
        <w:t>3192</w:t>
      </w:r>
      <w:r>
        <w:rPr>
          <w:rFonts w:hint="eastAsia" w:ascii="宋体" w:hAnsi="宋体" w:eastAsia="宋体" w:cs="宋体"/>
          <w:color w:val="auto"/>
          <w:sz w:val="21"/>
          <w:szCs w:val="21"/>
          <w:highlight w:val="none"/>
          <w:lang w:val="en-US" w:eastAsia="zh-CN"/>
        </w:rPr>
        <w:t>元（按</w:t>
      </w:r>
      <w:r>
        <w:rPr>
          <w:rFonts w:hint="default"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val="en-US" w:eastAsia="zh-CN"/>
        </w:rPr>
        <w:t>年江苏省一类地区最低工资标准</w:t>
      </w:r>
      <w:r>
        <w:rPr>
          <w:rFonts w:hint="default" w:ascii="宋体" w:hAnsi="宋体" w:eastAsia="宋体" w:cs="宋体"/>
          <w:color w:val="auto"/>
          <w:sz w:val="21"/>
          <w:szCs w:val="21"/>
          <w:highlight w:val="none"/>
          <w:lang w:val="en-US" w:eastAsia="zh-CN"/>
        </w:rPr>
        <w:t>2660</w:t>
      </w:r>
      <w:r>
        <w:rPr>
          <w:rFonts w:hint="eastAsia" w:ascii="宋体" w:hAnsi="宋体" w:eastAsia="宋体" w:cs="宋体"/>
          <w:color w:val="auto"/>
          <w:sz w:val="21"/>
          <w:szCs w:val="21"/>
          <w:highlight w:val="none"/>
          <w:lang w:val="en-US" w:eastAsia="zh-CN"/>
        </w:rPr>
        <w:t>元的</w:t>
      </w:r>
      <w:r>
        <w:rPr>
          <w:rFonts w:hint="default" w:ascii="宋体" w:hAnsi="宋体" w:eastAsia="宋体" w:cs="宋体"/>
          <w:color w:val="auto"/>
          <w:sz w:val="21"/>
          <w:szCs w:val="21"/>
          <w:highlight w:val="none"/>
          <w:lang w:val="en-US" w:eastAsia="zh-CN"/>
        </w:rPr>
        <w:t>120%</w:t>
      </w:r>
      <w:r>
        <w:rPr>
          <w:rFonts w:hint="eastAsia" w:ascii="宋体" w:hAnsi="宋体" w:eastAsia="宋体" w:cs="宋体"/>
          <w:color w:val="auto"/>
          <w:sz w:val="21"/>
          <w:szCs w:val="21"/>
          <w:highlight w:val="none"/>
          <w:lang w:val="en-US" w:eastAsia="zh-CN"/>
        </w:rPr>
        <w:t>核定），绩效工资每人每月不低于300元，纳入工资专用账户审核发放。依法足额支付岗位津贴、工龄工资、加班工资、租房补贴（住房公积金）、高温津贴等，保障职工在休息日、法定休假日及延长工作时间的加班报酬权益，确保一线人员每周至少休息1日。</w:t>
      </w:r>
    </w:p>
    <w:p w14:paraId="72616EDB">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（2）规范环卫工人服装统一。作业单位必须按照南京市城市管理局要求为所有环卫职工提供统一的服装，确保按时足额发放，并规范日常穿戴管理。</w:t>
      </w:r>
    </w:p>
    <w:p w14:paraId="0FE904A8">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四、道路、街巷清扫保洁</w:t>
      </w:r>
    </w:p>
    <w:p w14:paraId="6CA8A983">
      <w:pPr>
        <w:pStyle w:val="6"/>
        <w:pageBreakBefore w:val="0"/>
        <w:tabs>
          <w:tab w:val="left" w:pos="709"/>
        </w:tabs>
        <w:kinsoku/>
        <w:wordWrap/>
        <w:overflowPunct/>
        <w:topLinePunct w:val="0"/>
        <w:bidi w:val="0"/>
        <w:adjustRightInd w:val="0"/>
        <w:spacing w:before="0" w:after="0" w:line="360" w:lineRule="auto"/>
        <w:ind w:firstLine="413" w:firstLineChars="19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（一）基本要求</w:t>
      </w:r>
    </w:p>
    <w:p w14:paraId="16A898A2">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保洁作业人员要根据本路段的人流、车流情况，合理安排作业时间和方式，主动避开行人和车流高峰，以免发生意外。在清扫和保洁作业时，清扫机动车道中央隔离栏路面时要注意来往车辆，保证人身安全。</w:t>
      </w:r>
    </w:p>
    <w:p w14:paraId="7D59507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道路清扫保洁人员（含机扫车司机、随车的工人和辅助清扫人员）作业时必须正确穿工作服、反光背心，戴工作帽，并保持着装干净、整洁，衣冠不整不得上岗作业。其他环卫作业人员也必须按规定统一着装和佩证。</w:t>
      </w:r>
    </w:p>
    <w:p w14:paraId="438CFA4F">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提前获悉天气情况，准备好雨衣和标志服，不得打伞作业。作业人员在作业时，不得向窨井、花坛内扫倒路渣垃圾，不得焚烧树叶及各类杂物。作业工具不得放置在花坛、绿化带内，或靠立在树和电线杆旁，暂时不用的工具应放置在垃圾收集车内或不显眼位置。</w:t>
      </w:r>
    </w:p>
    <w:p w14:paraId="01497328">
      <w:pPr>
        <w:pageBreakBefore w:val="0"/>
        <w:widowControl/>
        <w:kinsoku/>
        <w:wordWrap/>
        <w:overflowPunct/>
        <w:topLinePunct w:val="0"/>
        <w:bidi w:val="0"/>
        <w:spacing w:line="360" w:lineRule="auto"/>
        <w:ind w:firstLine="525" w:firstLineChars="25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（4）认真做好各自管辖区域内的清扫保洁工作，作业间不得坐岗、串岗、擅自离岗，如有特殊情况（上厕所、因急病等）需离岗时，应与邻近保洁员做好交接，离岗时间不得超过15分钟。</w:t>
      </w:r>
    </w:p>
    <w:p w14:paraId="24EAA39C">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（5）晨扫作业时，不得大声喧哗，影响居民休息。清扫作业间隙，清扫工具摆放整齐，保洁垃圾密闭存放。非普扫时间不得使用大扫把。</w:t>
      </w:r>
    </w:p>
    <w:p w14:paraId="28909FE6">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kern w:val="0"/>
          <w:sz w:val="21"/>
          <w:szCs w:val="21"/>
          <w:highlight w:val="none"/>
        </w:rPr>
        <w:t>沿街门面（单位）应自备卫生清洁工具，在店内设置垃圾收集容器，实行垃圾袋装，应将垃圾投放到指定地点或待环卫工人清扫门前道路时将垃圾投放到垃圾收运车上，不得随意堆放在门前的人行道上，更不得直接将垃圾扫出店外影响市容环境。</w:t>
      </w:r>
    </w:p>
    <w:p w14:paraId="412939DF">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（7）洒水车司机在作业时，要文明行车，严格遵守冲、洒水规范，遇行人密集处减速慢行，控制音量，减少扰民。</w:t>
      </w:r>
    </w:p>
    <w:p w14:paraId="559BABAF">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（8）重点保洁场所应增加快速巡回保洁和作业公司检查频次。</w:t>
      </w:r>
    </w:p>
    <w:p w14:paraId="1AD37148">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（9）快车道机扫率应达到</w:t>
      </w:r>
      <w:r>
        <w:rPr>
          <w:rFonts w:hint="eastAsia" w:ascii="宋体" w:hAnsi="宋体" w:cs="宋体"/>
          <w:color w:val="auto"/>
          <w:sz w:val="21"/>
          <w:szCs w:val="21"/>
          <w:highlight w:val="none"/>
          <w:lang w:val="en-US" w:eastAsia="zh-CN"/>
        </w:rPr>
        <w:t>100</w:t>
      </w:r>
      <w:r>
        <w:rPr>
          <w:rFonts w:hint="eastAsia" w:ascii="宋体" w:hAnsi="宋体" w:eastAsia="宋体" w:cs="宋体"/>
          <w:color w:val="auto"/>
          <w:sz w:val="21"/>
          <w:szCs w:val="21"/>
          <w:highlight w:val="none"/>
        </w:rPr>
        <w:t>%，在有条件的路段对慢车道、人行道开展“水扫”作业。</w:t>
      </w:r>
    </w:p>
    <w:p w14:paraId="15921BAB">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加强开发区范围内杨家边路、兴漓路、小漓江路的道路保洁，每日额外增加保洁频次，洒水增加不少于2次/日，冲洗增加不少于1次/日。道路保洁范围包括快车道、慢车道、人行道、部分绿化带以及道路排水收集口和垃圾箱维护清理，保洁面积为108300平米。</w:t>
      </w:r>
    </w:p>
    <w:p w14:paraId="4F34D7C2">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（二）人工清扫保洁</w:t>
      </w:r>
    </w:p>
    <w:p w14:paraId="3371BDC8">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1、作业时间和频次</w:t>
      </w:r>
    </w:p>
    <w:p w14:paraId="1C932382">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一、二、三级道路4：00---22：00清扫并保洁，实行“三清扫”（清扫时间：4：00—7：00，12：00--14：00，19：00--21：00），每日第一遍清扫必须在7：00前完成，其余时间保洁，夏季晚间保洁作业延长1小时，加大机械清扫保洁力度，四级道路实行8小时清扫保洁，每天按上、下午规定时间清扫并保洁，早上6：00—8：00、下午</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：30--3：30清扫。</w:t>
      </w:r>
    </w:p>
    <w:p w14:paraId="35FB146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普通街巷：4：00---18：00清扫保洁，实行“两清扫”（清扫时间：4：00—7：00，12：00--14：00）；繁华街巷：4：00---22：00清扫保洁，实行“四清扫”（清扫时间：4：00—7：00，9：00--10：30，13：00--14：30，19：00--20：30）；每日第一遍清扫必须在7：00前完成，繁华街巷夏季晚间保洁作业延长1小时，大排档，夜市等特殊路段保洁时间延长至24：00。</w:t>
      </w:r>
    </w:p>
    <w:p w14:paraId="18324E74">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夏季高温期间根据道路、街巷状况合理调整作业时间，人工作业尽量避开午间高温时段（12：00---15：00）。</w:t>
      </w:r>
    </w:p>
    <w:p w14:paraId="60EA7ECF">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2、作业规范</w:t>
      </w:r>
    </w:p>
    <w:p w14:paraId="764554D7">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（1）清扫作业</w:t>
      </w:r>
    </w:p>
    <w:p w14:paraId="2B6A4E93">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1）清扫时，应按人行道路面、树圈及周边、车行道路面、窨井口的顺序进行全面清扫。</w:t>
      </w:r>
    </w:p>
    <w:p w14:paraId="39442E49">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2）归拢的垃圾靠边打堆，及时清运，不漏收。清扫道路时不得将垃圾扫入窨井、喇叭口、绿地，并疏通窨井口。雨天清扫保洁时，应及时清理窨井口垃圾，保持窨井口畅通。</w:t>
      </w:r>
    </w:p>
    <w:p w14:paraId="4CAA7704">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3）清扫道路时须小心执扫，不得漏扫、甩扫，控制扬尘，避免妨碍行人。</w:t>
      </w:r>
    </w:p>
    <w:p w14:paraId="41C4189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4）早晨第一次大面积全面推行班组作业，所有保洁人员必须上岗，以班组为单位组织清扫，班组长、考核员必须跟班作业，确保7点前完成大面积清扫，确保清扫质量。</w:t>
      </w:r>
    </w:p>
    <w:p w14:paraId="453FB4FD">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5）停车较多的街巷实行错时保洁，做到随脏随扫。</w:t>
      </w:r>
    </w:p>
    <w:p w14:paraId="26CE2755">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（2）保洁作业</w:t>
      </w:r>
    </w:p>
    <w:p w14:paraId="21C5DDE7">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1）保洁时，巡回走动，用小扫把、钳子等工具及时清除路面的垃圾。</w:t>
      </w:r>
    </w:p>
    <w:p w14:paraId="1CC8E59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2）发现有人随地乱扔垃圾，应及时进行劝阻。发现路面被严重污染时，应马上向管理部门汇报, 并立即组织清理。</w:t>
      </w:r>
    </w:p>
    <w:p w14:paraId="19F9577C">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3）在保洁作业时段内，各类区域、设施上的点状、块状、条状污染物，以及超过质量标准中道路地面废弃物控制指标的，自产生起应在15分钟内予以清除。</w:t>
      </w:r>
    </w:p>
    <w:p w14:paraId="3752E18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4）清扫保洁绿化隔离带时，应注意保护绿化。 </w:t>
      </w:r>
    </w:p>
    <w:p w14:paraId="2C6A2EB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5）清扫垃圾应运到指定收集点，进入收集容器。</w:t>
      </w:r>
    </w:p>
    <w:p w14:paraId="4B7D98F2">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6）垃圾倾倒后应将垃圾收集容器复位，摆放整齐，无洒落，容器内无留存垃圾及污水。也可配备专用收集车，做到定时定点收集，完工后场地清洁，无二次污染。</w:t>
      </w:r>
    </w:p>
    <w:p w14:paraId="4271D3EE">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7）保洁后工具堆放整齐、冲洗污水处理干净，不对行人、周边环境和市民生活造成影响。</w:t>
      </w:r>
    </w:p>
    <w:p w14:paraId="02BAD91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8）高架桥、快速通道、快车道特殊情况（含应急保障）下需要人工清扫保洁时，应有安全防护措施，按照规定设置安全警示牌和反光锥形警示筒等形成作业区，对污染严重路段，要集中作业力量，快速处置，快速撤离，同时做好安全警戒工作。</w:t>
      </w:r>
    </w:p>
    <w:p w14:paraId="1FBCA6FF">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（三）机械清扫保洁</w:t>
      </w:r>
    </w:p>
    <w:p w14:paraId="5A87D98A">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1、基本要求</w:t>
      </w:r>
    </w:p>
    <w:p w14:paraId="14C1B09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（1）雨雪大风、气温零度以下天气不进行机械化清扫作业，气温4度以下不得进行洒水作业，零度以下不得进行湿扫、洗扫、清洗作业。</w:t>
      </w:r>
    </w:p>
    <w:p w14:paraId="72FD71C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（2）经常污染的道路，环卫保洁公司在按照规定要求作业的基础上，视道路污染情况适当增加清洗频次，达到“路面见本色”的作业要求。</w:t>
      </w:r>
    </w:p>
    <w:p w14:paraId="168512BB">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（3）遇有其他重大环境保障任务，可自行调整作业时间，但不得减少作业次数，同时必须报</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备案。</w:t>
      </w:r>
    </w:p>
    <w:p w14:paraId="2035C873">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（4）机械化清扫保洁作业车辆必须安装</w:t>
      </w:r>
      <w:r>
        <w:rPr>
          <w:rFonts w:hint="eastAsia" w:ascii="宋体" w:hAnsi="宋体" w:cs="宋体"/>
          <w:color w:val="auto"/>
          <w:sz w:val="21"/>
          <w:szCs w:val="21"/>
          <w:highlight w:val="none"/>
          <w:lang w:val="en-US" w:eastAsia="zh-CN"/>
        </w:rPr>
        <w:t>北斗定位系统</w:t>
      </w:r>
      <w:r>
        <w:rPr>
          <w:rFonts w:hint="eastAsia" w:ascii="宋体" w:hAnsi="宋体" w:eastAsia="宋体" w:cs="宋体"/>
          <w:color w:val="auto"/>
          <w:sz w:val="21"/>
          <w:szCs w:val="21"/>
          <w:highlight w:val="none"/>
        </w:rPr>
        <w:t>，实行数字化监管，专人负责，通过电脑能够随时检查作业车辆的行驶轨迹、作业时间和频次。</w:t>
      </w:r>
    </w:p>
    <w:p w14:paraId="1BDDA9BF">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加强对驾驶及操作人员的业务培训，加强对洗扫、清洗、水扫作业的研究，不断提高组织管理水平，确保作业质量和安全；要加强和完善机械化清扫专业数据统计制度，对每天出动的机械车辆、人员、路线、车次、作业面积、时间等进行统计，并做好油耗、作业效率等数据的经济分析。</w:t>
      </w:r>
    </w:p>
    <w:p w14:paraId="65195563">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（6）加强和完善作业质量考核机制，充分发挥路面巡查员、保洁员的监督作用。</w:t>
      </w:r>
    </w:p>
    <w:p w14:paraId="510D1A71">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冬季（早晚最低温度达到零度以下）机械化作业要求：每天9：00-16：00要重点安排洗扫车、清洗车作业，上、下午各进行一次洗扫作业，大面积洒水和冲洗要根据即时气温条件安排作业，对积灰路段辅以人工清洗，尽量避免扰民现象发生。</w:t>
      </w:r>
    </w:p>
    <w:p w14:paraId="0E051144">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大气污染防治应急响应措施，蓝色预警：气温在摄氏4度以上，主次干道每日不少于1次冲洗、2次清扫、3次洒水，路面无积尘；黄色预警：在蓝色预警基础上增加1次（9：00-11：00）洒水降尘；橙色预警：在黄色预警基础上增加1次（15：00-17：00）洒水降尘；红色预警：在橙色预警基础上，实施不间断的洒水作业，保证路面的湿度。</w:t>
      </w:r>
    </w:p>
    <w:p w14:paraId="6E8B3B41">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2、洗扫（含清扫作业）</w:t>
      </w:r>
    </w:p>
    <w:p w14:paraId="0FB9F5F0">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 </w:t>
      </w:r>
    </w:p>
    <w:tbl>
      <w:tblPr>
        <w:tblStyle w:val="46"/>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973"/>
        <w:gridCol w:w="3934"/>
      </w:tblGrid>
      <w:tr w14:paraId="6BC3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B69DE2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道路等级</w:t>
            </w:r>
          </w:p>
        </w:tc>
        <w:tc>
          <w:tcPr>
            <w:tcW w:w="1973" w:type="dxa"/>
            <w:noWrap w:val="0"/>
            <w:vAlign w:val="center"/>
          </w:tcPr>
          <w:p w14:paraId="08E231C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次数</w:t>
            </w:r>
          </w:p>
        </w:tc>
        <w:tc>
          <w:tcPr>
            <w:tcW w:w="3934" w:type="dxa"/>
            <w:noWrap w:val="0"/>
            <w:vAlign w:val="center"/>
          </w:tcPr>
          <w:p w14:paraId="45C4B72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时间段</w:t>
            </w:r>
          </w:p>
        </w:tc>
      </w:tr>
      <w:tr w14:paraId="6F1E8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109FE28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一级</w:t>
            </w:r>
          </w:p>
        </w:tc>
        <w:tc>
          <w:tcPr>
            <w:tcW w:w="1973" w:type="dxa"/>
            <w:noWrap w:val="0"/>
            <w:vAlign w:val="center"/>
          </w:tcPr>
          <w:p w14:paraId="2445C3BE">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2D9EA9DD">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3B254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C35FC8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二级</w:t>
            </w:r>
          </w:p>
        </w:tc>
        <w:tc>
          <w:tcPr>
            <w:tcW w:w="1973" w:type="dxa"/>
            <w:noWrap w:val="0"/>
            <w:vAlign w:val="center"/>
          </w:tcPr>
          <w:p w14:paraId="289AAD42">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07946F95">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6DCE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56B5127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三级</w:t>
            </w:r>
          </w:p>
        </w:tc>
        <w:tc>
          <w:tcPr>
            <w:tcW w:w="1973" w:type="dxa"/>
            <w:noWrap w:val="0"/>
            <w:vAlign w:val="center"/>
          </w:tcPr>
          <w:p w14:paraId="4EE44691">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372B5C03">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78530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3D179B0C">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四级</w:t>
            </w:r>
          </w:p>
        </w:tc>
        <w:tc>
          <w:tcPr>
            <w:tcW w:w="1973" w:type="dxa"/>
            <w:noWrap w:val="0"/>
            <w:vAlign w:val="center"/>
          </w:tcPr>
          <w:p w14:paraId="5355B9D2">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5C23CE5C">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9：00---11：00、12：00---15：00</w:t>
            </w:r>
          </w:p>
        </w:tc>
      </w:tr>
    </w:tbl>
    <w:p w14:paraId="32E3F847">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0F119849">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1）扫刷落地高度一般降至刷毛稍压地面为宜，吸嘴调整到无垃圾遗漏为止。</w:t>
      </w:r>
    </w:p>
    <w:p w14:paraId="4EC81036">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2）沿两侧机动车道侧石平行作业，作业时速5公里/小时。</w:t>
      </w:r>
    </w:p>
    <w:p w14:paraId="3AA8611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3）严格按照放刷、喷水、喷洗、调整箱体压力和刷盘转速、洗扫（含清扫）、后喷雾的顺序进行操作。</w:t>
      </w:r>
    </w:p>
    <w:p w14:paraId="489D05BE">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4）非特殊气候情况下，避免“干扫”。</w:t>
      </w:r>
    </w:p>
    <w:p w14:paraId="3B44BD1E">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5）作业时禁止扫刷、吸嘴不落地；发现喷嘴堵塞、吸嘴漏吸等现象，应立即停车并进行处理。</w:t>
      </w:r>
    </w:p>
    <w:p w14:paraId="6341D4FB">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6）垃圾箱装满和作业完毕后应及时到指定场所排放污水和卸清垃圾。</w:t>
      </w:r>
    </w:p>
    <w:p w14:paraId="13DE74F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7）对死角、深沟、两侧行道树过低过近、垃圾杂物体积过长过大、路面污染、落叶季节等情况需人工配合清扫保洁。</w:t>
      </w:r>
    </w:p>
    <w:p w14:paraId="49DE0E1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8）作业后路牙无积灰、无漂浮垃圾和其它废弃物，路面有湿度、洁净。</w:t>
      </w:r>
    </w:p>
    <w:p w14:paraId="153518B9">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3、清洗作业</w:t>
      </w:r>
    </w:p>
    <w:p w14:paraId="0ABBEBF4">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2708"/>
        <w:gridCol w:w="4509"/>
      </w:tblGrid>
      <w:tr w14:paraId="14621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15740D3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708" w:type="dxa"/>
            <w:noWrap w:val="0"/>
            <w:vAlign w:val="center"/>
          </w:tcPr>
          <w:p w14:paraId="317887E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4509" w:type="dxa"/>
            <w:noWrap w:val="0"/>
            <w:vAlign w:val="center"/>
          </w:tcPr>
          <w:p w14:paraId="3CA60B9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08D3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2243545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708" w:type="dxa"/>
            <w:noWrap w:val="0"/>
            <w:vAlign w:val="center"/>
          </w:tcPr>
          <w:p w14:paraId="4E40493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6BC8C7D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03A7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C2B5BE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708" w:type="dxa"/>
            <w:noWrap w:val="0"/>
            <w:vAlign w:val="center"/>
          </w:tcPr>
          <w:p w14:paraId="578DA2A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05710CA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5002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3E14A16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708" w:type="dxa"/>
            <w:noWrap w:val="0"/>
            <w:vAlign w:val="center"/>
          </w:tcPr>
          <w:p w14:paraId="48719DC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79E9F5C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6AE6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6D1B22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708" w:type="dxa"/>
            <w:noWrap w:val="0"/>
            <w:vAlign w:val="center"/>
          </w:tcPr>
          <w:p w14:paraId="5BADAAAE">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624CE01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r w14:paraId="2AD5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129A8D4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708" w:type="dxa"/>
            <w:noWrap w:val="0"/>
            <w:vAlign w:val="center"/>
          </w:tcPr>
          <w:p w14:paraId="6A9C866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1次/半月（清洗作业）</w:t>
            </w:r>
          </w:p>
        </w:tc>
        <w:tc>
          <w:tcPr>
            <w:tcW w:w="4509" w:type="dxa"/>
            <w:noWrap w:val="0"/>
            <w:vAlign w:val="center"/>
          </w:tcPr>
          <w:p w14:paraId="6C7F47F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3C952F91">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04F3007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实行单元化作业：洒水车冲洗将路面灰尘和垃圾冲向道路两侧，清洗车清洗使用纵向、侧向冲洗路牙积灰和雨帘激洗路面，洗扫车湿扫将污水和垃圾吸走，三辆车（洒水车、清洗车、洗扫车）同时作业，互相配合对路面进行清洗。</w:t>
      </w:r>
    </w:p>
    <w:p w14:paraId="2D741ED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2）作业时注意调整喷架高度和水压，打开双侧吸嘴、喷杆喷水，作业时速5公里/小时，开启警示灯或特效音乐。</w:t>
      </w:r>
    </w:p>
    <w:p w14:paraId="58A85050">
      <w:pPr>
        <w:pageBreakBefore w:val="0"/>
        <w:kinsoku/>
        <w:wordWrap/>
        <w:overflowPunct/>
        <w:topLinePunct w:val="0"/>
        <w:bidi w:val="0"/>
        <w:spacing w:line="360" w:lineRule="auto"/>
        <w:ind w:firstLine="627" w:firstLineChars="29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3）发现吸嘴漏吸应立即停车处理，污物箱装满应及时到指定场所排放污水和卸清垃圾；雨天可根据降雨量调整作业方式，增加人机结合。</w:t>
      </w:r>
    </w:p>
    <w:p w14:paraId="1B837F5F">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4）作业结束后，路面、隔离桩下、路牙、下水口等整洁，无残留垃圾、无漂浮垃圾、无积灰、无积水，路面见本色。</w:t>
      </w:r>
    </w:p>
    <w:p w14:paraId="2690C6AE">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4、冲洗作业</w:t>
      </w:r>
    </w:p>
    <w:p w14:paraId="77BFA51A">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2934"/>
        <w:gridCol w:w="2771"/>
      </w:tblGrid>
      <w:tr w14:paraId="74CA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202" w:type="dxa"/>
            <w:noWrap w:val="0"/>
            <w:vAlign w:val="center"/>
          </w:tcPr>
          <w:p w14:paraId="2413020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934" w:type="dxa"/>
            <w:noWrap w:val="0"/>
            <w:vAlign w:val="center"/>
          </w:tcPr>
          <w:p w14:paraId="1FA1A87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冲洗次数</w:t>
            </w:r>
          </w:p>
        </w:tc>
        <w:tc>
          <w:tcPr>
            <w:tcW w:w="2771" w:type="dxa"/>
            <w:noWrap w:val="0"/>
            <w:vAlign w:val="center"/>
          </w:tcPr>
          <w:p w14:paraId="508C3D4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72B5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31F56C5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934" w:type="dxa"/>
            <w:noWrap w:val="0"/>
            <w:vAlign w:val="center"/>
          </w:tcPr>
          <w:p w14:paraId="43486C6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77D5429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31FC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1014307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934" w:type="dxa"/>
            <w:noWrap w:val="0"/>
            <w:vAlign w:val="center"/>
          </w:tcPr>
          <w:p w14:paraId="5D19EF1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74FA3CD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79A6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7ADC40E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934" w:type="dxa"/>
            <w:noWrap w:val="0"/>
            <w:vAlign w:val="center"/>
          </w:tcPr>
          <w:p w14:paraId="19235D8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3-5次/周</w:t>
            </w:r>
          </w:p>
        </w:tc>
        <w:tc>
          <w:tcPr>
            <w:tcW w:w="2771" w:type="dxa"/>
            <w:noWrap w:val="0"/>
            <w:vAlign w:val="center"/>
          </w:tcPr>
          <w:p w14:paraId="45FEC74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4CB7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78E87AA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934" w:type="dxa"/>
            <w:noWrap w:val="0"/>
            <w:vAlign w:val="center"/>
          </w:tcPr>
          <w:p w14:paraId="44EEFF9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6868E10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0E4F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5CA36CC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934" w:type="dxa"/>
            <w:noWrap w:val="0"/>
            <w:vAlign w:val="center"/>
          </w:tcPr>
          <w:p w14:paraId="2B3EE7A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22F7561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bl>
    <w:p w14:paraId="2E37321D">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3CA9BADF">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1）作业时应禁鸣，避免噪音扰民，车尾应有反光标志（或加贴反光膜），作业时必须开启警示灯和示宽灯。</w:t>
      </w:r>
    </w:p>
    <w:p w14:paraId="0A2BF971">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2）作业时速8公里/小时，喷水口喷水有力，不得出现断续喷水的现象。</w:t>
      </w:r>
    </w:p>
    <w:p w14:paraId="60C2484D">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3）不得漏洗，如路面较宽，应二次冲刷，不得倒车作业。</w:t>
      </w:r>
    </w:p>
    <w:p w14:paraId="2EDA225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4）作业时应注意避让车辆及行人；作业后路面无污物、无浮灰，路牙无浮土。</w:t>
      </w:r>
    </w:p>
    <w:p w14:paraId="1953AD56">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5、洒水作业</w:t>
      </w:r>
    </w:p>
    <w:p w14:paraId="73C66BE3">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1698"/>
        <w:gridCol w:w="4817"/>
      </w:tblGrid>
      <w:tr w14:paraId="5D92B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406EB0D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698" w:type="dxa"/>
            <w:noWrap w:val="0"/>
            <w:vAlign w:val="center"/>
          </w:tcPr>
          <w:p w14:paraId="1451EBC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洒水次数</w:t>
            </w:r>
          </w:p>
        </w:tc>
        <w:tc>
          <w:tcPr>
            <w:tcW w:w="4817" w:type="dxa"/>
            <w:noWrap w:val="0"/>
            <w:vAlign w:val="top"/>
          </w:tcPr>
          <w:p w14:paraId="6BAE8A5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07CB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B7C163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698" w:type="dxa"/>
            <w:noWrap w:val="0"/>
            <w:vAlign w:val="center"/>
          </w:tcPr>
          <w:p w14:paraId="100FA28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5EE23D4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4：30---6：30、12：00---15：00、19：00-21：00</w:t>
            </w:r>
          </w:p>
        </w:tc>
      </w:tr>
      <w:tr w14:paraId="1D98F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5800807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698" w:type="dxa"/>
            <w:noWrap w:val="0"/>
            <w:vAlign w:val="center"/>
          </w:tcPr>
          <w:p w14:paraId="08285AA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274B038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4：00---6：30、12：00---15：00、19：00-21：00</w:t>
            </w:r>
          </w:p>
        </w:tc>
      </w:tr>
      <w:tr w14:paraId="28AB5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430C69F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698" w:type="dxa"/>
            <w:noWrap w:val="0"/>
            <w:vAlign w:val="center"/>
          </w:tcPr>
          <w:p w14:paraId="27042E0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0007387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4E7B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3FA0935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698" w:type="dxa"/>
            <w:noWrap w:val="0"/>
            <w:vAlign w:val="center"/>
          </w:tcPr>
          <w:p w14:paraId="0A92616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68570FA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0FB2E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0FFCF78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698" w:type="dxa"/>
            <w:noWrap w:val="0"/>
            <w:vAlign w:val="center"/>
          </w:tcPr>
          <w:p w14:paraId="4DB5BB5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4817" w:type="dxa"/>
            <w:noWrap w:val="0"/>
            <w:vAlign w:val="center"/>
          </w:tcPr>
          <w:p w14:paraId="1B8717B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bl>
    <w:p w14:paraId="1C7EBBE9">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53475B4F">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1）作业时必须播放提示音乐，提示行人避让，提示音乐出现故障时应停止作业。</w:t>
      </w:r>
    </w:p>
    <w:p w14:paraId="6D293A97">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2）作业时速15公里/小时，喷水口喷水有力，不得出现断续喷水的现象。</w:t>
      </w:r>
    </w:p>
    <w:p w14:paraId="7240E5A5">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3）利用车后下直管状喷雾架进行喷雾降尘作业，作业时速8公里/小时，作业后路面湿润，无漏洒或积水现象。</w:t>
      </w:r>
    </w:p>
    <w:p w14:paraId="332AED4C">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以机动车道数确定洒水次数，应覆盖道路的所有机动车道，不得漏洒。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w:t>
      </w:r>
    </w:p>
    <w:p w14:paraId="3D45B7C3">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5）当气温≥30℃ 时，洒水作业应增加作业频次，一级和二级道路每日洒水不少于 4次，其他道路不少于3次。</w:t>
      </w:r>
    </w:p>
    <w:p w14:paraId="255E96A8">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6、水洗作业</w:t>
      </w:r>
    </w:p>
    <w:p w14:paraId="3C07CBA3">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（1）作业频次和时间：宜安排在夜间11：00-凌晨3：00、4：00 -6：30、9：00-11：00、12：00-15：00时段进行，每周水扫一次。</w:t>
      </w:r>
    </w:p>
    <w:p w14:paraId="5D042E44">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131EA692">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1）1组4人，2台小型机械，每小时作业面积约2-3万平方米。</w:t>
      </w:r>
    </w:p>
    <w:p w14:paraId="2F0568A6">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2）在有条件的路段推行水扫作业，即实行班组作业和人机结合。</w:t>
      </w:r>
    </w:p>
    <w:p w14:paraId="48501322">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人工手持高压水枪步行对人行道、隔离栏下、路外进行水扫，将路面漂浮物、灰尘冲到路牙下面，小型清洗车对慢车道进行清洗，保洁员将漂浮物扫到小型洗扫车作业范围内，小型洗扫车对路牙及路面垃圾进行洗扫，垃圾进入车内储存容器。</w:t>
      </w:r>
    </w:p>
    <w:p w14:paraId="50E9F609">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7、保洁作业</w:t>
      </w:r>
    </w:p>
    <w:p w14:paraId="31E60486">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891"/>
        <w:gridCol w:w="3585"/>
      </w:tblGrid>
      <w:tr w14:paraId="2752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6628AC3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891" w:type="dxa"/>
            <w:noWrap w:val="0"/>
            <w:vAlign w:val="center"/>
          </w:tcPr>
          <w:p w14:paraId="4E069D3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保洁次数</w:t>
            </w:r>
          </w:p>
        </w:tc>
        <w:tc>
          <w:tcPr>
            <w:tcW w:w="3585" w:type="dxa"/>
            <w:noWrap w:val="0"/>
            <w:vAlign w:val="top"/>
          </w:tcPr>
          <w:p w14:paraId="7F367F4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19818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75220F4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891" w:type="dxa"/>
            <w:noWrap w:val="0"/>
            <w:vAlign w:val="center"/>
          </w:tcPr>
          <w:p w14:paraId="0934AB3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2268D9C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3B77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C7F3AD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891" w:type="dxa"/>
            <w:noWrap w:val="0"/>
            <w:vAlign w:val="center"/>
          </w:tcPr>
          <w:p w14:paraId="20E1760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7FCE837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7701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5E3E11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891" w:type="dxa"/>
            <w:noWrap w:val="0"/>
            <w:vAlign w:val="center"/>
          </w:tcPr>
          <w:p w14:paraId="03DDFF1C">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1A3DF7A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7F5C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38A8FCC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891" w:type="dxa"/>
            <w:noWrap w:val="0"/>
            <w:vAlign w:val="center"/>
          </w:tcPr>
          <w:p w14:paraId="632E0F4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4C75BA5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208CE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393538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891" w:type="dxa"/>
            <w:noWrap w:val="0"/>
            <w:vAlign w:val="center"/>
          </w:tcPr>
          <w:p w14:paraId="0A2CFA6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3585" w:type="dxa"/>
            <w:noWrap w:val="0"/>
            <w:vAlign w:val="center"/>
          </w:tcPr>
          <w:p w14:paraId="6BAB0F7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043B7FFF">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7FE0851D">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1）机械保洁作业（皮卡捡拾车）应配备保洁人员，携带捡拾器及清扫机具；</w:t>
      </w:r>
    </w:p>
    <w:p w14:paraId="41285735">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2）车箱悬挂“道路保洁、随时停车”警示语；</w:t>
      </w:r>
    </w:p>
    <w:p w14:paraId="173FFB2B">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3）车装有LED显示屏，屏显各种宣传标语；</w:t>
      </w:r>
    </w:p>
    <w:p w14:paraId="1F70C98B">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4）沿路牙一侧行驶，作业时速15公里/小时，遇有漂浮垃圾时由车上保洁人员利用捡拾器捡拾，放置车箱垃圾筒内。</w:t>
      </w:r>
    </w:p>
    <w:p w14:paraId="1986DD72">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5）一般情况下保洁人员不得下车捡拾，特殊情况（含应急保障）下需要人工清扫保洁时，应按照规定设置安全警示牌和反光锥形警示筒等形成作业区，快速处置，快速撤离，同时做好安全警戒工作。</w:t>
      </w:r>
    </w:p>
    <w:p w14:paraId="15F8CAFF">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（四）环境卫生公共设施作业</w:t>
      </w:r>
    </w:p>
    <w:p w14:paraId="72AA35F2">
      <w:pPr>
        <w:pStyle w:val="6"/>
        <w:pageBreakBefore w:val="0"/>
        <w:tabs>
          <w:tab w:val="left" w:pos="709"/>
        </w:tabs>
        <w:kinsoku/>
        <w:wordWrap/>
        <w:overflowPunct/>
        <w:topLinePunct w:val="0"/>
        <w:bidi w:val="0"/>
        <w:adjustRightInd w:val="0"/>
        <w:spacing w:before="0" w:after="0" w:line="360" w:lineRule="auto"/>
        <w:ind w:firstLine="620" w:firstLineChars="29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w:t>
      </w:r>
    </w:p>
    <w:p w14:paraId="3870EE9D">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清洗消杀作业应遵守如下频次规定：</w:t>
      </w:r>
    </w:p>
    <w:tbl>
      <w:tblPr>
        <w:tblStyle w:val="46"/>
        <w:tblW w:w="7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454"/>
        <w:gridCol w:w="1975"/>
        <w:gridCol w:w="2436"/>
      </w:tblGrid>
      <w:tr w14:paraId="6524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72" w:type="dxa"/>
            <w:noWrap w:val="0"/>
            <w:vAlign w:val="center"/>
          </w:tcPr>
          <w:p w14:paraId="3CC1B12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454" w:type="dxa"/>
            <w:noWrap w:val="0"/>
            <w:vAlign w:val="center"/>
          </w:tcPr>
          <w:p w14:paraId="3D558B2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1975" w:type="dxa"/>
            <w:noWrap w:val="0"/>
            <w:vAlign w:val="top"/>
          </w:tcPr>
          <w:p w14:paraId="1FEFDB9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垃圾清理次数（每日）</w:t>
            </w:r>
          </w:p>
        </w:tc>
        <w:tc>
          <w:tcPr>
            <w:tcW w:w="2436" w:type="dxa"/>
            <w:noWrap w:val="0"/>
            <w:vAlign w:val="top"/>
          </w:tcPr>
          <w:p w14:paraId="6C06500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消杀次数</w:t>
            </w:r>
          </w:p>
        </w:tc>
      </w:tr>
      <w:tr w14:paraId="6EB8B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2893DF2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454" w:type="dxa"/>
            <w:noWrap w:val="0"/>
            <w:vAlign w:val="center"/>
          </w:tcPr>
          <w:p w14:paraId="38A1FD6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6156AE5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0482C47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restart"/>
            <w:noWrap w:val="0"/>
            <w:vAlign w:val="center"/>
          </w:tcPr>
          <w:p w14:paraId="462A43D7">
            <w:pPr>
              <w:pageBreakBefore w:val="0"/>
              <w:widowControl/>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4月至10月，每天消杀一次，11月到次年3月三天消杀一次。</w:t>
            </w:r>
          </w:p>
        </w:tc>
      </w:tr>
      <w:tr w14:paraId="45B7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28DD149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454" w:type="dxa"/>
            <w:noWrap w:val="0"/>
            <w:vAlign w:val="center"/>
          </w:tcPr>
          <w:p w14:paraId="6F3163A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51509EC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3FAF842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continue"/>
            <w:noWrap w:val="0"/>
            <w:vAlign w:val="top"/>
          </w:tcPr>
          <w:p w14:paraId="749703AC">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1DE0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4DEF4C8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454" w:type="dxa"/>
            <w:noWrap w:val="0"/>
            <w:vAlign w:val="center"/>
          </w:tcPr>
          <w:p w14:paraId="0BB9D3F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26EF9C4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4F29530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097099A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78E3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29FC979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454" w:type="dxa"/>
            <w:noWrap w:val="0"/>
            <w:vAlign w:val="center"/>
          </w:tcPr>
          <w:p w14:paraId="24482A1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6C4E462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31EB75C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78F3098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bl>
    <w:p w14:paraId="7E882FE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清洗要做到刷、洗、抹，摆放有序、掏净、盖好（锁好），复位好。</w:t>
      </w:r>
    </w:p>
    <w:p w14:paraId="3CE8FFDC">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（3）对陈旧、破损的</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要及时维修，油漆</w:t>
      </w:r>
      <w:r>
        <w:rPr>
          <w:rFonts w:hint="eastAsia" w:ascii="宋体" w:hAnsi="宋体" w:cs="宋体"/>
          <w:color w:val="auto"/>
          <w:sz w:val="21"/>
          <w:szCs w:val="21"/>
          <w:highlight w:val="none"/>
          <w:lang w:val="en-US" w:eastAsia="zh-CN"/>
        </w:rPr>
        <w:t>翻新</w:t>
      </w:r>
      <w:r>
        <w:rPr>
          <w:rFonts w:hint="eastAsia" w:ascii="宋体" w:hAnsi="宋体" w:eastAsia="宋体" w:cs="宋体"/>
          <w:color w:val="auto"/>
          <w:sz w:val="21"/>
          <w:szCs w:val="21"/>
          <w:highlight w:val="none"/>
        </w:rPr>
        <w:t>，对确实无法使用的，要及时更换。</w:t>
      </w:r>
    </w:p>
    <w:p w14:paraId="682A16D6">
      <w:pPr>
        <w:pStyle w:val="6"/>
        <w:pageBreakBefore w:val="0"/>
        <w:tabs>
          <w:tab w:val="left" w:pos="709"/>
        </w:tabs>
        <w:kinsoku/>
        <w:wordWrap/>
        <w:overflowPunct/>
        <w:topLinePunct w:val="0"/>
        <w:bidi w:val="0"/>
        <w:adjustRightInd w:val="0"/>
        <w:spacing w:before="0" w:after="0" w:line="360" w:lineRule="auto"/>
        <w:ind w:firstLine="578" w:firstLineChars="27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2、工具房及工具存放</w:t>
      </w:r>
    </w:p>
    <w:p w14:paraId="548AFBA2">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（1）工具房仅供存放环卫工具使用，任何单位和个人不得擅自改变工具房用途。</w:t>
      </w:r>
    </w:p>
    <w:p w14:paraId="2975920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（2）工具房外墙每天要擦洗一次，房顶每天清理一次。</w:t>
      </w:r>
    </w:p>
    <w:p w14:paraId="1ABDC60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（3）工具房每半年要翻新一次。</w:t>
      </w:r>
    </w:p>
    <w:p w14:paraId="5FC25415">
      <w:pPr>
        <w:pStyle w:val="4"/>
        <w:pageBreakBefore w:val="0"/>
        <w:kinsoku/>
        <w:wordWrap/>
        <w:overflowPunct/>
        <w:topLinePunct w:val="0"/>
        <w:bidi w:val="0"/>
        <w:adjustRightInd w:val="0"/>
        <w:snapToGrid w:val="0"/>
        <w:spacing w:before="0" w:after="0" w:line="360" w:lineRule="auto"/>
        <w:ind w:firstLine="578" w:firstLineChars="27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3、其他公共设施保洁作业</w:t>
      </w:r>
    </w:p>
    <w:p w14:paraId="07CBDBAA">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果皮箱作业</w:t>
      </w:r>
    </w:p>
    <w:p w14:paraId="5F1ACA4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增设充足果皮箱。按照“商业、金融业道路、街巷：50~100m；主要道路、次要道路、有辅道的快速路：100~200m；普通街巷、有人行道的快速路：200m~400m”的标准，选取适宜位置，设置充足的果皮箱，方便市民投放垃圾，新设置的果皮箱要按照垃圾分类收集要求，做到标识规范清晰、内容准确完善，箱体干净美观、与周围环境相协调。</w:t>
      </w:r>
    </w:p>
    <w:p w14:paraId="0EA21204">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落实果皮箱保洁要求。作业单位要按规定频次清掏果皮箱、收运垃圾，果皮箱内垃圾每日至少清掏1次，繁华路段积存垃圾不超过容量三分之二，做到即查即清，确保果皮箱无垃圾积压、满溢；按要求清洗果皮箱，每日至少清洁1次，繁华路段每日清洁3次，周围2m内应整洁、无蝇、无存留垃圾和污水，地面见本色。</w:t>
      </w:r>
    </w:p>
    <w:p w14:paraId="5041C857">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五、车辆信息化要求</w:t>
      </w:r>
    </w:p>
    <w:p w14:paraId="0C3E6D7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（1）作业单位应全面落实北斗规模化应用，实现环卫作业车辆单北斗定位终端</w:t>
      </w:r>
      <w:r>
        <w:rPr>
          <w:rFonts w:hint="default" w:ascii="宋体" w:hAnsi="宋体" w:eastAsia="宋体" w:cs="宋体"/>
          <w:color w:val="auto"/>
          <w:kern w:val="0"/>
          <w:sz w:val="21"/>
          <w:szCs w:val="21"/>
          <w:highlight w:val="none"/>
          <w:lang w:val="en-US" w:eastAsia="zh-CN"/>
        </w:rPr>
        <w:t>100%</w:t>
      </w:r>
      <w:r>
        <w:rPr>
          <w:rFonts w:hint="eastAsia" w:ascii="宋体" w:hAnsi="宋体" w:eastAsia="宋体" w:cs="宋体"/>
          <w:color w:val="auto"/>
          <w:kern w:val="0"/>
          <w:sz w:val="21"/>
          <w:szCs w:val="21"/>
          <w:highlight w:val="none"/>
          <w:lang w:val="en-US" w:eastAsia="zh-CN"/>
        </w:rPr>
        <w:t>全覆盖。</w:t>
      </w:r>
    </w:p>
    <w:p w14:paraId="0C3A834F">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（2）作业单位应严格按规定安装并常态化启用北斗定位等信息化监管设备。</w:t>
      </w:r>
    </w:p>
    <w:p w14:paraId="28CB5805">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六、安全生产要求</w:t>
      </w:r>
    </w:p>
    <w:p w14:paraId="73C26D7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（1）强化环卫作业全过程安全管理。</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持续加强机械化作业、垃圾转运及环卫基础设施的安全运行监管。分层级、分专业开展安全培训与应急演练，强化全员红线意识与规范操作。严格落实一线作业安全规定：严禁保洁员闯红灯、逆行，规范佩戴反光标识；出车前执行驾驶人员酒精检测；雾炮车作业前须排查线路、精确调整喷雾参数；严禁驾驶人员在车辆行驶或作业过程中使用手机接打电话、收发信息。确需进行必要通讯联络时，须将车辆停放在安全区域后进行；冬春季机械化作业须测温并严格执行</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零度以下不作业，</w:t>
      </w:r>
      <w:r>
        <w:rPr>
          <w:rFonts w:hint="eastAsia" w:ascii="宋体" w:hAnsi="宋体" w:cs="宋体"/>
          <w:color w:val="auto"/>
          <w:kern w:val="0"/>
          <w:sz w:val="21"/>
          <w:szCs w:val="21"/>
          <w:highlight w:val="none"/>
          <w:lang w:val="en-US" w:eastAsia="zh-CN"/>
        </w:rPr>
        <w:t>四</w:t>
      </w:r>
      <w:r>
        <w:rPr>
          <w:rFonts w:hint="eastAsia" w:ascii="宋体" w:hAnsi="宋体" w:eastAsia="宋体" w:cs="宋体"/>
          <w:color w:val="auto"/>
          <w:kern w:val="0"/>
          <w:sz w:val="21"/>
          <w:szCs w:val="21"/>
          <w:highlight w:val="none"/>
          <w:lang w:val="en-US" w:eastAsia="zh-CN"/>
        </w:rPr>
        <w:t>度以下不洒水</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规定；</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en-US" w:eastAsia="zh-CN"/>
        </w:rPr>
        <w:t>每月</w:t>
      </w:r>
      <w:r>
        <w:rPr>
          <w:rFonts w:hint="eastAsia" w:ascii="宋体" w:hAnsi="宋体" w:cs="宋体"/>
          <w:color w:val="auto"/>
          <w:kern w:val="0"/>
          <w:sz w:val="21"/>
          <w:szCs w:val="21"/>
          <w:highlight w:val="none"/>
          <w:lang w:val="en-US" w:eastAsia="zh-CN"/>
        </w:rPr>
        <w:t>定期</w:t>
      </w:r>
      <w:r>
        <w:rPr>
          <w:rFonts w:hint="eastAsia" w:ascii="宋体" w:hAnsi="宋体" w:eastAsia="宋体" w:cs="宋体"/>
          <w:color w:val="auto"/>
          <w:kern w:val="0"/>
          <w:sz w:val="21"/>
          <w:szCs w:val="21"/>
          <w:highlight w:val="none"/>
          <w:lang w:val="en-US" w:eastAsia="zh-CN"/>
        </w:rPr>
        <w:t>对垃圾运输车辆超速行驶情况进行核查。</w:t>
      </w:r>
    </w:p>
    <w:p w14:paraId="3DAE377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ascii="宋体" w:hAnsi="宋体" w:cs="宋体"/>
          <w:color w:val="auto"/>
          <w:kern w:val="0"/>
          <w:sz w:val="21"/>
          <w:szCs w:val="21"/>
          <w:highlight w:val="none"/>
          <w:lang w:val="en-US" w:eastAsia="zh-CN"/>
        </w:rPr>
        <w:t>落实</w:t>
      </w:r>
      <w:r>
        <w:rPr>
          <w:rFonts w:hint="eastAsia" w:ascii="宋体" w:hAnsi="宋体" w:eastAsia="宋体" w:cs="宋体"/>
          <w:color w:val="auto"/>
          <w:kern w:val="0"/>
          <w:sz w:val="21"/>
          <w:szCs w:val="21"/>
          <w:highlight w:val="none"/>
          <w:lang w:val="en-US" w:eastAsia="zh-CN"/>
        </w:rPr>
        <w:t>垃圾处理设施安全运行责任。</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严格按规程作业，重点加强运营管理、设备维护、消防安全、危化品管理、有限空间作业管理、应急演练及环保排放等的日常监管。</w:t>
      </w:r>
      <w:r>
        <w:rPr>
          <w:rFonts w:hint="eastAsia" w:ascii="宋体" w:hAnsi="宋体" w:cs="宋体"/>
          <w:color w:val="auto"/>
          <w:kern w:val="0"/>
          <w:sz w:val="21"/>
          <w:szCs w:val="21"/>
          <w:highlight w:val="none"/>
          <w:lang w:val="en-US" w:eastAsia="zh-CN"/>
        </w:rPr>
        <w:t>遵守</w:t>
      </w:r>
      <w:r>
        <w:rPr>
          <w:rFonts w:hint="eastAsia" w:ascii="宋体" w:hAnsi="宋体" w:eastAsia="宋体" w:cs="宋体"/>
          <w:color w:val="auto"/>
          <w:kern w:val="0"/>
          <w:sz w:val="21"/>
          <w:szCs w:val="21"/>
          <w:highlight w:val="none"/>
          <w:lang w:val="en-US" w:eastAsia="zh-CN"/>
        </w:rPr>
        <w:t>各类入厂（场）车辆与卸料平台管理，确保垃圾中转处置系统安全、规范运行。</w:t>
      </w:r>
    </w:p>
    <w:p w14:paraId="2C118D9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（3）其他。根据省、市、区最新安全生产工作要求，全面落实安全生产责任。</w:t>
      </w:r>
    </w:p>
    <w:p w14:paraId="003974D6">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七、重大活动保障作业要求</w:t>
      </w:r>
    </w:p>
    <w:p w14:paraId="74EBEAF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（1）“春节”、“国庆节”、“</w:t>
      </w:r>
      <w:r>
        <w:rPr>
          <w:rFonts w:hint="eastAsia" w:ascii="宋体" w:hAnsi="宋体" w:cs="宋体"/>
          <w:color w:val="auto"/>
          <w:kern w:val="0"/>
          <w:sz w:val="21"/>
          <w:szCs w:val="21"/>
          <w:highlight w:val="none"/>
          <w:lang w:val="en-US" w:eastAsia="zh-CN"/>
        </w:rPr>
        <w:t>国家</w:t>
      </w:r>
      <w:r>
        <w:rPr>
          <w:rFonts w:hint="eastAsia" w:ascii="宋体" w:hAnsi="宋体" w:eastAsia="宋体" w:cs="宋体"/>
          <w:color w:val="auto"/>
          <w:kern w:val="0"/>
          <w:sz w:val="21"/>
          <w:szCs w:val="21"/>
          <w:highlight w:val="none"/>
          <w:lang w:val="en-US" w:eastAsia="zh-CN"/>
        </w:rPr>
        <w:t>公祭日”纪念活动等节假日及重大活动期间作业单位须根据南京市城市管理局最新要求进行保障。</w:t>
      </w:r>
    </w:p>
    <w:p w14:paraId="560E4D34">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八、尘量要求及考核</w:t>
      </w:r>
    </w:p>
    <w:p w14:paraId="19C3CDCD">
      <w:pPr>
        <w:pStyle w:val="3"/>
        <w:pageBreakBefore w:val="0"/>
        <w:numPr>
          <w:ilvl w:val="0"/>
          <w:numId w:val="0"/>
        </w:numPr>
        <w:kinsoku/>
        <w:wordWrap/>
        <w:overflowPunct/>
        <w:topLinePunct w:val="0"/>
        <w:bidi w:val="0"/>
        <w:spacing w:line="360" w:lineRule="auto"/>
        <w:ind w:leftChars="25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服务期间，尘量要求及考核按相关主管部门要求执行</w:t>
      </w:r>
    </w:p>
    <w:p w14:paraId="651ECF39">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九、特别说明</w:t>
      </w:r>
    </w:p>
    <w:p w14:paraId="5F1E08A2">
      <w:pPr>
        <w:pStyle w:val="3"/>
        <w:pageBreakBefore w:val="0"/>
        <w:numPr>
          <w:ilvl w:val="0"/>
          <w:numId w:val="0"/>
        </w:numPr>
        <w:kinsoku/>
        <w:wordWrap/>
        <w:overflowPunct/>
        <w:topLinePunct w:val="0"/>
        <w:bidi w:val="0"/>
        <w:spacing w:line="360" w:lineRule="auto"/>
        <w:ind w:leftChars="250"/>
        <w:jc w:val="left"/>
        <w:textAlignment w:val="auto"/>
        <w:rPr>
          <w:rFonts w:hint="default"/>
          <w:b w:val="0"/>
          <w:bCs w:val="0"/>
          <w:highlight w:val="none"/>
          <w:lang w:val="en-US" w:eastAsia="zh-CN"/>
        </w:rPr>
      </w:pPr>
      <w:r>
        <w:rPr>
          <w:rFonts w:hint="eastAsia" w:ascii="宋体" w:hAnsi="宋体" w:eastAsia="宋体" w:cs="宋体"/>
          <w:b w:val="0"/>
          <w:bCs w:val="0"/>
          <w:color w:val="auto"/>
          <w:sz w:val="21"/>
          <w:szCs w:val="21"/>
          <w:highlight w:val="none"/>
          <w:lang w:val="en-US" w:eastAsia="zh-CN"/>
        </w:rPr>
        <w:t>（1）服务期间，环卫保洁作业要求以</w:t>
      </w:r>
      <w:r>
        <w:rPr>
          <w:rFonts w:hint="eastAsia" w:ascii="宋体" w:hAnsi="宋体" w:cs="宋体"/>
          <w:b w:val="0"/>
          <w:bCs w:val="0"/>
          <w:color w:val="auto"/>
          <w:sz w:val="21"/>
          <w:szCs w:val="21"/>
          <w:highlight w:val="none"/>
          <w:lang w:val="en-US" w:eastAsia="zh-CN"/>
        </w:rPr>
        <w:t>国家、省、市</w:t>
      </w:r>
      <w:r>
        <w:rPr>
          <w:rFonts w:hint="eastAsia" w:ascii="宋体" w:hAnsi="宋体" w:eastAsia="宋体" w:cs="宋体"/>
          <w:b w:val="0"/>
          <w:bCs w:val="0"/>
          <w:color w:val="auto"/>
          <w:sz w:val="21"/>
          <w:szCs w:val="21"/>
          <w:highlight w:val="none"/>
          <w:lang w:val="en-US" w:eastAsia="zh-CN"/>
        </w:rPr>
        <w:t>最新文件要求为准。</w:t>
      </w:r>
    </w:p>
    <w:p w14:paraId="577B7C53">
      <w:pPr>
        <w:pStyle w:val="158"/>
        <w:ind w:left="0" w:leftChars="0" w:firstLine="0" w:firstLineChars="0"/>
        <w:rPr>
          <w:rFonts w:hint="default"/>
          <w:highlight w:val="none"/>
          <w:lang w:val="en-US" w:eastAsia="zh-CN"/>
        </w:rPr>
        <w:sectPr>
          <w:pgSz w:w="11906" w:h="16838"/>
          <w:pgMar w:top="1440" w:right="1797" w:bottom="1440" w:left="1599" w:header="851" w:footer="992" w:gutter="0"/>
          <w:pgBorders>
            <w:top w:val="none" w:sz="0" w:space="0"/>
            <w:left w:val="none" w:sz="0" w:space="0"/>
            <w:bottom w:val="none" w:sz="0" w:space="0"/>
            <w:right w:val="none" w:sz="0" w:space="0"/>
          </w:pgBorders>
          <w:pgNumType w:fmt="decimal"/>
          <w:cols w:space="0" w:num="1"/>
          <w:titlePg/>
          <w:rtlGutter w:val="0"/>
          <w:docGrid w:type="lines" w:linePitch="315" w:charSpace="0"/>
        </w:sectPr>
      </w:pPr>
    </w:p>
    <w:p w14:paraId="3E2FA050">
      <w:pPr>
        <w:pStyle w:val="3"/>
        <w:numPr>
          <w:ilvl w:val="0"/>
          <w:numId w:val="6"/>
        </w:numPr>
        <w:rPr>
          <w:rFonts w:hint="eastAsia" w:ascii="宋体" w:hAnsi="宋体" w:cs="宋体"/>
          <w:highlight w:val="none"/>
        </w:rPr>
      </w:pPr>
      <w:r>
        <w:rPr>
          <w:rFonts w:hint="eastAsia" w:ascii="宋体" w:hAnsi="宋体" w:cs="宋体"/>
          <w:highlight w:val="none"/>
        </w:rPr>
        <w:t xml:space="preserve"> </w:t>
      </w:r>
      <w:bookmarkStart w:id="12" w:name="_Toc26261"/>
      <w:bookmarkStart w:id="13" w:name="_Toc1719"/>
      <w:bookmarkStart w:id="14" w:name="_Toc28129"/>
      <w:r>
        <w:rPr>
          <w:rFonts w:hint="eastAsia" w:ascii="宋体" w:hAnsi="宋体" w:cs="宋体"/>
          <w:highlight w:val="none"/>
        </w:rPr>
        <w:t>合同主要条款及格式</w:t>
      </w:r>
      <w:bookmarkEnd w:id="12"/>
      <w:bookmarkEnd w:id="13"/>
      <w:bookmarkEnd w:id="14"/>
    </w:p>
    <w:p w14:paraId="102F624D">
      <w:pPr>
        <w:ind w:left="3037" w:leftChars="689" w:hanging="1590" w:hangingChars="495"/>
        <w:rPr>
          <w:rFonts w:hint="eastAsia" w:ascii="宋体" w:hAnsi="宋体" w:cs="宋体"/>
          <w:b/>
          <w:bCs/>
          <w:color w:val="000000" w:themeColor="text1"/>
          <w:sz w:val="32"/>
          <w:szCs w:val="32"/>
          <w:highlight w:val="none"/>
          <w14:textFill>
            <w14:solidFill>
              <w14:schemeClr w14:val="tx1"/>
            </w14:solidFill>
          </w14:textFill>
        </w:rPr>
      </w:pPr>
    </w:p>
    <w:p w14:paraId="6C7CD68D">
      <w:pPr>
        <w:ind w:left="3037" w:leftChars="689" w:hanging="1590" w:hangingChars="495"/>
        <w:rPr>
          <w:rFonts w:hint="eastAsia" w:ascii="宋体" w:hAnsi="宋体" w:cs="宋体"/>
          <w:b/>
          <w:bCs/>
          <w:color w:val="000000" w:themeColor="text1"/>
          <w:sz w:val="32"/>
          <w:szCs w:val="32"/>
          <w:highlight w:val="none"/>
          <w14:textFill>
            <w14:solidFill>
              <w14:schemeClr w14:val="tx1"/>
            </w14:solidFill>
          </w14:textFill>
        </w:rPr>
      </w:pPr>
    </w:p>
    <w:p w14:paraId="41DF1BB2">
      <w:pPr>
        <w:ind w:left="3037" w:leftChars="689" w:hanging="1590" w:hangingChars="495"/>
        <w:rPr>
          <w:rFonts w:hint="default" w:ascii="宋体" w:hAnsi="宋体" w:cs="宋体"/>
          <w:b/>
          <w:bCs/>
          <w:color w:val="000000" w:themeColor="text1"/>
          <w:sz w:val="32"/>
          <w:szCs w:val="32"/>
          <w:highlight w:val="none"/>
          <w:u w:val="single"/>
          <w:lang w:val="en-US"/>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项目名称：</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p>
    <w:p w14:paraId="7FF25580">
      <w:pPr>
        <w:ind w:firstLine="1446" w:firstLineChars="450"/>
        <w:rPr>
          <w:rFonts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合同编号：</w:t>
      </w:r>
      <w:r>
        <w:rPr>
          <w:rFonts w:ascii="宋体" w:hAnsi="宋体" w:cs="宋体"/>
          <w:b/>
          <w:bCs/>
          <w:color w:val="000000" w:themeColor="text1"/>
          <w:sz w:val="32"/>
          <w:szCs w:val="32"/>
          <w:highlight w:val="none"/>
          <w:u w:val="single"/>
          <w14:textFill>
            <w14:solidFill>
              <w14:schemeClr w14:val="tx1"/>
            </w14:solidFill>
          </w14:textFill>
        </w:rPr>
        <w:t xml:space="preserve">                      </w:t>
      </w:r>
    </w:p>
    <w:p w14:paraId="333C1457">
      <w:pPr>
        <w:rPr>
          <w:rFonts w:ascii="宋体" w:hAnsi="宋体" w:cs="宋体"/>
          <w:b/>
          <w:bCs/>
          <w:color w:val="000000" w:themeColor="text1"/>
          <w:sz w:val="32"/>
          <w:highlight w:val="none"/>
          <w:u w:val="single"/>
          <w14:textFill>
            <w14:solidFill>
              <w14:schemeClr w14:val="tx1"/>
            </w14:solidFill>
          </w14:textFill>
        </w:rPr>
      </w:pPr>
    </w:p>
    <w:p w14:paraId="087066D0">
      <w:pPr>
        <w:rPr>
          <w:rFonts w:ascii="宋体" w:hAnsi="宋体" w:cs="宋体"/>
          <w:b/>
          <w:bCs/>
          <w:color w:val="000000" w:themeColor="text1"/>
          <w:sz w:val="32"/>
          <w:highlight w:val="none"/>
          <w14:textFill>
            <w14:solidFill>
              <w14:schemeClr w14:val="tx1"/>
            </w14:solidFill>
          </w14:textFill>
        </w:rPr>
      </w:pPr>
    </w:p>
    <w:p w14:paraId="6161BF34">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56FCA169">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C0BD6D2">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1205CD7E">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6E3D8E1">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07CA7F92">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45ACD5BF">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C8B0D7C">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4BC35CA">
      <w:pPr>
        <w:ind w:firstLine="1386" w:firstLineChars="493"/>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委托方（简称甲方）：</w:t>
      </w:r>
      <w:r>
        <w:rPr>
          <w:rFonts w:hint="eastAsia" w:ascii="宋体" w:hAnsi="宋体" w:cs="宋体"/>
          <w:b/>
          <w:bCs/>
          <w:color w:val="000000" w:themeColor="text1"/>
          <w:sz w:val="28"/>
          <w:szCs w:val="28"/>
          <w:highlight w:val="none"/>
          <w:u w:val="single"/>
          <w:lang w:eastAsia="zh-CN"/>
          <w14:textFill>
            <w14:solidFill>
              <w14:schemeClr w14:val="tx1"/>
            </w14:solidFill>
          </w14:textFill>
        </w:rPr>
        <w:t>南京市栖霞区城市管理局</w:t>
      </w:r>
    </w:p>
    <w:p w14:paraId="40C075A0">
      <w:pPr>
        <w:ind w:firstLine="1400" w:firstLineChars="498"/>
        <w:rPr>
          <w:rFonts w:ascii="宋体" w:hAnsi="宋体" w:cs="宋体"/>
          <w:b/>
          <w:bCs/>
          <w:color w:val="000000" w:themeColor="text1"/>
          <w:sz w:val="28"/>
          <w:szCs w:val="28"/>
          <w:highlight w:val="none"/>
          <w:u w:val="singl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服务方（简称乙方）：</w:t>
      </w:r>
      <w:r>
        <w:rPr>
          <w:rFonts w:hint="eastAsia" w:ascii="宋体" w:hAnsi="宋体" w:cs="宋体"/>
          <w:b/>
          <w:bCs/>
          <w:color w:val="000000" w:themeColor="text1"/>
          <w:sz w:val="28"/>
          <w:szCs w:val="28"/>
          <w:highlight w:val="none"/>
          <w:u w:val="single"/>
          <w14:textFill>
            <w14:solidFill>
              <w14:schemeClr w14:val="tx1"/>
            </w14:solidFill>
          </w14:textFill>
        </w:rPr>
        <w:t xml:space="preserve">                  </w:t>
      </w:r>
    </w:p>
    <w:p w14:paraId="4A0C23B9">
      <w:pPr>
        <w:ind w:firstLine="1400" w:firstLineChars="498"/>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日期：</w:t>
      </w:r>
      <w:r>
        <w:rPr>
          <w:rFonts w:ascii="宋体" w:hAnsi="宋体" w:cs="宋体"/>
          <w:b/>
          <w:bCs/>
          <w:color w:val="000000" w:themeColor="text1"/>
          <w:sz w:val="28"/>
          <w:szCs w:val="28"/>
          <w:highlight w:val="none"/>
          <w:u w:val="single"/>
          <w14:textFill>
            <w14:solidFill>
              <w14:schemeClr w14:val="tx1"/>
            </w14:solidFill>
          </w14:textFill>
        </w:rPr>
        <w:t>202</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6</w:t>
      </w:r>
      <w:r>
        <w:rPr>
          <w:rFonts w:hint="eastAsia" w:ascii="宋体" w:hAnsi="宋体" w:cs="宋体"/>
          <w:b/>
          <w:bCs/>
          <w:color w:val="000000" w:themeColor="text1"/>
          <w:sz w:val="28"/>
          <w:szCs w:val="28"/>
          <w:highlight w:val="none"/>
          <w:u w:val="single"/>
          <w14:textFill>
            <w14:solidFill>
              <w14:schemeClr w14:val="tx1"/>
            </w14:solidFill>
          </w14:textFill>
        </w:rPr>
        <w:t xml:space="preserve">年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月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日</w:t>
      </w:r>
    </w:p>
    <w:p w14:paraId="25124E7F">
      <w:pPr>
        <w:spacing w:line="440" w:lineRule="exact"/>
        <w:jc w:val="left"/>
        <w:rPr>
          <w:rFonts w:ascii="宋体" w:hAnsi="宋体" w:cs="宋体"/>
          <w:color w:val="000000" w:themeColor="text1"/>
          <w:sz w:val="24"/>
          <w:highlight w:val="none"/>
          <w:u w:val="single"/>
          <w14:textFill>
            <w14:solidFill>
              <w14:schemeClr w14:val="tx1"/>
            </w14:solidFill>
          </w14:textFill>
        </w:rPr>
      </w:pPr>
    </w:p>
    <w:p w14:paraId="46DE26E5">
      <w:pPr>
        <w:spacing w:line="440" w:lineRule="exact"/>
        <w:ind w:firstLine="480" w:firstLineChars="200"/>
        <w:jc w:val="left"/>
        <w:rPr>
          <w:rFonts w:ascii="宋体" w:hAnsi="宋体" w:cs="宋体"/>
          <w:color w:val="000000" w:themeColor="text1"/>
          <w:sz w:val="24"/>
          <w:highlight w:val="none"/>
          <w:u w:val="single"/>
          <w14:textFill>
            <w14:solidFill>
              <w14:schemeClr w14:val="tx1"/>
            </w14:solidFill>
          </w14:textFill>
        </w:rPr>
      </w:pPr>
    </w:p>
    <w:p w14:paraId="6E827730">
      <w:pPr>
        <w:spacing w:line="560" w:lineRule="exact"/>
        <w:rPr>
          <w:rFonts w:hint="eastAsia" w:ascii="宋体" w:hAnsi="宋体"/>
          <w:b/>
          <w:color w:val="000000" w:themeColor="text1"/>
          <w:sz w:val="44"/>
          <w:highlight w:val="none"/>
          <w14:textFill>
            <w14:solidFill>
              <w14:schemeClr w14:val="tx1"/>
            </w14:solidFill>
          </w14:textFill>
        </w:rPr>
      </w:pPr>
    </w:p>
    <w:p w14:paraId="21CB4F39">
      <w:pPr>
        <w:rPr>
          <w:rFonts w:ascii="宋体" w:hAnsi="宋体"/>
          <w:color w:val="000000" w:themeColor="text1"/>
          <w:highlight w:val="none"/>
          <w14:textFill>
            <w14:solidFill>
              <w14:schemeClr w14:val="tx1"/>
            </w14:solidFill>
          </w14:textFill>
        </w:rPr>
      </w:pPr>
      <w:bookmarkStart w:id="15" w:name="_Toc20823315"/>
      <w:bookmarkStart w:id="16" w:name="_Toc513029243"/>
      <w:bookmarkStart w:id="17" w:name="_Toc16938559"/>
    </w:p>
    <w:bookmarkEnd w:id="15"/>
    <w:bookmarkEnd w:id="16"/>
    <w:bookmarkEnd w:id="17"/>
    <w:p w14:paraId="76B4861F">
      <w:pPr>
        <w:rPr>
          <w:rFonts w:hint="eastAsia" w:ascii="宋体" w:hAnsi="宋体" w:eastAsia="宋体" w:cs="宋体"/>
          <w:color w:val="000000" w:themeColor="text1"/>
          <w:sz w:val="21"/>
          <w:szCs w:val="21"/>
          <w:highlight w:val="none"/>
          <w14:textFill>
            <w14:solidFill>
              <w14:schemeClr w14:val="tx1"/>
            </w14:solidFill>
          </w14:textFill>
        </w:rPr>
      </w:pPr>
      <w:bookmarkStart w:id="18" w:name="_Toc120614244"/>
      <w:bookmarkStart w:id="19" w:name="_Toc20823346"/>
      <w:bookmarkStart w:id="20" w:name="_Hlt16619350"/>
      <w:bookmarkStart w:id="21" w:name="_Toc28381_WPSOffice_Level1"/>
      <w:bookmarkStart w:id="22" w:name="_Toc18944_WPSOffice_Level1"/>
      <w:bookmarkStart w:id="23" w:name="_Toc16938590"/>
      <w:r>
        <w:rPr>
          <w:rFonts w:ascii="宋体" w:hAnsi="宋体"/>
          <w:color w:val="000000" w:themeColor="text1"/>
          <w:sz w:val="28"/>
          <w:szCs w:val="28"/>
          <w:highlight w:val="none"/>
          <w14:textFill>
            <w14:solidFill>
              <w14:schemeClr w14:val="tx1"/>
            </w14:solidFill>
          </w14:textFill>
        </w:rPr>
        <w:br w:type="page"/>
      </w:r>
      <w:r>
        <w:rPr>
          <w:rFonts w:hint="eastAsia" w:ascii="宋体" w:hAnsi="宋体" w:eastAsia="宋体" w:cs="宋体"/>
          <w:color w:val="000000" w:themeColor="text1"/>
          <w:sz w:val="21"/>
          <w:szCs w:val="21"/>
          <w:highlight w:val="none"/>
          <w14:textFill>
            <w14:solidFill>
              <w14:schemeClr w14:val="tx1"/>
            </w14:solidFill>
          </w14:textFill>
        </w:rPr>
        <w:t>合同编号:</w:t>
      </w:r>
    </w:p>
    <w:p w14:paraId="1AA715A8">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政府采购计划号:</w:t>
      </w:r>
    </w:p>
    <w:p w14:paraId="193DD6E8">
      <w:pPr>
        <w:rPr>
          <w:rFonts w:hint="eastAsia" w:ascii="宋体" w:hAnsi="宋体" w:eastAsia="宋体" w:cs="宋体"/>
          <w:color w:val="000000" w:themeColor="text1"/>
          <w:sz w:val="21"/>
          <w:szCs w:val="21"/>
          <w:highlight w:val="none"/>
          <w14:textFill>
            <w14:solidFill>
              <w14:schemeClr w14:val="tx1"/>
            </w14:solidFill>
          </w14:textFill>
        </w:rPr>
      </w:pPr>
    </w:p>
    <w:p w14:paraId="78C53911">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委托方(简称甲方):</w:t>
      </w:r>
    </w:p>
    <w:p w14:paraId="29749BC8">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住所地:</w:t>
      </w:r>
    </w:p>
    <w:p w14:paraId="1796081F">
      <w:pPr>
        <w:rPr>
          <w:rFonts w:hint="eastAsia" w:ascii="宋体" w:hAnsi="宋体" w:eastAsia="宋体" w:cs="宋体"/>
          <w:color w:val="000000" w:themeColor="text1"/>
          <w:sz w:val="21"/>
          <w:szCs w:val="21"/>
          <w:highlight w:val="none"/>
          <w14:textFill>
            <w14:solidFill>
              <w14:schemeClr w14:val="tx1"/>
            </w14:solidFill>
          </w14:textFill>
        </w:rPr>
      </w:pPr>
    </w:p>
    <w:p w14:paraId="17B8F039">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服务方(简称乙方):</w:t>
      </w:r>
    </w:p>
    <w:p w14:paraId="2231D7FF">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住所地:</w:t>
      </w:r>
    </w:p>
    <w:p w14:paraId="067BE7F3">
      <w:pPr>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p>
    <w:p w14:paraId="66EBD0D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根据《中华人民共和国政府采购法》</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《中华人民共和国</w:t>
      </w:r>
      <w:r>
        <w:rPr>
          <w:rFonts w:hint="eastAsia" w:ascii="宋体" w:hAnsi="宋体" w:cs="宋体"/>
          <w:bCs/>
          <w:color w:val="000000" w:themeColor="text1"/>
          <w:sz w:val="21"/>
          <w:szCs w:val="21"/>
          <w:highlight w:val="none"/>
          <w:lang w:val="en-US" w:eastAsia="zh-CN"/>
          <w14:textFill>
            <w14:solidFill>
              <w14:schemeClr w14:val="tx1"/>
            </w14:solidFill>
          </w14:textFill>
        </w:rPr>
        <w:t>民法典</w:t>
      </w:r>
      <w:r>
        <w:rPr>
          <w:rFonts w:hint="eastAsia" w:ascii="宋体" w:hAnsi="宋体" w:eastAsia="宋体" w:cs="宋体"/>
          <w:bCs/>
          <w:color w:val="000000" w:themeColor="text1"/>
          <w:sz w:val="21"/>
          <w:szCs w:val="21"/>
          <w:highlight w:val="none"/>
          <w14:textFill>
            <w14:solidFill>
              <w14:schemeClr w14:val="tx1"/>
            </w14:solidFill>
          </w14:textFill>
        </w:rPr>
        <w:t>》等有关法律、法规规定，在平等、自愿、协商一致的基础上，就甲方委托乙方进行</w:t>
      </w:r>
      <w:r>
        <w:rPr>
          <w:rFonts w:hint="eastAsia" w:ascii="宋体" w:hAnsi="宋体" w:cs="宋体"/>
          <w:bCs/>
          <w:color w:val="000000" w:themeColor="text1"/>
          <w:sz w:val="21"/>
          <w:szCs w:val="21"/>
          <w:highlight w:val="none"/>
          <w:lang w:val="en-US" w:eastAsia="zh-CN"/>
          <w14:textFill>
            <w14:solidFill>
              <w14:schemeClr w14:val="tx1"/>
            </w14:solidFill>
          </w14:textFill>
        </w:rPr>
        <w:t>环卫保洁</w:t>
      </w:r>
      <w:r>
        <w:rPr>
          <w:rFonts w:hint="eastAsia" w:ascii="宋体" w:hAnsi="宋体" w:eastAsia="宋体" w:cs="宋体"/>
          <w:bCs/>
          <w:color w:val="000000" w:themeColor="text1"/>
          <w:sz w:val="21"/>
          <w:szCs w:val="21"/>
          <w:highlight w:val="none"/>
          <w14:textFill>
            <w14:solidFill>
              <w14:schemeClr w14:val="tx1"/>
            </w14:solidFill>
          </w14:textFill>
        </w:rPr>
        <w:t>服务，特订立本合同，以求共同恪守。</w:t>
      </w:r>
    </w:p>
    <w:bookmarkEnd w:id="18"/>
    <w:bookmarkEnd w:id="19"/>
    <w:bookmarkEnd w:id="20"/>
    <w:bookmarkEnd w:id="21"/>
    <w:bookmarkEnd w:id="22"/>
    <w:bookmarkEnd w:id="23"/>
    <w:p w14:paraId="72517037">
      <w:pPr>
        <w:snapToGrid w:val="0"/>
        <w:spacing w:line="360" w:lineRule="auto"/>
        <w:ind w:left="420" w:left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一、服务范围</w:t>
      </w:r>
      <w:r>
        <w:rPr>
          <w:rFonts w:hint="eastAsia" w:ascii="宋体" w:hAnsi="宋体" w:eastAsia="宋体" w:cs="宋体"/>
          <w:color w:val="auto"/>
          <w:sz w:val="21"/>
          <w:szCs w:val="21"/>
          <w:highlight w:val="none"/>
        </w:rPr>
        <w:t>：</w:t>
      </w:r>
    </w:p>
    <w:p w14:paraId="7A7C1883">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本标</w:t>
      </w:r>
      <w:r>
        <w:rPr>
          <w:rFonts w:hint="eastAsia" w:ascii="宋体" w:hAnsi="宋体" w:cs="宋体"/>
          <w:b w:val="0"/>
          <w:bCs w:val="0"/>
          <w:i w:val="0"/>
          <w:iCs w:val="0"/>
          <w:color w:val="auto"/>
          <w:kern w:val="2"/>
          <w:sz w:val="21"/>
          <w:szCs w:val="21"/>
          <w:highlight w:val="none"/>
          <w:u w:val="none"/>
          <w:lang w:val="en-US" w:eastAsia="zh-CN" w:bidi="ar"/>
        </w:rPr>
        <w:t>环卫保洁设施量明细表</w:t>
      </w:r>
      <w:r>
        <w:rPr>
          <w:rFonts w:hint="eastAsia" w:ascii="宋体" w:hAnsi="宋体" w:eastAsia="宋体" w:cs="宋体"/>
          <w:color w:val="auto"/>
          <w:sz w:val="21"/>
          <w:szCs w:val="21"/>
          <w:highlight w:val="none"/>
        </w:rPr>
        <w:t>（见附件</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p>
    <w:p w14:paraId="32047993">
      <w:pPr>
        <w:snapToGrid w:val="0"/>
        <w:spacing w:line="360" w:lineRule="auto"/>
        <w:ind w:left="420" w:left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二、服务期限及合同价款</w:t>
      </w:r>
      <w:r>
        <w:rPr>
          <w:rFonts w:hint="eastAsia" w:ascii="宋体" w:hAnsi="宋体" w:eastAsia="宋体" w:cs="宋体"/>
          <w:color w:val="auto"/>
          <w:sz w:val="21"/>
          <w:szCs w:val="21"/>
          <w:highlight w:val="none"/>
        </w:rPr>
        <w:t>：</w:t>
      </w:r>
    </w:p>
    <w:p w14:paraId="42000C8D">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1、本项目总服务期为三年，合同一年一签，经考核合格后可续签下一年度。</w:t>
      </w:r>
    </w:p>
    <w:p w14:paraId="195159C5">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bookmarkStart w:id="24" w:name="_Hlk45577003"/>
      <w:bookmarkStart w:id="25" w:name="_Hlk45576590"/>
      <w:r>
        <w:rPr>
          <w:rFonts w:hint="eastAsia" w:ascii="宋体" w:hAnsi="宋体" w:eastAsia="宋体" w:cs="宋体"/>
          <w:color w:val="auto"/>
          <w:sz w:val="21"/>
          <w:szCs w:val="21"/>
          <w:highlight w:val="none"/>
        </w:rPr>
        <w:t>2、本合同第一年服务期暂定为</w:t>
      </w:r>
      <w:r>
        <w:rPr>
          <w:rFonts w:hint="eastAsia" w:ascii="宋体" w:hAnsi="宋体" w:eastAsia="宋体" w:cs="宋体"/>
          <w:color w:val="auto"/>
          <w:sz w:val="21"/>
          <w:szCs w:val="21"/>
          <w:highlight w:val="none"/>
          <w:u w:val="single"/>
        </w:rPr>
        <w:t>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 月 日至202</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年 月 日</w:t>
      </w:r>
      <w:r>
        <w:rPr>
          <w:rFonts w:hint="eastAsia" w:ascii="宋体" w:hAnsi="宋体" w:eastAsia="宋体" w:cs="宋体"/>
          <w:color w:val="auto"/>
          <w:sz w:val="21"/>
          <w:szCs w:val="21"/>
          <w:highlight w:val="none"/>
        </w:rPr>
        <w:t>，第一年合同期满后，甲方有权依据年度考核结果决定是否与乙方签订后续服务合同，续签合同的服务期以此类推。</w:t>
      </w:r>
      <w:bookmarkEnd w:id="24"/>
    </w:p>
    <w:bookmarkEnd w:id="25"/>
    <w:p w14:paraId="6D3D3D18">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3、本合同项下壹年服务费用人民币总价款为人民币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暂估，最终结算以实际甲方审核工作量为准</w:t>
      </w:r>
      <w:r>
        <w:rPr>
          <w:rFonts w:hint="eastAsia" w:ascii="宋体" w:hAnsi="宋体" w:eastAsia="宋体" w:cs="宋体"/>
          <w:color w:val="auto"/>
          <w:sz w:val="21"/>
          <w:szCs w:val="21"/>
          <w:highlight w:val="none"/>
          <w:lang w:eastAsia="zh-CN"/>
        </w:rPr>
        <w:t>）</w:t>
      </w:r>
    </w:p>
    <w:p w14:paraId="407111C0">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4、本合同执行期间合同单价不变,最终结算以实际甲方审核工作量为准，如服务范围不变，合同总价也不予调整。服务范围如有调整，甲方将提前30日以书面形式通知乙方。</w:t>
      </w:r>
    </w:p>
    <w:p w14:paraId="101D9112">
      <w:pPr>
        <w:snapToGrid w:val="0"/>
        <w:spacing w:line="360" w:lineRule="auto"/>
        <w:ind w:left="420" w:leftChars="200"/>
        <w:jc w:val="lef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三、</w:t>
      </w:r>
      <w:r>
        <w:rPr>
          <w:rFonts w:hint="eastAsia" w:ascii="宋体" w:hAnsi="宋体" w:eastAsia="宋体" w:cs="宋体"/>
          <w:b/>
          <w:color w:val="auto"/>
          <w:sz w:val="21"/>
          <w:szCs w:val="21"/>
          <w:highlight w:val="none"/>
        </w:rPr>
        <w:t>组成本合同的有关文件</w:t>
      </w:r>
      <w:r>
        <w:rPr>
          <w:rFonts w:hint="eastAsia" w:ascii="宋体" w:hAnsi="宋体" w:cs="宋体"/>
          <w:b/>
          <w:color w:val="auto"/>
          <w:sz w:val="21"/>
          <w:szCs w:val="21"/>
          <w:highlight w:val="none"/>
          <w:lang w:eastAsia="zh-CN"/>
        </w:rPr>
        <w:t>：</w:t>
      </w:r>
    </w:p>
    <w:p w14:paraId="4797D18F">
      <w:pPr>
        <w:pStyle w:val="56"/>
        <w:spacing w:line="360" w:lineRule="auto"/>
        <w:rPr>
          <w:rFonts w:hint="eastAsia" w:ascii="宋体" w:hAnsi="宋体"/>
          <w:szCs w:val="21"/>
          <w:highlight w:val="none"/>
        </w:rPr>
      </w:pPr>
      <w:r>
        <w:rPr>
          <w:rFonts w:hint="eastAsia" w:ascii="宋体" w:hAnsi="宋体"/>
          <w:szCs w:val="21"/>
          <w:highlight w:val="none"/>
        </w:rPr>
        <w:t>下列关于</w:t>
      </w:r>
      <w:r>
        <w:rPr>
          <w:rFonts w:hint="eastAsia" w:ascii="宋体" w:hAnsi="宋体"/>
          <w:szCs w:val="21"/>
          <w:highlight w:val="none"/>
          <w:u w:val="single"/>
          <w:lang w:val="en-US" w:eastAsia="zh-CN"/>
        </w:rPr>
        <w:t xml:space="preserve">         </w:t>
      </w:r>
      <w:r>
        <w:rPr>
          <w:rFonts w:hint="eastAsia" w:ascii="宋体" w:hAnsi="宋体"/>
          <w:szCs w:val="21"/>
          <w:highlight w:val="none"/>
        </w:rPr>
        <w:t>项目的招投标文件或与本次采购活动方式相适应的文件及有关附件是本合同不可分割的组成部分，与本合同具有同等法律效力，这些文件包括但不限于：</w:t>
      </w:r>
    </w:p>
    <w:p w14:paraId="0B95024C">
      <w:pPr>
        <w:pStyle w:val="56"/>
        <w:spacing w:line="360" w:lineRule="auto"/>
        <w:rPr>
          <w:rFonts w:hint="eastAsia" w:ascii="宋体" w:hAnsi="宋体"/>
          <w:szCs w:val="21"/>
          <w:highlight w:val="none"/>
        </w:rPr>
      </w:pPr>
      <w:r>
        <w:rPr>
          <w:rFonts w:hint="eastAsia" w:ascii="宋体" w:hAnsi="宋体"/>
          <w:szCs w:val="21"/>
          <w:highlight w:val="none"/>
        </w:rPr>
        <w:t>1.乙方提供的投标文件和投标文件价格部分；</w:t>
      </w:r>
    </w:p>
    <w:p w14:paraId="5755202A">
      <w:pPr>
        <w:pStyle w:val="56"/>
        <w:spacing w:line="360" w:lineRule="auto"/>
        <w:rPr>
          <w:rFonts w:hint="eastAsia" w:ascii="宋体" w:hAnsi="宋体"/>
          <w:szCs w:val="21"/>
          <w:highlight w:val="none"/>
        </w:rPr>
      </w:pPr>
      <w:r>
        <w:rPr>
          <w:rFonts w:hint="eastAsia" w:ascii="宋体" w:hAnsi="宋体"/>
          <w:szCs w:val="21"/>
          <w:highlight w:val="none"/>
        </w:rPr>
        <w:t>2.技术条款偏离表；</w:t>
      </w:r>
    </w:p>
    <w:p w14:paraId="6FAB61CC">
      <w:pPr>
        <w:pStyle w:val="56"/>
        <w:spacing w:line="360" w:lineRule="auto"/>
        <w:rPr>
          <w:rFonts w:hint="eastAsia" w:ascii="宋体" w:hAnsi="宋体"/>
          <w:szCs w:val="21"/>
          <w:highlight w:val="none"/>
        </w:rPr>
      </w:pPr>
      <w:r>
        <w:rPr>
          <w:rFonts w:hint="eastAsia" w:ascii="宋体" w:hAnsi="宋体"/>
          <w:szCs w:val="21"/>
          <w:highlight w:val="none"/>
        </w:rPr>
        <w:t>3.投标承诺/服务承诺；</w:t>
      </w:r>
    </w:p>
    <w:p w14:paraId="14B5065A">
      <w:pPr>
        <w:pStyle w:val="56"/>
        <w:spacing w:line="360" w:lineRule="auto"/>
        <w:rPr>
          <w:rFonts w:hint="eastAsia" w:ascii="宋体" w:hAnsi="宋体"/>
          <w:szCs w:val="21"/>
          <w:highlight w:val="none"/>
        </w:rPr>
      </w:pPr>
      <w:r>
        <w:rPr>
          <w:rFonts w:hint="eastAsia" w:ascii="宋体" w:hAnsi="宋体"/>
          <w:szCs w:val="21"/>
          <w:highlight w:val="none"/>
        </w:rPr>
        <w:t>4.中标通知书；</w:t>
      </w:r>
    </w:p>
    <w:p w14:paraId="2BBE460A">
      <w:pPr>
        <w:pStyle w:val="56"/>
        <w:rPr>
          <w:rFonts w:hint="eastAsia"/>
          <w:highlight w:val="none"/>
        </w:rPr>
      </w:pPr>
      <w:r>
        <w:rPr>
          <w:rFonts w:hint="eastAsia" w:ascii="宋体" w:hAnsi="宋体"/>
          <w:szCs w:val="21"/>
          <w:highlight w:val="none"/>
        </w:rPr>
        <w:t>5.甲乙双方商定的其他文件等。</w:t>
      </w:r>
    </w:p>
    <w:p w14:paraId="7A2C9FF7">
      <w:pPr>
        <w:snapToGrid w:val="0"/>
        <w:spacing w:line="360" w:lineRule="auto"/>
        <w:ind w:left="420" w:leftChars="200"/>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四</w:t>
      </w:r>
      <w:r>
        <w:rPr>
          <w:rFonts w:hint="eastAsia" w:ascii="宋体" w:hAnsi="宋体" w:eastAsia="宋体" w:cs="宋体"/>
          <w:b/>
          <w:color w:val="auto"/>
          <w:sz w:val="21"/>
          <w:szCs w:val="21"/>
          <w:highlight w:val="none"/>
        </w:rPr>
        <w:t>、服务标准：</w:t>
      </w:r>
    </w:p>
    <w:p w14:paraId="4527CEB3">
      <w:pPr>
        <w:pStyle w:val="56"/>
        <w:spacing w:line="360" w:lineRule="auto"/>
        <w:rPr>
          <w:rFonts w:hint="eastAsia" w:ascii="宋体" w:hAnsi="宋体" w:eastAsia="宋体"/>
          <w:b/>
          <w:bCs/>
          <w:szCs w:val="21"/>
          <w:highlight w:val="none"/>
          <w:lang w:eastAsia="zh-CN"/>
        </w:rPr>
      </w:pPr>
      <w:r>
        <w:rPr>
          <w:rFonts w:hint="eastAsia" w:ascii="宋体" w:hAnsi="宋体"/>
          <w:b/>
          <w:bCs/>
          <w:szCs w:val="21"/>
          <w:highlight w:val="none"/>
          <w:lang w:val="en-US" w:eastAsia="zh-CN"/>
        </w:rPr>
        <w:t>1、</w:t>
      </w:r>
      <w:r>
        <w:rPr>
          <w:rFonts w:hint="eastAsia" w:ascii="宋体" w:hAnsi="宋体"/>
          <w:b/>
          <w:bCs/>
          <w:szCs w:val="21"/>
          <w:highlight w:val="none"/>
        </w:rPr>
        <w:t>考核办法</w:t>
      </w:r>
      <w:r>
        <w:rPr>
          <w:rFonts w:hint="eastAsia" w:ascii="宋体" w:hAnsi="宋体"/>
          <w:b/>
          <w:bCs/>
          <w:szCs w:val="21"/>
          <w:highlight w:val="none"/>
          <w:lang w:eastAsia="zh-CN"/>
        </w:rPr>
        <w:t>：</w:t>
      </w:r>
    </w:p>
    <w:p w14:paraId="6B2EF79A">
      <w:pPr>
        <w:pStyle w:val="56"/>
        <w:spacing w:line="360" w:lineRule="auto"/>
        <w:rPr>
          <w:rFonts w:hint="eastAsia" w:ascii="宋体" w:hAnsi="宋体"/>
          <w:szCs w:val="21"/>
          <w:highlight w:val="none"/>
        </w:rPr>
      </w:pPr>
      <w:r>
        <w:rPr>
          <w:rFonts w:hint="eastAsia" w:ascii="宋体" w:hAnsi="宋体"/>
          <w:szCs w:val="21"/>
          <w:highlight w:val="none"/>
        </w:rPr>
        <w:t>由甲方、行业主管部门或受委托的有关单位采取</w:t>
      </w:r>
      <w:r>
        <w:rPr>
          <w:rFonts w:hint="eastAsia" w:ascii="宋体" w:hAnsi="宋体"/>
          <w:szCs w:val="21"/>
          <w:highlight w:val="none"/>
          <w:lang w:val="en-US" w:eastAsia="zh-CN"/>
        </w:rPr>
        <w:t>日常检查、</w:t>
      </w:r>
      <w:r>
        <w:rPr>
          <w:rFonts w:hint="eastAsia" w:ascii="宋体" w:hAnsi="宋体"/>
          <w:szCs w:val="21"/>
          <w:highlight w:val="none"/>
        </w:rPr>
        <w:t>随机检查</w:t>
      </w:r>
      <w:r>
        <w:rPr>
          <w:rFonts w:hint="eastAsia" w:ascii="宋体" w:hAnsi="宋体"/>
          <w:szCs w:val="21"/>
          <w:highlight w:val="none"/>
          <w:lang w:val="en-US" w:eastAsia="zh-CN"/>
        </w:rPr>
        <w:t>和</w:t>
      </w:r>
      <w:r>
        <w:rPr>
          <w:rFonts w:hint="eastAsia" w:ascii="宋体" w:hAnsi="宋体"/>
          <w:szCs w:val="21"/>
          <w:highlight w:val="none"/>
        </w:rPr>
        <w:t>专项检查相结合的方法。其中保洁类专项检查为现场暗查考核，每周不少于</w:t>
      </w:r>
      <w:r>
        <w:rPr>
          <w:rFonts w:hint="eastAsia" w:ascii="宋体" w:hAnsi="宋体"/>
          <w:szCs w:val="21"/>
          <w:highlight w:val="none"/>
          <w:lang w:val="en-US" w:eastAsia="zh-CN"/>
        </w:rPr>
        <w:t>1</w:t>
      </w:r>
      <w:r>
        <w:rPr>
          <w:rFonts w:hint="eastAsia" w:ascii="宋体" w:hAnsi="宋体"/>
          <w:szCs w:val="21"/>
          <w:highlight w:val="none"/>
        </w:rPr>
        <w:t>次，不通知被查单位，随机抽签确定；作业车辆专项检查每月一次。随机检查不限定区域、时间，所有设施、任何时间均可以检查。群众举报、媒体曝光、环保扬尘污染督查及各级领导指出问题，纳入随机考核范畴，限期整改。</w:t>
      </w:r>
    </w:p>
    <w:p w14:paraId="60075BF3">
      <w:pPr>
        <w:pStyle w:val="56"/>
        <w:spacing w:line="360" w:lineRule="auto"/>
        <w:ind w:firstLine="422"/>
        <w:rPr>
          <w:rFonts w:hint="eastAsia" w:ascii="宋体" w:hAnsi="宋体"/>
          <w:b/>
          <w:bCs/>
          <w:szCs w:val="21"/>
          <w:highlight w:val="none"/>
        </w:rPr>
      </w:pPr>
      <w:r>
        <w:rPr>
          <w:rFonts w:hint="eastAsia" w:ascii="宋体" w:hAnsi="宋体"/>
          <w:b/>
          <w:bCs/>
          <w:szCs w:val="21"/>
          <w:highlight w:val="none"/>
        </w:rPr>
        <w:t>考核计分与奖惩</w:t>
      </w:r>
    </w:p>
    <w:p w14:paraId="265A8EEB">
      <w:pPr>
        <w:pStyle w:val="56"/>
        <w:spacing w:line="360" w:lineRule="auto"/>
        <w:rPr>
          <w:rFonts w:hint="eastAsia" w:ascii="宋体" w:hAnsi="宋体"/>
          <w:szCs w:val="21"/>
          <w:highlight w:val="none"/>
        </w:rPr>
      </w:pPr>
      <w:r>
        <w:rPr>
          <w:rFonts w:hint="eastAsia" w:ascii="宋体" w:hAnsi="宋体"/>
          <w:szCs w:val="21"/>
          <w:highlight w:val="none"/>
        </w:rPr>
        <w:t>（1）考核检查项目实行累计扣分制，凡是检查考核不符合环卫作业管理和质量标准或是发现问题处理不及时，按照市、区当年《环境卫生管理考核办法》和《评分细则》扣分标准扣除相应分数。</w:t>
      </w:r>
    </w:p>
    <w:p w14:paraId="4E218DFF">
      <w:pPr>
        <w:pStyle w:val="56"/>
        <w:spacing w:line="360" w:lineRule="auto"/>
        <w:rPr>
          <w:rFonts w:hint="eastAsia" w:ascii="宋体" w:hAnsi="宋体"/>
          <w:szCs w:val="21"/>
          <w:highlight w:val="none"/>
        </w:rPr>
      </w:pPr>
      <w:r>
        <w:rPr>
          <w:rFonts w:hint="eastAsia" w:ascii="宋体" w:hAnsi="宋体"/>
          <w:szCs w:val="21"/>
          <w:highlight w:val="none"/>
        </w:rPr>
        <w:t>（2）考核结果与环卫保洁服务费挂钩。</w:t>
      </w:r>
    </w:p>
    <w:p w14:paraId="6C864E7B">
      <w:pPr>
        <w:pStyle w:val="56"/>
        <w:spacing w:line="360" w:lineRule="auto"/>
        <w:rPr>
          <w:rFonts w:hint="eastAsia" w:ascii="宋体" w:hAnsi="宋体"/>
          <w:szCs w:val="21"/>
          <w:highlight w:val="none"/>
        </w:rPr>
      </w:pPr>
      <w:r>
        <w:rPr>
          <w:rFonts w:hint="eastAsia" w:ascii="宋体" w:hAnsi="宋体"/>
          <w:szCs w:val="21"/>
          <w:highlight w:val="none"/>
        </w:rPr>
        <w:t>计算方法</w:t>
      </w:r>
    </w:p>
    <w:p w14:paraId="79E00D1C">
      <w:pPr>
        <w:pStyle w:val="56"/>
        <w:spacing w:line="360" w:lineRule="auto"/>
        <w:rPr>
          <w:rFonts w:hint="eastAsia" w:ascii="宋体" w:hAnsi="宋体"/>
          <w:szCs w:val="21"/>
          <w:highlight w:val="none"/>
        </w:rPr>
      </w:pPr>
      <w:r>
        <w:rPr>
          <w:rFonts w:hint="eastAsia" w:ascii="宋体" w:hAnsi="宋体"/>
          <w:szCs w:val="21"/>
          <w:highlight w:val="none"/>
        </w:rPr>
        <w:t>1）市、区两级主要领导、市主管部门、城市长效管理考评及媒体曝光、市民举报投诉按考评分值加倍扣分。</w:t>
      </w:r>
    </w:p>
    <w:p w14:paraId="7E50040B">
      <w:pPr>
        <w:pStyle w:val="56"/>
        <w:spacing w:line="360" w:lineRule="auto"/>
        <w:rPr>
          <w:rFonts w:hint="default" w:ascii="宋体" w:hAnsi="宋体"/>
          <w:szCs w:val="21"/>
          <w:highlight w:val="none"/>
          <w:lang w:val="en-US"/>
        </w:rPr>
      </w:pPr>
      <w:r>
        <w:rPr>
          <w:rFonts w:hint="eastAsia" w:ascii="宋体" w:hAnsi="宋体"/>
          <w:szCs w:val="21"/>
          <w:highlight w:val="none"/>
        </w:rPr>
        <w:t>2）绩效考核以月为单位，实行每月累计扣分制度，设定乙方每月市、区两级绩效考核满分为100分。考核中发现的问题，按照市、区当年《环境卫生管理考核办法》和《评分细则》扣分标准在100分内扣除相应分数</w:t>
      </w:r>
      <w:r>
        <w:rPr>
          <w:rFonts w:hint="eastAsia" w:ascii="宋体" w:hAnsi="宋体"/>
          <w:szCs w:val="21"/>
          <w:highlight w:val="none"/>
          <w:lang w:eastAsia="zh-CN"/>
        </w:rPr>
        <w:t>，80分（含80分）以上为合格，80分（不含80分）以下为不合格。</w:t>
      </w:r>
      <w:r>
        <w:rPr>
          <w:rFonts w:hint="eastAsia" w:ascii="宋体" w:hAnsi="宋体"/>
          <w:szCs w:val="21"/>
          <w:highlight w:val="none"/>
          <w:lang w:val="en-US" w:eastAsia="zh-CN"/>
        </w:rPr>
        <w:t>具体考核细则待合同签订时明确。</w:t>
      </w:r>
    </w:p>
    <w:p w14:paraId="47D1D0B7">
      <w:pPr>
        <w:pStyle w:val="56"/>
        <w:spacing w:line="360" w:lineRule="auto"/>
        <w:ind w:firstLine="422"/>
        <w:rPr>
          <w:rFonts w:hint="eastAsia" w:ascii="宋体" w:hAnsi="宋体" w:eastAsia="宋体"/>
          <w:b/>
          <w:bCs/>
          <w:szCs w:val="21"/>
          <w:highlight w:val="none"/>
          <w:lang w:eastAsia="zh-CN"/>
        </w:rPr>
      </w:pPr>
      <w:r>
        <w:rPr>
          <w:rFonts w:hint="eastAsia" w:ascii="宋体" w:hAnsi="宋体"/>
          <w:b/>
          <w:bCs/>
          <w:szCs w:val="21"/>
          <w:highlight w:val="none"/>
          <w:lang w:val="en-US" w:eastAsia="zh-CN"/>
        </w:rPr>
        <w:t>2、</w:t>
      </w:r>
      <w:r>
        <w:rPr>
          <w:rFonts w:hint="eastAsia" w:ascii="宋体" w:hAnsi="宋体"/>
          <w:b/>
          <w:bCs/>
          <w:szCs w:val="21"/>
          <w:highlight w:val="none"/>
        </w:rPr>
        <w:t>考核体系</w:t>
      </w:r>
      <w:r>
        <w:rPr>
          <w:rFonts w:hint="eastAsia" w:ascii="宋体" w:hAnsi="宋体"/>
          <w:b/>
          <w:bCs/>
          <w:szCs w:val="21"/>
          <w:highlight w:val="none"/>
          <w:lang w:eastAsia="zh-CN"/>
        </w:rPr>
        <w:t>：</w:t>
      </w:r>
    </w:p>
    <w:p w14:paraId="4C48E476">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szCs w:val="21"/>
          <w:highlight w:val="none"/>
        </w:rPr>
        <w:t>本项目绩效考核体系表参照市、区两级考核办法。如在合同期内所参照的考核办法进行了修订，则按照南京市、</w:t>
      </w:r>
      <w:r>
        <w:rPr>
          <w:rFonts w:hint="eastAsia" w:ascii="宋体" w:hAnsi="宋体"/>
          <w:szCs w:val="21"/>
          <w:highlight w:val="none"/>
          <w:lang w:val="en-US" w:eastAsia="zh-CN"/>
        </w:rPr>
        <w:t>栖霞区</w:t>
      </w:r>
      <w:r>
        <w:rPr>
          <w:rFonts w:hint="eastAsia" w:ascii="宋体" w:hAnsi="宋体"/>
          <w:szCs w:val="21"/>
          <w:highlight w:val="none"/>
        </w:rPr>
        <w:t>城管局发布的最新的环境卫生管理考核办法执行。</w:t>
      </w:r>
    </w:p>
    <w:p w14:paraId="3A071E3E">
      <w:pPr>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rPr>
        <w:t>、管理原则</w:t>
      </w:r>
      <w:r>
        <w:rPr>
          <w:rFonts w:hint="eastAsia" w:ascii="宋体" w:hAnsi="宋体" w:eastAsia="宋体" w:cs="宋体"/>
          <w:color w:val="auto"/>
          <w:sz w:val="21"/>
          <w:szCs w:val="21"/>
          <w:highlight w:val="none"/>
        </w:rPr>
        <w:t>：</w:t>
      </w:r>
    </w:p>
    <w:p w14:paraId="55A0A10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（1）服务合同签订后，乙方不得以任何形式转包、分包，一旦发现，甲方有权单方面终止承包协议，由此产生的后果及经济损失，由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承担。</w:t>
      </w:r>
    </w:p>
    <w:p w14:paraId="32D8069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（2）合同期间，乙方必须接受甲方的协调、监督与考核，严格按确定的任务、质量标准、作业规范进行工作。</w:t>
      </w:r>
    </w:p>
    <w:p w14:paraId="344780F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（3）合同期间，因乙方安排不善、管理欠缺，责任心不强引起上级部门通报批评、扣分或新闻媒介曝光的，甲方有追加</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责任和暂缓支付其经费的权力。</w:t>
      </w:r>
    </w:p>
    <w:p w14:paraId="6685148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（4）合同期间，乙方按劳动合同或劳务合同聘用保洁人员，不可无故辞退保洁人员。</w:t>
      </w:r>
    </w:p>
    <w:p w14:paraId="39AE6DD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（5）按照江苏省环卫定额标准要求，合理安排保洁人员和作业机械数量。</w:t>
      </w:r>
    </w:p>
    <w:p w14:paraId="31B0AF4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（6）按法律规定和合同约定采取施工安全和环境保护措施，办理工伤保险，确保人员、材料、设备和设施的安全；所有安全事故的赔偿及善后费用均由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承担；受到报纸、电视等媒体的曝光或政府有关部门的通报，给本项目的社会形象造成负面影响时，</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承担一切损失费用及相应赔偿。</w:t>
      </w:r>
    </w:p>
    <w:p w14:paraId="63475D2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（7）环卫保洁作业在管理区域各路口向外延伸</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0米保洁范围，不计入工作量统计和考核。</w:t>
      </w:r>
    </w:p>
    <w:p w14:paraId="52BDEBEA">
      <w:pPr>
        <w:pStyle w:val="21"/>
        <w:spacing w:after="0" w:line="360" w:lineRule="auto"/>
        <w:ind w:left="0" w:leftChars="0" w:right="0" w:rightChars="0"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4、双方权利义务</w:t>
      </w:r>
      <w:r>
        <w:rPr>
          <w:rFonts w:hint="eastAsia" w:ascii="宋体" w:hAnsi="宋体" w:eastAsia="宋体" w:cs="宋体"/>
          <w:color w:val="auto"/>
          <w:sz w:val="21"/>
          <w:szCs w:val="21"/>
          <w:highlight w:val="none"/>
        </w:rPr>
        <w:t>：</w:t>
      </w:r>
    </w:p>
    <w:p w14:paraId="310010F0">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4.1、甲方权利和义务</w:t>
      </w:r>
    </w:p>
    <w:p w14:paraId="039F07E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（1）甲方每月25号之前审核乙方上报的下个月度环卫保洁工作计划及月度管养工作量报表，并于每月5日前检查上个月管养计划执行情况，并对</w:t>
      </w:r>
      <w:r>
        <w:rPr>
          <w:rFonts w:hint="eastAsia" w:ascii="宋体" w:hAnsi="宋体" w:eastAsia="宋体" w:cs="宋体"/>
          <w:color w:val="auto"/>
          <w:sz w:val="21"/>
          <w:szCs w:val="21"/>
          <w:highlight w:val="none"/>
          <w:lang w:val="zh-CN"/>
        </w:rPr>
        <w:t>乙方工作进行月</w:t>
      </w:r>
      <w:r>
        <w:rPr>
          <w:rFonts w:hint="eastAsia" w:ascii="宋体" w:hAnsi="宋体" w:eastAsia="宋体" w:cs="宋体"/>
          <w:color w:val="auto"/>
          <w:sz w:val="21"/>
          <w:szCs w:val="21"/>
          <w:highlight w:val="none"/>
        </w:rPr>
        <w:t>度考核和季度考核；</w:t>
      </w:r>
    </w:p>
    <w:p w14:paraId="12F38A6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（2）对乙方日常环卫保洁工作的质量、安全、周期和巡视工作进行不定期抽查；</w:t>
      </w:r>
    </w:p>
    <w:p w14:paraId="66EE2D9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（3）由于</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需要，甲方对乙方的工作内容及范围有调整的权利，乙方</w:t>
      </w:r>
      <w:r>
        <w:rPr>
          <w:rFonts w:hint="eastAsia" w:ascii="宋体" w:hAnsi="宋体" w:cs="宋体"/>
          <w:color w:val="auto"/>
          <w:sz w:val="21"/>
          <w:szCs w:val="21"/>
          <w:highlight w:val="none"/>
          <w:lang w:val="en-US" w:eastAsia="zh-CN"/>
        </w:rPr>
        <w:t>应当执行</w:t>
      </w:r>
      <w:r>
        <w:rPr>
          <w:rFonts w:hint="eastAsia" w:ascii="宋体" w:hAnsi="宋体" w:eastAsia="宋体" w:cs="宋体"/>
          <w:color w:val="auto"/>
          <w:sz w:val="21"/>
          <w:szCs w:val="21"/>
          <w:highlight w:val="none"/>
        </w:rPr>
        <w:t>；</w:t>
      </w:r>
    </w:p>
    <w:p w14:paraId="46A30BC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（4）在乙方不能履行本合同相应责任、义务或未完成履行而造成严重后果时,甲方将书面通知乙方终止合同,并按相关法律、法规对乙方追究责任；</w:t>
      </w:r>
    </w:p>
    <w:p w14:paraId="7497154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）按照合同要求及</w:t>
      </w:r>
      <w:r>
        <w:rPr>
          <w:rFonts w:hint="eastAsia" w:ascii="宋体" w:hAnsi="宋体" w:cs="宋体"/>
          <w:color w:val="auto"/>
          <w:sz w:val="21"/>
          <w:szCs w:val="21"/>
          <w:highlight w:val="none"/>
          <w:lang w:val="en-US" w:eastAsia="zh-CN"/>
        </w:rPr>
        <w:t>时间</w:t>
      </w:r>
      <w:r>
        <w:rPr>
          <w:rFonts w:hint="eastAsia" w:ascii="宋体" w:hAnsi="宋体" w:eastAsia="宋体" w:cs="宋体"/>
          <w:color w:val="auto"/>
          <w:sz w:val="21"/>
          <w:szCs w:val="21"/>
          <w:highlight w:val="none"/>
        </w:rPr>
        <w:t>向乙方支付</w:t>
      </w:r>
      <w:r>
        <w:rPr>
          <w:rFonts w:hint="eastAsia" w:ascii="宋体" w:hAnsi="宋体" w:cs="宋体"/>
          <w:color w:val="auto"/>
          <w:sz w:val="21"/>
          <w:szCs w:val="21"/>
          <w:highlight w:val="none"/>
          <w:lang w:val="en-US" w:eastAsia="zh-CN"/>
        </w:rPr>
        <w:t>费用</w:t>
      </w:r>
      <w:r>
        <w:rPr>
          <w:rFonts w:hint="eastAsia" w:ascii="宋体" w:hAnsi="宋体" w:eastAsia="宋体" w:cs="宋体"/>
          <w:color w:val="auto"/>
          <w:sz w:val="21"/>
          <w:szCs w:val="21"/>
          <w:highlight w:val="none"/>
        </w:rPr>
        <w:t>；</w:t>
      </w:r>
    </w:p>
    <w:p w14:paraId="27F51C9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）对于管养计划的修改，甲方对乙方报送的修正方案进行确认后，乙方方可实施；</w:t>
      </w:r>
    </w:p>
    <w:p w14:paraId="23AD983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）在乙方不能履行本合同相应责任、义务或未完全履行合同而造成严重后果时,甲方将书面通知乙方终止合同,并按相关法律、法规对</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追究责任。</w:t>
      </w:r>
    </w:p>
    <w:p w14:paraId="162AB3FD">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bookmarkStart w:id="26" w:name="_Hlk44861278"/>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）甲方有权对乙方的工作进行考核，有权按照项目实际需求变更考核细则，但须提前15日以书面形式告知乙方。</w:t>
      </w:r>
    </w:p>
    <w:bookmarkEnd w:id="26"/>
    <w:p w14:paraId="560A607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4.2、乙方的权利和义务</w:t>
      </w:r>
    </w:p>
    <w:p w14:paraId="78423E6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（1）按照本合同确定的环卫保洁服务范围，取得相应的</w:t>
      </w:r>
      <w:r>
        <w:rPr>
          <w:rFonts w:hint="eastAsia" w:ascii="宋体" w:hAnsi="宋体" w:cs="宋体"/>
          <w:color w:val="auto"/>
          <w:sz w:val="21"/>
          <w:szCs w:val="21"/>
          <w:highlight w:val="none"/>
          <w:lang w:val="en-US" w:eastAsia="zh-CN"/>
        </w:rPr>
        <w:t>费用</w:t>
      </w:r>
      <w:r>
        <w:rPr>
          <w:rFonts w:hint="eastAsia" w:ascii="宋体" w:hAnsi="宋体" w:eastAsia="宋体" w:cs="宋体"/>
          <w:color w:val="auto"/>
          <w:sz w:val="21"/>
          <w:szCs w:val="21"/>
          <w:highlight w:val="none"/>
        </w:rPr>
        <w:t>。</w:t>
      </w:r>
    </w:p>
    <w:p w14:paraId="244E3BC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（2）编制管养计划，乙方应在每月20日前向甲方提交下月的管养书面计划，并组织实施经甲方认定的管养计划，在本合同确定的设施养护项目内合理使用养护经费，确保工作的顺利开展。</w:t>
      </w:r>
    </w:p>
    <w:p w14:paraId="002B581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（3）根据有关的法律、法规和规范性文件，以及相关的技术规程和检查、考核办法等要求做好</w:t>
      </w:r>
      <w:r>
        <w:rPr>
          <w:rFonts w:hint="eastAsia" w:ascii="宋体" w:hAnsi="宋体" w:cs="宋体"/>
          <w:color w:val="auto"/>
          <w:sz w:val="21"/>
          <w:szCs w:val="21"/>
          <w:highlight w:val="none"/>
          <w:lang w:val="en-US" w:eastAsia="zh-CN"/>
        </w:rPr>
        <w:t>环卫保洁服务</w:t>
      </w:r>
      <w:r>
        <w:rPr>
          <w:rFonts w:hint="eastAsia" w:ascii="宋体" w:hAnsi="宋体" w:eastAsia="宋体" w:cs="宋体"/>
          <w:color w:val="auto"/>
          <w:sz w:val="21"/>
          <w:szCs w:val="21"/>
          <w:highlight w:val="none"/>
        </w:rPr>
        <w:t>，确保</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质量。</w:t>
      </w:r>
    </w:p>
    <w:p w14:paraId="411E5EF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（4）按照规定组织日常巡视和</w:t>
      </w:r>
      <w:r>
        <w:rPr>
          <w:rFonts w:hint="eastAsia" w:ascii="宋体" w:hAnsi="宋体" w:cs="宋体"/>
          <w:color w:val="auto"/>
          <w:sz w:val="21"/>
          <w:szCs w:val="21"/>
          <w:highlight w:val="none"/>
          <w:lang w:val="en-US" w:eastAsia="zh-CN"/>
        </w:rPr>
        <w:t>不定期</w:t>
      </w:r>
      <w:r>
        <w:rPr>
          <w:rFonts w:hint="eastAsia" w:ascii="宋体" w:hAnsi="宋体" w:eastAsia="宋体" w:cs="宋体"/>
          <w:color w:val="auto"/>
          <w:sz w:val="21"/>
          <w:szCs w:val="21"/>
          <w:highlight w:val="none"/>
        </w:rPr>
        <w:t>检查，每月对环卫计划执行情况进行自查，每季度组织一次路况调查，并将检查情况登记存档，检查记录必须报送甲方一份。</w:t>
      </w:r>
    </w:p>
    <w:p w14:paraId="404ACE1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（5）及时做好</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项目的内、外业资料的记录、收集、整理、保管、上报甲方工作，配合甲方进行道路卫生状况检查、考核及日常安全、质量的检查。</w:t>
      </w:r>
    </w:p>
    <w:p w14:paraId="3655D05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为确保作业道路交通安全，乙方必要时须在作业现场的起止点以及对车辆、行人通行安全有影响的位置，必须设置危险警示灯具。环卫作业影响车辆行驶时，必须在来车方向提前设置交通导向牌和危险警示闪灯等，提醒和引导车辆有序、安全通行。</w:t>
      </w:r>
    </w:p>
    <w:p w14:paraId="2BAAD58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遇</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大雪、暴雨、台风等恶劣天气,乙方应增派人员到现场积极</w:t>
      </w:r>
      <w:r>
        <w:rPr>
          <w:rFonts w:hint="eastAsia" w:ascii="宋体" w:hAnsi="宋体" w:cs="宋体"/>
          <w:color w:val="auto"/>
          <w:sz w:val="21"/>
          <w:szCs w:val="21"/>
          <w:highlight w:val="none"/>
          <w:lang w:val="en-US" w:eastAsia="zh-CN"/>
        </w:rPr>
        <w:t>作业，并服从甲方调度</w:t>
      </w:r>
      <w:r>
        <w:rPr>
          <w:rFonts w:hint="eastAsia" w:ascii="宋体" w:hAnsi="宋体" w:eastAsia="宋体" w:cs="宋体"/>
          <w:color w:val="auto"/>
          <w:sz w:val="21"/>
          <w:szCs w:val="21"/>
          <w:highlight w:val="none"/>
        </w:rPr>
        <w:t>。</w:t>
      </w:r>
    </w:p>
    <w:p w14:paraId="6EA8A36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（8）应文明作业，尽量减少灰尘噪音等，不影响正常活动。</w:t>
      </w:r>
    </w:p>
    <w:p w14:paraId="30A00CA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（9）在迎接卫生城市复审、应急等各项活动工作中，服从甲方安排，达到检查及应急要求。</w:t>
      </w:r>
    </w:p>
    <w:p w14:paraId="29F9F2B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）实施过程中与市容、交通、水利、河道、周边小区等外部的协调由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自行承担，甲方协助。接水接电由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自行承担。以上费用含在</w:t>
      </w:r>
      <w:r>
        <w:rPr>
          <w:rFonts w:hint="eastAsia" w:ascii="宋体" w:hAnsi="宋体" w:cs="宋体"/>
          <w:color w:val="auto"/>
          <w:sz w:val="21"/>
          <w:szCs w:val="21"/>
          <w:highlight w:val="none"/>
          <w:lang w:val="en-US" w:eastAsia="zh-CN"/>
        </w:rPr>
        <w:t>合同总价</w:t>
      </w:r>
      <w:r>
        <w:rPr>
          <w:rFonts w:hint="eastAsia" w:ascii="宋体" w:hAnsi="宋体" w:eastAsia="宋体" w:cs="宋体"/>
          <w:color w:val="auto"/>
          <w:sz w:val="21"/>
          <w:szCs w:val="21"/>
          <w:highlight w:val="none"/>
        </w:rPr>
        <w:t>中。</w:t>
      </w:r>
    </w:p>
    <w:p w14:paraId="20DD6910">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bookmarkStart w:id="27" w:name="_Hlk44862036"/>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bookmarkStart w:id="28" w:name="_Hlk44920549"/>
      <w:r>
        <w:rPr>
          <w:rFonts w:hint="eastAsia" w:ascii="宋体" w:hAnsi="宋体" w:eastAsia="宋体" w:cs="宋体"/>
          <w:color w:val="auto"/>
          <w:sz w:val="21"/>
          <w:szCs w:val="21"/>
          <w:highlight w:val="none"/>
        </w:rPr>
        <w:t>乙方须按《劳动合同法》和政府有关各部门规定为服务人员交纳所有相关的社会保险及其他相关费用。乙方对此全权负责。在服务期内，乙方所有人员的事故由乙方自行全权负责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如乙方应对其员工投保人身意外险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，以保证甲方在乙方工作人员索赔时不受任何责任的约束。乙方应对乙方人员以及第三方全权负责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如乙方应投保第三者责任险、公众责任险等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，在乙方的责任区内由于乙方原因导致自己员工或第三方的事故由乙方负责，甲方不承担任何责任。保险赔付范围之外的相关费用由乙方承担。在乙方</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范围内出现安全隐患时，乙方应及时设置安全警示标志、派专人看护值守并及时向甲方及有关部门报告，直至安全隐患解除。如因乙方发现不及时、报告不及时、看护不当等造成的相关损失及赔偿由乙方承担，如第三方向甲方主张赔偿的，甲方可要求乙方直接赔偿或向乙方追偿，造成重大事故的将追究乙方责任。</w:t>
      </w:r>
      <w:bookmarkEnd w:id="28"/>
    </w:p>
    <w:p w14:paraId="549D2230">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）乙方须积极处理政府平台相关投诉，包括但不限于12345、12319工单等。</w:t>
      </w:r>
    </w:p>
    <w:p w14:paraId="2B0C49D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）完成甲方交办的其他临时性工作。</w:t>
      </w:r>
    </w:p>
    <w:p w14:paraId="6A6AD41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）若遇国家省市区域相关政策调整，乙方须无条件解除合同。</w:t>
      </w:r>
    </w:p>
    <w:p w14:paraId="16B899C9">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）不得分包、转包；一旦甲方发现存在分包或转包的行为，有权直接解除合同并追究乙方的违约责任。</w:t>
      </w:r>
    </w:p>
    <w:p w14:paraId="20A3D243">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）乙方应积极主动接受甲方的考核，并对考核结果予以承认，当考核标准有变动时应予以积极配合并按照最新的考核要求开展</w:t>
      </w:r>
      <w:r>
        <w:rPr>
          <w:rFonts w:hint="eastAsia" w:ascii="宋体" w:hAnsi="宋体" w:cs="宋体"/>
          <w:color w:val="auto"/>
          <w:sz w:val="21"/>
          <w:szCs w:val="21"/>
          <w:highlight w:val="none"/>
          <w:lang w:val="en-US" w:eastAsia="zh-CN"/>
        </w:rPr>
        <w:t>环卫保洁</w:t>
      </w:r>
      <w:r>
        <w:rPr>
          <w:rFonts w:hint="eastAsia" w:ascii="宋体" w:hAnsi="宋体" w:eastAsia="宋体" w:cs="宋体"/>
          <w:color w:val="auto"/>
          <w:sz w:val="21"/>
          <w:szCs w:val="21"/>
          <w:highlight w:val="none"/>
        </w:rPr>
        <w:t>工作。</w:t>
      </w:r>
    </w:p>
    <w:p w14:paraId="255D1543">
      <w:pPr>
        <w:pStyle w:val="21"/>
        <w:spacing w:after="0" w:line="360" w:lineRule="auto"/>
        <w:ind w:left="0" w:leftChars="0" w:right="0" w:rightChars="0" w:firstLine="422" w:firstLineChars="20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5、验收标准：</w:t>
      </w:r>
    </w:p>
    <w:p w14:paraId="745900BB">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以国家、省、市现行有关规范为验收标准</w:t>
      </w:r>
      <w:r>
        <w:rPr>
          <w:rFonts w:hint="eastAsia" w:ascii="宋体" w:hAnsi="宋体" w:cs="宋体"/>
          <w:color w:val="auto"/>
          <w:szCs w:val="21"/>
          <w:highlight w:val="none"/>
          <w:lang w:eastAsia="zh-CN"/>
        </w:rPr>
        <w:t>。</w:t>
      </w:r>
    </w:p>
    <w:bookmarkEnd w:id="27"/>
    <w:p w14:paraId="0B7224EC">
      <w:pPr>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五</w:t>
      </w:r>
      <w:r>
        <w:rPr>
          <w:rFonts w:hint="eastAsia" w:ascii="宋体" w:hAnsi="宋体" w:eastAsia="宋体" w:cs="宋体"/>
          <w:b/>
          <w:color w:val="auto"/>
          <w:sz w:val="21"/>
          <w:szCs w:val="21"/>
          <w:highlight w:val="none"/>
        </w:rPr>
        <w:t>、付款方式：</w:t>
      </w:r>
    </w:p>
    <w:p w14:paraId="374B3F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1、本合同项下所有款项均以人民币支付。</w:t>
      </w:r>
    </w:p>
    <w:p w14:paraId="49725A22">
      <w:pPr>
        <w:spacing w:line="360" w:lineRule="auto"/>
        <w:ind w:firstLine="420" w:firstLineChars="200"/>
        <w:rPr>
          <w:rFonts w:hint="eastAsia" w:ascii="宋体" w:hAnsi="宋体" w:eastAsia="宋体" w:cs="宋体"/>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Cs w:val="21"/>
          <w:highlight w:val="none"/>
        </w:rPr>
        <w:t>合同签订且工作实施6个月后，达到考核标准，支付</w:t>
      </w:r>
      <w:r>
        <w:rPr>
          <w:rFonts w:hint="eastAsia" w:ascii="宋体" w:hAnsi="宋体" w:eastAsia="宋体" w:cs="宋体"/>
          <w:szCs w:val="21"/>
          <w:highlight w:val="none"/>
          <w:lang w:val="en-US" w:eastAsia="zh-CN"/>
        </w:rPr>
        <w:t>当年度合同总额</w:t>
      </w:r>
      <w:r>
        <w:rPr>
          <w:rFonts w:hint="eastAsia" w:ascii="宋体" w:hAnsi="宋体" w:eastAsia="宋体" w:cs="宋体"/>
          <w:szCs w:val="21"/>
          <w:highlight w:val="none"/>
        </w:rPr>
        <w:t>的50%（须扣除当期考核费用），</w:t>
      </w:r>
      <w:r>
        <w:rPr>
          <w:rFonts w:hint="eastAsia" w:ascii="宋体" w:hAnsi="宋体" w:eastAsia="宋体" w:cs="宋体"/>
          <w:szCs w:val="21"/>
          <w:highlight w:val="none"/>
          <w:lang w:val="en-US" w:eastAsia="zh-CN"/>
        </w:rPr>
        <w:t>当年度服务期</w:t>
      </w:r>
      <w:r>
        <w:rPr>
          <w:rFonts w:hint="eastAsia" w:ascii="宋体" w:hAnsi="宋体" w:eastAsia="宋体" w:cs="宋体"/>
          <w:szCs w:val="21"/>
          <w:highlight w:val="none"/>
        </w:rPr>
        <w:t>满后，完成全年考核任务</w:t>
      </w:r>
      <w:r>
        <w:rPr>
          <w:rFonts w:hint="eastAsia" w:ascii="宋体" w:hAnsi="宋体" w:eastAsia="宋体" w:cs="宋体"/>
          <w:szCs w:val="21"/>
          <w:highlight w:val="none"/>
          <w:lang w:eastAsia="zh-CN"/>
        </w:rPr>
        <w:t>，</w:t>
      </w:r>
      <w:r>
        <w:rPr>
          <w:rFonts w:hint="eastAsia" w:ascii="宋体" w:hAnsi="宋体" w:eastAsia="宋体" w:cs="宋体"/>
          <w:szCs w:val="21"/>
          <w:highlight w:val="none"/>
        </w:rPr>
        <w:t>支付</w:t>
      </w:r>
      <w:r>
        <w:rPr>
          <w:rFonts w:hint="eastAsia" w:ascii="宋体" w:hAnsi="宋体" w:eastAsia="宋体" w:cs="宋体"/>
          <w:szCs w:val="21"/>
          <w:highlight w:val="none"/>
          <w:lang w:val="en-US" w:eastAsia="zh-CN"/>
        </w:rPr>
        <w:t>当年度</w:t>
      </w:r>
      <w:r>
        <w:rPr>
          <w:rFonts w:hint="eastAsia" w:ascii="宋体" w:hAnsi="宋体" w:eastAsia="宋体" w:cs="宋体"/>
          <w:szCs w:val="21"/>
          <w:highlight w:val="none"/>
        </w:rPr>
        <w:t>剩余50%（须扣除当期考核费用）费用。付款时扣除当期考核罚款。每次付款前，乙方应当提交付款申请以及同等金额的增值税</w:t>
      </w:r>
      <w:r>
        <w:rPr>
          <w:rFonts w:hint="eastAsia" w:ascii="宋体" w:hAnsi="宋体" w:cs="宋体"/>
          <w:szCs w:val="21"/>
          <w:highlight w:val="none"/>
          <w:lang w:val="en-US" w:eastAsia="zh-CN"/>
        </w:rPr>
        <w:t>专用</w:t>
      </w:r>
      <w:r>
        <w:rPr>
          <w:rFonts w:hint="eastAsia" w:ascii="宋体" w:hAnsi="宋体" w:eastAsia="宋体" w:cs="宋体"/>
          <w:szCs w:val="21"/>
          <w:highlight w:val="none"/>
        </w:rPr>
        <w:t>发票，甲方复核无误后将在30日内支付。</w:t>
      </w:r>
    </w:p>
    <w:p w14:paraId="21C0EE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zh-CN"/>
        </w:rPr>
        <w:t>合同期内，如年度累计两个月考核不合格，由采购人进行约谈。连续两个月或年度累计三个月考核不合格，于次月终止该片区的合同，不再续签后续合同。合同进行转包、分包的，</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lang w:val="zh-CN"/>
        </w:rPr>
        <w:t>有权单方终止承包方的合同，本年度剩余的环卫保洁经费不予结算，取消其下一轮续签合同资格且不得参与</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lang w:val="zh-CN"/>
        </w:rPr>
        <w:t>下一轮的环卫保洁投标工作。</w:t>
      </w:r>
    </w:p>
    <w:p w14:paraId="622DC6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4、如年度累计低于三个月考核不合格，可在</w:t>
      </w:r>
      <w:r>
        <w:rPr>
          <w:rFonts w:hint="eastAsia" w:ascii="宋体" w:hAnsi="宋体" w:cs="宋体"/>
          <w:sz w:val="21"/>
          <w:szCs w:val="21"/>
          <w:highlight w:val="none"/>
          <w:lang w:val="en-US" w:eastAsia="zh-CN"/>
        </w:rPr>
        <w:t>当期服务</w:t>
      </w:r>
      <w:r>
        <w:rPr>
          <w:rFonts w:hint="eastAsia" w:ascii="宋体" w:hAnsi="宋体" w:eastAsia="宋体" w:cs="宋体"/>
          <w:sz w:val="21"/>
          <w:szCs w:val="21"/>
          <w:highlight w:val="none"/>
        </w:rPr>
        <w:t>期满后续签下一年度合同。最多续签两年，因乙方原因造成安全事故的，甲方拒签下一年度合同。</w:t>
      </w:r>
    </w:p>
    <w:p w14:paraId="59C805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环卫保洁工作</w:t>
      </w:r>
      <w:r>
        <w:rPr>
          <w:rFonts w:hint="eastAsia" w:ascii="宋体" w:hAnsi="宋体" w:eastAsia="宋体" w:cs="宋体"/>
          <w:sz w:val="21"/>
          <w:szCs w:val="21"/>
          <w:highlight w:val="none"/>
        </w:rPr>
        <w:t>必须符合</w:t>
      </w:r>
      <w:r>
        <w:rPr>
          <w:rFonts w:hint="eastAsia" w:ascii="宋体" w:hAnsi="宋体" w:cs="宋体"/>
          <w:sz w:val="21"/>
          <w:szCs w:val="21"/>
          <w:highlight w:val="none"/>
          <w:lang w:val="en-US" w:eastAsia="zh-CN"/>
        </w:rPr>
        <w:t>相关</w:t>
      </w:r>
      <w:r>
        <w:rPr>
          <w:rFonts w:hint="eastAsia" w:ascii="宋体" w:hAnsi="宋体" w:eastAsia="宋体" w:cs="宋体"/>
          <w:sz w:val="21"/>
          <w:szCs w:val="21"/>
          <w:highlight w:val="none"/>
        </w:rPr>
        <w:t>要求，若不符合，由乙方无偿返工。若因乙方原因不能按时保质完成，则甲方有权另外安排单位</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rPr>
        <w:t>并视情节严重性进行处罚，其相应费用将从乙方费用中扣除，其处罚金额从费用中扣除。</w:t>
      </w:r>
    </w:p>
    <w:p w14:paraId="1E4F3921">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、合同期间，如遇国家政策性调整工资等，所产生费用由乙方自行解决。</w:t>
      </w:r>
    </w:p>
    <w:p w14:paraId="0D6E2316">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、乙方必须按照规定，按月对所辖员工出勤情况、劳动报酬如实上报</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可随时进行监督、检查。</w:t>
      </w:r>
    </w:p>
    <w:p w14:paraId="7272EA5A">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、服务期间，</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需按甲方要求调整作业规范。</w:t>
      </w:r>
    </w:p>
    <w:p w14:paraId="00EBB81D">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合同期限内</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保洁范围调整</w:t>
      </w:r>
      <w:r>
        <w:rPr>
          <w:rFonts w:hint="eastAsia" w:ascii="宋体" w:hAnsi="宋体" w:eastAsia="宋体" w:cs="宋体"/>
          <w:color w:val="auto"/>
          <w:sz w:val="21"/>
          <w:szCs w:val="21"/>
          <w:highlight w:val="none"/>
        </w:rPr>
        <w:t>（如：废弃道路或其他因素造成等），减少保洁面积，</w:t>
      </w:r>
      <w:r>
        <w:rPr>
          <w:rFonts w:hint="eastAsia" w:ascii="宋体" w:hAnsi="宋体" w:cs="宋体"/>
          <w:color w:val="auto"/>
          <w:sz w:val="21"/>
          <w:szCs w:val="21"/>
          <w:highlight w:val="none"/>
          <w:lang w:val="en-US" w:eastAsia="zh-CN"/>
        </w:rPr>
        <w:t>相应费用</w:t>
      </w:r>
      <w:r>
        <w:rPr>
          <w:rFonts w:hint="eastAsia" w:ascii="宋体" w:hAnsi="宋体" w:eastAsia="宋体" w:cs="宋体"/>
          <w:color w:val="auto"/>
          <w:sz w:val="21"/>
          <w:szCs w:val="21"/>
          <w:highlight w:val="none"/>
        </w:rPr>
        <w:t>从合同价款</w:t>
      </w:r>
      <w:r>
        <w:rPr>
          <w:rFonts w:hint="eastAsia" w:ascii="宋体" w:hAnsi="宋体" w:cs="宋体"/>
          <w:color w:val="auto"/>
          <w:sz w:val="21"/>
          <w:szCs w:val="21"/>
          <w:highlight w:val="none"/>
          <w:lang w:val="en-US" w:eastAsia="zh-CN"/>
        </w:rPr>
        <w:t>中</w:t>
      </w:r>
      <w:r>
        <w:rPr>
          <w:rFonts w:hint="eastAsia" w:ascii="宋体" w:hAnsi="宋体" w:eastAsia="宋体" w:cs="宋体"/>
          <w:color w:val="auto"/>
          <w:sz w:val="21"/>
          <w:szCs w:val="21"/>
          <w:highlight w:val="none"/>
        </w:rPr>
        <w:t>扣除，按天计算。</w:t>
      </w:r>
    </w:p>
    <w:p w14:paraId="78863E12">
      <w:pPr>
        <w:pStyle w:val="56"/>
        <w:spacing w:line="360" w:lineRule="auto"/>
        <w:ind w:firstLine="422"/>
        <w:rPr>
          <w:rFonts w:hint="eastAsia" w:ascii="宋体" w:hAnsi="宋体" w:eastAsia="宋体" w:cs="宋体"/>
          <w:b/>
          <w:color w:val="auto"/>
          <w:kern w:val="2"/>
          <w:sz w:val="21"/>
          <w:szCs w:val="21"/>
          <w:highlight w:val="none"/>
          <w:lang w:val="en-US" w:eastAsia="zh-CN" w:bidi="ar-SA"/>
        </w:rPr>
      </w:pPr>
      <w:r>
        <w:rPr>
          <w:rFonts w:hint="eastAsia" w:ascii="宋体" w:hAnsi="宋体" w:cs="宋体"/>
          <w:b/>
          <w:color w:val="auto"/>
          <w:kern w:val="2"/>
          <w:sz w:val="21"/>
          <w:szCs w:val="21"/>
          <w:highlight w:val="none"/>
          <w:lang w:val="en-US" w:eastAsia="zh-CN" w:bidi="ar-SA"/>
        </w:rPr>
        <w:t>六、</w:t>
      </w:r>
      <w:r>
        <w:rPr>
          <w:rFonts w:hint="eastAsia" w:ascii="宋体" w:hAnsi="宋体" w:eastAsia="宋体" w:cs="宋体"/>
          <w:b/>
          <w:color w:val="auto"/>
          <w:kern w:val="2"/>
          <w:sz w:val="21"/>
          <w:szCs w:val="21"/>
          <w:highlight w:val="none"/>
          <w:lang w:val="en-US" w:eastAsia="zh-CN" w:bidi="ar-SA"/>
        </w:rPr>
        <w:t>违约责任</w:t>
      </w:r>
    </w:p>
    <w:p w14:paraId="702CF9E3">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1、乙方实施下列行为之一的，乙方应向甲方支付合同总价</w:t>
      </w:r>
      <w:r>
        <w:rPr>
          <w:rFonts w:hint="eastAsia" w:ascii="宋体" w:hAnsi="宋体"/>
          <w:color w:val="000000" w:themeColor="text1"/>
          <w:kern w:val="0"/>
          <w:highlight w:val="none"/>
          <w:lang w:val="en-US" w:eastAsia="zh-CN"/>
          <w14:textFill>
            <w14:solidFill>
              <w14:schemeClr w14:val="tx1"/>
            </w14:solidFill>
          </w14:textFill>
        </w:rPr>
        <w:t>15</w:t>
      </w:r>
      <w:r>
        <w:rPr>
          <w:rFonts w:hint="eastAsia" w:ascii="宋体" w:hAnsi="宋体"/>
          <w:color w:val="000000" w:themeColor="text1"/>
          <w:kern w:val="0"/>
          <w:highlight w:val="none"/>
          <w14:textFill>
            <w14:solidFill>
              <w14:schemeClr w14:val="tx1"/>
            </w14:solidFill>
          </w14:textFill>
        </w:rPr>
        <w:t>%的违约金，甲方有权解除合同，并有权要求乙方赔偿损失。</w:t>
      </w:r>
    </w:p>
    <w:p w14:paraId="008F43C5">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①提供的服务不满足考核要求。</w:t>
      </w:r>
    </w:p>
    <w:p w14:paraId="7BED5A77">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②未完成合同约定的服务任务。</w:t>
      </w:r>
    </w:p>
    <w:p w14:paraId="49C0A3C6">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2</w:t>
      </w:r>
      <w:r>
        <w:rPr>
          <w:rFonts w:hint="eastAsia" w:ascii="宋体" w:hAnsi="宋体"/>
          <w:color w:val="000000" w:themeColor="text1"/>
          <w:kern w:val="0"/>
          <w:highlight w:val="none"/>
          <w14:textFill>
            <w14:solidFill>
              <w14:schemeClr w14:val="tx1"/>
            </w14:solidFill>
          </w14:textFill>
        </w:rPr>
        <w:t>、由于不可抗力原因使甲、乙方无法履约，可不执行违约责任条款，由双方协商解决。</w:t>
      </w:r>
    </w:p>
    <w:p w14:paraId="7D1C919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3</w:t>
      </w:r>
      <w:r>
        <w:rPr>
          <w:rFonts w:hint="eastAsia" w:ascii="宋体" w:hAnsi="宋体"/>
          <w:color w:val="000000" w:themeColor="text1"/>
          <w:kern w:val="0"/>
          <w:highlight w:val="none"/>
          <w14:textFill>
            <w14:solidFill>
              <w14:schemeClr w14:val="tx1"/>
            </w14:solidFill>
          </w14:textFill>
        </w:rPr>
        <w:t>、乙方因人员、机械等跟不上管理需要影响工作，未达到质量标准或</w:t>
      </w:r>
      <w:r>
        <w:rPr>
          <w:rFonts w:hint="eastAsia" w:ascii="宋体" w:hAnsi="宋体"/>
          <w:color w:val="000000" w:themeColor="text1"/>
          <w:kern w:val="0"/>
          <w:highlight w:val="none"/>
          <w:lang w:val="en-US" w:eastAsia="zh-CN"/>
          <w14:textFill>
            <w14:solidFill>
              <w14:schemeClr w14:val="tx1"/>
            </w14:solidFill>
          </w14:textFill>
        </w:rPr>
        <w:t>环卫保洁</w:t>
      </w:r>
      <w:r>
        <w:rPr>
          <w:rFonts w:hint="eastAsia" w:ascii="宋体" w:hAnsi="宋体"/>
          <w:color w:val="000000" w:themeColor="text1"/>
          <w:kern w:val="0"/>
          <w:highlight w:val="none"/>
          <w14:textFill>
            <w14:solidFill>
              <w14:schemeClr w14:val="tx1"/>
            </w14:solidFill>
          </w14:textFill>
        </w:rPr>
        <w:t>计划，经检查第一次不合格的，甲方要求乙方限期整改；第二次仍不合格的，甲方有权单方终止本合同。</w:t>
      </w:r>
    </w:p>
    <w:p w14:paraId="7E9E76DE">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4</w:t>
      </w:r>
      <w:r>
        <w:rPr>
          <w:rFonts w:hint="eastAsia" w:ascii="宋体" w:hAnsi="宋体"/>
          <w:color w:val="000000" w:themeColor="text1"/>
          <w:kern w:val="0"/>
          <w:highlight w:val="none"/>
          <w14:textFill>
            <w14:solidFill>
              <w14:schemeClr w14:val="tx1"/>
            </w14:solidFill>
          </w14:textFill>
        </w:rPr>
        <w:t>、上述违约金不能补偿对方损失时，双方有权向对方追索实际损失的赔偿金。</w:t>
      </w:r>
    </w:p>
    <w:p w14:paraId="7071B58D">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5</w:t>
      </w:r>
      <w:r>
        <w:rPr>
          <w:rFonts w:hint="eastAsia" w:ascii="宋体" w:hAnsi="宋体"/>
          <w:color w:val="000000" w:themeColor="text1"/>
          <w:kern w:val="0"/>
          <w:highlight w:val="none"/>
          <w14:textFill>
            <w14:solidFill>
              <w14:schemeClr w14:val="tx1"/>
            </w14:solidFill>
          </w14:textFill>
        </w:rPr>
        <w:t>、乙方违反规定的行为均属违约行为，甲方根据其条款规定，视乙方违反规定的情节轻重，做出批评教育、警告、扣罚处理；情况严重者，甲方有权单方终止本合同，乙方自行承担一切经济损失和法律责任。</w:t>
      </w:r>
    </w:p>
    <w:p w14:paraId="4134114D">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七、</w:t>
      </w:r>
      <w:r>
        <w:rPr>
          <w:rFonts w:hint="eastAsia" w:ascii="宋体" w:hAnsi="宋体"/>
          <w:b/>
          <w:bCs/>
          <w:szCs w:val="21"/>
          <w:highlight w:val="none"/>
        </w:rPr>
        <w:t>项目履约验收</w:t>
      </w:r>
    </w:p>
    <w:p w14:paraId="52782B4C">
      <w:pPr>
        <w:pStyle w:val="56"/>
        <w:spacing w:line="360" w:lineRule="auto"/>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w:t>
      </w:r>
      <w:r>
        <w:rPr>
          <w:rFonts w:hint="eastAsia" w:ascii="宋体" w:hAnsi="宋体"/>
          <w:szCs w:val="21"/>
          <w:highlight w:val="none"/>
        </w:rPr>
        <w:t>甲方有权对乙方项目实施执行过程及完成结果进行履约验收；</w:t>
      </w:r>
    </w:p>
    <w:p w14:paraId="1DEF0B10">
      <w:pPr>
        <w:pStyle w:val="56"/>
        <w:spacing w:line="360" w:lineRule="auto"/>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eastAsia="zh-CN"/>
        </w:rPr>
        <w:t>、</w:t>
      </w:r>
      <w:r>
        <w:rPr>
          <w:rFonts w:hint="eastAsia" w:ascii="宋体" w:hAnsi="宋体"/>
          <w:szCs w:val="21"/>
          <w:highlight w:val="none"/>
        </w:rPr>
        <w:t>甲方可以邀请参加本项目的其他供应商或者第三方机构参与验收，乙方应积极配合并响应；</w:t>
      </w:r>
    </w:p>
    <w:p w14:paraId="6368A471">
      <w:pPr>
        <w:pStyle w:val="56"/>
        <w:spacing w:line="360" w:lineRule="auto"/>
        <w:rPr>
          <w:rFonts w:hint="eastAsia" w:ascii="宋体" w:hAnsi="宋体"/>
          <w:szCs w:val="21"/>
          <w:highlight w:val="none"/>
        </w:rPr>
      </w:pPr>
      <w:r>
        <w:rPr>
          <w:rFonts w:hint="eastAsia" w:ascii="宋体" w:hAnsi="宋体"/>
          <w:szCs w:val="21"/>
          <w:highlight w:val="none"/>
        </w:rPr>
        <w:t>3</w:t>
      </w:r>
      <w:r>
        <w:rPr>
          <w:rFonts w:hint="eastAsia" w:ascii="宋体" w:hAnsi="宋体"/>
          <w:szCs w:val="21"/>
          <w:highlight w:val="none"/>
          <w:lang w:eastAsia="zh-CN"/>
        </w:rPr>
        <w:t>、</w:t>
      </w:r>
      <w:r>
        <w:rPr>
          <w:rFonts w:hint="eastAsia" w:ascii="宋体" w:hAnsi="宋体"/>
          <w:szCs w:val="21"/>
          <w:highlight w:val="none"/>
        </w:rPr>
        <w:t>参与验收的供应商或者第三方机构的意见作为验收书的参考资料一并存档。</w:t>
      </w:r>
    </w:p>
    <w:p w14:paraId="0C3179C9">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八、</w:t>
      </w:r>
      <w:r>
        <w:rPr>
          <w:rFonts w:hint="eastAsia" w:ascii="宋体" w:hAnsi="宋体"/>
          <w:b/>
          <w:bCs/>
          <w:szCs w:val="21"/>
          <w:highlight w:val="none"/>
        </w:rPr>
        <w:t>合同的变更和终止</w:t>
      </w:r>
    </w:p>
    <w:p w14:paraId="3EA1155E">
      <w:pPr>
        <w:pStyle w:val="56"/>
        <w:spacing w:line="360" w:lineRule="auto"/>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w:t>
      </w:r>
      <w:r>
        <w:rPr>
          <w:rFonts w:hint="eastAsia" w:ascii="宋体" w:hAnsi="宋体"/>
          <w:szCs w:val="21"/>
          <w:highlight w:val="none"/>
        </w:rPr>
        <w:t>本合同一经签订，甲乙双方不得擅自变更、中止或终止合同。</w:t>
      </w:r>
    </w:p>
    <w:p w14:paraId="3084750E">
      <w:pPr>
        <w:pStyle w:val="56"/>
        <w:spacing w:line="360" w:lineRule="auto"/>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eastAsia="zh-CN"/>
        </w:rPr>
        <w:t>、</w:t>
      </w:r>
      <w:r>
        <w:rPr>
          <w:rFonts w:hint="eastAsia" w:ascii="宋体" w:hAnsi="宋体"/>
          <w:szCs w:val="21"/>
          <w:highlight w:val="none"/>
        </w:rPr>
        <w:t>除发生法律规定的不能预见、不能避免并不能克服的客观情况外，甲乙双方不得放弃或拒绝履行合同。</w:t>
      </w:r>
    </w:p>
    <w:p w14:paraId="424FAD46">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3、</w:t>
      </w:r>
      <w:r>
        <w:rPr>
          <w:rFonts w:hint="eastAsia" w:ascii="宋体" w:hAnsi="宋体"/>
          <w:color w:val="000000" w:themeColor="text1"/>
          <w:highlight w:val="none"/>
          <w14:textFill>
            <w14:solidFill>
              <w14:schemeClr w14:val="tx1"/>
            </w14:solidFill>
          </w14:textFill>
        </w:rPr>
        <w:t>本合同终止时，乙方应移交管理权，撤出本项目，</w:t>
      </w:r>
      <w:r>
        <w:rPr>
          <w:rFonts w:hint="eastAsia" w:ascii="宋体" w:hAnsi="宋体"/>
          <w:highlight w:val="none"/>
        </w:rPr>
        <w:t>协助甲方作好服务的交接和善后工</w:t>
      </w:r>
      <w:r>
        <w:rPr>
          <w:rFonts w:hint="eastAsia" w:ascii="宋体" w:hAnsi="宋体" w:cs="Times New Roman"/>
          <w:highlight w:val="none"/>
        </w:rPr>
        <w:t>作</w:t>
      </w:r>
      <w:r>
        <w:rPr>
          <w:rFonts w:hint="eastAsia" w:ascii="宋体" w:hAnsi="宋体" w:cs="Times New Roman"/>
          <w:highlight w:val="none"/>
          <w:lang w:eastAsia="zh-CN"/>
        </w:rPr>
        <w:t>及</w:t>
      </w:r>
      <w:r>
        <w:rPr>
          <w:rFonts w:hint="eastAsia" w:ascii="宋体" w:hAnsi="宋体" w:cs="Times New Roman"/>
          <w:highlight w:val="none"/>
        </w:rPr>
        <w:t>全部档案资料等。</w:t>
      </w:r>
    </w:p>
    <w:p w14:paraId="44D2AD80">
      <w:pPr>
        <w:pStyle w:val="56"/>
        <w:spacing w:line="360" w:lineRule="auto"/>
        <w:rPr>
          <w:rFonts w:hint="eastAsia" w:ascii="宋体" w:hAnsi="宋体"/>
          <w:szCs w:val="21"/>
          <w:highlight w:val="none"/>
        </w:rPr>
      </w:pPr>
      <w:r>
        <w:rPr>
          <w:rFonts w:hint="eastAsia" w:ascii="宋体" w:hAnsi="宋体" w:cs="Times New Roman"/>
          <w:szCs w:val="21"/>
          <w:highlight w:val="none"/>
          <w:lang w:val="en-US" w:eastAsia="zh-CN"/>
        </w:rPr>
        <w:t>4、</w:t>
      </w:r>
      <w:r>
        <w:rPr>
          <w:rFonts w:hint="eastAsia" w:ascii="宋体" w:hAnsi="宋体" w:cs="Times New Roman"/>
          <w:szCs w:val="21"/>
          <w:highlight w:val="none"/>
        </w:rPr>
        <w:t>本管理合同终止后，在新的管理企业接管本项目前，除甲方要求乙方提前撤离外，新老管理公司的交接过渡期最长为1个月。</w:t>
      </w:r>
    </w:p>
    <w:p w14:paraId="20AE3D0D">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九、</w:t>
      </w:r>
      <w:r>
        <w:rPr>
          <w:rFonts w:hint="eastAsia" w:ascii="宋体" w:hAnsi="宋体"/>
          <w:b/>
          <w:bCs/>
          <w:szCs w:val="21"/>
          <w:highlight w:val="none"/>
        </w:rPr>
        <w:t>合同的转让</w:t>
      </w:r>
    </w:p>
    <w:p w14:paraId="40A72330">
      <w:pPr>
        <w:pStyle w:val="56"/>
        <w:spacing w:line="360" w:lineRule="auto"/>
        <w:rPr>
          <w:rFonts w:hint="eastAsia" w:ascii="宋体" w:hAnsi="宋体"/>
          <w:szCs w:val="21"/>
          <w:highlight w:val="none"/>
        </w:rPr>
      </w:pPr>
      <w:r>
        <w:rPr>
          <w:rFonts w:hint="eastAsia" w:ascii="宋体" w:hAnsi="宋体"/>
          <w:szCs w:val="21"/>
          <w:highlight w:val="none"/>
        </w:rPr>
        <w:t>乙方不得擅自部分或全部转让其应履行的合同义务。</w:t>
      </w:r>
    </w:p>
    <w:p w14:paraId="76442745">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十、</w:t>
      </w:r>
      <w:r>
        <w:rPr>
          <w:rFonts w:hint="eastAsia" w:ascii="宋体" w:hAnsi="宋体"/>
          <w:b/>
          <w:bCs/>
          <w:szCs w:val="21"/>
          <w:highlight w:val="none"/>
        </w:rPr>
        <w:t>争议的解决</w:t>
      </w:r>
    </w:p>
    <w:p w14:paraId="4CD25678">
      <w:pPr>
        <w:spacing w:line="360" w:lineRule="auto"/>
        <w:ind w:firstLine="420" w:firstLineChars="200"/>
        <w:jc w:val="left"/>
        <w:rPr>
          <w:rFonts w:ascii="宋体" w:hAnsi="宋体"/>
          <w:highlight w:val="none"/>
        </w:rPr>
      </w:pPr>
      <w:r>
        <w:rPr>
          <w:rFonts w:hint="eastAsia" w:ascii="宋体" w:hAnsi="宋体"/>
          <w:highlight w:val="none"/>
          <w:lang w:val="en-US" w:eastAsia="zh-CN"/>
        </w:rPr>
        <w:t>1、</w:t>
      </w:r>
      <w:r>
        <w:rPr>
          <w:rFonts w:hint="eastAsia" w:ascii="宋体" w:hAnsi="宋体"/>
          <w:highlight w:val="none"/>
        </w:rPr>
        <w:t>因履行本合同引起的或与本合同有关的争议，甲、乙双方应首先通过友好协商解决，如果协商不能解决争议，则采取以下第</w:t>
      </w:r>
      <w:r>
        <w:rPr>
          <w:rFonts w:hint="eastAsia" w:ascii="宋体" w:hAnsi="宋体"/>
          <w:highlight w:val="none"/>
          <w:lang w:eastAsia="zh-CN"/>
        </w:rPr>
        <w:t>（</w:t>
      </w:r>
      <w:r>
        <w:rPr>
          <w:rFonts w:hint="eastAsia" w:ascii="宋体" w:hAnsi="宋体"/>
          <w:highlight w:val="none"/>
          <w:lang w:val="en-US" w:eastAsia="zh-CN"/>
        </w:rPr>
        <w:t>1</w:t>
      </w:r>
      <w:r>
        <w:rPr>
          <w:rFonts w:hint="eastAsia" w:ascii="宋体" w:hAnsi="宋体"/>
          <w:highlight w:val="none"/>
          <w:lang w:eastAsia="zh-CN"/>
        </w:rPr>
        <w:t>）</w:t>
      </w:r>
      <w:r>
        <w:rPr>
          <w:rFonts w:hint="eastAsia" w:ascii="宋体" w:hAnsi="宋体"/>
          <w:highlight w:val="none"/>
        </w:rPr>
        <w:t>种方式解决争议：</w:t>
      </w:r>
    </w:p>
    <w:p w14:paraId="3C4C10F6">
      <w:pPr>
        <w:spacing w:line="360" w:lineRule="auto"/>
        <w:ind w:firstLine="420" w:firstLineChars="200"/>
        <w:jc w:val="left"/>
        <w:rPr>
          <w:rFonts w:ascii="宋体" w:hAnsi="宋体"/>
          <w:highlight w:val="none"/>
        </w:rPr>
      </w:pPr>
      <w:r>
        <w:rPr>
          <w:rFonts w:hint="eastAsia" w:ascii="宋体" w:hAnsi="宋体"/>
          <w:highlight w:val="none"/>
          <w:lang w:eastAsia="zh-CN"/>
        </w:rPr>
        <w:t>（</w:t>
      </w:r>
      <w:r>
        <w:rPr>
          <w:rFonts w:hint="eastAsia" w:ascii="宋体" w:hAnsi="宋体"/>
          <w:highlight w:val="none"/>
          <w:lang w:val="en-US" w:eastAsia="zh-CN"/>
        </w:rPr>
        <w:t>1</w:t>
      </w:r>
      <w:r>
        <w:rPr>
          <w:rFonts w:hint="eastAsia" w:ascii="宋体" w:hAnsi="宋体"/>
          <w:highlight w:val="none"/>
          <w:lang w:eastAsia="zh-CN"/>
        </w:rPr>
        <w:t>）</w:t>
      </w:r>
      <w:r>
        <w:rPr>
          <w:rFonts w:hint="eastAsia" w:ascii="宋体" w:hAnsi="宋体"/>
          <w:highlight w:val="none"/>
        </w:rPr>
        <w:t>向甲方所在地有管辖权的人民法院提起诉讼；</w:t>
      </w:r>
    </w:p>
    <w:p w14:paraId="4D337F43">
      <w:pPr>
        <w:spacing w:line="360" w:lineRule="auto"/>
        <w:ind w:firstLine="420" w:firstLineChars="200"/>
        <w:jc w:val="left"/>
        <w:rPr>
          <w:rFonts w:ascii="宋体" w:hAnsi="宋体"/>
          <w:highlight w:val="none"/>
        </w:rPr>
      </w:pPr>
      <w:r>
        <w:rPr>
          <w:rFonts w:hint="eastAsia" w:ascii="宋体" w:hAnsi="宋体"/>
          <w:highlight w:val="none"/>
          <w:lang w:eastAsia="zh-CN"/>
        </w:rPr>
        <w:t>（</w:t>
      </w:r>
      <w:r>
        <w:rPr>
          <w:rFonts w:hint="eastAsia" w:ascii="宋体" w:hAnsi="宋体"/>
          <w:highlight w:val="none"/>
          <w:lang w:val="en-US" w:eastAsia="zh-CN"/>
        </w:rPr>
        <w:t>2</w:t>
      </w:r>
      <w:r>
        <w:rPr>
          <w:rFonts w:hint="eastAsia" w:ascii="宋体" w:hAnsi="宋体"/>
          <w:highlight w:val="none"/>
          <w:lang w:eastAsia="zh-CN"/>
        </w:rPr>
        <w:t>）</w:t>
      </w:r>
      <w:r>
        <w:rPr>
          <w:rFonts w:hint="eastAsia" w:ascii="宋体" w:hAnsi="宋体"/>
          <w:highlight w:val="none"/>
        </w:rPr>
        <w:t>向南京市仲裁委员会按其仲裁规则申请仲裁。</w:t>
      </w:r>
    </w:p>
    <w:p w14:paraId="006BC889">
      <w:pPr>
        <w:pStyle w:val="56"/>
        <w:spacing w:line="360" w:lineRule="auto"/>
        <w:rPr>
          <w:rFonts w:hint="eastAsia" w:ascii="宋体" w:hAnsi="宋体"/>
          <w:szCs w:val="21"/>
          <w:highlight w:val="none"/>
        </w:rPr>
      </w:pPr>
      <w:r>
        <w:rPr>
          <w:rFonts w:hint="eastAsia" w:ascii="宋体" w:hAnsi="宋体"/>
          <w:highlight w:val="none"/>
          <w:lang w:val="en-US" w:eastAsia="zh-CN"/>
        </w:rPr>
        <w:t>2、</w:t>
      </w:r>
      <w:r>
        <w:rPr>
          <w:rFonts w:hint="eastAsia" w:ascii="宋体" w:hAnsi="宋体"/>
          <w:highlight w:val="none"/>
        </w:rPr>
        <w:t>在仲裁</w:t>
      </w:r>
      <w:r>
        <w:rPr>
          <w:rFonts w:hint="eastAsia" w:ascii="宋体" w:hAnsi="宋体"/>
          <w:highlight w:val="none"/>
          <w:lang w:val="en-US" w:eastAsia="zh-CN"/>
        </w:rPr>
        <w:t>或诉讼</w:t>
      </w:r>
      <w:r>
        <w:rPr>
          <w:rFonts w:hint="eastAsia" w:ascii="宋体" w:hAnsi="宋体"/>
          <w:highlight w:val="none"/>
        </w:rPr>
        <w:t>期间，本合同应继续履行。</w:t>
      </w:r>
    </w:p>
    <w:p w14:paraId="2D796801">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十一、</w:t>
      </w:r>
      <w:r>
        <w:rPr>
          <w:rFonts w:hint="eastAsia" w:ascii="宋体" w:hAnsi="宋体"/>
          <w:b/>
          <w:bCs/>
          <w:szCs w:val="21"/>
          <w:highlight w:val="none"/>
        </w:rPr>
        <w:t>诚实信用</w:t>
      </w:r>
    </w:p>
    <w:p w14:paraId="083F7ED7">
      <w:pPr>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乙方应诚实信用，严格按照招标文件要求和投标承诺履行合同，不向甲方进行商业贿赂或者提供不正当利益。</w:t>
      </w:r>
    </w:p>
    <w:p w14:paraId="1D52D6DB">
      <w:pPr>
        <w:spacing w:line="360" w:lineRule="auto"/>
        <w:ind w:firstLine="413" w:firstLineChars="196"/>
        <w:jc w:val="left"/>
        <w:rPr>
          <w:rFonts w:ascii="宋体" w:hAnsi="宋体"/>
          <w:b/>
          <w:highlight w:val="none"/>
        </w:rPr>
      </w:pPr>
      <w:r>
        <w:rPr>
          <w:rFonts w:hint="eastAsia" w:ascii="宋体" w:hAnsi="宋体"/>
          <w:b/>
          <w:highlight w:val="none"/>
          <w:lang w:val="en-US" w:eastAsia="zh-CN"/>
        </w:rPr>
        <w:t>十二、</w:t>
      </w:r>
      <w:r>
        <w:rPr>
          <w:rFonts w:hint="eastAsia" w:ascii="宋体" w:hAnsi="宋体"/>
          <w:b/>
          <w:highlight w:val="none"/>
        </w:rPr>
        <w:t>合同生效及其他</w:t>
      </w:r>
    </w:p>
    <w:p w14:paraId="0E0958FE">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1、</w:t>
      </w:r>
      <w:r>
        <w:rPr>
          <w:rFonts w:hint="eastAsia" w:ascii="宋体" w:hAnsi="宋体"/>
          <w:highlight w:val="none"/>
          <w:lang w:val="zh-CN"/>
        </w:rPr>
        <w:t>本合同应按照中华人民共和国的现行法律进行解释</w:t>
      </w:r>
    </w:p>
    <w:p w14:paraId="17A7BC0D">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2、</w:t>
      </w:r>
      <w:r>
        <w:rPr>
          <w:rFonts w:hint="eastAsia" w:ascii="宋体" w:hAnsi="宋体"/>
          <w:highlight w:val="none"/>
          <w:lang w:val="zh-CN"/>
        </w:rPr>
        <w:t>本合同签订后，双方如需要提出修改或增加条款时，需经双方协商一致后，可以签订补充协议，补充协议与本合同具有同等的法律效力。</w:t>
      </w:r>
    </w:p>
    <w:p w14:paraId="18E605E8">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3</w:t>
      </w:r>
      <w:r>
        <w:rPr>
          <w:rFonts w:hint="eastAsia" w:ascii="宋体" w:hAnsi="宋体"/>
          <w:highlight w:val="none"/>
          <w:lang w:val="zh-CN"/>
        </w:rPr>
        <w:t>、本合同一式陆份。甲方执叁份，乙方执叁份。</w:t>
      </w:r>
    </w:p>
    <w:p w14:paraId="4B7D5E30">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4</w:t>
      </w:r>
      <w:r>
        <w:rPr>
          <w:rFonts w:hint="eastAsia" w:ascii="宋体" w:hAnsi="宋体"/>
          <w:highlight w:val="none"/>
          <w:lang w:val="zh-CN"/>
        </w:rPr>
        <w:t>、本合同双方盖骑缝章。</w:t>
      </w:r>
    </w:p>
    <w:p w14:paraId="2393272A">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5</w:t>
      </w:r>
      <w:r>
        <w:rPr>
          <w:rFonts w:hint="eastAsia" w:ascii="宋体" w:hAnsi="宋体"/>
          <w:highlight w:val="none"/>
          <w:lang w:val="zh-CN"/>
        </w:rPr>
        <w:t>、本合同自双方签字盖章即生效。</w:t>
      </w:r>
    </w:p>
    <w:p w14:paraId="71C83E9B">
      <w:pPr>
        <w:spacing w:line="360" w:lineRule="auto"/>
        <w:ind w:firstLine="420" w:firstLineChars="200"/>
        <w:jc w:val="left"/>
        <w:rPr>
          <w:rFonts w:hint="eastAsia" w:ascii="宋体" w:hAnsi="宋体" w:cs="宋体"/>
          <w:b w:val="0"/>
          <w:bCs w:val="0"/>
          <w:i w:val="0"/>
          <w:iCs w:val="0"/>
          <w:color w:val="auto"/>
          <w:kern w:val="2"/>
          <w:sz w:val="21"/>
          <w:szCs w:val="21"/>
          <w:highlight w:val="none"/>
          <w:u w:val="none"/>
          <w:lang w:val="en-US" w:eastAsia="zh-CN" w:bidi="ar"/>
        </w:rPr>
      </w:pPr>
      <w:r>
        <w:rPr>
          <w:rFonts w:hint="eastAsia" w:ascii="宋体" w:hAnsi="宋体" w:cs="宋体"/>
          <w:b w:val="0"/>
          <w:bCs w:val="0"/>
          <w:i w:val="0"/>
          <w:iCs w:val="0"/>
          <w:color w:val="auto"/>
          <w:kern w:val="2"/>
          <w:sz w:val="21"/>
          <w:szCs w:val="21"/>
          <w:highlight w:val="none"/>
          <w:u w:val="none"/>
          <w:lang w:val="en-US" w:eastAsia="zh-CN" w:bidi="ar"/>
        </w:rPr>
        <w:t>附件：</w:t>
      </w:r>
    </w:p>
    <w:p w14:paraId="76A6B958">
      <w:pPr>
        <w:spacing w:line="360" w:lineRule="auto"/>
        <w:ind w:firstLine="420" w:firstLineChars="200"/>
        <w:jc w:val="left"/>
        <w:rPr>
          <w:rFonts w:hint="default"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附件1、</w:t>
      </w:r>
      <w:r>
        <w:rPr>
          <w:rFonts w:hint="eastAsia" w:ascii="宋体" w:hAnsi="宋体" w:cs="宋体"/>
          <w:b w:val="0"/>
          <w:bCs w:val="0"/>
          <w:i w:val="0"/>
          <w:iCs w:val="0"/>
          <w:color w:val="auto"/>
          <w:kern w:val="2"/>
          <w:sz w:val="21"/>
          <w:szCs w:val="21"/>
          <w:highlight w:val="none"/>
          <w:u w:val="none"/>
          <w:lang w:val="en-US" w:eastAsia="zh-CN" w:bidi="ar"/>
        </w:rPr>
        <w:t>环卫保洁设施量明细表</w:t>
      </w:r>
    </w:p>
    <w:p w14:paraId="488B743E">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2</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、南京市栖霞区城市管理局环境卫生质量标准</w:t>
      </w:r>
    </w:p>
    <w:p w14:paraId="12C340B8">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7F05C64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4</w:t>
      </w:r>
      <w:r>
        <w:rPr>
          <w:rFonts w:hint="eastAsia" w:ascii="宋体" w:hAnsi="宋体" w:eastAsia="宋体" w:cs="宋体"/>
          <w:b w:val="0"/>
          <w:bCs w:val="0"/>
          <w:i w:val="0"/>
          <w:iCs w:val="0"/>
          <w:color w:val="auto"/>
          <w:kern w:val="2"/>
          <w:sz w:val="21"/>
          <w:szCs w:val="21"/>
          <w:highlight w:val="none"/>
          <w:u w:val="none"/>
          <w:lang w:val="en-US" w:eastAsia="zh-CN" w:bidi="ar"/>
        </w:rPr>
        <w:t>、乙方营业执照、人员表、机械设备</w:t>
      </w:r>
      <w:r>
        <w:rPr>
          <w:rFonts w:hint="eastAsia" w:ascii="宋体" w:hAnsi="宋体" w:eastAsia="宋体" w:cs="宋体"/>
          <w:color w:val="auto"/>
          <w:sz w:val="21"/>
          <w:szCs w:val="21"/>
          <w:highlight w:val="none"/>
        </w:rPr>
        <w:t>表、服务承诺</w:t>
      </w:r>
    </w:p>
    <w:p w14:paraId="46596BDB">
      <w:pPr>
        <w:spacing w:line="360" w:lineRule="auto"/>
        <w:ind w:firstLine="420" w:firstLineChars="200"/>
        <w:jc w:val="left"/>
        <w:rPr>
          <w:rFonts w:hint="default" w:ascii="宋体" w:hAnsi="宋体" w:eastAsia="宋体" w:cs="宋体"/>
          <w:color w:val="auto"/>
          <w:sz w:val="21"/>
          <w:szCs w:val="21"/>
          <w:highlight w:val="none"/>
          <w:lang w:val="en-US"/>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5</w:t>
      </w:r>
      <w:r>
        <w:rPr>
          <w:rFonts w:hint="eastAsia" w:ascii="宋体" w:hAnsi="宋体" w:eastAsia="宋体" w:cs="宋体"/>
          <w:b w:val="0"/>
          <w:bCs w:val="0"/>
          <w:i w:val="0"/>
          <w:iCs w:val="0"/>
          <w:color w:val="auto"/>
          <w:kern w:val="2"/>
          <w:sz w:val="21"/>
          <w:szCs w:val="21"/>
          <w:highlight w:val="none"/>
          <w:u w:val="none"/>
          <w:lang w:val="en-US" w:eastAsia="zh-CN" w:bidi="ar"/>
        </w:rPr>
        <w:t>、</w:t>
      </w:r>
      <w:r>
        <w:rPr>
          <w:rFonts w:hint="eastAsia" w:ascii="宋体" w:hAnsi="宋体" w:cs="宋体"/>
          <w:b w:val="0"/>
          <w:bCs w:val="0"/>
          <w:i w:val="0"/>
          <w:iCs w:val="0"/>
          <w:color w:val="auto"/>
          <w:kern w:val="2"/>
          <w:sz w:val="21"/>
          <w:szCs w:val="21"/>
          <w:highlight w:val="none"/>
          <w:u w:val="none"/>
          <w:lang w:val="en-US" w:eastAsia="zh-CN" w:bidi="ar"/>
        </w:rPr>
        <w:t>考核办法及细则</w:t>
      </w:r>
    </w:p>
    <w:p w14:paraId="753407F6">
      <w:pPr>
        <w:pStyle w:val="2"/>
        <w:rPr>
          <w:rFonts w:hint="eastAsia"/>
        </w:rPr>
      </w:pPr>
    </w:p>
    <w:p w14:paraId="33777EBB">
      <w:pPr>
        <w:spacing w:line="360" w:lineRule="auto"/>
        <w:jc w:val="center"/>
        <w:rPr>
          <w:rFonts w:hint="eastAsia" w:ascii="宋体" w:hAnsi="宋体" w:eastAsia="宋体" w:cs="宋体"/>
          <w:bCs/>
          <w:color w:val="auto"/>
          <w:sz w:val="21"/>
          <w:szCs w:val="21"/>
          <w:highlight w:val="none"/>
        </w:rPr>
      </w:pPr>
    </w:p>
    <w:p w14:paraId="27206A48">
      <w:pPr>
        <w:spacing w:line="360" w:lineRule="auto"/>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（以下无正文）</w:t>
      </w:r>
    </w:p>
    <w:p w14:paraId="1E5BC1B4">
      <w:pPr>
        <w:pStyle w:val="2"/>
        <w:rPr>
          <w:rFonts w:hint="eastAsia" w:ascii="宋体" w:hAnsi="宋体" w:eastAsia="宋体" w:cs="宋体"/>
          <w:bCs/>
          <w:color w:val="auto"/>
          <w:sz w:val="21"/>
          <w:szCs w:val="21"/>
          <w:highlight w:val="none"/>
        </w:rPr>
      </w:pPr>
    </w:p>
    <w:p w14:paraId="57EF5641">
      <w:pPr>
        <w:pStyle w:val="2"/>
        <w:rPr>
          <w:rFonts w:hint="eastAsia" w:ascii="宋体" w:hAnsi="宋体" w:eastAsia="宋体" w:cs="宋体"/>
          <w:bCs/>
          <w:color w:val="auto"/>
          <w:sz w:val="21"/>
          <w:szCs w:val="21"/>
          <w:highlight w:val="none"/>
        </w:rPr>
      </w:pPr>
    </w:p>
    <w:p w14:paraId="4AF2D2CB">
      <w:pPr>
        <w:spacing w:line="360" w:lineRule="auto"/>
        <w:ind w:firstLine="898" w:firstLineChars="42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甲方</w:t>
      </w:r>
      <w:r>
        <w:rPr>
          <w:rFonts w:hint="eastAsia" w:ascii="宋体" w:hAnsi="宋体" w:eastAsia="宋体" w:cs="宋体"/>
          <w:color w:val="auto"/>
          <w:sz w:val="21"/>
          <w:szCs w:val="21"/>
          <w:highlight w:val="none"/>
        </w:rPr>
        <w:t xml:space="preserve">（盖章）                     </w:t>
      </w:r>
      <w:r>
        <w:rPr>
          <w:rFonts w:hint="eastAsia" w:ascii="宋体" w:hAnsi="宋体" w:eastAsia="宋体" w:cs="宋体"/>
          <w:b/>
          <w:color w:val="auto"/>
          <w:sz w:val="21"/>
          <w:szCs w:val="21"/>
          <w:highlight w:val="none"/>
        </w:rPr>
        <w:t>乙方</w:t>
      </w:r>
      <w:r>
        <w:rPr>
          <w:rFonts w:hint="eastAsia" w:ascii="宋体" w:hAnsi="宋体" w:eastAsia="宋体" w:cs="宋体"/>
          <w:color w:val="auto"/>
          <w:sz w:val="21"/>
          <w:szCs w:val="21"/>
          <w:highlight w:val="none"/>
        </w:rPr>
        <w:t>（盖章）</w:t>
      </w:r>
    </w:p>
    <w:p w14:paraId="61DA8109">
      <w:pPr>
        <w:spacing w:line="360" w:lineRule="auto"/>
        <w:ind w:firstLine="898" w:firstLineChars="42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法定代表人</w:t>
      </w:r>
      <w:r>
        <w:rPr>
          <w:rFonts w:hint="eastAsia" w:ascii="宋体" w:hAnsi="宋体" w:eastAsia="宋体" w:cs="宋体"/>
          <w:color w:val="auto"/>
          <w:sz w:val="21"/>
          <w:szCs w:val="21"/>
          <w:highlight w:val="none"/>
        </w:rPr>
        <w:t xml:space="preserve">（签字）            </w:t>
      </w:r>
      <w:r>
        <w:rPr>
          <w:rFonts w:hint="eastAsia" w:ascii="宋体" w:hAnsi="宋体" w:eastAsia="宋体" w:cs="宋体"/>
          <w:b/>
          <w:color w:val="auto"/>
          <w:sz w:val="21"/>
          <w:szCs w:val="21"/>
          <w:highlight w:val="none"/>
        </w:rPr>
        <w:t xml:space="preserve">   法定代表人</w:t>
      </w:r>
      <w:r>
        <w:rPr>
          <w:rFonts w:hint="eastAsia" w:ascii="宋体" w:hAnsi="宋体" w:eastAsia="宋体" w:cs="宋体"/>
          <w:color w:val="auto"/>
          <w:sz w:val="21"/>
          <w:szCs w:val="21"/>
          <w:highlight w:val="none"/>
        </w:rPr>
        <w:t>（签字）</w:t>
      </w:r>
    </w:p>
    <w:p w14:paraId="0A76034C">
      <w:pPr>
        <w:spacing w:line="360" w:lineRule="auto"/>
        <w:ind w:firstLine="898" w:firstLineChars="42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地址：</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地址：</w:t>
      </w:r>
      <w:r>
        <w:rPr>
          <w:rFonts w:hint="eastAsia" w:ascii="宋体" w:hAnsi="宋体" w:eastAsia="宋体" w:cs="宋体"/>
          <w:color w:val="auto"/>
          <w:sz w:val="21"/>
          <w:szCs w:val="21"/>
          <w:highlight w:val="none"/>
        </w:rPr>
        <w:t xml:space="preserve">             </w:t>
      </w:r>
    </w:p>
    <w:p w14:paraId="3180F440">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开户银行：                       开户银行：</w:t>
      </w:r>
      <w:r>
        <w:rPr>
          <w:rFonts w:hint="eastAsia" w:ascii="宋体" w:hAnsi="宋体" w:eastAsia="宋体" w:cs="宋体"/>
          <w:b/>
          <w:color w:val="auto"/>
          <w:sz w:val="21"/>
          <w:szCs w:val="21"/>
          <w:highlight w:val="none"/>
        </w:rPr>
        <w:t xml:space="preserve">                     </w:t>
      </w:r>
    </w:p>
    <w:p w14:paraId="6BA1D1A3">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账号：</w:t>
      </w:r>
    </w:p>
    <w:p w14:paraId="770F380C">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联系电话：</w:t>
      </w:r>
    </w:p>
    <w:p w14:paraId="6FA6EF77">
      <w:pPr>
        <w:spacing w:line="360" w:lineRule="auto"/>
        <w:ind w:firstLine="894" w:firstLineChars="42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传    真：</w:t>
      </w:r>
    </w:p>
    <w:p w14:paraId="24B5BE7A">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邮政编码：</w:t>
      </w:r>
    </w:p>
    <w:p w14:paraId="1066CAB2">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合同签订地点：                  合同签订日期：   年  月  日　</w:t>
      </w:r>
    </w:p>
    <w:p w14:paraId="23CD6BD4">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br w:type="page"/>
      </w:r>
    </w:p>
    <w:p w14:paraId="71AE2CEA">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附件1、</w:t>
      </w:r>
      <w:r>
        <w:rPr>
          <w:rFonts w:hint="eastAsia" w:ascii="宋体" w:hAnsi="宋体" w:cs="宋体"/>
          <w:b w:val="0"/>
          <w:bCs w:val="0"/>
          <w:i w:val="0"/>
          <w:iCs w:val="0"/>
          <w:color w:val="auto"/>
          <w:kern w:val="2"/>
          <w:sz w:val="21"/>
          <w:szCs w:val="21"/>
          <w:highlight w:val="none"/>
          <w:u w:val="none"/>
          <w:lang w:val="en-US" w:eastAsia="zh-CN" w:bidi="ar"/>
        </w:rPr>
        <w:t>环卫保洁设施量明细表</w:t>
      </w:r>
    </w:p>
    <w:p w14:paraId="396B1D01">
      <w:pPr>
        <w:spacing w:line="480" w:lineRule="auto"/>
        <w:jc w:val="center"/>
        <w:rPr>
          <w:rFonts w:hint="default"/>
          <w:sz w:val="21"/>
          <w:szCs w:val="21"/>
          <w:highlight w:val="none"/>
          <w:lang w:val="en-US" w:eastAsia="zh-CN"/>
        </w:rPr>
      </w:pPr>
      <w:r>
        <w:rPr>
          <w:rFonts w:hint="eastAsia" w:ascii="新宋体" w:hAnsi="新宋体" w:eastAsia="新宋体"/>
          <w:color w:val="000000" w:themeColor="text1"/>
          <w:sz w:val="21"/>
          <w:szCs w:val="21"/>
          <w:highlight w:val="none"/>
          <w14:textFill>
            <w14:solidFill>
              <w14:schemeClr w14:val="tx1"/>
            </w14:solidFill>
          </w14:textFill>
        </w:rPr>
        <w:t>（截取</w:t>
      </w:r>
      <w:r>
        <w:rPr>
          <w:rFonts w:hint="eastAsia" w:ascii="新宋体" w:hAnsi="新宋体" w:eastAsia="新宋体"/>
          <w:color w:val="000000" w:themeColor="text1"/>
          <w:sz w:val="21"/>
          <w:szCs w:val="21"/>
          <w:highlight w:val="none"/>
          <w:lang w:val="en-US" w:eastAsia="zh-CN"/>
          <w14:textFill>
            <w14:solidFill>
              <w14:schemeClr w14:val="tx1"/>
            </w14:solidFill>
          </w14:textFill>
        </w:rPr>
        <w:t>自招标文件附件</w:t>
      </w:r>
      <w:r>
        <w:rPr>
          <w:rFonts w:hint="eastAsia" w:ascii="宋体" w:hAnsi="宋体" w:cs="宋体"/>
          <w:b w:val="0"/>
          <w:bCs w:val="0"/>
          <w:i w:val="0"/>
          <w:iCs w:val="0"/>
          <w:color w:val="auto"/>
          <w:kern w:val="2"/>
          <w:sz w:val="21"/>
          <w:szCs w:val="21"/>
          <w:highlight w:val="none"/>
          <w:u w:val="none"/>
          <w:lang w:val="en-US" w:eastAsia="zh-CN" w:bidi="ar"/>
        </w:rPr>
        <w:t>环卫保洁设施量明细表</w:t>
      </w:r>
      <w:r>
        <w:rPr>
          <w:rFonts w:hint="eastAsia" w:ascii="新宋体" w:hAnsi="新宋体" w:eastAsia="新宋体"/>
          <w:color w:val="000000" w:themeColor="text1"/>
          <w:sz w:val="21"/>
          <w:szCs w:val="21"/>
          <w:highlight w:val="none"/>
          <w14:textFill>
            <w14:solidFill>
              <w14:schemeClr w14:val="tx1"/>
            </w14:solidFill>
          </w14:textFill>
        </w:rPr>
        <w:t>）</w:t>
      </w:r>
    </w:p>
    <w:p w14:paraId="7B963966">
      <w:pP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br w:type="page"/>
      </w:r>
    </w:p>
    <w:p w14:paraId="6C570B8D">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2</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、南京市栖霞区城市管理局环境卫生质量标准</w:t>
      </w:r>
    </w:p>
    <w:p w14:paraId="1099671A">
      <w:pPr>
        <w:jc w:val="center"/>
        <w:rPr>
          <w:rFonts w:hint="eastAsia" w:ascii="宋体" w:hAnsi="宋体" w:eastAsia="宋体" w:cs="宋体"/>
          <w:b/>
          <w:color w:val="auto"/>
          <w:sz w:val="21"/>
          <w:szCs w:val="21"/>
          <w:highlight w:val="none"/>
          <w:lang w:val="en-US" w:eastAsia="zh-CN"/>
        </w:rPr>
      </w:pPr>
    </w:p>
    <w:p w14:paraId="7953D18D">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南京市栖霞区城市管理局环境卫生质量标准</w:t>
      </w:r>
    </w:p>
    <w:p w14:paraId="58A16F9D">
      <w:pPr>
        <w:jc w:val="center"/>
        <w:rPr>
          <w:rFonts w:hint="eastAsia" w:ascii="宋体" w:hAnsi="宋体" w:eastAsia="宋体" w:cs="宋体"/>
          <w:b/>
          <w:color w:val="auto"/>
          <w:sz w:val="21"/>
          <w:szCs w:val="21"/>
          <w:highlight w:val="none"/>
        </w:rPr>
      </w:pPr>
    </w:p>
    <w:p w14:paraId="2C26F1F7">
      <w:pPr>
        <w:pStyle w:val="3"/>
        <w:pageBreakBefore w:val="0"/>
        <w:numPr>
          <w:ilvl w:val="0"/>
          <w:numId w:val="0"/>
        </w:numPr>
        <w:kinsoku/>
        <w:wordWrap/>
        <w:overflowPunct/>
        <w:topLinePunct w:val="0"/>
        <w:autoSpaceDE/>
        <w:autoSpaceDN/>
        <w:bidi w:val="0"/>
        <w:spacing w:line="360" w:lineRule="auto"/>
        <w:ind w:left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一、道路</w:t>
      </w:r>
    </w:p>
    <w:p w14:paraId="7DA2C37E">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1、保洁范围：液晶谷片区</w:t>
      </w:r>
    </w:p>
    <w:p w14:paraId="66C7F1DD">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bCs w:val="0"/>
          <w:color w:val="auto"/>
          <w:sz w:val="21"/>
          <w:szCs w:val="21"/>
          <w:highlight w:val="none"/>
        </w:rPr>
        <w:t>应符合下表规定：</w:t>
      </w:r>
    </w:p>
    <w:p w14:paraId="0EA5D82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道路保洁等级</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4"/>
        <w:gridCol w:w="8529"/>
      </w:tblGrid>
      <w:tr w14:paraId="769F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25E508C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7989101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31B9E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448DF8A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40E6F933">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1、商业网点集中，道路旁商业店铺占道路长度不小</w:t>
            </w:r>
            <w:r>
              <w:rPr>
                <w:rFonts w:hint="eastAsia" w:ascii="宋体" w:hAnsi="宋体" w:cs="宋体"/>
                <w:color w:val="auto"/>
                <w:sz w:val="21"/>
                <w:szCs w:val="21"/>
                <w:highlight w:val="none"/>
                <w:lang w:val="en-US" w:eastAsia="zh-CN"/>
              </w:rPr>
              <w:t>于</w:t>
            </w:r>
            <w:r>
              <w:rPr>
                <w:rFonts w:hint="eastAsia" w:ascii="宋体" w:hAnsi="宋体" w:eastAsia="宋体" w:cs="宋体"/>
                <w:color w:val="auto"/>
                <w:sz w:val="21"/>
                <w:szCs w:val="21"/>
                <w:highlight w:val="none"/>
              </w:rPr>
              <w:t>70%的繁华闹市地段。</w:t>
            </w:r>
          </w:p>
          <w:p w14:paraId="26C4552D">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2、临街商业店铺占道路长度不少于30％的城市次干道及其附近路段。</w:t>
            </w:r>
          </w:p>
          <w:p w14:paraId="12E6C45E">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3、主要旅游点、车站、港口的主干道及其所在地路段。</w:t>
            </w:r>
          </w:p>
          <w:p w14:paraId="7769EC8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4、大型文化娱乐、展览等主要公共场所所在地路段。</w:t>
            </w:r>
          </w:p>
          <w:p w14:paraId="4DA26BDB">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5、平均人流量为100人次/分钟以上和公共交通线路较多的路段。</w:t>
            </w:r>
          </w:p>
          <w:p w14:paraId="5BFDC561">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6、主要领导机关、外事机构所在地。</w:t>
            </w:r>
          </w:p>
        </w:tc>
      </w:tr>
      <w:tr w14:paraId="1461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18D218F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53FF0023">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1、临街商业店铺占道路长度少于30％的城市主、次干道及其附近路段。</w:t>
            </w:r>
          </w:p>
          <w:p w14:paraId="74232F4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2、公共文化娱乐活动场所所在路段。</w:t>
            </w:r>
          </w:p>
          <w:p w14:paraId="45504B3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3、平均人流量为50－100人次/分钟的路段。</w:t>
            </w:r>
          </w:p>
          <w:p w14:paraId="11FF1101">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4、有固定公共交通线路的路段。</w:t>
            </w:r>
          </w:p>
        </w:tc>
      </w:tr>
      <w:tr w14:paraId="0D31C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2CF3FB5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3311B538">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1、商业网点较少的路段。</w:t>
            </w:r>
          </w:p>
          <w:p w14:paraId="58CE0972">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2、居民区和单位相间的路段。</w:t>
            </w:r>
          </w:p>
          <w:p w14:paraId="6D07EEA2">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3、城郊结合部的主要路段。</w:t>
            </w:r>
          </w:p>
          <w:p w14:paraId="0A767D3E">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4、人流量、车流量一般的路段。</w:t>
            </w:r>
          </w:p>
        </w:tc>
      </w:tr>
      <w:tr w14:paraId="0B5C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14F8523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04624F2D">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1、城郊结合部的支路。</w:t>
            </w:r>
          </w:p>
          <w:p w14:paraId="458366E8">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2、人流量、车流量较少的路段。</w:t>
            </w:r>
          </w:p>
        </w:tc>
      </w:tr>
    </w:tbl>
    <w:p w14:paraId="22E2EFE3">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3、路面质量要求</w:t>
      </w:r>
    </w:p>
    <w:p w14:paraId="16108FF2">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路面保洁应达到路面整洁；</w:t>
      </w:r>
      <w:r>
        <w:rPr>
          <w:rFonts w:hint="eastAsia" w:ascii="宋体" w:hAnsi="宋体" w:eastAsia="宋体" w:cs="宋体"/>
          <w:color w:val="auto"/>
          <w:sz w:val="21"/>
          <w:szCs w:val="21"/>
          <w:highlight w:val="none"/>
        </w:rPr>
        <w:t>窨井盖沟眼畅通干净，道牙边无明显泥沙、浮土</w:t>
      </w:r>
      <w:r>
        <w:rPr>
          <w:rFonts w:hint="eastAsia" w:ascii="宋体" w:hAnsi="宋体" w:eastAsia="宋体" w:cs="宋体"/>
          <w:color w:val="auto"/>
          <w:kern w:val="0"/>
          <w:sz w:val="21"/>
          <w:szCs w:val="21"/>
          <w:highlight w:val="none"/>
        </w:rPr>
        <w:t>。</w:t>
      </w:r>
    </w:p>
    <w:p w14:paraId="3E23174A">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（2）路面污染物定义：包括瓜皮果核、烟头、纸屑、塑料袋、落叶、落果、粪便等废弃物，以及积灰、痰迹、油污、果浆等污迹。</w:t>
      </w:r>
    </w:p>
    <w:p w14:paraId="2109FFBB">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路面污染物控制指标应符合下表规定：</w:t>
      </w:r>
    </w:p>
    <w:p w14:paraId="4A324012">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p>
    <w:p w14:paraId="0F236136">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p>
    <w:p w14:paraId="4FAA03A9">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道路路面污染物控制标准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0"/>
        <w:gridCol w:w="1232"/>
        <w:gridCol w:w="1230"/>
        <w:gridCol w:w="1232"/>
        <w:gridCol w:w="1232"/>
        <w:gridCol w:w="1230"/>
        <w:gridCol w:w="1232"/>
        <w:gridCol w:w="1233"/>
      </w:tblGrid>
      <w:tr w14:paraId="6DB4C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624" w:type="pct"/>
            <w:tcBorders>
              <w:top w:val="single" w:color="auto" w:sz="4" w:space="0"/>
              <w:left w:val="single" w:color="auto" w:sz="4" w:space="0"/>
              <w:right w:val="single" w:color="auto" w:sz="4" w:space="0"/>
            </w:tcBorders>
            <w:noWrap w:val="0"/>
            <w:vAlign w:val="center"/>
          </w:tcPr>
          <w:p w14:paraId="1CECCA5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44AF79C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625" w:type="pct"/>
            <w:tcBorders>
              <w:top w:val="single" w:color="auto" w:sz="4" w:space="0"/>
              <w:left w:val="single" w:color="auto" w:sz="4" w:space="0"/>
              <w:right w:val="single" w:color="auto" w:sz="4" w:space="0"/>
            </w:tcBorders>
            <w:noWrap w:val="0"/>
            <w:vAlign w:val="center"/>
          </w:tcPr>
          <w:p w14:paraId="67604CF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点状污染（处/500㎡）</w:t>
            </w:r>
          </w:p>
        </w:tc>
        <w:tc>
          <w:tcPr>
            <w:tcW w:w="624" w:type="pct"/>
            <w:tcBorders>
              <w:top w:val="single" w:color="auto" w:sz="4" w:space="0"/>
              <w:left w:val="single" w:color="auto" w:sz="4" w:space="0"/>
              <w:right w:val="single" w:color="auto" w:sz="4" w:space="0"/>
            </w:tcBorders>
            <w:noWrap w:val="0"/>
            <w:vAlign w:val="center"/>
          </w:tcPr>
          <w:p w14:paraId="220E472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w:t>
            </w:r>
          </w:p>
        </w:tc>
        <w:tc>
          <w:tcPr>
            <w:tcW w:w="625" w:type="pct"/>
            <w:tcBorders>
              <w:top w:val="single" w:color="auto" w:sz="4" w:space="0"/>
              <w:left w:val="single" w:color="auto" w:sz="4" w:space="0"/>
              <w:right w:val="single" w:color="auto" w:sz="4" w:space="0"/>
            </w:tcBorders>
            <w:noWrap w:val="0"/>
            <w:vAlign w:val="center"/>
          </w:tcPr>
          <w:p w14:paraId="7058713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w:t>
            </w:r>
          </w:p>
        </w:tc>
        <w:tc>
          <w:tcPr>
            <w:tcW w:w="625" w:type="pct"/>
            <w:tcBorders>
              <w:top w:val="single" w:color="auto" w:sz="4" w:space="0"/>
              <w:left w:val="single" w:color="auto" w:sz="4" w:space="0"/>
              <w:right w:val="single" w:color="auto" w:sz="4" w:space="0"/>
            </w:tcBorders>
            <w:noWrap w:val="0"/>
            <w:vAlign w:val="center"/>
          </w:tcPr>
          <w:p w14:paraId="7A4A473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w:t>
            </w:r>
          </w:p>
          <w:p w14:paraId="0A08C97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（堆/500㎡）</w:t>
            </w:r>
          </w:p>
        </w:tc>
        <w:tc>
          <w:tcPr>
            <w:tcW w:w="624" w:type="pct"/>
            <w:tcBorders>
              <w:top w:val="single" w:color="auto" w:sz="4" w:space="0"/>
              <w:left w:val="single" w:color="auto" w:sz="4" w:space="0"/>
              <w:right w:val="single" w:color="auto" w:sz="4" w:space="0"/>
            </w:tcBorders>
            <w:noWrap w:val="0"/>
            <w:vAlign w:val="center"/>
          </w:tcPr>
          <w:p w14:paraId="77D9409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w:t>
            </w:r>
          </w:p>
          <w:p w14:paraId="539290F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（平方米/500㎡）</w:t>
            </w:r>
          </w:p>
        </w:tc>
        <w:tc>
          <w:tcPr>
            <w:tcW w:w="625" w:type="pct"/>
            <w:tcBorders>
              <w:top w:val="single" w:color="auto" w:sz="4" w:space="0"/>
              <w:left w:val="single" w:color="auto" w:sz="4" w:space="0"/>
              <w:right w:val="single" w:color="auto" w:sz="4" w:space="0"/>
            </w:tcBorders>
            <w:noWrap w:val="0"/>
            <w:vAlign w:val="center"/>
          </w:tcPr>
          <w:p w14:paraId="0F9CE26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车行道本色呈现率（%）</w:t>
            </w:r>
          </w:p>
        </w:tc>
        <w:tc>
          <w:tcPr>
            <w:tcW w:w="625" w:type="pct"/>
            <w:tcBorders>
              <w:top w:val="single" w:color="auto" w:sz="4" w:space="0"/>
              <w:left w:val="single" w:color="auto" w:sz="4" w:space="0"/>
              <w:right w:val="single" w:color="auto" w:sz="4" w:space="0"/>
            </w:tcBorders>
            <w:noWrap w:val="0"/>
            <w:vAlign w:val="center"/>
          </w:tcPr>
          <w:p w14:paraId="7B8031D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人行道本色呈现率（%）</w:t>
            </w:r>
          </w:p>
        </w:tc>
      </w:tr>
      <w:tr w14:paraId="1841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424D5B1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806DE9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0BC6A0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8E159C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A46AD0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59805A9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1428D09E">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68097C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r>
      <w:tr w14:paraId="4F23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0127FE6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169C38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56EF20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4513FD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A39856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2C728D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18C9D7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D087C31">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20B0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669ABF5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994A6B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4D5B6C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FEFB6F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5165D3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03C2763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F8E2DAD">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19B1878F">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r>
      <w:tr w14:paraId="51F7E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4510BDB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66FE00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4174BE3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C4F754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FD9C27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6A18BAA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1D718F4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D859D50">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57A4B7F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人行道以50米长度为单元，污染物参照路面污染物标准。</w:t>
      </w:r>
    </w:p>
    <w:p w14:paraId="0A84FA7C">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注：对落叶的考核限于大面积落叶季节。</w:t>
      </w:r>
    </w:p>
    <w:p w14:paraId="66E97087">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kern w:val="0"/>
          <w:sz w:val="21"/>
          <w:szCs w:val="21"/>
          <w:highlight w:val="none"/>
        </w:rPr>
        <w:t>公交候车站、地铁站出入口、</w:t>
      </w:r>
      <w:r>
        <w:rPr>
          <w:rFonts w:hint="eastAsia" w:ascii="宋体" w:hAnsi="宋体" w:eastAsia="宋体" w:cs="宋体"/>
          <w:color w:val="auto"/>
          <w:sz w:val="21"/>
          <w:szCs w:val="21"/>
          <w:highlight w:val="none"/>
        </w:rPr>
        <w:t>人行天桥、人行过街地下通道、车行隧道的质量标准与相连接的道路相同。</w:t>
      </w:r>
    </w:p>
    <w:p w14:paraId="3492BEC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（4）人行道、</w:t>
      </w:r>
      <w:r>
        <w:rPr>
          <w:rFonts w:hint="eastAsia" w:ascii="宋体" w:hAnsi="宋体" w:eastAsia="宋体" w:cs="宋体"/>
          <w:color w:val="auto"/>
          <w:kern w:val="0"/>
          <w:sz w:val="21"/>
          <w:szCs w:val="21"/>
          <w:highlight w:val="none"/>
        </w:rPr>
        <w:t>路旁绿地、绿化隔离带、行道树穴内无积存垃圾和人畜粪便。</w:t>
      </w:r>
    </w:p>
    <w:p w14:paraId="53022D4A">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289E981B">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cs="宋体"/>
          <w:color w:val="auto"/>
          <w:kern w:val="0"/>
          <w:sz w:val="21"/>
          <w:szCs w:val="21"/>
          <w:highlight w:val="none"/>
          <w:lang w:eastAsia="zh-CN"/>
        </w:rPr>
        <w:t>果皮箱</w:t>
      </w:r>
    </w:p>
    <w:p w14:paraId="7F07FFAC">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1）道路两侧或路口以及各类交通客运设施等的出入口附近应设置</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的设置间隔宜符合下列规定：商业、金融业街道：50m-100m；主干路、次干路、有辅道的快速路：100m-200m；支路、有人行道的快速路：200m-400m。</w:t>
      </w:r>
    </w:p>
    <w:p w14:paraId="2239B4DD">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2）主次干道沿街两侧不得设置果皮箱以外的垃圾桶。</w:t>
      </w:r>
    </w:p>
    <w:p w14:paraId="3D7554B6">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3）应按规定设置生活垃圾分类收集容器，并依据垃圾品种配置相应的分类标识、体现对应的标志色。</w:t>
      </w:r>
    </w:p>
    <w:p w14:paraId="0E0F2254">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应无残缺破损、无掉漆、封闭性好，干净美观，与周围环境相协调，并应能防雨、抗老化、防腐、阻燃。</w:t>
      </w:r>
    </w:p>
    <w:p w14:paraId="7CE9BD88">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5）容器放置点及周围2m内应整洁、无蝇、无存留垃圾和污水，地面见本色。保持距垃圾分类收集容器0.5m外无臭。</w:t>
      </w:r>
    </w:p>
    <w:p w14:paraId="7D6D73EE">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（2）工具房</w:t>
      </w:r>
    </w:p>
    <w:p w14:paraId="25B43DBF">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1）工具房应设置在道路两旁不影响观瞻的隐蔽位置。</w:t>
      </w:r>
    </w:p>
    <w:p w14:paraId="215CD9F6">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2）工具房仅供存放环卫工具使用，室内应保持干净整洁、工具应摆放整齐，任何单位和个人不得擅自改变工具房用途。</w:t>
      </w:r>
    </w:p>
    <w:p w14:paraId="2B02B218">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3）工具房外墙墙面无乱张贴、乱涂写、无积尘、无明显污迹，房顶无垃圾、杂物堆积。</w:t>
      </w:r>
    </w:p>
    <w:p w14:paraId="41E37EE7">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46EB7648">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zh-CN"/>
        </w:rPr>
        <w:t>1）其他公共设施包括：交通护栏、道路隔音设施、天桥栏杆、雨棚、广告牌、路牌、邮筒、读报栏、休闲椅、康体娱乐设施、雕塑、人工造景等。</w:t>
      </w:r>
    </w:p>
    <w:p w14:paraId="69DB2DDD">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（2）道路两侧的道路交通设施、服务设施以及其他设施应保持完好，无污迹、积尘、无乱张贴、无残</w:t>
      </w:r>
      <w:r>
        <w:rPr>
          <w:rFonts w:hint="eastAsia" w:ascii="宋体" w:hAnsi="宋体" w:cs="宋体"/>
          <w:color w:val="auto"/>
          <w:kern w:val="0"/>
          <w:sz w:val="21"/>
          <w:szCs w:val="21"/>
          <w:highlight w:val="none"/>
          <w:lang w:val="en-US" w:eastAsia="zh-CN"/>
        </w:rPr>
        <w:t>缺</w:t>
      </w:r>
      <w:r>
        <w:rPr>
          <w:rFonts w:hint="eastAsia" w:ascii="宋体" w:hAnsi="宋体" w:eastAsia="宋体" w:cs="宋体"/>
          <w:color w:val="auto"/>
          <w:kern w:val="0"/>
          <w:sz w:val="21"/>
          <w:szCs w:val="21"/>
          <w:highlight w:val="none"/>
          <w:lang w:val="zh-CN"/>
        </w:rPr>
        <w:t>破损。</w:t>
      </w:r>
    </w:p>
    <w:p w14:paraId="1C3C23D5">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（3）道路两侧的道路交通设施、服务设施以及其他设施污染物控制指标应符合下表规定：</w:t>
      </w:r>
    </w:p>
    <w:p w14:paraId="153EED85">
      <w:pPr>
        <w:pageBreakBefore w:val="0"/>
        <w:kinsoku/>
        <w:wordWrap/>
        <w:overflowPunct/>
        <w:topLinePunct w:val="0"/>
        <w:autoSpaceDE/>
        <w:autoSpaceDN/>
        <w:bidi w:val="0"/>
        <w:adjustRightInd w:val="0"/>
        <w:spacing w:line="360" w:lineRule="auto"/>
        <w:ind w:firstLine="422" w:firstLineChars="20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sz w:val="21"/>
          <w:szCs w:val="21"/>
          <w:highlight w:val="none"/>
        </w:rPr>
        <w:t>公共设施污染物控制指标</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2161"/>
        <w:gridCol w:w="2019"/>
        <w:gridCol w:w="2138"/>
        <w:gridCol w:w="2053"/>
      </w:tblGrid>
      <w:tr w14:paraId="3050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4940856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74C3AF7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476B393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7A2C060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1A6FC6D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71243AB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29A06A1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040" w:type="pct"/>
            <w:tcBorders>
              <w:top w:val="single" w:color="auto" w:sz="4" w:space="0"/>
              <w:left w:val="single" w:color="auto" w:sz="4" w:space="0"/>
              <w:bottom w:val="single" w:color="auto" w:sz="4" w:space="0"/>
              <w:right w:val="single" w:color="auto" w:sz="4" w:space="0"/>
            </w:tcBorders>
            <w:noWrap w:val="0"/>
            <w:vAlign w:val="center"/>
          </w:tcPr>
          <w:p w14:paraId="1A0BED3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02BA90E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5A05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32B789E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2CDDC43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7371067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1E3459C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5648708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416B2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4A9C70C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448B821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4A241E9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160A0BF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A93AB7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4AFA1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50D2A1A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324DA06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49757B9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4511CDD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21D7D2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52498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2565FA8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2B729CB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37696B7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0982AE4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52C58A9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56967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7780B212">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1FF5D0B7">
      <w:pPr>
        <w:pStyle w:val="3"/>
        <w:pageBreakBefore w:val="0"/>
        <w:numPr>
          <w:ilvl w:val="0"/>
          <w:numId w:val="0"/>
        </w:numPr>
        <w:kinsoku/>
        <w:wordWrap/>
        <w:overflowPunct/>
        <w:topLinePunct w:val="0"/>
        <w:autoSpaceDE/>
        <w:autoSpaceDN/>
        <w:bidi w:val="0"/>
        <w:spacing w:line="360" w:lineRule="auto"/>
        <w:ind w:left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二、街巷</w:t>
      </w:r>
    </w:p>
    <w:p w14:paraId="1374E01E">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b/>
          <w:bCs/>
          <w:color w:val="auto"/>
          <w:sz w:val="21"/>
          <w:szCs w:val="21"/>
          <w:highlight w:val="none"/>
        </w:rPr>
        <w:t>1、保洁范围：</w:t>
      </w:r>
      <w:r>
        <w:rPr>
          <w:rFonts w:hint="eastAsia" w:ascii="宋体" w:hAnsi="宋体" w:eastAsia="宋体" w:cs="宋体"/>
          <w:bCs/>
          <w:color w:val="auto"/>
          <w:sz w:val="21"/>
          <w:szCs w:val="21"/>
          <w:highlight w:val="none"/>
        </w:rPr>
        <w:t>包括车行道、人行道、公交站及附属公共设施，包括环境卫生设施、道路交通设施、服务设施以及其他设施。</w:t>
      </w:r>
    </w:p>
    <w:p w14:paraId="29AC532C">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color w:val="auto"/>
          <w:sz w:val="21"/>
          <w:szCs w:val="21"/>
          <w:highlight w:val="none"/>
        </w:rPr>
        <w:t>根据街巷人流量及繁华程度，将划分为两个等级：</w:t>
      </w:r>
    </w:p>
    <w:p w14:paraId="0F1FFF39">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w:t>
      </w:r>
      <w:r>
        <w:rPr>
          <w:rFonts w:hint="eastAsia" w:ascii="宋体" w:hAnsi="宋体" w:eastAsia="宋体" w:cs="宋体"/>
          <w:b/>
          <w:color w:val="auto"/>
          <w:kern w:val="0"/>
          <w:sz w:val="21"/>
          <w:szCs w:val="21"/>
          <w:highlight w:val="none"/>
          <w:lang w:val="zh-CN"/>
        </w:rPr>
        <w:t>保洁等级</w:t>
      </w:r>
    </w:p>
    <w:tbl>
      <w:tblPr>
        <w:tblStyle w:val="4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78"/>
        <w:gridCol w:w="6575"/>
      </w:tblGrid>
      <w:tr w14:paraId="6A6DC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34A05F5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3336" w:type="pct"/>
            <w:noWrap w:val="0"/>
            <w:vAlign w:val="center"/>
          </w:tcPr>
          <w:p w14:paraId="5B6358E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6CEAD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64C5F6A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3336" w:type="pct"/>
            <w:noWrap w:val="0"/>
            <w:vAlign w:val="center"/>
          </w:tcPr>
          <w:p w14:paraId="65CD06E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w:t>
            </w:r>
            <w:r>
              <w:rPr>
                <w:rFonts w:hint="eastAsia" w:ascii="宋体" w:hAnsi="宋体" w:cs="宋体"/>
                <w:color w:val="auto"/>
                <w:sz w:val="21"/>
                <w:szCs w:val="21"/>
                <w:highlight w:val="none"/>
                <w:lang w:val="en-US" w:eastAsia="zh-CN"/>
              </w:rPr>
              <w:t>店</w:t>
            </w:r>
            <w:r>
              <w:rPr>
                <w:rFonts w:hint="eastAsia" w:ascii="宋体" w:hAnsi="宋体" w:eastAsia="宋体" w:cs="宋体"/>
                <w:color w:val="auto"/>
                <w:sz w:val="21"/>
                <w:szCs w:val="21"/>
                <w:highlight w:val="none"/>
              </w:rPr>
              <w:t>铺面超过60%的繁华街巷。</w:t>
            </w:r>
          </w:p>
        </w:tc>
      </w:tr>
      <w:tr w14:paraId="706FD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0C2C3A8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3336" w:type="pct"/>
            <w:noWrap w:val="0"/>
            <w:vAlign w:val="center"/>
          </w:tcPr>
          <w:p w14:paraId="3A1298E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w:t>
            </w:r>
            <w:r>
              <w:rPr>
                <w:rFonts w:hint="eastAsia" w:ascii="宋体" w:hAnsi="宋体" w:cs="宋体"/>
                <w:color w:val="auto"/>
                <w:sz w:val="21"/>
                <w:szCs w:val="21"/>
                <w:highlight w:val="none"/>
                <w:lang w:val="en-US" w:eastAsia="zh-CN"/>
              </w:rPr>
              <w:t>店</w:t>
            </w:r>
            <w:r>
              <w:rPr>
                <w:rFonts w:hint="eastAsia" w:ascii="宋体" w:hAnsi="宋体" w:eastAsia="宋体" w:cs="宋体"/>
                <w:color w:val="auto"/>
                <w:sz w:val="21"/>
                <w:szCs w:val="21"/>
                <w:highlight w:val="none"/>
              </w:rPr>
              <w:t>铺低于60%的一般街巷。</w:t>
            </w:r>
          </w:p>
        </w:tc>
      </w:tr>
    </w:tbl>
    <w:p w14:paraId="5D2A8F5C">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3、路面质量要求</w:t>
      </w:r>
    </w:p>
    <w:p w14:paraId="4671471B">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（1）街巷路面应达到路面整洁；窨井盖沟眼畅通干净，路牙边无明显泥沙、浮土。</w:t>
      </w:r>
    </w:p>
    <w:p w14:paraId="7480741E">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（2）街巷路面污染物控制指标应符合下表规定：</w:t>
      </w:r>
    </w:p>
    <w:p w14:paraId="0B8D5164">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街巷路面污染物控制标准</w:t>
      </w:r>
    </w:p>
    <w:tbl>
      <w:tblPr>
        <w:tblStyle w:val="46"/>
        <w:tblpPr w:leftFromText="180" w:rightFromText="180" w:vertAnchor="text" w:horzAnchor="margin" w:tblpXSpec="center" w:tblpY="13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454"/>
        <w:gridCol w:w="1454"/>
        <w:gridCol w:w="1455"/>
        <w:gridCol w:w="1455"/>
        <w:gridCol w:w="1455"/>
        <w:gridCol w:w="1457"/>
      </w:tblGrid>
      <w:tr w14:paraId="431E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568" w:type="pct"/>
            <w:tcBorders>
              <w:top w:val="single" w:color="auto" w:sz="4" w:space="0"/>
              <w:left w:val="single" w:color="auto" w:sz="4" w:space="0"/>
              <w:right w:val="single" w:color="auto" w:sz="4" w:space="0"/>
            </w:tcBorders>
            <w:noWrap w:val="0"/>
            <w:vAlign w:val="center"/>
          </w:tcPr>
          <w:p w14:paraId="6C850CA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0C491E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738" w:type="pct"/>
            <w:tcBorders>
              <w:top w:val="single" w:color="auto" w:sz="4" w:space="0"/>
              <w:left w:val="single" w:color="auto" w:sz="4" w:space="0"/>
              <w:right w:val="single" w:color="auto" w:sz="4" w:space="0"/>
            </w:tcBorders>
            <w:noWrap w:val="0"/>
            <w:vAlign w:val="center"/>
          </w:tcPr>
          <w:p w14:paraId="4A08F02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点状污染物（处/500m2）</w:t>
            </w:r>
          </w:p>
        </w:tc>
        <w:tc>
          <w:tcPr>
            <w:tcW w:w="738" w:type="pct"/>
            <w:tcBorders>
              <w:top w:val="single" w:color="auto" w:sz="4" w:space="0"/>
              <w:left w:val="single" w:color="auto" w:sz="4" w:space="0"/>
              <w:right w:val="single" w:color="auto" w:sz="4" w:space="0"/>
            </w:tcBorders>
            <w:noWrap w:val="0"/>
            <w:vAlign w:val="center"/>
          </w:tcPr>
          <w:p w14:paraId="4FA0E55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块状污染物（处/500m2）</w:t>
            </w:r>
          </w:p>
        </w:tc>
        <w:tc>
          <w:tcPr>
            <w:tcW w:w="738" w:type="pct"/>
            <w:tcBorders>
              <w:top w:val="single" w:color="auto" w:sz="4" w:space="0"/>
              <w:left w:val="single" w:color="auto" w:sz="4" w:space="0"/>
              <w:right w:val="single" w:color="auto" w:sz="4" w:space="0"/>
            </w:tcBorders>
            <w:noWrap w:val="0"/>
            <w:vAlign w:val="center"/>
          </w:tcPr>
          <w:p w14:paraId="583ADE1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条状污染物（处/500m2）</w:t>
            </w:r>
          </w:p>
        </w:tc>
        <w:tc>
          <w:tcPr>
            <w:tcW w:w="738" w:type="pct"/>
            <w:tcBorders>
              <w:top w:val="single" w:color="auto" w:sz="4" w:space="0"/>
              <w:left w:val="single" w:color="auto" w:sz="4" w:space="0"/>
              <w:right w:val="single" w:color="auto" w:sz="4" w:space="0"/>
            </w:tcBorders>
            <w:noWrap w:val="0"/>
            <w:vAlign w:val="center"/>
          </w:tcPr>
          <w:p w14:paraId="047B549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落叶（堆/500m2）</w:t>
            </w:r>
          </w:p>
        </w:tc>
        <w:tc>
          <w:tcPr>
            <w:tcW w:w="738" w:type="pct"/>
            <w:tcBorders>
              <w:top w:val="single" w:color="auto" w:sz="4" w:space="0"/>
              <w:left w:val="single" w:color="auto" w:sz="4" w:space="0"/>
              <w:right w:val="single" w:color="auto" w:sz="4" w:space="0"/>
            </w:tcBorders>
            <w:noWrap w:val="0"/>
            <w:vAlign w:val="center"/>
          </w:tcPr>
          <w:p w14:paraId="797B3BF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污水（平方米/500㎡）</w:t>
            </w:r>
          </w:p>
        </w:tc>
        <w:tc>
          <w:tcPr>
            <w:tcW w:w="739" w:type="pct"/>
            <w:tcBorders>
              <w:top w:val="single" w:color="auto" w:sz="4" w:space="0"/>
              <w:left w:val="single" w:color="auto" w:sz="4" w:space="0"/>
              <w:right w:val="single" w:color="auto" w:sz="4" w:space="0"/>
            </w:tcBorders>
            <w:noWrap w:val="0"/>
            <w:vAlign w:val="center"/>
          </w:tcPr>
          <w:p w14:paraId="2B5A84C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街巷现本色呈现率（%）</w:t>
            </w:r>
          </w:p>
        </w:tc>
      </w:tr>
      <w:tr w14:paraId="03D5E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4E4EC29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3688B1B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03441C1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C44B9E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AA0F47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205386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798056F2">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035E0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6C59B21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3FF9F2C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49CF669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0C011C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0C867A7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1F80A6E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6801EC59">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787AB91A">
      <w:pPr>
        <w:pStyle w:val="2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注：对落叶的考核限于大面积落叶季节。</w:t>
      </w:r>
    </w:p>
    <w:p w14:paraId="4F40948F">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177EDFA3">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CN"/>
        </w:rPr>
        <w:t>（1）</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：街巷两侧或路口应设置</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的设置间隔宜符合下列规定：</w:t>
      </w:r>
    </w:p>
    <w:p w14:paraId="703139EE">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1）繁华街巷：50m-100m；</w:t>
      </w:r>
    </w:p>
    <w:p w14:paraId="1D8D986D">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2）普通街巷：100m-200m。</w:t>
      </w:r>
    </w:p>
    <w:p w14:paraId="668E692D">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保洁要求同道路</w:t>
      </w: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要求第3、4、5条。</w:t>
      </w:r>
    </w:p>
    <w:p w14:paraId="34D129CB">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（2）工具房：工</w:t>
      </w:r>
      <w:r>
        <w:rPr>
          <w:rFonts w:hint="eastAsia" w:ascii="宋体" w:hAnsi="宋体" w:eastAsia="宋体" w:cs="宋体"/>
          <w:b w:val="0"/>
          <w:bCs w:val="0"/>
          <w:color w:val="auto"/>
          <w:sz w:val="21"/>
          <w:szCs w:val="21"/>
          <w:highlight w:val="none"/>
        </w:rPr>
        <w:t>具房的设置及保洁质量要求参照道路。</w:t>
      </w:r>
    </w:p>
    <w:p w14:paraId="484CC9B6">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1D88E7B1">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kern w:val="0"/>
          <w:sz w:val="21"/>
          <w:szCs w:val="21"/>
          <w:highlight w:val="none"/>
        </w:rPr>
        <w:t>应保持完好，无污迹、积尘、无乱张贴、无残缺破损。</w:t>
      </w:r>
    </w:p>
    <w:p w14:paraId="47CD9703">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sz w:val="21"/>
          <w:szCs w:val="21"/>
          <w:highlight w:val="none"/>
        </w:rPr>
        <w:t>污染物控制指标应符合下表规定：</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6"/>
        <w:gridCol w:w="1495"/>
        <w:gridCol w:w="1978"/>
        <w:gridCol w:w="2482"/>
        <w:gridCol w:w="2330"/>
      </w:tblGrid>
      <w:tr w14:paraId="2950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152CACF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5926207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3D956B0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6BEDF4E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03918D3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2DF8036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2444858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694C0D8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5C6E8BC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74CB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3FCF75F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39F5F01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70471E8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6F286E2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076815A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085B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1E3ED2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10B9532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6025454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46EC2F8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56D9943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6DF21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4997D64E">
            <w:pPr>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58F58577">
      <w:pPr>
        <w:pStyle w:val="3"/>
        <w:pageBreakBefore w:val="0"/>
        <w:numPr>
          <w:ilvl w:val="0"/>
          <w:numId w:val="0"/>
        </w:numPr>
        <w:kinsoku/>
        <w:wordWrap/>
        <w:overflowPunct/>
        <w:topLinePunct w:val="0"/>
        <w:autoSpaceDE/>
        <w:autoSpaceDN/>
        <w:bidi w:val="0"/>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三、无物管居住区保洁质量要求</w:t>
      </w:r>
    </w:p>
    <w:p w14:paraId="1BA53C01">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zh-CN"/>
        </w:rPr>
        <w:t>1、无物管居住区的生活垃圾，</w:t>
      </w:r>
      <w:r>
        <w:rPr>
          <w:rFonts w:hint="eastAsia" w:ascii="宋体" w:hAnsi="宋体" w:eastAsia="宋体" w:cs="宋体"/>
          <w:color w:val="auto"/>
          <w:sz w:val="21"/>
          <w:szCs w:val="21"/>
          <w:highlight w:val="none"/>
        </w:rPr>
        <w:t>应集中贮存于密闭的垃圾箱（桶）内或袋装，每天定时收集和清运。</w:t>
      </w:r>
    </w:p>
    <w:p w14:paraId="258A5B44">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保洁要求同道路</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要求第3、4、5条。</w:t>
      </w:r>
    </w:p>
    <w:p w14:paraId="59C6E39E">
      <w:pP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br w:type="page"/>
      </w:r>
    </w:p>
    <w:p w14:paraId="4BD84D7E">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1A90906D">
      <w:pPr>
        <w:pageBreakBefore w:val="0"/>
        <w:kinsoku/>
        <w:wordWrap/>
        <w:overflowPunct/>
        <w:topLinePunct w:val="0"/>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南京市栖霞区城市管理局环卫作业规范</w:t>
      </w:r>
    </w:p>
    <w:p w14:paraId="6EFD04C7">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一、基本规范要求</w:t>
      </w:r>
    </w:p>
    <w:p w14:paraId="56B64028">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（1）环卫管理和作业做到文明、安全、清洁和有序，最大限度地减少对环境的污染和对公众生活的影响。</w:t>
      </w:r>
    </w:p>
    <w:p w14:paraId="2A8A08B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（2）环卫作业单位应建立健全安全生产管理制度和落实安全生产责任人，建立当班检查考核制度，制定班组长、检查员检查要求，严</w:t>
      </w:r>
      <w:r>
        <w:rPr>
          <w:rFonts w:hint="eastAsia" w:ascii="宋体" w:hAnsi="宋体" w:eastAsia="宋体" w:cs="宋体"/>
          <w:color w:val="auto"/>
          <w:kern w:val="0"/>
          <w:sz w:val="21"/>
          <w:szCs w:val="21"/>
          <w:highlight w:val="none"/>
        </w:rPr>
        <w:t>格按操作规程操作</w:t>
      </w:r>
      <w:r>
        <w:rPr>
          <w:rFonts w:hint="eastAsia" w:ascii="宋体" w:hAnsi="宋体" w:eastAsia="宋体" w:cs="宋体"/>
          <w:color w:val="auto"/>
          <w:sz w:val="21"/>
          <w:szCs w:val="21"/>
          <w:highlight w:val="none"/>
        </w:rPr>
        <w:t>，有完整的作业和安全检查记录。</w:t>
      </w:r>
    </w:p>
    <w:p w14:paraId="7EDFB8AA">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（3）作业人员应严格按照作业时间，按时上岗，准点离岗，并做好交接班工作。不得与他人聊天，不得在岗上抽烟、吃</w:t>
      </w:r>
      <w:r>
        <w:rPr>
          <w:rFonts w:hint="eastAsia" w:ascii="宋体" w:hAnsi="宋体" w:cs="宋体"/>
          <w:color w:val="auto"/>
          <w:sz w:val="21"/>
          <w:szCs w:val="21"/>
          <w:highlight w:val="none"/>
          <w:lang w:val="en-US" w:eastAsia="zh-CN"/>
        </w:rPr>
        <w:t>零食</w:t>
      </w:r>
      <w:r>
        <w:rPr>
          <w:rFonts w:hint="eastAsia" w:ascii="宋体" w:hAnsi="宋体" w:eastAsia="宋体" w:cs="宋体"/>
          <w:color w:val="auto"/>
          <w:sz w:val="21"/>
          <w:szCs w:val="21"/>
          <w:highlight w:val="none"/>
        </w:rPr>
        <w:t>，不得从事看棋、看牌、看书报、听收音机、做私活等与作业无关的事情。</w:t>
      </w:r>
    </w:p>
    <w:p w14:paraId="46B9DA1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（4）环卫作业人员在作业中必须文明用语，不得无故打骂人；环卫作业人员必须服从各级管理员的管理，不得殴打、辱骂管理员。</w:t>
      </w:r>
    </w:p>
    <w:p w14:paraId="579EF058">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（5）各类环卫作业车辆（机动车）出车前必须进行检查，确保车况良好方可进行环卫作业。环卫作业车辆应严格遵守交通规则，尽量避开交通高峰时段作业。</w:t>
      </w:r>
    </w:p>
    <w:p w14:paraId="2CA56CAC">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二</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人员配置要求</w:t>
      </w:r>
    </w:p>
    <w:p w14:paraId="39FD266B">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细化专业分工，明确工作量，实现清扫保洁与垃圾收集作业分离，建立清扫员、保洁员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水洗员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收集员四个专业岗位</w:t>
      </w:r>
      <w:r>
        <w:rPr>
          <w:rFonts w:hint="default" w:ascii="宋体" w:hAnsi="宋体" w:eastAsia="宋体" w:cs="宋体"/>
          <w:color w:val="auto"/>
          <w:sz w:val="21"/>
          <w:szCs w:val="21"/>
          <w:highlight w:val="none"/>
          <w:lang w:val="en-US" w:eastAsia="zh-CN"/>
        </w:rPr>
        <w:t>。</w:t>
      </w:r>
    </w:p>
    <w:p w14:paraId="4A7EC8E5">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（1）清扫员：负责对慢车道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人行道和街巷路面进行人工普扫，一</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二</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三级，繁华街巷每日至少普扫两次</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配备标准：一级道路4200m2/人，二级道路5000m2/人，三级道路6000m2/人，四级道路7000m2/人，繁华街巷4000m2/人，普通街巷清扫6000m2/人，商业圈3000m2/人，饮食一条街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创业市场周边2000m2/人，使用手推式清扫机清扫量增加20%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负责利用小型清扫车或清洗车对慢车道进行清扫清洗，每天作业长度12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18公里</w:t>
      </w:r>
      <w:r>
        <w:rPr>
          <w:rFonts w:hint="default" w:ascii="宋体" w:hAnsi="宋体" w:eastAsia="宋体" w:cs="宋体"/>
          <w:color w:val="auto"/>
          <w:sz w:val="21"/>
          <w:szCs w:val="21"/>
          <w:highlight w:val="none"/>
          <w:lang w:val="en-US" w:eastAsia="zh-CN"/>
        </w:rPr>
        <w:t>。</w:t>
      </w:r>
    </w:p>
    <w:p w14:paraId="00F1533D">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（2）保洁员：负责对慢车道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街巷路面</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路旁绿地</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绿化隔离带漂浮垃圾进行捡拾作业，负责对路边果皮箱进行清洗清掏，配备标准：一级道路5000m2/人，二级道路6000m2/人，三级道路8400m2/人，四级道路9800m2/人，繁华街巷5000m2/人，普通街巷保洁9800m2/人，商业圈4000m2/人，饮食一条街、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创业市场周边3000m2/人，使用手推式清扫机保洁量增加20%，使用电动车快速捡拾为9000m2/人</w:t>
      </w:r>
      <w:r>
        <w:rPr>
          <w:rFonts w:hint="default" w:ascii="宋体" w:hAnsi="宋体" w:eastAsia="宋体" w:cs="宋体"/>
          <w:color w:val="auto"/>
          <w:sz w:val="21"/>
          <w:szCs w:val="21"/>
          <w:highlight w:val="none"/>
          <w:lang w:val="en-US" w:eastAsia="zh-CN"/>
        </w:rPr>
        <w:t>。</w:t>
      </w:r>
    </w:p>
    <w:p w14:paraId="2B616436">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（3）水洗员：负责利用手持高压水枪对慢车道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隔离栏下</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路牙进行水扫，清除路面漂浮垃圾及灰尘，水扫作业面积12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18万平方米/人/天；负责利用手持高压水枪和毛刷对大垃圾筒</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临时转运点及周边2米</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沿街路面油污进行清洗，清洗大垃圾筒80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120只/人/天，清洗收集点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临时转运点及周边100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150处/人/天，清洗路面油污80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100处/人/天，负责利用自动化洗桶车清洗大垃圾桶，每日清洗300只</w:t>
      </w:r>
      <w:r>
        <w:rPr>
          <w:rFonts w:hint="default" w:ascii="宋体" w:hAnsi="宋体" w:eastAsia="宋体" w:cs="宋体"/>
          <w:color w:val="auto"/>
          <w:sz w:val="21"/>
          <w:szCs w:val="21"/>
          <w:highlight w:val="none"/>
          <w:lang w:val="en-US" w:eastAsia="zh-CN"/>
        </w:rPr>
        <w:t>。</w:t>
      </w:r>
    </w:p>
    <w:p w14:paraId="206838D9">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（4）收集员：负责利用自动或半自动装卸垃圾收集车收集沿街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小区内的垃圾，运送到收集站或中转站</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运距在2公里范围内的，自动装卸垃圾收集车每天运输13趟，半自动装卸垃圾收集车每天运输10趟；运距在4公里范围内的，自动装卸垃圾收集车每天运输10趟，半自动装卸垃圾收集车每天运输8趟</w:t>
      </w:r>
      <w:r>
        <w:rPr>
          <w:rFonts w:hint="default" w:ascii="宋体" w:hAnsi="宋体" w:eastAsia="宋体" w:cs="宋体"/>
          <w:color w:val="auto"/>
          <w:sz w:val="21"/>
          <w:szCs w:val="21"/>
          <w:highlight w:val="none"/>
          <w:lang w:val="en-US" w:eastAsia="zh-CN"/>
        </w:rPr>
        <w:t>。</w:t>
      </w:r>
    </w:p>
    <w:p w14:paraId="60A6E374">
      <w:pPr>
        <w:pageBreakBefore w:val="0"/>
        <w:kinsoku/>
        <w:wordWrap/>
        <w:overflowPunct/>
        <w:topLinePunct w:val="0"/>
        <w:bidi w:val="0"/>
        <w:adjustRightIn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使用机械设备进行清扫保洁人员年龄不得大于55周岁，普通清扫保洁人员年龄不得大于60周岁，保洁人员每年应定期进行体检，确保无重大疾病上岗</w:t>
      </w:r>
      <w:r>
        <w:rPr>
          <w:rFonts w:hint="default" w:ascii="宋体" w:hAnsi="宋体" w:eastAsia="宋体" w:cs="宋体"/>
          <w:b/>
          <w:bCs/>
          <w:color w:val="auto"/>
          <w:sz w:val="21"/>
          <w:szCs w:val="21"/>
          <w:highlight w:val="none"/>
          <w:lang w:val="en-US" w:eastAsia="zh-CN"/>
        </w:rPr>
        <w:t>。</w:t>
      </w:r>
    </w:p>
    <w:p w14:paraId="28C50965">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三、人员工资发放及服装要求</w:t>
      </w:r>
    </w:p>
    <w:p w14:paraId="4ECB409F">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（1）规范用工与薪酬管理。作业单位必须依法与职工签订劳动合同，按规定办理并持续提高社会保险参保比例。严格执行薪酬标准，一线环卫职工月基础工资不低于</w:t>
      </w:r>
      <w:r>
        <w:rPr>
          <w:rFonts w:hint="default" w:ascii="宋体" w:hAnsi="宋体" w:eastAsia="宋体" w:cs="宋体"/>
          <w:color w:val="auto"/>
          <w:sz w:val="21"/>
          <w:szCs w:val="21"/>
          <w:highlight w:val="none"/>
          <w:lang w:val="en-US" w:eastAsia="zh-CN"/>
        </w:rPr>
        <w:t>3192</w:t>
      </w:r>
      <w:r>
        <w:rPr>
          <w:rFonts w:hint="eastAsia" w:ascii="宋体" w:hAnsi="宋体" w:eastAsia="宋体" w:cs="宋体"/>
          <w:color w:val="auto"/>
          <w:sz w:val="21"/>
          <w:szCs w:val="21"/>
          <w:highlight w:val="none"/>
          <w:lang w:val="en-US" w:eastAsia="zh-CN"/>
        </w:rPr>
        <w:t>元（按</w:t>
      </w:r>
      <w:r>
        <w:rPr>
          <w:rFonts w:hint="default"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val="en-US" w:eastAsia="zh-CN"/>
        </w:rPr>
        <w:t>年江苏省一类地区最低工资标准</w:t>
      </w:r>
      <w:r>
        <w:rPr>
          <w:rFonts w:hint="default" w:ascii="宋体" w:hAnsi="宋体" w:eastAsia="宋体" w:cs="宋体"/>
          <w:color w:val="auto"/>
          <w:sz w:val="21"/>
          <w:szCs w:val="21"/>
          <w:highlight w:val="none"/>
          <w:lang w:val="en-US" w:eastAsia="zh-CN"/>
        </w:rPr>
        <w:t>2660</w:t>
      </w:r>
      <w:r>
        <w:rPr>
          <w:rFonts w:hint="eastAsia" w:ascii="宋体" w:hAnsi="宋体" w:eastAsia="宋体" w:cs="宋体"/>
          <w:color w:val="auto"/>
          <w:sz w:val="21"/>
          <w:szCs w:val="21"/>
          <w:highlight w:val="none"/>
          <w:lang w:val="en-US" w:eastAsia="zh-CN"/>
        </w:rPr>
        <w:t>元的</w:t>
      </w:r>
      <w:r>
        <w:rPr>
          <w:rFonts w:hint="default" w:ascii="宋体" w:hAnsi="宋体" w:eastAsia="宋体" w:cs="宋体"/>
          <w:color w:val="auto"/>
          <w:sz w:val="21"/>
          <w:szCs w:val="21"/>
          <w:highlight w:val="none"/>
          <w:lang w:val="en-US" w:eastAsia="zh-CN"/>
        </w:rPr>
        <w:t>120%</w:t>
      </w:r>
      <w:r>
        <w:rPr>
          <w:rFonts w:hint="eastAsia" w:ascii="宋体" w:hAnsi="宋体" w:eastAsia="宋体" w:cs="宋体"/>
          <w:color w:val="auto"/>
          <w:sz w:val="21"/>
          <w:szCs w:val="21"/>
          <w:highlight w:val="none"/>
          <w:lang w:val="en-US" w:eastAsia="zh-CN"/>
        </w:rPr>
        <w:t>核定），绩效工资每人每月不低于300元，纳入工资专用账户审核发放。依法足额支付岗位津贴、工龄工资、加班工资、租房补贴（住房公积金）、高温津贴等，保障职工在休息日、法定休假日及延长工作时间的加班报酬权益，确保一线人员每周至少休息1日。</w:t>
      </w:r>
    </w:p>
    <w:p w14:paraId="79C52375">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（2）规范环卫工人服装统一。作业单位必须按照南京市城市管理局要求为所有环卫职工提供统一的服装，确保按时足额发放，并规范日常穿戴管理。</w:t>
      </w:r>
    </w:p>
    <w:p w14:paraId="020556EE">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四、道路、街巷清扫保洁</w:t>
      </w:r>
    </w:p>
    <w:p w14:paraId="5689B2C4">
      <w:pPr>
        <w:pStyle w:val="6"/>
        <w:pageBreakBefore w:val="0"/>
        <w:tabs>
          <w:tab w:val="left" w:pos="709"/>
        </w:tabs>
        <w:kinsoku/>
        <w:wordWrap/>
        <w:overflowPunct/>
        <w:topLinePunct w:val="0"/>
        <w:bidi w:val="0"/>
        <w:adjustRightInd w:val="0"/>
        <w:spacing w:before="0" w:after="0" w:line="360" w:lineRule="auto"/>
        <w:ind w:firstLine="413" w:firstLineChars="19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（一）基本要求</w:t>
      </w:r>
    </w:p>
    <w:p w14:paraId="224C7F0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保洁作业人员要根据本路段的人流、车流情况，合理安排作业时间和方式，主动避开行人和车流高峰，以免发生意外。在清扫和保洁作业时，清扫机动车道中央隔离栏路面时要注意来往车辆，保证人身安全。</w:t>
      </w:r>
    </w:p>
    <w:p w14:paraId="7B55E99C">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道路清扫保洁人员（含机扫车司机、随车的工人和辅助清扫人员）作业时必须正确穿工作服、反光背心，戴工作帽，并保持着装干净、整洁，衣冠不整不得上岗作业。其他环卫作业人员也必须按规定统一着装和佩证。</w:t>
      </w:r>
    </w:p>
    <w:p w14:paraId="7F1B2A2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提前获悉天气情况，准备好雨衣和标志服，不得打伞作业。作业人员在作业时，不得向窨井、花坛内扫倒路渣垃圾，不得焚烧树叶及各类杂物。作业工具不得放置在花坛、绿化带内，或靠立在树和电线杆旁，暂时不用的工具应放置在垃圾收集车内或不显眼位置。</w:t>
      </w:r>
    </w:p>
    <w:p w14:paraId="056B1F42">
      <w:pPr>
        <w:pageBreakBefore w:val="0"/>
        <w:widowControl/>
        <w:kinsoku/>
        <w:wordWrap/>
        <w:overflowPunct/>
        <w:topLinePunct w:val="0"/>
        <w:bidi w:val="0"/>
        <w:spacing w:line="360" w:lineRule="auto"/>
        <w:ind w:firstLine="525" w:firstLineChars="25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（4）认真做好各自管辖区域内的清扫保洁工作，作业间不得坐岗、串岗、擅自离岗，如有特殊情况（上厕所、因急病等）需离岗时，应与邻近保洁员做好交接，离岗时间不得超过15分钟。</w:t>
      </w:r>
    </w:p>
    <w:p w14:paraId="34F456B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（5）晨扫作业时，不得大声喧哗，影响居民休息。清扫作业间隙，清扫工具摆放整齐，保洁垃圾密闭存放。非普扫时间不得使用大扫把。</w:t>
      </w:r>
    </w:p>
    <w:p w14:paraId="73ADC492">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kern w:val="0"/>
          <w:sz w:val="21"/>
          <w:szCs w:val="21"/>
          <w:highlight w:val="none"/>
        </w:rPr>
        <w:t>沿街门面（单位）应自备卫生清洁工具，在店内设置垃圾收集容器，实行垃圾袋装，应将垃圾投放到指定地点或待环卫工人清扫门前道路时将垃圾投放到垃圾收运车上，不得随意堆放在门前的人行道上，更不得直接将垃圾扫出店外影响市容环境。</w:t>
      </w:r>
    </w:p>
    <w:p w14:paraId="77F7BE0C">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（7）洒水车司机在作业时，要文明行车，严格遵守冲、洒水规范，遇行人密集处减速慢行，控制音量，减少扰民。</w:t>
      </w:r>
    </w:p>
    <w:p w14:paraId="6F582F0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（8）重点保洁场所应增加快速巡回保洁和作业公司检查频次。</w:t>
      </w:r>
    </w:p>
    <w:p w14:paraId="36B0177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（9）快车道机扫率应达到</w:t>
      </w:r>
      <w:r>
        <w:rPr>
          <w:rFonts w:hint="eastAsia" w:ascii="宋体" w:hAnsi="宋体" w:cs="宋体"/>
          <w:color w:val="auto"/>
          <w:sz w:val="21"/>
          <w:szCs w:val="21"/>
          <w:highlight w:val="none"/>
          <w:lang w:val="en-US" w:eastAsia="zh-CN"/>
        </w:rPr>
        <w:t>100</w:t>
      </w:r>
      <w:r>
        <w:rPr>
          <w:rFonts w:hint="eastAsia" w:ascii="宋体" w:hAnsi="宋体" w:eastAsia="宋体" w:cs="宋体"/>
          <w:color w:val="auto"/>
          <w:sz w:val="21"/>
          <w:szCs w:val="21"/>
          <w:highlight w:val="none"/>
        </w:rPr>
        <w:t>%，在有条件的路段对慢车道、人行道开展“水扫”作业。</w:t>
      </w:r>
    </w:p>
    <w:p w14:paraId="32529909">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加强开发区范围内杨家边路、兴漓路、小漓江路的道路保洁，每日额外增加保洁频次，洒水增加不少于2次/日，冲洗增加不少于1次/日。道路保洁范围包括快车道、慢车道、人行道、部分绿化带以及道路排水收集口和垃圾箱维护清理，保洁面积为108300平米。</w:t>
      </w:r>
    </w:p>
    <w:p w14:paraId="75AE81DF">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（二）人工清扫保洁</w:t>
      </w:r>
    </w:p>
    <w:p w14:paraId="74E9A0DD">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1、作业时间和频次</w:t>
      </w:r>
    </w:p>
    <w:p w14:paraId="5B2462E8">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一、二、三级道路4：00---22：00清扫并保洁，实行“三清扫”（清扫时间：4：00—7：00，12：00--14：00，19：00--21：00），每日第一遍清扫必须在7：00前完成，其余时间保洁，夏季晚间保洁作业延长1小时，加大机械清扫保洁力度，四级道路实行8小时清扫保洁，每天按上、下午规定时间清扫并保洁，早上6：00—8：00、下午</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：30--3：30清扫。</w:t>
      </w:r>
    </w:p>
    <w:p w14:paraId="3FC0B643">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普通街巷：4：00---18：00清扫保洁，实行“两清扫”（清扫时间：4：00—7：00，12：00--14：00）；繁华街巷：4：00---22：00清扫保洁，实行“四清扫”（清扫时间：4：00—7：00，9：00--10：30，13：00--14：30，19：00--20：30）；每日第一遍清扫必须在7：00前完成，繁华街巷夏季晚间保洁作业延长1小时，大排档，夜市等特殊路段保洁时间延长至24：00。</w:t>
      </w:r>
    </w:p>
    <w:p w14:paraId="1950F50B">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夏季高温期间根据道路、街巷状况合理调整作业时间，人工作业尽量避开午间高温时段（12：00---15：00）。</w:t>
      </w:r>
    </w:p>
    <w:p w14:paraId="65E24E7A">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2、作业规范</w:t>
      </w:r>
    </w:p>
    <w:p w14:paraId="5992158C">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（1）清扫作业</w:t>
      </w:r>
    </w:p>
    <w:p w14:paraId="679D76A9">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1）清扫时，应按人行道路面、树圈及周边、车行道路面、窨井口的顺序进行全面清扫。</w:t>
      </w:r>
    </w:p>
    <w:p w14:paraId="7433E634">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2）归拢的垃圾靠边打堆，及时清运，不漏收。清扫道路时不得将垃圾扫入窨井、喇叭口、绿地，并疏通窨井口。雨天清扫保洁时，应及时清理窨井口垃圾，保持窨井口畅通。</w:t>
      </w:r>
    </w:p>
    <w:p w14:paraId="322CF9E6">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3）清扫道路时须小心执扫，不得漏扫、甩扫，控制扬尘，避免妨碍行人。</w:t>
      </w:r>
    </w:p>
    <w:p w14:paraId="1084850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4）早晨第一次大面积全面推行班组作业，所有保洁人员必须上岗，以班组为单位组织清扫，班组长、考核员必须跟班作业，确保7点前完成大面积清扫，确保清扫质量。</w:t>
      </w:r>
    </w:p>
    <w:p w14:paraId="32824EB7">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5）停车较多的街巷实行错时保洁，做到随脏随扫。</w:t>
      </w:r>
    </w:p>
    <w:p w14:paraId="2CB4A99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（2）保洁作业</w:t>
      </w:r>
    </w:p>
    <w:p w14:paraId="0BE259EA">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1）保洁时，巡回走动，用小扫把、钳子等工具及时清除路面的垃圾。</w:t>
      </w:r>
    </w:p>
    <w:p w14:paraId="481B7ED2">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2）发现有人随地乱扔垃圾，应及时进行劝阻。发现路面被严重污染时，应马上向管理部门汇报, 并立即组织清理。</w:t>
      </w:r>
    </w:p>
    <w:p w14:paraId="6470D085">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3）在保洁作业时段内，各类区域、设施上的点状、块状、条状污染物，以及超过质量标准中道路地面废弃物控制指标的，自产生起应在15分钟内予以清除。</w:t>
      </w:r>
    </w:p>
    <w:p w14:paraId="1D1D1976">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4）清扫保洁绿化隔离带时，应注意保护绿化。 </w:t>
      </w:r>
    </w:p>
    <w:p w14:paraId="506C37F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5）清扫垃圾应运到指定收集点，进入收集容器。</w:t>
      </w:r>
    </w:p>
    <w:p w14:paraId="36FD265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6）垃圾倾倒后应将垃圾收集容器复位，摆放整齐，无洒落，容器内无留存垃圾及污水。也可配备专用收集车，做到定时定点收集，完工后场地清洁，无二次污染。</w:t>
      </w:r>
    </w:p>
    <w:p w14:paraId="2EB23628">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7）保洁后工具堆放整齐、冲洗污水处理干净，不对行人、周边环境和市民生活造成影响。</w:t>
      </w:r>
    </w:p>
    <w:p w14:paraId="63CF9B6A">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8）高架桥、快速通道、快车道特殊情况（含应急保障）下需要人工清扫保洁时，应有安全防护措施，按照规定设置安全警示牌和反光锥形警示筒等形成作业区，对污染严重路段，要集中作业力量，快速处置，快速撤离，同时做好安全警戒工作。</w:t>
      </w:r>
    </w:p>
    <w:p w14:paraId="65EB30B0">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（三）机械清扫保洁</w:t>
      </w:r>
    </w:p>
    <w:p w14:paraId="25313F90">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1、基本要求</w:t>
      </w:r>
    </w:p>
    <w:p w14:paraId="5B47A454">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（1）雨雪大风、气温零度以下天气不进行机械化清扫作业，气温4度以下不得进行洒水作业，零度以下不得进行湿扫、洗扫、清洗作业。</w:t>
      </w:r>
    </w:p>
    <w:p w14:paraId="5E2256DE">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（2）经常污染的道路，环卫保洁公司在按照规定要求作业的基础上，视道路污染情况适当增加清洗频次，达到“路面见本色”的作业要求。</w:t>
      </w:r>
    </w:p>
    <w:p w14:paraId="4CC180D4">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（3）遇有其他重大环境保障任务，可自行调整作业时间，但不得减少作业次数，同时必须报</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备案。</w:t>
      </w:r>
    </w:p>
    <w:p w14:paraId="421E8AC1">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（4）机械化清扫保洁作业车辆必须安装</w:t>
      </w:r>
      <w:r>
        <w:rPr>
          <w:rFonts w:hint="eastAsia" w:ascii="宋体" w:hAnsi="宋体" w:cs="宋体"/>
          <w:color w:val="auto"/>
          <w:sz w:val="21"/>
          <w:szCs w:val="21"/>
          <w:highlight w:val="none"/>
          <w:lang w:val="en-US" w:eastAsia="zh-CN"/>
        </w:rPr>
        <w:t>北斗定位系统</w:t>
      </w:r>
      <w:r>
        <w:rPr>
          <w:rFonts w:hint="eastAsia" w:ascii="宋体" w:hAnsi="宋体" w:eastAsia="宋体" w:cs="宋体"/>
          <w:color w:val="auto"/>
          <w:sz w:val="21"/>
          <w:szCs w:val="21"/>
          <w:highlight w:val="none"/>
        </w:rPr>
        <w:t>，实行数字化监管，专人负责，通过电脑能够随时检查作业车辆的行驶轨迹、作业时间和频次。</w:t>
      </w:r>
    </w:p>
    <w:p w14:paraId="4CB43C50">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加强对驾驶及操作人员的业务培训，加强对洗扫、清洗、水扫作业的研究，不断提高组织管理水平，确保作业质量和安全；要加强和完善机械化清扫专业数据统计制度，对每天出动的机械车辆、人员、路线、车次、作业面积、时间等进行统计，并做好油耗、作业效率等数据的经济分析。</w:t>
      </w:r>
    </w:p>
    <w:p w14:paraId="65553CCB">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（6）加强和完善作业质量考核机制，充分发挥路面巡查员、保洁员的监督作用。</w:t>
      </w:r>
    </w:p>
    <w:p w14:paraId="64539D81">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冬季（早晚最低温度达到零度以下）机械化作业要求：每天9：00-16：00要重点安排洗扫车、清洗车作业，上、下午各进行一次洗扫作业，大面积洒水和冲洗要根据即时气温条件安排作业，对积灰路段辅以人工清洗，尽量避免扰民现象发生。</w:t>
      </w:r>
    </w:p>
    <w:p w14:paraId="35DADC0A">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（8）大气污染防治应急响应措施，蓝色预警：气温在摄氏4度以上，主次干道每日不少于1次冲洗、2次清扫、3次洒水，路面无积尘</w:t>
      </w:r>
      <w:bookmarkStart w:id="29" w:name="_Toc375641308"/>
      <w:bookmarkStart w:id="30" w:name="_Toc370910163"/>
      <w:r>
        <w:rPr>
          <w:rFonts w:hint="eastAsia" w:ascii="宋体" w:hAnsi="宋体" w:eastAsia="宋体" w:cs="宋体"/>
          <w:color w:val="auto"/>
          <w:sz w:val="21"/>
          <w:szCs w:val="21"/>
          <w:highlight w:val="none"/>
        </w:rPr>
        <w:t>；黄色预警</w:t>
      </w:r>
      <w:bookmarkEnd w:id="29"/>
      <w:bookmarkEnd w:id="30"/>
      <w:r>
        <w:rPr>
          <w:rFonts w:hint="eastAsia" w:ascii="宋体" w:hAnsi="宋体" w:eastAsia="宋体" w:cs="宋体"/>
          <w:color w:val="auto"/>
          <w:sz w:val="21"/>
          <w:szCs w:val="21"/>
          <w:highlight w:val="none"/>
        </w:rPr>
        <w:t>：在蓝色预警基础上增加1次（9：00-11：00）洒水降尘</w:t>
      </w:r>
      <w:bookmarkStart w:id="31" w:name="_Toc375641309"/>
      <w:bookmarkStart w:id="32" w:name="_Toc370910164"/>
      <w:r>
        <w:rPr>
          <w:rFonts w:hint="eastAsia" w:ascii="宋体" w:hAnsi="宋体" w:eastAsia="宋体" w:cs="宋体"/>
          <w:color w:val="auto"/>
          <w:sz w:val="21"/>
          <w:szCs w:val="21"/>
          <w:highlight w:val="none"/>
        </w:rPr>
        <w:t>；橙色预警</w:t>
      </w:r>
      <w:bookmarkEnd w:id="31"/>
      <w:bookmarkEnd w:id="32"/>
      <w:r>
        <w:rPr>
          <w:rFonts w:hint="eastAsia" w:ascii="宋体" w:hAnsi="宋体" w:eastAsia="宋体" w:cs="宋体"/>
          <w:color w:val="auto"/>
          <w:sz w:val="21"/>
          <w:szCs w:val="21"/>
          <w:highlight w:val="none"/>
        </w:rPr>
        <w:t>：在黄色预警基础上增加1次（15：00-17：00）洒水降尘</w:t>
      </w:r>
      <w:bookmarkStart w:id="33" w:name="_Toc370910165"/>
      <w:bookmarkStart w:id="34" w:name="_Toc375641310"/>
      <w:r>
        <w:rPr>
          <w:rFonts w:hint="eastAsia" w:ascii="宋体" w:hAnsi="宋体" w:eastAsia="宋体" w:cs="宋体"/>
          <w:color w:val="auto"/>
          <w:sz w:val="21"/>
          <w:szCs w:val="21"/>
          <w:highlight w:val="none"/>
        </w:rPr>
        <w:t>；红色预警</w:t>
      </w:r>
      <w:bookmarkEnd w:id="33"/>
      <w:bookmarkEnd w:id="34"/>
      <w:r>
        <w:rPr>
          <w:rFonts w:hint="eastAsia" w:ascii="宋体" w:hAnsi="宋体" w:eastAsia="宋体" w:cs="宋体"/>
          <w:color w:val="auto"/>
          <w:sz w:val="21"/>
          <w:szCs w:val="21"/>
          <w:highlight w:val="none"/>
        </w:rPr>
        <w:t>：在橙色预警基础上，实施不间断的洒水作业，保证路面的湿度。</w:t>
      </w:r>
    </w:p>
    <w:p w14:paraId="135FEE35">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2、洗扫（含清扫作业）</w:t>
      </w:r>
    </w:p>
    <w:p w14:paraId="0268796E">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 </w:t>
      </w:r>
    </w:p>
    <w:tbl>
      <w:tblPr>
        <w:tblStyle w:val="46"/>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973"/>
        <w:gridCol w:w="3934"/>
      </w:tblGrid>
      <w:tr w14:paraId="2E83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34ABD6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道路等级</w:t>
            </w:r>
          </w:p>
        </w:tc>
        <w:tc>
          <w:tcPr>
            <w:tcW w:w="1973" w:type="dxa"/>
            <w:noWrap w:val="0"/>
            <w:vAlign w:val="center"/>
          </w:tcPr>
          <w:p w14:paraId="0D4BCE7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次数</w:t>
            </w:r>
          </w:p>
        </w:tc>
        <w:tc>
          <w:tcPr>
            <w:tcW w:w="3934" w:type="dxa"/>
            <w:noWrap w:val="0"/>
            <w:vAlign w:val="center"/>
          </w:tcPr>
          <w:p w14:paraId="411F644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时间段</w:t>
            </w:r>
          </w:p>
        </w:tc>
      </w:tr>
      <w:tr w14:paraId="5E27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153D0AA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一级</w:t>
            </w:r>
          </w:p>
        </w:tc>
        <w:tc>
          <w:tcPr>
            <w:tcW w:w="1973" w:type="dxa"/>
            <w:noWrap w:val="0"/>
            <w:vAlign w:val="center"/>
          </w:tcPr>
          <w:p w14:paraId="310A6FFB">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70A0C620">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3CDC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A1B363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二级</w:t>
            </w:r>
          </w:p>
        </w:tc>
        <w:tc>
          <w:tcPr>
            <w:tcW w:w="1973" w:type="dxa"/>
            <w:noWrap w:val="0"/>
            <w:vAlign w:val="center"/>
          </w:tcPr>
          <w:p w14:paraId="2E06AFB1">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737B02FD">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781B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3510B54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三级</w:t>
            </w:r>
          </w:p>
        </w:tc>
        <w:tc>
          <w:tcPr>
            <w:tcW w:w="1973" w:type="dxa"/>
            <w:noWrap w:val="0"/>
            <w:vAlign w:val="center"/>
          </w:tcPr>
          <w:p w14:paraId="68BEE913">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4B06327B">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69A4C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238D0BB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四级</w:t>
            </w:r>
          </w:p>
        </w:tc>
        <w:tc>
          <w:tcPr>
            <w:tcW w:w="1973" w:type="dxa"/>
            <w:noWrap w:val="0"/>
            <w:vAlign w:val="center"/>
          </w:tcPr>
          <w:p w14:paraId="3AA336C5">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2C15BA14">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9：00---11：00、12：00---15：00</w:t>
            </w:r>
          </w:p>
        </w:tc>
      </w:tr>
    </w:tbl>
    <w:p w14:paraId="3B144253">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7AE3EAF9">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1）扫刷落地高度一般降至刷毛稍压地面为宜，吸嘴调整到无垃圾遗漏为止。</w:t>
      </w:r>
    </w:p>
    <w:p w14:paraId="61E208D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2）沿两侧机动车道侧石平行作业，作业时速5公里/小时。</w:t>
      </w:r>
    </w:p>
    <w:p w14:paraId="00DB200B">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3）严格按照放刷、喷水、喷洗、调整箱体压力和刷盘转速、洗扫（含清扫）、后喷雾的顺序进行操作。</w:t>
      </w:r>
    </w:p>
    <w:p w14:paraId="794802A4">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4）非特殊气候情况下，避免“干扫”。</w:t>
      </w:r>
    </w:p>
    <w:p w14:paraId="73F4172C">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5）作业时禁止扫刷、吸嘴不落地；发现喷嘴堵塞、吸嘴漏吸等现象，应立即停车并进行处理。</w:t>
      </w:r>
    </w:p>
    <w:p w14:paraId="10D0183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6）垃圾箱装满和作业完毕后应及时到指定场所排放污水和卸清垃圾。</w:t>
      </w:r>
    </w:p>
    <w:p w14:paraId="7007334E">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7）对死角、深沟、两侧行道树过低过近、垃圾杂物体积过长过大、路面污染、落叶季节等情况需人工配合清扫保洁。</w:t>
      </w:r>
    </w:p>
    <w:p w14:paraId="4B524529">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8）作业后路牙无积灰、无漂浮垃圾和其它废弃物，路面有湿度、洁净。</w:t>
      </w:r>
    </w:p>
    <w:p w14:paraId="4E258DE6">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3、清洗作业</w:t>
      </w:r>
    </w:p>
    <w:p w14:paraId="6C95C53B">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2708"/>
        <w:gridCol w:w="4509"/>
      </w:tblGrid>
      <w:tr w14:paraId="6F5D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4A95C3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708" w:type="dxa"/>
            <w:noWrap w:val="0"/>
            <w:vAlign w:val="center"/>
          </w:tcPr>
          <w:p w14:paraId="4782198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4509" w:type="dxa"/>
            <w:noWrap w:val="0"/>
            <w:vAlign w:val="center"/>
          </w:tcPr>
          <w:p w14:paraId="0887D8B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4EB8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6DED528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708" w:type="dxa"/>
            <w:noWrap w:val="0"/>
            <w:vAlign w:val="center"/>
          </w:tcPr>
          <w:p w14:paraId="66D4302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0591B0F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532A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7ED7407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708" w:type="dxa"/>
            <w:noWrap w:val="0"/>
            <w:vAlign w:val="center"/>
          </w:tcPr>
          <w:p w14:paraId="3906BFDE">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46F7509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5514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8CD1EB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708" w:type="dxa"/>
            <w:noWrap w:val="0"/>
            <w:vAlign w:val="center"/>
          </w:tcPr>
          <w:p w14:paraId="5D787D1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64C258E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6DF07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C72F37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708" w:type="dxa"/>
            <w:noWrap w:val="0"/>
            <w:vAlign w:val="center"/>
          </w:tcPr>
          <w:p w14:paraId="31F254A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0DA053D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r w14:paraId="3D009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5B5AD0C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708" w:type="dxa"/>
            <w:noWrap w:val="0"/>
            <w:vAlign w:val="center"/>
          </w:tcPr>
          <w:p w14:paraId="549DAD8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1次/半月（清洗作业）</w:t>
            </w:r>
          </w:p>
        </w:tc>
        <w:tc>
          <w:tcPr>
            <w:tcW w:w="4509" w:type="dxa"/>
            <w:noWrap w:val="0"/>
            <w:vAlign w:val="center"/>
          </w:tcPr>
          <w:p w14:paraId="55493C4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649CF8D5">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59CE37AD">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实行单元化作业：洒水车冲洗将路面灰尘和垃圾冲向道路两侧，清洗车清洗使用纵向、侧向冲洗路牙积灰和雨帘激洗路面，洗扫车湿扫将污水和垃圾吸走，三辆车（洒水车、清洗车、洗扫车）同时作业，互相配合对路面进行清洗。</w:t>
      </w:r>
    </w:p>
    <w:p w14:paraId="1B34A040">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2）作业时注意调整喷架高度和水压，打开双侧吸嘴、喷杆喷水，作业时速5公里/小时，开启警示灯或特效音乐。</w:t>
      </w:r>
    </w:p>
    <w:p w14:paraId="23178D2B">
      <w:pPr>
        <w:pageBreakBefore w:val="0"/>
        <w:kinsoku/>
        <w:wordWrap/>
        <w:overflowPunct/>
        <w:topLinePunct w:val="0"/>
        <w:bidi w:val="0"/>
        <w:spacing w:line="360" w:lineRule="auto"/>
        <w:ind w:firstLine="627" w:firstLineChars="29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3）发现吸嘴漏吸应立即停车处理，污物箱装满应及时到指定场所排放污水和卸清垃圾；雨天可根据降雨量调整作业方式，增加人机结合。</w:t>
      </w:r>
    </w:p>
    <w:p w14:paraId="4F47CDB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4）作业结束后，路面、隔离桩下、路牙、下水口等整洁，无残留垃圾、无漂浮垃圾、无积灰、无积水，路面见本色。</w:t>
      </w:r>
    </w:p>
    <w:p w14:paraId="35CDFA56">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4、冲洗作业</w:t>
      </w:r>
    </w:p>
    <w:p w14:paraId="5EACE304">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2934"/>
        <w:gridCol w:w="2771"/>
      </w:tblGrid>
      <w:tr w14:paraId="1391F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6ED0581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934" w:type="dxa"/>
            <w:noWrap w:val="0"/>
            <w:vAlign w:val="center"/>
          </w:tcPr>
          <w:p w14:paraId="42DEA95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冲洗次数</w:t>
            </w:r>
          </w:p>
        </w:tc>
        <w:tc>
          <w:tcPr>
            <w:tcW w:w="2771" w:type="dxa"/>
            <w:noWrap w:val="0"/>
            <w:vAlign w:val="center"/>
          </w:tcPr>
          <w:p w14:paraId="5CFD7DA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76D4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661F85D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934" w:type="dxa"/>
            <w:noWrap w:val="0"/>
            <w:vAlign w:val="center"/>
          </w:tcPr>
          <w:p w14:paraId="712C8F9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4B5976E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69D2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1933D3F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934" w:type="dxa"/>
            <w:noWrap w:val="0"/>
            <w:vAlign w:val="center"/>
          </w:tcPr>
          <w:p w14:paraId="79D87DE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1C1D9AA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7D34A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145EFB6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934" w:type="dxa"/>
            <w:noWrap w:val="0"/>
            <w:vAlign w:val="center"/>
          </w:tcPr>
          <w:p w14:paraId="64D1531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3-5次/周</w:t>
            </w:r>
          </w:p>
        </w:tc>
        <w:tc>
          <w:tcPr>
            <w:tcW w:w="2771" w:type="dxa"/>
            <w:noWrap w:val="0"/>
            <w:vAlign w:val="center"/>
          </w:tcPr>
          <w:p w14:paraId="606A27D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14E59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3A1871D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934" w:type="dxa"/>
            <w:noWrap w:val="0"/>
            <w:vAlign w:val="center"/>
          </w:tcPr>
          <w:p w14:paraId="53E9402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0CE5801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29DE9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47740A6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934" w:type="dxa"/>
            <w:noWrap w:val="0"/>
            <w:vAlign w:val="center"/>
          </w:tcPr>
          <w:p w14:paraId="764E5B5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1B10957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bl>
    <w:p w14:paraId="07F5F92E">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3ED8EC0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1）作业时应禁鸣，避免噪音扰民，车尾应有反光标志（或加贴反光膜），作业时必须开启警示灯和示宽灯。</w:t>
      </w:r>
    </w:p>
    <w:p w14:paraId="1C3842D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2）作业时速8公里/小时，喷水口喷水有力，不得出现断续喷水的现象。</w:t>
      </w:r>
    </w:p>
    <w:p w14:paraId="51430F4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3）不得漏洗，如路面较宽，应二次冲刷，不得倒车作业。</w:t>
      </w:r>
    </w:p>
    <w:p w14:paraId="2127B025">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4）作业时应注意避让车辆及行人；作业后路面无污物、无浮灰，路牙无浮土。</w:t>
      </w:r>
    </w:p>
    <w:p w14:paraId="347E3FFE">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5、洒水作业</w:t>
      </w:r>
    </w:p>
    <w:p w14:paraId="77F7F6A1">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1698"/>
        <w:gridCol w:w="4817"/>
      </w:tblGrid>
      <w:tr w14:paraId="37C7A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08D3361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698" w:type="dxa"/>
            <w:noWrap w:val="0"/>
            <w:vAlign w:val="center"/>
          </w:tcPr>
          <w:p w14:paraId="1C28743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洒水次数</w:t>
            </w:r>
          </w:p>
        </w:tc>
        <w:tc>
          <w:tcPr>
            <w:tcW w:w="4817" w:type="dxa"/>
            <w:noWrap w:val="0"/>
            <w:vAlign w:val="top"/>
          </w:tcPr>
          <w:p w14:paraId="0F97E07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08A1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33D78E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698" w:type="dxa"/>
            <w:noWrap w:val="0"/>
            <w:vAlign w:val="center"/>
          </w:tcPr>
          <w:p w14:paraId="780CA69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5CFE7EC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4：30---6：30、12：00---15：00、19：00-21：00</w:t>
            </w:r>
          </w:p>
        </w:tc>
      </w:tr>
      <w:tr w14:paraId="01B6C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B91A76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698" w:type="dxa"/>
            <w:noWrap w:val="0"/>
            <w:vAlign w:val="center"/>
          </w:tcPr>
          <w:p w14:paraId="6D35DD5C">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5086EB7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4：00---6：30、12：00---15：00、19：00-21：00</w:t>
            </w:r>
          </w:p>
        </w:tc>
      </w:tr>
      <w:tr w14:paraId="589FC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4036362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698" w:type="dxa"/>
            <w:noWrap w:val="0"/>
            <w:vAlign w:val="center"/>
          </w:tcPr>
          <w:p w14:paraId="51ABBFA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5F858F2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7F5D4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7DA94D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698" w:type="dxa"/>
            <w:noWrap w:val="0"/>
            <w:vAlign w:val="center"/>
          </w:tcPr>
          <w:p w14:paraId="7FC3DB7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7554D9E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03907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AE5B5E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698" w:type="dxa"/>
            <w:noWrap w:val="0"/>
            <w:vAlign w:val="center"/>
          </w:tcPr>
          <w:p w14:paraId="0400DC9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4817" w:type="dxa"/>
            <w:noWrap w:val="0"/>
            <w:vAlign w:val="center"/>
          </w:tcPr>
          <w:p w14:paraId="59E11A3E">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bl>
    <w:p w14:paraId="22B86A08">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75BCAFEC">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1）作业时必须播放提示音乐，提示行人避让，提示音乐出现故障时应停止作业。</w:t>
      </w:r>
    </w:p>
    <w:p w14:paraId="2BFEC3DA">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2）作业时速15公里/小时，喷水口喷水有力，不得出现断续喷水的现象。</w:t>
      </w:r>
    </w:p>
    <w:p w14:paraId="4979CBF4">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3）利用车后下直管状喷雾架进行喷雾降尘作业，作业时速8公里/小时，作业后路面湿润，无漏洒或积水现象。</w:t>
      </w:r>
    </w:p>
    <w:p w14:paraId="6DAA53DE">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以机动车道数确定洒水次数，应覆盖道路的所有机动车道，不得漏洒。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w:t>
      </w:r>
    </w:p>
    <w:p w14:paraId="5059575D">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5）当气温≥30℃ 时，洒水作业应增加作业频次，一级和二级道路每日洒水不少于 4次，其他道路不少于3次。</w:t>
      </w:r>
    </w:p>
    <w:p w14:paraId="4CF8F952">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6、水洗作业</w:t>
      </w:r>
    </w:p>
    <w:p w14:paraId="2BA75408">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（1）作业频次和时间：宜安排在夜间11：00-凌晨3：00、4：00 -6：30、9：00-11：00、12：00-15：00时段进行，每周水扫一次。</w:t>
      </w:r>
    </w:p>
    <w:p w14:paraId="0EDFB253">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26B091AC">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1）1组4人，2台小型机械，每小时作业面积约2-3万平方米。</w:t>
      </w:r>
    </w:p>
    <w:p w14:paraId="13540E7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2）在有条件的路段推行水扫作业，即实行班组作业和人机结合。</w:t>
      </w:r>
    </w:p>
    <w:p w14:paraId="2E334F9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人工手持高压水枪步行对人行道、隔离栏下、路外进行水扫，将路面漂浮物、灰尘冲到路牙下面，小型清洗车对慢车道进行清洗，保洁员将漂浮物扫到小型洗扫车作业范围内，小型洗扫车对路牙及路面垃圾进行洗扫，垃圾进入车内储存容器。</w:t>
      </w:r>
    </w:p>
    <w:p w14:paraId="43AA72D3">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7、保洁作业</w:t>
      </w:r>
    </w:p>
    <w:p w14:paraId="1A133DBF">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891"/>
        <w:gridCol w:w="3585"/>
      </w:tblGrid>
      <w:tr w14:paraId="2931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5F19A9B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891" w:type="dxa"/>
            <w:noWrap w:val="0"/>
            <w:vAlign w:val="center"/>
          </w:tcPr>
          <w:p w14:paraId="0793A4D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保洁次数</w:t>
            </w:r>
          </w:p>
        </w:tc>
        <w:tc>
          <w:tcPr>
            <w:tcW w:w="3585" w:type="dxa"/>
            <w:noWrap w:val="0"/>
            <w:vAlign w:val="top"/>
          </w:tcPr>
          <w:p w14:paraId="023E0F3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279F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5D436A6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891" w:type="dxa"/>
            <w:noWrap w:val="0"/>
            <w:vAlign w:val="center"/>
          </w:tcPr>
          <w:p w14:paraId="6D83868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36BF4E8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3C75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394CE2A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891" w:type="dxa"/>
            <w:noWrap w:val="0"/>
            <w:vAlign w:val="center"/>
          </w:tcPr>
          <w:p w14:paraId="7D832D6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1F123AD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38DA3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7F565A6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891" w:type="dxa"/>
            <w:noWrap w:val="0"/>
            <w:vAlign w:val="center"/>
          </w:tcPr>
          <w:p w14:paraId="0FF2708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590F3C3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0BC45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6A07C5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891" w:type="dxa"/>
            <w:noWrap w:val="0"/>
            <w:vAlign w:val="center"/>
          </w:tcPr>
          <w:p w14:paraId="008E919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29EB50B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4815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426C44E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891" w:type="dxa"/>
            <w:noWrap w:val="0"/>
            <w:vAlign w:val="center"/>
          </w:tcPr>
          <w:p w14:paraId="0F6B253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3585" w:type="dxa"/>
            <w:noWrap w:val="0"/>
            <w:vAlign w:val="center"/>
          </w:tcPr>
          <w:p w14:paraId="1071CB7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282AB920">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04686DBE">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1）机械保洁作业（皮卡捡拾车）应配备保洁人员，携带捡拾器及清扫机具；</w:t>
      </w:r>
    </w:p>
    <w:p w14:paraId="174480F0">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2）车箱悬挂“道路保洁、随时停车”警示语；</w:t>
      </w:r>
    </w:p>
    <w:p w14:paraId="4244B2F6">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3）车装有LED显示屏，屏显各种宣传标语；</w:t>
      </w:r>
    </w:p>
    <w:p w14:paraId="453406B1">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4）沿路牙一侧行驶，作业时速15公里/小时，遇有漂浮垃圾时由车上保洁人员利用捡拾器捡拾，放置车箱垃圾筒内。</w:t>
      </w:r>
    </w:p>
    <w:p w14:paraId="642ECAB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5）一般情况下保洁人员不得下车捡拾，特殊情况（含应急保障）下需要人工清扫保洁时，应按照规定设置安全警示牌和反光锥形警示筒等形成作业区，快速处置，快速撤离，同时做好安全警戒工作。</w:t>
      </w:r>
    </w:p>
    <w:p w14:paraId="08E9F160">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（四）环境卫生公共设施作业</w:t>
      </w:r>
    </w:p>
    <w:p w14:paraId="77993586">
      <w:pPr>
        <w:pStyle w:val="6"/>
        <w:pageBreakBefore w:val="0"/>
        <w:tabs>
          <w:tab w:val="left" w:pos="709"/>
        </w:tabs>
        <w:kinsoku/>
        <w:wordWrap/>
        <w:overflowPunct/>
        <w:topLinePunct w:val="0"/>
        <w:bidi w:val="0"/>
        <w:adjustRightInd w:val="0"/>
        <w:spacing w:before="0" w:after="0" w:line="360" w:lineRule="auto"/>
        <w:ind w:firstLine="620" w:firstLineChars="29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w:t>
      </w:r>
    </w:p>
    <w:p w14:paraId="7FDE57DE">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清洗消杀作业应遵守如下频次规定：</w:t>
      </w:r>
    </w:p>
    <w:tbl>
      <w:tblPr>
        <w:tblStyle w:val="46"/>
        <w:tblW w:w="7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454"/>
        <w:gridCol w:w="1975"/>
        <w:gridCol w:w="2436"/>
      </w:tblGrid>
      <w:tr w14:paraId="3AC8B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72" w:type="dxa"/>
            <w:noWrap w:val="0"/>
            <w:vAlign w:val="center"/>
          </w:tcPr>
          <w:p w14:paraId="5653DF8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454" w:type="dxa"/>
            <w:noWrap w:val="0"/>
            <w:vAlign w:val="center"/>
          </w:tcPr>
          <w:p w14:paraId="24D7590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1975" w:type="dxa"/>
            <w:noWrap w:val="0"/>
            <w:vAlign w:val="top"/>
          </w:tcPr>
          <w:p w14:paraId="269C43F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垃圾清理次数（每日）</w:t>
            </w:r>
          </w:p>
        </w:tc>
        <w:tc>
          <w:tcPr>
            <w:tcW w:w="2436" w:type="dxa"/>
            <w:noWrap w:val="0"/>
            <w:vAlign w:val="top"/>
          </w:tcPr>
          <w:p w14:paraId="6CB0A61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消杀次数</w:t>
            </w:r>
          </w:p>
        </w:tc>
      </w:tr>
      <w:tr w14:paraId="2001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74E4A14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454" w:type="dxa"/>
            <w:noWrap w:val="0"/>
            <w:vAlign w:val="center"/>
          </w:tcPr>
          <w:p w14:paraId="0592189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4856DDE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43122E0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restart"/>
            <w:noWrap w:val="0"/>
            <w:vAlign w:val="center"/>
          </w:tcPr>
          <w:p w14:paraId="3D453594">
            <w:pPr>
              <w:pageBreakBefore w:val="0"/>
              <w:widowControl/>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4月至10月，每天消杀一次，11月到次年3月三天消杀一次。</w:t>
            </w:r>
          </w:p>
        </w:tc>
      </w:tr>
      <w:tr w14:paraId="51B7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64A42AE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454" w:type="dxa"/>
            <w:noWrap w:val="0"/>
            <w:vAlign w:val="center"/>
          </w:tcPr>
          <w:p w14:paraId="0102B38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7107EBF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173B958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continue"/>
            <w:noWrap w:val="0"/>
            <w:vAlign w:val="top"/>
          </w:tcPr>
          <w:p w14:paraId="3570AD4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46A0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3D76129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454" w:type="dxa"/>
            <w:noWrap w:val="0"/>
            <w:vAlign w:val="center"/>
          </w:tcPr>
          <w:p w14:paraId="2FEEB8E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1DCABCD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43C487D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5BE760B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2FA0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7FD82DB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454" w:type="dxa"/>
            <w:noWrap w:val="0"/>
            <w:vAlign w:val="center"/>
          </w:tcPr>
          <w:p w14:paraId="625125D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3EE59ED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27CEDEA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7AD3D9E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bl>
    <w:p w14:paraId="27B4334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清洗要做到刷、洗、抹，摆放有序、掏净、盖好（锁好），复位好。</w:t>
      </w:r>
    </w:p>
    <w:p w14:paraId="1ED60E5C">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（3）对陈旧、破损的</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要及时维修，油漆</w:t>
      </w:r>
      <w:r>
        <w:rPr>
          <w:rFonts w:hint="eastAsia" w:ascii="宋体" w:hAnsi="宋体" w:cs="宋体"/>
          <w:color w:val="auto"/>
          <w:sz w:val="21"/>
          <w:szCs w:val="21"/>
          <w:highlight w:val="none"/>
          <w:lang w:val="en-US" w:eastAsia="zh-CN"/>
        </w:rPr>
        <w:t>翻新</w:t>
      </w:r>
      <w:r>
        <w:rPr>
          <w:rFonts w:hint="eastAsia" w:ascii="宋体" w:hAnsi="宋体" w:eastAsia="宋体" w:cs="宋体"/>
          <w:color w:val="auto"/>
          <w:sz w:val="21"/>
          <w:szCs w:val="21"/>
          <w:highlight w:val="none"/>
        </w:rPr>
        <w:t>，对确实无法使用的，要及时更换。</w:t>
      </w:r>
    </w:p>
    <w:p w14:paraId="0F91BD58">
      <w:pPr>
        <w:pStyle w:val="6"/>
        <w:pageBreakBefore w:val="0"/>
        <w:tabs>
          <w:tab w:val="left" w:pos="709"/>
        </w:tabs>
        <w:kinsoku/>
        <w:wordWrap/>
        <w:overflowPunct/>
        <w:topLinePunct w:val="0"/>
        <w:bidi w:val="0"/>
        <w:adjustRightInd w:val="0"/>
        <w:spacing w:before="0" w:after="0" w:line="360" w:lineRule="auto"/>
        <w:ind w:firstLine="578" w:firstLineChars="27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2、工具房及工具存放</w:t>
      </w:r>
    </w:p>
    <w:p w14:paraId="2EC087B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（1）工具房仅供存放环卫工具使用，任何单位和个人不得擅自改变工具房用途。</w:t>
      </w:r>
    </w:p>
    <w:p w14:paraId="0F9F96CD">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（2）工具房外墙每天要擦洗一次，房顶每天清理一次。</w:t>
      </w:r>
    </w:p>
    <w:p w14:paraId="2AE06838">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（3）工具房每半年要翻新一次。</w:t>
      </w:r>
    </w:p>
    <w:p w14:paraId="7AEA945F">
      <w:pPr>
        <w:pStyle w:val="4"/>
        <w:pageBreakBefore w:val="0"/>
        <w:kinsoku/>
        <w:wordWrap/>
        <w:overflowPunct/>
        <w:topLinePunct w:val="0"/>
        <w:bidi w:val="0"/>
        <w:adjustRightInd w:val="0"/>
        <w:snapToGrid w:val="0"/>
        <w:spacing w:before="0" w:after="0" w:line="360" w:lineRule="auto"/>
        <w:ind w:firstLine="578" w:firstLineChars="27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3、其他公共设施保洁作业</w:t>
      </w:r>
    </w:p>
    <w:p w14:paraId="16A97B6E">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果皮箱作业</w:t>
      </w:r>
    </w:p>
    <w:p w14:paraId="6D00F7D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增设充足果皮箱。按照“商业、金融业道路、街巷：50~100m；主要道路、次要道路、有辅道的快速路：100~200m；普通街巷、有人行道的快速路：200m~400m”的标准，选取适宜位置，设置充足的果皮箱，方便市民投放垃圾，新设置的果皮箱要按照垃圾分类收集要求，做到标识规范清晰、内容准确完善，箱体干净美观、与周围环境相协调。</w:t>
      </w:r>
    </w:p>
    <w:p w14:paraId="7407788C">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落实果皮箱保洁要求。作业单位要按规定频次清掏果皮箱、收运垃圾，果皮箱内垃圾每日至少清掏1次，繁华路段积存垃圾不超过容量三分之二，做到即查即清，确保果皮箱无垃圾积压、满溢；按要求清洗果皮箱，每日至少清洁1次，繁华路段每日清洁3次，周围2m内应整洁、无蝇、无存留垃圾和污水，地面见本色。</w:t>
      </w:r>
    </w:p>
    <w:p w14:paraId="43E113F8">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五、车辆信息化要求</w:t>
      </w:r>
    </w:p>
    <w:p w14:paraId="0BF9F35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（1）作业单位应全面落实北斗规模化应用，实现环卫作业车辆单北斗定位终端</w:t>
      </w:r>
      <w:r>
        <w:rPr>
          <w:rFonts w:hint="default" w:ascii="宋体" w:hAnsi="宋体" w:eastAsia="宋体" w:cs="宋体"/>
          <w:color w:val="auto"/>
          <w:kern w:val="0"/>
          <w:sz w:val="21"/>
          <w:szCs w:val="21"/>
          <w:highlight w:val="none"/>
          <w:lang w:val="en-US" w:eastAsia="zh-CN"/>
        </w:rPr>
        <w:t>100%</w:t>
      </w:r>
      <w:r>
        <w:rPr>
          <w:rFonts w:hint="eastAsia" w:ascii="宋体" w:hAnsi="宋体" w:eastAsia="宋体" w:cs="宋体"/>
          <w:color w:val="auto"/>
          <w:kern w:val="0"/>
          <w:sz w:val="21"/>
          <w:szCs w:val="21"/>
          <w:highlight w:val="none"/>
          <w:lang w:val="en-US" w:eastAsia="zh-CN"/>
        </w:rPr>
        <w:t>全覆盖。</w:t>
      </w:r>
    </w:p>
    <w:p w14:paraId="1E224899">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（2）作业单位应严格按规定安装并常态化启用北斗定位等信息化监管设备。</w:t>
      </w:r>
    </w:p>
    <w:p w14:paraId="722142B9">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六、安全生产要求</w:t>
      </w:r>
    </w:p>
    <w:p w14:paraId="4F5E1BC8">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（1）强化环卫作业全过程安全管理。</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持续加强机械化作业、垃圾转运及环卫基础设施的安全运行监管。分层级、分专业开展安全培训与应急演练，强化全员红线意识与规范操作。严格落实一线作业安全规定：严禁保洁员闯红灯、逆行，规范佩戴反光标识；出车前执行驾驶人员酒精检测；雾炮车作业前须排查线路、精确调整喷雾参数；严禁驾驶人员在车辆行驶或作业过程中使用手机接打电话、收发信息。确需进行必要通讯联络时，须将车辆停放在安全区域后进行；冬春季机械化作业须测温并严格执行</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零度以下不作业，</w:t>
      </w:r>
      <w:r>
        <w:rPr>
          <w:rFonts w:hint="eastAsia" w:ascii="宋体" w:hAnsi="宋体" w:cs="宋体"/>
          <w:color w:val="auto"/>
          <w:kern w:val="0"/>
          <w:sz w:val="21"/>
          <w:szCs w:val="21"/>
          <w:highlight w:val="none"/>
          <w:lang w:val="en-US" w:eastAsia="zh-CN"/>
        </w:rPr>
        <w:t>四</w:t>
      </w:r>
      <w:r>
        <w:rPr>
          <w:rFonts w:hint="eastAsia" w:ascii="宋体" w:hAnsi="宋体" w:eastAsia="宋体" w:cs="宋体"/>
          <w:color w:val="auto"/>
          <w:kern w:val="0"/>
          <w:sz w:val="21"/>
          <w:szCs w:val="21"/>
          <w:highlight w:val="none"/>
          <w:lang w:val="en-US" w:eastAsia="zh-CN"/>
        </w:rPr>
        <w:t>度以下不洒水</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规定；</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lang w:val="en-US" w:eastAsia="zh-CN"/>
        </w:rPr>
        <w:t>每月</w:t>
      </w:r>
      <w:r>
        <w:rPr>
          <w:rFonts w:hint="eastAsia" w:ascii="宋体" w:hAnsi="宋体" w:cs="宋体"/>
          <w:color w:val="auto"/>
          <w:kern w:val="0"/>
          <w:sz w:val="21"/>
          <w:szCs w:val="21"/>
          <w:highlight w:val="none"/>
          <w:lang w:val="en-US" w:eastAsia="zh-CN"/>
        </w:rPr>
        <w:t>定期</w:t>
      </w:r>
      <w:r>
        <w:rPr>
          <w:rFonts w:hint="eastAsia" w:ascii="宋体" w:hAnsi="宋体" w:eastAsia="宋体" w:cs="宋体"/>
          <w:color w:val="auto"/>
          <w:kern w:val="0"/>
          <w:sz w:val="21"/>
          <w:szCs w:val="21"/>
          <w:highlight w:val="none"/>
          <w:lang w:val="en-US" w:eastAsia="zh-CN"/>
        </w:rPr>
        <w:t>对垃圾运输车辆超速行驶情况进行核查。</w:t>
      </w:r>
    </w:p>
    <w:p w14:paraId="07DE9A03">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ascii="宋体" w:hAnsi="宋体" w:cs="宋体"/>
          <w:color w:val="auto"/>
          <w:kern w:val="0"/>
          <w:sz w:val="21"/>
          <w:szCs w:val="21"/>
          <w:highlight w:val="none"/>
          <w:lang w:val="en-US" w:eastAsia="zh-CN"/>
        </w:rPr>
        <w:t>落实</w:t>
      </w:r>
      <w:r>
        <w:rPr>
          <w:rFonts w:hint="eastAsia" w:ascii="宋体" w:hAnsi="宋体" w:eastAsia="宋体" w:cs="宋体"/>
          <w:color w:val="auto"/>
          <w:kern w:val="0"/>
          <w:sz w:val="21"/>
          <w:szCs w:val="21"/>
          <w:highlight w:val="none"/>
          <w:lang w:val="en-US" w:eastAsia="zh-CN"/>
        </w:rPr>
        <w:t>垃圾处理设施安全运行责任。</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严格按规程作业，重点加强运营管理、设备维护、消防安全、危化品管理、有限空间作业管理、应急演练及环保排放等的日常监管。</w:t>
      </w:r>
      <w:r>
        <w:rPr>
          <w:rFonts w:hint="eastAsia" w:ascii="宋体" w:hAnsi="宋体" w:cs="宋体"/>
          <w:color w:val="auto"/>
          <w:kern w:val="0"/>
          <w:sz w:val="21"/>
          <w:szCs w:val="21"/>
          <w:highlight w:val="none"/>
          <w:lang w:val="en-US" w:eastAsia="zh-CN"/>
        </w:rPr>
        <w:t>遵守</w:t>
      </w:r>
      <w:r>
        <w:rPr>
          <w:rFonts w:hint="eastAsia" w:ascii="宋体" w:hAnsi="宋体" w:eastAsia="宋体" w:cs="宋体"/>
          <w:color w:val="auto"/>
          <w:kern w:val="0"/>
          <w:sz w:val="21"/>
          <w:szCs w:val="21"/>
          <w:highlight w:val="none"/>
          <w:lang w:val="en-US" w:eastAsia="zh-CN"/>
        </w:rPr>
        <w:t>各类入厂（场）车辆与卸料平台管理，确保垃圾中转处置系统安全、规范运行。</w:t>
      </w:r>
    </w:p>
    <w:p w14:paraId="73A1E3E9">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（3）其他。根据省、市、区最新安全生产工作要求，全面落实安全生产责任。</w:t>
      </w:r>
    </w:p>
    <w:p w14:paraId="22C31A09">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七、重大活动保障作业要求</w:t>
      </w:r>
    </w:p>
    <w:p w14:paraId="3E3834B5">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（1）“春节”、“国庆节”、“</w:t>
      </w:r>
      <w:r>
        <w:rPr>
          <w:rFonts w:hint="eastAsia" w:ascii="宋体" w:hAnsi="宋体" w:cs="宋体"/>
          <w:color w:val="auto"/>
          <w:kern w:val="0"/>
          <w:sz w:val="21"/>
          <w:szCs w:val="21"/>
          <w:highlight w:val="none"/>
          <w:lang w:val="en-US" w:eastAsia="zh-CN"/>
        </w:rPr>
        <w:t>国家</w:t>
      </w:r>
      <w:r>
        <w:rPr>
          <w:rFonts w:hint="eastAsia" w:ascii="宋体" w:hAnsi="宋体" w:eastAsia="宋体" w:cs="宋体"/>
          <w:color w:val="auto"/>
          <w:kern w:val="0"/>
          <w:sz w:val="21"/>
          <w:szCs w:val="21"/>
          <w:highlight w:val="none"/>
          <w:lang w:val="en-US" w:eastAsia="zh-CN"/>
        </w:rPr>
        <w:t>公祭日”纪念活动等节假日及重大活动期间作业单位须根据南京市城市管理局最新要求进行保障。</w:t>
      </w:r>
    </w:p>
    <w:p w14:paraId="12111E6A">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八、尘量要求及考核</w:t>
      </w:r>
    </w:p>
    <w:p w14:paraId="139EFDA8">
      <w:pPr>
        <w:pStyle w:val="3"/>
        <w:pageBreakBefore w:val="0"/>
        <w:numPr>
          <w:ilvl w:val="0"/>
          <w:numId w:val="0"/>
        </w:numPr>
        <w:kinsoku/>
        <w:wordWrap/>
        <w:overflowPunct/>
        <w:topLinePunct w:val="0"/>
        <w:bidi w:val="0"/>
        <w:spacing w:line="360" w:lineRule="auto"/>
        <w:ind w:leftChars="25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服务期间，尘量要求及考核按相关主管部门要求执行</w:t>
      </w:r>
    </w:p>
    <w:p w14:paraId="69554702">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九、特别说明</w:t>
      </w:r>
    </w:p>
    <w:p w14:paraId="71B4E8D3">
      <w:pPr>
        <w:pStyle w:val="3"/>
        <w:pageBreakBefore w:val="0"/>
        <w:numPr>
          <w:ilvl w:val="0"/>
          <w:numId w:val="0"/>
        </w:numPr>
        <w:kinsoku/>
        <w:wordWrap/>
        <w:overflowPunct/>
        <w:topLinePunct w:val="0"/>
        <w:bidi w:val="0"/>
        <w:spacing w:line="360" w:lineRule="auto"/>
        <w:ind w:leftChars="250"/>
        <w:jc w:val="left"/>
        <w:textAlignment w:val="auto"/>
        <w:rPr>
          <w:rFonts w:hint="default"/>
          <w:b w:val="0"/>
          <w:bCs w:val="0"/>
          <w:highlight w:val="none"/>
          <w:lang w:val="en-US" w:eastAsia="zh-CN"/>
        </w:rPr>
      </w:pPr>
      <w:r>
        <w:rPr>
          <w:rFonts w:hint="eastAsia" w:ascii="宋体" w:hAnsi="宋体" w:eastAsia="宋体" w:cs="宋体"/>
          <w:b w:val="0"/>
          <w:bCs w:val="0"/>
          <w:color w:val="auto"/>
          <w:sz w:val="21"/>
          <w:szCs w:val="21"/>
          <w:highlight w:val="none"/>
          <w:lang w:val="en-US" w:eastAsia="zh-CN"/>
        </w:rPr>
        <w:t>（1）服务期间，环卫保洁作业要求以</w:t>
      </w:r>
      <w:r>
        <w:rPr>
          <w:rFonts w:hint="eastAsia" w:ascii="宋体" w:hAnsi="宋体" w:cs="宋体"/>
          <w:b w:val="0"/>
          <w:bCs w:val="0"/>
          <w:color w:val="auto"/>
          <w:sz w:val="21"/>
          <w:szCs w:val="21"/>
          <w:highlight w:val="none"/>
          <w:lang w:val="en-US" w:eastAsia="zh-CN"/>
        </w:rPr>
        <w:t>国家、省、市</w:t>
      </w:r>
      <w:r>
        <w:rPr>
          <w:rFonts w:hint="eastAsia" w:ascii="宋体" w:hAnsi="宋体" w:eastAsia="宋体" w:cs="宋体"/>
          <w:b w:val="0"/>
          <w:bCs w:val="0"/>
          <w:color w:val="auto"/>
          <w:sz w:val="21"/>
          <w:szCs w:val="21"/>
          <w:highlight w:val="none"/>
          <w:lang w:val="en-US" w:eastAsia="zh-CN"/>
        </w:rPr>
        <w:t>最新文件要求为准。</w:t>
      </w:r>
    </w:p>
    <w:p w14:paraId="0FF884E9">
      <w:pPr>
        <w:keepNext w:val="0"/>
        <w:keepLines w:val="0"/>
        <w:pageBreakBefore w:val="0"/>
        <w:widowControl/>
        <w:suppressLineNumbers w:val="0"/>
        <w:kinsoku/>
        <w:wordWrap/>
        <w:overflowPunct/>
        <w:topLinePunct w:val="0"/>
        <w:bidi w:val="0"/>
        <w:spacing w:line="360" w:lineRule="auto"/>
        <w:jc w:val="left"/>
        <w:textAlignment w:val="auto"/>
        <w:rPr>
          <w:rFonts w:hint="default" w:ascii="方正仿宋_GBK" w:hAnsi="方正仿宋_GBK" w:eastAsia="方正仿宋_GBK" w:cs="方正仿宋_GBK"/>
          <w:color w:val="000000"/>
          <w:kern w:val="0"/>
          <w:sz w:val="31"/>
          <w:szCs w:val="31"/>
          <w:highlight w:val="none"/>
          <w:lang w:val="en-US" w:eastAsia="zh-CN" w:bidi="ar"/>
        </w:rPr>
      </w:pPr>
    </w:p>
    <w:p w14:paraId="6BA48611">
      <w:pPr>
        <w:jc w:val="left"/>
        <w:rPr>
          <w:rFonts w:hint="eastAsia" w:ascii="宋体" w:hAnsi="宋体" w:eastAsia="宋体" w:cs="宋体"/>
          <w:b/>
          <w:bCs/>
          <w:color w:val="auto"/>
          <w:sz w:val="21"/>
          <w:szCs w:val="21"/>
          <w:highlight w:val="none"/>
        </w:rPr>
        <w:sectPr>
          <w:pgSz w:w="11906" w:h="16838"/>
          <w:pgMar w:top="850" w:right="850" w:bottom="850" w:left="1417" w:header="227" w:footer="397" w:gutter="0"/>
          <w:pgBorders>
            <w:top w:val="none" w:sz="0" w:space="0"/>
            <w:left w:val="none" w:sz="0" w:space="0"/>
            <w:bottom w:val="none" w:sz="0" w:space="0"/>
            <w:right w:val="none" w:sz="0" w:space="0"/>
          </w:pgBorders>
          <w:cols w:space="720" w:num="1"/>
          <w:docGrid w:type="lines" w:linePitch="312" w:charSpace="0"/>
        </w:sectPr>
      </w:pPr>
    </w:p>
    <w:p w14:paraId="4903E6C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4</w:t>
      </w:r>
      <w:r>
        <w:rPr>
          <w:rFonts w:hint="eastAsia" w:ascii="宋体" w:hAnsi="宋体" w:eastAsia="宋体" w:cs="宋体"/>
          <w:b w:val="0"/>
          <w:bCs w:val="0"/>
          <w:i w:val="0"/>
          <w:iCs w:val="0"/>
          <w:color w:val="auto"/>
          <w:kern w:val="2"/>
          <w:sz w:val="21"/>
          <w:szCs w:val="21"/>
          <w:highlight w:val="none"/>
          <w:u w:val="none"/>
          <w:lang w:val="en-US" w:eastAsia="zh-CN" w:bidi="ar"/>
        </w:rPr>
        <w:t>、乙方营业执照、人员表、机械设备</w:t>
      </w:r>
      <w:r>
        <w:rPr>
          <w:rFonts w:hint="eastAsia" w:ascii="宋体" w:hAnsi="宋体" w:eastAsia="宋体" w:cs="宋体"/>
          <w:color w:val="auto"/>
          <w:sz w:val="21"/>
          <w:szCs w:val="21"/>
          <w:highlight w:val="none"/>
        </w:rPr>
        <w:t>表、服务承诺</w:t>
      </w:r>
    </w:p>
    <w:p w14:paraId="5E53C809">
      <w:pPr>
        <w:spacing w:line="480" w:lineRule="auto"/>
        <w:jc w:val="center"/>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（截取中标人投标文件中营业执照、人员表、设备表及服务承诺）</w:t>
      </w:r>
    </w:p>
    <w:p w14:paraId="7F1F8E9F">
      <w:pPr>
        <w:spacing w:line="480" w:lineRule="auto"/>
        <w:jc w:val="center"/>
        <w:rPr>
          <w:rFonts w:hint="eastAsia" w:ascii="新宋体" w:hAnsi="新宋体" w:eastAsia="新宋体"/>
          <w:color w:val="000000" w:themeColor="text1"/>
          <w:sz w:val="21"/>
          <w:szCs w:val="21"/>
          <w:highlight w:val="none"/>
          <w14:textFill>
            <w14:solidFill>
              <w14:schemeClr w14:val="tx1"/>
            </w14:solidFill>
          </w14:textFill>
        </w:rPr>
      </w:pPr>
    </w:p>
    <w:p w14:paraId="7519F748">
      <w:pPr>
        <w:spacing w:line="360" w:lineRule="auto"/>
        <w:ind w:firstLine="420" w:firstLineChars="200"/>
        <w:jc w:val="left"/>
        <w:rPr>
          <w:rFonts w:hint="default" w:ascii="宋体" w:hAnsi="宋体" w:eastAsia="宋体" w:cs="宋体"/>
          <w:color w:val="auto"/>
          <w:sz w:val="21"/>
          <w:szCs w:val="21"/>
          <w:highlight w:val="none"/>
          <w:lang w:val="en-US"/>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5</w:t>
      </w:r>
      <w:r>
        <w:rPr>
          <w:rFonts w:hint="eastAsia" w:ascii="宋体" w:hAnsi="宋体" w:eastAsia="宋体" w:cs="宋体"/>
          <w:b w:val="0"/>
          <w:bCs w:val="0"/>
          <w:i w:val="0"/>
          <w:iCs w:val="0"/>
          <w:color w:val="auto"/>
          <w:kern w:val="2"/>
          <w:sz w:val="21"/>
          <w:szCs w:val="21"/>
          <w:highlight w:val="none"/>
          <w:u w:val="none"/>
          <w:lang w:val="en-US" w:eastAsia="zh-CN" w:bidi="ar"/>
        </w:rPr>
        <w:t>、</w:t>
      </w:r>
      <w:r>
        <w:rPr>
          <w:rFonts w:hint="eastAsia" w:ascii="宋体" w:hAnsi="宋体" w:cs="宋体"/>
          <w:b w:val="0"/>
          <w:bCs w:val="0"/>
          <w:i w:val="0"/>
          <w:iCs w:val="0"/>
          <w:color w:val="auto"/>
          <w:kern w:val="2"/>
          <w:sz w:val="21"/>
          <w:szCs w:val="21"/>
          <w:highlight w:val="none"/>
          <w:u w:val="none"/>
          <w:lang w:val="en-US" w:eastAsia="zh-CN" w:bidi="ar"/>
        </w:rPr>
        <w:t>考核办法及细则（具体待合同签订时明确）</w:t>
      </w:r>
    </w:p>
    <w:p w14:paraId="29940F3A">
      <w:pPr>
        <w:spacing w:line="480" w:lineRule="auto"/>
        <w:jc w:val="both"/>
        <w:rPr>
          <w:rFonts w:ascii="宋体" w:hAnsi="宋体" w:cs="宋体"/>
          <w:szCs w:val="21"/>
          <w:highlight w:val="none"/>
        </w:rPr>
      </w:pPr>
      <w:r>
        <w:rPr>
          <w:rFonts w:hint="eastAsia" w:ascii="宋体" w:hAnsi="宋体" w:eastAsia="宋体" w:cs="宋体"/>
          <w:b/>
          <w:bCs/>
          <w:color w:val="auto"/>
          <w:sz w:val="21"/>
          <w:szCs w:val="21"/>
          <w:highlight w:val="none"/>
        </w:rPr>
        <w:br w:type="page"/>
      </w:r>
      <w:bookmarkStart w:id="46" w:name="_GoBack"/>
      <w:bookmarkEnd w:id="46"/>
    </w:p>
    <w:p w14:paraId="7C5D870B">
      <w:pPr>
        <w:pStyle w:val="3"/>
        <w:numPr>
          <w:ilvl w:val="0"/>
          <w:numId w:val="6"/>
        </w:numPr>
        <w:rPr>
          <w:rFonts w:ascii="宋体" w:hAnsi="宋体" w:cs="宋体"/>
          <w:highlight w:val="none"/>
        </w:rPr>
      </w:pPr>
      <w:bookmarkStart w:id="35" w:name="_Toc13466"/>
      <w:bookmarkStart w:id="36" w:name="_Toc15886"/>
      <w:r>
        <w:rPr>
          <w:rFonts w:hint="eastAsia" w:ascii="宋体" w:hAnsi="宋体" w:cs="宋体"/>
          <w:highlight w:val="none"/>
        </w:rPr>
        <w:t>投标文件格式及附件</w:t>
      </w:r>
      <w:bookmarkEnd w:id="35"/>
      <w:bookmarkEnd w:id="36"/>
    </w:p>
    <w:p w14:paraId="65EF2F96">
      <w:pPr>
        <w:pStyle w:val="56"/>
        <w:ind w:firstLine="0" w:firstLineChars="0"/>
        <w:rPr>
          <w:rFonts w:hint="eastAsia" w:ascii="宋体" w:hAnsi="宋体" w:eastAsia="宋体" w:cs="宋体"/>
          <w:highlight w:val="none"/>
        </w:rPr>
      </w:pPr>
    </w:p>
    <w:p w14:paraId="742B1BA2">
      <w:pPr>
        <w:widowControl/>
        <w:adjustRightInd w:val="0"/>
        <w:spacing w:line="240" w:lineRule="atLeast"/>
        <w:jc w:val="left"/>
        <w:rPr>
          <w:rFonts w:hint="eastAsia" w:ascii="宋体" w:hAnsi="宋体" w:cs="宋体"/>
          <w:b/>
          <w:bCs/>
          <w:szCs w:val="21"/>
          <w:highlight w:val="none"/>
        </w:rPr>
      </w:pPr>
    </w:p>
    <w:p w14:paraId="28A4004B">
      <w:pPr>
        <w:spacing w:line="440" w:lineRule="exact"/>
        <w:rPr>
          <w:rFonts w:hint="eastAsia" w:ascii="宋体" w:hAnsi="宋体" w:cs="宋体"/>
          <w:sz w:val="20"/>
          <w:szCs w:val="20"/>
          <w:highlight w:val="none"/>
        </w:rPr>
      </w:pPr>
    </w:p>
    <w:p w14:paraId="514BB455">
      <w:pPr>
        <w:spacing w:line="440" w:lineRule="exact"/>
        <w:rPr>
          <w:rFonts w:hint="eastAsia" w:ascii="宋体" w:hAnsi="宋体" w:cs="宋体"/>
          <w:sz w:val="20"/>
          <w:szCs w:val="20"/>
          <w:highlight w:val="none"/>
        </w:rPr>
      </w:pPr>
    </w:p>
    <w:p w14:paraId="5B9B8F40">
      <w:pPr>
        <w:spacing w:line="440" w:lineRule="exact"/>
        <w:rPr>
          <w:rFonts w:hint="eastAsia" w:ascii="宋体" w:hAnsi="宋体" w:cs="宋体"/>
          <w:sz w:val="20"/>
          <w:szCs w:val="20"/>
          <w:highlight w:val="none"/>
        </w:rPr>
      </w:pPr>
    </w:p>
    <w:p w14:paraId="6F30F0E8">
      <w:pPr>
        <w:jc w:val="both"/>
        <w:rPr>
          <w:rFonts w:hint="eastAsia" w:ascii="宋体" w:hAnsi="宋体" w:cs="宋体"/>
          <w:sz w:val="22"/>
          <w:szCs w:val="22"/>
          <w:highlight w:val="none"/>
        </w:rPr>
      </w:pPr>
    </w:p>
    <w:p w14:paraId="07961ACF">
      <w:pPr>
        <w:rPr>
          <w:rFonts w:hint="eastAsia" w:ascii="宋体" w:hAnsi="宋体" w:cs="宋体"/>
          <w:sz w:val="22"/>
          <w:szCs w:val="22"/>
          <w:highlight w:val="none"/>
        </w:rPr>
      </w:pPr>
    </w:p>
    <w:p w14:paraId="196D4F2F">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16CFE4E1">
      <w:pPr>
        <w:rPr>
          <w:rFonts w:hint="eastAsia" w:ascii="宋体" w:hAnsi="宋体" w:cs="宋体"/>
          <w:sz w:val="36"/>
          <w:szCs w:val="36"/>
          <w:highlight w:val="none"/>
        </w:rPr>
      </w:pPr>
    </w:p>
    <w:p w14:paraId="5705AEBA">
      <w:pPr>
        <w:rPr>
          <w:rFonts w:hint="eastAsia" w:ascii="宋体" w:hAnsi="宋体" w:cs="宋体"/>
          <w:sz w:val="36"/>
          <w:szCs w:val="36"/>
          <w:highlight w:val="none"/>
        </w:rPr>
      </w:pPr>
    </w:p>
    <w:p w14:paraId="7686B905">
      <w:pPr>
        <w:rPr>
          <w:rFonts w:hint="eastAsia" w:ascii="宋体" w:hAnsi="宋体" w:cs="宋体"/>
          <w:sz w:val="36"/>
          <w:szCs w:val="36"/>
          <w:highlight w:val="none"/>
        </w:rPr>
      </w:pPr>
    </w:p>
    <w:p w14:paraId="00C2AE6A">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项目名称：</w:t>
      </w:r>
    </w:p>
    <w:p w14:paraId="23A330CE">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招标编号：</w:t>
      </w:r>
    </w:p>
    <w:p w14:paraId="5D9A32DC">
      <w:pPr>
        <w:ind w:firstLine="720" w:firstLineChars="200"/>
        <w:jc w:val="both"/>
        <w:rPr>
          <w:rFonts w:hint="eastAsia" w:ascii="宋体" w:hAnsi="宋体" w:cs="宋体"/>
          <w:sz w:val="36"/>
          <w:szCs w:val="36"/>
          <w:highlight w:val="none"/>
          <w:u w:val="single"/>
        </w:rPr>
      </w:pPr>
      <w:r>
        <w:rPr>
          <w:rFonts w:hint="eastAsia" w:ascii="宋体" w:hAnsi="宋体" w:cs="宋体"/>
          <w:sz w:val="36"/>
          <w:szCs w:val="36"/>
          <w:highlight w:val="none"/>
        </w:rPr>
        <w:t>投标人</w:t>
      </w:r>
      <w:r>
        <w:rPr>
          <w:rFonts w:hint="eastAsia" w:ascii="宋体" w:hAnsi="宋体" w:cs="宋体"/>
          <w:sz w:val="36"/>
          <w:szCs w:val="36"/>
          <w:highlight w:val="none"/>
          <w:lang w:val="en-US" w:eastAsia="zh-CN"/>
        </w:rPr>
        <w:t>名称</w:t>
      </w:r>
      <w:r>
        <w:rPr>
          <w:rFonts w:hint="eastAsia" w:ascii="宋体" w:hAnsi="宋体" w:cs="宋体"/>
          <w:sz w:val="36"/>
          <w:szCs w:val="36"/>
          <w:highlight w:val="none"/>
        </w:rPr>
        <w:t>：（加盖电子公章）</w:t>
      </w:r>
    </w:p>
    <w:p w14:paraId="4C3C2DEA">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lang w:val="en-US" w:eastAsia="zh-CN"/>
        </w:rPr>
        <w:t>日期：</w:t>
      </w:r>
      <w:r>
        <w:rPr>
          <w:rFonts w:hint="eastAsia" w:ascii="宋体" w:hAnsi="宋体" w:cs="宋体"/>
          <w:sz w:val="28"/>
          <w:szCs w:val="28"/>
          <w:highlight w:val="none"/>
        </w:rPr>
        <w:br w:type="page"/>
      </w:r>
    </w:p>
    <w:p w14:paraId="00978A2E">
      <w:pPr>
        <w:spacing w:before="312" w:beforeLines="100" w:after="312" w:afterLines="100"/>
        <w:jc w:val="center"/>
        <w:rPr>
          <w:rFonts w:hint="eastAsia" w:ascii="宋体" w:hAnsi="宋体" w:cs="宋体"/>
          <w:sz w:val="32"/>
          <w:szCs w:val="32"/>
          <w:highlight w:val="none"/>
        </w:rPr>
      </w:pPr>
      <w:r>
        <w:rPr>
          <w:rFonts w:hint="eastAsia" w:ascii="宋体" w:hAnsi="宋体" w:cs="宋体"/>
          <w:sz w:val="32"/>
          <w:szCs w:val="32"/>
          <w:highlight w:val="none"/>
        </w:rPr>
        <w:t>目录</w:t>
      </w:r>
    </w:p>
    <w:p w14:paraId="0C317017">
      <w:pPr>
        <w:spacing w:line="440" w:lineRule="exact"/>
        <w:rPr>
          <w:rFonts w:hint="eastAsia"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3634C42E">
      <w:pPr>
        <w:widowControl/>
        <w:shd w:val="clear" w:color="auto" w:fill="FFFFFF"/>
        <w:spacing w:line="400" w:lineRule="exact"/>
        <w:rPr>
          <w:rFonts w:hint="eastAsia" w:ascii="宋体" w:hAnsi="宋体" w:eastAsia="宋体" w:cs="宋体"/>
          <w:kern w:val="0"/>
          <w:szCs w:val="21"/>
          <w:highlight w:val="none"/>
          <w:lang w:eastAsia="zh-CN"/>
        </w:rPr>
      </w:pPr>
      <w:r>
        <w:rPr>
          <w:rFonts w:hint="eastAsia" w:ascii="宋体" w:hAnsi="宋体" w:cs="宋体"/>
          <w:kern w:val="0"/>
          <w:szCs w:val="21"/>
          <w:highlight w:val="none"/>
        </w:rPr>
        <w:t> 致：</w:t>
      </w:r>
      <w:r>
        <w:rPr>
          <w:rFonts w:hint="eastAsia" w:ascii="宋体" w:hAnsi="宋体" w:cs="宋体"/>
          <w:kern w:val="0"/>
          <w:szCs w:val="21"/>
          <w:highlight w:val="none"/>
          <w:lang w:eastAsia="zh-CN"/>
        </w:rPr>
        <w:t>江苏泰鼎工程咨询有限公司</w:t>
      </w:r>
    </w:p>
    <w:p w14:paraId="2C687FD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5CF67355">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3CB64BA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w:t>
      </w:r>
      <w:r>
        <w:rPr>
          <w:rFonts w:hint="eastAsia" w:ascii="宋体" w:hAnsi="宋体" w:cs="宋体"/>
          <w:highlight w:val="none"/>
          <w:lang w:val="en-US" w:eastAsia="zh-CN"/>
        </w:rPr>
        <w:t>方式</w:t>
      </w:r>
      <w:r>
        <w:rPr>
          <w:rFonts w:hint="eastAsia" w:ascii="宋体" w:hAnsi="宋体" w:cs="宋体"/>
          <w:highlight w:val="none"/>
        </w:rPr>
        <w:t>采购</w:t>
      </w:r>
      <w:r>
        <w:rPr>
          <w:rFonts w:hint="eastAsia" w:ascii="宋体" w:hAnsi="宋体" w:cs="宋体"/>
          <w:kern w:val="0"/>
          <w:szCs w:val="21"/>
          <w:highlight w:val="none"/>
        </w:rPr>
        <w:t>。</w:t>
      </w:r>
    </w:p>
    <w:p w14:paraId="167DE93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7562078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1A5EC7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0125156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6152977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1393F0D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687882E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08C47268">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20CEE31">
      <w:pPr>
        <w:widowControl/>
        <w:shd w:val="clear" w:color="auto" w:fill="FFFFFF"/>
        <w:spacing w:line="360" w:lineRule="auto"/>
        <w:jc w:val="left"/>
        <w:rPr>
          <w:rFonts w:hint="eastAsia" w:ascii="宋体" w:hAnsi="宋体" w:cs="宋体"/>
          <w:kern w:val="0"/>
          <w:szCs w:val="21"/>
          <w:highlight w:val="none"/>
        </w:rPr>
      </w:pPr>
    </w:p>
    <w:p w14:paraId="0C51E80F">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93D4DA4">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52FDCFF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49BD1464">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020FFBD6">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AC95680">
      <w:pPr>
        <w:spacing w:line="480" w:lineRule="exact"/>
        <w:ind w:firstLine="480"/>
        <w:rPr>
          <w:rFonts w:hint="eastAsia" w:ascii="宋体" w:hAnsi="宋体"/>
          <w:szCs w:val="21"/>
          <w:highlight w:val="none"/>
        </w:rPr>
      </w:pPr>
      <w:r>
        <w:rPr>
          <w:rFonts w:hint="eastAsia" w:ascii="宋体" w:hAnsi="宋体"/>
          <w:szCs w:val="21"/>
          <w:highlight w:val="none"/>
        </w:rPr>
        <w:t>日    期：</w:t>
      </w:r>
    </w:p>
    <w:p w14:paraId="74D4893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13DABE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2F55397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5E112D35">
      <w:pPr>
        <w:autoSpaceDE w:val="0"/>
        <w:autoSpaceDN w:val="0"/>
        <w:adjustRightInd w:val="0"/>
        <w:spacing w:line="360" w:lineRule="auto"/>
        <w:rPr>
          <w:rFonts w:hint="eastAsia" w:ascii="宋体" w:hAnsi="宋体" w:cs="宋体"/>
          <w:highlight w:val="none"/>
          <w:lang w:val="zh-CN"/>
        </w:rPr>
      </w:pPr>
      <w:r>
        <w:rPr>
          <w:rFonts w:hint="eastAsia" w:ascii="宋体" w:hAnsi="宋体" w:cs="宋体"/>
          <w:b/>
          <w:bCs/>
          <w:kern w:val="0"/>
          <w:szCs w:val="21"/>
          <w:highlight w:val="none"/>
        </w:rPr>
        <w:br w:type="page"/>
      </w:r>
      <w:bookmarkStart w:id="37" w:name="_Toc26810"/>
      <w:r>
        <w:rPr>
          <w:rFonts w:hint="eastAsia" w:ascii="宋体" w:hAnsi="宋体" w:cs="宋体"/>
          <w:b/>
          <w:bCs/>
          <w:kern w:val="0"/>
          <w:szCs w:val="21"/>
          <w:highlight w:val="none"/>
          <w:lang w:val="zh-CN"/>
        </w:rPr>
        <w:t>附件三、</w:t>
      </w:r>
      <w:bookmarkEnd w:id="37"/>
      <w:r>
        <w:rPr>
          <w:rFonts w:hint="eastAsia" w:ascii="宋体" w:hAnsi="宋体" w:cs="宋体"/>
          <w:b/>
          <w:bCs/>
          <w:kern w:val="0"/>
          <w:szCs w:val="21"/>
          <w:highlight w:val="none"/>
          <w:lang w:val="zh-CN"/>
        </w:rPr>
        <w:t>开标一览表</w:t>
      </w:r>
    </w:p>
    <w:p w14:paraId="0153E723">
      <w:pPr>
        <w:autoSpaceDE w:val="0"/>
        <w:autoSpaceDN w:val="0"/>
        <w:adjustRightInd w:val="0"/>
        <w:rPr>
          <w:rFonts w:hint="eastAsia" w:ascii="宋体" w:hAnsi="宋体" w:cs="宋体"/>
          <w:b/>
          <w:bCs/>
          <w:highlight w:val="none"/>
          <w:lang w:val="zh-CN"/>
        </w:rPr>
      </w:pPr>
    </w:p>
    <w:p w14:paraId="3A67B587">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p w14:paraId="6CB6BC22">
      <w:pPr>
        <w:widowControl/>
        <w:shd w:val="clear" w:color="auto" w:fill="FFFFFF"/>
        <w:spacing w:line="360" w:lineRule="auto"/>
        <w:jc w:val="center"/>
        <w:rPr>
          <w:rFonts w:hint="eastAsia" w:ascii="宋体" w:hAnsi="宋体" w:cs="宋体"/>
          <w:kern w:val="0"/>
          <w:sz w:val="24"/>
          <w:highlight w:val="none"/>
        </w:rPr>
      </w:pPr>
    </w:p>
    <w:p w14:paraId="1A9D0572">
      <w:pPr>
        <w:pStyle w:val="5"/>
        <w:spacing w:line="440" w:lineRule="exact"/>
        <w:ind w:firstLine="474" w:firstLineChars="225"/>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highlight w:val="none"/>
              </w:rPr>
            </w:pPr>
            <w:r>
              <w:rPr>
                <w:rFonts w:hint="eastAsia"/>
                <w:highlight w:val="none"/>
              </w:rPr>
              <w:t>投标报价</w:t>
            </w:r>
          </w:p>
        </w:tc>
        <w:tc>
          <w:tcPr>
            <w:tcW w:w="2451" w:type="dxa"/>
            <w:noWrap w:val="0"/>
            <w:vAlign w:val="center"/>
          </w:tcPr>
          <w:p w14:paraId="64EB0DFD">
            <w:pPr>
              <w:pStyle w:val="5"/>
              <w:ind w:firstLine="472" w:firstLineChars="225"/>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highlight w:val="none"/>
                <w:lang w:val="en-US" w:eastAsia="zh-CN"/>
              </w:rPr>
            </w:pPr>
            <w:r>
              <w:rPr>
                <w:rFonts w:hint="eastAsia" w:ascii="宋体" w:hAnsi="宋体" w:cs="宋体"/>
                <w:b/>
                <w:bCs/>
                <w:szCs w:val="21"/>
                <w:highlight w:val="none"/>
              </w:rPr>
              <w:t>备注：</w:t>
            </w:r>
            <w:r>
              <w:rPr>
                <w:rFonts w:hint="eastAsia" w:ascii="宋体" w:hAnsi="宋体" w:cs="宋体"/>
                <w:b/>
                <w:bCs/>
                <w:szCs w:val="21"/>
                <w:highlight w:val="none"/>
                <w:lang w:val="en-US" w:eastAsia="zh-CN"/>
              </w:rPr>
              <w:t>苏采云系统中填报的价格为3年总价</w:t>
            </w:r>
          </w:p>
        </w:tc>
      </w:tr>
    </w:tbl>
    <w:p w14:paraId="1F477DA9">
      <w:pPr>
        <w:pStyle w:val="5"/>
        <w:spacing w:line="440" w:lineRule="exact"/>
        <w:ind w:firstLine="474" w:firstLineChars="225"/>
        <w:rPr>
          <w:rFonts w:hint="eastAsia" w:ascii="宋体" w:hAnsi="宋体" w:cs="宋体"/>
          <w:sz w:val="21"/>
          <w:szCs w:val="21"/>
          <w:highlight w:val="none"/>
        </w:rPr>
      </w:pPr>
    </w:p>
    <w:p w14:paraId="42F110F5">
      <w:pPr>
        <w:widowControl/>
        <w:shd w:val="clear" w:color="auto" w:fill="FFFFFF"/>
        <w:spacing w:line="360" w:lineRule="auto"/>
        <w:jc w:val="left"/>
        <w:rPr>
          <w:rFonts w:hint="eastAsia" w:ascii="宋体" w:hAnsi="宋体" w:cs="宋体"/>
          <w:b/>
          <w:bCs/>
          <w:kern w:val="0"/>
          <w:szCs w:val="21"/>
          <w:highlight w:val="none"/>
          <w:lang w:val="zh-CN"/>
        </w:rPr>
      </w:pPr>
      <w:bookmarkStart w:id="38" w:name="_Toc12264"/>
      <w:r>
        <w:rPr>
          <w:rFonts w:hint="eastAsia" w:ascii="宋体" w:hAnsi="宋体" w:cs="宋体"/>
          <w:b/>
          <w:bCs/>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38"/>
    </w:p>
    <w:p w14:paraId="2662893C">
      <w:pPr>
        <w:widowControl/>
        <w:adjustRightInd w:val="0"/>
        <w:spacing w:line="240" w:lineRule="atLeast"/>
        <w:jc w:val="left"/>
        <w:rPr>
          <w:rFonts w:hint="eastAsia" w:ascii="宋体" w:hAnsi="宋体" w:cs="宋体"/>
          <w:b/>
          <w:bCs/>
          <w:kern w:val="0"/>
          <w:highlight w:val="none"/>
          <w:lang w:val="zh-CN"/>
        </w:rPr>
      </w:pPr>
    </w:p>
    <w:p w14:paraId="2C30F829">
      <w:pPr>
        <w:widowControl/>
        <w:spacing w:line="360" w:lineRule="auto"/>
        <w:jc w:val="center"/>
        <w:rPr>
          <w:rFonts w:hint="eastAsia" w:ascii="宋体" w:hAnsi="宋体"/>
          <w:b/>
          <w:kern w:val="0"/>
          <w:sz w:val="32"/>
          <w:szCs w:val="32"/>
          <w:highlight w:val="none"/>
        </w:rPr>
      </w:pPr>
      <w:r>
        <w:rPr>
          <w:rFonts w:hint="eastAsia" w:ascii="宋体" w:hAnsi="宋体" w:cs="宋体"/>
          <w:b/>
          <w:kern w:val="0"/>
          <w:sz w:val="36"/>
          <w:szCs w:val="36"/>
          <w:highlight w:val="none"/>
        </w:rPr>
        <w:t>分项报价表</w:t>
      </w:r>
    </w:p>
    <w:p w14:paraId="393FF2BB">
      <w:pPr>
        <w:widowControl/>
        <w:shd w:val="clear" w:color="auto" w:fill="FFFFFF"/>
        <w:spacing w:line="360" w:lineRule="auto"/>
        <w:jc w:val="both"/>
        <w:rPr>
          <w:rFonts w:hint="eastAsia" w:ascii="宋体" w:hAnsi="宋体" w:cs="宋体"/>
          <w:kern w:val="0"/>
          <w:szCs w:val="21"/>
          <w:highlight w:val="none"/>
          <w:lang w:val="en-US" w:eastAsia="zh-CN"/>
        </w:rPr>
      </w:pPr>
      <w:r>
        <w:rPr>
          <w:rFonts w:hint="eastAsia" w:ascii="宋体" w:hAnsi="宋体" w:cs="宋体"/>
          <w:sz w:val="21"/>
          <w:szCs w:val="21"/>
          <w:highlight w:val="none"/>
        </w:rPr>
        <w:t xml:space="preserve">项目名称：                                   项目编号 ：           </w:t>
      </w:r>
    </w:p>
    <w:tbl>
      <w:tblPr>
        <w:tblStyle w:val="46"/>
        <w:tblW w:w="8632" w:type="dxa"/>
        <w:tblInd w:w="91" w:type="dxa"/>
        <w:tblLayout w:type="autofit"/>
        <w:tblCellMar>
          <w:top w:w="0" w:type="dxa"/>
          <w:left w:w="108" w:type="dxa"/>
          <w:bottom w:w="0" w:type="dxa"/>
          <w:right w:w="108" w:type="dxa"/>
        </w:tblCellMar>
      </w:tblPr>
      <w:tblGrid>
        <w:gridCol w:w="732"/>
        <w:gridCol w:w="1360"/>
        <w:gridCol w:w="1690"/>
        <w:gridCol w:w="1250"/>
        <w:gridCol w:w="1860"/>
        <w:gridCol w:w="1740"/>
      </w:tblGrid>
      <w:tr w14:paraId="0937A487">
        <w:tblPrEx>
          <w:tblCellMar>
            <w:top w:w="0" w:type="dxa"/>
            <w:left w:w="108" w:type="dxa"/>
            <w:bottom w:w="0" w:type="dxa"/>
            <w:right w:w="108" w:type="dxa"/>
          </w:tblCellMar>
        </w:tblPrEx>
        <w:trPr>
          <w:trHeight w:val="558"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9DCED">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68CC">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88BD">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面积</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599A">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595AD">
            <w:pPr>
              <w:widowControl/>
              <w:jc w:val="cente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单价（元</w:t>
            </w:r>
            <w:r>
              <w:rPr>
                <w:rFonts w:hint="eastAsia" w:ascii="宋体" w:hAnsi="宋体" w:cs="宋体"/>
                <w:b/>
                <w:bCs/>
                <w:color w:val="000000" w:themeColor="text1"/>
                <w:sz w:val="21"/>
                <w:szCs w:val="21"/>
                <w:highlight w:val="none"/>
                <w:lang w:val="en-US" w:eastAsia="zh-CN"/>
                <w14:textFill>
                  <w14:solidFill>
                    <w14:schemeClr w14:val="tx1"/>
                  </w14:solidFill>
                </w14:textFill>
              </w:rPr>
              <w:t>/</w:t>
            </w:r>
            <w:r>
              <w:rPr>
                <w:rFonts w:hint="eastAsia" w:ascii="宋体" w:hAnsi="宋体" w:cs="宋体"/>
                <w:b/>
                <w:bCs/>
                <w:color w:val="000000" w:themeColor="text1"/>
                <w:sz w:val="21"/>
                <w:szCs w:val="21"/>
                <w:highlight w:val="none"/>
                <w:lang w:val="en-US" w:eastAsia="zh-CN" w:bidi="ar"/>
                <w14:textFill>
                  <w14:solidFill>
                    <w14:schemeClr w14:val="tx1"/>
                  </w14:solidFill>
                </w14:textFill>
              </w:rPr>
              <w:t>m²/年）</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54FBE">
            <w:pPr>
              <w:widowControl/>
              <w:jc w:val="center"/>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小计（元/年）</w:t>
            </w:r>
          </w:p>
        </w:tc>
      </w:tr>
      <w:tr w14:paraId="178C3FC6">
        <w:tblPrEx>
          <w:tblCellMar>
            <w:top w:w="0" w:type="dxa"/>
            <w:left w:w="108" w:type="dxa"/>
            <w:bottom w:w="0" w:type="dxa"/>
            <w:right w:w="108" w:type="dxa"/>
          </w:tblCellMar>
        </w:tblPrEx>
        <w:trPr>
          <w:trHeight w:val="51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A94D">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1</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A5DC">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三级道路</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F6DC">
            <w:pPr>
              <w:keepNext w:val="0"/>
              <w:keepLines w:val="0"/>
              <w:widowControl/>
              <w:suppressLineNumbers w:val="0"/>
              <w:jc w:val="center"/>
              <w:textAlignment w:val="auto"/>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1003328.88</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E18DF">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DB99B">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78D3">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31EB2398">
        <w:tblPrEx>
          <w:tblCellMar>
            <w:top w:w="0" w:type="dxa"/>
            <w:left w:w="108" w:type="dxa"/>
            <w:bottom w:w="0" w:type="dxa"/>
            <w:right w:w="108" w:type="dxa"/>
          </w:tblCellMar>
        </w:tblPrEx>
        <w:trPr>
          <w:trHeight w:val="51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B344">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2</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B4C79">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绿化带垃圾捡拾</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4118">
            <w:pPr>
              <w:keepNext w:val="0"/>
              <w:keepLines w:val="0"/>
              <w:widowControl/>
              <w:suppressLineNumbers w:val="0"/>
              <w:jc w:val="center"/>
              <w:textAlignment w:val="auto"/>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506692.79</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480E">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3B05F">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82400">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61A9359C">
        <w:tblPrEx>
          <w:tblCellMar>
            <w:top w:w="0" w:type="dxa"/>
            <w:left w:w="108" w:type="dxa"/>
            <w:bottom w:w="0" w:type="dxa"/>
            <w:right w:w="108" w:type="dxa"/>
          </w:tblCellMar>
        </w:tblPrEx>
        <w:trPr>
          <w:trHeight w:val="510" w:hRule="atLeast"/>
        </w:trPr>
        <w:tc>
          <w:tcPr>
            <w:tcW w:w="689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720970E">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合计（元/年）</w:t>
            </w:r>
          </w:p>
          <w:p w14:paraId="2358F2C6">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序号1+序号2之和（一年总价）</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8EEE">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25B03BDE">
        <w:tblPrEx>
          <w:tblCellMar>
            <w:top w:w="0" w:type="dxa"/>
            <w:left w:w="108" w:type="dxa"/>
            <w:bottom w:w="0" w:type="dxa"/>
            <w:right w:w="108" w:type="dxa"/>
          </w:tblCellMar>
        </w:tblPrEx>
        <w:trPr>
          <w:trHeight w:val="510" w:hRule="atLeast"/>
        </w:trPr>
        <w:tc>
          <w:tcPr>
            <w:tcW w:w="863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878F32">
            <w:pPr>
              <w:widowControl/>
              <w:jc w:val="both"/>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总价（元/三年）：                                 (苏采云开标一览表按此数值填写)</w:t>
            </w:r>
          </w:p>
        </w:tc>
      </w:tr>
    </w:tbl>
    <w:p w14:paraId="29C5431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2296D8AE">
      <w:pPr>
        <w:widowControl/>
        <w:shd w:val="clear" w:color="auto" w:fill="FFFFFF"/>
        <w:spacing w:line="360" w:lineRule="auto"/>
        <w:jc w:val="left"/>
        <w:rPr>
          <w:rFonts w:hint="eastAsia" w:ascii="宋体" w:hAnsi="宋体" w:cs="宋体"/>
          <w:kern w:val="0"/>
          <w:szCs w:val="21"/>
          <w:highlight w:val="none"/>
        </w:rPr>
      </w:pPr>
    </w:p>
    <w:p w14:paraId="77873420">
      <w:pPr>
        <w:widowControl/>
        <w:shd w:val="clear" w:color="auto" w:fill="FFFFFF"/>
        <w:spacing w:line="360" w:lineRule="auto"/>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说明：</w:t>
      </w:r>
    </w:p>
    <w:p w14:paraId="783AF414">
      <w:pPr>
        <w:widowControl/>
        <w:numPr>
          <w:ilvl w:val="0"/>
          <w:numId w:val="7"/>
        </w:numPr>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单价不得超过招标文件规定的单项限价，否则作无效标处理。</w:t>
      </w:r>
    </w:p>
    <w:p w14:paraId="795F77BB">
      <w:pPr>
        <w:widowControl/>
        <w:numPr>
          <w:ilvl w:val="0"/>
          <w:numId w:val="7"/>
        </w:numPr>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u w:val="single"/>
          <w:lang w:val="en-US" w:eastAsia="zh-CN"/>
        </w:rPr>
        <w:t>项目、面积、计量单位不得随意更改，否则作无效标处理。</w:t>
      </w:r>
      <w:r>
        <w:rPr>
          <w:rFonts w:hint="eastAsia" w:ascii="宋体" w:hAnsi="宋体" w:cs="宋体"/>
          <w:kern w:val="0"/>
          <w:szCs w:val="21"/>
          <w:highlight w:val="none"/>
        </w:rPr>
        <w:br w:type="page"/>
      </w:r>
    </w:p>
    <w:p w14:paraId="69ACB07A">
      <w:pPr>
        <w:widowControl/>
        <w:jc w:val="left"/>
        <w:rPr>
          <w:rFonts w:hint="eastAsia" w:ascii="宋体" w:hAnsi="宋体" w:cs="宋体"/>
          <w:kern w:val="0"/>
          <w:szCs w:val="21"/>
          <w:highlight w:val="none"/>
        </w:rPr>
      </w:pPr>
    </w:p>
    <w:p w14:paraId="2A01247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采购需求偏离表</w:t>
      </w:r>
      <w:r>
        <w:rPr>
          <w:rFonts w:hint="eastAsia" w:ascii="宋体" w:hAnsi="宋体" w:cs="宋体"/>
          <w:b/>
          <w:bCs/>
          <w:kern w:val="0"/>
          <w:szCs w:val="21"/>
          <w:highlight w:val="none"/>
        </w:rPr>
        <w:t>格式</w:t>
      </w:r>
    </w:p>
    <w:p w14:paraId="638F5293">
      <w:pPr>
        <w:widowControl/>
        <w:shd w:val="clear" w:color="auto" w:fill="FFFFFF"/>
        <w:spacing w:line="360" w:lineRule="auto"/>
        <w:ind w:left="435"/>
        <w:jc w:val="left"/>
        <w:rPr>
          <w:rFonts w:hint="eastAsia" w:ascii="宋体" w:hAnsi="宋体" w:cs="宋体"/>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9"/>
        <w:gridCol w:w="2146"/>
        <w:gridCol w:w="1249"/>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6"/>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6"/>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w:t>
            </w:r>
            <w:r>
              <w:rPr>
                <w:rFonts w:hint="eastAsia" w:ascii="宋体" w:hAnsi="宋体" w:cs="宋体"/>
                <w:b/>
                <w:bCs w:val="0"/>
                <w:kern w:val="0"/>
                <w:szCs w:val="21"/>
                <w:highlight w:val="none"/>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highlight w:val="none"/>
                <w:lang w:val="en-US" w:eastAsia="zh-CN"/>
              </w:rPr>
            </w:pPr>
            <w:r>
              <w:rPr>
                <w:rFonts w:hint="eastAsia" w:ascii="宋体" w:hAnsi="宋体" w:cs="宋体"/>
                <w:b/>
                <w:kern w:val="0"/>
                <w:szCs w:val="21"/>
                <w:highlight w:val="none"/>
                <w:lang w:val="en-US" w:eastAsia="zh-CN"/>
              </w:rPr>
              <w:t>技术参数</w:t>
            </w:r>
            <w:r>
              <w:rPr>
                <w:rFonts w:hint="eastAsia" w:ascii="宋体" w:hAnsi="宋体" w:cs="宋体"/>
                <w:b/>
                <w:kern w:val="0"/>
                <w:szCs w:val="21"/>
                <w:highlight w:val="none"/>
              </w:rPr>
              <w:t>响应</w:t>
            </w:r>
            <w:r>
              <w:rPr>
                <w:rFonts w:hint="eastAsia" w:ascii="宋体" w:hAnsi="宋体" w:cs="宋体"/>
                <w:b/>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lang w:val="en-US" w:eastAsia="zh-CN"/>
              </w:rPr>
              <w:t>是否</w:t>
            </w:r>
            <w:r>
              <w:rPr>
                <w:rFonts w:hint="eastAsia" w:ascii="宋体" w:hAnsi="宋体" w:cs="宋体"/>
                <w:b/>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5C823B9">
            <w:pPr>
              <w:pStyle w:val="56"/>
              <w:numPr>
                <w:ilvl w:val="0"/>
                <w:numId w:val="0"/>
              </w:numPr>
              <w:spacing w:line="360" w:lineRule="auto"/>
              <w:ind w:left="-2" w:leftChars="0" w:firstLine="0" w:firstLineChars="0"/>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无偏离</w:t>
            </w:r>
            <w:r>
              <w:rPr>
                <w:rFonts w:hint="eastAsia" w:ascii="宋体" w:hAnsi="宋体" w:cs="宋体"/>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9D58B68">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9336338">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5C4C374">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5759F01">
            <w:pPr>
              <w:pStyle w:val="56"/>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6CD5C899">
            <w:pPr>
              <w:pStyle w:val="56"/>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8724F44">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63DC08B">
            <w:pPr>
              <w:pStyle w:val="56"/>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9ACEAED">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18FA3E65">
            <w:pPr>
              <w:pStyle w:val="56"/>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0C398559">
            <w:pPr>
              <w:pStyle w:val="56"/>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highlight w:val="none"/>
              </w:rPr>
            </w:pPr>
          </w:p>
        </w:tc>
      </w:tr>
    </w:tbl>
    <w:p w14:paraId="554CEAF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highlight w:val="none"/>
        </w:rPr>
      </w:pPr>
    </w:p>
    <w:p w14:paraId="64F18306">
      <w:pPr>
        <w:widowControl/>
        <w:shd w:val="clear" w:color="auto" w:fill="FFFFFF"/>
        <w:spacing w:line="360" w:lineRule="auto"/>
        <w:jc w:val="left"/>
        <w:rPr>
          <w:rFonts w:hint="eastAsia" w:ascii="宋体" w:hAnsi="宋体" w:cs="宋体"/>
          <w:kern w:val="0"/>
          <w:szCs w:val="21"/>
          <w:highlight w:val="none"/>
        </w:rPr>
      </w:pPr>
    </w:p>
    <w:p w14:paraId="0E786E18">
      <w:pPr>
        <w:widowControl/>
        <w:shd w:val="clear" w:color="auto" w:fill="FFFFFF"/>
        <w:spacing w:line="360" w:lineRule="auto"/>
        <w:jc w:val="left"/>
        <w:rPr>
          <w:rFonts w:hint="eastAsia" w:ascii="宋体" w:hAnsi="宋体" w:cs="宋体"/>
          <w:kern w:val="0"/>
          <w:szCs w:val="21"/>
          <w:highlight w:val="none"/>
        </w:rPr>
      </w:pPr>
    </w:p>
    <w:p w14:paraId="28DF87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594930B">
      <w:pPr>
        <w:widowControl/>
        <w:shd w:val="clear" w:color="auto" w:fill="FFFFFF"/>
        <w:spacing w:line="360" w:lineRule="auto"/>
        <w:jc w:val="left"/>
        <w:rPr>
          <w:rFonts w:hint="eastAsia" w:ascii="宋体" w:hAnsi="宋体" w:cs="宋体"/>
          <w:kern w:val="0"/>
          <w:szCs w:val="21"/>
          <w:highlight w:val="none"/>
        </w:rPr>
      </w:pPr>
    </w:p>
    <w:p w14:paraId="137148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999958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B6E9FE4">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DBCC8E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348B4DD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86F571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highlight w:val="none"/>
              </w:rPr>
            </w:pPr>
          </w:p>
        </w:tc>
      </w:tr>
    </w:tbl>
    <w:p w14:paraId="4A19F24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highlight w:val="none"/>
        </w:rPr>
      </w:pPr>
    </w:p>
    <w:p w14:paraId="6BDF0A72">
      <w:pPr>
        <w:widowControl/>
        <w:shd w:val="clear" w:color="auto" w:fill="FFFFFF"/>
        <w:spacing w:line="360" w:lineRule="auto"/>
        <w:jc w:val="left"/>
        <w:rPr>
          <w:rFonts w:hint="eastAsia" w:ascii="宋体" w:hAnsi="宋体" w:cs="宋体"/>
          <w:kern w:val="0"/>
          <w:szCs w:val="21"/>
          <w:highlight w:val="none"/>
        </w:rPr>
      </w:pPr>
    </w:p>
    <w:p w14:paraId="4DE5851D">
      <w:pPr>
        <w:widowControl/>
        <w:shd w:val="clear" w:color="auto" w:fill="FFFFFF"/>
        <w:spacing w:line="360" w:lineRule="auto"/>
        <w:jc w:val="left"/>
        <w:rPr>
          <w:rFonts w:hint="eastAsia" w:ascii="宋体" w:hAnsi="宋体" w:cs="宋体"/>
          <w:kern w:val="0"/>
          <w:szCs w:val="21"/>
          <w:highlight w:val="none"/>
        </w:rPr>
      </w:pPr>
    </w:p>
    <w:p w14:paraId="7900399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077D5E">
      <w:pPr>
        <w:widowControl/>
        <w:shd w:val="clear" w:color="auto" w:fill="FFFFFF"/>
        <w:spacing w:line="360" w:lineRule="auto"/>
        <w:jc w:val="left"/>
        <w:rPr>
          <w:rFonts w:hint="eastAsia" w:ascii="宋体" w:hAnsi="宋体" w:cs="宋体"/>
          <w:kern w:val="0"/>
          <w:szCs w:val="21"/>
          <w:highlight w:val="none"/>
        </w:rPr>
      </w:pPr>
    </w:p>
    <w:p w14:paraId="1C2BFEB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E4430C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1D2C36D">
      <w:pPr>
        <w:widowControl/>
        <w:shd w:val="clear" w:color="auto" w:fill="FFFFFF"/>
        <w:spacing w:line="360" w:lineRule="auto"/>
        <w:jc w:val="left"/>
        <w:rPr>
          <w:rFonts w:hint="eastAsia" w:ascii="宋体" w:hAnsi="宋体" w:cs="宋体"/>
          <w:kern w:val="0"/>
          <w:szCs w:val="21"/>
          <w:highlight w:val="none"/>
        </w:rPr>
      </w:pPr>
    </w:p>
    <w:p w14:paraId="7F67933E">
      <w:pPr>
        <w:widowControl/>
        <w:shd w:val="clear" w:color="auto" w:fill="FFFFFF"/>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szCs w:val="21"/>
          <w:highlight w:val="none"/>
          <w:lang w:val="zh-CN"/>
        </w:rPr>
      </w:pPr>
    </w:p>
    <w:p w14:paraId="3F51BC9D">
      <w:pPr>
        <w:pStyle w:val="193"/>
        <w:snapToGrid w:val="0"/>
        <w:spacing w:before="0" w:after="0"/>
        <w:ind w:firstLine="0"/>
        <w:rPr>
          <w:rFonts w:hint="eastAsia" w:ascii="宋体" w:hAnsi="宋体" w:cs="宋体"/>
          <w:kern w:val="2"/>
          <w:sz w:val="21"/>
          <w:szCs w:val="21"/>
          <w:highlight w:val="none"/>
        </w:rPr>
      </w:pPr>
      <w:r>
        <w:rPr>
          <w:rFonts w:hint="eastAsia" w:ascii="宋体" w:hAnsi="宋体" w:cs="宋体"/>
          <w:kern w:val="2"/>
          <w:sz w:val="21"/>
          <w:szCs w:val="21"/>
          <w:highlight w:val="none"/>
        </w:rPr>
        <w:t>技术方案及服务承诺应根据</w:t>
      </w:r>
      <w:r>
        <w:rPr>
          <w:rFonts w:hint="eastAsia" w:ascii="宋体" w:hAnsi="宋体" w:cs="宋体"/>
          <w:kern w:val="2"/>
          <w:sz w:val="21"/>
          <w:szCs w:val="21"/>
          <w:highlight w:val="none"/>
          <w:lang w:eastAsia="zh-CN"/>
        </w:rPr>
        <w:t>采购人</w:t>
      </w:r>
      <w:r>
        <w:rPr>
          <w:rFonts w:hint="eastAsia" w:ascii="宋体" w:hAnsi="宋体" w:cs="宋体"/>
          <w:kern w:val="2"/>
          <w:sz w:val="21"/>
          <w:szCs w:val="21"/>
          <w:highlight w:val="none"/>
        </w:rPr>
        <w:t>对项目的要求、评标标准的要求及项目本身的特点编写。</w:t>
      </w:r>
    </w:p>
    <w:p w14:paraId="0E3E24A0">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09DD5B6D">
      <w:pPr>
        <w:widowControl/>
        <w:adjustRightInd w:val="0"/>
        <w:spacing w:line="460" w:lineRule="atLeast"/>
        <w:rPr>
          <w:rFonts w:hint="eastAsia" w:ascii="宋体" w:hAnsi="宋体" w:cs="宋体"/>
          <w:b/>
          <w:bCs/>
          <w:kern w:val="0"/>
          <w:sz w:val="24"/>
          <w:highlight w:val="none"/>
        </w:rPr>
      </w:pPr>
    </w:p>
    <w:p w14:paraId="2043258F">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5DBDAC99">
      <w:pPr>
        <w:widowControl/>
        <w:adjustRightInd w:val="0"/>
        <w:jc w:val="center"/>
        <w:rPr>
          <w:rFonts w:hint="eastAsia" w:ascii="宋体" w:hAnsi="宋体" w:cs="宋体"/>
          <w:b/>
          <w:bCs/>
          <w:kern w:val="0"/>
          <w:sz w:val="24"/>
          <w:highlight w:val="none"/>
        </w:rPr>
      </w:pPr>
    </w:p>
    <w:p w14:paraId="62AAE7C7">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3250FF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项目负责人</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highlight w:val="none"/>
              </w:rPr>
            </w:pPr>
          </w:p>
        </w:tc>
      </w:tr>
    </w:tbl>
    <w:p w14:paraId="5B525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38AA8936">
      <w:pPr>
        <w:widowControl/>
        <w:adjustRightInd w:val="0"/>
        <w:spacing w:line="360" w:lineRule="auto"/>
        <w:rPr>
          <w:rFonts w:hint="eastAsia" w:ascii="宋体" w:hAnsi="宋体" w:cs="宋体"/>
          <w:b/>
          <w:bCs/>
          <w:kern w:val="0"/>
          <w:szCs w:val="21"/>
          <w:highlight w:val="none"/>
          <w:lang w:val="en-US" w:eastAsia="zh-CN"/>
        </w:rPr>
      </w:pPr>
    </w:p>
    <w:p w14:paraId="45F54648">
      <w:pPr>
        <w:widowControl/>
        <w:adjustRightInd w:val="0"/>
        <w:spacing w:line="360" w:lineRule="auto"/>
        <w:rPr>
          <w:rFonts w:hint="eastAsia" w:ascii="宋体" w:hAnsi="宋体" w:cs="宋体"/>
          <w:b/>
          <w:bCs/>
          <w:kern w:val="0"/>
          <w:szCs w:val="21"/>
          <w:highlight w:val="none"/>
          <w:lang w:val="en-US" w:eastAsia="zh-CN"/>
        </w:rPr>
      </w:pPr>
    </w:p>
    <w:p w14:paraId="74294FB7">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474D2BA2">
      <w:pPr>
        <w:spacing w:line="360" w:lineRule="auto"/>
        <w:rPr>
          <w:rFonts w:hint="eastAsia" w:ascii="宋体" w:hAnsi="宋体" w:cs="宋体"/>
          <w:b/>
          <w:bCs/>
          <w:highlight w:val="none"/>
        </w:rPr>
      </w:pPr>
    </w:p>
    <w:p w14:paraId="2DC6C9E3">
      <w:pPr>
        <w:spacing w:line="360" w:lineRule="auto"/>
        <w:rPr>
          <w:rFonts w:hint="eastAsia" w:ascii="宋体" w:hAnsi="宋体" w:cs="宋体"/>
          <w:b/>
          <w:bCs/>
          <w:highlight w:val="none"/>
        </w:rPr>
      </w:pPr>
    </w:p>
    <w:p w14:paraId="5464D997">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w:t>
      </w:r>
    </w:p>
    <w:p w14:paraId="215B2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2、成员-（姓名：    ）</w:t>
      </w:r>
    </w:p>
    <w:p w14:paraId="6A8613B9">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20140DBF">
      <w:pPr>
        <w:widowControl/>
        <w:adjustRightInd w:val="0"/>
        <w:spacing w:line="360" w:lineRule="auto"/>
        <w:rPr>
          <w:rFonts w:hint="eastAsia" w:ascii="宋体" w:hAnsi="宋体" w:cs="宋体"/>
          <w:b/>
          <w:bCs/>
          <w:kern w:val="0"/>
          <w:szCs w:val="21"/>
          <w:highlight w:val="none"/>
          <w:lang w:val="en-US" w:eastAsia="zh-CN"/>
        </w:rPr>
      </w:pPr>
    </w:p>
    <w:p w14:paraId="66E1DD14">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606740E3">
      <w:pPr>
        <w:spacing w:line="360" w:lineRule="auto"/>
        <w:rPr>
          <w:rFonts w:hint="eastAsia" w:ascii="宋体" w:hAnsi="宋体" w:cs="宋体"/>
          <w:b/>
          <w:bCs/>
          <w:highlight w:val="none"/>
        </w:rPr>
      </w:pPr>
    </w:p>
    <w:p w14:paraId="1DB4AB31">
      <w:pPr>
        <w:spacing w:line="360" w:lineRule="auto"/>
        <w:rPr>
          <w:rFonts w:hint="eastAsia" w:ascii="宋体" w:hAnsi="宋体" w:cs="宋体"/>
          <w:b/>
          <w:bCs/>
          <w:highlight w:val="none"/>
        </w:rPr>
      </w:pPr>
    </w:p>
    <w:p w14:paraId="07139662">
      <w:pPr>
        <w:spacing w:line="360" w:lineRule="auto"/>
        <w:rPr>
          <w:rFonts w:hint="eastAsia" w:ascii="宋体" w:hAnsi="宋体" w:cs="宋体"/>
          <w:b/>
          <w:highlight w:val="none"/>
        </w:rPr>
      </w:pPr>
      <w:r>
        <w:rPr>
          <w:rFonts w:hint="eastAsia" w:ascii="宋体" w:hAnsi="宋体" w:cs="宋体"/>
          <w:b/>
          <w:bCs/>
          <w:highlight w:val="none"/>
          <w:lang w:eastAsia="zh-CN"/>
        </w:rPr>
        <w:t>…………</w:t>
      </w:r>
    </w:p>
    <w:p w14:paraId="3E4C2D05">
      <w:pPr>
        <w:rPr>
          <w:rFonts w:hint="eastAsia" w:ascii="宋体" w:hAnsi="宋体" w:cs="宋体"/>
          <w:b/>
          <w:highlight w:val="none"/>
        </w:rPr>
      </w:pPr>
    </w:p>
    <w:p w14:paraId="0DD93873">
      <w:pPr>
        <w:rPr>
          <w:rFonts w:hint="eastAsia" w:ascii="宋体" w:hAnsi="宋体" w:cs="宋体"/>
          <w:b/>
          <w:highlight w:val="none"/>
        </w:rPr>
      </w:pPr>
      <w:r>
        <w:rPr>
          <w:rFonts w:hint="eastAsia" w:ascii="宋体" w:hAnsi="宋体" w:cs="宋体"/>
          <w:b/>
          <w:highlight w:val="none"/>
        </w:rPr>
        <w:br w:type="page"/>
      </w:r>
    </w:p>
    <w:p w14:paraId="407E8E59">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kern w:val="0"/>
          <w:sz w:val="24"/>
          <w:highlight w:val="none"/>
        </w:rPr>
      </w:pPr>
    </w:p>
    <w:p w14:paraId="769772C2">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6"/>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w:t>
            </w:r>
          </w:p>
          <w:p w14:paraId="50529BC2">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签约及服务</w:t>
            </w:r>
          </w:p>
          <w:p w14:paraId="17FF67F4">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kern w:val="0"/>
                <w:szCs w:val="21"/>
                <w:highlight w:val="none"/>
              </w:rPr>
            </w:pPr>
          </w:p>
        </w:tc>
      </w:tr>
    </w:tbl>
    <w:p w14:paraId="18CBCA9E">
      <w:pPr>
        <w:rPr>
          <w:rFonts w:hint="eastAsia" w:ascii="宋体" w:hAnsi="宋体" w:cs="宋体"/>
          <w:b/>
          <w:highlight w:val="none"/>
          <w:lang w:val="en-US" w:eastAsia="zh-CN"/>
        </w:rPr>
      </w:pPr>
      <w:r>
        <w:rPr>
          <w:rFonts w:hint="eastAsia" w:ascii="宋体" w:hAnsi="宋体" w:cs="宋体"/>
          <w:b/>
          <w:highlight w:val="none"/>
          <w:lang w:val="en-US" w:eastAsia="zh-CN"/>
        </w:rPr>
        <w:t>业绩一：</w:t>
      </w:r>
    </w:p>
    <w:p w14:paraId="799DDB5F">
      <w:pPr>
        <w:rPr>
          <w:rFonts w:hint="eastAsia" w:ascii="宋体" w:hAnsi="宋体" w:cs="宋体"/>
          <w:b/>
          <w:highlight w:val="none"/>
          <w:lang w:val="en-US" w:eastAsia="zh-CN"/>
        </w:rPr>
      </w:pPr>
    </w:p>
    <w:p w14:paraId="4F9BFE6B">
      <w:pPr>
        <w:rPr>
          <w:rFonts w:hint="eastAsia" w:ascii="宋体" w:hAnsi="宋体" w:cs="宋体"/>
          <w:b/>
          <w:highlight w:val="none"/>
          <w:lang w:val="en-US" w:eastAsia="zh-CN"/>
        </w:rPr>
      </w:pPr>
    </w:p>
    <w:p w14:paraId="080D14F4">
      <w:pPr>
        <w:rPr>
          <w:rFonts w:hint="eastAsia" w:ascii="宋体" w:hAnsi="宋体" w:cs="宋体"/>
          <w:b/>
          <w:highlight w:val="none"/>
          <w:lang w:val="en-US" w:eastAsia="zh-CN"/>
        </w:rPr>
      </w:pPr>
    </w:p>
    <w:p w14:paraId="0AE055C9">
      <w:pPr>
        <w:rPr>
          <w:rFonts w:hint="eastAsia" w:ascii="宋体" w:hAnsi="宋体" w:cs="宋体"/>
          <w:b/>
          <w:highlight w:val="none"/>
          <w:lang w:val="en-US" w:eastAsia="zh-CN"/>
        </w:rPr>
      </w:pPr>
    </w:p>
    <w:p w14:paraId="60F77331">
      <w:pPr>
        <w:rPr>
          <w:rFonts w:hint="eastAsia" w:ascii="宋体" w:hAnsi="宋体" w:cs="宋体"/>
          <w:b/>
          <w:highlight w:val="none"/>
          <w:lang w:val="en-US" w:eastAsia="zh-CN"/>
        </w:rPr>
      </w:pPr>
    </w:p>
    <w:p w14:paraId="25188438">
      <w:pPr>
        <w:rPr>
          <w:rFonts w:hint="eastAsia" w:ascii="宋体" w:hAnsi="宋体" w:cs="宋体"/>
          <w:b/>
          <w:highlight w:val="none"/>
          <w:lang w:val="en-US" w:eastAsia="zh-CN"/>
        </w:rPr>
      </w:pPr>
      <w:r>
        <w:rPr>
          <w:rFonts w:hint="eastAsia" w:ascii="宋体" w:hAnsi="宋体" w:cs="宋体"/>
          <w:b/>
          <w:highlight w:val="none"/>
          <w:lang w:val="en-US" w:eastAsia="zh-CN"/>
        </w:rPr>
        <w:t>业绩二：</w:t>
      </w:r>
    </w:p>
    <w:p w14:paraId="6084914C">
      <w:pPr>
        <w:rPr>
          <w:rFonts w:hint="eastAsia" w:ascii="宋体" w:hAnsi="宋体" w:cs="宋体"/>
          <w:b/>
          <w:highlight w:val="none"/>
          <w:lang w:val="en-US" w:eastAsia="zh-CN"/>
        </w:rPr>
      </w:pPr>
    </w:p>
    <w:p w14:paraId="0244F4D7">
      <w:pPr>
        <w:rPr>
          <w:rFonts w:hint="eastAsia" w:ascii="宋体" w:hAnsi="宋体" w:cs="宋体"/>
          <w:b/>
          <w:highlight w:val="none"/>
          <w:lang w:val="en-US" w:eastAsia="zh-CN"/>
        </w:rPr>
      </w:pPr>
    </w:p>
    <w:p w14:paraId="39DEF821">
      <w:pPr>
        <w:rPr>
          <w:rFonts w:hint="eastAsia" w:ascii="宋体" w:hAnsi="宋体" w:cs="宋体"/>
          <w:b/>
          <w:highlight w:val="none"/>
          <w:lang w:val="en-US" w:eastAsia="zh-CN"/>
        </w:rPr>
      </w:pPr>
    </w:p>
    <w:p w14:paraId="393804EF">
      <w:pPr>
        <w:rPr>
          <w:rFonts w:hint="eastAsia" w:ascii="宋体" w:hAnsi="宋体" w:cs="宋体"/>
          <w:b/>
          <w:highlight w:val="none"/>
          <w:lang w:val="en-US" w:eastAsia="zh-CN"/>
        </w:rPr>
      </w:pPr>
    </w:p>
    <w:p w14:paraId="781ACAB1">
      <w:pPr>
        <w:rPr>
          <w:rFonts w:hint="eastAsia" w:ascii="宋体" w:hAnsi="宋体" w:cs="宋体"/>
          <w:b/>
          <w:highlight w:val="none"/>
          <w:lang w:val="en-US" w:eastAsia="zh-CN"/>
        </w:rPr>
      </w:pPr>
    </w:p>
    <w:p w14:paraId="5CCBD64C">
      <w:pPr>
        <w:rPr>
          <w:rFonts w:hint="eastAsia" w:ascii="宋体" w:hAnsi="宋体" w:cs="宋体"/>
          <w:b/>
          <w:highlight w:val="none"/>
          <w:lang w:val="en-US" w:eastAsia="zh-CN"/>
        </w:rPr>
      </w:pPr>
      <w:r>
        <w:rPr>
          <w:rFonts w:hint="eastAsia" w:ascii="宋体" w:hAnsi="宋体" w:cs="宋体"/>
          <w:b/>
          <w:highlight w:val="none"/>
          <w:lang w:val="en-US" w:eastAsia="zh-CN"/>
        </w:rPr>
        <w:t>业绩三：</w:t>
      </w:r>
    </w:p>
    <w:p w14:paraId="30F7F516">
      <w:pPr>
        <w:rPr>
          <w:rFonts w:hint="eastAsia" w:ascii="宋体" w:hAnsi="宋体" w:cs="宋体"/>
          <w:b/>
          <w:highlight w:val="none"/>
          <w:lang w:val="en-US" w:eastAsia="zh-CN"/>
        </w:rPr>
      </w:pPr>
    </w:p>
    <w:p w14:paraId="34100963">
      <w:pPr>
        <w:rPr>
          <w:rFonts w:hint="eastAsia" w:ascii="宋体" w:hAnsi="宋体" w:cs="宋体"/>
          <w:b/>
          <w:highlight w:val="none"/>
          <w:lang w:val="en-US" w:eastAsia="zh-CN"/>
        </w:rPr>
      </w:pPr>
    </w:p>
    <w:p w14:paraId="3524B12A">
      <w:pPr>
        <w:rPr>
          <w:rFonts w:hint="eastAsia" w:ascii="宋体" w:hAnsi="宋体" w:cs="宋体"/>
          <w:b/>
          <w:highlight w:val="none"/>
          <w:lang w:val="en-US" w:eastAsia="zh-CN"/>
        </w:rPr>
      </w:pPr>
    </w:p>
    <w:p w14:paraId="179AE44E">
      <w:pPr>
        <w:rPr>
          <w:rFonts w:hint="eastAsia" w:ascii="宋体" w:hAnsi="宋体" w:cs="宋体"/>
          <w:b/>
          <w:highlight w:val="none"/>
          <w:lang w:val="en-US" w:eastAsia="zh-CN"/>
        </w:rPr>
      </w:pPr>
    </w:p>
    <w:p w14:paraId="6F16A8B1">
      <w:pPr>
        <w:rPr>
          <w:rFonts w:hint="eastAsia" w:ascii="宋体" w:hAnsi="宋体" w:cs="宋体"/>
          <w:b/>
          <w:highlight w:val="none"/>
          <w:lang w:val="en-US" w:eastAsia="zh-CN"/>
        </w:rPr>
      </w:pPr>
    </w:p>
    <w:p w14:paraId="4E2089DF">
      <w:pPr>
        <w:rPr>
          <w:rFonts w:hint="eastAsia" w:ascii="宋体" w:hAnsi="宋体" w:cs="宋体"/>
          <w:b/>
          <w:highlight w:val="none"/>
          <w:lang w:val="en-US" w:eastAsia="zh-CN"/>
        </w:rPr>
      </w:pPr>
      <w:r>
        <w:rPr>
          <w:rFonts w:hint="eastAsia" w:ascii="宋体" w:hAnsi="宋体" w:cs="宋体"/>
          <w:b/>
          <w:highlight w:val="none"/>
          <w:lang w:val="en-US" w:eastAsia="zh-CN"/>
        </w:rPr>
        <w:t>业绩四：</w:t>
      </w:r>
    </w:p>
    <w:p w14:paraId="06A9594D">
      <w:pPr>
        <w:rPr>
          <w:rFonts w:hint="eastAsia" w:ascii="宋体" w:hAnsi="宋体" w:cs="宋体"/>
          <w:b/>
          <w:highlight w:val="none"/>
          <w:lang w:val="en-US" w:eastAsia="zh-CN"/>
        </w:rPr>
      </w:pPr>
    </w:p>
    <w:p w14:paraId="10054225">
      <w:pPr>
        <w:rPr>
          <w:rFonts w:hint="eastAsia" w:ascii="宋体" w:hAnsi="宋体" w:cs="宋体"/>
          <w:b/>
          <w:highlight w:val="none"/>
          <w:lang w:val="en-US" w:eastAsia="zh-CN"/>
        </w:rPr>
      </w:pPr>
    </w:p>
    <w:p w14:paraId="1318BF43">
      <w:pPr>
        <w:rPr>
          <w:rFonts w:hint="eastAsia" w:ascii="宋体" w:hAnsi="宋体" w:cs="宋体"/>
          <w:b/>
          <w:highlight w:val="none"/>
          <w:lang w:val="en-US" w:eastAsia="zh-CN"/>
        </w:rPr>
      </w:pPr>
    </w:p>
    <w:p w14:paraId="04E021EA">
      <w:pPr>
        <w:rPr>
          <w:rFonts w:hint="eastAsia" w:ascii="宋体" w:hAnsi="宋体" w:cs="宋体"/>
          <w:b/>
          <w:highlight w:val="none"/>
          <w:lang w:val="en-US" w:eastAsia="zh-CN"/>
        </w:rPr>
      </w:pPr>
    </w:p>
    <w:p w14:paraId="23F40E0B">
      <w:pPr>
        <w:rPr>
          <w:rFonts w:hint="eastAsia" w:ascii="宋体" w:hAnsi="宋体" w:cs="宋体"/>
          <w:b/>
          <w:highlight w:val="none"/>
          <w:lang w:val="en-US" w:eastAsia="zh-CN"/>
        </w:rPr>
      </w:pPr>
    </w:p>
    <w:p w14:paraId="0E0AC6C9">
      <w:pPr>
        <w:rPr>
          <w:rFonts w:hint="default" w:ascii="宋体" w:hAnsi="宋体" w:cs="宋体"/>
          <w:b/>
          <w:highlight w:val="none"/>
          <w:lang w:val="en-US" w:eastAsia="zh-CN"/>
        </w:rPr>
      </w:pPr>
      <w:r>
        <w:rPr>
          <w:rFonts w:hint="eastAsia" w:ascii="宋体" w:hAnsi="宋体" w:cs="宋体"/>
          <w:b/>
          <w:highlight w:val="none"/>
          <w:lang w:val="en-US" w:eastAsia="zh-CN"/>
        </w:rPr>
        <w:t>……</w:t>
      </w:r>
    </w:p>
    <w:p w14:paraId="772D5E47">
      <w:pPr>
        <w:rPr>
          <w:rFonts w:hint="eastAsia" w:ascii="宋体" w:hAnsi="宋体" w:cs="宋体"/>
          <w:b/>
          <w:highlight w:val="none"/>
        </w:rPr>
      </w:pPr>
      <w:r>
        <w:rPr>
          <w:rFonts w:hint="eastAsia" w:ascii="宋体" w:hAnsi="宋体" w:cs="宋体"/>
          <w:b/>
          <w:highlight w:val="none"/>
        </w:rPr>
        <w:br w:type="page"/>
      </w:r>
    </w:p>
    <w:p w14:paraId="1E7819FE">
      <w:pPr>
        <w:spacing w:line="360" w:lineRule="auto"/>
        <w:rPr>
          <w:rFonts w:hint="default" w:ascii="宋体" w:hAnsi="宋体" w:eastAsia="宋体" w:cs="宋体"/>
          <w:b/>
          <w:highlight w:val="none"/>
          <w:lang w:val="en-US" w:eastAsia="zh-CN"/>
        </w:rPr>
      </w:pPr>
      <w:r>
        <w:rPr>
          <w:rFonts w:hint="eastAsia" w:ascii="宋体" w:hAnsi="宋体" w:cs="宋体"/>
          <w:b/>
          <w:highlight w:val="none"/>
        </w:rPr>
        <w:t>附件</w:t>
      </w:r>
      <w:r>
        <w:rPr>
          <w:rFonts w:hint="eastAsia" w:ascii="宋体" w:hAnsi="宋体" w:cs="宋体"/>
          <w:b/>
          <w:highlight w:val="none"/>
          <w:lang w:val="en-US" w:eastAsia="zh-CN"/>
        </w:rPr>
        <w:t>十</w:t>
      </w:r>
      <w:r>
        <w:rPr>
          <w:rFonts w:hint="eastAsia" w:ascii="宋体" w:hAnsi="宋体" w:cs="宋体"/>
          <w:b/>
          <w:bCs/>
          <w:highlight w:val="none"/>
        </w:rPr>
        <w:t>、</w:t>
      </w:r>
      <w:r>
        <w:rPr>
          <w:rFonts w:hint="eastAsia" w:ascii="宋体" w:hAnsi="宋体" w:cs="宋体"/>
          <w:b/>
          <w:bCs/>
          <w:highlight w:val="none"/>
          <w:lang w:val="en-US" w:eastAsia="zh-CN"/>
        </w:rPr>
        <w:t>拟投入设备一览表</w:t>
      </w:r>
    </w:p>
    <w:tbl>
      <w:tblPr>
        <w:tblStyle w:val="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highlight w:val="none"/>
                <w:vertAlign w:val="baseline"/>
              </w:rPr>
            </w:pPr>
          </w:p>
        </w:tc>
        <w:tc>
          <w:tcPr>
            <w:tcW w:w="1859" w:type="dxa"/>
          </w:tcPr>
          <w:p w14:paraId="3A4D9D14">
            <w:pPr>
              <w:spacing w:line="360" w:lineRule="auto"/>
              <w:rPr>
                <w:rFonts w:hint="eastAsia" w:ascii="宋体" w:hAnsi="宋体" w:cs="宋体"/>
                <w:b/>
                <w:highlight w:val="none"/>
                <w:vertAlign w:val="baseline"/>
              </w:rPr>
            </w:pPr>
          </w:p>
        </w:tc>
        <w:tc>
          <w:tcPr>
            <w:tcW w:w="1860" w:type="dxa"/>
          </w:tcPr>
          <w:p w14:paraId="2A152B96">
            <w:pPr>
              <w:spacing w:line="360" w:lineRule="auto"/>
              <w:rPr>
                <w:rFonts w:hint="eastAsia" w:ascii="宋体" w:hAnsi="宋体" w:cs="宋体"/>
                <w:b/>
                <w:highlight w:val="none"/>
                <w:vertAlign w:val="baseline"/>
              </w:rPr>
            </w:pPr>
          </w:p>
        </w:tc>
        <w:tc>
          <w:tcPr>
            <w:tcW w:w="1860" w:type="dxa"/>
          </w:tcPr>
          <w:p w14:paraId="63663926">
            <w:pPr>
              <w:spacing w:line="360" w:lineRule="auto"/>
              <w:rPr>
                <w:rFonts w:hint="eastAsia" w:ascii="宋体" w:hAnsi="宋体" w:cs="宋体"/>
                <w:b/>
                <w:highlight w:val="none"/>
                <w:vertAlign w:val="baseline"/>
              </w:rPr>
            </w:pPr>
          </w:p>
        </w:tc>
        <w:tc>
          <w:tcPr>
            <w:tcW w:w="1860" w:type="dxa"/>
          </w:tcPr>
          <w:p w14:paraId="4EA73AFD">
            <w:pPr>
              <w:spacing w:line="360" w:lineRule="auto"/>
              <w:rPr>
                <w:rFonts w:hint="eastAsia" w:ascii="宋体" w:hAnsi="宋体" w:cs="宋体"/>
                <w:b/>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highlight w:val="none"/>
                <w:vertAlign w:val="baseline"/>
              </w:rPr>
            </w:pPr>
          </w:p>
        </w:tc>
        <w:tc>
          <w:tcPr>
            <w:tcW w:w="1859" w:type="dxa"/>
          </w:tcPr>
          <w:p w14:paraId="67A27A3B">
            <w:pPr>
              <w:spacing w:line="360" w:lineRule="auto"/>
              <w:rPr>
                <w:rFonts w:hint="eastAsia" w:ascii="宋体" w:hAnsi="宋体" w:cs="宋体"/>
                <w:b/>
                <w:highlight w:val="none"/>
                <w:vertAlign w:val="baseline"/>
              </w:rPr>
            </w:pPr>
          </w:p>
        </w:tc>
        <w:tc>
          <w:tcPr>
            <w:tcW w:w="1860" w:type="dxa"/>
          </w:tcPr>
          <w:p w14:paraId="5EA40124">
            <w:pPr>
              <w:spacing w:line="360" w:lineRule="auto"/>
              <w:rPr>
                <w:rFonts w:hint="eastAsia" w:ascii="宋体" w:hAnsi="宋体" w:cs="宋体"/>
                <w:b/>
                <w:highlight w:val="none"/>
                <w:vertAlign w:val="baseline"/>
              </w:rPr>
            </w:pPr>
          </w:p>
        </w:tc>
        <w:tc>
          <w:tcPr>
            <w:tcW w:w="1860" w:type="dxa"/>
          </w:tcPr>
          <w:p w14:paraId="6242C01B">
            <w:pPr>
              <w:spacing w:line="360" w:lineRule="auto"/>
              <w:rPr>
                <w:rFonts w:hint="eastAsia" w:ascii="宋体" w:hAnsi="宋体" w:cs="宋体"/>
                <w:b/>
                <w:highlight w:val="none"/>
                <w:vertAlign w:val="baseline"/>
              </w:rPr>
            </w:pPr>
          </w:p>
        </w:tc>
        <w:tc>
          <w:tcPr>
            <w:tcW w:w="1860" w:type="dxa"/>
          </w:tcPr>
          <w:p w14:paraId="4F2C204A">
            <w:pPr>
              <w:spacing w:line="360" w:lineRule="auto"/>
              <w:rPr>
                <w:rFonts w:hint="eastAsia" w:ascii="宋体" w:hAnsi="宋体" w:cs="宋体"/>
                <w:b/>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highlight w:val="none"/>
                <w:vertAlign w:val="baseline"/>
              </w:rPr>
            </w:pPr>
          </w:p>
        </w:tc>
        <w:tc>
          <w:tcPr>
            <w:tcW w:w="1859" w:type="dxa"/>
          </w:tcPr>
          <w:p w14:paraId="3385669A">
            <w:pPr>
              <w:spacing w:line="360" w:lineRule="auto"/>
              <w:rPr>
                <w:rFonts w:hint="eastAsia" w:ascii="宋体" w:hAnsi="宋体" w:cs="宋体"/>
                <w:b/>
                <w:highlight w:val="none"/>
                <w:vertAlign w:val="baseline"/>
              </w:rPr>
            </w:pPr>
          </w:p>
        </w:tc>
        <w:tc>
          <w:tcPr>
            <w:tcW w:w="1860" w:type="dxa"/>
          </w:tcPr>
          <w:p w14:paraId="370D93B3">
            <w:pPr>
              <w:spacing w:line="360" w:lineRule="auto"/>
              <w:rPr>
                <w:rFonts w:hint="eastAsia" w:ascii="宋体" w:hAnsi="宋体" w:cs="宋体"/>
                <w:b/>
                <w:highlight w:val="none"/>
                <w:vertAlign w:val="baseline"/>
              </w:rPr>
            </w:pPr>
          </w:p>
        </w:tc>
        <w:tc>
          <w:tcPr>
            <w:tcW w:w="1860" w:type="dxa"/>
          </w:tcPr>
          <w:p w14:paraId="57A8E947">
            <w:pPr>
              <w:spacing w:line="360" w:lineRule="auto"/>
              <w:rPr>
                <w:rFonts w:hint="eastAsia" w:ascii="宋体" w:hAnsi="宋体" w:cs="宋体"/>
                <w:b/>
                <w:highlight w:val="none"/>
                <w:vertAlign w:val="baseline"/>
              </w:rPr>
            </w:pPr>
          </w:p>
        </w:tc>
        <w:tc>
          <w:tcPr>
            <w:tcW w:w="1860" w:type="dxa"/>
          </w:tcPr>
          <w:p w14:paraId="0A546F4F">
            <w:pPr>
              <w:spacing w:line="360" w:lineRule="auto"/>
              <w:rPr>
                <w:rFonts w:hint="eastAsia" w:ascii="宋体" w:hAnsi="宋体" w:cs="宋体"/>
                <w:b/>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highlight w:val="none"/>
                <w:vertAlign w:val="baseline"/>
              </w:rPr>
            </w:pPr>
          </w:p>
        </w:tc>
        <w:tc>
          <w:tcPr>
            <w:tcW w:w="1859" w:type="dxa"/>
          </w:tcPr>
          <w:p w14:paraId="20EA4152">
            <w:pPr>
              <w:spacing w:line="360" w:lineRule="auto"/>
              <w:rPr>
                <w:rFonts w:hint="eastAsia" w:ascii="宋体" w:hAnsi="宋体" w:cs="宋体"/>
                <w:b/>
                <w:highlight w:val="none"/>
                <w:vertAlign w:val="baseline"/>
              </w:rPr>
            </w:pPr>
          </w:p>
        </w:tc>
        <w:tc>
          <w:tcPr>
            <w:tcW w:w="1860" w:type="dxa"/>
          </w:tcPr>
          <w:p w14:paraId="71CE7931">
            <w:pPr>
              <w:spacing w:line="360" w:lineRule="auto"/>
              <w:rPr>
                <w:rFonts w:hint="eastAsia" w:ascii="宋体" w:hAnsi="宋体" w:cs="宋体"/>
                <w:b/>
                <w:highlight w:val="none"/>
                <w:vertAlign w:val="baseline"/>
              </w:rPr>
            </w:pPr>
          </w:p>
        </w:tc>
        <w:tc>
          <w:tcPr>
            <w:tcW w:w="1860" w:type="dxa"/>
          </w:tcPr>
          <w:p w14:paraId="36A2251A">
            <w:pPr>
              <w:spacing w:line="360" w:lineRule="auto"/>
              <w:rPr>
                <w:rFonts w:hint="eastAsia" w:ascii="宋体" w:hAnsi="宋体" w:cs="宋体"/>
                <w:b/>
                <w:highlight w:val="none"/>
                <w:vertAlign w:val="baseline"/>
              </w:rPr>
            </w:pPr>
          </w:p>
        </w:tc>
        <w:tc>
          <w:tcPr>
            <w:tcW w:w="1860" w:type="dxa"/>
          </w:tcPr>
          <w:p w14:paraId="38292803">
            <w:pPr>
              <w:spacing w:line="360" w:lineRule="auto"/>
              <w:rPr>
                <w:rFonts w:hint="eastAsia" w:ascii="宋体" w:hAnsi="宋体" w:cs="宋体"/>
                <w:b/>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highlight w:val="none"/>
                <w:vertAlign w:val="baseline"/>
              </w:rPr>
            </w:pPr>
          </w:p>
        </w:tc>
        <w:tc>
          <w:tcPr>
            <w:tcW w:w="1859" w:type="dxa"/>
          </w:tcPr>
          <w:p w14:paraId="73AD1094">
            <w:pPr>
              <w:spacing w:line="360" w:lineRule="auto"/>
              <w:rPr>
                <w:rFonts w:hint="eastAsia" w:ascii="宋体" w:hAnsi="宋体" w:cs="宋体"/>
                <w:b/>
                <w:highlight w:val="none"/>
                <w:vertAlign w:val="baseline"/>
              </w:rPr>
            </w:pPr>
          </w:p>
        </w:tc>
        <w:tc>
          <w:tcPr>
            <w:tcW w:w="1860" w:type="dxa"/>
          </w:tcPr>
          <w:p w14:paraId="67007ADD">
            <w:pPr>
              <w:spacing w:line="360" w:lineRule="auto"/>
              <w:rPr>
                <w:rFonts w:hint="eastAsia" w:ascii="宋体" w:hAnsi="宋体" w:cs="宋体"/>
                <w:b/>
                <w:highlight w:val="none"/>
                <w:vertAlign w:val="baseline"/>
              </w:rPr>
            </w:pPr>
          </w:p>
        </w:tc>
        <w:tc>
          <w:tcPr>
            <w:tcW w:w="1860" w:type="dxa"/>
          </w:tcPr>
          <w:p w14:paraId="2861DFCB">
            <w:pPr>
              <w:spacing w:line="360" w:lineRule="auto"/>
              <w:rPr>
                <w:rFonts w:hint="eastAsia" w:ascii="宋体" w:hAnsi="宋体" w:cs="宋体"/>
                <w:b/>
                <w:highlight w:val="none"/>
                <w:vertAlign w:val="baseline"/>
              </w:rPr>
            </w:pPr>
          </w:p>
        </w:tc>
        <w:tc>
          <w:tcPr>
            <w:tcW w:w="1860" w:type="dxa"/>
          </w:tcPr>
          <w:p w14:paraId="3002AD19">
            <w:pPr>
              <w:spacing w:line="360" w:lineRule="auto"/>
              <w:rPr>
                <w:rFonts w:hint="eastAsia" w:ascii="宋体" w:hAnsi="宋体" w:cs="宋体"/>
                <w:b/>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highlight w:val="none"/>
                <w:vertAlign w:val="baseline"/>
              </w:rPr>
            </w:pPr>
          </w:p>
        </w:tc>
        <w:tc>
          <w:tcPr>
            <w:tcW w:w="1859" w:type="dxa"/>
          </w:tcPr>
          <w:p w14:paraId="7AC5D760">
            <w:pPr>
              <w:spacing w:line="360" w:lineRule="auto"/>
              <w:rPr>
                <w:rFonts w:hint="eastAsia" w:ascii="宋体" w:hAnsi="宋体" w:cs="宋体"/>
                <w:b/>
                <w:highlight w:val="none"/>
                <w:vertAlign w:val="baseline"/>
              </w:rPr>
            </w:pPr>
          </w:p>
        </w:tc>
        <w:tc>
          <w:tcPr>
            <w:tcW w:w="1860" w:type="dxa"/>
          </w:tcPr>
          <w:p w14:paraId="6C269492">
            <w:pPr>
              <w:spacing w:line="360" w:lineRule="auto"/>
              <w:rPr>
                <w:rFonts w:hint="eastAsia" w:ascii="宋体" w:hAnsi="宋体" w:cs="宋体"/>
                <w:b/>
                <w:highlight w:val="none"/>
                <w:vertAlign w:val="baseline"/>
              </w:rPr>
            </w:pPr>
          </w:p>
        </w:tc>
        <w:tc>
          <w:tcPr>
            <w:tcW w:w="1860" w:type="dxa"/>
          </w:tcPr>
          <w:p w14:paraId="4C265DD6">
            <w:pPr>
              <w:spacing w:line="360" w:lineRule="auto"/>
              <w:rPr>
                <w:rFonts w:hint="eastAsia" w:ascii="宋体" w:hAnsi="宋体" w:cs="宋体"/>
                <w:b/>
                <w:highlight w:val="none"/>
                <w:vertAlign w:val="baseline"/>
              </w:rPr>
            </w:pPr>
          </w:p>
        </w:tc>
        <w:tc>
          <w:tcPr>
            <w:tcW w:w="1860" w:type="dxa"/>
          </w:tcPr>
          <w:p w14:paraId="6732B903">
            <w:pPr>
              <w:spacing w:line="360" w:lineRule="auto"/>
              <w:rPr>
                <w:rFonts w:hint="eastAsia" w:ascii="宋体" w:hAnsi="宋体" w:cs="宋体"/>
                <w:b/>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highlight w:val="none"/>
                <w:vertAlign w:val="baseline"/>
              </w:rPr>
            </w:pPr>
          </w:p>
        </w:tc>
        <w:tc>
          <w:tcPr>
            <w:tcW w:w="1859" w:type="dxa"/>
          </w:tcPr>
          <w:p w14:paraId="4C4A738F">
            <w:pPr>
              <w:spacing w:line="360" w:lineRule="auto"/>
              <w:rPr>
                <w:rFonts w:hint="eastAsia" w:ascii="宋体" w:hAnsi="宋体" w:cs="宋体"/>
                <w:b/>
                <w:highlight w:val="none"/>
                <w:vertAlign w:val="baseline"/>
              </w:rPr>
            </w:pPr>
          </w:p>
        </w:tc>
        <w:tc>
          <w:tcPr>
            <w:tcW w:w="1860" w:type="dxa"/>
          </w:tcPr>
          <w:p w14:paraId="6FA4149C">
            <w:pPr>
              <w:spacing w:line="360" w:lineRule="auto"/>
              <w:rPr>
                <w:rFonts w:hint="eastAsia" w:ascii="宋体" w:hAnsi="宋体" w:cs="宋体"/>
                <w:b/>
                <w:highlight w:val="none"/>
                <w:vertAlign w:val="baseline"/>
              </w:rPr>
            </w:pPr>
          </w:p>
        </w:tc>
        <w:tc>
          <w:tcPr>
            <w:tcW w:w="1860" w:type="dxa"/>
          </w:tcPr>
          <w:p w14:paraId="5319D2D0">
            <w:pPr>
              <w:spacing w:line="360" w:lineRule="auto"/>
              <w:rPr>
                <w:rFonts w:hint="eastAsia" w:ascii="宋体" w:hAnsi="宋体" w:cs="宋体"/>
                <w:b/>
                <w:highlight w:val="none"/>
                <w:vertAlign w:val="baseline"/>
              </w:rPr>
            </w:pPr>
          </w:p>
        </w:tc>
        <w:tc>
          <w:tcPr>
            <w:tcW w:w="1860" w:type="dxa"/>
          </w:tcPr>
          <w:p w14:paraId="161617BE">
            <w:pPr>
              <w:spacing w:line="360" w:lineRule="auto"/>
              <w:rPr>
                <w:rFonts w:hint="eastAsia" w:ascii="宋体" w:hAnsi="宋体" w:cs="宋体"/>
                <w:b/>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highlight w:val="none"/>
                <w:vertAlign w:val="baseline"/>
              </w:rPr>
            </w:pPr>
          </w:p>
        </w:tc>
        <w:tc>
          <w:tcPr>
            <w:tcW w:w="1859" w:type="dxa"/>
          </w:tcPr>
          <w:p w14:paraId="7FA9D859">
            <w:pPr>
              <w:spacing w:line="360" w:lineRule="auto"/>
              <w:rPr>
                <w:rFonts w:hint="eastAsia" w:ascii="宋体" w:hAnsi="宋体" w:cs="宋体"/>
                <w:b/>
                <w:highlight w:val="none"/>
                <w:vertAlign w:val="baseline"/>
              </w:rPr>
            </w:pPr>
          </w:p>
        </w:tc>
        <w:tc>
          <w:tcPr>
            <w:tcW w:w="1860" w:type="dxa"/>
          </w:tcPr>
          <w:p w14:paraId="5C3C58D8">
            <w:pPr>
              <w:spacing w:line="360" w:lineRule="auto"/>
              <w:rPr>
                <w:rFonts w:hint="eastAsia" w:ascii="宋体" w:hAnsi="宋体" w:cs="宋体"/>
                <w:b/>
                <w:highlight w:val="none"/>
                <w:vertAlign w:val="baseline"/>
              </w:rPr>
            </w:pPr>
          </w:p>
        </w:tc>
        <w:tc>
          <w:tcPr>
            <w:tcW w:w="1860" w:type="dxa"/>
          </w:tcPr>
          <w:p w14:paraId="27FFE0DD">
            <w:pPr>
              <w:spacing w:line="360" w:lineRule="auto"/>
              <w:rPr>
                <w:rFonts w:hint="eastAsia" w:ascii="宋体" w:hAnsi="宋体" w:cs="宋体"/>
                <w:b/>
                <w:highlight w:val="none"/>
                <w:vertAlign w:val="baseline"/>
              </w:rPr>
            </w:pPr>
          </w:p>
        </w:tc>
        <w:tc>
          <w:tcPr>
            <w:tcW w:w="1860" w:type="dxa"/>
          </w:tcPr>
          <w:p w14:paraId="0B0747CD">
            <w:pPr>
              <w:spacing w:line="360" w:lineRule="auto"/>
              <w:rPr>
                <w:rFonts w:hint="eastAsia" w:ascii="宋体" w:hAnsi="宋体" w:cs="宋体"/>
                <w:b/>
                <w:highlight w:val="none"/>
                <w:vertAlign w:val="baseline"/>
              </w:rPr>
            </w:pPr>
          </w:p>
        </w:tc>
      </w:tr>
    </w:tbl>
    <w:p w14:paraId="10DBC822">
      <w:pPr>
        <w:rPr>
          <w:rFonts w:hint="eastAsia" w:ascii="宋体" w:hAnsi="宋体" w:cs="宋体"/>
          <w:b/>
          <w:highlight w:val="none"/>
          <w:lang w:val="en-US" w:eastAsia="zh-CN"/>
        </w:rPr>
      </w:pPr>
      <w:r>
        <w:rPr>
          <w:rFonts w:hint="eastAsia" w:ascii="宋体" w:hAnsi="宋体" w:cs="宋体"/>
          <w:b/>
          <w:highlight w:val="none"/>
          <w:lang w:val="en-US" w:eastAsia="zh-CN"/>
        </w:rPr>
        <w:t>设备一证明材料（数量：     ）：</w:t>
      </w:r>
    </w:p>
    <w:p w14:paraId="5F3677E4">
      <w:pPr>
        <w:rPr>
          <w:rFonts w:hint="eastAsia" w:ascii="宋体" w:hAnsi="宋体" w:cs="宋体"/>
          <w:b/>
          <w:highlight w:val="none"/>
          <w:lang w:val="en-US" w:eastAsia="zh-CN"/>
        </w:rPr>
      </w:pPr>
    </w:p>
    <w:p w14:paraId="67BBC11A">
      <w:pPr>
        <w:rPr>
          <w:rFonts w:hint="eastAsia" w:ascii="宋体" w:hAnsi="宋体" w:cs="宋体"/>
          <w:b/>
          <w:highlight w:val="none"/>
          <w:lang w:val="en-US" w:eastAsia="zh-CN"/>
        </w:rPr>
      </w:pPr>
    </w:p>
    <w:p w14:paraId="7BE7C2B6">
      <w:pPr>
        <w:rPr>
          <w:rFonts w:hint="eastAsia" w:ascii="宋体" w:hAnsi="宋体" w:cs="宋体"/>
          <w:b/>
          <w:highlight w:val="none"/>
          <w:lang w:val="en-US" w:eastAsia="zh-CN"/>
        </w:rPr>
      </w:pPr>
    </w:p>
    <w:p w14:paraId="2B89C837">
      <w:pPr>
        <w:rPr>
          <w:rFonts w:hint="eastAsia" w:ascii="宋体" w:hAnsi="宋体" w:cs="宋体"/>
          <w:b/>
          <w:highlight w:val="none"/>
          <w:lang w:val="en-US" w:eastAsia="zh-CN"/>
        </w:rPr>
      </w:pPr>
    </w:p>
    <w:p w14:paraId="6CEF325D">
      <w:pPr>
        <w:rPr>
          <w:rFonts w:hint="eastAsia" w:ascii="宋体" w:hAnsi="宋体" w:cs="宋体"/>
          <w:b/>
          <w:highlight w:val="none"/>
          <w:lang w:val="en-US" w:eastAsia="zh-CN"/>
        </w:rPr>
      </w:pPr>
      <w:r>
        <w:rPr>
          <w:rFonts w:hint="eastAsia" w:ascii="宋体" w:hAnsi="宋体" w:cs="宋体"/>
          <w:b/>
          <w:highlight w:val="none"/>
          <w:lang w:val="en-US" w:eastAsia="zh-CN"/>
        </w:rPr>
        <w:t>设备二证明材料（数量：     ）：</w:t>
      </w:r>
    </w:p>
    <w:p w14:paraId="67026359">
      <w:pPr>
        <w:rPr>
          <w:rFonts w:hint="eastAsia" w:ascii="宋体" w:hAnsi="宋体" w:cs="宋体"/>
          <w:b/>
          <w:highlight w:val="none"/>
          <w:lang w:val="en-US" w:eastAsia="zh-CN"/>
        </w:rPr>
      </w:pPr>
    </w:p>
    <w:p w14:paraId="59B54880">
      <w:pPr>
        <w:rPr>
          <w:rFonts w:hint="eastAsia" w:ascii="宋体" w:hAnsi="宋体" w:cs="宋体"/>
          <w:b/>
          <w:highlight w:val="none"/>
          <w:lang w:val="en-US" w:eastAsia="zh-CN"/>
        </w:rPr>
      </w:pPr>
    </w:p>
    <w:p w14:paraId="1060D8C3">
      <w:pPr>
        <w:rPr>
          <w:rFonts w:hint="eastAsia" w:ascii="宋体" w:hAnsi="宋体" w:cs="宋体"/>
          <w:b/>
          <w:highlight w:val="none"/>
          <w:lang w:val="en-US" w:eastAsia="zh-CN"/>
        </w:rPr>
      </w:pPr>
    </w:p>
    <w:p w14:paraId="2EB99C6A">
      <w:pPr>
        <w:rPr>
          <w:rFonts w:hint="eastAsia" w:ascii="宋体" w:hAnsi="宋体" w:cs="宋体"/>
          <w:b/>
          <w:highlight w:val="none"/>
          <w:lang w:val="en-US" w:eastAsia="zh-CN"/>
        </w:rPr>
      </w:pPr>
    </w:p>
    <w:p w14:paraId="21F6EE8F">
      <w:pPr>
        <w:rPr>
          <w:rFonts w:hint="eastAsia" w:ascii="宋体" w:hAnsi="宋体" w:cs="宋体"/>
          <w:b/>
          <w:highlight w:val="none"/>
          <w:lang w:val="en-US" w:eastAsia="zh-CN"/>
        </w:rPr>
      </w:pPr>
      <w:r>
        <w:rPr>
          <w:rFonts w:hint="eastAsia" w:ascii="宋体" w:hAnsi="宋体" w:cs="宋体"/>
          <w:b/>
          <w:highlight w:val="none"/>
          <w:lang w:val="en-US" w:eastAsia="zh-CN"/>
        </w:rPr>
        <w:t>设备三证明材料（数量：     ）：</w:t>
      </w:r>
    </w:p>
    <w:p w14:paraId="307CAA8A">
      <w:pPr>
        <w:rPr>
          <w:rFonts w:hint="default" w:ascii="宋体" w:hAnsi="宋体" w:cs="宋体"/>
          <w:b/>
          <w:highlight w:val="none"/>
          <w:lang w:val="en-US" w:eastAsia="zh-CN"/>
        </w:rPr>
      </w:pPr>
    </w:p>
    <w:p w14:paraId="6BB0B741">
      <w:pPr>
        <w:rPr>
          <w:rFonts w:hint="default" w:ascii="宋体" w:hAnsi="宋体" w:cs="宋体"/>
          <w:b/>
          <w:highlight w:val="none"/>
          <w:lang w:val="en-US" w:eastAsia="zh-CN"/>
        </w:rPr>
      </w:pPr>
    </w:p>
    <w:p w14:paraId="2552CB6B">
      <w:pPr>
        <w:rPr>
          <w:rFonts w:hint="default" w:ascii="宋体" w:hAnsi="宋体" w:cs="宋体"/>
          <w:b/>
          <w:highlight w:val="none"/>
          <w:lang w:val="en-US" w:eastAsia="zh-CN"/>
        </w:rPr>
      </w:pPr>
    </w:p>
    <w:p w14:paraId="23D141F1">
      <w:pPr>
        <w:rPr>
          <w:rFonts w:hint="default" w:ascii="宋体" w:hAnsi="宋体" w:cs="宋体"/>
          <w:b/>
          <w:highlight w:val="none"/>
          <w:lang w:val="en-US" w:eastAsia="zh-CN"/>
        </w:rPr>
      </w:pPr>
    </w:p>
    <w:p w14:paraId="6F581ACA">
      <w:pPr>
        <w:rPr>
          <w:rFonts w:hint="eastAsia" w:ascii="宋体" w:hAnsi="宋体" w:cs="宋体"/>
          <w:b/>
          <w:highlight w:val="none"/>
          <w:lang w:val="en-US" w:eastAsia="zh-CN"/>
        </w:rPr>
      </w:pPr>
      <w:r>
        <w:rPr>
          <w:rFonts w:hint="eastAsia" w:ascii="宋体" w:hAnsi="宋体" w:cs="宋体"/>
          <w:b/>
          <w:highlight w:val="none"/>
          <w:lang w:val="en-US" w:eastAsia="zh-CN"/>
        </w:rPr>
        <w:t>设备四证明材料（数量：     ）：</w:t>
      </w:r>
    </w:p>
    <w:p w14:paraId="19BC971C">
      <w:pPr>
        <w:rPr>
          <w:rFonts w:hint="default" w:ascii="宋体" w:hAnsi="宋体" w:cs="宋体"/>
          <w:b/>
          <w:highlight w:val="none"/>
          <w:lang w:val="en-US" w:eastAsia="zh-CN"/>
        </w:rPr>
      </w:pPr>
    </w:p>
    <w:p w14:paraId="03D5192B">
      <w:pPr>
        <w:rPr>
          <w:rFonts w:hint="default" w:ascii="宋体" w:hAnsi="宋体" w:cs="宋体"/>
          <w:b/>
          <w:highlight w:val="none"/>
          <w:lang w:val="en-US" w:eastAsia="zh-CN"/>
        </w:rPr>
      </w:pPr>
    </w:p>
    <w:p w14:paraId="73F741CF">
      <w:pPr>
        <w:rPr>
          <w:rFonts w:hint="default" w:ascii="宋体" w:hAnsi="宋体" w:cs="宋体"/>
          <w:b/>
          <w:highlight w:val="none"/>
          <w:lang w:val="en-US" w:eastAsia="zh-CN"/>
        </w:rPr>
      </w:pPr>
    </w:p>
    <w:p w14:paraId="5ACEA720">
      <w:pPr>
        <w:rPr>
          <w:rFonts w:hint="default" w:ascii="宋体" w:hAnsi="宋体" w:cs="宋体"/>
          <w:b/>
          <w:highlight w:val="none"/>
          <w:lang w:val="en-US" w:eastAsia="zh-CN"/>
        </w:rPr>
      </w:pPr>
    </w:p>
    <w:p w14:paraId="31C2F695">
      <w:pPr>
        <w:rPr>
          <w:rFonts w:hint="default" w:ascii="宋体" w:hAnsi="宋体" w:cs="宋体"/>
          <w:b/>
          <w:highlight w:val="none"/>
          <w:lang w:val="en-US" w:eastAsia="zh-CN"/>
        </w:rPr>
      </w:pPr>
      <w:r>
        <w:rPr>
          <w:rFonts w:hint="eastAsia" w:ascii="宋体" w:hAnsi="宋体" w:cs="宋体"/>
          <w:b/>
          <w:highlight w:val="none"/>
          <w:lang w:val="en-US" w:eastAsia="zh-CN"/>
        </w:rPr>
        <w:t>…………</w:t>
      </w:r>
    </w:p>
    <w:p w14:paraId="11DE3ACE">
      <w:pPr>
        <w:rPr>
          <w:rFonts w:hint="default" w:ascii="宋体" w:hAnsi="宋体" w:cs="宋体"/>
          <w:b/>
          <w:highlight w:val="none"/>
          <w:lang w:val="en-US" w:eastAsia="zh-CN"/>
        </w:rPr>
      </w:pPr>
    </w:p>
    <w:p w14:paraId="49933752">
      <w:pPr>
        <w:rPr>
          <w:rFonts w:hint="eastAsia" w:ascii="宋体" w:hAnsi="宋体" w:cs="宋体"/>
          <w:b/>
          <w:highlight w:val="none"/>
        </w:rPr>
      </w:pPr>
      <w:r>
        <w:rPr>
          <w:rFonts w:hint="eastAsia" w:ascii="宋体" w:hAnsi="宋体" w:cs="宋体"/>
          <w:b/>
          <w:highlight w:val="none"/>
        </w:rPr>
        <w:br w:type="page"/>
      </w:r>
    </w:p>
    <w:p w14:paraId="1D25FD60">
      <w:pPr>
        <w:spacing w:line="360" w:lineRule="auto"/>
        <w:rPr>
          <w:rFonts w:ascii="宋体" w:hAnsi="宋体" w:cs="宋体"/>
          <w:b/>
          <w:bCs/>
          <w:highlight w:val="none"/>
        </w:rPr>
      </w:pPr>
      <w:r>
        <w:rPr>
          <w:rFonts w:hint="eastAsia" w:ascii="宋体" w:hAnsi="宋体" w:cs="宋体"/>
          <w:b/>
          <w:highlight w:val="none"/>
        </w:rPr>
        <w:t>附件</w:t>
      </w:r>
      <w:r>
        <w:rPr>
          <w:rFonts w:hint="eastAsia" w:ascii="宋体" w:hAnsi="宋体" w:cs="宋体"/>
          <w:b/>
          <w:highlight w:val="none"/>
          <w:lang w:val="en-US" w:eastAsia="zh-CN"/>
        </w:rPr>
        <w:t>十一</w:t>
      </w:r>
      <w:r>
        <w:rPr>
          <w:rFonts w:hint="eastAsia" w:ascii="宋体" w:hAnsi="宋体" w:cs="宋体"/>
          <w:b/>
          <w:bCs/>
          <w:highlight w:val="none"/>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39" w:name="OLE_LINK14"/>
      <w:bookmarkStart w:id="40" w:name="OLE_LINK13"/>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9"/>
        <w:rPr>
          <w:rFonts w:ascii="宋体" w:hAnsi="宋体" w:eastAsia="宋体" w:cs="宋体"/>
          <w:kern w:val="0"/>
          <w:szCs w:val="24"/>
          <w:highlight w:val="none"/>
        </w:rPr>
      </w:pPr>
      <w:bookmarkStart w:id="41" w:name="_Toc10552"/>
      <w:r>
        <w:rPr>
          <w:rFonts w:hint="eastAsia" w:ascii="宋体" w:hAnsi="宋体" w:eastAsia="宋体" w:cs="宋体"/>
          <w:kern w:val="0"/>
          <w:szCs w:val="24"/>
          <w:highlight w:val="none"/>
        </w:rPr>
        <w:t>备注：</w:t>
      </w:r>
      <w:bookmarkEnd w:id="41"/>
    </w:p>
    <w:p w14:paraId="50E9F431">
      <w:pPr>
        <w:keepNext/>
        <w:keepLines/>
        <w:ind w:firstLine="630" w:firstLineChars="300"/>
        <w:outlineLvl w:val="9"/>
        <w:rPr>
          <w:rFonts w:ascii="宋体" w:hAnsi="宋体" w:eastAsia="宋体" w:cs="宋体"/>
          <w:kern w:val="0"/>
          <w:szCs w:val="24"/>
          <w:highlight w:val="none"/>
        </w:rPr>
      </w:pPr>
      <w:bookmarkStart w:id="42"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42"/>
    </w:p>
    <w:p w14:paraId="7DB06738">
      <w:pPr>
        <w:keepNext/>
        <w:keepLines/>
        <w:ind w:firstLine="630"/>
        <w:outlineLvl w:val="9"/>
        <w:rPr>
          <w:rFonts w:ascii="宋体" w:hAnsi="宋体" w:eastAsia="宋体" w:cs="宋体"/>
          <w:b/>
          <w:bCs/>
          <w:kern w:val="0"/>
          <w:szCs w:val="24"/>
          <w:highlight w:val="none"/>
        </w:rPr>
      </w:pPr>
      <w:bookmarkStart w:id="43"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43"/>
    </w:p>
    <w:p w14:paraId="51714B38">
      <w:pPr>
        <w:keepNext/>
        <w:keepLines/>
        <w:ind w:firstLine="630"/>
        <w:outlineLvl w:val="9"/>
        <w:rPr>
          <w:rFonts w:ascii="宋体" w:hAnsi="宋体" w:eastAsia="宋体" w:cs="宋体"/>
          <w:b/>
          <w:bCs/>
          <w:kern w:val="0"/>
          <w:szCs w:val="24"/>
          <w:highlight w:val="none"/>
        </w:rPr>
      </w:pPr>
      <w:bookmarkStart w:id="44"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44"/>
    </w:p>
    <w:p w14:paraId="33EED38A">
      <w:pPr>
        <w:keepNext/>
        <w:keepLines/>
        <w:ind w:firstLine="632"/>
        <w:outlineLvl w:val="9"/>
        <w:rPr>
          <w:rFonts w:ascii="宋体" w:hAnsi="宋体" w:eastAsia="宋体" w:cs="宋体"/>
          <w:b/>
          <w:bCs/>
          <w:kern w:val="0"/>
          <w:szCs w:val="24"/>
          <w:highlight w:val="none"/>
        </w:rPr>
      </w:pPr>
      <w:bookmarkStart w:id="45"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45"/>
    </w:p>
    <w:p w14:paraId="73FA193B">
      <w:pPr>
        <w:spacing w:line="360" w:lineRule="auto"/>
        <w:ind w:left="840" w:hanging="210"/>
        <w:outlineLvl w:val="9"/>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outlineLvl w:val="9"/>
        <w:rPr>
          <w:rFonts w:ascii="宋体" w:hAnsi="宋体" w:eastAsia="宋体" w:cs="宋体"/>
          <w:kern w:val="0"/>
          <w:szCs w:val="24"/>
          <w:highlight w:val="none"/>
          <w:lang w:val="zh-CN"/>
        </w:rPr>
      </w:pPr>
    </w:p>
    <w:p w14:paraId="5D7FBCE8">
      <w:pPr>
        <w:outlineLvl w:val="9"/>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39"/>
    <w:bookmarkEnd w:id="40"/>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5"/>
        <w:rPr>
          <w:rFonts w:ascii="宋体" w:hAnsi="宋体" w:cs="宋体"/>
          <w:bCs/>
          <w:highlight w:val="none"/>
        </w:rPr>
      </w:pPr>
    </w:p>
    <w:p w14:paraId="523E2959">
      <w:pPr>
        <w:pStyle w:val="85"/>
        <w:rPr>
          <w:rFonts w:ascii="宋体" w:hAnsi="宋体" w:cs="宋体"/>
          <w:bCs/>
          <w:highlight w:val="none"/>
        </w:rPr>
      </w:pPr>
    </w:p>
    <w:p w14:paraId="5B8A0A08">
      <w:pPr>
        <w:pStyle w:val="85"/>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pPr>
        <w:rPr>
          <w:highlight w:val="none"/>
        </w:rPr>
      </w:pPr>
      <w:r>
        <w:rPr>
          <w:highlight w:val="none"/>
        </w:rPr>
        <w:br w:type="page"/>
      </w:r>
    </w:p>
    <w:p w14:paraId="36AAE96E">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w:t>
      </w:r>
      <w:r>
        <w:rPr>
          <w:rFonts w:hint="eastAsia" w:ascii="宋体" w:hAnsi="宋体" w:cs="宋体"/>
          <w:b/>
          <w:highlight w:val="none"/>
          <w:lang w:val="en-US" w:eastAsia="zh-CN"/>
        </w:rPr>
        <w:t>二</w:t>
      </w:r>
      <w:r>
        <w:rPr>
          <w:rFonts w:hint="eastAsia" w:ascii="宋体" w:hAnsi="宋体" w:cs="宋体"/>
          <w:b/>
          <w:bCs/>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2A85D327">
      <w:pPr>
        <w:pStyle w:val="42"/>
        <w:spacing w:before="0" w:beforeAutospacing="0" w:after="0" w:afterAutospacing="0" w:line="360" w:lineRule="auto"/>
        <w:ind w:firstLine="420"/>
        <w:rPr>
          <w:color w:val="000000"/>
          <w:highlight w:val="none"/>
        </w:rPr>
      </w:pPr>
      <w:r>
        <w:rPr>
          <w:rFonts w:hint="eastAsia"/>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1.</w:t>
      </w:r>
      <w:r>
        <w:rPr>
          <w:rStyle w:val="52"/>
          <w:rFonts w:hint="eastAsia"/>
          <w:color w:val="000000"/>
          <w:highlight w:val="none"/>
          <w:u w:val="single"/>
          <w:shd w:val="clear" w:color="auto" w:fill="FFFFFF"/>
        </w:rPr>
        <w:t>（产品名称1）</w:t>
      </w:r>
      <w:r>
        <w:rPr>
          <w:rStyle w:val="52"/>
          <w:rFonts w:hint="eastAsia"/>
          <w:color w:val="000000"/>
          <w:highlight w:val="none"/>
          <w:shd w:val="clear" w:color="auto" w:fill="FFFFFF"/>
          <w:vertAlign w:val="superscript"/>
        </w:rPr>
        <w:t>1</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Style w:val="52"/>
          <w:rFonts w:hint="eastAsia"/>
          <w:color w:val="000000"/>
          <w:highlight w:val="none"/>
          <w:shd w:val="clear" w:color="auto" w:fill="FFFFFF"/>
          <w:vertAlign w:val="superscript"/>
        </w:rPr>
        <w:t>2</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3</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4</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5</w:t>
      </w:r>
      <w:r>
        <w:rPr>
          <w:rFonts w:hint="eastAsia"/>
          <w:color w:val="000000"/>
          <w:highlight w:val="none"/>
          <w:shd w:val="clear" w:color="auto" w:fill="FFFFFF"/>
        </w:rPr>
        <w:t>在中国境内完成。</w:t>
      </w:r>
    </w:p>
    <w:p w14:paraId="5F702B39">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2.</w:t>
      </w:r>
      <w:r>
        <w:rPr>
          <w:rStyle w:val="52"/>
          <w:rFonts w:hint="eastAsia"/>
          <w:color w:val="000000"/>
          <w:highlight w:val="none"/>
          <w:u w:val="single"/>
          <w:shd w:val="clear" w:color="auto" w:fill="FFFFFF"/>
        </w:rPr>
        <w:t>（产品名称2）</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在中国境内完成。</w:t>
      </w:r>
    </w:p>
    <w:p w14:paraId="01D67E33">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w:t>
      </w:r>
    </w:p>
    <w:p w14:paraId="714E0AE6">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本公司（单位）对上述声明内容的真实性负责。如有虚假，愿承担相应法律责任。</w:t>
      </w:r>
    </w:p>
    <w:p w14:paraId="0151E06E">
      <w:pPr>
        <w:pStyle w:val="42"/>
        <w:spacing w:before="30" w:beforeAutospacing="0" w:after="30" w:afterAutospacing="0" w:line="360" w:lineRule="auto"/>
        <w:jc w:val="right"/>
        <w:rPr>
          <w:color w:val="000000"/>
          <w:highlight w:val="none"/>
        </w:rPr>
      </w:pPr>
      <w:r>
        <w:rPr>
          <w:rFonts w:hint="eastAsia"/>
          <w:color w:val="000000"/>
          <w:highlight w:val="none"/>
          <w:shd w:val="clear" w:color="auto" w:fill="FFFFFF"/>
        </w:rPr>
        <w:t xml:space="preserve">   公司（单位）名称（加盖CA电子公章）：　        </w:t>
      </w:r>
    </w:p>
    <w:p w14:paraId="540119BF">
      <w:pPr>
        <w:pStyle w:val="42"/>
        <w:spacing w:before="30" w:beforeAutospacing="0" w:after="30" w:afterAutospacing="0" w:line="360" w:lineRule="auto"/>
        <w:jc w:val="center"/>
        <w:rPr>
          <w:color w:val="000000"/>
          <w:highlight w:val="none"/>
        </w:rPr>
      </w:pPr>
      <w:r>
        <w:rPr>
          <w:rFonts w:hint="eastAsia"/>
          <w:color w:val="000000"/>
          <w:highlight w:val="none"/>
          <w:shd w:val="clear" w:color="auto" w:fill="FFFFFF"/>
        </w:rPr>
        <w:t xml:space="preserve">           日期：　     年　  月　  日         </w:t>
      </w:r>
    </w:p>
    <w:p w14:paraId="480C2E99">
      <w:pPr>
        <w:pStyle w:val="42"/>
        <w:spacing w:before="30" w:beforeAutospacing="0" w:after="30" w:afterAutospacing="0" w:line="0" w:lineRule="atLeast"/>
        <w:rPr>
          <w:color w:val="000000"/>
          <w:highlight w:val="none"/>
        </w:rPr>
      </w:pPr>
      <w:r>
        <w:rPr>
          <w:rFonts w:hint="eastAsia"/>
          <w:color w:val="000000"/>
          <w:highlight w:val="none"/>
          <w:shd w:val="clear" w:color="auto" w:fill="FFFFFF"/>
        </w:rPr>
        <w:t>_________________</w:t>
      </w:r>
    </w:p>
    <w:p w14:paraId="2A053D46">
      <w:pPr>
        <w:pStyle w:val="42"/>
        <w:spacing w:before="30" w:beforeAutospacing="0" w:after="30" w:afterAutospacing="0" w:line="360" w:lineRule="auto"/>
        <w:rPr>
          <w:color w:val="000000"/>
          <w:highlight w:val="none"/>
        </w:rPr>
      </w:pPr>
      <w:r>
        <w:rPr>
          <w:rFonts w:hint="eastAsia"/>
          <w:color w:val="000000"/>
          <w:highlight w:val="none"/>
          <w:shd w:val="clear" w:color="auto" w:fill="FFFFFF"/>
        </w:rPr>
        <w:t>1.产品如有型号，请在“产品名称”栏一并填写。</w:t>
      </w:r>
    </w:p>
    <w:p w14:paraId="7C9506E1">
      <w:pPr>
        <w:pStyle w:val="42"/>
        <w:spacing w:before="30" w:beforeAutospacing="0" w:after="30" w:afterAutospacing="0" w:line="360" w:lineRule="auto"/>
        <w:rPr>
          <w:color w:val="000000"/>
          <w:highlight w:val="none"/>
        </w:rPr>
      </w:pPr>
      <w:r>
        <w:rPr>
          <w:rFonts w:hint="eastAsia"/>
          <w:color w:val="000000"/>
          <w:highlight w:val="none"/>
          <w:shd w:val="clear" w:color="auto" w:fill="FFFFFF"/>
        </w:rPr>
        <w:t>2.生产厂名与厂址应与生产厂营业执照载明的相关信息保持一致。</w:t>
      </w:r>
    </w:p>
    <w:p w14:paraId="173E1CE8">
      <w:pPr>
        <w:pStyle w:val="42"/>
        <w:spacing w:before="30" w:beforeAutospacing="0" w:after="30" w:afterAutospacing="0" w:line="360" w:lineRule="auto"/>
        <w:rPr>
          <w:color w:val="000000"/>
          <w:highlight w:val="none"/>
        </w:rPr>
      </w:pPr>
      <w:r>
        <w:rPr>
          <w:rFonts w:hint="eastAsia"/>
          <w:color w:val="000000"/>
          <w:highlight w:val="none"/>
          <w:shd w:val="clear" w:color="auto" w:fill="FFFFFF"/>
        </w:rPr>
        <w:t>3.该产品的中国境内生产的组件成本占比相关要求实施前，“规定比例”栏可不填，下同。</w:t>
      </w:r>
    </w:p>
    <w:p w14:paraId="6B0E96FD">
      <w:pPr>
        <w:pStyle w:val="42"/>
        <w:spacing w:before="30" w:beforeAutospacing="0" w:after="30" w:afterAutospacing="0" w:line="360" w:lineRule="auto"/>
        <w:rPr>
          <w:color w:val="000000"/>
          <w:highlight w:val="none"/>
        </w:rPr>
      </w:pPr>
      <w:r>
        <w:rPr>
          <w:rFonts w:hint="eastAsia"/>
          <w:color w:val="000000"/>
          <w:highlight w:val="none"/>
          <w:shd w:val="clear" w:color="auto" w:fill="FFFFFF"/>
        </w:rPr>
        <w:t>4.该产品的关键组件要求实施前，“关键组件”栏可不填，下同。</w:t>
      </w:r>
    </w:p>
    <w:p w14:paraId="4FBFF612">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5.该产品的关键工序要求实施前，“关键工序”栏可不填，下同。</w:t>
      </w:r>
    </w:p>
    <w:p w14:paraId="17F71C10">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6.《声明函》中标注“</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”的地方无需填写。</w:t>
      </w:r>
    </w:p>
    <w:p w14:paraId="13D194CA">
      <w:pPr>
        <w:rPr>
          <w:rFonts w:hint="eastAsia" w:ascii="宋体" w:hAnsi="宋体" w:cs="宋体"/>
          <w:b/>
          <w:highlight w:val="none"/>
          <w:lang w:val="en-US" w:eastAsia="zh-CN"/>
        </w:rPr>
      </w:pPr>
    </w:p>
    <w:p w14:paraId="7A757DD1">
      <w:pPr>
        <w:rPr>
          <w:rFonts w:hint="eastAsia" w:ascii="宋体" w:hAnsi="宋体" w:cs="宋体"/>
          <w:b/>
          <w:highlight w:val="none"/>
        </w:rPr>
      </w:pPr>
      <w:r>
        <w:rPr>
          <w:rFonts w:hint="eastAsia" w:ascii="宋体" w:hAnsi="宋体" w:cs="宋体"/>
          <w:b/>
          <w:highlight w:val="none"/>
        </w:rPr>
        <w:br w:type="page"/>
      </w:r>
    </w:p>
    <w:p w14:paraId="23C891AC">
      <w:pPr>
        <w:rPr>
          <w:highlight w:val="none"/>
        </w:rPr>
      </w:pPr>
    </w:p>
    <w:p w14:paraId="30BB34C2">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三</w:t>
      </w:r>
      <w:r>
        <w:rPr>
          <w:rFonts w:hint="eastAsia" w:ascii="宋体" w:hAnsi="宋体" w:cs="宋体"/>
          <w:b/>
          <w:highlight w:val="none"/>
        </w:rPr>
        <w:t>、无重大违法记录声明格式</w:t>
      </w:r>
    </w:p>
    <w:p w14:paraId="4F2322A7">
      <w:pPr>
        <w:spacing w:line="240" w:lineRule="atLeast"/>
        <w:jc w:val="center"/>
        <w:rPr>
          <w:rFonts w:hint="eastAsia" w:ascii="宋体" w:hAnsi="宋体" w:cs="宋体"/>
          <w:sz w:val="28"/>
          <w:szCs w:val="36"/>
          <w:highlight w:val="none"/>
        </w:rPr>
      </w:pPr>
    </w:p>
    <w:p w14:paraId="45EA2277">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7BC217A3">
      <w:pPr>
        <w:spacing w:line="360" w:lineRule="auto"/>
        <w:rPr>
          <w:rFonts w:hint="eastAsia" w:ascii="宋体" w:hAnsi="宋体" w:cs="宋体"/>
          <w:szCs w:val="21"/>
          <w:highlight w:val="none"/>
        </w:rPr>
      </w:pPr>
    </w:p>
    <w:p w14:paraId="43C53255">
      <w:pPr>
        <w:spacing w:line="360" w:lineRule="auto"/>
        <w:rPr>
          <w:rFonts w:hint="eastAsia" w:ascii="宋体" w:hAnsi="宋体" w:cs="宋体"/>
          <w:szCs w:val="21"/>
          <w:highlight w:val="none"/>
        </w:rPr>
      </w:pPr>
      <w:r>
        <w:rPr>
          <w:rFonts w:hint="eastAsia" w:ascii="宋体" w:hAnsi="宋体" w:cs="宋体"/>
          <w:szCs w:val="21"/>
          <w:highlight w:val="none"/>
          <w:lang w:eastAsia="zh-CN"/>
        </w:rPr>
        <w:t>江苏泰鼎工程咨询有限公司</w:t>
      </w:r>
      <w:r>
        <w:rPr>
          <w:rFonts w:hint="eastAsia" w:ascii="宋体" w:hAnsi="宋体" w:cs="宋体"/>
          <w:szCs w:val="21"/>
          <w:highlight w:val="none"/>
        </w:rPr>
        <w:t>：</w:t>
      </w:r>
    </w:p>
    <w:p w14:paraId="1099BC71">
      <w:pPr>
        <w:spacing w:line="360" w:lineRule="auto"/>
        <w:rPr>
          <w:rFonts w:hint="eastAsia" w:ascii="宋体" w:hAnsi="宋体" w:cs="宋体"/>
          <w:highlight w:val="none"/>
        </w:rPr>
      </w:pPr>
    </w:p>
    <w:p w14:paraId="6E9DE103">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w:t>
      </w:r>
      <w:r>
        <w:rPr>
          <w:rFonts w:hint="eastAsia" w:ascii="宋体" w:hAnsi="宋体" w:cs="宋体"/>
          <w:b/>
          <w:kern w:val="0"/>
          <w:szCs w:val="21"/>
          <w:highlight w:val="none"/>
          <w:lang w:eastAsia="zh-CN"/>
        </w:rPr>
        <w:t>重大税收违法失信主体名单</w:t>
      </w:r>
      <w:r>
        <w:rPr>
          <w:rFonts w:hint="eastAsia" w:ascii="宋体" w:hAnsi="宋体" w:cs="宋体"/>
          <w:b/>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highlight w:val="none"/>
        </w:rPr>
      </w:pPr>
    </w:p>
    <w:p w14:paraId="6D250656">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highlight w:val="none"/>
        </w:rPr>
      </w:pPr>
    </w:p>
    <w:p w14:paraId="55AC374F">
      <w:pPr>
        <w:spacing w:line="360" w:lineRule="auto"/>
        <w:rPr>
          <w:rFonts w:hint="eastAsia" w:ascii="宋体" w:hAnsi="宋体" w:cs="宋体"/>
          <w:highlight w:val="none"/>
        </w:rPr>
      </w:pPr>
    </w:p>
    <w:p w14:paraId="1D12DA3D">
      <w:pPr>
        <w:spacing w:line="360" w:lineRule="auto"/>
        <w:ind w:firstLine="5103" w:firstLineChars="2430"/>
        <w:rPr>
          <w:rFonts w:hint="eastAsia" w:ascii="宋体" w:hAnsi="宋体" w:cs="宋体"/>
          <w:highlight w:val="none"/>
        </w:rPr>
      </w:pPr>
      <w:r>
        <w:rPr>
          <w:rFonts w:hint="eastAsia" w:ascii="宋体" w:hAnsi="宋体" w:cs="宋体"/>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szCs w:val="21"/>
          <w:highlight w:val="none"/>
          <w:lang w:val="en-US" w:eastAsia="zh-CN"/>
        </w:rPr>
        <w:t>日</w:t>
      </w:r>
      <w:r>
        <w:rPr>
          <w:rFonts w:hint="eastAsia" w:ascii="宋体" w:hAnsi="宋体" w:cs="宋体"/>
          <w:b/>
          <w:szCs w:val="21"/>
          <w:highlight w:val="none"/>
          <w:lang w:val="zh-CN"/>
        </w:rPr>
        <w:br w:type="page"/>
      </w:r>
    </w:p>
    <w:p w14:paraId="52A728B5">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四</w:t>
      </w:r>
      <w:r>
        <w:rPr>
          <w:rFonts w:hint="eastAsia" w:ascii="宋体" w:hAnsi="宋体" w:cs="宋体"/>
          <w:b/>
          <w:highlight w:val="none"/>
        </w:rPr>
        <w:t>、资格资信证明文件</w:t>
      </w:r>
    </w:p>
    <w:p w14:paraId="1CBC3861">
      <w:pPr>
        <w:autoSpaceDE w:val="0"/>
        <w:autoSpaceDN w:val="0"/>
        <w:adjustRightInd w:val="0"/>
        <w:spacing w:line="360" w:lineRule="auto"/>
        <w:rPr>
          <w:rFonts w:ascii="宋体" w:hAnsi="宋体" w:cs="宋体"/>
          <w:b/>
          <w:highlight w:val="none"/>
        </w:rPr>
      </w:pPr>
    </w:p>
    <w:p w14:paraId="1FB0EBAA">
      <w:pPr>
        <w:pStyle w:val="85"/>
        <w:rPr>
          <w:rFonts w:hint="eastAsia"/>
          <w:highlight w:val="none"/>
        </w:rPr>
      </w:pPr>
    </w:p>
    <w:p w14:paraId="75EA0A06">
      <w:pPr>
        <w:autoSpaceDE w:val="0"/>
        <w:autoSpaceDN w:val="0"/>
        <w:adjustRightInd w:val="0"/>
        <w:spacing w:line="360" w:lineRule="auto"/>
        <w:rPr>
          <w:rFonts w:hint="eastAsia" w:ascii="宋体" w:hAnsi="宋体" w:cs="宋体"/>
          <w:b/>
          <w:highlight w:val="none"/>
        </w:rPr>
      </w:pPr>
    </w:p>
    <w:p w14:paraId="3271FFDE">
      <w:pPr>
        <w:pStyle w:val="85"/>
        <w:spacing w:line="360" w:lineRule="auto"/>
        <w:ind w:firstLine="0" w:firstLineChars="0"/>
        <w:jc w:val="left"/>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五</w:t>
      </w:r>
      <w:r>
        <w:rPr>
          <w:rFonts w:hint="eastAsia" w:ascii="宋体" w:hAnsi="宋体" w:cs="宋体"/>
          <w:b/>
          <w:highlight w:val="none"/>
        </w:rPr>
        <w:t>、《</w:t>
      </w:r>
      <w:r>
        <w:rPr>
          <w:rFonts w:hint="eastAsia" w:ascii="宋体" w:hAnsi="宋体" w:cs="宋体"/>
          <w:b/>
          <w:highlight w:val="none"/>
          <w:lang w:eastAsia="zh-CN"/>
        </w:rPr>
        <w:t>南京市政府采购供应商信用承诺书</w:t>
      </w:r>
      <w:r>
        <w:rPr>
          <w:rFonts w:hint="eastAsia" w:ascii="宋体" w:hAnsi="宋体" w:cs="宋体"/>
          <w:b/>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37C707E1">
      <w:pPr>
        <w:jc w:val="center"/>
        <w:rPr>
          <w:rFonts w:hint="eastAsia" w:ascii="Calibri" w:hAnsi="Calibri" w:eastAsia="宋体"/>
          <w:highlight w:val="none"/>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我公司自愿参加贵中心</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公司</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二</w:t>
            </w:r>
            <w:r>
              <w:rPr>
                <w:rFonts w:hint="eastAsia" w:ascii="Calibri" w:hAnsi="Calibri" w:eastAsia="宋体"/>
                <w:highlight w:val="none"/>
                <w:vertAlign w:val="baseline"/>
                <w:lang w:val="en-US" w:eastAsia="zh-CN"/>
              </w:rPr>
              <w:t>条规定的条件，包括</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具有独立承担民事责任的能力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具有良好的商业信誉和健全的财务会计制度</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有履行合同所必需的设备和专业技术能力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有依法缴纳税收和社会保障资金的良好记录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参加政府采购活动前三年内，在经营活动中没有重大违法记录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符合法律、行政法规和采购文件规定的其他条件</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w:t>
            </w:r>
          </w:p>
          <w:p w14:paraId="284C060A">
            <w:pPr>
              <w:ind w:firstLine="420" w:firstLineChars="200"/>
              <w:jc w:val="both"/>
              <w:rPr>
                <w:rFonts w:hint="eastAsia" w:ascii="Calibri" w:hAnsi="Calibri"/>
                <w:highlight w:val="none"/>
                <w:vertAlign w:val="baseline"/>
                <w:lang w:val="en-US" w:eastAsia="zh-CN"/>
              </w:rPr>
            </w:pPr>
          </w:p>
          <w:p w14:paraId="4EF74F1F">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供应商名称（盖章）：</w:t>
            </w:r>
          </w:p>
          <w:p w14:paraId="657C5CC3">
            <w:pPr>
              <w:ind w:firstLine="420" w:firstLineChars="200"/>
              <w:jc w:val="center"/>
              <w:rPr>
                <w:rFonts w:hint="eastAsia" w:ascii="Calibri" w:hAnsi="Calibri"/>
                <w:highlight w:val="none"/>
                <w:vertAlign w:val="baseline"/>
                <w:lang w:val="en-US" w:eastAsia="zh-CN"/>
              </w:rPr>
            </w:pPr>
          </w:p>
          <w:p w14:paraId="3717FC76">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法定代表人（签字）：</w:t>
            </w:r>
          </w:p>
          <w:p w14:paraId="0B695B81">
            <w:pPr>
              <w:ind w:firstLine="420" w:firstLineChars="200"/>
              <w:jc w:val="center"/>
              <w:rPr>
                <w:rFonts w:hint="eastAsia" w:ascii="Calibri" w:hAnsi="Calibri"/>
                <w:highlight w:val="none"/>
                <w:vertAlign w:val="baseline"/>
                <w:lang w:val="en-US" w:eastAsia="zh-CN"/>
              </w:rPr>
            </w:pPr>
          </w:p>
          <w:p w14:paraId="442CBD7B">
            <w:pPr>
              <w:ind w:firstLine="420" w:firstLineChars="20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XXXX年XX月XX日</w:t>
            </w:r>
          </w:p>
        </w:tc>
      </w:tr>
    </w:tbl>
    <w:p w14:paraId="18786F2B">
      <w:pPr>
        <w:jc w:val="center"/>
        <w:rPr>
          <w:rFonts w:hint="eastAsia" w:ascii="Calibri" w:hAnsi="Calibri" w:eastAsia="宋体"/>
          <w:highlight w:val="none"/>
          <w:lang w:val="en-US" w:eastAsia="zh-CN"/>
        </w:rPr>
      </w:pPr>
    </w:p>
    <w:p w14:paraId="10C67FF4">
      <w:pPr>
        <w:pStyle w:val="85"/>
        <w:spacing w:line="360" w:lineRule="auto"/>
        <w:ind w:firstLine="0" w:firstLineChars="0"/>
        <w:jc w:val="left"/>
        <w:rPr>
          <w:rFonts w:ascii="宋体" w:hAnsi="宋体" w:cs="宋体"/>
          <w:b/>
          <w:highlight w:val="none"/>
        </w:rPr>
      </w:pPr>
    </w:p>
    <w:p w14:paraId="0CCD2F5B">
      <w:pPr>
        <w:rPr>
          <w:rFonts w:hint="eastAsia" w:ascii="宋体" w:hAnsi="宋体" w:cs="宋体"/>
          <w:b/>
          <w:highlight w:val="none"/>
        </w:rPr>
      </w:pPr>
      <w:r>
        <w:rPr>
          <w:rFonts w:hint="eastAsia" w:ascii="宋体" w:hAnsi="宋体" w:cs="宋体"/>
          <w:b/>
          <w:highlight w:val="none"/>
        </w:rPr>
        <w:br w:type="page"/>
      </w:r>
    </w:p>
    <w:p w14:paraId="1DDAE2D2">
      <w:pPr>
        <w:pStyle w:val="85"/>
        <w:spacing w:line="360" w:lineRule="auto"/>
        <w:ind w:firstLine="0" w:firstLineChars="0"/>
        <w:jc w:val="left"/>
        <w:rPr>
          <w:rFonts w:hint="eastAsia" w:ascii="宋体" w:hAnsi="宋体" w:cs="宋体"/>
          <w:b/>
          <w:highlight w:val="none"/>
          <w:lang w:val="en-US" w:eastAsia="zh-CN"/>
        </w:rPr>
      </w:pPr>
      <w:r>
        <w:rPr>
          <w:rFonts w:hint="eastAsia" w:ascii="宋体" w:hAnsi="宋体" w:cs="宋体"/>
          <w:b/>
          <w:highlight w:val="none"/>
        </w:rPr>
        <w:t>附件十</w:t>
      </w:r>
      <w:r>
        <w:rPr>
          <w:rFonts w:hint="eastAsia" w:ascii="宋体" w:hAnsi="宋体" w:cs="宋体"/>
          <w:b/>
          <w:highlight w:val="none"/>
          <w:lang w:val="en-US" w:eastAsia="zh-CN"/>
        </w:rPr>
        <w:t>六</w:t>
      </w:r>
      <w:r>
        <w:rPr>
          <w:rFonts w:hint="eastAsia" w:ascii="宋体" w:hAnsi="宋体" w:cs="宋体"/>
          <w:b/>
          <w:highlight w:val="none"/>
        </w:rPr>
        <w:t>、</w:t>
      </w:r>
      <w:r>
        <w:rPr>
          <w:rFonts w:hint="eastAsia" w:ascii="宋体" w:hAnsi="宋体" w:cs="宋体"/>
          <w:b/>
          <w:highlight w:val="none"/>
          <w:lang w:val="en-US" w:eastAsia="zh-CN"/>
        </w:rPr>
        <w:t>投标人需要提供的其他材料</w:t>
      </w:r>
    </w:p>
    <w:p w14:paraId="65E4984E">
      <w:pPr>
        <w:spacing w:line="360" w:lineRule="auto"/>
        <w:ind w:firstLine="420" w:firstLineChars="20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承诺书</w:t>
      </w:r>
    </w:p>
    <w:p w14:paraId="67A5D46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招标文件要求填写。</w:t>
      </w:r>
    </w:p>
    <w:p w14:paraId="67C4FE2B">
      <w:pPr>
        <w:pStyle w:val="42"/>
        <w:shd w:val="clear" w:color="auto" w:fill="FFFFFF"/>
        <w:spacing w:before="0" w:beforeAutospacing="0" w:after="0" w:afterAutospacing="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投标单位（加盖电子公章）：　        </w:t>
      </w:r>
    </w:p>
    <w:p w14:paraId="19E5BB32">
      <w:pPr>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日期：　     年　  月　  日  </w:t>
      </w:r>
    </w:p>
    <w:p w14:paraId="73A7594A">
      <w:pPr>
        <w:pStyle w:val="17"/>
        <w:numPr>
          <w:ilvl w:val="0"/>
          <w:numId w:val="0"/>
        </w:numPr>
        <w:rPr>
          <w:rFonts w:hint="eastAsia" w:ascii="宋体" w:hAnsi="宋体" w:cs="宋体"/>
          <w:b/>
          <w:highlight w:val="none"/>
          <w:lang w:val="en-US" w:eastAsia="zh-CN"/>
        </w:rPr>
      </w:pPr>
    </w:p>
    <w:sectPr>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C36368B-6535-4F78-B471-36F37484F69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D58D5C7C-BC0D-4F27-B1A4-888593E20F1C}"/>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embedRegular r:id="rId3" w:fontKey="{5CCA79CC-B894-4B47-A6AE-2EC8A9E6AA02}"/>
  </w:font>
  <w:font w:name="方正仿宋_GBK">
    <w:altName w:val="Arial Unicode MS"/>
    <w:panose1 w:val="02000000000000000000"/>
    <w:charset w:val="86"/>
    <w:family w:val="script"/>
    <w:pitch w:val="default"/>
    <w:sig w:usb0="00000000" w:usb1="00000000" w:usb2="00082016" w:usb3="00000000" w:csb0="00040001" w:csb1="00000000"/>
    <w:embedRegular r:id="rId4" w:fontKey="{482640B5-9601-4949-AC25-2ED530E22CCF}"/>
  </w:font>
  <w:font w:name="方正小标宋简体">
    <w:altName w:val="Arial Unicode MS"/>
    <w:panose1 w:val="02000000000000000000"/>
    <w:charset w:val="86"/>
    <w:family w:val="auto"/>
    <w:pitch w:val="default"/>
    <w:sig w:usb0="00000000" w:usb1="00000000" w:usb2="00000000" w:usb3="00000000" w:csb0="00040000" w:csb1="00000000"/>
    <w:embedRegular r:id="rId5" w:fontKey="{FB22DD8D-B4D1-4416-B285-5B30463C8896}"/>
  </w:font>
  <w:font w:name="KSOF4B1AA1F4">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568EBB"/>
    <w:multiLevelType w:val="singleLevel"/>
    <w:tmpl w:val="C6568EBB"/>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6"/>
      <w:suff w:val="nothing"/>
      <w:lvlText w:val=""/>
      <w:lvlJc w:val="left"/>
      <w:pPr>
        <w:ind w:left="0" w:firstLine="0"/>
      </w:pPr>
    </w:lvl>
    <w:lvl w:ilvl="3" w:tentative="0">
      <w:start w:val="1"/>
      <w:numFmt w:val="none"/>
      <w:pStyle w:val="7"/>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attachedTemplate r:id="rId1"/>
  <w:documentProtection w:enforcement="0"/>
  <w:defaultTabStop w:val="420"/>
  <w:hyphenationZone w:val="360"/>
  <w:drawingGridHorizontalSpacing w:val="105"/>
  <w:drawingGridVerticalSpacing w:val="158"/>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594"/>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64FD"/>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3C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690"/>
    <w:rsid w:val="00B52ABC"/>
    <w:rsid w:val="00B52BCB"/>
    <w:rsid w:val="00B53034"/>
    <w:rsid w:val="00B60C6E"/>
    <w:rsid w:val="00B62C19"/>
    <w:rsid w:val="00B62D0C"/>
    <w:rsid w:val="00B63F27"/>
    <w:rsid w:val="00B6430C"/>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6DBE"/>
    <w:rsid w:val="01F36FCC"/>
    <w:rsid w:val="020E7F3F"/>
    <w:rsid w:val="021A6004"/>
    <w:rsid w:val="022E08B9"/>
    <w:rsid w:val="0238311C"/>
    <w:rsid w:val="023A07E4"/>
    <w:rsid w:val="02516244"/>
    <w:rsid w:val="025608A7"/>
    <w:rsid w:val="025D291A"/>
    <w:rsid w:val="02601852"/>
    <w:rsid w:val="02690B82"/>
    <w:rsid w:val="026B36AE"/>
    <w:rsid w:val="02711414"/>
    <w:rsid w:val="027202B1"/>
    <w:rsid w:val="02721F48"/>
    <w:rsid w:val="02805163"/>
    <w:rsid w:val="02815E8D"/>
    <w:rsid w:val="02964B6A"/>
    <w:rsid w:val="02B82E4C"/>
    <w:rsid w:val="02E41BF4"/>
    <w:rsid w:val="02F07CB0"/>
    <w:rsid w:val="030105A0"/>
    <w:rsid w:val="030D75EF"/>
    <w:rsid w:val="031168BC"/>
    <w:rsid w:val="03143E06"/>
    <w:rsid w:val="031E451D"/>
    <w:rsid w:val="032D26C5"/>
    <w:rsid w:val="033A0B8B"/>
    <w:rsid w:val="03426C59"/>
    <w:rsid w:val="03433AF1"/>
    <w:rsid w:val="03501AE4"/>
    <w:rsid w:val="036208AE"/>
    <w:rsid w:val="036D00A2"/>
    <w:rsid w:val="036F588B"/>
    <w:rsid w:val="03716722"/>
    <w:rsid w:val="037C5792"/>
    <w:rsid w:val="03803FCB"/>
    <w:rsid w:val="039B623A"/>
    <w:rsid w:val="03A8028B"/>
    <w:rsid w:val="03B1713F"/>
    <w:rsid w:val="03B44AA5"/>
    <w:rsid w:val="03C33A72"/>
    <w:rsid w:val="03C94F45"/>
    <w:rsid w:val="040020A7"/>
    <w:rsid w:val="040D00EE"/>
    <w:rsid w:val="04155920"/>
    <w:rsid w:val="043D21F8"/>
    <w:rsid w:val="04473247"/>
    <w:rsid w:val="044D2B93"/>
    <w:rsid w:val="044E3239"/>
    <w:rsid w:val="044E5014"/>
    <w:rsid w:val="04635904"/>
    <w:rsid w:val="04650D32"/>
    <w:rsid w:val="0468555E"/>
    <w:rsid w:val="04833676"/>
    <w:rsid w:val="04930DBB"/>
    <w:rsid w:val="049F3500"/>
    <w:rsid w:val="04A2371F"/>
    <w:rsid w:val="04A26A62"/>
    <w:rsid w:val="04A53BA4"/>
    <w:rsid w:val="04AA1834"/>
    <w:rsid w:val="04BD234F"/>
    <w:rsid w:val="04D17C83"/>
    <w:rsid w:val="04E374DE"/>
    <w:rsid w:val="04FF00EB"/>
    <w:rsid w:val="0501459E"/>
    <w:rsid w:val="050F4EDE"/>
    <w:rsid w:val="05175FCF"/>
    <w:rsid w:val="051D3FFE"/>
    <w:rsid w:val="052263A0"/>
    <w:rsid w:val="05253812"/>
    <w:rsid w:val="0533099F"/>
    <w:rsid w:val="054E23E8"/>
    <w:rsid w:val="05524952"/>
    <w:rsid w:val="05586075"/>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936D88"/>
    <w:rsid w:val="06A31CA0"/>
    <w:rsid w:val="06A44898"/>
    <w:rsid w:val="06A64975"/>
    <w:rsid w:val="06AA4A28"/>
    <w:rsid w:val="06AD3CDC"/>
    <w:rsid w:val="06D31947"/>
    <w:rsid w:val="06D92562"/>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7244E"/>
    <w:rsid w:val="07792B42"/>
    <w:rsid w:val="077E3D0B"/>
    <w:rsid w:val="078C511B"/>
    <w:rsid w:val="078C53F5"/>
    <w:rsid w:val="078D2D8A"/>
    <w:rsid w:val="079923C4"/>
    <w:rsid w:val="07996868"/>
    <w:rsid w:val="07AC65D8"/>
    <w:rsid w:val="07AF2FE0"/>
    <w:rsid w:val="07B727B5"/>
    <w:rsid w:val="07B92A66"/>
    <w:rsid w:val="07BE2A34"/>
    <w:rsid w:val="07C172BE"/>
    <w:rsid w:val="07D25335"/>
    <w:rsid w:val="07D43E3E"/>
    <w:rsid w:val="07DA124D"/>
    <w:rsid w:val="07DE782C"/>
    <w:rsid w:val="07DF1893"/>
    <w:rsid w:val="07E53F70"/>
    <w:rsid w:val="07F03CBF"/>
    <w:rsid w:val="07F42B67"/>
    <w:rsid w:val="07F61F13"/>
    <w:rsid w:val="08016B07"/>
    <w:rsid w:val="080D0CE3"/>
    <w:rsid w:val="083A1AF5"/>
    <w:rsid w:val="083D3D11"/>
    <w:rsid w:val="08447D35"/>
    <w:rsid w:val="086626CB"/>
    <w:rsid w:val="08790814"/>
    <w:rsid w:val="087B41C0"/>
    <w:rsid w:val="08817F9A"/>
    <w:rsid w:val="08830107"/>
    <w:rsid w:val="08933F38"/>
    <w:rsid w:val="08935065"/>
    <w:rsid w:val="089E56D2"/>
    <w:rsid w:val="08AB4E3F"/>
    <w:rsid w:val="08B338AC"/>
    <w:rsid w:val="08B43F37"/>
    <w:rsid w:val="08B472FE"/>
    <w:rsid w:val="08B614BD"/>
    <w:rsid w:val="08B937A7"/>
    <w:rsid w:val="08BB0F23"/>
    <w:rsid w:val="08BD4EC2"/>
    <w:rsid w:val="08CD671D"/>
    <w:rsid w:val="08D5688C"/>
    <w:rsid w:val="08D66EA5"/>
    <w:rsid w:val="08D83875"/>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5A5813"/>
    <w:rsid w:val="0972155C"/>
    <w:rsid w:val="097D234D"/>
    <w:rsid w:val="0991369C"/>
    <w:rsid w:val="09A858BF"/>
    <w:rsid w:val="09F31262"/>
    <w:rsid w:val="09F8752F"/>
    <w:rsid w:val="0A037C2D"/>
    <w:rsid w:val="0A0D439F"/>
    <w:rsid w:val="0A0E459B"/>
    <w:rsid w:val="0A0F0D09"/>
    <w:rsid w:val="0A1D4600"/>
    <w:rsid w:val="0A1F68B2"/>
    <w:rsid w:val="0A210F95"/>
    <w:rsid w:val="0A255506"/>
    <w:rsid w:val="0A275C51"/>
    <w:rsid w:val="0A2836E0"/>
    <w:rsid w:val="0A29194C"/>
    <w:rsid w:val="0A2C39C3"/>
    <w:rsid w:val="0A4D7977"/>
    <w:rsid w:val="0A593073"/>
    <w:rsid w:val="0A5F62E5"/>
    <w:rsid w:val="0A651674"/>
    <w:rsid w:val="0A8E5529"/>
    <w:rsid w:val="0A934F20"/>
    <w:rsid w:val="0AA0734E"/>
    <w:rsid w:val="0AB44EF5"/>
    <w:rsid w:val="0AB85201"/>
    <w:rsid w:val="0AC159A6"/>
    <w:rsid w:val="0AD572BC"/>
    <w:rsid w:val="0AE34BB1"/>
    <w:rsid w:val="0AED0B6E"/>
    <w:rsid w:val="0B16461C"/>
    <w:rsid w:val="0B2A4738"/>
    <w:rsid w:val="0B3066BC"/>
    <w:rsid w:val="0B316DB7"/>
    <w:rsid w:val="0B3A680E"/>
    <w:rsid w:val="0B3D39AE"/>
    <w:rsid w:val="0B4B7099"/>
    <w:rsid w:val="0B747542"/>
    <w:rsid w:val="0B765D4E"/>
    <w:rsid w:val="0B7C7FE2"/>
    <w:rsid w:val="0B8E7D02"/>
    <w:rsid w:val="0B9E1A60"/>
    <w:rsid w:val="0BAD70EA"/>
    <w:rsid w:val="0BBC2354"/>
    <w:rsid w:val="0BE60C5C"/>
    <w:rsid w:val="0BE64446"/>
    <w:rsid w:val="0BF92CAC"/>
    <w:rsid w:val="0C09671A"/>
    <w:rsid w:val="0C296CAE"/>
    <w:rsid w:val="0C326267"/>
    <w:rsid w:val="0C3628D7"/>
    <w:rsid w:val="0C365370"/>
    <w:rsid w:val="0C442C80"/>
    <w:rsid w:val="0C4B30F1"/>
    <w:rsid w:val="0C5526DB"/>
    <w:rsid w:val="0C5D71EC"/>
    <w:rsid w:val="0C7376A8"/>
    <w:rsid w:val="0C801F53"/>
    <w:rsid w:val="0C8076E1"/>
    <w:rsid w:val="0C8F51A6"/>
    <w:rsid w:val="0CA97841"/>
    <w:rsid w:val="0CBC0B3E"/>
    <w:rsid w:val="0CCC58BA"/>
    <w:rsid w:val="0CF15084"/>
    <w:rsid w:val="0CF22F65"/>
    <w:rsid w:val="0CFD3771"/>
    <w:rsid w:val="0D001BEA"/>
    <w:rsid w:val="0D0A7F77"/>
    <w:rsid w:val="0D2D68C5"/>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E210D90"/>
    <w:rsid w:val="0E280BF1"/>
    <w:rsid w:val="0E2A2732"/>
    <w:rsid w:val="0E2F7B01"/>
    <w:rsid w:val="0E39045D"/>
    <w:rsid w:val="0E4B5699"/>
    <w:rsid w:val="0E4D5CB6"/>
    <w:rsid w:val="0E512E80"/>
    <w:rsid w:val="0E6E1A32"/>
    <w:rsid w:val="0E7960F6"/>
    <w:rsid w:val="0E7F25F5"/>
    <w:rsid w:val="0E915BD0"/>
    <w:rsid w:val="0E9E4C84"/>
    <w:rsid w:val="0EAA5D5A"/>
    <w:rsid w:val="0EC33A46"/>
    <w:rsid w:val="0ECD4128"/>
    <w:rsid w:val="0EDC0ACC"/>
    <w:rsid w:val="0EE15926"/>
    <w:rsid w:val="0EEA08A5"/>
    <w:rsid w:val="0EF05635"/>
    <w:rsid w:val="0EF32DCC"/>
    <w:rsid w:val="0F0913A4"/>
    <w:rsid w:val="0F0A1DF9"/>
    <w:rsid w:val="0F106462"/>
    <w:rsid w:val="0F154AD4"/>
    <w:rsid w:val="0F1D1DB9"/>
    <w:rsid w:val="0F202CED"/>
    <w:rsid w:val="0F360DD3"/>
    <w:rsid w:val="0F5B0B0E"/>
    <w:rsid w:val="0F6B1793"/>
    <w:rsid w:val="0F7B5DFB"/>
    <w:rsid w:val="0F9A0919"/>
    <w:rsid w:val="0FC11AFA"/>
    <w:rsid w:val="0FC22C67"/>
    <w:rsid w:val="0FD75461"/>
    <w:rsid w:val="0FF00A2B"/>
    <w:rsid w:val="0FF37EF3"/>
    <w:rsid w:val="0FFE4C46"/>
    <w:rsid w:val="10022A8B"/>
    <w:rsid w:val="10064480"/>
    <w:rsid w:val="10090E16"/>
    <w:rsid w:val="100930B7"/>
    <w:rsid w:val="1010417D"/>
    <w:rsid w:val="10156FD1"/>
    <w:rsid w:val="10194746"/>
    <w:rsid w:val="10204305"/>
    <w:rsid w:val="10371F2F"/>
    <w:rsid w:val="10430A3B"/>
    <w:rsid w:val="105A6D80"/>
    <w:rsid w:val="105A7A68"/>
    <w:rsid w:val="105F0FA1"/>
    <w:rsid w:val="1073353A"/>
    <w:rsid w:val="10750971"/>
    <w:rsid w:val="107B23CF"/>
    <w:rsid w:val="107E1871"/>
    <w:rsid w:val="10824E25"/>
    <w:rsid w:val="10A10E2A"/>
    <w:rsid w:val="10B71B72"/>
    <w:rsid w:val="10BD5626"/>
    <w:rsid w:val="10C3255D"/>
    <w:rsid w:val="10C85301"/>
    <w:rsid w:val="10CA55F9"/>
    <w:rsid w:val="10D63C01"/>
    <w:rsid w:val="10F13399"/>
    <w:rsid w:val="10F5099F"/>
    <w:rsid w:val="10F84E57"/>
    <w:rsid w:val="11007524"/>
    <w:rsid w:val="11046680"/>
    <w:rsid w:val="110C53CD"/>
    <w:rsid w:val="111952C2"/>
    <w:rsid w:val="111D5D9A"/>
    <w:rsid w:val="112B0D91"/>
    <w:rsid w:val="11333738"/>
    <w:rsid w:val="11423CF0"/>
    <w:rsid w:val="11450104"/>
    <w:rsid w:val="1159255C"/>
    <w:rsid w:val="115C1DEA"/>
    <w:rsid w:val="115D038D"/>
    <w:rsid w:val="116741A8"/>
    <w:rsid w:val="11887A9E"/>
    <w:rsid w:val="1189034F"/>
    <w:rsid w:val="11897D97"/>
    <w:rsid w:val="11963731"/>
    <w:rsid w:val="119D4DFC"/>
    <w:rsid w:val="119E030F"/>
    <w:rsid w:val="11A00EE4"/>
    <w:rsid w:val="11A622AD"/>
    <w:rsid w:val="11AC3296"/>
    <w:rsid w:val="11BF3764"/>
    <w:rsid w:val="11BF5D6D"/>
    <w:rsid w:val="11D53F79"/>
    <w:rsid w:val="11EF6486"/>
    <w:rsid w:val="11F75962"/>
    <w:rsid w:val="11FC0451"/>
    <w:rsid w:val="120C4EB8"/>
    <w:rsid w:val="12135F22"/>
    <w:rsid w:val="12174BD0"/>
    <w:rsid w:val="122B1FEE"/>
    <w:rsid w:val="122D760A"/>
    <w:rsid w:val="12311F5A"/>
    <w:rsid w:val="12396EDB"/>
    <w:rsid w:val="123B651A"/>
    <w:rsid w:val="123D3153"/>
    <w:rsid w:val="12406C58"/>
    <w:rsid w:val="12425364"/>
    <w:rsid w:val="12427601"/>
    <w:rsid w:val="125352C6"/>
    <w:rsid w:val="125944FB"/>
    <w:rsid w:val="125D64D0"/>
    <w:rsid w:val="12613E8B"/>
    <w:rsid w:val="12624EB7"/>
    <w:rsid w:val="126A32DB"/>
    <w:rsid w:val="1282388F"/>
    <w:rsid w:val="128572E6"/>
    <w:rsid w:val="128A0F8B"/>
    <w:rsid w:val="129139EE"/>
    <w:rsid w:val="12B105FE"/>
    <w:rsid w:val="12B26461"/>
    <w:rsid w:val="12BF6F7B"/>
    <w:rsid w:val="12C23090"/>
    <w:rsid w:val="12C86253"/>
    <w:rsid w:val="12CC6996"/>
    <w:rsid w:val="12D0549C"/>
    <w:rsid w:val="12D228CA"/>
    <w:rsid w:val="12D442DB"/>
    <w:rsid w:val="12D546F4"/>
    <w:rsid w:val="12DF680F"/>
    <w:rsid w:val="12DF6E63"/>
    <w:rsid w:val="12E84200"/>
    <w:rsid w:val="12F36759"/>
    <w:rsid w:val="12F46D05"/>
    <w:rsid w:val="12FE2032"/>
    <w:rsid w:val="1300045E"/>
    <w:rsid w:val="130A6921"/>
    <w:rsid w:val="131E2317"/>
    <w:rsid w:val="131E269C"/>
    <w:rsid w:val="131E73CE"/>
    <w:rsid w:val="13201BEB"/>
    <w:rsid w:val="13312AE3"/>
    <w:rsid w:val="133D024F"/>
    <w:rsid w:val="133D6D87"/>
    <w:rsid w:val="135F78E8"/>
    <w:rsid w:val="1360648C"/>
    <w:rsid w:val="136A4918"/>
    <w:rsid w:val="13716BB4"/>
    <w:rsid w:val="13821EE1"/>
    <w:rsid w:val="13890B9C"/>
    <w:rsid w:val="13944D7F"/>
    <w:rsid w:val="13B63C9C"/>
    <w:rsid w:val="13C75329"/>
    <w:rsid w:val="13CB4137"/>
    <w:rsid w:val="13D11AEC"/>
    <w:rsid w:val="13D57C19"/>
    <w:rsid w:val="13DA6A23"/>
    <w:rsid w:val="13E175CD"/>
    <w:rsid w:val="13F27FD8"/>
    <w:rsid w:val="13FA3C10"/>
    <w:rsid w:val="14034216"/>
    <w:rsid w:val="140B4E5D"/>
    <w:rsid w:val="14197590"/>
    <w:rsid w:val="141C7AF8"/>
    <w:rsid w:val="14291CCC"/>
    <w:rsid w:val="142D5867"/>
    <w:rsid w:val="14311C3C"/>
    <w:rsid w:val="1433458D"/>
    <w:rsid w:val="144733D0"/>
    <w:rsid w:val="144B713C"/>
    <w:rsid w:val="145A6A37"/>
    <w:rsid w:val="147C6864"/>
    <w:rsid w:val="14823CB2"/>
    <w:rsid w:val="14A05CEA"/>
    <w:rsid w:val="14BA7BD0"/>
    <w:rsid w:val="14BE0DA8"/>
    <w:rsid w:val="14BF76D0"/>
    <w:rsid w:val="14CD5299"/>
    <w:rsid w:val="14D058B3"/>
    <w:rsid w:val="14D233B9"/>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7C287D"/>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2D644C"/>
    <w:rsid w:val="16392D84"/>
    <w:rsid w:val="163C4E22"/>
    <w:rsid w:val="165027E8"/>
    <w:rsid w:val="166F60B9"/>
    <w:rsid w:val="167504A0"/>
    <w:rsid w:val="167B010A"/>
    <w:rsid w:val="16883ABF"/>
    <w:rsid w:val="16967831"/>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C140F"/>
    <w:rsid w:val="171E6164"/>
    <w:rsid w:val="17263548"/>
    <w:rsid w:val="17382C6C"/>
    <w:rsid w:val="173D57C7"/>
    <w:rsid w:val="176B64FB"/>
    <w:rsid w:val="17B2733D"/>
    <w:rsid w:val="17B4072E"/>
    <w:rsid w:val="17BA0202"/>
    <w:rsid w:val="17CE1A92"/>
    <w:rsid w:val="17D32110"/>
    <w:rsid w:val="17DF02C7"/>
    <w:rsid w:val="17EF333D"/>
    <w:rsid w:val="17F736BA"/>
    <w:rsid w:val="17FE4C9B"/>
    <w:rsid w:val="180A017E"/>
    <w:rsid w:val="180B1C8C"/>
    <w:rsid w:val="18186FBF"/>
    <w:rsid w:val="182A0E16"/>
    <w:rsid w:val="184448A4"/>
    <w:rsid w:val="1853569A"/>
    <w:rsid w:val="1856228A"/>
    <w:rsid w:val="185A2304"/>
    <w:rsid w:val="18655549"/>
    <w:rsid w:val="186B3909"/>
    <w:rsid w:val="18811B0F"/>
    <w:rsid w:val="18883C96"/>
    <w:rsid w:val="18943D05"/>
    <w:rsid w:val="189D5730"/>
    <w:rsid w:val="18AE6BDF"/>
    <w:rsid w:val="18BC41FE"/>
    <w:rsid w:val="18C65572"/>
    <w:rsid w:val="18CE406A"/>
    <w:rsid w:val="18D255E8"/>
    <w:rsid w:val="18D71473"/>
    <w:rsid w:val="18E73115"/>
    <w:rsid w:val="18EF453A"/>
    <w:rsid w:val="18F25811"/>
    <w:rsid w:val="18F558C8"/>
    <w:rsid w:val="18F733EE"/>
    <w:rsid w:val="190A6030"/>
    <w:rsid w:val="191206D3"/>
    <w:rsid w:val="192E2BD3"/>
    <w:rsid w:val="193470ED"/>
    <w:rsid w:val="19362545"/>
    <w:rsid w:val="195105DC"/>
    <w:rsid w:val="195C14A3"/>
    <w:rsid w:val="196839F7"/>
    <w:rsid w:val="19756CCC"/>
    <w:rsid w:val="197B5636"/>
    <w:rsid w:val="197F7538"/>
    <w:rsid w:val="1987149D"/>
    <w:rsid w:val="198D30EC"/>
    <w:rsid w:val="1991132A"/>
    <w:rsid w:val="199777B1"/>
    <w:rsid w:val="199C34C0"/>
    <w:rsid w:val="199D28CF"/>
    <w:rsid w:val="19A15CAB"/>
    <w:rsid w:val="19AB7BCA"/>
    <w:rsid w:val="19B255DB"/>
    <w:rsid w:val="19D74089"/>
    <w:rsid w:val="1A051B3B"/>
    <w:rsid w:val="1A1D2006"/>
    <w:rsid w:val="1A200C49"/>
    <w:rsid w:val="1A206975"/>
    <w:rsid w:val="1A2C7C12"/>
    <w:rsid w:val="1A312E43"/>
    <w:rsid w:val="1A382E26"/>
    <w:rsid w:val="1A3A2210"/>
    <w:rsid w:val="1A4118E9"/>
    <w:rsid w:val="1A414F47"/>
    <w:rsid w:val="1A526576"/>
    <w:rsid w:val="1A5C16D9"/>
    <w:rsid w:val="1A5C6D63"/>
    <w:rsid w:val="1A604AA4"/>
    <w:rsid w:val="1A7636B6"/>
    <w:rsid w:val="1A7B17BE"/>
    <w:rsid w:val="1A7C004F"/>
    <w:rsid w:val="1A8B4F58"/>
    <w:rsid w:val="1A907657"/>
    <w:rsid w:val="1AAC3FD7"/>
    <w:rsid w:val="1AB772D9"/>
    <w:rsid w:val="1AE133EF"/>
    <w:rsid w:val="1AED2809"/>
    <w:rsid w:val="1AEF4DAE"/>
    <w:rsid w:val="1AF77FAB"/>
    <w:rsid w:val="1AFB020E"/>
    <w:rsid w:val="1B1C7367"/>
    <w:rsid w:val="1B370B89"/>
    <w:rsid w:val="1B3B043B"/>
    <w:rsid w:val="1B43728E"/>
    <w:rsid w:val="1B492FF3"/>
    <w:rsid w:val="1B4950A4"/>
    <w:rsid w:val="1B5468D6"/>
    <w:rsid w:val="1B556620"/>
    <w:rsid w:val="1B636B19"/>
    <w:rsid w:val="1B6D5BEA"/>
    <w:rsid w:val="1B6F5854"/>
    <w:rsid w:val="1B7E5AA8"/>
    <w:rsid w:val="1B8A22F8"/>
    <w:rsid w:val="1B8D3B96"/>
    <w:rsid w:val="1BA324C2"/>
    <w:rsid w:val="1BA61267"/>
    <w:rsid w:val="1BAD7E75"/>
    <w:rsid w:val="1BAF2B44"/>
    <w:rsid w:val="1BB47375"/>
    <w:rsid w:val="1BBC0395"/>
    <w:rsid w:val="1BD9327F"/>
    <w:rsid w:val="1BE44D71"/>
    <w:rsid w:val="1BF105C9"/>
    <w:rsid w:val="1BFA7574"/>
    <w:rsid w:val="1C093B64"/>
    <w:rsid w:val="1C0C7CAA"/>
    <w:rsid w:val="1C110922"/>
    <w:rsid w:val="1C1B6E90"/>
    <w:rsid w:val="1C213F72"/>
    <w:rsid w:val="1C252021"/>
    <w:rsid w:val="1C2663BF"/>
    <w:rsid w:val="1C36433C"/>
    <w:rsid w:val="1C376E21"/>
    <w:rsid w:val="1C495776"/>
    <w:rsid w:val="1C607E4F"/>
    <w:rsid w:val="1C665F65"/>
    <w:rsid w:val="1C672126"/>
    <w:rsid w:val="1C685144"/>
    <w:rsid w:val="1C721035"/>
    <w:rsid w:val="1C7246F1"/>
    <w:rsid w:val="1C866A4B"/>
    <w:rsid w:val="1C887DF5"/>
    <w:rsid w:val="1C89288A"/>
    <w:rsid w:val="1CA47846"/>
    <w:rsid w:val="1CA64748"/>
    <w:rsid w:val="1CC40158"/>
    <w:rsid w:val="1CCB621E"/>
    <w:rsid w:val="1CD26B3B"/>
    <w:rsid w:val="1CD565D5"/>
    <w:rsid w:val="1CDF495F"/>
    <w:rsid w:val="1CDF6675"/>
    <w:rsid w:val="1CEF14EF"/>
    <w:rsid w:val="1CF061DA"/>
    <w:rsid w:val="1CF43006"/>
    <w:rsid w:val="1CF71C0F"/>
    <w:rsid w:val="1CF87542"/>
    <w:rsid w:val="1D032FA4"/>
    <w:rsid w:val="1D077570"/>
    <w:rsid w:val="1D0E51AB"/>
    <w:rsid w:val="1D202678"/>
    <w:rsid w:val="1D3021C0"/>
    <w:rsid w:val="1D325942"/>
    <w:rsid w:val="1D454FF3"/>
    <w:rsid w:val="1D4C37A3"/>
    <w:rsid w:val="1D5A5F73"/>
    <w:rsid w:val="1D672B1F"/>
    <w:rsid w:val="1D677311"/>
    <w:rsid w:val="1D8B3670"/>
    <w:rsid w:val="1D903E12"/>
    <w:rsid w:val="1DA35BF9"/>
    <w:rsid w:val="1DA6376A"/>
    <w:rsid w:val="1DA73124"/>
    <w:rsid w:val="1DAE0556"/>
    <w:rsid w:val="1DB1270C"/>
    <w:rsid w:val="1DB67C12"/>
    <w:rsid w:val="1DBE097F"/>
    <w:rsid w:val="1DC615E1"/>
    <w:rsid w:val="1DD35E39"/>
    <w:rsid w:val="1DD50B1E"/>
    <w:rsid w:val="1DEE0182"/>
    <w:rsid w:val="1E05035C"/>
    <w:rsid w:val="1E060554"/>
    <w:rsid w:val="1E0C1593"/>
    <w:rsid w:val="1E0F6E32"/>
    <w:rsid w:val="1E415560"/>
    <w:rsid w:val="1E4428FF"/>
    <w:rsid w:val="1E5C0FA0"/>
    <w:rsid w:val="1E5D18EA"/>
    <w:rsid w:val="1E604A81"/>
    <w:rsid w:val="1E706AC5"/>
    <w:rsid w:val="1E706D9C"/>
    <w:rsid w:val="1E841A5F"/>
    <w:rsid w:val="1E98379C"/>
    <w:rsid w:val="1E9B4962"/>
    <w:rsid w:val="1EA33881"/>
    <w:rsid w:val="1EA40105"/>
    <w:rsid w:val="1EA972F9"/>
    <w:rsid w:val="1EBC7CC4"/>
    <w:rsid w:val="1EC665E8"/>
    <w:rsid w:val="1ED01BD6"/>
    <w:rsid w:val="1EDC6093"/>
    <w:rsid w:val="1EE83214"/>
    <w:rsid w:val="1EFE3118"/>
    <w:rsid w:val="1F091197"/>
    <w:rsid w:val="1F276867"/>
    <w:rsid w:val="1F3233D2"/>
    <w:rsid w:val="1F3868D2"/>
    <w:rsid w:val="1F417E01"/>
    <w:rsid w:val="1F4924CA"/>
    <w:rsid w:val="1F494278"/>
    <w:rsid w:val="1F524DE1"/>
    <w:rsid w:val="1F583D4C"/>
    <w:rsid w:val="1F69585D"/>
    <w:rsid w:val="1F6B38B0"/>
    <w:rsid w:val="1F770DE5"/>
    <w:rsid w:val="1F85443C"/>
    <w:rsid w:val="1F966A87"/>
    <w:rsid w:val="1FB042F7"/>
    <w:rsid w:val="1FB913DD"/>
    <w:rsid w:val="1FBF5C04"/>
    <w:rsid w:val="1FC37461"/>
    <w:rsid w:val="1FD0749B"/>
    <w:rsid w:val="1FE35ADC"/>
    <w:rsid w:val="1FF05470"/>
    <w:rsid w:val="201503A6"/>
    <w:rsid w:val="203A5250"/>
    <w:rsid w:val="203A5CDB"/>
    <w:rsid w:val="20497C75"/>
    <w:rsid w:val="204F1C56"/>
    <w:rsid w:val="204F514C"/>
    <w:rsid w:val="206823A1"/>
    <w:rsid w:val="207A43DF"/>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757E3"/>
    <w:rsid w:val="21637A27"/>
    <w:rsid w:val="216C08BA"/>
    <w:rsid w:val="2177570A"/>
    <w:rsid w:val="217F6697"/>
    <w:rsid w:val="21A665AD"/>
    <w:rsid w:val="21B33C19"/>
    <w:rsid w:val="21BA320B"/>
    <w:rsid w:val="21BB34D8"/>
    <w:rsid w:val="21C44C50"/>
    <w:rsid w:val="21D722C1"/>
    <w:rsid w:val="21DF24FF"/>
    <w:rsid w:val="21EE6B6B"/>
    <w:rsid w:val="21F82FB6"/>
    <w:rsid w:val="22136A87"/>
    <w:rsid w:val="222C0C93"/>
    <w:rsid w:val="22466D0F"/>
    <w:rsid w:val="224B3D5F"/>
    <w:rsid w:val="224D407F"/>
    <w:rsid w:val="2258252F"/>
    <w:rsid w:val="225A0268"/>
    <w:rsid w:val="225B7657"/>
    <w:rsid w:val="225E4F1E"/>
    <w:rsid w:val="226B21EE"/>
    <w:rsid w:val="227305DB"/>
    <w:rsid w:val="227A396C"/>
    <w:rsid w:val="228B5121"/>
    <w:rsid w:val="228F63A9"/>
    <w:rsid w:val="22A177E6"/>
    <w:rsid w:val="22A42A1E"/>
    <w:rsid w:val="22A90AC1"/>
    <w:rsid w:val="22BD5CB7"/>
    <w:rsid w:val="22E6677E"/>
    <w:rsid w:val="22EC30DA"/>
    <w:rsid w:val="22ED0E76"/>
    <w:rsid w:val="23036D2E"/>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00111"/>
    <w:rsid w:val="2411563C"/>
    <w:rsid w:val="242447AF"/>
    <w:rsid w:val="24334C53"/>
    <w:rsid w:val="245F149B"/>
    <w:rsid w:val="246D4161"/>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3024AD"/>
    <w:rsid w:val="2557729C"/>
    <w:rsid w:val="255A6A4F"/>
    <w:rsid w:val="255D5845"/>
    <w:rsid w:val="256E5236"/>
    <w:rsid w:val="257239B5"/>
    <w:rsid w:val="257A3E03"/>
    <w:rsid w:val="258C3DF5"/>
    <w:rsid w:val="259D70CC"/>
    <w:rsid w:val="25B132E6"/>
    <w:rsid w:val="25C97EC1"/>
    <w:rsid w:val="25DF1387"/>
    <w:rsid w:val="25E1786F"/>
    <w:rsid w:val="25E616CC"/>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E1364"/>
    <w:rsid w:val="268A4949"/>
    <w:rsid w:val="268E2249"/>
    <w:rsid w:val="2697027E"/>
    <w:rsid w:val="26A67D94"/>
    <w:rsid w:val="26AF355A"/>
    <w:rsid w:val="26B97F35"/>
    <w:rsid w:val="26BA4AE0"/>
    <w:rsid w:val="26C52C94"/>
    <w:rsid w:val="26C610CA"/>
    <w:rsid w:val="26C9037E"/>
    <w:rsid w:val="26D96963"/>
    <w:rsid w:val="26E51871"/>
    <w:rsid w:val="26E81B00"/>
    <w:rsid w:val="26EC2D0B"/>
    <w:rsid w:val="26EC52C4"/>
    <w:rsid w:val="26F15921"/>
    <w:rsid w:val="26FD1062"/>
    <w:rsid w:val="27147861"/>
    <w:rsid w:val="271D527A"/>
    <w:rsid w:val="27224B0F"/>
    <w:rsid w:val="272F1E9F"/>
    <w:rsid w:val="273C1105"/>
    <w:rsid w:val="274E1A68"/>
    <w:rsid w:val="27545EB0"/>
    <w:rsid w:val="2764417B"/>
    <w:rsid w:val="27795A37"/>
    <w:rsid w:val="277D0F63"/>
    <w:rsid w:val="278476CC"/>
    <w:rsid w:val="27851DA0"/>
    <w:rsid w:val="279369D8"/>
    <w:rsid w:val="27A34E59"/>
    <w:rsid w:val="27B92902"/>
    <w:rsid w:val="27C617D8"/>
    <w:rsid w:val="27C9721C"/>
    <w:rsid w:val="27D36867"/>
    <w:rsid w:val="27DF33C8"/>
    <w:rsid w:val="27E81FE7"/>
    <w:rsid w:val="27EB411E"/>
    <w:rsid w:val="27EE3C0E"/>
    <w:rsid w:val="27EE40EE"/>
    <w:rsid w:val="27F710A0"/>
    <w:rsid w:val="280E4562"/>
    <w:rsid w:val="281F64BE"/>
    <w:rsid w:val="28252233"/>
    <w:rsid w:val="28284DC5"/>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24CA3"/>
    <w:rsid w:val="2887096F"/>
    <w:rsid w:val="28891A68"/>
    <w:rsid w:val="28A67723"/>
    <w:rsid w:val="28AA6265"/>
    <w:rsid w:val="28B0142C"/>
    <w:rsid w:val="28B031C4"/>
    <w:rsid w:val="28B813D8"/>
    <w:rsid w:val="28BE5DFF"/>
    <w:rsid w:val="28C05393"/>
    <w:rsid w:val="28C15F16"/>
    <w:rsid w:val="28C668F3"/>
    <w:rsid w:val="28C8217E"/>
    <w:rsid w:val="28D13A25"/>
    <w:rsid w:val="28E23AA6"/>
    <w:rsid w:val="29053946"/>
    <w:rsid w:val="291433AE"/>
    <w:rsid w:val="291B15FB"/>
    <w:rsid w:val="291E3195"/>
    <w:rsid w:val="292274D8"/>
    <w:rsid w:val="29291F9C"/>
    <w:rsid w:val="293A5D80"/>
    <w:rsid w:val="29432A42"/>
    <w:rsid w:val="29490B9E"/>
    <w:rsid w:val="294F62D4"/>
    <w:rsid w:val="294F692F"/>
    <w:rsid w:val="295B52D4"/>
    <w:rsid w:val="29617E99"/>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131E8B"/>
    <w:rsid w:val="2A2622F9"/>
    <w:rsid w:val="2A2E7A7E"/>
    <w:rsid w:val="2A313BB1"/>
    <w:rsid w:val="2A413BB3"/>
    <w:rsid w:val="2A4735A8"/>
    <w:rsid w:val="2A5D63DB"/>
    <w:rsid w:val="2A5F40B6"/>
    <w:rsid w:val="2A72308A"/>
    <w:rsid w:val="2A774C8C"/>
    <w:rsid w:val="2A7939ED"/>
    <w:rsid w:val="2A8A0D83"/>
    <w:rsid w:val="2A955115"/>
    <w:rsid w:val="2AB557DB"/>
    <w:rsid w:val="2ADB2B81"/>
    <w:rsid w:val="2B1A174A"/>
    <w:rsid w:val="2B1C4F36"/>
    <w:rsid w:val="2B2141F9"/>
    <w:rsid w:val="2B225D30"/>
    <w:rsid w:val="2B332625"/>
    <w:rsid w:val="2B361A30"/>
    <w:rsid w:val="2B365510"/>
    <w:rsid w:val="2B3C079E"/>
    <w:rsid w:val="2B3C1E41"/>
    <w:rsid w:val="2B455813"/>
    <w:rsid w:val="2B4C2E44"/>
    <w:rsid w:val="2B4E156E"/>
    <w:rsid w:val="2B565E56"/>
    <w:rsid w:val="2B595843"/>
    <w:rsid w:val="2B7865F9"/>
    <w:rsid w:val="2B7A3C52"/>
    <w:rsid w:val="2B8C374E"/>
    <w:rsid w:val="2B8F46B6"/>
    <w:rsid w:val="2B977AEB"/>
    <w:rsid w:val="2B991DFF"/>
    <w:rsid w:val="2B9C1D21"/>
    <w:rsid w:val="2BA41097"/>
    <w:rsid w:val="2BA956BF"/>
    <w:rsid w:val="2BB948D5"/>
    <w:rsid w:val="2BBE6370"/>
    <w:rsid w:val="2BCB0E63"/>
    <w:rsid w:val="2BF24C23"/>
    <w:rsid w:val="2BFC6B25"/>
    <w:rsid w:val="2C0646C5"/>
    <w:rsid w:val="2C0B151E"/>
    <w:rsid w:val="2C1B0595"/>
    <w:rsid w:val="2C2F4BD1"/>
    <w:rsid w:val="2C300C99"/>
    <w:rsid w:val="2C421FD2"/>
    <w:rsid w:val="2C436E5C"/>
    <w:rsid w:val="2C567BB3"/>
    <w:rsid w:val="2C5B5C73"/>
    <w:rsid w:val="2C632CF4"/>
    <w:rsid w:val="2C66510D"/>
    <w:rsid w:val="2C6B4093"/>
    <w:rsid w:val="2C8A3ED2"/>
    <w:rsid w:val="2C997AF3"/>
    <w:rsid w:val="2C997CDE"/>
    <w:rsid w:val="2C9E14E5"/>
    <w:rsid w:val="2CB84C7B"/>
    <w:rsid w:val="2CCF1D5F"/>
    <w:rsid w:val="2CCF1ECB"/>
    <w:rsid w:val="2CD25FF8"/>
    <w:rsid w:val="2CD466D2"/>
    <w:rsid w:val="2CE02358"/>
    <w:rsid w:val="2CE27DFB"/>
    <w:rsid w:val="2CE3244C"/>
    <w:rsid w:val="2CF30852"/>
    <w:rsid w:val="2CF3392B"/>
    <w:rsid w:val="2CFB185B"/>
    <w:rsid w:val="2D0B78AE"/>
    <w:rsid w:val="2D1142CB"/>
    <w:rsid w:val="2D12007D"/>
    <w:rsid w:val="2D1A734B"/>
    <w:rsid w:val="2D2352B0"/>
    <w:rsid w:val="2D377655"/>
    <w:rsid w:val="2D403484"/>
    <w:rsid w:val="2D430A35"/>
    <w:rsid w:val="2D651E34"/>
    <w:rsid w:val="2D6F1178"/>
    <w:rsid w:val="2D9147ED"/>
    <w:rsid w:val="2DAB5DC1"/>
    <w:rsid w:val="2DB31B82"/>
    <w:rsid w:val="2DBE4511"/>
    <w:rsid w:val="2DCF6FB5"/>
    <w:rsid w:val="2DD05EF0"/>
    <w:rsid w:val="2DD5614C"/>
    <w:rsid w:val="2DEC5D5C"/>
    <w:rsid w:val="2DED5CC6"/>
    <w:rsid w:val="2DF14475"/>
    <w:rsid w:val="2DF615EA"/>
    <w:rsid w:val="2DF83CAE"/>
    <w:rsid w:val="2DF9330D"/>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6C218E"/>
    <w:rsid w:val="2E754540"/>
    <w:rsid w:val="2E767F3F"/>
    <w:rsid w:val="2E7C5342"/>
    <w:rsid w:val="2E905186"/>
    <w:rsid w:val="2E9F5029"/>
    <w:rsid w:val="2EA5128A"/>
    <w:rsid w:val="2EAF6BF3"/>
    <w:rsid w:val="2EBD3305"/>
    <w:rsid w:val="2EBD7D6C"/>
    <w:rsid w:val="2ED2330B"/>
    <w:rsid w:val="2ED4221C"/>
    <w:rsid w:val="2EDA622A"/>
    <w:rsid w:val="2EDC447A"/>
    <w:rsid w:val="2EE5733A"/>
    <w:rsid w:val="2EE95130"/>
    <w:rsid w:val="2EEB6F16"/>
    <w:rsid w:val="2EEE11AC"/>
    <w:rsid w:val="2EFE35E8"/>
    <w:rsid w:val="2F0B779C"/>
    <w:rsid w:val="2F0D74C9"/>
    <w:rsid w:val="2F315682"/>
    <w:rsid w:val="2F416D1A"/>
    <w:rsid w:val="2F471C74"/>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43AC5"/>
    <w:rsid w:val="2FCC6F2B"/>
    <w:rsid w:val="2FDA5341"/>
    <w:rsid w:val="2FDB47FA"/>
    <w:rsid w:val="2FE53B49"/>
    <w:rsid w:val="303A70C4"/>
    <w:rsid w:val="303F08C7"/>
    <w:rsid w:val="30412492"/>
    <w:rsid w:val="304704C5"/>
    <w:rsid w:val="30594C7A"/>
    <w:rsid w:val="30615FED"/>
    <w:rsid w:val="30664AB1"/>
    <w:rsid w:val="306857C7"/>
    <w:rsid w:val="3069482A"/>
    <w:rsid w:val="306D6698"/>
    <w:rsid w:val="309713C6"/>
    <w:rsid w:val="309B5888"/>
    <w:rsid w:val="30A232E4"/>
    <w:rsid w:val="30A45AD9"/>
    <w:rsid w:val="30A772E8"/>
    <w:rsid w:val="30BC409C"/>
    <w:rsid w:val="30C50C66"/>
    <w:rsid w:val="30C61120"/>
    <w:rsid w:val="30C77493"/>
    <w:rsid w:val="30CC7B5D"/>
    <w:rsid w:val="30E738F1"/>
    <w:rsid w:val="30ED1711"/>
    <w:rsid w:val="31167200"/>
    <w:rsid w:val="311A10B7"/>
    <w:rsid w:val="312C69BA"/>
    <w:rsid w:val="31393DCB"/>
    <w:rsid w:val="31526AA3"/>
    <w:rsid w:val="315C42DF"/>
    <w:rsid w:val="3162183F"/>
    <w:rsid w:val="31636DC3"/>
    <w:rsid w:val="31664D59"/>
    <w:rsid w:val="316A224B"/>
    <w:rsid w:val="316D2854"/>
    <w:rsid w:val="316E556D"/>
    <w:rsid w:val="31712EBC"/>
    <w:rsid w:val="317465BC"/>
    <w:rsid w:val="317D5FB6"/>
    <w:rsid w:val="317F48CE"/>
    <w:rsid w:val="31886DD5"/>
    <w:rsid w:val="318A28BC"/>
    <w:rsid w:val="318B00D1"/>
    <w:rsid w:val="318C7F04"/>
    <w:rsid w:val="319C5AA7"/>
    <w:rsid w:val="319F465C"/>
    <w:rsid w:val="31A43C7A"/>
    <w:rsid w:val="31B14463"/>
    <w:rsid w:val="31BD57CC"/>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91ACF"/>
    <w:rsid w:val="333D7CDA"/>
    <w:rsid w:val="3365548D"/>
    <w:rsid w:val="336C20F6"/>
    <w:rsid w:val="337138B5"/>
    <w:rsid w:val="337630A8"/>
    <w:rsid w:val="337D6DD6"/>
    <w:rsid w:val="3382645E"/>
    <w:rsid w:val="33927D56"/>
    <w:rsid w:val="33936F97"/>
    <w:rsid w:val="339670C9"/>
    <w:rsid w:val="339B1966"/>
    <w:rsid w:val="339E0DDD"/>
    <w:rsid w:val="33A23507"/>
    <w:rsid w:val="33B052F1"/>
    <w:rsid w:val="33BB04D5"/>
    <w:rsid w:val="33C1178D"/>
    <w:rsid w:val="33C4646B"/>
    <w:rsid w:val="33CD5CBF"/>
    <w:rsid w:val="33CF6A93"/>
    <w:rsid w:val="33D36847"/>
    <w:rsid w:val="33D52CF0"/>
    <w:rsid w:val="33E3198C"/>
    <w:rsid w:val="33F352AE"/>
    <w:rsid w:val="33F66CF0"/>
    <w:rsid w:val="34051282"/>
    <w:rsid w:val="34073D78"/>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02028"/>
    <w:rsid w:val="34853B4C"/>
    <w:rsid w:val="3489757C"/>
    <w:rsid w:val="34983880"/>
    <w:rsid w:val="34992C7E"/>
    <w:rsid w:val="34B44B7E"/>
    <w:rsid w:val="34CA0B6E"/>
    <w:rsid w:val="34DB7DEB"/>
    <w:rsid w:val="34DC5274"/>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6192A"/>
    <w:rsid w:val="358F4C83"/>
    <w:rsid w:val="35994EE8"/>
    <w:rsid w:val="35A873D1"/>
    <w:rsid w:val="35AB6533"/>
    <w:rsid w:val="35B95A88"/>
    <w:rsid w:val="35C76FEA"/>
    <w:rsid w:val="35F27157"/>
    <w:rsid w:val="35F42227"/>
    <w:rsid w:val="3621472B"/>
    <w:rsid w:val="362F0EA3"/>
    <w:rsid w:val="36312097"/>
    <w:rsid w:val="3639704B"/>
    <w:rsid w:val="363B2715"/>
    <w:rsid w:val="36460B81"/>
    <w:rsid w:val="36495886"/>
    <w:rsid w:val="3656754F"/>
    <w:rsid w:val="36637A63"/>
    <w:rsid w:val="367B07A9"/>
    <w:rsid w:val="367F4F73"/>
    <w:rsid w:val="368D6448"/>
    <w:rsid w:val="36A83064"/>
    <w:rsid w:val="36BC7612"/>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6E5A1F"/>
    <w:rsid w:val="377A101B"/>
    <w:rsid w:val="377C4789"/>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862CF"/>
    <w:rsid w:val="38727B02"/>
    <w:rsid w:val="38743CBC"/>
    <w:rsid w:val="38812AD7"/>
    <w:rsid w:val="38926CA6"/>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62D99"/>
    <w:rsid w:val="38FA68B7"/>
    <w:rsid w:val="39020C1E"/>
    <w:rsid w:val="392B1828"/>
    <w:rsid w:val="393C1CBA"/>
    <w:rsid w:val="394161FE"/>
    <w:rsid w:val="394D58E5"/>
    <w:rsid w:val="39507379"/>
    <w:rsid w:val="395E36CB"/>
    <w:rsid w:val="39765BB5"/>
    <w:rsid w:val="39933B19"/>
    <w:rsid w:val="39A33CED"/>
    <w:rsid w:val="39B63F14"/>
    <w:rsid w:val="39BA4298"/>
    <w:rsid w:val="39BB11C0"/>
    <w:rsid w:val="39BC364C"/>
    <w:rsid w:val="39C55488"/>
    <w:rsid w:val="39E81284"/>
    <w:rsid w:val="39ED5AEC"/>
    <w:rsid w:val="39F25C1A"/>
    <w:rsid w:val="39FC33A7"/>
    <w:rsid w:val="3A094ECC"/>
    <w:rsid w:val="3A2B463D"/>
    <w:rsid w:val="3A2D4A6A"/>
    <w:rsid w:val="3A386A14"/>
    <w:rsid w:val="3A3C0A2C"/>
    <w:rsid w:val="3A3F6B21"/>
    <w:rsid w:val="3A453174"/>
    <w:rsid w:val="3A4F35AF"/>
    <w:rsid w:val="3A5133D0"/>
    <w:rsid w:val="3A52381C"/>
    <w:rsid w:val="3A58654F"/>
    <w:rsid w:val="3A687E26"/>
    <w:rsid w:val="3A8322BE"/>
    <w:rsid w:val="3AB127B5"/>
    <w:rsid w:val="3AC7728A"/>
    <w:rsid w:val="3ACB380C"/>
    <w:rsid w:val="3AD668BD"/>
    <w:rsid w:val="3AE21C17"/>
    <w:rsid w:val="3AE50B61"/>
    <w:rsid w:val="3AED2353"/>
    <w:rsid w:val="3AED318F"/>
    <w:rsid w:val="3AF6205F"/>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4270E"/>
    <w:rsid w:val="3B677A33"/>
    <w:rsid w:val="3B716F78"/>
    <w:rsid w:val="3B861B2F"/>
    <w:rsid w:val="3B8725C8"/>
    <w:rsid w:val="3B933D1F"/>
    <w:rsid w:val="3BA35552"/>
    <w:rsid w:val="3BA40D5C"/>
    <w:rsid w:val="3BB54638"/>
    <w:rsid w:val="3BBD597A"/>
    <w:rsid w:val="3BD62991"/>
    <w:rsid w:val="3BD95935"/>
    <w:rsid w:val="3BE10E55"/>
    <w:rsid w:val="3BEC0523"/>
    <w:rsid w:val="3BF34A5A"/>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71789"/>
    <w:rsid w:val="3C8D7A42"/>
    <w:rsid w:val="3C9508B9"/>
    <w:rsid w:val="3CBE1861"/>
    <w:rsid w:val="3CD06F1D"/>
    <w:rsid w:val="3CD9405C"/>
    <w:rsid w:val="3CDB019A"/>
    <w:rsid w:val="3CE83CA8"/>
    <w:rsid w:val="3CF672F5"/>
    <w:rsid w:val="3CF94902"/>
    <w:rsid w:val="3D11065F"/>
    <w:rsid w:val="3D2F4655"/>
    <w:rsid w:val="3D314067"/>
    <w:rsid w:val="3D32517E"/>
    <w:rsid w:val="3D340877"/>
    <w:rsid w:val="3D5B4B1B"/>
    <w:rsid w:val="3D7778E1"/>
    <w:rsid w:val="3D8E3A72"/>
    <w:rsid w:val="3DA509C7"/>
    <w:rsid w:val="3DAE2673"/>
    <w:rsid w:val="3DB159B2"/>
    <w:rsid w:val="3DBE32B1"/>
    <w:rsid w:val="3DC254CA"/>
    <w:rsid w:val="3DD31485"/>
    <w:rsid w:val="3DD64A42"/>
    <w:rsid w:val="3DD8521E"/>
    <w:rsid w:val="3DF473F7"/>
    <w:rsid w:val="3DFF7691"/>
    <w:rsid w:val="3E0C1BA4"/>
    <w:rsid w:val="3E21293C"/>
    <w:rsid w:val="3E2140BF"/>
    <w:rsid w:val="3E2538A4"/>
    <w:rsid w:val="3E30610D"/>
    <w:rsid w:val="3E3703FB"/>
    <w:rsid w:val="3E392133"/>
    <w:rsid w:val="3E6A644A"/>
    <w:rsid w:val="3E711D4C"/>
    <w:rsid w:val="3E7D113A"/>
    <w:rsid w:val="3E861F2A"/>
    <w:rsid w:val="3E865C72"/>
    <w:rsid w:val="3E886713"/>
    <w:rsid w:val="3E920965"/>
    <w:rsid w:val="3E92378D"/>
    <w:rsid w:val="3EA63B08"/>
    <w:rsid w:val="3EB7435F"/>
    <w:rsid w:val="3EC57D85"/>
    <w:rsid w:val="3ED5122D"/>
    <w:rsid w:val="3ED71DD3"/>
    <w:rsid w:val="3ED81093"/>
    <w:rsid w:val="3EED47C8"/>
    <w:rsid w:val="3EF76DEB"/>
    <w:rsid w:val="3F147322"/>
    <w:rsid w:val="3F1B7BDA"/>
    <w:rsid w:val="3F1E77AE"/>
    <w:rsid w:val="3F277CDA"/>
    <w:rsid w:val="3F2B4F32"/>
    <w:rsid w:val="3F4F53D8"/>
    <w:rsid w:val="3F6009A6"/>
    <w:rsid w:val="3F606DFC"/>
    <w:rsid w:val="3F6B19BB"/>
    <w:rsid w:val="3F6D721C"/>
    <w:rsid w:val="3F7561FB"/>
    <w:rsid w:val="3F775701"/>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EE07F8"/>
    <w:rsid w:val="3FF03FC2"/>
    <w:rsid w:val="400F586A"/>
    <w:rsid w:val="401546BB"/>
    <w:rsid w:val="40175FA1"/>
    <w:rsid w:val="40225FCC"/>
    <w:rsid w:val="402C43AB"/>
    <w:rsid w:val="402D0F85"/>
    <w:rsid w:val="4031573F"/>
    <w:rsid w:val="403329CA"/>
    <w:rsid w:val="403645F3"/>
    <w:rsid w:val="4037142D"/>
    <w:rsid w:val="403F51D3"/>
    <w:rsid w:val="40491F46"/>
    <w:rsid w:val="405A2AD0"/>
    <w:rsid w:val="407658B9"/>
    <w:rsid w:val="407F7AEC"/>
    <w:rsid w:val="409450AA"/>
    <w:rsid w:val="40952C78"/>
    <w:rsid w:val="40A86353"/>
    <w:rsid w:val="40AC46DB"/>
    <w:rsid w:val="40CC47B9"/>
    <w:rsid w:val="40D07877"/>
    <w:rsid w:val="40D571A8"/>
    <w:rsid w:val="40E41DEF"/>
    <w:rsid w:val="40E9118A"/>
    <w:rsid w:val="40EA7211"/>
    <w:rsid w:val="40F17FA1"/>
    <w:rsid w:val="40F2485A"/>
    <w:rsid w:val="40F47F9D"/>
    <w:rsid w:val="40FC47E1"/>
    <w:rsid w:val="410F36BC"/>
    <w:rsid w:val="41345493"/>
    <w:rsid w:val="4138297C"/>
    <w:rsid w:val="415C1E5E"/>
    <w:rsid w:val="417D21A8"/>
    <w:rsid w:val="4188317F"/>
    <w:rsid w:val="41924FB9"/>
    <w:rsid w:val="41A623DC"/>
    <w:rsid w:val="41AD378E"/>
    <w:rsid w:val="41AD6698"/>
    <w:rsid w:val="41B34DF1"/>
    <w:rsid w:val="41BB0480"/>
    <w:rsid w:val="41BF708C"/>
    <w:rsid w:val="41CC6917"/>
    <w:rsid w:val="41DA6ADE"/>
    <w:rsid w:val="41F20E3F"/>
    <w:rsid w:val="41F32255"/>
    <w:rsid w:val="42041BE8"/>
    <w:rsid w:val="42097713"/>
    <w:rsid w:val="420D42E6"/>
    <w:rsid w:val="421729DE"/>
    <w:rsid w:val="42181B5C"/>
    <w:rsid w:val="42186FAF"/>
    <w:rsid w:val="42436B6D"/>
    <w:rsid w:val="424F7CB9"/>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F3074"/>
    <w:rsid w:val="42F02AD9"/>
    <w:rsid w:val="42F27836"/>
    <w:rsid w:val="42F51935"/>
    <w:rsid w:val="42F531CE"/>
    <w:rsid w:val="42FF4BE0"/>
    <w:rsid w:val="430A6E5A"/>
    <w:rsid w:val="430F6EAD"/>
    <w:rsid w:val="431303D0"/>
    <w:rsid w:val="432809C5"/>
    <w:rsid w:val="432B4569"/>
    <w:rsid w:val="432C30FD"/>
    <w:rsid w:val="4330416F"/>
    <w:rsid w:val="433D4998"/>
    <w:rsid w:val="433E2AAC"/>
    <w:rsid w:val="434A0B41"/>
    <w:rsid w:val="434D3A87"/>
    <w:rsid w:val="434F7A62"/>
    <w:rsid w:val="43633E12"/>
    <w:rsid w:val="436752A6"/>
    <w:rsid w:val="43804E58"/>
    <w:rsid w:val="43843FDD"/>
    <w:rsid w:val="439F0E69"/>
    <w:rsid w:val="43A221AB"/>
    <w:rsid w:val="43AD2778"/>
    <w:rsid w:val="43D67F21"/>
    <w:rsid w:val="43D7406A"/>
    <w:rsid w:val="43DC5799"/>
    <w:rsid w:val="43E531EC"/>
    <w:rsid w:val="43F42B17"/>
    <w:rsid w:val="441115BA"/>
    <w:rsid w:val="441A3D23"/>
    <w:rsid w:val="441D4B04"/>
    <w:rsid w:val="441E1F6C"/>
    <w:rsid w:val="44284DFE"/>
    <w:rsid w:val="443B29FC"/>
    <w:rsid w:val="443B4DCB"/>
    <w:rsid w:val="443D5D23"/>
    <w:rsid w:val="44564AB1"/>
    <w:rsid w:val="445E3393"/>
    <w:rsid w:val="4464327A"/>
    <w:rsid w:val="446A3FBF"/>
    <w:rsid w:val="447F2736"/>
    <w:rsid w:val="44BC57EA"/>
    <w:rsid w:val="44BD072C"/>
    <w:rsid w:val="44BF57D9"/>
    <w:rsid w:val="44C367B8"/>
    <w:rsid w:val="44D8473A"/>
    <w:rsid w:val="44D97BD3"/>
    <w:rsid w:val="44DB259F"/>
    <w:rsid w:val="44E37827"/>
    <w:rsid w:val="44E701A5"/>
    <w:rsid w:val="44F1532A"/>
    <w:rsid w:val="44FD4B05"/>
    <w:rsid w:val="4504286C"/>
    <w:rsid w:val="45080D22"/>
    <w:rsid w:val="450E74EC"/>
    <w:rsid w:val="451900C5"/>
    <w:rsid w:val="451C5E07"/>
    <w:rsid w:val="45265484"/>
    <w:rsid w:val="452D1DC2"/>
    <w:rsid w:val="452D74E0"/>
    <w:rsid w:val="45330528"/>
    <w:rsid w:val="45392515"/>
    <w:rsid w:val="45396AC7"/>
    <w:rsid w:val="45536CBB"/>
    <w:rsid w:val="45606FDE"/>
    <w:rsid w:val="457458E3"/>
    <w:rsid w:val="45756CBD"/>
    <w:rsid w:val="45777091"/>
    <w:rsid w:val="457C4123"/>
    <w:rsid w:val="45855844"/>
    <w:rsid w:val="458B69F6"/>
    <w:rsid w:val="458F482B"/>
    <w:rsid w:val="45A40F60"/>
    <w:rsid w:val="45A647C9"/>
    <w:rsid w:val="45A84C46"/>
    <w:rsid w:val="45A94A5A"/>
    <w:rsid w:val="45C325DF"/>
    <w:rsid w:val="45C4558B"/>
    <w:rsid w:val="45C943D0"/>
    <w:rsid w:val="45CC116E"/>
    <w:rsid w:val="45DA04A4"/>
    <w:rsid w:val="45DA6D30"/>
    <w:rsid w:val="45DE14B8"/>
    <w:rsid w:val="45E16709"/>
    <w:rsid w:val="45EC271B"/>
    <w:rsid w:val="46116C98"/>
    <w:rsid w:val="46232DCE"/>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B7947"/>
    <w:rsid w:val="46E50172"/>
    <w:rsid w:val="46E542E8"/>
    <w:rsid w:val="46EC66D6"/>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57C94"/>
    <w:rsid w:val="47873BD6"/>
    <w:rsid w:val="478962C2"/>
    <w:rsid w:val="47934980"/>
    <w:rsid w:val="47A41ED7"/>
    <w:rsid w:val="47A56D2C"/>
    <w:rsid w:val="47B2336A"/>
    <w:rsid w:val="47BA4F6E"/>
    <w:rsid w:val="47C475D0"/>
    <w:rsid w:val="47C6198F"/>
    <w:rsid w:val="47D7366E"/>
    <w:rsid w:val="47E12DA0"/>
    <w:rsid w:val="48645AFB"/>
    <w:rsid w:val="486C3D94"/>
    <w:rsid w:val="487216E8"/>
    <w:rsid w:val="48773D46"/>
    <w:rsid w:val="487877F8"/>
    <w:rsid w:val="487E7587"/>
    <w:rsid w:val="4887459B"/>
    <w:rsid w:val="48884E39"/>
    <w:rsid w:val="48A226AD"/>
    <w:rsid w:val="48B2699F"/>
    <w:rsid w:val="48B67D8D"/>
    <w:rsid w:val="48C260C0"/>
    <w:rsid w:val="48D26D9A"/>
    <w:rsid w:val="48DA7E13"/>
    <w:rsid w:val="48E47706"/>
    <w:rsid w:val="4902628A"/>
    <w:rsid w:val="490B2882"/>
    <w:rsid w:val="49116A8B"/>
    <w:rsid w:val="4912008E"/>
    <w:rsid w:val="49134EAB"/>
    <w:rsid w:val="492412C0"/>
    <w:rsid w:val="49302BF1"/>
    <w:rsid w:val="494E7D53"/>
    <w:rsid w:val="49554334"/>
    <w:rsid w:val="49725BF5"/>
    <w:rsid w:val="49755E59"/>
    <w:rsid w:val="4988006D"/>
    <w:rsid w:val="498E0547"/>
    <w:rsid w:val="499646A6"/>
    <w:rsid w:val="499F4D25"/>
    <w:rsid w:val="49A63EF1"/>
    <w:rsid w:val="49AC0AB2"/>
    <w:rsid w:val="49B26E0D"/>
    <w:rsid w:val="49B36FE4"/>
    <w:rsid w:val="49BB06FB"/>
    <w:rsid w:val="49BC2A68"/>
    <w:rsid w:val="49C95D53"/>
    <w:rsid w:val="49CE5884"/>
    <w:rsid w:val="49DD60C4"/>
    <w:rsid w:val="49E91D24"/>
    <w:rsid w:val="49EB7211"/>
    <w:rsid w:val="49EC47D8"/>
    <w:rsid w:val="49F04BCB"/>
    <w:rsid w:val="49F17862"/>
    <w:rsid w:val="49FD451C"/>
    <w:rsid w:val="4A037F21"/>
    <w:rsid w:val="4A152F65"/>
    <w:rsid w:val="4A1A3486"/>
    <w:rsid w:val="4A1E617D"/>
    <w:rsid w:val="4A3D4856"/>
    <w:rsid w:val="4A3E0914"/>
    <w:rsid w:val="4A3F1207"/>
    <w:rsid w:val="4A4200BE"/>
    <w:rsid w:val="4A4D4DB2"/>
    <w:rsid w:val="4A5527FC"/>
    <w:rsid w:val="4A57472F"/>
    <w:rsid w:val="4A6E0EB3"/>
    <w:rsid w:val="4A715E3D"/>
    <w:rsid w:val="4A9A1CA8"/>
    <w:rsid w:val="4AB72982"/>
    <w:rsid w:val="4AE51F28"/>
    <w:rsid w:val="4AF42A0E"/>
    <w:rsid w:val="4AF64A04"/>
    <w:rsid w:val="4B03235C"/>
    <w:rsid w:val="4B17690E"/>
    <w:rsid w:val="4B1B2082"/>
    <w:rsid w:val="4B224ECB"/>
    <w:rsid w:val="4B2D336A"/>
    <w:rsid w:val="4B336491"/>
    <w:rsid w:val="4B60560D"/>
    <w:rsid w:val="4B630CDF"/>
    <w:rsid w:val="4B635F8B"/>
    <w:rsid w:val="4B643369"/>
    <w:rsid w:val="4B65032C"/>
    <w:rsid w:val="4B6973ED"/>
    <w:rsid w:val="4B712A43"/>
    <w:rsid w:val="4B82202B"/>
    <w:rsid w:val="4B863FDA"/>
    <w:rsid w:val="4B97620C"/>
    <w:rsid w:val="4BA60D92"/>
    <w:rsid w:val="4BB56E75"/>
    <w:rsid w:val="4BBE1692"/>
    <w:rsid w:val="4BCA0C2B"/>
    <w:rsid w:val="4BCC5D64"/>
    <w:rsid w:val="4BCD1C09"/>
    <w:rsid w:val="4BD5655B"/>
    <w:rsid w:val="4BD65A7B"/>
    <w:rsid w:val="4BF43EA0"/>
    <w:rsid w:val="4C0830E8"/>
    <w:rsid w:val="4C0B49E3"/>
    <w:rsid w:val="4C180EC0"/>
    <w:rsid w:val="4C2B4BD2"/>
    <w:rsid w:val="4C3E4345"/>
    <w:rsid w:val="4C40066C"/>
    <w:rsid w:val="4C4B6676"/>
    <w:rsid w:val="4C4D36BA"/>
    <w:rsid w:val="4C543AEB"/>
    <w:rsid w:val="4C636610"/>
    <w:rsid w:val="4C696745"/>
    <w:rsid w:val="4C737423"/>
    <w:rsid w:val="4C79213B"/>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A5D2C"/>
    <w:rsid w:val="4D2C67F8"/>
    <w:rsid w:val="4D31476E"/>
    <w:rsid w:val="4D3A07DD"/>
    <w:rsid w:val="4D3B1A90"/>
    <w:rsid w:val="4D416E20"/>
    <w:rsid w:val="4D4817B2"/>
    <w:rsid w:val="4D547564"/>
    <w:rsid w:val="4D6C65CD"/>
    <w:rsid w:val="4D8217BA"/>
    <w:rsid w:val="4D9315DB"/>
    <w:rsid w:val="4D9C1BB4"/>
    <w:rsid w:val="4DA43BF6"/>
    <w:rsid w:val="4DAA2DE6"/>
    <w:rsid w:val="4DBD546D"/>
    <w:rsid w:val="4DC65A69"/>
    <w:rsid w:val="4DD038DE"/>
    <w:rsid w:val="4DDE4635"/>
    <w:rsid w:val="4DEF7E89"/>
    <w:rsid w:val="4DF4626D"/>
    <w:rsid w:val="4DF5153D"/>
    <w:rsid w:val="4DFC20A2"/>
    <w:rsid w:val="4DFF1B97"/>
    <w:rsid w:val="4E01203E"/>
    <w:rsid w:val="4E020B1B"/>
    <w:rsid w:val="4E043535"/>
    <w:rsid w:val="4E1230F9"/>
    <w:rsid w:val="4E1362FB"/>
    <w:rsid w:val="4E211996"/>
    <w:rsid w:val="4E213912"/>
    <w:rsid w:val="4E25360E"/>
    <w:rsid w:val="4E2719FC"/>
    <w:rsid w:val="4E41684D"/>
    <w:rsid w:val="4E5E12F1"/>
    <w:rsid w:val="4E604FB7"/>
    <w:rsid w:val="4E62045F"/>
    <w:rsid w:val="4E731B38"/>
    <w:rsid w:val="4E783F31"/>
    <w:rsid w:val="4E881E17"/>
    <w:rsid w:val="4EAC689C"/>
    <w:rsid w:val="4EB25AA5"/>
    <w:rsid w:val="4ECC32FB"/>
    <w:rsid w:val="4EDD2691"/>
    <w:rsid w:val="4EF911E3"/>
    <w:rsid w:val="4EF94046"/>
    <w:rsid w:val="4F003827"/>
    <w:rsid w:val="4F0048E8"/>
    <w:rsid w:val="4F037C1C"/>
    <w:rsid w:val="4F0C760F"/>
    <w:rsid w:val="4F15188C"/>
    <w:rsid w:val="4F162F8C"/>
    <w:rsid w:val="4F255836"/>
    <w:rsid w:val="4F29165C"/>
    <w:rsid w:val="4F3C7E8D"/>
    <w:rsid w:val="4F3F24FD"/>
    <w:rsid w:val="4F4F67C3"/>
    <w:rsid w:val="4F542EE9"/>
    <w:rsid w:val="4F580453"/>
    <w:rsid w:val="4F602D94"/>
    <w:rsid w:val="4F647CAE"/>
    <w:rsid w:val="4F7F4759"/>
    <w:rsid w:val="4F85685A"/>
    <w:rsid w:val="4F883FE5"/>
    <w:rsid w:val="4F8A3560"/>
    <w:rsid w:val="4F8A6E9D"/>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56FE"/>
    <w:rsid w:val="508B7406"/>
    <w:rsid w:val="509F73B0"/>
    <w:rsid w:val="50B26A6B"/>
    <w:rsid w:val="50B645AF"/>
    <w:rsid w:val="50C20F4E"/>
    <w:rsid w:val="50C51101"/>
    <w:rsid w:val="50CD4459"/>
    <w:rsid w:val="50D40C4B"/>
    <w:rsid w:val="50E46F54"/>
    <w:rsid w:val="50F26FD7"/>
    <w:rsid w:val="50F27DC3"/>
    <w:rsid w:val="50F93207"/>
    <w:rsid w:val="510A0B7F"/>
    <w:rsid w:val="510E0858"/>
    <w:rsid w:val="510F5BEA"/>
    <w:rsid w:val="512978E2"/>
    <w:rsid w:val="512F07EA"/>
    <w:rsid w:val="5130002C"/>
    <w:rsid w:val="514054DD"/>
    <w:rsid w:val="5144267E"/>
    <w:rsid w:val="514D07CA"/>
    <w:rsid w:val="51604849"/>
    <w:rsid w:val="51747844"/>
    <w:rsid w:val="51777F08"/>
    <w:rsid w:val="51797862"/>
    <w:rsid w:val="517D6B05"/>
    <w:rsid w:val="51806E48"/>
    <w:rsid w:val="51912DDA"/>
    <w:rsid w:val="51915487"/>
    <w:rsid w:val="519B7908"/>
    <w:rsid w:val="51AB47E1"/>
    <w:rsid w:val="51AD4828"/>
    <w:rsid w:val="51B047FE"/>
    <w:rsid w:val="51B204B9"/>
    <w:rsid w:val="51B56296"/>
    <w:rsid w:val="51BB3147"/>
    <w:rsid w:val="51C72834"/>
    <w:rsid w:val="51DA0BDC"/>
    <w:rsid w:val="51E16066"/>
    <w:rsid w:val="51E74EF3"/>
    <w:rsid w:val="520C2961"/>
    <w:rsid w:val="522F500B"/>
    <w:rsid w:val="523852D6"/>
    <w:rsid w:val="523A7DCF"/>
    <w:rsid w:val="523E2509"/>
    <w:rsid w:val="523E768F"/>
    <w:rsid w:val="5242577E"/>
    <w:rsid w:val="524900EE"/>
    <w:rsid w:val="52530988"/>
    <w:rsid w:val="52631C79"/>
    <w:rsid w:val="52683892"/>
    <w:rsid w:val="527076ED"/>
    <w:rsid w:val="5278251C"/>
    <w:rsid w:val="52783884"/>
    <w:rsid w:val="52866565"/>
    <w:rsid w:val="529D66D8"/>
    <w:rsid w:val="529E7E5B"/>
    <w:rsid w:val="52A5407B"/>
    <w:rsid w:val="52A87A96"/>
    <w:rsid w:val="52AC28BC"/>
    <w:rsid w:val="52B05067"/>
    <w:rsid w:val="52B432C1"/>
    <w:rsid w:val="52CC01AE"/>
    <w:rsid w:val="52CC23E6"/>
    <w:rsid w:val="52D05C12"/>
    <w:rsid w:val="52D23FA9"/>
    <w:rsid w:val="52D7787C"/>
    <w:rsid w:val="52E07238"/>
    <w:rsid w:val="52EA11D5"/>
    <w:rsid w:val="52EF49AD"/>
    <w:rsid w:val="5329120F"/>
    <w:rsid w:val="53314CE8"/>
    <w:rsid w:val="53360094"/>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0673A"/>
    <w:rsid w:val="53D31D47"/>
    <w:rsid w:val="53DD499C"/>
    <w:rsid w:val="53DF56E0"/>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F55D2D"/>
    <w:rsid w:val="54FE4EC4"/>
    <w:rsid w:val="55022976"/>
    <w:rsid w:val="551A2201"/>
    <w:rsid w:val="551C096F"/>
    <w:rsid w:val="55240097"/>
    <w:rsid w:val="552A0691"/>
    <w:rsid w:val="552C3D46"/>
    <w:rsid w:val="554D13EE"/>
    <w:rsid w:val="55651AA0"/>
    <w:rsid w:val="556E778F"/>
    <w:rsid w:val="55797798"/>
    <w:rsid w:val="557C57EF"/>
    <w:rsid w:val="558163EB"/>
    <w:rsid w:val="55854A5F"/>
    <w:rsid w:val="559341A6"/>
    <w:rsid w:val="5594298A"/>
    <w:rsid w:val="559F4616"/>
    <w:rsid w:val="55A0213D"/>
    <w:rsid w:val="55A167FB"/>
    <w:rsid w:val="55A45A9F"/>
    <w:rsid w:val="55B17EA6"/>
    <w:rsid w:val="55B306A4"/>
    <w:rsid w:val="55C57ADE"/>
    <w:rsid w:val="55CE22F2"/>
    <w:rsid w:val="55F936EF"/>
    <w:rsid w:val="55FA0B36"/>
    <w:rsid w:val="56160365"/>
    <w:rsid w:val="56162CC9"/>
    <w:rsid w:val="561717F3"/>
    <w:rsid w:val="561E54E3"/>
    <w:rsid w:val="564D4072"/>
    <w:rsid w:val="565F0360"/>
    <w:rsid w:val="566030D8"/>
    <w:rsid w:val="566539D0"/>
    <w:rsid w:val="566E6821"/>
    <w:rsid w:val="56812FF6"/>
    <w:rsid w:val="5697353F"/>
    <w:rsid w:val="569F32F8"/>
    <w:rsid w:val="56A8416C"/>
    <w:rsid w:val="56CA56C3"/>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C2221D"/>
    <w:rsid w:val="57C42129"/>
    <w:rsid w:val="57D52B76"/>
    <w:rsid w:val="57DC1CDA"/>
    <w:rsid w:val="57E1536E"/>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349D9"/>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7F36B6"/>
    <w:rsid w:val="598A15DC"/>
    <w:rsid w:val="59941B20"/>
    <w:rsid w:val="59946373"/>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66FC0"/>
    <w:rsid w:val="5A2817A5"/>
    <w:rsid w:val="5A3526A3"/>
    <w:rsid w:val="5A4A072C"/>
    <w:rsid w:val="5A4E41C1"/>
    <w:rsid w:val="5A6210CC"/>
    <w:rsid w:val="5A654D08"/>
    <w:rsid w:val="5A7348C9"/>
    <w:rsid w:val="5A7521D8"/>
    <w:rsid w:val="5A7E7218"/>
    <w:rsid w:val="5A7F4506"/>
    <w:rsid w:val="5A936069"/>
    <w:rsid w:val="5A961224"/>
    <w:rsid w:val="5A9725BE"/>
    <w:rsid w:val="5AB02E22"/>
    <w:rsid w:val="5AC76508"/>
    <w:rsid w:val="5ACA5B88"/>
    <w:rsid w:val="5AD45AFB"/>
    <w:rsid w:val="5AD61113"/>
    <w:rsid w:val="5AF72A21"/>
    <w:rsid w:val="5AFC1624"/>
    <w:rsid w:val="5B010744"/>
    <w:rsid w:val="5B095493"/>
    <w:rsid w:val="5B115BA8"/>
    <w:rsid w:val="5B235AE9"/>
    <w:rsid w:val="5B246A53"/>
    <w:rsid w:val="5B33382B"/>
    <w:rsid w:val="5B416E74"/>
    <w:rsid w:val="5B433C96"/>
    <w:rsid w:val="5B437EA2"/>
    <w:rsid w:val="5B534ED1"/>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30933"/>
    <w:rsid w:val="5BC9548B"/>
    <w:rsid w:val="5BE16D34"/>
    <w:rsid w:val="5BF84DDB"/>
    <w:rsid w:val="5BFB1B82"/>
    <w:rsid w:val="5C036F81"/>
    <w:rsid w:val="5C111338"/>
    <w:rsid w:val="5C1C7821"/>
    <w:rsid w:val="5C3419FF"/>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7838"/>
    <w:rsid w:val="5CEC3A93"/>
    <w:rsid w:val="5CEF405D"/>
    <w:rsid w:val="5CF62188"/>
    <w:rsid w:val="5CFE5040"/>
    <w:rsid w:val="5D1341B2"/>
    <w:rsid w:val="5D1405A6"/>
    <w:rsid w:val="5D154AF0"/>
    <w:rsid w:val="5D251093"/>
    <w:rsid w:val="5D275A93"/>
    <w:rsid w:val="5D287B54"/>
    <w:rsid w:val="5D3047D1"/>
    <w:rsid w:val="5D483FF4"/>
    <w:rsid w:val="5D494018"/>
    <w:rsid w:val="5D4D31C7"/>
    <w:rsid w:val="5D6A7A02"/>
    <w:rsid w:val="5D6B14A2"/>
    <w:rsid w:val="5D6D664D"/>
    <w:rsid w:val="5D816F8F"/>
    <w:rsid w:val="5D8A2AFF"/>
    <w:rsid w:val="5D9142A9"/>
    <w:rsid w:val="5D9B0E6A"/>
    <w:rsid w:val="5D9E1AED"/>
    <w:rsid w:val="5D9E4E16"/>
    <w:rsid w:val="5DAF46CB"/>
    <w:rsid w:val="5DBA0135"/>
    <w:rsid w:val="5DC0337C"/>
    <w:rsid w:val="5DCD5DE5"/>
    <w:rsid w:val="5DD437EF"/>
    <w:rsid w:val="5DF16302"/>
    <w:rsid w:val="5DFB118E"/>
    <w:rsid w:val="5DFF4B46"/>
    <w:rsid w:val="5E191028"/>
    <w:rsid w:val="5E20206C"/>
    <w:rsid w:val="5E227B93"/>
    <w:rsid w:val="5E384714"/>
    <w:rsid w:val="5E3B0A10"/>
    <w:rsid w:val="5E424B71"/>
    <w:rsid w:val="5E5D3945"/>
    <w:rsid w:val="5E6A153A"/>
    <w:rsid w:val="5E881A80"/>
    <w:rsid w:val="5E9200BF"/>
    <w:rsid w:val="5EA8567A"/>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181BAE"/>
    <w:rsid w:val="5F2D435B"/>
    <w:rsid w:val="5F4475AE"/>
    <w:rsid w:val="5F4A6799"/>
    <w:rsid w:val="5F6C2424"/>
    <w:rsid w:val="5F6E718C"/>
    <w:rsid w:val="5F79569F"/>
    <w:rsid w:val="5F946A7C"/>
    <w:rsid w:val="5F964E5F"/>
    <w:rsid w:val="5FBA79B0"/>
    <w:rsid w:val="5FC61813"/>
    <w:rsid w:val="5FCD0FAE"/>
    <w:rsid w:val="5FD27396"/>
    <w:rsid w:val="5FD57CF6"/>
    <w:rsid w:val="5FDE7B88"/>
    <w:rsid w:val="5FE43EEF"/>
    <w:rsid w:val="5FF50EAD"/>
    <w:rsid w:val="5FFE6E0D"/>
    <w:rsid w:val="60026E14"/>
    <w:rsid w:val="600676E3"/>
    <w:rsid w:val="600F4147"/>
    <w:rsid w:val="601C5687"/>
    <w:rsid w:val="602219B8"/>
    <w:rsid w:val="60241126"/>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BA4AAB"/>
    <w:rsid w:val="60C15BBD"/>
    <w:rsid w:val="60C33C2B"/>
    <w:rsid w:val="60E253D9"/>
    <w:rsid w:val="60E82CA1"/>
    <w:rsid w:val="60E97ACC"/>
    <w:rsid w:val="60EE6DFC"/>
    <w:rsid w:val="60F15F42"/>
    <w:rsid w:val="60F168D4"/>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EC60AB"/>
    <w:rsid w:val="61F2797D"/>
    <w:rsid w:val="61FC1ECB"/>
    <w:rsid w:val="62095D9E"/>
    <w:rsid w:val="621355E2"/>
    <w:rsid w:val="621B5631"/>
    <w:rsid w:val="6239307B"/>
    <w:rsid w:val="62455E7F"/>
    <w:rsid w:val="624C125B"/>
    <w:rsid w:val="62612D73"/>
    <w:rsid w:val="626D1DCC"/>
    <w:rsid w:val="626D5F91"/>
    <w:rsid w:val="62787EEC"/>
    <w:rsid w:val="627E7D9D"/>
    <w:rsid w:val="62810C2D"/>
    <w:rsid w:val="628407FE"/>
    <w:rsid w:val="62851594"/>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641914"/>
    <w:rsid w:val="63716247"/>
    <w:rsid w:val="63743838"/>
    <w:rsid w:val="637455EF"/>
    <w:rsid w:val="637509AF"/>
    <w:rsid w:val="638730C9"/>
    <w:rsid w:val="63A23228"/>
    <w:rsid w:val="63AB5D44"/>
    <w:rsid w:val="63AC528F"/>
    <w:rsid w:val="63B04CF8"/>
    <w:rsid w:val="63BA7188"/>
    <w:rsid w:val="63BF796E"/>
    <w:rsid w:val="63C65464"/>
    <w:rsid w:val="63C8241B"/>
    <w:rsid w:val="63C86E42"/>
    <w:rsid w:val="63DF59C2"/>
    <w:rsid w:val="63E6136F"/>
    <w:rsid w:val="63EA625B"/>
    <w:rsid w:val="63EF5D9F"/>
    <w:rsid w:val="63FC6F31"/>
    <w:rsid w:val="64276546"/>
    <w:rsid w:val="642E4F72"/>
    <w:rsid w:val="64385E65"/>
    <w:rsid w:val="64395C36"/>
    <w:rsid w:val="64405FB0"/>
    <w:rsid w:val="64497199"/>
    <w:rsid w:val="644B3B98"/>
    <w:rsid w:val="646469D4"/>
    <w:rsid w:val="647A419D"/>
    <w:rsid w:val="64846083"/>
    <w:rsid w:val="64851089"/>
    <w:rsid w:val="648C0E64"/>
    <w:rsid w:val="649445F6"/>
    <w:rsid w:val="64983CC9"/>
    <w:rsid w:val="64B109D5"/>
    <w:rsid w:val="64CB617B"/>
    <w:rsid w:val="64E43E7F"/>
    <w:rsid w:val="64EC2CA8"/>
    <w:rsid w:val="64FE5C71"/>
    <w:rsid w:val="65007BC5"/>
    <w:rsid w:val="650E58CD"/>
    <w:rsid w:val="65107E36"/>
    <w:rsid w:val="65183A9D"/>
    <w:rsid w:val="65354E1B"/>
    <w:rsid w:val="654E476E"/>
    <w:rsid w:val="65631B13"/>
    <w:rsid w:val="657B11CD"/>
    <w:rsid w:val="6581003A"/>
    <w:rsid w:val="658A6BCD"/>
    <w:rsid w:val="659D0782"/>
    <w:rsid w:val="659D7C90"/>
    <w:rsid w:val="65A25A5D"/>
    <w:rsid w:val="65A74CE3"/>
    <w:rsid w:val="65B07F96"/>
    <w:rsid w:val="65C85C1B"/>
    <w:rsid w:val="65D04EEB"/>
    <w:rsid w:val="65D424B9"/>
    <w:rsid w:val="65DB6E4D"/>
    <w:rsid w:val="65E31DEE"/>
    <w:rsid w:val="65E816C2"/>
    <w:rsid w:val="65F334C9"/>
    <w:rsid w:val="66001BA4"/>
    <w:rsid w:val="66025947"/>
    <w:rsid w:val="6618187B"/>
    <w:rsid w:val="662303C6"/>
    <w:rsid w:val="662C6373"/>
    <w:rsid w:val="663C583B"/>
    <w:rsid w:val="663C7469"/>
    <w:rsid w:val="664903D5"/>
    <w:rsid w:val="664D3C1B"/>
    <w:rsid w:val="66690859"/>
    <w:rsid w:val="666D1D58"/>
    <w:rsid w:val="667747F4"/>
    <w:rsid w:val="66A54030"/>
    <w:rsid w:val="66A71014"/>
    <w:rsid w:val="66B8269C"/>
    <w:rsid w:val="66DA6749"/>
    <w:rsid w:val="66F57243"/>
    <w:rsid w:val="670215DF"/>
    <w:rsid w:val="671D46C8"/>
    <w:rsid w:val="671F22A3"/>
    <w:rsid w:val="67291A35"/>
    <w:rsid w:val="673669FF"/>
    <w:rsid w:val="67393CB7"/>
    <w:rsid w:val="673C6439"/>
    <w:rsid w:val="67406A12"/>
    <w:rsid w:val="675C1FE9"/>
    <w:rsid w:val="676166A9"/>
    <w:rsid w:val="67624FF0"/>
    <w:rsid w:val="676A0B2B"/>
    <w:rsid w:val="676C3006"/>
    <w:rsid w:val="677172D3"/>
    <w:rsid w:val="67827A7F"/>
    <w:rsid w:val="679C2007"/>
    <w:rsid w:val="679D472E"/>
    <w:rsid w:val="67A667D3"/>
    <w:rsid w:val="67A74C82"/>
    <w:rsid w:val="67A95111"/>
    <w:rsid w:val="67B845F6"/>
    <w:rsid w:val="67C365BF"/>
    <w:rsid w:val="67D8341E"/>
    <w:rsid w:val="67E46FF5"/>
    <w:rsid w:val="67E66A6F"/>
    <w:rsid w:val="67EB2D8A"/>
    <w:rsid w:val="67ED6C16"/>
    <w:rsid w:val="67F75CD0"/>
    <w:rsid w:val="680A6C82"/>
    <w:rsid w:val="681A7B2C"/>
    <w:rsid w:val="681C4E3A"/>
    <w:rsid w:val="6824034C"/>
    <w:rsid w:val="68340E40"/>
    <w:rsid w:val="683A1C4F"/>
    <w:rsid w:val="683E3347"/>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2F2736"/>
    <w:rsid w:val="694A5AE0"/>
    <w:rsid w:val="694E046E"/>
    <w:rsid w:val="696279DD"/>
    <w:rsid w:val="69652D27"/>
    <w:rsid w:val="696F21D5"/>
    <w:rsid w:val="696F6B93"/>
    <w:rsid w:val="697269FC"/>
    <w:rsid w:val="69731BEA"/>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63C7B"/>
    <w:rsid w:val="6ADB41F3"/>
    <w:rsid w:val="6AF62540"/>
    <w:rsid w:val="6AFB4F4A"/>
    <w:rsid w:val="6AFC5C0F"/>
    <w:rsid w:val="6B080110"/>
    <w:rsid w:val="6B12444F"/>
    <w:rsid w:val="6B2A12A7"/>
    <w:rsid w:val="6B2B5527"/>
    <w:rsid w:val="6B2D401B"/>
    <w:rsid w:val="6B2F1B41"/>
    <w:rsid w:val="6B301415"/>
    <w:rsid w:val="6B405AFC"/>
    <w:rsid w:val="6B4533C9"/>
    <w:rsid w:val="6B5C39DF"/>
    <w:rsid w:val="6B5E11EE"/>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33CAF"/>
    <w:rsid w:val="6C7457E7"/>
    <w:rsid w:val="6C7D6E82"/>
    <w:rsid w:val="6C8311C3"/>
    <w:rsid w:val="6C8C5C8D"/>
    <w:rsid w:val="6C8E2897"/>
    <w:rsid w:val="6C924BA3"/>
    <w:rsid w:val="6CA5691E"/>
    <w:rsid w:val="6CA67251"/>
    <w:rsid w:val="6CB56076"/>
    <w:rsid w:val="6CBF0EFA"/>
    <w:rsid w:val="6CC96475"/>
    <w:rsid w:val="6CCC7349"/>
    <w:rsid w:val="6CD14E74"/>
    <w:rsid w:val="6CD446E0"/>
    <w:rsid w:val="6CFC1EEB"/>
    <w:rsid w:val="6CFD2D93"/>
    <w:rsid w:val="6D06067F"/>
    <w:rsid w:val="6D0B5F7A"/>
    <w:rsid w:val="6D1B3C07"/>
    <w:rsid w:val="6D290842"/>
    <w:rsid w:val="6D334FAA"/>
    <w:rsid w:val="6D3B2F57"/>
    <w:rsid w:val="6D3C3588"/>
    <w:rsid w:val="6D415391"/>
    <w:rsid w:val="6D614E24"/>
    <w:rsid w:val="6D680792"/>
    <w:rsid w:val="6D82770E"/>
    <w:rsid w:val="6DAB0FE0"/>
    <w:rsid w:val="6DB427D1"/>
    <w:rsid w:val="6DB7283B"/>
    <w:rsid w:val="6DBD7A7F"/>
    <w:rsid w:val="6DD30EA9"/>
    <w:rsid w:val="6DDC646C"/>
    <w:rsid w:val="6DEE7FF8"/>
    <w:rsid w:val="6DFA5DCC"/>
    <w:rsid w:val="6E0B6604"/>
    <w:rsid w:val="6E1E5CB1"/>
    <w:rsid w:val="6E360871"/>
    <w:rsid w:val="6E51496A"/>
    <w:rsid w:val="6E5F098F"/>
    <w:rsid w:val="6E661CC1"/>
    <w:rsid w:val="6E713F3E"/>
    <w:rsid w:val="6E8555D0"/>
    <w:rsid w:val="6E876629"/>
    <w:rsid w:val="6E893B3A"/>
    <w:rsid w:val="6EA02DB6"/>
    <w:rsid w:val="6EA551B4"/>
    <w:rsid w:val="6EB02F99"/>
    <w:rsid w:val="6ECE043D"/>
    <w:rsid w:val="6EDA7020"/>
    <w:rsid w:val="6EDF1C43"/>
    <w:rsid w:val="6EEA5691"/>
    <w:rsid w:val="6EF2710D"/>
    <w:rsid w:val="6F08338C"/>
    <w:rsid w:val="6F0E6B0E"/>
    <w:rsid w:val="6F1D73D4"/>
    <w:rsid w:val="6F492FDA"/>
    <w:rsid w:val="6F561A7D"/>
    <w:rsid w:val="6F5914CB"/>
    <w:rsid w:val="6F6005AE"/>
    <w:rsid w:val="6F6629EA"/>
    <w:rsid w:val="6F793301"/>
    <w:rsid w:val="6F843849"/>
    <w:rsid w:val="6FA629B9"/>
    <w:rsid w:val="6FA91B3F"/>
    <w:rsid w:val="6FB05B5D"/>
    <w:rsid w:val="6FB41CDF"/>
    <w:rsid w:val="6FD145CA"/>
    <w:rsid w:val="6FE52B7F"/>
    <w:rsid w:val="6FE81560"/>
    <w:rsid w:val="6FE832DA"/>
    <w:rsid w:val="70047746"/>
    <w:rsid w:val="70090C45"/>
    <w:rsid w:val="701B22C2"/>
    <w:rsid w:val="702A0B29"/>
    <w:rsid w:val="704A18A5"/>
    <w:rsid w:val="70535193"/>
    <w:rsid w:val="705353D7"/>
    <w:rsid w:val="70595CFD"/>
    <w:rsid w:val="70731CBA"/>
    <w:rsid w:val="70761500"/>
    <w:rsid w:val="708423B9"/>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370EC"/>
    <w:rsid w:val="71F70091"/>
    <w:rsid w:val="722F679F"/>
    <w:rsid w:val="723A2626"/>
    <w:rsid w:val="723D68AF"/>
    <w:rsid w:val="724721AC"/>
    <w:rsid w:val="724E3C2C"/>
    <w:rsid w:val="72513DDF"/>
    <w:rsid w:val="725501DD"/>
    <w:rsid w:val="72705108"/>
    <w:rsid w:val="727B38BE"/>
    <w:rsid w:val="729452D5"/>
    <w:rsid w:val="729B2130"/>
    <w:rsid w:val="72B739A4"/>
    <w:rsid w:val="72D0594D"/>
    <w:rsid w:val="72E47261"/>
    <w:rsid w:val="72F657B0"/>
    <w:rsid w:val="72FC409A"/>
    <w:rsid w:val="73032FC0"/>
    <w:rsid w:val="73054AAE"/>
    <w:rsid w:val="730F48D7"/>
    <w:rsid w:val="731460D8"/>
    <w:rsid w:val="732206A5"/>
    <w:rsid w:val="73253B84"/>
    <w:rsid w:val="733039CD"/>
    <w:rsid w:val="73345810"/>
    <w:rsid w:val="733D0BED"/>
    <w:rsid w:val="734F4226"/>
    <w:rsid w:val="735321EF"/>
    <w:rsid w:val="73613DC2"/>
    <w:rsid w:val="73626265"/>
    <w:rsid w:val="738707F8"/>
    <w:rsid w:val="738754CA"/>
    <w:rsid w:val="738B6F89"/>
    <w:rsid w:val="739D3646"/>
    <w:rsid w:val="73AF1CC4"/>
    <w:rsid w:val="73B05913"/>
    <w:rsid w:val="73B24691"/>
    <w:rsid w:val="73C056D8"/>
    <w:rsid w:val="73C83268"/>
    <w:rsid w:val="73CB6AC4"/>
    <w:rsid w:val="73ED1A3A"/>
    <w:rsid w:val="73F05696"/>
    <w:rsid w:val="73F50B6F"/>
    <w:rsid w:val="73F77DEF"/>
    <w:rsid w:val="74024213"/>
    <w:rsid w:val="74042527"/>
    <w:rsid w:val="740A4B39"/>
    <w:rsid w:val="74146799"/>
    <w:rsid w:val="741A1B16"/>
    <w:rsid w:val="741B3D04"/>
    <w:rsid w:val="741E67C6"/>
    <w:rsid w:val="742C5E27"/>
    <w:rsid w:val="74300226"/>
    <w:rsid w:val="7445283F"/>
    <w:rsid w:val="74551D23"/>
    <w:rsid w:val="745D7B18"/>
    <w:rsid w:val="745F299C"/>
    <w:rsid w:val="746915C4"/>
    <w:rsid w:val="746F1484"/>
    <w:rsid w:val="747C2510"/>
    <w:rsid w:val="749E3121"/>
    <w:rsid w:val="749F692E"/>
    <w:rsid w:val="74A14CC6"/>
    <w:rsid w:val="74B50BE4"/>
    <w:rsid w:val="74B800CA"/>
    <w:rsid w:val="74DB0643"/>
    <w:rsid w:val="74E511D3"/>
    <w:rsid w:val="74F55B27"/>
    <w:rsid w:val="74FC0CE6"/>
    <w:rsid w:val="751F674D"/>
    <w:rsid w:val="752968DA"/>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C03F95"/>
    <w:rsid w:val="76D15D09"/>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A3D35"/>
    <w:rsid w:val="777D20D6"/>
    <w:rsid w:val="778D01FE"/>
    <w:rsid w:val="7798707D"/>
    <w:rsid w:val="77A3436B"/>
    <w:rsid w:val="77B265EF"/>
    <w:rsid w:val="77B8295F"/>
    <w:rsid w:val="77B86288"/>
    <w:rsid w:val="77DD5D14"/>
    <w:rsid w:val="77F437B1"/>
    <w:rsid w:val="77F85931"/>
    <w:rsid w:val="780738D1"/>
    <w:rsid w:val="781D17B3"/>
    <w:rsid w:val="782226C6"/>
    <w:rsid w:val="78263974"/>
    <w:rsid w:val="783C4141"/>
    <w:rsid w:val="783D4AFF"/>
    <w:rsid w:val="784D30F3"/>
    <w:rsid w:val="785031C4"/>
    <w:rsid w:val="78693C27"/>
    <w:rsid w:val="788A2C6A"/>
    <w:rsid w:val="789860D5"/>
    <w:rsid w:val="789C1B98"/>
    <w:rsid w:val="78A51694"/>
    <w:rsid w:val="78AD0D21"/>
    <w:rsid w:val="78B73B4F"/>
    <w:rsid w:val="78B934ED"/>
    <w:rsid w:val="78C37C8A"/>
    <w:rsid w:val="78DE2D7C"/>
    <w:rsid w:val="790744FA"/>
    <w:rsid w:val="7922596C"/>
    <w:rsid w:val="792F01A6"/>
    <w:rsid w:val="79382965"/>
    <w:rsid w:val="79386064"/>
    <w:rsid w:val="793B3189"/>
    <w:rsid w:val="794C1894"/>
    <w:rsid w:val="795161CA"/>
    <w:rsid w:val="79665BDF"/>
    <w:rsid w:val="79820F11"/>
    <w:rsid w:val="79981173"/>
    <w:rsid w:val="799E6545"/>
    <w:rsid w:val="799F228B"/>
    <w:rsid w:val="79A11163"/>
    <w:rsid w:val="79A731EA"/>
    <w:rsid w:val="79A81252"/>
    <w:rsid w:val="79AC037E"/>
    <w:rsid w:val="79B4594A"/>
    <w:rsid w:val="79B95098"/>
    <w:rsid w:val="79B978EA"/>
    <w:rsid w:val="79BC708D"/>
    <w:rsid w:val="79D77FF8"/>
    <w:rsid w:val="79DF4732"/>
    <w:rsid w:val="79EB1C7D"/>
    <w:rsid w:val="79FB1EE7"/>
    <w:rsid w:val="7A0349BA"/>
    <w:rsid w:val="7A146AD1"/>
    <w:rsid w:val="7A1B476E"/>
    <w:rsid w:val="7A2A5E86"/>
    <w:rsid w:val="7A325833"/>
    <w:rsid w:val="7A3C3FD7"/>
    <w:rsid w:val="7A50702E"/>
    <w:rsid w:val="7A752301"/>
    <w:rsid w:val="7A8552D9"/>
    <w:rsid w:val="7A9722EA"/>
    <w:rsid w:val="7A99237D"/>
    <w:rsid w:val="7AA16855"/>
    <w:rsid w:val="7AA274F5"/>
    <w:rsid w:val="7AAD4830"/>
    <w:rsid w:val="7AB14807"/>
    <w:rsid w:val="7AC04563"/>
    <w:rsid w:val="7AE07DBD"/>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1060A4"/>
    <w:rsid w:val="7C212B16"/>
    <w:rsid w:val="7C344D27"/>
    <w:rsid w:val="7C5331B5"/>
    <w:rsid w:val="7C6034EF"/>
    <w:rsid w:val="7C6F0028"/>
    <w:rsid w:val="7C713B95"/>
    <w:rsid w:val="7C8F3841"/>
    <w:rsid w:val="7C927737"/>
    <w:rsid w:val="7C970076"/>
    <w:rsid w:val="7C991510"/>
    <w:rsid w:val="7CAB244D"/>
    <w:rsid w:val="7CB14283"/>
    <w:rsid w:val="7CC04CEF"/>
    <w:rsid w:val="7CC1754B"/>
    <w:rsid w:val="7CC73010"/>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471E5"/>
    <w:rsid w:val="7D551F58"/>
    <w:rsid w:val="7D601119"/>
    <w:rsid w:val="7D676FBC"/>
    <w:rsid w:val="7D697BD3"/>
    <w:rsid w:val="7D6A282B"/>
    <w:rsid w:val="7D6B7FF7"/>
    <w:rsid w:val="7D7D58E5"/>
    <w:rsid w:val="7D7F5DD6"/>
    <w:rsid w:val="7DB3377D"/>
    <w:rsid w:val="7DB97E53"/>
    <w:rsid w:val="7DC610C6"/>
    <w:rsid w:val="7DCD17E7"/>
    <w:rsid w:val="7DCF14E3"/>
    <w:rsid w:val="7DD47173"/>
    <w:rsid w:val="7DF04831"/>
    <w:rsid w:val="7DF22A1C"/>
    <w:rsid w:val="7E0E1134"/>
    <w:rsid w:val="7E102EA3"/>
    <w:rsid w:val="7E132BFC"/>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D824DC"/>
    <w:rsid w:val="7EDF15EE"/>
    <w:rsid w:val="7EE354CD"/>
    <w:rsid w:val="7EFC16E4"/>
    <w:rsid w:val="7EFD24F6"/>
    <w:rsid w:val="7F06366D"/>
    <w:rsid w:val="7F13011A"/>
    <w:rsid w:val="7F2F1CB8"/>
    <w:rsid w:val="7F2F3A66"/>
    <w:rsid w:val="7F3814A3"/>
    <w:rsid w:val="7F4A08A0"/>
    <w:rsid w:val="7F536596"/>
    <w:rsid w:val="7F5456A0"/>
    <w:rsid w:val="7F5C0130"/>
    <w:rsid w:val="7F6F3664"/>
    <w:rsid w:val="7F79289E"/>
    <w:rsid w:val="7F880FE3"/>
    <w:rsid w:val="7F8F1F7C"/>
    <w:rsid w:val="7FA8445B"/>
    <w:rsid w:val="7FAB7D12"/>
    <w:rsid w:val="7FCA114D"/>
    <w:rsid w:val="7FD338C7"/>
    <w:rsid w:val="7FD422E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
    <w:qFormat/>
    <w:uiPriority w:val="0"/>
    <w:pPr>
      <w:keepNext/>
      <w:keepLines/>
      <w:numPr>
        <w:ilvl w:val="0"/>
        <w:numId w:val="1"/>
      </w:numPr>
      <w:spacing w:before="340" w:after="330" w:line="360" w:lineRule="auto"/>
      <w:jc w:val="center"/>
      <w:outlineLvl w:val="0"/>
    </w:pPr>
    <w:rPr>
      <w:rFonts w:ascii="Times New Roman" w:hAnsi="Times New Roman" w:eastAsia="宋体"/>
      <w:b/>
      <w:bCs/>
      <w:kern w:val="44"/>
      <w:sz w:val="32"/>
      <w:szCs w:val="44"/>
    </w:rPr>
  </w:style>
  <w:style w:type="paragraph" w:styleId="4">
    <w:name w:val="heading 2"/>
    <w:basedOn w:val="1"/>
    <w:next w:val="5"/>
    <w:link w:val="59"/>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6">
    <w:name w:val="heading 3"/>
    <w:basedOn w:val="1"/>
    <w:next w:val="5"/>
    <w:link w:val="60"/>
    <w:qFormat/>
    <w:uiPriority w:val="0"/>
    <w:pPr>
      <w:keepNext/>
      <w:keepLines/>
      <w:numPr>
        <w:ilvl w:val="2"/>
        <w:numId w:val="1"/>
      </w:numPr>
      <w:spacing w:before="260" w:after="260" w:line="416" w:lineRule="auto"/>
      <w:outlineLvl w:val="2"/>
    </w:pPr>
    <w:rPr>
      <w:b/>
      <w:bCs/>
      <w:sz w:val="32"/>
      <w:szCs w:val="32"/>
    </w:rPr>
  </w:style>
  <w:style w:type="paragraph" w:styleId="7">
    <w:name w:val="heading 4"/>
    <w:basedOn w:val="1"/>
    <w:next w:val="1"/>
    <w:link w:val="61"/>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8">
    <w:name w:val="heading 5"/>
    <w:basedOn w:val="1"/>
    <w:next w:val="1"/>
    <w:link w:val="62"/>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63"/>
    <w:qFormat/>
    <w:uiPriority w:val="0"/>
    <w:pPr>
      <w:keepNext/>
      <w:keepLines/>
      <w:numPr>
        <w:ilvl w:val="5"/>
        <w:numId w:val="1"/>
      </w:numPr>
      <w:spacing w:before="240" w:after="64" w:line="320" w:lineRule="auto"/>
      <w:outlineLvl w:val="5"/>
    </w:pPr>
    <w:rPr>
      <w:rFonts w:ascii="Cambria" w:hAnsi="Cambria"/>
      <w:b/>
      <w:bCs/>
      <w:sz w:val="24"/>
    </w:rPr>
  </w:style>
  <w:style w:type="paragraph" w:styleId="10">
    <w:name w:val="heading 7"/>
    <w:basedOn w:val="1"/>
    <w:next w:val="1"/>
    <w:link w:val="64"/>
    <w:qFormat/>
    <w:uiPriority w:val="0"/>
    <w:pPr>
      <w:keepNext/>
      <w:keepLines/>
      <w:numPr>
        <w:ilvl w:val="6"/>
        <w:numId w:val="1"/>
      </w:numPr>
      <w:spacing w:before="240" w:after="64" w:line="320" w:lineRule="auto"/>
      <w:outlineLvl w:val="6"/>
    </w:pPr>
    <w:rPr>
      <w:b/>
      <w:bCs/>
      <w:sz w:val="24"/>
    </w:rPr>
  </w:style>
  <w:style w:type="paragraph" w:styleId="11">
    <w:name w:val="heading 8"/>
    <w:basedOn w:val="1"/>
    <w:next w:val="1"/>
    <w:link w:val="65"/>
    <w:qFormat/>
    <w:uiPriority w:val="0"/>
    <w:pPr>
      <w:keepNext/>
      <w:keepLines/>
      <w:numPr>
        <w:ilvl w:val="7"/>
        <w:numId w:val="1"/>
      </w:numPr>
      <w:spacing w:before="240" w:after="64" w:line="320" w:lineRule="auto"/>
      <w:outlineLvl w:val="7"/>
    </w:pPr>
    <w:rPr>
      <w:rFonts w:ascii="Cambria" w:hAnsi="Cambria"/>
      <w:sz w:val="24"/>
    </w:rPr>
  </w:style>
  <w:style w:type="paragraph" w:styleId="12">
    <w:name w:val="heading 9"/>
    <w:basedOn w:val="1"/>
    <w:next w:val="1"/>
    <w:link w:val="66"/>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2">
    <w:name w:val="Body Text 2"/>
    <w:basedOn w:val="1"/>
    <w:qFormat/>
    <w:uiPriority w:val="0"/>
    <w:pPr>
      <w:widowControl/>
      <w:jc w:val="center"/>
    </w:pPr>
    <w:rPr>
      <w:rFonts w:ascii="楷体_GB2312" w:eastAsia="楷体_GB2312"/>
      <w:sz w:val="28"/>
    </w:rPr>
  </w:style>
  <w:style w:type="paragraph" w:styleId="5">
    <w:name w:val="Normal Indent"/>
    <w:basedOn w:val="1"/>
    <w:qFormat/>
    <w:uiPriority w:val="0"/>
    <w:pPr>
      <w:ind w:firstLine="420"/>
    </w:pPr>
    <w:rPr>
      <w:b/>
      <w:sz w:val="24"/>
      <w:szCs w:val="20"/>
    </w:rPr>
  </w:style>
  <w:style w:type="paragraph" w:styleId="13">
    <w:name w:val="List 3"/>
    <w:basedOn w:val="1"/>
    <w:unhideWhenUsed/>
    <w:qFormat/>
    <w:uiPriority w:val="99"/>
    <w:pPr>
      <w:spacing w:before="100" w:beforeAutospacing="1" w:after="100" w:afterAutospacing="1"/>
      <w:ind w:left="1260" w:hanging="420"/>
    </w:pPr>
    <w:rPr>
      <w:szCs w:val="21"/>
    </w:rPr>
  </w:style>
  <w:style w:type="paragraph" w:styleId="14">
    <w:name w:val="toc 7"/>
    <w:basedOn w:val="1"/>
    <w:next w:val="1"/>
    <w:unhideWhenUsed/>
    <w:qFormat/>
    <w:uiPriority w:val="39"/>
    <w:pPr>
      <w:ind w:left="2520" w:leftChars="1200"/>
    </w:pPr>
    <w:rPr>
      <w:rFonts w:ascii="Calibri" w:hAnsi="Calibri"/>
      <w:szCs w:val="22"/>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7"/>
    <w:qFormat/>
    <w:uiPriority w:val="0"/>
    <w:rPr>
      <w:rFonts w:ascii="宋体"/>
      <w:sz w:val="18"/>
      <w:szCs w:val="18"/>
    </w:rPr>
  </w:style>
  <w:style w:type="paragraph" w:styleId="17">
    <w:name w:val="annotation text"/>
    <w:basedOn w:val="1"/>
    <w:link w:val="68"/>
    <w:qFormat/>
    <w:uiPriority w:val="99"/>
    <w:pPr>
      <w:jc w:val="left"/>
    </w:pPr>
  </w:style>
  <w:style w:type="paragraph" w:styleId="18">
    <w:name w:val="Body Text 3"/>
    <w:basedOn w:val="1"/>
    <w:link w:val="69"/>
    <w:qFormat/>
    <w:uiPriority w:val="0"/>
    <w:rPr>
      <w:rFonts w:ascii="宋体"/>
      <w:sz w:val="24"/>
      <w:szCs w:val="20"/>
    </w:rPr>
  </w:style>
  <w:style w:type="paragraph" w:styleId="19">
    <w:name w:val="Body Text"/>
    <w:basedOn w:val="1"/>
    <w:next w:val="1"/>
    <w:link w:val="70"/>
    <w:qFormat/>
    <w:uiPriority w:val="0"/>
    <w:pPr>
      <w:jc w:val="center"/>
    </w:pPr>
    <w:rPr>
      <w:rFonts w:eastAsia="幼圆"/>
      <w:b/>
      <w:bCs/>
      <w:sz w:val="44"/>
    </w:rPr>
  </w:style>
  <w:style w:type="paragraph" w:styleId="20">
    <w:name w:val="Body Text Indent"/>
    <w:basedOn w:val="1"/>
    <w:link w:val="71"/>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2"/>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3"/>
    <w:unhideWhenUsed/>
    <w:qFormat/>
    <w:uiPriority w:val="0"/>
  </w:style>
  <w:style w:type="paragraph" w:styleId="28">
    <w:name w:val="Body Text Indent 2"/>
    <w:basedOn w:val="1"/>
    <w:link w:val="74"/>
    <w:unhideWhenUsed/>
    <w:qFormat/>
    <w:uiPriority w:val="99"/>
    <w:pPr>
      <w:spacing w:line="420" w:lineRule="exact"/>
      <w:ind w:firstLine="525"/>
    </w:pPr>
    <w:rPr>
      <w:rFonts w:ascii="宋体"/>
      <w:kern w:val="0"/>
      <w:sz w:val="20"/>
      <w:szCs w:val="20"/>
    </w:rPr>
  </w:style>
  <w:style w:type="paragraph" w:styleId="29">
    <w:name w:val="Balloon Text"/>
    <w:basedOn w:val="1"/>
    <w:link w:val="75"/>
    <w:qFormat/>
    <w:uiPriority w:val="0"/>
    <w:rPr>
      <w:sz w:val="18"/>
      <w:szCs w:val="18"/>
    </w:rPr>
  </w:style>
  <w:style w:type="paragraph" w:styleId="30">
    <w:name w:val="footer"/>
    <w:basedOn w:val="1"/>
    <w:next w:val="31"/>
    <w:link w:val="76"/>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8"/>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79"/>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80"/>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81"/>
    <w:qFormat/>
    <w:uiPriority w:val="0"/>
    <w:rPr>
      <w:b/>
      <w:bCs/>
    </w:rPr>
  </w:style>
  <w:style w:type="paragraph" w:styleId="45">
    <w:name w:val="Body Text First Indent 2"/>
    <w:basedOn w:val="20"/>
    <w:qFormat/>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basedOn w:val="48"/>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styleId="56">
    <w:name w:val="List Paragraph"/>
    <w:basedOn w:val="1"/>
    <w:qFormat/>
    <w:uiPriority w:val="34"/>
    <w:pPr>
      <w:ind w:firstLine="420" w:firstLineChars="200"/>
    </w:p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character" w:customStyle="1" w:styleId="58">
    <w:name w:val="标题 1 字符"/>
    <w:link w:val="3"/>
    <w:qFormat/>
    <w:uiPriority w:val="0"/>
    <w:rPr>
      <w:rFonts w:ascii="Times New Roman" w:hAnsi="Times New Roman" w:eastAsia="宋体" w:cs="Times New Roman"/>
      <w:b/>
      <w:bCs/>
      <w:kern w:val="44"/>
      <w:sz w:val="32"/>
      <w:szCs w:val="44"/>
    </w:rPr>
  </w:style>
  <w:style w:type="character" w:customStyle="1" w:styleId="59">
    <w:name w:val="标题 2 字符"/>
    <w:link w:val="4"/>
    <w:qFormat/>
    <w:uiPriority w:val="0"/>
    <w:rPr>
      <w:rFonts w:ascii="Cambria" w:hAnsi="Cambria"/>
      <w:b/>
      <w:bCs/>
      <w:kern w:val="2"/>
      <w:sz w:val="32"/>
      <w:szCs w:val="32"/>
    </w:rPr>
  </w:style>
  <w:style w:type="character" w:customStyle="1" w:styleId="60">
    <w:name w:val="标题 3 字符"/>
    <w:link w:val="6"/>
    <w:qFormat/>
    <w:uiPriority w:val="0"/>
    <w:rPr>
      <w:b/>
      <w:bCs/>
      <w:kern w:val="2"/>
      <w:sz w:val="32"/>
      <w:szCs w:val="32"/>
    </w:rPr>
  </w:style>
  <w:style w:type="character" w:customStyle="1" w:styleId="61">
    <w:name w:val="标题 4 字符"/>
    <w:link w:val="7"/>
    <w:qFormat/>
    <w:uiPriority w:val="0"/>
    <w:rPr>
      <w:rFonts w:ascii="Cambria" w:hAnsi="Cambria" w:eastAsia="宋体" w:cs="Times New Roman"/>
      <w:b/>
      <w:bCs/>
      <w:kern w:val="2"/>
      <w:sz w:val="28"/>
      <w:szCs w:val="28"/>
    </w:rPr>
  </w:style>
  <w:style w:type="character" w:customStyle="1" w:styleId="62">
    <w:name w:val="标题 5 字符"/>
    <w:link w:val="8"/>
    <w:qFormat/>
    <w:uiPriority w:val="0"/>
    <w:rPr>
      <w:b/>
      <w:bCs/>
      <w:kern w:val="2"/>
      <w:sz w:val="28"/>
      <w:szCs w:val="28"/>
    </w:rPr>
  </w:style>
  <w:style w:type="character" w:customStyle="1" w:styleId="63">
    <w:name w:val="标题 6 字符"/>
    <w:link w:val="9"/>
    <w:qFormat/>
    <w:uiPriority w:val="0"/>
    <w:rPr>
      <w:rFonts w:ascii="Cambria" w:hAnsi="Cambria" w:eastAsia="宋体" w:cs="Times New Roman"/>
      <w:b/>
      <w:bCs/>
      <w:kern w:val="2"/>
      <w:sz w:val="24"/>
      <w:szCs w:val="24"/>
    </w:rPr>
  </w:style>
  <w:style w:type="character" w:customStyle="1" w:styleId="64">
    <w:name w:val="标题 7 字符"/>
    <w:link w:val="10"/>
    <w:qFormat/>
    <w:uiPriority w:val="0"/>
    <w:rPr>
      <w:b/>
      <w:bCs/>
      <w:kern w:val="2"/>
      <w:sz w:val="24"/>
      <w:szCs w:val="24"/>
    </w:rPr>
  </w:style>
  <w:style w:type="character" w:customStyle="1" w:styleId="65">
    <w:name w:val="标题 8 字符"/>
    <w:link w:val="11"/>
    <w:qFormat/>
    <w:uiPriority w:val="0"/>
    <w:rPr>
      <w:rFonts w:ascii="Cambria" w:hAnsi="Cambria" w:eastAsia="宋体" w:cs="Times New Roman"/>
      <w:kern w:val="2"/>
      <w:sz w:val="24"/>
      <w:szCs w:val="24"/>
    </w:rPr>
  </w:style>
  <w:style w:type="character" w:customStyle="1" w:styleId="66">
    <w:name w:val="标题 9 字符"/>
    <w:link w:val="12"/>
    <w:qFormat/>
    <w:uiPriority w:val="0"/>
    <w:rPr>
      <w:rFonts w:ascii="Cambria" w:hAnsi="Cambria" w:eastAsia="宋体" w:cs="Times New Roman"/>
      <w:kern w:val="2"/>
      <w:sz w:val="21"/>
      <w:szCs w:val="21"/>
    </w:rPr>
  </w:style>
  <w:style w:type="character" w:customStyle="1" w:styleId="67">
    <w:name w:val="文档结构图 字符"/>
    <w:link w:val="16"/>
    <w:qFormat/>
    <w:uiPriority w:val="0"/>
    <w:rPr>
      <w:rFonts w:ascii="宋体"/>
      <w:kern w:val="2"/>
      <w:sz w:val="18"/>
      <w:szCs w:val="18"/>
    </w:rPr>
  </w:style>
  <w:style w:type="character" w:customStyle="1" w:styleId="68">
    <w:name w:val="批注文字 字符"/>
    <w:link w:val="17"/>
    <w:qFormat/>
    <w:uiPriority w:val="99"/>
    <w:rPr>
      <w:kern w:val="2"/>
      <w:sz w:val="21"/>
      <w:szCs w:val="24"/>
    </w:rPr>
  </w:style>
  <w:style w:type="character" w:customStyle="1" w:styleId="69">
    <w:name w:val="正文文本 3 字符"/>
    <w:link w:val="18"/>
    <w:qFormat/>
    <w:uiPriority w:val="0"/>
    <w:rPr>
      <w:rFonts w:ascii="宋体"/>
      <w:kern w:val="2"/>
      <w:sz w:val="24"/>
    </w:rPr>
  </w:style>
  <w:style w:type="character" w:customStyle="1" w:styleId="70">
    <w:name w:val="正文文本 字符"/>
    <w:link w:val="19"/>
    <w:qFormat/>
    <w:uiPriority w:val="0"/>
    <w:rPr>
      <w:rFonts w:eastAsia="幼圆"/>
      <w:b/>
      <w:bCs/>
      <w:kern w:val="2"/>
      <w:sz w:val="44"/>
      <w:szCs w:val="24"/>
    </w:rPr>
  </w:style>
  <w:style w:type="character" w:customStyle="1" w:styleId="71">
    <w:name w:val="正文文本缩进 字符"/>
    <w:link w:val="20"/>
    <w:qFormat/>
    <w:uiPriority w:val="0"/>
    <w:rPr>
      <w:kern w:val="2"/>
      <w:sz w:val="21"/>
      <w:szCs w:val="24"/>
    </w:rPr>
  </w:style>
  <w:style w:type="character" w:customStyle="1" w:styleId="72">
    <w:name w:val="纯文本 字符"/>
    <w:link w:val="25"/>
    <w:qFormat/>
    <w:uiPriority w:val="0"/>
    <w:rPr>
      <w:rFonts w:ascii="Ari"/>
      <w:lang w:val="en-US" w:eastAsia="zh-CN" w:bidi="ar-SA"/>
    </w:rPr>
  </w:style>
  <w:style w:type="character" w:customStyle="1" w:styleId="73">
    <w:name w:val="日期 字符"/>
    <w:link w:val="27"/>
    <w:qFormat/>
    <w:uiPriority w:val="0"/>
    <w:rPr>
      <w:kern w:val="2"/>
      <w:sz w:val="21"/>
      <w:szCs w:val="24"/>
    </w:rPr>
  </w:style>
  <w:style w:type="character" w:customStyle="1" w:styleId="74">
    <w:name w:val="正文文本缩进 2 字符"/>
    <w:link w:val="28"/>
    <w:qFormat/>
    <w:uiPriority w:val="99"/>
    <w:rPr>
      <w:rFonts w:ascii="宋体"/>
    </w:rPr>
  </w:style>
  <w:style w:type="character" w:customStyle="1" w:styleId="75">
    <w:name w:val="批注框文本 字符"/>
    <w:link w:val="29"/>
    <w:qFormat/>
    <w:uiPriority w:val="0"/>
    <w:rPr>
      <w:kern w:val="2"/>
      <w:sz w:val="18"/>
      <w:szCs w:val="18"/>
    </w:rPr>
  </w:style>
  <w:style w:type="character" w:customStyle="1" w:styleId="76">
    <w:name w:val="页脚 字符"/>
    <w:link w:val="30"/>
    <w:qFormat/>
    <w:uiPriority w:val="99"/>
    <w:rPr>
      <w:kern w:val="2"/>
      <w:sz w:val="18"/>
      <w:szCs w:val="18"/>
    </w:rPr>
  </w:style>
  <w:style w:type="character" w:customStyle="1" w:styleId="77">
    <w:name w:val="页眉 字符"/>
    <w:link w:val="32"/>
    <w:qFormat/>
    <w:uiPriority w:val="0"/>
    <w:rPr>
      <w:kern w:val="2"/>
      <w:sz w:val="18"/>
      <w:szCs w:val="18"/>
    </w:rPr>
  </w:style>
  <w:style w:type="character" w:customStyle="1" w:styleId="78">
    <w:name w:val="副标题 字符"/>
    <w:link w:val="37"/>
    <w:qFormat/>
    <w:uiPriority w:val="0"/>
    <w:rPr>
      <w:rFonts w:ascii="Cambria" w:hAnsi="Cambria"/>
      <w:b/>
      <w:bCs/>
      <w:kern w:val="28"/>
      <w:sz w:val="32"/>
      <w:szCs w:val="32"/>
    </w:rPr>
  </w:style>
  <w:style w:type="character" w:customStyle="1" w:styleId="79">
    <w:name w:val="正文文本缩进 3 字符"/>
    <w:link w:val="39"/>
    <w:qFormat/>
    <w:uiPriority w:val="0"/>
    <w:rPr>
      <w:kern w:val="2"/>
      <w:sz w:val="16"/>
    </w:rPr>
  </w:style>
  <w:style w:type="character" w:customStyle="1" w:styleId="80">
    <w:name w:val="标题 字符"/>
    <w:link w:val="43"/>
    <w:qFormat/>
    <w:uiPriority w:val="0"/>
    <w:rPr>
      <w:rFonts w:ascii="Arial" w:hAnsi="Arial"/>
      <w:b/>
      <w:sz w:val="32"/>
    </w:rPr>
  </w:style>
  <w:style w:type="character" w:customStyle="1" w:styleId="81">
    <w:name w:val="批注主题 字符"/>
    <w:link w:val="44"/>
    <w:qFormat/>
    <w:uiPriority w:val="0"/>
    <w:rPr>
      <w:b/>
      <w:bCs/>
      <w:kern w:val="2"/>
      <w:sz w:val="21"/>
      <w:szCs w:val="24"/>
    </w:rPr>
  </w:style>
  <w:style w:type="paragraph" w:customStyle="1" w:styleId="82">
    <w:name w:val="一级条标题"/>
    <w:basedOn w:val="83"/>
    <w:next w:val="8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3">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4">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5">
    <w:name w:val="列表段落1"/>
    <w:basedOn w:val="1"/>
    <w:next w:val="17"/>
    <w:qFormat/>
    <w:uiPriority w:val="99"/>
    <w:pPr>
      <w:ind w:firstLine="420" w:firstLineChars="200"/>
    </w:pPr>
  </w:style>
  <w:style w:type="paragraph" w:customStyle="1" w:styleId="8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7">
    <w:name w:val="正文首行缩进 21"/>
    <w:basedOn w:val="88"/>
    <w:next w:val="1"/>
    <w:qFormat/>
    <w:uiPriority w:val="0"/>
    <w:pPr>
      <w:spacing w:before="100" w:beforeAutospacing="1"/>
      <w:ind w:firstLine="420"/>
    </w:pPr>
    <w:rPr>
      <w:rFonts w:ascii="宋体" w:hAnsi="宋体"/>
      <w:szCs w:val="21"/>
    </w:rPr>
  </w:style>
  <w:style w:type="paragraph" w:customStyle="1" w:styleId="88">
    <w:name w:val="正文文本缩进1"/>
    <w:basedOn w:val="1"/>
    <w:qFormat/>
    <w:uiPriority w:val="0"/>
    <w:pPr>
      <w:spacing w:line="500" w:lineRule="exact"/>
      <w:ind w:firstLine="880" w:firstLineChars="200"/>
    </w:pPr>
  </w:style>
  <w:style w:type="character" w:customStyle="1" w:styleId="89">
    <w:name w:val="明显强调1"/>
    <w:qFormat/>
    <w:uiPriority w:val="0"/>
    <w:rPr>
      <w:b/>
      <w:bCs/>
      <w:i/>
      <w:iCs/>
      <w:color w:val="4F81BD"/>
    </w:rPr>
  </w:style>
  <w:style w:type="character" w:customStyle="1" w:styleId="90">
    <w:name w:val="批注文字 Char2"/>
    <w:qFormat/>
    <w:uiPriority w:val="0"/>
    <w:rPr>
      <w:kern w:val="2"/>
      <w:sz w:val="21"/>
    </w:rPr>
  </w:style>
  <w:style w:type="character" w:customStyle="1" w:styleId="91">
    <w:name w:val="标题 3 Char_0"/>
    <w:link w:val="92"/>
    <w:qFormat/>
    <w:uiPriority w:val="0"/>
    <w:rPr>
      <w:b/>
      <w:bCs/>
      <w:sz w:val="32"/>
      <w:szCs w:val="32"/>
    </w:rPr>
  </w:style>
  <w:style w:type="paragraph" w:customStyle="1" w:styleId="92">
    <w:name w:val="标题 3_0"/>
    <w:basedOn w:val="93"/>
    <w:next w:val="93"/>
    <w:link w:val="91"/>
    <w:qFormat/>
    <w:uiPriority w:val="0"/>
    <w:pPr>
      <w:keepNext/>
      <w:keepLines/>
      <w:spacing w:before="260" w:after="260" w:line="416" w:lineRule="auto"/>
      <w:outlineLvl w:val="2"/>
    </w:pPr>
    <w:rPr>
      <w:b/>
      <w:bCs/>
      <w:kern w:val="0"/>
      <w:sz w:val="32"/>
      <w:szCs w:val="32"/>
    </w:rPr>
  </w:style>
  <w:style w:type="paragraph" w:customStyle="1" w:styleId="93">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4">
    <w:name w:val="正文文本 Char2"/>
    <w:semiHidden/>
    <w:qFormat/>
    <w:uiPriority w:val="99"/>
    <w:rPr>
      <w:rFonts w:ascii="Calibri" w:hAnsi="Calibri" w:eastAsia="宋体" w:cs="Times New Roman"/>
    </w:rPr>
  </w:style>
  <w:style w:type="character" w:customStyle="1" w:styleId="95">
    <w:name w:val="页脚 Char1"/>
    <w:semiHidden/>
    <w:qFormat/>
    <w:uiPriority w:val="99"/>
    <w:rPr>
      <w:rFonts w:ascii="Calibri" w:hAnsi="Calibri" w:eastAsia="宋体" w:cs="Times New Roman"/>
      <w:sz w:val="18"/>
      <w:szCs w:val="18"/>
    </w:rPr>
  </w:style>
  <w:style w:type="character" w:customStyle="1" w:styleId="96">
    <w:name w:val="明显引用 Char2"/>
    <w:qFormat/>
    <w:uiPriority w:val="99"/>
    <w:rPr>
      <w:b/>
      <w:bCs/>
      <w:i/>
      <w:iCs/>
      <w:color w:val="4F81BD"/>
      <w:kern w:val="2"/>
      <w:sz w:val="21"/>
      <w:szCs w:val="24"/>
    </w:rPr>
  </w:style>
  <w:style w:type="character" w:customStyle="1" w:styleId="97">
    <w:name w:val="引用 Char"/>
    <w:link w:val="98"/>
    <w:qFormat/>
    <w:uiPriority w:val="0"/>
    <w:rPr>
      <w:i/>
      <w:iCs/>
      <w:color w:val="000000"/>
    </w:rPr>
  </w:style>
  <w:style w:type="paragraph" w:customStyle="1" w:styleId="98">
    <w:name w:val="引用1"/>
    <w:basedOn w:val="1"/>
    <w:next w:val="1"/>
    <w:link w:val="97"/>
    <w:qFormat/>
    <w:uiPriority w:val="0"/>
    <w:rPr>
      <w:i/>
      <w:iCs/>
      <w:color w:val="000000"/>
      <w:kern w:val="0"/>
      <w:sz w:val="20"/>
      <w:szCs w:val="20"/>
    </w:rPr>
  </w:style>
  <w:style w:type="character" w:customStyle="1" w:styleId="99">
    <w:name w:val="标题 1 Char_0"/>
    <w:link w:val="100"/>
    <w:qFormat/>
    <w:uiPriority w:val="0"/>
    <w:rPr>
      <w:b/>
      <w:bCs/>
      <w:kern w:val="44"/>
      <w:sz w:val="44"/>
      <w:szCs w:val="44"/>
    </w:rPr>
  </w:style>
  <w:style w:type="paragraph" w:customStyle="1" w:styleId="100">
    <w:name w:val="标题 1_0"/>
    <w:basedOn w:val="93"/>
    <w:next w:val="93"/>
    <w:link w:val="99"/>
    <w:qFormat/>
    <w:uiPriority w:val="0"/>
    <w:pPr>
      <w:keepNext/>
      <w:keepLines/>
      <w:spacing w:before="340" w:after="330" w:line="578" w:lineRule="auto"/>
      <w:outlineLvl w:val="0"/>
    </w:pPr>
    <w:rPr>
      <w:b/>
      <w:bCs/>
      <w:kern w:val="44"/>
      <w:sz w:val="44"/>
      <w:szCs w:val="44"/>
    </w:rPr>
  </w:style>
  <w:style w:type="character" w:customStyle="1" w:styleId="101">
    <w:name w:val="正文文本缩进 3 Char1"/>
    <w:semiHidden/>
    <w:qFormat/>
    <w:uiPriority w:val="99"/>
    <w:rPr>
      <w:kern w:val="2"/>
      <w:sz w:val="16"/>
      <w:szCs w:val="16"/>
    </w:rPr>
  </w:style>
  <w:style w:type="character" w:customStyle="1" w:styleId="102">
    <w:name w:val="引用 Char1"/>
    <w:qFormat/>
    <w:uiPriority w:val="29"/>
    <w:rPr>
      <w:i/>
      <w:iCs/>
      <w:color w:val="000000"/>
      <w:kern w:val="2"/>
      <w:sz w:val="21"/>
    </w:rPr>
  </w:style>
  <w:style w:type="character" w:customStyle="1" w:styleId="103">
    <w:name w:val="font161"/>
    <w:basedOn w:val="48"/>
    <w:qFormat/>
    <w:uiPriority w:val="0"/>
    <w:rPr>
      <w:b/>
      <w:sz w:val="32"/>
    </w:rPr>
  </w:style>
  <w:style w:type="character" w:customStyle="1" w:styleId="104">
    <w:name w:val="标题 4 Char_0"/>
    <w:link w:val="105"/>
    <w:qFormat/>
    <w:uiPriority w:val="0"/>
    <w:rPr>
      <w:rFonts w:ascii="Arial" w:hAnsi="Arial" w:eastAsia="黑体"/>
      <w:b/>
      <w:bCs/>
      <w:sz w:val="28"/>
      <w:szCs w:val="28"/>
    </w:rPr>
  </w:style>
  <w:style w:type="paragraph" w:customStyle="1" w:styleId="105">
    <w:name w:val="标题 4_0"/>
    <w:basedOn w:val="93"/>
    <w:next w:val="93"/>
    <w:link w:val="104"/>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6">
    <w:name w:val="引用 Char2"/>
    <w:qFormat/>
    <w:uiPriority w:val="99"/>
    <w:rPr>
      <w:i/>
      <w:iCs/>
      <w:color w:val="000000"/>
      <w:kern w:val="2"/>
      <w:sz w:val="21"/>
      <w:szCs w:val="24"/>
    </w:rPr>
  </w:style>
  <w:style w:type="character" w:customStyle="1" w:styleId="107">
    <w:name w:val="rvts11"/>
    <w:qFormat/>
    <w:uiPriority w:val="0"/>
    <w:rPr>
      <w:rFonts w:hint="default" w:ascii="KNLe" w:hAnsi="KNLe"/>
      <w:sz w:val="24"/>
      <w:szCs w:val="24"/>
      <w:u w:val="single"/>
    </w:rPr>
  </w:style>
  <w:style w:type="character" w:customStyle="1" w:styleId="108">
    <w:name w:val="标题5 Char Char"/>
    <w:link w:val="109"/>
    <w:qFormat/>
    <w:uiPriority w:val="0"/>
    <w:rPr>
      <w:rFonts w:ascii="Arial" w:hAnsi="Arial"/>
      <w:b/>
      <w:bCs/>
      <w:sz w:val="24"/>
      <w:szCs w:val="32"/>
    </w:rPr>
  </w:style>
  <w:style w:type="paragraph" w:customStyle="1" w:styleId="109">
    <w:name w:val="标题5"/>
    <w:basedOn w:val="6"/>
    <w:link w:val="108"/>
    <w:qFormat/>
    <w:uiPriority w:val="0"/>
    <w:pPr>
      <w:numPr>
        <w:ilvl w:val="0"/>
        <w:numId w:val="0"/>
      </w:numPr>
      <w:spacing w:line="413" w:lineRule="auto"/>
    </w:pPr>
    <w:rPr>
      <w:rFonts w:ascii="Arial" w:hAnsi="Arial"/>
      <w:kern w:val="0"/>
      <w:sz w:val="24"/>
    </w:rPr>
  </w:style>
  <w:style w:type="character" w:customStyle="1" w:styleId="110">
    <w:name w:val="副标题 Char2"/>
    <w:qFormat/>
    <w:uiPriority w:val="11"/>
    <w:rPr>
      <w:rFonts w:ascii="Cambria" w:hAnsi="Cambria" w:cs="Times New Roman"/>
      <w:b/>
      <w:bCs/>
      <w:kern w:val="28"/>
      <w:sz w:val="32"/>
      <w:szCs w:val="32"/>
    </w:rPr>
  </w:style>
  <w:style w:type="character" w:customStyle="1" w:styleId="111">
    <w:name w:val="批注主题 Char1"/>
    <w:qFormat/>
    <w:uiPriority w:val="0"/>
    <w:rPr>
      <w:b/>
      <w:bCs/>
      <w:kern w:val="2"/>
      <w:sz w:val="21"/>
      <w:szCs w:val="22"/>
    </w:rPr>
  </w:style>
  <w:style w:type="character" w:customStyle="1" w:styleId="112">
    <w:name w:val="font31"/>
    <w:basedOn w:val="48"/>
    <w:qFormat/>
    <w:uiPriority w:val="0"/>
    <w:rPr>
      <w:rFonts w:hint="eastAsia" w:ascii="宋体" w:hAnsi="宋体" w:eastAsia="宋体" w:cs="宋体"/>
      <w:color w:val="000000"/>
      <w:sz w:val="20"/>
      <w:szCs w:val="20"/>
      <w:u w:val="none"/>
    </w:rPr>
  </w:style>
  <w:style w:type="character" w:customStyle="1" w:styleId="113">
    <w:name w:val="明显引用 Char"/>
    <w:link w:val="114"/>
    <w:qFormat/>
    <w:uiPriority w:val="0"/>
    <w:rPr>
      <w:b/>
      <w:bCs/>
      <w:i/>
      <w:iCs/>
      <w:color w:val="4F81BD"/>
    </w:rPr>
  </w:style>
  <w:style w:type="paragraph" w:customStyle="1" w:styleId="114">
    <w:name w:val="明显引用1"/>
    <w:basedOn w:val="1"/>
    <w:next w:val="1"/>
    <w:link w:val="113"/>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5">
    <w:name w:val="日期 Char1"/>
    <w:qFormat/>
    <w:uiPriority w:val="0"/>
    <w:rPr>
      <w:rFonts w:ascii="Calibri" w:hAnsi="Calibri" w:eastAsia="宋体" w:cs="Times New Roman"/>
    </w:rPr>
  </w:style>
  <w:style w:type="character" w:customStyle="1" w:styleId="116">
    <w:name w:val="批注框文本 Char1"/>
    <w:qFormat/>
    <w:uiPriority w:val="0"/>
    <w:rPr>
      <w:kern w:val="2"/>
      <w:sz w:val="18"/>
      <w:szCs w:val="18"/>
    </w:rPr>
  </w:style>
  <w:style w:type="character" w:customStyle="1" w:styleId="117">
    <w:name w:val="标题 Char1"/>
    <w:qFormat/>
    <w:uiPriority w:val="10"/>
    <w:rPr>
      <w:rFonts w:ascii="Cambria" w:hAnsi="Cambria" w:eastAsia="宋体" w:cs="Times New Roman"/>
      <w:b/>
      <w:bCs/>
      <w:sz w:val="32"/>
      <w:szCs w:val="32"/>
    </w:rPr>
  </w:style>
  <w:style w:type="character" w:customStyle="1" w:styleId="118">
    <w:name w:val="不明显参考1"/>
    <w:qFormat/>
    <w:uiPriority w:val="0"/>
    <w:rPr>
      <w:smallCaps/>
      <w:color w:val="C0504D"/>
      <w:u w:val="single"/>
    </w:rPr>
  </w:style>
  <w:style w:type="character" w:customStyle="1" w:styleId="119">
    <w:name w:val="批注文字 Char1"/>
    <w:qFormat/>
    <w:uiPriority w:val="0"/>
    <w:rPr>
      <w:rFonts w:ascii="Calibri" w:hAnsi="Calibri" w:eastAsia="宋体" w:cs="Times New Roman"/>
    </w:rPr>
  </w:style>
  <w:style w:type="character" w:customStyle="1" w:styleId="120">
    <w:name w:val="标题 Char2"/>
    <w:qFormat/>
    <w:uiPriority w:val="10"/>
    <w:rPr>
      <w:rFonts w:ascii="Cambria" w:hAnsi="Cambria" w:cs="Times New Roman"/>
      <w:b/>
      <w:bCs/>
      <w:kern w:val="2"/>
      <w:sz w:val="32"/>
      <w:szCs w:val="32"/>
    </w:rPr>
  </w:style>
  <w:style w:type="character" w:customStyle="1" w:styleId="121">
    <w:name w:val="正文文本 3 Char1"/>
    <w:semiHidden/>
    <w:qFormat/>
    <w:uiPriority w:val="99"/>
    <w:rPr>
      <w:kern w:val="2"/>
      <w:sz w:val="16"/>
      <w:szCs w:val="16"/>
    </w:rPr>
  </w:style>
  <w:style w:type="character" w:customStyle="1" w:styleId="122">
    <w:name w:val="批注主题 Char2"/>
    <w:qFormat/>
    <w:uiPriority w:val="0"/>
    <w:rPr>
      <w:b/>
      <w:bCs/>
      <w:kern w:val="2"/>
      <w:sz w:val="21"/>
    </w:rPr>
  </w:style>
  <w:style w:type="character" w:customStyle="1" w:styleId="123">
    <w:name w:val="正文文本 Char_0"/>
    <w:link w:val="124"/>
    <w:qFormat/>
    <w:uiPriority w:val="0"/>
    <w:rPr>
      <w:szCs w:val="24"/>
    </w:rPr>
  </w:style>
  <w:style w:type="paragraph" w:customStyle="1" w:styleId="124">
    <w:name w:val="正文文本_0"/>
    <w:basedOn w:val="93"/>
    <w:link w:val="123"/>
    <w:qFormat/>
    <w:uiPriority w:val="0"/>
    <w:pPr>
      <w:spacing w:after="120"/>
    </w:pPr>
    <w:rPr>
      <w:kern w:val="0"/>
      <w:sz w:val="20"/>
    </w:rPr>
  </w:style>
  <w:style w:type="character" w:customStyle="1" w:styleId="125">
    <w:name w:val="bookmark"/>
    <w:basedOn w:val="48"/>
    <w:qFormat/>
    <w:uiPriority w:val="0"/>
  </w:style>
  <w:style w:type="character" w:customStyle="1" w:styleId="126">
    <w:name w:val="标题 5 Char_0"/>
    <w:link w:val="127"/>
    <w:qFormat/>
    <w:uiPriority w:val="0"/>
    <w:rPr>
      <w:rFonts w:ascii="Calibri" w:hAnsi="Calibri"/>
      <w:b/>
      <w:bCs/>
      <w:sz w:val="28"/>
      <w:szCs w:val="28"/>
    </w:rPr>
  </w:style>
  <w:style w:type="paragraph" w:customStyle="1" w:styleId="127">
    <w:name w:val="标题 5_0"/>
    <w:basedOn w:val="93"/>
    <w:next w:val="93"/>
    <w:link w:val="126"/>
    <w:qFormat/>
    <w:uiPriority w:val="0"/>
    <w:pPr>
      <w:keepNext/>
      <w:keepLines/>
      <w:spacing w:before="280" w:after="290" w:line="372" w:lineRule="auto"/>
      <w:outlineLvl w:val="4"/>
    </w:pPr>
    <w:rPr>
      <w:rFonts w:ascii="Calibri" w:hAnsi="Calibri"/>
      <w:b/>
      <w:bCs/>
      <w:kern w:val="0"/>
      <w:sz w:val="28"/>
      <w:szCs w:val="28"/>
    </w:rPr>
  </w:style>
  <w:style w:type="character" w:customStyle="1" w:styleId="128">
    <w:name w:val="font11"/>
    <w:basedOn w:val="48"/>
    <w:qFormat/>
    <w:uiPriority w:val="0"/>
    <w:rPr>
      <w:rFonts w:hint="eastAsia" w:ascii="宋体" w:hAnsi="宋体" w:eastAsia="宋体" w:cs="宋体"/>
      <w:color w:val="000000"/>
      <w:sz w:val="20"/>
      <w:szCs w:val="20"/>
      <w:u w:val="none"/>
    </w:rPr>
  </w:style>
  <w:style w:type="character" w:customStyle="1" w:styleId="129">
    <w:name w:val="明显参考1"/>
    <w:qFormat/>
    <w:uiPriority w:val="0"/>
    <w:rPr>
      <w:b/>
      <w:bCs/>
      <w:smallCaps/>
      <w:color w:val="C0504D"/>
      <w:spacing w:val="5"/>
      <w:u w:val="single"/>
    </w:rPr>
  </w:style>
  <w:style w:type="character" w:customStyle="1" w:styleId="130">
    <w:name w:val="超链接_0"/>
    <w:qFormat/>
    <w:uiPriority w:val="99"/>
    <w:rPr>
      <w:rFonts w:ascii="Calibri" w:hAnsi="Calibri"/>
      <w:color w:val="0000FF"/>
      <w:u w:val="single"/>
    </w:rPr>
  </w:style>
  <w:style w:type="character" w:customStyle="1" w:styleId="131">
    <w:name w:val="文档结构图 Char2"/>
    <w:semiHidden/>
    <w:qFormat/>
    <w:uiPriority w:val="99"/>
    <w:rPr>
      <w:rFonts w:ascii="宋体" w:hAnsi="Calibri" w:eastAsia="宋体" w:cs="Times New Roman"/>
      <w:sz w:val="18"/>
      <w:szCs w:val="18"/>
    </w:rPr>
  </w:style>
  <w:style w:type="character" w:customStyle="1" w:styleId="132">
    <w:name w:val="textcontents"/>
    <w:qFormat/>
    <w:uiPriority w:val="0"/>
    <w:rPr>
      <w:rFonts w:cs="Times New Roman"/>
    </w:rPr>
  </w:style>
  <w:style w:type="character" w:customStyle="1" w:styleId="133">
    <w:name w:val="标题 1 Char"/>
    <w:qFormat/>
    <w:uiPriority w:val="0"/>
    <w:rPr>
      <w:b/>
      <w:bCs/>
      <w:kern w:val="44"/>
      <w:sz w:val="32"/>
      <w:szCs w:val="4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书籍标题1"/>
    <w:qFormat/>
    <w:uiPriority w:val="0"/>
    <w:rPr>
      <w:b/>
      <w:bCs/>
      <w:smallCaps/>
      <w:spacing w:val="5"/>
    </w:rPr>
  </w:style>
  <w:style w:type="character" w:customStyle="1" w:styleId="136">
    <w:name w:val="标题4 Char Char"/>
    <w:link w:val="137"/>
    <w:qFormat/>
    <w:uiPriority w:val="0"/>
    <w:rPr>
      <w:rFonts w:ascii="Arial" w:hAnsi="Arial"/>
      <w:b/>
      <w:bCs/>
      <w:sz w:val="24"/>
      <w:szCs w:val="32"/>
    </w:rPr>
  </w:style>
  <w:style w:type="paragraph" w:customStyle="1" w:styleId="137">
    <w:name w:val="标题4"/>
    <w:basedOn w:val="4"/>
    <w:next w:val="22"/>
    <w:link w:val="136"/>
    <w:qFormat/>
    <w:uiPriority w:val="0"/>
    <w:pPr>
      <w:numPr>
        <w:ilvl w:val="0"/>
        <w:numId w:val="0"/>
      </w:numPr>
      <w:spacing w:line="413" w:lineRule="auto"/>
    </w:pPr>
    <w:rPr>
      <w:rFonts w:ascii="Arial" w:hAnsi="Arial"/>
      <w:kern w:val="0"/>
      <w:sz w:val="24"/>
    </w:rPr>
  </w:style>
  <w:style w:type="character" w:customStyle="1" w:styleId="138">
    <w:name w:val="正文文本 Char1"/>
    <w:qFormat/>
    <w:uiPriority w:val="0"/>
    <w:rPr>
      <w:rFonts w:ascii="Calibri" w:hAnsi="Calibri" w:eastAsia="宋体" w:cs="Times New Roman"/>
    </w:rPr>
  </w:style>
  <w:style w:type="character" w:customStyle="1" w:styleId="139">
    <w:name w:val="明显引用 Char1"/>
    <w:qFormat/>
    <w:uiPriority w:val="30"/>
    <w:rPr>
      <w:b/>
      <w:bCs/>
      <w:i/>
      <w:iCs/>
      <w:color w:val="4F81BD"/>
      <w:kern w:val="2"/>
      <w:sz w:val="21"/>
    </w:rPr>
  </w:style>
  <w:style w:type="character" w:customStyle="1" w:styleId="140">
    <w:name w:val="页眉 Char1"/>
    <w:semiHidden/>
    <w:qFormat/>
    <w:uiPriority w:val="99"/>
    <w:rPr>
      <w:rFonts w:ascii="Calibri" w:hAnsi="Calibri" w:eastAsia="宋体" w:cs="Times New Roman"/>
      <w:sz w:val="18"/>
      <w:szCs w:val="18"/>
    </w:rPr>
  </w:style>
  <w:style w:type="character" w:customStyle="1" w:styleId="141">
    <w:name w:val="不明显强调1"/>
    <w:qFormat/>
    <w:uiPriority w:val="0"/>
    <w:rPr>
      <w:i/>
      <w:iCs/>
      <w:color w:val="808080"/>
    </w:rPr>
  </w:style>
  <w:style w:type="character" w:customStyle="1" w:styleId="142">
    <w:name w:val="font21"/>
    <w:basedOn w:val="48"/>
    <w:qFormat/>
    <w:uiPriority w:val="0"/>
    <w:rPr>
      <w:rFonts w:hint="eastAsia" w:ascii="宋体" w:hAnsi="宋体" w:eastAsia="宋体" w:cs="宋体"/>
      <w:color w:val="000000"/>
      <w:sz w:val="20"/>
      <w:szCs w:val="20"/>
      <w:u w:val="none"/>
    </w:rPr>
  </w:style>
  <w:style w:type="character" w:customStyle="1" w:styleId="143">
    <w:name w:val="文档结构图 Char1"/>
    <w:qFormat/>
    <w:uiPriority w:val="0"/>
    <w:rPr>
      <w:rFonts w:ascii="宋体" w:hAnsi="Calibri" w:eastAsia="宋体" w:cs="Times New Roman"/>
      <w:sz w:val="18"/>
      <w:szCs w:val="18"/>
    </w:rPr>
  </w:style>
  <w:style w:type="character" w:customStyle="1" w:styleId="144">
    <w:name w:val="标题 2 Char_0"/>
    <w:link w:val="145"/>
    <w:qFormat/>
    <w:uiPriority w:val="0"/>
    <w:rPr>
      <w:rFonts w:ascii="Cambria" w:hAnsi="Cambria"/>
      <w:b/>
      <w:bCs/>
      <w:sz w:val="32"/>
      <w:szCs w:val="32"/>
    </w:rPr>
  </w:style>
  <w:style w:type="paragraph" w:customStyle="1" w:styleId="145">
    <w:name w:val="标题 2_0"/>
    <w:basedOn w:val="93"/>
    <w:next w:val="93"/>
    <w:link w:val="144"/>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6">
    <w:name w:val="日期 Char2"/>
    <w:semiHidden/>
    <w:qFormat/>
    <w:uiPriority w:val="99"/>
    <w:rPr>
      <w:rFonts w:ascii="Calibri" w:hAnsi="Calibri" w:eastAsia="宋体" w:cs="Times New Roman"/>
    </w:rPr>
  </w:style>
  <w:style w:type="character" w:customStyle="1" w:styleId="147">
    <w:name w:val="批注框文本 Char2"/>
    <w:semiHidden/>
    <w:qFormat/>
    <w:uiPriority w:val="99"/>
    <w:rPr>
      <w:rFonts w:ascii="Calibri" w:hAnsi="Calibri" w:eastAsia="宋体" w:cs="Times New Roman"/>
      <w:sz w:val="18"/>
      <w:szCs w:val="18"/>
    </w:rPr>
  </w:style>
  <w:style w:type="character" w:customStyle="1" w:styleId="148">
    <w:name w:val="列出段落 Char"/>
    <w:link w:val="149"/>
    <w:qFormat/>
    <w:locked/>
    <w:uiPriority w:val="99"/>
    <w:rPr>
      <w:kern w:val="2"/>
      <w:sz w:val="21"/>
      <w:szCs w:val="24"/>
    </w:rPr>
  </w:style>
  <w:style w:type="paragraph" w:customStyle="1" w:styleId="149">
    <w:name w:val="List Paragraph1"/>
    <w:basedOn w:val="1"/>
    <w:link w:val="148"/>
    <w:qFormat/>
    <w:uiPriority w:val="99"/>
    <w:pPr>
      <w:ind w:firstLine="420" w:firstLineChars="200"/>
    </w:pPr>
  </w:style>
  <w:style w:type="paragraph" w:customStyle="1" w:styleId="150">
    <w:name w:val="样式 标题 3 + (中文) 黑体 小四 非加粗 段前: 7.8 磅 段后: 0 磅 行距: 固定值 20 磅"/>
    <w:basedOn w:val="6"/>
    <w:next w:val="1"/>
    <w:qFormat/>
    <w:uiPriority w:val="0"/>
    <w:pPr>
      <w:spacing w:before="0" w:after="0" w:line="400" w:lineRule="exact"/>
    </w:pPr>
    <w:rPr>
      <w:rFonts w:eastAsia="黑体" w:cs="宋体"/>
      <w:b w:val="0"/>
      <w:bCs w:val="0"/>
      <w:sz w:val="24"/>
      <w:szCs w:val="20"/>
    </w:rPr>
  </w:style>
  <w:style w:type="paragraph" w:customStyle="1" w:styleId="15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7">
    <w:name w:val="正文1"/>
    <w:qFormat/>
    <w:uiPriority w:val="0"/>
    <w:pPr>
      <w:widowControl w:val="0"/>
      <w:jc w:val="both"/>
    </w:pPr>
    <w:rPr>
      <w:rFonts w:ascii="Calibri" w:hAnsi="Calibri" w:eastAsia="宋体" w:cs="Times New Roman"/>
      <w:lang w:val="en-US" w:eastAsia="zh-CN" w:bidi="ar-SA"/>
    </w:rPr>
  </w:style>
  <w:style w:type="paragraph" w:customStyle="1" w:styleId="158">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3"/>
    <w:next w:val="93"/>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7"/>
    <w:next w:val="15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5"/>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3"/>
    <w:next w:val="93"/>
    <w:qFormat/>
    <w:uiPriority w:val="39"/>
    <w:pPr>
      <w:ind w:left="1260" w:leftChars="600"/>
    </w:pPr>
    <w:rPr>
      <w:rFonts w:ascii="Calibri" w:hAnsi="Calibri"/>
    </w:rPr>
  </w:style>
  <w:style w:type="paragraph" w:customStyle="1" w:styleId="181">
    <w:name w:val="目录 3_0"/>
    <w:basedOn w:val="93"/>
    <w:next w:val="93"/>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3"/>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4"/>
    <w:next w:val="19"/>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6"/>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8"/>
    <w:qFormat/>
    <w:uiPriority w:val="0"/>
    <w:rPr>
      <w:bdr w:val="single" w:color="808080" w:sz="4" w:space="0"/>
    </w:rPr>
  </w:style>
  <w:style w:type="character" w:customStyle="1" w:styleId="216">
    <w:name w:val="cke_colorbox1"/>
    <w:basedOn w:val="48"/>
    <w:qFormat/>
    <w:uiPriority w:val="0"/>
  </w:style>
  <w:style w:type="character" w:customStyle="1" w:styleId="217">
    <w:name w:val="pwdtips_alert"/>
    <w:basedOn w:val="48"/>
    <w:qFormat/>
    <w:uiPriority w:val="0"/>
    <w:rPr>
      <w:bdr w:val="single" w:color="FFCB25" w:sz="4" w:space="0"/>
      <w:shd w:val="clear" w:color="auto" w:fill="FFEAA6"/>
    </w:rPr>
  </w:style>
  <w:style w:type="character" w:customStyle="1" w:styleId="218">
    <w:name w:val="l-btn-left"/>
    <w:basedOn w:val="48"/>
    <w:qFormat/>
    <w:uiPriority w:val="0"/>
  </w:style>
  <w:style w:type="character" w:customStyle="1" w:styleId="219">
    <w:name w:val="l-btn-left1"/>
    <w:basedOn w:val="48"/>
    <w:qFormat/>
    <w:uiPriority w:val="0"/>
  </w:style>
  <w:style w:type="character" w:customStyle="1" w:styleId="220">
    <w:name w:val="l-btn-left2"/>
    <w:basedOn w:val="48"/>
    <w:qFormat/>
    <w:uiPriority w:val="0"/>
  </w:style>
  <w:style w:type="character" w:customStyle="1" w:styleId="221">
    <w:name w:val="l-btn-left3"/>
    <w:basedOn w:val="48"/>
    <w:qFormat/>
    <w:uiPriority w:val="0"/>
  </w:style>
  <w:style w:type="character" w:customStyle="1" w:styleId="222">
    <w:name w:val="combo2"/>
    <w:basedOn w:val="48"/>
    <w:qFormat/>
    <w:uiPriority w:val="0"/>
  </w:style>
  <w:style w:type="character" w:customStyle="1" w:styleId="223">
    <w:name w:val="l-btn-empty"/>
    <w:basedOn w:val="48"/>
    <w:qFormat/>
    <w:uiPriority w:val="0"/>
  </w:style>
  <w:style w:type="character" w:customStyle="1" w:styleId="224">
    <w:name w:val="red"/>
    <w:basedOn w:val="48"/>
    <w:qFormat/>
    <w:uiPriority w:val="0"/>
    <w:rPr>
      <w:color w:val="FF0000"/>
    </w:rPr>
  </w:style>
  <w:style w:type="character" w:customStyle="1" w:styleId="225">
    <w:name w:val="l-btn-text"/>
    <w:basedOn w:val="48"/>
    <w:qFormat/>
    <w:uiPriority w:val="0"/>
    <w:rPr>
      <w:color w:val="1864AC"/>
      <w:sz w:val="14"/>
      <w:szCs w:val="14"/>
    </w:rPr>
  </w:style>
  <w:style w:type="character" w:customStyle="1" w:styleId="226">
    <w:name w:val="l-btn-text1"/>
    <w:basedOn w:val="48"/>
    <w:qFormat/>
    <w:uiPriority w:val="0"/>
  </w:style>
  <w:style w:type="character" w:customStyle="1" w:styleId="227">
    <w:name w:val="green"/>
    <w:basedOn w:val="48"/>
    <w:qFormat/>
    <w:uiPriority w:val="0"/>
    <w:rPr>
      <w:color w:val="00A521"/>
    </w:rPr>
  </w:style>
  <w:style w:type="character" w:customStyle="1" w:styleId="228">
    <w:name w:val="valueinfo"/>
    <w:basedOn w:val="48"/>
    <w:qFormat/>
    <w:uiPriority w:val="0"/>
    <w:rPr>
      <w:color w:val="666666"/>
    </w:rPr>
  </w:style>
  <w:style w:type="character" w:customStyle="1" w:styleId="229">
    <w:name w:val="tree-file2"/>
    <w:basedOn w:val="48"/>
    <w:qFormat/>
    <w:uiPriority w:val="0"/>
  </w:style>
  <w:style w:type="character" w:customStyle="1" w:styleId="230">
    <w:name w:val="vainfo"/>
    <w:basedOn w:val="48"/>
    <w:qFormat/>
    <w:uiPriority w:val="0"/>
    <w:rPr>
      <w:color w:val="FF0000"/>
      <w:bdr w:val="single" w:color="FCBCBC" w:sz="4" w:space="0"/>
      <w:shd w:val="clear" w:color="auto" w:fill="FFE4E4"/>
    </w:rPr>
  </w:style>
  <w:style w:type="character" w:customStyle="1" w:styleId="231">
    <w:name w:val="pwdtips_ok"/>
    <w:basedOn w:val="48"/>
    <w:qFormat/>
    <w:uiPriority w:val="0"/>
    <w:rPr>
      <w:bdr w:val="single" w:color="8EFF25" w:sz="4" w:space="0"/>
      <w:shd w:val="clear" w:color="auto" w:fill="B4FFA6"/>
    </w:rPr>
  </w:style>
  <w:style w:type="character" w:customStyle="1" w:styleId="232">
    <w:name w:val="pwdtips_error"/>
    <w:basedOn w:val="48"/>
    <w:qFormat/>
    <w:uiPriority w:val="0"/>
    <w:rPr>
      <w:bdr w:val="single" w:color="FF2525" w:sz="4" w:space="0"/>
      <w:shd w:val="clear" w:color="auto" w:fill="FFA6A6"/>
    </w:rPr>
  </w:style>
  <w:style w:type="character" w:customStyle="1" w:styleId="233">
    <w:name w:val="tree-title4"/>
    <w:basedOn w:val="48"/>
    <w:qFormat/>
    <w:uiPriority w:val="0"/>
    <w:rPr>
      <w:color w:val="1864AC"/>
    </w:rPr>
  </w:style>
  <w:style w:type="character" w:customStyle="1" w:styleId="234">
    <w:name w:val="tree-title5"/>
    <w:basedOn w:val="48"/>
    <w:qFormat/>
    <w:uiPriority w:val="0"/>
    <w:rPr>
      <w:color w:val="FFFFFF"/>
      <w:shd w:val="clear" w:color="auto" w:fill="3366CC"/>
    </w:rPr>
  </w:style>
  <w:style w:type="character" w:customStyle="1" w:styleId="235">
    <w:name w:val="info"/>
    <w:basedOn w:val="48"/>
    <w:qFormat/>
    <w:uiPriority w:val="0"/>
  </w:style>
  <w:style w:type="character" w:customStyle="1" w:styleId="236">
    <w:name w:val="topic"/>
    <w:basedOn w:val="48"/>
    <w:qFormat/>
    <w:uiPriority w:val="0"/>
    <w:rPr>
      <w:color w:val="FF0000"/>
    </w:rPr>
  </w:style>
  <w:style w:type="paragraph" w:customStyle="1" w:styleId="237">
    <w:name w:val="_Style 213"/>
    <w:basedOn w:val="1"/>
    <w:next w:val="56"/>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8"/>
    <w:qFormat/>
    <w:uiPriority w:val="0"/>
    <w:rPr>
      <w:rFonts w:hint="eastAsia" w:ascii="宋体" w:hAnsi="宋体" w:eastAsia="宋体" w:cs="宋体"/>
      <w:b/>
      <w:bCs/>
      <w:color w:val="000000"/>
      <w:sz w:val="18"/>
      <w:szCs w:val="18"/>
      <w:u w:val="none"/>
    </w:rPr>
  </w:style>
  <w:style w:type="character" w:customStyle="1" w:styleId="251">
    <w:name w:val="font01"/>
    <w:basedOn w:val="48"/>
    <w:qFormat/>
    <w:uiPriority w:val="0"/>
    <w:rPr>
      <w:rFonts w:hint="eastAsia" w:ascii="宋体" w:hAnsi="宋体" w:eastAsia="宋体" w:cs="宋体"/>
      <w:color w:val="000000"/>
      <w:sz w:val="22"/>
      <w:szCs w:val="22"/>
      <w:u w:val="none"/>
    </w:rPr>
  </w:style>
  <w:style w:type="character" w:customStyle="1" w:styleId="252">
    <w:name w:val="font141"/>
    <w:basedOn w:val="48"/>
    <w:qFormat/>
    <w:uiPriority w:val="0"/>
    <w:rPr>
      <w:rFonts w:hint="eastAsia" w:ascii="宋体" w:hAnsi="宋体" w:eastAsia="宋体" w:cs="宋体"/>
      <w:color w:val="000000"/>
      <w:sz w:val="21"/>
      <w:szCs w:val="21"/>
      <w:u w:val="none"/>
    </w:rPr>
  </w:style>
  <w:style w:type="character" w:customStyle="1" w:styleId="253">
    <w:name w:val="font151"/>
    <w:basedOn w:val="48"/>
    <w:qFormat/>
    <w:uiPriority w:val="0"/>
    <w:rPr>
      <w:rFonts w:hint="eastAsia" w:ascii="宋体" w:hAnsi="宋体" w:eastAsia="宋体" w:cs="宋体"/>
      <w:color w:val="FF0000"/>
      <w:sz w:val="22"/>
      <w:szCs w:val="22"/>
      <w:u w:val="none"/>
    </w:rPr>
  </w:style>
  <w:style w:type="character" w:customStyle="1" w:styleId="254">
    <w:name w:val="font51"/>
    <w:basedOn w:val="48"/>
    <w:qFormat/>
    <w:uiPriority w:val="0"/>
    <w:rPr>
      <w:rFonts w:hint="eastAsia" w:ascii="宋体" w:hAnsi="宋体" w:eastAsia="宋体" w:cs="宋体"/>
      <w:color w:val="000000"/>
      <w:sz w:val="22"/>
      <w:szCs w:val="22"/>
      <w:u w:val="none"/>
    </w:rPr>
  </w:style>
  <w:style w:type="character" w:customStyle="1" w:styleId="255">
    <w:name w:val="font171"/>
    <w:basedOn w:val="48"/>
    <w:qFormat/>
    <w:uiPriority w:val="0"/>
    <w:rPr>
      <w:rFonts w:hint="eastAsia" w:ascii="宋体" w:hAnsi="宋体" w:eastAsia="宋体" w:cs="宋体"/>
      <w:color w:val="000000"/>
      <w:sz w:val="24"/>
      <w:szCs w:val="24"/>
      <w:u w:val="none"/>
    </w:rPr>
  </w:style>
  <w:style w:type="character" w:customStyle="1" w:styleId="256">
    <w:name w:val="font41"/>
    <w:basedOn w:val="48"/>
    <w:qFormat/>
    <w:uiPriority w:val="0"/>
    <w:rPr>
      <w:rFonts w:hint="default" w:ascii="Times New Roman" w:hAnsi="Times New Roman" w:cs="Times New Roman"/>
      <w:color w:val="000000"/>
      <w:sz w:val="22"/>
      <w:szCs w:val="22"/>
      <w:u w:val="none"/>
    </w:rPr>
  </w:style>
  <w:style w:type="character" w:customStyle="1" w:styleId="257">
    <w:name w:val="font181"/>
    <w:basedOn w:val="48"/>
    <w:qFormat/>
    <w:uiPriority w:val="0"/>
    <w:rPr>
      <w:rFonts w:hint="eastAsia" w:ascii="宋体" w:hAnsi="宋体" w:eastAsia="宋体" w:cs="宋体"/>
      <w:color w:val="0D0D0D"/>
      <w:sz w:val="24"/>
      <w:szCs w:val="24"/>
      <w:u w:val="none"/>
    </w:rPr>
  </w:style>
  <w:style w:type="character" w:customStyle="1" w:styleId="258">
    <w:name w:val="font191"/>
    <w:basedOn w:val="48"/>
    <w:qFormat/>
    <w:uiPriority w:val="0"/>
    <w:rPr>
      <w:rFonts w:hint="eastAsia" w:ascii="宋体" w:hAnsi="宋体" w:eastAsia="宋体" w:cs="宋体"/>
      <w:color w:val="000000"/>
      <w:sz w:val="20"/>
      <w:szCs w:val="20"/>
      <w:u w:val="none"/>
    </w:rPr>
  </w:style>
  <w:style w:type="character" w:customStyle="1" w:styleId="259">
    <w:name w:val="font201"/>
    <w:basedOn w:val="48"/>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91</Pages>
  <Words>80</Words>
  <Characters>110</Characters>
  <Lines>235</Lines>
  <Paragraphs>66</Paragraphs>
  <TotalTime>50</TotalTime>
  <ScaleCrop>false</ScaleCrop>
  <LinksUpToDate>false</LinksUpToDate>
  <CharactersWithSpaces>110</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think</dc:creator>
  <cp:lastModifiedBy>鸭蛋超人</cp:lastModifiedBy>
  <dcterms:modified xsi:type="dcterms:W3CDTF">2026-11-02T17:24:31Z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FD5A23BDF2C14AC79EBFF897A14D4F98_13</vt:lpwstr>
  </property>
  <property fmtid="{D5CDD505-2E9C-101B-9397-08002B2CF9AE}" pid="4" name="KSOTemplateDocerSaveRecord">
    <vt:lpwstr>eyJoZGlkIjoiODYwODE4ZDllMDE3NWIzMGZhN2ZkM2M5ODJkOTViZGYiLCJ1c2VySWQiOiIyNjg1NjI2MTAifQ==</vt:lpwstr>
  </property>
</Properties>
</file>