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083EE">
      <w:pPr>
        <w:spacing w:before="120" w:after="120" w:line="360" w:lineRule="auto"/>
        <w:jc w:val="left"/>
        <w:rPr>
          <w:rFonts w:ascii="Arial" w:hAnsi="Arial" w:eastAsia="黑体"/>
          <w:b/>
          <w:bCs/>
          <w:color w:val="auto"/>
          <w:sz w:val="84"/>
          <w:szCs w:val="24"/>
          <w:highlight w:val="none"/>
        </w:rPr>
      </w:pPr>
    </w:p>
    <w:p w14:paraId="36BAAEC6">
      <w:pPr>
        <w:spacing w:before="120" w:after="120" w:line="360" w:lineRule="auto"/>
        <w:jc w:val="center"/>
        <w:rPr>
          <w:rFonts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57385258">
      <w:pPr>
        <w:spacing w:before="120" w:after="120" w:line="360" w:lineRule="auto"/>
        <w:jc w:val="center"/>
        <w:rPr>
          <w:rFonts w:ascii="Arial" w:hAnsi="Arial"/>
          <w:b/>
          <w:bCs/>
          <w:color w:val="auto"/>
          <w:sz w:val="32"/>
          <w:szCs w:val="24"/>
          <w:highlight w:val="none"/>
          <w:u w:val="single"/>
        </w:rPr>
      </w:pPr>
      <w:r>
        <w:rPr>
          <w:rFonts w:hint="eastAsia" w:ascii="Arial" w:hAnsi="Arial"/>
          <w:b/>
          <w:bCs/>
          <w:color w:val="auto"/>
          <w:sz w:val="32"/>
          <w:szCs w:val="24"/>
          <w:highlight w:val="none"/>
        </w:rPr>
        <w:t>项目名称：区本级预算管理一体化系统驻场运维服务</w:t>
      </w:r>
    </w:p>
    <w:p w14:paraId="08D01F7C">
      <w:pPr>
        <w:spacing w:before="120" w:after="120" w:line="360" w:lineRule="auto"/>
        <w:ind w:firstLine="964" w:firstLineChars="300"/>
        <w:rPr>
          <w:rFonts w:ascii="Arial" w:hAnsi="Arial"/>
          <w:b/>
          <w:bCs/>
          <w:color w:val="auto"/>
          <w:sz w:val="32"/>
          <w:szCs w:val="24"/>
          <w:highlight w:val="none"/>
        </w:rPr>
      </w:pPr>
      <w:r>
        <w:rPr>
          <w:rFonts w:hint="eastAsia" w:ascii="Arial" w:hAnsi="Arial"/>
          <w:b/>
          <w:bCs/>
          <w:color w:val="auto"/>
          <w:sz w:val="32"/>
          <w:szCs w:val="24"/>
          <w:highlight w:val="none"/>
        </w:rPr>
        <w:t>项目编号：JSZC-320118-JZCG-C2026-0017</w:t>
      </w:r>
      <w:r>
        <w:rPr>
          <w:rFonts w:hint="eastAsia" w:ascii="Arial" w:hAnsi="Arial"/>
          <w:b/>
          <w:bCs/>
          <w:color w:val="auto"/>
          <w:sz w:val="32"/>
          <w:szCs w:val="24"/>
          <w:highlight w:val="none"/>
        </w:rPr>
        <w:tab/>
      </w:r>
    </w:p>
    <w:p w14:paraId="1A2298BE">
      <w:pPr>
        <w:spacing w:line="360" w:lineRule="auto"/>
        <w:jc w:val="center"/>
        <w:rPr>
          <w:b/>
          <w:color w:val="auto"/>
          <w:sz w:val="30"/>
          <w:szCs w:val="30"/>
          <w:highlight w:val="none"/>
        </w:rPr>
      </w:pPr>
      <w:r>
        <w:rPr>
          <w:rFonts w:hint="eastAsia"/>
          <w:b/>
          <w:color w:val="auto"/>
          <w:sz w:val="30"/>
          <w:szCs w:val="30"/>
          <w:highlight w:val="none"/>
        </w:rPr>
        <w:t>（服务类项目，</w:t>
      </w:r>
      <w:r>
        <w:rPr>
          <w:rFonts w:hint="eastAsia" w:ascii="宋体" w:hAnsi="宋体" w:cs="宋体"/>
          <w:b/>
          <w:bCs/>
          <w:color w:val="auto"/>
          <w:sz w:val="30"/>
          <w:szCs w:val="30"/>
          <w:highlight w:val="none"/>
        </w:rPr>
        <w:t>专门</w:t>
      </w:r>
      <w:r>
        <w:rPr>
          <w:rFonts w:hint="eastAsia"/>
          <w:b/>
          <w:color w:val="auto"/>
          <w:sz w:val="30"/>
          <w:szCs w:val="30"/>
          <w:highlight w:val="none"/>
        </w:rPr>
        <w:t>面向中小企业）</w:t>
      </w:r>
    </w:p>
    <w:p w14:paraId="23CC0E5E">
      <w:pPr>
        <w:pStyle w:val="191"/>
        <w:spacing w:line="360" w:lineRule="auto"/>
        <w:rPr>
          <w:color w:val="auto"/>
          <w:highlight w:val="none"/>
        </w:rPr>
      </w:pPr>
    </w:p>
    <w:p w14:paraId="30267DB6">
      <w:pPr>
        <w:spacing w:line="360" w:lineRule="auto"/>
        <w:jc w:val="left"/>
        <w:rPr>
          <w:rFonts w:ascii="宋体" w:hAnsi="宋体"/>
          <w:color w:val="auto"/>
          <w:sz w:val="24"/>
          <w:szCs w:val="24"/>
          <w:highlight w:val="none"/>
        </w:rPr>
      </w:pPr>
    </w:p>
    <w:p w14:paraId="36882EB3">
      <w:pPr>
        <w:spacing w:line="360" w:lineRule="auto"/>
        <w:jc w:val="left"/>
        <w:rPr>
          <w:rFonts w:ascii="宋体" w:hAnsi="宋体"/>
          <w:color w:val="auto"/>
          <w:sz w:val="24"/>
          <w:szCs w:val="24"/>
          <w:highlight w:val="none"/>
        </w:rPr>
      </w:pPr>
    </w:p>
    <w:p w14:paraId="23575146">
      <w:pPr>
        <w:spacing w:line="360" w:lineRule="auto"/>
        <w:jc w:val="left"/>
        <w:rPr>
          <w:rFonts w:ascii="宋体" w:hAnsi="宋体"/>
          <w:color w:val="auto"/>
          <w:sz w:val="24"/>
          <w:szCs w:val="24"/>
          <w:highlight w:val="none"/>
        </w:rPr>
      </w:pPr>
    </w:p>
    <w:p w14:paraId="1F2DE7AF">
      <w:pPr>
        <w:spacing w:line="360" w:lineRule="auto"/>
        <w:jc w:val="left"/>
        <w:rPr>
          <w:rFonts w:ascii="宋体" w:hAnsi="宋体"/>
          <w:color w:val="auto"/>
          <w:sz w:val="24"/>
          <w:szCs w:val="24"/>
          <w:highlight w:val="none"/>
        </w:rPr>
      </w:pPr>
    </w:p>
    <w:p w14:paraId="435F88F8">
      <w:pPr>
        <w:spacing w:line="360" w:lineRule="auto"/>
        <w:jc w:val="left"/>
        <w:rPr>
          <w:rFonts w:ascii="宋体" w:hAnsi="宋体"/>
          <w:color w:val="auto"/>
          <w:sz w:val="24"/>
          <w:szCs w:val="24"/>
          <w:highlight w:val="none"/>
        </w:rPr>
      </w:pPr>
      <w:bookmarkStart w:id="175" w:name="_GoBack"/>
      <w:bookmarkEnd w:id="175"/>
    </w:p>
    <w:p w14:paraId="272B3996">
      <w:pPr>
        <w:spacing w:line="360" w:lineRule="auto"/>
        <w:jc w:val="left"/>
        <w:rPr>
          <w:rFonts w:ascii="宋体" w:hAnsi="宋体"/>
          <w:color w:val="auto"/>
          <w:sz w:val="24"/>
          <w:szCs w:val="24"/>
          <w:highlight w:val="none"/>
        </w:rPr>
      </w:pPr>
    </w:p>
    <w:p w14:paraId="75359682">
      <w:pPr>
        <w:spacing w:line="360" w:lineRule="auto"/>
        <w:jc w:val="left"/>
        <w:rPr>
          <w:rFonts w:ascii="宋体" w:hAnsi="宋体"/>
          <w:color w:val="auto"/>
          <w:sz w:val="24"/>
          <w:szCs w:val="24"/>
          <w:highlight w:val="none"/>
        </w:rPr>
      </w:pPr>
    </w:p>
    <w:p w14:paraId="739F22A9">
      <w:pPr>
        <w:pStyle w:val="319"/>
        <w:ind w:firstLine="0"/>
        <w:jc w:val="center"/>
        <w:rPr>
          <w:b/>
          <w:bCs/>
          <w:color w:val="auto"/>
          <w:sz w:val="32"/>
          <w:highlight w:val="none"/>
        </w:rPr>
      </w:pPr>
    </w:p>
    <w:p w14:paraId="66983B23">
      <w:pPr>
        <w:pStyle w:val="319"/>
        <w:ind w:firstLine="0"/>
        <w:jc w:val="center"/>
        <w:rPr>
          <w:b/>
          <w:bCs/>
          <w:color w:val="auto"/>
          <w:sz w:val="32"/>
          <w:highlight w:val="none"/>
        </w:rPr>
      </w:pPr>
    </w:p>
    <w:p w14:paraId="6924E569">
      <w:pPr>
        <w:pStyle w:val="319"/>
        <w:ind w:firstLine="0"/>
        <w:jc w:val="center"/>
        <w:rPr>
          <w:b/>
          <w:bCs/>
          <w:color w:val="auto"/>
          <w:sz w:val="32"/>
          <w:highlight w:val="none"/>
        </w:rPr>
      </w:pPr>
      <w:r>
        <w:rPr>
          <w:rFonts w:hint="eastAsia"/>
          <w:b/>
          <w:bCs/>
          <w:color w:val="auto"/>
          <w:sz w:val="32"/>
          <w:highlight w:val="none"/>
        </w:rPr>
        <w:t>南京市公共资源交易中心高淳分中心</w:t>
      </w:r>
    </w:p>
    <w:p w14:paraId="5CE910CC">
      <w:pPr>
        <w:pStyle w:val="319"/>
        <w:ind w:firstLine="0"/>
        <w:jc w:val="center"/>
        <w:rPr>
          <w:b/>
          <w:bCs/>
          <w:color w:val="auto"/>
          <w:sz w:val="32"/>
          <w:highlight w:val="none"/>
        </w:rPr>
      </w:pPr>
      <w:r>
        <w:rPr>
          <w:rFonts w:hint="eastAsia"/>
          <w:b/>
          <w:bCs/>
          <w:color w:val="auto"/>
          <w:sz w:val="32"/>
          <w:highlight w:val="none"/>
        </w:rPr>
        <w:t>2026年11月</w:t>
      </w:r>
    </w:p>
    <w:p w14:paraId="07131A7A">
      <w:pPr>
        <w:spacing w:before="120" w:after="120" w:line="360" w:lineRule="auto"/>
        <w:jc w:val="center"/>
        <w:rPr>
          <w:rFonts w:ascii="Arial" w:hAnsi="Arial"/>
          <w:color w:val="auto"/>
          <w:sz w:val="24"/>
          <w:szCs w:val="24"/>
          <w:highlight w:val="none"/>
        </w:rPr>
      </w:pPr>
    </w:p>
    <w:p w14:paraId="62216A02">
      <w:pPr>
        <w:spacing w:line="360" w:lineRule="auto"/>
        <w:jc w:val="center"/>
        <w:outlineLvl w:val="0"/>
        <w:rPr>
          <w:rFonts w:ascii="黑体" w:hAnsi="Arial" w:eastAsia="黑体"/>
          <w:b/>
          <w:color w:val="auto"/>
          <w:sz w:val="44"/>
          <w:szCs w:val="21"/>
          <w:highlight w:val="none"/>
        </w:rPr>
      </w:pPr>
      <w:r>
        <w:rPr>
          <w:color w:val="auto"/>
          <w:szCs w:val="21"/>
          <w:highlight w:val="none"/>
        </w:rPr>
        <w:br w:type="page" w:clear="all"/>
      </w:r>
      <w:bookmarkStart w:id="0" w:name="_Toc120614210"/>
      <w:bookmarkStart w:id="1" w:name="_Toc513029200"/>
      <w:bookmarkStart w:id="2" w:name="_Toc479757206"/>
      <w:bookmarkStart w:id="3" w:name="_Toc523127445"/>
      <w:bookmarkStart w:id="4" w:name="_Toc20823272"/>
      <w:bookmarkStart w:id="5" w:name="_Toc16938516"/>
      <w:r>
        <w:rPr>
          <w:rFonts w:hint="eastAsia" w:ascii="黑体" w:hAnsi="Arial" w:eastAsia="黑体"/>
          <w:b/>
          <w:color w:val="auto"/>
          <w:sz w:val="44"/>
          <w:szCs w:val="21"/>
          <w:highlight w:val="none"/>
        </w:rPr>
        <w:t>总  目  录</w:t>
      </w:r>
    </w:p>
    <w:p w14:paraId="4CFF8D3C">
      <w:pPr>
        <w:spacing w:line="360" w:lineRule="auto"/>
        <w:rPr>
          <w:rFonts w:ascii="仿宋_GB2312" w:hAnsi="Arial" w:eastAsia="仿宋_GB2312"/>
          <w:b/>
          <w:color w:val="auto"/>
          <w:sz w:val="28"/>
          <w:szCs w:val="21"/>
          <w:highlight w:val="none"/>
        </w:rPr>
      </w:pPr>
    </w:p>
    <w:p w14:paraId="18F6CE3E">
      <w:pPr>
        <w:pStyle w:val="289"/>
        <w:tabs>
          <w:tab w:val="right" w:leader="dot" w:pos="9180"/>
        </w:tabs>
        <w:spacing w:line="360" w:lineRule="auto"/>
        <w:rPr>
          <w:rFonts w:ascii="黑体" w:hAnsi="黑体" w:eastAsia="黑体" w:cs="黑体"/>
          <w:color w:val="auto"/>
          <w:sz w:val="36"/>
          <w:szCs w:val="36"/>
          <w:highlight w:val="none"/>
        </w:rPr>
      </w:pPr>
    </w:p>
    <w:p w14:paraId="0E7BCEB8">
      <w:pPr>
        <w:pStyle w:val="289"/>
        <w:tabs>
          <w:tab w:val="right" w:leader="dot" w:pos="9180"/>
        </w:tabs>
        <w:spacing w:line="360" w:lineRule="auto"/>
        <w:rPr>
          <w:rFonts w:hint="eastAsia"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"_Toc20702" </w:instrText>
      </w:r>
      <w:r>
        <w:rPr>
          <w:color w:val="auto"/>
          <w:highlight w:val="none"/>
        </w:rPr>
        <w:fldChar w:fldCharType="separate"/>
      </w:r>
      <w:r>
        <w:rPr>
          <w:rFonts w:hint="eastAsia" w:ascii="黑体" w:hAnsi="黑体" w:eastAsia="黑体" w:cs="黑体"/>
          <w:color w:val="auto"/>
          <w:sz w:val="36"/>
          <w:szCs w:val="36"/>
          <w:highlight w:val="none"/>
        </w:rPr>
        <w:t>第一章  磋商邀请</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3</w:t>
      </w:r>
    </w:p>
    <w:p w14:paraId="12C61421">
      <w:pPr>
        <w:pStyle w:val="289"/>
        <w:tabs>
          <w:tab w:val="right" w:leader="dot" w:pos="9180"/>
        </w:tabs>
        <w:spacing w:line="360" w:lineRule="auto"/>
        <w:rPr>
          <w:rFonts w:hint="eastAsia"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"_Toc9182" </w:instrText>
      </w:r>
      <w:r>
        <w:rPr>
          <w:color w:val="auto"/>
          <w:highlight w:val="none"/>
        </w:rPr>
        <w:fldChar w:fldCharType="separate"/>
      </w:r>
      <w:r>
        <w:rPr>
          <w:rFonts w:hint="eastAsia" w:ascii="黑体" w:hAnsi="黑体" w:eastAsia="黑体" w:cs="黑体"/>
          <w:color w:val="auto"/>
          <w:sz w:val="36"/>
          <w:szCs w:val="36"/>
          <w:highlight w:val="none"/>
        </w:rPr>
        <w:t>第二章  供应商须知</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6</w:t>
      </w:r>
    </w:p>
    <w:p w14:paraId="40CDE096">
      <w:pPr>
        <w:pStyle w:val="289"/>
        <w:tabs>
          <w:tab w:val="right" w:leader="dot" w:pos="9180"/>
        </w:tabs>
        <w:spacing w:line="360" w:lineRule="auto"/>
        <w:rPr>
          <w:rFonts w:hint="default"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"_Toc15730" </w:instrText>
      </w:r>
      <w:r>
        <w:rPr>
          <w:color w:val="auto"/>
          <w:highlight w:val="none"/>
        </w:rPr>
        <w:fldChar w:fldCharType="separate"/>
      </w:r>
      <w:r>
        <w:rPr>
          <w:rFonts w:hint="eastAsia" w:ascii="黑体" w:hAnsi="黑体" w:eastAsia="黑体" w:cs="黑体"/>
          <w:color w:val="auto"/>
          <w:sz w:val="36"/>
          <w:szCs w:val="36"/>
          <w:highlight w:val="none"/>
        </w:rPr>
        <w:t>第三章  合同文本</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2</w:t>
      </w:r>
      <w:r>
        <w:rPr>
          <w:rFonts w:hint="eastAsia" w:ascii="黑体" w:hAnsi="黑体" w:eastAsia="黑体" w:cs="黑体"/>
          <w:color w:val="auto"/>
          <w:sz w:val="36"/>
          <w:szCs w:val="36"/>
          <w:highlight w:val="none"/>
          <w:lang w:val="en-US" w:eastAsia="zh-CN"/>
        </w:rPr>
        <w:t>1</w:t>
      </w:r>
    </w:p>
    <w:p w14:paraId="6C37D807">
      <w:pPr>
        <w:pStyle w:val="289"/>
        <w:tabs>
          <w:tab w:val="right" w:leader="dot" w:pos="9180"/>
        </w:tabs>
        <w:spacing w:line="360" w:lineRule="auto"/>
        <w:rPr>
          <w:rFonts w:hint="default"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"_Toc11631" </w:instrText>
      </w:r>
      <w:r>
        <w:rPr>
          <w:color w:val="auto"/>
          <w:highlight w:val="none"/>
        </w:rPr>
        <w:fldChar w:fldCharType="separate"/>
      </w:r>
      <w:r>
        <w:rPr>
          <w:rFonts w:hint="eastAsia" w:ascii="黑体" w:hAnsi="黑体" w:eastAsia="黑体" w:cs="黑体"/>
          <w:color w:val="auto"/>
          <w:sz w:val="36"/>
          <w:szCs w:val="36"/>
          <w:highlight w:val="none"/>
        </w:rPr>
        <w:t>第四章  采购需求</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2</w:t>
      </w:r>
      <w:r>
        <w:rPr>
          <w:rFonts w:hint="eastAsia" w:ascii="黑体" w:hAnsi="黑体" w:eastAsia="黑体" w:cs="黑体"/>
          <w:color w:val="auto"/>
          <w:sz w:val="36"/>
          <w:szCs w:val="36"/>
          <w:highlight w:val="none"/>
          <w:lang w:val="en-US" w:eastAsia="zh-CN"/>
        </w:rPr>
        <w:t>5</w:t>
      </w:r>
    </w:p>
    <w:p w14:paraId="48EB98EE">
      <w:pPr>
        <w:pStyle w:val="289"/>
        <w:tabs>
          <w:tab w:val="right" w:leader="dot" w:pos="9180"/>
        </w:tabs>
        <w:spacing w:line="360" w:lineRule="auto"/>
        <w:rPr>
          <w:rFonts w:hint="default"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"_Toc2558" </w:instrText>
      </w:r>
      <w:r>
        <w:rPr>
          <w:color w:val="auto"/>
          <w:highlight w:val="none"/>
        </w:rPr>
        <w:fldChar w:fldCharType="separate"/>
      </w:r>
      <w:r>
        <w:rPr>
          <w:rFonts w:hint="eastAsia" w:ascii="黑体" w:hAnsi="黑体" w:eastAsia="黑体" w:cs="黑体"/>
          <w:color w:val="auto"/>
          <w:sz w:val="36"/>
          <w:szCs w:val="36"/>
          <w:highlight w:val="none"/>
        </w:rPr>
        <w:t>第五章  评标方法与评标标准</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3</w:t>
      </w:r>
      <w:r>
        <w:rPr>
          <w:rFonts w:hint="eastAsia" w:ascii="黑体" w:hAnsi="黑体" w:eastAsia="黑体" w:cs="黑体"/>
          <w:color w:val="auto"/>
          <w:sz w:val="36"/>
          <w:szCs w:val="36"/>
          <w:highlight w:val="none"/>
          <w:lang w:val="en-US" w:eastAsia="zh-CN"/>
        </w:rPr>
        <w:t>1</w:t>
      </w:r>
    </w:p>
    <w:p w14:paraId="3BCC4EA7">
      <w:pPr>
        <w:pStyle w:val="289"/>
        <w:tabs>
          <w:tab w:val="right" w:leader="dot" w:pos="9180"/>
        </w:tabs>
        <w:spacing w:line="360" w:lineRule="auto"/>
        <w:rPr>
          <w:rFonts w:hint="default" w:ascii="黑体" w:hAnsi="黑体" w:eastAsia="黑体" w:cs="黑体"/>
          <w:color w:val="auto"/>
          <w:sz w:val="36"/>
          <w:szCs w:val="36"/>
          <w:highlight w:val="none"/>
        </w:rPr>
      </w:pPr>
      <w:r>
        <w:rPr>
          <w:color w:val="auto"/>
          <w:highlight w:val="none"/>
        </w:rPr>
        <w:fldChar w:fldCharType="begin"/>
      </w:r>
      <w:r>
        <w:rPr>
          <w:color w:val="auto"/>
          <w:highlight w:val="none"/>
        </w:rPr>
        <w:instrText xml:space="preserve"> HYPERLINK \l "_Toc1712" </w:instrText>
      </w:r>
      <w:r>
        <w:rPr>
          <w:color w:val="auto"/>
          <w:highlight w:val="none"/>
        </w:rPr>
        <w:fldChar w:fldCharType="separate"/>
      </w:r>
      <w:r>
        <w:rPr>
          <w:rFonts w:hint="eastAsia" w:ascii="黑体" w:hAnsi="黑体" w:eastAsia="黑体" w:cs="黑体"/>
          <w:color w:val="auto"/>
          <w:sz w:val="36"/>
          <w:szCs w:val="36"/>
          <w:highlight w:val="none"/>
        </w:rPr>
        <w:t>第六章  响应文件格式</w:t>
      </w:r>
      <w:r>
        <w:rPr>
          <w:rFonts w:hint="eastAsia" w:ascii="黑体" w:hAnsi="黑体" w:eastAsia="黑体" w:cs="黑体"/>
          <w:color w:val="auto"/>
          <w:sz w:val="36"/>
          <w:szCs w:val="36"/>
          <w:highlight w:val="none"/>
        </w:rPr>
        <w:tab/>
      </w:r>
      <w:r>
        <w:rPr>
          <w:rFonts w:hint="eastAsia" w:ascii="黑体" w:hAnsi="黑体" w:eastAsia="黑体" w:cs="黑体"/>
          <w:color w:val="auto"/>
          <w:sz w:val="36"/>
          <w:szCs w:val="36"/>
          <w:highlight w:val="none"/>
        </w:rPr>
        <w:fldChar w:fldCharType="end"/>
      </w:r>
      <w:r>
        <w:rPr>
          <w:rFonts w:hint="eastAsia" w:ascii="黑体" w:hAnsi="黑体" w:eastAsia="黑体" w:cs="黑体"/>
          <w:color w:val="auto"/>
          <w:sz w:val="36"/>
          <w:szCs w:val="36"/>
          <w:highlight w:val="none"/>
          <w:lang w:eastAsia="zh-CN"/>
        </w:rPr>
        <w:t>3</w:t>
      </w:r>
      <w:r>
        <w:rPr>
          <w:rFonts w:hint="eastAsia" w:ascii="黑体" w:hAnsi="黑体" w:eastAsia="黑体" w:cs="黑体"/>
          <w:color w:val="auto"/>
          <w:sz w:val="36"/>
          <w:szCs w:val="36"/>
          <w:highlight w:val="none"/>
          <w:lang w:val="en-US" w:eastAsia="zh-CN"/>
        </w:rPr>
        <w:t>7</w:t>
      </w:r>
    </w:p>
    <w:p w14:paraId="1F9BBB00">
      <w:pPr>
        <w:spacing w:line="360" w:lineRule="auto"/>
        <w:rPr>
          <w:color w:val="auto"/>
          <w:szCs w:val="21"/>
          <w:highlight w:val="none"/>
        </w:rPr>
      </w:pPr>
    </w:p>
    <w:p w14:paraId="487581D7">
      <w:pPr>
        <w:pStyle w:val="204"/>
        <w:spacing w:line="360" w:lineRule="auto"/>
        <w:rPr>
          <w:color w:val="auto"/>
          <w:highlight w:val="none"/>
        </w:rPr>
      </w:pPr>
    </w:p>
    <w:p w14:paraId="78292941">
      <w:pPr>
        <w:spacing w:line="360" w:lineRule="auto"/>
        <w:rPr>
          <w:color w:val="auto"/>
          <w:szCs w:val="21"/>
          <w:highlight w:val="none"/>
        </w:rPr>
      </w:pPr>
    </w:p>
    <w:p w14:paraId="573842B3">
      <w:pPr>
        <w:spacing w:line="360" w:lineRule="auto"/>
        <w:rPr>
          <w:color w:val="auto"/>
          <w:szCs w:val="21"/>
          <w:highlight w:val="none"/>
        </w:rPr>
      </w:pPr>
    </w:p>
    <w:p w14:paraId="2FD64F29">
      <w:pPr>
        <w:spacing w:line="360" w:lineRule="auto"/>
        <w:rPr>
          <w:color w:val="auto"/>
          <w:szCs w:val="21"/>
          <w:highlight w:val="none"/>
        </w:rPr>
      </w:pPr>
    </w:p>
    <w:p w14:paraId="4A574110">
      <w:pPr>
        <w:spacing w:line="360" w:lineRule="auto"/>
        <w:rPr>
          <w:color w:val="auto"/>
          <w:szCs w:val="21"/>
          <w:highlight w:val="none"/>
        </w:rPr>
      </w:pPr>
    </w:p>
    <w:p w14:paraId="768509EC">
      <w:pPr>
        <w:spacing w:line="360" w:lineRule="auto"/>
        <w:rPr>
          <w:color w:val="auto"/>
          <w:szCs w:val="21"/>
          <w:highlight w:val="none"/>
        </w:rPr>
      </w:pPr>
    </w:p>
    <w:p w14:paraId="2B76C92F">
      <w:pPr>
        <w:spacing w:line="360" w:lineRule="auto"/>
        <w:rPr>
          <w:color w:val="auto"/>
          <w:szCs w:val="21"/>
          <w:highlight w:val="none"/>
        </w:rPr>
      </w:pPr>
    </w:p>
    <w:p w14:paraId="4948DF80">
      <w:pPr>
        <w:spacing w:line="360" w:lineRule="auto"/>
        <w:rPr>
          <w:color w:val="auto"/>
          <w:szCs w:val="21"/>
          <w:highlight w:val="none"/>
        </w:rPr>
      </w:pPr>
    </w:p>
    <w:p w14:paraId="1B712BB3">
      <w:pPr>
        <w:spacing w:line="360" w:lineRule="auto"/>
        <w:rPr>
          <w:color w:val="auto"/>
          <w:szCs w:val="21"/>
          <w:highlight w:val="none"/>
        </w:rPr>
      </w:pPr>
    </w:p>
    <w:p w14:paraId="181DF3E4">
      <w:pPr>
        <w:spacing w:line="360" w:lineRule="auto"/>
        <w:rPr>
          <w:color w:val="auto"/>
          <w:szCs w:val="21"/>
          <w:highlight w:val="none"/>
        </w:rPr>
      </w:pPr>
    </w:p>
    <w:p w14:paraId="224CD338">
      <w:pPr>
        <w:spacing w:line="360" w:lineRule="auto"/>
        <w:rPr>
          <w:color w:val="auto"/>
          <w:szCs w:val="21"/>
          <w:highlight w:val="none"/>
        </w:rPr>
      </w:pPr>
    </w:p>
    <w:p w14:paraId="11CC9E04">
      <w:pPr>
        <w:spacing w:line="360" w:lineRule="auto"/>
        <w:rPr>
          <w:color w:val="auto"/>
          <w:szCs w:val="21"/>
          <w:highlight w:val="none"/>
        </w:rPr>
      </w:pPr>
    </w:p>
    <w:p w14:paraId="58B20C8E">
      <w:pPr>
        <w:spacing w:line="360" w:lineRule="auto"/>
        <w:rPr>
          <w:color w:val="auto"/>
          <w:szCs w:val="21"/>
          <w:highlight w:val="none"/>
        </w:rPr>
      </w:pPr>
    </w:p>
    <w:p w14:paraId="63925B38">
      <w:pPr>
        <w:spacing w:line="360" w:lineRule="auto"/>
        <w:rPr>
          <w:color w:val="auto"/>
          <w:szCs w:val="21"/>
          <w:highlight w:val="none"/>
        </w:rPr>
      </w:pPr>
    </w:p>
    <w:p w14:paraId="412C600F">
      <w:pPr>
        <w:spacing w:line="360" w:lineRule="auto"/>
        <w:rPr>
          <w:color w:val="auto"/>
          <w:szCs w:val="21"/>
          <w:highlight w:val="none"/>
        </w:rPr>
      </w:pPr>
    </w:p>
    <w:p w14:paraId="3B62B61A">
      <w:pPr>
        <w:spacing w:line="360" w:lineRule="auto"/>
        <w:rPr>
          <w:color w:val="auto"/>
          <w:szCs w:val="21"/>
          <w:highlight w:val="none"/>
        </w:rPr>
      </w:pPr>
    </w:p>
    <w:p w14:paraId="57348D30">
      <w:pPr>
        <w:spacing w:line="360" w:lineRule="auto"/>
        <w:rPr>
          <w:color w:val="auto"/>
          <w:szCs w:val="21"/>
          <w:highlight w:val="none"/>
        </w:rPr>
      </w:pPr>
    </w:p>
    <w:p w14:paraId="690E795B">
      <w:pPr>
        <w:spacing w:line="360" w:lineRule="auto"/>
        <w:rPr>
          <w:color w:val="auto"/>
          <w:szCs w:val="21"/>
          <w:highlight w:val="none"/>
        </w:rPr>
      </w:pPr>
    </w:p>
    <w:p w14:paraId="3E7EED2D">
      <w:pPr>
        <w:spacing w:line="360" w:lineRule="auto"/>
        <w:rPr>
          <w:color w:val="auto"/>
          <w:szCs w:val="21"/>
          <w:highlight w:val="none"/>
        </w:rPr>
      </w:pPr>
    </w:p>
    <w:p w14:paraId="54E2125F">
      <w:pPr>
        <w:spacing w:line="360" w:lineRule="auto"/>
        <w:rPr>
          <w:color w:val="auto"/>
          <w:szCs w:val="21"/>
          <w:highlight w:val="none"/>
        </w:rPr>
      </w:pPr>
    </w:p>
    <w:p w14:paraId="1A462C05">
      <w:pPr>
        <w:spacing w:line="360" w:lineRule="auto"/>
        <w:rPr>
          <w:color w:val="auto"/>
          <w:highlight w:val="none"/>
        </w:rPr>
      </w:pPr>
    </w:p>
    <w:p w14:paraId="579BEBA6">
      <w:pPr>
        <w:spacing w:line="360" w:lineRule="auto"/>
        <w:rPr>
          <w:color w:val="auto"/>
          <w:szCs w:val="21"/>
          <w:highlight w:val="none"/>
        </w:rPr>
      </w:pPr>
    </w:p>
    <w:p w14:paraId="032BEB57">
      <w:pPr>
        <w:pStyle w:val="191"/>
        <w:spacing w:line="360" w:lineRule="auto"/>
        <w:rPr>
          <w:rFonts w:ascii="黑体" w:hAnsi="黑体" w:eastAsia="黑体" w:cs="黑体"/>
          <w:color w:val="auto"/>
          <w:sz w:val="44"/>
          <w:szCs w:val="44"/>
          <w:highlight w:val="none"/>
        </w:rPr>
      </w:pPr>
      <w:bookmarkStart w:id="6" w:name="_Toc20702"/>
      <w:r>
        <w:rPr>
          <w:rFonts w:hint="eastAsia" w:ascii="黑体" w:hAnsi="黑体" w:eastAsia="黑体" w:cs="黑体"/>
          <w:color w:val="auto"/>
          <w:sz w:val="44"/>
          <w:szCs w:val="44"/>
          <w:highlight w:val="none"/>
        </w:rPr>
        <w:t xml:space="preserve">第一章  </w:t>
      </w:r>
      <w:bookmarkEnd w:id="0"/>
      <w:r>
        <w:rPr>
          <w:rFonts w:hint="eastAsia" w:ascii="黑体" w:hAnsi="黑体" w:eastAsia="黑体" w:cs="黑体"/>
          <w:color w:val="auto"/>
          <w:sz w:val="44"/>
          <w:szCs w:val="44"/>
          <w:highlight w:val="none"/>
        </w:rPr>
        <w:t>磋商邀请</w:t>
      </w:r>
      <w:bookmarkEnd w:id="6"/>
    </w:p>
    <w:p w14:paraId="4978C6A6">
      <w:pPr>
        <w:pStyle w:val="194"/>
        <w:spacing w:before="120" w:after="120" w:line="360" w:lineRule="auto"/>
        <w:ind w:firstLine="465"/>
        <w:rPr>
          <w:rFonts w:ascii="方正黑体_GBK" w:hAnsi="方正黑体_GBK" w:eastAsia="方正黑体_GBK" w:cs="方正黑体_GBK"/>
          <w:b w:val="0"/>
          <w:bCs w:val="0"/>
          <w:color w:val="auto"/>
          <w:sz w:val="30"/>
          <w:szCs w:val="30"/>
          <w:highlight w:val="none"/>
        </w:rPr>
      </w:pPr>
      <w:bookmarkStart w:id="7" w:name="_Toc38985265"/>
      <w:bookmarkStart w:id="8" w:name="_Toc28359004"/>
      <w:bookmarkStart w:id="9" w:name="_Toc35393792"/>
      <w:bookmarkStart w:id="10" w:name="_Toc35393623"/>
      <w:bookmarkStart w:id="11" w:name="_Toc28359081"/>
      <w:r>
        <w:rPr>
          <w:rFonts w:hint="eastAsia" w:ascii="方正黑体_GBK" w:hAnsi="方正黑体_GBK" w:eastAsia="方正黑体_GBK" w:cs="方正黑体_GBK"/>
          <w:b w:val="0"/>
          <w:bCs w:val="0"/>
          <w:color w:val="auto"/>
          <w:sz w:val="30"/>
          <w:szCs w:val="30"/>
          <w:highlight w:val="none"/>
        </w:rPr>
        <w:t>一、项目基本情况</w:t>
      </w:r>
    </w:p>
    <w:p w14:paraId="7418223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1.项目编号： JSZC-320118-JZCG-C2026-0017</w:t>
      </w:r>
    </w:p>
    <w:p w14:paraId="51E965C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2.项目名称：区本级预算管理一体化系统驻场运维服务</w:t>
      </w:r>
    </w:p>
    <w:p w14:paraId="65C7FA8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3.预算金额：100</w:t>
      </w:r>
      <w:r>
        <w:rPr>
          <w:rFonts w:hint="eastAsia" w:ascii="宋体" w:hAnsi="宋体"/>
          <w:color w:val="auto"/>
          <w:sz w:val="24"/>
          <w:szCs w:val="24"/>
          <w:highlight w:val="none"/>
          <w:lang w:eastAsia="zh-CN"/>
        </w:rPr>
        <w:t>万</w:t>
      </w:r>
    </w:p>
    <w:p w14:paraId="65A78E6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4.最高限价：100</w:t>
      </w:r>
      <w:r>
        <w:rPr>
          <w:rFonts w:hint="eastAsia" w:ascii="宋体" w:hAnsi="宋体"/>
          <w:color w:val="auto"/>
          <w:sz w:val="24"/>
          <w:szCs w:val="24"/>
          <w:highlight w:val="none"/>
          <w:lang w:eastAsia="zh-CN"/>
        </w:rPr>
        <w:t>万</w:t>
      </w:r>
    </w:p>
    <w:p w14:paraId="2FAA567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5.采购需求（简介）：基于江苏省预算管理一体化平台，完成高淳区预算管理一体化系统新增功能部署实施和运维人员驻场服务，保障高淳区区本级预算管理一体化系统正常运行。（详细内容见本招标文件第四章） </w:t>
      </w:r>
    </w:p>
    <w:p w14:paraId="4A66EB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6.合同履行期限：2027.01-2029.09。</w:t>
      </w:r>
    </w:p>
    <w:p w14:paraId="682FEE1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7.本项目不接受联合体参加磋商。</w:t>
      </w:r>
    </w:p>
    <w:p w14:paraId="39ABCB17">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8.</w:t>
      </w:r>
      <w:r>
        <w:rPr>
          <w:rFonts w:hint="eastAsia" w:ascii="宋体" w:hAnsi="宋体" w:cs="宋体"/>
          <w:color w:val="auto"/>
          <w:sz w:val="24"/>
          <w:szCs w:val="24"/>
          <w:highlight w:val="none"/>
        </w:rPr>
        <w:t>本项目</w:t>
      </w:r>
      <w:r>
        <w:rPr>
          <w:rFonts w:hint="eastAsia" w:ascii="宋体" w:hAnsi="宋体"/>
          <w:color w:val="auto"/>
          <w:sz w:val="24"/>
          <w:szCs w:val="24"/>
          <w:highlight w:val="none"/>
        </w:rPr>
        <w:t>不接受</w:t>
      </w:r>
      <w:r>
        <w:rPr>
          <w:rFonts w:hint="eastAsia" w:ascii="宋体" w:hAnsi="宋体" w:cs="宋体"/>
          <w:color w:val="auto"/>
          <w:sz w:val="24"/>
          <w:szCs w:val="24"/>
          <w:highlight w:val="none"/>
        </w:rPr>
        <w:t>进口产品。</w:t>
      </w:r>
    </w:p>
    <w:p w14:paraId="6DC857B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9.本项目不允许分包。</w:t>
      </w:r>
    </w:p>
    <w:p w14:paraId="725AD5C1">
      <w:pPr>
        <w:pStyle w:val="194"/>
        <w:spacing w:before="120" w:after="120" w:line="360" w:lineRule="auto"/>
        <w:ind w:firstLine="465"/>
        <w:rPr>
          <w:rFonts w:ascii="方正黑体_GBK" w:hAnsi="方正黑体_GBK" w:eastAsia="方正黑体_GBK" w:cs="方正黑体_GBK"/>
          <w:b w:val="0"/>
          <w:bCs w:val="0"/>
          <w:color w:val="auto"/>
          <w:sz w:val="30"/>
          <w:szCs w:val="30"/>
          <w:highlight w:val="none"/>
        </w:rPr>
      </w:pPr>
      <w:bookmarkStart w:id="12" w:name="_Toc38985264"/>
      <w:bookmarkStart w:id="13" w:name="_Toc28359080"/>
      <w:bookmarkStart w:id="14" w:name="_Toc35393622"/>
      <w:bookmarkStart w:id="15" w:name="_Toc28359003"/>
      <w:bookmarkStart w:id="16" w:name="_Toc35393791"/>
      <w:r>
        <w:rPr>
          <w:rFonts w:hint="eastAsia" w:ascii="方正黑体_GBK" w:hAnsi="方正黑体_GBK" w:eastAsia="方正黑体_GBK" w:cs="方正黑体_GBK"/>
          <w:b w:val="0"/>
          <w:bCs w:val="0"/>
          <w:color w:val="auto"/>
          <w:sz w:val="30"/>
          <w:szCs w:val="30"/>
          <w:highlight w:val="none"/>
        </w:rPr>
        <w:t>二、申请人的资格要求</w:t>
      </w:r>
      <w:bookmarkEnd w:id="12"/>
      <w:bookmarkEnd w:id="13"/>
      <w:bookmarkEnd w:id="14"/>
      <w:bookmarkEnd w:id="15"/>
      <w:bookmarkEnd w:id="16"/>
    </w:p>
    <w:p w14:paraId="079DC2E6">
      <w:pPr>
        <w:adjustRightInd w:val="0"/>
        <w:snapToGrid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18ADDB3D">
      <w:pPr>
        <w:adjustRightInd w:val="0"/>
        <w:snapToGrid w:val="0"/>
        <w:spacing w:line="360" w:lineRule="auto"/>
        <w:ind w:firstLine="480"/>
        <w:rPr>
          <w:rFonts w:ascii="宋体" w:hAnsi="宋体"/>
          <w:color w:val="auto"/>
          <w:sz w:val="24"/>
          <w:szCs w:val="24"/>
          <w:highlight w:val="none"/>
          <w:lang w:val="zh-CN"/>
        </w:rPr>
      </w:pPr>
      <w:r>
        <w:rPr>
          <w:rFonts w:hint="eastAsia" w:ascii="宋体" w:hAnsi="宋体"/>
          <w:color w:val="auto"/>
          <w:sz w:val="24"/>
          <w:szCs w:val="24"/>
          <w:highlight w:val="none"/>
          <w:lang w:val="zh-CN"/>
        </w:rPr>
        <w:t>1.满足《中华人民共和国政府采购法》第二十二条规定，</w:t>
      </w:r>
      <w:r>
        <w:rPr>
          <w:rFonts w:hint="eastAsia" w:ascii="宋体" w:hAnsi="宋体"/>
          <w:color w:val="auto"/>
          <w:sz w:val="24"/>
          <w:szCs w:val="24"/>
          <w:highlight w:val="none"/>
        </w:rPr>
        <w:t>提供《</w:t>
      </w:r>
      <w:r>
        <w:rPr>
          <w:rFonts w:hint="eastAsia" w:ascii="宋体" w:hAnsi="宋体"/>
          <w:color w:val="auto"/>
          <w:sz w:val="24"/>
          <w:szCs w:val="24"/>
          <w:highlight w:val="none"/>
          <w:lang w:val="zh-CN"/>
        </w:rPr>
        <w:t>信用承诺函》（格式见第六章）。</w:t>
      </w:r>
    </w:p>
    <w:p w14:paraId="0FC43B64">
      <w:pPr>
        <w:adjustRightInd w:val="0"/>
        <w:snapToGrid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2.未被“信用中国”网站列入失信被执行人、重大税收违法失信主体名单、政府采购严重违法失信行为记录名单。（资格审查环节查询，响应文件中无需提供证明材料）</w:t>
      </w:r>
    </w:p>
    <w:p w14:paraId="77897189">
      <w:pPr>
        <w:adjustRightInd w:val="0"/>
        <w:snapToGrid w:val="0"/>
        <w:spacing w:line="360" w:lineRule="auto"/>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（二）</w:t>
      </w:r>
      <w:r>
        <w:rPr>
          <w:rFonts w:hint="eastAsia" w:ascii="宋体" w:hAnsi="宋体"/>
          <w:color w:val="auto"/>
          <w:sz w:val="24"/>
          <w:szCs w:val="24"/>
          <w:highlight w:val="none"/>
          <w:lang w:val="zh-CN"/>
        </w:rPr>
        <w:t>落实政府采购政策需满足的资格要求：</w:t>
      </w:r>
    </w:p>
    <w:p w14:paraId="1E438724">
      <w:pPr>
        <w:adjustRightInd w:val="0"/>
        <w:snapToGrid w:val="0"/>
        <w:spacing w:line="360" w:lineRule="auto"/>
        <w:ind w:firstLine="482" w:firstLineChars="200"/>
        <w:rPr>
          <w:rFonts w:ascii="宋体" w:hAnsi="宋体"/>
          <w:b/>
          <w:bCs/>
          <w:color w:val="auto"/>
          <w:sz w:val="24"/>
          <w:szCs w:val="24"/>
          <w:highlight w:val="none"/>
          <w:lang w:val="zh-CN"/>
        </w:rPr>
      </w:pPr>
      <w:r>
        <w:rPr>
          <w:rFonts w:hint="eastAsia" w:ascii="宋体" w:hAnsi="宋体"/>
          <w:b/>
          <w:bCs/>
          <w:color w:val="auto"/>
          <w:sz w:val="24"/>
          <w:szCs w:val="24"/>
          <w:highlight w:val="none"/>
          <w:lang w:val="zh-CN"/>
        </w:rPr>
        <w:t>本项目专门面向中小微企业采购，全部服务承接商应为中小微企业或监狱企业或残疾人福利性单位，提供《中小企业声明函》或《残疾人福利性单位声明函》（格式见第六章）或监狱企业的证明文件。</w:t>
      </w:r>
    </w:p>
    <w:p w14:paraId="71241C4B">
      <w:pPr>
        <w:adjustRightInd w:val="0"/>
        <w:snapToGrid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（三）本项目的特定资格要求</w:t>
      </w:r>
      <w:r>
        <w:rPr>
          <w:rFonts w:hint="eastAsia" w:ascii="宋体" w:hAnsi="宋体"/>
          <w:color w:val="auto"/>
          <w:sz w:val="24"/>
          <w:szCs w:val="24"/>
          <w:highlight w:val="none"/>
          <w:lang w:val="zh-CN"/>
        </w:rPr>
        <w:t>：无。</w:t>
      </w:r>
    </w:p>
    <w:p w14:paraId="026DD362">
      <w:pPr>
        <w:keepNext/>
        <w:keepLines/>
        <w:spacing w:before="145" w:after="145" w:line="360" w:lineRule="auto"/>
        <w:ind w:firstLine="498"/>
        <w:outlineLvl w:val="2"/>
        <w:rPr>
          <w:b/>
          <w:bCs/>
          <w:color w:val="auto"/>
          <w:sz w:val="32"/>
          <w:szCs w:val="32"/>
          <w:highlight w:val="none"/>
        </w:rPr>
      </w:pPr>
      <w:r>
        <w:rPr>
          <w:rFonts w:hint="eastAsia"/>
          <w:b/>
          <w:bCs/>
          <w:color w:val="auto"/>
          <w:sz w:val="32"/>
          <w:szCs w:val="32"/>
          <w:highlight w:val="none"/>
        </w:rPr>
        <w:t>三、获取</w:t>
      </w:r>
      <w:bookmarkEnd w:id="7"/>
      <w:bookmarkEnd w:id="8"/>
      <w:bookmarkEnd w:id="9"/>
      <w:bookmarkEnd w:id="10"/>
      <w:bookmarkEnd w:id="11"/>
      <w:r>
        <w:rPr>
          <w:rFonts w:hint="eastAsia"/>
          <w:b/>
          <w:bCs/>
          <w:color w:val="auto"/>
          <w:sz w:val="32"/>
          <w:szCs w:val="32"/>
          <w:highlight w:val="none"/>
        </w:rPr>
        <w:t>磋商文件</w:t>
      </w:r>
    </w:p>
    <w:p w14:paraId="701B5CEB">
      <w:pPr>
        <w:spacing w:line="360" w:lineRule="auto"/>
        <w:ind w:firstLine="540"/>
        <w:rPr>
          <w:rFonts w:ascii="宋体" w:hAnsi="宋体" w:cs="宋体"/>
          <w:b/>
          <w:color w:val="auto"/>
          <w:sz w:val="24"/>
          <w:szCs w:val="24"/>
          <w:highlight w:val="none"/>
        </w:rPr>
      </w:pPr>
      <w:bookmarkStart w:id="17" w:name="_Toc35393624"/>
      <w:bookmarkStart w:id="18" w:name="_Toc38985266"/>
      <w:bookmarkStart w:id="19" w:name="_Toc28359005"/>
      <w:bookmarkStart w:id="20" w:name="_Toc35393793"/>
      <w:bookmarkStart w:id="21" w:name="_Toc28359082"/>
      <w:r>
        <w:rPr>
          <w:rFonts w:hint="eastAsia" w:ascii="宋体" w:hAnsi="宋体" w:cs="宋体"/>
          <w:color w:val="auto"/>
          <w:sz w:val="24"/>
          <w:szCs w:val="24"/>
          <w:highlight w:val="none"/>
        </w:rPr>
        <w:t>1.时间：自磋商文件公告发布之日起。</w:t>
      </w:r>
    </w:p>
    <w:p w14:paraId="0B17F851">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2.方式：在“江苏政府采购网”自行免费下载磋商文件。</w:t>
      </w:r>
    </w:p>
    <w:bookmarkEnd w:id="17"/>
    <w:bookmarkEnd w:id="18"/>
    <w:bookmarkEnd w:id="19"/>
    <w:bookmarkEnd w:id="20"/>
    <w:bookmarkEnd w:id="21"/>
    <w:p w14:paraId="24BC32FB">
      <w:pPr>
        <w:pStyle w:val="194"/>
        <w:spacing w:before="120" w:after="120" w:line="360" w:lineRule="auto"/>
        <w:ind w:firstLine="465"/>
        <w:rPr>
          <w:rFonts w:ascii="方正黑体_GBK" w:hAnsi="方正黑体_GBK" w:eastAsia="方正黑体_GBK" w:cs="方正黑体_GBK"/>
          <w:b w:val="0"/>
          <w:bCs w:val="0"/>
          <w:color w:val="auto"/>
          <w:sz w:val="30"/>
          <w:szCs w:val="30"/>
          <w:highlight w:val="none"/>
        </w:rPr>
      </w:pPr>
      <w:bookmarkStart w:id="22" w:name="_Toc28359010"/>
      <w:bookmarkStart w:id="23" w:name="_Toc28359087"/>
      <w:r>
        <w:rPr>
          <w:rFonts w:hint="eastAsia" w:ascii="方正黑体_GBK" w:hAnsi="方正黑体_GBK" w:eastAsia="方正黑体_GBK" w:cs="方正黑体_GBK"/>
          <w:b w:val="0"/>
          <w:bCs w:val="0"/>
          <w:color w:val="auto"/>
          <w:sz w:val="30"/>
          <w:szCs w:val="30"/>
          <w:highlight w:val="none"/>
        </w:rPr>
        <w:t>四、</w:t>
      </w:r>
      <w:r>
        <w:rPr>
          <w:rFonts w:hint="eastAsia" w:ascii="方正黑体_GBK" w:hAnsi="方正黑体_GBK" w:eastAsia="方正黑体_GBK" w:cs="方正黑体_GBK"/>
          <w:b w:val="0"/>
          <w:bCs w:val="0"/>
          <w:color w:val="auto"/>
          <w:kern w:val="2"/>
          <w:sz w:val="30"/>
          <w:szCs w:val="30"/>
          <w:highlight w:val="none"/>
        </w:rPr>
        <w:t>提交响应文件截止时间</w:t>
      </w:r>
    </w:p>
    <w:p w14:paraId="51336700">
      <w:pPr>
        <w:adjustRightInd w:val="0"/>
        <w:snapToGrid w:val="0"/>
        <w:spacing w:before="120" w:beforeLines="50" w:after="120" w:afterLines="50" w:line="360" w:lineRule="auto"/>
        <w:ind w:firstLine="609" w:firstLineChars="254"/>
        <w:rPr>
          <w:rFonts w:ascii="宋体" w:hAnsi="宋体"/>
          <w:color w:val="auto"/>
          <w:sz w:val="24"/>
          <w:szCs w:val="24"/>
          <w:highlight w:val="none"/>
        </w:rPr>
      </w:pPr>
      <w:bookmarkStart w:id="24" w:name="_Toc28359084"/>
      <w:bookmarkStart w:id="25" w:name="_Toc28359007"/>
      <w:bookmarkStart w:id="26" w:name="_Toc38985267"/>
      <w:bookmarkStart w:id="27" w:name="_Toc35393794"/>
      <w:bookmarkStart w:id="28" w:name="_Toc35393625"/>
      <w:r>
        <w:rPr>
          <w:rFonts w:hint="eastAsia" w:ascii="宋体" w:hAnsi="宋体" w:cs="宋体"/>
          <w:color w:val="auto"/>
          <w:sz w:val="24"/>
          <w:szCs w:val="24"/>
          <w:highlight w:val="none"/>
        </w:rPr>
        <w:t>2026</w:t>
      </w:r>
      <w:r>
        <w:rPr>
          <w:rFonts w:hint="eastAsia" w:ascii="宋体" w:hAnsi="宋体"/>
          <w:color w:val="auto"/>
          <w:sz w:val="24"/>
          <w:szCs w:val="24"/>
          <w:highlight w:val="none"/>
        </w:rPr>
        <w:t>年</w:t>
      </w:r>
      <w:r>
        <w:rPr>
          <w:rFonts w:hint="eastAsia" w:ascii="宋体" w:hAnsi="宋体" w:cs="宋体"/>
          <w:color w:val="auto"/>
          <w:sz w:val="24"/>
          <w:szCs w:val="24"/>
          <w:highlight w:val="none"/>
        </w:rPr>
        <w:t>11</w:t>
      </w:r>
      <w:r>
        <w:rPr>
          <w:rFonts w:hint="eastAsia" w:ascii="宋体" w:hAnsi="宋体"/>
          <w:color w:val="auto"/>
          <w:sz w:val="24"/>
          <w:szCs w:val="24"/>
          <w:highlight w:val="none"/>
        </w:rPr>
        <w:t>月</w:t>
      </w: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lang w:val="en-US" w:eastAsia="zh-CN"/>
        </w:rPr>
        <w:t>3</w:t>
      </w:r>
      <w:r>
        <w:rPr>
          <w:rFonts w:hint="eastAsia" w:ascii="宋体" w:hAnsi="宋体"/>
          <w:color w:val="auto"/>
          <w:sz w:val="24"/>
          <w:szCs w:val="24"/>
          <w:highlight w:val="none"/>
        </w:rPr>
        <w:t>日</w:t>
      </w:r>
      <w:r>
        <w:rPr>
          <w:rFonts w:hint="eastAsia" w:ascii="宋体" w:hAnsi="宋体" w:cs="宋体"/>
          <w:color w:val="auto"/>
          <w:sz w:val="24"/>
          <w:szCs w:val="24"/>
          <w:highlight w:val="none"/>
        </w:rPr>
        <w:t>09</w:t>
      </w:r>
      <w:r>
        <w:rPr>
          <w:rFonts w:hint="eastAsia"/>
          <w:color w:val="auto"/>
          <w:sz w:val="24"/>
          <w:szCs w:val="24"/>
          <w:highlight w:val="none"/>
        </w:rPr>
        <w:t>时</w:t>
      </w:r>
      <w:r>
        <w:rPr>
          <w:rFonts w:hint="eastAsia" w:ascii="宋体" w:hAnsi="宋体" w:cs="宋体"/>
          <w:color w:val="auto"/>
          <w:sz w:val="24"/>
          <w:szCs w:val="24"/>
          <w:highlight w:val="none"/>
        </w:rPr>
        <w:t>30</w:t>
      </w:r>
      <w:r>
        <w:rPr>
          <w:rFonts w:hint="eastAsia" w:ascii="宋体" w:hAnsi="宋体"/>
          <w:color w:val="auto"/>
          <w:sz w:val="24"/>
          <w:szCs w:val="24"/>
          <w:highlight w:val="none"/>
        </w:rPr>
        <w:t>分（北京时间）。</w:t>
      </w:r>
    </w:p>
    <w:p w14:paraId="4F24EAD1">
      <w:pPr>
        <w:pStyle w:val="194"/>
        <w:spacing w:before="120" w:after="120" w:line="360" w:lineRule="auto"/>
        <w:ind w:firstLine="465"/>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五、公告期限</w:t>
      </w:r>
      <w:bookmarkEnd w:id="24"/>
      <w:bookmarkEnd w:id="25"/>
      <w:bookmarkEnd w:id="26"/>
      <w:bookmarkEnd w:id="27"/>
      <w:bookmarkEnd w:id="28"/>
    </w:p>
    <w:p w14:paraId="49FBAFB6">
      <w:pPr>
        <w:adjustRightInd w:val="0"/>
        <w:snapToGrid w:val="0"/>
        <w:spacing w:line="360" w:lineRule="auto"/>
        <w:ind w:firstLine="480" w:firstLineChars="200"/>
        <w:rPr>
          <w:rFonts w:ascii="宋体" w:hAnsi="宋体" w:cs="宋体"/>
          <w:color w:val="auto"/>
          <w:sz w:val="24"/>
          <w:szCs w:val="24"/>
          <w:highlight w:val="none"/>
        </w:rPr>
      </w:pPr>
      <w:bookmarkStart w:id="29" w:name="_Toc35393795"/>
      <w:bookmarkStart w:id="30" w:name="_Toc35393626"/>
      <w:bookmarkStart w:id="31" w:name="_Toc38985268"/>
      <w:r>
        <w:rPr>
          <w:rFonts w:hint="eastAsia" w:ascii="宋体" w:hAnsi="宋体" w:cs="宋体"/>
          <w:color w:val="auto"/>
          <w:sz w:val="24"/>
          <w:szCs w:val="24"/>
          <w:highlight w:val="none"/>
        </w:rPr>
        <w:t>公告期限为自本公告发布之日起3个工作日。</w:t>
      </w:r>
    </w:p>
    <w:p w14:paraId="3E540718">
      <w:pPr>
        <w:pStyle w:val="194"/>
        <w:spacing w:before="120" w:after="120" w:line="360" w:lineRule="auto"/>
        <w:ind w:firstLine="465"/>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六、其他事宜</w:t>
      </w:r>
      <w:bookmarkEnd w:id="29"/>
      <w:bookmarkEnd w:id="30"/>
      <w:bookmarkEnd w:id="31"/>
    </w:p>
    <w:p w14:paraId="5E4403EB">
      <w:pPr>
        <w:tabs>
          <w:tab w:val="left" w:pos="900"/>
        </w:tabs>
        <w:spacing w:line="360" w:lineRule="auto"/>
        <w:ind w:firstLine="480"/>
        <w:rPr>
          <w:rFonts w:ascii="宋体" w:hAnsi="宋体"/>
          <w:bCs/>
          <w:color w:val="auto"/>
          <w:sz w:val="24"/>
          <w:szCs w:val="24"/>
          <w:highlight w:val="none"/>
        </w:rPr>
      </w:pPr>
      <w:bookmarkStart w:id="32" w:name="_Toc35393627"/>
      <w:bookmarkStart w:id="33" w:name="_Toc35393796"/>
      <w:bookmarkStart w:id="34" w:name="_Toc28359085"/>
      <w:bookmarkStart w:id="35" w:name="_Toc38985269"/>
      <w:bookmarkStart w:id="36" w:name="_Toc28359008"/>
      <w:r>
        <w:rPr>
          <w:rFonts w:hint="eastAsia" w:ascii="宋体" w:hAnsi="宋体" w:cs="宋体"/>
          <w:color w:val="auto"/>
          <w:sz w:val="24"/>
          <w:szCs w:val="24"/>
          <w:highlight w:val="none"/>
        </w:rPr>
        <w:t>1.</w:t>
      </w:r>
      <w:r>
        <w:rPr>
          <w:rFonts w:hint="eastAsia" w:ascii="宋体" w:hAnsi="宋体"/>
          <w:bCs/>
          <w:color w:val="auto"/>
          <w:sz w:val="24"/>
          <w:szCs w:val="24"/>
          <w:highlight w:val="none"/>
        </w:rPr>
        <w:t>本次招标不收取投标保证金。</w:t>
      </w:r>
    </w:p>
    <w:p w14:paraId="1DD0C95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2.本项目不组织集中勘察及答疑，供应商如对采购需求有疑问，请咨询采购单位联系人。 </w:t>
      </w:r>
    </w:p>
    <w:p w14:paraId="5EB5A47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213"/>
          <w:rFonts w:hint="eastAsia" w:ascii="宋体" w:hAnsi="宋体" w:cs="宋体"/>
          <w:color w:val="auto"/>
          <w:sz w:val="24"/>
          <w:szCs w:val="24"/>
          <w:highlight w:val="none"/>
        </w:rPr>
        <w:t>下载地址</w:t>
      </w:r>
      <w:r>
        <w:rPr>
          <w:rStyle w:val="213"/>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（CTRL+鼠标左键）。</w:t>
      </w:r>
    </w:p>
    <w:p w14:paraId="06CDDEF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4.有关本次招标的事项若存在变动或修改，请及时关注“江苏政府采购网”（www.ccgp-jiangsu.gov.cn）更正公告。</w:t>
      </w:r>
    </w:p>
    <w:p w14:paraId="65E70828">
      <w:pPr>
        <w:adjustRightInd w:val="0"/>
        <w:snapToGrid w:val="0"/>
        <w:spacing w:line="360" w:lineRule="auto"/>
        <w:ind w:firstLine="480" w:firstLineChars="200"/>
        <w:rPr>
          <w:rFonts w:hint="eastAsia" w:ascii="宋体" w:hAnsi="宋体"/>
          <w:color w:val="auto"/>
          <w:sz w:val="24"/>
          <w:highlight w:val="none"/>
          <w:lang w:val="zh-CN"/>
        </w:rPr>
      </w:pPr>
      <w:r>
        <w:rPr>
          <w:rFonts w:hint="eastAsia" w:ascii="宋体" w:hAnsi="宋体" w:cs="宋体"/>
          <w:color w:val="auto"/>
          <w:sz w:val="24"/>
          <w:szCs w:val="24"/>
          <w:highlight w:val="none"/>
        </w:rPr>
        <w:t>5.</w:t>
      </w:r>
      <w:r>
        <w:rPr>
          <w:rFonts w:hint="eastAsia" w:ascii="宋体" w:hAnsi="宋体" w:cs="宋体"/>
          <w:b/>
          <w:bCs/>
          <w:color w:val="auto"/>
          <w:sz w:val="24"/>
          <w:szCs w:val="24"/>
          <w:highlight w:val="none"/>
        </w:rPr>
        <w:t>.</w:t>
      </w:r>
      <w:r>
        <w:rPr>
          <w:rFonts w:hint="eastAsia" w:ascii="宋体" w:hAnsi="宋体"/>
          <w:b/>
          <w:bCs/>
          <w:color w:val="auto"/>
          <w:sz w:val="24"/>
          <w:highlight w:val="none"/>
          <w:lang w:val="zh-CN"/>
        </w:rPr>
        <w:t>对采购方式、采购需求、</w:t>
      </w:r>
      <w:r>
        <w:rPr>
          <w:rFonts w:hint="eastAsia" w:ascii="宋体" w:hAnsi="宋体"/>
          <w:b/>
          <w:bCs/>
          <w:color w:val="auto"/>
          <w:sz w:val="24"/>
          <w:highlight w:val="none"/>
        </w:rPr>
        <w:t>投标人</w:t>
      </w:r>
      <w:r>
        <w:rPr>
          <w:rFonts w:hint="eastAsia" w:ascii="宋体" w:hAnsi="宋体"/>
          <w:b/>
          <w:bCs/>
          <w:color w:val="auto"/>
          <w:sz w:val="24"/>
          <w:highlight w:val="none"/>
          <w:lang w:val="zh-CN"/>
        </w:rPr>
        <w:t>资格</w:t>
      </w:r>
      <w:r>
        <w:rPr>
          <w:rFonts w:hint="eastAsia" w:ascii="宋体" w:hAnsi="宋体"/>
          <w:b/>
          <w:bCs/>
          <w:color w:val="auto"/>
          <w:sz w:val="24"/>
          <w:highlight w:val="none"/>
        </w:rPr>
        <w:t>要求</w:t>
      </w:r>
      <w:r>
        <w:rPr>
          <w:rFonts w:hint="eastAsia" w:ascii="宋体" w:hAnsi="宋体"/>
          <w:b/>
          <w:bCs/>
          <w:color w:val="auto"/>
          <w:sz w:val="24"/>
          <w:highlight w:val="none"/>
          <w:lang w:val="zh-CN"/>
        </w:rPr>
        <w:t>、评标方法和评标标准、合同文本、</w:t>
      </w:r>
      <w:r>
        <w:rPr>
          <w:rFonts w:hint="eastAsia" w:ascii="宋体" w:hAnsi="宋体"/>
          <w:b/>
          <w:bCs/>
          <w:color w:val="auto"/>
          <w:sz w:val="24"/>
          <w:highlight w:val="none"/>
        </w:rPr>
        <w:t>招标项目资格审查结果</w:t>
      </w:r>
      <w:r>
        <w:rPr>
          <w:rFonts w:hint="eastAsia" w:ascii="宋体" w:hAnsi="宋体"/>
          <w:b/>
          <w:bCs/>
          <w:color w:val="auto"/>
          <w:sz w:val="24"/>
          <w:highlight w:val="none"/>
          <w:lang w:val="zh-CN"/>
        </w:rPr>
        <w:t>的询问</w:t>
      </w:r>
      <w:r>
        <w:rPr>
          <w:rFonts w:hint="eastAsia" w:ascii="宋体" w:hAnsi="宋体"/>
          <w:b/>
          <w:bCs/>
          <w:color w:val="auto"/>
          <w:sz w:val="24"/>
          <w:highlight w:val="none"/>
        </w:rPr>
        <w:t>或</w:t>
      </w:r>
      <w:r>
        <w:rPr>
          <w:rFonts w:hint="eastAsia" w:ascii="宋体" w:hAnsi="宋体"/>
          <w:b/>
          <w:bCs/>
          <w:color w:val="auto"/>
          <w:sz w:val="24"/>
          <w:highlight w:val="none"/>
          <w:lang w:val="zh-CN"/>
        </w:rPr>
        <w:t>质疑向采购人提出，由采购人负责答复。</w:t>
      </w:r>
      <w:r>
        <w:rPr>
          <w:rFonts w:hint="eastAsia" w:ascii="宋体" w:hAnsi="宋体"/>
          <w:b/>
          <w:bCs/>
          <w:color w:val="auto"/>
          <w:sz w:val="24"/>
          <w:highlight w:val="none"/>
        </w:rPr>
        <w:t>对上述事项以外</w:t>
      </w:r>
      <w:r>
        <w:rPr>
          <w:rFonts w:hint="eastAsia" w:ascii="宋体" w:hAnsi="宋体"/>
          <w:b/>
          <w:bCs/>
          <w:color w:val="auto"/>
          <w:sz w:val="24"/>
          <w:highlight w:val="none"/>
          <w:lang w:val="zh-CN"/>
        </w:rPr>
        <w:t>的询问</w:t>
      </w:r>
      <w:r>
        <w:rPr>
          <w:rFonts w:hint="eastAsia" w:ascii="宋体" w:hAnsi="宋体"/>
          <w:b/>
          <w:bCs/>
          <w:color w:val="auto"/>
          <w:sz w:val="24"/>
          <w:highlight w:val="none"/>
        </w:rPr>
        <w:t>或</w:t>
      </w:r>
      <w:r>
        <w:rPr>
          <w:rFonts w:hint="eastAsia" w:ascii="宋体" w:hAnsi="宋体"/>
          <w:b/>
          <w:bCs/>
          <w:color w:val="auto"/>
          <w:sz w:val="24"/>
          <w:highlight w:val="none"/>
          <w:lang w:val="zh-CN"/>
        </w:rPr>
        <w:t>质疑向交易中心提出，由交易中心负责答复。</w:t>
      </w:r>
    </w:p>
    <w:p w14:paraId="4A1B7853">
      <w:pPr>
        <w:adjustRightInd w:val="0"/>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采购人《质疑函》收件人：</w:t>
      </w:r>
      <w:r>
        <w:rPr>
          <w:rFonts w:hint="eastAsia" w:ascii="宋体" w:hAnsi="宋体"/>
          <w:color w:val="auto"/>
          <w:sz w:val="24"/>
          <w:highlight w:val="none"/>
          <w:lang w:eastAsia="zh-CN"/>
        </w:rPr>
        <w:t>甘甜</w:t>
      </w:r>
      <w:r>
        <w:rPr>
          <w:rFonts w:hint="eastAsia" w:ascii="宋体" w:hAnsi="宋体"/>
          <w:color w:val="auto"/>
          <w:sz w:val="24"/>
          <w:highlight w:val="none"/>
        </w:rPr>
        <w:t>，收件地址：</w:t>
      </w:r>
      <w:r>
        <w:rPr>
          <w:rFonts w:hint="eastAsia" w:ascii="宋体" w:hAnsi="宋体"/>
          <w:color w:val="auto"/>
          <w:sz w:val="24"/>
          <w:szCs w:val="24"/>
          <w:highlight w:val="none"/>
        </w:rPr>
        <w:t>南京市高淳区固城湖南路 12号</w:t>
      </w:r>
      <w:r>
        <w:rPr>
          <w:rFonts w:hint="eastAsia" w:ascii="宋体" w:hAnsi="宋体"/>
          <w:color w:val="auto"/>
          <w:sz w:val="24"/>
          <w:highlight w:val="none"/>
        </w:rPr>
        <w:t>，联系电话：</w:t>
      </w:r>
      <w:r>
        <w:rPr>
          <w:rFonts w:hint="eastAsia" w:ascii="宋体" w:hAnsi="宋体"/>
          <w:color w:val="auto"/>
          <w:sz w:val="24"/>
          <w:szCs w:val="24"/>
          <w:highlight w:val="none"/>
        </w:rPr>
        <w:t>025-57320975</w:t>
      </w:r>
      <w:r>
        <w:rPr>
          <w:rFonts w:hint="eastAsia" w:ascii="宋体" w:hAnsi="宋体"/>
          <w:color w:val="auto"/>
          <w:sz w:val="24"/>
          <w:highlight w:val="none"/>
        </w:rPr>
        <w:t>。</w:t>
      </w:r>
    </w:p>
    <w:p w14:paraId="7C2FDC4C">
      <w:pPr>
        <w:widowControl/>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zh-CN"/>
        </w:rPr>
        <w:t>交易中心《质疑函》收件人：南京市公共资源交易中心高淳分中心政府</w:t>
      </w:r>
      <w:r>
        <w:rPr>
          <w:rFonts w:hint="eastAsia" w:ascii="宋体" w:hAnsi="宋体"/>
          <w:color w:val="auto"/>
          <w:sz w:val="24"/>
          <w:highlight w:val="none"/>
        </w:rPr>
        <w:t>集中</w:t>
      </w:r>
      <w:r>
        <w:rPr>
          <w:rFonts w:hint="eastAsia" w:ascii="宋体" w:hAnsi="宋体"/>
          <w:color w:val="auto"/>
          <w:sz w:val="24"/>
          <w:highlight w:val="none"/>
          <w:lang w:val="zh-CN"/>
        </w:rPr>
        <w:t>采购</w:t>
      </w:r>
      <w:r>
        <w:rPr>
          <w:rFonts w:hint="eastAsia" w:ascii="宋体" w:hAnsi="宋体"/>
          <w:color w:val="auto"/>
          <w:sz w:val="24"/>
          <w:highlight w:val="none"/>
        </w:rPr>
        <w:t>处，收件</w:t>
      </w:r>
      <w:r>
        <w:rPr>
          <w:rFonts w:hint="eastAsia" w:ascii="宋体" w:hAnsi="宋体"/>
          <w:color w:val="auto"/>
          <w:sz w:val="24"/>
          <w:highlight w:val="none"/>
          <w:lang w:val="zh-CN"/>
        </w:rPr>
        <w:t>地址：南京市高淳区创新大道</w:t>
      </w:r>
      <w:r>
        <w:rPr>
          <w:rFonts w:hint="eastAsia" w:ascii="宋体" w:hAnsi="宋体"/>
          <w:color w:val="auto"/>
          <w:sz w:val="24"/>
          <w:highlight w:val="none"/>
        </w:rPr>
        <w:t>9号市民中心四楼B区B409</w:t>
      </w:r>
      <w:r>
        <w:rPr>
          <w:rFonts w:hint="eastAsia" w:ascii="宋体" w:hAnsi="宋体"/>
          <w:color w:val="auto"/>
          <w:sz w:val="24"/>
          <w:highlight w:val="none"/>
          <w:lang w:val="zh-CN"/>
        </w:rPr>
        <w:t>，联系电话：025-</w:t>
      </w:r>
      <w:r>
        <w:rPr>
          <w:rFonts w:hint="eastAsia" w:ascii="宋体" w:hAnsi="宋体"/>
          <w:color w:val="auto"/>
          <w:sz w:val="24"/>
          <w:highlight w:val="none"/>
        </w:rPr>
        <w:t>56821765</w:t>
      </w:r>
      <w:r>
        <w:rPr>
          <w:rFonts w:hint="eastAsia" w:ascii="宋体" w:hAnsi="宋体"/>
          <w:color w:val="auto"/>
          <w:sz w:val="24"/>
          <w:highlight w:val="none"/>
          <w:lang w:val="zh-CN"/>
        </w:rPr>
        <w:t>。</w:t>
      </w:r>
    </w:p>
    <w:p w14:paraId="6FE3EC57">
      <w:pPr>
        <w:spacing w:line="360" w:lineRule="auto"/>
        <w:ind w:firstLine="480"/>
        <w:rPr>
          <w:rFonts w:ascii="宋体" w:hAnsi="宋体" w:cs="宋体"/>
          <w:color w:val="auto"/>
          <w:sz w:val="24"/>
          <w:szCs w:val="24"/>
          <w:highlight w:val="none"/>
          <w:lang w:val="zh-CN"/>
        </w:rPr>
      </w:pPr>
    </w:p>
    <w:p w14:paraId="1988E11D">
      <w:pPr>
        <w:spacing w:line="360" w:lineRule="auto"/>
        <w:ind w:firstLine="480"/>
        <w:rPr>
          <w:rFonts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t>七、</w:t>
      </w:r>
      <w:bookmarkEnd w:id="32"/>
      <w:bookmarkEnd w:id="33"/>
      <w:bookmarkEnd w:id="34"/>
      <w:bookmarkEnd w:id="35"/>
      <w:bookmarkEnd w:id="36"/>
      <w:r>
        <w:rPr>
          <w:rFonts w:hint="eastAsia" w:ascii="方正黑体_GBK" w:hAnsi="方正黑体_GBK" w:eastAsia="方正黑体_GBK" w:cs="方正黑体_GBK"/>
          <w:color w:val="auto"/>
          <w:kern w:val="2"/>
          <w:sz w:val="30"/>
          <w:szCs w:val="30"/>
          <w:highlight w:val="none"/>
        </w:rPr>
        <w:t>本次磋商联系方式</w:t>
      </w:r>
    </w:p>
    <w:p w14:paraId="5ECD85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1.采购人</w:t>
      </w:r>
    </w:p>
    <w:p w14:paraId="75F1F42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名  称：南京市高淳区财政局          </w:t>
      </w:r>
    </w:p>
    <w:p w14:paraId="616221C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地  址：南京市高淳区固城湖南路 12号    </w:t>
      </w:r>
    </w:p>
    <w:p w14:paraId="1F5E286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联系人：甘甜</w:t>
      </w:r>
    </w:p>
    <w:p w14:paraId="49F86EC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 </w:t>
      </w:r>
      <w:bookmarkStart w:id="37" w:name="_Toc28359009"/>
      <w:bookmarkStart w:id="38" w:name="_Toc28359086"/>
      <w:r>
        <w:rPr>
          <w:rFonts w:hint="eastAsia" w:ascii="宋体" w:hAnsi="宋体"/>
          <w:color w:val="auto"/>
          <w:sz w:val="24"/>
          <w:szCs w:val="24"/>
          <w:highlight w:val="none"/>
        </w:rPr>
        <w:t>57320975</w:t>
      </w:r>
    </w:p>
    <w:p w14:paraId="305FE4F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2.交易中心</w:t>
      </w:r>
      <w:bookmarkEnd w:id="37"/>
      <w:bookmarkEnd w:id="38"/>
    </w:p>
    <w:p w14:paraId="08BA170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地　址：南京市高淳区创新大道9号市民中心</w:t>
      </w:r>
    </w:p>
    <w:p w14:paraId="2FAA839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联系人：杨女士</w:t>
      </w:r>
    </w:p>
    <w:p w14:paraId="26F98EB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联系电话：025-56821765</w:t>
      </w:r>
    </w:p>
    <w:p w14:paraId="77D185C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w:t>
      </w:r>
    </w:p>
    <w:bookmarkEnd w:id="22"/>
    <w:bookmarkEnd w:id="23"/>
    <w:p w14:paraId="6847B2D6">
      <w:pPr>
        <w:keepNext/>
        <w:keepLines/>
        <w:spacing w:before="260" w:after="260" w:line="360" w:lineRule="auto"/>
        <w:jc w:val="center"/>
        <w:outlineLvl w:val="1"/>
        <w:rPr>
          <w:rFonts w:ascii="黑体" w:hAnsi="黑体" w:eastAsia="黑体" w:cs="黑体"/>
          <w:color w:val="auto"/>
          <w:sz w:val="44"/>
          <w:szCs w:val="44"/>
          <w:highlight w:val="none"/>
        </w:rPr>
      </w:pPr>
      <w:bookmarkStart w:id="39" w:name="_Toc120614211"/>
      <w:r>
        <w:rPr>
          <w:rFonts w:hint="eastAsia" w:ascii="黑体" w:hAnsi="Arial" w:eastAsia="黑体" w:cs="Arial"/>
          <w:b/>
          <w:bCs/>
          <w:color w:val="auto"/>
          <w:sz w:val="44"/>
          <w:szCs w:val="44"/>
          <w:highlight w:val="none"/>
        </w:rPr>
        <w:br w:type="page" w:clear="all"/>
      </w:r>
      <w:bookmarkStart w:id="40" w:name="_Toc9182"/>
      <w:r>
        <w:rPr>
          <w:rFonts w:hint="eastAsia" w:ascii="黑体" w:hAnsi="黑体" w:eastAsia="黑体" w:cs="黑体"/>
          <w:color w:val="auto"/>
          <w:sz w:val="44"/>
          <w:szCs w:val="44"/>
          <w:highlight w:val="none"/>
        </w:rPr>
        <w:t xml:space="preserve">第二章  </w:t>
      </w:r>
      <w:bookmarkEnd w:id="1"/>
      <w:bookmarkEnd w:id="2"/>
      <w:bookmarkEnd w:id="3"/>
      <w:bookmarkEnd w:id="4"/>
      <w:bookmarkEnd w:id="5"/>
      <w:bookmarkEnd w:id="39"/>
      <w:r>
        <w:rPr>
          <w:rFonts w:hint="eastAsia" w:ascii="黑体" w:hAnsi="黑体" w:eastAsia="黑体" w:cs="黑体"/>
          <w:color w:val="auto"/>
          <w:sz w:val="44"/>
          <w:szCs w:val="44"/>
          <w:highlight w:val="none"/>
        </w:rPr>
        <w:t>供应商须知</w:t>
      </w:r>
      <w:bookmarkEnd w:id="40"/>
    </w:p>
    <w:p w14:paraId="6558F874">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bookmarkStart w:id="41" w:name="_Toc513029203"/>
      <w:bookmarkStart w:id="42" w:name="_Toc20823275"/>
      <w:bookmarkStart w:id="43" w:name="_Toc16938519"/>
      <w:bookmarkStart w:id="44" w:name="_Toc120614214"/>
      <w:bookmarkStart w:id="45" w:name="_Toc120614219"/>
      <w:bookmarkStart w:id="46" w:name="_Toc20823307"/>
      <w:bookmarkStart w:id="47" w:name="_Toc513029235"/>
      <w:bookmarkStart w:id="48" w:name="_Toc16938551"/>
      <w:r>
        <w:rPr>
          <w:rFonts w:hint="eastAsia" w:ascii="方正黑体_GBK" w:hAnsi="方正黑体_GBK" w:eastAsia="方正黑体_GBK" w:cs="方正黑体_GBK"/>
          <w:color w:val="auto"/>
          <w:kern w:val="2"/>
          <w:highlight w:val="none"/>
        </w:rPr>
        <w:t>一、总则</w:t>
      </w:r>
      <w:bookmarkEnd w:id="41"/>
      <w:bookmarkEnd w:id="42"/>
      <w:bookmarkEnd w:id="43"/>
      <w:bookmarkEnd w:id="44"/>
    </w:p>
    <w:p w14:paraId="7ADAAFF1">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49" w:name="_Hlt16619475"/>
      <w:bookmarkEnd w:id="49"/>
      <w:bookmarkStart w:id="50" w:name="_Toc458694821"/>
      <w:bookmarkStart w:id="51" w:name="_Toc16938520"/>
      <w:bookmarkStart w:id="52" w:name="_Toc513029204"/>
      <w:bookmarkStart w:id="53" w:name="_Toc20823276"/>
      <w:r>
        <w:rPr>
          <w:rFonts w:hint="eastAsia" w:ascii="方正楷体_GBK" w:hAnsi="方正楷体_GBK" w:eastAsia="方正楷体_GBK" w:cs="方正楷体_GBK"/>
          <w:color w:val="auto"/>
          <w:kern w:val="2"/>
          <w:sz w:val="28"/>
          <w:szCs w:val="28"/>
          <w:highlight w:val="none"/>
        </w:rPr>
        <w:t>1</w:t>
      </w:r>
      <w:bookmarkEnd w:id="50"/>
      <w:r>
        <w:rPr>
          <w:rFonts w:hint="eastAsia" w:ascii="方正楷体_GBK" w:hAnsi="方正楷体_GBK" w:eastAsia="方正楷体_GBK" w:cs="方正楷体_GBK"/>
          <w:color w:val="auto"/>
          <w:kern w:val="2"/>
          <w:sz w:val="28"/>
          <w:szCs w:val="28"/>
          <w:highlight w:val="none"/>
        </w:rPr>
        <w:t>.采购方式</w:t>
      </w:r>
      <w:bookmarkEnd w:id="51"/>
      <w:bookmarkEnd w:id="52"/>
      <w:bookmarkEnd w:id="53"/>
    </w:p>
    <w:p w14:paraId="5354D56C">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1.1 本次政府采购活动采取竞争性磋商（以下简称“磋商”）方式，本文件仅适用于采购公告中所述项目。</w:t>
      </w:r>
    </w:p>
    <w:p w14:paraId="72F81D90">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54" w:name="_Toc20823277"/>
      <w:bookmarkStart w:id="55" w:name="_Toc16938521"/>
      <w:bookmarkStart w:id="56" w:name="_Toc513029205"/>
      <w:r>
        <w:rPr>
          <w:rFonts w:hint="eastAsia" w:ascii="方正楷体_GBK" w:hAnsi="方正楷体_GBK" w:eastAsia="方正楷体_GBK" w:cs="方正楷体_GBK"/>
          <w:color w:val="auto"/>
          <w:kern w:val="2"/>
          <w:sz w:val="28"/>
          <w:szCs w:val="28"/>
          <w:highlight w:val="none"/>
        </w:rPr>
        <w:t>2.合格的</w:t>
      </w:r>
      <w:bookmarkEnd w:id="54"/>
      <w:bookmarkEnd w:id="55"/>
      <w:bookmarkEnd w:id="56"/>
      <w:r>
        <w:rPr>
          <w:rFonts w:hint="eastAsia" w:ascii="方正楷体_GBK" w:hAnsi="方正楷体_GBK" w:eastAsia="方正楷体_GBK" w:cs="方正楷体_GBK"/>
          <w:color w:val="auto"/>
          <w:kern w:val="2"/>
          <w:sz w:val="28"/>
          <w:szCs w:val="28"/>
          <w:highlight w:val="none"/>
        </w:rPr>
        <w:t>供应商</w:t>
      </w:r>
    </w:p>
    <w:p w14:paraId="6A88F1A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 满足采购公告对供应商资格要求。</w:t>
      </w:r>
    </w:p>
    <w:p w14:paraId="470A3E97">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 满足磋商文件规定的实质性要求。</w:t>
      </w:r>
    </w:p>
    <w:p w14:paraId="344A573E">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57" w:name="_Toc20823278"/>
      <w:bookmarkStart w:id="58" w:name="_Toc16938522"/>
      <w:bookmarkStart w:id="59" w:name="_Toc513029206"/>
      <w:r>
        <w:rPr>
          <w:rFonts w:hint="eastAsia" w:ascii="方正楷体_GBK" w:hAnsi="方正楷体_GBK" w:eastAsia="方正楷体_GBK" w:cs="方正楷体_GBK"/>
          <w:color w:val="auto"/>
          <w:kern w:val="2"/>
          <w:sz w:val="28"/>
          <w:szCs w:val="28"/>
          <w:highlight w:val="none"/>
        </w:rPr>
        <w:t>3.适用法律</w:t>
      </w:r>
      <w:bookmarkEnd w:id="57"/>
      <w:bookmarkEnd w:id="58"/>
      <w:bookmarkEnd w:id="59"/>
    </w:p>
    <w:p w14:paraId="71D054CB">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3.1 本次采购及由此产生的合同受中华人民共和国有关的法律法规制约和保护</w:t>
      </w:r>
      <w:r>
        <w:rPr>
          <w:rFonts w:ascii="宋体" w:hAnsi="宋体"/>
          <w:color w:val="auto"/>
          <w:sz w:val="24"/>
          <w:szCs w:val="21"/>
          <w:highlight w:val="none"/>
        </w:rPr>
        <w:t>。</w:t>
      </w:r>
    </w:p>
    <w:p w14:paraId="2DF8E775">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60" w:name="_Toc16938523"/>
      <w:bookmarkStart w:id="61" w:name="_Toc513029207"/>
      <w:bookmarkStart w:id="62" w:name="_Toc462564067"/>
      <w:bookmarkStart w:id="63" w:name="_Toc20823279"/>
      <w:r>
        <w:rPr>
          <w:rFonts w:hint="eastAsia" w:ascii="方正楷体_GBK" w:hAnsi="方正楷体_GBK" w:eastAsia="方正楷体_GBK" w:cs="方正楷体_GBK"/>
          <w:color w:val="auto"/>
          <w:kern w:val="2"/>
          <w:sz w:val="28"/>
          <w:szCs w:val="28"/>
          <w:highlight w:val="none"/>
        </w:rPr>
        <w:t>4.磋商费用</w:t>
      </w:r>
      <w:bookmarkEnd w:id="60"/>
      <w:bookmarkEnd w:id="61"/>
      <w:bookmarkEnd w:id="62"/>
      <w:bookmarkEnd w:id="63"/>
    </w:p>
    <w:p w14:paraId="298E483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4.1 供应商应自行承担所有与参加采购有关的费用，</w:t>
      </w:r>
      <w:r>
        <w:rPr>
          <w:rFonts w:hint="eastAsia" w:ascii="宋体" w:hAnsi="宋体"/>
          <w:color w:val="auto"/>
          <w:sz w:val="24"/>
          <w:highlight w:val="none"/>
        </w:rPr>
        <w:t>交易中心</w:t>
      </w:r>
      <w:r>
        <w:rPr>
          <w:rFonts w:hint="eastAsia" w:ascii="宋体" w:hAnsi="宋体"/>
          <w:color w:val="auto"/>
          <w:sz w:val="24"/>
          <w:szCs w:val="21"/>
          <w:highlight w:val="none"/>
        </w:rPr>
        <w:t>在任何情况下均无义务和责任承担这些费用。</w:t>
      </w:r>
    </w:p>
    <w:p w14:paraId="05195DB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4.2 本次采购交易中心和采购人不收取磋商文件工本费与成交服务费。</w:t>
      </w:r>
    </w:p>
    <w:p w14:paraId="13FEDEE9">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5.磋商文件的约束力</w:t>
      </w:r>
    </w:p>
    <w:p w14:paraId="1050223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5.1 供应商一旦参加本项目采购活动，即被认为接受了本文件的规定和约束。</w:t>
      </w:r>
    </w:p>
    <w:p w14:paraId="3FBFAD7A">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bookmarkStart w:id="64" w:name="_Toc120614215"/>
      <w:bookmarkStart w:id="65" w:name="_Toc16938525"/>
      <w:bookmarkStart w:id="66" w:name="_Toc20823281"/>
      <w:bookmarkStart w:id="67" w:name="_Toc513029209"/>
      <w:r>
        <w:rPr>
          <w:rFonts w:hint="eastAsia" w:ascii="方正黑体_GBK" w:hAnsi="方正黑体_GBK" w:eastAsia="方正黑体_GBK" w:cs="方正黑体_GBK"/>
          <w:color w:val="auto"/>
          <w:kern w:val="2"/>
          <w:highlight w:val="none"/>
        </w:rPr>
        <w:t>二、</w:t>
      </w:r>
      <w:bookmarkEnd w:id="64"/>
      <w:bookmarkEnd w:id="65"/>
      <w:bookmarkEnd w:id="66"/>
      <w:bookmarkEnd w:id="67"/>
      <w:r>
        <w:rPr>
          <w:rFonts w:hint="eastAsia" w:ascii="方正黑体_GBK" w:hAnsi="方正黑体_GBK" w:eastAsia="方正黑体_GBK" w:cs="方正黑体_GBK"/>
          <w:color w:val="auto"/>
          <w:kern w:val="2"/>
          <w:highlight w:val="none"/>
        </w:rPr>
        <w:t>磋商文件</w:t>
      </w:r>
    </w:p>
    <w:p w14:paraId="1C08C4E6">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68" w:name="_Toc20823282"/>
      <w:bookmarkStart w:id="69" w:name="_Toc513029210"/>
      <w:bookmarkStart w:id="70" w:name="_Toc16938526"/>
      <w:r>
        <w:rPr>
          <w:rFonts w:hint="eastAsia" w:ascii="方正楷体_GBK" w:hAnsi="方正楷体_GBK" w:eastAsia="方正楷体_GBK" w:cs="方正楷体_GBK"/>
          <w:color w:val="auto"/>
          <w:kern w:val="2"/>
          <w:sz w:val="28"/>
          <w:szCs w:val="28"/>
          <w:highlight w:val="none"/>
        </w:rPr>
        <w:t>6.磋商文件构成</w:t>
      </w:r>
      <w:bookmarkEnd w:id="68"/>
      <w:bookmarkEnd w:id="69"/>
      <w:bookmarkEnd w:id="70"/>
    </w:p>
    <w:p w14:paraId="1853CDB5">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6.1 磋商文件由以下部分组成：</w:t>
      </w:r>
    </w:p>
    <w:p w14:paraId="27A13C4F">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（1）磋商邀请</w:t>
      </w:r>
    </w:p>
    <w:p w14:paraId="39050CD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（2）供应商须知</w:t>
      </w:r>
    </w:p>
    <w:p w14:paraId="231DC6E5">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（3）合同文本</w:t>
      </w:r>
    </w:p>
    <w:p w14:paraId="2100976C">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（4）采购需求</w:t>
      </w:r>
    </w:p>
    <w:p w14:paraId="5A73BC4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（5）评审方法与评审标准</w:t>
      </w:r>
    </w:p>
    <w:p w14:paraId="4D0F2A28">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（6）响应文件格式</w:t>
      </w:r>
    </w:p>
    <w:p w14:paraId="005C2AF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供应商应仔细检查磋商文件是否齐全，如有缺漏请立即与交易中心联系。</w:t>
      </w:r>
    </w:p>
    <w:p w14:paraId="05D62715">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03D0563">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71" w:name="_Toc462564070"/>
      <w:bookmarkStart w:id="72" w:name="_Toc16938527"/>
      <w:bookmarkStart w:id="73" w:name="_Toc20823283"/>
      <w:bookmarkStart w:id="74" w:name="_Toc513029211"/>
      <w:r>
        <w:rPr>
          <w:rFonts w:hint="eastAsia" w:ascii="方正楷体_GBK" w:hAnsi="方正楷体_GBK" w:eastAsia="方正楷体_GBK" w:cs="方正楷体_GBK"/>
          <w:color w:val="auto"/>
          <w:kern w:val="2"/>
          <w:sz w:val="28"/>
          <w:szCs w:val="28"/>
          <w:highlight w:val="none"/>
        </w:rPr>
        <w:t>7.磋商文件的澄清</w:t>
      </w:r>
      <w:bookmarkEnd w:id="71"/>
      <w:bookmarkEnd w:id="72"/>
      <w:bookmarkEnd w:id="73"/>
      <w:bookmarkEnd w:id="74"/>
      <w:r>
        <w:rPr>
          <w:rFonts w:hint="eastAsia" w:ascii="方正楷体_GBK" w:hAnsi="方正楷体_GBK" w:eastAsia="方正楷体_GBK" w:cs="方正楷体_GBK"/>
          <w:color w:val="auto"/>
          <w:kern w:val="2"/>
          <w:sz w:val="28"/>
          <w:szCs w:val="28"/>
          <w:highlight w:val="none"/>
        </w:rPr>
        <w:t>或修改</w:t>
      </w:r>
    </w:p>
    <w:p w14:paraId="39740B03">
      <w:pPr>
        <w:adjustRightInd w:val="0"/>
        <w:snapToGrid w:val="0"/>
        <w:spacing w:line="360" w:lineRule="auto"/>
        <w:ind w:firstLine="420" w:firstLineChars="175"/>
        <w:rPr>
          <w:rFonts w:ascii="宋体" w:hAnsi="宋体"/>
          <w:color w:val="auto"/>
          <w:sz w:val="24"/>
          <w:szCs w:val="21"/>
          <w:highlight w:val="none"/>
        </w:rPr>
      </w:pPr>
      <w:bookmarkStart w:id="75" w:name="_Toc16938529"/>
      <w:bookmarkStart w:id="76" w:name="_Toc120614216"/>
      <w:bookmarkStart w:id="77" w:name="_Toc462564072"/>
      <w:bookmarkStart w:id="78" w:name="_Toc513029213"/>
      <w:bookmarkStart w:id="79" w:name="_Toc20823285"/>
      <w:r>
        <w:rPr>
          <w:rFonts w:hint="eastAsia" w:ascii="宋体" w:hAnsi="宋体"/>
          <w:color w:val="auto"/>
          <w:sz w:val="24"/>
          <w:szCs w:val="21"/>
          <w:highlight w:val="none"/>
        </w:rPr>
        <w:t>7.1 在响应文件提交截止时间前，交易中心可以对已发出的磋商文件进行必要的澄清或者修改，并在原公告发布媒体发布更正公告，澄清或修改的内容将作为磋商文件的组成部分，并对供应商具有约束力。</w:t>
      </w:r>
    </w:p>
    <w:p w14:paraId="1F9DFA66">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7.2 供应商应在提交响应文件截止时间前，关注原公告发布媒体有关本项目的更正公告，根据更正公告内容自行决定是否需要重新制作和提交响应文件，并承担由此产生的相应责任。</w:t>
      </w:r>
    </w:p>
    <w:p w14:paraId="6B0F37D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7.3 交易中心有权按照法定的要求推迟提交响应文件截止时间，并在原公告发布媒体发布更正公告。</w:t>
      </w:r>
    </w:p>
    <w:p w14:paraId="42607CF7">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r>
        <w:rPr>
          <w:rFonts w:hint="eastAsia" w:ascii="方正黑体_GBK" w:hAnsi="方正黑体_GBK" w:eastAsia="方正黑体_GBK" w:cs="方正黑体_GBK"/>
          <w:color w:val="auto"/>
          <w:kern w:val="2"/>
          <w:highlight w:val="none"/>
        </w:rPr>
        <w:t>三、响应文件的编制</w:t>
      </w:r>
      <w:bookmarkEnd w:id="75"/>
      <w:bookmarkEnd w:id="76"/>
      <w:bookmarkEnd w:id="77"/>
      <w:bookmarkEnd w:id="78"/>
      <w:bookmarkEnd w:id="79"/>
    </w:p>
    <w:p w14:paraId="2C2C30D2">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80" w:name="_Toc513029214"/>
      <w:bookmarkStart w:id="81" w:name="_Toc16938530"/>
      <w:bookmarkStart w:id="82" w:name="_Toc20823286"/>
      <w:bookmarkStart w:id="83" w:name="_Toc462564073"/>
      <w:r>
        <w:rPr>
          <w:rFonts w:hint="eastAsia" w:ascii="方正楷体_GBK" w:hAnsi="方正楷体_GBK" w:eastAsia="方正楷体_GBK" w:cs="方正楷体_GBK"/>
          <w:color w:val="auto"/>
          <w:kern w:val="2"/>
          <w:sz w:val="28"/>
          <w:szCs w:val="28"/>
          <w:highlight w:val="none"/>
        </w:rPr>
        <w:t>8.响应文件的语言及度量衡单位</w:t>
      </w:r>
      <w:bookmarkEnd w:id="80"/>
      <w:bookmarkEnd w:id="81"/>
      <w:bookmarkEnd w:id="82"/>
      <w:bookmarkEnd w:id="83"/>
    </w:p>
    <w:p w14:paraId="453049E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8.1 供应商提交的响应文件以及供应商与交易中心就有关磋商的所有来往通知、函件和文件均应使用简体中文。</w:t>
      </w:r>
    </w:p>
    <w:p w14:paraId="6CC41BC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8.2 除技术性能另有规定外，响应文件所使用的度量衡单位，均须采用国家法定计量单位。</w:t>
      </w:r>
    </w:p>
    <w:p w14:paraId="7490B9C8">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84" w:name="_Toc513029215"/>
      <w:bookmarkStart w:id="85" w:name="_Toc16938531"/>
      <w:bookmarkStart w:id="86" w:name="_Toc20823287"/>
      <w:bookmarkStart w:id="87" w:name="_Toc462564074"/>
      <w:r>
        <w:rPr>
          <w:rFonts w:hint="eastAsia" w:ascii="方正楷体_GBK" w:hAnsi="方正楷体_GBK" w:eastAsia="方正楷体_GBK" w:cs="方正楷体_GBK"/>
          <w:color w:val="auto"/>
          <w:kern w:val="2"/>
          <w:sz w:val="28"/>
          <w:szCs w:val="28"/>
          <w:highlight w:val="none"/>
        </w:rPr>
        <w:t>9.响应文件构成</w:t>
      </w:r>
      <w:bookmarkEnd w:id="84"/>
      <w:bookmarkEnd w:id="85"/>
      <w:bookmarkEnd w:id="86"/>
      <w:bookmarkEnd w:id="87"/>
    </w:p>
    <w:p w14:paraId="5C49C8C5">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9.1 供应商编写的响应文件应包括资格证明文件、符合性证明文件、磋商报价表、分项报价表（如有）、响应及偏离表、磋商响应函、法定代表人授权委托书。</w:t>
      </w:r>
    </w:p>
    <w:p w14:paraId="66DB005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 xml:space="preserve">9.2 </w:t>
      </w:r>
      <w:r>
        <w:rPr>
          <w:rFonts w:hint="eastAsia" w:ascii="宋体" w:hAnsi="宋体"/>
          <w:b/>
          <w:bCs/>
          <w:color w:val="auto"/>
          <w:sz w:val="24"/>
          <w:szCs w:val="21"/>
          <w:highlight w:val="none"/>
        </w:rPr>
        <w:t>如标书制作工具与“江苏政府采购网”发布的磋商文件内容不一致，以“江苏政府采购网”发布的磋商文件为准。</w:t>
      </w:r>
    </w:p>
    <w:p w14:paraId="17B68C60">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88" w:name="_Hlt26670360"/>
      <w:bookmarkEnd w:id="88"/>
      <w:bookmarkStart w:id="89" w:name="_Hlt26954838"/>
      <w:bookmarkEnd w:id="89"/>
      <w:bookmarkStart w:id="90" w:name="_Hlt26668975"/>
      <w:bookmarkEnd w:id="90"/>
      <w:bookmarkStart w:id="91" w:name="_Toc513029216"/>
      <w:bookmarkStart w:id="92" w:name="_Toc49090509"/>
      <w:bookmarkStart w:id="93" w:name="_Toc49090508"/>
      <w:bookmarkStart w:id="94" w:name="_Toc14577354"/>
      <w:bookmarkStart w:id="95" w:name="_Toc14577355"/>
      <w:bookmarkStart w:id="96" w:name="_Toc14577357"/>
      <w:bookmarkStart w:id="97" w:name="_Toc513029219"/>
      <w:bookmarkStart w:id="98" w:name="_Toc49090507"/>
      <w:r>
        <w:rPr>
          <w:rFonts w:hint="eastAsia" w:ascii="方正楷体_GBK" w:hAnsi="方正楷体_GBK" w:eastAsia="方正楷体_GBK" w:cs="方正楷体_GBK"/>
          <w:color w:val="auto"/>
          <w:kern w:val="2"/>
          <w:sz w:val="28"/>
          <w:szCs w:val="28"/>
          <w:highlight w:val="none"/>
        </w:rPr>
        <w:t>10.磋商报价</w:t>
      </w:r>
      <w:bookmarkEnd w:id="91"/>
      <w:bookmarkEnd w:id="92"/>
      <w:bookmarkEnd w:id="93"/>
      <w:bookmarkEnd w:id="94"/>
      <w:bookmarkEnd w:id="95"/>
      <w:bookmarkEnd w:id="96"/>
      <w:bookmarkEnd w:id="97"/>
      <w:bookmarkEnd w:id="98"/>
    </w:p>
    <w:p w14:paraId="1F70EAD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10.1 响应文件中的单价和总价无特殊规定的采用人民币报价，以元为单位标注。磋商文件另有规定的按规定执行。</w:t>
      </w:r>
    </w:p>
    <w:p w14:paraId="06C35871">
      <w:pPr>
        <w:adjustRightInd w:val="0"/>
        <w:snapToGrid w:val="0"/>
        <w:spacing w:line="360" w:lineRule="auto"/>
        <w:ind w:firstLine="420" w:firstLineChars="175"/>
        <w:rPr>
          <w:rFonts w:ascii="宋体" w:hAnsi="宋体"/>
          <w:b/>
          <w:bCs/>
          <w:color w:val="auto"/>
          <w:sz w:val="24"/>
          <w:szCs w:val="21"/>
          <w:highlight w:val="none"/>
        </w:rPr>
      </w:pPr>
      <w:r>
        <w:rPr>
          <w:rFonts w:hint="eastAsia" w:ascii="宋体" w:hAnsi="宋体"/>
          <w:color w:val="auto"/>
          <w:sz w:val="24"/>
          <w:szCs w:val="21"/>
          <w:highlight w:val="none"/>
        </w:rPr>
        <w:t>10.2</w:t>
      </w:r>
      <w:r>
        <w:rPr>
          <w:rFonts w:hint="eastAsia" w:ascii="宋体" w:hAnsi="宋体"/>
          <w:b/>
          <w:bCs/>
          <w:color w:val="auto"/>
          <w:sz w:val="24"/>
          <w:szCs w:val="21"/>
          <w:highlight w:val="none"/>
        </w:rPr>
        <w:t xml:space="preserve"> 供应商应按照磋商文件规定完整、准确填报磋商报价表和分项报价表（如有），否则作为无效响应。</w:t>
      </w:r>
    </w:p>
    <w:p w14:paraId="4A349801">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99" w:name="_Hlt26954731"/>
      <w:bookmarkEnd w:id="99"/>
      <w:bookmarkStart w:id="100" w:name="_Hlt26954848"/>
      <w:bookmarkEnd w:id="100"/>
      <w:bookmarkStart w:id="101" w:name="_Hlt26670486"/>
      <w:bookmarkEnd w:id="101"/>
      <w:bookmarkStart w:id="102" w:name="_Hlt26670482"/>
      <w:bookmarkEnd w:id="102"/>
      <w:bookmarkStart w:id="103" w:name="_Hlt26954846"/>
      <w:bookmarkEnd w:id="103"/>
      <w:r>
        <w:rPr>
          <w:rFonts w:hint="eastAsia" w:ascii="方正楷体_GBK" w:hAnsi="方正楷体_GBK" w:eastAsia="方正楷体_GBK" w:cs="方正楷体_GBK"/>
          <w:color w:val="auto"/>
          <w:kern w:val="2"/>
          <w:sz w:val="28"/>
          <w:szCs w:val="28"/>
          <w:highlight w:val="none"/>
        </w:rPr>
        <w:t>11.响应及偏离表</w:t>
      </w:r>
    </w:p>
    <w:p w14:paraId="28403E83">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rPr>
        <w:t>1</w:t>
      </w:r>
      <w:r>
        <w:rPr>
          <w:rFonts w:hint="eastAsia" w:ascii="宋体" w:hAnsi="宋体"/>
          <w:color w:val="auto"/>
          <w:sz w:val="24"/>
          <w:szCs w:val="21"/>
          <w:highlight w:val="none"/>
          <w:lang w:val="zh-CN"/>
        </w:rPr>
        <w:t>.1</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供应商需对磋商文件中的技术要求与商务要求逐项作出响应或偏离说明。</w:t>
      </w:r>
    </w:p>
    <w:p w14:paraId="234CAAEA">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rPr>
        <w:t>1</w:t>
      </w:r>
      <w:r>
        <w:rPr>
          <w:rFonts w:hint="eastAsia" w:ascii="宋体" w:hAnsi="宋体"/>
          <w:color w:val="auto"/>
          <w:sz w:val="24"/>
          <w:szCs w:val="21"/>
          <w:highlight w:val="none"/>
          <w:lang w:val="zh-CN"/>
        </w:rPr>
        <w:t>.2</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供应商可在响应文件中提供认为需要的其他技术文件或说明。</w:t>
      </w:r>
    </w:p>
    <w:p w14:paraId="5B478667">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04" w:name="_Toc49090510"/>
      <w:bookmarkStart w:id="105" w:name="_Toc14577359"/>
      <w:r>
        <w:rPr>
          <w:rFonts w:hint="eastAsia" w:ascii="方正楷体_GBK" w:hAnsi="方正楷体_GBK" w:eastAsia="方正楷体_GBK" w:cs="方正楷体_GBK"/>
          <w:color w:val="auto"/>
          <w:kern w:val="2"/>
          <w:sz w:val="28"/>
          <w:szCs w:val="28"/>
          <w:highlight w:val="none"/>
        </w:rPr>
        <w:t>12.磋商响应函和授权委托书</w:t>
      </w:r>
    </w:p>
    <w:p w14:paraId="06BED9DB">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12.1 </w:t>
      </w:r>
      <w:r>
        <w:rPr>
          <w:rFonts w:hint="eastAsia" w:ascii="宋体" w:hAnsi="宋体"/>
          <w:b/>
          <w:bCs/>
          <w:color w:val="auto"/>
          <w:sz w:val="24"/>
          <w:szCs w:val="21"/>
          <w:highlight w:val="none"/>
        </w:rPr>
        <w:t>供应商</w:t>
      </w:r>
      <w:r>
        <w:rPr>
          <w:rFonts w:hint="eastAsia" w:ascii="宋体" w:hAnsi="宋体"/>
          <w:b/>
          <w:bCs/>
          <w:color w:val="auto"/>
          <w:sz w:val="24"/>
          <w:szCs w:val="21"/>
          <w:highlight w:val="none"/>
          <w:lang w:val="zh-CN"/>
        </w:rPr>
        <w:t>应按照</w:t>
      </w:r>
      <w:r>
        <w:rPr>
          <w:rFonts w:hint="eastAsia" w:ascii="宋体" w:hAnsi="宋体"/>
          <w:b/>
          <w:bCs/>
          <w:color w:val="auto"/>
          <w:sz w:val="24"/>
          <w:szCs w:val="21"/>
          <w:highlight w:val="none"/>
        </w:rPr>
        <w:t>磋商</w:t>
      </w:r>
      <w:r>
        <w:rPr>
          <w:rFonts w:hint="eastAsia" w:ascii="宋体" w:hAnsi="宋体"/>
          <w:b/>
          <w:bCs/>
          <w:color w:val="auto"/>
          <w:sz w:val="24"/>
          <w:szCs w:val="21"/>
          <w:highlight w:val="none"/>
          <w:lang w:val="zh-CN"/>
        </w:rPr>
        <w:t>文件规定完整、正确填报</w:t>
      </w:r>
      <w:r>
        <w:rPr>
          <w:rFonts w:hint="eastAsia" w:ascii="宋体" w:hAnsi="宋体"/>
          <w:b/>
          <w:bCs/>
          <w:color w:val="auto"/>
          <w:sz w:val="24"/>
          <w:szCs w:val="21"/>
          <w:highlight w:val="none"/>
        </w:rPr>
        <w:t>磋商响应</w:t>
      </w:r>
      <w:r>
        <w:rPr>
          <w:rFonts w:hint="eastAsia" w:ascii="宋体" w:hAnsi="宋体"/>
          <w:b/>
          <w:bCs/>
          <w:color w:val="auto"/>
          <w:sz w:val="24"/>
          <w:szCs w:val="21"/>
          <w:highlight w:val="none"/>
          <w:lang w:val="zh-CN"/>
        </w:rPr>
        <w:t>函和</w:t>
      </w:r>
      <w:r>
        <w:rPr>
          <w:rFonts w:hint="eastAsia" w:ascii="宋体" w:hAnsi="宋体"/>
          <w:b/>
          <w:bCs/>
          <w:color w:val="auto"/>
          <w:kern w:val="2"/>
          <w:sz w:val="24"/>
          <w:szCs w:val="21"/>
          <w:highlight w:val="none"/>
          <w:lang w:val="zh-CN"/>
        </w:rPr>
        <w:t>法定代表人授权委托书，</w:t>
      </w:r>
      <w:r>
        <w:rPr>
          <w:rFonts w:hint="eastAsia" w:ascii="宋体" w:hAnsi="宋体"/>
          <w:b/>
          <w:bCs/>
          <w:color w:val="auto"/>
          <w:sz w:val="24"/>
          <w:szCs w:val="21"/>
          <w:highlight w:val="none"/>
          <w:lang w:val="zh-CN"/>
        </w:rPr>
        <w:t>否则作为无效</w:t>
      </w:r>
      <w:r>
        <w:rPr>
          <w:rFonts w:hint="eastAsia" w:ascii="宋体" w:hAnsi="宋体"/>
          <w:b/>
          <w:bCs/>
          <w:color w:val="auto"/>
          <w:sz w:val="24"/>
          <w:szCs w:val="21"/>
          <w:highlight w:val="none"/>
        </w:rPr>
        <w:t>响应</w:t>
      </w:r>
      <w:r>
        <w:rPr>
          <w:rFonts w:hint="eastAsia" w:ascii="宋体" w:hAnsi="宋体"/>
          <w:b/>
          <w:bCs/>
          <w:color w:val="auto"/>
          <w:sz w:val="24"/>
          <w:szCs w:val="21"/>
          <w:highlight w:val="none"/>
          <w:lang w:val="zh-CN"/>
        </w:rPr>
        <w:t>。</w:t>
      </w:r>
    </w:p>
    <w:bookmarkEnd w:id="104"/>
    <w:bookmarkEnd w:id="105"/>
    <w:p w14:paraId="6B12B3B1">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06" w:name="_Toc14577360"/>
      <w:bookmarkStart w:id="107" w:name="_Toc49090511"/>
      <w:r>
        <w:rPr>
          <w:rFonts w:hint="eastAsia" w:ascii="方正楷体_GBK" w:hAnsi="方正楷体_GBK" w:eastAsia="方正楷体_GBK" w:cs="方正楷体_GBK"/>
          <w:color w:val="auto"/>
          <w:kern w:val="2"/>
          <w:sz w:val="28"/>
          <w:szCs w:val="28"/>
          <w:highlight w:val="none"/>
        </w:rPr>
        <w:t>13.磋商有效期</w:t>
      </w:r>
      <w:bookmarkEnd w:id="106"/>
      <w:bookmarkEnd w:id="107"/>
    </w:p>
    <w:p w14:paraId="1442A78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13.1 磋商有效期为采购公告规定的提交响应文件截止之日起</w:t>
      </w:r>
      <w:r>
        <w:rPr>
          <w:rFonts w:hint="eastAsia" w:ascii="宋体" w:hAnsi="宋体"/>
          <w:color w:val="auto"/>
          <w:sz w:val="24"/>
          <w:szCs w:val="21"/>
          <w:highlight w:val="none"/>
          <w:lang w:val="zh-CN"/>
        </w:rPr>
        <w:t>六十天</w:t>
      </w:r>
      <w:r>
        <w:rPr>
          <w:rFonts w:hint="eastAsia" w:ascii="宋体" w:hAnsi="宋体"/>
          <w:color w:val="auto"/>
          <w:sz w:val="24"/>
          <w:szCs w:val="21"/>
          <w:highlight w:val="none"/>
        </w:rPr>
        <w:t>。磋商有效期比规定短的将被视为非实质性响应磋商文件，其磋商响应将被拒绝。</w:t>
      </w:r>
    </w:p>
    <w:p w14:paraId="061C7713">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14.磋商有效期的延长</w:t>
      </w:r>
    </w:p>
    <w:p w14:paraId="43FDB8F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7B7EB716">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bookmarkStart w:id="108" w:name="_Hlt26954852"/>
      <w:bookmarkEnd w:id="108"/>
      <w:bookmarkStart w:id="109" w:name="_Hlt26954739"/>
      <w:bookmarkEnd w:id="109"/>
      <w:bookmarkStart w:id="110" w:name="_Toc20823296"/>
      <w:bookmarkStart w:id="111" w:name="_Toc16938540"/>
      <w:bookmarkStart w:id="112" w:name="_Toc120614217"/>
      <w:bookmarkStart w:id="113" w:name="_Toc513029224"/>
      <w:r>
        <w:rPr>
          <w:rFonts w:hint="eastAsia" w:ascii="方正黑体_GBK" w:hAnsi="方正黑体_GBK" w:eastAsia="方正黑体_GBK" w:cs="方正黑体_GBK"/>
          <w:color w:val="auto"/>
          <w:kern w:val="2"/>
          <w:highlight w:val="none"/>
        </w:rPr>
        <w:t>四、响应文件的递交</w:t>
      </w:r>
      <w:bookmarkEnd w:id="110"/>
      <w:bookmarkEnd w:id="111"/>
      <w:bookmarkEnd w:id="112"/>
      <w:bookmarkEnd w:id="113"/>
      <w:r>
        <w:rPr>
          <w:rFonts w:hint="eastAsia" w:ascii="方正黑体_GBK" w:hAnsi="方正黑体_GBK" w:eastAsia="方正黑体_GBK" w:cs="方正黑体_GBK"/>
          <w:color w:val="auto"/>
          <w:kern w:val="2"/>
          <w:highlight w:val="none"/>
        </w:rPr>
        <w:t>、撤回和修改</w:t>
      </w:r>
    </w:p>
    <w:p w14:paraId="70F2A2DE">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14" w:name="_Toc462564084"/>
      <w:bookmarkStart w:id="115" w:name="_Toc513029225"/>
      <w:bookmarkStart w:id="116" w:name="_Toc20823297"/>
      <w:bookmarkStart w:id="117" w:name="_Toc16938541"/>
      <w:r>
        <w:rPr>
          <w:rFonts w:hint="eastAsia" w:ascii="方正楷体_GBK" w:hAnsi="方正楷体_GBK" w:eastAsia="方正楷体_GBK" w:cs="方正楷体_GBK"/>
          <w:color w:val="auto"/>
          <w:kern w:val="2"/>
          <w:sz w:val="28"/>
          <w:szCs w:val="28"/>
          <w:highlight w:val="none"/>
        </w:rPr>
        <w:t>15.</w:t>
      </w:r>
      <w:bookmarkEnd w:id="114"/>
      <w:bookmarkEnd w:id="115"/>
      <w:bookmarkEnd w:id="116"/>
      <w:bookmarkEnd w:id="117"/>
      <w:r>
        <w:rPr>
          <w:rFonts w:hint="eastAsia" w:ascii="方正楷体_GBK" w:hAnsi="方正楷体_GBK" w:eastAsia="方正楷体_GBK" w:cs="方正楷体_GBK"/>
          <w:color w:val="auto"/>
          <w:kern w:val="2"/>
          <w:sz w:val="28"/>
          <w:szCs w:val="28"/>
          <w:highlight w:val="none"/>
        </w:rPr>
        <w:t>响应文件的递交</w:t>
      </w:r>
    </w:p>
    <w:p w14:paraId="4F663946">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15.1 供应商应在采购公告规定的提交响应文件截止时间前制作并上传电子响应文件。</w:t>
      </w:r>
      <w:bookmarkStart w:id="118" w:name="_Toc16938542"/>
      <w:bookmarkStart w:id="119" w:name="_Toc20823298"/>
      <w:bookmarkStart w:id="120" w:name="_Toc513029226"/>
      <w:r>
        <w:rPr>
          <w:rFonts w:hint="eastAsia" w:ascii="宋体" w:hAnsi="宋体"/>
          <w:color w:val="auto"/>
          <w:sz w:val="24"/>
          <w:szCs w:val="21"/>
          <w:highlight w:val="none"/>
        </w:rPr>
        <w:t>提交响应文件截止时间后上传的响应文件将被拒绝。</w:t>
      </w:r>
    </w:p>
    <w:bookmarkEnd w:id="118"/>
    <w:bookmarkEnd w:id="119"/>
    <w:bookmarkEnd w:id="120"/>
    <w:p w14:paraId="7F840B8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15.2 供应商应充分考虑网络环境、网络带宽等因素</w:t>
      </w:r>
      <w:r>
        <w:rPr>
          <w:rFonts w:hint="eastAsia" w:ascii="宋体" w:hAnsi="宋体"/>
          <w:color w:val="auto"/>
          <w:sz w:val="24"/>
          <w:highlight w:val="none"/>
        </w:rPr>
        <w:t>可能产生的影响</w:t>
      </w:r>
      <w:r>
        <w:rPr>
          <w:rFonts w:hint="eastAsia" w:ascii="宋体" w:hAnsi="宋体"/>
          <w:color w:val="auto"/>
          <w:sz w:val="24"/>
          <w:szCs w:val="21"/>
          <w:highlight w:val="none"/>
        </w:rPr>
        <w:t>，如因供应商自身原因造成的电子响应文件上传不成功的，按照本磋商文件第二章第22.1条规定做无效响应处理。</w:t>
      </w:r>
    </w:p>
    <w:p w14:paraId="2FCEE61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15.3 交易中心可以按照规定，通过修改磋商文件酌情延长提交响应文件截止日期，在此情况下，供应商的所有权利和义务均以延长后新的截止日期为准。</w:t>
      </w:r>
    </w:p>
    <w:p w14:paraId="5B2287F8">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21" w:name="_Toc16938544"/>
      <w:bookmarkStart w:id="122" w:name="_Toc513029228"/>
      <w:bookmarkStart w:id="123" w:name="_Toc20823300"/>
      <w:r>
        <w:rPr>
          <w:rFonts w:hint="eastAsia" w:ascii="方正楷体_GBK" w:hAnsi="方正楷体_GBK" w:eastAsia="方正楷体_GBK" w:cs="方正楷体_GBK"/>
          <w:color w:val="auto"/>
          <w:kern w:val="2"/>
          <w:sz w:val="28"/>
          <w:szCs w:val="28"/>
          <w:highlight w:val="none"/>
        </w:rPr>
        <w:t>16.响应文件的撤回和修改</w:t>
      </w:r>
      <w:bookmarkEnd w:id="121"/>
      <w:bookmarkEnd w:id="122"/>
      <w:bookmarkEnd w:id="123"/>
    </w:p>
    <w:p w14:paraId="39283E7F">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16.1 响应文件的撤回</w:t>
      </w:r>
    </w:p>
    <w:p w14:paraId="282F3217">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16.1.1 供应商可在提交响应文件截止时间前，撤回其电子响应文件。</w:t>
      </w:r>
    </w:p>
    <w:p w14:paraId="5387036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16.1.2 供应商撤回电子响应文件，则认为其不再参与本项目磋商活动。</w:t>
      </w:r>
    </w:p>
    <w:p w14:paraId="2BB99D6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16.1.3 在提交响应文件截止时间至磋商文件中规定的磋商有效期满之间的这段时间内，供应商不得撤回其响应文件。</w:t>
      </w:r>
    </w:p>
    <w:p w14:paraId="0B6513B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16.2 响应文件的修改</w:t>
      </w:r>
    </w:p>
    <w:p w14:paraId="7BE16A2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16.2.1 供应商可在提交响应文件截止时间前，对其电子响应文件进行修改。</w:t>
      </w:r>
    </w:p>
    <w:p w14:paraId="143D37D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16.2.2 提交响应文件截止时间之后，供应商不得对其电子响应文件作任何修改。</w:t>
      </w:r>
    </w:p>
    <w:p w14:paraId="794F636E">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bookmarkStart w:id="124" w:name="_Toc16938545"/>
      <w:bookmarkStart w:id="125" w:name="_Toc20823301"/>
      <w:bookmarkStart w:id="126" w:name="_Toc513029229"/>
      <w:bookmarkStart w:id="127" w:name="_Toc120614218"/>
      <w:r>
        <w:rPr>
          <w:rFonts w:hint="eastAsia" w:ascii="方正黑体_GBK" w:hAnsi="方正黑体_GBK" w:eastAsia="方正黑体_GBK" w:cs="方正黑体_GBK"/>
          <w:color w:val="auto"/>
          <w:kern w:val="2"/>
          <w:highlight w:val="none"/>
        </w:rPr>
        <w:t>五、响应文件的解密与评审</w:t>
      </w:r>
      <w:bookmarkEnd w:id="124"/>
      <w:bookmarkEnd w:id="125"/>
      <w:bookmarkEnd w:id="126"/>
      <w:bookmarkEnd w:id="127"/>
    </w:p>
    <w:p w14:paraId="1E78D138">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17.响应文件解密</w:t>
      </w:r>
    </w:p>
    <w:p w14:paraId="1DF4FFB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17.1 供应商应当在苏采云系统规定的时间内对响应文件进行解密。</w:t>
      </w:r>
    </w:p>
    <w:p w14:paraId="3482DA57">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28" w:name="_Toc20823303"/>
      <w:bookmarkStart w:id="129" w:name="_Toc513029231"/>
      <w:bookmarkStart w:id="130" w:name="_Toc16938547"/>
      <w:r>
        <w:rPr>
          <w:rFonts w:hint="eastAsia" w:ascii="方正楷体_GBK" w:hAnsi="方正楷体_GBK" w:eastAsia="方正楷体_GBK" w:cs="方正楷体_GBK"/>
          <w:color w:val="auto"/>
          <w:kern w:val="2"/>
          <w:sz w:val="28"/>
          <w:szCs w:val="28"/>
          <w:highlight w:val="none"/>
        </w:rPr>
        <w:t>18.评审</w:t>
      </w:r>
    </w:p>
    <w:p w14:paraId="4CFCD68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18.1 依法组建的磋商小组对响应文件进行评审。</w:t>
      </w:r>
    </w:p>
    <w:p w14:paraId="73D674A5">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18.2 磋商小组由采购人代表和有关方面的专家组成，人员构成符合政府采购有关规定。</w:t>
      </w:r>
    </w:p>
    <w:p w14:paraId="70DFFE0B">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18.3 磋商小组独立工作，负责评审所有响应文件并推荐成交候选人，或根据采购人授权直接确定成交供应商。</w:t>
      </w:r>
    </w:p>
    <w:p w14:paraId="247B7648">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19.评审过程的保密与公正</w:t>
      </w:r>
    </w:p>
    <w:bookmarkEnd w:id="128"/>
    <w:bookmarkEnd w:id="129"/>
    <w:bookmarkEnd w:id="130"/>
    <w:p w14:paraId="3183BFCC">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19.1 磋商小组、采购人和交易中心工作人员、相关监督人员等与评审工作有关的人员，对评审情况以及在评审过程中获悉的国家秘密、商业秘密负有保密责任。</w:t>
      </w:r>
    </w:p>
    <w:p w14:paraId="32D197FB">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19.2 供应商不得以任何方式影响评审过程。</w:t>
      </w:r>
    </w:p>
    <w:p w14:paraId="56350A9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19.3 交易中心和磋商小组不向未成交的供应商解释未成交原因，也不公布评审过程中的相关细节。</w:t>
      </w:r>
    </w:p>
    <w:p w14:paraId="2307924C">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31" w:name="_Toc513029232"/>
      <w:bookmarkStart w:id="132" w:name="_Toc20823304"/>
      <w:bookmarkStart w:id="133" w:name="_Toc16938548"/>
      <w:r>
        <w:rPr>
          <w:rFonts w:hint="eastAsia" w:ascii="方正楷体_GBK" w:hAnsi="方正楷体_GBK" w:eastAsia="方正楷体_GBK" w:cs="方正楷体_GBK"/>
          <w:color w:val="auto"/>
          <w:kern w:val="2"/>
          <w:sz w:val="28"/>
          <w:szCs w:val="28"/>
          <w:highlight w:val="none"/>
        </w:rPr>
        <w:t>20.评审过程中的澄清</w:t>
      </w:r>
      <w:bookmarkEnd w:id="131"/>
      <w:bookmarkEnd w:id="132"/>
      <w:bookmarkEnd w:id="133"/>
    </w:p>
    <w:p w14:paraId="60C599B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20.1 项目评审期间，磋商小组有权要求供应商对响应文件中含义不明确、同类问题表述不一致或者有明显文字和计算错误的内容等作出必要的澄清、说明或者补正。</w:t>
      </w:r>
    </w:p>
    <w:p w14:paraId="3BBE95E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供应商的澄清、说明或者补正不得超出响应文件的范围或者改变响应文件的实质性内容。</w:t>
      </w:r>
    </w:p>
    <w:p w14:paraId="29794BB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磋商小组并非对每个供应商都做澄清要求。</w:t>
      </w:r>
    </w:p>
    <w:p w14:paraId="4F6BC33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20.2 需要供应商进行澄清、说明和补正的，磋商小组将通过苏采云系统向供应商发出</w:t>
      </w:r>
      <w:r>
        <w:rPr>
          <w:rFonts w:hint="eastAsia" w:ascii="宋体" w:hAnsi="宋体"/>
          <w:color w:val="auto"/>
          <w:sz w:val="24"/>
          <w:highlight w:val="none"/>
          <w:lang w:val="zh-CN"/>
        </w:rPr>
        <w:t>《澄清要求函》</w:t>
      </w:r>
      <w:r>
        <w:rPr>
          <w:rFonts w:hint="eastAsia" w:ascii="宋体" w:hAnsi="宋体"/>
          <w:color w:val="auto"/>
          <w:sz w:val="24"/>
          <w:szCs w:val="21"/>
          <w:highlight w:val="none"/>
        </w:rPr>
        <w:t>，接到</w:t>
      </w:r>
      <w:r>
        <w:rPr>
          <w:rFonts w:hint="eastAsia" w:ascii="宋体" w:hAnsi="宋体"/>
          <w:color w:val="auto"/>
          <w:sz w:val="24"/>
          <w:highlight w:val="none"/>
          <w:lang w:val="zh-CN"/>
        </w:rPr>
        <w:t>《澄清要求函》</w:t>
      </w:r>
      <w:r>
        <w:rPr>
          <w:rFonts w:hint="eastAsia" w:ascii="宋体" w:hAnsi="宋体"/>
          <w:color w:val="auto"/>
          <w:sz w:val="24"/>
          <w:szCs w:val="21"/>
          <w:highlight w:val="none"/>
        </w:rPr>
        <w:t>的供应商应当按照要求在苏采云系统中提交</w:t>
      </w:r>
      <w:r>
        <w:rPr>
          <w:rFonts w:hint="eastAsia" w:ascii="宋体" w:hAnsi="宋体"/>
          <w:color w:val="auto"/>
          <w:sz w:val="24"/>
          <w:highlight w:val="none"/>
          <w:lang w:val="zh-CN"/>
        </w:rPr>
        <w:t>《澄清响应函》</w:t>
      </w:r>
      <w:r>
        <w:rPr>
          <w:rFonts w:hint="eastAsia" w:ascii="宋体" w:hAnsi="宋体"/>
          <w:color w:val="auto"/>
          <w:sz w:val="24"/>
          <w:szCs w:val="21"/>
          <w:highlight w:val="none"/>
        </w:rPr>
        <w:t>并加盖电子公章。澄清、说明和补正的内容作为响应文件的补充部分。</w:t>
      </w:r>
    </w:p>
    <w:p w14:paraId="20104E5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20.3 接到磋商小组澄清、说明和补正要求的供应商如未按规定做出澄清、说明和补正，其风险由供应商自行承担。</w:t>
      </w:r>
    </w:p>
    <w:p w14:paraId="4B826AEF">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34" w:name="_Toc16938549"/>
      <w:bookmarkStart w:id="135" w:name="_Toc513029233"/>
      <w:bookmarkStart w:id="136" w:name="_Toc20823305"/>
      <w:r>
        <w:rPr>
          <w:rFonts w:hint="eastAsia" w:ascii="方正楷体_GBK" w:hAnsi="方正楷体_GBK" w:eastAsia="方正楷体_GBK" w:cs="方正楷体_GBK"/>
          <w:color w:val="auto"/>
          <w:kern w:val="2"/>
          <w:sz w:val="28"/>
          <w:szCs w:val="28"/>
          <w:highlight w:val="none"/>
        </w:rPr>
        <w:t>21.响应文件的审</w:t>
      </w:r>
      <w:bookmarkEnd w:id="134"/>
      <w:bookmarkEnd w:id="135"/>
      <w:bookmarkEnd w:id="136"/>
      <w:r>
        <w:rPr>
          <w:rFonts w:hint="eastAsia" w:ascii="方正楷体_GBK" w:hAnsi="方正楷体_GBK" w:eastAsia="方正楷体_GBK" w:cs="方正楷体_GBK"/>
          <w:color w:val="auto"/>
          <w:kern w:val="2"/>
          <w:sz w:val="28"/>
          <w:szCs w:val="28"/>
          <w:highlight w:val="none"/>
        </w:rPr>
        <w:t>查</w:t>
      </w:r>
    </w:p>
    <w:p w14:paraId="754D3376">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21.1 响应文件审查分为资格审查和符合性审查。</w:t>
      </w:r>
    </w:p>
    <w:p w14:paraId="72F88B3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21.1.1 资格审查。依据法律法规和磋商文件的规定，磋商小组对响应文件中的资格证明文件进行审查，以确定供应商是否具备参加磋商的资格。</w:t>
      </w:r>
    </w:p>
    <w:p w14:paraId="0D7589A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磋商小组进行资格审查时，将在“信用中国”网站查询供应商的信用记录，以确定供应商是否具备磋商资格,查询结果留存并归档。</w:t>
      </w:r>
    </w:p>
    <w:p w14:paraId="41B8941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21.1.2 符合性审查。磋商小组</w:t>
      </w:r>
      <w:r>
        <w:rPr>
          <w:rFonts w:hint="eastAsia" w:ascii="宋体" w:hAnsi="宋体"/>
          <w:color w:val="auto"/>
          <w:kern w:val="2"/>
          <w:sz w:val="24"/>
          <w:szCs w:val="21"/>
          <w:highlight w:val="none"/>
          <w:lang w:val="zh-CN"/>
        </w:rPr>
        <w:t>对</w:t>
      </w:r>
      <w:r>
        <w:rPr>
          <w:rFonts w:hint="eastAsia" w:ascii="宋体" w:hAnsi="宋体"/>
          <w:color w:val="auto"/>
          <w:kern w:val="2"/>
          <w:sz w:val="24"/>
          <w:szCs w:val="21"/>
          <w:highlight w:val="none"/>
        </w:rPr>
        <w:t>通过</w:t>
      </w:r>
      <w:r>
        <w:rPr>
          <w:rFonts w:hint="eastAsia" w:ascii="宋体" w:hAnsi="宋体"/>
          <w:color w:val="auto"/>
          <w:kern w:val="2"/>
          <w:sz w:val="24"/>
          <w:szCs w:val="21"/>
          <w:highlight w:val="none"/>
          <w:lang w:val="zh-CN"/>
        </w:rPr>
        <w:t>资格</w:t>
      </w:r>
      <w:r>
        <w:rPr>
          <w:rFonts w:hint="eastAsia" w:ascii="宋体" w:hAnsi="宋体"/>
          <w:color w:val="auto"/>
          <w:kern w:val="2"/>
          <w:sz w:val="24"/>
          <w:szCs w:val="21"/>
          <w:highlight w:val="none"/>
        </w:rPr>
        <w:t>审查</w:t>
      </w:r>
      <w:r>
        <w:rPr>
          <w:rFonts w:hint="eastAsia" w:ascii="宋体" w:hAnsi="宋体"/>
          <w:color w:val="auto"/>
          <w:kern w:val="2"/>
          <w:sz w:val="24"/>
          <w:szCs w:val="21"/>
          <w:highlight w:val="none"/>
          <w:lang w:val="zh-CN"/>
        </w:rPr>
        <w:t>的</w:t>
      </w:r>
      <w:r>
        <w:rPr>
          <w:rFonts w:hint="eastAsia" w:ascii="宋体" w:hAnsi="宋体"/>
          <w:color w:val="auto"/>
          <w:kern w:val="2"/>
          <w:sz w:val="24"/>
          <w:szCs w:val="21"/>
          <w:highlight w:val="none"/>
        </w:rPr>
        <w:t>供应商</w:t>
      </w:r>
      <w:r>
        <w:rPr>
          <w:rFonts w:hint="eastAsia" w:ascii="宋体" w:hAnsi="宋体"/>
          <w:color w:val="auto"/>
          <w:kern w:val="2"/>
          <w:sz w:val="24"/>
          <w:szCs w:val="21"/>
          <w:highlight w:val="none"/>
          <w:lang w:val="zh-CN"/>
        </w:rPr>
        <w:t>的</w:t>
      </w:r>
      <w:r>
        <w:rPr>
          <w:rFonts w:hint="eastAsia" w:ascii="宋体" w:hAnsi="宋体"/>
          <w:color w:val="auto"/>
          <w:sz w:val="24"/>
          <w:szCs w:val="21"/>
          <w:highlight w:val="none"/>
        </w:rPr>
        <w:t>响应文件进行符合性审查，以确定其是否满足磋商文件的实质性要求。</w:t>
      </w:r>
      <w:r>
        <w:rPr>
          <w:rFonts w:hint="eastAsia" w:ascii="宋体" w:hAnsi="宋体"/>
          <w:b/>
          <w:bCs/>
          <w:iCs/>
          <w:color w:val="auto"/>
          <w:sz w:val="24"/>
          <w:highlight w:val="none"/>
          <w:lang w:val="zh-CN"/>
        </w:rPr>
        <w:t>本文件中打“</w:t>
      </w:r>
      <w:r>
        <w:rPr>
          <w:rFonts w:hint="eastAsia" w:ascii="宋体" w:hAnsi="宋体"/>
          <w:b/>
          <w:bCs/>
          <w:iCs/>
          <w:color w:val="auto"/>
          <w:sz w:val="24"/>
          <w:highlight w:val="none"/>
        </w:rPr>
        <w:t>★</w:t>
      </w:r>
      <w:r>
        <w:rPr>
          <w:rFonts w:hint="eastAsia" w:ascii="宋体" w:hAnsi="宋体"/>
          <w:b/>
          <w:bCs/>
          <w:iCs/>
          <w:color w:val="auto"/>
          <w:sz w:val="24"/>
          <w:highlight w:val="none"/>
          <w:lang w:val="zh-CN"/>
        </w:rPr>
        <w:t>”内容为实质性要求。</w:t>
      </w:r>
    </w:p>
    <w:p w14:paraId="7044AFB8">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21.1.3 未通过资格审查或符合性审查的供应商，磋商小组将通过苏采云系统告知具体原因，评审结束后将不再接受有关询问。</w:t>
      </w:r>
    </w:p>
    <w:p w14:paraId="371C4D6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szCs w:val="21"/>
          <w:highlight w:val="none"/>
        </w:rPr>
        <w:t>21.2 在详细评审之前，磋商小组将首先审查每份响应文件是否实质性响应了磋商文件的要求。实质性响应的响应文件应该是与磋商文件要求的条款、条件和规格相符，没有重大偏离或保留的文件。</w:t>
      </w:r>
    </w:p>
    <w:p w14:paraId="2BBE2F05">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所谓重大偏离或保留是指与磋商文件规定的实质性要求存在负偏离，或者在实质上与磋商文件不一致，而且限制了合同中</w:t>
      </w:r>
      <w:r>
        <w:rPr>
          <w:rFonts w:hint="eastAsia" w:ascii="宋体" w:hAnsi="宋体"/>
          <w:color w:val="auto"/>
          <w:sz w:val="24"/>
          <w:highlight w:val="none"/>
        </w:rPr>
        <w:t>采购人</w:t>
      </w:r>
      <w:r>
        <w:rPr>
          <w:rFonts w:hint="eastAsia" w:ascii="宋体" w:hAnsi="宋体"/>
          <w:color w:val="auto"/>
          <w:sz w:val="24"/>
          <w:highlight w:val="none"/>
          <w:lang w:val="zh-CN"/>
        </w:rPr>
        <w:t>的权利或供应商的义务，纠正这些偏离或保留将会对其他实质性响应的供应商产生不公正的影响。重大偏离的认定</w:t>
      </w:r>
      <w:r>
        <w:rPr>
          <w:rFonts w:hint="eastAsia" w:ascii="宋体" w:hAnsi="宋体"/>
          <w:color w:val="auto"/>
          <w:sz w:val="24"/>
          <w:highlight w:val="none"/>
        </w:rPr>
        <w:t>由</w:t>
      </w:r>
      <w:r>
        <w:rPr>
          <w:rFonts w:hint="eastAsia" w:ascii="宋体" w:hAnsi="宋体"/>
          <w:color w:val="auto"/>
          <w:sz w:val="24"/>
          <w:highlight w:val="none"/>
          <w:lang w:val="zh-CN"/>
        </w:rPr>
        <w:t>磋商小组</w:t>
      </w:r>
      <w:r>
        <w:rPr>
          <w:rFonts w:hint="eastAsia" w:ascii="宋体" w:hAnsi="宋体"/>
          <w:color w:val="auto"/>
          <w:sz w:val="24"/>
          <w:highlight w:val="none"/>
        </w:rPr>
        <w:t>按照</w:t>
      </w:r>
      <w:r>
        <w:rPr>
          <w:rFonts w:hint="eastAsia" w:ascii="宋体" w:hAnsi="宋体"/>
          <w:color w:val="auto"/>
          <w:sz w:val="24"/>
          <w:highlight w:val="none"/>
          <w:lang w:val="zh-CN"/>
        </w:rPr>
        <w:t>少数服从多数的原则作出结论。</w:t>
      </w:r>
      <w:r>
        <w:rPr>
          <w:rFonts w:hint="eastAsia" w:ascii="宋体" w:hAnsi="宋体"/>
          <w:color w:val="auto"/>
          <w:sz w:val="24"/>
          <w:szCs w:val="21"/>
          <w:highlight w:val="none"/>
        </w:rPr>
        <w:t>磋商小组</w:t>
      </w:r>
      <w:r>
        <w:rPr>
          <w:rFonts w:hint="eastAsia" w:ascii="宋体" w:hAnsi="宋体"/>
          <w:color w:val="auto"/>
          <w:sz w:val="24"/>
          <w:highlight w:val="none"/>
        </w:rPr>
        <w:t>认</w:t>
      </w:r>
      <w:r>
        <w:rPr>
          <w:rFonts w:hint="eastAsia" w:ascii="宋体" w:hAnsi="宋体"/>
          <w:color w:val="auto"/>
          <w:sz w:val="24"/>
          <w:highlight w:val="none"/>
          <w:lang w:val="zh-CN"/>
        </w:rPr>
        <w:t>定响应文件的响应性只根据响应文件本身的内容，而不寻求外部的证据。</w:t>
      </w:r>
    </w:p>
    <w:p w14:paraId="2A0C369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21.3 如果响应文件实质上没有响应磋商文件的要求，磋商小组将予以拒绝，供应商不得通过修改或撤销不符合要求的偏离或保留而使其成为实质性响应的文件。</w:t>
      </w:r>
    </w:p>
    <w:p w14:paraId="3A741C1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21.4 供应商在项目评审全过程中应保持通讯畅通，</w:t>
      </w:r>
      <w:r>
        <w:rPr>
          <w:rFonts w:hint="eastAsia" w:ascii="宋体" w:hAnsi="宋体"/>
          <w:color w:val="auto"/>
          <w:sz w:val="24"/>
          <w:highlight w:val="none"/>
          <w:lang w:val="zh-CN"/>
        </w:rPr>
        <w:t>及时登录苏采云系统查阅、答复相关信息。</w:t>
      </w:r>
    </w:p>
    <w:p w14:paraId="02E0CBE8">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w:t>
      </w:r>
      <w:r>
        <w:rPr>
          <w:rFonts w:hint="eastAsia" w:ascii="宋体" w:hAnsi="宋体"/>
          <w:color w:val="auto"/>
          <w:sz w:val="24"/>
          <w:highlight w:val="none"/>
        </w:rPr>
        <w:t xml:space="preserve">5 </w:t>
      </w:r>
      <w:r>
        <w:rPr>
          <w:rFonts w:hint="eastAsia" w:ascii="宋体" w:hAnsi="宋体"/>
          <w:color w:val="auto"/>
          <w:sz w:val="24"/>
          <w:highlight w:val="none"/>
          <w:lang w:val="zh-CN"/>
        </w:rPr>
        <w:t>异常低价审查</w:t>
      </w:r>
    </w:p>
    <w:p w14:paraId="0827C1DE">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评</w:t>
      </w:r>
      <w:r>
        <w:rPr>
          <w:rFonts w:hint="eastAsia" w:ascii="宋体" w:hAnsi="宋体"/>
          <w:color w:val="auto"/>
          <w:sz w:val="24"/>
          <w:highlight w:val="none"/>
        </w:rPr>
        <w:t>审</w:t>
      </w:r>
      <w:r>
        <w:rPr>
          <w:rFonts w:hint="eastAsia" w:ascii="宋体" w:hAnsi="宋体"/>
          <w:color w:val="auto"/>
          <w:sz w:val="24"/>
          <w:highlight w:val="none"/>
          <w:lang w:val="zh-CN"/>
        </w:rPr>
        <w:t>过程中出现下列情形之一的，</w:t>
      </w:r>
      <w:r>
        <w:rPr>
          <w:rFonts w:hint="eastAsia" w:ascii="宋体" w:hAnsi="宋体"/>
          <w:color w:val="auto"/>
          <w:sz w:val="24"/>
          <w:szCs w:val="21"/>
          <w:highlight w:val="none"/>
        </w:rPr>
        <w:t>磋商小组</w:t>
      </w:r>
      <w:r>
        <w:rPr>
          <w:rFonts w:hint="eastAsia" w:ascii="宋体" w:hAnsi="宋体"/>
          <w:color w:val="auto"/>
          <w:sz w:val="24"/>
          <w:highlight w:val="none"/>
          <w:lang w:val="zh-CN"/>
        </w:rPr>
        <w:t>应当启动异常低价审查程序：</w:t>
      </w:r>
    </w:p>
    <w:p w14:paraId="2CB5E60F">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highlight w:val="none"/>
          <w:lang w:val="zh-CN"/>
        </w:rPr>
        <w:t>（1）</w:t>
      </w:r>
      <w:r>
        <w:rPr>
          <w:rFonts w:hint="eastAsia" w:ascii="宋体" w:hAnsi="宋体"/>
          <w:color w:val="auto"/>
          <w:sz w:val="24"/>
          <w:szCs w:val="21"/>
          <w:highlight w:val="none"/>
        </w:rPr>
        <w:t>报价</w:t>
      </w:r>
      <w:r>
        <w:rPr>
          <w:rFonts w:hint="eastAsia" w:ascii="宋体" w:hAnsi="宋体"/>
          <w:color w:val="auto"/>
          <w:sz w:val="24"/>
          <w:highlight w:val="none"/>
          <w:lang w:val="zh-CN"/>
        </w:rPr>
        <w:t>低于全部</w:t>
      </w:r>
      <w:r>
        <w:rPr>
          <w:rFonts w:hint="eastAsia" w:ascii="宋体" w:hAnsi="宋体"/>
          <w:color w:val="auto"/>
          <w:sz w:val="24"/>
          <w:szCs w:val="21"/>
          <w:highlight w:val="none"/>
          <w:lang w:val="zh-CN"/>
        </w:rPr>
        <w:t>通过符合性审查供应商</w:t>
      </w:r>
      <w:r>
        <w:rPr>
          <w:rFonts w:hint="eastAsia" w:ascii="宋体" w:hAnsi="宋体"/>
          <w:color w:val="auto"/>
          <w:sz w:val="24"/>
          <w:szCs w:val="21"/>
          <w:highlight w:val="none"/>
        </w:rPr>
        <w:t>报价</w:t>
      </w:r>
      <w:r>
        <w:rPr>
          <w:rFonts w:hint="eastAsia" w:ascii="宋体" w:hAnsi="宋体"/>
          <w:color w:val="auto"/>
          <w:sz w:val="24"/>
          <w:szCs w:val="21"/>
          <w:highlight w:val="none"/>
          <w:lang w:val="zh-CN"/>
        </w:rPr>
        <w:t>平均值</w:t>
      </w:r>
      <w:r>
        <w:rPr>
          <w:rFonts w:hint="eastAsia" w:ascii="宋体" w:hAnsi="宋体"/>
          <w:color w:val="auto"/>
          <w:sz w:val="24"/>
          <w:szCs w:val="21"/>
          <w:highlight w:val="none"/>
          <w:lang w:val="en-US" w:eastAsia="zh-CN"/>
        </w:rPr>
        <w:t>60</w:t>
      </w:r>
      <w:r>
        <w:rPr>
          <w:rFonts w:hint="eastAsia" w:ascii="宋体" w:hAnsi="宋体"/>
          <w:color w:val="auto"/>
          <w:sz w:val="24"/>
          <w:szCs w:val="21"/>
          <w:highlight w:val="none"/>
          <w:lang w:val="zh-CN"/>
        </w:rPr>
        <w:t>%的，即</w:t>
      </w:r>
      <w:r>
        <w:rPr>
          <w:rFonts w:hint="eastAsia" w:ascii="宋体" w:hAnsi="宋体"/>
          <w:color w:val="auto"/>
          <w:sz w:val="24"/>
          <w:szCs w:val="21"/>
          <w:highlight w:val="none"/>
        </w:rPr>
        <w:t>报价</w:t>
      </w:r>
      <w:r>
        <w:rPr>
          <w:rFonts w:hint="eastAsia" w:ascii="宋体" w:hAnsi="宋体"/>
          <w:color w:val="auto"/>
          <w:sz w:val="24"/>
          <w:szCs w:val="21"/>
          <w:highlight w:val="none"/>
          <w:lang w:val="zh-CN"/>
        </w:rPr>
        <w:t>&lt;全部通过符合性审查供应商</w:t>
      </w:r>
      <w:r>
        <w:rPr>
          <w:rFonts w:hint="eastAsia" w:ascii="宋体" w:hAnsi="宋体"/>
          <w:color w:val="auto"/>
          <w:sz w:val="24"/>
          <w:szCs w:val="21"/>
          <w:highlight w:val="none"/>
        </w:rPr>
        <w:t>报价</w:t>
      </w:r>
      <w:r>
        <w:rPr>
          <w:rFonts w:hint="eastAsia" w:ascii="宋体" w:hAnsi="宋体"/>
          <w:color w:val="auto"/>
          <w:sz w:val="24"/>
          <w:szCs w:val="21"/>
          <w:highlight w:val="none"/>
          <w:lang w:val="zh-CN"/>
        </w:rPr>
        <w:t>平均值×</w:t>
      </w:r>
      <w:r>
        <w:rPr>
          <w:rFonts w:hint="eastAsia" w:ascii="宋体" w:hAnsi="宋体"/>
          <w:color w:val="auto"/>
          <w:sz w:val="24"/>
          <w:szCs w:val="21"/>
          <w:highlight w:val="none"/>
          <w:lang w:val="en-US" w:eastAsia="zh-CN"/>
        </w:rPr>
        <w:t>60</w:t>
      </w:r>
      <w:r>
        <w:rPr>
          <w:rFonts w:hint="eastAsia" w:ascii="宋体" w:hAnsi="宋体"/>
          <w:color w:val="auto"/>
          <w:sz w:val="24"/>
          <w:szCs w:val="21"/>
          <w:highlight w:val="none"/>
          <w:lang w:val="zh-CN"/>
        </w:rPr>
        <w:t>%；</w:t>
      </w:r>
    </w:p>
    <w:p w14:paraId="4F8707F2">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（2）</w:t>
      </w:r>
      <w:r>
        <w:rPr>
          <w:rFonts w:hint="eastAsia" w:ascii="宋体" w:hAnsi="宋体"/>
          <w:color w:val="auto"/>
          <w:sz w:val="24"/>
          <w:szCs w:val="21"/>
          <w:highlight w:val="none"/>
        </w:rPr>
        <w:t>报价</w:t>
      </w:r>
      <w:r>
        <w:rPr>
          <w:rFonts w:hint="eastAsia" w:ascii="宋体" w:hAnsi="宋体"/>
          <w:color w:val="auto"/>
          <w:sz w:val="24"/>
          <w:szCs w:val="21"/>
          <w:highlight w:val="none"/>
          <w:lang w:val="zh-CN"/>
        </w:rPr>
        <w:t>低于通过符合性审查的次低报价供应商</w:t>
      </w:r>
      <w:r>
        <w:rPr>
          <w:rFonts w:hint="eastAsia" w:ascii="宋体" w:hAnsi="宋体"/>
          <w:color w:val="auto"/>
          <w:sz w:val="24"/>
          <w:szCs w:val="21"/>
          <w:highlight w:val="none"/>
        </w:rPr>
        <w:t>报价</w:t>
      </w:r>
      <w:r>
        <w:rPr>
          <w:rFonts w:hint="eastAsia" w:ascii="宋体" w:hAnsi="宋体"/>
          <w:color w:val="auto"/>
          <w:sz w:val="24"/>
          <w:szCs w:val="21"/>
          <w:highlight w:val="none"/>
          <w:lang w:val="en-US" w:eastAsia="zh-CN"/>
        </w:rPr>
        <w:t>60</w:t>
      </w:r>
      <w:r>
        <w:rPr>
          <w:rFonts w:hint="eastAsia" w:ascii="宋体" w:hAnsi="宋体"/>
          <w:color w:val="auto"/>
          <w:sz w:val="24"/>
          <w:szCs w:val="21"/>
          <w:highlight w:val="none"/>
          <w:lang w:val="zh-CN"/>
        </w:rPr>
        <w:t>%的，即</w:t>
      </w:r>
      <w:r>
        <w:rPr>
          <w:rFonts w:hint="eastAsia" w:ascii="宋体" w:hAnsi="宋体"/>
          <w:color w:val="auto"/>
          <w:sz w:val="24"/>
          <w:szCs w:val="21"/>
          <w:highlight w:val="none"/>
        </w:rPr>
        <w:t>报价</w:t>
      </w:r>
      <w:r>
        <w:rPr>
          <w:rFonts w:hint="eastAsia" w:ascii="宋体" w:hAnsi="宋体"/>
          <w:color w:val="auto"/>
          <w:sz w:val="24"/>
          <w:szCs w:val="21"/>
          <w:highlight w:val="none"/>
          <w:lang w:val="zh-CN"/>
        </w:rPr>
        <w:t>&lt;通过符合性审查的次低报价供应商</w:t>
      </w:r>
      <w:r>
        <w:rPr>
          <w:rFonts w:hint="eastAsia" w:ascii="宋体" w:hAnsi="宋体"/>
          <w:color w:val="auto"/>
          <w:sz w:val="24"/>
          <w:szCs w:val="21"/>
          <w:highlight w:val="none"/>
        </w:rPr>
        <w:t>报价</w:t>
      </w:r>
      <w:r>
        <w:rPr>
          <w:rFonts w:hint="eastAsia" w:ascii="宋体" w:hAnsi="宋体"/>
          <w:color w:val="auto"/>
          <w:sz w:val="24"/>
          <w:szCs w:val="21"/>
          <w:highlight w:val="none"/>
          <w:lang w:val="zh-CN"/>
        </w:rPr>
        <w:t>×</w:t>
      </w:r>
      <w:r>
        <w:rPr>
          <w:rFonts w:hint="eastAsia" w:ascii="宋体" w:hAnsi="宋体"/>
          <w:color w:val="auto"/>
          <w:sz w:val="24"/>
          <w:szCs w:val="21"/>
          <w:highlight w:val="none"/>
          <w:lang w:val="en-US" w:eastAsia="zh-CN"/>
        </w:rPr>
        <w:t>60</w:t>
      </w:r>
      <w:r>
        <w:rPr>
          <w:rFonts w:hint="eastAsia" w:ascii="宋体" w:hAnsi="宋体"/>
          <w:color w:val="auto"/>
          <w:sz w:val="24"/>
          <w:szCs w:val="21"/>
          <w:highlight w:val="none"/>
          <w:lang w:val="zh-CN"/>
        </w:rPr>
        <w:t>%；</w:t>
      </w:r>
    </w:p>
    <w:p w14:paraId="40C7A8BF">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（3）</w:t>
      </w:r>
      <w:r>
        <w:rPr>
          <w:rFonts w:hint="eastAsia" w:ascii="宋体" w:hAnsi="宋体"/>
          <w:color w:val="auto"/>
          <w:sz w:val="24"/>
          <w:szCs w:val="21"/>
          <w:highlight w:val="none"/>
        </w:rPr>
        <w:t>报价</w:t>
      </w:r>
      <w:r>
        <w:rPr>
          <w:rFonts w:hint="eastAsia" w:ascii="宋体" w:hAnsi="宋体"/>
          <w:color w:val="auto"/>
          <w:sz w:val="24"/>
          <w:szCs w:val="21"/>
          <w:highlight w:val="none"/>
          <w:lang w:val="zh-CN"/>
        </w:rPr>
        <w:t>低于采购项目最高限价</w:t>
      </w:r>
      <w:r>
        <w:rPr>
          <w:rFonts w:hint="eastAsia" w:ascii="宋体" w:hAnsi="宋体"/>
          <w:color w:val="auto"/>
          <w:sz w:val="24"/>
          <w:szCs w:val="21"/>
          <w:highlight w:val="none"/>
        </w:rPr>
        <w:t>6</w:t>
      </w:r>
      <w:r>
        <w:rPr>
          <w:rFonts w:hint="eastAsia" w:ascii="宋体" w:hAnsi="宋体"/>
          <w:color w:val="auto"/>
          <w:sz w:val="24"/>
          <w:szCs w:val="21"/>
          <w:highlight w:val="none"/>
          <w:lang w:val="en-US" w:eastAsia="zh-CN"/>
        </w:rPr>
        <w:t>0</w:t>
      </w:r>
      <w:r>
        <w:rPr>
          <w:rFonts w:hint="eastAsia" w:ascii="宋体" w:hAnsi="宋体"/>
          <w:color w:val="auto"/>
          <w:sz w:val="24"/>
          <w:szCs w:val="21"/>
          <w:highlight w:val="none"/>
          <w:lang w:val="zh-CN"/>
        </w:rPr>
        <w:t>%的，即</w:t>
      </w:r>
      <w:r>
        <w:rPr>
          <w:rFonts w:hint="eastAsia" w:ascii="宋体" w:hAnsi="宋体"/>
          <w:color w:val="auto"/>
          <w:sz w:val="24"/>
          <w:szCs w:val="21"/>
          <w:highlight w:val="none"/>
        </w:rPr>
        <w:t>报价</w:t>
      </w:r>
      <w:r>
        <w:rPr>
          <w:rFonts w:hint="eastAsia" w:ascii="宋体" w:hAnsi="宋体"/>
          <w:color w:val="auto"/>
          <w:sz w:val="24"/>
          <w:szCs w:val="21"/>
          <w:highlight w:val="none"/>
          <w:lang w:val="zh-CN"/>
        </w:rPr>
        <w:t>&lt;采购项目最高限价×</w:t>
      </w:r>
      <w:r>
        <w:rPr>
          <w:rFonts w:hint="eastAsia" w:ascii="宋体" w:hAnsi="宋体"/>
          <w:color w:val="auto"/>
          <w:sz w:val="24"/>
          <w:szCs w:val="21"/>
          <w:highlight w:val="none"/>
        </w:rPr>
        <w:t>6</w:t>
      </w:r>
      <w:r>
        <w:rPr>
          <w:rFonts w:hint="eastAsia" w:ascii="宋体" w:hAnsi="宋体"/>
          <w:color w:val="auto"/>
          <w:sz w:val="24"/>
          <w:szCs w:val="21"/>
          <w:highlight w:val="none"/>
          <w:lang w:val="en-US" w:eastAsia="zh-CN"/>
        </w:rPr>
        <w:t>0</w:t>
      </w:r>
      <w:r>
        <w:rPr>
          <w:rFonts w:hint="eastAsia" w:ascii="宋体" w:hAnsi="宋体"/>
          <w:color w:val="auto"/>
          <w:sz w:val="24"/>
          <w:szCs w:val="21"/>
          <w:highlight w:val="none"/>
          <w:lang w:val="zh-CN"/>
        </w:rPr>
        <w:t>%；</w:t>
      </w:r>
    </w:p>
    <w:p w14:paraId="59A4F645">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（4）</w:t>
      </w:r>
      <w:r>
        <w:rPr>
          <w:rFonts w:hint="eastAsia" w:ascii="宋体" w:hAnsi="宋体"/>
          <w:color w:val="auto"/>
          <w:sz w:val="24"/>
          <w:szCs w:val="21"/>
          <w:highlight w:val="none"/>
        </w:rPr>
        <w:t>磋商小组</w:t>
      </w:r>
      <w:r>
        <w:rPr>
          <w:rFonts w:hint="eastAsia" w:ascii="宋体" w:hAnsi="宋体"/>
          <w:color w:val="auto"/>
          <w:sz w:val="24"/>
          <w:szCs w:val="21"/>
          <w:highlight w:val="none"/>
          <w:lang w:val="zh-CN"/>
        </w:rPr>
        <w:t>基于专业判断，认为供应商</w:t>
      </w:r>
      <w:r>
        <w:rPr>
          <w:rFonts w:hint="eastAsia" w:ascii="宋体" w:hAnsi="宋体"/>
          <w:color w:val="auto"/>
          <w:sz w:val="24"/>
          <w:szCs w:val="21"/>
          <w:highlight w:val="none"/>
        </w:rPr>
        <w:t>报价</w:t>
      </w:r>
      <w:r>
        <w:rPr>
          <w:rFonts w:hint="eastAsia" w:ascii="宋体" w:hAnsi="宋体"/>
          <w:color w:val="auto"/>
          <w:sz w:val="24"/>
          <w:szCs w:val="21"/>
          <w:highlight w:val="none"/>
          <w:lang w:val="zh-CN"/>
        </w:rPr>
        <w:t>过低，有可能影响产品质量或者不能诚信履约的其他情形。</w:t>
      </w:r>
    </w:p>
    <w:p w14:paraId="6106F0B1">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szCs w:val="21"/>
          <w:highlight w:val="none"/>
        </w:rPr>
        <w:t>磋商小组</w:t>
      </w:r>
      <w:r>
        <w:rPr>
          <w:rFonts w:hint="eastAsia" w:ascii="宋体" w:hAnsi="宋体"/>
          <w:color w:val="auto"/>
          <w:sz w:val="24"/>
          <w:highlight w:val="none"/>
          <w:lang w:val="zh-CN"/>
        </w:rPr>
        <w:t>启动异常低价审查后，属于前述第（1）项至第（4）项情形的，应当要求相关供应商在评审现场合理的时间内对</w:t>
      </w:r>
      <w:r>
        <w:rPr>
          <w:rFonts w:hint="eastAsia" w:ascii="宋体" w:hAnsi="宋体"/>
          <w:color w:val="auto"/>
          <w:sz w:val="24"/>
          <w:szCs w:val="21"/>
          <w:highlight w:val="none"/>
        </w:rPr>
        <w:t>报价</w:t>
      </w:r>
      <w:r>
        <w:rPr>
          <w:rFonts w:hint="eastAsia" w:ascii="宋体" w:hAnsi="宋体"/>
          <w:color w:val="auto"/>
          <w:sz w:val="24"/>
          <w:highlight w:val="none"/>
          <w:lang w:val="zh-CN"/>
        </w:rPr>
        <w:t>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olor w:val="auto"/>
          <w:sz w:val="24"/>
          <w:highlight w:val="none"/>
        </w:rPr>
        <w:t>响应</w:t>
      </w:r>
      <w:r>
        <w:rPr>
          <w:rFonts w:hint="eastAsia" w:ascii="宋体" w:hAnsi="宋体"/>
          <w:color w:val="auto"/>
          <w:sz w:val="24"/>
          <w:highlight w:val="none"/>
          <w:lang w:val="zh-CN"/>
        </w:rPr>
        <w:t>文件一并提交相关书面说明及必要的证明材料的，在评</w:t>
      </w:r>
      <w:r>
        <w:rPr>
          <w:rFonts w:hint="eastAsia" w:ascii="宋体" w:hAnsi="宋体"/>
          <w:color w:val="auto"/>
          <w:sz w:val="24"/>
          <w:highlight w:val="none"/>
        </w:rPr>
        <w:t>审</w:t>
      </w:r>
      <w:r>
        <w:rPr>
          <w:rFonts w:hint="eastAsia" w:ascii="宋体" w:hAnsi="宋体"/>
          <w:color w:val="auto"/>
          <w:sz w:val="24"/>
          <w:highlight w:val="none"/>
          <w:lang w:val="zh-CN"/>
        </w:rPr>
        <w:t>现场可不再重复提交。</w:t>
      </w:r>
    </w:p>
    <w:p w14:paraId="7D37B12D">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szCs w:val="21"/>
          <w:highlight w:val="none"/>
        </w:rPr>
        <w:t>磋商小组</w:t>
      </w:r>
      <w:r>
        <w:rPr>
          <w:rFonts w:hint="eastAsia" w:ascii="宋体" w:hAnsi="宋体"/>
          <w:color w:val="auto"/>
          <w:sz w:val="24"/>
          <w:highlight w:val="none"/>
          <w:lang w:val="zh-CN"/>
        </w:rPr>
        <w:t>依据专业经验，参考同类项目</w:t>
      </w:r>
      <w:r>
        <w:rPr>
          <w:rFonts w:hint="eastAsia" w:ascii="宋体" w:hAnsi="宋体"/>
          <w:color w:val="auto"/>
          <w:sz w:val="24"/>
          <w:highlight w:val="none"/>
        </w:rPr>
        <w:t>成交</w:t>
      </w:r>
      <w:r>
        <w:rPr>
          <w:rFonts w:hint="eastAsia" w:ascii="宋体" w:hAnsi="宋体"/>
          <w:color w:val="auto"/>
          <w:sz w:val="24"/>
          <w:highlight w:val="none"/>
          <w:lang w:val="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highlight w:val="none"/>
        </w:rPr>
        <w:t>磋商小组</w:t>
      </w:r>
      <w:r>
        <w:rPr>
          <w:rFonts w:hint="eastAsia" w:ascii="宋体" w:hAnsi="宋体"/>
          <w:color w:val="auto"/>
          <w:sz w:val="24"/>
          <w:highlight w:val="none"/>
          <w:lang w:val="zh-CN"/>
        </w:rPr>
        <w:t>应当将其作为</w:t>
      </w:r>
      <w:r>
        <w:rPr>
          <w:rFonts w:hint="eastAsia" w:ascii="宋体" w:hAnsi="宋体"/>
          <w:color w:val="auto"/>
          <w:sz w:val="24"/>
          <w:highlight w:val="none"/>
        </w:rPr>
        <w:t>未实质性响应磋商文件</w:t>
      </w:r>
      <w:r>
        <w:rPr>
          <w:rFonts w:hint="eastAsia" w:ascii="宋体" w:hAnsi="宋体"/>
          <w:color w:val="auto"/>
          <w:sz w:val="24"/>
          <w:highlight w:val="none"/>
          <w:lang w:val="zh-CN"/>
        </w:rPr>
        <w:t>处理。</w:t>
      </w:r>
    </w:p>
    <w:p w14:paraId="6A00277F">
      <w:pPr>
        <w:adjustRightInd w:val="0"/>
        <w:snapToGrid w:val="0"/>
        <w:spacing w:line="360" w:lineRule="auto"/>
        <w:ind w:firstLine="455" w:firstLineChars="175"/>
        <w:rPr>
          <w:rFonts w:ascii="方正楷体_GBK" w:hAnsi="方正楷体_GBK" w:eastAsia="方正楷体_GBK" w:cs="方正楷体_GBK"/>
          <w:b/>
          <w:bCs/>
          <w:color w:val="auto"/>
          <w:sz w:val="26"/>
          <w:szCs w:val="26"/>
          <w:highlight w:val="none"/>
        </w:rPr>
      </w:pPr>
      <w:r>
        <w:rPr>
          <w:rFonts w:hint="eastAsia" w:ascii="方正楷体_GBK" w:hAnsi="方正楷体_GBK" w:eastAsia="方正楷体_GBK" w:cs="方正楷体_GBK"/>
          <w:b/>
          <w:bCs/>
          <w:color w:val="auto"/>
          <w:sz w:val="26"/>
          <w:szCs w:val="26"/>
          <w:highlight w:val="none"/>
        </w:rPr>
        <w:t>22.无效响应</w:t>
      </w:r>
    </w:p>
    <w:p w14:paraId="32AAD27A">
      <w:pPr>
        <w:adjustRightInd w:val="0"/>
        <w:snapToGrid w:val="0"/>
        <w:spacing w:line="360" w:lineRule="auto"/>
        <w:ind w:firstLine="422" w:firstLineChars="175"/>
        <w:rPr>
          <w:rFonts w:ascii="宋体" w:hAnsi="宋体"/>
          <w:color w:val="auto"/>
          <w:sz w:val="24"/>
          <w:szCs w:val="21"/>
          <w:highlight w:val="none"/>
        </w:rPr>
      </w:pPr>
      <w:r>
        <w:rPr>
          <w:rFonts w:hint="eastAsia" w:ascii="宋体" w:hAnsi="宋体"/>
          <w:b/>
          <w:bCs/>
          <w:color w:val="auto"/>
          <w:sz w:val="24"/>
          <w:highlight w:val="none"/>
          <w:lang w:val="zh-CN"/>
        </w:rPr>
        <w:t>2</w:t>
      </w:r>
      <w:r>
        <w:rPr>
          <w:rFonts w:hint="eastAsia" w:ascii="宋体" w:hAnsi="宋体"/>
          <w:b/>
          <w:bCs/>
          <w:color w:val="auto"/>
          <w:sz w:val="24"/>
          <w:highlight w:val="none"/>
        </w:rPr>
        <w:t>2</w:t>
      </w:r>
      <w:r>
        <w:rPr>
          <w:rFonts w:hint="eastAsia" w:ascii="宋体" w:hAnsi="宋体"/>
          <w:b/>
          <w:bCs/>
          <w:color w:val="auto"/>
          <w:sz w:val="24"/>
          <w:highlight w:val="none"/>
          <w:lang w:val="zh-CN"/>
        </w:rPr>
        <w:t>.1</w:t>
      </w:r>
      <w:r>
        <w:rPr>
          <w:rFonts w:hint="eastAsia" w:ascii="宋体" w:hAnsi="宋体"/>
          <w:b/>
          <w:bCs/>
          <w:color w:val="auto"/>
          <w:sz w:val="24"/>
          <w:highlight w:val="none"/>
        </w:rPr>
        <w:t xml:space="preserve"> </w:t>
      </w:r>
      <w:r>
        <w:rPr>
          <w:rFonts w:hint="eastAsia" w:ascii="宋体" w:hAnsi="宋体"/>
          <w:b/>
          <w:bCs/>
          <w:color w:val="auto"/>
          <w:sz w:val="24"/>
          <w:highlight w:val="none"/>
          <w:lang w:val="zh-CN"/>
        </w:rPr>
        <w:t>无效</w:t>
      </w:r>
      <w:r>
        <w:rPr>
          <w:rFonts w:hint="eastAsia" w:ascii="宋体" w:hAnsi="宋体"/>
          <w:b/>
          <w:bCs/>
          <w:color w:val="auto"/>
          <w:sz w:val="24"/>
          <w:highlight w:val="none"/>
        </w:rPr>
        <w:t>响应</w:t>
      </w:r>
      <w:r>
        <w:rPr>
          <w:rFonts w:hint="eastAsia" w:ascii="宋体" w:hAnsi="宋体"/>
          <w:b/>
          <w:bCs/>
          <w:color w:val="auto"/>
          <w:sz w:val="24"/>
          <w:highlight w:val="none"/>
          <w:lang w:val="zh-CN"/>
        </w:rPr>
        <w:t>情形</w:t>
      </w:r>
    </w:p>
    <w:p w14:paraId="47A4161B">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szCs w:val="21"/>
          <w:highlight w:val="none"/>
        </w:rPr>
        <w:t>22.1.1 未在</w:t>
      </w:r>
      <w:r>
        <w:rPr>
          <w:rFonts w:hint="eastAsia" w:ascii="宋体" w:hAnsi="宋体"/>
          <w:color w:val="auto"/>
          <w:sz w:val="24"/>
          <w:highlight w:val="none"/>
        </w:rPr>
        <w:t>磋商</w:t>
      </w:r>
      <w:r>
        <w:rPr>
          <w:rFonts w:hint="eastAsia" w:ascii="宋体" w:hAnsi="宋体"/>
          <w:color w:val="auto"/>
          <w:sz w:val="24"/>
          <w:highlight w:val="none"/>
          <w:lang w:val="zh-CN"/>
        </w:rPr>
        <w:t>文件</w:t>
      </w:r>
      <w:r>
        <w:rPr>
          <w:rFonts w:hint="eastAsia" w:ascii="宋体" w:hAnsi="宋体"/>
          <w:color w:val="auto"/>
          <w:sz w:val="24"/>
          <w:highlight w:val="none"/>
        </w:rPr>
        <w:t>规定时间内</w:t>
      </w:r>
      <w:r>
        <w:rPr>
          <w:rFonts w:hint="eastAsia" w:ascii="宋体" w:hAnsi="宋体"/>
          <w:color w:val="auto"/>
          <w:sz w:val="24"/>
          <w:highlight w:val="none"/>
          <w:lang w:val="zh-CN"/>
        </w:rPr>
        <w:t>上传电子</w:t>
      </w:r>
      <w:r>
        <w:rPr>
          <w:rFonts w:hint="eastAsia" w:ascii="宋体" w:hAnsi="宋体"/>
          <w:color w:val="auto"/>
          <w:sz w:val="24"/>
          <w:highlight w:val="none"/>
        </w:rPr>
        <w:t>响应</w:t>
      </w:r>
      <w:r>
        <w:rPr>
          <w:rFonts w:hint="eastAsia" w:ascii="宋体" w:hAnsi="宋体"/>
          <w:color w:val="auto"/>
          <w:sz w:val="24"/>
          <w:highlight w:val="none"/>
          <w:lang w:val="zh-CN"/>
        </w:rPr>
        <w:t>文件。</w:t>
      </w:r>
    </w:p>
    <w:p w14:paraId="76E2AA3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22.1.2 未在苏采云系统规定的时间内成功解密电子响应文件。</w:t>
      </w:r>
    </w:p>
    <w:p w14:paraId="7A1D14E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22.1.3 同一供应商提交两个（含两个）以上不同的响应文件或者报价</w:t>
      </w:r>
      <w:r>
        <w:rPr>
          <w:rFonts w:hint="eastAsia" w:ascii="宋体" w:hAnsi="宋体"/>
          <w:color w:val="auto"/>
          <w:sz w:val="24"/>
          <w:highlight w:val="none"/>
          <w:lang w:val="zh-CN"/>
        </w:rPr>
        <w:t>（</w:t>
      </w:r>
      <w:r>
        <w:rPr>
          <w:rFonts w:hint="eastAsia" w:ascii="宋体" w:hAnsi="宋体"/>
          <w:color w:val="auto"/>
          <w:sz w:val="24"/>
          <w:highlight w:val="none"/>
        </w:rPr>
        <w:t>磋商文件另有约定的除外</w:t>
      </w:r>
      <w:r>
        <w:rPr>
          <w:rFonts w:hint="eastAsia" w:ascii="宋体" w:hAnsi="宋体"/>
          <w:color w:val="auto"/>
          <w:sz w:val="24"/>
          <w:highlight w:val="none"/>
          <w:lang w:val="zh-CN"/>
        </w:rPr>
        <w:t>）</w:t>
      </w:r>
      <w:r>
        <w:rPr>
          <w:rFonts w:hint="eastAsia" w:ascii="宋体" w:hAnsi="宋体"/>
          <w:color w:val="auto"/>
          <w:sz w:val="24"/>
          <w:szCs w:val="21"/>
          <w:highlight w:val="none"/>
        </w:rPr>
        <w:t>。</w:t>
      </w:r>
    </w:p>
    <w:p w14:paraId="3940162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22.1.4 供应商不具备磋商文件中规定的资格要求。</w:t>
      </w:r>
    </w:p>
    <w:p w14:paraId="6CB30CB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22.1.5 供应商的报价超过了采购预算或最高限价或单价上限。</w:t>
      </w:r>
    </w:p>
    <w:p w14:paraId="0D214B8C">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22.1.6 未通过符合性审查。</w:t>
      </w:r>
    </w:p>
    <w:p w14:paraId="507A662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22.1.7 响应文件含有采购人不能接受的附加条件。</w:t>
      </w:r>
    </w:p>
    <w:p w14:paraId="64694D10">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22.1.8 磋商小组按照本磋商文件规定对供应商进行异常低价审查后，认为供应商不能证明其报价合理性的。</w:t>
      </w:r>
    </w:p>
    <w:p w14:paraId="5AAF40B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22.1.9 响应文件未按照磋商文件要求加盖电子公章。</w:t>
      </w:r>
    </w:p>
    <w:p w14:paraId="04719D1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22.1.10 供应商串通响应。</w:t>
      </w:r>
    </w:p>
    <w:p w14:paraId="1EA5134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22.1.11 法律法规及本磋商文件规定的其他无效响应的情形。</w:t>
      </w:r>
    </w:p>
    <w:p w14:paraId="59B2E8CF">
      <w:pPr>
        <w:adjustRightInd w:val="0"/>
        <w:snapToGrid w:val="0"/>
        <w:spacing w:line="360" w:lineRule="auto"/>
        <w:ind w:firstLine="420" w:firstLineChars="175"/>
        <w:rPr>
          <w:rFonts w:ascii="宋体" w:hAnsi="宋体"/>
          <w:b/>
          <w:bCs/>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 xml:space="preserve">2 </w:t>
      </w:r>
      <w:r>
        <w:rPr>
          <w:rFonts w:hint="eastAsia" w:ascii="宋体" w:hAnsi="宋体"/>
          <w:b/>
          <w:bCs/>
          <w:color w:val="auto"/>
          <w:sz w:val="24"/>
          <w:highlight w:val="none"/>
          <w:lang w:val="zh-CN"/>
        </w:rPr>
        <w:t>有下列情形之一的视为供应商串通</w:t>
      </w:r>
      <w:r>
        <w:rPr>
          <w:rFonts w:hint="eastAsia" w:ascii="宋体" w:hAnsi="宋体"/>
          <w:b/>
          <w:bCs/>
          <w:color w:val="auto"/>
          <w:sz w:val="24"/>
          <w:highlight w:val="none"/>
        </w:rPr>
        <w:t>响应</w:t>
      </w:r>
      <w:r>
        <w:rPr>
          <w:rFonts w:hint="eastAsia" w:ascii="宋体" w:hAnsi="宋体"/>
          <w:b/>
          <w:bCs/>
          <w:color w:val="auto"/>
          <w:sz w:val="24"/>
          <w:highlight w:val="none"/>
          <w:lang w:val="zh-CN"/>
        </w:rPr>
        <w:t>：</w:t>
      </w:r>
    </w:p>
    <w:p w14:paraId="06CF0082">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rPr>
        <w:t>供应商</w:t>
      </w:r>
      <w:r>
        <w:rPr>
          <w:rFonts w:hint="eastAsia" w:ascii="宋体" w:hAnsi="宋体"/>
          <w:color w:val="auto"/>
          <w:sz w:val="24"/>
          <w:highlight w:val="none"/>
          <w:lang w:val="zh-CN"/>
        </w:rPr>
        <w:t>的</w:t>
      </w:r>
      <w:r>
        <w:rPr>
          <w:rFonts w:hint="eastAsia" w:ascii="宋体" w:hAnsi="宋体"/>
          <w:color w:val="auto"/>
          <w:sz w:val="24"/>
          <w:highlight w:val="none"/>
        </w:rPr>
        <w:t>响应</w:t>
      </w:r>
      <w:r>
        <w:rPr>
          <w:rFonts w:hint="eastAsia" w:ascii="宋体" w:hAnsi="宋体"/>
          <w:color w:val="auto"/>
          <w:sz w:val="24"/>
          <w:highlight w:val="none"/>
          <w:lang w:val="zh-CN"/>
        </w:rPr>
        <w:t>文件由同一单位或者个人编制。</w:t>
      </w:r>
    </w:p>
    <w:p w14:paraId="5FF67CA2">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rPr>
        <w:t>供应商</w:t>
      </w:r>
      <w:r>
        <w:rPr>
          <w:rFonts w:hint="eastAsia" w:ascii="宋体" w:hAnsi="宋体"/>
          <w:color w:val="auto"/>
          <w:sz w:val="24"/>
          <w:highlight w:val="none"/>
          <w:lang w:val="zh-CN"/>
        </w:rPr>
        <w:t>委托同一单位或者个人办理</w:t>
      </w:r>
      <w:r>
        <w:rPr>
          <w:rFonts w:hint="eastAsia" w:ascii="宋体" w:hAnsi="宋体"/>
          <w:color w:val="auto"/>
          <w:sz w:val="24"/>
          <w:highlight w:val="none"/>
        </w:rPr>
        <w:t>响应</w:t>
      </w:r>
      <w:r>
        <w:rPr>
          <w:rFonts w:hint="eastAsia" w:ascii="宋体" w:hAnsi="宋体"/>
          <w:color w:val="auto"/>
          <w:sz w:val="24"/>
          <w:highlight w:val="none"/>
          <w:lang w:val="zh-CN"/>
        </w:rPr>
        <w:t>事宜。</w:t>
      </w:r>
    </w:p>
    <w:p w14:paraId="30B145C5">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rPr>
        <w:t>供应商</w:t>
      </w:r>
      <w:r>
        <w:rPr>
          <w:rFonts w:hint="eastAsia" w:ascii="宋体" w:hAnsi="宋体"/>
          <w:color w:val="auto"/>
          <w:sz w:val="24"/>
          <w:highlight w:val="none"/>
          <w:lang w:val="zh-CN"/>
        </w:rPr>
        <w:t>的</w:t>
      </w:r>
      <w:r>
        <w:rPr>
          <w:rFonts w:hint="eastAsia" w:ascii="宋体" w:hAnsi="宋体"/>
          <w:color w:val="auto"/>
          <w:sz w:val="24"/>
          <w:szCs w:val="21"/>
          <w:highlight w:val="none"/>
        </w:rPr>
        <w:t>响应</w:t>
      </w:r>
      <w:r>
        <w:rPr>
          <w:rFonts w:hint="eastAsia" w:ascii="宋体" w:hAnsi="宋体"/>
          <w:color w:val="auto"/>
          <w:sz w:val="24"/>
          <w:highlight w:val="none"/>
          <w:lang w:val="zh-CN"/>
        </w:rPr>
        <w:t>文件载明的项目管理成员或者联系人员为同一人。</w:t>
      </w:r>
    </w:p>
    <w:p w14:paraId="66F4DA15">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color w:val="auto"/>
          <w:sz w:val="24"/>
          <w:highlight w:val="none"/>
          <w:lang w:val="zh-CN"/>
        </w:rPr>
        <w:t>不同</w:t>
      </w:r>
      <w:r>
        <w:rPr>
          <w:rFonts w:hint="eastAsia" w:ascii="宋体" w:hAnsi="宋体"/>
          <w:color w:val="auto"/>
          <w:sz w:val="24"/>
          <w:highlight w:val="none"/>
        </w:rPr>
        <w:t>供应商</w:t>
      </w:r>
      <w:r>
        <w:rPr>
          <w:rFonts w:hint="eastAsia" w:ascii="宋体" w:hAnsi="宋体"/>
          <w:color w:val="auto"/>
          <w:sz w:val="24"/>
          <w:highlight w:val="none"/>
          <w:lang w:val="zh-CN"/>
        </w:rPr>
        <w:t>的</w:t>
      </w:r>
      <w:r>
        <w:rPr>
          <w:rFonts w:hint="eastAsia" w:ascii="宋体" w:hAnsi="宋体"/>
          <w:color w:val="auto"/>
          <w:sz w:val="24"/>
          <w:szCs w:val="21"/>
          <w:highlight w:val="none"/>
        </w:rPr>
        <w:t>响应</w:t>
      </w:r>
      <w:r>
        <w:rPr>
          <w:rFonts w:hint="eastAsia" w:ascii="宋体" w:hAnsi="宋体"/>
          <w:color w:val="auto"/>
          <w:sz w:val="24"/>
          <w:highlight w:val="none"/>
          <w:lang w:val="zh-CN"/>
        </w:rPr>
        <w:t>文件异常一致或者</w:t>
      </w:r>
      <w:r>
        <w:rPr>
          <w:rFonts w:hint="eastAsia" w:ascii="宋体" w:hAnsi="宋体"/>
          <w:color w:val="auto"/>
          <w:sz w:val="24"/>
          <w:highlight w:val="none"/>
        </w:rPr>
        <w:t>响应</w:t>
      </w:r>
      <w:r>
        <w:rPr>
          <w:rFonts w:hint="eastAsia" w:ascii="宋体" w:hAnsi="宋体"/>
          <w:color w:val="auto"/>
          <w:sz w:val="24"/>
          <w:highlight w:val="none"/>
          <w:lang w:val="zh-CN"/>
        </w:rPr>
        <w:t>报价呈规律性差异。</w:t>
      </w:r>
    </w:p>
    <w:p w14:paraId="195A29D7">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.5</w:t>
      </w:r>
      <w:r>
        <w:rPr>
          <w:rFonts w:hint="eastAsia" w:ascii="宋体" w:hAnsi="宋体"/>
          <w:color w:val="auto"/>
          <w:sz w:val="24"/>
          <w:szCs w:val="21"/>
          <w:highlight w:val="none"/>
          <w:lang w:val="zh-CN"/>
        </w:rPr>
        <w:t xml:space="preserve"> 不同</w:t>
      </w:r>
      <w:r>
        <w:rPr>
          <w:rFonts w:hint="eastAsia" w:ascii="宋体" w:hAnsi="宋体"/>
          <w:color w:val="auto"/>
          <w:sz w:val="24"/>
          <w:highlight w:val="none"/>
        </w:rPr>
        <w:t>供应商</w:t>
      </w:r>
      <w:r>
        <w:rPr>
          <w:rFonts w:hint="eastAsia" w:ascii="宋体" w:hAnsi="宋体"/>
          <w:color w:val="auto"/>
          <w:sz w:val="24"/>
          <w:szCs w:val="21"/>
          <w:highlight w:val="none"/>
          <w:lang w:val="zh-CN"/>
        </w:rPr>
        <w:t>的</w:t>
      </w:r>
      <w:r>
        <w:rPr>
          <w:rFonts w:hint="eastAsia" w:ascii="宋体" w:hAnsi="宋体"/>
          <w:color w:val="auto"/>
          <w:sz w:val="24"/>
          <w:szCs w:val="21"/>
          <w:highlight w:val="none"/>
        </w:rPr>
        <w:t>响应</w:t>
      </w:r>
      <w:r>
        <w:rPr>
          <w:rFonts w:hint="eastAsia" w:ascii="宋体" w:hAnsi="宋体"/>
          <w:color w:val="auto"/>
          <w:sz w:val="24"/>
          <w:szCs w:val="21"/>
          <w:highlight w:val="none"/>
          <w:lang w:val="zh-CN"/>
        </w:rPr>
        <w:t>文件相互混装。</w:t>
      </w:r>
    </w:p>
    <w:p w14:paraId="354E16EA">
      <w:pPr>
        <w:widowControl/>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.6 不同</w:t>
      </w:r>
      <w:r>
        <w:rPr>
          <w:rFonts w:hint="eastAsia" w:ascii="宋体" w:hAnsi="宋体"/>
          <w:color w:val="auto"/>
          <w:sz w:val="24"/>
          <w:highlight w:val="none"/>
        </w:rPr>
        <w:t>供应商</w:t>
      </w:r>
      <w:r>
        <w:rPr>
          <w:rFonts w:hint="eastAsia" w:ascii="宋体" w:hAnsi="宋体"/>
          <w:color w:val="auto"/>
          <w:sz w:val="24"/>
          <w:highlight w:val="none"/>
          <w:lang w:val="zh-CN"/>
        </w:rPr>
        <w:t>的MAC地址</w:t>
      </w:r>
      <w:r>
        <w:rPr>
          <w:rFonts w:hint="eastAsia" w:ascii="宋体" w:hAnsi="宋体"/>
          <w:color w:val="auto"/>
          <w:sz w:val="24"/>
          <w:highlight w:val="none"/>
        </w:rPr>
        <w:t>或</w:t>
      </w:r>
      <w:r>
        <w:rPr>
          <w:rFonts w:hint="eastAsia" w:ascii="宋体" w:hAnsi="宋体"/>
          <w:color w:val="auto"/>
          <w:sz w:val="24"/>
          <w:highlight w:val="none"/>
          <w:lang w:val="zh-CN"/>
        </w:rPr>
        <w:t>标书制作工具客户端标识码一致。</w:t>
      </w:r>
    </w:p>
    <w:p w14:paraId="7EFEE12D">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37" w:name="_Toc16938550"/>
      <w:bookmarkStart w:id="138" w:name="_Toc20823306"/>
      <w:bookmarkStart w:id="139" w:name="_Toc513029234"/>
      <w:r>
        <w:rPr>
          <w:rFonts w:hint="eastAsia" w:ascii="方正楷体_GBK" w:hAnsi="方正楷体_GBK" w:eastAsia="方正楷体_GBK" w:cs="方正楷体_GBK"/>
          <w:color w:val="auto"/>
          <w:kern w:val="2"/>
          <w:sz w:val="28"/>
          <w:szCs w:val="28"/>
          <w:highlight w:val="none"/>
        </w:rPr>
        <w:t>2</w:t>
      </w:r>
      <w:bookmarkEnd w:id="137"/>
      <w:bookmarkEnd w:id="138"/>
      <w:bookmarkEnd w:id="139"/>
      <w:r>
        <w:rPr>
          <w:rFonts w:hint="eastAsia" w:ascii="方正楷体_GBK" w:hAnsi="方正楷体_GBK" w:eastAsia="方正楷体_GBK" w:cs="方正楷体_GBK"/>
          <w:color w:val="auto"/>
          <w:kern w:val="2"/>
          <w:sz w:val="28"/>
          <w:szCs w:val="28"/>
          <w:highlight w:val="none"/>
        </w:rPr>
        <w:t>3.磋商程序及采购活动终止</w:t>
      </w:r>
    </w:p>
    <w:p w14:paraId="45F57270">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23.1 磋商程序</w:t>
      </w:r>
    </w:p>
    <w:p w14:paraId="1AFBD32B">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23.1.1 磋商小组将与通过资格审查和符合性审查的供应商分别进行磋商。磋商小组通过苏采云系统向供应商发出《磋商函》，供应商应当按照要求在苏采云系统提交《磋商响应函》并加盖电子公章。</w:t>
      </w:r>
    </w:p>
    <w:p w14:paraId="4438EB6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02E627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71B8A20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D04169D">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2BE9B97C">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11C2454F">
      <w:pPr>
        <w:adjustRightInd w:val="0"/>
        <w:snapToGrid w:val="0"/>
        <w:spacing w:line="360" w:lineRule="auto"/>
        <w:ind w:firstLine="422" w:firstLineChars="175"/>
        <w:rPr>
          <w:rFonts w:ascii="宋体" w:hAnsi="宋体"/>
          <w:b/>
          <w:bCs/>
          <w:color w:val="auto"/>
          <w:sz w:val="24"/>
          <w:szCs w:val="21"/>
          <w:highlight w:val="none"/>
        </w:rPr>
      </w:pPr>
      <w:r>
        <w:rPr>
          <w:rFonts w:hint="eastAsia" w:ascii="宋体" w:hAnsi="宋体"/>
          <w:b/>
          <w:bCs/>
          <w:color w:val="auto"/>
          <w:sz w:val="24"/>
          <w:szCs w:val="21"/>
          <w:highlight w:val="none"/>
        </w:rPr>
        <w:t>23.2 采购活动终止情形</w:t>
      </w:r>
    </w:p>
    <w:p w14:paraId="29F30B6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23.2.1 因情况变化，不再符合竞争性磋商采购方式适用情形。</w:t>
      </w:r>
    </w:p>
    <w:p w14:paraId="5A308FB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23.2.2 出现影响采购公正的违法、违规行为。</w:t>
      </w:r>
    </w:p>
    <w:p w14:paraId="1DCC2DE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23.2.3 在苏采云系统规定时间内成功解密电子响应文件的供应商不足三家。</w:t>
      </w:r>
    </w:p>
    <w:p w14:paraId="04D6593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23.2.4 除本磋商文件第二章第23.1.2条第三款规定的情形外，磋商过程中符合要求的供应商或者提交最后报价且未超过采购预算或最高限价的供应商不足三家。</w:t>
      </w:r>
    </w:p>
    <w:p w14:paraId="7055CAC2">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2</w:t>
      </w:r>
      <w:r>
        <w:rPr>
          <w:rFonts w:hint="eastAsia" w:ascii="宋体" w:hAnsi="宋体"/>
          <w:color w:val="auto"/>
          <w:sz w:val="24"/>
          <w:szCs w:val="21"/>
          <w:highlight w:val="none"/>
        </w:rPr>
        <w:t>3</w:t>
      </w:r>
      <w:r>
        <w:rPr>
          <w:rFonts w:hint="eastAsia" w:ascii="宋体" w:hAnsi="宋体"/>
          <w:color w:val="auto"/>
          <w:sz w:val="24"/>
          <w:szCs w:val="21"/>
          <w:highlight w:val="none"/>
          <w:lang w:val="zh-CN"/>
        </w:rPr>
        <w:t>.</w:t>
      </w:r>
      <w:r>
        <w:rPr>
          <w:rFonts w:hint="eastAsia" w:ascii="宋体" w:hAnsi="宋体"/>
          <w:color w:val="auto"/>
          <w:sz w:val="24"/>
          <w:szCs w:val="21"/>
          <w:highlight w:val="none"/>
        </w:rPr>
        <w:t>2</w:t>
      </w:r>
      <w:r>
        <w:rPr>
          <w:rFonts w:hint="eastAsia" w:ascii="宋体" w:hAnsi="宋体"/>
          <w:color w:val="auto"/>
          <w:sz w:val="24"/>
          <w:szCs w:val="21"/>
          <w:highlight w:val="none"/>
          <w:lang w:val="zh-CN"/>
        </w:rPr>
        <w:t>.5</w:t>
      </w:r>
      <w:r>
        <w:rPr>
          <w:rFonts w:hint="eastAsia" w:ascii="宋体" w:hAnsi="宋体"/>
          <w:color w:val="auto"/>
          <w:sz w:val="24"/>
          <w:szCs w:val="21"/>
          <w:highlight w:val="none"/>
        </w:rPr>
        <w:t xml:space="preserve"> </w:t>
      </w:r>
      <w:r>
        <w:rPr>
          <w:rFonts w:hint="eastAsia" w:ascii="宋体" w:hAnsi="宋体"/>
          <w:color w:val="auto"/>
          <w:sz w:val="24"/>
          <w:szCs w:val="21"/>
          <w:highlight w:val="none"/>
          <w:lang w:val="zh-CN"/>
        </w:rPr>
        <w:t>法律法规规定的其他应当终止情形。</w:t>
      </w:r>
    </w:p>
    <w:bookmarkEnd w:id="45"/>
    <w:bookmarkEnd w:id="46"/>
    <w:bookmarkEnd w:id="47"/>
    <w:bookmarkEnd w:id="48"/>
    <w:p w14:paraId="264867EC">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bookmarkStart w:id="140" w:name="_Toc120614221"/>
      <w:bookmarkStart w:id="141" w:name="_Toc479757207"/>
      <w:bookmarkStart w:id="142" w:name="_Toc20823314"/>
      <w:bookmarkStart w:id="143" w:name="_Toc16938558"/>
      <w:bookmarkStart w:id="144" w:name="_Toc513029242"/>
      <w:r>
        <w:rPr>
          <w:rFonts w:hint="eastAsia" w:ascii="方正黑体_GBK" w:hAnsi="方正黑体_GBK" w:eastAsia="方正黑体_GBK" w:cs="方正黑体_GBK"/>
          <w:color w:val="auto"/>
          <w:kern w:val="2"/>
          <w:highlight w:val="none"/>
        </w:rPr>
        <w:t>六、成交</w:t>
      </w:r>
    </w:p>
    <w:p w14:paraId="2D0205DA">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45" w:name="_Toc513029238"/>
      <w:bookmarkStart w:id="146" w:name="_Toc20823310"/>
      <w:bookmarkStart w:id="147" w:name="_Toc16938554"/>
      <w:r>
        <w:rPr>
          <w:rFonts w:hint="eastAsia" w:ascii="方正楷体_GBK" w:hAnsi="方正楷体_GBK" w:eastAsia="方正楷体_GBK" w:cs="方正楷体_GBK"/>
          <w:color w:val="auto"/>
          <w:kern w:val="2"/>
          <w:sz w:val="28"/>
          <w:szCs w:val="28"/>
          <w:highlight w:val="none"/>
        </w:rPr>
        <w:t>2</w:t>
      </w:r>
      <w:bookmarkEnd w:id="145"/>
      <w:r>
        <w:rPr>
          <w:rFonts w:hint="eastAsia" w:ascii="方正楷体_GBK" w:hAnsi="方正楷体_GBK" w:eastAsia="方正楷体_GBK" w:cs="方正楷体_GBK"/>
          <w:color w:val="auto"/>
          <w:kern w:val="2"/>
          <w:sz w:val="28"/>
          <w:szCs w:val="28"/>
          <w:highlight w:val="none"/>
        </w:rPr>
        <w:t>4.确定</w:t>
      </w:r>
      <w:bookmarkEnd w:id="146"/>
      <w:bookmarkEnd w:id="147"/>
      <w:r>
        <w:rPr>
          <w:rFonts w:hint="eastAsia" w:ascii="方正楷体_GBK" w:hAnsi="方正楷体_GBK" w:eastAsia="方正楷体_GBK" w:cs="方正楷体_GBK"/>
          <w:color w:val="auto"/>
          <w:kern w:val="2"/>
          <w:sz w:val="28"/>
          <w:szCs w:val="28"/>
          <w:highlight w:val="none"/>
        </w:rPr>
        <w:t>成交单位</w:t>
      </w:r>
    </w:p>
    <w:p w14:paraId="5537FFD2">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24.1 成交候选供应商的确定原则和数量见磋商文件第五章。</w:t>
      </w:r>
    </w:p>
    <w:p w14:paraId="6D81EF9F">
      <w:pPr>
        <w:adjustRightInd w:val="0"/>
        <w:snapToGrid w:val="0"/>
        <w:spacing w:line="360" w:lineRule="auto"/>
        <w:ind w:firstLine="420" w:firstLineChars="175"/>
        <w:rPr>
          <w:rFonts w:ascii="宋体" w:hAnsi="宋体"/>
          <w:color w:val="auto"/>
          <w:sz w:val="24"/>
          <w:szCs w:val="24"/>
          <w:highlight w:val="none"/>
        </w:rPr>
      </w:pPr>
      <w:r>
        <w:rPr>
          <w:rFonts w:hint="eastAsia" w:ascii="宋体" w:hAnsi="宋体"/>
          <w:color w:val="auto"/>
          <w:sz w:val="24"/>
          <w:szCs w:val="21"/>
          <w:highlight w:val="none"/>
        </w:rPr>
        <w:t xml:space="preserve">24.2 </w:t>
      </w:r>
      <w:r>
        <w:rPr>
          <w:rFonts w:hint="eastAsia" w:ascii="宋体" w:hAnsi="宋体"/>
          <w:color w:val="auto"/>
          <w:sz w:val="24"/>
          <w:szCs w:val="21"/>
          <w:highlight w:val="none"/>
          <w:lang w:val="zh-CN"/>
        </w:rPr>
        <w:t>按以下第（</w:t>
      </w:r>
      <w:r>
        <w:rPr>
          <w:rFonts w:hint="eastAsia" w:ascii="宋体" w:hAnsi="宋体"/>
          <w:color w:val="auto"/>
          <w:sz w:val="24"/>
          <w:szCs w:val="21"/>
          <w:highlight w:val="none"/>
        </w:rPr>
        <w:t>2</w:t>
      </w:r>
      <w:r>
        <w:rPr>
          <w:rFonts w:hint="eastAsia" w:ascii="宋体" w:hAnsi="宋体"/>
          <w:color w:val="auto"/>
          <w:sz w:val="24"/>
          <w:szCs w:val="21"/>
          <w:highlight w:val="none"/>
          <w:lang w:val="zh-CN"/>
        </w:rPr>
        <w:t>）种方式确定</w:t>
      </w:r>
      <w:r>
        <w:rPr>
          <w:rFonts w:hint="eastAsia" w:ascii="宋体" w:hAnsi="宋体"/>
          <w:color w:val="auto"/>
          <w:sz w:val="24"/>
          <w:szCs w:val="21"/>
          <w:highlight w:val="none"/>
        </w:rPr>
        <w:t>成交供应商</w:t>
      </w:r>
    </w:p>
    <w:p w14:paraId="64AB33A1">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rPr>
        <w:t>磋商小组</w:t>
      </w:r>
      <w:r>
        <w:rPr>
          <w:rFonts w:hint="eastAsia" w:ascii="宋体" w:hAnsi="宋体"/>
          <w:color w:val="auto"/>
          <w:sz w:val="24"/>
          <w:szCs w:val="21"/>
          <w:highlight w:val="none"/>
          <w:lang w:val="zh-CN"/>
        </w:rPr>
        <w:t>直接确定排名第一的</w:t>
      </w:r>
      <w:r>
        <w:rPr>
          <w:rFonts w:hint="eastAsia" w:ascii="宋体" w:hAnsi="宋体"/>
          <w:color w:val="auto"/>
          <w:sz w:val="24"/>
          <w:szCs w:val="21"/>
          <w:highlight w:val="none"/>
        </w:rPr>
        <w:t>成交候选供应商</w:t>
      </w:r>
      <w:r>
        <w:rPr>
          <w:rFonts w:hint="eastAsia" w:ascii="宋体" w:hAnsi="宋体"/>
          <w:color w:val="auto"/>
          <w:sz w:val="24"/>
          <w:szCs w:val="21"/>
          <w:highlight w:val="none"/>
          <w:lang w:val="zh-CN"/>
        </w:rPr>
        <w:t>为</w:t>
      </w:r>
      <w:r>
        <w:rPr>
          <w:rFonts w:hint="eastAsia" w:ascii="宋体" w:hAnsi="宋体"/>
          <w:color w:val="auto"/>
          <w:sz w:val="24"/>
          <w:szCs w:val="21"/>
          <w:highlight w:val="none"/>
        </w:rPr>
        <w:t>成交供应商</w:t>
      </w:r>
      <w:r>
        <w:rPr>
          <w:rFonts w:hint="eastAsia" w:ascii="宋体" w:hAnsi="宋体"/>
          <w:color w:val="auto"/>
          <w:sz w:val="24"/>
          <w:szCs w:val="21"/>
          <w:highlight w:val="none"/>
          <w:lang w:val="zh-CN"/>
        </w:rPr>
        <w:t>；</w:t>
      </w:r>
    </w:p>
    <w:p w14:paraId="282321FD">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（2）采购人在</w:t>
      </w:r>
      <w:r>
        <w:rPr>
          <w:rFonts w:hint="eastAsia" w:ascii="宋体" w:hAnsi="宋体"/>
          <w:color w:val="auto"/>
          <w:sz w:val="24"/>
          <w:szCs w:val="21"/>
          <w:highlight w:val="none"/>
        </w:rPr>
        <w:t>磋商小组</w:t>
      </w:r>
      <w:r>
        <w:rPr>
          <w:rFonts w:hint="eastAsia" w:ascii="宋体" w:hAnsi="宋体"/>
          <w:color w:val="auto"/>
          <w:sz w:val="24"/>
          <w:szCs w:val="21"/>
          <w:highlight w:val="none"/>
          <w:lang w:val="zh-CN"/>
        </w:rPr>
        <w:t>推荐的</w:t>
      </w:r>
      <w:r>
        <w:rPr>
          <w:rFonts w:hint="eastAsia" w:ascii="宋体" w:hAnsi="宋体"/>
          <w:color w:val="auto"/>
          <w:sz w:val="24"/>
          <w:szCs w:val="21"/>
          <w:highlight w:val="none"/>
        </w:rPr>
        <w:t>成交候选供应商</w:t>
      </w:r>
      <w:r>
        <w:rPr>
          <w:rFonts w:hint="eastAsia" w:ascii="宋体" w:hAnsi="宋体"/>
          <w:color w:val="auto"/>
          <w:sz w:val="24"/>
          <w:szCs w:val="21"/>
          <w:highlight w:val="none"/>
          <w:lang w:val="zh-CN"/>
        </w:rPr>
        <w:t>中按顺序确定</w:t>
      </w:r>
      <w:r>
        <w:rPr>
          <w:rFonts w:hint="eastAsia" w:ascii="宋体" w:hAnsi="宋体"/>
          <w:color w:val="auto"/>
          <w:sz w:val="24"/>
          <w:szCs w:val="21"/>
          <w:highlight w:val="none"/>
        </w:rPr>
        <w:t>成交供应商</w:t>
      </w:r>
      <w:r>
        <w:rPr>
          <w:rFonts w:hint="eastAsia" w:ascii="宋体" w:hAnsi="宋体"/>
          <w:color w:val="auto"/>
          <w:sz w:val="24"/>
          <w:szCs w:val="21"/>
          <w:highlight w:val="none"/>
          <w:lang w:val="zh-CN"/>
        </w:rPr>
        <w:t>。</w:t>
      </w:r>
    </w:p>
    <w:p w14:paraId="4DEDB7E1">
      <w:pPr>
        <w:adjustRightInd w:val="0"/>
        <w:snapToGrid w:val="0"/>
        <w:spacing w:line="360" w:lineRule="auto"/>
        <w:ind w:firstLine="420" w:firstLineChars="175"/>
        <w:rPr>
          <w:rFonts w:ascii="宋体" w:hAnsi="宋体"/>
          <w:color w:val="auto"/>
          <w:sz w:val="24"/>
          <w:szCs w:val="21"/>
          <w:highlight w:val="none"/>
          <w:lang w:val="zh-CN"/>
        </w:rPr>
      </w:pPr>
      <w:r>
        <w:rPr>
          <w:rFonts w:hint="eastAsia" w:ascii="宋体" w:hAnsi="宋体"/>
          <w:color w:val="auto"/>
          <w:sz w:val="24"/>
          <w:szCs w:val="21"/>
          <w:highlight w:val="none"/>
          <w:lang w:val="zh-CN"/>
        </w:rPr>
        <w:t>按第二种方式确定</w:t>
      </w:r>
      <w:r>
        <w:rPr>
          <w:rFonts w:hint="eastAsia" w:ascii="宋体" w:hAnsi="宋体"/>
          <w:color w:val="auto"/>
          <w:sz w:val="24"/>
          <w:szCs w:val="21"/>
          <w:highlight w:val="none"/>
        </w:rPr>
        <w:t>成交供应商</w:t>
      </w:r>
      <w:r>
        <w:rPr>
          <w:rFonts w:hint="eastAsia" w:ascii="宋体" w:hAnsi="宋体"/>
          <w:color w:val="auto"/>
          <w:sz w:val="24"/>
          <w:szCs w:val="21"/>
          <w:highlight w:val="none"/>
          <w:lang w:val="zh-CN"/>
        </w:rPr>
        <w:t>的，交易中心自评审结束之日起两个工作日内将评审报告送交采购人，采购人自收到评审报告之日起五个工作日内，在评审报告推荐的</w:t>
      </w:r>
      <w:r>
        <w:rPr>
          <w:rFonts w:hint="eastAsia" w:ascii="宋体" w:hAnsi="宋体"/>
          <w:color w:val="auto"/>
          <w:sz w:val="24"/>
          <w:szCs w:val="21"/>
          <w:highlight w:val="none"/>
        </w:rPr>
        <w:t>成交候选供应商</w:t>
      </w:r>
      <w:r>
        <w:rPr>
          <w:rFonts w:hint="eastAsia" w:ascii="宋体" w:hAnsi="宋体"/>
          <w:color w:val="auto"/>
          <w:sz w:val="24"/>
          <w:szCs w:val="21"/>
          <w:highlight w:val="none"/>
          <w:lang w:val="zh-CN"/>
        </w:rPr>
        <w:t>中按顺序确定</w:t>
      </w:r>
      <w:r>
        <w:rPr>
          <w:rFonts w:hint="eastAsia" w:ascii="宋体" w:hAnsi="宋体"/>
          <w:color w:val="auto"/>
          <w:sz w:val="24"/>
          <w:szCs w:val="21"/>
          <w:highlight w:val="none"/>
        </w:rPr>
        <w:t>成交供应商</w:t>
      </w:r>
      <w:r>
        <w:rPr>
          <w:rFonts w:hint="eastAsia" w:ascii="宋体" w:hAnsi="宋体"/>
          <w:color w:val="auto"/>
          <w:sz w:val="24"/>
          <w:szCs w:val="21"/>
          <w:highlight w:val="none"/>
          <w:lang w:val="zh-CN"/>
        </w:rPr>
        <w:t>。</w:t>
      </w:r>
    </w:p>
    <w:p w14:paraId="59BC301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24.3 交易中心将在“江苏政府采购网”发布成交结果公告，公告期限为1个工作日。</w:t>
      </w:r>
    </w:p>
    <w:p w14:paraId="7115E3C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 xml:space="preserve">24.4 </w:t>
      </w:r>
      <w:r>
        <w:rPr>
          <w:rFonts w:hint="eastAsia" w:ascii="宋体" w:hAnsi="宋体"/>
          <w:b/>
          <w:bCs/>
          <w:color w:val="auto"/>
          <w:sz w:val="24"/>
          <w:szCs w:val="21"/>
          <w:highlight w:val="none"/>
        </w:rPr>
        <w:t>若有充分证据证明成交供应商有下列情况之一的，一经查实将被取消成交资格：</w:t>
      </w:r>
    </w:p>
    <w:p w14:paraId="05FF393F">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24.4.1 提供虚假材料谋取成交。</w:t>
      </w:r>
    </w:p>
    <w:p w14:paraId="040C16B9">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24.4.2 向评审专家、采购人或交易中心工作人员行贿或者提供其他不正当利益。</w:t>
      </w:r>
    </w:p>
    <w:p w14:paraId="3FCC7F7F">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24.4.3 与其他供应商、评审专家、采购人或交易中心工作人员恶意串通。</w:t>
      </w:r>
    </w:p>
    <w:p w14:paraId="2ED6D5EA">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24.4.4 不满足本磋商文件规定的实质性要求，但在评审过程中未被磋商小组发现。</w:t>
      </w:r>
    </w:p>
    <w:p w14:paraId="532571CE">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24.4.5 采取不正当手段诋毁、排挤其他供应商。</w:t>
      </w:r>
    </w:p>
    <w:p w14:paraId="391CEE7F">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bookmarkStart w:id="148" w:name="_Toc200451960"/>
      <w:r>
        <w:rPr>
          <w:rFonts w:hint="eastAsia" w:ascii="方正楷体_GBK" w:hAnsi="方正楷体_GBK" w:eastAsia="方正楷体_GBK" w:cs="方正楷体_GBK"/>
          <w:color w:val="auto"/>
          <w:kern w:val="2"/>
          <w:sz w:val="28"/>
          <w:szCs w:val="28"/>
          <w:highlight w:val="none"/>
        </w:rPr>
        <w:t>25.成交通知书</w:t>
      </w:r>
    </w:p>
    <w:p w14:paraId="29428187">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 xml:space="preserve">25.1 成交结果确定后，交易中心将向成交供应商发出《成交通知书》。成交供应商可在成交结果公告届满之日起三十日内，登录苏采云系统下载。    </w:t>
      </w:r>
    </w:p>
    <w:p w14:paraId="6BE3C8D7">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因系统存储空间有限，成交结果公告届满之日起三十日后，苏采云系统不再保证提供下载《成交通知书》服务，因未及时下载而造成的不利后果由成交供应商自行承担。</w:t>
      </w:r>
    </w:p>
    <w:p w14:paraId="651EEA53">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25.2 《成交通知书》是合同的一个组成部分，对采购人和成交供应商均具有法律效力。《成交通知书》发出后，采购人改变成交结果的，或者成交供应商放弃成交项目的，应当依法承担法律责任。</w:t>
      </w:r>
    </w:p>
    <w:p w14:paraId="4D6493F3">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kern w:val="2"/>
          <w:highlight w:val="none"/>
        </w:rPr>
      </w:pPr>
      <w:r>
        <w:rPr>
          <w:rFonts w:hint="eastAsia" w:ascii="方正黑体_GBK" w:hAnsi="方正黑体_GBK" w:eastAsia="方正黑体_GBK" w:cs="方正黑体_GBK"/>
          <w:color w:val="auto"/>
          <w:kern w:val="2"/>
          <w:highlight w:val="none"/>
        </w:rPr>
        <w:t>七、授予合同</w:t>
      </w:r>
    </w:p>
    <w:p w14:paraId="35C2D9CB">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26.签订合同</w:t>
      </w:r>
    </w:p>
    <w:p w14:paraId="0D3735FB">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szCs w:val="21"/>
          <w:highlight w:val="none"/>
        </w:rPr>
        <w:t>26.1 成交供应商应当在《成交通知书》发出之日起三十日内，按照磋商文件确定的事项与采购人签订政府采购合同。</w:t>
      </w:r>
      <w:r>
        <w:rPr>
          <w:rFonts w:hint="eastAsia" w:ascii="宋体" w:hAnsi="宋体"/>
          <w:color w:val="auto"/>
          <w:sz w:val="24"/>
          <w:highlight w:val="none"/>
        </w:rPr>
        <w:t>采购人于合同签订后2个工作日内通过苏采云系统进行公示。</w:t>
      </w:r>
    </w:p>
    <w:p w14:paraId="4468AFC4">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26.2 磋商文件、成交供应商的响应文件及磋商过程中有关澄清、承诺文件均作为合同附件。</w:t>
      </w:r>
    </w:p>
    <w:p w14:paraId="07EB0E1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 xml:space="preserve">26.3 </w:t>
      </w:r>
      <w:r>
        <w:rPr>
          <w:rFonts w:hint="eastAsia" w:ascii="宋体" w:hAnsi="宋体"/>
          <w:color w:val="auto"/>
          <w:sz w:val="24"/>
          <w:highlight w:val="none"/>
        </w:rPr>
        <w:t>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p>
    <w:p w14:paraId="5C8D1B85">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26.4成交供应商不得将合同标的进行转包，否则采购人有权取消其成交资格或终止合同。转包造成采购人损失的，成交供应商应承担相应赔偿责任。</w:t>
      </w:r>
    </w:p>
    <w:p w14:paraId="741BA4A1">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26.5 成交供应商因自身原因拒绝与采购人签订合同的，</w:t>
      </w:r>
      <w:r>
        <w:rPr>
          <w:rFonts w:hint="eastAsia" w:ascii="宋体" w:hAnsi="宋体"/>
          <w:color w:val="auto"/>
          <w:sz w:val="24"/>
          <w:highlight w:val="none"/>
          <w:lang w:val="zh-CN"/>
        </w:rPr>
        <w:t>不得参加采购人</w:t>
      </w:r>
      <w:r>
        <w:rPr>
          <w:rFonts w:hint="eastAsia" w:ascii="宋体" w:hAnsi="宋体"/>
          <w:color w:val="auto"/>
          <w:sz w:val="24"/>
          <w:highlight w:val="none"/>
        </w:rPr>
        <w:t>重新组织的</w:t>
      </w:r>
      <w:r>
        <w:rPr>
          <w:rFonts w:hint="eastAsia" w:ascii="宋体" w:hAnsi="宋体"/>
          <w:color w:val="auto"/>
          <w:sz w:val="24"/>
          <w:highlight w:val="none"/>
          <w:lang w:val="zh-CN"/>
        </w:rPr>
        <w:t>采购活动</w:t>
      </w:r>
      <w:r>
        <w:rPr>
          <w:rFonts w:hint="eastAsia"/>
          <w:color w:val="auto"/>
          <w:highlight w:val="none"/>
        </w:rPr>
        <w:t>，</w:t>
      </w:r>
      <w:r>
        <w:rPr>
          <w:rFonts w:hint="eastAsia" w:ascii="宋体" w:hAnsi="宋体"/>
          <w:color w:val="auto"/>
          <w:sz w:val="24"/>
          <w:highlight w:val="none"/>
        </w:rPr>
        <w:t>且将可能被拒绝参加该采购人</w:t>
      </w:r>
      <w:r>
        <w:rPr>
          <w:rFonts w:hint="eastAsia" w:ascii="宋体" w:hAnsi="宋体"/>
          <w:color w:val="auto"/>
          <w:sz w:val="24"/>
          <w:highlight w:val="none"/>
          <w:lang w:val="zh-CN"/>
        </w:rPr>
        <w:t>一年内</w:t>
      </w:r>
      <w:r>
        <w:rPr>
          <w:rFonts w:hint="eastAsia" w:ascii="宋体" w:hAnsi="宋体"/>
          <w:color w:val="auto"/>
          <w:sz w:val="24"/>
          <w:highlight w:val="none"/>
        </w:rPr>
        <w:t>的其他</w:t>
      </w:r>
      <w:r>
        <w:rPr>
          <w:rFonts w:hint="eastAsia" w:ascii="宋体" w:hAnsi="宋体"/>
          <w:color w:val="auto"/>
          <w:sz w:val="24"/>
          <w:highlight w:val="none"/>
          <w:lang w:val="zh-CN"/>
        </w:rPr>
        <w:t>政府采购活动。</w:t>
      </w:r>
    </w:p>
    <w:p w14:paraId="66F72290">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27.标的物的追加</w:t>
      </w:r>
    </w:p>
    <w:p w14:paraId="693059F6">
      <w:pPr>
        <w:adjustRightInd w:val="0"/>
        <w:snapToGrid w:val="0"/>
        <w:spacing w:line="360" w:lineRule="auto"/>
        <w:ind w:firstLine="420" w:firstLineChars="175"/>
        <w:rPr>
          <w:rFonts w:ascii="宋体" w:hAnsi="宋体"/>
          <w:color w:val="auto"/>
          <w:sz w:val="24"/>
          <w:szCs w:val="21"/>
          <w:highlight w:val="none"/>
        </w:rPr>
      </w:pPr>
      <w:r>
        <w:rPr>
          <w:rFonts w:hint="eastAsia" w:ascii="宋体" w:hAnsi="宋体"/>
          <w:color w:val="auto"/>
          <w:sz w:val="24"/>
          <w:szCs w:val="21"/>
          <w:highlight w:val="none"/>
        </w:rPr>
        <w:t>27.1 政府采购合同履行中，采购人需追加与合同标的相同的服务（包含与服务相关的货物），在不改变合同其他条款的前提下，可以与成交供应商协商签订补充合同，但所有补充合同的金额不超过原合同金额10%。</w:t>
      </w:r>
    </w:p>
    <w:p w14:paraId="660CBA6C">
      <w:pPr>
        <w:pStyle w:val="9"/>
        <w:adjustRightInd w:val="0"/>
        <w:snapToGrid w:val="0"/>
        <w:spacing w:before="0" w:after="0" w:line="360" w:lineRule="auto"/>
        <w:ind w:firstLine="420" w:firstLineChars="150"/>
        <w:rPr>
          <w:rFonts w:ascii="方正楷体_GBK" w:hAnsi="方正楷体_GBK" w:eastAsia="方正楷体_GBK" w:cs="方正楷体_GBK"/>
          <w:color w:val="auto"/>
          <w:kern w:val="2"/>
          <w:sz w:val="28"/>
          <w:szCs w:val="28"/>
          <w:highlight w:val="none"/>
        </w:rPr>
      </w:pPr>
      <w:r>
        <w:rPr>
          <w:rFonts w:hint="eastAsia" w:ascii="方正楷体_GBK" w:hAnsi="方正楷体_GBK" w:eastAsia="方正楷体_GBK" w:cs="方正楷体_GBK"/>
          <w:color w:val="auto"/>
          <w:kern w:val="2"/>
          <w:sz w:val="28"/>
          <w:szCs w:val="28"/>
          <w:highlight w:val="none"/>
        </w:rPr>
        <w:t>28.政府采购履约资金扶持政策</w:t>
      </w:r>
    </w:p>
    <w:p w14:paraId="707FD2AF">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szCs w:val="21"/>
          <w:highlight w:val="none"/>
        </w:rPr>
        <w:t>28.1 成交供应商</w:t>
      </w:r>
      <w:r>
        <w:rPr>
          <w:rFonts w:hint="eastAsia" w:ascii="宋体" w:hAnsi="宋体"/>
          <w:color w:val="auto"/>
          <w:sz w:val="24"/>
          <w:highlight w:val="none"/>
        </w:rPr>
        <w:t>通过</w:t>
      </w:r>
      <w:r>
        <w:rPr>
          <w:rFonts w:hint="eastAsia" w:ascii="宋体" w:hAnsi="宋体"/>
          <w:color w:val="auto"/>
          <w:sz w:val="24"/>
          <w:highlight w:val="none"/>
          <w:lang w:val="zh-CN"/>
        </w:rPr>
        <w:t>南京市公共资源交易</w:t>
      </w:r>
      <w:r>
        <w:rPr>
          <w:rFonts w:hint="eastAsia" w:ascii="宋体" w:hAnsi="宋体"/>
          <w:color w:val="auto"/>
          <w:sz w:val="24"/>
          <w:highlight w:val="none"/>
        </w:rPr>
        <w:t>平台</w:t>
      </w:r>
      <w:r>
        <w:rPr>
          <w:rFonts w:hint="eastAsia" w:ascii="宋体" w:hAnsi="宋体"/>
          <w:color w:val="auto"/>
          <w:sz w:val="24"/>
          <w:highlight w:val="none"/>
          <w:lang w:val="zh-CN"/>
        </w:rPr>
        <w:t>网站“小企业融资平台”，</w:t>
      </w:r>
      <w:r>
        <w:rPr>
          <w:rFonts w:hint="eastAsia" w:ascii="宋体" w:hAnsi="宋体"/>
          <w:color w:val="auto"/>
          <w:sz w:val="24"/>
          <w:highlight w:val="none"/>
        </w:rPr>
        <w:t>选择相应的金融机构</w:t>
      </w:r>
      <w:r>
        <w:rPr>
          <w:rFonts w:hint="eastAsia" w:ascii="宋体" w:hAnsi="宋体"/>
          <w:color w:val="auto"/>
          <w:sz w:val="24"/>
          <w:highlight w:val="none"/>
          <w:lang w:val="zh-CN"/>
        </w:rPr>
        <w:t>办理融资贷款。</w:t>
      </w:r>
    </w:p>
    <w:p w14:paraId="1189EE51">
      <w:pPr>
        <w:adjustRightInd w:val="0"/>
        <w:snapToGrid w:val="0"/>
        <w:spacing w:line="360" w:lineRule="auto"/>
        <w:ind w:firstLine="420" w:firstLineChars="175"/>
        <w:rPr>
          <w:color w:val="auto"/>
          <w:highlight w:val="none"/>
          <w:lang w:val="zh-CN"/>
        </w:rPr>
      </w:pPr>
      <w:r>
        <w:rPr>
          <w:rFonts w:hint="eastAsia" w:ascii="宋体" w:hAnsi="宋体"/>
          <w:color w:val="auto"/>
          <w:sz w:val="24"/>
          <w:highlight w:val="none"/>
        </w:rPr>
        <w:t>28.2 依据《关于在全省政府采购领域推行电子履约保函（保险）的通知》（苏财购</w:t>
      </w:r>
      <w:r>
        <w:rPr>
          <w:rFonts w:hint="eastAsia" w:ascii="宋体" w:hAnsi="宋体" w:cs="宋体"/>
          <w:color w:val="auto"/>
          <w:sz w:val="24"/>
          <w:szCs w:val="24"/>
          <w:highlight w:val="none"/>
        </w:rPr>
        <w:t>〔2023〕</w:t>
      </w:r>
      <w:r>
        <w:rPr>
          <w:rFonts w:hint="eastAsia" w:ascii="宋体" w:hAnsi="宋体"/>
          <w:color w:val="auto"/>
          <w:sz w:val="24"/>
          <w:highlight w:val="none"/>
        </w:rPr>
        <w:t>150号），需要缴纳履约保证金的，成交供应商</w:t>
      </w:r>
      <w:r>
        <w:rPr>
          <w:rFonts w:hint="eastAsia" w:ascii="宋体" w:hAnsi="宋体"/>
          <w:color w:val="auto"/>
          <w:sz w:val="24"/>
          <w:highlight w:val="none"/>
          <w:lang w:val="zh-CN"/>
        </w:rPr>
        <w:t>可</w:t>
      </w:r>
      <w:r>
        <w:rPr>
          <w:rFonts w:hint="eastAsia" w:ascii="宋体" w:hAnsi="宋体"/>
          <w:color w:val="auto"/>
          <w:sz w:val="24"/>
          <w:highlight w:val="none"/>
        </w:rPr>
        <w:t>通过江苏政府采购网“政府采购电子履约保函（保险）综合服务平台”线上办理履约保函（保险）</w:t>
      </w:r>
      <w:r>
        <w:rPr>
          <w:rFonts w:hint="eastAsia" w:ascii="宋体" w:hAnsi="宋体"/>
          <w:color w:val="auto"/>
          <w:sz w:val="24"/>
          <w:highlight w:val="none"/>
          <w:lang w:val="zh-CN"/>
        </w:rPr>
        <w:t>。</w:t>
      </w:r>
    </w:p>
    <w:p w14:paraId="38857526">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八、质疑</w:t>
      </w:r>
    </w:p>
    <w:bookmarkEnd w:id="148"/>
    <w:p w14:paraId="312F18C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29</w:t>
      </w:r>
      <w:r>
        <w:rPr>
          <w:rFonts w:hint="eastAsia" w:ascii="宋体" w:hAnsi="宋体"/>
          <w:color w:val="auto"/>
          <w:sz w:val="24"/>
          <w:highlight w:val="none"/>
          <w:lang w:val="zh-CN"/>
        </w:rPr>
        <w:t>.提出质疑的供应商应当是参与所质疑项目采购活动的供应商，潜在供应商依法获取其可质疑的磋商文件的，可以对磋商文件提出质疑。</w:t>
      </w:r>
    </w:p>
    <w:p w14:paraId="06769FF8">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30</w:t>
      </w:r>
      <w:r>
        <w:rPr>
          <w:rFonts w:hint="eastAsia" w:ascii="宋体" w:hAnsi="宋体"/>
          <w:color w:val="auto"/>
          <w:sz w:val="24"/>
          <w:highlight w:val="none"/>
          <w:lang w:val="zh-CN"/>
        </w:rPr>
        <w:t>.供应商认为磋商文件、采购过程和采购结果使自己的权益受到损害的，可以在知道或应知其权益受到损害之日起七个工作日内，</w:t>
      </w:r>
      <w:r>
        <w:rPr>
          <w:rFonts w:hint="eastAsia" w:ascii="宋体" w:hAnsi="宋体"/>
          <w:color w:val="auto"/>
          <w:sz w:val="24"/>
          <w:highlight w:val="none"/>
        </w:rPr>
        <w:t>按照第32条</w:t>
      </w:r>
      <w:r>
        <w:rPr>
          <w:rFonts w:hint="eastAsia" w:ascii="宋体" w:hAnsi="宋体"/>
          <w:color w:val="auto"/>
          <w:sz w:val="24"/>
          <w:highlight w:val="none"/>
          <w:lang w:val="zh-CN"/>
        </w:rPr>
        <w:t>、</w:t>
      </w:r>
      <w:r>
        <w:rPr>
          <w:rFonts w:hint="eastAsia" w:ascii="宋体" w:hAnsi="宋体"/>
          <w:color w:val="auto"/>
          <w:sz w:val="24"/>
          <w:highlight w:val="none"/>
        </w:rPr>
        <w:t>第33</w:t>
      </w:r>
      <w:r>
        <w:rPr>
          <w:rFonts w:hint="eastAsia" w:ascii="宋体" w:hAnsi="宋体"/>
          <w:color w:val="auto"/>
          <w:sz w:val="24"/>
          <w:highlight w:val="none"/>
          <w:lang w:val="zh-CN"/>
        </w:rPr>
        <w:t>条</w:t>
      </w:r>
      <w:r>
        <w:rPr>
          <w:rFonts w:hint="eastAsia" w:ascii="宋体" w:hAnsi="宋体"/>
          <w:color w:val="auto"/>
          <w:sz w:val="24"/>
          <w:highlight w:val="none"/>
        </w:rPr>
        <w:t>之</w:t>
      </w:r>
      <w:r>
        <w:rPr>
          <w:rFonts w:hint="eastAsia" w:ascii="宋体" w:hAnsi="宋体"/>
          <w:color w:val="auto"/>
          <w:sz w:val="24"/>
          <w:highlight w:val="none"/>
          <w:lang w:val="zh-CN"/>
        </w:rPr>
        <w:t>规定以书面形式向采购人或交易中心提出质疑。</w:t>
      </w:r>
      <w:r>
        <w:rPr>
          <w:rFonts w:hint="eastAsia" w:ascii="宋体" w:hAnsi="宋体"/>
          <w:b/>
          <w:bCs/>
          <w:color w:val="auto"/>
          <w:sz w:val="24"/>
          <w:highlight w:val="none"/>
          <w:lang w:val="zh-CN"/>
        </w:rPr>
        <w:t>上述应知其权益受到损害之日是指：</w:t>
      </w:r>
    </w:p>
    <w:p w14:paraId="6DDC2AA8">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30</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对磋商文件提出质疑的，为收到磋商文件之日或者磋商文件公告期限届满之日。</w:t>
      </w:r>
    </w:p>
    <w:p w14:paraId="30B4652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30</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对采购过程提出质疑的，为各采购程序环节结束之日。</w:t>
      </w:r>
    </w:p>
    <w:p w14:paraId="3E0413E4">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30</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对成交结果提出质疑的，为成交结果公告期限届满之日。</w:t>
      </w:r>
    </w:p>
    <w:p w14:paraId="497189D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31.</w:t>
      </w:r>
      <w:r>
        <w:rPr>
          <w:rFonts w:hint="eastAsia" w:ascii="宋体" w:hAnsi="宋体"/>
          <w:color w:val="auto"/>
          <w:sz w:val="24"/>
          <w:highlight w:val="none"/>
          <w:lang w:val="zh-CN"/>
        </w:rPr>
        <w:t>供应商应当在法定质疑期内一次性提出针对同一采购程序环节的质疑。供应商如在法定期限内对同一采购程序环节提出多次质疑的，交易中心</w:t>
      </w:r>
      <w:r>
        <w:rPr>
          <w:rFonts w:hint="eastAsia" w:ascii="宋体" w:hAnsi="宋体"/>
          <w:color w:val="auto"/>
          <w:sz w:val="24"/>
          <w:highlight w:val="none"/>
        </w:rPr>
        <w:t>或</w:t>
      </w:r>
      <w:r>
        <w:rPr>
          <w:rFonts w:hint="eastAsia" w:ascii="宋体" w:hAnsi="宋体"/>
          <w:color w:val="auto"/>
          <w:sz w:val="24"/>
          <w:highlight w:val="none"/>
          <w:lang w:val="zh-CN"/>
        </w:rPr>
        <w:t>采购人将只对供应商第一次质疑作出答复。</w:t>
      </w:r>
    </w:p>
    <w:p w14:paraId="61984EBD">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32.</w:t>
      </w:r>
      <w:r>
        <w:rPr>
          <w:rFonts w:hint="eastAsia" w:ascii="宋体" w:hAnsi="宋体"/>
          <w:color w:val="auto"/>
          <w:sz w:val="24"/>
          <w:highlight w:val="none"/>
          <w:lang w:val="zh-CN"/>
        </w:rPr>
        <w:t>供应商提出质疑应提交《质疑函》原件，且尽可能通过邮寄方式送达，交易中心和采购人不接受无运单的快件。《质疑函》应按照本磋商文件中《质疑函范本》</w:t>
      </w:r>
      <w:r>
        <w:rPr>
          <w:rFonts w:hint="eastAsia" w:ascii="宋体" w:hAnsi="宋体"/>
          <w:color w:val="auto"/>
          <w:sz w:val="24"/>
          <w:highlight w:val="none"/>
        </w:rPr>
        <w:t>的</w:t>
      </w:r>
      <w:r>
        <w:rPr>
          <w:rFonts w:hint="eastAsia" w:ascii="宋体" w:hAnsi="宋体"/>
          <w:color w:val="auto"/>
          <w:sz w:val="24"/>
          <w:highlight w:val="none"/>
          <w:lang w:val="zh-CN"/>
        </w:rPr>
        <w:t>格式和内容填写。</w:t>
      </w:r>
      <w:r>
        <w:rPr>
          <w:rFonts w:hint="eastAsia" w:ascii="宋体" w:hAnsi="宋体" w:cs="仿宋"/>
          <w:b/>
          <w:bCs/>
          <w:color w:val="auto"/>
          <w:sz w:val="24"/>
          <w:szCs w:val="24"/>
          <w:highlight w:val="none"/>
        </w:rPr>
        <w:t>由授权代表负责质疑事宜的，《质疑函》附件中应提交由质疑供应商法定代表人或主要负责人签署的《授权委托书》。</w:t>
      </w:r>
    </w:p>
    <w:p w14:paraId="4F8A74CF">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供应商如组成联合体参加采购活动，《质疑函范本》中要求加盖公章之处，联合体各方均须按要求加盖公章。</w:t>
      </w:r>
    </w:p>
    <w:p w14:paraId="26354654">
      <w:pPr>
        <w:adjustRightInd w:val="0"/>
        <w:snapToGrid w:val="0"/>
        <w:spacing w:line="360" w:lineRule="auto"/>
        <w:ind w:firstLine="420" w:firstLineChars="175"/>
        <w:jc w:val="left"/>
        <w:rPr>
          <w:rFonts w:ascii="宋体" w:hAnsi="宋体"/>
          <w:b/>
          <w:bCs/>
          <w:color w:val="auto"/>
          <w:kern w:val="2"/>
          <w:sz w:val="24"/>
          <w:highlight w:val="none"/>
          <w:lang w:val="zh-CN"/>
        </w:rPr>
      </w:pPr>
      <w:r>
        <w:rPr>
          <w:rFonts w:hint="eastAsia" w:ascii="宋体" w:hAnsi="宋体"/>
          <w:color w:val="auto"/>
          <w:sz w:val="24"/>
          <w:highlight w:val="none"/>
        </w:rPr>
        <w:t>33.</w:t>
      </w:r>
      <w:r>
        <w:rPr>
          <w:rFonts w:hint="eastAsia" w:ascii="宋体" w:hAnsi="宋体"/>
          <w:b/>
          <w:bCs/>
          <w:color w:val="auto"/>
          <w:sz w:val="24"/>
          <w:highlight w:val="none"/>
        </w:rPr>
        <w:t>供应商根据质疑事项向相应的质疑答复主体提出质疑，具体详见磋商文件第一章。由采购人负责答复的质疑，采购人将《质疑函》《质疑答复函》抄送交易中心。</w:t>
      </w:r>
    </w:p>
    <w:p w14:paraId="31E3F674">
      <w:pPr>
        <w:adjustRightInd w:val="0"/>
        <w:snapToGrid w:val="0"/>
        <w:spacing w:line="360" w:lineRule="auto"/>
        <w:ind w:firstLine="422" w:firstLineChars="175"/>
        <w:rPr>
          <w:rFonts w:ascii="宋体" w:hAnsi="宋体"/>
          <w:b/>
          <w:bCs/>
          <w:color w:val="auto"/>
          <w:sz w:val="24"/>
          <w:highlight w:val="none"/>
        </w:rPr>
      </w:pPr>
      <w:r>
        <w:rPr>
          <w:rFonts w:hint="eastAsia" w:ascii="宋体" w:hAnsi="宋体"/>
          <w:b/>
          <w:bCs/>
          <w:color w:val="auto"/>
          <w:sz w:val="24"/>
          <w:szCs w:val="21"/>
          <w:highlight w:val="none"/>
        </w:rPr>
        <w:t>供应商对采购人、交易中心的质疑答复不满意，或者采购人、交易中心未在规定时间内作出质疑答复的，可以在答复期满后15个工作日内</w:t>
      </w:r>
      <w:r>
        <w:rPr>
          <w:rFonts w:hint="eastAsia" w:ascii="宋体" w:hAnsi="宋体"/>
          <w:b/>
          <w:bCs/>
          <w:color w:val="auto"/>
          <w:sz w:val="24"/>
          <w:highlight w:val="none"/>
        </w:rPr>
        <w:t>向南京市高淳区财政局提起投诉。</w:t>
      </w:r>
    </w:p>
    <w:p w14:paraId="706A14E7">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以下情形的质疑不予受理：</w:t>
      </w:r>
    </w:p>
    <w:p w14:paraId="609E4A0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.1 超出政府采购法定期限的质疑；</w:t>
      </w:r>
    </w:p>
    <w:p w14:paraId="6075584F">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 xml:space="preserve">.2 </w:t>
      </w:r>
      <w:r>
        <w:rPr>
          <w:rFonts w:hint="eastAsia" w:ascii="宋体" w:hAnsi="宋体"/>
          <w:color w:val="auto"/>
          <w:sz w:val="24"/>
          <w:highlight w:val="none"/>
        </w:rPr>
        <w:t>属于第31条规定的对</w:t>
      </w:r>
      <w:r>
        <w:rPr>
          <w:rFonts w:hint="eastAsia" w:ascii="宋体" w:hAnsi="宋体"/>
          <w:color w:val="auto"/>
          <w:sz w:val="24"/>
          <w:highlight w:val="none"/>
          <w:lang w:val="zh-CN"/>
        </w:rPr>
        <w:t>同一采购程序环节提出</w:t>
      </w:r>
      <w:r>
        <w:rPr>
          <w:rFonts w:hint="eastAsia" w:ascii="宋体" w:hAnsi="宋体"/>
          <w:color w:val="auto"/>
          <w:sz w:val="24"/>
          <w:highlight w:val="none"/>
        </w:rPr>
        <w:t>的多次</w:t>
      </w:r>
      <w:r>
        <w:rPr>
          <w:rFonts w:hint="eastAsia" w:ascii="宋体" w:hAnsi="宋体"/>
          <w:color w:val="auto"/>
          <w:sz w:val="24"/>
          <w:highlight w:val="none"/>
          <w:lang w:val="zh-CN"/>
        </w:rPr>
        <w:t>质疑；</w:t>
      </w:r>
    </w:p>
    <w:p w14:paraId="1D4CB94A">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34</w:t>
      </w:r>
      <w:r>
        <w:rPr>
          <w:rFonts w:hint="eastAsia" w:ascii="宋体" w:hAnsi="宋体"/>
          <w:color w:val="auto"/>
          <w:sz w:val="24"/>
          <w:highlight w:val="none"/>
          <w:lang w:val="zh-CN"/>
        </w:rPr>
        <w:t>.3 法律法规规定的</w:t>
      </w:r>
      <w:r>
        <w:rPr>
          <w:rFonts w:hint="eastAsia" w:ascii="宋体" w:hAnsi="宋体"/>
          <w:color w:val="auto"/>
          <w:sz w:val="24"/>
          <w:highlight w:val="none"/>
        </w:rPr>
        <w:t>其他</w:t>
      </w:r>
      <w:r>
        <w:rPr>
          <w:rFonts w:hint="eastAsia" w:ascii="宋体" w:hAnsi="宋体"/>
          <w:color w:val="auto"/>
          <w:sz w:val="24"/>
          <w:highlight w:val="none"/>
          <w:lang w:val="zh-CN"/>
        </w:rPr>
        <w:t>不予受理情形。</w:t>
      </w:r>
    </w:p>
    <w:p w14:paraId="7AA1156B">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35</w:t>
      </w:r>
      <w:r>
        <w:rPr>
          <w:rFonts w:hint="eastAsia" w:ascii="宋体" w:hAnsi="宋体"/>
          <w:color w:val="auto"/>
          <w:sz w:val="24"/>
          <w:highlight w:val="none"/>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CF5F995">
      <w:pPr>
        <w:pStyle w:val="7"/>
        <w:adjustRightInd w:val="0"/>
        <w:snapToGrid w:val="0"/>
        <w:spacing w:before="120" w:beforeLines="50" w:after="120" w:afterLines="50" w:line="360" w:lineRule="auto"/>
        <w:ind w:firstLine="465" w:firstLineChars="155"/>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九、政策功能落实</w:t>
      </w:r>
    </w:p>
    <w:p w14:paraId="748A0E63">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rPr>
        <w:t>3</w:t>
      </w:r>
      <w:r>
        <w:rPr>
          <w:rFonts w:hint="eastAsia" w:ascii="方正楷体_GBK" w:hAnsi="方正楷体_GBK" w:eastAsia="方正楷体_GBK" w:cs="方正楷体_GBK"/>
          <w:color w:val="auto"/>
          <w:sz w:val="28"/>
          <w:highlight w:val="none"/>
        </w:rPr>
        <w:t>6</w:t>
      </w:r>
      <w:r>
        <w:rPr>
          <w:rFonts w:hint="eastAsia" w:ascii="方正楷体_GBK" w:hAnsi="方正楷体_GBK" w:eastAsia="方正楷体_GBK" w:cs="方正楷体_GBK"/>
          <w:color w:val="auto"/>
          <w:sz w:val="28"/>
          <w:highlight w:val="none"/>
          <w:lang w:val="zh-CN"/>
        </w:rPr>
        <w:t>.促进中小企业发展</w:t>
      </w:r>
    </w:p>
    <w:p w14:paraId="67980CA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 xml:space="preserve">36.1 </w:t>
      </w:r>
      <w:r>
        <w:rPr>
          <w:rFonts w:hint="eastAsia" w:ascii="宋体" w:hAnsi="宋体"/>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highlight w:val="none"/>
        </w:rPr>
        <w:t>&lt;</w:t>
      </w:r>
      <w:r>
        <w:rPr>
          <w:rFonts w:hint="eastAsia" w:ascii="宋体" w:hAnsi="宋体"/>
          <w:color w:val="auto"/>
          <w:sz w:val="24"/>
          <w:highlight w:val="none"/>
          <w:lang w:val="zh-CN"/>
        </w:rPr>
        <w:t>统计上大中小微型企业划分办法（2017）</w:t>
      </w:r>
      <w:r>
        <w:rPr>
          <w:rFonts w:hint="eastAsia" w:ascii="宋体" w:hAnsi="宋体"/>
          <w:color w:val="auto"/>
          <w:sz w:val="24"/>
          <w:highlight w:val="none"/>
        </w:rPr>
        <w:t>&gt;</w:t>
      </w:r>
      <w:r>
        <w:rPr>
          <w:rFonts w:hint="eastAsia" w:ascii="宋体" w:hAnsi="宋体"/>
          <w:color w:val="auto"/>
          <w:sz w:val="24"/>
          <w:highlight w:val="none"/>
          <w:lang w:val="zh-CN"/>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EEC10A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 xml:space="preserve">36.2 </w:t>
      </w:r>
      <w:r>
        <w:rPr>
          <w:rFonts w:hint="eastAsia" w:ascii="宋体" w:hAnsi="宋体"/>
          <w:color w:val="auto"/>
          <w:sz w:val="24"/>
          <w:highlight w:val="none"/>
          <w:lang w:val="zh-CN"/>
        </w:rPr>
        <w:t>中小企业参加政府采购活动，应当出具《中小企业声明函》，否则不享受相关中小企业</w:t>
      </w:r>
      <w:r>
        <w:rPr>
          <w:rFonts w:hint="eastAsia" w:ascii="宋体" w:hAnsi="宋体"/>
          <w:color w:val="auto"/>
          <w:sz w:val="24"/>
          <w:highlight w:val="none"/>
        </w:rPr>
        <w:t>支持</w:t>
      </w:r>
      <w:r>
        <w:rPr>
          <w:rFonts w:hint="eastAsia" w:ascii="宋体" w:hAnsi="宋体"/>
          <w:color w:val="auto"/>
          <w:sz w:val="24"/>
          <w:highlight w:val="none"/>
          <w:lang w:val="zh-CN"/>
        </w:rPr>
        <w:t>政策。</w:t>
      </w:r>
    </w:p>
    <w:p w14:paraId="187A6442">
      <w:pPr>
        <w:adjustRightInd w:val="0"/>
        <w:snapToGrid w:val="0"/>
        <w:spacing w:line="360" w:lineRule="auto"/>
        <w:ind w:firstLine="420" w:firstLineChars="175"/>
        <w:rPr>
          <w:rFonts w:ascii="宋体" w:hAnsi="宋体" w:cs="宋体"/>
          <w:b/>
          <w:bCs/>
          <w:color w:val="auto"/>
          <w:sz w:val="24"/>
          <w:szCs w:val="24"/>
          <w:highlight w:val="none"/>
        </w:rPr>
      </w:pPr>
      <w:r>
        <w:rPr>
          <w:rFonts w:hint="eastAsia" w:ascii="宋体" w:hAnsi="宋体"/>
          <w:color w:val="auto"/>
          <w:sz w:val="24"/>
          <w:highlight w:val="none"/>
        </w:rPr>
        <w:t xml:space="preserve">36.3 </w:t>
      </w:r>
      <w:r>
        <w:rPr>
          <w:rFonts w:hint="eastAsia" w:ascii="宋体" w:hAnsi="宋体" w:cs="宋体"/>
          <w:b/>
          <w:bCs/>
          <w:color w:val="auto"/>
          <w:sz w:val="24"/>
          <w:szCs w:val="24"/>
          <w:highlight w:val="none"/>
        </w:rPr>
        <w:t>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48FC6182">
      <w:pPr>
        <w:widowControl/>
        <w:adjustRightInd w:val="0"/>
        <w:snapToGrid w:val="0"/>
        <w:spacing w:line="360" w:lineRule="auto"/>
        <w:ind w:firstLine="420" w:firstLineChars="175"/>
        <w:rPr>
          <w:rFonts w:ascii="宋体" w:hAnsi="宋体"/>
          <w:color w:val="auto"/>
          <w:sz w:val="24"/>
          <w:highlight w:val="none"/>
        </w:rPr>
      </w:pPr>
      <w:r>
        <w:rPr>
          <w:rFonts w:hint="eastAsia" w:ascii="宋体" w:hAnsi="宋体" w:cs="宋体"/>
          <w:color w:val="auto"/>
          <w:sz w:val="24"/>
          <w:szCs w:val="24"/>
          <w:highlight w:val="none"/>
        </w:rPr>
        <w:t xml:space="preserve">36.4 </w:t>
      </w:r>
      <w:r>
        <w:rPr>
          <w:rFonts w:hint="eastAsia" w:ascii="宋体" w:hAnsi="宋体"/>
          <w:b/>
          <w:bCs/>
          <w:color w:val="auto"/>
          <w:sz w:val="24"/>
          <w:highlight w:val="none"/>
          <w:lang w:val="zh-CN"/>
        </w:rPr>
        <w:t>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color w:val="auto"/>
          <w:sz w:val="24"/>
          <w:highlight w:val="none"/>
          <w:lang w:val="zh-CN"/>
        </w:rPr>
        <w:t>。</w:t>
      </w:r>
    </w:p>
    <w:p w14:paraId="1B18902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 xml:space="preserve">36.5 </w:t>
      </w:r>
      <w:r>
        <w:rPr>
          <w:rFonts w:hint="eastAsia" w:ascii="宋体" w:hAnsi="宋体"/>
          <w:color w:val="auto"/>
          <w:sz w:val="24"/>
          <w:highlight w:val="none"/>
          <w:lang w:val="zh-CN"/>
        </w:rPr>
        <w:t>以联合体形式参加政府采购活动，联合体各方均为中小企业的，联合体视同中小企业。其中，联合体各方均为小微企业的，联合体视同小微企业。</w:t>
      </w:r>
    </w:p>
    <w:p w14:paraId="1EBFDEC5">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6</w:t>
      </w: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监狱和戒毒企业（统称监狱企业）视同小型、微型企业</w:t>
      </w:r>
      <w:r>
        <w:rPr>
          <w:rFonts w:hint="eastAsia" w:ascii="宋体" w:hAnsi="宋体"/>
          <w:color w:val="auto"/>
          <w:sz w:val="24"/>
          <w:highlight w:val="none"/>
          <w:lang w:val="zh-CN"/>
        </w:rPr>
        <w:t>。</w:t>
      </w:r>
      <w:r>
        <w:rPr>
          <w:rFonts w:hint="eastAsia" w:ascii="宋体" w:hAnsi="宋体"/>
          <w:color w:val="auto"/>
          <w:sz w:val="24"/>
          <w:highlight w:val="none"/>
        </w:rPr>
        <w:t>按照</w:t>
      </w:r>
      <w:r>
        <w:rPr>
          <w:rFonts w:hint="eastAsia" w:ascii="宋体" w:hAnsi="宋体"/>
          <w:color w:val="auto"/>
          <w:sz w:val="24"/>
          <w:highlight w:val="none"/>
          <w:lang w:val="zh-CN"/>
        </w:rPr>
        <w:t>《关于政府采购支持监狱企业发展有关问题的通知》（财库〔2014〕68号）</w:t>
      </w:r>
      <w:r>
        <w:rPr>
          <w:rFonts w:hint="eastAsia" w:ascii="宋体" w:hAnsi="宋体"/>
          <w:color w:val="auto"/>
          <w:sz w:val="24"/>
          <w:highlight w:val="none"/>
        </w:rPr>
        <w:t>规定，</w:t>
      </w:r>
      <w:r>
        <w:rPr>
          <w:rFonts w:hint="eastAsia" w:ascii="宋体" w:hAnsi="宋体"/>
          <w:color w:val="auto"/>
          <w:sz w:val="24"/>
          <w:highlight w:val="none"/>
          <w:lang w:val="zh-CN"/>
        </w:rPr>
        <w:t>监狱企业需提供由省级以上监狱管理局、戒毒管理局（含新疆生产建设兵团）出具的属于监狱企业的证明文件。</w:t>
      </w:r>
    </w:p>
    <w:p w14:paraId="2EDCC83E">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6</w:t>
      </w:r>
      <w:r>
        <w:rPr>
          <w:rFonts w:hint="eastAsia" w:ascii="宋体" w:hAnsi="宋体"/>
          <w:color w:val="auto"/>
          <w:sz w:val="24"/>
          <w:highlight w:val="none"/>
          <w:lang w:val="zh-CN"/>
        </w:rPr>
        <w:t>.</w:t>
      </w:r>
      <w:r>
        <w:rPr>
          <w:rFonts w:hint="eastAsia" w:ascii="宋体" w:hAnsi="宋体"/>
          <w:color w:val="auto"/>
          <w:sz w:val="24"/>
          <w:highlight w:val="none"/>
        </w:rPr>
        <w:t>7</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视同小型、微型企业</w:t>
      </w:r>
      <w:r>
        <w:rPr>
          <w:rFonts w:hint="eastAsia" w:ascii="宋体" w:hAnsi="宋体"/>
          <w:color w:val="auto"/>
          <w:sz w:val="24"/>
          <w:highlight w:val="none"/>
          <w:lang w:val="zh-CN"/>
        </w:rPr>
        <w:t>。</w:t>
      </w:r>
      <w:r>
        <w:rPr>
          <w:rFonts w:hint="eastAsia" w:ascii="宋体" w:hAnsi="宋体"/>
          <w:color w:val="auto"/>
          <w:sz w:val="24"/>
          <w:highlight w:val="none"/>
        </w:rPr>
        <w:t>按照《关于促进残疾人就业政府采购政策的通知》（财库〔2017〕141号）规定，</w:t>
      </w:r>
      <w:r>
        <w:rPr>
          <w:rFonts w:hint="eastAsia" w:ascii="宋体" w:hAnsi="宋体" w:cs="宋体"/>
          <w:color w:val="auto"/>
          <w:sz w:val="24"/>
          <w:szCs w:val="24"/>
          <w:highlight w:val="none"/>
        </w:rPr>
        <w:t>残疾人福利性单位</w:t>
      </w:r>
      <w:r>
        <w:rPr>
          <w:rFonts w:hint="eastAsia" w:ascii="宋体" w:hAnsi="宋体"/>
          <w:color w:val="auto"/>
          <w:sz w:val="24"/>
          <w:highlight w:val="none"/>
        </w:rPr>
        <w:t>需</w:t>
      </w:r>
      <w:r>
        <w:rPr>
          <w:rFonts w:hint="eastAsia" w:ascii="宋体" w:hAnsi="宋体"/>
          <w:color w:val="auto"/>
          <w:sz w:val="24"/>
          <w:highlight w:val="none"/>
          <w:lang w:val="zh-CN"/>
        </w:rPr>
        <w:t>提供《残疾人福利性单位声明函》。</w:t>
      </w:r>
    </w:p>
    <w:p w14:paraId="1AC0F3FB">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highlight w:val="none"/>
        </w:rPr>
      </w:pPr>
      <w:r>
        <w:rPr>
          <w:rFonts w:hint="eastAsia" w:ascii="方正楷体_GBK" w:hAnsi="方正楷体_GBK" w:eastAsia="方正楷体_GBK" w:cs="方正楷体_GBK"/>
          <w:color w:val="auto"/>
          <w:sz w:val="28"/>
          <w:highlight w:val="none"/>
          <w:lang w:val="zh-CN"/>
        </w:rPr>
        <w:t>3</w:t>
      </w:r>
      <w:r>
        <w:rPr>
          <w:rFonts w:hint="eastAsia" w:ascii="方正楷体_GBK" w:hAnsi="方正楷体_GBK" w:eastAsia="方正楷体_GBK" w:cs="方正楷体_GBK"/>
          <w:color w:val="auto"/>
          <w:sz w:val="28"/>
          <w:highlight w:val="none"/>
        </w:rPr>
        <w:t>7</w:t>
      </w:r>
      <w:r>
        <w:rPr>
          <w:rFonts w:hint="eastAsia" w:ascii="方正楷体_GBK" w:hAnsi="方正楷体_GBK" w:eastAsia="方正楷体_GBK" w:cs="方正楷体_GBK"/>
          <w:color w:val="auto"/>
          <w:sz w:val="28"/>
          <w:highlight w:val="none"/>
          <w:lang w:val="zh-CN"/>
        </w:rPr>
        <w:t>.</w:t>
      </w:r>
      <w:r>
        <w:rPr>
          <w:rFonts w:hint="eastAsia" w:ascii="方正楷体_GBK" w:hAnsi="方正楷体_GBK" w:eastAsia="方正楷体_GBK" w:cs="方正楷体_GBK"/>
          <w:color w:val="auto"/>
          <w:highlight w:val="none"/>
        </w:rPr>
        <w:t>节能产品和环境标志产品</w:t>
      </w:r>
    </w:p>
    <w:p w14:paraId="3FBA0252">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364C5EA">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37.2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4CE1FCF9">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37.3 采购产品</w:t>
      </w:r>
      <w:r>
        <w:rPr>
          <w:rFonts w:hint="eastAsia" w:ascii="宋体" w:hAnsi="宋体"/>
          <w:color w:val="auto"/>
          <w:sz w:val="24"/>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第五章</w:t>
      </w:r>
      <w:r>
        <w:rPr>
          <w:rFonts w:hint="eastAsia" w:ascii="宋体" w:hAnsi="宋体"/>
          <w:color w:val="auto"/>
          <w:sz w:val="24"/>
          <w:highlight w:val="none"/>
          <w:lang w:val="zh-CN"/>
        </w:rPr>
        <w:t>）。</w:t>
      </w:r>
    </w:p>
    <w:p w14:paraId="0C1FB3EC">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highlight w:val="none"/>
        </w:rPr>
      </w:pPr>
      <w:r>
        <w:rPr>
          <w:rFonts w:hint="eastAsia" w:ascii="方正楷体_GBK" w:hAnsi="方正楷体_GBK" w:eastAsia="方正楷体_GBK" w:cs="方正楷体_GBK"/>
          <w:color w:val="auto"/>
          <w:sz w:val="28"/>
          <w:highlight w:val="none"/>
        </w:rPr>
        <w:t>38</w:t>
      </w:r>
      <w:r>
        <w:rPr>
          <w:rFonts w:hint="eastAsia" w:ascii="方正楷体_GBK" w:hAnsi="方正楷体_GBK" w:eastAsia="方正楷体_GBK" w:cs="方正楷体_GBK"/>
          <w:color w:val="auto"/>
          <w:sz w:val="28"/>
          <w:highlight w:val="none"/>
          <w:lang w:val="zh-CN"/>
        </w:rPr>
        <w:t>.</w:t>
      </w:r>
      <w:r>
        <w:rPr>
          <w:rFonts w:hint="eastAsia" w:ascii="方正楷体_GBK" w:hAnsi="方正楷体_GBK" w:eastAsia="方正楷体_GBK" w:cs="方正楷体_GBK"/>
          <w:color w:val="auto"/>
          <w:sz w:val="28"/>
          <w:highlight w:val="none"/>
        </w:rPr>
        <w:t>绿色采购</w:t>
      </w:r>
    </w:p>
    <w:p w14:paraId="04CD0054">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38.1 采购产品</w:t>
      </w:r>
      <w:r>
        <w:rPr>
          <w:rFonts w:hint="eastAsia" w:ascii="宋体"/>
          <w:bCs/>
          <w:color w:val="auto"/>
          <w:sz w:val="24"/>
          <w:szCs w:val="24"/>
          <w:highlight w:val="none"/>
        </w:rPr>
        <w:t>中涉及商品包装、快递包装要求的，应按照</w:t>
      </w:r>
      <w:r>
        <w:rPr>
          <w:rFonts w:hint="eastAsia" w:ascii="宋体" w:hAnsi="宋体"/>
          <w:color w:val="auto"/>
          <w:kern w:val="2"/>
          <w:sz w:val="24"/>
          <w:highlight w:val="none"/>
        </w:rPr>
        <w:t>《关于印发&lt;商品包装政府采购需求标准（试行）&gt;、&lt;快递包装政府采购需求标准（试行）&gt;的通知》（财办库〔2020〕123号）、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文件执行。磋商文件对</w:t>
      </w:r>
      <w:r>
        <w:rPr>
          <w:rFonts w:hint="eastAsia" w:ascii="宋体"/>
          <w:bCs/>
          <w:color w:val="auto"/>
          <w:sz w:val="24"/>
          <w:szCs w:val="24"/>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1533BF5E">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38.2 采购产品中涉及数据中心相关设备、运维服务的，应按照《关于印发</w:t>
      </w:r>
      <w:r>
        <w:rPr>
          <w:rFonts w:hint="eastAsia" w:ascii="宋体" w:hAnsi="宋体"/>
          <w:color w:val="auto"/>
          <w:kern w:val="2"/>
          <w:sz w:val="24"/>
          <w:highlight w:val="none"/>
        </w:rPr>
        <w:t>&lt;</w:t>
      </w:r>
      <w:r>
        <w:rPr>
          <w:rFonts w:hint="eastAsia" w:ascii="宋体" w:hAnsi="宋体"/>
          <w:color w:val="auto"/>
          <w:sz w:val="24"/>
          <w:highlight w:val="none"/>
        </w:rPr>
        <w:t>绿色数据中心政府采购需求标准（试行）&gt;的通知》（财办库〔2023〕7号）、</w:t>
      </w:r>
      <w:r>
        <w:rPr>
          <w:rFonts w:hint="eastAsia" w:ascii="宋体" w:hAnsi="宋体" w:cs="宋体"/>
          <w:color w:val="auto"/>
          <w:sz w:val="24"/>
          <w:szCs w:val="24"/>
          <w:highlight w:val="none"/>
        </w:rPr>
        <w:t>《江苏省财政厅关于加强政府绿色采购有关事项的通知》（苏财购〔2023〕65号）</w:t>
      </w:r>
      <w:r>
        <w:rPr>
          <w:rFonts w:hint="eastAsia" w:ascii="宋体" w:hAnsi="宋体"/>
          <w:color w:val="auto"/>
          <w:sz w:val="24"/>
          <w:highlight w:val="none"/>
        </w:rPr>
        <w:t>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7B620153">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45853E">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C42E77D">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highlight w:val="none"/>
        </w:rPr>
      </w:pPr>
      <w:r>
        <w:rPr>
          <w:rFonts w:hint="eastAsia" w:ascii="方正楷体_GBK" w:hAnsi="方正楷体_GBK" w:eastAsia="方正楷体_GBK" w:cs="方正楷体_GBK"/>
          <w:color w:val="auto"/>
          <w:sz w:val="28"/>
          <w:highlight w:val="none"/>
        </w:rPr>
        <w:t>39</w:t>
      </w:r>
      <w:r>
        <w:rPr>
          <w:rFonts w:hint="eastAsia" w:ascii="方正楷体_GBK" w:hAnsi="方正楷体_GBK" w:eastAsia="方正楷体_GBK" w:cs="方正楷体_GBK"/>
          <w:color w:val="auto"/>
          <w:sz w:val="28"/>
          <w:highlight w:val="none"/>
          <w:lang w:val="zh-CN"/>
        </w:rPr>
        <w:t>.</w:t>
      </w:r>
      <w:r>
        <w:rPr>
          <w:rFonts w:hint="eastAsia" w:ascii="方正楷体_GBK" w:hAnsi="方正楷体_GBK" w:eastAsia="方正楷体_GBK" w:cs="方正楷体_GBK"/>
          <w:color w:val="auto"/>
          <w:sz w:val="28"/>
          <w:highlight w:val="none"/>
        </w:rPr>
        <w:t>创新产品采购</w:t>
      </w:r>
    </w:p>
    <w:p w14:paraId="1AF0B401">
      <w:pPr>
        <w:widowControl/>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39.1 优先采购各级政府部门公开发布的有效期内的创新产品、首台套等《目录》内的创新产品。创新产品自进入《目录》起2年内视同具备相应销售业绩。</w:t>
      </w:r>
    </w:p>
    <w:p w14:paraId="38197672">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highlight w:val="none"/>
        </w:rPr>
      </w:pPr>
      <w:r>
        <w:rPr>
          <w:rFonts w:hint="eastAsia" w:ascii="方正楷体_GBK" w:hAnsi="方正楷体_GBK" w:eastAsia="方正楷体_GBK" w:cs="方正楷体_GBK"/>
          <w:color w:val="auto"/>
          <w:sz w:val="28"/>
          <w:highlight w:val="none"/>
        </w:rPr>
        <w:t>40.</w:t>
      </w:r>
      <w:r>
        <w:rPr>
          <w:rFonts w:hint="eastAsia" w:ascii="方正楷体_GBK" w:hAnsi="方正楷体_GBK" w:eastAsia="方正楷体_GBK" w:cs="方正楷体_GBK"/>
          <w:color w:val="auto"/>
          <w:sz w:val="28"/>
          <w:highlight w:val="none"/>
          <w:lang w:val="zh-CN"/>
        </w:rPr>
        <w:t>网络产品、市场准入类产品采购</w:t>
      </w:r>
    </w:p>
    <w:p w14:paraId="372DBF3C">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 xml:space="preserve">40.1 </w:t>
      </w:r>
      <w:r>
        <w:rPr>
          <w:rFonts w:hint="eastAsia" w:ascii="宋体" w:hAnsi="宋体"/>
          <w:color w:val="auto"/>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0C5F1F1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 xml:space="preserve">40.2 </w:t>
      </w:r>
      <w:r>
        <w:rPr>
          <w:rFonts w:hint="eastAsia" w:ascii="宋体" w:hAnsi="宋体"/>
          <w:color w:val="auto"/>
          <w:sz w:val="24"/>
          <w:highlight w:val="none"/>
          <w:lang w:val="zh-CN"/>
        </w:rPr>
        <w:t>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14:paraId="36EFD43D">
      <w:pPr>
        <w:pStyle w:val="9"/>
        <w:adjustRightInd w:val="0"/>
        <w:snapToGrid w:val="0"/>
        <w:spacing w:before="0" w:after="0" w:line="360" w:lineRule="auto"/>
        <w:ind w:firstLine="420" w:firstLineChars="150"/>
        <w:rPr>
          <w:rFonts w:ascii="方正楷体_GBK" w:hAnsi="方正楷体_GBK" w:eastAsia="方正楷体_GBK" w:cs="方正楷体_GBK"/>
          <w:color w:val="auto"/>
          <w:sz w:val="28"/>
          <w:szCs w:val="28"/>
          <w:highlight w:val="none"/>
          <w:lang w:val="zh-CN"/>
        </w:rPr>
      </w:pPr>
      <w:r>
        <w:rPr>
          <w:rFonts w:hint="eastAsia" w:ascii="方正楷体_GBK" w:hAnsi="方正楷体_GBK" w:eastAsia="方正楷体_GBK" w:cs="方正楷体_GBK"/>
          <w:color w:val="auto"/>
          <w:sz w:val="28"/>
          <w:highlight w:val="none"/>
          <w:lang w:val="zh-CN"/>
        </w:rPr>
        <w:t>4</w:t>
      </w:r>
      <w:r>
        <w:rPr>
          <w:rFonts w:hint="eastAsia" w:ascii="方正楷体_GBK" w:hAnsi="方正楷体_GBK" w:eastAsia="方正楷体_GBK" w:cs="方正楷体_GBK"/>
          <w:color w:val="auto"/>
          <w:sz w:val="28"/>
          <w:highlight w:val="none"/>
        </w:rPr>
        <w:t>1</w:t>
      </w:r>
      <w:r>
        <w:rPr>
          <w:rFonts w:hint="eastAsia" w:ascii="方正楷体_GBK" w:hAnsi="方正楷体_GBK" w:eastAsia="方正楷体_GBK" w:cs="方正楷体_GBK"/>
          <w:color w:val="auto"/>
          <w:sz w:val="28"/>
          <w:highlight w:val="none"/>
          <w:lang w:val="zh-CN"/>
        </w:rPr>
        <w:t>.</w:t>
      </w:r>
      <w:r>
        <w:rPr>
          <w:rFonts w:hint="eastAsia" w:ascii="方正楷体_GBK" w:hAnsi="方正楷体_GBK" w:eastAsia="方正楷体_GBK" w:cs="方正楷体_GBK"/>
          <w:color w:val="auto"/>
          <w:sz w:val="28"/>
          <w:szCs w:val="28"/>
          <w:highlight w:val="none"/>
          <w:lang w:val="zh-CN"/>
        </w:rPr>
        <w:t>实施本国产品标准及相关政策</w:t>
      </w:r>
    </w:p>
    <w:p w14:paraId="3DA47ED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rPr>
        <w:t>41.</w:t>
      </w:r>
      <w:r>
        <w:rPr>
          <w:rFonts w:hint="eastAsia" w:ascii="宋体" w:hAnsi="宋体"/>
          <w:color w:val="auto"/>
          <w:sz w:val="24"/>
          <w:highlight w:val="none"/>
          <w:lang w:val="zh-CN"/>
        </w:rPr>
        <w:t>1</w:t>
      </w:r>
      <w:r>
        <w:rPr>
          <w:rFonts w:hint="eastAsia" w:ascii="宋体" w:hAnsi="宋体"/>
          <w:color w:val="auto"/>
          <w:sz w:val="24"/>
          <w:highlight w:val="none"/>
        </w:rPr>
        <w:t>根据《国务院办公厅关于在政府采购中实施本国产品标准及相关政策的通知》（国办发〔2025〕34号）、《关于贯彻落实</w:t>
      </w:r>
      <w:r>
        <w:rPr>
          <w:rFonts w:hint="eastAsia" w:ascii="宋体" w:hAnsi="宋体"/>
          <w:color w:val="auto"/>
          <w:kern w:val="2"/>
          <w:sz w:val="24"/>
          <w:highlight w:val="none"/>
        </w:rPr>
        <w:t>&lt;</w:t>
      </w:r>
      <w:r>
        <w:rPr>
          <w:rFonts w:hint="eastAsia" w:ascii="宋体" w:hAnsi="宋体"/>
          <w:color w:val="auto"/>
          <w:sz w:val="24"/>
          <w:highlight w:val="none"/>
        </w:rPr>
        <w: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w:t>
      </w:r>
    </w:p>
    <w:p w14:paraId="3AA86FDC">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4</w:t>
      </w:r>
      <w:r>
        <w:rPr>
          <w:rFonts w:hint="eastAsia" w:ascii="宋体" w:hAnsi="宋体"/>
          <w:color w:val="auto"/>
          <w:sz w:val="24"/>
          <w:highlight w:val="none"/>
        </w:rPr>
        <w:t>1</w:t>
      </w:r>
      <w:r>
        <w:rPr>
          <w:rFonts w:hint="eastAsia" w:ascii="宋体" w:hAnsi="宋体"/>
          <w:color w:val="auto"/>
          <w:sz w:val="24"/>
          <w:highlight w:val="none"/>
          <w:lang w:val="zh-CN"/>
        </w:rPr>
        <w:t>.2本国产品应当符合以下条件：</w:t>
      </w:r>
    </w:p>
    <w:p w14:paraId="1246140E">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（1）在中国境内生产</w:t>
      </w:r>
    </w:p>
    <w:p w14:paraId="1FC8F330">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5ABE2E5E">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4B91516">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（2）在中国境内生产的组件成本占比达到规定比例</w:t>
      </w:r>
    </w:p>
    <w:p w14:paraId="0B008347">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624AD19A">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（3）特定产品的关键组件、关键工序符合相关要求</w:t>
      </w:r>
    </w:p>
    <w:p w14:paraId="76785C8A">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对特定产品，在符合本通知第一条第（一）项和第（二）项条件的基础上，应当符合财政部会同有关行业主管部门确定的其关键组件、关键工序在中国境内生产、完成等要求。</w:t>
      </w:r>
    </w:p>
    <w:p w14:paraId="7624757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4</w:t>
      </w:r>
      <w:r>
        <w:rPr>
          <w:rFonts w:hint="eastAsia" w:ascii="宋体" w:hAnsi="宋体"/>
          <w:color w:val="auto"/>
          <w:sz w:val="24"/>
          <w:highlight w:val="none"/>
        </w:rPr>
        <w:t>1</w:t>
      </w:r>
      <w:r>
        <w:rPr>
          <w:rFonts w:hint="eastAsia" w:ascii="宋体" w:hAnsi="宋体"/>
          <w:color w:val="auto"/>
          <w:sz w:val="24"/>
          <w:highlight w:val="none"/>
          <w:lang w:val="zh-CN"/>
        </w:rPr>
        <w:t>.3本国产品标准的适用范围</w:t>
      </w:r>
    </w:p>
    <w:p w14:paraId="46F3CA2C">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46CA73">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41.4对本国产品的支持政策</w:t>
      </w:r>
    </w:p>
    <w:p w14:paraId="66F956FD">
      <w:pPr>
        <w:adjustRightInd w:val="0"/>
        <w:snapToGrid w:val="0"/>
        <w:spacing w:line="360" w:lineRule="auto"/>
        <w:ind w:firstLine="422" w:firstLineChars="175"/>
        <w:rPr>
          <w:rFonts w:ascii="宋体" w:hAnsi="宋体"/>
          <w:b/>
          <w:bCs/>
          <w:color w:val="auto"/>
          <w:sz w:val="24"/>
          <w:highlight w:val="none"/>
        </w:rPr>
      </w:pPr>
      <w:r>
        <w:rPr>
          <w:rFonts w:hint="eastAsia" w:ascii="宋体" w:hAnsi="宋体"/>
          <w:b/>
          <w:bCs/>
          <w:color w:val="auto"/>
          <w:sz w:val="24"/>
          <w:highlight w:val="none"/>
        </w:rPr>
        <w:t>本项目如</w:t>
      </w:r>
      <w:r>
        <w:rPr>
          <w:rFonts w:hint="eastAsia" w:ascii="宋体" w:hAnsi="宋体"/>
          <w:b/>
          <w:bCs/>
          <w:color w:val="auto"/>
          <w:sz w:val="24"/>
          <w:highlight w:val="none"/>
          <w:lang w:val="zh-CN"/>
        </w:rPr>
        <w:t>既有本国产品又有非本国产品参与竞争，依法对本国产品给予价格评审优惠，</w:t>
      </w:r>
      <w:r>
        <w:rPr>
          <w:rFonts w:hint="eastAsia" w:ascii="宋体" w:hAnsi="宋体"/>
          <w:b/>
          <w:bCs/>
          <w:color w:val="auto"/>
          <w:sz w:val="24"/>
          <w:highlight w:val="none"/>
        </w:rPr>
        <w:t>具体详见第五章。</w:t>
      </w:r>
    </w:p>
    <w:p w14:paraId="2BEC7E95">
      <w:pPr>
        <w:adjustRightInd w:val="0"/>
        <w:snapToGrid w:val="0"/>
        <w:spacing w:line="360" w:lineRule="auto"/>
        <w:ind w:firstLine="420" w:firstLineChars="175"/>
        <w:rPr>
          <w:rFonts w:ascii="宋体" w:hAnsi="宋体"/>
          <w:color w:val="auto"/>
          <w:sz w:val="24"/>
          <w:highlight w:val="none"/>
        </w:rPr>
      </w:pPr>
      <w:r>
        <w:rPr>
          <w:rFonts w:hint="eastAsia" w:ascii="宋体" w:hAnsi="宋体"/>
          <w:color w:val="auto"/>
          <w:sz w:val="24"/>
          <w:highlight w:val="none"/>
        </w:rPr>
        <w:t>41.5政策执行要求</w:t>
      </w:r>
    </w:p>
    <w:p w14:paraId="57B23962">
      <w:pPr>
        <w:adjustRightInd w:val="0"/>
        <w:snapToGrid w:val="0"/>
        <w:spacing w:line="360" w:lineRule="auto"/>
        <w:ind w:firstLine="420" w:firstLineChars="175"/>
        <w:rPr>
          <w:rFonts w:ascii="宋体" w:hAnsi="宋体" w:cs="宋体"/>
          <w:color w:val="auto"/>
          <w:sz w:val="24"/>
          <w:szCs w:val="24"/>
          <w:highlight w:val="none"/>
          <w:shd w:val="clear" w:color="auto" w:fill="FFFFFF"/>
        </w:rPr>
      </w:pPr>
      <w:r>
        <w:rPr>
          <w:rFonts w:hint="eastAsia" w:ascii="宋体" w:hAnsi="宋体"/>
          <w:color w:val="auto"/>
          <w:sz w:val="24"/>
          <w:highlight w:val="none"/>
          <w:lang w:val="zh-CN"/>
        </w:rPr>
        <w:t>（</w:t>
      </w:r>
      <w:r>
        <w:rPr>
          <w:rFonts w:hint="eastAsia" w:ascii="宋体" w:hAnsi="宋体"/>
          <w:color w:val="auto"/>
          <w:sz w:val="24"/>
          <w:highlight w:val="none"/>
        </w:rPr>
        <w:t>1</w:t>
      </w:r>
      <w:r>
        <w:rPr>
          <w:rFonts w:hint="eastAsia" w:ascii="宋体" w:hAnsi="宋体"/>
          <w:color w:val="auto"/>
          <w:sz w:val="24"/>
          <w:highlight w:val="none"/>
          <w:lang w:val="zh-CN"/>
        </w:rPr>
        <w:t>）产品在中国境内生产的组件成本核算规则。产品在中国境内生产的组件成本，按照《中国境内生产的组件成本核算基本规则》计算，</w:t>
      </w:r>
      <w:r>
        <w:rPr>
          <w:rFonts w:hint="eastAsia" w:ascii="宋体" w:hAnsi="宋体"/>
          <w:color w:val="auto"/>
          <w:sz w:val="24"/>
          <w:highlight w:val="none"/>
        </w:rPr>
        <w:t>详见</w:t>
      </w:r>
      <w:r>
        <w:rPr>
          <w:rFonts w:hint="eastAsia" w:ascii="宋体" w:hAnsi="宋体" w:cs="宋体"/>
          <w:color w:val="auto"/>
          <w:sz w:val="24"/>
          <w:szCs w:val="24"/>
          <w:highlight w:val="none"/>
          <w:shd w:val="clear" w:color="auto" w:fill="FFFFFF"/>
        </w:rPr>
        <w:t>《国务院办公厅关于在政府采购中实施本国产品标准及相关政策的通知》（国办发〔2025〕34号）规定。</w:t>
      </w:r>
    </w:p>
    <w:p w14:paraId="05723B8B">
      <w:pPr>
        <w:adjustRightInd w:val="0"/>
        <w:snapToGrid w:val="0"/>
        <w:spacing w:line="360" w:lineRule="auto"/>
        <w:ind w:firstLine="420" w:firstLineChars="175"/>
        <w:rPr>
          <w:rFonts w:ascii="宋体" w:hAnsi="宋体"/>
          <w:b/>
          <w:bCs/>
          <w:color w:val="auto"/>
          <w:sz w:val="24"/>
          <w:highlight w:val="none"/>
        </w:rPr>
      </w:pPr>
      <w:r>
        <w:rPr>
          <w:rFonts w:hint="eastAsia" w:ascii="宋体" w:hAnsi="宋体"/>
          <w:color w:val="auto"/>
          <w:sz w:val="24"/>
          <w:highlight w:val="none"/>
          <w:lang w:val="zh-CN"/>
        </w:rPr>
        <w:t>（2）有关证明文件。</w:t>
      </w:r>
      <w:r>
        <w:rPr>
          <w:rFonts w:hint="eastAsia" w:ascii="宋体" w:hAnsi="宋体"/>
          <w:b/>
          <w:bCs/>
          <w:color w:val="auto"/>
          <w:sz w:val="24"/>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p>
    <w:p w14:paraId="328EEDE3">
      <w:pPr>
        <w:adjustRightInd w:val="0"/>
        <w:snapToGrid w:val="0"/>
        <w:spacing w:line="360" w:lineRule="auto"/>
        <w:ind w:firstLine="420" w:firstLineChars="175"/>
        <w:rPr>
          <w:rFonts w:ascii="宋体" w:hAnsi="宋体"/>
          <w:color w:val="auto"/>
          <w:sz w:val="24"/>
          <w:highlight w:val="none"/>
          <w:lang w:val="zh-CN"/>
        </w:rPr>
      </w:pPr>
      <w:r>
        <w:rPr>
          <w:rFonts w:hint="eastAsia" w:ascii="宋体" w:hAnsi="宋体"/>
          <w:color w:val="auto"/>
          <w:sz w:val="24"/>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D010955">
      <w:pPr>
        <w:pStyle w:val="297"/>
        <w:spacing w:line="360" w:lineRule="auto"/>
        <w:rPr>
          <w:rFonts w:ascii="宋体" w:hAnsi="宋体" w:eastAsia="宋体" w:cs="Times New Roman"/>
          <w:color w:val="auto"/>
          <w:sz w:val="24"/>
          <w:highlight w:val="none"/>
        </w:rPr>
      </w:pPr>
    </w:p>
    <w:p w14:paraId="69177078">
      <w:pPr>
        <w:spacing w:line="360" w:lineRule="auto"/>
        <w:jc w:val="center"/>
        <w:rPr>
          <w:rFonts w:ascii="黑体" w:eastAsia="黑体"/>
          <w:color w:val="auto"/>
          <w:sz w:val="44"/>
          <w:szCs w:val="44"/>
          <w:highlight w:val="none"/>
        </w:rPr>
      </w:pPr>
    </w:p>
    <w:p w14:paraId="0D4CC4BB">
      <w:pPr>
        <w:spacing w:line="360" w:lineRule="auto"/>
        <w:rPr>
          <w:rFonts w:ascii="黑体" w:eastAsia="黑体"/>
          <w:color w:val="auto"/>
          <w:sz w:val="44"/>
          <w:szCs w:val="44"/>
          <w:highlight w:val="none"/>
        </w:rPr>
      </w:pPr>
    </w:p>
    <w:p w14:paraId="5505F625">
      <w:pPr>
        <w:pStyle w:val="313"/>
        <w:rPr>
          <w:rFonts w:ascii="黑体" w:eastAsia="黑体"/>
          <w:color w:val="auto"/>
          <w:sz w:val="44"/>
          <w:szCs w:val="44"/>
          <w:highlight w:val="none"/>
        </w:rPr>
      </w:pPr>
    </w:p>
    <w:p w14:paraId="5E181EBA">
      <w:pPr>
        <w:rPr>
          <w:rFonts w:ascii="黑体" w:eastAsia="黑体"/>
          <w:color w:val="auto"/>
          <w:sz w:val="44"/>
          <w:szCs w:val="44"/>
          <w:highlight w:val="none"/>
        </w:rPr>
      </w:pPr>
    </w:p>
    <w:p w14:paraId="5F9D17F9">
      <w:pPr>
        <w:pStyle w:val="313"/>
        <w:rPr>
          <w:rFonts w:ascii="黑体" w:eastAsia="黑体"/>
          <w:color w:val="auto"/>
          <w:sz w:val="44"/>
          <w:szCs w:val="44"/>
          <w:highlight w:val="none"/>
        </w:rPr>
      </w:pPr>
    </w:p>
    <w:p w14:paraId="67749DE2">
      <w:pPr>
        <w:rPr>
          <w:rFonts w:ascii="黑体" w:eastAsia="黑体"/>
          <w:color w:val="auto"/>
          <w:sz w:val="44"/>
          <w:szCs w:val="44"/>
          <w:highlight w:val="none"/>
        </w:rPr>
      </w:pPr>
    </w:p>
    <w:p w14:paraId="2F7A10D7">
      <w:pPr>
        <w:pStyle w:val="313"/>
        <w:rPr>
          <w:rFonts w:ascii="黑体" w:eastAsia="黑体"/>
          <w:color w:val="auto"/>
          <w:sz w:val="44"/>
          <w:szCs w:val="44"/>
          <w:highlight w:val="none"/>
        </w:rPr>
      </w:pPr>
    </w:p>
    <w:p w14:paraId="2D536C3D">
      <w:pPr>
        <w:rPr>
          <w:rFonts w:ascii="黑体" w:eastAsia="黑体"/>
          <w:color w:val="auto"/>
          <w:sz w:val="44"/>
          <w:szCs w:val="44"/>
          <w:highlight w:val="none"/>
        </w:rPr>
      </w:pPr>
    </w:p>
    <w:p w14:paraId="791B56FC">
      <w:pPr>
        <w:pStyle w:val="313"/>
        <w:rPr>
          <w:rFonts w:ascii="黑体" w:eastAsia="黑体"/>
          <w:color w:val="auto"/>
          <w:sz w:val="44"/>
          <w:szCs w:val="44"/>
          <w:highlight w:val="none"/>
        </w:rPr>
      </w:pPr>
    </w:p>
    <w:p w14:paraId="5DC242F5">
      <w:pPr>
        <w:rPr>
          <w:rFonts w:ascii="黑体" w:eastAsia="黑体"/>
          <w:color w:val="auto"/>
          <w:sz w:val="44"/>
          <w:szCs w:val="44"/>
          <w:highlight w:val="none"/>
        </w:rPr>
      </w:pPr>
    </w:p>
    <w:p w14:paraId="1232BDC7">
      <w:pPr>
        <w:pStyle w:val="313"/>
        <w:rPr>
          <w:rFonts w:ascii="黑体" w:eastAsia="黑体"/>
          <w:color w:val="auto"/>
          <w:sz w:val="44"/>
          <w:szCs w:val="44"/>
          <w:highlight w:val="none"/>
        </w:rPr>
      </w:pPr>
    </w:p>
    <w:p w14:paraId="076269F9">
      <w:pPr>
        <w:rPr>
          <w:rFonts w:ascii="Times New Roman" w:eastAsia="宋体"/>
          <w:sz w:val="21"/>
          <w:szCs w:val="22"/>
        </w:rPr>
      </w:pPr>
    </w:p>
    <w:bookmarkEnd w:id="140"/>
    <w:bookmarkEnd w:id="141"/>
    <w:bookmarkEnd w:id="142"/>
    <w:bookmarkEnd w:id="143"/>
    <w:bookmarkEnd w:id="144"/>
    <w:p w14:paraId="59B80C3B">
      <w:pPr>
        <w:pStyle w:val="191"/>
        <w:spacing w:line="360" w:lineRule="auto"/>
        <w:rPr>
          <w:rFonts w:ascii="黑体" w:hAnsi="黑体" w:eastAsia="黑体" w:cs="黑体"/>
          <w:color w:val="auto"/>
          <w:sz w:val="44"/>
          <w:szCs w:val="44"/>
          <w:highlight w:val="none"/>
        </w:rPr>
      </w:pPr>
      <w:bookmarkStart w:id="149" w:name="_Toc4630"/>
      <w:bookmarkStart w:id="150" w:name="_Toc15730"/>
      <w:bookmarkStart w:id="151" w:name="_Toc20823346"/>
      <w:bookmarkStart w:id="152" w:name="_Toc120614244"/>
      <w:bookmarkStart w:id="153" w:name="_Hlt16619350"/>
      <w:bookmarkStart w:id="154" w:name="_Toc16938590"/>
      <w:bookmarkStart w:id="155" w:name="_Toc120614281"/>
      <w:bookmarkStart w:id="156" w:name="_Toc462564139"/>
      <w:bookmarkStart w:id="157" w:name="_Toc26554093"/>
      <w:bookmarkStart w:id="158" w:name="_Toc49090575"/>
      <w:bookmarkStart w:id="159" w:name="_Toc479757211"/>
      <w:r>
        <w:rPr>
          <w:rFonts w:hint="eastAsia" w:ascii="黑体" w:hAnsi="黑体" w:eastAsia="黑体" w:cs="黑体"/>
          <w:color w:val="auto"/>
          <w:sz w:val="44"/>
          <w:szCs w:val="44"/>
          <w:highlight w:val="none"/>
        </w:rPr>
        <w:t>第三章  合同文本</w:t>
      </w:r>
      <w:bookmarkEnd w:id="149"/>
      <w:bookmarkEnd w:id="150"/>
    </w:p>
    <w:p w14:paraId="124B5CC7">
      <w:pPr>
        <w:spacing w:before="120" w:after="120" w:line="360" w:lineRule="auto"/>
        <w:jc w:val="center"/>
        <w:outlineLvl w:val="0"/>
        <w:rPr>
          <w:rFonts w:ascii="宋体" w:hAnsi="宋体"/>
          <w:bCs/>
          <w:color w:val="auto"/>
          <w:sz w:val="24"/>
          <w:szCs w:val="21"/>
          <w:highlight w:val="none"/>
        </w:rPr>
      </w:pPr>
      <w:bookmarkStart w:id="160" w:name="_Toc20823315"/>
      <w:bookmarkStart w:id="161" w:name="_Toc513029243"/>
      <w:bookmarkStart w:id="162" w:name="_Toc16938559"/>
      <w:r>
        <w:rPr>
          <w:rFonts w:hint="eastAsia" w:ascii="宋体" w:hAnsi="宋体"/>
          <w:bCs/>
          <w:color w:val="auto"/>
          <w:sz w:val="24"/>
          <w:szCs w:val="21"/>
          <w:highlight w:val="none"/>
        </w:rPr>
        <w:t>以下为本项目的合同条款，合同双方不得对招标、投标文件内容作实质性修改。</w:t>
      </w:r>
    </w:p>
    <w:p w14:paraId="7FCCD5AB">
      <w:pPr>
        <w:pStyle w:val="297"/>
        <w:spacing w:line="360" w:lineRule="auto"/>
        <w:ind w:left="0"/>
        <w:rPr>
          <w:color w:val="auto"/>
          <w:highlight w:val="none"/>
        </w:rPr>
      </w:pPr>
    </w:p>
    <w:p w14:paraId="30CE3705">
      <w:pPr>
        <w:spacing w:before="120" w:after="120" w:line="360" w:lineRule="auto"/>
        <w:jc w:val="center"/>
        <w:outlineLvl w:val="0"/>
        <w:rPr>
          <w:rFonts w:ascii="方正小标宋简体" w:hAnsi="方正小标宋简体" w:eastAsia="方正小标宋简体" w:cs="方正小标宋简体"/>
          <w:bCs/>
          <w:color w:val="auto"/>
          <w:sz w:val="32"/>
          <w:szCs w:val="32"/>
          <w:highlight w:val="none"/>
        </w:rPr>
      </w:pPr>
      <w:r>
        <w:rPr>
          <w:rFonts w:hint="eastAsia" w:ascii="方正小标宋简体" w:hAnsi="方正小标宋简体" w:eastAsia="方正小标宋简体" w:cs="方正小标宋简体"/>
          <w:bCs/>
          <w:color w:val="auto"/>
          <w:sz w:val="32"/>
          <w:szCs w:val="32"/>
          <w:highlight w:val="none"/>
        </w:rPr>
        <w:t>南京市政府采购合同（服务）</w:t>
      </w:r>
    </w:p>
    <w:p w14:paraId="0A76C404">
      <w:pPr>
        <w:spacing w:before="120" w:after="120" w:line="360"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合同编号：</w:t>
      </w:r>
    </w:p>
    <w:p w14:paraId="5ED431D4">
      <w:pPr>
        <w:spacing w:before="120" w:after="120" w:line="360" w:lineRule="auto"/>
        <w:outlineLvl w:val="0"/>
        <w:rPr>
          <w:rFonts w:ascii="宋体" w:hAnsi="宋体" w:cs="Courier New"/>
          <w:color w:val="auto"/>
          <w:sz w:val="24"/>
          <w:szCs w:val="24"/>
          <w:highlight w:val="none"/>
        </w:rPr>
      </w:pPr>
      <w:r>
        <w:rPr>
          <w:rFonts w:ascii="宋体" w:hAnsi="宋体" w:cs="Courier New"/>
          <w:color w:val="auto"/>
          <w:sz w:val="24"/>
          <w:szCs w:val="24"/>
          <w:highlight w:val="none"/>
        </w:rPr>
        <w:t>项目名称：                                       项目编号：</w:t>
      </w:r>
    </w:p>
    <w:p w14:paraId="2283940D">
      <w:pPr>
        <w:spacing w:before="120" w:after="120" w:line="360"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甲方：（买方）</w:t>
      </w:r>
    </w:p>
    <w:p w14:paraId="5D3F92B7">
      <w:pPr>
        <w:spacing w:before="120" w:after="120" w:line="360" w:lineRule="auto"/>
        <w:jc w:val="left"/>
        <w:outlineLvl w:val="0"/>
        <w:rPr>
          <w:rFonts w:ascii="宋体" w:hAnsi="宋体" w:cs="Courier New"/>
          <w:color w:val="auto"/>
          <w:sz w:val="24"/>
          <w:szCs w:val="24"/>
          <w:highlight w:val="none"/>
        </w:rPr>
      </w:pPr>
      <w:r>
        <w:rPr>
          <w:rFonts w:ascii="宋体" w:hAnsi="宋体" w:cs="Courier New"/>
          <w:color w:val="auto"/>
          <w:sz w:val="24"/>
          <w:szCs w:val="24"/>
          <w:highlight w:val="none"/>
        </w:rPr>
        <w:t>乙方：（卖方）</w:t>
      </w:r>
    </w:p>
    <w:p w14:paraId="04163817">
      <w:pPr>
        <w:spacing w:line="360"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rPr>
        <w:t>南京市公共资源交易中心高淳分中心组织的</w:t>
      </w:r>
      <w:r>
        <w:rPr>
          <w:rFonts w:hint="eastAsia" w:hAnsi="宋体" w:cs="Courier New"/>
          <w:color w:val="auto"/>
          <w:sz w:val="24"/>
          <w:szCs w:val="24"/>
          <w:highlight w:val="none"/>
        </w:rPr>
        <w:t>____________________</w:t>
      </w:r>
      <w:r>
        <w:rPr>
          <w:rFonts w:ascii="宋体" w:hAnsi="宋体" w:cs="Courier New"/>
          <w:color w:val="auto"/>
          <w:sz w:val="24"/>
          <w:szCs w:val="24"/>
          <w:highlight w:val="none"/>
        </w:rPr>
        <w:t>项目公开招标结果，签署本合同。</w:t>
      </w:r>
    </w:p>
    <w:p w14:paraId="5CC8C741">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一、合同内容</w:t>
      </w:r>
    </w:p>
    <w:p w14:paraId="56BEA03A">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标的</w:t>
      </w:r>
      <w:r>
        <w:rPr>
          <w:rFonts w:ascii="宋体" w:hAnsi="宋体" w:cs="Courier New"/>
          <w:color w:val="auto"/>
          <w:sz w:val="24"/>
          <w:szCs w:val="24"/>
          <w:highlight w:val="none"/>
        </w:rPr>
        <w:t>名称：</w:t>
      </w:r>
    </w:p>
    <w:p w14:paraId="3790B2A8">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1.2</w:t>
      </w:r>
      <w:r>
        <w:rPr>
          <w:rFonts w:hint="eastAsia" w:ascii="宋体" w:hAnsi="宋体" w:cs="Courier New"/>
          <w:color w:val="auto"/>
          <w:sz w:val="24"/>
          <w:szCs w:val="24"/>
          <w:highlight w:val="none"/>
        </w:rPr>
        <w:t xml:space="preserve"> 标的质量：</w:t>
      </w:r>
    </w:p>
    <w:p w14:paraId="5F1F0449">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.3 标的数量（规模）：</w:t>
      </w:r>
    </w:p>
    <w:p w14:paraId="195720CF">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.4 履行时间（期限）：</w:t>
      </w:r>
      <w:r>
        <w:rPr>
          <w:rFonts w:hint="eastAsia" w:ascii="宋体" w:hAnsi="宋体"/>
          <w:color w:val="auto"/>
          <w:sz w:val="24"/>
          <w:szCs w:val="24"/>
          <w:highlight w:val="none"/>
        </w:rPr>
        <w:t>2027.01-2029.09。</w:t>
      </w:r>
    </w:p>
    <w:p w14:paraId="2CDD1605">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.5 履行地点：</w:t>
      </w:r>
    </w:p>
    <w:p w14:paraId="4EB569EC">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.6 履行方式：</w:t>
      </w:r>
    </w:p>
    <w:p w14:paraId="7B138218">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二、合同金额</w:t>
      </w:r>
    </w:p>
    <w:p w14:paraId="6825A276">
      <w:pPr>
        <w:pStyle w:val="208"/>
        <w:spacing w:line="360"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本合同金额为（大写）：________________圆（____________________元）人民币。</w:t>
      </w:r>
    </w:p>
    <w:p w14:paraId="1782C061">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三、技术资料</w:t>
      </w:r>
    </w:p>
    <w:p w14:paraId="14FBF5D5">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3.1 乙方应按招标文件规定的时间向甲方提供服务（包含与服务相关的货物）的有关技术资料。</w:t>
      </w:r>
    </w:p>
    <w:p w14:paraId="54FC6C09">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AE75E68">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四、知识产权</w:t>
      </w:r>
    </w:p>
    <w:p w14:paraId="6D57BDC5">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4.1 乙方应保证甲方在使用、接受本合同服务（包含与服务相关的货物）或其任何一部分时不受第三方提出侵犯其专利权、版权、商标权和工业设计权等知识产权的起诉。一旦出现侵权，由乙方负全部责任。</w:t>
      </w:r>
    </w:p>
    <w:p w14:paraId="6B0FE21A">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五、产权担保</w:t>
      </w:r>
    </w:p>
    <w:p w14:paraId="4A02A1BD">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5.1 乙方保证所交付的服务（包含与服务相关的货物）的所有权完全属于乙方且无任何抵押、查封等产权瑕疵。</w:t>
      </w:r>
    </w:p>
    <w:p w14:paraId="0404E595">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六、履约保证金</w:t>
      </w:r>
    </w:p>
    <w:p w14:paraId="46DC12E7">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6.1 本项目乙方无需缴纳履约保证金。</w:t>
      </w:r>
    </w:p>
    <w:p w14:paraId="696D176A">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02D60FD8">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七、合同转包或分包</w:t>
      </w:r>
    </w:p>
    <w:p w14:paraId="699F5163">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7.1 乙方不得将合同标的转包给他人履行。</w:t>
      </w:r>
    </w:p>
    <w:p w14:paraId="0CAC6664">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7.2 乙方不得将合同标的分包给他人履行。</w:t>
      </w:r>
    </w:p>
    <w:p w14:paraId="654FBAAB">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7.3 乙方如有转包或未经甲方同意的分包行为，甲方有权终止合同。</w:t>
      </w:r>
    </w:p>
    <w:p w14:paraId="4A224DE8">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八、合同款项支付</w:t>
      </w:r>
    </w:p>
    <w:p w14:paraId="1C2EBDF6">
      <w:pPr>
        <w:pStyle w:val="208"/>
        <w:spacing w:line="360" w:lineRule="auto"/>
        <w:rPr>
          <w:rFonts w:hAnsi="宋体"/>
          <w:color w:val="auto"/>
          <w:sz w:val="24"/>
          <w:szCs w:val="24"/>
          <w:highlight w:val="none"/>
        </w:rPr>
      </w:pPr>
      <w:r>
        <w:rPr>
          <w:rFonts w:hint="eastAsia" w:hAnsi="宋体"/>
          <w:color w:val="auto"/>
          <w:sz w:val="24"/>
          <w:szCs w:val="24"/>
          <w:highlight w:val="none"/>
        </w:rPr>
        <w:t>8.1 合同款项的支付方式及时间</w:t>
      </w:r>
    </w:p>
    <w:p w14:paraId="5D078676">
      <w:pPr>
        <w:spacing w:line="360" w:lineRule="auto"/>
        <w:jc w:val="left"/>
        <w:rPr>
          <w:rFonts w:ascii="宋体" w:hAnsi="宋体" w:cs="Courier New"/>
          <w:color w:val="auto"/>
          <w:sz w:val="24"/>
          <w:szCs w:val="24"/>
          <w:highlight w:val="none"/>
        </w:rPr>
      </w:pPr>
      <w:r>
        <w:rPr>
          <w:rFonts w:hint="eastAsia" w:ascii="宋体" w:hAnsi="宋体" w:cs="Courier New"/>
          <w:color w:val="auto"/>
          <w:sz w:val="24"/>
          <w:szCs w:val="24"/>
          <w:highlight w:val="none"/>
        </w:rPr>
        <w:t>8.1.1合同签订后，</w:t>
      </w:r>
      <w:r>
        <w:rPr>
          <w:rFonts w:hint="eastAsia" w:ascii="宋体" w:hAnsi="宋体" w:cs="Courier New"/>
          <w:color w:val="auto"/>
          <w:sz w:val="24"/>
          <w:szCs w:val="24"/>
          <w:highlight w:val="none"/>
          <w:lang w:val="en-US" w:eastAsia="zh-CN"/>
        </w:rPr>
        <w:t>运维</w:t>
      </w:r>
      <w:r>
        <w:rPr>
          <w:rFonts w:ascii="宋体" w:hAnsi="宋体" w:eastAsia="宋体" w:cs="宋体"/>
          <w:color w:val="auto"/>
          <w:sz w:val="24"/>
          <w:szCs w:val="24"/>
          <w:highlight w:val="none"/>
        </w:rPr>
        <w:t>费用按年度分期结算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每个服务年度</w:t>
      </w:r>
      <w:r>
        <w:rPr>
          <w:rFonts w:hint="eastAsia" w:ascii="宋体" w:hAnsi="宋体" w:cs="Courier New"/>
          <w:color w:val="auto"/>
          <w:sz w:val="24"/>
          <w:szCs w:val="24"/>
          <w:highlight w:val="none"/>
        </w:rPr>
        <w:t xml:space="preserve">收到供应商发票后 </w:t>
      </w:r>
      <w:r>
        <w:rPr>
          <w:rFonts w:ascii="宋体" w:hAnsi="宋体" w:cs="Courier New"/>
          <w:color w:val="auto"/>
          <w:sz w:val="24"/>
          <w:szCs w:val="24"/>
          <w:highlight w:val="none"/>
        </w:rPr>
        <w:t>30</w:t>
      </w:r>
      <w:r>
        <w:rPr>
          <w:rFonts w:hint="eastAsia" w:ascii="宋体" w:hAnsi="宋体" w:cs="Courier New"/>
          <w:color w:val="auto"/>
          <w:sz w:val="24"/>
          <w:szCs w:val="24"/>
          <w:highlight w:val="none"/>
        </w:rPr>
        <w:t xml:space="preserve"> 日内支付</w:t>
      </w:r>
      <w:r>
        <w:rPr>
          <w:rFonts w:ascii="宋体" w:hAnsi="宋体" w:eastAsia="宋体" w:cs="宋体"/>
          <w:color w:val="auto"/>
          <w:sz w:val="24"/>
          <w:szCs w:val="24"/>
          <w:highlight w:val="none"/>
        </w:rPr>
        <w:t>当年度运维费</w:t>
      </w:r>
      <w:r>
        <w:rPr>
          <w:rFonts w:hint="eastAsia" w:ascii="宋体" w:hAnsi="宋体" w:cs="宋体"/>
          <w:color w:val="auto"/>
          <w:sz w:val="24"/>
          <w:szCs w:val="24"/>
          <w:highlight w:val="none"/>
          <w:lang w:val="en-US" w:eastAsia="zh-CN"/>
        </w:rPr>
        <w:t>的</w:t>
      </w:r>
      <w:r>
        <w:rPr>
          <w:rFonts w:hint="eastAsia" w:ascii="宋体" w:hAnsi="宋体" w:cs="Courier New"/>
          <w:color w:val="auto"/>
          <w:sz w:val="24"/>
          <w:szCs w:val="24"/>
          <w:highlight w:val="none"/>
        </w:rPr>
        <w:t xml:space="preserve"> 50%预付款。</w:t>
      </w:r>
    </w:p>
    <w:p w14:paraId="02DA05BC">
      <w:pPr>
        <w:spacing w:line="360" w:lineRule="auto"/>
        <w:jc w:val="left"/>
        <w:rPr>
          <w:rFonts w:ascii="宋体" w:hAnsi="宋体" w:cs="Courier New"/>
          <w:color w:val="auto"/>
          <w:sz w:val="24"/>
          <w:szCs w:val="24"/>
          <w:highlight w:val="none"/>
        </w:rPr>
      </w:pPr>
      <w:r>
        <w:rPr>
          <w:rFonts w:hint="eastAsia" w:ascii="宋体" w:hAnsi="宋体" w:cs="Courier New"/>
          <w:color w:val="auto"/>
          <w:sz w:val="24"/>
          <w:szCs w:val="24"/>
          <w:highlight w:val="none"/>
        </w:rPr>
        <w:t>8.1.2</w:t>
      </w:r>
      <w:r>
        <w:rPr>
          <w:rFonts w:hint="eastAsia" w:ascii="宋体" w:hAnsi="宋体" w:cs="Courier New"/>
          <w:color w:val="auto"/>
          <w:sz w:val="24"/>
          <w:szCs w:val="24"/>
          <w:highlight w:val="none"/>
          <w:lang w:val="en-US" w:eastAsia="zh-CN"/>
        </w:rPr>
        <w:t>当年度</w:t>
      </w:r>
      <w:r>
        <w:rPr>
          <w:rFonts w:hint="eastAsia" w:ascii="宋体" w:hAnsi="宋体" w:cs="Courier New"/>
          <w:color w:val="auto"/>
          <w:sz w:val="24"/>
          <w:szCs w:val="24"/>
          <w:highlight w:val="none"/>
        </w:rPr>
        <w:t xml:space="preserve">运维期结束后，经采购人验收合格后，并收到供应商发票后 </w:t>
      </w:r>
      <w:r>
        <w:rPr>
          <w:rFonts w:ascii="宋体" w:hAnsi="宋体" w:cs="Courier New"/>
          <w:color w:val="auto"/>
          <w:sz w:val="24"/>
          <w:szCs w:val="24"/>
          <w:highlight w:val="none"/>
        </w:rPr>
        <w:t>30</w:t>
      </w:r>
      <w:r>
        <w:rPr>
          <w:rFonts w:hint="eastAsia" w:ascii="宋体" w:hAnsi="宋体" w:cs="Courier New"/>
          <w:color w:val="auto"/>
          <w:sz w:val="24"/>
          <w:szCs w:val="24"/>
          <w:highlight w:val="none"/>
        </w:rPr>
        <w:t xml:space="preserve"> 日内支付</w:t>
      </w:r>
      <w:r>
        <w:rPr>
          <w:rFonts w:ascii="宋体" w:hAnsi="宋体" w:eastAsia="宋体" w:cs="宋体"/>
          <w:color w:val="auto"/>
          <w:sz w:val="24"/>
          <w:szCs w:val="24"/>
          <w:highlight w:val="none"/>
        </w:rPr>
        <w:t>当年度运维费</w:t>
      </w:r>
      <w:r>
        <w:rPr>
          <w:rFonts w:hint="eastAsia" w:ascii="宋体" w:hAnsi="宋体" w:cs="宋体"/>
          <w:color w:val="auto"/>
          <w:sz w:val="24"/>
          <w:szCs w:val="24"/>
          <w:highlight w:val="none"/>
          <w:lang w:val="en-US" w:eastAsia="zh-CN"/>
        </w:rPr>
        <w:t>的</w:t>
      </w:r>
      <w:r>
        <w:rPr>
          <w:rFonts w:hint="eastAsia" w:ascii="宋体" w:hAnsi="宋体" w:cs="Courier New"/>
          <w:color w:val="auto"/>
          <w:sz w:val="24"/>
          <w:szCs w:val="24"/>
          <w:highlight w:val="none"/>
        </w:rPr>
        <w:t xml:space="preserve"> 50%。</w:t>
      </w:r>
    </w:p>
    <w:p w14:paraId="024ACC73">
      <w:pPr>
        <w:spacing w:line="360" w:lineRule="auto"/>
        <w:jc w:val="left"/>
        <w:rPr>
          <w:rFonts w:ascii="宋体" w:hAnsi="宋体" w:cs="Courier New"/>
          <w:color w:val="auto"/>
          <w:sz w:val="24"/>
          <w:szCs w:val="24"/>
          <w:highlight w:val="none"/>
        </w:rPr>
      </w:pPr>
      <w:r>
        <w:rPr>
          <w:rFonts w:hint="eastAsia" w:ascii="宋体" w:hAnsi="宋体" w:cs="Courier New"/>
          <w:color w:val="auto"/>
          <w:sz w:val="24"/>
          <w:szCs w:val="24"/>
          <w:highlight w:val="none"/>
        </w:rPr>
        <w:t>注：</w:t>
      </w:r>
      <w:r>
        <w:rPr>
          <w:rFonts w:ascii="宋体" w:hAnsi="宋体" w:eastAsia="宋体" w:cs="宋体"/>
          <w:color w:val="auto"/>
          <w:sz w:val="24"/>
          <w:szCs w:val="24"/>
          <w:highlight w:val="none"/>
        </w:rPr>
        <w:t>第三年为不足 12 个月的过渡期，年度费用按合同约定折算。</w:t>
      </w:r>
      <w:r>
        <w:rPr>
          <w:rFonts w:hint="eastAsia" w:ascii="宋体" w:hAnsi="宋体" w:cs="Courier New"/>
          <w:color w:val="auto"/>
          <w:sz w:val="24"/>
          <w:szCs w:val="24"/>
          <w:highlight w:val="none"/>
        </w:rPr>
        <w:t>满足合同约定支付条件的，采购人收到成交供应商发票后1</w:t>
      </w:r>
      <w:r>
        <w:rPr>
          <w:rFonts w:ascii="宋体" w:hAnsi="宋体" w:cs="Courier New"/>
          <w:color w:val="auto"/>
          <w:sz w:val="24"/>
          <w:szCs w:val="24"/>
          <w:highlight w:val="none"/>
        </w:rPr>
        <w:t>0</w:t>
      </w:r>
      <w:r>
        <w:rPr>
          <w:rFonts w:hint="eastAsia" w:ascii="宋体" w:hAnsi="宋体" w:cs="Courier New"/>
          <w:color w:val="auto"/>
          <w:sz w:val="24"/>
          <w:szCs w:val="24"/>
          <w:highlight w:val="none"/>
        </w:rPr>
        <w:t>个工作日内支付采购款项。</w:t>
      </w:r>
    </w:p>
    <w:p w14:paraId="70B0F601">
      <w:pPr>
        <w:pStyle w:val="208"/>
        <w:spacing w:line="360" w:lineRule="auto"/>
        <w:rPr>
          <w:rFonts w:hAnsi="宋体"/>
          <w:color w:val="auto"/>
          <w:sz w:val="24"/>
          <w:szCs w:val="24"/>
          <w:highlight w:val="none"/>
        </w:rPr>
      </w:pPr>
      <w:r>
        <w:rPr>
          <w:rFonts w:hint="eastAsia" w:hAnsi="宋体"/>
          <w:color w:val="auto"/>
          <w:sz w:val="24"/>
          <w:szCs w:val="24"/>
          <w:highlight w:val="none"/>
        </w:rPr>
        <w:t>8.2 根据《保障中小企业款项支付条例》规定，甲方未按合同约定支付款项的，乙方可以向有关部门投诉。</w:t>
      </w:r>
    </w:p>
    <w:p w14:paraId="30789F0F">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九、税费</w:t>
      </w:r>
    </w:p>
    <w:p w14:paraId="067B16C9">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9.1 本合同执行中的相关税费均由乙方负担。</w:t>
      </w:r>
    </w:p>
    <w:p w14:paraId="59A5E94F">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十、项目验收</w:t>
      </w:r>
    </w:p>
    <w:p w14:paraId="4172D6AE">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10.1 甲方依法组织履约验收工作。</w:t>
      </w:r>
    </w:p>
    <w:p w14:paraId="2B9AE4FA">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367AEF4E">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10.3 对于实际使用人和甲方分离的项目，甲方邀请实际使用人参与验收。</w:t>
      </w:r>
    </w:p>
    <w:p w14:paraId="761EB93F">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10.4 如有必要，甲方可邀请参加本项目投标的其他供应商或第三方专业机构及专家参与验收，相关意见将作为验收结论的参考。</w:t>
      </w:r>
    </w:p>
    <w:p w14:paraId="5EDA81A2">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272A680F">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4E72E1F">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十一、违约责任</w:t>
      </w:r>
    </w:p>
    <w:p w14:paraId="5C40A5FE">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11.1 甲方无正当理由拒绝接受乙方提供服务的，应向乙方偿付拒绝接受服务合同总额</w:t>
      </w:r>
    </w:p>
    <w:p w14:paraId="72E9757A">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53CE5580">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11.2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向乙方支付违约金。</w:t>
      </w:r>
    </w:p>
    <w:p w14:paraId="367603D7">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11.3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的违约金。</w:t>
      </w:r>
    </w:p>
    <w:p w14:paraId="6FB33A00">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11.4 乙方所提供服务的标准不符合合同规定及招标文件规定标准的，甲方有权拒绝接受服务，并可单方面解除合同。</w:t>
      </w:r>
    </w:p>
    <w:p w14:paraId="6A7F1C38">
      <w:pPr>
        <w:spacing w:line="360" w:lineRule="auto"/>
        <w:rPr>
          <w:color w:val="auto"/>
          <w:highlight w:val="none"/>
        </w:rPr>
      </w:pPr>
      <w:r>
        <w:rPr>
          <w:rFonts w:hint="eastAsia" w:ascii="宋体" w:hAnsi="宋体" w:cs="Courier New"/>
          <w:color w:val="auto"/>
          <w:sz w:val="24"/>
          <w:szCs w:val="24"/>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3E05DF7">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十二、不可抗力事件处理</w:t>
      </w:r>
    </w:p>
    <w:p w14:paraId="45812C97">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12.1 在合同有效期内，任何一方因不可抗力事件导致不能履行合同，则合同履行期可延长，其延长期与不可抗力影响期相同。</w:t>
      </w:r>
    </w:p>
    <w:p w14:paraId="642A4A0D">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12.2 不可抗力事件发生后，应立即通知对方并寄送有关权威机构出具的证明。</w:t>
      </w:r>
    </w:p>
    <w:p w14:paraId="43CB5F8D">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12.3 不可抗力事件延续120天以上，双方应通过友好协商，确定是否继续履行合同。</w:t>
      </w:r>
    </w:p>
    <w:p w14:paraId="00A2E326">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十三、解决争议的方法</w:t>
      </w:r>
    </w:p>
    <w:p w14:paraId="258C1D30">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13.1 双方在签订、履行合同中所发生的一切争议，应通过友好协商解决。如协商不成的由甲方住所地人民法院管辖。</w:t>
      </w:r>
    </w:p>
    <w:p w14:paraId="00019D10">
      <w:pPr>
        <w:spacing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十四、合同生效及其它</w:t>
      </w:r>
    </w:p>
    <w:p w14:paraId="25FCDA2F">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14.1 本合同经双方加盖单位公章后生效。</w:t>
      </w:r>
    </w:p>
    <w:p w14:paraId="7DEB3FCD">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14.2 本合同未尽事宜，遵照《中华人民共和国民法典》《中华人民共和国政府采购法》有关条文执行。</w:t>
      </w:r>
    </w:p>
    <w:p w14:paraId="2F9556C6">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14.3 本合同正本一式两份，具有同等法律效力，甲方、乙方各执一份。</w:t>
      </w:r>
    </w:p>
    <w:p w14:paraId="297F0ED6">
      <w:pPr>
        <w:pStyle w:val="208"/>
        <w:spacing w:before="120" w:after="120" w:line="360" w:lineRule="auto"/>
        <w:rPr>
          <w:rFonts w:hAnsi="宋体"/>
          <w:color w:val="auto"/>
          <w:sz w:val="24"/>
          <w:szCs w:val="24"/>
          <w:highlight w:val="none"/>
        </w:rPr>
      </w:pPr>
      <w:r>
        <w:rPr>
          <w:rFonts w:hint="eastAsia" w:hAnsi="宋体"/>
          <w:color w:val="auto"/>
          <w:sz w:val="24"/>
          <w:szCs w:val="24"/>
          <w:highlight w:val="none"/>
        </w:rPr>
        <w:t xml:space="preserve">  </w:t>
      </w:r>
    </w:p>
    <w:bookmarkEnd w:id="160"/>
    <w:bookmarkEnd w:id="161"/>
    <w:bookmarkEnd w:id="162"/>
    <w:p w14:paraId="59C39F2D">
      <w:pPr>
        <w:pStyle w:val="208"/>
        <w:spacing w:before="120" w:after="120" w:line="360" w:lineRule="auto"/>
        <w:ind w:firstLine="240"/>
        <w:rPr>
          <w:rFonts w:hAnsi="宋体"/>
          <w:color w:val="auto"/>
          <w:sz w:val="24"/>
          <w:szCs w:val="24"/>
          <w:highlight w:val="none"/>
        </w:rPr>
      </w:pPr>
      <w:r>
        <w:rPr>
          <w:rFonts w:hint="eastAsia" w:hAnsi="宋体"/>
          <w:color w:val="auto"/>
          <w:sz w:val="24"/>
          <w:szCs w:val="24"/>
          <w:highlight w:val="none"/>
        </w:rPr>
        <w:t xml:space="preserve">甲方：（公章）                       乙方：（公章） </w:t>
      </w:r>
    </w:p>
    <w:p w14:paraId="47DAA386">
      <w:pPr>
        <w:pStyle w:val="208"/>
        <w:spacing w:before="120" w:after="120" w:line="360" w:lineRule="auto"/>
        <w:rPr>
          <w:rFonts w:hAnsi="宋体"/>
          <w:color w:val="auto"/>
          <w:sz w:val="24"/>
          <w:szCs w:val="24"/>
          <w:highlight w:val="none"/>
        </w:rPr>
      </w:pPr>
      <w:r>
        <w:rPr>
          <w:rFonts w:hint="eastAsia" w:hAnsi="宋体"/>
          <w:color w:val="auto"/>
          <w:sz w:val="24"/>
          <w:szCs w:val="24"/>
          <w:highlight w:val="none"/>
        </w:rPr>
        <w:t xml:space="preserve">  地址：                               地址： </w:t>
      </w:r>
    </w:p>
    <w:p w14:paraId="5799CD41">
      <w:pPr>
        <w:pStyle w:val="208"/>
        <w:spacing w:before="120" w:after="120" w:line="360" w:lineRule="auto"/>
        <w:rPr>
          <w:rFonts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p>
    <w:p w14:paraId="5F71D301">
      <w:pPr>
        <w:pStyle w:val="208"/>
        <w:spacing w:before="120" w:after="120" w:line="360" w:lineRule="auto"/>
        <w:ind w:firstLine="240"/>
        <w:rPr>
          <w:rFonts w:hAnsi="宋体"/>
          <w:color w:val="auto"/>
          <w:sz w:val="24"/>
          <w:szCs w:val="24"/>
          <w:highlight w:val="none"/>
        </w:rPr>
      </w:pPr>
      <w:r>
        <w:rPr>
          <w:rFonts w:hint="eastAsia" w:hAnsi="宋体"/>
          <w:color w:val="auto"/>
          <w:sz w:val="24"/>
          <w:szCs w:val="24"/>
          <w:highlight w:val="none"/>
        </w:rPr>
        <w:t xml:space="preserve">联系电话：                           联系电话：          </w:t>
      </w:r>
    </w:p>
    <w:p w14:paraId="3BFF828E">
      <w:pPr>
        <w:pStyle w:val="208"/>
        <w:spacing w:before="120" w:after="120" w:line="360" w:lineRule="auto"/>
        <w:rPr>
          <w:rFonts w:hAnsi="宋体"/>
          <w:color w:val="auto"/>
          <w:sz w:val="24"/>
          <w:szCs w:val="24"/>
          <w:highlight w:val="none"/>
        </w:rPr>
      </w:pPr>
      <w:r>
        <w:rPr>
          <w:rFonts w:hint="eastAsia" w:hAnsi="宋体"/>
          <w:color w:val="auto"/>
          <w:sz w:val="24"/>
          <w:szCs w:val="24"/>
          <w:highlight w:val="none"/>
        </w:rPr>
        <w:t xml:space="preserve">                                          </w:t>
      </w:r>
    </w:p>
    <w:p w14:paraId="2F898AB3">
      <w:pPr>
        <w:pStyle w:val="208"/>
        <w:spacing w:before="120" w:after="120" w:line="360" w:lineRule="auto"/>
        <w:ind w:firstLine="5280"/>
        <w:rPr>
          <w:rFonts w:hAnsi="宋体"/>
          <w:color w:val="auto"/>
          <w:sz w:val="24"/>
          <w:szCs w:val="24"/>
          <w:highlight w:val="none"/>
        </w:rPr>
      </w:pPr>
      <w:r>
        <w:rPr>
          <w:rFonts w:hint="eastAsia" w:hAnsi="宋体"/>
          <w:color w:val="auto"/>
          <w:sz w:val="24"/>
          <w:szCs w:val="24"/>
          <w:highlight w:val="none"/>
        </w:rPr>
        <w:t>签订日期：</w:t>
      </w:r>
    </w:p>
    <w:p w14:paraId="0A793B65">
      <w:pPr>
        <w:pStyle w:val="208"/>
        <w:spacing w:before="120" w:after="120" w:line="360" w:lineRule="auto"/>
        <w:ind w:firstLine="4800"/>
        <w:rPr>
          <w:rFonts w:hAnsi="宋体"/>
          <w:color w:val="auto"/>
          <w:sz w:val="24"/>
          <w:szCs w:val="24"/>
          <w:highlight w:val="none"/>
        </w:rPr>
      </w:pPr>
    </w:p>
    <w:p w14:paraId="184F37AD">
      <w:pPr>
        <w:spacing w:before="120" w:after="120" w:line="360" w:lineRule="auto"/>
        <w:jc w:val="center"/>
        <w:outlineLvl w:val="0"/>
        <w:rPr>
          <w:rFonts w:ascii="宋体" w:hAnsi="宋体"/>
          <w:b/>
          <w:color w:val="auto"/>
          <w:sz w:val="30"/>
          <w:szCs w:val="21"/>
          <w:highlight w:val="none"/>
        </w:rPr>
      </w:pPr>
      <w:r>
        <w:rPr>
          <w:rFonts w:hint="eastAsia" w:ascii="宋体" w:hAnsi="宋体"/>
          <w:b/>
          <w:color w:val="auto"/>
          <w:sz w:val="30"/>
          <w:szCs w:val="21"/>
          <w:highlight w:val="none"/>
        </w:rPr>
        <w:t>《*******合同》补充协议（合同附件）</w:t>
      </w:r>
    </w:p>
    <w:p w14:paraId="611DC394">
      <w:pPr>
        <w:pStyle w:val="208"/>
        <w:spacing w:line="360" w:lineRule="auto"/>
        <w:jc w:val="left"/>
        <w:rPr>
          <w:rFonts w:hAnsi="宋体"/>
          <w:color w:val="auto"/>
          <w:sz w:val="24"/>
          <w:szCs w:val="24"/>
          <w:highlight w:val="none"/>
        </w:rPr>
      </w:pPr>
      <w:r>
        <w:rPr>
          <w:rFonts w:hint="eastAsia" w:hAnsi="宋体"/>
          <w:color w:val="auto"/>
          <w:sz w:val="24"/>
          <w:szCs w:val="24"/>
          <w:highlight w:val="none"/>
        </w:rPr>
        <w:t>    如遇招标文件及合同未约定事项，双方可友好协商签订补充协议。</w:t>
      </w:r>
    </w:p>
    <w:p w14:paraId="10EA735E">
      <w:pPr>
        <w:spacing w:line="360" w:lineRule="auto"/>
        <w:rPr>
          <w:rFonts w:ascii="黑体" w:hAnsi="黑体" w:eastAsia="黑体" w:cs="黑体"/>
          <w:color w:val="auto"/>
          <w:sz w:val="44"/>
          <w:szCs w:val="44"/>
          <w:highlight w:val="none"/>
        </w:rPr>
      </w:pPr>
      <w:bookmarkStart w:id="163" w:name="_Toc29750"/>
      <w:bookmarkStart w:id="164" w:name="_Toc11631"/>
    </w:p>
    <w:bookmarkEnd w:id="151"/>
    <w:bookmarkEnd w:id="152"/>
    <w:bookmarkEnd w:id="153"/>
    <w:bookmarkEnd w:id="154"/>
    <w:bookmarkEnd w:id="163"/>
    <w:bookmarkEnd w:id="164"/>
    <w:p w14:paraId="4CA2E08E">
      <w:pPr>
        <w:pStyle w:val="191"/>
        <w:spacing w:line="360" w:lineRule="auto"/>
        <w:rPr>
          <w:rFonts w:ascii="黑体" w:hAnsi="黑体" w:eastAsia="黑体" w:cs="黑体"/>
          <w:color w:val="auto"/>
          <w:sz w:val="44"/>
          <w:szCs w:val="44"/>
          <w:highlight w:val="none"/>
        </w:rPr>
      </w:pPr>
      <w:bookmarkStart w:id="165" w:name="_Toc8205"/>
      <w:r>
        <w:rPr>
          <w:rFonts w:hint="eastAsia" w:ascii="黑体" w:hAnsi="黑体" w:eastAsia="黑体" w:cs="黑体"/>
          <w:color w:val="auto"/>
          <w:sz w:val="44"/>
          <w:szCs w:val="44"/>
          <w:highlight w:val="none"/>
        </w:rPr>
        <w:t>第四章  采购需求</w:t>
      </w:r>
    </w:p>
    <w:p w14:paraId="6CFE1B1D">
      <w:pPr>
        <w:numPr>
          <w:ilvl w:val="0"/>
          <w:numId w:val="4"/>
        </w:numPr>
        <w:spacing w:line="360" w:lineRule="auto"/>
        <w:ind w:firstLine="480"/>
        <w:rPr>
          <w:rFonts w:ascii="宋体" w:hAnsi="宋体"/>
          <w:color w:val="auto"/>
          <w:sz w:val="24"/>
          <w:szCs w:val="24"/>
          <w:highlight w:val="none"/>
        </w:rPr>
      </w:pPr>
      <w:r>
        <w:rPr>
          <w:rFonts w:hint="eastAsia" w:ascii="宋体" w:hAnsi="宋体" w:cs="黑体"/>
          <w:b/>
          <w:bCs/>
          <w:color w:val="auto"/>
          <w:sz w:val="24"/>
          <w:szCs w:val="24"/>
          <w:highlight w:val="none"/>
        </w:rPr>
        <w:t>项目属性：</w:t>
      </w:r>
      <w:r>
        <w:rPr>
          <w:rFonts w:hint="eastAsia" w:ascii="宋体" w:hAnsi="宋体"/>
          <w:color w:val="auto"/>
          <w:sz w:val="24"/>
          <w:szCs w:val="24"/>
          <w:highlight w:val="none"/>
        </w:rPr>
        <w:t>服务类项目</w:t>
      </w:r>
    </w:p>
    <w:p w14:paraId="58C731F9">
      <w:pPr>
        <w:spacing w:line="360" w:lineRule="auto"/>
        <w:ind w:firstLine="480"/>
        <w:rPr>
          <w:rFonts w:ascii="宋体" w:hAnsi="宋体" w:cs="黑体"/>
          <w:b/>
          <w:bCs/>
          <w:color w:val="auto"/>
          <w:sz w:val="24"/>
          <w:szCs w:val="24"/>
          <w:highlight w:val="none"/>
        </w:rPr>
      </w:pPr>
      <w:r>
        <w:rPr>
          <w:rFonts w:hint="eastAsia" w:ascii="宋体" w:hAnsi="宋体" w:cs="黑体"/>
          <w:b/>
          <w:bCs/>
          <w:color w:val="auto"/>
          <w:sz w:val="24"/>
          <w:szCs w:val="24"/>
          <w:highlight w:val="none"/>
        </w:rPr>
        <w:t>二、项目概况</w:t>
      </w:r>
    </w:p>
    <w:p w14:paraId="535F74A9">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（一）项目背景</w:t>
      </w:r>
    </w:p>
    <w:p w14:paraId="516AB36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根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织实施，保障预算管理一体化系统部署及运维。针对预算管理一体化系统新增功能部署实施和运维人员驻场服务，保障高淳区本级预算管理一体化系统（含预算编制、预算执行、绩效管理、财政收入等模块）正常运行。</w:t>
      </w:r>
    </w:p>
    <w:p w14:paraId="7BD562E9">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（二）项目建设遵循标准</w:t>
      </w:r>
    </w:p>
    <w:p w14:paraId="37256995">
      <w:pPr>
        <w:spacing w:line="360" w:lineRule="auto"/>
        <w:ind w:firstLine="480"/>
        <w:rPr>
          <w:rFonts w:ascii="宋体" w:hAnsi="宋体" w:cs="黑体"/>
          <w:b/>
          <w:bCs/>
          <w:color w:val="auto"/>
          <w:sz w:val="24"/>
          <w:szCs w:val="24"/>
          <w:highlight w:val="none"/>
        </w:rPr>
      </w:pPr>
      <w:r>
        <w:rPr>
          <w:rFonts w:hint="eastAsia" w:ascii="宋体" w:hAnsi="宋体"/>
          <w:color w:val="auto"/>
          <w:sz w:val="24"/>
          <w:szCs w:val="24"/>
          <w:highlight w:val="none"/>
        </w:rPr>
        <w:t>遵循国家、行业及地方现行的规范和标准。</w:t>
      </w:r>
    </w:p>
    <w:p w14:paraId="2A23213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三、产品清单</w:t>
      </w:r>
    </w:p>
    <w:tbl>
      <w:tblPr>
        <w:tblStyle w:val="33"/>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3"/>
        <w:gridCol w:w="1826"/>
        <w:gridCol w:w="723"/>
        <w:gridCol w:w="919"/>
        <w:gridCol w:w="1085"/>
        <w:gridCol w:w="2504"/>
        <w:gridCol w:w="1090"/>
      </w:tblGrid>
      <w:tr w14:paraId="62705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6" w:hRule="atLeast"/>
        </w:trPr>
        <w:tc>
          <w:tcPr>
            <w:tcW w:w="753" w:type="dxa"/>
            <w:vAlign w:val="center"/>
          </w:tcPr>
          <w:p w14:paraId="0C6D47CB">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1826" w:type="dxa"/>
            <w:vAlign w:val="center"/>
          </w:tcPr>
          <w:p w14:paraId="05B17D8E">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名称</w:t>
            </w:r>
          </w:p>
        </w:tc>
        <w:tc>
          <w:tcPr>
            <w:tcW w:w="723" w:type="dxa"/>
            <w:vAlign w:val="center"/>
          </w:tcPr>
          <w:p w14:paraId="171C787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数量</w:t>
            </w:r>
          </w:p>
        </w:tc>
        <w:tc>
          <w:tcPr>
            <w:tcW w:w="919" w:type="dxa"/>
            <w:vAlign w:val="center"/>
          </w:tcPr>
          <w:p w14:paraId="7A7F573E">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单位</w:t>
            </w:r>
          </w:p>
        </w:tc>
        <w:tc>
          <w:tcPr>
            <w:tcW w:w="1085" w:type="dxa"/>
            <w:vAlign w:val="center"/>
          </w:tcPr>
          <w:p w14:paraId="3508E376">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产品类型</w:t>
            </w:r>
          </w:p>
        </w:tc>
        <w:tc>
          <w:tcPr>
            <w:tcW w:w="2504" w:type="dxa"/>
            <w:vAlign w:val="center"/>
          </w:tcPr>
          <w:p w14:paraId="0B34B39A">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所属行业类型</w:t>
            </w:r>
          </w:p>
        </w:tc>
        <w:tc>
          <w:tcPr>
            <w:tcW w:w="1090" w:type="dxa"/>
            <w:vAlign w:val="center"/>
          </w:tcPr>
          <w:p w14:paraId="185EFA26">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产品属性</w:t>
            </w:r>
          </w:p>
        </w:tc>
      </w:tr>
      <w:tr w14:paraId="11B3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0" w:hRule="atLeast"/>
        </w:trPr>
        <w:tc>
          <w:tcPr>
            <w:tcW w:w="753" w:type="dxa"/>
            <w:vAlign w:val="center"/>
          </w:tcPr>
          <w:p w14:paraId="69144E6F">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1826" w:type="dxa"/>
            <w:vAlign w:val="center"/>
          </w:tcPr>
          <w:p w14:paraId="6935D264">
            <w:pPr>
              <w:spacing w:line="360" w:lineRule="auto"/>
              <w:jc w:val="center"/>
              <w:rPr>
                <w:rFonts w:ascii="宋体" w:hAnsi="宋体"/>
                <w:bCs/>
                <w:color w:val="auto"/>
                <w:sz w:val="24"/>
                <w:szCs w:val="24"/>
                <w:highlight w:val="none"/>
              </w:rPr>
            </w:pPr>
            <w:r>
              <w:rPr>
                <w:rFonts w:hint="eastAsia" w:ascii="宋体" w:hAnsi="宋体"/>
                <w:color w:val="auto"/>
                <w:sz w:val="24"/>
                <w:szCs w:val="24"/>
                <w:highlight w:val="none"/>
              </w:rPr>
              <w:t>高淳区本级预算管理一体化系统运维人员驻场服务</w:t>
            </w:r>
          </w:p>
        </w:tc>
        <w:tc>
          <w:tcPr>
            <w:tcW w:w="723" w:type="dxa"/>
            <w:vAlign w:val="center"/>
          </w:tcPr>
          <w:p w14:paraId="46577F27">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919" w:type="dxa"/>
            <w:vAlign w:val="center"/>
          </w:tcPr>
          <w:p w14:paraId="3C92F4C6">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项</w:t>
            </w:r>
          </w:p>
        </w:tc>
        <w:tc>
          <w:tcPr>
            <w:tcW w:w="1085" w:type="dxa"/>
            <w:vAlign w:val="center"/>
          </w:tcPr>
          <w:p w14:paraId="79525163">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主要产品</w:t>
            </w:r>
          </w:p>
        </w:tc>
        <w:tc>
          <w:tcPr>
            <w:tcW w:w="2504" w:type="dxa"/>
            <w:vAlign w:val="center"/>
          </w:tcPr>
          <w:p w14:paraId="272F546B">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软件和信息技术服务业</w:t>
            </w:r>
          </w:p>
        </w:tc>
        <w:tc>
          <w:tcPr>
            <w:tcW w:w="1090" w:type="dxa"/>
            <w:vAlign w:val="center"/>
          </w:tcPr>
          <w:p w14:paraId="098A9A3D">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服务</w:t>
            </w:r>
          </w:p>
        </w:tc>
      </w:tr>
    </w:tbl>
    <w:p w14:paraId="75B5DEC4">
      <w:pPr>
        <w:spacing w:line="360" w:lineRule="auto"/>
        <w:ind w:firstLine="480"/>
        <w:rPr>
          <w:rFonts w:ascii="宋体" w:hAnsi="宋体" w:cs="黑体"/>
          <w:b/>
          <w:bCs/>
          <w:color w:val="auto"/>
          <w:sz w:val="24"/>
          <w:szCs w:val="24"/>
          <w:highlight w:val="none"/>
        </w:rPr>
      </w:pPr>
    </w:p>
    <w:p w14:paraId="15AD53C5">
      <w:pPr>
        <w:spacing w:line="360" w:lineRule="auto"/>
        <w:ind w:firstLine="480"/>
        <w:rPr>
          <w:rFonts w:ascii="宋体" w:hAnsi="宋体" w:cs="宋体"/>
          <w:b/>
          <w:bCs/>
          <w:color w:val="auto"/>
          <w:sz w:val="24"/>
          <w:szCs w:val="24"/>
          <w:highlight w:val="none"/>
        </w:rPr>
      </w:pPr>
      <w:r>
        <w:rPr>
          <w:rFonts w:hint="eastAsia" w:ascii="宋体" w:hAnsi="宋体" w:cs="黑体"/>
          <w:b/>
          <w:bCs/>
          <w:color w:val="auto"/>
          <w:sz w:val="24"/>
          <w:szCs w:val="24"/>
          <w:highlight w:val="none"/>
        </w:rPr>
        <w:t>四、拟采购标的需要满足的技术、商务要求</w:t>
      </w:r>
    </w:p>
    <w:p w14:paraId="2B05ADF9">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★（一）技术要求</w:t>
      </w:r>
    </w:p>
    <w:tbl>
      <w:tblPr>
        <w:tblStyle w:val="33"/>
        <w:tblW w:w="0" w:type="auto"/>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7"/>
        <w:gridCol w:w="1236"/>
        <w:gridCol w:w="7378"/>
      </w:tblGrid>
      <w:tr w14:paraId="43AC6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67" w:type="dxa"/>
          </w:tcPr>
          <w:p w14:paraId="71DFEF98">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序号</w:t>
            </w:r>
          </w:p>
        </w:tc>
        <w:tc>
          <w:tcPr>
            <w:tcW w:w="1236" w:type="dxa"/>
          </w:tcPr>
          <w:p w14:paraId="5DBF83BB">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名称</w:t>
            </w:r>
          </w:p>
        </w:tc>
        <w:tc>
          <w:tcPr>
            <w:tcW w:w="7378" w:type="dxa"/>
          </w:tcPr>
          <w:p w14:paraId="6A1502A0">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采购要求</w:t>
            </w:r>
          </w:p>
        </w:tc>
      </w:tr>
      <w:tr w14:paraId="3FC21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67" w:type="dxa"/>
            <w:vAlign w:val="center"/>
          </w:tcPr>
          <w:p w14:paraId="7C05DD5A">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1</w:t>
            </w:r>
          </w:p>
        </w:tc>
        <w:tc>
          <w:tcPr>
            <w:tcW w:w="1236" w:type="dxa"/>
            <w:vAlign w:val="center"/>
          </w:tcPr>
          <w:p w14:paraId="1EC0DB0D">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人员要求</w:t>
            </w:r>
          </w:p>
        </w:tc>
        <w:tc>
          <w:tcPr>
            <w:tcW w:w="7378" w:type="dxa"/>
          </w:tcPr>
          <w:p w14:paraId="7FFFDAEC">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项目经理及驻场人员要求：</w:t>
            </w:r>
          </w:p>
          <w:p w14:paraId="079EB3CD">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供应商应为本项目配备专门的实施及驻场运维服务团队：项目经理 1 名，驻场人员至少2名（根据采购方业务要求及时增加驻场服务人员数量），远程人员2名。供应商投入的项目经理必须具备丰富的项目管理经验，精通《预算管理一体化业务规范》《预算管理一体化技术规范》以及财政部门运作方式，同时具备较强的沟通协调和管理能力，能依据采购人要求提供合理的、高效的服务。驻场服务人员要精通《预算管理一体化业务规范》《预算管理一体化技术规范》，财政部门运作方式，省厅一体化系统及后台开发技术和开发环境，能及时准确的为采购人提供驻场运维服务。</w:t>
            </w:r>
          </w:p>
        </w:tc>
      </w:tr>
      <w:tr w14:paraId="5C5F5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612" w:hRule="atLeast"/>
        </w:trPr>
        <w:tc>
          <w:tcPr>
            <w:tcW w:w="967" w:type="dxa"/>
            <w:vAlign w:val="center"/>
          </w:tcPr>
          <w:p w14:paraId="530E7550">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2</w:t>
            </w:r>
          </w:p>
        </w:tc>
        <w:tc>
          <w:tcPr>
            <w:tcW w:w="1236" w:type="dxa"/>
            <w:vAlign w:val="center"/>
          </w:tcPr>
          <w:p w14:paraId="65108A32">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知识产权及保密</w:t>
            </w:r>
          </w:p>
        </w:tc>
        <w:tc>
          <w:tcPr>
            <w:tcW w:w="7378" w:type="dxa"/>
          </w:tcPr>
          <w:p w14:paraId="1383B1DE">
            <w:pPr>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供应商对采购人提供的内部资料、数据和采购方相关视频照片等信息予以保密。未经采购人书面许可，不许以任何形式向第三方透露，不得在任何地方发布。成交供应商应与驻场运维服务人员签订保密协议，督促运维服务人员严格遵守保密规定。驻场服务人员需严格遵守南京市高淳区财政局相关管理制度。</w:t>
            </w:r>
          </w:p>
        </w:tc>
      </w:tr>
      <w:tr w14:paraId="748A8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0" w:hRule="atLeast"/>
        </w:trPr>
        <w:tc>
          <w:tcPr>
            <w:tcW w:w="967" w:type="dxa"/>
            <w:vAlign w:val="center"/>
          </w:tcPr>
          <w:p w14:paraId="3377739B">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3</w:t>
            </w:r>
          </w:p>
        </w:tc>
        <w:tc>
          <w:tcPr>
            <w:tcW w:w="1236" w:type="dxa"/>
            <w:vAlign w:val="center"/>
          </w:tcPr>
          <w:p w14:paraId="35423A25">
            <w:pPr>
              <w:spacing w:line="360" w:lineRule="auto"/>
              <w:jc w:val="center"/>
              <w:rPr>
                <w:rFonts w:ascii="宋体" w:hAnsi="宋体" w:cs="Courier New"/>
                <w:color w:val="auto"/>
                <w:sz w:val="24"/>
                <w:szCs w:val="24"/>
                <w:highlight w:val="none"/>
              </w:rPr>
            </w:pPr>
            <w:r>
              <w:rPr>
                <w:rFonts w:hint="eastAsia" w:ascii="宋体" w:hAnsi="宋体" w:cs="Courier New"/>
                <w:color w:val="auto"/>
                <w:sz w:val="24"/>
                <w:szCs w:val="24"/>
                <w:highlight w:val="none"/>
              </w:rPr>
              <w:t>总体要求</w:t>
            </w:r>
          </w:p>
        </w:tc>
        <w:tc>
          <w:tcPr>
            <w:tcW w:w="7378" w:type="dxa"/>
          </w:tcPr>
          <w:p w14:paraId="5D2257E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1、区本级预算管理一体化系统新增功能的部署实施</w:t>
            </w:r>
          </w:p>
          <w:p w14:paraId="634C7BB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1.1、梳理江苏省财政厅预算管理一体化系统新增功能的业务需求</w:t>
            </w:r>
          </w:p>
          <w:p w14:paraId="49F43AE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省厅一体化部署要求和服务标准，参照《预算管理一体化业务规范》和《预算管理一体化系统技术标准》，为采购人系统新增功能模块需求规格说明书，作为高淳区本级财政预算管理一体化系统部署实施的重要依据，服务模块包含预算编制、预决算公开、预算绩效、预算指标、集中支付、工资统发、收入管理等。</w:t>
            </w:r>
          </w:p>
          <w:p w14:paraId="4359CE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1.2、基础数据准备 </w:t>
            </w:r>
          </w:p>
          <w:p w14:paraId="5EEC51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省财政厅下发的预算管理一体化系统数据模板，结合高淳区本级财政预算管理实际需求，按照时间节点要求，采集整理形成《南京市高淳区本级财政预算管理一体化基础信息采集表》，做好用户统计、权限分发、单位基础信息、收支分类科目、账户信息等基础数据工作，完成基础数据准备，并按时提交至江苏省财政厅。</w:t>
            </w:r>
          </w:p>
          <w:p w14:paraId="746C09D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1.3、系统培训 </w:t>
            </w:r>
          </w:p>
          <w:p w14:paraId="29A40FB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区本级预算管理一体化系统的用户覆盖了财政及预算单位的相关操作人员。在省财政厅信息中心提供的课件及相关操作手册基础上，供应商必须根据本地实际情况，对区本级预算管理一体化系统的所有相关操作人员提供全面的系统培训，包括系统业务操作培训、系统管理培训等，需列明详细的培训课程、方案和计划安排。</w:t>
            </w:r>
          </w:p>
          <w:p w14:paraId="293CC6B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1.4、系统年度切换以及跨年度衔接工作 </w:t>
            </w:r>
          </w:p>
          <w:p w14:paraId="1189E6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按照采购人要求，做好年底系统关门和新年度系统开门，保障预算管理一体化系统新老年度切换，以及年度系统运维保障工作。</w:t>
            </w:r>
          </w:p>
          <w:p w14:paraId="70BA436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2、日常运维 </w:t>
            </w:r>
          </w:p>
          <w:p w14:paraId="23D1048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本地技术支撑团队通过现场服务的方式为采购人提供技术保障支撑；通过电话、微信、QQ、上门服务等多种支持方式，为采购人提供技术支撑；服务时间： 7*24小时。</w:t>
            </w:r>
          </w:p>
          <w:p w14:paraId="35EC4AF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日常运维要求：</w:t>
            </w:r>
          </w:p>
          <w:p w14:paraId="6050D33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工作日服务时间内须确保电话、微信和QQ等各类通讯方式畅通，并具备通话记录查询功能； </w:t>
            </w:r>
          </w:p>
          <w:p w14:paraId="227A573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对于业务咨询和数据查询类客户服务，应在2小时内完成处理、反馈和记录工作；对于需财政工作人员处理的问题，应及时记录、汇报并做好反馈；运维服务须做到耐心、热情、细致，并按日提供工作日志； </w:t>
            </w:r>
          </w:p>
          <w:p w14:paraId="54C5D1C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具体运维内容如下： </w:t>
            </w:r>
          </w:p>
          <w:p w14:paraId="58A36D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2.1、日常业务需求 </w:t>
            </w:r>
          </w:p>
          <w:p w14:paraId="65B3D29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负责对财政用户和预算单位用户使用需求进行收集、分析整理、反馈和确认，整理业务需求清单。 </w:t>
            </w:r>
          </w:p>
          <w:p w14:paraId="4B21B36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负责对系统操作、数据提取、数据处理、业务咨询、技术咨询等需求进行响应服务。配合采购人第三方系统与一体化系统的测试工作。</w:t>
            </w:r>
          </w:p>
          <w:p w14:paraId="1622F4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2.2、日常技术支持 </w:t>
            </w:r>
          </w:p>
          <w:p w14:paraId="01D104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主要包含接听财政和预算单位的电话，跟踪系统运行，现场故障处理，问题定期反馈。发现系统漏洞进行冻结，防止错误积累和蔓延，排除应用故障，增强系统的安全稳定性。</w:t>
            </w:r>
          </w:p>
          <w:p w14:paraId="1AED11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2.3、问题处理</w:t>
            </w:r>
          </w:p>
          <w:p w14:paraId="4623FC2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故障排除及故障处理。负责对系统各模块使用问题进行收集整理、跟踪、排查、诊断和处理等。</w:t>
            </w:r>
          </w:p>
          <w:p w14:paraId="7B2CCD3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、报表服务</w:t>
            </w:r>
          </w:p>
          <w:p w14:paraId="55F6714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新增报表，在现有报表不能满足用户需求的情况下，按照采购人所提的新需求，配置新的报表供用户查询。</w:t>
            </w:r>
          </w:p>
          <w:p w14:paraId="12FC7B9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报表样式调整根据采购人需求对现有的报表进行调整。</w:t>
            </w:r>
          </w:p>
          <w:p w14:paraId="354678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特殊报表系统在现有报表功能无法满足的情况下，进行后台数据查询导出，按要求提供相应报表。</w:t>
            </w:r>
          </w:p>
          <w:p w14:paraId="5C8F0B2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报表数据核对，针对每一张报表确保数据无误。</w:t>
            </w:r>
          </w:p>
          <w:p w14:paraId="1335C7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、系统故障及应急处理要求</w:t>
            </w:r>
          </w:p>
          <w:p w14:paraId="6E8983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系统发生宕机或系统故障时：及时上报并做应急处理，事后分析故障原因，并做好记录。制定系统应急预案、进行系统应急预演，出现重大事故时需进行应急处理。响应时段：7×24。响应时限：实时响应。</w:t>
            </w:r>
          </w:p>
          <w:p w14:paraId="3A9258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、安全保障及保密要求</w:t>
            </w:r>
          </w:p>
          <w:p w14:paraId="6AD50A3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p>
          <w:p w14:paraId="079D76A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p>
          <w:p w14:paraId="2CC4596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3、信息保密要求。供应商对采购人提供的内部资料、数据和采购方相关视频照片等信息予以保密。未经采购人书面许可，不许以任何形式向第三方透露，不得在任何地方发布。成交供应商应与驻场运维服务人员签订保密协议，督促运维服务人员严格遵守保密规定。</w:t>
            </w:r>
          </w:p>
          <w:p w14:paraId="2EF36B8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 xml:space="preserve">、工作制度要求 </w:t>
            </w:r>
          </w:p>
          <w:p w14:paraId="65D9559F">
            <w:pPr>
              <w:spacing w:line="360" w:lineRule="auto"/>
              <w:rPr>
                <w:rFonts w:ascii="宋体" w:hAnsi="宋体" w:cs="Courier New"/>
                <w:color w:val="auto"/>
                <w:sz w:val="24"/>
                <w:szCs w:val="24"/>
                <w:highlight w:val="none"/>
              </w:rPr>
            </w:pPr>
            <w:r>
              <w:rPr>
                <w:rFonts w:hint="eastAsia" w:ascii="宋体" w:hAnsi="宋体"/>
                <w:color w:val="auto"/>
                <w:sz w:val="24"/>
                <w:szCs w:val="24"/>
                <w:highlight w:val="none"/>
              </w:rPr>
              <w:t>驻场服务人员需严格遵守南京市高淳区财政局相关管理制度。</w:t>
            </w:r>
          </w:p>
        </w:tc>
      </w:tr>
    </w:tbl>
    <w:p w14:paraId="64DBCAA3">
      <w:pPr>
        <w:spacing w:line="360" w:lineRule="auto"/>
        <w:rPr>
          <w:rFonts w:ascii="黑体" w:hAnsi="黑体" w:eastAsia="黑体" w:cs="黑体"/>
          <w:color w:val="auto"/>
          <w:sz w:val="44"/>
          <w:szCs w:val="44"/>
          <w:highlight w:val="none"/>
        </w:rPr>
      </w:pPr>
    </w:p>
    <w:p w14:paraId="37491A72">
      <w:pPr>
        <w:adjustRightInd w:val="0"/>
        <w:snapToGrid w:val="0"/>
        <w:spacing w:line="360" w:lineRule="auto"/>
        <w:ind w:firstLine="480" w:firstLineChars="200"/>
        <w:outlineLvl w:val="2"/>
        <w:rPr>
          <w:rFonts w:ascii="宋体" w:hAnsi="宋体" w:cs="宋体"/>
          <w:bCs/>
          <w:color w:val="auto"/>
          <w:sz w:val="24"/>
          <w:szCs w:val="24"/>
          <w:highlight w:val="none"/>
        </w:rPr>
      </w:pPr>
      <w:r>
        <w:rPr>
          <w:rFonts w:hint="eastAsia" w:ascii="黑体" w:hAnsi="黑体" w:eastAsia="黑体" w:cs="黑体"/>
          <w:color w:val="auto"/>
          <w:sz w:val="24"/>
          <w:szCs w:val="24"/>
          <w:highlight w:val="none"/>
        </w:rPr>
        <w:t>★</w:t>
      </w:r>
      <w:r>
        <w:rPr>
          <w:rFonts w:hint="eastAsia" w:ascii="宋体" w:hAnsi="宋体" w:cs="宋体"/>
          <w:bCs/>
          <w:color w:val="auto"/>
          <w:sz w:val="24"/>
          <w:szCs w:val="24"/>
          <w:highlight w:val="none"/>
        </w:rPr>
        <w:t>（二）商务要求</w:t>
      </w:r>
    </w:p>
    <w:p w14:paraId="3C094284">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报价要求</w:t>
      </w:r>
    </w:p>
    <w:p w14:paraId="330F0E1D">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406D3D02">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（2）供应商的任何错漏、优惠、竞争性报价不得作为减轻责任、减少服务、增加收费、降低服务质量的理由。</w:t>
      </w:r>
    </w:p>
    <w:p w14:paraId="0FEFE5D4">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（3）供应商报价除包含磋商文件中列明的项目外，还应包括保障服务正常运行应当具有的物资和服务，对服务正常运行应当具有的物资和服务理解不一致的以采购人理解为准。</w:t>
      </w:r>
    </w:p>
    <w:p w14:paraId="129B690E">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2.实施要求</w:t>
      </w:r>
    </w:p>
    <w:p w14:paraId="2BDC7CE4">
      <w:pPr>
        <w:adjustRightInd w:val="0"/>
        <w:snapToGrid w:val="0"/>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（1）总体要求</w:t>
      </w:r>
    </w:p>
    <w:p w14:paraId="31BB239A">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供应商基于江苏省预算管理一体化平台，完成高淳区预算管理一体化系统新增功能部署实施和运维人员驻场服务，保障高淳区区本级预算管理一体化系统正常运行。</w:t>
      </w:r>
    </w:p>
    <w:p w14:paraId="3089A7FE">
      <w:pPr>
        <w:adjustRightInd w:val="0"/>
        <w:snapToGrid w:val="0"/>
        <w:spacing w:line="360" w:lineRule="auto"/>
        <w:ind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（2）</w:t>
      </w:r>
      <w:r>
        <w:rPr>
          <w:rFonts w:hint="eastAsia" w:ascii="宋体" w:hAnsi="宋体" w:cs="宋体"/>
          <w:bCs/>
          <w:color w:val="auto"/>
          <w:sz w:val="24"/>
          <w:szCs w:val="24"/>
          <w:highlight w:val="none"/>
        </w:rPr>
        <w:t>服务要求</w:t>
      </w:r>
    </w:p>
    <w:p w14:paraId="0FA0B948">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在服务期内，供应商提供符合要求的专职服务团队提供现场服务，提供预算管理一体化系统新功能部署、日常运维及采购需求中要求的服务。</w:t>
      </w:r>
    </w:p>
    <w:p w14:paraId="66EEFB9A">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（3）验收要求</w:t>
      </w:r>
    </w:p>
    <w:p w14:paraId="1D3C410E">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服务期满，采购人根据项目特点制定验收方案，并可根据项目特点对服务期内的服务情况进行考核，综合考核情况和服务效果进行验收。供应商应根据验收方案做好相应配合工作。</w:t>
      </w:r>
    </w:p>
    <w:p w14:paraId="28EAB4CC">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（4）维保要求</w:t>
      </w:r>
    </w:p>
    <w:p w14:paraId="1740F2F6">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合同期内提供免费维保，7×24小时受理，故障1小时内响应、2小时恢复或提供替代方案、重大问题4小时到场；建立维保台账，服务到期完整移交。</w:t>
      </w:r>
    </w:p>
    <w:p w14:paraId="55407A08">
      <w:pPr>
        <w:adjustRightInd w:val="0"/>
        <w:snapToGrid w:val="0"/>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Fonts w:ascii="宋体" w:hAnsi="宋体" w:cs="宋体"/>
          <w:bCs/>
          <w:color w:val="auto"/>
          <w:sz w:val="24"/>
          <w:szCs w:val="24"/>
          <w:highlight w:val="none"/>
        </w:rPr>
        <w:t>付款条件</w:t>
      </w:r>
    </w:p>
    <w:p w14:paraId="2B0AE83E">
      <w:pPr>
        <w:adjustRightInd w:val="0"/>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要求</w:t>
      </w:r>
      <w:r>
        <w:rPr>
          <w:rFonts w:ascii="宋体" w:hAnsi="宋体" w:cs="宋体"/>
          <w:color w:val="auto"/>
          <w:sz w:val="24"/>
          <w:szCs w:val="24"/>
          <w:highlight w:val="none"/>
        </w:rPr>
        <w:t>为准。</w:t>
      </w:r>
    </w:p>
    <w:p w14:paraId="6BA51EC1">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交付时间及地点</w:t>
      </w:r>
    </w:p>
    <w:p w14:paraId="64E643BB">
      <w:pPr>
        <w:adjustRightInd w:val="0"/>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1</w:t>
      </w:r>
      <w:r>
        <w:rPr>
          <w:rFonts w:ascii="宋体" w:hAnsi="宋体" w:cs="宋体"/>
          <w:color w:val="auto"/>
          <w:sz w:val="24"/>
          <w:szCs w:val="24"/>
          <w:highlight w:val="none"/>
        </w:rPr>
        <w:t>）交付地点：采购人指定地点</w:t>
      </w:r>
      <w:r>
        <w:rPr>
          <w:rFonts w:hint="eastAsia" w:ascii="宋体" w:hAnsi="宋体" w:cs="宋体"/>
          <w:color w:val="auto"/>
          <w:sz w:val="24"/>
          <w:szCs w:val="24"/>
          <w:highlight w:val="none"/>
        </w:rPr>
        <w:t>。</w:t>
      </w:r>
    </w:p>
    <w:p w14:paraId="071F7218">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5.履约保证金</w:t>
      </w:r>
    </w:p>
    <w:p w14:paraId="1052E97E">
      <w:pPr>
        <w:adjustRightInd w:val="0"/>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以第三章合同文本</w:t>
      </w:r>
      <w:r>
        <w:rPr>
          <w:rFonts w:hint="eastAsia" w:ascii="宋体" w:hAnsi="宋体" w:cs="宋体"/>
          <w:color w:val="auto"/>
          <w:sz w:val="24"/>
          <w:szCs w:val="24"/>
          <w:highlight w:val="none"/>
        </w:rPr>
        <w:t>内容</w:t>
      </w:r>
      <w:r>
        <w:rPr>
          <w:rFonts w:ascii="宋体" w:hAnsi="宋体" w:cs="宋体"/>
          <w:color w:val="auto"/>
          <w:sz w:val="24"/>
          <w:szCs w:val="24"/>
          <w:highlight w:val="none"/>
        </w:rPr>
        <w:t>为准。</w:t>
      </w:r>
    </w:p>
    <w:p w14:paraId="4EAAD799">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6.其他要求</w:t>
      </w:r>
    </w:p>
    <w:p w14:paraId="6263D99E">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磋商文件中要求提供证明材料的，签订合同时供应商应按磋商文件要求和响应文件响应内容提供相应证明材料原件供采购人核验，否则采购人将取消其成交资格。</w:t>
      </w:r>
    </w:p>
    <w:p w14:paraId="53C71D8C">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p>
    <w:p w14:paraId="6DB3FE47">
      <w:pPr>
        <w:adjustRightInd w:val="0"/>
        <w:snapToGrid w:val="0"/>
        <w:spacing w:line="360" w:lineRule="auto"/>
        <w:ind w:firstLine="480" w:firstLineChars="200"/>
        <w:rPr>
          <w:rFonts w:ascii="宋体" w:hAnsi="宋体" w:cs="宋体"/>
          <w:color w:val="auto"/>
          <w:sz w:val="24"/>
          <w:szCs w:val="24"/>
          <w:highlight w:val="none"/>
        </w:rPr>
      </w:pPr>
    </w:p>
    <w:p w14:paraId="27A14325">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（三）演示要求</w:t>
      </w:r>
    </w:p>
    <w:p w14:paraId="5D7286E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1.视频文件的格式为*.mp4或*.avi，供应商须将视频文件压缩为*.zip文件上传（</w:t>
      </w:r>
      <w:r>
        <w:rPr>
          <w:rFonts w:hint="eastAsia" w:ascii="宋体" w:hAnsi="宋体"/>
          <w:color w:val="auto"/>
          <w:sz w:val="24"/>
          <w:szCs w:val="24"/>
          <w:highlight w:val="none"/>
        </w:rPr>
        <w:t>单个文件不得大于50M，大于50M的需分段压缩，所有文件合计不得大于300M</w:t>
      </w:r>
      <w:r>
        <w:rPr>
          <w:rFonts w:hint="eastAsia" w:ascii="宋体" w:hAnsi="宋体" w:cs="宋体"/>
          <w:color w:val="auto"/>
          <w:sz w:val="24"/>
          <w:szCs w:val="24"/>
          <w:highlight w:val="none"/>
        </w:rPr>
        <w:t>）。文件上传方式见苏采云系统操作指南，上传的演示视频将作为响应文件的组成部分。</w:t>
      </w:r>
    </w:p>
    <w:p w14:paraId="03D55B03">
      <w:pPr>
        <w:spacing w:line="360" w:lineRule="auto"/>
        <w:ind w:firstLine="480" w:firstLineChars="200"/>
        <w:rPr>
          <w:rFonts w:ascii="黑体" w:hAnsi="黑体" w:eastAsia="黑体" w:cs="黑体"/>
          <w:color w:val="auto"/>
          <w:sz w:val="44"/>
          <w:szCs w:val="44"/>
          <w:highlight w:val="none"/>
        </w:rPr>
      </w:pPr>
      <w:r>
        <w:rPr>
          <w:rFonts w:hint="eastAsia" w:ascii="宋体" w:hAnsi="宋体" w:cs="宋体"/>
          <w:color w:val="auto"/>
          <w:sz w:val="24"/>
          <w:szCs w:val="24"/>
          <w:highlight w:val="none"/>
        </w:rPr>
        <w:t>2.演示内容</w:t>
      </w:r>
      <w:r>
        <w:rPr>
          <w:rFonts w:hint="eastAsia" w:ascii="宋体" w:hAnsi="宋体"/>
          <w:color w:val="auto"/>
          <w:sz w:val="24"/>
          <w:szCs w:val="24"/>
          <w:highlight w:val="none"/>
        </w:rPr>
        <w:t>及演示时长</w:t>
      </w:r>
      <w:r>
        <w:rPr>
          <w:rFonts w:hint="eastAsia" w:ascii="宋体" w:hAnsi="宋体" w:cs="宋体"/>
          <w:color w:val="auto"/>
          <w:sz w:val="24"/>
          <w:szCs w:val="24"/>
          <w:highlight w:val="none"/>
        </w:rPr>
        <w:t>详见“第五章 评审方法与评审标准”。</w:t>
      </w:r>
    </w:p>
    <w:p w14:paraId="01CDB97B">
      <w:pPr>
        <w:spacing w:line="360" w:lineRule="auto"/>
        <w:rPr>
          <w:rFonts w:ascii="黑体" w:hAnsi="黑体" w:eastAsia="黑体" w:cs="黑体"/>
          <w:color w:val="auto"/>
          <w:sz w:val="44"/>
          <w:szCs w:val="44"/>
          <w:highlight w:val="none"/>
        </w:rPr>
      </w:pPr>
    </w:p>
    <w:p w14:paraId="63043863">
      <w:pPr>
        <w:pStyle w:val="313"/>
        <w:rPr>
          <w:rFonts w:ascii="黑体" w:hAnsi="黑体" w:eastAsia="黑体" w:cs="黑体"/>
          <w:color w:val="auto"/>
          <w:sz w:val="44"/>
          <w:szCs w:val="44"/>
          <w:highlight w:val="none"/>
        </w:rPr>
      </w:pPr>
    </w:p>
    <w:p w14:paraId="1A5BF10B">
      <w:pPr>
        <w:rPr>
          <w:rFonts w:ascii="黑体" w:hAnsi="黑体" w:eastAsia="黑体" w:cs="黑体"/>
          <w:color w:val="auto"/>
          <w:sz w:val="44"/>
          <w:szCs w:val="44"/>
          <w:highlight w:val="none"/>
        </w:rPr>
      </w:pPr>
    </w:p>
    <w:p w14:paraId="7526FC17">
      <w:pPr>
        <w:pStyle w:val="313"/>
        <w:rPr>
          <w:rFonts w:ascii="黑体" w:hAnsi="黑体" w:eastAsia="黑体" w:cs="黑体"/>
          <w:color w:val="auto"/>
          <w:sz w:val="44"/>
          <w:szCs w:val="44"/>
          <w:highlight w:val="none"/>
        </w:rPr>
      </w:pPr>
    </w:p>
    <w:p w14:paraId="3A108256">
      <w:pPr>
        <w:rPr>
          <w:rFonts w:ascii="黑体" w:hAnsi="黑体" w:eastAsia="黑体" w:cs="黑体"/>
          <w:color w:val="auto"/>
          <w:sz w:val="44"/>
          <w:szCs w:val="44"/>
          <w:highlight w:val="none"/>
        </w:rPr>
      </w:pPr>
    </w:p>
    <w:p w14:paraId="43E3BDEF">
      <w:pPr>
        <w:pStyle w:val="313"/>
        <w:rPr>
          <w:rFonts w:ascii="黑体" w:hAnsi="黑体" w:eastAsia="黑体" w:cs="黑体"/>
          <w:color w:val="auto"/>
          <w:sz w:val="44"/>
          <w:szCs w:val="44"/>
          <w:highlight w:val="none"/>
        </w:rPr>
      </w:pPr>
    </w:p>
    <w:p w14:paraId="7283DBC8">
      <w:pPr>
        <w:rPr>
          <w:rFonts w:ascii="黑体" w:hAnsi="黑体" w:eastAsia="黑体" w:cs="黑体"/>
          <w:color w:val="auto"/>
          <w:sz w:val="44"/>
          <w:szCs w:val="44"/>
          <w:highlight w:val="none"/>
        </w:rPr>
      </w:pPr>
    </w:p>
    <w:p w14:paraId="38124759">
      <w:pPr>
        <w:pStyle w:val="313"/>
        <w:rPr>
          <w:rFonts w:ascii="黑体" w:hAnsi="黑体" w:eastAsia="黑体" w:cs="黑体"/>
          <w:color w:val="auto"/>
          <w:sz w:val="44"/>
          <w:szCs w:val="44"/>
          <w:highlight w:val="none"/>
        </w:rPr>
      </w:pPr>
    </w:p>
    <w:p w14:paraId="26D67808">
      <w:pPr>
        <w:rPr>
          <w:rFonts w:ascii="黑体" w:hAnsi="黑体" w:eastAsia="黑体" w:cs="黑体"/>
          <w:color w:val="auto"/>
          <w:sz w:val="44"/>
          <w:szCs w:val="44"/>
          <w:highlight w:val="none"/>
        </w:rPr>
      </w:pPr>
    </w:p>
    <w:p w14:paraId="4653F527">
      <w:pPr>
        <w:pStyle w:val="313"/>
        <w:rPr>
          <w:rFonts w:ascii="黑体" w:hAnsi="黑体" w:eastAsia="黑体" w:cs="黑体"/>
          <w:color w:val="auto"/>
          <w:sz w:val="44"/>
          <w:szCs w:val="44"/>
          <w:highlight w:val="none"/>
        </w:rPr>
      </w:pPr>
    </w:p>
    <w:p w14:paraId="11666D2B">
      <w:pPr>
        <w:rPr>
          <w:rFonts w:ascii="黑体" w:hAnsi="黑体" w:eastAsia="黑体" w:cs="黑体"/>
          <w:color w:val="auto"/>
          <w:sz w:val="44"/>
          <w:szCs w:val="44"/>
          <w:highlight w:val="none"/>
        </w:rPr>
      </w:pPr>
    </w:p>
    <w:p w14:paraId="40972487">
      <w:pPr>
        <w:pStyle w:val="313"/>
        <w:rPr>
          <w:rFonts w:ascii="黑体" w:hAnsi="黑体" w:eastAsia="黑体" w:cs="黑体"/>
          <w:color w:val="auto"/>
          <w:sz w:val="44"/>
          <w:szCs w:val="44"/>
          <w:highlight w:val="none"/>
        </w:rPr>
      </w:pPr>
    </w:p>
    <w:p w14:paraId="09330670">
      <w:pPr>
        <w:pStyle w:val="313"/>
        <w:ind w:firstLine="0"/>
        <w:rPr>
          <w:rFonts w:ascii="宋体" w:hAnsi="宋体" w:eastAsia="宋体" w:cs="Times New Roman"/>
          <w:sz w:val="21"/>
          <w:szCs w:val="20"/>
        </w:rPr>
      </w:pPr>
    </w:p>
    <w:bookmarkEnd w:id="165"/>
    <w:p w14:paraId="7B2BCB66">
      <w:pPr>
        <w:pStyle w:val="191"/>
        <w:spacing w:line="360" w:lineRule="auto"/>
        <w:rPr>
          <w:rFonts w:ascii="黑体" w:hAnsi="黑体" w:eastAsia="黑体" w:cs="黑体"/>
          <w:color w:val="auto"/>
          <w:sz w:val="44"/>
          <w:szCs w:val="44"/>
          <w:highlight w:val="none"/>
        </w:rPr>
      </w:pPr>
      <w:bookmarkStart w:id="166" w:name="_Toc2558"/>
      <w:r>
        <w:rPr>
          <w:rFonts w:hint="eastAsia" w:ascii="黑体" w:hAnsi="黑体" w:eastAsia="黑体" w:cs="黑体"/>
          <w:color w:val="auto"/>
          <w:sz w:val="44"/>
          <w:szCs w:val="44"/>
          <w:highlight w:val="none"/>
        </w:rPr>
        <w:t>第五章  评标方法与评标标准</w:t>
      </w:r>
      <w:bookmarkEnd w:id="166"/>
    </w:p>
    <w:p w14:paraId="6A003CDA">
      <w:pPr>
        <w:adjustRightInd w:val="0"/>
        <w:snapToGrid w:val="0"/>
        <w:spacing w:line="360" w:lineRule="auto"/>
        <w:ind w:firstLine="480" w:firstLineChars="200"/>
        <w:rPr>
          <w:rFonts w:ascii="黑体" w:hAnsi="黑体" w:eastAsia="黑体" w:cs="黑体"/>
          <w:color w:val="auto"/>
          <w:kern w:val="2"/>
          <w:sz w:val="24"/>
          <w:szCs w:val="24"/>
          <w:highlight w:val="none"/>
        </w:rPr>
      </w:pPr>
      <w:bookmarkStart w:id="167" w:name="OLE_LINK1"/>
      <w:bookmarkStart w:id="168" w:name="OLE_LINK2"/>
      <w:r>
        <w:rPr>
          <w:rFonts w:hint="eastAsia" w:ascii="黑体" w:hAnsi="黑体" w:eastAsia="黑体" w:cs="黑体"/>
          <w:color w:val="auto"/>
          <w:kern w:val="2"/>
          <w:sz w:val="24"/>
          <w:szCs w:val="24"/>
          <w:highlight w:val="none"/>
        </w:rPr>
        <w:t>一、评审方法</w:t>
      </w:r>
    </w:p>
    <w:p w14:paraId="6C0E819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color w:val="auto"/>
          <w:sz w:val="24"/>
          <w:szCs w:val="24"/>
          <w:highlight w:val="none"/>
        </w:rPr>
        <w:t>磋商小组按照评审总分由高到低顺序推荐</w:t>
      </w:r>
      <w:r>
        <w:rPr>
          <w:rFonts w:hint="eastAsia" w:ascii="宋体" w:hAnsi="宋体"/>
          <w:b/>
          <w:bCs/>
          <w:color w:val="auto"/>
          <w:kern w:val="2"/>
          <w:sz w:val="24"/>
          <w:szCs w:val="24"/>
          <w:highlight w:val="none"/>
        </w:rPr>
        <w:t>3名</w:t>
      </w:r>
      <w:r>
        <w:rPr>
          <w:rFonts w:hint="eastAsia" w:ascii="宋体" w:hAnsi="宋体" w:cs="宋体"/>
          <w:b/>
          <w:bCs/>
          <w:color w:val="auto"/>
          <w:sz w:val="24"/>
          <w:szCs w:val="24"/>
          <w:highlight w:val="none"/>
        </w:rPr>
        <w:t>成交候选供应商，符合本磋商文件第二章第23.1.2条第三款情形的，可以推荐2名成交候选供应商。</w:t>
      </w:r>
      <w:r>
        <w:rPr>
          <w:rFonts w:hint="eastAsia" w:ascii="宋体" w:hAnsi="宋体" w:cs="宋体"/>
          <w:color w:val="auto"/>
          <w:sz w:val="24"/>
          <w:szCs w:val="24"/>
          <w:highlight w:val="none"/>
        </w:rPr>
        <w:t>评审得分相同的，按照最后报价由低到高的顺序推荐。评审得分且最后报价相同的，按照“评审标准-2.服务”得分由高到低顺序推荐。</w:t>
      </w:r>
    </w:p>
    <w:p w14:paraId="13488FAE">
      <w:pPr>
        <w:pStyle w:val="313"/>
        <w:rPr>
          <w:rFonts w:ascii="宋体" w:hAnsi="宋体" w:cs="Times New Roman"/>
          <w:sz w:val="21"/>
          <w:szCs w:val="20"/>
        </w:rPr>
      </w:pPr>
    </w:p>
    <w:p w14:paraId="50903D8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二</w:t>
      </w:r>
      <w:r>
        <w:rPr>
          <w:rFonts w:hint="eastAsia" w:ascii="宋体" w:hAnsi="宋体" w:cs="宋体"/>
          <w:b/>
          <w:bCs/>
          <w:color w:val="auto"/>
          <w:sz w:val="24"/>
          <w:szCs w:val="24"/>
          <w:highlight w:val="none"/>
        </w:rPr>
        <w:t>、评标标准</w:t>
      </w:r>
    </w:p>
    <w:tbl>
      <w:tblPr>
        <w:tblStyle w:val="3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616"/>
        <w:gridCol w:w="553"/>
        <w:gridCol w:w="20"/>
        <w:gridCol w:w="534"/>
      </w:tblGrid>
      <w:tr w14:paraId="11543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19" w:type="dxa"/>
          </w:tcPr>
          <w:p w14:paraId="73ACC999">
            <w:pPr>
              <w:spacing w:before="264" w:line="360" w:lineRule="auto"/>
              <w:jc w:val="center"/>
              <w:rPr>
                <w:rFonts w:ascii="宋体" w:hAnsi="宋体" w:cs="宋体"/>
                <w:b/>
                <w:bCs/>
                <w:color w:val="auto"/>
                <w:spacing w:val="-2"/>
                <w:highlight w:val="none"/>
              </w:rPr>
            </w:pPr>
            <w:r>
              <w:rPr>
                <w:rFonts w:ascii="宋体" w:hAnsi="宋体" w:cs="宋体"/>
                <w:b/>
                <w:bCs/>
                <w:color w:val="auto"/>
                <w:spacing w:val="-2"/>
                <w:highlight w:val="none"/>
              </w:rPr>
              <w:t>序号</w:t>
            </w:r>
          </w:p>
        </w:tc>
        <w:tc>
          <w:tcPr>
            <w:tcW w:w="1179" w:type="dxa"/>
          </w:tcPr>
          <w:p w14:paraId="5D9B74E2">
            <w:pPr>
              <w:spacing w:before="264" w:line="360" w:lineRule="auto"/>
              <w:jc w:val="center"/>
              <w:rPr>
                <w:rFonts w:ascii="宋体" w:hAnsi="宋体" w:cs="宋体"/>
                <w:b/>
                <w:bCs/>
                <w:color w:val="auto"/>
                <w:spacing w:val="-2"/>
                <w:highlight w:val="none"/>
              </w:rPr>
            </w:pPr>
            <w:r>
              <w:rPr>
                <w:rFonts w:ascii="宋体" w:hAnsi="宋体" w:cs="宋体"/>
                <w:b/>
                <w:bCs/>
                <w:color w:val="auto"/>
                <w:spacing w:val="-2"/>
                <w:highlight w:val="none"/>
              </w:rPr>
              <w:t>评审因素</w:t>
            </w:r>
          </w:p>
        </w:tc>
        <w:tc>
          <w:tcPr>
            <w:tcW w:w="6616" w:type="dxa"/>
          </w:tcPr>
          <w:p w14:paraId="0E38422B">
            <w:pPr>
              <w:spacing w:before="264" w:line="360" w:lineRule="auto"/>
              <w:jc w:val="center"/>
              <w:rPr>
                <w:rFonts w:ascii="宋体" w:hAnsi="宋体" w:cs="宋体"/>
                <w:b/>
                <w:bCs/>
                <w:color w:val="auto"/>
                <w:spacing w:val="-2"/>
                <w:highlight w:val="none"/>
              </w:rPr>
            </w:pPr>
            <w:r>
              <w:rPr>
                <w:rFonts w:ascii="宋体" w:hAnsi="宋体" w:cs="宋体"/>
                <w:b/>
                <w:bCs/>
                <w:color w:val="auto"/>
                <w:spacing w:val="-2"/>
                <w:highlight w:val="none"/>
              </w:rPr>
              <w:t>评审细则</w:t>
            </w:r>
          </w:p>
        </w:tc>
        <w:tc>
          <w:tcPr>
            <w:tcW w:w="573" w:type="dxa"/>
            <w:gridSpan w:val="2"/>
          </w:tcPr>
          <w:p w14:paraId="6A4BBA17">
            <w:pPr>
              <w:spacing w:before="264" w:line="360" w:lineRule="auto"/>
              <w:jc w:val="center"/>
              <w:rPr>
                <w:rFonts w:ascii="宋体" w:hAnsi="宋体" w:cs="宋体"/>
                <w:b/>
                <w:bCs/>
                <w:color w:val="auto"/>
                <w:spacing w:val="-2"/>
                <w:highlight w:val="none"/>
              </w:rPr>
            </w:pPr>
            <w:r>
              <w:rPr>
                <w:rFonts w:ascii="宋体" w:hAnsi="宋体" w:cs="宋体"/>
                <w:b/>
                <w:bCs/>
                <w:color w:val="auto"/>
                <w:spacing w:val="-2"/>
                <w:highlight w:val="none"/>
              </w:rPr>
              <w:t>分值</w:t>
            </w:r>
          </w:p>
        </w:tc>
        <w:tc>
          <w:tcPr>
            <w:tcW w:w="534" w:type="dxa"/>
          </w:tcPr>
          <w:p w14:paraId="455C449F">
            <w:pPr>
              <w:spacing w:before="264" w:line="360" w:lineRule="auto"/>
              <w:jc w:val="center"/>
              <w:rPr>
                <w:rFonts w:ascii="宋体" w:hAnsi="宋体" w:cs="宋体"/>
                <w:b/>
                <w:bCs/>
                <w:color w:val="auto"/>
                <w:spacing w:val="-2"/>
                <w:highlight w:val="none"/>
              </w:rPr>
            </w:pPr>
            <w:r>
              <w:rPr>
                <w:rFonts w:ascii="宋体" w:hAnsi="宋体" w:cs="宋体"/>
                <w:b/>
                <w:bCs/>
                <w:color w:val="auto"/>
                <w:spacing w:val="-2"/>
                <w:highlight w:val="none"/>
              </w:rPr>
              <w:t>类型</w:t>
            </w:r>
          </w:p>
        </w:tc>
      </w:tr>
      <w:tr w14:paraId="0D476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421" w:type="dxa"/>
            <w:gridSpan w:val="6"/>
          </w:tcPr>
          <w:p w14:paraId="0DF4F8EE">
            <w:pPr>
              <w:spacing w:before="122" w:line="360" w:lineRule="auto"/>
              <w:ind w:left="114"/>
              <w:rPr>
                <w:rFonts w:ascii="宋体" w:hAnsi="宋体" w:cs="宋体"/>
                <w:color w:val="auto"/>
                <w:highlight w:val="none"/>
              </w:rPr>
            </w:pPr>
            <w:r>
              <w:rPr>
                <w:rFonts w:hint="eastAsia" w:ascii="宋体" w:hAnsi="宋体" w:cs="宋体"/>
                <w:b/>
                <w:bCs/>
                <w:color w:val="auto"/>
                <w:spacing w:val="-3"/>
                <w:highlight w:val="none"/>
              </w:rPr>
              <w:t>1、</w:t>
            </w:r>
            <w:r>
              <w:rPr>
                <w:rFonts w:ascii="宋体" w:hAnsi="宋体" w:cs="宋体"/>
                <w:b/>
                <w:bCs/>
                <w:color w:val="auto"/>
                <w:spacing w:val="-3"/>
                <w:highlight w:val="none"/>
              </w:rPr>
              <w:t>价</w:t>
            </w:r>
            <w:r>
              <w:rPr>
                <w:rFonts w:ascii="宋体" w:hAnsi="宋体" w:cs="宋体"/>
                <w:b/>
                <w:bCs/>
                <w:color w:val="auto"/>
                <w:spacing w:val="-2"/>
                <w:highlight w:val="none"/>
              </w:rPr>
              <w:t>格</w:t>
            </w:r>
          </w:p>
        </w:tc>
      </w:tr>
      <w:tr w14:paraId="1BDF8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vAlign w:val="center"/>
          </w:tcPr>
          <w:p w14:paraId="68C92C3C">
            <w:pPr>
              <w:pStyle w:val="276"/>
              <w:spacing w:line="360" w:lineRule="auto"/>
              <w:rPr>
                <w:color w:val="auto"/>
                <w:highlight w:val="none"/>
              </w:rPr>
            </w:pPr>
            <w:r>
              <w:rPr>
                <w:rFonts w:hint="eastAsia"/>
                <w:color w:val="auto"/>
                <w:highlight w:val="none"/>
              </w:rPr>
              <w:t>1</w:t>
            </w:r>
          </w:p>
        </w:tc>
        <w:tc>
          <w:tcPr>
            <w:tcW w:w="1179" w:type="dxa"/>
            <w:vAlign w:val="center"/>
          </w:tcPr>
          <w:p w14:paraId="42F6BB77">
            <w:pPr>
              <w:pStyle w:val="276"/>
              <w:spacing w:line="360" w:lineRule="auto"/>
              <w:rPr>
                <w:color w:val="auto"/>
                <w:highlight w:val="none"/>
              </w:rPr>
            </w:pPr>
            <w:r>
              <w:rPr>
                <w:rFonts w:hint="eastAsia"/>
                <w:color w:val="auto"/>
                <w:highlight w:val="none"/>
              </w:rPr>
              <w:t>价格</w:t>
            </w:r>
          </w:p>
        </w:tc>
        <w:tc>
          <w:tcPr>
            <w:tcW w:w="6616" w:type="dxa"/>
            <w:vAlign w:val="center"/>
          </w:tcPr>
          <w:p w14:paraId="42BADA86">
            <w:pPr>
              <w:adjustRightInd w:val="0"/>
              <w:snapToGrid w:val="0"/>
              <w:spacing w:line="360" w:lineRule="auto"/>
              <w:jc w:val="left"/>
              <w:rPr>
                <w:color w:val="auto"/>
                <w:sz w:val="24"/>
                <w:szCs w:val="24"/>
                <w:highlight w:val="none"/>
              </w:rPr>
            </w:pPr>
            <w:r>
              <w:rPr>
                <w:color w:val="auto"/>
                <w:sz w:val="24"/>
                <w:szCs w:val="24"/>
                <w:highlight w:val="none"/>
              </w:rPr>
              <w:t>采用低价优先法计算</w:t>
            </w:r>
            <w:r>
              <w:rPr>
                <w:rFonts w:hint="eastAsia"/>
                <w:color w:val="auto"/>
                <w:sz w:val="24"/>
                <w:szCs w:val="24"/>
                <w:highlight w:val="none"/>
              </w:rPr>
              <w:t>，</w:t>
            </w:r>
            <w:r>
              <w:rPr>
                <w:color w:val="auto"/>
                <w:sz w:val="24"/>
                <w:szCs w:val="24"/>
                <w:highlight w:val="none"/>
              </w:rPr>
              <w:t>即满足</w:t>
            </w:r>
            <w:r>
              <w:rPr>
                <w:rFonts w:hint="eastAsia"/>
                <w:color w:val="auto"/>
                <w:sz w:val="24"/>
                <w:szCs w:val="24"/>
                <w:highlight w:val="none"/>
              </w:rPr>
              <w:t>磋商文件</w:t>
            </w:r>
            <w:r>
              <w:rPr>
                <w:color w:val="auto"/>
                <w:sz w:val="24"/>
                <w:szCs w:val="24"/>
                <w:highlight w:val="none"/>
              </w:rPr>
              <w:t>要求且</w:t>
            </w:r>
            <w:r>
              <w:rPr>
                <w:rFonts w:hint="eastAsia"/>
                <w:color w:val="auto"/>
                <w:sz w:val="24"/>
                <w:szCs w:val="24"/>
                <w:highlight w:val="none"/>
              </w:rPr>
              <w:t>最终报价</w:t>
            </w:r>
            <w:r>
              <w:rPr>
                <w:color w:val="auto"/>
                <w:sz w:val="24"/>
                <w:szCs w:val="24"/>
                <w:highlight w:val="none"/>
              </w:rPr>
              <w:t>最低的</w:t>
            </w:r>
            <w:r>
              <w:rPr>
                <w:rFonts w:hint="eastAsia"/>
                <w:color w:val="auto"/>
                <w:sz w:val="24"/>
                <w:szCs w:val="24"/>
                <w:highlight w:val="none"/>
              </w:rPr>
              <w:t>供应商</w:t>
            </w:r>
            <w:r>
              <w:rPr>
                <w:color w:val="auto"/>
                <w:sz w:val="24"/>
                <w:szCs w:val="24"/>
                <w:highlight w:val="none"/>
              </w:rPr>
              <w:t>报价为评</w:t>
            </w:r>
            <w:r>
              <w:rPr>
                <w:rFonts w:hint="eastAsia"/>
                <w:color w:val="auto"/>
                <w:sz w:val="24"/>
                <w:szCs w:val="24"/>
                <w:highlight w:val="none"/>
              </w:rPr>
              <w:t>审</w:t>
            </w:r>
            <w:r>
              <w:rPr>
                <w:color w:val="auto"/>
                <w:sz w:val="24"/>
                <w:szCs w:val="24"/>
                <w:highlight w:val="none"/>
              </w:rPr>
              <w:t>基准价</w:t>
            </w:r>
            <w:r>
              <w:rPr>
                <w:rFonts w:hint="eastAsia"/>
                <w:color w:val="auto"/>
                <w:sz w:val="24"/>
                <w:szCs w:val="24"/>
                <w:highlight w:val="none"/>
              </w:rPr>
              <w:t>，</w:t>
            </w:r>
            <w:r>
              <w:rPr>
                <w:color w:val="auto"/>
                <w:sz w:val="24"/>
                <w:szCs w:val="24"/>
                <w:highlight w:val="none"/>
              </w:rPr>
              <w:t>其价格分为满分。其他</w:t>
            </w:r>
            <w:r>
              <w:rPr>
                <w:rFonts w:hint="eastAsia"/>
                <w:color w:val="auto"/>
                <w:sz w:val="24"/>
                <w:szCs w:val="24"/>
                <w:highlight w:val="none"/>
              </w:rPr>
              <w:t>供应商</w:t>
            </w:r>
            <w:r>
              <w:rPr>
                <w:color w:val="auto"/>
                <w:sz w:val="24"/>
                <w:szCs w:val="24"/>
                <w:highlight w:val="none"/>
              </w:rPr>
              <w:t>的价格分统一按照下列公式计算：报价得分=</w:t>
            </w:r>
            <w:r>
              <w:rPr>
                <w:rFonts w:hint="eastAsia"/>
                <w:color w:val="auto"/>
                <w:sz w:val="24"/>
                <w:szCs w:val="24"/>
                <w:highlight w:val="none"/>
              </w:rPr>
              <w:t>（</w:t>
            </w:r>
            <w:r>
              <w:rPr>
                <w:color w:val="auto"/>
                <w:sz w:val="24"/>
                <w:szCs w:val="24"/>
                <w:highlight w:val="none"/>
              </w:rPr>
              <w:t>评</w:t>
            </w:r>
            <w:r>
              <w:rPr>
                <w:rFonts w:hint="eastAsia"/>
                <w:color w:val="auto"/>
                <w:sz w:val="24"/>
                <w:szCs w:val="24"/>
                <w:highlight w:val="none"/>
              </w:rPr>
              <w:t>审</w:t>
            </w:r>
            <w:r>
              <w:rPr>
                <w:color w:val="auto"/>
                <w:sz w:val="24"/>
                <w:szCs w:val="24"/>
                <w:highlight w:val="none"/>
              </w:rPr>
              <w:t>基准价/</w:t>
            </w:r>
            <w:r>
              <w:rPr>
                <w:rFonts w:hint="eastAsia"/>
                <w:color w:val="auto"/>
                <w:sz w:val="24"/>
                <w:szCs w:val="24"/>
                <w:highlight w:val="none"/>
              </w:rPr>
              <w:t>最终</w:t>
            </w:r>
            <w:r>
              <w:rPr>
                <w:color w:val="auto"/>
                <w:sz w:val="24"/>
                <w:szCs w:val="24"/>
                <w:highlight w:val="none"/>
              </w:rPr>
              <w:t>报价</w:t>
            </w:r>
            <w:r>
              <w:rPr>
                <w:rFonts w:hint="eastAsia"/>
                <w:color w:val="auto"/>
                <w:sz w:val="24"/>
                <w:szCs w:val="24"/>
                <w:highlight w:val="none"/>
              </w:rPr>
              <w:t>）</w:t>
            </w:r>
            <w:r>
              <w:rPr>
                <w:color w:val="auto"/>
                <w:sz w:val="24"/>
                <w:szCs w:val="24"/>
                <w:highlight w:val="none"/>
              </w:rPr>
              <w:t>×</w:t>
            </w:r>
            <w:r>
              <w:rPr>
                <w:rFonts w:hint="eastAsia"/>
                <w:color w:val="auto"/>
                <w:sz w:val="24"/>
                <w:szCs w:val="24"/>
                <w:highlight w:val="none"/>
              </w:rPr>
              <w:t>价格分值（小数点保留两位）</w:t>
            </w:r>
          </w:p>
          <w:p w14:paraId="68A40ED0">
            <w:pPr>
              <w:pStyle w:val="276"/>
              <w:spacing w:line="360" w:lineRule="auto"/>
              <w:rPr>
                <w:color w:val="auto"/>
                <w:highlight w:val="none"/>
              </w:rPr>
            </w:pPr>
            <w:r>
              <w:rPr>
                <w:rFonts w:hint="eastAsia"/>
                <w:color w:val="auto"/>
                <w:highlight w:val="none"/>
              </w:rPr>
              <w:t>因落实政府采购政策进行价格调整的，以调整后的价格计算评审基准价和最终报价。</w:t>
            </w:r>
          </w:p>
        </w:tc>
        <w:tc>
          <w:tcPr>
            <w:tcW w:w="573" w:type="dxa"/>
            <w:gridSpan w:val="2"/>
            <w:vAlign w:val="center"/>
          </w:tcPr>
          <w:p w14:paraId="5607F97A">
            <w:pPr>
              <w:pStyle w:val="276"/>
              <w:spacing w:line="360" w:lineRule="auto"/>
              <w:jc w:val="center"/>
              <w:rPr>
                <w:color w:val="auto"/>
                <w:highlight w:val="none"/>
              </w:rPr>
            </w:pPr>
            <w:r>
              <w:rPr>
                <w:rFonts w:hint="eastAsia"/>
                <w:color w:val="auto"/>
                <w:highlight w:val="none"/>
              </w:rPr>
              <w:t>10</w:t>
            </w:r>
          </w:p>
        </w:tc>
        <w:tc>
          <w:tcPr>
            <w:tcW w:w="534" w:type="dxa"/>
            <w:vAlign w:val="center"/>
          </w:tcPr>
          <w:p w14:paraId="12E82CFD">
            <w:pPr>
              <w:spacing w:before="258" w:line="360" w:lineRule="auto"/>
              <w:jc w:val="center"/>
              <w:rPr>
                <w:rFonts w:ascii="宋体" w:hAnsi="宋体" w:cs="宋体"/>
                <w:color w:val="auto"/>
                <w:highlight w:val="none"/>
              </w:rPr>
            </w:pPr>
            <w:r>
              <w:rPr>
                <w:rFonts w:hint="eastAsia" w:ascii="宋体" w:hAnsi="宋体" w:cs="宋体"/>
                <w:color w:val="auto"/>
                <w:highlight w:val="none"/>
              </w:rPr>
              <w:t>价格分</w:t>
            </w:r>
          </w:p>
        </w:tc>
      </w:tr>
      <w:tr w14:paraId="536A4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421" w:type="dxa"/>
            <w:gridSpan w:val="6"/>
          </w:tcPr>
          <w:p w14:paraId="633175AE">
            <w:pPr>
              <w:spacing w:before="123" w:line="360" w:lineRule="auto"/>
              <w:ind w:left="114"/>
              <w:rPr>
                <w:rFonts w:ascii="宋体" w:hAnsi="宋体" w:cs="宋体"/>
                <w:color w:val="auto"/>
                <w:highlight w:val="none"/>
              </w:rPr>
            </w:pPr>
            <w:r>
              <w:rPr>
                <w:rFonts w:hint="eastAsia" w:ascii="宋体" w:hAnsi="宋体" w:cs="宋体"/>
                <w:b/>
                <w:bCs/>
                <w:color w:val="auto"/>
                <w:spacing w:val="-3"/>
                <w:highlight w:val="none"/>
              </w:rPr>
              <w:t>2、服务</w:t>
            </w:r>
          </w:p>
        </w:tc>
      </w:tr>
      <w:tr w14:paraId="67EF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22C7871A">
            <w:pPr>
              <w:pStyle w:val="276"/>
              <w:spacing w:line="360" w:lineRule="auto"/>
              <w:rPr>
                <w:color w:val="auto"/>
                <w:highlight w:val="none"/>
              </w:rPr>
            </w:pPr>
            <w:r>
              <w:rPr>
                <w:rFonts w:hint="eastAsia"/>
                <w:color w:val="auto"/>
                <w:highlight w:val="none"/>
              </w:rPr>
              <w:t>2.1</w:t>
            </w:r>
          </w:p>
        </w:tc>
        <w:tc>
          <w:tcPr>
            <w:tcW w:w="1179" w:type="dxa"/>
            <w:vAlign w:val="center"/>
          </w:tcPr>
          <w:p w14:paraId="2CC55AE2">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重难点分析理解方案</w:t>
            </w:r>
          </w:p>
        </w:tc>
        <w:tc>
          <w:tcPr>
            <w:tcW w:w="6616" w:type="dxa"/>
            <w:vAlign w:val="center"/>
          </w:tcPr>
          <w:p w14:paraId="27723F60">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1、系统支撑分析：针对现有预算编制、预算调整调剂、预算绩效</w:t>
            </w:r>
            <w:r>
              <w:rPr>
                <w:rFonts w:hint="eastAsia" w:ascii="宋体" w:hAnsi="宋体" w:cs="宋体"/>
                <w:color w:val="auto"/>
                <w:sz w:val="24"/>
                <w:szCs w:val="24"/>
                <w:highlight w:val="none"/>
                <w:lang w:eastAsia="zh-CN"/>
              </w:rPr>
              <w:t>、预算执行</w:t>
            </w:r>
            <w:r>
              <w:rPr>
                <w:rFonts w:hint="eastAsia" w:ascii="宋体" w:hAnsi="宋体" w:cs="宋体"/>
                <w:color w:val="auto"/>
                <w:sz w:val="24"/>
                <w:szCs w:val="24"/>
                <w:highlight w:val="none"/>
              </w:rPr>
              <w:t>管理相关系统分析支撑服务重点、难点，并提出解决策略；2、系统配置分析：根据区财政局提出的个性化需求、系统配置功能提出相关重难点分析，并提出解决策略；3、用户使用分析：针对预算单位在使用一体化系统时遇到的相关重难点进行分析，并提出解决策略；4、针对业务适用性提出相关重难点分析，并提出解决策略。</w:t>
            </w:r>
          </w:p>
          <w:p w14:paraId="584347F6">
            <w:pPr>
              <w:pStyle w:val="276"/>
              <w:spacing w:line="360" w:lineRule="auto"/>
              <w:rPr>
                <w:color w:val="auto"/>
                <w:highlight w:val="none"/>
              </w:rPr>
            </w:pPr>
            <w:r>
              <w:rPr>
                <w:rFonts w:hint="eastAsia"/>
                <w:color w:val="auto"/>
                <w:highlight w:val="none"/>
              </w:rPr>
              <w:t>(1)上述每项内容完善、针对性强、重点难点把握准确、措施有力的，每个得2.5分</w:t>
            </w:r>
            <w:r>
              <w:rPr>
                <w:rFonts w:hint="eastAsia"/>
                <w:color w:val="auto"/>
                <w:highlight w:val="none"/>
                <w:lang w:eastAsia="zh-CN"/>
              </w:rPr>
              <w:t>；</w:t>
            </w:r>
          </w:p>
          <w:p w14:paraId="6426D886">
            <w:pPr>
              <w:pStyle w:val="276"/>
              <w:spacing w:line="360" w:lineRule="auto"/>
              <w:rPr>
                <w:color w:val="auto"/>
                <w:highlight w:val="none"/>
              </w:rPr>
            </w:pPr>
            <w:r>
              <w:rPr>
                <w:rFonts w:hint="eastAsia"/>
                <w:color w:val="auto"/>
                <w:highlight w:val="none"/>
              </w:rPr>
              <w:t>(2)上述每项内容较完善、针对性较强、重点难点把握较准确、措施较有力的，每个得 1分</w:t>
            </w:r>
            <w:r>
              <w:rPr>
                <w:rFonts w:hint="eastAsia"/>
                <w:color w:val="auto"/>
                <w:highlight w:val="none"/>
                <w:lang w:eastAsia="zh-CN"/>
              </w:rPr>
              <w:t>；</w:t>
            </w:r>
          </w:p>
          <w:p w14:paraId="1EDB6F1F">
            <w:pPr>
              <w:pStyle w:val="276"/>
              <w:spacing w:line="360" w:lineRule="auto"/>
              <w:rPr>
                <w:color w:val="auto"/>
                <w:highlight w:val="none"/>
              </w:rPr>
            </w:pPr>
            <w:r>
              <w:rPr>
                <w:rFonts w:hint="eastAsia"/>
                <w:color w:val="auto"/>
                <w:highlight w:val="none"/>
              </w:rPr>
              <w:t>(3)方案不可行或未提供方案的不得分。</w:t>
            </w:r>
          </w:p>
        </w:tc>
        <w:tc>
          <w:tcPr>
            <w:tcW w:w="573" w:type="dxa"/>
            <w:gridSpan w:val="2"/>
            <w:vAlign w:val="center"/>
          </w:tcPr>
          <w:p w14:paraId="68EDBC47">
            <w:pPr>
              <w:pStyle w:val="276"/>
              <w:spacing w:line="360" w:lineRule="auto"/>
              <w:jc w:val="center"/>
              <w:rPr>
                <w:color w:val="auto"/>
                <w:highlight w:val="none"/>
              </w:rPr>
            </w:pPr>
            <w:r>
              <w:rPr>
                <w:rFonts w:hint="eastAsia"/>
                <w:color w:val="auto"/>
                <w:highlight w:val="none"/>
              </w:rPr>
              <w:t>10</w:t>
            </w:r>
          </w:p>
        </w:tc>
        <w:tc>
          <w:tcPr>
            <w:tcW w:w="534" w:type="dxa"/>
            <w:vAlign w:val="center"/>
          </w:tcPr>
          <w:p w14:paraId="72AAFDD8">
            <w:pPr>
              <w:pStyle w:val="276"/>
              <w:spacing w:line="360" w:lineRule="auto"/>
              <w:rPr>
                <w:color w:val="auto"/>
                <w:highlight w:val="none"/>
              </w:rPr>
            </w:pPr>
            <w:r>
              <w:rPr>
                <w:rFonts w:hint="eastAsia"/>
                <w:color w:val="auto"/>
                <w:highlight w:val="none"/>
              </w:rPr>
              <w:t>主观分</w:t>
            </w:r>
          </w:p>
        </w:tc>
      </w:tr>
      <w:tr w14:paraId="0820E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3A5E84DA">
            <w:pPr>
              <w:pStyle w:val="276"/>
              <w:spacing w:line="360" w:lineRule="auto"/>
              <w:rPr>
                <w:color w:val="auto"/>
                <w:spacing w:val="-2"/>
                <w:highlight w:val="none"/>
              </w:rPr>
            </w:pPr>
            <w:r>
              <w:rPr>
                <w:rFonts w:hint="eastAsia"/>
                <w:color w:val="auto"/>
                <w:highlight w:val="none"/>
              </w:rPr>
              <w:t>2.2</w:t>
            </w:r>
          </w:p>
        </w:tc>
        <w:tc>
          <w:tcPr>
            <w:tcW w:w="1179" w:type="dxa"/>
            <w:vAlign w:val="center"/>
          </w:tcPr>
          <w:p w14:paraId="0000E031">
            <w:pPr>
              <w:pStyle w:val="276"/>
              <w:spacing w:line="360" w:lineRule="auto"/>
              <w:rPr>
                <w:color w:val="auto"/>
                <w:highlight w:val="none"/>
              </w:rPr>
            </w:pPr>
            <w:r>
              <w:rPr>
                <w:rFonts w:hint="eastAsia"/>
                <w:color w:val="auto"/>
                <w:highlight w:val="none"/>
              </w:rPr>
              <w:t>实施部署方案</w:t>
            </w:r>
          </w:p>
          <w:p w14:paraId="1F7DC0D2">
            <w:pPr>
              <w:pStyle w:val="276"/>
              <w:spacing w:line="360" w:lineRule="auto"/>
              <w:rPr>
                <w:color w:val="auto"/>
                <w:highlight w:val="none"/>
              </w:rPr>
            </w:pPr>
          </w:p>
        </w:tc>
        <w:tc>
          <w:tcPr>
            <w:tcW w:w="6616" w:type="dxa"/>
            <w:vAlign w:val="center"/>
          </w:tcPr>
          <w:p w14:paraId="7AC59DE1">
            <w:pPr>
              <w:pStyle w:val="276"/>
              <w:spacing w:line="360" w:lineRule="auto"/>
              <w:rPr>
                <w:color w:val="auto"/>
                <w:highlight w:val="none"/>
              </w:rPr>
            </w:pPr>
            <w:r>
              <w:rPr>
                <w:rFonts w:hint="eastAsia"/>
                <w:color w:val="auto"/>
                <w:highlight w:val="none"/>
              </w:rPr>
              <w:t>根据一体化系统的初始化及年终结转提供相应的实施部署，包括但不限于：1、人员分工；2、实施计划和进度安排；3、工期进度4、质量控制。</w:t>
            </w:r>
          </w:p>
          <w:p w14:paraId="2286ABA5">
            <w:pPr>
              <w:pStyle w:val="276"/>
              <w:spacing w:line="360" w:lineRule="auto"/>
              <w:rPr>
                <w:color w:val="auto"/>
                <w:highlight w:val="none"/>
              </w:rPr>
            </w:pPr>
            <w:r>
              <w:rPr>
                <w:rFonts w:hint="eastAsia"/>
                <w:color w:val="auto"/>
                <w:highlight w:val="none"/>
              </w:rPr>
              <w:t>（1）上述每项内容详细、科学合理、人员分工合理、实施计划和进度安排合理、工期进度计划详实且质量控制完善的，每个得2.5分；</w:t>
            </w:r>
          </w:p>
          <w:p w14:paraId="60EBE4D2">
            <w:pPr>
              <w:pStyle w:val="276"/>
              <w:spacing w:line="360" w:lineRule="auto"/>
              <w:rPr>
                <w:color w:val="auto"/>
                <w:highlight w:val="none"/>
              </w:rPr>
            </w:pPr>
            <w:r>
              <w:rPr>
                <w:rFonts w:hint="eastAsia"/>
                <w:color w:val="auto"/>
                <w:highlight w:val="none"/>
              </w:rPr>
              <w:t>（2）上述每项内容较详细、较科学合理、人员分工较合理、实施计划和进度安排较合理、工期进度计划较详实且质量控制较完善的，每个得1分；</w:t>
            </w:r>
          </w:p>
          <w:p w14:paraId="443F4A23">
            <w:pPr>
              <w:pStyle w:val="276"/>
              <w:spacing w:line="360" w:lineRule="auto"/>
              <w:rPr>
                <w:color w:val="auto"/>
                <w:highlight w:val="none"/>
              </w:rPr>
            </w:pPr>
            <w:r>
              <w:rPr>
                <w:rFonts w:hint="eastAsia"/>
                <w:color w:val="auto"/>
                <w:highlight w:val="none"/>
              </w:rPr>
              <w:t>（3）方案不可行或未提供方案的不得分。</w:t>
            </w:r>
          </w:p>
        </w:tc>
        <w:tc>
          <w:tcPr>
            <w:tcW w:w="573" w:type="dxa"/>
            <w:gridSpan w:val="2"/>
            <w:vAlign w:val="center"/>
          </w:tcPr>
          <w:p w14:paraId="10AC648D">
            <w:pPr>
              <w:pStyle w:val="276"/>
              <w:spacing w:line="360" w:lineRule="auto"/>
              <w:jc w:val="center"/>
              <w:rPr>
                <w:color w:val="auto"/>
                <w:highlight w:val="none"/>
              </w:rPr>
            </w:pPr>
            <w:r>
              <w:rPr>
                <w:rFonts w:hint="eastAsia"/>
                <w:color w:val="auto"/>
                <w:highlight w:val="none"/>
              </w:rPr>
              <w:t>10</w:t>
            </w:r>
          </w:p>
        </w:tc>
        <w:tc>
          <w:tcPr>
            <w:tcW w:w="534" w:type="dxa"/>
            <w:vAlign w:val="center"/>
          </w:tcPr>
          <w:p w14:paraId="7199A675">
            <w:pPr>
              <w:spacing w:before="68" w:line="360" w:lineRule="auto"/>
              <w:jc w:val="center"/>
              <w:rPr>
                <w:rFonts w:ascii="宋体" w:hAnsi="宋体" w:cs="宋体"/>
                <w:color w:val="auto"/>
                <w:highlight w:val="none"/>
              </w:rPr>
            </w:pPr>
            <w:r>
              <w:rPr>
                <w:rFonts w:ascii="宋体" w:hAnsi="宋体" w:cs="宋体"/>
                <w:color w:val="auto"/>
                <w:spacing w:val="-6"/>
                <w:highlight w:val="none"/>
              </w:rPr>
              <w:t>主</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1E118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7A75226D">
            <w:pPr>
              <w:spacing w:before="68" w:line="360" w:lineRule="auto"/>
              <w:jc w:val="center"/>
              <w:rPr>
                <w:rFonts w:ascii="宋体" w:hAnsi="宋体" w:cs="宋体"/>
                <w:color w:val="auto"/>
                <w:spacing w:val="-2"/>
                <w:highlight w:val="none"/>
              </w:rPr>
            </w:pPr>
            <w:r>
              <w:rPr>
                <w:rFonts w:hint="eastAsia" w:ascii="宋体" w:hAnsi="宋体" w:cs="宋体"/>
                <w:color w:val="auto"/>
                <w:spacing w:val="-2"/>
                <w:highlight w:val="none"/>
              </w:rPr>
              <w:t>2.3</w:t>
            </w:r>
          </w:p>
        </w:tc>
        <w:tc>
          <w:tcPr>
            <w:tcW w:w="1179" w:type="dxa"/>
            <w:vAlign w:val="center"/>
          </w:tcPr>
          <w:p w14:paraId="66D56163">
            <w:pPr>
              <w:pStyle w:val="276"/>
              <w:spacing w:line="360" w:lineRule="auto"/>
              <w:rPr>
                <w:color w:val="auto"/>
                <w:spacing w:val="1"/>
                <w:highlight w:val="none"/>
              </w:rPr>
            </w:pPr>
            <w:r>
              <w:rPr>
                <w:rFonts w:hint="eastAsia"/>
                <w:color w:val="auto"/>
                <w:spacing w:val="1"/>
                <w:highlight w:val="none"/>
              </w:rPr>
              <w:t>运维服务方案</w:t>
            </w:r>
          </w:p>
        </w:tc>
        <w:tc>
          <w:tcPr>
            <w:tcW w:w="6616" w:type="dxa"/>
            <w:vAlign w:val="center"/>
          </w:tcPr>
          <w:p w14:paraId="0521372E">
            <w:pPr>
              <w:pStyle w:val="276"/>
              <w:spacing w:line="360" w:lineRule="auto"/>
              <w:rPr>
                <w:color w:val="auto"/>
                <w:spacing w:val="1"/>
                <w:highlight w:val="none"/>
              </w:rPr>
            </w:pPr>
            <w:r>
              <w:rPr>
                <w:rFonts w:hint="eastAsia"/>
                <w:color w:val="auto"/>
                <w:highlight w:val="none"/>
              </w:rPr>
              <w:t>基于现有预算管理一体化云平台，提供日常应用操作指导、数据技术支持及软件问题咨询等服务。提供的运维服务方案包括但不限于：</w:t>
            </w:r>
            <w:r>
              <w:rPr>
                <w:rFonts w:hint="eastAsia"/>
                <w:color w:val="auto"/>
                <w:spacing w:val="1"/>
                <w:highlight w:val="none"/>
              </w:rPr>
              <w:t>1、运维服务措施；2、运维服务质量保障；3、运维组织架构；4、运维安全措施。</w:t>
            </w:r>
          </w:p>
          <w:p w14:paraId="79D7738E">
            <w:pPr>
              <w:pStyle w:val="276"/>
              <w:spacing w:line="360" w:lineRule="auto"/>
              <w:rPr>
                <w:color w:val="auto"/>
                <w:highlight w:val="none"/>
              </w:rPr>
            </w:pPr>
            <w:r>
              <w:rPr>
                <w:rFonts w:hint="eastAsia"/>
                <w:color w:val="auto"/>
                <w:highlight w:val="none"/>
              </w:rPr>
              <w:t>（1）上述每项内容详细、组织架构科学合理，</w:t>
            </w:r>
            <w:r>
              <w:rPr>
                <w:rFonts w:hint="eastAsia"/>
                <w:color w:val="auto"/>
                <w:spacing w:val="1"/>
                <w:highlight w:val="none"/>
              </w:rPr>
              <w:t>服务、质量控制、安全措施完善</w:t>
            </w:r>
            <w:r>
              <w:rPr>
                <w:rFonts w:hint="eastAsia"/>
                <w:color w:val="auto"/>
                <w:highlight w:val="none"/>
              </w:rPr>
              <w:t>的，每个得2.5分；</w:t>
            </w:r>
          </w:p>
          <w:p w14:paraId="22B636AD">
            <w:pPr>
              <w:pStyle w:val="276"/>
              <w:spacing w:line="360" w:lineRule="auto"/>
              <w:rPr>
                <w:color w:val="auto"/>
                <w:highlight w:val="none"/>
              </w:rPr>
            </w:pPr>
            <w:r>
              <w:rPr>
                <w:rFonts w:hint="eastAsia"/>
                <w:color w:val="auto"/>
                <w:highlight w:val="none"/>
              </w:rPr>
              <w:t>（2）上述每项内容</w:t>
            </w:r>
            <w:r>
              <w:rPr>
                <w:rFonts w:hint="eastAsia"/>
                <w:color w:val="auto"/>
                <w:spacing w:val="1"/>
                <w:highlight w:val="none"/>
              </w:rPr>
              <w:t>较</w:t>
            </w:r>
            <w:r>
              <w:rPr>
                <w:rFonts w:hint="eastAsia"/>
                <w:color w:val="auto"/>
                <w:highlight w:val="none"/>
              </w:rPr>
              <w:t>详细、组织架构科学</w:t>
            </w:r>
            <w:r>
              <w:rPr>
                <w:rFonts w:hint="eastAsia"/>
                <w:color w:val="auto"/>
                <w:spacing w:val="1"/>
                <w:highlight w:val="none"/>
              </w:rPr>
              <w:t>较</w:t>
            </w:r>
            <w:r>
              <w:rPr>
                <w:rFonts w:hint="eastAsia"/>
                <w:color w:val="auto"/>
                <w:highlight w:val="none"/>
              </w:rPr>
              <w:t>合理，</w:t>
            </w:r>
            <w:r>
              <w:rPr>
                <w:rFonts w:hint="eastAsia"/>
                <w:color w:val="auto"/>
                <w:spacing w:val="1"/>
                <w:highlight w:val="none"/>
              </w:rPr>
              <w:t>服务、质量控制、安全措施较完善</w:t>
            </w:r>
            <w:r>
              <w:rPr>
                <w:rFonts w:hint="eastAsia"/>
                <w:color w:val="auto"/>
                <w:highlight w:val="none"/>
              </w:rPr>
              <w:t>的，每个得1分；</w:t>
            </w:r>
          </w:p>
          <w:p w14:paraId="58D87BD2">
            <w:pPr>
              <w:pStyle w:val="276"/>
              <w:spacing w:line="360" w:lineRule="auto"/>
              <w:rPr>
                <w:color w:val="auto"/>
                <w:spacing w:val="1"/>
                <w:highlight w:val="none"/>
              </w:rPr>
            </w:pPr>
            <w:r>
              <w:rPr>
                <w:rFonts w:hint="eastAsia"/>
                <w:color w:val="auto"/>
                <w:highlight w:val="none"/>
              </w:rPr>
              <w:t>（3）方案不可行或未提供方案的不得分。</w:t>
            </w:r>
          </w:p>
        </w:tc>
        <w:tc>
          <w:tcPr>
            <w:tcW w:w="573" w:type="dxa"/>
            <w:gridSpan w:val="2"/>
            <w:vAlign w:val="center"/>
          </w:tcPr>
          <w:p w14:paraId="33354040">
            <w:pPr>
              <w:pStyle w:val="276"/>
              <w:spacing w:line="360" w:lineRule="auto"/>
              <w:jc w:val="center"/>
              <w:rPr>
                <w:color w:val="auto"/>
                <w:highlight w:val="none"/>
              </w:rPr>
            </w:pPr>
            <w:r>
              <w:rPr>
                <w:rFonts w:hint="eastAsia"/>
                <w:color w:val="auto"/>
                <w:highlight w:val="none"/>
              </w:rPr>
              <w:t>10</w:t>
            </w:r>
          </w:p>
        </w:tc>
        <w:tc>
          <w:tcPr>
            <w:tcW w:w="534" w:type="dxa"/>
            <w:vAlign w:val="center"/>
          </w:tcPr>
          <w:p w14:paraId="777C0C73">
            <w:pPr>
              <w:spacing w:before="68" w:line="360" w:lineRule="auto"/>
              <w:jc w:val="center"/>
              <w:rPr>
                <w:rFonts w:ascii="宋体" w:hAnsi="宋体" w:cs="宋体"/>
                <w:color w:val="auto"/>
                <w:highlight w:val="none"/>
              </w:rPr>
            </w:pPr>
            <w:r>
              <w:rPr>
                <w:rFonts w:hint="eastAsia" w:ascii="宋体" w:hAnsi="宋体" w:cs="宋体"/>
                <w:color w:val="auto"/>
                <w:highlight w:val="none"/>
              </w:rPr>
              <w:t>主观分</w:t>
            </w:r>
          </w:p>
        </w:tc>
      </w:tr>
      <w:tr w14:paraId="331A8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2E0F54FC">
            <w:pPr>
              <w:spacing w:before="68" w:line="360" w:lineRule="auto"/>
              <w:jc w:val="center"/>
              <w:rPr>
                <w:rFonts w:ascii="宋体" w:hAnsi="宋体" w:cs="宋体"/>
                <w:color w:val="auto"/>
                <w:spacing w:val="-2"/>
                <w:highlight w:val="none"/>
              </w:rPr>
            </w:pPr>
            <w:r>
              <w:rPr>
                <w:rFonts w:hint="eastAsia" w:ascii="宋体" w:hAnsi="宋体" w:cs="宋体"/>
                <w:color w:val="auto"/>
                <w:spacing w:val="-2"/>
                <w:highlight w:val="none"/>
              </w:rPr>
              <w:t>2.4</w:t>
            </w:r>
          </w:p>
        </w:tc>
        <w:tc>
          <w:tcPr>
            <w:tcW w:w="1179" w:type="dxa"/>
            <w:vAlign w:val="center"/>
          </w:tcPr>
          <w:p w14:paraId="36BE81A6">
            <w:pPr>
              <w:pStyle w:val="276"/>
              <w:spacing w:line="360" w:lineRule="auto"/>
              <w:rPr>
                <w:color w:val="auto"/>
                <w:spacing w:val="1"/>
                <w:highlight w:val="none"/>
              </w:rPr>
            </w:pPr>
            <w:r>
              <w:rPr>
                <w:rFonts w:hint="eastAsia"/>
                <w:color w:val="auto"/>
                <w:spacing w:val="1"/>
                <w:highlight w:val="none"/>
              </w:rPr>
              <w:t>培训方案</w:t>
            </w:r>
          </w:p>
        </w:tc>
        <w:tc>
          <w:tcPr>
            <w:tcW w:w="6616" w:type="dxa"/>
            <w:vAlign w:val="center"/>
          </w:tcPr>
          <w:p w14:paraId="3CFCC8B9">
            <w:pPr>
              <w:pStyle w:val="276"/>
              <w:spacing w:line="360" w:lineRule="auto"/>
              <w:rPr>
                <w:color w:val="auto"/>
                <w:highlight w:val="none"/>
              </w:rPr>
            </w:pPr>
            <w:r>
              <w:rPr>
                <w:rFonts w:hint="eastAsia"/>
                <w:color w:val="auto"/>
                <w:highlight w:val="none"/>
              </w:rPr>
              <w:t>针对本项目培训需求，提供项目培训方案。包括但不限于：1、培训计划；2、培训规范文档；3、培训质量控制等内容。</w:t>
            </w:r>
          </w:p>
          <w:p w14:paraId="6D8C4CD6">
            <w:pPr>
              <w:pStyle w:val="276"/>
              <w:spacing w:line="360" w:lineRule="auto"/>
              <w:rPr>
                <w:color w:val="auto"/>
                <w:highlight w:val="none"/>
              </w:rPr>
            </w:pPr>
            <w:r>
              <w:rPr>
                <w:rFonts w:hint="eastAsia"/>
                <w:color w:val="auto"/>
                <w:highlight w:val="none"/>
              </w:rPr>
              <w:t>（1）上述每项内容详细、科学合理，</w:t>
            </w:r>
            <w:r>
              <w:rPr>
                <w:rFonts w:hint="eastAsia"/>
                <w:color w:val="auto"/>
                <w:spacing w:val="1"/>
                <w:highlight w:val="none"/>
              </w:rPr>
              <w:t>培训方案全面，培训计划详细、培训质量控制完善，</w:t>
            </w:r>
            <w:r>
              <w:rPr>
                <w:rFonts w:hint="eastAsia"/>
                <w:color w:val="auto"/>
                <w:highlight w:val="none"/>
              </w:rPr>
              <w:t>每个得3分；</w:t>
            </w:r>
          </w:p>
          <w:p w14:paraId="02489185">
            <w:pPr>
              <w:pStyle w:val="276"/>
              <w:spacing w:line="360" w:lineRule="auto"/>
              <w:rPr>
                <w:color w:val="auto"/>
                <w:highlight w:val="none"/>
              </w:rPr>
            </w:pPr>
            <w:r>
              <w:rPr>
                <w:rFonts w:hint="eastAsia"/>
                <w:color w:val="auto"/>
                <w:highlight w:val="none"/>
              </w:rPr>
              <w:t>（2）上述每项内容</w:t>
            </w:r>
            <w:r>
              <w:rPr>
                <w:rFonts w:hint="eastAsia"/>
                <w:color w:val="auto"/>
                <w:spacing w:val="1"/>
                <w:highlight w:val="none"/>
              </w:rPr>
              <w:t>较</w:t>
            </w:r>
            <w:r>
              <w:rPr>
                <w:rFonts w:hint="eastAsia"/>
                <w:color w:val="auto"/>
                <w:highlight w:val="none"/>
              </w:rPr>
              <w:t>详细、科学</w:t>
            </w:r>
            <w:r>
              <w:rPr>
                <w:rFonts w:hint="eastAsia"/>
                <w:color w:val="auto"/>
                <w:spacing w:val="1"/>
                <w:highlight w:val="none"/>
              </w:rPr>
              <w:t>较</w:t>
            </w:r>
            <w:r>
              <w:rPr>
                <w:rFonts w:hint="eastAsia"/>
                <w:color w:val="auto"/>
                <w:highlight w:val="none"/>
              </w:rPr>
              <w:t>合理，</w:t>
            </w:r>
            <w:r>
              <w:rPr>
                <w:rFonts w:hint="eastAsia"/>
                <w:color w:val="auto"/>
                <w:spacing w:val="1"/>
                <w:highlight w:val="none"/>
              </w:rPr>
              <w:t>培训方案较全面，培训计划较详细、培训质量控制较完善</w:t>
            </w:r>
            <w:r>
              <w:rPr>
                <w:rFonts w:hint="eastAsia"/>
                <w:color w:val="auto"/>
                <w:highlight w:val="none"/>
              </w:rPr>
              <w:t>，每个得1分；</w:t>
            </w:r>
          </w:p>
          <w:p w14:paraId="4C92B35E">
            <w:pPr>
              <w:pStyle w:val="276"/>
              <w:spacing w:line="360" w:lineRule="auto"/>
              <w:rPr>
                <w:color w:val="auto"/>
                <w:spacing w:val="1"/>
                <w:highlight w:val="none"/>
              </w:rPr>
            </w:pPr>
            <w:r>
              <w:rPr>
                <w:rFonts w:hint="eastAsia"/>
                <w:color w:val="auto"/>
                <w:highlight w:val="none"/>
              </w:rPr>
              <w:t>（3）方案不可行或未提供方案的不得分。</w:t>
            </w:r>
          </w:p>
        </w:tc>
        <w:tc>
          <w:tcPr>
            <w:tcW w:w="573" w:type="dxa"/>
            <w:gridSpan w:val="2"/>
            <w:vAlign w:val="center"/>
          </w:tcPr>
          <w:p w14:paraId="472F0C81">
            <w:pPr>
              <w:pStyle w:val="276"/>
              <w:spacing w:line="360" w:lineRule="auto"/>
              <w:jc w:val="center"/>
              <w:rPr>
                <w:color w:val="auto"/>
                <w:highlight w:val="none"/>
              </w:rPr>
            </w:pPr>
            <w:r>
              <w:rPr>
                <w:rFonts w:hint="eastAsia"/>
                <w:color w:val="auto"/>
                <w:highlight w:val="none"/>
              </w:rPr>
              <w:t>9</w:t>
            </w:r>
          </w:p>
        </w:tc>
        <w:tc>
          <w:tcPr>
            <w:tcW w:w="534" w:type="dxa"/>
            <w:vAlign w:val="center"/>
          </w:tcPr>
          <w:p w14:paraId="2A5B8E8F">
            <w:pPr>
              <w:spacing w:before="68" w:line="360" w:lineRule="auto"/>
              <w:jc w:val="center"/>
              <w:rPr>
                <w:rFonts w:ascii="宋体" w:hAnsi="宋体" w:cs="宋体"/>
                <w:color w:val="auto"/>
                <w:spacing w:val="-6"/>
                <w:highlight w:val="none"/>
              </w:rPr>
            </w:pPr>
            <w:r>
              <w:rPr>
                <w:rFonts w:hint="eastAsia" w:ascii="宋体" w:hAnsi="宋体" w:cs="宋体"/>
                <w:color w:val="auto"/>
                <w:highlight w:val="none"/>
              </w:rPr>
              <w:t>主观分</w:t>
            </w:r>
          </w:p>
        </w:tc>
      </w:tr>
      <w:tr w14:paraId="6B115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6F0968C0">
            <w:pPr>
              <w:pStyle w:val="276"/>
              <w:spacing w:line="360" w:lineRule="auto"/>
              <w:rPr>
                <w:color w:val="auto"/>
                <w:spacing w:val="-2"/>
                <w:highlight w:val="none"/>
              </w:rPr>
            </w:pPr>
            <w:r>
              <w:rPr>
                <w:rFonts w:hint="eastAsia"/>
                <w:color w:val="auto"/>
                <w:highlight w:val="none"/>
              </w:rPr>
              <w:t>2.5</w:t>
            </w:r>
          </w:p>
        </w:tc>
        <w:tc>
          <w:tcPr>
            <w:tcW w:w="1179" w:type="dxa"/>
            <w:vAlign w:val="center"/>
          </w:tcPr>
          <w:p w14:paraId="0AB730C8">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应急预案</w:t>
            </w:r>
          </w:p>
          <w:p w14:paraId="1FD1B23B">
            <w:pPr>
              <w:pStyle w:val="276"/>
              <w:spacing w:line="360" w:lineRule="auto"/>
              <w:rPr>
                <w:color w:val="auto"/>
                <w:highlight w:val="none"/>
              </w:rPr>
            </w:pPr>
          </w:p>
        </w:tc>
        <w:tc>
          <w:tcPr>
            <w:tcW w:w="6616" w:type="dxa"/>
            <w:vAlign w:val="center"/>
          </w:tcPr>
          <w:p w14:paraId="203E5E86">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提供应急处理机制及工作流程说明，包括但不限于：1、应急团队组建；2、应急处理机制；3、应急响应预案；4、应急保障措施。</w:t>
            </w:r>
          </w:p>
          <w:p w14:paraId="4180115A">
            <w:pPr>
              <w:pStyle w:val="276"/>
              <w:spacing w:line="360" w:lineRule="auto"/>
              <w:rPr>
                <w:color w:val="auto"/>
                <w:highlight w:val="none"/>
              </w:rPr>
            </w:pPr>
            <w:r>
              <w:rPr>
                <w:rFonts w:hint="eastAsia"/>
                <w:color w:val="auto"/>
                <w:highlight w:val="none"/>
              </w:rPr>
              <w:t>（1）上述每项内容详细、科学合理、</w:t>
            </w:r>
            <w:r>
              <w:rPr>
                <w:rFonts w:hint="eastAsia"/>
                <w:color w:val="auto"/>
                <w:spacing w:val="1"/>
                <w:highlight w:val="none"/>
              </w:rPr>
              <w:t>风险因素分析合理，制定的应急防范措施完善</w:t>
            </w:r>
            <w:r>
              <w:rPr>
                <w:rFonts w:hint="eastAsia"/>
                <w:color w:val="auto"/>
                <w:highlight w:val="none"/>
              </w:rPr>
              <w:t>的，每个得2.5分；</w:t>
            </w:r>
          </w:p>
          <w:p w14:paraId="3F554871">
            <w:pPr>
              <w:pStyle w:val="276"/>
              <w:spacing w:line="360" w:lineRule="auto"/>
              <w:rPr>
                <w:color w:val="auto"/>
                <w:highlight w:val="none"/>
              </w:rPr>
            </w:pPr>
            <w:r>
              <w:rPr>
                <w:rFonts w:hint="eastAsia"/>
                <w:color w:val="auto"/>
                <w:highlight w:val="none"/>
              </w:rPr>
              <w:t>（2）上述每项内容</w:t>
            </w:r>
            <w:r>
              <w:rPr>
                <w:rFonts w:hint="eastAsia"/>
                <w:color w:val="auto"/>
                <w:spacing w:val="1"/>
                <w:highlight w:val="none"/>
              </w:rPr>
              <w:t>较详细、较科学合理；风险因素分析较合理，制定的应急防范措施较完善的</w:t>
            </w:r>
            <w:r>
              <w:rPr>
                <w:rFonts w:hint="eastAsia"/>
                <w:color w:val="auto"/>
                <w:highlight w:val="none"/>
              </w:rPr>
              <w:t>，每个得1分；</w:t>
            </w:r>
          </w:p>
          <w:p w14:paraId="0F07C0D9">
            <w:pPr>
              <w:pStyle w:val="276"/>
              <w:spacing w:line="360" w:lineRule="auto"/>
              <w:rPr>
                <w:color w:val="auto"/>
                <w:spacing w:val="1"/>
                <w:highlight w:val="none"/>
              </w:rPr>
            </w:pPr>
            <w:r>
              <w:rPr>
                <w:rFonts w:hint="eastAsia"/>
                <w:color w:val="auto"/>
                <w:highlight w:val="none"/>
              </w:rPr>
              <w:t>（3）方案不可行或未提供方案的不得分。</w:t>
            </w:r>
          </w:p>
        </w:tc>
        <w:tc>
          <w:tcPr>
            <w:tcW w:w="573" w:type="dxa"/>
            <w:gridSpan w:val="2"/>
            <w:vAlign w:val="center"/>
          </w:tcPr>
          <w:p w14:paraId="40E23FC2">
            <w:pPr>
              <w:pStyle w:val="276"/>
              <w:spacing w:line="360" w:lineRule="auto"/>
              <w:jc w:val="center"/>
              <w:rPr>
                <w:color w:val="auto"/>
                <w:highlight w:val="none"/>
              </w:rPr>
            </w:pPr>
            <w:r>
              <w:rPr>
                <w:rFonts w:hint="eastAsia"/>
                <w:color w:val="auto"/>
                <w:highlight w:val="none"/>
              </w:rPr>
              <w:t>10</w:t>
            </w:r>
          </w:p>
        </w:tc>
        <w:tc>
          <w:tcPr>
            <w:tcW w:w="534" w:type="dxa"/>
            <w:vAlign w:val="center"/>
          </w:tcPr>
          <w:p w14:paraId="4FF8E44F">
            <w:pPr>
              <w:spacing w:before="68" w:line="360" w:lineRule="auto"/>
              <w:jc w:val="center"/>
              <w:rPr>
                <w:rFonts w:ascii="宋体" w:hAnsi="宋体" w:cs="宋体"/>
                <w:color w:val="auto"/>
                <w:highlight w:val="none"/>
              </w:rPr>
            </w:pPr>
            <w:r>
              <w:rPr>
                <w:rFonts w:ascii="宋体" w:hAnsi="宋体" w:cs="宋体"/>
                <w:color w:val="auto"/>
                <w:highlight w:val="none"/>
              </w:rPr>
              <w:t>主观</w:t>
            </w:r>
            <w:r>
              <w:rPr>
                <w:rFonts w:hint="eastAsia" w:ascii="宋体" w:hAnsi="宋体" w:cs="宋体"/>
                <w:color w:val="auto"/>
                <w:highlight w:val="none"/>
              </w:rPr>
              <w:t>分</w:t>
            </w:r>
          </w:p>
        </w:tc>
      </w:tr>
      <w:tr w14:paraId="230EB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jc w:val="center"/>
        </w:trPr>
        <w:tc>
          <w:tcPr>
            <w:tcW w:w="519" w:type="dxa"/>
            <w:vAlign w:val="center"/>
          </w:tcPr>
          <w:p w14:paraId="718555C3">
            <w:pPr>
              <w:pStyle w:val="276"/>
              <w:spacing w:line="360" w:lineRule="auto"/>
              <w:rPr>
                <w:color w:val="auto"/>
                <w:spacing w:val="-2"/>
                <w:highlight w:val="none"/>
              </w:rPr>
            </w:pPr>
            <w:r>
              <w:rPr>
                <w:rFonts w:hint="eastAsia"/>
                <w:color w:val="auto"/>
                <w:highlight w:val="none"/>
              </w:rPr>
              <w:t>2.6</w:t>
            </w:r>
          </w:p>
        </w:tc>
        <w:tc>
          <w:tcPr>
            <w:tcW w:w="1179" w:type="dxa"/>
            <w:vAlign w:val="center"/>
          </w:tcPr>
          <w:p w14:paraId="0C3E5616">
            <w:pPr>
              <w:pStyle w:val="276"/>
              <w:spacing w:line="360" w:lineRule="auto"/>
              <w:rPr>
                <w:color w:val="auto"/>
                <w:highlight w:val="none"/>
              </w:rPr>
            </w:pPr>
            <w:r>
              <w:rPr>
                <w:rFonts w:hint="eastAsia"/>
                <w:color w:val="auto"/>
                <w:highlight w:val="none"/>
              </w:rPr>
              <w:t>视频陈述</w:t>
            </w:r>
          </w:p>
          <w:p w14:paraId="1DD8E833">
            <w:pPr>
              <w:pStyle w:val="276"/>
              <w:spacing w:line="360" w:lineRule="auto"/>
              <w:rPr>
                <w:color w:val="auto"/>
                <w:highlight w:val="none"/>
              </w:rPr>
            </w:pPr>
          </w:p>
        </w:tc>
        <w:tc>
          <w:tcPr>
            <w:tcW w:w="6616" w:type="dxa"/>
            <w:vAlign w:val="center"/>
          </w:tcPr>
          <w:p w14:paraId="64ABDE57">
            <w:pPr>
              <w:pStyle w:val="276"/>
              <w:spacing w:line="360" w:lineRule="auto"/>
              <w:rPr>
                <w:rFonts w:hint="eastAsia"/>
                <w:color w:val="auto"/>
                <w:highlight w:val="none"/>
              </w:rPr>
            </w:pPr>
            <w:r>
              <w:rPr>
                <w:rFonts w:hint="eastAsia"/>
                <w:color w:val="auto"/>
                <w:highlight w:val="none"/>
              </w:rPr>
              <w:t>包含：</w:t>
            </w:r>
          </w:p>
          <w:p w14:paraId="369EA0D4">
            <w:pPr>
              <w:pStyle w:val="276"/>
              <w:numPr>
                <w:ilvl w:val="-1"/>
                <w:numId w:val="0"/>
              </w:numPr>
              <w:spacing w:line="360" w:lineRule="auto"/>
              <w:rPr>
                <w:rFonts w:hint="eastAsia"/>
                <w:color w:val="auto"/>
                <w:highlight w:val="none"/>
              </w:rPr>
            </w:pPr>
            <w:r>
              <w:rPr>
                <w:rFonts w:hint="eastAsia"/>
                <w:color w:val="auto"/>
                <w:highlight w:val="none"/>
                <w:lang w:val="en-US" w:eastAsia="zh-CN"/>
              </w:rPr>
              <w:t>1、</w:t>
            </w:r>
            <w:r>
              <w:rPr>
                <w:rFonts w:hint="eastAsia"/>
                <w:color w:val="auto"/>
                <w:highlight w:val="none"/>
              </w:rPr>
              <w:t>演示人员信息管理相关配置，并展示配置完成的效果</w:t>
            </w:r>
          </w:p>
          <w:p w14:paraId="5D282FAA">
            <w:pPr>
              <w:pStyle w:val="276"/>
              <w:numPr>
                <w:ilvl w:val="-1"/>
                <w:numId w:val="0"/>
              </w:numPr>
              <w:spacing w:line="360" w:lineRule="auto"/>
              <w:rPr>
                <w:rFonts w:hint="eastAsia"/>
                <w:color w:val="auto"/>
                <w:highlight w:val="none"/>
              </w:rPr>
            </w:pPr>
            <w:r>
              <w:rPr>
                <w:rFonts w:hint="eastAsia"/>
                <w:color w:val="auto"/>
                <w:highlight w:val="none"/>
                <w:lang w:val="en-US" w:eastAsia="zh-CN"/>
              </w:rPr>
              <w:t>演示点：（1）</w:t>
            </w:r>
            <w:r>
              <w:rPr>
                <w:rFonts w:hint="eastAsia"/>
                <w:color w:val="auto"/>
                <w:highlight w:val="none"/>
              </w:rPr>
              <w:t>采集表定义，启用业务表备用字段，定义要素属性；</w:t>
            </w: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人员管理系统配置，注册页面字段和配置导入模板；</w:t>
            </w: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通过单据定义，配置编辑区展示的人员信息；</w:t>
            </w: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hint="eastAsia"/>
                <w:color w:val="auto"/>
                <w:highlight w:val="none"/>
              </w:rPr>
              <w:t>配置人员信息公式，实现工资的自动计算；</w:t>
            </w:r>
          </w:p>
          <w:p w14:paraId="7CA53A15">
            <w:pPr>
              <w:pStyle w:val="276"/>
              <w:spacing w:line="360" w:lineRule="auto"/>
              <w:rPr>
                <w:rFonts w:hint="eastAsia"/>
                <w:color w:val="auto"/>
                <w:highlight w:val="none"/>
              </w:rPr>
            </w:pPr>
            <w:r>
              <w:rPr>
                <w:rFonts w:hint="eastAsia"/>
                <w:color w:val="auto"/>
                <w:highlight w:val="none"/>
                <w:lang w:val="en-US" w:eastAsia="zh-CN"/>
              </w:rPr>
              <w:t>2、</w:t>
            </w:r>
            <w:r>
              <w:rPr>
                <w:rFonts w:hint="eastAsia"/>
                <w:color w:val="auto"/>
                <w:highlight w:val="none"/>
              </w:rPr>
              <w:t>演示基本支出预算的相关配置，并展示配置完成的效果</w:t>
            </w:r>
          </w:p>
          <w:p w14:paraId="36C078E6">
            <w:pPr>
              <w:pStyle w:val="276"/>
              <w:spacing w:line="360" w:lineRule="auto"/>
              <w:rPr>
                <w:rFonts w:hint="eastAsia"/>
                <w:color w:val="auto"/>
                <w:highlight w:val="none"/>
              </w:rPr>
            </w:pPr>
            <w:r>
              <w:rPr>
                <w:rFonts w:hint="eastAsia"/>
                <w:color w:val="auto"/>
                <w:highlight w:val="none"/>
                <w:lang w:val="en-US" w:eastAsia="zh-CN"/>
              </w:rPr>
              <w:t>演示点：（1）</w:t>
            </w:r>
            <w:r>
              <w:rPr>
                <w:rFonts w:hint="eastAsia"/>
                <w:color w:val="auto"/>
                <w:highlight w:val="none"/>
              </w:rPr>
              <w:t>演示采集表定义配置基本支出预算表的模板；</w:t>
            </w: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配置试算公式（区分人员试算和公用试算）；</w:t>
            </w:r>
          </w:p>
          <w:p w14:paraId="03A41C97">
            <w:pPr>
              <w:pStyle w:val="276"/>
              <w:numPr>
                <w:ilvl w:val="-1"/>
                <w:numId w:val="0"/>
              </w:numPr>
              <w:spacing w:line="360" w:lineRule="auto"/>
              <w:rPr>
                <w:rFonts w:hint="eastAsia"/>
                <w:color w:val="auto"/>
                <w:highlight w:val="none"/>
              </w:rPr>
            </w:pPr>
            <w:r>
              <w:rPr>
                <w:rFonts w:hint="eastAsia"/>
                <w:color w:val="auto"/>
                <w:highlight w:val="none"/>
                <w:lang w:val="en-US" w:eastAsia="zh-CN"/>
              </w:rPr>
              <w:t>3、</w:t>
            </w:r>
            <w:r>
              <w:rPr>
                <w:rFonts w:hint="eastAsia"/>
                <w:color w:val="auto"/>
                <w:highlight w:val="none"/>
              </w:rPr>
              <w:t>演示扩展项目支出类别的配置</w:t>
            </w:r>
          </w:p>
          <w:p w14:paraId="562C800D">
            <w:pPr>
              <w:pStyle w:val="276"/>
              <w:numPr>
                <w:ilvl w:val="-1"/>
                <w:numId w:val="0"/>
              </w:numPr>
              <w:spacing w:line="360" w:lineRule="auto"/>
              <w:rPr>
                <w:rFonts w:hint="eastAsia"/>
                <w:color w:val="auto"/>
                <w:highlight w:val="none"/>
              </w:rPr>
            </w:pPr>
            <w:r>
              <w:rPr>
                <w:rFonts w:hint="eastAsia"/>
                <w:color w:val="auto"/>
                <w:highlight w:val="none"/>
                <w:lang w:val="en-US" w:eastAsia="zh-CN"/>
              </w:rPr>
              <w:t>演示点：（1）</w:t>
            </w:r>
            <w:r>
              <w:rPr>
                <w:rFonts w:hint="eastAsia"/>
                <w:color w:val="auto"/>
                <w:highlight w:val="none"/>
              </w:rPr>
              <w:t>中台基础信息中增加项目支出类别；</w:t>
            </w: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采集表定义该项目类别所需的表单；</w:t>
            </w: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配置新增项目类别对表权限，包括表权限、列权限、级联设置、功能按钮设置等；</w:t>
            </w:r>
          </w:p>
          <w:p w14:paraId="155378EB">
            <w:pPr>
              <w:pStyle w:val="276"/>
              <w:numPr>
                <w:ilvl w:val="-1"/>
                <w:numId w:val="0"/>
              </w:numPr>
              <w:spacing w:line="360" w:lineRule="auto"/>
              <w:rPr>
                <w:rFonts w:hint="eastAsia"/>
                <w:color w:val="auto"/>
                <w:highlight w:val="none"/>
              </w:rPr>
            </w:pPr>
            <w:r>
              <w:rPr>
                <w:rFonts w:hint="eastAsia"/>
                <w:color w:val="auto"/>
                <w:highlight w:val="none"/>
                <w:lang w:val="en-US" w:eastAsia="zh-CN"/>
              </w:rPr>
              <w:t>4、</w:t>
            </w:r>
            <w:r>
              <w:rPr>
                <w:rFonts w:hint="eastAsia"/>
                <w:color w:val="auto"/>
                <w:highlight w:val="none"/>
              </w:rPr>
              <w:t>演示设置科室的指标管理权限</w:t>
            </w:r>
          </w:p>
          <w:p w14:paraId="62826B57">
            <w:pPr>
              <w:pStyle w:val="276"/>
              <w:numPr>
                <w:ilvl w:val="-1"/>
                <w:numId w:val="0"/>
              </w:numPr>
              <w:spacing w:line="360" w:lineRule="auto"/>
              <w:rPr>
                <w:color w:val="auto"/>
                <w:highlight w:val="none"/>
              </w:rPr>
            </w:pPr>
            <w:r>
              <w:rPr>
                <w:rFonts w:hint="eastAsia"/>
                <w:color w:val="auto"/>
                <w:highlight w:val="none"/>
                <w:lang w:val="en-US" w:eastAsia="zh-CN"/>
              </w:rPr>
              <w:t>演示点：（1）</w:t>
            </w:r>
            <w:r>
              <w:rPr>
                <w:rFonts w:hint="eastAsia"/>
                <w:color w:val="auto"/>
                <w:highlight w:val="none"/>
              </w:rPr>
              <w:t>通过单据定义的过滤规则，实现关联要素的范围控制（如功能科目、区划）。</w:t>
            </w:r>
          </w:p>
          <w:p w14:paraId="29AA1D2F">
            <w:pPr>
              <w:pStyle w:val="276"/>
              <w:spacing w:line="360" w:lineRule="auto"/>
              <w:rPr>
                <w:color w:val="auto"/>
                <w:highlight w:val="none"/>
              </w:rPr>
            </w:pPr>
            <w:r>
              <w:rPr>
                <w:rFonts w:hint="eastAsia"/>
                <w:color w:val="auto"/>
                <w:highlight w:val="none"/>
              </w:rPr>
              <w:t xml:space="preserve">注：陈述开始前须手持本人身份证确认身份信息，投标人制作阐述视频文件，视频文件的格式为*.mp4或*.avi，投标人须将视频文件分段压缩为*.zip文件上传（单个文件不得大于50M，所有文件总共不得大于300M）。每家供应商总时间不超过 </w:t>
            </w:r>
            <w:r>
              <w:rPr>
                <w:rFonts w:hint="eastAsia"/>
                <w:color w:val="auto"/>
                <w:highlight w:val="none"/>
                <w:lang w:val="en-US" w:eastAsia="zh-CN"/>
              </w:rPr>
              <w:t>2</w:t>
            </w:r>
            <w:r>
              <w:rPr>
                <w:rFonts w:hint="eastAsia"/>
                <w:color w:val="auto"/>
                <w:highlight w:val="none"/>
              </w:rPr>
              <w:t>0分钟。文件上传方式见《操作手册》规定，上传的演示视频将作为投标文件的组成部分。</w:t>
            </w:r>
          </w:p>
          <w:p w14:paraId="70C50FB9">
            <w:pPr>
              <w:pStyle w:val="276"/>
              <w:spacing w:line="360" w:lineRule="auto"/>
              <w:rPr>
                <w:color w:val="auto"/>
                <w:highlight w:val="none"/>
              </w:rPr>
            </w:pPr>
            <w:r>
              <w:rPr>
                <w:rFonts w:hint="eastAsia"/>
                <w:color w:val="auto"/>
                <w:highlight w:val="none"/>
              </w:rPr>
              <w:t>共10项演示点，每项演示点1.5分，配置过程演示完成，结果展示正确，则该演示点得满分。使用真实系统演示最高分为15分；使用原型演示，每项演示点</w:t>
            </w:r>
            <w:r>
              <w:rPr>
                <w:rFonts w:hint="eastAsia"/>
                <w:color w:val="auto"/>
                <w:highlight w:val="none"/>
                <w:lang w:val="en-US" w:eastAsia="zh-CN"/>
              </w:rPr>
              <w:t>0.8</w:t>
            </w:r>
            <w:r>
              <w:rPr>
                <w:rFonts w:hint="eastAsia"/>
                <w:color w:val="auto"/>
                <w:highlight w:val="none"/>
              </w:rPr>
              <w:t>分；使用PPT讲解，每项演示点</w:t>
            </w:r>
            <w:r>
              <w:rPr>
                <w:rFonts w:hint="eastAsia"/>
                <w:color w:val="auto"/>
                <w:highlight w:val="none"/>
                <w:lang w:val="en-US" w:eastAsia="zh-CN"/>
              </w:rPr>
              <w:t>0.3</w:t>
            </w:r>
            <w:r>
              <w:rPr>
                <w:rFonts w:hint="eastAsia"/>
                <w:color w:val="auto"/>
                <w:highlight w:val="none"/>
              </w:rPr>
              <w:t>分。</w:t>
            </w:r>
            <w:r>
              <w:rPr>
                <w:rFonts w:hint="eastAsia"/>
                <w:color w:val="auto"/>
                <w:highlight w:val="none"/>
                <w:lang w:eastAsia="en-US"/>
              </w:rPr>
              <w:t>无演示不得分。</w:t>
            </w:r>
          </w:p>
        </w:tc>
        <w:tc>
          <w:tcPr>
            <w:tcW w:w="573" w:type="dxa"/>
            <w:gridSpan w:val="2"/>
            <w:vAlign w:val="center"/>
          </w:tcPr>
          <w:p w14:paraId="4CFDE4C3">
            <w:pPr>
              <w:pStyle w:val="276"/>
              <w:spacing w:line="360" w:lineRule="auto"/>
              <w:jc w:val="center"/>
              <w:rPr>
                <w:color w:val="auto"/>
                <w:highlight w:val="none"/>
              </w:rPr>
            </w:pPr>
            <w:r>
              <w:rPr>
                <w:rFonts w:hint="eastAsia"/>
                <w:color w:val="auto"/>
                <w:highlight w:val="none"/>
              </w:rPr>
              <w:t>1</w:t>
            </w:r>
            <w:r>
              <w:rPr>
                <w:color w:val="auto"/>
                <w:highlight w:val="none"/>
              </w:rPr>
              <w:t>5</w:t>
            </w:r>
          </w:p>
        </w:tc>
        <w:tc>
          <w:tcPr>
            <w:tcW w:w="534" w:type="dxa"/>
            <w:vAlign w:val="center"/>
          </w:tcPr>
          <w:p w14:paraId="10A394E7">
            <w:pPr>
              <w:spacing w:before="68" w:line="360" w:lineRule="auto"/>
              <w:jc w:val="center"/>
              <w:rPr>
                <w:rFonts w:ascii="宋体" w:hAnsi="宋体" w:cs="宋体"/>
                <w:color w:val="auto"/>
                <w:highlight w:val="none"/>
              </w:rPr>
            </w:pPr>
            <w:r>
              <w:rPr>
                <w:rFonts w:hint="eastAsia" w:ascii="宋体" w:hAnsi="宋体" w:cs="宋体"/>
                <w:color w:val="auto"/>
                <w:spacing w:val="-6"/>
                <w:highlight w:val="none"/>
                <w:lang w:eastAsia="zh-CN"/>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1C24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421" w:type="dxa"/>
            <w:gridSpan w:val="6"/>
          </w:tcPr>
          <w:p w14:paraId="4E259583">
            <w:pPr>
              <w:spacing w:before="123" w:line="360" w:lineRule="auto"/>
              <w:rPr>
                <w:rFonts w:ascii="宋体" w:hAnsi="宋体" w:cs="宋体"/>
                <w:color w:val="auto"/>
                <w:highlight w:val="none"/>
              </w:rPr>
            </w:pPr>
            <w:r>
              <w:rPr>
                <w:rFonts w:hint="eastAsia" w:ascii="宋体" w:hAnsi="宋体" w:cs="宋体"/>
                <w:b/>
                <w:bCs/>
                <w:color w:val="auto"/>
                <w:spacing w:val="-3"/>
                <w:highlight w:val="none"/>
              </w:rPr>
              <w:t>3、企业资质</w:t>
            </w:r>
          </w:p>
        </w:tc>
      </w:tr>
      <w:tr w14:paraId="213DA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jc w:val="center"/>
        </w:trPr>
        <w:tc>
          <w:tcPr>
            <w:tcW w:w="519" w:type="dxa"/>
            <w:vAlign w:val="center"/>
          </w:tcPr>
          <w:p w14:paraId="7CCF06EB">
            <w:pPr>
              <w:pStyle w:val="276"/>
              <w:spacing w:line="360" w:lineRule="auto"/>
              <w:rPr>
                <w:color w:val="auto"/>
                <w:spacing w:val="-2"/>
                <w:highlight w:val="none"/>
              </w:rPr>
            </w:pPr>
            <w:r>
              <w:rPr>
                <w:rFonts w:hint="eastAsia"/>
                <w:color w:val="auto"/>
                <w:highlight w:val="none"/>
              </w:rPr>
              <w:t>3.1</w:t>
            </w:r>
          </w:p>
        </w:tc>
        <w:tc>
          <w:tcPr>
            <w:tcW w:w="1179" w:type="dxa"/>
            <w:vAlign w:val="center"/>
          </w:tcPr>
          <w:p w14:paraId="74AA55F6">
            <w:pPr>
              <w:pStyle w:val="276"/>
              <w:spacing w:line="360" w:lineRule="auto"/>
              <w:rPr>
                <w:color w:val="auto"/>
                <w:spacing w:val="-1"/>
                <w:highlight w:val="none"/>
              </w:rPr>
            </w:pPr>
            <w:r>
              <w:rPr>
                <w:rFonts w:hint="eastAsia"/>
                <w:color w:val="auto"/>
                <w:highlight w:val="none"/>
              </w:rPr>
              <w:t>业绩</w:t>
            </w:r>
          </w:p>
        </w:tc>
        <w:tc>
          <w:tcPr>
            <w:tcW w:w="6616" w:type="dxa"/>
            <w:vAlign w:val="center"/>
          </w:tcPr>
          <w:p w14:paraId="19C9C1A6">
            <w:pPr>
              <w:pStyle w:val="276"/>
              <w:spacing w:line="360" w:lineRule="auto"/>
              <w:rPr>
                <w:color w:val="auto"/>
                <w:highlight w:val="none"/>
              </w:rPr>
            </w:pPr>
            <w:r>
              <w:rPr>
                <w:rFonts w:hint="eastAsia"/>
                <w:color w:val="auto"/>
                <w:highlight w:val="none"/>
              </w:rPr>
              <w:t>投标人提供202</w:t>
            </w:r>
            <w:r>
              <w:rPr>
                <w:color w:val="auto"/>
                <w:highlight w:val="none"/>
              </w:rPr>
              <w:t>2</w:t>
            </w:r>
            <w:r>
              <w:rPr>
                <w:rFonts w:hint="eastAsia"/>
                <w:color w:val="auto"/>
                <w:highlight w:val="none"/>
              </w:rPr>
              <w:t>年1月1日以来类似预算管理一体化相关系统建设或运维合同，每提供一个合同得2分，最多6分。（上传加盖公章的合同扫描件，合同须能反映项目名称、主要标的物，签订时间和签章清晰可见，原件签订合同时备查）</w:t>
            </w:r>
          </w:p>
        </w:tc>
        <w:tc>
          <w:tcPr>
            <w:tcW w:w="573" w:type="dxa"/>
            <w:gridSpan w:val="2"/>
            <w:vAlign w:val="center"/>
          </w:tcPr>
          <w:p w14:paraId="09544A4F">
            <w:pPr>
              <w:pStyle w:val="276"/>
              <w:spacing w:line="360" w:lineRule="auto"/>
              <w:jc w:val="center"/>
              <w:rPr>
                <w:color w:val="auto"/>
                <w:highlight w:val="none"/>
              </w:rPr>
            </w:pPr>
            <w:r>
              <w:rPr>
                <w:rFonts w:hint="eastAsia"/>
                <w:color w:val="auto"/>
                <w:highlight w:val="none"/>
              </w:rPr>
              <w:t>6</w:t>
            </w:r>
          </w:p>
        </w:tc>
        <w:tc>
          <w:tcPr>
            <w:tcW w:w="534" w:type="dxa"/>
            <w:vAlign w:val="center"/>
          </w:tcPr>
          <w:p w14:paraId="39DCB4C4">
            <w:pPr>
              <w:spacing w:before="68" w:line="360" w:lineRule="auto"/>
              <w:jc w:val="center"/>
              <w:rPr>
                <w:rFonts w:ascii="宋体" w:hAnsi="宋体" w:cs="宋体"/>
                <w:color w:val="auto"/>
                <w:highlight w:val="none"/>
              </w:rPr>
            </w:pPr>
            <w:r>
              <w:rPr>
                <w:rFonts w:hint="eastAsia" w:ascii="宋体" w:hAnsi="宋体" w:cs="宋体"/>
                <w:color w:val="auto"/>
                <w:spacing w:val="-6"/>
                <w:highlight w:val="none"/>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62EF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519" w:type="dxa"/>
            <w:vAlign w:val="center"/>
          </w:tcPr>
          <w:p w14:paraId="1C7A274D">
            <w:pPr>
              <w:spacing w:line="360" w:lineRule="auto"/>
              <w:jc w:val="center"/>
              <w:rPr>
                <w:rFonts w:ascii="宋体" w:hAnsi="宋体" w:cs="宋体"/>
                <w:color w:val="auto"/>
                <w:spacing w:val="-3"/>
                <w:highlight w:val="none"/>
              </w:rPr>
            </w:pPr>
            <w:r>
              <w:rPr>
                <w:rFonts w:hint="eastAsia" w:ascii="宋体" w:hAnsi="宋体" w:cs="宋体"/>
                <w:color w:val="auto"/>
                <w:spacing w:val="-3"/>
                <w:highlight w:val="none"/>
              </w:rPr>
              <w:t>3.2</w:t>
            </w:r>
          </w:p>
        </w:tc>
        <w:tc>
          <w:tcPr>
            <w:tcW w:w="1179" w:type="dxa"/>
            <w:vAlign w:val="center"/>
          </w:tcPr>
          <w:p w14:paraId="736D6F3A">
            <w:pPr>
              <w:pStyle w:val="276"/>
              <w:spacing w:line="360" w:lineRule="auto"/>
              <w:rPr>
                <w:color w:val="auto"/>
                <w:highlight w:val="none"/>
              </w:rPr>
            </w:pPr>
            <w:r>
              <w:rPr>
                <w:rFonts w:hint="eastAsia"/>
                <w:color w:val="auto"/>
                <w:highlight w:val="none"/>
              </w:rPr>
              <w:t>公司资质</w:t>
            </w:r>
          </w:p>
        </w:tc>
        <w:tc>
          <w:tcPr>
            <w:tcW w:w="6616" w:type="dxa"/>
            <w:vAlign w:val="center"/>
          </w:tcPr>
          <w:p w14:paraId="13A07F8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投标人具有</w:t>
            </w:r>
            <w:r>
              <w:rPr>
                <w:rFonts w:hint="eastAsia" w:ascii="宋体" w:hAnsi="宋体" w:eastAsia="宋体" w:cs="宋体"/>
                <w:color w:val="auto"/>
                <w:kern w:val="0"/>
                <w:sz w:val="24"/>
                <w:szCs w:val="24"/>
                <w:highlight w:val="none"/>
                <w:lang w:val="en-US" w:eastAsia="zh-CN" w:bidi="ar-SA"/>
              </w:rPr>
              <w:t>信息系统建设和服务能力等级证书（CS2及以上等级）</w:t>
            </w:r>
            <w:r>
              <w:rPr>
                <w:rFonts w:hint="eastAsia" w:ascii="宋体" w:hAnsi="宋体" w:cs="宋体"/>
                <w:color w:val="auto"/>
                <w:sz w:val="24"/>
                <w:szCs w:val="24"/>
                <w:highlight w:val="none"/>
              </w:rPr>
              <w:t>证书，满足得1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分，其他得0分。</w:t>
            </w:r>
          </w:p>
          <w:p w14:paraId="339ACAF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投标人具有信息技术服务标准符合性证书ITSS，满足得1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分，其他得0分。</w:t>
            </w:r>
          </w:p>
        </w:tc>
        <w:tc>
          <w:tcPr>
            <w:tcW w:w="573" w:type="dxa"/>
            <w:gridSpan w:val="2"/>
            <w:vAlign w:val="center"/>
          </w:tcPr>
          <w:p w14:paraId="65D4C398">
            <w:pPr>
              <w:pStyle w:val="276"/>
              <w:spacing w:line="360" w:lineRule="auto"/>
              <w:jc w:val="center"/>
              <w:rPr>
                <w:color w:val="auto"/>
                <w:sz w:val="21"/>
                <w:szCs w:val="22"/>
                <w:highlight w:val="none"/>
              </w:rPr>
            </w:pPr>
            <w:r>
              <w:rPr>
                <w:rFonts w:hint="eastAsia"/>
                <w:color w:val="auto"/>
                <w:sz w:val="21"/>
                <w:szCs w:val="22"/>
                <w:highlight w:val="none"/>
              </w:rPr>
              <w:t>3</w:t>
            </w:r>
          </w:p>
        </w:tc>
        <w:tc>
          <w:tcPr>
            <w:tcW w:w="534" w:type="dxa"/>
            <w:vAlign w:val="center"/>
          </w:tcPr>
          <w:p w14:paraId="42D9BE72">
            <w:pPr>
              <w:spacing w:before="68" w:line="360" w:lineRule="auto"/>
              <w:ind w:right="89"/>
              <w:jc w:val="center"/>
              <w:rPr>
                <w:rFonts w:ascii="宋体" w:hAnsi="宋体" w:cs="宋体"/>
                <w:color w:val="auto"/>
                <w:highlight w:val="none"/>
              </w:rPr>
            </w:pPr>
            <w:r>
              <w:rPr>
                <w:rFonts w:hint="eastAsia" w:ascii="宋体" w:hAnsi="宋体" w:cs="宋体"/>
                <w:color w:val="auto"/>
                <w:spacing w:val="-6"/>
                <w:highlight w:val="none"/>
              </w:rPr>
              <w:t>客</w:t>
            </w:r>
            <w:r>
              <w:rPr>
                <w:rFonts w:ascii="宋体" w:hAnsi="宋体" w:cs="宋体"/>
                <w:color w:val="auto"/>
                <w:spacing w:val="-4"/>
                <w:highlight w:val="none"/>
              </w:rPr>
              <w:t>观</w:t>
            </w:r>
            <w:r>
              <w:rPr>
                <w:rFonts w:hint="eastAsia" w:ascii="宋体" w:hAnsi="宋体" w:cs="宋体"/>
                <w:color w:val="auto"/>
                <w:spacing w:val="-4"/>
                <w:highlight w:val="none"/>
              </w:rPr>
              <w:t>分</w:t>
            </w:r>
          </w:p>
        </w:tc>
      </w:tr>
      <w:tr w14:paraId="3D94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9421" w:type="dxa"/>
            <w:gridSpan w:val="6"/>
            <w:vAlign w:val="center"/>
          </w:tcPr>
          <w:p w14:paraId="00C20A5E">
            <w:pPr>
              <w:spacing w:line="360" w:lineRule="auto"/>
              <w:jc w:val="left"/>
              <w:rPr>
                <w:rFonts w:ascii="宋体" w:hAnsi="宋体" w:cs="宋体"/>
                <w:color w:val="auto"/>
                <w:spacing w:val="-11"/>
                <w:highlight w:val="none"/>
              </w:rPr>
            </w:pPr>
            <w:r>
              <w:rPr>
                <w:rFonts w:hint="eastAsia" w:ascii="宋体" w:hAnsi="宋体" w:cs="宋体"/>
                <w:b/>
                <w:bCs/>
                <w:color w:val="auto"/>
                <w:spacing w:val="-3"/>
                <w:highlight w:val="none"/>
              </w:rPr>
              <w:t>4、项目团队</w:t>
            </w:r>
          </w:p>
        </w:tc>
      </w:tr>
      <w:tr w14:paraId="06486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vAlign w:val="center"/>
          </w:tcPr>
          <w:p w14:paraId="0E94E520">
            <w:pPr>
              <w:pStyle w:val="276"/>
              <w:spacing w:line="360" w:lineRule="auto"/>
              <w:rPr>
                <w:color w:val="auto"/>
                <w:spacing w:val="-2"/>
                <w:highlight w:val="none"/>
              </w:rPr>
            </w:pPr>
            <w:r>
              <w:rPr>
                <w:rFonts w:hint="eastAsia"/>
                <w:color w:val="auto"/>
                <w:highlight w:val="none"/>
              </w:rPr>
              <w:t>4.1</w:t>
            </w:r>
          </w:p>
        </w:tc>
        <w:tc>
          <w:tcPr>
            <w:tcW w:w="1179" w:type="dxa"/>
            <w:vAlign w:val="center"/>
          </w:tcPr>
          <w:p w14:paraId="13FD9954">
            <w:pPr>
              <w:pStyle w:val="276"/>
              <w:spacing w:line="360" w:lineRule="auto"/>
              <w:rPr>
                <w:color w:val="auto"/>
                <w:highlight w:val="none"/>
              </w:rPr>
            </w:pPr>
            <w:r>
              <w:rPr>
                <w:rFonts w:hint="eastAsia"/>
                <w:color w:val="auto"/>
                <w:highlight w:val="none"/>
              </w:rPr>
              <w:t>项目经理</w:t>
            </w:r>
          </w:p>
          <w:p w14:paraId="7CAB0955">
            <w:pPr>
              <w:pStyle w:val="276"/>
              <w:spacing w:line="360" w:lineRule="auto"/>
              <w:rPr>
                <w:color w:val="auto"/>
                <w:highlight w:val="none"/>
              </w:rPr>
            </w:pPr>
          </w:p>
        </w:tc>
        <w:tc>
          <w:tcPr>
            <w:tcW w:w="6616" w:type="dxa"/>
            <w:vAlign w:val="center"/>
          </w:tcPr>
          <w:p w14:paraId="2D2B3BE7">
            <w:pPr>
              <w:pStyle w:val="276"/>
              <w:spacing w:line="360" w:lineRule="auto"/>
              <w:rPr>
                <w:color w:val="auto"/>
                <w:highlight w:val="none"/>
              </w:rPr>
            </w:pPr>
            <w:r>
              <w:rPr>
                <w:rFonts w:hint="eastAsia"/>
                <w:color w:val="auto"/>
                <w:highlight w:val="none"/>
                <w:lang w:val="en-US" w:eastAsia="zh-CN"/>
              </w:rPr>
              <w:t>1、</w:t>
            </w:r>
            <w:r>
              <w:rPr>
                <w:rFonts w:hint="eastAsia"/>
                <w:color w:val="auto"/>
                <w:highlight w:val="none"/>
              </w:rPr>
              <w:t>项目经理1人，同时具有“中国信息安全测评中心”颁发的CISP证书和“工业和信息化部电子工业标准化研究院”颁发的ITSS IT服务项目经理证书，同时满足得3分，其他不得分。</w:t>
            </w:r>
          </w:p>
          <w:p w14:paraId="22BA5D37">
            <w:pPr>
              <w:pStyle w:val="276"/>
              <w:spacing w:line="360" w:lineRule="auto"/>
              <w:rPr>
                <w:color w:val="auto"/>
                <w:highlight w:val="none"/>
              </w:rPr>
            </w:pPr>
            <w:r>
              <w:rPr>
                <w:rFonts w:hint="eastAsia"/>
                <w:color w:val="auto"/>
                <w:highlight w:val="none"/>
                <w:lang w:val="en-US" w:eastAsia="zh-CN"/>
              </w:rPr>
              <w:t>2、</w:t>
            </w:r>
            <w:r>
              <w:rPr>
                <w:rFonts w:hint="eastAsia"/>
                <w:color w:val="auto"/>
                <w:highlight w:val="none"/>
              </w:rPr>
              <w:t xml:space="preserve">投标人拟投入本项目的项目经理具有类似系统项目实施经验，每提供 1 个得 </w:t>
            </w:r>
            <w:r>
              <w:rPr>
                <w:color w:val="auto"/>
                <w:highlight w:val="none"/>
              </w:rPr>
              <w:t>2</w:t>
            </w:r>
            <w:r>
              <w:rPr>
                <w:rFonts w:hint="eastAsia"/>
                <w:color w:val="auto"/>
                <w:highlight w:val="none"/>
              </w:rPr>
              <w:t xml:space="preserve"> 分，最多 4 分。需上传项目建设单位出具相关工作经验的盖章证明或合同</w:t>
            </w:r>
            <w:r>
              <w:rPr>
                <w:color w:val="auto"/>
                <w:highlight w:val="none"/>
              </w:rPr>
              <w:t>扫描</w:t>
            </w:r>
            <w:r>
              <w:rPr>
                <w:rFonts w:hint="eastAsia"/>
                <w:color w:val="auto"/>
                <w:highlight w:val="none"/>
              </w:rPr>
              <w:t>件(合同需清晰反映该成员担任项目经理)及在投标截止日期前3个月内任意一个月通过供应商缴纳的社保证明材料，证明材料缺项或未提供证明材料的不得分。</w:t>
            </w:r>
          </w:p>
        </w:tc>
        <w:tc>
          <w:tcPr>
            <w:tcW w:w="553" w:type="dxa"/>
            <w:vAlign w:val="center"/>
          </w:tcPr>
          <w:p w14:paraId="63D57848">
            <w:pPr>
              <w:pStyle w:val="276"/>
              <w:spacing w:line="360" w:lineRule="auto"/>
              <w:jc w:val="center"/>
              <w:rPr>
                <w:color w:val="auto"/>
                <w:highlight w:val="none"/>
              </w:rPr>
            </w:pPr>
            <w:r>
              <w:rPr>
                <w:rFonts w:hint="eastAsia"/>
                <w:color w:val="auto"/>
                <w:highlight w:val="none"/>
              </w:rPr>
              <w:t>7</w:t>
            </w:r>
          </w:p>
        </w:tc>
        <w:tc>
          <w:tcPr>
            <w:tcW w:w="554" w:type="dxa"/>
            <w:gridSpan w:val="2"/>
            <w:vAlign w:val="center"/>
          </w:tcPr>
          <w:p w14:paraId="10B7A1DC">
            <w:pPr>
              <w:spacing w:before="68" w:line="360" w:lineRule="auto"/>
              <w:jc w:val="center"/>
              <w:rPr>
                <w:rFonts w:ascii="宋体" w:hAnsi="宋体" w:cs="宋体"/>
                <w:color w:val="auto"/>
                <w:highlight w:val="none"/>
              </w:rPr>
            </w:pPr>
            <w:r>
              <w:rPr>
                <w:rFonts w:hint="eastAsia" w:ascii="宋体" w:hAnsi="宋体" w:cs="宋体"/>
                <w:color w:val="auto"/>
                <w:spacing w:val="-6"/>
                <w:highlight w:val="none"/>
              </w:rPr>
              <w:t>客观分</w:t>
            </w:r>
          </w:p>
        </w:tc>
      </w:tr>
      <w:tr w14:paraId="062E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vAlign w:val="center"/>
          </w:tcPr>
          <w:p w14:paraId="55B18859">
            <w:pPr>
              <w:pStyle w:val="276"/>
              <w:spacing w:line="360" w:lineRule="auto"/>
              <w:rPr>
                <w:color w:val="auto"/>
                <w:spacing w:val="-2"/>
                <w:highlight w:val="none"/>
              </w:rPr>
            </w:pPr>
            <w:r>
              <w:rPr>
                <w:rFonts w:hint="eastAsia"/>
                <w:color w:val="auto"/>
                <w:highlight w:val="none"/>
              </w:rPr>
              <w:t>4.2</w:t>
            </w:r>
          </w:p>
        </w:tc>
        <w:tc>
          <w:tcPr>
            <w:tcW w:w="1179" w:type="dxa"/>
            <w:vAlign w:val="center"/>
          </w:tcPr>
          <w:p w14:paraId="1FC2BD8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服务人员 </w:t>
            </w:r>
          </w:p>
        </w:tc>
        <w:tc>
          <w:tcPr>
            <w:tcW w:w="6616" w:type="dxa"/>
            <w:vAlign w:val="center"/>
          </w:tcPr>
          <w:p w14:paraId="3F363FB6">
            <w:pPr>
              <w:pStyle w:val="276"/>
              <w:spacing w:line="360" w:lineRule="auto"/>
              <w:rPr>
                <w:color w:val="auto"/>
                <w:highlight w:val="none"/>
              </w:rPr>
            </w:pPr>
            <w:r>
              <w:rPr>
                <w:rFonts w:hint="eastAsia"/>
                <w:color w:val="auto"/>
                <w:highlight w:val="none"/>
                <w:lang w:val="en-US" w:eastAsia="zh-CN"/>
              </w:rPr>
              <w:t>1、</w:t>
            </w:r>
            <w:r>
              <w:rPr>
                <w:rFonts w:hint="eastAsia"/>
                <w:color w:val="auto"/>
                <w:highlight w:val="none"/>
              </w:rPr>
              <w:t>具有“工业和信息化部电子工业标准化研究院”颁发的ITSS IT服务工程师证书，每提供1个得2分，最多得2分。</w:t>
            </w:r>
          </w:p>
          <w:p w14:paraId="12B4C4F3">
            <w:pPr>
              <w:pStyle w:val="276"/>
              <w:spacing w:line="360" w:lineRule="auto"/>
              <w:rPr>
                <w:color w:val="auto"/>
                <w:highlight w:val="none"/>
              </w:rPr>
            </w:pPr>
            <w:r>
              <w:rPr>
                <w:rFonts w:hint="eastAsia"/>
                <w:color w:val="auto"/>
                <w:highlight w:val="none"/>
                <w:lang w:val="en-US" w:eastAsia="zh-CN"/>
              </w:rPr>
              <w:t>2、</w:t>
            </w:r>
            <w:r>
              <w:rPr>
                <w:rFonts w:hint="eastAsia"/>
                <w:color w:val="auto"/>
                <w:highlight w:val="none"/>
              </w:rPr>
              <w:t>具有“人力资源和社会保障部门”或“工业和信息化部门”颁发的信息系统项目管理师证书，每提供1个得2分，最多得2分。</w:t>
            </w:r>
          </w:p>
          <w:p w14:paraId="4313F8C1">
            <w:pPr>
              <w:pStyle w:val="276"/>
              <w:spacing w:line="360" w:lineRule="auto"/>
              <w:rPr>
                <w:rFonts w:hint="eastAsia"/>
                <w:color w:val="auto"/>
                <w:highlight w:val="none"/>
              </w:rPr>
            </w:pPr>
            <w:r>
              <w:rPr>
                <w:rFonts w:hint="eastAsia"/>
                <w:color w:val="auto"/>
                <w:highlight w:val="none"/>
                <w:lang w:val="en-US" w:eastAsia="zh-CN"/>
              </w:rPr>
              <w:t>3、</w:t>
            </w:r>
            <w:r>
              <w:rPr>
                <w:rFonts w:hint="eastAsia"/>
                <w:color w:val="auto"/>
                <w:highlight w:val="none"/>
              </w:rPr>
              <w:t>具有“人力资源和社会保障部”或“工业和信息化部”颁发的软件设计师（计算机技术与软件专业技术资格（水平）中级），每提供1个得2分，最多得2分。</w:t>
            </w:r>
          </w:p>
          <w:p w14:paraId="04283D13">
            <w:pPr>
              <w:pStyle w:val="276"/>
              <w:numPr>
                <w:ilvl w:val="0"/>
                <w:numId w:val="5"/>
              </w:numPr>
              <w:spacing w:line="360" w:lineRule="auto"/>
              <w:rPr>
                <w:rFonts w:hint="eastAsia"/>
                <w:color w:val="auto"/>
                <w:highlight w:val="none"/>
                <w:lang w:eastAsia="zh-CN"/>
              </w:rPr>
            </w:pPr>
            <w:r>
              <w:rPr>
                <w:rFonts w:hint="eastAsia"/>
                <w:color w:val="auto"/>
                <w:highlight w:val="none"/>
              </w:rPr>
              <w:t xml:space="preserve">投标人拟投入本项目的驻场服务人员具有类似项目的实施经验，每提供一个得 </w:t>
            </w:r>
            <w:r>
              <w:rPr>
                <w:color w:val="auto"/>
                <w:highlight w:val="none"/>
              </w:rPr>
              <w:t>2</w:t>
            </w:r>
            <w:r>
              <w:rPr>
                <w:rFonts w:hint="eastAsia"/>
                <w:color w:val="auto"/>
                <w:highlight w:val="none"/>
              </w:rPr>
              <w:t>分，最多 4 分</w:t>
            </w:r>
            <w:r>
              <w:rPr>
                <w:rFonts w:hint="eastAsia"/>
                <w:color w:val="auto"/>
                <w:sz w:val="21"/>
                <w:szCs w:val="21"/>
                <w:highlight w:val="none"/>
              </w:rPr>
              <w:t>。</w:t>
            </w:r>
            <w:r>
              <w:rPr>
                <w:rFonts w:hint="eastAsia"/>
                <w:color w:val="auto"/>
                <w:highlight w:val="none"/>
              </w:rPr>
              <w:t>上传本人身份证扫描件及项目建设单位出具的工作经验的盖章证明或合同扫描件(合同需能反映该成员具备相关经验)</w:t>
            </w:r>
            <w:r>
              <w:rPr>
                <w:rFonts w:hint="eastAsia"/>
                <w:color w:val="auto"/>
                <w:highlight w:val="none"/>
                <w:lang w:eastAsia="zh-CN"/>
              </w:rPr>
              <w:t>。</w:t>
            </w:r>
          </w:p>
          <w:p w14:paraId="77DAFFD5">
            <w:pPr>
              <w:pStyle w:val="276"/>
              <w:numPr>
                <w:ilvl w:val="-1"/>
                <w:numId w:val="0"/>
              </w:numPr>
              <w:spacing w:line="360" w:lineRule="auto"/>
              <w:rPr>
                <w:color w:val="auto"/>
                <w:highlight w:val="none"/>
              </w:rPr>
            </w:pPr>
            <w:r>
              <w:rPr>
                <w:rFonts w:hint="eastAsia"/>
                <w:color w:val="auto"/>
                <w:highlight w:val="none"/>
                <w:lang w:eastAsia="zh-CN"/>
              </w:rPr>
              <w:t>注：</w:t>
            </w:r>
            <w:r>
              <w:rPr>
                <w:rFonts w:hint="eastAsia"/>
                <w:color w:val="auto"/>
                <w:highlight w:val="none"/>
              </w:rPr>
              <w:t>同一人员不重复计分</w:t>
            </w:r>
            <w:r>
              <w:rPr>
                <w:rFonts w:hint="eastAsia"/>
                <w:color w:val="auto"/>
                <w:highlight w:val="none"/>
                <w:lang w:eastAsia="zh-CN"/>
              </w:rPr>
              <w:t>。提供</w:t>
            </w:r>
            <w:r>
              <w:rPr>
                <w:rFonts w:hint="eastAsia"/>
                <w:color w:val="auto"/>
                <w:highlight w:val="none"/>
              </w:rPr>
              <w:t>投标截止日期前3个月内任意一个月通过供应商缴纳的社保证明材料，证明材料缺项或未提供证明材料的不得分。</w:t>
            </w:r>
          </w:p>
        </w:tc>
        <w:tc>
          <w:tcPr>
            <w:tcW w:w="553" w:type="dxa"/>
            <w:vAlign w:val="center"/>
          </w:tcPr>
          <w:p w14:paraId="67B502DA">
            <w:pPr>
              <w:pStyle w:val="276"/>
              <w:spacing w:line="360" w:lineRule="auto"/>
              <w:jc w:val="center"/>
              <w:rPr>
                <w:color w:val="auto"/>
                <w:highlight w:val="none"/>
              </w:rPr>
            </w:pPr>
            <w:r>
              <w:rPr>
                <w:rFonts w:hint="eastAsia"/>
                <w:color w:val="auto"/>
                <w:highlight w:val="none"/>
              </w:rPr>
              <w:t>10</w:t>
            </w:r>
          </w:p>
        </w:tc>
        <w:tc>
          <w:tcPr>
            <w:tcW w:w="554" w:type="dxa"/>
            <w:gridSpan w:val="2"/>
            <w:vAlign w:val="center"/>
          </w:tcPr>
          <w:p w14:paraId="71B62E16">
            <w:pPr>
              <w:spacing w:before="68" w:line="360" w:lineRule="auto"/>
              <w:jc w:val="center"/>
              <w:rPr>
                <w:rFonts w:ascii="宋体" w:hAnsi="宋体" w:cs="宋体"/>
                <w:color w:val="auto"/>
                <w:highlight w:val="none"/>
              </w:rPr>
            </w:pPr>
            <w:r>
              <w:rPr>
                <w:rFonts w:hint="eastAsia" w:ascii="宋体" w:hAnsi="宋体" w:cs="宋体"/>
                <w:color w:val="auto"/>
                <w:highlight w:val="none"/>
              </w:rPr>
              <w:t>客观分</w:t>
            </w:r>
          </w:p>
        </w:tc>
      </w:tr>
      <w:tr w14:paraId="1F30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vAlign w:val="center"/>
          </w:tcPr>
          <w:p w14:paraId="7435E381">
            <w:pPr>
              <w:spacing w:line="360" w:lineRule="auto"/>
              <w:jc w:val="center"/>
              <w:rPr>
                <w:rFonts w:ascii="宋体" w:hAnsi="宋体"/>
                <w:color w:val="auto"/>
                <w:highlight w:val="none"/>
              </w:rPr>
            </w:pPr>
            <w:r>
              <w:rPr>
                <w:rFonts w:ascii="宋体" w:hAnsi="宋体" w:cs="宋体"/>
                <w:color w:val="auto"/>
                <w:spacing w:val="-3"/>
                <w:highlight w:val="none"/>
              </w:rPr>
              <w:t>合</w:t>
            </w:r>
            <w:r>
              <w:rPr>
                <w:rFonts w:ascii="宋体" w:hAnsi="宋体" w:cs="宋体"/>
                <w:color w:val="auto"/>
                <w:spacing w:val="-2"/>
                <w:highlight w:val="none"/>
              </w:rPr>
              <w:t>计</w:t>
            </w:r>
          </w:p>
        </w:tc>
        <w:tc>
          <w:tcPr>
            <w:tcW w:w="7795" w:type="dxa"/>
            <w:gridSpan w:val="2"/>
            <w:vAlign w:val="center"/>
          </w:tcPr>
          <w:p w14:paraId="4B0EBB03">
            <w:pPr>
              <w:spacing w:before="123" w:line="360" w:lineRule="auto"/>
              <w:ind w:left="172"/>
              <w:jc w:val="center"/>
              <w:rPr>
                <w:rFonts w:ascii="宋体" w:hAnsi="宋体" w:cs="宋体"/>
                <w:color w:val="auto"/>
                <w:spacing w:val="-2"/>
                <w:highlight w:val="none"/>
              </w:rPr>
            </w:pPr>
          </w:p>
        </w:tc>
        <w:tc>
          <w:tcPr>
            <w:tcW w:w="1107" w:type="dxa"/>
            <w:gridSpan w:val="3"/>
            <w:vAlign w:val="center"/>
          </w:tcPr>
          <w:p w14:paraId="085A8DA8">
            <w:pPr>
              <w:spacing w:line="360" w:lineRule="auto"/>
              <w:jc w:val="center"/>
              <w:rPr>
                <w:rFonts w:ascii="宋体" w:hAnsi="宋体"/>
                <w:color w:val="auto"/>
                <w:highlight w:val="none"/>
              </w:rPr>
            </w:pPr>
            <w:r>
              <w:rPr>
                <w:rFonts w:ascii="宋体" w:hAnsi="宋体" w:cs="宋体"/>
                <w:color w:val="auto"/>
                <w:spacing w:val="-11"/>
                <w:highlight w:val="none"/>
              </w:rPr>
              <w:t>100分</w:t>
            </w:r>
          </w:p>
        </w:tc>
      </w:tr>
      <w:bookmarkEnd w:id="167"/>
      <w:bookmarkEnd w:id="168"/>
    </w:tbl>
    <w:p w14:paraId="398ACC73">
      <w:pPr>
        <w:spacing w:line="360" w:lineRule="auto"/>
        <w:rPr>
          <w:color w:val="auto"/>
          <w:highlight w:val="none"/>
        </w:rPr>
      </w:pPr>
    </w:p>
    <w:p w14:paraId="7D0C0E07">
      <w:pPr>
        <w:spacing w:line="360" w:lineRule="auto"/>
        <w:rPr>
          <w:color w:val="auto"/>
          <w:highlight w:val="none"/>
        </w:rPr>
      </w:pPr>
    </w:p>
    <w:p w14:paraId="348FDC11">
      <w:pPr>
        <w:spacing w:line="360" w:lineRule="auto"/>
        <w:rPr>
          <w:color w:val="auto"/>
          <w:highlight w:val="none"/>
        </w:rPr>
      </w:pPr>
    </w:p>
    <w:p w14:paraId="31CB529F">
      <w:pPr>
        <w:pStyle w:val="297"/>
        <w:spacing w:line="360" w:lineRule="auto"/>
        <w:rPr>
          <w:color w:val="auto"/>
          <w:highlight w:val="none"/>
        </w:rPr>
      </w:pPr>
    </w:p>
    <w:p w14:paraId="0190FD44">
      <w:pPr>
        <w:spacing w:line="360" w:lineRule="auto"/>
        <w:rPr>
          <w:color w:val="auto"/>
          <w:highlight w:val="none"/>
        </w:rPr>
      </w:pPr>
    </w:p>
    <w:p w14:paraId="7561E568">
      <w:pPr>
        <w:spacing w:line="360" w:lineRule="auto"/>
        <w:rPr>
          <w:color w:val="auto"/>
          <w:highlight w:val="none"/>
        </w:rPr>
      </w:pPr>
    </w:p>
    <w:p w14:paraId="138884E3">
      <w:pPr>
        <w:pStyle w:val="2"/>
        <w:ind w:firstLine="0" w:firstLineChars="0"/>
        <w:rPr>
          <w:color w:val="auto"/>
          <w:highlight w:val="none"/>
        </w:rPr>
      </w:pPr>
    </w:p>
    <w:p w14:paraId="4D5EE945">
      <w:pPr>
        <w:spacing w:line="360" w:lineRule="auto"/>
        <w:rPr>
          <w:color w:val="auto"/>
          <w:highlight w:val="none"/>
        </w:rPr>
      </w:pPr>
    </w:p>
    <w:p w14:paraId="4043485B">
      <w:pPr>
        <w:spacing w:line="360" w:lineRule="auto"/>
        <w:rPr>
          <w:color w:val="auto"/>
          <w:highlight w:val="none"/>
        </w:rPr>
      </w:pPr>
    </w:p>
    <w:p w14:paraId="24005D73">
      <w:pPr>
        <w:pStyle w:val="2"/>
        <w:rPr>
          <w:color w:val="auto"/>
          <w:highlight w:val="none"/>
        </w:rPr>
      </w:pPr>
    </w:p>
    <w:p w14:paraId="3EB170C9">
      <w:pPr>
        <w:rPr>
          <w:color w:val="auto"/>
          <w:highlight w:val="none"/>
        </w:rPr>
      </w:pPr>
    </w:p>
    <w:p w14:paraId="66618D6D">
      <w:pPr>
        <w:pStyle w:val="2"/>
        <w:rPr>
          <w:color w:val="auto"/>
          <w:highlight w:val="none"/>
        </w:rPr>
      </w:pPr>
    </w:p>
    <w:p w14:paraId="5DCA0AFC">
      <w:pPr>
        <w:rPr>
          <w:color w:val="auto"/>
          <w:highlight w:val="none"/>
        </w:rPr>
      </w:pPr>
    </w:p>
    <w:p w14:paraId="4319CC83">
      <w:pPr>
        <w:pStyle w:val="2"/>
        <w:rPr>
          <w:color w:val="auto"/>
          <w:highlight w:val="none"/>
        </w:rPr>
      </w:pPr>
    </w:p>
    <w:p w14:paraId="6B30904E">
      <w:pPr>
        <w:rPr>
          <w:color w:val="auto"/>
          <w:highlight w:val="none"/>
        </w:rPr>
      </w:pPr>
    </w:p>
    <w:p w14:paraId="7EC0319C">
      <w:pPr>
        <w:pStyle w:val="2"/>
        <w:rPr>
          <w:color w:val="auto"/>
          <w:highlight w:val="none"/>
        </w:rPr>
      </w:pPr>
    </w:p>
    <w:p w14:paraId="14B37223">
      <w:pPr>
        <w:rPr>
          <w:color w:val="auto"/>
          <w:highlight w:val="none"/>
        </w:rPr>
      </w:pPr>
    </w:p>
    <w:p w14:paraId="2F5BA137">
      <w:pPr>
        <w:pStyle w:val="2"/>
        <w:rPr>
          <w:color w:val="auto"/>
          <w:highlight w:val="none"/>
        </w:rPr>
      </w:pPr>
    </w:p>
    <w:p w14:paraId="6A7A2FBC"/>
    <w:p w14:paraId="15CE5822">
      <w:pPr>
        <w:spacing w:line="360" w:lineRule="auto"/>
        <w:rPr>
          <w:color w:val="auto"/>
          <w:highlight w:val="none"/>
        </w:rPr>
      </w:pPr>
    </w:p>
    <w:bookmarkEnd w:id="155"/>
    <w:bookmarkEnd w:id="156"/>
    <w:bookmarkEnd w:id="157"/>
    <w:bookmarkEnd w:id="158"/>
    <w:bookmarkEnd w:id="159"/>
    <w:p w14:paraId="53B5E973">
      <w:pPr>
        <w:keepNext/>
        <w:spacing w:line="360" w:lineRule="auto"/>
        <w:jc w:val="center"/>
        <w:outlineLvl w:val="0"/>
        <w:rPr>
          <w:rFonts w:ascii="黑体" w:eastAsia="黑体"/>
          <w:bCs/>
          <w:color w:val="auto"/>
          <w:sz w:val="44"/>
          <w:szCs w:val="28"/>
          <w:highlight w:val="none"/>
        </w:rPr>
      </w:pPr>
      <w:r>
        <w:rPr>
          <w:rFonts w:hint="eastAsia" w:ascii="黑体" w:eastAsia="黑体"/>
          <w:color w:val="auto"/>
          <w:sz w:val="44"/>
          <w:szCs w:val="44"/>
          <w:highlight w:val="none"/>
        </w:rPr>
        <w:t xml:space="preserve">第六章  响应文件格式 </w:t>
      </w:r>
    </w:p>
    <w:p w14:paraId="4870F130">
      <w:pPr>
        <w:spacing w:line="360" w:lineRule="auto"/>
        <w:jc w:val="center"/>
        <w:rPr>
          <w:rFonts w:ascii="宋体" w:hAnsi="宋体"/>
          <w:b/>
          <w:color w:val="auto"/>
          <w:sz w:val="72"/>
          <w:szCs w:val="21"/>
          <w:highlight w:val="none"/>
        </w:rPr>
      </w:pPr>
      <w:bookmarkStart w:id="169" w:name="_Hlt26671244"/>
      <w:bookmarkEnd w:id="169"/>
      <w:bookmarkStart w:id="170" w:name="_Hlt26955039"/>
      <w:bookmarkEnd w:id="170"/>
      <w:bookmarkStart w:id="171" w:name="_Toc120614282"/>
      <w:bookmarkStart w:id="172" w:name="_Toc49090576"/>
      <w:bookmarkStart w:id="173" w:name="_Toc26554094"/>
    </w:p>
    <w:p w14:paraId="382F477D">
      <w:pPr>
        <w:spacing w:line="360" w:lineRule="auto"/>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3E4C6ECD">
      <w:pPr>
        <w:spacing w:line="360" w:lineRule="auto"/>
        <w:jc w:val="center"/>
        <w:rPr>
          <w:rFonts w:ascii="宋体" w:hAnsi="宋体"/>
          <w:b/>
          <w:color w:val="auto"/>
          <w:sz w:val="72"/>
          <w:szCs w:val="21"/>
          <w:highlight w:val="none"/>
        </w:rPr>
      </w:pPr>
    </w:p>
    <w:p w14:paraId="33270F8B">
      <w:pPr>
        <w:spacing w:line="360" w:lineRule="auto"/>
        <w:jc w:val="center"/>
        <w:rPr>
          <w:rFonts w:ascii="宋体" w:hAnsi="宋体"/>
          <w:b/>
          <w:color w:val="auto"/>
          <w:sz w:val="72"/>
          <w:szCs w:val="21"/>
          <w:highlight w:val="none"/>
        </w:rPr>
      </w:pPr>
    </w:p>
    <w:p w14:paraId="450630AE">
      <w:pPr>
        <w:spacing w:line="360" w:lineRule="auto"/>
        <w:jc w:val="center"/>
        <w:rPr>
          <w:rFonts w:ascii="宋体" w:hAnsi="宋体"/>
          <w:b/>
          <w:color w:val="auto"/>
          <w:sz w:val="36"/>
          <w:szCs w:val="21"/>
          <w:highlight w:val="none"/>
        </w:rPr>
      </w:pPr>
    </w:p>
    <w:p w14:paraId="6BA6063F">
      <w:pPr>
        <w:spacing w:line="360" w:lineRule="auto"/>
        <w:jc w:val="center"/>
        <w:rPr>
          <w:rFonts w:ascii="宋体" w:hAnsi="宋体"/>
          <w:b/>
          <w:color w:val="auto"/>
          <w:sz w:val="36"/>
          <w:szCs w:val="21"/>
          <w:highlight w:val="none"/>
        </w:rPr>
      </w:pPr>
    </w:p>
    <w:p w14:paraId="4F9069DD">
      <w:pPr>
        <w:spacing w:line="360" w:lineRule="auto"/>
        <w:jc w:val="center"/>
        <w:rPr>
          <w:rFonts w:ascii="宋体" w:hAnsi="宋体"/>
          <w:b/>
          <w:color w:val="auto"/>
          <w:sz w:val="36"/>
          <w:szCs w:val="21"/>
          <w:highlight w:val="none"/>
        </w:rPr>
      </w:pPr>
    </w:p>
    <w:p w14:paraId="5060FBC0">
      <w:pPr>
        <w:pStyle w:val="2"/>
        <w:rPr>
          <w:rFonts w:ascii="宋体" w:hAnsi="宋体"/>
          <w:b/>
          <w:color w:val="auto"/>
          <w:sz w:val="36"/>
          <w:szCs w:val="21"/>
          <w:highlight w:val="none"/>
        </w:rPr>
      </w:pPr>
    </w:p>
    <w:p w14:paraId="609A8CA4">
      <w:pPr>
        <w:rPr>
          <w:rFonts w:ascii="宋体" w:hAnsi="宋体"/>
          <w:b/>
          <w:color w:val="auto"/>
          <w:sz w:val="36"/>
          <w:szCs w:val="21"/>
          <w:highlight w:val="none"/>
        </w:rPr>
      </w:pPr>
    </w:p>
    <w:p w14:paraId="306988F7">
      <w:pPr>
        <w:pStyle w:val="2"/>
        <w:rPr>
          <w:rFonts w:ascii="宋体" w:hAnsi="宋体"/>
          <w:b w:val="0"/>
          <w:sz w:val="21"/>
          <w:szCs w:val="20"/>
        </w:rPr>
      </w:pPr>
    </w:p>
    <w:p w14:paraId="4878C915">
      <w:pPr>
        <w:spacing w:line="360" w:lineRule="auto"/>
        <w:ind w:firstLine="1084" w:firstLineChars="300"/>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6B56D5C5">
      <w:pPr>
        <w:spacing w:line="360" w:lineRule="auto"/>
        <w:ind w:firstLine="1084" w:firstLineChars="300"/>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17E7C49F">
      <w:pPr>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   </w:t>
      </w:r>
    </w:p>
    <w:p w14:paraId="56293300">
      <w:pPr>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2D02C5C2">
      <w:pPr>
        <w:spacing w:line="360" w:lineRule="auto"/>
        <w:jc w:val="center"/>
        <w:rPr>
          <w:rFonts w:ascii="宋体" w:hAnsi="宋体"/>
          <w:b/>
          <w:bCs/>
          <w:color w:val="auto"/>
          <w:sz w:val="32"/>
          <w:szCs w:val="32"/>
          <w:highlight w:val="none"/>
        </w:rPr>
      </w:pPr>
    </w:p>
    <w:p w14:paraId="1C26BF14">
      <w:pPr>
        <w:spacing w:line="360" w:lineRule="auto"/>
        <w:rPr>
          <w:rFonts w:ascii="宋体" w:hAnsi="宋体"/>
          <w:color w:val="auto"/>
          <w:szCs w:val="21"/>
          <w:highlight w:val="none"/>
        </w:rPr>
      </w:pPr>
    </w:p>
    <w:p w14:paraId="242DDCB8">
      <w:pPr>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一、信用承诺函</w:t>
      </w:r>
    </w:p>
    <w:p w14:paraId="6D3030B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二、法定代表人授权委托书</w:t>
      </w:r>
    </w:p>
    <w:p w14:paraId="6BFE3F00">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三、磋商响应函</w:t>
      </w:r>
    </w:p>
    <w:p w14:paraId="46F65EEB">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四、磋商报价表</w:t>
      </w:r>
    </w:p>
    <w:p w14:paraId="2C90261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五、分项报价表（如有）</w:t>
      </w:r>
    </w:p>
    <w:p w14:paraId="51800F6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六、技术要求响应及偏离表</w:t>
      </w:r>
    </w:p>
    <w:p w14:paraId="15F21473">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七、商务要求响应及偏离表</w:t>
      </w:r>
    </w:p>
    <w:p w14:paraId="3544D2B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八、中小企业声明函（如有）</w:t>
      </w:r>
    </w:p>
    <w:p w14:paraId="61D7443C">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九、残疾人福利性单位声明函（如有）</w:t>
      </w:r>
    </w:p>
    <w:p w14:paraId="4E8B86DE">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十、关于符合本国产品标准的声明函（如有）</w:t>
      </w:r>
    </w:p>
    <w:p w14:paraId="7B893EEA">
      <w:pPr>
        <w:spacing w:line="360" w:lineRule="auto"/>
        <w:ind w:firstLine="560" w:firstLineChars="200"/>
        <w:rPr>
          <w:rFonts w:ascii="宋体" w:hAnsi="宋体" w:cs="宋体"/>
          <w:color w:val="auto"/>
          <w:sz w:val="28"/>
          <w:szCs w:val="28"/>
          <w:highlight w:val="none"/>
        </w:rPr>
      </w:pPr>
    </w:p>
    <w:p w14:paraId="58AFCB8E">
      <w:pPr>
        <w:adjustRightInd w:val="0"/>
        <w:snapToGrid w:val="0"/>
        <w:spacing w:line="360" w:lineRule="auto"/>
        <w:jc w:val="left"/>
        <w:rPr>
          <w:rFonts w:ascii="黑体" w:hAnsi="黑体" w:eastAsia="黑体"/>
          <w:color w:val="auto"/>
          <w:sz w:val="32"/>
          <w:szCs w:val="32"/>
          <w:highlight w:val="none"/>
        </w:rPr>
      </w:pPr>
      <w:r>
        <w:rPr>
          <w:rFonts w:hint="eastAsia" w:ascii="黑体" w:hAnsi="黑体" w:eastAsia="黑体"/>
          <w:i/>
          <w:color w:val="auto"/>
          <w:sz w:val="32"/>
          <w:szCs w:val="32"/>
          <w:highlight w:val="none"/>
          <w:u w:val="single"/>
        </w:rPr>
        <w:br w:type="page"/>
      </w:r>
      <w:r>
        <w:rPr>
          <w:rFonts w:hint="eastAsia" w:ascii="黑体" w:hAnsi="黑体" w:eastAsia="黑体"/>
          <w:color w:val="auto"/>
          <w:sz w:val="32"/>
          <w:szCs w:val="32"/>
          <w:highlight w:val="none"/>
        </w:rPr>
        <w:t>一、信用承诺函</w:t>
      </w:r>
    </w:p>
    <w:p w14:paraId="5F88359F">
      <w:pPr>
        <w:adjustRightInd w:val="0"/>
        <w:snapToGrid w:val="0"/>
        <w:spacing w:line="360" w:lineRule="auto"/>
        <w:jc w:val="center"/>
        <w:outlineLvl w:val="2"/>
        <w:rPr>
          <w:rFonts w:ascii="方正小标宋简体" w:hAnsi="方正小标宋简体" w:eastAsia="方正小标宋简体" w:cs="方正小标宋简体"/>
          <w:color w:val="auto"/>
          <w:kern w:val="2"/>
          <w:sz w:val="32"/>
          <w:szCs w:val="32"/>
          <w:highlight w:val="none"/>
        </w:rPr>
      </w:pPr>
      <w:r>
        <w:rPr>
          <w:rFonts w:hint="eastAsia" w:ascii="方正小标宋简体" w:hAnsi="方正小标宋简体" w:eastAsia="方正小标宋简体" w:cs="方正小标宋简体"/>
          <w:color w:val="auto"/>
          <w:kern w:val="2"/>
          <w:sz w:val="32"/>
          <w:szCs w:val="32"/>
          <w:highlight w:val="none"/>
        </w:rPr>
        <w:t>信用承诺函</w:t>
      </w:r>
    </w:p>
    <w:p w14:paraId="6A567207">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（供应商名称）郑重承诺，我公司（单位）符合下列要求：</w:t>
      </w:r>
    </w:p>
    <w:p w14:paraId="4AE9928B">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（一）具有独立承担民事责任的能力；</w:t>
      </w:r>
    </w:p>
    <w:p w14:paraId="6A2240F6">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（二）具有良好的商业信誉和健全的财务会计制度；</w:t>
      </w:r>
    </w:p>
    <w:p w14:paraId="2497F2C7">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（三）具有履行合同所必需的设备和专业技术能力；</w:t>
      </w:r>
    </w:p>
    <w:p w14:paraId="16C51EB5">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（四）有依法缴纳税收和社会保障资金的良好记录；</w:t>
      </w:r>
    </w:p>
    <w:p w14:paraId="7CEF5A0D">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（五）参加政府采购活动前三年内，在经营活动中没有重大违法记录；</w:t>
      </w:r>
    </w:p>
    <w:p w14:paraId="50AE076D">
      <w:pPr>
        <w:widowControl/>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（六）我公司（单位）已知晓：单位负责人为同一人或者存在直接控股、管理关系的不同供应商，不得参加同一合同项下的政府采购活动；</w:t>
      </w:r>
    </w:p>
    <w:p w14:paraId="0EC5566F">
      <w:pPr>
        <w:widowControl/>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（七）未参加此项目的整体设计、规范编制或者项目管理、监理、检测等服务。</w:t>
      </w:r>
    </w:p>
    <w:p w14:paraId="167306FF">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如果我公司（单位）成交，将在成交结果公示后七个工作日内向采购人提供下列材料核验：</w:t>
      </w:r>
    </w:p>
    <w:p w14:paraId="1B3556E2">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1.营业执照副本或事业单位法人登记证书或其他证明材料；</w:t>
      </w:r>
    </w:p>
    <w:p w14:paraId="3DA367AD">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1B66910B">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3.履行合同所必需的设备和专业技术能力证明材料；</w:t>
      </w:r>
    </w:p>
    <w:p w14:paraId="5628ED5C">
      <w:pPr>
        <w:spacing w:line="360" w:lineRule="auto"/>
        <w:ind w:firstLine="492"/>
        <w:rPr>
          <w:rFonts w:ascii="宋体" w:hAnsi="宋体"/>
          <w:color w:val="auto"/>
          <w:sz w:val="24"/>
          <w:szCs w:val="24"/>
          <w:highlight w:val="none"/>
        </w:rPr>
      </w:pPr>
      <w:r>
        <w:rPr>
          <w:rFonts w:hint="eastAsia" w:ascii="宋体" w:hAnsi="宋体"/>
          <w:color w:val="auto"/>
          <w:sz w:val="24"/>
          <w:szCs w:val="24"/>
          <w:highlight w:val="none"/>
        </w:rPr>
        <w:t>4.参加本次政府采购活动前一年内至少一个月依法缴纳税收和社会保障资金的证明材料。</w:t>
      </w:r>
    </w:p>
    <w:p w14:paraId="5CE95DB9">
      <w:pPr>
        <w:spacing w:line="360" w:lineRule="auto"/>
        <w:ind w:firstLine="492"/>
        <w:rPr>
          <w:color w:val="auto"/>
          <w:sz w:val="24"/>
          <w:szCs w:val="24"/>
          <w:highlight w:val="none"/>
        </w:rPr>
      </w:pPr>
      <w:r>
        <w:rPr>
          <w:rFonts w:hint="eastAsia"/>
          <w:color w:val="auto"/>
          <w:sz w:val="24"/>
          <w:szCs w:val="24"/>
          <w:highlight w:val="none"/>
        </w:rPr>
        <w:t>我公司（单位）对上述承诺内容的真实性、合法性、有效性负责，如有虚假，将依法承担相应责任。</w:t>
      </w:r>
    </w:p>
    <w:p w14:paraId="240FAC04">
      <w:pPr>
        <w:spacing w:line="360" w:lineRule="auto"/>
        <w:ind w:firstLine="492"/>
        <w:rPr>
          <w:color w:val="auto"/>
          <w:sz w:val="24"/>
          <w:szCs w:val="24"/>
          <w:highlight w:val="none"/>
        </w:rPr>
      </w:pPr>
    </w:p>
    <w:p w14:paraId="479B008B">
      <w:pPr>
        <w:pStyle w:val="290"/>
        <w:spacing w:line="360" w:lineRule="auto"/>
        <w:rPr>
          <w:color w:val="auto"/>
          <w:sz w:val="24"/>
          <w:szCs w:val="24"/>
          <w:highlight w:val="none"/>
        </w:rPr>
      </w:pPr>
    </w:p>
    <w:p w14:paraId="14325E6A">
      <w:pPr>
        <w:spacing w:line="360" w:lineRule="auto"/>
        <w:ind w:right="180" w:firstLine="360" w:firstLineChars="150"/>
        <w:jc w:val="right"/>
        <w:rPr>
          <w:rFonts w:ascii="宋体" w:hAnsi="宋体"/>
          <w:color w:val="auto"/>
          <w:sz w:val="24"/>
          <w:szCs w:val="24"/>
          <w:highlight w:val="none"/>
        </w:rPr>
      </w:pPr>
      <w:r>
        <w:rPr>
          <w:rFonts w:hint="eastAsia" w:ascii="宋体" w:hAnsi="宋体"/>
          <w:color w:val="auto"/>
          <w:sz w:val="24"/>
          <w:szCs w:val="24"/>
          <w:highlight w:val="none"/>
        </w:rPr>
        <w:t>供应商名称：（加盖电子公章）</w:t>
      </w:r>
    </w:p>
    <w:p w14:paraId="47DBF18D">
      <w:pPr>
        <w:spacing w:line="360" w:lineRule="auto"/>
        <w:ind w:firstLine="6240" w:firstLineChars="2600"/>
        <w:rPr>
          <w:rFonts w:ascii="宋体" w:hAnsi="宋体"/>
          <w:color w:val="auto"/>
          <w:sz w:val="24"/>
          <w:szCs w:val="24"/>
          <w:highlight w:val="none"/>
        </w:rPr>
      </w:pPr>
      <w:r>
        <w:rPr>
          <w:rFonts w:hint="eastAsia"/>
          <w:color w:val="auto"/>
          <w:sz w:val="24"/>
          <w:szCs w:val="24"/>
          <w:highlight w:val="none"/>
        </w:rPr>
        <w:t>日  期：</w:t>
      </w:r>
    </w:p>
    <w:p w14:paraId="216B9988">
      <w:pPr>
        <w:spacing w:line="360" w:lineRule="auto"/>
        <w:rPr>
          <w:color w:val="auto"/>
          <w:sz w:val="24"/>
          <w:szCs w:val="24"/>
          <w:highlight w:val="none"/>
        </w:rPr>
      </w:pPr>
    </w:p>
    <w:p w14:paraId="0B846E7E">
      <w:pPr>
        <w:adjustRightInd w:val="0"/>
        <w:snapToGrid w:val="0"/>
        <w:spacing w:line="360" w:lineRule="auto"/>
        <w:jc w:val="left"/>
        <w:rPr>
          <w:rFonts w:ascii="黑体" w:hAnsi="黑体" w:eastAsia="黑体"/>
          <w:color w:val="auto"/>
          <w:sz w:val="32"/>
          <w:szCs w:val="32"/>
          <w:highlight w:val="none"/>
        </w:rPr>
      </w:pPr>
      <w:r>
        <w:rPr>
          <w:rFonts w:hint="eastAsia"/>
          <w:color w:val="auto"/>
          <w:highlight w:val="none"/>
        </w:rPr>
        <w:br w:type="page"/>
      </w:r>
      <w:r>
        <w:rPr>
          <w:rFonts w:hint="eastAsia" w:ascii="黑体" w:hAnsi="黑体" w:eastAsia="黑体"/>
          <w:color w:val="auto"/>
          <w:sz w:val="32"/>
          <w:szCs w:val="32"/>
          <w:highlight w:val="none"/>
        </w:rPr>
        <w:t>二、法定代表人授权委托书</w:t>
      </w:r>
    </w:p>
    <w:p w14:paraId="4E92081F">
      <w:pPr>
        <w:adjustRightInd w:val="0"/>
        <w:snapToGrid w:val="0"/>
        <w:spacing w:line="360" w:lineRule="auto"/>
        <w:jc w:val="center"/>
        <w:outlineLvl w:val="2"/>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法定代表人授权委托书</w:t>
      </w:r>
    </w:p>
    <w:p w14:paraId="7786ED96">
      <w:pPr>
        <w:pStyle w:val="298"/>
        <w:spacing w:line="360" w:lineRule="auto"/>
        <w:ind w:firstLine="480"/>
        <w:rPr>
          <w:color w:val="auto"/>
          <w:sz w:val="24"/>
          <w:szCs w:val="24"/>
          <w:highlight w:val="none"/>
        </w:rPr>
      </w:pPr>
    </w:p>
    <w:p w14:paraId="670583C6">
      <w:pPr>
        <w:pStyle w:val="298"/>
        <w:spacing w:line="360" w:lineRule="auto"/>
        <w:ind w:firstLine="480"/>
        <w:rPr>
          <w:color w:val="auto"/>
          <w:sz w:val="24"/>
          <w:szCs w:val="24"/>
          <w:highlight w:val="none"/>
        </w:rPr>
      </w:pPr>
      <w:r>
        <w:rPr>
          <w:rFonts w:hint="eastAsia"/>
          <w:color w:val="auto"/>
          <w:sz w:val="24"/>
          <w:szCs w:val="24"/>
          <w:highlight w:val="none"/>
        </w:rPr>
        <w:t>本人</w:t>
      </w:r>
      <w:r>
        <w:rPr>
          <w:rFonts w:hint="eastAsia"/>
          <w:color w:val="auto"/>
          <w:sz w:val="24"/>
          <w:szCs w:val="24"/>
          <w:highlight w:val="none"/>
          <w:u w:val="single"/>
        </w:rPr>
        <w:t xml:space="preserve">    </w:t>
      </w:r>
      <w:r>
        <w:rPr>
          <w:rFonts w:hint="eastAsia"/>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color w:val="auto"/>
          <w:sz w:val="24"/>
          <w:szCs w:val="24"/>
          <w:highlight w:val="none"/>
        </w:rPr>
        <w:t>（供应商名称）的法定代表人（单位负责人），现代表我单位授权委托</w:t>
      </w:r>
      <w:r>
        <w:rPr>
          <w:rFonts w:hint="eastAsia"/>
          <w:color w:val="auto"/>
          <w:sz w:val="24"/>
          <w:szCs w:val="24"/>
          <w:highlight w:val="none"/>
          <w:u w:val="single"/>
        </w:rPr>
        <w:t xml:space="preserve">    </w:t>
      </w:r>
      <w:r>
        <w:rPr>
          <w:rFonts w:hint="eastAsia"/>
          <w:color w:val="auto"/>
          <w:sz w:val="24"/>
          <w:szCs w:val="24"/>
          <w:highlight w:val="none"/>
        </w:rPr>
        <w:t>（姓名，职务）为我方合法代理人参加</w:t>
      </w:r>
      <w:r>
        <w:rPr>
          <w:rFonts w:hint="eastAsia"/>
          <w:color w:val="auto"/>
          <w:sz w:val="24"/>
          <w:szCs w:val="24"/>
          <w:highlight w:val="none"/>
          <w:u w:val="single"/>
        </w:rPr>
        <w:t xml:space="preserve">     </w:t>
      </w:r>
      <w:r>
        <w:rPr>
          <w:rFonts w:hint="eastAsia"/>
          <w:color w:val="auto"/>
          <w:sz w:val="24"/>
          <w:szCs w:val="24"/>
          <w:highlight w:val="none"/>
        </w:rPr>
        <w:t>（项目编号）</w:t>
      </w:r>
      <w:r>
        <w:rPr>
          <w:rFonts w:hint="eastAsia"/>
          <w:color w:val="auto"/>
          <w:sz w:val="24"/>
          <w:szCs w:val="24"/>
          <w:highlight w:val="none"/>
          <w:u w:val="single"/>
        </w:rPr>
        <w:t xml:space="preserve">      </w:t>
      </w:r>
      <w:r>
        <w:rPr>
          <w:rFonts w:hint="eastAsia"/>
          <w:color w:val="auto"/>
          <w:sz w:val="24"/>
          <w:szCs w:val="24"/>
          <w:highlight w:val="none"/>
        </w:rPr>
        <w:t>（项目名称）的政府采购活动，由其代表我方办理上述项目在响应、磋商、澄清确认过程中的相关事宜，其法律后果由我方承担。</w:t>
      </w:r>
    </w:p>
    <w:p w14:paraId="2790E973">
      <w:pPr>
        <w:pStyle w:val="298"/>
        <w:spacing w:line="360" w:lineRule="auto"/>
        <w:ind w:firstLine="480"/>
        <w:rPr>
          <w:color w:val="auto"/>
          <w:sz w:val="24"/>
          <w:szCs w:val="24"/>
          <w:highlight w:val="none"/>
        </w:rPr>
      </w:pPr>
      <w:r>
        <w:rPr>
          <w:rFonts w:hint="eastAsia"/>
          <w:color w:val="auto"/>
          <w:sz w:val="24"/>
          <w:szCs w:val="24"/>
          <w:highlight w:val="none"/>
        </w:rPr>
        <w:t>委托期限：自本授权委托书签署之日起至磋商有效期届满之日止。</w:t>
      </w:r>
    </w:p>
    <w:p w14:paraId="770AD621">
      <w:pPr>
        <w:pStyle w:val="298"/>
        <w:spacing w:line="360" w:lineRule="auto"/>
        <w:ind w:firstLine="480"/>
        <w:rPr>
          <w:color w:val="auto"/>
          <w:sz w:val="24"/>
          <w:szCs w:val="24"/>
          <w:highlight w:val="none"/>
        </w:rPr>
      </w:pPr>
      <w:r>
        <w:rPr>
          <w:rFonts w:hint="eastAsia"/>
          <w:color w:val="auto"/>
          <w:sz w:val="24"/>
          <w:szCs w:val="24"/>
          <w:highlight w:val="none"/>
        </w:rPr>
        <w:t>代理人无转委托权。</w:t>
      </w:r>
    </w:p>
    <w:p w14:paraId="1F3A4996">
      <w:pPr>
        <w:pStyle w:val="298"/>
        <w:spacing w:line="360" w:lineRule="auto"/>
        <w:ind w:firstLine="480"/>
        <w:rPr>
          <w:color w:val="auto"/>
          <w:sz w:val="24"/>
          <w:szCs w:val="24"/>
          <w:highlight w:val="none"/>
        </w:rPr>
      </w:pPr>
      <w:r>
        <w:rPr>
          <w:rFonts w:hint="eastAsia"/>
          <w:color w:val="auto"/>
          <w:sz w:val="24"/>
          <w:szCs w:val="24"/>
          <w:highlight w:val="none"/>
        </w:rPr>
        <w:t>供应商名称（加盖公章）：________________</w:t>
      </w:r>
    </w:p>
    <w:p w14:paraId="241921D7">
      <w:pPr>
        <w:pStyle w:val="298"/>
        <w:spacing w:line="360" w:lineRule="auto"/>
        <w:ind w:firstLine="480"/>
        <w:rPr>
          <w:color w:val="auto"/>
          <w:sz w:val="24"/>
          <w:szCs w:val="24"/>
          <w:highlight w:val="none"/>
        </w:rPr>
      </w:pPr>
      <w:r>
        <w:rPr>
          <w:rFonts w:hint="eastAsia"/>
          <w:color w:val="auto"/>
          <w:sz w:val="24"/>
          <w:szCs w:val="24"/>
          <w:highlight w:val="none"/>
        </w:rPr>
        <w:t>法定代表人（单位负责人）（签字或签章）：________________</w:t>
      </w:r>
    </w:p>
    <w:p w14:paraId="2D0A0C63">
      <w:pPr>
        <w:pStyle w:val="298"/>
        <w:spacing w:line="360" w:lineRule="auto"/>
        <w:ind w:firstLine="480"/>
        <w:rPr>
          <w:color w:val="auto"/>
          <w:sz w:val="24"/>
          <w:szCs w:val="24"/>
          <w:highlight w:val="none"/>
        </w:rPr>
      </w:pPr>
      <w:r>
        <w:rPr>
          <w:rFonts w:hint="eastAsia"/>
          <w:color w:val="auto"/>
          <w:sz w:val="24"/>
          <w:szCs w:val="24"/>
          <w:highlight w:val="none"/>
        </w:rPr>
        <w:t xml:space="preserve">代理人（签字或签章）：________________ </w:t>
      </w:r>
    </w:p>
    <w:p w14:paraId="550F74A8">
      <w:pPr>
        <w:pStyle w:val="298"/>
        <w:spacing w:line="360" w:lineRule="auto"/>
        <w:ind w:firstLine="480"/>
        <w:rPr>
          <w:color w:val="auto"/>
          <w:sz w:val="24"/>
          <w:szCs w:val="24"/>
          <w:highlight w:val="none"/>
        </w:rPr>
      </w:pPr>
      <w:r>
        <w:rPr>
          <w:rFonts w:hint="eastAsia"/>
          <w:color w:val="auto"/>
          <w:sz w:val="24"/>
          <w:szCs w:val="24"/>
          <w:highlight w:val="none"/>
        </w:rPr>
        <w:t>日期：_____年______月______日</w:t>
      </w:r>
    </w:p>
    <w:p w14:paraId="26A64F32">
      <w:pPr>
        <w:pStyle w:val="298"/>
        <w:spacing w:line="360" w:lineRule="auto"/>
        <w:ind w:firstLine="480"/>
        <w:rPr>
          <w:color w:val="auto"/>
          <w:sz w:val="24"/>
          <w:szCs w:val="24"/>
          <w:highlight w:val="none"/>
        </w:rPr>
      </w:pPr>
      <w:r>
        <w:rPr>
          <w:rFonts w:hint="eastAsia"/>
          <w:color w:val="auto"/>
          <w:sz w:val="24"/>
          <w:szCs w:val="24"/>
          <w:highlight w:val="none"/>
        </w:rPr>
        <w:t>附：法定代表人（单位负责人）及代理人有效身份证明文件</w:t>
      </w:r>
    </w:p>
    <w:p w14:paraId="62431E1D">
      <w:pPr>
        <w:pStyle w:val="8"/>
        <w:spacing w:line="360" w:lineRule="auto"/>
        <w:ind w:firstLine="0"/>
        <w:rPr>
          <w:color w:val="auto"/>
          <w:highlight w:val="none"/>
        </w:rPr>
      </w:pPr>
    </w:p>
    <w:p w14:paraId="17934A71">
      <w:pPr>
        <w:pStyle w:val="298"/>
        <w:spacing w:line="360" w:lineRule="auto"/>
        <w:ind w:firstLine="480"/>
        <w:rPr>
          <w:color w:val="auto"/>
          <w:sz w:val="24"/>
          <w:szCs w:val="24"/>
          <w:highlight w:val="none"/>
        </w:rPr>
      </w:pPr>
    </w:p>
    <w:p w14:paraId="0FAB74D5">
      <w:pPr>
        <w:pStyle w:val="298"/>
        <w:spacing w:line="360" w:lineRule="auto"/>
        <w:ind w:firstLine="480"/>
        <w:rPr>
          <w:color w:val="auto"/>
          <w:sz w:val="24"/>
          <w:szCs w:val="24"/>
          <w:highlight w:val="none"/>
        </w:rPr>
      </w:pPr>
      <w:r>
        <w:rPr>
          <w:rFonts w:hint="eastAsia"/>
          <w:color w:val="auto"/>
          <w:sz w:val="24"/>
          <w:szCs w:val="24"/>
          <w:highlight w:val="none"/>
        </w:rPr>
        <w:t>说明：</w:t>
      </w:r>
    </w:p>
    <w:p w14:paraId="3149BBA4">
      <w:pPr>
        <w:pStyle w:val="298"/>
        <w:spacing w:line="360" w:lineRule="auto"/>
        <w:ind w:firstLine="480"/>
        <w:rPr>
          <w:color w:val="auto"/>
          <w:sz w:val="24"/>
          <w:szCs w:val="24"/>
          <w:highlight w:val="none"/>
        </w:rPr>
      </w:pPr>
      <w:r>
        <w:rPr>
          <w:rFonts w:hint="eastAsia"/>
          <w:color w:val="auto"/>
          <w:sz w:val="24"/>
          <w:szCs w:val="24"/>
          <w:highlight w:val="none"/>
        </w:rPr>
        <w:t>1.若供应商为事业单位或其他组织或分支机构（仅限磋商文件注明允许分支机构投标情形），则法定代表人（单位负责人）处的签署人可为单位负责人。</w:t>
      </w:r>
    </w:p>
    <w:p w14:paraId="6DB3F488">
      <w:pPr>
        <w:pStyle w:val="298"/>
        <w:spacing w:line="360" w:lineRule="auto"/>
        <w:ind w:firstLine="480"/>
        <w:rPr>
          <w:color w:val="auto"/>
          <w:sz w:val="24"/>
          <w:szCs w:val="24"/>
          <w:highlight w:val="none"/>
        </w:rPr>
      </w:pPr>
      <w:r>
        <w:rPr>
          <w:rFonts w:hint="eastAsia"/>
          <w:color w:val="auto"/>
          <w:sz w:val="24"/>
          <w:szCs w:val="24"/>
          <w:highlight w:val="none"/>
        </w:rPr>
        <w:t>2.当代理人为法定代表人（或上述情况的单位负责人）时，代理人相关内容填报为法定代表人（或上述情况的单位负责人）信息，“代理人（签字或盖章）”处可不用再重复签字或盖章。</w:t>
      </w:r>
    </w:p>
    <w:p w14:paraId="214C04E7">
      <w:pPr>
        <w:pStyle w:val="298"/>
        <w:spacing w:line="360" w:lineRule="auto"/>
        <w:ind w:firstLine="480"/>
        <w:rPr>
          <w:color w:val="auto"/>
          <w:sz w:val="24"/>
          <w:szCs w:val="24"/>
          <w:highlight w:val="none"/>
        </w:rPr>
      </w:pPr>
      <w:r>
        <w:rPr>
          <w:rFonts w:hint="eastAsia"/>
          <w:color w:val="auto"/>
          <w:sz w:val="24"/>
          <w:szCs w:val="24"/>
          <w:highlight w:val="none"/>
        </w:rPr>
        <w:t>3.供应商为自然人的，可不提供本《法定代表人授权委托书》。</w:t>
      </w:r>
    </w:p>
    <w:p w14:paraId="7EE4185C">
      <w:pPr>
        <w:pStyle w:val="298"/>
        <w:spacing w:line="360" w:lineRule="auto"/>
        <w:ind w:firstLine="480"/>
        <w:rPr>
          <w:color w:val="auto"/>
          <w:sz w:val="24"/>
          <w:szCs w:val="24"/>
          <w:highlight w:val="none"/>
        </w:rPr>
      </w:pPr>
      <w:r>
        <w:rPr>
          <w:rFonts w:hint="eastAsia"/>
          <w:color w:val="auto"/>
          <w:sz w:val="24"/>
          <w:szCs w:val="24"/>
          <w:highlight w:val="none"/>
        </w:rPr>
        <w:t>4.供应商应同时提供法定代表人（单位负责人）及代理人的身份证或护照等有效身份证明文件（彩色复印件或者彩色扫描件）。</w:t>
      </w:r>
      <w:r>
        <w:rPr>
          <w:rFonts w:hint="eastAsia"/>
          <w:b/>
          <w:bCs/>
          <w:color w:val="auto"/>
          <w:sz w:val="24"/>
          <w:szCs w:val="24"/>
          <w:highlight w:val="none"/>
        </w:rPr>
        <w:t>提供身份证的，应同时提供身份证双面</w:t>
      </w:r>
      <w:r>
        <w:rPr>
          <w:rFonts w:hint="eastAsia"/>
          <w:color w:val="auto"/>
          <w:sz w:val="24"/>
          <w:szCs w:val="24"/>
          <w:highlight w:val="none"/>
        </w:rPr>
        <w:t>。</w:t>
      </w:r>
    </w:p>
    <w:p w14:paraId="2A87B630">
      <w:pPr>
        <w:pStyle w:val="298"/>
        <w:spacing w:line="360" w:lineRule="auto"/>
        <w:ind w:firstLine="480"/>
        <w:rPr>
          <w:b/>
          <w:bCs/>
          <w:color w:val="auto"/>
          <w:sz w:val="24"/>
          <w:szCs w:val="24"/>
          <w:highlight w:val="none"/>
        </w:rPr>
      </w:pPr>
      <w:r>
        <w:rPr>
          <w:rFonts w:hint="eastAsia"/>
          <w:b/>
          <w:bCs/>
          <w:color w:val="auto"/>
          <w:sz w:val="24"/>
          <w:szCs w:val="24"/>
          <w:highlight w:val="none"/>
        </w:rPr>
        <w:t>5.未按磋商文件要求和格式提供《法定代表人授权委托书》的，将作为无效响应处理。</w:t>
      </w:r>
    </w:p>
    <w:p w14:paraId="3049622C">
      <w:pPr>
        <w:spacing w:line="360" w:lineRule="auto"/>
        <w:rPr>
          <w:rFonts w:ascii="黑体" w:hAnsi="黑体" w:eastAsia="黑体"/>
          <w:color w:val="auto"/>
          <w:sz w:val="32"/>
          <w:szCs w:val="32"/>
          <w:highlight w:val="none"/>
        </w:rPr>
      </w:pPr>
      <w:r>
        <w:rPr>
          <w:rFonts w:hint="eastAsia" w:ascii="楷体" w:hAnsi="楷体" w:eastAsia="楷体"/>
          <w:bCs/>
          <w:color w:val="auto"/>
          <w:sz w:val="24"/>
          <w:szCs w:val="24"/>
          <w:highlight w:val="none"/>
        </w:rPr>
        <w:br w:type="page"/>
      </w:r>
      <w:bookmarkEnd w:id="171"/>
      <w:bookmarkEnd w:id="172"/>
      <w:bookmarkEnd w:id="173"/>
      <w:bookmarkStart w:id="174" w:name="_Toc120614284"/>
      <w:r>
        <w:rPr>
          <w:rFonts w:hint="eastAsia" w:ascii="黑体" w:hAnsi="黑体" w:eastAsia="黑体"/>
          <w:color w:val="auto"/>
          <w:sz w:val="32"/>
          <w:szCs w:val="32"/>
          <w:highlight w:val="none"/>
        </w:rPr>
        <w:t>三、磋商响应函</w:t>
      </w:r>
    </w:p>
    <w:p w14:paraId="2A1789CE">
      <w:pPr>
        <w:adjustRightInd w:val="0"/>
        <w:snapToGrid w:val="0"/>
        <w:spacing w:line="360" w:lineRule="auto"/>
        <w:jc w:val="center"/>
        <w:outlineLvl w:val="2"/>
        <w:rPr>
          <w:rFonts w:ascii="方正小标宋简体" w:hAnsi="方正小标宋简体" w:eastAsia="方正小标宋简体" w:cs="方正小标宋简体"/>
          <w:color w:val="auto"/>
          <w:kern w:val="2"/>
          <w:sz w:val="32"/>
          <w:szCs w:val="32"/>
          <w:highlight w:val="none"/>
          <w:lang w:val="zh-CN"/>
        </w:rPr>
      </w:pPr>
      <w:r>
        <w:rPr>
          <w:rFonts w:hint="eastAsia" w:ascii="方正小标宋简体" w:hAnsi="方正小标宋简体" w:eastAsia="方正小标宋简体" w:cs="方正小标宋简体"/>
          <w:color w:val="auto"/>
          <w:kern w:val="2"/>
          <w:sz w:val="32"/>
          <w:szCs w:val="32"/>
          <w:highlight w:val="none"/>
        </w:rPr>
        <w:t>磋商响应函</w:t>
      </w:r>
    </w:p>
    <w:p w14:paraId="77CEB3C0">
      <w:pPr>
        <w:pStyle w:val="319"/>
        <w:adjustRightInd w:val="0"/>
        <w:snapToGrid w:val="0"/>
        <w:spacing w:before="0" w:after="0"/>
        <w:ind w:firstLine="0"/>
        <w:rPr>
          <w:rFonts w:ascii="宋体" w:hAnsi="宋体"/>
          <w:color w:val="auto"/>
          <w:kern w:val="2"/>
          <w:szCs w:val="21"/>
          <w:highlight w:val="none"/>
        </w:rPr>
      </w:pPr>
      <w:r>
        <w:rPr>
          <w:rFonts w:hint="eastAsia" w:ascii="宋体" w:hAnsi="宋体"/>
          <w:color w:val="auto"/>
          <w:kern w:val="2"/>
          <w:szCs w:val="21"/>
          <w:highlight w:val="none"/>
        </w:rPr>
        <w:t>致：                    （采购人名称）</w:t>
      </w:r>
    </w:p>
    <w:p w14:paraId="50DE1261">
      <w:pPr>
        <w:pStyle w:val="319"/>
        <w:adjustRightInd w:val="0"/>
        <w:snapToGrid w:val="0"/>
        <w:spacing w:before="0" w:after="0"/>
        <w:ind w:firstLineChars="200"/>
        <w:rPr>
          <w:rFonts w:ascii="宋体" w:hAnsi="宋体"/>
          <w:color w:val="auto"/>
          <w:kern w:val="2"/>
          <w:szCs w:val="21"/>
          <w:highlight w:val="none"/>
        </w:rPr>
      </w:pPr>
      <w:r>
        <w:rPr>
          <w:rFonts w:hint="eastAsia" w:ascii="宋体" w:hAnsi="宋体"/>
          <w:color w:val="auto"/>
          <w:kern w:val="2"/>
          <w:szCs w:val="21"/>
          <w:highlight w:val="none"/>
        </w:rPr>
        <w:t>根据贵方</w:t>
      </w:r>
      <w:r>
        <w:rPr>
          <w:rFonts w:hint="eastAsia" w:ascii="宋体" w:hAnsi="宋体"/>
          <w:color w:val="auto"/>
          <w:highlight w:val="none"/>
          <w:u w:val="single"/>
        </w:rPr>
        <w:t xml:space="preserve">            </w:t>
      </w:r>
      <w:r>
        <w:rPr>
          <w:rFonts w:hint="eastAsia" w:ascii="宋体" w:hAnsi="宋体"/>
          <w:color w:val="auto"/>
          <w:highlight w:val="none"/>
        </w:rPr>
        <w:t>（项目编号）</w:t>
      </w:r>
      <w:r>
        <w:rPr>
          <w:rFonts w:hint="eastAsia" w:ascii="宋体" w:hAnsi="宋体"/>
          <w:color w:val="auto"/>
          <w:highlight w:val="none"/>
          <w:u w:val="single"/>
        </w:rPr>
        <w:t xml:space="preserve">                </w:t>
      </w:r>
      <w:r>
        <w:rPr>
          <w:rFonts w:hint="eastAsia" w:ascii="宋体" w:hAnsi="宋体"/>
          <w:color w:val="auto"/>
          <w:highlight w:val="none"/>
        </w:rPr>
        <w:t>（项目名称）的</w:t>
      </w:r>
      <w:r>
        <w:rPr>
          <w:rFonts w:hint="eastAsia" w:ascii="宋体" w:hAnsi="宋体"/>
          <w:color w:val="auto"/>
          <w:kern w:val="2"/>
          <w:szCs w:val="21"/>
          <w:highlight w:val="none"/>
        </w:rPr>
        <w:t>磋商文件，我方正式提</w:t>
      </w:r>
      <w:r>
        <w:rPr>
          <w:rFonts w:hint="eastAsia" w:ascii="宋体" w:hAnsi="宋体" w:cs="宋体"/>
          <w:color w:val="auto"/>
          <w:highlight w:val="none"/>
        </w:rPr>
        <w:t>交磋商响应函，</w:t>
      </w:r>
      <w:r>
        <w:rPr>
          <w:rFonts w:hint="eastAsia" w:ascii="宋体" w:hAnsi="宋体"/>
          <w:color w:val="auto"/>
          <w:kern w:val="2"/>
          <w:szCs w:val="21"/>
          <w:highlight w:val="none"/>
        </w:rPr>
        <w:t>并宣布同意如下内容：</w:t>
      </w:r>
    </w:p>
    <w:p w14:paraId="1EF5F915">
      <w:pPr>
        <w:adjustRightInd w:val="0"/>
        <w:snapToGrid w:val="0"/>
        <w:spacing w:line="360" w:lineRule="auto"/>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1.按磋商文件规定的各项要求，向</w:t>
      </w:r>
      <w:r>
        <w:rPr>
          <w:rFonts w:hint="eastAsia" w:ascii="宋体" w:hAnsi="宋体"/>
          <w:color w:val="auto"/>
          <w:kern w:val="2"/>
          <w:sz w:val="24"/>
          <w:szCs w:val="21"/>
          <w:highlight w:val="none"/>
        </w:rPr>
        <w:t>贵</w:t>
      </w:r>
      <w:r>
        <w:rPr>
          <w:rFonts w:hint="eastAsia" w:ascii="宋体" w:hAnsi="宋体"/>
          <w:color w:val="auto"/>
          <w:sz w:val="24"/>
          <w:szCs w:val="21"/>
          <w:highlight w:val="none"/>
        </w:rPr>
        <w:t>方提供所需服务（包含与服务相关的货物）。</w:t>
      </w:r>
    </w:p>
    <w:p w14:paraId="54F0C0DE">
      <w:pPr>
        <w:adjustRightInd w:val="0"/>
        <w:snapToGrid w:val="0"/>
        <w:spacing w:line="360" w:lineRule="auto"/>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6FDC9DA7">
      <w:pPr>
        <w:adjustRightInd w:val="0"/>
        <w:snapToGrid w:val="0"/>
        <w:spacing w:line="360" w:lineRule="auto"/>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71CAB800">
      <w:pPr>
        <w:adjustRightInd w:val="0"/>
        <w:snapToGrid w:val="0"/>
        <w:spacing w:line="360" w:lineRule="auto"/>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4.我们同意从规定的磋商日期起遵循本响应文件，并在规定的磋商有效期期满之前均具有约束力。</w:t>
      </w:r>
    </w:p>
    <w:p w14:paraId="5C9952F0">
      <w:pPr>
        <w:adjustRightInd w:val="0"/>
        <w:snapToGrid w:val="0"/>
        <w:spacing w:line="360" w:lineRule="auto"/>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5.同意向贵方提供贵方可能另外要求的与磋商有关的任何证据或资料，并保证我方已提供和将要提供的文件是真实的、准确的。</w:t>
      </w:r>
    </w:p>
    <w:p w14:paraId="6E60C838">
      <w:pPr>
        <w:adjustRightInd w:val="0"/>
        <w:snapToGrid w:val="0"/>
        <w:spacing w:line="360" w:lineRule="auto"/>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6.一旦我方成交，我方将根据磋商文件的规定，严格履行合同的责任和义务,并保证在磋商文件规定的时间完成项目，交付</w:t>
      </w:r>
      <w:r>
        <w:rPr>
          <w:rFonts w:hint="eastAsia" w:ascii="宋体" w:hAnsi="宋体"/>
          <w:color w:val="auto"/>
          <w:kern w:val="2"/>
          <w:sz w:val="24"/>
          <w:szCs w:val="21"/>
          <w:highlight w:val="none"/>
        </w:rPr>
        <w:t>贵</w:t>
      </w:r>
      <w:r>
        <w:rPr>
          <w:rFonts w:hint="eastAsia" w:ascii="宋体" w:hAnsi="宋体"/>
          <w:color w:val="auto"/>
          <w:sz w:val="24"/>
          <w:szCs w:val="21"/>
          <w:highlight w:val="none"/>
        </w:rPr>
        <w:t>方验收、使用。</w:t>
      </w:r>
    </w:p>
    <w:p w14:paraId="0639FBB9">
      <w:pPr>
        <w:adjustRightInd w:val="0"/>
        <w:snapToGrid w:val="0"/>
        <w:spacing w:line="360" w:lineRule="auto"/>
        <w:ind w:firstLine="480"/>
        <w:jc w:val="left"/>
        <w:textAlignment w:val="baseline"/>
        <w:rPr>
          <w:rFonts w:ascii="宋体" w:hAnsi="宋体"/>
          <w:color w:val="auto"/>
          <w:sz w:val="24"/>
          <w:szCs w:val="24"/>
          <w:highlight w:val="none"/>
        </w:rPr>
      </w:pPr>
      <w:r>
        <w:rPr>
          <w:rFonts w:hint="eastAsia" w:ascii="宋体" w:hAnsi="宋体"/>
          <w:color w:val="auto"/>
          <w:sz w:val="24"/>
          <w:szCs w:val="24"/>
          <w:highlight w:val="none"/>
        </w:rPr>
        <w:t>7.我方为：</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大型企业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微型企业（在对应</w:t>
      </w:r>
      <w:r>
        <w:rPr>
          <w:rFonts w:hint="eastAsia" w:ascii="宋体" w:hAnsi="宋体"/>
          <w:color w:val="auto"/>
          <w:sz w:val="24"/>
          <w:szCs w:val="24"/>
          <w:highlight w:val="none"/>
        </w:rPr>
        <w:sym w:font="Wingdings" w:char="00A8"/>
      </w:r>
      <w:r>
        <w:rPr>
          <w:rFonts w:hint="eastAsia" w:ascii="宋体" w:hAnsi="宋体" w:cs="宋体"/>
          <w:color w:val="auto"/>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sz w:val="24"/>
          <w:szCs w:val="24"/>
          <w:highlight w:val="none"/>
          <w:lang w:val="zh-CN"/>
        </w:rPr>
        <w:t>“√”</w:t>
      </w:r>
      <w:r>
        <w:rPr>
          <w:rFonts w:hint="eastAsia" w:ascii="宋体" w:hAnsi="宋体"/>
          <w:color w:val="auto"/>
          <w:sz w:val="24"/>
          <w:szCs w:val="24"/>
          <w:highlight w:val="none"/>
        </w:rPr>
        <w:t>）</w:t>
      </w:r>
    </w:p>
    <w:p w14:paraId="1DF518E5">
      <w:pPr>
        <w:pStyle w:val="2"/>
        <w:ind w:firstLine="480"/>
        <w:rPr>
          <w:color w:val="auto"/>
          <w:highlight w:val="none"/>
        </w:rPr>
      </w:pPr>
      <w:r>
        <w:rPr>
          <w:rFonts w:hint="eastAsia"/>
          <w:color w:val="auto"/>
          <w:sz w:val="24"/>
          <w:szCs w:val="24"/>
          <w:highlight w:val="none"/>
        </w:rPr>
        <w:t>8.我方为：</w:t>
      </w:r>
      <w:r>
        <w:rPr>
          <w:rFonts w:hint="eastAsia"/>
          <w:color w:val="auto"/>
          <w:sz w:val="24"/>
          <w:szCs w:val="24"/>
          <w:highlight w:val="none"/>
        </w:rPr>
        <w:sym w:font="Wingdings" w:char="00A8"/>
      </w:r>
      <w:r>
        <w:rPr>
          <w:rFonts w:hint="eastAsia"/>
          <w:color w:val="auto"/>
          <w:sz w:val="24"/>
          <w:szCs w:val="24"/>
          <w:highlight w:val="none"/>
        </w:rPr>
        <w:t xml:space="preserve">民营企业 </w:t>
      </w:r>
      <w:r>
        <w:rPr>
          <w:rFonts w:hint="eastAsia"/>
          <w:color w:val="auto"/>
          <w:sz w:val="24"/>
          <w:szCs w:val="24"/>
          <w:highlight w:val="none"/>
        </w:rPr>
        <w:sym w:font="Wingdings" w:char="00A8"/>
      </w:r>
      <w:r>
        <w:rPr>
          <w:rFonts w:hint="eastAsia"/>
          <w:color w:val="auto"/>
          <w:sz w:val="24"/>
          <w:szCs w:val="24"/>
          <w:highlight w:val="none"/>
        </w:rPr>
        <w:t xml:space="preserve">非民营企业 </w:t>
      </w:r>
      <w:r>
        <w:rPr>
          <w:rFonts w:hint="eastAsia"/>
          <w:color w:val="auto"/>
          <w:sz w:val="24"/>
          <w:szCs w:val="24"/>
          <w:highlight w:val="none"/>
        </w:rPr>
        <w:sym w:font="Wingdings" w:char="00A8"/>
      </w:r>
      <w:r>
        <w:rPr>
          <w:rFonts w:hint="eastAsia"/>
          <w:color w:val="auto"/>
          <w:sz w:val="24"/>
          <w:szCs w:val="24"/>
          <w:highlight w:val="none"/>
        </w:rPr>
        <w:t>事业单位或其他组织（在对应</w:t>
      </w:r>
      <w:r>
        <w:rPr>
          <w:rFonts w:hint="eastAsia"/>
          <w:color w:val="auto"/>
          <w:sz w:val="24"/>
          <w:szCs w:val="24"/>
          <w:highlight w:val="none"/>
        </w:rPr>
        <w:sym w:font="Wingdings" w:char="00A8"/>
      </w:r>
      <w:r>
        <w:rPr>
          <w:rFonts w:hint="eastAsia" w:cs="宋体"/>
          <w:color w:val="auto"/>
          <w:sz w:val="24"/>
          <w:szCs w:val="24"/>
          <w:highlight w:val="none"/>
        </w:rPr>
        <w:t>内</w:t>
      </w:r>
      <w:r>
        <w:rPr>
          <w:rFonts w:hint="eastAsia"/>
          <w:color w:val="auto"/>
          <w:sz w:val="24"/>
          <w:szCs w:val="24"/>
          <w:highlight w:val="none"/>
          <w:lang w:val="zh-CN"/>
        </w:rPr>
        <w:t>打</w:t>
      </w:r>
      <w:r>
        <w:rPr>
          <w:rFonts w:hint="eastAsia" w:cs="Verdana"/>
          <w:color w:val="auto"/>
          <w:sz w:val="24"/>
          <w:szCs w:val="24"/>
          <w:highlight w:val="none"/>
          <w:lang w:val="zh-CN"/>
        </w:rPr>
        <w:t>“√”</w:t>
      </w:r>
      <w:r>
        <w:rPr>
          <w:rFonts w:hint="eastAsia"/>
          <w:color w:val="auto"/>
          <w:sz w:val="24"/>
          <w:szCs w:val="24"/>
          <w:highlight w:val="none"/>
        </w:rPr>
        <w:t xml:space="preserve">）               </w:t>
      </w:r>
    </w:p>
    <w:p w14:paraId="4CB2A043">
      <w:pPr>
        <w:adjustRightInd w:val="0"/>
        <w:snapToGrid w:val="0"/>
        <w:spacing w:line="360" w:lineRule="auto"/>
        <w:ind w:firstLine="480"/>
        <w:jc w:val="left"/>
        <w:textAlignment w:val="baseline"/>
        <w:rPr>
          <w:rFonts w:ascii="宋体" w:hAnsi="宋体"/>
          <w:color w:val="auto"/>
          <w:sz w:val="24"/>
          <w:szCs w:val="21"/>
          <w:highlight w:val="none"/>
        </w:rPr>
      </w:pPr>
      <w:r>
        <w:rPr>
          <w:rFonts w:hint="eastAsia" w:ascii="宋体" w:hAnsi="宋体"/>
          <w:color w:val="auto"/>
          <w:kern w:val="2"/>
          <w:szCs w:val="21"/>
          <w:highlight w:val="none"/>
        </w:rPr>
        <w:t>9.</w:t>
      </w:r>
      <w:r>
        <w:rPr>
          <w:rFonts w:hint="eastAsia" w:ascii="宋体" w:hAnsi="宋体"/>
          <w:color w:val="auto"/>
          <w:sz w:val="24"/>
          <w:szCs w:val="21"/>
          <w:highlight w:val="none"/>
        </w:rPr>
        <w:t>我方与本磋商有关的正式通讯地址为：</w:t>
      </w:r>
    </w:p>
    <w:p w14:paraId="643C0874">
      <w:pPr>
        <w:pStyle w:val="319"/>
        <w:adjustRightInd w:val="0"/>
        <w:snapToGrid w:val="0"/>
        <w:spacing w:before="0" w:after="0"/>
        <w:ind w:firstLineChars="200"/>
        <w:rPr>
          <w:rFonts w:ascii="宋体" w:hAnsi="宋体"/>
          <w:color w:val="auto"/>
          <w:kern w:val="2"/>
          <w:szCs w:val="21"/>
          <w:highlight w:val="none"/>
        </w:rPr>
      </w:pPr>
      <w:r>
        <w:rPr>
          <w:rFonts w:hint="eastAsia" w:ascii="宋体" w:hAnsi="宋体"/>
          <w:color w:val="auto"/>
          <w:kern w:val="2"/>
          <w:szCs w:val="21"/>
          <w:highlight w:val="none"/>
        </w:rPr>
        <w:t>地  址：</w:t>
      </w:r>
    </w:p>
    <w:p w14:paraId="13E9292B">
      <w:pPr>
        <w:pStyle w:val="319"/>
        <w:adjustRightInd w:val="0"/>
        <w:snapToGrid w:val="0"/>
        <w:spacing w:before="0" w:after="0"/>
        <w:ind w:firstLineChars="200"/>
        <w:rPr>
          <w:rFonts w:ascii="宋体" w:hAnsi="宋体"/>
          <w:color w:val="auto"/>
          <w:kern w:val="2"/>
          <w:szCs w:val="21"/>
          <w:highlight w:val="none"/>
        </w:rPr>
      </w:pPr>
      <w:r>
        <w:rPr>
          <w:rFonts w:hint="eastAsia" w:ascii="宋体" w:hAnsi="宋体"/>
          <w:color w:val="auto"/>
          <w:kern w:val="2"/>
          <w:szCs w:val="21"/>
          <w:highlight w:val="none"/>
        </w:rPr>
        <w:t>邮  编：</w:t>
      </w:r>
    </w:p>
    <w:p w14:paraId="7A0766F4">
      <w:pPr>
        <w:pStyle w:val="319"/>
        <w:adjustRightInd w:val="0"/>
        <w:snapToGrid w:val="0"/>
        <w:spacing w:before="0" w:after="0"/>
        <w:ind w:firstLineChars="200"/>
        <w:rPr>
          <w:rFonts w:ascii="宋体" w:hAnsi="宋体"/>
          <w:color w:val="auto"/>
          <w:kern w:val="2"/>
          <w:szCs w:val="21"/>
          <w:highlight w:val="none"/>
          <w:u w:val="single"/>
        </w:rPr>
      </w:pPr>
      <w:r>
        <w:rPr>
          <w:rFonts w:hint="eastAsia" w:ascii="宋体" w:hAnsi="宋体"/>
          <w:color w:val="auto"/>
          <w:kern w:val="2"/>
          <w:szCs w:val="21"/>
          <w:highlight w:val="none"/>
        </w:rPr>
        <w:t>电  话：</w:t>
      </w:r>
    </w:p>
    <w:p w14:paraId="58153125">
      <w:pPr>
        <w:pStyle w:val="319"/>
        <w:adjustRightInd w:val="0"/>
        <w:snapToGrid w:val="0"/>
        <w:spacing w:before="0" w:after="0"/>
        <w:ind w:firstLineChars="200"/>
        <w:rPr>
          <w:rFonts w:ascii="宋体" w:hAnsi="宋体"/>
          <w:color w:val="auto"/>
          <w:kern w:val="2"/>
          <w:szCs w:val="21"/>
          <w:highlight w:val="none"/>
          <w:u w:val="single"/>
        </w:rPr>
      </w:pPr>
      <w:r>
        <w:rPr>
          <w:rFonts w:hint="eastAsia" w:ascii="宋体" w:hAnsi="宋体"/>
          <w:color w:val="auto"/>
          <w:kern w:val="2"/>
          <w:szCs w:val="21"/>
          <w:highlight w:val="none"/>
        </w:rPr>
        <w:t>传  真：</w:t>
      </w:r>
    </w:p>
    <w:p w14:paraId="0C11C4DD">
      <w:pPr>
        <w:pStyle w:val="319"/>
        <w:adjustRightInd w:val="0"/>
        <w:snapToGrid w:val="0"/>
        <w:spacing w:before="0" w:after="0"/>
        <w:ind w:firstLineChars="200"/>
        <w:rPr>
          <w:rFonts w:ascii="宋体" w:hAnsi="宋体"/>
          <w:color w:val="auto"/>
          <w:kern w:val="2"/>
          <w:szCs w:val="21"/>
          <w:highlight w:val="none"/>
          <w:u w:val="single"/>
        </w:rPr>
      </w:pPr>
      <w:r>
        <w:rPr>
          <w:rFonts w:hint="eastAsia" w:ascii="宋体" w:hAnsi="宋体"/>
          <w:color w:val="auto"/>
          <w:kern w:val="2"/>
          <w:szCs w:val="21"/>
          <w:highlight w:val="none"/>
        </w:rPr>
        <w:t>开户行：</w:t>
      </w:r>
    </w:p>
    <w:p w14:paraId="7C9711C9">
      <w:pPr>
        <w:pStyle w:val="319"/>
        <w:adjustRightInd w:val="0"/>
        <w:snapToGrid w:val="0"/>
        <w:spacing w:before="0" w:after="0"/>
        <w:ind w:firstLineChars="200"/>
        <w:rPr>
          <w:rFonts w:ascii="宋体" w:hAnsi="宋体"/>
          <w:color w:val="auto"/>
          <w:kern w:val="2"/>
          <w:szCs w:val="21"/>
          <w:highlight w:val="none"/>
          <w:u w:val="single"/>
        </w:rPr>
      </w:pPr>
      <w:r>
        <w:rPr>
          <w:rFonts w:hint="eastAsia" w:ascii="宋体" w:hAnsi="宋体"/>
          <w:color w:val="auto"/>
          <w:kern w:val="2"/>
          <w:szCs w:val="21"/>
          <w:highlight w:val="none"/>
        </w:rPr>
        <w:t>账  号：</w:t>
      </w:r>
    </w:p>
    <w:p w14:paraId="4E4A629A">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供应商名称：（加盖电子公章）</w:t>
      </w:r>
    </w:p>
    <w:p w14:paraId="19A27B2E">
      <w:pPr>
        <w:pStyle w:val="319"/>
        <w:adjustRightInd w:val="0"/>
        <w:snapToGrid w:val="0"/>
        <w:spacing w:before="0" w:after="0"/>
        <w:ind w:firstLineChars="200"/>
        <w:rPr>
          <w:rFonts w:ascii="宋体" w:hAnsi="宋体"/>
          <w:color w:val="auto"/>
          <w:kern w:val="2"/>
          <w:szCs w:val="21"/>
          <w:highlight w:val="none"/>
        </w:rPr>
      </w:pPr>
      <w:r>
        <w:rPr>
          <w:rFonts w:hint="eastAsia" w:ascii="宋体" w:hAnsi="宋体"/>
          <w:color w:val="auto"/>
          <w:kern w:val="2"/>
          <w:szCs w:val="21"/>
          <w:highlight w:val="none"/>
        </w:rPr>
        <w:t>日  期：</w:t>
      </w:r>
    </w:p>
    <w:p w14:paraId="5AF6D521">
      <w:pPr>
        <w:spacing w:line="360" w:lineRule="auto"/>
        <w:rPr>
          <w:rFonts w:ascii="宋体" w:hAnsi="宋体"/>
          <w:color w:val="auto"/>
          <w:kern w:val="2"/>
          <w:szCs w:val="21"/>
          <w:highlight w:val="none"/>
        </w:rPr>
      </w:pPr>
    </w:p>
    <w:p w14:paraId="1E003429">
      <w:pPr>
        <w:adjustRightInd w:val="0"/>
        <w:snapToGrid w:val="0"/>
        <w:spacing w:line="360" w:lineRule="auto"/>
        <w:jc w:val="left"/>
        <w:rPr>
          <w:rFonts w:ascii="黑体" w:hAnsi="黑体" w:eastAsia="黑体"/>
          <w:color w:val="auto"/>
          <w:sz w:val="32"/>
          <w:szCs w:val="32"/>
          <w:highlight w:val="none"/>
        </w:rPr>
      </w:pPr>
      <w:r>
        <w:rPr>
          <w:rFonts w:hint="eastAsia" w:ascii="宋体" w:hAnsi="宋体"/>
          <w:color w:val="auto"/>
          <w:kern w:val="2"/>
          <w:szCs w:val="21"/>
          <w:highlight w:val="none"/>
        </w:rPr>
        <w:br w:type="page"/>
      </w:r>
      <w:r>
        <w:rPr>
          <w:rFonts w:hint="eastAsia" w:ascii="黑体" w:hAnsi="黑体" w:eastAsia="黑体"/>
          <w:color w:val="auto"/>
          <w:sz w:val="32"/>
          <w:szCs w:val="32"/>
          <w:highlight w:val="none"/>
        </w:rPr>
        <w:t>四、磋商报价表</w:t>
      </w:r>
    </w:p>
    <w:p w14:paraId="5669E5C5">
      <w:pPr>
        <w:adjustRightInd w:val="0"/>
        <w:snapToGrid w:val="0"/>
        <w:spacing w:line="360" w:lineRule="auto"/>
        <w:jc w:val="center"/>
        <w:outlineLvl w:val="2"/>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磋商报价表</w:t>
      </w:r>
    </w:p>
    <w:p w14:paraId="70A85C5E">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 </w:t>
      </w:r>
    </w:p>
    <w:p w14:paraId="21DA06A0">
      <w:pPr>
        <w:widowControl/>
        <w:spacing w:line="360" w:lineRule="auto"/>
        <w:rPr>
          <w:rFonts w:ascii="宋体" w:hAnsi="宋体"/>
          <w:color w:val="auto"/>
          <w:sz w:val="24"/>
          <w:szCs w:val="24"/>
          <w:highlight w:val="none"/>
        </w:rPr>
      </w:pPr>
      <w:r>
        <w:rPr>
          <w:rFonts w:hint="eastAsia" w:ascii="宋体" w:hAnsi="宋体"/>
          <w:color w:val="auto"/>
          <w:sz w:val="24"/>
          <w:szCs w:val="24"/>
          <w:highlight w:val="none"/>
        </w:rPr>
        <w:t>项目名称：</w:t>
      </w:r>
    </w:p>
    <w:p w14:paraId="5C906986">
      <w:pPr>
        <w:widowControl/>
        <w:spacing w:line="360" w:lineRule="auto"/>
        <w:rPr>
          <w:rFonts w:ascii="宋体" w:hAnsi="宋体"/>
          <w:color w:val="auto"/>
          <w:sz w:val="24"/>
          <w:szCs w:val="24"/>
          <w:highlight w:val="none"/>
        </w:rPr>
      </w:pPr>
      <w:r>
        <w:rPr>
          <w:rFonts w:hint="eastAsia" w:ascii="宋体" w:hAnsi="宋体"/>
          <w:color w:val="auto"/>
          <w:sz w:val="24"/>
          <w:szCs w:val="24"/>
          <w:highlight w:val="none"/>
        </w:rPr>
        <w:t>项目编号：                                   采购包号：</w:t>
      </w:r>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0F88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2CB13E78">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总报价</w:t>
            </w:r>
          </w:p>
        </w:tc>
      </w:tr>
      <w:tr w14:paraId="4A267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27DBD68D">
            <w:pPr>
              <w:pStyle w:val="319"/>
              <w:spacing w:before="0" w:after="0"/>
              <w:ind w:firstLine="0"/>
              <w:rPr>
                <w:rFonts w:ascii="宋体" w:hAnsi="宋体"/>
                <w:color w:val="auto"/>
                <w:kern w:val="2"/>
                <w:szCs w:val="21"/>
                <w:highlight w:val="none"/>
              </w:rPr>
            </w:pPr>
            <w:r>
              <w:rPr>
                <w:rFonts w:hint="eastAsia" w:ascii="宋体" w:hAnsi="宋体" w:cs="宋体"/>
                <w:color w:val="auto"/>
                <w:highlight w:val="none"/>
              </w:rPr>
              <w:t xml:space="preserve">小写（元）：                             </w:t>
            </w:r>
          </w:p>
        </w:tc>
      </w:tr>
    </w:tbl>
    <w:p w14:paraId="7D087513">
      <w:pPr>
        <w:spacing w:line="360" w:lineRule="auto"/>
        <w:rPr>
          <w:rFonts w:ascii="宋体" w:hAnsi="宋体"/>
          <w:color w:val="auto"/>
          <w:sz w:val="24"/>
          <w:szCs w:val="24"/>
          <w:highlight w:val="none"/>
        </w:rPr>
      </w:pPr>
    </w:p>
    <w:p w14:paraId="1E2438E9">
      <w:pPr>
        <w:spacing w:line="360" w:lineRule="auto"/>
        <w:ind w:firstLine="480"/>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p>
    <w:p w14:paraId="184EF6B7">
      <w:pPr>
        <w:spacing w:line="360" w:lineRule="auto"/>
        <w:ind w:firstLine="480"/>
        <w:rPr>
          <w:rFonts w:ascii="黑体" w:hAnsi="黑体" w:eastAsia="黑体"/>
          <w:b/>
          <w:i/>
          <w:color w:val="auto"/>
          <w:sz w:val="32"/>
          <w:szCs w:val="32"/>
          <w:highlight w:val="none"/>
          <w:u w:val="single"/>
        </w:rPr>
      </w:pPr>
    </w:p>
    <w:p w14:paraId="1707B2EE">
      <w:pPr>
        <w:spacing w:line="360" w:lineRule="auto"/>
        <w:rPr>
          <w:color w:val="auto"/>
          <w:highlight w:val="none"/>
        </w:rPr>
      </w:pPr>
    </w:p>
    <w:p w14:paraId="2A8806AA">
      <w:pPr>
        <w:pStyle w:val="2"/>
        <w:rPr>
          <w:color w:val="auto"/>
          <w:highlight w:val="none"/>
        </w:rPr>
      </w:pPr>
    </w:p>
    <w:p w14:paraId="2ED66C1E">
      <w:pPr>
        <w:spacing w:line="360" w:lineRule="auto"/>
        <w:rPr>
          <w:color w:val="auto"/>
          <w:highlight w:val="none"/>
        </w:rPr>
      </w:pPr>
    </w:p>
    <w:p w14:paraId="44CA0055">
      <w:pPr>
        <w:pStyle w:val="2"/>
        <w:rPr>
          <w:color w:val="auto"/>
          <w:highlight w:val="none"/>
        </w:rPr>
      </w:pPr>
    </w:p>
    <w:p w14:paraId="2CDD189F">
      <w:pPr>
        <w:spacing w:line="360" w:lineRule="auto"/>
        <w:rPr>
          <w:color w:val="auto"/>
          <w:highlight w:val="none"/>
        </w:rPr>
      </w:pPr>
    </w:p>
    <w:p w14:paraId="33C5F241">
      <w:pPr>
        <w:pStyle w:val="2"/>
        <w:rPr>
          <w:color w:val="auto"/>
          <w:highlight w:val="none"/>
        </w:rPr>
      </w:pPr>
    </w:p>
    <w:p w14:paraId="7EB856D1">
      <w:pPr>
        <w:spacing w:line="360" w:lineRule="auto"/>
        <w:rPr>
          <w:color w:val="auto"/>
          <w:highlight w:val="none"/>
        </w:rPr>
      </w:pPr>
    </w:p>
    <w:p w14:paraId="0A448AC6">
      <w:pPr>
        <w:pStyle w:val="2"/>
        <w:rPr>
          <w:color w:val="auto"/>
          <w:highlight w:val="none"/>
        </w:rPr>
      </w:pPr>
    </w:p>
    <w:p w14:paraId="0A931978">
      <w:pPr>
        <w:adjustRightInd w:val="0"/>
        <w:snapToGrid w:val="0"/>
        <w:spacing w:line="360" w:lineRule="auto"/>
        <w:jc w:val="center"/>
        <w:rPr>
          <w:rFonts w:ascii="方正小标宋简体" w:hAnsi="方正小标宋简体" w:eastAsia="方正小标宋简体" w:cs="方正小标宋简体"/>
          <w:color w:val="auto"/>
          <w:sz w:val="32"/>
          <w:szCs w:val="32"/>
          <w:highlight w:val="none"/>
        </w:rPr>
      </w:pPr>
    </w:p>
    <w:p w14:paraId="1F5EAB26">
      <w:pPr>
        <w:adjustRightInd w:val="0"/>
        <w:snapToGrid w:val="0"/>
        <w:spacing w:line="360" w:lineRule="auto"/>
        <w:jc w:val="center"/>
        <w:rPr>
          <w:rFonts w:ascii="方正小标宋简体" w:hAnsi="方正小标宋简体" w:eastAsia="方正小标宋简体" w:cs="方正小标宋简体"/>
          <w:color w:val="auto"/>
          <w:sz w:val="32"/>
          <w:szCs w:val="32"/>
          <w:highlight w:val="none"/>
        </w:rPr>
      </w:pPr>
    </w:p>
    <w:p w14:paraId="36766221">
      <w:pPr>
        <w:adjustRightInd w:val="0"/>
        <w:snapToGrid w:val="0"/>
        <w:spacing w:line="360" w:lineRule="auto"/>
        <w:jc w:val="center"/>
        <w:rPr>
          <w:rFonts w:ascii="方正小标宋简体" w:hAnsi="方正小标宋简体" w:eastAsia="方正小标宋简体" w:cs="方正小标宋简体"/>
          <w:color w:val="auto"/>
          <w:sz w:val="32"/>
          <w:szCs w:val="32"/>
          <w:highlight w:val="none"/>
        </w:rPr>
      </w:pPr>
    </w:p>
    <w:p w14:paraId="0BA605C2">
      <w:pPr>
        <w:adjustRightInd w:val="0"/>
        <w:snapToGrid w:val="0"/>
        <w:spacing w:line="360" w:lineRule="auto"/>
        <w:jc w:val="center"/>
        <w:rPr>
          <w:rFonts w:ascii="方正小标宋简体" w:hAnsi="方正小标宋简体" w:eastAsia="方正小标宋简体" w:cs="方正小标宋简体"/>
          <w:color w:val="auto"/>
          <w:sz w:val="32"/>
          <w:szCs w:val="32"/>
          <w:highlight w:val="none"/>
        </w:rPr>
      </w:pPr>
    </w:p>
    <w:p w14:paraId="64D2F07C">
      <w:pPr>
        <w:adjustRightInd w:val="0"/>
        <w:snapToGrid w:val="0"/>
        <w:spacing w:line="360" w:lineRule="auto"/>
        <w:jc w:val="left"/>
        <w:rPr>
          <w:rFonts w:ascii="黑体" w:hAnsi="黑体" w:eastAsia="黑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r>
      <w:r>
        <w:rPr>
          <w:rFonts w:hint="eastAsia" w:ascii="黑体" w:hAnsi="黑体" w:eastAsia="黑体"/>
          <w:color w:val="auto"/>
          <w:sz w:val="32"/>
          <w:szCs w:val="32"/>
          <w:highlight w:val="none"/>
        </w:rPr>
        <w:t>五、分项报价表</w:t>
      </w:r>
    </w:p>
    <w:p w14:paraId="073BEB02">
      <w:pPr>
        <w:spacing w:line="360" w:lineRule="auto"/>
        <w:jc w:val="center"/>
        <w:outlineLvl w:val="2"/>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分项报价表</w:t>
      </w:r>
    </w:p>
    <w:p w14:paraId="60F7B78C">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供应商名称：（加盖电子公章）</w:t>
      </w:r>
    </w:p>
    <w:p w14:paraId="6F2B3355">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项目名称：</w:t>
      </w:r>
    </w:p>
    <w:p w14:paraId="3530F46E">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项目编号：                                   采购包号：</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26"/>
        <w:gridCol w:w="1434"/>
      </w:tblGrid>
      <w:tr w14:paraId="2428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3D4ADE04">
            <w:pPr>
              <w:adjustRightInd w:val="0"/>
              <w:snapToGrid w:val="0"/>
              <w:spacing w:line="360" w:lineRule="auto"/>
              <w:ind w:right="180" w:firstLine="480" w:firstLineChars="200"/>
              <w:jc w:val="left"/>
              <w:rPr>
                <w:rFonts w:ascii="宋体" w:hAnsi="宋体"/>
                <w:color w:val="auto"/>
                <w:sz w:val="24"/>
                <w:szCs w:val="24"/>
                <w:highlight w:val="none"/>
              </w:rPr>
            </w:pPr>
            <w:r>
              <w:rPr>
                <w:rFonts w:hint="eastAsia" w:ascii="宋体" w:hAnsi="宋体"/>
                <w:color w:val="auto"/>
                <w:sz w:val="24"/>
                <w:szCs w:val="24"/>
                <w:highlight w:val="none"/>
              </w:rPr>
              <w:t>序序号</w:t>
            </w:r>
          </w:p>
        </w:tc>
        <w:tc>
          <w:tcPr>
            <w:tcW w:w="1240" w:type="dxa"/>
            <w:vAlign w:val="center"/>
          </w:tcPr>
          <w:p w14:paraId="53EFF6D7">
            <w:pPr>
              <w:adjustRightInd w:val="0"/>
              <w:snapToGrid w:val="0"/>
              <w:spacing w:line="360" w:lineRule="auto"/>
              <w:ind w:right="180"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w:t>
            </w:r>
          </w:p>
        </w:tc>
        <w:tc>
          <w:tcPr>
            <w:tcW w:w="970" w:type="dxa"/>
            <w:vAlign w:val="center"/>
          </w:tcPr>
          <w:p w14:paraId="193ADC11">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2</w:t>
            </w:r>
          </w:p>
        </w:tc>
        <w:tc>
          <w:tcPr>
            <w:tcW w:w="1790" w:type="dxa"/>
            <w:vAlign w:val="center"/>
          </w:tcPr>
          <w:p w14:paraId="6C8A95CA">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3</w:t>
            </w:r>
          </w:p>
        </w:tc>
        <w:tc>
          <w:tcPr>
            <w:tcW w:w="1470" w:type="dxa"/>
            <w:vAlign w:val="center"/>
          </w:tcPr>
          <w:p w14:paraId="5A5A0F73">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4</w:t>
            </w:r>
          </w:p>
        </w:tc>
        <w:tc>
          <w:tcPr>
            <w:tcW w:w="830" w:type="dxa"/>
            <w:vAlign w:val="center"/>
          </w:tcPr>
          <w:p w14:paraId="37DD7ED1">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5</w:t>
            </w:r>
          </w:p>
        </w:tc>
        <w:tc>
          <w:tcPr>
            <w:tcW w:w="820" w:type="dxa"/>
            <w:vAlign w:val="center"/>
          </w:tcPr>
          <w:p w14:paraId="3407E6C4">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6</w:t>
            </w:r>
          </w:p>
        </w:tc>
        <w:tc>
          <w:tcPr>
            <w:tcW w:w="826" w:type="dxa"/>
            <w:vAlign w:val="center"/>
          </w:tcPr>
          <w:p w14:paraId="5A5068DC">
            <w:pPr>
              <w:adjustRightInd w:val="0"/>
              <w:snapToGrid w:val="0"/>
              <w:spacing w:line="360" w:lineRule="auto"/>
              <w:ind w:right="180" w:firstLine="480" w:firstLineChars="200"/>
              <w:jc w:val="left"/>
              <w:rPr>
                <w:rFonts w:ascii="宋体" w:hAnsi="宋体"/>
                <w:color w:val="auto"/>
                <w:kern w:val="2"/>
                <w:sz w:val="24"/>
                <w:szCs w:val="24"/>
                <w:highlight w:val="none"/>
              </w:rPr>
            </w:pPr>
            <w:r>
              <w:rPr>
                <w:rFonts w:hint="eastAsia" w:ascii="宋体" w:hAnsi="宋体"/>
                <w:color w:val="auto"/>
                <w:sz w:val="24"/>
                <w:szCs w:val="24"/>
                <w:highlight w:val="none"/>
              </w:rPr>
              <w:t>7</w:t>
            </w:r>
          </w:p>
        </w:tc>
        <w:tc>
          <w:tcPr>
            <w:tcW w:w="1434" w:type="dxa"/>
            <w:vAlign w:val="center"/>
          </w:tcPr>
          <w:p w14:paraId="2DD3B7DF">
            <w:pPr>
              <w:adjustRightInd w:val="0"/>
              <w:snapToGrid w:val="0"/>
              <w:spacing w:line="360" w:lineRule="auto"/>
              <w:ind w:right="180" w:firstLine="480" w:firstLineChars="200"/>
              <w:jc w:val="left"/>
              <w:rPr>
                <w:rFonts w:ascii="宋体" w:hAnsi="宋体"/>
                <w:color w:val="auto"/>
                <w:sz w:val="24"/>
                <w:szCs w:val="24"/>
                <w:highlight w:val="none"/>
              </w:rPr>
            </w:pPr>
            <w:r>
              <w:rPr>
                <w:rFonts w:hint="eastAsia" w:ascii="宋体" w:hAnsi="宋体"/>
                <w:color w:val="auto"/>
                <w:sz w:val="24"/>
                <w:szCs w:val="24"/>
                <w:highlight w:val="none"/>
              </w:rPr>
              <w:t>8</w:t>
            </w:r>
          </w:p>
        </w:tc>
      </w:tr>
      <w:tr w14:paraId="6AE4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81" w:type="dxa"/>
            <w:vMerge w:val="continue"/>
            <w:vAlign w:val="center"/>
          </w:tcPr>
          <w:p w14:paraId="1AC748C1">
            <w:pPr>
              <w:spacing w:line="360" w:lineRule="auto"/>
              <w:jc w:val="center"/>
              <w:rPr>
                <w:rFonts w:ascii="宋体" w:hAnsi="宋体"/>
                <w:color w:val="auto"/>
                <w:sz w:val="24"/>
                <w:szCs w:val="24"/>
                <w:highlight w:val="none"/>
              </w:rPr>
            </w:pPr>
          </w:p>
        </w:tc>
        <w:tc>
          <w:tcPr>
            <w:tcW w:w="1240" w:type="dxa"/>
            <w:vAlign w:val="center"/>
          </w:tcPr>
          <w:p w14:paraId="5133D2FD">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分项名称</w:t>
            </w:r>
          </w:p>
        </w:tc>
        <w:tc>
          <w:tcPr>
            <w:tcW w:w="970" w:type="dxa"/>
            <w:vAlign w:val="center"/>
          </w:tcPr>
          <w:p w14:paraId="21D74C40">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品牌</w:t>
            </w:r>
          </w:p>
        </w:tc>
        <w:tc>
          <w:tcPr>
            <w:tcW w:w="1790" w:type="dxa"/>
            <w:vAlign w:val="center"/>
          </w:tcPr>
          <w:p w14:paraId="1D170388">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规格或型号</w:t>
            </w:r>
          </w:p>
        </w:tc>
        <w:tc>
          <w:tcPr>
            <w:tcW w:w="1470" w:type="dxa"/>
            <w:vAlign w:val="center"/>
          </w:tcPr>
          <w:p w14:paraId="140BA2EB">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交付期（天）</w:t>
            </w:r>
          </w:p>
        </w:tc>
        <w:tc>
          <w:tcPr>
            <w:tcW w:w="830" w:type="dxa"/>
            <w:vAlign w:val="center"/>
          </w:tcPr>
          <w:p w14:paraId="661D1B3D">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820" w:type="dxa"/>
            <w:vAlign w:val="center"/>
          </w:tcPr>
          <w:p w14:paraId="6B629CD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单位</w:t>
            </w:r>
          </w:p>
        </w:tc>
        <w:tc>
          <w:tcPr>
            <w:tcW w:w="826" w:type="dxa"/>
            <w:vAlign w:val="center"/>
          </w:tcPr>
          <w:p w14:paraId="206FD58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单价（元）</w:t>
            </w:r>
          </w:p>
        </w:tc>
        <w:tc>
          <w:tcPr>
            <w:tcW w:w="1434" w:type="dxa"/>
            <w:vAlign w:val="center"/>
          </w:tcPr>
          <w:p w14:paraId="4F561912">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总价（元）</w:t>
            </w:r>
          </w:p>
        </w:tc>
      </w:tr>
      <w:tr w14:paraId="5935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5243DFCC">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40" w:type="dxa"/>
            <w:vAlign w:val="center"/>
          </w:tcPr>
          <w:p w14:paraId="49B9176F">
            <w:pPr>
              <w:spacing w:line="360" w:lineRule="auto"/>
              <w:jc w:val="center"/>
              <w:rPr>
                <w:rFonts w:ascii="宋体" w:hAnsi="宋体"/>
                <w:color w:val="auto"/>
                <w:sz w:val="24"/>
                <w:szCs w:val="24"/>
                <w:highlight w:val="none"/>
              </w:rPr>
            </w:pPr>
          </w:p>
        </w:tc>
        <w:tc>
          <w:tcPr>
            <w:tcW w:w="970" w:type="dxa"/>
            <w:vAlign w:val="center"/>
          </w:tcPr>
          <w:p w14:paraId="28AEE37F">
            <w:pPr>
              <w:spacing w:line="360" w:lineRule="auto"/>
              <w:jc w:val="center"/>
              <w:rPr>
                <w:rFonts w:ascii="宋体" w:hAnsi="宋体"/>
                <w:color w:val="auto"/>
                <w:sz w:val="24"/>
                <w:szCs w:val="24"/>
                <w:highlight w:val="none"/>
              </w:rPr>
            </w:pPr>
          </w:p>
        </w:tc>
        <w:tc>
          <w:tcPr>
            <w:tcW w:w="1790" w:type="dxa"/>
            <w:vAlign w:val="center"/>
          </w:tcPr>
          <w:p w14:paraId="6F5EA0F3">
            <w:pPr>
              <w:spacing w:line="360" w:lineRule="auto"/>
              <w:jc w:val="center"/>
              <w:rPr>
                <w:rFonts w:ascii="宋体" w:hAnsi="宋体"/>
                <w:color w:val="auto"/>
                <w:sz w:val="24"/>
                <w:szCs w:val="24"/>
                <w:highlight w:val="none"/>
              </w:rPr>
            </w:pPr>
          </w:p>
        </w:tc>
        <w:tc>
          <w:tcPr>
            <w:tcW w:w="1470" w:type="dxa"/>
            <w:vAlign w:val="center"/>
          </w:tcPr>
          <w:p w14:paraId="6C39F6DA">
            <w:pPr>
              <w:spacing w:line="360" w:lineRule="auto"/>
              <w:jc w:val="center"/>
              <w:rPr>
                <w:rFonts w:ascii="宋体" w:hAnsi="宋体"/>
                <w:color w:val="auto"/>
                <w:sz w:val="24"/>
                <w:szCs w:val="24"/>
                <w:highlight w:val="none"/>
              </w:rPr>
            </w:pPr>
          </w:p>
        </w:tc>
        <w:tc>
          <w:tcPr>
            <w:tcW w:w="830" w:type="dxa"/>
            <w:vAlign w:val="center"/>
          </w:tcPr>
          <w:p w14:paraId="479FC336">
            <w:pPr>
              <w:spacing w:line="360" w:lineRule="auto"/>
              <w:jc w:val="center"/>
              <w:rPr>
                <w:rFonts w:ascii="宋体" w:hAnsi="宋体"/>
                <w:color w:val="auto"/>
                <w:sz w:val="24"/>
                <w:szCs w:val="24"/>
                <w:highlight w:val="none"/>
              </w:rPr>
            </w:pPr>
          </w:p>
        </w:tc>
        <w:tc>
          <w:tcPr>
            <w:tcW w:w="820" w:type="dxa"/>
            <w:vAlign w:val="center"/>
          </w:tcPr>
          <w:p w14:paraId="1A27DFF8">
            <w:pPr>
              <w:spacing w:line="360" w:lineRule="auto"/>
              <w:jc w:val="center"/>
              <w:rPr>
                <w:rFonts w:ascii="宋体" w:hAnsi="宋体"/>
                <w:color w:val="auto"/>
                <w:sz w:val="24"/>
                <w:szCs w:val="24"/>
                <w:highlight w:val="none"/>
              </w:rPr>
            </w:pPr>
          </w:p>
        </w:tc>
        <w:tc>
          <w:tcPr>
            <w:tcW w:w="826" w:type="dxa"/>
            <w:vAlign w:val="center"/>
          </w:tcPr>
          <w:p w14:paraId="769F436B">
            <w:pPr>
              <w:spacing w:line="360" w:lineRule="auto"/>
              <w:jc w:val="center"/>
              <w:rPr>
                <w:rFonts w:ascii="宋体" w:hAnsi="宋体"/>
                <w:color w:val="auto"/>
                <w:sz w:val="24"/>
                <w:szCs w:val="24"/>
                <w:highlight w:val="none"/>
              </w:rPr>
            </w:pPr>
          </w:p>
        </w:tc>
        <w:tc>
          <w:tcPr>
            <w:tcW w:w="1434" w:type="dxa"/>
            <w:vAlign w:val="center"/>
          </w:tcPr>
          <w:p w14:paraId="64646370">
            <w:pPr>
              <w:spacing w:line="360" w:lineRule="auto"/>
              <w:jc w:val="center"/>
              <w:rPr>
                <w:rFonts w:ascii="宋体" w:hAnsi="宋体"/>
                <w:color w:val="auto"/>
                <w:sz w:val="24"/>
                <w:szCs w:val="24"/>
                <w:highlight w:val="none"/>
              </w:rPr>
            </w:pPr>
          </w:p>
        </w:tc>
      </w:tr>
      <w:tr w14:paraId="2BC1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7810324E">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40" w:type="dxa"/>
            <w:vAlign w:val="center"/>
          </w:tcPr>
          <w:p w14:paraId="280535C8">
            <w:pPr>
              <w:spacing w:line="360" w:lineRule="auto"/>
              <w:jc w:val="center"/>
              <w:rPr>
                <w:rFonts w:ascii="宋体" w:hAnsi="宋体"/>
                <w:color w:val="auto"/>
                <w:sz w:val="24"/>
                <w:szCs w:val="24"/>
                <w:highlight w:val="none"/>
              </w:rPr>
            </w:pPr>
          </w:p>
        </w:tc>
        <w:tc>
          <w:tcPr>
            <w:tcW w:w="970" w:type="dxa"/>
            <w:vAlign w:val="center"/>
          </w:tcPr>
          <w:p w14:paraId="58518BB4">
            <w:pPr>
              <w:spacing w:line="360" w:lineRule="auto"/>
              <w:jc w:val="center"/>
              <w:rPr>
                <w:rFonts w:ascii="宋体" w:hAnsi="宋体"/>
                <w:color w:val="auto"/>
                <w:sz w:val="24"/>
                <w:szCs w:val="24"/>
                <w:highlight w:val="none"/>
              </w:rPr>
            </w:pPr>
          </w:p>
        </w:tc>
        <w:tc>
          <w:tcPr>
            <w:tcW w:w="1790" w:type="dxa"/>
            <w:vAlign w:val="center"/>
          </w:tcPr>
          <w:p w14:paraId="699D9B9C">
            <w:pPr>
              <w:spacing w:line="360" w:lineRule="auto"/>
              <w:jc w:val="center"/>
              <w:rPr>
                <w:rFonts w:ascii="宋体" w:hAnsi="宋体"/>
                <w:color w:val="auto"/>
                <w:sz w:val="24"/>
                <w:szCs w:val="24"/>
                <w:highlight w:val="none"/>
              </w:rPr>
            </w:pPr>
          </w:p>
        </w:tc>
        <w:tc>
          <w:tcPr>
            <w:tcW w:w="1470" w:type="dxa"/>
            <w:vAlign w:val="center"/>
          </w:tcPr>
          <w:p w14:paraId="162BCE05">
            <w:pPr>
              <w:spacing w:line="360" w:lineRule="auto"/>
              <w:jc w:val="center"/>
              <w:rPr>
                <w:rFonts w:ascii="宋体" w:hAnsi="宋体"/>
                <w:color w:val="auto"/>
                <w:sz w:val="24"/>
                <w:szCs w:val="24"/>
                <w:highlight w:val="none"/>
              </w:rPr>
            </w:pPr>
          </w:p>
        </w:tc>
        <w:tc>
          <w:tcPr>
            <w:tcW w:w="830" w:type="dxa"/>
            <w:vAlign w:val="center"/>
          </w:tcPr>
          <w:p w14:paraId="55C0B82B">
            <w:pPr>
              <w:spacing w:line="360" w:lineRule="auto"/>
              <w:jc w:val="center"/>
              <w:rPr>
                <w:rFonts w:ascii="宋体" w:hAnsi="宋体"/>
                <w:color w:val="auto"/>
                <w:sz w:val="24"/>
                <w:szCs w:val="24"/>
                <w:highlight w:val="none"/>
              </w:rPr>
            </w:pPr>
          </w:p>
        </w:tc>
        <w:tc>
          <w:tcPr>
            <w:tcW w:w="820" w:type="dxa"/>
            <w:vAlign w:val="center"/>
          </w:tcPr>
          <w:p w14:paraId="754B451C">
            <w:pPr>
              <w:spacing w:line="360" w:lineRule="auto"/>
              <w:jc w:val="center"/>
              <w:rPr>
                <w:rFonts w:ascii="宋体" w:hAnsi="宋体"/>
                <w:color w:val="auto"/>
                <w:sz w:val="24"/>
                <w:szCs w:val="24"/>
                <w:highlight w:val="none"/>
              </w:rPr>
            </w:pPr>
          </w:p>
        </w:tc>
        <w:tc>
          <w:tcPr>
            <w:tcW w:w="826" w:type="dxa"/>
            <w:vAlign w:val="center"/>
          </w:tcPr>
          <w:p w14:paraId="6F82C77B">
            <w:pPr>
              <w:spacing w:line="360" w:lineRule="auto"/>
              <w:jc w:val="center"/>
              <w:rPr>
                <w:rFonts w:ascii="宋体" w:hAnsi="宋体"/>
                <w:color w:val="auto"/>
                <w:sz w:val="24"/>
                <w:szCs w:val="24"/>
                <w:highlight w:val="none"/>
              </w:rPr>
            </w:pPr>
          </w:p>
        </w:tc>
        <w:tc>
          <w:tcPr>
            <w:tcW w:w="1434" w:type="dxa"/>
            <w:vAlign w:val="center"/>
          </w:tcPr>
          <w:p w14:paraId="677B01EA">
            <w:pPr>
              <w:spacing w:line="360" w:lineRule="auto"/>
              <w:jc w:val="center"/>
              <w:rPr>
                <w:rFonts w:ascii="宋体" w:hAnsi="宋体"/>
                <w:color w:val="auto"/>
                <w:sz w:val="24"/>
                <w:szCs w:val="24"/>
                <w:highlight w:val="none"/>
              </w:rPr>
            </w:pPr>
          </w:p>
        </w:tc>
      </w:tr>
      <w:tr w14:paraId="09DE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5F814640">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40" w:type="dxa"/>
            <w:vAlign w:val="center"/>
          </w:tcPr>
          <w:p w14:paraId="1E99FD5E">
            <w:pPr>
              <w:spacing w:line="360" w:lineRule="auto"/>
              <w:jc w:val="center"/>
              <w:rPr>
                <w:rFonts w:ascii="宋体" w:hAnsi="宋体"/>
                <w:color w:val="auto"/>
                <w:sz w:val="24"/>
                <w:szCs w:val="24"/>
                <w:highlight w:val="none"/>
              </w:rPr>
            </w:pPr>
          </w:p>
        </w:tc>
        <w:tc>
          <w:tcPr>
            <w:tcW w:w="970" w:type="dxa"/>
            <w:vAlign w:val="center"/>
          </w:tcPr>
          <w:p w14:paraId="7BCB43B2">
            <w:pPr>
              <w:spacing w:line="360" w:lineRule="auto"/>
              <w:jc w:val="center"/>
              <w:rPr>
                <w:rFonts w:ascii="宋体" w:hAnsi="宋体"/>
                <w:color w:val="auto"/>
                <w:sz w:val="24"/>
                <w:szCs w:val="24"/>
                <w:highlight w:val="none"/>
              </w:rPr>
            </w:pPr>
          </w:p>
        </w:tc>
        <w:tc>
          <w:tcPr>
            <w:tcW w:w="1790" w:type="dxa"/>
            <w:vAlign w:val="center"/>
          </w:tcPr>
          <w:p w14:paraId="28524061">
            <w:pPr>
              <w:spacing w:line="360" w:lineRule="auto"/>
              <w:jc w:val="center"/>
              <w:rPr>
                <w:rFonts w:ascii="宋体" w:hAnsi="宋体"/>
                <w:color w:val="auto"/>
                <w:sz w:val="24"/>
                <w:szCs w:val="24"/>
                <w:highlight w:val="none"/>
              </w:rPr>
            </w:pPr>
          </w:p>
        </w:tc>
        <w:tc>
          <w:tcPr>
            <w:tcW w:w="1470" w:type="dxa"/>
            <w:vAlign w:val="center"/>
          </w:tcPr>
          <w:p w14:paraId="533A8E72">
            <w:pPr>
              <w:spacing w:line="360" w:lineRule="auto"/>
              <w:jc w:val="center"/>
              <w:rPr>
                <w:rFonts w:ascii="宋体" w:hAnsi="宋体"/>
                <w:color w:val="auto"/>
                <w:sz w:val="24"/>
                <w:szCs w:val="24"/>
                <w:highlight w:val="none"/>
              </w:rPr>
            </w:pPr>
          </w:p>
        </w:tc>
        <w:tc>
          <w:tcPr>
            <w:tcW w:w="830" w:type="dxa"/>
            <w:vAlign w:val="center"/>
          </w:tcPr>
          <w:p w14:paraId="1CCF616B">
            <w:pPr>
              <w:spacing w:line="360" w:lineRule="auto"/>
              <w:jc w:val="center"/>
              <w:rPr>
                <w:rFonts w:ascii="宋体" w:hAnsi="宋体"/>
                <w:color w:val="auto"/>
                <w:sz w:val="24"/>
                <w:szCs w:val="24"/>
                <w:highlight w:val="none"/>
              </w:rPr>
            </w:pPr>
          </w:p>
        </w:tc>
        <w:tc>
          <w:tcPr>
            <w:tcW w:w="820" w:type="dxa"/>
            <w:vAlign w:val="center"/>
          </w:tcPr>
          <w:p w14:paraId="7E8E4C31">
            <w:pPr>
              <w:spacing w:line="360" w:lineRule="auto"/>
              <w:jc w:val="center"/>
              <w:rPr>
                <w:rFonts w:ascii="宋体" w:hAnsi="宋体"/>
                <w:color w:val="auto"/>
                <w:sz w:val="24"/>
                <w:szCs w:val="24"/>
                <w:highlight w:val="none"/>
              </w:rPr>
            </w:pPr>
          </w:p>
        </w:tc>
        <w:tc>
          <w:tcPr>
            <w:tcW w:w="826" w:type="dxa"/>
            <w:vAlign w:val="center"/>
          </w:tcPr>
          <w:p w14:paraId="5A5A1B4E">
            <w:pPr>
              <w:spacing w:line="360" w:lineRule="auto"/>
              <w:jc w:val="center"/>
              <w:rPr>
                <w:rFonts w:ascii="宋体" w:hAnsi="宋体"/>
                <w:color w:val="auto"/>
                <w:sz w:val="24"/>
                <w:szCs w:val="24"/>
                <w:highlight w:val="none"/>
              </w:rPr>
            </w:pPr>
          </w:p>
        </w:tc>
        <w:tc>
          <w:tcPr>
            <w:tcW w:w="1434" w:type="dxa"/>
            <w:vAlign w:val="center"/>
          </w:tcPr>
          <w:p w14:paraId="5F3764A2">
            <w:pPr>
              <w:spacing w:line="360" w:lineRule="auto"/>
              <w:jc w:val="center"/>
              <w:rPr>
                <w:rFonts w:ascii="宋体" w:hAnsi="宋体"/>
                <w:color w:val="auto"/>
                <w:sz w:val="24"/>
                <w:szCs w:val="24"/>
                <w:highlight w:val="none"/>
              </w:rPr>
            </w:pPr>
          </w:p>
        </w:tc>
      </w:tr>
      <w:tr w14:paraId="0F050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3FE8B2F">
            <w:pPr>
              <w:spacing w:line="360" w:lineRule="auto"/>
              <w:jc w:val="center"/>
              <w:rPr>
                <w:rFonts w:ascii="宋体" w:hAnsi="宋体"/>
                <w:color w:val="auto"/>
                <w:sz w:val="24"/>
                <w:szCs w:val="24"/>
                <w:highlight w:val="none"/>
              </w:rPr>
            </w:pPr>
            <w:r>
              <w:rPr>
                <w:rFonts w:ascii="宋体" w:hAnsi="宋体"/>
                <w:color w:val="auto"/>
                <w:sz w:val="24"/>
                <w:szCs w:val="24"/>
                <w:highlight w:val="none"/>
              </w:rPr>
              <w:t>…</w:t>
            </w:r>
          </w:p>
        </w:tc>
        <w:tc>
          <w:tcPr>
            <w:tcW w:w="9380" w:type="dxa"/>
            <w:gridSpan w:val="8"/>
            <w:vAlign w:val="center"/>
          </w:tcPr>
          <w:p w14:paraId="098D7210">
            <w:pPr>
              <w:spacing w:line="360" w:lineRule="auto"/>
              <w:rPr>
                <w:rFonts w:ascii="宋体" w:hAnsi="宋体"/>
                <w:color w:val="auto"/>
                <w:sz w:val="24"/>
                <w:szCs w:val="24"/>
                <w:highlight w:val="none"/>
              </w:rPr>
            </w:pPr>
            <w:r>
              <w:rPr>
                <w:rFonts w:hint="eastAsia" w:ascii="宋体" w:hAnsi="宋体"/>
                <w:color w:val="auto"/>
                <w:sz w:val="24"/>
                <w:szCs w:val="24"/>
                <w:highlight w:val="none"/>
              </w:rPr>
              <w:t>总报价（元）：</w:t>
            </w:r>
          </w:p>
        </w:tc>
      </w:tr>
      <w:tr w14:paraId="7DCC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961" w:type="dxa"/>
            <w:gridSpan w:val="9"/>
            <w:vAlign w:val="center"/>
          </w:tcPr>
          <w:p w14:paraId="18D73DD0">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本采购包中本公司（单位）提供的符合本国产品标准的产品成本之和 </w:t>
            </w:r>
            <w:r>
              <w:rPr>
                <w:rFonts w:hint="eastAsia" w:ascii="宋体" w:hAnsi="宋体"/>
                <w:b/>
                <w:bCs/>
                <w:color w:val="auto"/>
                <w:sz w:val="24"/>
                <w:szCs w:val="24"/>
                <w:highlight w:val="none"/>
                <w:u w:val="single"/>
              </w:rPr>
              <w:sym w:font="Wingdings" w:char="00A8"/>
            </w:r>
            <w:r>
              <w:rPr>
                <w:rFonts w:hint="eastAsia" w:ascii="宋体" w:hAnsi="宋体"/>
                <w:b/>
                <w:bCs/>
                <w:color w:val="auto"/>
                <w:sz w:val="24"/>
                <w:szCs w:val="24"/>
                <w:highlight w:val="none"/>
                <w:u w:val="single"/>
              </w:rPr>
              <w:t xml:space="preserve">是 </w:t>
            </w:r>
            <w:r>
              <w:rPr>
                <w:rFonts w:hint="eastAsia" w:ascii="宋体" w:hAnsi="宋体"/>
                <w:b/>
                <w:bCs/>
                <w:color w:val="auto"/>
                <w:sz w:val="24"/>
                <w:szCs w:val="24"/>
                <w:highlight w:val="none"/>
                <w:u w:val="single"/>
              </w:rPr>
              <w:sym w:font="Wingdings" w:char="00A8"/>
            </w:r>
            <w:r>
              <w:rPr>
                <w:rFonts w:hint="eastAsia" w:ascii="宋体" w:hAnsi="宋体"/>
                <w:b/>
                <w:bCs/>
                <w:color w:val="auto"/>
                <w:sz w:val="24"/>
                <w:szCs w:val="24"/>
                <w:highlight w:val="none"/>
                <w:u w:val="single"/>
              </w:rPr>
              <w:t xml:space="preserve">否 </w:t>
            </w:r>
            <w:r>
              <w:rPr>
                <w:rFonts w:hint="eastAsia" w:ascii="宋体" w:hAnsi="宋体"/>
                <w:b/>
                <w:bCs/>
                <w:color w:val="auto"/>
                <w:sz w:val="24"/>
                <w:szCs w:val="24"/>
                <w:highlight w:val="none"/>
              </w:rPr>
              <w:t>达到提供的全部产品成本之和的80%以上。</w:t>
            </w:r>
          </w:p>
          <w:p w14:paraId="7C25CAC4">
            <w:pPr>
              <w:spacing w:line="360" w:lineRule="auto"/>
              <w:rPr>
                <w:rFonts w:ascii="宋体" w:hAnsi="宋体"/>
                <w:color w:val="auto"/>
                <w:sz w:val="24"/>
                <w:szCs w:val="24"/>
                <w:highlight w:val="none"/>
              </w:rPr>
            </w:pPr>
            <w:r>
              <w:rPr>
                <w:rFonts w:hint="eastAsia" w:ascii="宋体" w:hAnsi="宋体"/>
                <w:b/>
                <w:bCs/>
                <w:color w:val="auto"/>
                <w:sz w:val="24"/>
                <w:szCs w:val="24"/>
                <w:highlight w:val="none"/>
              </w:rPr>
              <w:t>（说明：</w:t>
            </w:r>
            <w:r>
              <w:rPr>
                <w:rFonts w:hint="eastAsia" w:ascii="宋体" w:hAnsi="宋体" w:cs="宋体"/>
                <w:b/>
                <w:bCs/>
                <w:color w:val="auto"/>
                <w:sz w:val="24"/>
                <w:szCs w:val="24"/>
                <w:highlight w:val="none"/>
              </w:rPr>
              <w:t>如采购项目或采购包不涉及货物类产品或仅包含单一产品的，本条及下方备注第4条删除。确定后该说明删除</w:t>
            </w:r>
            <w:r>
              <w:rPr>
                <w:rFonts w:hint="eastAsia" w:ascii="宋体" w:hAnsi="宋体"/>
                <w:b/>
                <w:bCs/>
                <w:color w:val="auto"/>
                <w:sz w:val="24"/>
                <w:szCs w:val="24"/>
                <w:highlight w:val="none"/>
              </w:rPr>
              <w:t>）</w:t>
            </w:r>
          </w:p>
        </w:tc>
      </w:tr>
    </w:tbl>
    <w:p w14:paraId="0073D138">
      <w:pPr>
        <w:adjustRightInd w:val="0"/>
        <w:snapToGrid w:val="0"/>
        <w:spacing w:line="360" w:lineRule="auto"/>
        <w:rPr>
          <w:rFonts w:ascii="宋体" w:hAnsi="宋体"/>
          <w:color w:val="auto"/>
          <w:sz w:val="24"/>
          <w:highlight w:val="none"/>
        </w:rPr>
      </w:pPr>
    </w:p>
    <w:p w14:paraId="224E551C">
      <w:pPr>
        <w:pStyle w:val="31"/>
        <w:adjustRightInd w:val="0"/>
        <w:snapToGrid w:val="0"/>
        <w:spacing w:before="0" w:beforeAutospacing="0" w:after="0" w:afterAutospacing="0" w:line="360" w:lineRule="auto"/>
        <w:ind w:firstLine="480" w:firstLineChars="200"/>
        <w:jc w:val="both"/>
        <w:rPr>
          <w:color w:val="auto"/>
          <w:highlight w:val="none"/>
        </w:rPr>
      </w:pPr>
      <w:r>
        <w:rPr>
          <w:color w:val="auto"/>
          <w:highlight w:val="none"/>
        </w:rPr>
        <w:t xml:space="preserve">备注： </w:t>
      </w:r>
    </w:p>
    <w:p w14:paraId="26D331E4">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1.“总报价”应包括为完成整个项目所产生的所有费用，磋商文件另有规定的除外。</w:t>
      </w:r>
    </w:p>
    <w:p w14:paraId="63736E8E">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2.《分项报价表》中“总报价”应当与《磋商报价表》中“总报价”一致。</w:t>
      </w:r>
    </w:p>
    <w:p w14:paraId="509359BD">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3.</w:t>
      </w:r>
      <w:r>
        <w:rPr>
          <w:rFonts w:hint="eastAsia"/>
          <w:b/>
          <w:bCs/>
          <w:color w:val="auto"/>
          <w:highlight w:val="none"/>
        </w:rPr>
        <w:t>《分项报价表》中的分项名称须与“第四章采购需求-项目清单”中的分项名称一一对应，如有缺项、漏项，视为无效响应。</w:t>
      </w:r>
    </w:p>
    <w:p w14:paraId="5833358E">
      <w:pPr>
        <w:pStyle w:val="31"/>
        <w:adjustRightInd w:val="0"/>
        <w:snapToGrid w:val="0"/>
        <w:spacing w:before="0" w:beforeAutospacing="0" w:after="0" w:afterAutospacing="0" w:line="360" w:lineRule="auto"/>
        <w:ind w:firstLine="480" w:firstLineChars="200"/>
        <w:jc w:val="both"/>
        <w:rPr>
          <w:b/>
          <w:bCs/>
          <w:color w:val="auto"/>
          <w:highlight w:val="none"/>
        </w:rPr>
      </w:pPr>
      <w:r>
        <w:rPr>
          <w:rFonts w:hint="eastAsia"/>
          <w:color w:val="auto"/>
          <w:highlight w:val="none"/>
        </w:rPr>
        <w:t>4.</w:t>
      </w:r>
      <w:r>
        <w:rPr>
          <w:rFonts w:hint="eastAsia"/>
          <w:b/>
          <w:bCs/>
          <w:color w:val="auto"/>
          <w:highlight w:val="none"/>
        </w:rPr>
        <w:t>当采购项目或者采购包中含有多种产品，供应商未对提供的符合本国产品标准的产品成本之和占全部产品成本之和的比例达到80%以上作出承诺的，将不享受本国产品价格评审优惠。</w:t>
      </w:r>
    </w:p>
    <w:p w14:paraId="4846CC3F">
      <w:pPr>
        <w:pStyle w:val="31"/>
        <w:adjustRightInd w:val="0"/>
        <w:snapToGrid w:val="0"/>
        <w:spacing w:before="0" w:beforeAutospacing="0" w:after="0" w:afterAutospacing="0" w:line="360" w:lineRule="auto"/>
        <w:ind w:firstLine="480" w:firstLineChars="200"/>
        <w:jc w:val="both"/>
        <w:rPr>
          <w:color w:val="auto"/>
          <w:highlight w:val="none"/>
        </w:rPr>
      </w:pPr>
    </w:p>
    <w:p w14:paraId="01BACCCF">
      <w:pPr>
        <w:pStyle w:val="31"/>
        <w:adjustRightInd w:val="0"/>
        <w:snapToGrid w:val="0"/>
        <w:spacing w:before="0" w:beforeAutospacing="0" w:after="0" w:afterAutospacing="0" w:line="360" w:lineRule="auto"/>
        <w:jc w:val="both"/>
        <w:rPr>
          <w:rFonts w:ascii="黑体" w:hAnsi="黑体" w:eastAsia="黑体" w:cs="Times New Roman"/>
          <w:iCs/>
          <w:color w:val="auto"/>
          <w:sz w:val="32"/>
          <w:szCs w:val="32"/>
          <w:highlight w:val="none"/>
        </w:rPr>
      </w:pPr>
      <w:r>
        <w:rPr>
          <w:rFonts w:hint="eastAsia" w:ascii="黑体" w:hAnsi="黑体" w:eastAsia="黑体" w:cs="Times New Roman"/>
          <w:i/>
          <w:color w:val="auto"/>
          <w:sz w:val="32"/>
          <w:szCs w:val="32"/>
          <w:highlight w:val="none"/>
          <w:u w:val="single"/>
        </w:rPr>
        <w:br w:type="page"/>
      </w:r>
      <w:bookmarkEnd w:id="174"/>
      <w:r>
        <w:rPr>
          <w:rFonts w:hint="eastAsia" w:ascii="黑体" w:hAnsi="黑体" w:eastAsia="黑体" w:cs="Times New Roman"/>
          <w:color w:val="auto"/>
          <w:kern w:val="2"/>
          <w:sz w:val="32"/>
          <w:szCs w:val="32"/>
          <w:highlight w:val="none"/>
        </w:rPr>
        <w:t>六、</w:t>
      </w:r>
      <w:r>
        <w:rPr>
          <w:rFonts w:hint="eastAsia" w:ascii="黑体" w:hAnsi="黑体" w:eastAsia="黑体" w:cs="Times New Roman"/>
          <w:iCs/>
          <w:color w:val="auto"/>
          <w:sz w:val="32"/>
          <w:szCs w:val="32"/>
          <w:highlight w:val="none"/>
        </w:rPr>
        <w:t>技术要求响应及偏离表</w:t>
      </w:r>
    </w:p>
    <w:p w14:paraId="189403E2">
      <w:pPr>
        <w:spacing w:line="360" w:lineRule="auto"/>
        <w:jc w:val="center"/>
        <w:outlineLvl w:val="2"/>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技术要求响应及偏离表</w:t>
      </w:r>
    </w:p>
    <w:p w14:paraId="2339B0AE">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供应商名称：（加盖电子公章）</w:t>
      </w:r>
    </w:p>
    <w:p w14:paraId="4CE47D32">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项目名称：</w:t>
      </w:r>
    </w:p>
    <w:p w14:paraId="3F999CDF">
      <w:pPr>
        <w:adjustRightInd w:val="0"/>
        <w:snapToGrid w:val="0"/>
        <w:spacing w:line="360" w:lineRule="auto"/>
        <w:ind w:right="180" w:firstLine="480" w:firstLineChars="200"/>
        <w:rPr>
          <w:color w:val="auto"/>
          <w:highlight w:val="none"/>
        </w:rPr>
      </w:pPr>
      <w:r>
        <w:rPr>
          <w:rFonts w:hint="eastAsia" w:ascii="宋体" w:hAnsi="宋体"/>
          <w:color w:val="auto"/>
          <w:sz w:val="24"/>
          <w:szCs w:val="24"/>
          <w:highlight w:val="none"/>
        </w:rPr>
        <w:t>项目编号：                                   采购包号：</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5"/>
      </w:tblGrid>
      <w:tr w14:paraId="505B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vAlign w:val="center"/>
          </w:tcPr>
          <w:p w14:paraId="0ED8366A">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925" w:type="dxa"/>
            <w:vAlign w:val="center"/>
          </w:tcPr>
          <w:p w14:paraId="177259C4">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磋商文件要求</w:t>
            </w:r>
          </w:p>
        </w:tc>
        <w:tc>
          <w:tcPr>
            <w:tcW w:w="2832" w:type="dxa"/>
            <w:vAlign w:val="center"/>
          </w:tcPr>
          <w:p w14:paraId="2DC1F189">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3375" w:type="dxa"/>
            <w:vAlign w:val="center"/>
          </w:tcPr>
          <w:p w14:paraId="7E1AB7B6">
            <w:pPr>
              <w:spacing w:line="360" w:lineRule="auto"/>
              <w:jc w:val="center"/>
              <w:rPr>
                <w:rFonts w:ascii="宋体" w:hAnsi="宋体"/>
                <w:color w:val="auto"/>
                <w:sz w:val="24"/>
                <w:szCs w:val="24"/>
                <w:highlight w:val="none"/>
              </w:rPr>
            </w:pPr>
            <w:r>
              <w:rPr>
                <w:rFonts w:hint="eastAsia" w:cs="宋体"/>
                <w:color w:val="auto"/>
                <w:sz w:val="24"/>
                <w:szCs w:val="24"/>
                <w:highlight w:val="none"/>
              </w:rPr>
              <w:t>正偏离、无偏离或负偏离</w:t>
            </w:r>
          </w:p>
        </w:tc>
      </w:tr>
      <w:tr w14:paraId="7D0A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00E64097">
            <w:pPr>
              <w:spacing w:line="360" w:lineRule="auto"/>
              <w:jc w:val="center"/>
              <w:rPr>
                <w:rFonts w:ascii="宋体" w:hAnsi="宋体"/>
                <w:color w:val="auto"/>
                <w:sz w:val="24"/>
                <w:szCs w:val="24"/>
                <w:highlight w:val="none"/>
              </w:rPr>
            </w:pPr>
          </w:p>
        </w:tc>
        <w:tc>
          <w:tcPr>
            <w:tcW w:w="2925" w:type="dxa"/>
          </w:tcPr>
          <w:p w14:paraId="331293EB">
            <w:pPr>
              <w:spacing w:line="360" w:lineRule="auto"/>
              <w:jc w:val="center"/>
              <w:rPr>
                <w:rFonts w:ascii="宋体" w:hAnsi="宋体"/>
                <w:color w:val="auto"/>
                <w:sz w:val="24"/>
                <w:szCs w:val="24"/>
                <w:highlight w:val="none"/>
              </w:rPr>
            </w:pPr>
          </w:p>
        </w:tc>
        <w:tc>
          <w:tcPr>
            <w:tcW w:w="2832" w:type="dxa"/>
          </w:tcPr>
          <w:p w14:paraId="2FA8B427">
            <w:pPr>
              <w:spacing w:line="360" w:lineRule="auto"/>
              <w:jc w:val="center"/>
              <w:rPr>
                <w:rFonts w:ascii="宋体" w:hAnsi="宋体"/>
                <w:color w:val="auto"/>
                <w:sz w:val="24"/>
                <w:szCs w:val="24"/>
                <w:highlight w:val="none"/>
              </w:rPr>
            </w:pPr>
          </w:p>
        </w:tc>
        <w:tc>
          <w:tcPr>
            <w:tcW w:w="3375" w:type="dxa"/>
          </w:tcPr>
          <w:p w14:paraId="1596359C">
            <w:pPr>
              <w:spacing w:line="360" w:lineRule="auto"/>
              <w:jc w:val="center"/>
              <w:rPr>
                <w:rFonts w:ascii="宋体" w:hAnsi="宋体"/>
                <w:color w:val="auto"/>
                <w:sz w:val="24"/>
                <w:szCs w:val="24"/>
                <w:highlight w:val="none"/>
              </w:rPr>
            </w:pPr>
          </w:p>
        </w:tc>
      </w:tr>
      <w:tr w14:paraId="2F58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628B53B7">
            <w:pPr>
              <w:spacing w:line="360" w:lineRule="auto"/>
              <w:jc w:val="center"/>
              <w:rPr>
                <w:rFonts w:ascii="宋体" w:hAnsi="宋体"/>
                <w:color w:val="auto"/>
                <w:sz w:val="24"/>
                <w:szCs w:val="24"/>
                <w:highlight w:val="none"/>
              </w:rPr>
            </w:pPr>
          </w:p>
        </w:tc>
        <w:tc>
          <w:tcPr>
            <w:tcW w:w="2925" w:type="dxa"/>
          </w:tcPr>
          <w:p w14:paraId="4900722B">
            <w:pPr>
              <w:spacing w:line="360" w:lineRule="auto"/>
              <w:jc w:val="center"/>
              <w:rPr>
                <w:rFonts w:ascii="宋体" w:hAnsi="宋体"/>
                <w:color w:val="auto"/>
                <w:sz w:val="24"/>
                <w:szCs w:val="24"/>
                <w:highlight w:val="none"/>
              </w:rPr>
            </w:pPr>
          </w:p>
        </w:tc>
        <w:tc>
          <w:tcPr>
            <w:tcW w:w="2832" w:type="dxa"/>
          </w:tcPr>
          <w:p w14:paraId="3E4CC38D">
            <w:pPr>
              <w:spacing w:line="360" w:lineRule="auto"/>
              <w:jc w:val="center"/>
              <w:rPr>
                <w:rFonts w:ascii="宋体" w:hAnsi="宋体"/>
                <w:color w:val="auto"/>
                <w:sz w:val="24"/>
                <w:szCs w:val="24"/>
                <w:highlight w:val="none"/>
              </w:rPr>
            </w:pPr>
          </w:p>
        </w:tc>
        <w:tc>
          <w:tcPr>
            <w:tcW w:w="3375" w:type="dxa"/>
          </w:tcPr>
          <w:p w14:paraId="7666E060">
            <w:pPr>
              <w:spacing w:line="360" w:lineRule="auto"/>
              <w:jc w:val="center"/>
              <w:rPr>
                <w:rFonts w:ascii="宋体" w:hAnsi="宋体"/>
                <w:color w:val="auto"/>
                <w:sz w:val="24"/>
                <w:szCs w:val="24"/>
                <w:highlight w:val="none"/>
              </w:rPr>
            </w:pPr>
          </w:p>
        </w:tc>
      </w:tr>
      <w:tr w14:paraId="1EDCE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104CD7AD">
            <w:pPr>
              <w:spacing w:line="360" w:lineRule="auto"/>
              <w:jc w:val="center"/>
              <w:rPr>
                <w:rFonts w:ascii="宋体" w:hAnsi="宋体"/>
                <w:color w:val="auto"/>
                <w:sz w:val="24"/>
                <w:szCs w:val="24"/>
                <w:highlight w:val="none"/>
              </w:rPr>
            </w:pPr>
          </w:p>
        </w:tc>
        <w:tc>
          <w:tcPr>
            <w:tcW w:w="2925" w:type="dxa"/>
          </w:tcPr>
          <w:p w14:paraId="168AD978">
            <w:pPr>
              <w:spacing w:line="360" w:lineRule="auto"/>
              <w:jc w:val="center"/>
              <w:rPr>
                <w:rFonts w:ascii="宋体" w:hAnsi="宋体"/>
                <w:color w:val="auto"/>
                <w:sz w:val="24"/>
                <w:szCs w:val="24"/>
                <w:highlight w:val="none"/>
              </w:rPr>
            </w:pPr>
          </w:p>
        </w:tc>
        <w:tc>
          <w:tcPr>
            <w:tcW w:w="2832" w:type="dxa"/>
          </w:tcPr>
          <w:p w14:paraId="05A6EE40">
            <w:pPr>
              <w:spacing w:line="360" w:lineRule="auto"/>
              <w:jc w:val="center"/>
              <w:rPr>
                <w:rFonts w:ascii="宋体" w:hAnsi="宋体"/>
                <w:color w:val="auto"/>
                <w:sz w:val="24"/>
                <w:szCs w:val="24"/>
                <w:highlight w:val="none"/>
              </w:rPr>
            </w:pPr>
          </w:p>
        </w:tc>
        <w:tc>
          <w:tcPr>
            <w:tcW w:w="3375" w:type="dxa"/>
          </w:tcPr>
          <w:p w14:paraId="34434A8C">
            <w:pPr>
              <w:spacing w:line="360" w:lineRule="auto"/>
              <w:jc w:val="center"/>
              <w:rPr>
                <w:rFonts w:ascii="宋体" w:hAnsi="宋体"/>
                <w:color w:val="auto"/>
                <w:sz w:val="24"/>
                <w:szCs w:val="24"/>
                <w:highlight w:val="none"/>
              </w:rPr>
            </w:pPr>
          </w:p>
        </w:tc>
      </w:tr>
      <w:tr w14:paraId="1AF1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3C5F15F1">
            <w:pPr>
              <w:spacing w:line="360" w:lineRule="auto"/>
              <w:jc w:val="center"/>
              <w:rPr>
                <w:rFonts w:ascii="宋体" w:hAnsi="宋体"/>
                <w:color w:val="auto"/>
                <w:sz w:val="24"/>
                <w:szCs w:val="24"/>
                <w:highlight w:val="none"/>
              </w:rPr>
            </w:pPr>
          </w:p>
        </w:tc>
        <w:tc>
          <w:tcPr>
            <w:tcW w:w="2925" w:type="dxa"/>
          </w:tcPr>
          <w:p w14:paraId="3E744E85">
            <w:pPr>
              <w:spacing w:line="360" w:lineRule="auto"/>
              <w:jc w:val="center"/>
              <w:rPr>
                <w:rFonts w:ascii="宋体" w:hAnsi="宋体"/>
                <w:color w:val="auto"/>
                <w:sz w:val="24"/>
                <w:szCs w:val="24"/>
                <w:highlight w:val="none"/>
              </w:rPr>
            </w:pPr>
          </w:p>
        </w:tc>
        <w:tc>
          <w:tcPr>
            <w:tcW w:w="2832" w:type="dxa"/>
          </w:tcPr>
          <w:p w14:paraId="0B2A86D2">
            <w:pPr>
              <w:spacing w:line="360" w:lineRule="auto"/>
              <w:jc w:val="center"/>
              <w:rPr>
                <w:rFonts w:ascii="宋体" w:hAnsi="宋体"/>
                <w:color w:val="auto"/>
                <w:sz w:val="24"/>
                <w:szCs w:val="24"/>
                <w:highlight w:val="none"/>
              </w:rPr>
            </w:pPr>
          </w:p>
        </w:tc>
        <w:tc>
          <w:tcPr>
            <w:tcW w:w="3375" w:type="dxa"/>
          </w:tcPr>
          <w:p w14:paraId="3AB6DF4B">
            <w:pPr>
              <w:spacing w:line="360" w:lineRule="auto"/>
              <w:jc w:val="center"/>
              <w:rPr>
                <w:rFonts w:ascii="宋体" w:hAnsi="宋体"/>
                <w:color w:val="auto"/>
                <w:sz w:val="24"/>
                <w:szCs w:val="24"/>
                <w:highlight w:val="none"/>
              </w:rPr>
            </w:pPr>
          </w:p>
        </w:tc>
      </w:tr>
      <w:tr w14:paraId="2916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5A63E218">
            <w:pPr>
              <w:spacing w:line="360" w:lineRule="auto"/>
              <w:jc w:val="center"/>
              <w:rPr>
                <w:rFonts w:ascii="宋体" w:hAnsi="宋体"/>
                <w:color w:val="auto"/>
                <w:sz w:val="24"/>
                <w:szCs w:val="24"/>
                <w:highlight w:val="none"/>
              </w:rPr>
            </w:pPr>
          </w:p>
        </w:tc>
        <w:tc>
          <w:tcPr>
            <w:tcW w:w="2925" w:type="dxa"/>
          </w:tcPr>
          <w:p w14:paraId="36BFD843">
            <w:pPr>
              <w:spacing w:line="360" w:lineRule="auto"/>
              <w:jc w:val="center"/>
              <w:rPr>
                <w:rFonts w:ascii="宋体" w:hAnsi="宋体"/>
                <w:color w:val="auto"/>
                <w:sz w:val="24"/>
                <w:szCs w:val="24"/>
                <w:highlight w:val="none"/>
              </w:rPr>
            </w:pPr>
          </w:p>
        </w:tc>
        <w:tc>
          <w:tcPr>
            <w:tcW w:w="2832" w:type="dxa"/>
          </w:tcPr>
          <w:p w14:paraId="39998176">
            <w:pPr>
              <w:spacing w:line="360" w:lineRule="auto"/>
              <w:jc w:val="center"/>
              <w:rPr>
                <w:rFonts w:ascii="宋体" w:hAnsi="宋体"/>
                <w:color w:val="auto"/>
                <w:sz w:val="24"/>
                <w:szCs w:val="24"/>
                <w:highlight w:val="none"/>
              </w:rPr>
            </w:pPr>
          </w:p>
        </w:tc>
        <w:tc>
          <w:tcPr>
            <w:tcW w:w="3375" w:type="dxa"/>
          </w:tcPr>
          <w:p w14:paraId="04F5FA55">
            <w:pPr>
              <w:spacing w:line="360" w:lineRule="auto"/>
              <w:jc w:val="center"/>
              <w:rPr>
                <w:rFonts w:ascii="宋体" w:hAnsi="宋体"/>
                <w:color w:val="auto"/>
                <w:sz w:val="24"/>
                <w:szCs w:val="24"/>
                <w:highlight w:val="none"/>
              </w:rPr>
            </w:pPr>
          </w:p>
        </w:tc>
      </w:tr>
      <w:tr w14:paraId="6F6E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04356EC3">
            <w:pPr>
              <w:spacing w:line="360" w:lineRule="auto"/>
              <w:jc w:val="center"/>
              <w:rPr>
                <w:rFonts w:ascii="宋体" w:hAnsi="宋体"/>
                <w:color w:val="auto"/>
                <w:sz w:val="24"/>
                <w:szCs w:val="24"/>
                <w:highlight w:val="none"/>
              </w:rPr>
            </w:pPr>
          </w:p>
        </w:tc>
        <w:tc>
          <w:tcPr>
            <w:tcW w:w="2925" w:type="dxa"/>
          </w:tcPr>
          <w:p w14:paraId="57A15A0A">
            <w:pPr>
              <w:spacing w:line="360" w:lineRule="auto"/>
              <w:jc w:val="center"/>
              <w:rPr>
                <w:rFonts w:ascii="宋体" w:hAnsi="宋体"/>
                <w:color w:val="auto"/>
                <w:sz w:val="24"/>
                <w:szCs w:val="24"/>
                <w:highlight w:val="none"/>
              </w:rPr>
            </w:pPr>
          </w:p>
        </w:tc>
        <w:tc>
          <w:tcPr>
            <w:tcW w:w="2832" w:type="dxa"/>
          </w:tcPr>
          <w:p w14:paraId="18C80641">
            <w:pPr>
              <w:spacing w:line="360" w:lineRule="auto"/>
              <w:jc w:val="center"/>
              <w:rPr>
                <w:rFonts w:ascii="宋体" w:hAnsi="宋体"/>
                <w:color w:val="auto"/>
                <w:sz w:val="24"/>
                <w:szCs w:val="24"/>
                <w:highlight w:val="none"/>
              </w:rPr>
            </w:pPr>
          </w:p>
        </w:tc>
        <w:tc>
          <w:tcPr>
            <w:tcW w:w="3375" w:type="dxa"/>
          </w:tcPr>
          <w:p w14:paraId="08CA4167">
            <w:pPr>
              <w:spacing w:line="360" w:lineRule="auto"/>
              <w:jc w:val="center"/>
              <w:rPr>
                <w:rFonts w:ascii="宋体" w:hAnsi="宋体"/>
                <w:color w:val="auto"/>
                <w:sz w:val="24"/>
                <w:szCs w:val="24"/>
                <w:highlight w:val="none"/>
              </w:rPr>
            </w:pPr>
          </w:p>
        </w:tc>
      </w:tr>
      <w:tr w14:paraId="6B01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347D98FD">
            <w:pPr>
              <w:spacing w:line="360" w:lineRule="auto"/>
              <w:jc w:val="center"/>
              <w:rPr>
                <w:rFonts w:ascii="宋体" w:hAnsi="宋体"/>
                <w:color w:val="auto"/>
                <w:sz w:val="24"/>
                <w:szCs w:val="24"/>
                <w:highlight w:val="none"/>
              </w:rPr>
            </w:pPr>
          </w:p>
        </w:tc>
        <w:tc>
          <w:tcPr>
            <w:tcW w:w="2925" w:type="dxa"/>
          </w:tcPr>
          <w:p w14:paraId="4DA2A125">
            <w:pPr>
              <w:spacing w:line="360" w:lineRule="auto"/>
              <w:jc w:val="center"/>
              <w:rPr>
                <w:rFonts w:ascii="宋体" w:hAnsi="宋体"/>
                <w:color w:val="auto"/>
                <w:sz w:val="24"/>
                <w:szCs w:val="24"/>
                <w:highlight w:val="none"/>
              </w:rPr>
            </w:pPr>
          </w:p>
        </w:tc>
        <w:tc>
          <w:tcPr>
            <w:tcW w:w="2832" w:type="dxa"/>
          </w:tcPr>
          <w:p w14:paraId="6492100E">
            <w:pPr>
              <w:spacing w:line="360" w:lineRule="auto"/>
              <w:jc w:val="center"/>
              <w:rPr>
                <w:rFonts w:ascii="宋体" w:hAnsi="宋体"/>
                <w:color w:val="auto"/>
                <w:sz w:val="24"/>
                <w:szCs w:val="24"/>
                <w:highlight w:val="none"/>
              </w:rPr>
            </w:pPr>
          </w:p>
        </w:tc>
        <w:tc>
          <w:tcPr>
            <w:tcW w:w="3375" w:type="dxa"/>
          </w:tcPr>
          <w:p w14:paraId="26FABD0D">
            <w:pPr>
              <w:spacing w:line="360" w:lineRule="auto"/>
              <w:jc w:val="center"/>
              <w:rPr>
                <w:rFonts w:ascii="宋体" w:hAnsi="宋体"/>
                <w:color w:val="auto"/>
                <w:sz w:val="24"/>
                <w:szCs w:val="24"/>
                <w:highlight w:val="none"/>
              </w:rPr>
            </w:pPr>
          </w:p>
        </w:tc>
      </w:tr>
      <w:tr w14:paraId="19E0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7B115301">
            <w:pPr>
              <w:spacing w:line="360" w:lineRule="auto"/>
              <w:jc w:val="center"/>
              <w:rPr>
                <w:rFonts w:ascii="宋体" w:hAnsi="宋体"/>
                <w:color w:val="auto"/>
                <w:sz w:val="24"/>
                <w:szCs w:val="24"/>
                <w:highlight w:val="none"/>
              </w:rPr>
            </w:pPr>
          </w:p>
        </w:tc>
        <w:tc>
          <w:tcPr>
            <w:tcW w:w="2925" w:type="dxa"/>
          </w:tcPr>
          <w:p w14:paraId="34989F0A">
            <w:pPr>
              <w:spacing w:line="360" w:lineRule="auto"/>
              <w:jc w:val="center"/>
              <w:rPr>
                <w:rFonts w:ascii="宋体" w:hAnsi="宋体"/>
                <w:color w:val="auto"/>
                <w:sz w:val="24"/>
                <w:szCs w:val="24"/>
                <w:highlight w:val="none"/>
              </w:rPr>
            </w:pPr>
          </w:p>
        </w:tc>
        <w:tc>
          <w:tcPr>
            <w:tcW w:w="2832" w:type="dxa"/>
          </w:tcPr>
          <w:p w14:paraId="0C118A7F">
            <w:pPr>
              <w:spacing w:line="360" w:lineRule="auto"/>
              <w:jc w:val="center"/>
              <w:rPr>
                <w:rFonts w:ascii="宋体" w:hAnsi="宋体"/>
                <w:color w:val="auto"/>
                <w:sz w:val="24"/>
                <w:szCs w:val="24"/>
                <w:highlight w:val="none"/>
              </w:rPr>
            </w:pPr>
          </w:p>
        </w:tc>
        <w:tc>
          <w:tcPr>
            <w:tcW w:w="3375" w:type="dxa"/>
          </w:tcPr>
          <w:p w14:paraId="79ACCBB5">
            <w:pPr>
              <w:spacing w:line="360" w:lineRule="auto"/>
              <w:jc w:val="center"/>
              <w:rPr>
                <w:rFonts w:ascii="宋体" w:hAnsi="宋体"/>
                <w:color w:val="auto"/>
                <w:sz w:val="24"/>
                <w:szCs w:val="24"/>
                <w:highlight w:val="none"/>
              </w:rPr>
            </w:pPr>
          </w:p>
        </w:tc>
      </w:tr>
    </w:tbl>
    <w:p w14:paraId="02C2F45E">
      <w:pPr>
        <w:spacing w:line="360" w:lineRule="auto"/>
        <w:rPr>
          <w:rFonts w:ascii="宋体" w:hAnsi="宋体"/>
          <w:color w:val="auto"/>
          <w:sz w:val="24"/>
          <w:szCs w:val="24"/>
          <w:highlight w:val="none"/>
        </w:rPr>
      </w:pPr>
    </w:p>
    <w:p w14:paraId="0099128B">
      <w:pPr>
        <w:pStyle w:val="31"/>
        <w:adjustRightInd w:val="0"/>
        <w:snapToGrid w:val="0"/>
        <w:spacing w:before="0" w:beforeAutospacing="0" w:after="0" w:afterAutospacing="0" w:line="360" w:lineRule="auto"/>
        <w:ind w:firstLine="480" w:firstLineChars="200"/>
        <w:jc w:val="both"/>
        <w:rPr>
          <w:color w:val="auto"/>
          <w:highlight w:val="none"/>
        </w:rPr>
      </w:pPr>
      <w:r>
        <w:rPr>
          <w:color w:val="auto"/>
          <w:highlight w:val="none"/>
        </w:rPr>
        <w:t xml:space="preserve">备注： </w:t>
      </w:r>
    </w:p>
    <w:p w14:paraId="28925D4A">
      <w:pPr>
        <w:pStyle w:val="31"/>
        <w:adjustRightInd w:val="0"/>
        <w:snapToGrid w:val="0"/>
        <w:spacing w:before="0" w:beforeAutospacing="0" w:after="0" w:afterAutospacing="0" w:line="360" w:lineRule="auto"/>
        <w:ind w:firstLine="482" w:firstLineChars="200"/>
        <w:jc w:val="both"/>
        <w:rPr>
          <w:b/>
          <w:bCs/>
          <w:color w:val="auto"/>
          <w:highlight w:val="none"/>
        </w:rPr>
      </w:pPr>
      <w:r>
        <w:rPr>
          <w:rFonts w:hint="eastAsia"/>
          <w:b/>
          <w:bCs/>
          <w:color w:val="auto"/>
          <w:highlight w:val="none"/>
        </w:rPr>
        <w:t>1.供应商须对磋商文件技术要求中的实质性要求（打“★”内容）作出明确响应，否则视为无效响应。</w:t>
      </w:r>
    </w:p>
    <w:p w14:paraId="7B8FBB03">
      <w:pPr>
        <w:pStyle w:val="31"/>
        <w:adjustRightInd w:val="0"/>
        <w:snapToGrid w:val="0"/>
        <w:spacing w:before="0" w:beforeAutospacing="0" w:after="0" w:afterAutospacing="0" w:line="360" w:lineRule="auto"/>
        <w:ind w:firstLine="482" w:firstLineChars="200"/>
        <w:jc w:val="both"/>
        <w:rPr>
          <w:b/>
          <w:bCs/>
          <w:color w:val="auto"/>
          <w:highlight w:val="none"/>
        </w:rPr>
      </w:pPr>
      <w:r>
        <w:rPr>
          <w:rFonts w:hint="eastAsia"/>
          <w:b/>
          <w:bCs/>
          <w:color w:val="auto"/>
          <w:highlight w:val="none"/>
        </w:rPr>
        <w:t>2.技术要求中实质性要求及其他要求明确需要提供证明材料的，签订合同时成交供应商应按磋商文件要求和响应文件内容提供相应证明材料供采购人核验，否则采购人将取消其成交资格。</w:t>
      </w:r>
    </w:p>
    <w:p w14:paraId="58C4905F">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3.行数不够，可自行添加。</w:t>
      </w:r>
    </w:p>
    <w:p w14:paraId="4AC31977">
      <w:pPr>
        <w:pStyle w:val="31"/>
        <w:adjustRightInd w:val="0"/>
        <w:snapToGrid w:val="0"/>
        <w:spacing w:before="0" w:beforeAutospacing="0" w:after="0" w:afterAutospacing="0" w:line="360" w:lineRule="auto"/>
        <w:jc w:val="both"/>
        <w:rPr>
          <w:rFonts w:ascii="黑体" w:hAnsi="黑体" w:eastAsia="黑体" w:cs="Times New Roman"/>
          <w:iCs/>
          <w:color w:val="auto"/>
          <w:sz w:val="32"/>
          <w:szCs w:val="32"/>
          <w:highlight w:val="none"/>
        </w:rPr>
      </w:pPr>
      <w:r>
        <w:rPr>
          <w:rFonts w:hint="eastAsia"/>
          <w:color w:val="auto"/>
          <w:highlight w:val="none"/>
        </w:rPr>
        <w:br w:type="page"/>
      </w:r>
      <w:r>
        <w:rPr>
          <w:rFonts w:hint="eastAsia" w:ascii="黑体" w:hAnsi="黑体" w:eastAsia="黑体" w:cs="Times New Roman"/>
          <w:iCs/>
          <w:color w:val="auto"/>
          <w:sz w:val="32"/>
          <w:szCs w:val="32"/>
          <w:highlight w:val="none"/>
        </w:rPr>
        <w:t>七、商务要求响应及偏离表</w:t>
      </w:r>
    </w:p>
    <w:p w14:paraId="3D07AA0A">
      <w:pPr>
        <w:spacing w:line="360" w:lineRule="auto"/>
        <w:jc w:val="center"/>
        <w:outlineLvl w:val="2"/>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商务要求响应及偏离表</w:t>
      </w:r>
    </w:p>
    <w:p w14:paraId="6B4FAE73">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供应商名称：（加盖电子公章）</w:t>
      </w:r>
    </w:p>
    <w:p w14:paraId="03BF737B">
      <w:pPr>
        <w:adjustRightInd w:val="0"/>
        <w:snapToGrid w:val="0"/>
        <w:spacing w:line="360" w:lineRule="auto"/>
        <w:ind w:right="180" w:firstLine="480" w:firstLineChars="200"/>
        <w:rPr>
          <w:rFonts w:ascii="宋体" w:hAnsi="宋体"/>
          <w:color w:val="auto"/>
          <w:sz w:val="24"/>
          <w:szCs w:val="24"/>
          <w:highlight w:val="none"/>
        </w:rPr>
      </w:pPr>
      <w:r>
        <w:rPr>
          <w:rFonts w:hint="eastAsia" w:ascii="宋体" w:hAnsi="宋体"/>
          <w:color w:val="auto"/>
          <w:sz w:val="24"/>
          <w:szCs w:val="24"/>
          <w:highlight w:val="none"/>
        </w:rPr>
        <w:t>项目名称：</w:t>
      </w:r>
    </w:p>
    <w:p w14:paraId="517A665B">
      <w:pPr>
        <w:adjustRightInd w:val="0"/>
        <w:snapToGrid w:val="0"/>
        <w:spacing w:line="360" w:lineRule="auto"/>
        <w:ind w:right="180" w:firstLine="480" w:firstLineChars="200"/>
        <w:rPr>
          <w:color w:val="auto"/>
          <w:highlight w:val="none"/>
        </w:rPr>
      </w:pPr>
      <w:r>
        <w:rPr>
          <w:rFonts w:hint="eastAsia" w:ascii="宋体" w:hAnsi="宋体"/>
          <w:color w:val="auto"/>
          <w:sz w:val="24"/>
          <w:szCs w:val="24"/>
          <w:highlight w:val="none"/>
        </w:rPr>
        <w:t>项目编号：                                   采购包号：</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46"/>
      </w:tblGrid>
      <w:tr w14:paraId="09D2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597458E6">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878" w:type="dxa"/>
            <w:vAlign w:val="center"/>
          </w:tcPr>
          <w:p w14:paraId="69165258">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磋商文件要求</w:t>
            </w:r>
          </w:p>
        </w:tc>
        <w:tc>
          <w:tcPr>
            <w:tcW w:w="2832" w:type="dxa"/>
            <w:vAlign w:val="center"/>
          </w:tcPr>
          <w:p w14:paraId="3B7FCA74">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3346" w:type="dxa"/>
            <w:vAlign w:val="center"/>
          </w:tcPr>
          <w:p w14:paraId="680164C7">
            <w:pPr>
              <w:spacing w:line="360" w:lineRule="auto"/>
              <w:jc w:val="center"/>
              <w:rPr>
                <w:rFonts w:ascii="宋体" w:hAnsi="宋体"/>
                <w:color w:val="auto"/>
                <w:sz w:val="24"/>
                <w:szCs w:val="24"/>
                <w:highlight w:val="none"/>
              </w:rPr>
            </w:pPr>
            <w:r>
              <w:rPr>
                <w:rFonts w:hint="eastAsia" w:cs="宋体"/>
                <w:color w:val="auto"/>
                <w:sz w:val="24"/>
                <w:szCs w:val="24"/>
                <w:highlight w:val="none"/>
              </w:rPr>
              <w:t>正偏离、无偏离或负偏离</w:t>
            </w:r>
          </w:p>
        </w:tc>
      </w:tr>
      <w:tr w14:paraId="7787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B48FDBF">
            <w:pPr>
              <w:spacing w:line="360" w:lineRule="auto"/>
              <w:jc w:val="center"/>
              <w:rPr>
                <w:rFonts w:ascii="宋体" w:hAnsi="宋体"/>
                <w:color w:val="auto"/>
                <w:sz w:val="24"/>
                <w:szCs w:val="24"/>
                <w:highlight w:val="none"/>
              </w:rPr>
            </w:pPr>
          </w:p>
        </w:tc>
        <w:tc>
          <w:tcPr>
            <w:tcW w:w="2878" w:type="dxa"/>
          </w:tcPr>
          <w:p w14:paraId="03DF9796">
            <w:pPr>
              <w:spacing w:line="360" w:lineRule="auto"/>
              <w:jc w:val="center"/>
              <w:rPr>
                <w:rFonts w:ascii="宋体" w:hAnsi="宋体"/>
                <w:color w:val="auto"/>
                <w:sz w:val="24"/>
                <w:szCs w:val="24"/>
                <w:highlight w:val="none"/>
              </w:rPr>
            </w:pPr>
          </w:p>
        </w:tc>
        <w:tc>
          <w:tcPr>
            <w:tcW w:w="2832" w:type="dxa"/>
          </w:tcPr>
          <w:p w14:paraId="76F9195B">
            <w:pPr>
              <w:spacing w:line="360" w:lineRule="auto"/>
              <w:jc w:val="center"/>
              <w:rPr>
                <w:rFonts w:ascii="宋体" w:hAnsi="宋体"/>
                <w:color w:val="auto"/>
                <w:sz w:val="24"/>
                <w:szCs w:val="24"/>
                <w:highlight w:val="none"/>
              </w:rPr>
            </w:pPr>
          </w:p>
        </w:tc>
        <w:tc>
          <w:tcPr>
            <w:tcW w:w="3346" w:type="dxa"/>
          </w:tcPr>
          <w:p w14:paraId="18EA96CD">
            <w:pPr>
              <w:spacing w:line="360" w:lineRule="auto"/>
              <w:jc w:val="center"/>
              <w:rPr>
                <w:rFonts w:ascii="宋体" w:hAnsi="宋体"/>
                <w:color w:val="auto"/>
                <w:sz w:val="24"/>
                <w:szCs w:val="24"/>
                <w:highlight w:val="none"/>
              </w:rPr>
            </w:pPr>
          </w:p>
        </w:tc>
      </w:tr>
      <w:tr w14:paraId="2E63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199BD6AA">
            <w:pPr>
              <w:spacing w:line="360" w:lineRule="auto"/>
              <w:jc w:val="center"/>
              <w:rPr>
                <w:rFonts w:ascii="宋体" w:hAnsi="宋体"/>
                <w:color w:val="auto"/>
                <w:sz w:val="24"/>
                <w:szCs w:val="24"/>
                <w:highlight w:val="none"/>
              </w:rPr>
            </w:pPr>
          </w:p>
        </w:tc>
        <w:tc>
          <w:tcPr>
            <w:tcW w:w="2878" w:type="dxa"/>
          </w:tcPr>
          <w:p w14:paraId="61B6581B">
            <w:pPr>
              <w:spacing w:line="360" w:lineRule="auto"/>
              <w:jc w:val="center"/>
              <w:rPr>
                <w:rFonts w:ascii="宋体" w:hAnsi="宋体"/>
                <w:color w:val="auto"/>
                <w:sz w:val="24"/>
                <w:szCs w:val="24"/>
                <w:highlight w:val="none"/>
              </w:rPr>
            </w:pPr>
          </w:p>
        </w:tc>
        <w:tc>
          <w:tcPr>
            <w:tcW w:w="2832" w:type="dxa"/>
          </w:tcPr>
          <w:p w14:paraId="523C7D39">
            <w:pPr>
              <w:spacing w:line="360" w:lineRule="auto"/>
              <w:jc w:val="center"/>
              <w:rPr>
                <w:rFonts w:ascii="宋体" w:hAnsi="宋体"/>
                <w:color w:val="auto"/>
                <w:sz w:val="24"/>
                <w:szCs w:val="24"/>
                <w:highlight w:val="none"/>
              </w:rPr>
            </w:pPr>
          </w:p>
        </w:tc>
        <w:tc>
          <w:tcPr>
            <w:tcW w:w="3346" w:type="dxa"/>
          </w:tcPr>
          <w:p w14:paraId="3CE4FEAE">
            <w:pPr>
              <w:spacing w:line="360" w:lineRule="auto"/>
              <w:jc w:val="center"/>
              <w:rPr>
                <w:rFonts w:ascii="宋体" w:hAnsi="宋体"/>
                <w:color w:val="auto"/>
                <w:sz w:val="24"/>
                <w:szCs w:val="24"/>
                <w:highlight w:val="none"/>
              </w:rPr>
            </w:pPr>
          </w:p>
        </w:tc>
      </w:tr>
      <w:tr w14:paraId="542E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8AE3172">
            <w:pPr>
              <w:spacing w:line="360" w:lineRule="auto"/>
              <w:jc w:val="center"/>
              <w:rPr>
                <w:rFonts w:ascii="宋体" w:hAnsi="宋体"/>
                <w:color w:val="auto"/>
                <w:sz w:val="24"/>
                <w:szCs w:val="24"/>
                <w:highlight w:val="none"/>
              </w:rPr>
            </w:pPr>
          </w:p>
        </w:tc>
        <w:tc>
          <w:tcPr>
            <w:tcW w:w="2878" w:type="dxa"/>
          </w:tcPr>
          <w:p w14:paraId="6602D36F">
            <w:pPr>
              <w:spacing w:line="360" w:lineRule="auto"/>
              <w:jc w:val="center"/>
              <w:rPr>
                <w:rFonts w:ascii="宋体" w:hAnsi="宋体"/>
                <w:color w:val="auto"/>
                <w:sz w:val="24"/>
                <w:szCs w:val="24"/>
                <w:highlight w:val="none"/>
              </w:rPr>
            </w:pPr>
          </w:p>
        </w:tc>
        <w:tc>
          <w:tcPr>
            <w:tcW w:w="2832" w:type="dxa"/>
          </w:tcPr>
          <w:p w14:paraId="5B51D53F">
            <w:pPr>
              <w:spacing w:line="360" w:lineRule="auto"/>
              <w:jc w:val="center"/>
              <w:rPr>
                <w:rFonts w:ascii="宋体" w:hAnsi="宋体"/>
                <w:color w:val="auto"/>
                <w:sz w:val="24"/>
                <w:szCs w:val="24"/>
                <w:highlight w:val="none"/>
              </w:rPr>
            </w:pPr>
          </w:p>
        </w:tc>
        <w:tc>
          <w:tcPr>
            <w:tcW w:w="3346" w:type="dxa"/>
          </w:tcPr>
          <w:p w14:paraId="1D9ADD3A">
            <w:pPr>
              <w:spacing w:line="360" w:lineRule="auto"/>
              <w:jc w:val="center"/>
              <w:rPr>
                <w:rFonts w:ascii="宋体" w:hAnsi="宋体"/>
                <w:color w:val="auto"/>
                <w:sz w:val="24"/>
                <w:szCs w:val="24"/>
                <w:highlight w:val="none"/>
              </w:rPr>
            </w:pPr>
          </w:p>
        </w:tc>
      </w:tr>
      <w:tr w14:paraId="18B7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05D28E60">
            <w:pPr>
              <w:spacing w:line="360" w:lineRule="auto"/>
              <w:jc w:val="center"/>
              <w:rPr>
                <w:rFonts w:ascii="宋体" w:hAnsi="宋体"/>
                <w:color w:val="auto"/>
                <w:sz w:val="24"/>
                <w:szCs w:val="24"/>
                <w:highlight w:val="none"/>
              </w:rPr>
            </w:pPr>
          </w:p>
        </w:tc>
        <w:tc>
          <w:tcPr>
            <w:tcW w:w="2878" w:type="dxa"/>
          </w:tcPr>
          <w:p w14:paraId="46DA9566">
            <w:pPr>
              <w:spacing w:line="360" w:lineRule="auto"/>
              <w:jc w:val="center"/>
              <w:rPr>
                <w:rFonts w:ascii="宋体" w:hAnsi="宋体"/>
                <w:color w:val="auto"/>
                <w:sz w:val="24"/>
                <w:szCs w:val="24"/>
                <w:highlight w:val="none"/>
              </w:rPr>
            </w:pPr>
          </w:p>
        </w:tc>
        <w:tc>
          <w:tcPr>
            <w:tcW w:w="2832" w:type="dxa"/>
          </w:tcPr>
          <w:p w14:paraId="12165D3A">
            <w:pPr>
              <w:spacing w:line="360" w:lineRule="auto"/>
              <w:jc w:val="center"/>
              <w:rPr>
                <w:rFonts w:ascii="宋体" w:hAnsi="宋体"/>
                <w:color w:val="auto"/>
                <w:sz w:val="24"/>
                <w:szCs w:val="24"/>
                <w:highlight w:val="none"/>
              </w:rPr>
            </w:pPr>
          </w:p>
        </w:tc>
        <w:tc>
          <w:tcPr>
            <w:tcW w:w="3346" w:type="dxa"/>
          </w:tcPr>
          <w:p w14:paraId="09DBF76F">
            <w:pPr>
              <w:spacing w:line="360" w:lineRule="auto"/>
              <w:jc w:val="center"/>
              <w:rPr>
                <w:rFonts w:ascii="宋体" w:hAnsi="宋体"/>
                <w:color w:val="auto"/>
                <w:sz w:val="24"/>
                <w:szCs w:val="24"/>
                <w:highlight w:val="none"/>
              </w:rPr>
            </w:pPr>
          </w:p>
        </w:tc>
      </w:tr>
      <w:tr w14:paraId="35694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95D19E7">
            <w:pPr>
              <w:spacing w:line="360" w:lineRule="auto"/>
              <w:jc w:val="center"/>
              <w:rPr>
                <w:rFonts w:ascii="宋体" w:hAnsi="宋体"/>
                <w:color w:val="auto"/>
                <w:sz w:val="24"/>
                <w:szCs w:val="24"/>
                <w:highlight w:val="none"/>
              </w:rPr>
            </w:pPr>
          </w:p>
        </w:tc>
        <w:tc>
          <w:tcPr>
            <w:tcW w:w="2878" w:type="dxa"/>
          </w:tcPr>
          <w:p w14:paraId="29323DBD">
            <w:pPr>
              <w:spacing w:line="360" w:lineRule="auto"/>
              <w:jc w:val="center"/>
              <w:rPr>
                <w:rFonts w:ascii="宋体" w:hAnsi="宋体"/>
                <w:color w:val="auto"/>
                <w:sz w:val="24"/>
                <w:szCs w:val="24"/>
                <w:highlight w:val="none"/>
              </w:rPr>
            </w:pPr>
          </w:p>
        </w:tc>
        <w:tc>
          <w:tcPr>
            <w:tcW w:w="2832" w:type="dxa"/>
          </w:tcPr>
          <w:p w14:paraId="697CB026">
            <w:pPr>
              <w:spacing w:line="360" w:lineRule="auto"/>
              <w:jc w:val="center"/>
              <w:rPr>
                <w:rFonts w:ascii="宋体" w:hAnsi="宋体"/>
                <w:color w:val="auto"/>
                <w:sz w:val="24"/>
                <w:szCs w:val="24"/>
                <w:highlight w:val="none"/>
              </w:rPr>
            </w:pPr>
          </w:p>
        </w:tc>
        <w:tc>
          <w:tcPr>
            <w:tcW w:w="3346" w:type="dxa"/>
          </w:tcPr>
          <w:p w14:paraId="2181F2BE">
            <w:pPr>
              <w:spacing w:line="360" w:lineRule="auto"/>
              <w:jc w:val="center"/>
              <w:rPr>
                <w:rFonts w:ascii="宋体" w:hAnsi="宋体"/>
                <w:color w:val="auto"/>
                <w:sz w:val="24"/>
                <w:szCs w:val="24"/>
                <w:highlight w:val="none"/>
              </w:rPr>
            </w:pPr>
          </w:p>
        </w:tc>
      </w:tr>
      <w:tr w14:paraId="0B54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1B916CE2">
            <w:pPr>
              <w:spacing w:line="360" w:lineRule="auto"/>
              <w:jc w:val="center"/>
              <w:rPr>
                <w:rFonts w:ascii="宋体" w:hAnsi="宋体"/>
                <w:color w:val="auto"/>
                <w:sz w:val="24"/>
                <w:szCs w:val="24"/>
                <w:highlight w:val="none"/>
              </w:rPr>
            </w:pPr>
          </w:p>
        </w:tc>
        <w:tc>
          <w:tcPr>
            <w:tcW w:w="2878" w:type="dxa"/>
          </w:tcPr>
          <w:p w14:paraId="56FB5478">
            <w:pPr>
              <w:spacing w:line="360" w:lineRule="auto"/>
              <w:jc w:val="center"/>
              <w:rPr>
                <w:rFonts w:ascii="宋体" w:hAnsi="宋体"/>
                <w:color w:val="auto"/>
                <w:sz w:val="24"/>
                <w:szCs w:val="24"/>
                <w:highlight w:val="none"/>
              </w:rPr>
            </w:pPr>
          </w:p>
        </w:tc>
        <w:tc>
          <w:tcPr>
            <w:tcW w:w="2832" w:type="dxa"/>
          </w:tcPr>
          <w:p w14:paraId="360C6448">
            <w:pPr>
              <w:spacing w:line="360" w:lineRule="auto"/>
              <w:jc w:val="center"/>
              <w:rPr>
                <w:rFonts w:ascii="宋体" w:hAnsi="宋体"/>
                <w:color w:val="auto"/>
                <w:sz w:val="24"/>
                <w:szCs w:val="24"/>
                <w:highlight w:val="none"/>
              </w:rPr>
            </w:pPr>
          </w:p>
        </w:tc>
        <w:tc>
          <w:tcPr>
            <w:tcW w:w="3346" w:type="dxa"/>
          </w:tcPr>
          <w:p w14:paraId="3992F160">
            <w:pPr>
              <w:spacing w:line="360" w:lineRule="auto"/>
              <w:jc w:val="center"/>
              <w:rPr>
                <w:rFonts w:ascii="宋体" w:hAnsi="宋体"/>
                <w:color w:val="auto"/>
                <w:sz w:val="24"/>
                <w:szCs w:val="24"/>
                <w:highlight w:val="none"/>
              </w:rPr>
            </w:pPr>
          </w:p>
        </w:tc>
      </w:tr>
      <w:tr w14:paraId="3E40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FA7A23F">
            <w:pPr>
              <w:spacing w:line="360" w:lineRule="auto"/>
              <w:jc w:val="center"/>
              <w:rPr>
                <w:rFonts w:ascii="宋体" w:hAnsi="宋体"/>
                <w:color w:val="auto"/>
                <w:sz w:val="24"/>
                <w:szCs w:val="24"/>
                <w:highlight w:val="none"/>
              </w:rPr>
            </w:pPr>
          </w:p>
        </w:tc>
        <w:tc>
          <w:tcPr>
            <w:tcW w:w="2878" w:type="dxa"/>
          </w:tcPr>
          <w:p w14:paraId="5B5F3D1F">
            <w:pPr>
              <w:spacing w:line="360" w:lineRule="auto"/>
              <w:jc w:val="center"/>
              <w:rPr>
                <w:rFonts w:ascii="宋体" w:hAnsi="宋体"/>
                <w:color w:val="auto"/>
                <w:sz w:val="24"/>
                <w:szCs w:val="24"/>
                <w:highlight w:val="none"/>
              </w:rPr>
            </w:pPr>
          </w:p>
        </w:tc>
        <w:tc>
          <w:tcPr>
            <w:tcW w:w="2832" w:type="dxa"/>
          </w:tcPr>
          <w:p w14:paraId="38324B98">
            <w:pPr>
              <w:spacing w:line="360" w:lineRule="auto"/>
              <w:jc w:val="center"/>
              <w:rPr>
                <w:rFonts w:ascii="宋体" w:hAnsi="宋体"/>
                <w:color w:val="auto"/>
                <w:sz w:val="24"/>
                <w:szCs w:val="24"/>
                <w:highlight w:val="none"/>
              </w:rPr>
            </w:pPr>
          </w:p>
        </w:tc>
        <w:tc>
          <w:tcPr>
            <w:tcW w:w="3346" w:type="dxa"/>
          </w:tcPr>
          <w:p w14:paraId="60D0A597">
            <w:pPr>
              <w:spacing w:line="360" w:lineRule="auto"/>
              <w:jc w:val="center"/>
              <w:rPr>
                <w:rFonts w:ascii="宋体" w:hAnsi="宋体"/>
                <w:color w:val="auto"/>
                <w:sz w:val="24"/>
                <w:szCs w:val="24"/>
                <w:highlight w:val="none"/>
              </w:rPr>
            </w:pPr>
          </w:p>
        </w:tc>
      </w:tr>
      <w:tr w14:paraId="31ABE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607AA2DB">
            <w:pPr>
              <w:spacing w:line="360" w:lineRule="auto"/>
              <w:jc w:val="center"/>
              <w:rPr>
                <w:rFonts w:ascii="宋体" w:hAnsi="宋体"/>
                <w:color w:val="auto"/>
                <w:sz w:val="24"/>
                <w:szCs w:val="24"/>
                <w:highlight w:val="none"/>
              </w:rPr>
            </w:pPr>
          </w:p>
        </w:tc>
        <w:tc>
          <w:tcPr>
            <w:tcW w:w="2878" w:type="dxa"/>
          </w:tcPr>
          <w:p w14:paraId="67BE3C51">
            <w:pPr>
              <w:spacing w:line="360" w:lineRule="auto"/>
              <w:jc w:val="center"/>
              <w:rPr>
                <w:rFonts w:ascii="宋体" w:hAnsi="宋体"/>
                <w:color w:val="auto"/>
                <w:sz w:val="24"/>
                <w:szCs w:val="24"/>
                <w:highlight w:val="none"/>
              </w:rPr>
            </w:pPr>
          </w:p>
        </w:tc>
        <w:tc>
          <w:tcPr>
            <w:tcW w:w="2832" w:type="dxa"/>
          </w:tcPr>
          <w:p w14:paraId="60CF662E">
            <w:pPr>
              <w:spacing w:line="360" w:lineRule="auto"/>
              <w:jc w:val="center"/>
              <w:rPr>
                <w:rFonts w:ascii="宋体" w:hAnsi="宋体"/>
                <w:color w:val="auto"/>
                <w:sz w:val="24"/>
                <w:szCs w:val="24"/>
                <w:highlight w:val="none"/>
              </w:rPr>
            </w:pPr>
          </w:p>
        </w:tc>
        <w:tc>
          <w:tcPr>
            <w:tcW w:w="3346" w:type="dxa"/>
          </w:tcPr>
          <w:p w14:paraId="1C266121">
            <w:pPr>
              <w:spacing w:line="360" w:lineRule="auto"/>
              <w:jc w:val="center"/>
              <w:rPr>
                <w:rFonts w:ascii="宋体" w:hAnsi="宋体"/>
                <w:color w:val="auto"/>
                <w:sz w:val="24"/>
                <w:szCs w:val="24"/>
                <w:highlight w:val="none"/>
              </w:rPr>
            </w:pPr>
          </w:p>
        </w:tc>
      </w:tr>
    </w:tbl>
    <w:p w14:paraId="65409959">
      <w:pPr>
        <w:spacing w:line="360" w:lineRule="auto"/>
        <w:ind w:firstLine="480" w:firstLineChars="200"/>
        <w:rPr>
          <w:rFonts w:ascii="宋体" w:hAnsi="宋体"/>
          <w:color w:val="auto"/>
          <w:sz w:val="24"/>
          <w:szCs w:val="24"/>
          <w:highlight w:val="none"/>
        </w:rPr>
      </w:pPr>
    </w:p>
    <w:p w14:paraId="0F66F9E7">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 xml:space="preserve">备注： </w:t>
      </w:r>
    </w:p>
    <w:p w14:paraId="5F3081A9">
      <w:pPr>
        <w:pStyle w:val="31"/>
        <w:adjustRightInd w:val="0"/>
        <w:snapToGrid w:val="0"/>
        <w:spacing w:before="0" w:beforeAutospacing="0" w:after="0" w:afterAutospacing="0" w:line="360" w:lineRule="auto"/>
        <w:ind w:firstLine="482" w:firstLineChars="200"/>
        <w:jc w:val="both"/>
        <w:rPr>
          <w:b/>
          <w:bCs/>
          <w:color w:val="auto"/>
          <w:highlight w:val="none"/>
        </w:rPr>
      </w:pPr>
      <w:r>
        <w:rPr>
          <w:rFonts w:hint="eastAsia"/>
          <w:b/>
          <w:bCs/>
          <w:color w:val="auto"/>
          <w:highlight w:val="none"/>
        </w:rPr>
        <w:t>1.供应商须对磋商文件商务要求中的实质性要求（打“★”内容）做出明确响应，否则视为无效响应。</w:t>
      </w:r>
    </w:p>
    <w:p w14:paraId="27A36E23">
      <w:pPr>
        <w:pStyle w:val="31"/>
        <w:adjustRightInd w:val="0"/>
        <w:snapToGrid w:val="0"/>
        <w:spacing w:before="0" w:beforeAutospacing="0" w:after="0" w:afterAutospacing="0" w:line="360" w:lineRule="auto"/>
        <w:ind w:firstLine="480" w:firstLineChars="200"/>
        <w:jc w:val="both"/>
        <w:rPr>
          <w:color w:val="auto"/>
          <w:highlight w:val="none"/>
        </w:rPr>
      </w:pPr>
      <w:r>
        <w:rPr>
          <w:rFonts w:hint="eastAsia"/>
          <w:color w:val="auto"/>
          <w:highlight w:val="none"/>
        </w:rPr>
        <w:t>2.行数不够，可自行添加。</w:t>
      </w:r>
    </w:p>
    <w:p w14:paraId="6453E152">
      <w:pPr>
        <w:spacing w:line="360" w:lineRule="auto"/>
        <w:rPr>
          <w:color w:val="auto"/>
          <w:highlight w:val="none"/>
        </w:rPr>
      </w:pPr>
    </w:p>
    <w:p w14:paraId="07FE5B45">
      <w:pPr>
        <w:spacing w:line="360" w:lineRule="auto"/>
        <w:rPr>
          <w:rFonts w:ascii="黑体" w:hAnsi="黑体" w:eastAsia="黑体"/>
          <w:iCs/>
          <w:color w:val="auto"/>
          <w:sz w:val="32"/>
          <w:szCs w:val="32"/>
          <w:highlight w:val="none"/>
        </w:rPr>
      </w:pPr>
      <w:r>
        <w:rPr>
          <w:rFonts w:hint="eastAsia" w:ascii="宋体" w:hAnsi="宋体" w:cs="仿宋"/>
          <w:b/>
          <w:bCs/>
          <w:color w:val="auto"/>
          <w:sz w:val="32"/>
          <w:szCs w:val="32"/>
          <w:highlight w:val="none"/>
        </w:rPr>
        <w:br w:type="page"/>
      </w:r>
      <w:r>
        <w:rPr>
          <w:rFonts w:hint="eastAsia" w:ascii="黑体" w:hAnsi="黑体" w:eastAsia="黑体"/>
          <w:iCs/>
          <w:color w:val="auto"/>
          <w:sz w:val="32"/>
          <w:szCs w:val="32"/>
          <w:highlight w:val="none"/>
        </w:rPr>
        <w:t>八、中小企业声明函</w:t>
      </w:r>
    </w:p>
    <w:p w14:paraId="6F4E0D7E">
      <w:pPr>
        <w:adjustRightInd w:val="0"/>
        <w:snapToGrid w:val="0"/>
        <w:spacing w:line="360" w:lineRule="auto"/>
        <w:jc w:val="center"/>
        <w:outlineLvl w:val="2"/>
        <w:rPr>
          <w:rFonts w:ascii="方正小标宋简体" w:hAnsi="方正小标宋简体" w:eastAsia="方正小标宋简体" w:cs="方正小标宋简体"/>
          <w:color w:val="auto"/>
          <w:kern w:val="2"/>
          <w:sz w:val="32"/>
          <w:szCs w:val="32"/>
          <w:highlight w:val="none"/>
        </w:rPr>
      </w:pPr>
      <w:r>
        <w:rPr>
          <w:rFonts w:hint="eastAsia" w:ascii="方正小标宋简体" w:hAnsi="方正小标宋简体" w:eastAsia="方正小标宋简体" w:cs="方正小标宋简体"/>
          <w:color w:val="auto"/>
          <w:kern w:val="2"/>
          <w:sz w:val="32"/>
          <w:szCs w:val="32"/>
          <w:highlight w:val="none"/>
        </w:rPr>
        <w:t>中小企业声明函（服务）</w:t>
      </w:r>
    </w:p>
    <w:p w14:paraId="59083345">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b/>
          <w:bCs/>
          <w:color w:val="auto"/>
          <w:sz w:val="24"/>
          <w:szCs w:val="24"/>
          <w:highlight w:val="none"/>
        </w:rPr>
        <w:t>服务全部由符合政策的中小企业承接。</w:t>
      </w:r>
      <w:r>
        <w:rPr>
          <w:rFonts w:hint="eastAsia" w:ascii="宋体" w:hAnsi="宋体"/>
          <w:color w:val="auto"/>
          <w:sz w:val="24"/>
          <w:szCs w:val="24"/>
          <w:highlight w:val="none"/>
        </w:rPr>
        <w:t>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300号）的规定，相关企业（含联合体中的小微企业、签订分包意向协议的中小企业）的具体情况如下：</w:t>
      </w:r>
    </w:p>
    <w:p w14:paraId="7760D83A">
      <w:pPr>
        <w:adjustRightInd w:val="0"/>
        <w:snapToGrid w:val="0"/>
        <w:spacing w:line="360" w:lineRule="auto"/>
        <w:ind w:firstLine="480" w:firstLineChars="200"/>
        <w:rPr>
          <w:rFonts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w:t>
      </w:r>
    </w:p>
    <w:p w14:paraId="07D87DC0">
      <w:pPr>
        <w:adjustRightInd w:val="0"/>
        <w:snapToGrid w:val="0"/>
        <w:spacing w:line="360" w:lineRule="auto"/>
        <w:ind w:firstLine="480" w:firstLineChars="200"/>
        <w:rPr>
          <w:rFonts w:ascii="宋体" w:hAnsi="宋体"/>
          <w:i/>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行业（磋商文件中明确的所属行业）；承接企业为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中型企业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 xml:space="preserve">小型企业 </w:t>
      </w:r>
      <w:r>
        <w:rPr>
          <w:rFonts w:hint="eastAsia" w:ascii="宋体" w:hAnsi="宋体"/>
          <w:color w:val="auto"/>
          <w:sz w:val="24"/>
          <w:szCs w:val="24"/>
          <w:highlight w:val="none"/>
        </w:rPr>
        <w:sym w:font="Wingdings" w:char="00A8"/>
      </w:r>
      <w:r>
        <w:rPr>
          <w:rFonts w:hint="eastAsia" w:ascii="宋体" w:hAnsi="宋体"/>
          <w:color w:val="auto"/>
          <w:sz w:val="24"/>
          <w:szCs w:val="24"/>
          <w:highlight w:val="none"/>
        </w:rPr>
        <w:t>微型企业。</w:t>
      </w:r>
    </w:p>
    <w:p w14:paraId="2B23EEC0">
      <w:pPr>
        <w:adjustRightInd w:val="0"/>
        <w:snapToGrid w:val="0"/>
        <w:spacing w:line="360"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w:t>
      </w:r>
    </w:p>
    <w:p w14:paraId="489460DB">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26A47D9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2845D96A">
      <w:pPr>
        <w:pStyle w:val="297"/>
        <w:adjustRightInd w:val="0"/>
        <w:snapToGrid w:val="0"/>
        <w:spacing w:line="360" w:lineRule="auto"/>
        <w:rPr>
          <w:rFonts w:ascii="宋体" w:hAnsi="宋体"/>
          <w:color w:val="auto"/>
          <w:sz w:val="24"/>
          <w:szCs w:val="24"/>
          <w:highlight w:val="none"/>
        </w:rPr>
      </w:pPr>
    </w:p>
    <w:p w14:paraId="698F319D">
      <w:pPr>
        <w:adjustRightInd w:val="0"/>
        <w:snapToGrid w:val="0"/>
        <w:spacing w:line="360" w:lineRule="auto"/>
        <w:rPr>
          <w:color w:val="auto"/>
          <w:highlight w:val="none"/>
        </w:rPr>
      </w:pPr>
    </w:p>
    <w:p w14:paraId="1FD9FE65">
      <w:pPr>
        <w:adjustRightInd w:val="0"/>
        <w:snapToGrid w:val="0"/>
        <w:spacing w:line="360" w:lineRule="auto"/>
        <w:ind w:right="180" w:firstLine="360" w:firstLineChars="150"/>
        <w:jc w:val="center"/>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32CF2264">
      <w:pPr>
        <w:widowControl/>
        <w:adjustRightInd w:val="0"/>
        <w:snapToGrid w:val="0"/>
        <w:spacing w:line="360" w:lineRule="auto"/>
        <w:ind w:firstLine="6000" w:firstLineChars="2500"/>
        <w:rPr>
          <w:rFonts w:ascii="宋体" w:hAnsi="宋体"/>
          <w:color w:val="auto"/>
          <w:sz w:val="24"/>
          <w:szCs w:val="24"/>
          <w:highlight w:val="none"/>
        </w:rPr>
      </w:pPr>
      <w:r>
        <w:rPr>
          <w:rFonts w:hint="eastAsia"/>
          <w:color w:val="auto"/>
          <w:sz w:val="24"/>
          <w:szCs w:val="24"/>
          <w:highlight w:val="none"/>
        </w:rPr>
        <w:t>日    期：</w:t>
      </w:r>
    </w:p>
    <w:p w14:paraId="477E914D">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备注：</w:t>
      </w:r>
    </w:p>
    <w:p w14:paraId="6F982950">
      <w:pPr>
        <w:widowControl/>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353E5C8E">
      <w:pPr>
        <w:widowControl/>
        <w:adjustRightInd w:val="0"/>
        <w:snapToGrid w:val="0"/>
        <w:spacing w:line="360" w:lineRule="auto"/>
        <w:ind w:firstLine="482" w:firstLineChars="200"/>
        <w:jc w:val="left"/>
        <w:rPr>
          <w:rFonts w:ascii="黑体" w:hAnsi="黑体" w:eastAsia="黑体"/>
          <w:color w:val="auto"/>
          <w:sz w:val="32"/>
          <w:szCs w:val="32"/>
          <w:highlight w:val="none"/>
        </w:rPr>
      </w:pPr>
      <w:r>
        <w:rPr>
          <w:rFonts w:hint="eastAsia" w:ascii="宋体" w:hAnsi="宋体"/>
          <w:b/>
          <w:bCs/>
          <w:color w:val="auto"/>
          <w:sz w:val="24"/>
          <w:szCs w:val="24"/>
          <w:highlight w:val="none"/>
        </w:rPr>
        <w:t>2.服务采购项目中，服务全部由符合政策的中小企业承接，享受相应的中小企业扶持政策，不对其中涉及的货物的制造商、工程的承建商作出要求。磋商文件第四章采购需求“</w:t>
      </w:r>
      <w:r>
        <w:rPr>
          <w:rFonts w:ascii="宋体" w:hAnsi="宋体"/>
          <w:b/>
          <w:bCs/>
          <w:color w:val="auto"/>
          <w:sz w:val="24"/>
          <w:szCs w:val="24"/>
          <w:highlight w:val="none"/>
        </w:rPr>
        <w:t>项目</w:t>
      </w:r>
      <w:r>
        <w:rPr>
          <w:rFonts w:hint="eastAsia" w:ascii="宋体" w:hAnsi="宋体"/>
          <w:b/>
          <w:bCs/>
          <w:color w:val="auto"/>
          <w:sz w:val="24"/>
          <w:szCs w:val="24"/>
          <w:highlight w:val="none"/>
        </w:rPr>
        <w:t>清单”中的“服务”产品需在此声明函中的“标的名称”中全部列明，并填写承接企业的具体情况。</w:t>
      </w:r>
      <w:r>
        <w:rPr>
          <w:rFonts w:hint="eastAsia" w:ascii="宋体" w:hAnsi="宋体"/>
          <w:b/>
          <w:bCs/>
          <w:color w:val="auto"/>
          <w:sz w:val="24"/>
          <w:szCs w:val="24"/>
          <w:highlight w:val="none"/>
        </w:rPr>
        <w:br w:type="page"/>
      </w:r>
      <w:r>
        <w:rPr>
          <w:rFonts w:hint="eastAsia" w:ascii="黑体" w:hAnsi="黑体" w:eastAsia="黑体"/>
          <w:iCs/>
          <w:color w:val="auto"/>
          <w:sz w:val="32"/>
          <w:szCs w:val="32"/>
          <w:highlight w:val="none"/>
        </w:rPr>
        <w:t>九、</w:t>
      </w:r>
      <w:r>
        <w:rPr>
          <w:rFonts w:hint="eastAsia" w:ascii="黑体" w:hAnsi="黑体" w:eastAsia="黑体"/>
          <w:color w:val="auto"/>
          <w:sz w:val="32"/>
          <w:szCs w:val="32"/>
          <w:highlight w:val="none"/>
        </w:rPr>
        <w:t>残疾人福利性单位声明函</w:t>
      </w:r>
    </w:p>
    <w:p w14:paraId="2E39ECCF">
      <w:pPr>
        <w:adjustRightInd w:val="0"/>
        <w:snapToGrid w:val="0"/>
        <w:spacing w:line="360" w:lineRule="auto"/>
        <w:jc w:val="center"/>
        <w:rPr>
          <w:rFonts w:ascii="方正小标宋简体" w:hAnsi="方正小标宋简体" w:eastAsia="方正小标宋简体" w:cs="方正小标宋简体"/>
          <w:color w:val="auto"/>
          <w:kern w:val="2"/>
          <w:sz w:val="32"/>
          <w:szCs w:val="32"/>
          <w:highlight w:val="none"/>
        </w:rPr>
      </w:pPr>
      <w:r>
        <w:rPr>
          <w:rFonts w:hint="eastAsia" w:ascii="方正小标宋简体" w:hAnsi="方正小标宋简体" w:eastAsia="方正小标宋简体" w:cs="方正小标宋简体"/>
          <w:color w:val="auto"/>
          <w:kern w:val="2"/>
          <w:sz w:val="32"/>
          <w:szCs w:val="32"/>
          <w:highlight w:val="none"/>
        </w:rPr>
        <w:t>残疾人福利性单位声明函</w:t>
      </w:r>
    </w:p>
    <w:p w14:paraId="03597472">
      <w:pPr>
        <w:adjustRightInd w:val="0"/>
        <w:snapToGrid w:val="0"/>
        <w:spacing w:line="360" w:lineRule="auto"/>
        <w:ind w:firstLine="480" w:firstLineChars="200"/>
        <w:rPr>
          <w:rFonts w:ascii="宋体" w:hAnsi="宋体"/>
          <w:color w:val="auto"/>
          <w:sz w:val="24"/>
          <w:szCs w:val="21"/>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XXXXXXXXXXXXXXXXXXXXXXXXX</w:t>
      </w:r>
      <w:r>
        <w:rPr>
          <w:rFonts w:hint="eastAsia" w:ascii="宋体" w:hAnsi="宋体"/>
          <w:color w:val="auto"/>
          <w:sz w:val="24"/>
          <w:szCs w:val="24"/>
          <w:highlight w:val="none"/>
        </w:rPr>
        <w:t>项目（采购包号：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4"/>
          <w:highlight w:val="none"/>
        </w:rPr>
        <w:t>服务全部由本单位提供</w:t>
      </w:r>
      <w:r>
        <w:rPr>
          <w:rFonts w:hint="eastAsia" w:ascii="宋体" w:hAnsi="宋体"/>
          <w:color w:val="auto"/>
          <w:sz w:val="24"/>
          <w:szCs w:val="21"/>
          <w:highlight w:val="none"/>
        </w:rPr>
        <w:t>。</w:t>
      </w:r>
    </w:p>
    <w:p w14:paraId="351B85C0">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CC54AF3">
      <w:pPr>
        <w:pStyle w:val="297"/>
        <w:adjustRightInd w:val="0"/>
        <w:snapToGrid w:val="0"/>
        <w:spacing w:line="360" w:lineRule="auto"/>
        <w:rPr>
          <w:rFonts w:ascii="宋体" w:hAnsi="宋体"/>
          <w:color w:val="auto"/>
          <w:sz w:val="24"/>
          <w:szCs w:val="24"/>
          <w:highlight w:val="none"/>
        </w:rPr>
      </w:pPr>
    </w:p>
    <w:p w14:paraId="36D03780">
      <w:pPr>
        <w:adjustRightInd w:val="0"/>
        <w:snapToGrid w:val="0"/>
        <w:spacing w:line="360" w:lineRule="auto"/>
        <w:rPr>
          <w:color w:val="auto"/>
          <w:highlight w:val="none"/>
        </w:rPr>
      </w:pPr>
    </w:p>
    <w:p w14:paraId="17BC3C24">
      <w:pPr>
        <w:adjustRightInd w:val="0"/>
        <w:snapToGrid w:val="0"/>
        <w:spacing w:line="360" w:lineRule="auto"/>
        <w:ind w:right="180" w:firstLine="360" w:firstLineChars="150"/>
        <w:jc w:val="center"/>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35371CA4">
      <w:pPr>
        <w:adjustRightInd w:val="0"/>
        <w:snapToGrid w:val="0"/>
        <w:spacing w:line="360" w:lineRule="auto"/>
        <w:ind w:firstLine="6000" w:firstLineChars="2500"/>
        <w:rPr>
          <w:rFonts w:ascii="宋体" w:hAnsi="宋体"/>
          <w:color w:val="auto"/>
          <w:sz w:val="24"/>
          <w:szCs w:val="24"/>
          <w:highlight w:val="none"/>
        </w:rPr>
      </w:pPr>
      <w:r>
        <w:rPr>
          <w:rFonts w:hint="eastAsia"/>
          <w:color w:val="auto"/>
          <w:sz w:val="24"/>
          <w:szCs w:val="24"/>
          <w:highlight w:val="none"/>
        </w:rPr>
        <w:t>日    期：</w:t>
      </w:r>
    </w:p>
    <w:p w14:paraId="566CF786">
      <w:pPr>
        <w:adjustRightInd w:val="0"/>
        <w:snapToGrid w:val="0"/>
        <w:spacing w:line="360" w:lineRule="auto"/>
        <w:ind w:firstLine="480" w:firstLineChars="200"/>
        <w:rPr>
          <w:rFonts w:ascii="宋体" w:hAnsi="宋体"/>
          <w:color w:val="auto"/>
          <w:sz w:val="24"/>
          <w:highlight w:val="none"/>
        </w:rPr>
      </w:pPr>
    </w:p>
    <w:p w14:paraId="2C24A6E8">
      <w:pPr>
        <w:spacing w:line="360" w:lineRule="auto"/>
        <w:ind w:firstLine="480" w:firstLineChars="200"/>
        <w:rPr>
          <w:rFonts w:ascii="宋体" w:hAnsi="宋体"/>
          <w:color w:val="auto"/>
          <w:sz w:val="24"/>
          <w:highlight w:val="none"/>
        </w:rPr>
      </w:pPr>
    </w:p>
    <w:p w14:paraId="27A8EF6D">
      <w:pPr>
        <w:spacing w:line="360" w:lineRule="auto"/>
        <w:jc w:val="center"/>
        <w:rPr>
          <w:rFonts w:ascii="黑体" w:hAnsi="黑体" w:eastAsia="黑体"/>
          <w:b/>
          <w:color w:val="auto"/>
          <w:sz w:val="32"/>
          <w:szCs w:val="32"/>
          <w:highlight w:val="none"/>
        </w:rPr>
      </w:pPr>
    </w:p>
    <w:p w14:paraId="638CBD52">
      <w:pPr>
        <w:spacing w:line="360" w:lineRule="auto"/>
        <w:jc w:val="center"/>
        <w:rPr>
          <w:rFonts w:ascii="黑体" w:hAnsi="黑体" w:eastAsia="黑体"/>
          <w:b/>
          <w:color w:val="auto"/>
          <w:sz w:val="32"/>
          <w:szCs w:val="32"/>
          <w:highlight w:val="none"/>
        </w:rPr>
      </w:pPr>
    </w:p>
    <w:p w14:paraId="7F7163FA">
      <w:pPr>
        <w:spacing w:line="360" w:lineRule="auto"/>
        <w:jc w:val="center"/>
        <w:rPr>
          <w:rFonts w:ascii="黑体" w:hAnsi="黑体" w:eastAsia="黑体"/>
          <w:b/>
          <w:color w:val="auto"/>
          <w:sz w:val="32"/>
          <w:szCs w:val="32"/>
          <w:highlight w:val="none"/>
        </w:rPr>
      </w:pPr>
    </w:p>
    <w:p w14:paraId="34C3ADA0">
      <w:pPr>
        <w:spacing w:line="360" w:lineRule="auto"/>
        <w:jc w:val="center"/>
        <w:rPr>
          <w:rFonts w:ascii="黑体" w:hAnsi="黑体" w:eastAsia="黑体"/>
          <w:b/>
          <w:color w:val="auto"/>
          <w:sz w:val="32"/>
          <w:szCs w:val="32"/>
          <w:highlight w:val="none"/>
        </w:rPr>
      </w:pPr>
    </w:p>
    <w:p w14:paraId="4C70C210">
      <w:pPr>
        <w:spacing w:line="360" w:lineRule="auto"/>
        <w:ind w:firstLine="645"/>
        <w:rPr>
          <w:rFonts w:ascii="宋体" w:hAnsi="宋体"/>
          <w:color w:val="auto"/>
          <w:sz w:val="24"/>
          <w:highlight w:val="none"/>
        </w:rPr>
      </w:pPr>
      <w:r>
        <w:rPr>
          <w:rFonts w:hint="eastAsia" w:ascii="黑体" w:hAnsi="黑体" w:eastAsia="黑体"/>
          <w:b/>
          <w:color w:val="auto"/>
          <w:sz w:val="32"/>
          <w:szCs w:val="32"/>
          <w:highlight w:val="none"/>
        </w:rPr>
        <w:br w:type="page"/>
      </w:r>
    </w:p>
    <w:p w14:paraId="53679D14">
      <w:pPr>
        <w:spacing w:line="360" w:lineRule="auto"/>
        <w:ind w:firstLine="645"/>
        <w:rPr>
          <w:rFonts w:ascii="宋体" w:hAnsi="宋体"/>
          <w:color w:val="auto"/>
          <w:sz w:val="24"/>
          <w:highlight w:val="none"/>
        </w:rPr>
      </w:pPr>
    </w:p>
    <w:p w14:paraId="0AE8074F">
      <w:pPr>
        <w:adjustRightInd w:val="0"/>
        <w:snapToGrid w:val="0"/>
        <w:spacing w:line="360" w:lineRule="auto"/>
        <w:jc w:val="left"/>
        <w:rPr>
          <w:rFonts w:ascii="宋体" w:hAnsi="宋体"/>
          <w:color w:val="auto"/>
          <w:sz w:val="24"/>
          <w:highlight w:val="none"/>
        </w:rPr>
      </w:pPr>
      <w:r>
        <w:rPr>
          <w:rFonts w:hint="eastAsia" w:ascii="黑体" w:hAnsi="黑体" w:eastAsia="黑体"/>
          <w:color w:val="auto"/>
          <w:sz w:val="32"/>
          <w:szCs w:val="32"/>
          <w:highlight w:val="none"/>
        </w:rPr>
        <w:t>十、关于符合本国产品标准的声明函</w:t>
      </w:r>
    </w:p>
    <w:p w14:paraId="653ADAAB">
      <w:pPr>
        <w:adjustRightInd w:val="0"/>
        <w:snapToGrid w:val="0"/>
        <w:spacing w:line="360" w:lineRule="auto"/>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关于符合本国产品标准的声明函（采购包号：**）</w:t>
      </w:r>
    </w:p>
    <w:p w14:paraId="121BF711">
      <w:pPr>
        <w:pStyle w:val="31"/>
        <w:shd w:val="clear" w:color="auto" w:fill="FFFFFF"/>
        <w:adjustRightInd w:val="0"/>
        <w:snapToGrid w:val="0"/>
        <w:spacing w:before="24" w:beforeAutospacing="0" w:after="24" w:afterAutospacing="0" w:line="360" w:lineRule="auto"/>
        <w:ind w:firstLine="420"/>
        <w:textAlignment w:val="baseline"/>
        <w:rPr>
          <w:color w:val="auto"/>
          <w:highlight w:val="none"/>
        </w:rPr>
      </w:pPr>
      <w:r>
        <w:rPr>
          <w:rFonts w:hint="eastAsia"/>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0D5316C4">
      <w:pPr>
        <w:pStyle w:val="31"/>
        <w:shd w:val="clear" w:color="auto" w:fill="FFFFFF"/>
        <w:adjustRightInd w:val="0"/>
        <w:snapToGrid w:val="0"/>
        <w:spacing w:before="24" w:beforeAutospacing="0" w:after="24" w:afterAutospacing="0" w:line="360" w:lineRule="auto"/>
        <w:ind w:firstLine="420"/>
        <w:textAlignment w:val="baseline"/>
        <w:rPr>
          <w:color w:val="auto"/>
          <w:highlight w:val="none"/>
        </w:rPr>
      </w:pPr>
      <w:r>
        <w:rPr>
          <w:rFonts w:hint="eastAsia"/>
          <w:color w:val="auto"/>
          <w:highlight w:val="none"/>
          <w:shd w:val="clear" w:color="auto" w:fill="FFFFFF"/>
        </w:rPr>
        <w:t>1.</w:t>
      </w:r>
      <w:r>
        <w:rPr>
          <w:rStyle w:val="38"/>
          <w:rFonts w:hint="eastAsia"/>
          <w:i w:val="0"/>
          <w:color w:val="auto"/>
          <w:highlight w:val="none"/>
          <w:u w:val="single"/>
          <w:shd w:val="clear" w:color="auto" w:fill="FFFFFF"/>
        </w:rPr>
        <w:t>（产品名称1）</w:t>
      </w:r>
      <w:r>
        <w:rPr>
          <w:rStyle w:val="38"/>
          <w:rFonts w:hint="eastAsia"/>
          <w:i w:val="0"/>
          <w:color w:val="auto"/>
          <w:highlight w:val="none"/>
          <w:shd w:val="clear" w:color="auto" w:fill="FFFFFF"/>
          <w:vertAlign w:val="superscript"/>
        </w:rPr>
        <w:t>1</w:t>
      </w:r>
      <w:r>
        <w:rPr>
          <w:rFonts w:hint="eastAsia"/>
          <w:color w:val="auto"/>
          <w:highlight w:val="none"/>
          <w:shd w:val="clear" w:color="auto" w:fill="FFFFFF"/>
        </w:rPr>
        <w:t>，</w:t>
      </w:r>
      <w:r>
        <w:rPr>
          <w:rFonts w:hint="eastAsia"/>
          <w:color w:val="auto"/>
          <w:highlight w:val="none"/>
          <w:u w:val="single"/>
          <w:shd w:val="clear" w:color="auto" w:fill="FFFFFF"/>
        </w:rPr>
        <w:t>生产厂为</w:t>
      </w:r>
      <w:r>
        <w:rPr>
          <w:rStyle w:val="38"/>
          <w:rFonts w:hint="eastAsia"/>
          <w:i w:val="0"/>
          <w:color w:val="auto"/>
          <w:highlight w:val="none"/>
          <w:u w:val="single"/>
          <w:shd w:val="clear" w:color="auto" w:fill="FFFFFF"/>
        </w:rPr>
        <w:t>（厂名）</w:t>
      </w:r>
      <w:r>
        <w:rPr>
          <w:rStyle w:val="38"/>
          <w:rFonts w:hint="eastAsia"/>
          <w:i w:val="0"/>
          <w:color w:val="auto"/>
          <w:highlight w:val="none"/>
          <w:shd w:val="clear" w:color="auto" w:fill="FFFFFF"/>
          <w:vertAlign w:val="superscript"/>
        </w:rPr>
        <w:t>2</w:t>
      </w:r>
      <w:r>
        <w:rPr>
          <w:rFonts w:hint="eastAsia"/>
          <w:color w:val="auto"/>
          <w:highlight w:val="none"/>
          <w:shd w:val="clear" w:color="auto" w:fill="FFFFFF"/>
        </w:rPr>
        <w:t>，厂址为</w:t>
      </w:r>
      <w:r>
        <w:rPr>
          <w:rStyle w:val="38"/>
          <w:rFonts w:hint="eastAsia"/>
          <w:i w:val="0"/>
          <w:color w:val="auto"/>
          <w:highlight w:val="none"/>
          <w:u w:val="single"/>
          <w:shd w:val="clear" w:color="auto" w:fill="FFFFFF"/>
        </w:rPr>
        <w:t>（生产厂址）</w:t>
      </w:r>
      <w:r>
        <w:rPr>
          <w:rFonts w:hint="eastAsia"/>
          <w:color w:val="auto"/>
          <w:highlight w:val="none"/>
          <w:shd w:val="clear" w:color="auto" w:fill="FFFFFF"/>
        </w:rPr>
        <w:t>。</w:t>
      </w:r>
      <w:r>
        <w:rPr>
          <w:rStyle w:val="38"/>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38"/>
          <w:rFonts w:hint="eastAsia"/>
          <w:color w:val="auto"/>
          <w:highlight w:val="none"/>
          <w:u w:val="single"/>
          <w:shd w:val="clear" w:color="auto" w:fill="FFFFFF"/>
        </w:rPr>
        <w:t>（规定比例）</w:t>
      </w:r>
      <w:r>
        <w:rPr>
          <w:rStyle w:val="38"/>
          <w:rFonts w:hint="eastAsia"/>
          <w:i w:val="0"/>
          <w:color w:val="auto"/>
          <w:highlight w:val="none"/>
          <w:shd w:val="clear" w:color="auto" w:fill="FFFFFF"/>
          <w:vertAlign w:val="superscript"/>
        </w:rPr>
        <w:t>3</w:t>
      </w:r>
      <w:r>
        <w:rPr>
          <w:rFonts w:hint="eastAsia"/>
          <w:color w:val="auto"/>
          <w:highlight w:val="none"/>
          <w:shd w:val="clear" w:color="auto" w:fill="FFFFFF"/>
        </w:rPr>
        <w:t>。</w:t>
      </w:r>
      <w:r>
        <w:rPr>
          <w:rStyle w:val="38"/>
          <w:rFonts w:hint="eastAsia"/>
          <w:color w:val="auto"/>
          <w:highlight w:val="none"/>
          <w:u w:val="single"/>
          <w:shd w:val="clear" w:color="auto" w:fill="FFFFFF"/>
        </w:rPr>
        <w:t>（产品名称1）</w:t>
      </w:r>
      <w:r>
        <w:rPr>
          <w:rFonts w:hint="eastAsia"/>
          <w:color w:val="auto"/>
          <w:highlight w:val="none"/>
          <w:shd w:val="clear" w:color="auto" w:fill="FFFFFF"/>
        </w:rPr>
        <w:t>的</w:t>
      </w:r>
      <w:r>
        <w:rPr>
          <w:rStyle w:val="38"/>
          <w:rFonts w:hint="eastAsia"/>
          <w:color w:val="auto"/>
          <w:highlight w:val="none"/>
          <w:u w:val="single"/>
          <w:shd w:val="clear" w:color="auto" w:fill="FFFFFF"/>
        </w:rPr>
        <w:t>（关键组件）</w:t>
      </w:r>
      <w:r>
        <w:rPr>
          <w:rStyle w:val="38"/>
          <w:rFonts w:hint="eastAsia"/>
          <w:i w:val="0"/>
          <w:color w:val="auto"/>
          <w:highlight w:val="none"/>
          <w:shd w:val="clear" w:color="auto" w:fill="FFFFFF"/>
          <w:vertAlign w:val="superscript"/>
        </w:rPr>
        <w:t>4</w:t>
      </w:r>
      <w:r>
        <w:rPr>
          <w:rFonts w:hint="eastAsia"/>
          <w:color w:val="auto"/>
          <w:highlight w:val="none"/>
          <w:shd w:val="clear" w:color="auto" w:fill="FFFFFF"/>
        </w:rPr>
        <w:t>在中国境内生产。</w:t>
      </w:r>
      <w:r>
        <w:rPr>
          <w:rStyle w:val="38"/>
          <w:rFonts w:hint="eastAsia"/>
          <w:color w:val="auto"/>
          <w:highlight w:val="none"/>
          <w:u w:val="single"/>
          <w:shd w:val="clear" w:color="auto" w:fill="FFFFFF"/>
        </w:rPr>
        <w:t>（产品名称1）</w:t>
      </w:r>
      <w:r>
        <w:rPr>
          <w:rFonts w:hint="eastAsia"/>
          <w:color w:val="auto"/>
          <w:highlight w:val="none"/>
          <w:shd w:val="clear" w:color="auto" w:fill="FFFFFF"/>
        </w:rPr>
        <w:t>的</w:t>
      </w:r>
      <w:r>
        <w:rPr>
          <w:rStyle w:val="38"/>
          <w:rFonts w:hint="eastAsia"/>
          <w:color w:val="auto"/>
          <w:highlight w:val="none"/>
          <w:u w:val="single"/>
          <w:shd w:val="clear" w:color="auto" w:fill="FFFFFF"/>
        </w:rPr>
        <w:t>（关键工序）</w:t>
      </w:r>
      <w:r>
        <w:rPr>
          <w:rStyle w:val="38"/>
          <w:rFonts w:hint="eastAsia"/>
          <w:i w:val="0"/>
          <w:color w:val="auto"/>
          <w:highlight w:val="none"/>
          <w:shd w:val="clear" w:color="auto" w:fill="FFFFFF"/>
          <w:vertAlign w:val="superscript"/>
        </w:rPr>
        <w:t>5</w:t>
      </w:r>
      <w:r>
        <w:rPr>
          <w:rFonts w:hint="eastAsia"/>
          <w:color w:val="auto"/>
          <w:highlight w:val="none"/>
          <w:shd w:val="clear" w:color="auto" w:fill="FFFFFF"/>
        </w:rPr>
        <w:t>在中国境内完成。</w:t>
      </w:r>
    </w:p>
    <w:p w14:paraId="6FD93CDE">
      <w:pPr>
        <w:pStyle w:val="31"/>
        <w:shd w:val="clear" w:color="auto" w:fill="FFFFFF"/>
        <w:adjustRightInd w:val="0"/>
        <w:snapToGrid w:val="0"/>
        <w:spacing w:before="24" w:beforeAutospacing="0" w:after="24" w:afterAutospacing="0" w:line="360" w:lineRule="auto"/>
        <w:ind w:firstLine="420"/>
        <w:textAlignment w:val="baseline"/>
        <w:rPr>
          <w:color w:val="auto"/>
          <w:highlight w:val="none"/>
        </w:rPr>
      </w:pPr>
      <w:r>
        <w:rPr>
          <w:rFonts w:hint="eastAsia"/>
          <w:color w:val="auto"/>
          <w:highlight w:val="none"/>
          <w:shd w:val="clear" w:color="auto" w:fill="FFFFFF"/>
        </w:rPr>
        <w:t>2.</w:t>
      </w:r>
      <w:r>
        <w:rPr>
          <w:rStyle w:val="38"/>
          <w:rFonts w:hint="eastAsia"/>
          <w:i w:val="0"/>
          <w:color w:val="auto"/>
          <w:highlight w:val="none"/>
          <w:u w:val="single"/>
          <w:shd w:val="clear" w:color="auto" w:fill="FFFFFF"/>
        </w:rPr>
        <w:t>（产品名称2）</w:t>
      </w:r>
      <w:r>
        <w:rPr>
          <w:rFonts w:hint="eastAsia"/>
          <w:color w:val="auto"/>
          <w:highlight w:val="none"/>
          <w:shd w:val="clear" w:color="auto" w:fill="FFFFFF"/>
        </w:rPr>
        <w:t>，生产厂为</w:t>
      </w:r>
      <w:r>
        <w:rPr>
          <w:rStyle w:val="38"/>
          <w:rFonts w:hint="eastAsia"/>
          <w:i w:val="0"/>
          <w:color w:val="auto"/>
          <w:highlight w:val="none"/>
          <w:u w:val="single"/>
          <w:shd w:val="clear" w:color="auto" w:fill="FFFFFF"/>
        </w:rPr>
        <w:t>（厂名）</w:t>
      </w:r>
      <w:r>
        <w:rPr>
          <w:rFonts w:hint="eastAsia"/>
          <w:color w:val="auto"/>
          <w:highlight w:val="none"/>
          <w:shd w:val="clear" w:color="auto" w:fill="FFFFFF"/>
        </w:rPr>
        <w:t>，厂址为</w:t>
      </w:r>
      <w:r>
        <w:rPr>
          <w:rStyle w:val="38"/>
          <w:rFonts w:hint="eastAsia"/>
          <w:i w:val="0"/>
          <w:color w:val="auto"/>
          <w:highlight w:val="none"/>
          <w:u w:val="single"/>
          <w:shd w:val="clear" w:color="auto" w:fill="FFFFFF"/>
        </w:rPr>
        <w:t>（生产厂址）</w:t>
      </w:r>
      <w:r>
        <w:rPr>
          <w:rFonts w:hint="eastAsia"/>
          <w:color w:val="auto"/>
          <w:highlight w:val="none"/>
          <w:shd w:val="clear" w:color="auto" w:fill="FFFFFF"/>
        </w:rPr>
        <w:t>。</w:t>
      </w:r>
      <w:r>
        <w:rPr>
          <w:rStyle w:val="38"/>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38"/>
          <w:rFonts w:hint="eastAsia"/>
          <w:color w:val="auto"/>
          <w:highlight w:val="none"/>
          <w:u w:val="single"/>
          <w:shd w:val="clear" w:color="auto" w:fill="FFFFFF"/>
        </w:rPr>
        <w:t>（规定比例）</w:t>
      </w:r>
      <w:r>
        <w:rPr>
          <w:rFonts w:hint="eastAsia"/>
          <w:color w:val="auto"/>
          <w:highlight w:val="none"/>
          <w:shd w:val="clear" w:color="auto" w:fill="FFFFFF"/>
        </w:rPr>
        <w:t>。</w:t>
      </w:r>
      <w:r>
        <w:rPr>
          <w:rStyle w:val="38"/>
          <w:rFonts w:hint="eastAsia"/>
          <w:color w:val="auto"/>
          <w:highlight w:val="none"/>
          <w:u w:val="single"/>
          <w:shd w:val="clear" w:color="auto" w:fill="FFFFFF"/>
        </w:rPr>
        <w:t>（产品名称2）</w:t>
      </w:r>
      <w:r>
        <w:rPr>
          <w:rFonts w:hint="eastAsia"/>
          <w:color w:val="auto"/>
          <w:highlight w:val="none"/>
          <w:shd w:val="clear" w:color="auto" w:fill="FFFFFF"/>
        </w:rPr>
        <w:t>的</w:t>
      </w:r>
      <w:r>
        <w:rPr>
          <w:rStyle w:val="38"/>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38"/>
          <w:rFonts w:hint="eastAsia"/>
          <w:color w:val="auto"/>
          <w:highlight w:val="none"/>
          <w:u w:val="single"/>
          <w:shd w:val="clear" w:color="auto" w:fill="FFFFFF"/>
        </w:rPr>
        <w:t>（产品名称2）</w:t>
      </w:r>
      <w:r>
        <w:rPr>
          <w:rFonts w:hint="eastAsia"/>
          <w:color w:val="auto"/>
          <w:highlight w:val="none"/>
          <w:shd w:val="clear" w:color="auto" w:fill="FFFFFF"/>
        </w:rPr>
        <w:t>的</w:t>
      </w:r>
      <w:r>
        <w:rPr>
          <w:rStyle w:val="38"/>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53859DF0">
      <w:pPr>
        <w:pStyle w:val="31"/>
        <w:shd w:val="clear" w:color="auto" w:fill="FFFFFF"/>
        <w:adjustRightInd w:val="0"/>
        <w:snapToGrid w:val="0"/>
        <w:spacing w:before="24" w:beforeAutospacing="0" w:after="24" w:afterAutospacing="0" w:line="360" w:lineRule="auto"/>
        <w:ind w:firstLine="420"/>
        <w:textAlignment w:val="baseline"/>
        <w:rPr>
          <w:color w:val="auto"/>
          <w:highlight w:val="none"/>
          <w:shd w:val="clear" w:color="auto" w:fill="FFFFFF"/>
        </w:rPr>
      </w:pPr>
      <w:r>
        <w:rPr>
          <w:rFonts w:hint="eastAsia"/>
          <w:color w:val="auto"/>
          <w:highlight w:val="none"/>
          <w:shd w:val="clear" w:color="auto" w:fill="FFFFFF"/>
        </w:rPr>
        <w:t>……</w:t>
      </w:r>
    </w:p>
    <w:p w14:paraId="243A005E">
      <w:pPr>
        <w:pStyle w:val="31"/>
        <w:shd w:val="clear" w:color="auto" w:fill="FFFFFF"/>
        <w:adjustRightInd w:val="0"/>
        <w:snapToGrid w:val="0"/>
        <w:spacing w:before="24" w:beforeAutospacing="0" w:after="24" w:afterAutospacing="0" w:line="360" w:lineRule="auto"/>
        <w:ind w:firstLine="420"/>
        <w:textAlignment w:val="baseline"/>
        <w:rPr>
          <w:color w:val="auto"/>
          <w:highlight w:val="none"/>
        </w:rPr>
      </w:pPr>
      <w:r>
        <w:rPr>
          <w:rFonts w:hint="eastAsia"/>
          <w:color w:val="auto"/>
          <w:highlight w:val="none"/>
          <w:shd w:val="clear" w:color="auto" w:fill="FFFFFF"/>
        </w:rPr>
        <w:t>本公司（单位）对上述声明内容的真实性负责。如有虚假，愿承担相应法律责任。</w:t>
      </w:r>
    </w:p>
    <w:p w14:paraId="5F479260">
      <w:pPr>
        <w:pStyle w:val="31"/>
        <w:shd w:val="clear" w:color="auto" w:fill="FFFFFF"/>
        <w:adjustRightInd w:val="0"/>
        <w:snapToGrid w:val="0"/>
        <w:spacing w:before="24" w:beforeAutospacing="0" w:after="24" w:afterAutospacing="0" w:line="360" w:lineRule="auto"/>
        <w:jc w:val="right"/>
        <w:textAlignment w:val="baseline"/>
        <w:rPr>
          <w:color w:val="auto"/>
          <w:highlight w:val="none"/>
        </w:rPr>
      </w:pPr>
      <w:r>
        <w:rPr>
          <w:rFonts w:hint="eastAsia"/>
          <w:color w:val="auto"/>
          <w:highlight w:val="none"/>
          <w:shd w:val="clear" w:color="auto" w:fill="FFFFFF"/>
        </w:rPr>
        <w:t>公司（单位）名称（盖章）：　        </w:t>
      </w:r>
    </w:p>
    <w:p w14:paraId="61DAC515">
      <w:pPr>
        <w:pStyle w:val="31"/>
        <w:shd w:val="clear" w:color="auto" w:fill="FFFFFF"/>
        <w:adjustRightInd w:val="0"/>
        <w:snapToGrid w:val="0"/>
        <w:spacing w:before="24" w:beforeAutospacing="0" w:after="24" w:afterAutospacing="0" w:line="360" w:lineRule="auto"/>
        <w:jc w:val="right"/>
        <w:textAlignment w:val="baseline"/>
        <w:rPr>
          <w:color w:val="auto"/>
          <w:sz w:val="28"/>
          <w:szCs w:val="28"/>
          <w:highlight w:val="none"/>
        </w:rPr>
      </w:pPr>
      <w:r>
        <w:rPr>
          <w:rFonts w:hint="eastAsia"/>
          <w:color w:val="auto"/>
          <w:highlight w:val="none"/>
          <w:shd w:val="clear" w:color="auto" w:fill="FFFFFF"/>
        </w:rPr>
        <w:t>日期：　     年　  月　  日    </w:t>
      </w:r>
      <w:r>
        <w:rPr>
          <w:rFonts w:hint="eastAsia"/>
          <w:color w:val="auto"/>
          <w:sz w:val="28"/>
          <w:szCs w:val="28"/>
          <w:highlight w:val="none"/>
          <w:shd w:val="clear" w:color="auto" w:fill="FFFFFF"/>
        </w:rPr>
        <w:t>     </w:t>
      </w:r>
    </w:p>
    <w:p w14:paraId="40A9E6DA">
      <w:pPr>
        <w:pStyle w:val="31"/>
        <w:shd w:val="clear" w:color="auto" w:fill="FFFFFF"/>
        <w:adjustRightInd w:val="0"/>
        <w:snapToGrid w:val="0"/>
        <w:spacing w:before="24" w:beforeAutospacing="0" w:after="24" w:afterAutospacing="0" w:line="360" w:lineRule="auto"/>
        <w:textAlignment w:val="baseline"/>
        <w:rPr>
          <w:color w:val="auto"/>
          <w:sz w:val="28"/>
          <w:szCs w:val="28"/>
          <w:highlight w:val="none"/>
        </w:rPr>
      </w:pPr>
      <w:r>
        <w:rPr>
          <w:rFonts w:hint="eastAsia"/>
          <w:color w:val="auto"/>
          <w:sz w:val="28"/>
          <w:szCs w:val="28"/>
          <w:highlight w:val="none"/>
          <w:shd w:val="clear" w:color="auto" w:fill="FFFFFF"/>
        </w:rPr>
        <w:t>__________________</w:t>
      </w:r>
    </w:p>
    <w:p w14:paraId="44D82EF2">
      <w:pPr>
        <w:pStyle w:val="31"/>
        <w:shd w:val="clear" w:color="auto" w:fill="FFFFFF"/>
        <w:adjustRightInd w:val="0"/>
        <w:snapToGrid w:val="0"/>
        <w:spacing w:before="24" w:beforeAutospacing="0" w:after="24" w:afterAutospacing="0" w:line="360" w:lineRule="auto"/>
        <w:ind w:firstLine="420"/>
        <w:textAlignment w:val="baseline"/>
        <w:rPr>
          <w:color w:val="auto"/>
          <w:sz w:val="21"/>
          <w:szCs w:val="21"/>
          <w:highlight w:val="none"/>
        </w:rPr>
      </w:pPr>
      <w:r>
        <w:rPr>
          <w:rFonts w:hint="eastAsia"/>
          <w:color w:val="auto"/>
          <w:sz w:val="21"/>
          <w:szCs w:val="21"/>
          <w:highlight w:val="none"/>
          <w:shd w:val="clear" w:color="auto" w:fill="FFFFFF"/>
        </w:rPr>
        <w:t>1.产品如有型号，请在“产品名称”栏一并填写。</w:t>
      </w:r>
    </w:p>
    <w:p w14:paraId="5EEF958E">
      <w:pPr>
        <w:pStyle w:val="31"/>
        <w:shd w:val="clear" w:color="auto" w:fill="FFFFFF"/>
        <w:adjustRightInd w:val="0"/>
        <w:snapToGrid w:val="0"/>
        <w:spacing w:before="24" w:beforeAutospacing="0" w:after="24" w:afterAutospacing="0" w:line="360" w:lineRule="auto"/>
        <w:ind w:firstLine="420"/>
        <w:textAlignment w:val="baseline"/>
        <w:rPr>
          <w:color w:val="auto"/>
          <w:sz w:val="21"/>
          <w:szCs w:val="21"/>
          <w:highlight w:val="none"/>
        </w:rPr>
      </w:pPr>
      <w:r>
        <w:rPr>
          <w:rFonts w:hint="eastAsia"/>
          <w:color w:val="auto"/>
          <w:sz w:val="21"/>
          <w:szCs w:val="21"/>
          <w:highlight w:val="none"/>
          <w:shd w:val="clear" w:color="auto" w:fill="FFFFFF"/>
        </w:rPr>
        <w:t>2.生产厂名与厂址应与生产厂营业执照载明的相关信息保持一致。</w:t>
      </w:r>
    </w:p>
    <w:p w14:paraId="7D8C3D9F">
      <w:pPr>
        <w:pStyle w:val="31"/>
        <w:shd w:val="clear" w:color="auto" w:fill="FFFFFF"/>
        <w:adjustRightInd w:val="0"/>
        <w:snapToGrid w:val="0"/>
        <w:spacing w:before="24" w:beforeAutospacing="0" w:after="24" w:afterAutospacing="0" w:line="360" w:lineRule="auto"/>
        <w:ind w:firstLine="420"/>
        <w:textAlignment w:val="baseline"/>
        <w:rPr>
          <w:color w:val="auto"/>
          <w:sz w:val="21"/>
          <w:szCs w:val="21"/>
          <w:highlight w:val="none"/>
        </w:rPr>
      </w:pPr>
      <w:r>
        <w:rPr>
          <w:rFonts w:hint="eastAsia"/>
          <w:color w:val="auto"/>
          <w:sz w:val="21"/>
          <w:szCs w:val="21"/>
          <w:highlight w:val="none"/>
          <w:shd w:val="clear" w:color="auto" w:fill="FFFFFF"/>
        </w:rPr>
        <w:t>3.该产品的中国境内生产的组件成本占比相关要求实施前，“规定比例”栏可不填。</w:t>
      </w:r>
    </w:p>
    <w:p w14:paraId="571F56D0">
      <w:pPr>
        <w:pStyle w:val="31"/>
        <w:shd w:val="clear" w:color="auto" w:fill="FFFFFF"/>
        <w:adjustRightInd w:val="0"/>
        <w:snapToGrid w:val="0"/>
        <w:spacing w:before="24" w:beforeAutospacing="0" w:after="24" w:afterAutospacing="0" w:line="360" w:lineRule="auto"/>
        <w:ind w:firstLine="420"/>
        <w:textAlignment w:val="baseline"/>
        <w:rPr>
          <w:color w:val="auto"/>
          <w:sz w:val="21"/>
          <w:szCs w:val="21"/>
          <w:highlight w:val="none"/>
          <w:shd w:val="clear" w:color="auto" w:fill="FFFFFF"/>
        </w:rPr>
      </w:pPr>
      <w:r>
        <w:rPr>
          <w:rFonts w:hint="eastAsia"/>
          <w:color w:val="auto"/>
          <w:sz w:val="21"/>
          <w:szCs w:val="21"/>
          <w:highlight w:val="none"/>
          <w:shd w:val="clear" w:color="auto" w:fill="FFFFFF"/>
        </w:rPr>
        <w:t>4.该产品的关键组件要求实施前，“关键组件”栏可不填。</w:t>
      </w:r>
    </w:p>
    <w:p w14:paraId="3BAD672D">
      <w:pPr>
        <w:pStyle w:val="31"/>
        <w:shd w:val="clear" w:color="auto" w:fill="FFFFFF"/>
        <w:adjustRightInd w:val="0"/>
        <w:snapToGrid w:val="0"/>
        <w:spacing w:before="24" w:beforeAutospacing="0" w:after="24" w:afterAutospacing="0" w:line="360" w:lineRule="auto"/>
        <w:ind w:firstLine="420"/>
        <w:textAlignment w:val="baseline"/>
        <w:rPr>
          <w:color w:val="auto"/>
          <w:sz w:val="21"/>
          <w:szCs w:val="21"/>
          <w:highlight w:val="none"/>
          <w:shd w:val="clear" w:color="auto" w:fill="FFFFFF"/>
        </w:rPr>
      </w:pPr>
      <w:r>
        <w:rPr>
          <w:rFonts w:hint="eastAsia"/>
          <w:color w:val="auto"/>
          <w:sz w:val="21"/>
          <w:szCs w:val="21"/>
          <w:highlight w:val="none"/>
          <w:shd w:val="clear" w:color="auto" w:fill="FFFFFF"/>
        </w:rPr>
        <w:t>5.该产品的关键工序要求实施前，“关键工序”栏可不填。</w:t>
      </w:r>
    </w:p>
    <w:p w14:paraId="7031BE79">
      <w:pPr>
        <w:spacing w:line="360" w:lineRule="auto"/>
        <w:jc w:val="center"/>
        <w:rPr>
          <w:rFonts w:ascii="方正小标宋简体" w:hAnsi="方正小标宋简体" w:eastAsia="方正小标宋简体" w:cs="方正小标宋简体"/>
          <w:color w:val="auto"/>
          <w:sz w:val="32"/>
          <w:szCs w:val="32"/>
          <w:highlight w:val="none"/>
        </w:rPr>
      </w:pPr>
      <w:r>
        <w:rPr>
          <w:rFonts w:hint="eastAsia"/>
          <w:color w:val="auto"/>
          <w:szCs w:val="21"/>
          <w:highlight w:val="none"/>
          <w:shd w:val="clear" w:color="auto" w:fill="FFFFFF"/>
        </w:rPr>
        <w:br w:type="page"/>
      </w:r>
      <w:r>
        <w:rPr>
          <w:rFonts w:hint="eastAsia" w:ascii="方正小标宋简体" w:hAnsi="方正小标宋简体" w:eastAsia="方正小标宋简体" w:cs="方正小标宋简体"/>
          <w:color w:val="auto"/>
          <w:sz w:val="32"/>
          <w:szCs w:val="32"/>
          <w:highlight w:val="none"/>
        </w:rPr>
        <w:t>质疑函范本</w:t>
      </w:r>
    </w:p>
    <w:p w14:paraId="502E40D1">
      <w:pPr>
        <w:adjustRightInd w:val="0"/>
        <w:snapToGrid w:val="0"/>
        <w:spacing w:before="240" w:beforeLines="10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27182F1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供应商名称：</w:t>
      </w:r>
      <w:r>
        <w:rPr>
          <w:rFonts w:hint="eastAsia" w:ascii="宋体" w:hAnsi="宋体" w:cs="仿宋"/>
          <w:color w:val="auto"/>
          <w:sz w:val="24"/>
          <w:szCs w:val="24"/>
          <w:highlight w:val="none"/>
          <w:u w:val="dotted"/>
        </w:rPr>
        <w:t xml:space="preserve">                                                              </w:t>
      </w:r>
    </w:p>
    <w:p w14:paraId="0BA82709">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0538C984">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21CF88AA">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47D2EC60">
      <w:pPr>
        <w:adjustRightInd w:val="0"/>
        <w:snapToGrid w:val="0"/>
        <w:spacing w:before="240" w:beforeLines="10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7248CBED">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dotted"/>
        </w:rPr>
        <w:t xml:space="preserve">                                                          </w:t>
      </w:r>
    </w:p>
    <w:p w14:paraId="1C2873F3">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采购包号：</w:t>
      </w:r>
      <w:r>
        <w:rPr>
          <w:rFonts w:hint="eastAsia" w:ascii="宋体" w:hAnsi="宋体" w:cs="仿宋"/>
          <w:color w:val="auto"/>
          <w:sz w:val="24"/>
          <w:szCs w:val="24"/>
          <w:highlight w:val="none"/>
          <w:u w:val="dotted"/>
        </w:rPr>
        <w:t xml:space="preserve">                   </w:t>
      </w:r>
    </w:p>
    <w:p w14:paraId="4410B2BD">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0DF89840">
      <w:pPr>
        <w:adjustRightInd w:val="0"/>
        <w:snapToGrid w:val="0"/>
        <w:spacing w:before="240" w:beforeLines="10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502B8246">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4CA5892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39BAA935">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1D6B694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10E30FB2">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5C0001E3">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u w:val="dotted"/>
        </w:rPr>
        <w:t xml:space="preserve">                                                                </w:t>
      </w:r>
    </w:p>
    <w:p w14:paraId="28B117A5">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19A5EE84">
      <w:pPr>
        <w:adjustRightInd w:val="0"/>
        <w:snapToGrid w:val="0"/>
        <w:spacing w:before="240" w:beforeLines="10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4DB2DC5F">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2F27EE0D">
      <w:pPr>
        <w:spacing w:line="360" w:lineRule="auto"/>
        <w:rPr>
          <w:rFonts w:ascii="宋体" w:hAnsi="宋体"/>
          <w:color w:val="auto"/>
          <w:sz w:val="24"/>
          <w:szCs w:val="24"/>
          <w:highlight w:val="none"/>
        </w:rPr>
      </w:pPr>
    </w:p>
    <w:p w14:paraId="0F52FC0C">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  字（签章）：                                 公  章：                      </w:t>
      </w:r>
    </w:p>
    <w:p w14:paraId="1ADC2DC5">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    </w:t>
      </w:r>
    </w:p>
    <w:p w14:paraId="69A87002">
      <w:pPr>
        <w:spacing w:line="360" w:lineRule="auto"/>
        <w:ind w:firstLine="480" w:firstLineChars="200"/>
        <w:rPr>
          <w:rFonts w:ascii="宋体" w:hAnsi="宋体"/>
          <w:bCs/>
          <w:color w:val="auto"/>
          <w:sz w:val="24"/>
          <w:szCs w:val="24"/>
          <w:highlight w:val="none"/>
        </w:rPr>
      </w:pPr>
    </w:p>
    <w:p w14:paraId="163F895F">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相关说明：</w:t>
      </w:r>
    </w:p>
    <w:p w14:paraId="5F82686F">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1.供应商提出质疑，应提交《质疑函》和必要的证明材料。</w:t>
      </w:r>
    </w:p>
    <w:p w14:paraId="045313A4">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2.</w:t>
      </w:r>
      <w:r>
        <w:rPr>
          <w:rFonts w:hint="eastAsia" w:ascii="宋体" w:hAnsi="宋体" w:cs="仿宋"/>
          <w:b/>
          <w:bCs/>
          <w:color w:val="auto"/>
          <w:sz w:val="24"/>
          <w:szCs w:val="24"/>
          <w:highlight w:val="none"/>
        </w:rPr>
        <w:t>由授权代表负责质疑事宜的，《质疑函》附件中应提交由质疑供应商法定代表人或主要负责人签署的《授权委托书》。</w:t>
      </w:r>
    </w:p>
    <w:p w14:paraId="62C8D92B">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3.质疑供应商针对项目的某一采购包进行质疑的，《质疑函》中应明确采购包号。</w:t>
      </w:r>
    </w:p>
    <w:p w14:paraId="55CD13E9">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4.《质疑函》的质疑事项应具体、明确，并有必要的事实依据和法律依据。</w:t>
      </w:r>
    </w:p>
    <w:p w14:paraId="0BA3FB28">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5.《质疑函》的质疑请求应与质疑事项相关。</w:t>
      </w:r>
    </w:p>
    <w:p w14:paraId="13EC25EB">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6.质疑供应商为自然人的，《质疑函》应由本人签字；质疑供应商为法人或者其他组织的，《质疑函》应由法定代表人、主要负责人，或者其授权代表签字或者签章，并加盖公章。</w:t>
      </w:r>
    </w:p>
    <w:p w14:paraId="3F553151">
      <w:pPr>
        <w:spacing w:line="360" w:lineRule="auto"/>
        <w:ind w:firstLine="480" w:firstLineChars="200"/>
        <w:rPr>
          <w:rFonts w:ascii="宋体" w:hAnsi="宋体" w:cs="仿宋"/>
          <w:color w:val="auto"/>
          <w:sz w:val="24"/>
          <w:szCs w:val="24"/>
          <w:highlight w:val="none"/>
        </w:rPr>
      </w:pPr>
      <w:r>
        <w:rPr>
          <w:rFonts w:hint="eastAsia" w:ascii="宋体" w:hAnsi="宋体" w:cs="仿宋"/>
          <w:color w:val="auto"/>
          <w:sz w:val="24"/>
          <w:szCs w:val="24"/>
          <w:highlight w:val="none"/>
        </w:rPr>
        <w:t>7.质疑</w:t>
      </w:r>
      <w:r>
        <w:rPr>
          <w:rFonts w:hint="eastAsia" w:ascii="宋体" w:hAnsi="宋体" w:cs="仿宋"/>
          <w:color w:val="auto"/>
          <w:sz w:val="24"/>
          <w:szCs w:val="24"/>
          <w:highlight w:val="none"/>
          <w:lang w:val="zh-CN"/>
        </w:rPr>
        <w:t>供应商</w:t>
      </w:r>
      <w:r>
        <w:rPr>
          <w:rFonts w:hint="eastAsia" w:ascii="宋体" w:hAnsi="宋体" w:cs="仿宋"/>
          <w:color w:val="auto"/>
          <w:sz w:val="24"/>
          <w:szCs w:val="24"/>
          <w:highlight w:val="none"/>
        </w:rPr>
        <w:t>为</w:t>
      </w:r>
      <w:r>
        <w:rPr>
          <w:rFonts w:hint="eastAsia" w:ascii="宋体" w:hAnsi="宋体" w:cs="仿宋"/>
          <w:color w:val="auto"/>
          <w:sz w:val="24"/>
          <w:szCs w:val="24"/>
          <w:highlight w:val="none"/>
          <w:lang w:val="zh-CN"/>
        </w:rPr>
        <w:t>联合体</w:t>
      </w:r>
      <w:r>
        <w:rPr>
          <w:rFonts w:hint="eastAsia" w:ascii="宋体" w:hAnsi="宋体" w:cs="仿宋"/>
          <w:color w:val="auto"/>
          <w:sz w:val="24"/>
          <w:szCs w:val="24"/>
          <w:highlight w:val="none"/>
        </w:rPr>
        <w:t>的</w:t>
      </w:r>
      <w:r>
        <w:rPr>
          <w:rFonts w:hint="eastAsia" w:ascii="宋体" w:hAnsi="宋体" w:cs="仿宋"/>
          <w:color w:val="auto"/>
          <w:sz w:val="24"/>
          <w:szCs w:val="24"/>
          <w:highlight w:val="none"/>
          <w:lang w:val="zh-CN"/>
        </w:rPr>
        <w:t>，则《质疑函》中要求加盖公章之处，联合体各方均须按要求加盖公章。</w:t>
      </w:r>
    </w:p>
    <w:p w14:paraId="7B5011BF">
      <w:pPr>
        <w:spacing w:line="360" w:lineRule="auto"/>
        <w:rPr>
          <w:color w:val="auto"/>
          <w:highlight w:val="none"/>
        </w:rPr>
      </w:pPr>
    </w:p>
    <w:p w14:paraId="0D7205BF">
      <w:pPr>
        <w:spacing w:line="360" w:lineRule="auto"/>
        <w:rPr>
          <w:rFonts w:ascii="宋体" w:hAnsi="宋体" w:cs="仿宋"/>
          <w:color w:val="auto"/>
          <w:sz w:val="24"/>
          <w:szCs w:val="24"/>
          <w:highlight w:val="none"/>
        </w:rPr>
      </w:pPr>
    </w:p>
    <w:sectPr>
      <w:headerReference r:id="rId3" w:type="default"/>
      <w:footerReference r:id="rId4" w:type="default"/>
      <w:footerReference r:id="rId5"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B0604020202020204"/>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panose1 w:val="020B0604020202020204"/>
    <w:charset w:val="80"/>
    <w:family w:val="swiss"/>
    <w:pitch w:val="default"/>
    <w:sig w:usb0="FFFFFFFF" w:usb1="E9FFFFFF" w:usb2="0000003F" w:usb3="00000000" w:csb0="603F01FF" w:csb1="FFFF0000"/>
  </w:font>
  <w:font w:name="方正小标宋_GBK">
    <w:panose1 w:val="02000000000000000000"/>
    <w:charset w:val="86"/>
    <w:family w:val="auto"/>
    <w:pitch w:val="default"/>
    <w:sig w:usb0="A00002BF" w:usb1="38CF7CFA" w:usb2="00082016" w:usb3="00000000" w:csb0="00040001" w:csb1="00000000"/>
  </w:font>
  <w:font w:name="方正黑体_GBK">
    <w:altName w:val="Arial Unicode MS"/>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小标宋简体">
    <w:altName w:val="Arial Unicode MS"/>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DEB4F">
    <w:pPr>
      <w:pStyle w:val="257"/>
      <w:framePr w:wrap="around" w:vAnchor="text" w:hAnchor="margin" w:xAlign="center" w:y="1"/>
      <w:rPr>
        <w:rStyle w:val="235"/>
        <w:rFonts w:ascii="宋体" w:hAnsi="宋体"/>
      </w:rPr>
    </w:pPr>
    <w:r>
      <w:rPr>
        <w:rFonts w:ascii="宋体" w:hAnsi="宋体"/>
      </w:rPr>
      <w:fldChar w:fldCharType="begin"/>
    </w:r>
    <w:r>
      <w:rPr>
        <w:rStyle w:val="235"/>
        <w:rFonts w:ascii="宋体" w:hAnsi="宋体"/>
      </w:rPr>
      <w:instrText xml:space="preserve">PAGE  </w:instrText>
    </w:r>
    <w:r>
      <w:rPr>
        <w:rFonts w:ascii="宋体" w:hAnsi="宋体"/>
      </w:rPr>
      <w:fldChar w:fldCharType="separate"/>
    </w:r>
    <w:r>
      <w:rPr>
        <w:rStyle w:val="235"/>
        <w:rFonts w:ascii="宋体" w:hAnsi="宋体"/>
      </w:rPr>
      <w:t>３９</w:t>
    </w:r>
    <w:r>
      <w:rPr>
        <w:rFonts w:ascii="宋体" w:hAnsi="宋体"/>
      </w:rPr>
      <w:fldChar w:fldCharType="end"/>
    </w:r>
  </w:p>
  <w:p w14:paraId="382B7AA6">
    <w:pPr>
      <w:pStyle w:val="257"/>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A8E90">
    <w:pPr>
      <w:pStyle w:val="257"/>
      <w:framePr w:wrap="around" w:vAnchor="text" w:hAnchor="margin" w:xAlign="center" w:y="1"/>
      <w:rPr>
        <w:rStyle w:val="235"/>
      </w:rPr>
    </w:pPr>
    <w:r>
      <w:fldChar w:fldCharType="begin"/>
    </w:r>
    <w:r>
      <w:rPr>
        <w:rStyle w:val="235"/>
      </w:rPr>
      <w:instrText xml:space="preserve">PAGE  </w:instrText>
    </w:r>
    <w:r>
      <w:fldChar w:fldCharType="separate"/>
    </w:r>
    <w:r>
      <w:rPr>
        <w:rStyle w:val="235"/>
      </w:rPr>
      <w:t>1</w:t>
    </w:r>
    <w:r>
      <w:fldChar w:fldCharType="end"/>
    </w:r>
  </w:p>
  <w:p w14:paraId="51F615C6">
    <w:pPr>
      <w:pStyle w:val="2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53127">
    <w:pPr>
      <w:pStyle w:val="23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6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7"/>
      <w:suff w:val="nothing"/>
      <w:lvlText w:val=""/>
      <w:lvlJc w:val="left"/>
      <w:pPr>
        <w:ind w:left="0" w:firstLine="0"/>
      </w:pPr>
      <w:rPr>
        <w:rFonts w:hint="eastAsia"/>
      </w:rPr>
    </w:lvl>
    <w:lvl w:ilvl="6" w:tentative="0">
      <w:start w:val="1"/>
      <w:numFmt w:val="decimal"/>
      <w:pStyle w:val="198"/>
      <w:suff w:val="nothing"/>
      <w:lvlText w:val=""/>
      <w:lvlJc w:val="left"/>
      <w:pPr>
        <w:ind w:left="0" w:firstLine="0"/>
      </w:pPr>
      <w:rPr>
        <w:rFonts w:hint="eastAsia"/>
      </w:rPr>
    </w:lvl>
    <w:lvl w:ilvl="7" w:tentative="0">
      <w:start w:val="1"/>
      <w:numFmt w:val="decimal"/>
      <w:pStyle w:val="199"/>
      <w:suff w:val="nothing"/>
      <w:lvlText w:val=""/>
      <w:lvlJc w:val="left"/>
      <w:pPr>
        <w:ind w:left="0" w:firstLine="0"/>
      </w:pPr>
      <w:rPr>
        <w:rFonts w:hint="eastAsia"/>
      </w:rPr>
    </w:lvl>
    <w:lvl w:ilvl="8" w:tentative="0">
      <w:start w:val="1"/>
      <w:numFmt w:val="decimal"/>
      <w:pStyle w:val="200"/>
      <w:suff w:val="nothing"/>
      <w:lvlText w:val=""/>
      <w:lvlJc w:val="left"/>
      <w:pPr>
        <w:ind w:left="0" w:firstLine="0"/>
      </w:pPr>
      <w:rPr>
        <w:rFonts w:hint="eastAsia"/>
      </w:rPr>
    </w:lvl>
  </w:abstractNum>
  <w:abstractNum w:abstractNumId="3">
    <w:nsid w:val="4A089D5B"/>
    <w:multiLevelType w:val="singleLevel"/>
    <w:tmpl w:val="4A089D5B"/>
    <w:lvl w:ilvl="0" w:tentative="0">
      <w:start w:val="4"/>
      <w:numFmt w:val="decimal"/>
      <w:suff w:val="nothing"/>
      <w:lvlText w:val="%1、"/>
      <w:lvlJc w:val="left"/>
    </w:lvl>
  </w:abstractNum>
  <w:abstractNum w:abstractNumId="4">
    <w:nsid w:val="59ADCABA"/>
    <w:multiLevelType w:val="multilevel"/>
    <w:tmpl w:val="59ADCABA"/>
    <w:lvl w:ilvl="0" w:tentative="0">
      <w:start w:val="1"/>
      <w:numFmt w:val="decimal"/>
      <w:pStyle w:val="31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968"/>
    <w:rsid w:val="00956EFA"/>
    <w:rsid w:val="00B84FF1"/>
    <w:rsid w:val="00C45C9E"/>
    <w:rsid w:val="00F57968"/>
    <w:rsid w:val="0A6D18E6"/>
    <w:rsid w:val="0AE81B2F"/>
    <w:rsid w:val="0BB01E36"/>
    <w:rsid w:val="0E7C2438"/>
    <w:rsid w:val="16855E6D"/>
    <w:rsid w:val="19E6489E"/>
    <w:rsid w:val="1A587EBD"/>
    <w:rsid w:val="1B826AC1"/>
    <w:rsid w:val="1E166DB5"/>
    <w:rsid w:val="235A2EF8"/>
    <w:rsid w:val="24D517C9"/>
    <w:rsid w:val="298C36DF"/>
    <w:rsid w:val="2B0540AE"/>
    <w:rsid w:val="2B1127C4"/>
    <w:rsid w:val="2B1A4D1A"/>
    <w:rsid w:val="2C404BB8"/>
    <w:rsid w:val="2E817E25"/>
    <w:rsid w:val="2F2E6FE6"/>
    <w:rsid w:val="31C8580C"/>
    <w:rsid w:val="322070F2"/>
    <w:rsid w:val="3CDC4526"/>
    <w:rsid w:val="49A75C13"/>
    <w:rsid w:val="4A9462EC"/>
    <w:rsid w:val="4AAD305D"/>
    <w:rsid w:val="4F005E52"/>
    <w:rsid w:val="4F4D5878"/>
    <w:rsid w:val="50BC3FFA"/>
    <w:rsid w:val="55C20305"/>
    <w:rsid w:val="56F97D56"/>
    <w:rsid w:val="58513A13"/>
    <w:rsid w:val="5A47527D"/>
    <w:rsid w:val="5BF4246E"/>
    <w:rsid w:val="5C657C3C"/>
    <w:rsid w:val="5D973E25"/>
    <w:rsid w:val="5DB534B4"/>
    <w:rsid w:val="62751A14"/>
    <w:rsid w:val="62930839"/>
    <w:rsid w:val="65847385"/>
    <w:rsid w:val="66B658AB"/>
    <w:rsid w:val="68010317"/>
    <w:rsid w:val="69CF2803"/>
    <w:rsid w:val="72C1079B"/>
    <w:rsid w:val="743739C4"/>
    <w:rsid w:val="74817629"/>
    <w:rsid w:val="74925133"/>
    <w:rsid w:val="76A21292"/>
    <w:rsid w:val="779C230C"/>
    <w:rsid w:val="78727511"/>
    <w:rsid w:val="7AA03EC1"/>
    <w:rsid w:val="7B807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8"/>
    <w:link w:val="45"/>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8"/>
    <w:link w:val="46"/>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48"/>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link w:val="49"/>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link w:val="50"/>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leftChars="0" w:firstLine="420" w:firstLineChars="200"/>
    </w:pPr>
    <w:rPr>
      <w:rFonts w:ascii="宋体" w:hAnsi="宋体"/>
      <w:szCs w:val="20"/>
    </w:r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0"/>
    <w:pPr>
      <w:snapToGrid w:val="0"/>
    </w:pPr>
    <w:rPr>
      <w:rFonts w:ascii="Arial" w:hAnsi="Arial" w:cs="宋体"/>
    </w:rPr>
  </w:style>
  <w:style w:type="paragraph" w:styleId="8">
    <w:name w:val="Normal Indent"/>
    <w:basedOn w:val="1"/>
    <w:qFormat/>
    <w:uiPriority w:val="0"/>
    <w:pPr>
      <w:ind w:firstLine="420"/>
    </w:pPr>
    <w:rPr>
      <w:szCs w:val="21"/>
    </w:r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9"/>
    <w:semiHidden/>
    <w:unhideWhenUsed/>
    <w:qFormat/>
    <w:uiPriority w:val="99"/>
    <w:rPr>
      <w:sz w:val="20"/>
    </w:rPr>
  </w:style>
  <w:style w:type="paragraph" w:styleId="21">
    <w:name w:val="footer"/>
    <w:basedOn w:val="1"/>
    <w:link w:val="62"/>
    <w:unhideWhenUsed/>
    <w:qFormat/>
    <w:uiPriority w:val="99"/>
    <w:pPr>
      <w:tabs>
        <w:tab w:val="center" w:pos="7143"/>
        <w:tab w:val="right" w:pos="14287"/>
      </w:tabs>
    </w:pPr>
  </w:style>
  <w:style w:type="paragraph" w:styleId="22">
    <w:name w:val="header"/>
    <w:basedOn w:val="1"/>
    <w:link w:val="60"/>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5"/>
    <w:qFormat/>
    <w:uiPriority w:val="11"/>
    <w:pPr>
      <w:spacing w:before="200" w:after="200"/>
    </w:pPr>
    <w:rPr>
      <w:sz w:val="24"/>
      <w:szCs w:val="24"/>
    </w:rPr>
  </w:style>
  <w:style w:type="paragraph" w:styleId="26">
    <w:name w:val="footnote text"/>
    <w:basedOn w:val="1"/>
    <w:link w:val="18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2">
    <w:name w:val="Title"/>
    <w:basedOn w:val="1"/>
    <w:next w:val="1"/>
    <w:link w:val="54"/>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page number"/>
    <w:qFormat/>
    <w:uiPriority w:val="0"/>
  </w:style>
  <w:style w:type="character" w:styleId="38">
    <w:name w:val="Emphasis"/>
    <w:qFormat/>
    <w:uiPriority w:val="0"/>
    <w:rPr>
      <w:i/>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文本块11"/>
    <w:basedOn w:val="42"/>
    <w:unhideWhenUsed/>
    <w:qFormat/>
    <w:uiPriority w:val="6"/>
    <w:pPr>
      <w:spacing w:after="120"/>
      <w:ind w:left="1440" w:right="1440"/>
    </w:pPr>
  </w:style>
  <w:style w:type="paragraph" w:customStyle="1" w:styleId="42">
    <w:name w:val="正文12"/>
    <w:next w:val="41"/>
    <w:qFormat/>
    <w:uiPriority w:val="0"/>
    <w:pPr>
      <w:widowControl w:val="0"/>
      <w:spacing w:line="360" w:lineRule="auto"/>
      <w:ind w:firstLine="723"/>
      <w:jc w:val="both"/>
    </w:pPr>
    <w:rPr>
      <w:rFonts w:ascii="Times New Roman" w:hAnsi="Times New Roman" w:eastAsia="宋体" w:cs="Times New Roman"/>
      <w:sz w:val="24"/>
      <w:szCs w:val="24"/>
      <w:lang w:val="en-US" w:eastAsia="zh-CN" w:bidi="ar-SA"/>
    </w:rPr>
  </w:style>
  <w:style w:type="character" w:customStyle="1" w:styleId="43">
    <w:name w:val="标题 1 字符"/>
    <w:link w:val="5"/>
    <w:qFormat/>
    <w:uiPriority w:val="9"/>
    <w:rPr>
      <w:rFonts w:ascii="Arial" w:hAnsi="Arial" w:eastAsia="Arial" w:cs="Arial"/>
      <w:sz w:val="40"/>
      <w:szCs w:val="40"/>
    </w:rPr>
  </w:style>
  <w:style w:type="character" w:customStyle="1" w:styleId="44">
    <w:name w:val="标题 2 字符"/>
    <w:link w:val="6"/>
    <w:qFormat/>
    <w:uiPriority w:val="9"/>
    <w:rPr>
      <w:rFonts w:ascii="Arial" w:hAnsi="Arial" w:eastAsia="Arial" w:cs="Arial"/>
      <w:sz w:val="34"/>
    </w:rPr>
  </w:style>
  <w:style w:type="character" w:customStyle="1" w:styleId="45">
    <w:name w:val="标题 3 字符"/>
    <w:link w:val="7"/>
    <w:qFormat/>
    <w:uiPriority w:val="9"/>
    <w:rPr>
      <w:rFonts w:ascii="Arial" w:hAnsi="Arial" w:eastAsia="Arial" w:cs="Arial"/>
      <w:sz w:val="30"/>
      <w:szCs w:val="30"/>
    </w:rPr>
  </w:style>
  <w:style w:type="character" w:customStyle="1" w:styleId="46">
    <w:name w:val="标题 4 字符"/>
    <w:link w:val="9"/>
    <w:qFormat/>
    <w:uiPriority w:val="9"/>
    <w:rPr>
      <w:rFonts w:ascii="Arial" w:hAnsi="Arial" w:eastAsia="Arial" w:cs="Arial"/>
      <w:b/>
      <w:bCs/>
      <w:sz w:val="26"/>
      <w:szCs w:val="26"/>
    </w:rPr>
  </w:style>
  <w:style w:type="character" w:customStyle="1" w:styleId="47">
    <w:name w:val="标题 5 字符"/>
    <w:link w:val="10"/>
    <w:qFormat/>
    <w:uiPriority w:val="9"/>
    <w:rPr>
      <w:rFonts w:ascii="Arial" w:hAnsi="Arial" w:eastAsia="Arial" w:cs="Arial"/>
      <w:b/>
      <w:bCs/>
      <w:sz w:val="24"/>
      <w:szCs w:val="24"/>
    </w:rPr>
  </w:style>
  <w:style w:type="character" w:customStyle="1" w:styleId="48">
    <w:name w:val="标题 6 字符"/>
    <w:link w:val="11"/>
    <w:qFormat/>
    <w:uiPriority w:val="9"/>
    <w:rPr>
      <w:rFonts w:ascii="Arial" w:hAnsi="Arial" w:eastAsia="Arial" w:cs="Arial"/>
      <w:b/>
      <w:bCs/>
      <w:sz w:val="22"/>
      <w:szCs w:val="22"/>
    </w:rPr>
  </w:style>
  <w:style w:type="character" w:customStyle="1" w:styleId="49">
    <w:name w:val="标题 7 字符"/>
    <w:link w:val="12"/>
    <w:qFormat/>
    <w:uiPriority w:val="9"/>
    <w:rPr>
      <w:rFonts w:ascii="Arial" w:hAnsi="Arial" w:eastAsia="Arial" w:cs="Arial"/>
      <w:b/>
      <w:bCs/>
      <w:i/>
      <w:iCs/>
      <w:sz w:val="22"/>
      <w:szCs w:val="22"/>
    </w:rPr>
  </w:style>
  <w:style w:type="character" w:customStyle="1" w:styleId="50">
    <w:name w:val="标题 8 字符"/>
    <w:link w:val="13"/>
    <w:qFormat/>
    <w:uiPriority w:val="9"/>
    <w:rPr>
      <w:rFonts w:ascii="Arial" w:hAnsi="Arial" w:eastAsia="Arial" w:cs="Arial"/>
      <w:i/>
      <w:iCs/>
      <w:sz w:val="22"/>
      <w:szCs w:val="22"/>
    </w:rPr>
  </w:style>
  <w:style w:type="character" w:customStyle="1" w:styleId="51">
    <w:name w:val="标题 9 字符"/>
    <w:link w:val="14"/>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2"/>
    <w:qFormat/>
    <w:uiPriority w:val="10"/>
    <w:rPr>
      <w:sz w:val="48"/>
      <w:szCs w:val="48"/>
    </w:rPr>
  </w:style>
  <w:style w:type="character" w:customStyle="1" w:styleId="55">
    <w:name w:val="副标题 字符"/>
    <w:link w:val="25"/>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
    <w:link w:val="22"/>
    <w:qFormat/>
    <w:uiPriority w:val="99"/>
  </w:style>
  <w:style w:type="character" w:customStyle="1" w:styleId="61">
    <w:name w:val="Footer Char"/>
    <w:qFormat/>
    <w:uiPriority w:val="99"/>
  </w:style>
  <w:style w:type="character" w:customStyle="1" w:styleId="62">
    <w:name w:val="页脚 字符"/>
    <w:link w:val="21"/>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6"/>
    <w:qFormat/>
    <w:uiPriority w:val="99"/>
    <w:rPr>
      <w:sz w:val="18"/>
    </w:rPr>
  </w:style>
  <w:style w:type="character" w:customStyle="1" w:styleId="189">
    <w:name w:val="尾注文本 字符"/>
    <w:link w:val="20"/>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1"/>
    <w:basedOn w:val="1"/>
    <w:next w:val="1"/>
    <w:link w:val="242"/>
    <w:qFormat/>
    <w:uiPriority w:val="0"/>
    <w:pPr>
      <w:keepNext/>
      <w:jc w:val="center"/>
      <w:outlineLvl w:val="0"/>
    </w:pPr>
    <w:rPr>
      <w:rFonts w:ascii="楷体_GB2312" w:eastAsia="楷体_GB2312"/>
      <w:sz w:val="28"/>
      <w:szCs w:val="28"/>
    </w:rPr>
  </w:style>
  <w:style w:type="paragraph" w:customStyle="1" w:styleId="192">
    <w:name w:val="标题 21"/>
    <w:basedOn w:val="1"/>
    <w:next w:val="193"/>
    <w:link w:val="22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3">
    <w:name w:val="正文缩进1"/>
    <w:basedOn w:val="1"/>
    <w:link w:val="239"/>
    <w:qFormat/>
    <w:uiPriority w:val="0"/>
    <w:pPr>
      <w:ind w:firstLine="420"/>
    </w:pPr>
    <w:rPr>
      <w:szCs w:val="21"/>
    </w:rPr>
  </w:style>
  <w:style w:type="paragraph" w:customStyle="1" w:styleId="194">
    <w:name w:val="标题 31"/>
    <w:basedOn w:val="1"/>
    <w:next w:val="1"/>
    <w:link w:val="247"/>
    <w:qFormat/>
    <w:uiPriority w:val="0"/>
    <w:pPr>
      <w:keepNext/>
      <w:keepLines/>
      <w:spacing w:before="260" w:after="260" w:line="416" w:lineRule="auto"/>
      <w:outlineLvl w:val="2"/>
    </w:pPr>
    <w:rPr>
      <w:b/>
      <w:bCs/>
      <w:sz w:val="32"/>
      <w:szCs w:val="32"/>
    </w:rPr>
  </w:style>
  <w:style w:type="paragraph" w:customStyle="1" w:styleId="195">
    <w:name w:val="标题 41"/>
    <w:basedOn w:val="1"/>
    <w:next w:val="193"/>
    <w:link w:val="21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6">
    <w:name w:val="标题 51"/>
    <w:basedOn w:val="1"/>
    <w:next w:val="193"/>
    <w:link w:val="240"/>
    <w:qFormat/>
    <w:uiPriority w:val="0"/>
    <w:pPr>
      <w:keepNext/>
      <w:outlineLvl w:val="4"/>
    </w:pPr>
    <w:rPr>
      <w:rFonts w:ascii="宋体"/>
      <w:color w:val="000000"/>
      <w:sz w:val="28"/>
      <w:szCs w:val="28"/>
    </w:rPr>
  </w:style>
  <w:style w:type="paragraph" w:customStyle="1" w:styleId="197">
    <w:name w:val="标题 61"/>
    <w:basedOn w:val="1"/>
    <w:next w:val="1"/>
    <w:link w:val="22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8">
    <w:name w:val="标题 71"/>
    <w:basedOn w:val="1"/>
    <w:next w:val="1"/>
    <w:link w:val="222"/>
    <w:qFormat/>
    <w:uiPriority w:val="0"/>
    <w:pPr>
      <w:keepNext/>
      <w:keepLines/>
      <w:numPr>
        <w:ilvl w:val="6"/>
        <w:numId w:val="1"/>
      </w:numPr>
      <w:spacing w:before="240" w:after="64" w:line="320" w:lineRule="auto"/>
      <w:outlineLvl w:val="6"/>
    </w:pPr>
    <w:rPr>
      <w:b/>
      <w:bCs/>
      <w:sz w:val="24"/>
      <w:szCs w:val="24"/>
    </w:rPr>
  </w:style>
  <w:style w:type="paragraph" w:customStyle="1" w:styleId="199">
    <w:name w:val="标题 81"/>
    <w:basedOn w:val="1"/>
    <w:next w:val="1"/>
    <w:link w:val="24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0">
    <w:name w:val="标题 91"/>
    <w:basedOn w:val="1"/>
    <w:next w:val="1"/>
    <w:link w:val="245"/>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1">
    <w:name w:val="默认段落字体1"/>
    <w:unhideWhenUsed/>
    <w:qFormat/>
    <w:uiPriority w:val="1"/>
  </w:style>
  <w:style w:type="table" w:customStyle="1" w:styleId="202">
    <w:name w:val="普通表格11"/>
    <w:unhideWhenUsed/>
    <w:qFormat/>
    <w:uiPriority w:val="99"/>
    <w:tblPr>
      <w:tblCellMar>
        <w:top w:w="0" w:type="dxa"/>
        <w:left w:w="0" w:type="dxa"/>
        <w:bottom w:w="0" w:type="dxa"/>
        <w:right w:w="0" w:type="dxa"/>
      </w:tblCellMar>
    </w:tblPr>
  </w:style>
  <w:style w:type="character" w:customStyle="1" w:styleId="203">
    <w:name w:val="正文文本缩进 Char"/>
    <w:basedOn w:val="201"/>
    <w:link w:val="204"/>
    <w:semiHidden/>
    <w:qFormat/>
    <w:uiPriority w:val="99"/>
  </w:style>
  <w:style w:type="paragraph" w:customStyle="1" w:styleId="204">
    <w:name w:val="正文文本缩进1"/>
    <w:basedOn w:val="1"/>
    <w:link w:val="203"/>
    <w:unhideWhenUsed/>
    <w:qFormat/>
    <w:uiPriority w:val="0"/>
    <w:pPr>
      <w:spacing w:after="120"/>
      <w:ind w:left="420"/>
    </w:pPr>
  </w:style>
  <w:style w:type="character" w:customStyle="1" w:styleId="205">
    <w:name w:val="正文文本 3 Char"/>
    <w:link w:val="206"/>
    <w:qFormat/>
    <w:uiPriority w:val="0"/>
    <w:rPr>
      <w:rFonts w:ascii="仿宋_GB2312" w:hAnsi="Arial" w:eastAsia="仿宋_GB2312" w:cs="Times New Roman"/>
      <w:sz w:val="32"/>
      <w:szCs w:val="32"/>
    </w:rPr>
  </w:style>
  <w:style w:type="paragraph" w:customStyle="1" w:styleId="206">
    <w:name w:val="正文文本 31"/>
    <w:basedOn w:val="1"/>
    <w:link w:val="205"/>
    <w:qFormat/>
    <w:uiPriority w:val="0"/>
    <w:rPr>
      <w:rFonts w:ascii="仿宋_GB2312" w:hAnsi="Arial" w:eastAsia="仿宋_GB2312"/>
      <w:sz w:val="32"/>
      <w:szCs w:val="32"/>
    </w:rPr>
  </w:style>
  <w:style w:type="character" w:customStyle="1" w:styleId="207">
    <w:name w:val="纯文本 Char"/>
    <w:link w:val="208"/>
    <w:qFormat/>
    <w:uiPriority w:val="0"/>
    <w:rPr>
      <w:rFonts w:ascii="宋体" w:hAnsi="Courier New" w:eastAsia="宋体" w:cs="Courier New"/>
      <w:szCs w:val="21"/>
    </w:rPr>
  </w:style>
  <w:style w:type="paragraph" w:customStyle="1" w:styleId="208">
    <w:name w:val="纯文本11"/>
    <w:basedOn w:val="1"/>
    <w:link w:val="207"/>
    <w:qFormat/>
    <w:uiPriority w:val="0"/>
    <w:rPr>
      <w:rFonts w:ascii="宋体" w:hAnsi="Courier New" w:cs="Courier New"/>
      <w:szCs w:val="21"/>
    </w:rPr>
  </w:style>
  <w:style w:type="character" w:customStyle="1" w:styleId="209">
    <w:name w:val="批注文字 Char"/>
    <w:basedOn w:val="201"/>
    <w:link w:val="210"/>
    <w:semiHidden/>
    <w:qFormat/>
    <w:uiPriority w:val="99"/>
  </w:style>
  <w:style w:type="paragraph" w:customStyle="1" w:styleId="210">
    <w:name w:val="批注文字1"/>
    <w:basedOn w:val="1"/>
    <w:link w:val="209"/>
    <w:unhideWhenUsed/>
    <w:qFormat/>
    <w:uiPriority w:val="0"/>
    <w:pPr>
      <w:jc w:val="left"/>
    </w:pPr>
  </w:style>
  <w:style w:type="character" w:customStyle="1" w:styleId="211">
    <w:name w:val="正文文本缩进 3 Char"/>
    <w:link w:val="212"/>
    <w:qFormat/>
    <w:uiPriority w:val="0"/>
    <w:rPr>
      <w:rFonts w:ascii="Arial" w:hAnsi="Arial" w:eastAsia="仿宋_GB2312" w:cs="Arial"/>
      <w:color w:val="FFFF00"/>
      <w:sz w:val="32"/>
      <w:szCs w:val="32"/>
    </w:rPr>
  </w:style>
  <w:style w:type="paragraph" w:customStyle="1" w:styleId="212">
    <w:name w:val="正文文本缩进 31"/>
    <w:basedOn w:val="1"/>
    <w:link w:val="211"/>
    <w:qFormat/>
    <w:uiPriority w:val="0"/>
    <w:pPr>
      <w:ind w:left="645" w:firstLine="645"/>
    </w:pPr>
    <w:rPr>
      <w:rFonts w:ascii="Arial" w:hAnsi="Arial" w:eastAsia="仿宋_GB2312" w:cs="Arial"/>
      <w:color w:val="FFFF00"/>
      <w:sz w:val="32"/>
      <w:szCs w:val="32"/>
    </w:rPr>
  </w:style>
  <w:style w:type="character" w:customStyle="1" w:styleId="213">
    <w:name w:val="已访问的超链接1"/>
    <w:basedOn w:val="201"/>
    <w:qFormat/>
    <w:uiPriority w:val="0"/>
    <w:rPr>
      <w:color w:val="800080"/>
      <w:u w:val="single"/>
    </w:rPr>
  </w:style>
  <w:style w:type="character" w:customStyle="1" w:styleId="214">
    <w:name w:val="正文首行缩进 2 Char"/>
    <w:link w:val="215"/>
    <w:qFormat/>
    <w:uiPriority w:val="0"/>
    <w:rPr>
      <w:rFonts w:ascii="宋体" w:hAnsi="宋体" w:eastAsia="宋体" w:cs="Times New Roman"/>
      <w:szCs w:val="20"/>
    </w:rPr>
  </w:style>
  <w:style w:type="paragraph" w:customStyle="1" w:styleId="215">
    <w:name w:val="正文首行缩进 21"/>
    <w:basedOn w:val="204"/>
    <w:link w:val="214"/>
    <w:qFormat/>
    <w:uiPriority w:val="0"/>
    <w:pPr>
      <w:spacing w:after="0" w:line="360" w:lineRule="auto"/>
      <w:ind w:left="0" w:firstLine="420"/>
    </w:pPr>
    <w:rPr>
      <w:rFonts w:ascii="宋体" w:hAnsi="宋体"/>
      <w:szCs w:val="20"/>
    </w:rPr>
  </w:style>
  <w:style w:type="character" w:customStyle="1" w:styleId="216">
    <w:name w:val="标题 4 Char"/>
    <w:link w:val="195"/>
    <w:qFormat/>
    <w:uiPriority w:val="0"/>
    <w:rPr>
      <w:rFonts w:ascii="Arial" w:hAnsi="Arial" w:eastAsia="黑体" w:cs="Arial"/>
      <w:b/>
      <w:bCs/>
      <w:sz w:val="28"/>
      <w:szCs w:val="28"/>
    </w:rPr>
  </w:style>
  <w:style w:type="character" w:customStyle="1" w:styleId="217">
    <w:name w:val="font71"/>
    <w:qFormat/>
    <w:uiPriority w:val="0"/>
    <w:rPr>
      <w:sz w:val="21"/>
      <w:szCs w:val="22"/>
      <w:lang w:val="en-US" w:eastAsia="zh-CN" w:bidi="ar-SA"/>
    </w:rPr>
  </w:style>
  <w:style w:type="character" w:customStyle="1" w:styleId="218">
    <w:name w:val="正文文本缩进 2 Char"/>
    <w:link w:val="219"/>
    <w:qFormat/>
    <w:uiPriority w:val="0"/>
    <w:rPr>
      <w:rFonts w:ascii="Arial" w:hAnsi="Arial" w:eastAsia="仿宋_GB2312" w:cs="Arial"/>
      <w:sz w:val="32"/>
      <w:szCs w:val="32"/>
    </w:rPr>
  </w:style>
  <w:style w:type="paragraph" w:customStyle="1" w:styleId="219">
    <w:name w:val="正文文本缩进 21"/>
    <w:basedOn w:val="1"/>
    <w:link w:val="218"/>
    <w:qFormat/>
    <w:uiPriority w:val="0"/>
    <w:pPr>
      <w:ind w:left="630" w:firstLine="645"/>
    </w:pPr>
    <w:rPr>
      <w:rFonts w:ascii="Arial" w:hAnsi="Arial" w:eastAsia="仿宋_GB2312" w:cs="Arial"/>
      <w:sz w:val="32"/>
      <w:szCs w:val="32"/>
    </w:rPr>
  </w:style>
  <w:style w:type="character" w:customStyle="1" w:styleId="220">
    <w:name w:val="日期 Char"/>
    <w:link w:val="221"/>
    <w:qFormat/>
    <w:uiPriority w:val="0"/>
    <w:rPr>
      <w:rFonts w:ascii="Times New Roman" w:hAnsi="Times New Roman" w:eastAsia="宋体" w:cs="Times New Roman"/>
      <w:sz w:val="24"/>
      <w:szCs w:val="24"/>
    </w:rPr>
  </w:style>
  <w:style w:type="paragraph" w:customStyle="1" w:styleId="221">
    <w:name w:val="日期1"/>
    <w:basedOn w:val="1"/>
    <w:next w:val="1"/>
    <w:link w:val="220"/>
    <w:qFormat/>
    <w:uiPriority w:val="0"/>
    <w:rPr>
      <w:sz w:val="24"/>
      <w:szCs w:val="24"/>
    </w:rPr>
  </w:style>
  <w:style w:type="character" w:customStyle="1" w:styleId="222">
    <w:name w:val="标题 7 Char"/>
    <w:link w:val="198"/>
    <w:qFormat/>
    <w:uiPriority w:val="0"/>
    <w:rPr>
      <w:rFonts w:ascii="Times New Roman" w:hAnsi="Times New Roman" w:eastAsia="宋体" w:cs="Times New Roman"/>
      <w:b/>
      <w:bCs/>
      <w:sz w:val="24"/>
      <w:szCs w:val="24"/>
    </w:rPr>
  </w:style>
  <w:style w:type="character" w:customStyle="1" w:styleId="223">
    <w:name w:val="正文文本 Char"/>
    <w:link w:val="224"/>
    <w:qFormat/>
    <w:uiPriority w:val="0"/>
    <w:rPr>
      <w:rFonts w:ascii="楷体_GB2312" w:hAnsi="Arial" w:eastAsia="楷体_GB2312" w:cs="Times New Roman"/>
      <w:sz w:val="28"/>
      <w:szCs w:val="28"/>
    </w:rPr>
  </w:style>
  <w:style w:type="paragraph" w:customStyle="1" w:styleId="224">
    <w:name w:val="正文文本2"/>
    <w:basedOn w:val="1"/>
    <w:link w:val="223"/>
    <w:qFormat/>
    <w:uiPriority w:val="0"/>
    <w:rPr>
      <w:rFonts w:ascii="楷体_GB2312" w:hAnsi="Arial" w:eastAsia="楷体_GB2312"/>
      <w:sz w:val="28"/>
      <w:szCs w:val="28"/>
    </w:rPr>
  </w:style>
  <w:style w:type="character" w:customStyle="1" w:styleId="225">
    <w:name w:val="标题 2 Char"/>
    <w:link w:val="192"/>
    <w:qFormat/>
    <w:uiPriority w:val="0"/>
    <w:rPr>
      <w:rFonts w:ascii="Arial" w:hAnsi="Arial" w:eastAsia="幼圆" w:cs="Arial"/>
      <w:b/>
      <w:bCs/>
      <w:sz w:val="44"/>
      <w:szCs w:val="44"/>
    </w:rPr>
  </w:style>
  <w:style w:type="character" w:customStyle="1" w:styleId="226">
    <w:name w:val="标题 6 Char"/>
    <w:link w:val="197"/>
    <w:qFormat/>
    <w:uiPriority w:val="0"/>
    <w:rPr>
      <w:rFonts w:ascii="Arial" w:hAnsi="Arial" w:eastAsia="黑体" w:cs="Times New Roman"/>
      <w:b/>
      <w:bCs/>
      <w:sz w:val="24"/>
      <w:szCs w:val="24"/>
    </w:rPr>
  </w:style>
  <w:style w:type="character" w:customStyle="1" w:styleId="227">
    <w:name w:val="font5 Char"/>
    <w:qFormat/>
    <w:uiPriority w:val="0"/>
    <w:rPr>
      <w:rFonts w:ascii="宋体" w:hAnsi="宋体" w:eastAsia="宋体"/>
      <w:sz w:val="28"/>
      <w:szCs w:val="28"/>
      <w:lang w:val="en-US" w:eastAsia="zh-CN" w:bidi="ar-SA"/>
    </w:rPr>
  </w:style>
  <w:style w:type="character" w:customStyle="1" w:styleId="228">
    <w:name w:val="批注主题 Char"/>
    <w:link w:val="229"/>
    <w:semiHidden/>
    <w:qFormat/>
    <w:uiPriority w:val="0"/>
    <w:rPr>
      <w:rFonts w:ascii="Times New Roman" w:hAnsi="Times New Roman" w:eastAsia="宋体" w:cs="Times New Roman"/>
      <w:b/>
      <w:bCs/>
      <w:szCs w:val="21"/>
    </w:rPr>
  </w:style>
  <w:style w:type="paragraph" w:customStyle="1" w:styleId="229">
    <w:name w:val="批注主题1"/>
    <w:basedOn w:val="210"/>
    <w:next w:val="210"/>
    <w:link w:val="228"/>
    <w:semiHidden/>
    <w:qFormat/>
    <w:uiPriority w:val="0"/>
    <w:rPr>
      <w:b/>
      <w:bCs/>
      <w:szCs w:val="21"/>
    </w:rPr>
  </w:style>
  <w:style w:type="character" w:customStyle="1" w:styleId="230">
    <w:name w:val="要点1"/>
    <w:qFormat/>
    <w:uiPriority w:val="0"/>
    <w:rPr>
      <w:b/>
      <w:bCs/>
    </w:rPr>
  </w:style>
  <w:style w:type="character" w:customStyle="1" w:styleId="231">
    <w:name w:val="font81"/>
    <w:qFormat/>
    <w:uiPriority w:val="0"/>
    <w:rPr>
      <w:rFonts w:hint="eastAsia" w:ascii="宋体" w:hAnsi="宋体" w:eastAsia="宋体" w:cs="宋体"/>
      <w:color w:val="002060"/>
      <w:sz w:val="20"/>
      <w:szCs w:val="20"/>
      <w:u w:val="none"/>
    </w:rPr>
  </w:style>
  <w:style w:type="character" w:customStyle="1" w:styleId="232">
    <w:name w:val="正文文本 2 Char"/>
    <w:link w:val="233"/>
    <w:qFormat/>
    <w:uiPriority w:val="0"/>
    <w:rPr>
      <w:rFonts w:ascii="楷体_GB2312" w:hAnsi="Times New Roman" w:eastAsia="楷体_GB2312" w:cs="Times New Roman"/>
      <w:sz w:val="28"/>
      <w:szCs w:val="28"/>
    </w:rPr>
  </w:style>
  <w:style w:type="paragraph" w:customStyle="1" w:styleId="233">
    <w:name w:val="正文文本 21"/>
    <w:basedOn w:val="1"/>
    <w:link w:val="232"/>
    <w:qFormat/>
    <w:uiPriority w:val="0"/>
    <w:pPr>
      <w:widowControl/>
      <w:jc w:val="center"/>
    </w:pPr>
    <w:rPr>
      <w:rFonts w:ascii="楷体_GB2312" w:eastAsia="楷体_GB2312"/>
      <w:sz w:val="28"/>
      <w:szCs w:val="28"/>
    </w:rPr>
  </w:style>
  <w:style w:type="character" w:customStyle="1" w:styleId="234">
    <w:name w:val="超链接1"/>
    <w:qFormat/>
    <w:uiPriority w:val="0"/>
    <w:rPr>
      <w:color w:val="0000FF"/>
      <w:u w:val="single"/>
    </w:rPr>
  </w:style>
  <w:style w:type="character" w:customStyle="1" w:styleId="235">
    <w:name w:val="页码11"/>
    <w:qFormat/>
    <w:uiPriority w:val="0"/>
  </w:style>
  <w:style w:type="character" w:customStyle="1" w:styleId="236">
    <w:name w:val="页眉 Char"/>
    <w:link w:val="237"/>
    <w:qFormat/>
    <w:uiPriority w:val="0"/>
    <w:rPr>
      <w:rFonts w:ascii="Times New Roman" w:hAnsi="Times New Roman" w:eastAsia="宋体" w:cs="Times New Roman"/>
      <w:sz w:val="18"/>
      <w:szCs w:val="18"/>
    </w:rPr>
  </w:style>
  <w:style w:type="paragraph" w:customStyle="1" w:styleId="237">
    <w:name w:val="页眉1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8">
    <w:name w:val="批注引用1"/>
    <w:semiHidden/>
    <w:qFormat/>
    <w:uiPriority w:val="0"/>
    <w:rPr>
      <w:sz w:val="21"/>
      <w:szCs w:val="21"/>
    </w:rPr>
  </w:style>
  <w:style w:type="character" w:customStyle="1" w:styleId="239">
    <w:name w:val="正文缩进 Char"/>
    <w:link w:val="193"/>
    <w:qFormat/>
    <w:uiPriority w:val="0"/>
    <w:rPr>
      <w:szCs w:val="21"/>
    </w:rPr>
  </w:style>
  <w:style w:type="character" w:customStyle="1" w:styleId="240">
    <w:name w:val="标题 5 Char"/>
    <w:link w:val="196"/>
    <w:qFormat/>
    <w:uiPriority w:val="0"/>
    <w:rPr>
      <w:rFonts w:ascii="宋体" w:hAnsi="Times New Roman" w:eastAsia="宋体" w:cs="Times New Roman"/>
      <w:color w:val="000000"/>
      <w:sz w:val="28"/>
      <w:szCs w:val="28"/>
    </w:rPr>
  </w:style>
  <w:style w:type="character" w:customStyle="1" w:styleId="241">
    <w:name w:val="标题 8 Char"/>
    <w:link w:val="199"/>
    <w:qFormat/>
    <w:uiPriority w:val="0"/>
    <w:rPr>
      <w:rFonts w:ascii="Arial" w:hAnsi="Arial" w:eastAsia="黑体" w:cs="Times New Roman"/>
      <w:sz w:val="24"/>
      <w:szCs w:val="24"/>
    </w:rPr>
  </w:style>
  <w:style w:type="character" w:customStyle="1" w:styleId="242">
    <w:name w:val="标题 1 Char"/>
    <w:link w:val="191"/>
    <w:qFormat/>
    <w:uiPriority w:val="0"/>
    <w:rPr>
      <w:rFonts w:ascii="楷体_GB2312" w:hAnsi="Times New Roman" w:eastAsia="楷体_GB2312" w:cs="Times New Roman"/>
      <w:sz w:val="28"/>
      <w:szCs w:val="28"/>
    </w:rPr>
  </w:style>
  <w:style w:type="character" w:customStyle="1" w:styleId="243">
    <w:name w:val="批注框文本 Char"/>
    <w:link w:val="244"/>
    <w:semiHidden/>
    <w:qFormat/>
    <w:uiPriority w:val="0"/>
    <w:rPr>
      <w:rFonts w:ascii="Times New Roman" w:hAnsi="Times New Roman" w:eastAsia="宋体" w:cs="Times New Roman"/>
      <w:sz w:val="18"/>
      <w:szCs w:val="18"/>
    </w:rPr>
  </w:style>
  <w:style w:type="paragraph" w:customStyle="1" w:styleId="244">
    <w:name w:val="批注框文本1"/>
    <w:basedOn w:val="1"/>
    <w:link w:val="243"/>
    <w:semiHidden/>
    <w:qFormat/>
    <w:uiPriority w:val="0"/>
    <w:rPr>
      <w:sz w:val="18"/>
      <w:szCs w:val="18"/>
    </w:rPr>
  </w:style>
  <w:style w:type="character" w:customStyle="1" w:styleId="245">
    <w:name w:val="标题 9 Char"/>
    <w:link w:val="200"/>
    <w:qFormat/>
    <w:uiPriority w:val="0"/>
    <w:rPr>
      <w:rFonts w:ascii="Arial" w:hAnsi="Arial" w:eastAsia="黑体" w:cs="Times New Roman"/>
      <w:szCs w:val="21"/>
    </w:rPr>
  </w:style>
  <w:style w:type="character" w:customStyle="1" w:styleId="246">
    <w:name w:val="页码1"/>
    <w:qFormat/>
    <w:uiPriority w:val="0"/>
    <w:rPr>
      <w:sz w:val="21"/>
      <w:szCs w:val="22"/>
      <w:lang w:val="en-US" w:eastAsia="zh-CN" w:bidi="ar-SA"/>
    </w:rPr>
  </w:style>
  <w:style w:type="character" w:customStyle="1" w:styleId="247">
    <w:name w:val="标题 3 Char"/>
    <w:link w:val="194"/>
    <w:qFormat/>
    <w:uiPriority w:val="0"/>
    <w:rPr>
      <w:rFonts w:ascii="Times New Roman" w:hAnsi="Times New Roman" w:eastAsia="宋体" w:cs="Times New Roman"/>
      <w:b/>
      <w:bCs/>
      <w:sz w:val="32"/>
      <w:szCs w:val="32"/>
    </w:rPr>
  </w:style>
  <w:style w:type="character" w:customStyle="1" w:styleId="248">
    <w:name w:val="正文首行缩进 Char"/>
    <w:link w:val="249"/>
    <w:qFormat/>
    <w:uiPriority w:val="0"/>
    <w:rPr>
      <w:rFonts w:ascii="仿宋_GB2312" w:hAnsi="Times New Roman" w:eastAsia="仿宋_GB2312" w:cs="Times New Roman"/>
      <w:sz w:val="30"/>
      <w:szCs w:val="30"/>
    </w:rPr>
  </w:style>
  <w:style w:type="paragraph" w:customStyle="1" w:styleId="249">
    <w:name w:val="正文首行缩进1"/>
    <w:basedOn w:val="1"/>
    <w:link w:val="248"/>
    <w:qFormat/>
    <w:uiPriority w:val="0"/>
    <w:pPr>
      <w:spacing w:line="360" w:lineRule="auto"/>
      <w:ind w:firstLine="200"/>
    </w:pPr>
    <w:rPr>
      <w:rFonts w:ascii="仿宋_GB2312" w:eastAsia="仿宋_GB2312"/>
      <w:sz w:val="30"/>
      <w:szCs w:val="30"/>
    </w:rPr>
  </w:style>
  <w:style w:type="character" w:customStyle="1" w:styleId="250">
    <w:name w:val="二级目录 Char"/>
    <w:link w:val="251"/>
    <w:qFormat/>
    <w:uiPriority w:val="0"/>
    <w:rPr>
      <w:b/>
      <w:sz w:val="30"/>
      <w:szCs w:val="28"/>
    </w:rPr>
  </w:style>
  <w:style w:type="paragraph" w:customStyle="1" w:styleId="251">
    <w:name w:val="二级目录"/>
    <w:next w:val="1"/>
    <w:link w:val="25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2">
    <w:name w:val="font11"/>
    <w:basedOn w:val="201"/>
    <w:qFormat/>
    <w:uiPriority w:val="0"/>
    <w:rPr>
      <w:rFonts w:hint="eastAsia" w:ascii="宋体" w:hAnsi="宋体" w:eastAsia="宋体" w:cs="宋体"/>
      <w:color w:val="000000"/>
      <w:sz w:val="24"/>
      <w:szCs w:val="24"/>
      <w:u w:val="none"/>
    </w:rPr>
  </w:style>
  <w:style w:type="character" w:customStyle="1" w:styleId="253">
    <w:name w:val="font41"/>
    <w:qFormat/>
    <w:uiPriority w:val="0"/>
    <w:rPr>
      <w:sz w:val="21"/>
      <w:szCs w:val="22"/>
      <w:lang w:val="en-US" w:eastAsia="zh-CN" w:bidi="ar-SA"/>
    </w:rPr>
  </w:style>
  <w:style w:type="character" w:customStyle="1" w:styleId="254">
    <w:name w:val="列出段落 Char"/>
    <w:link w:val="255"/>
    <w:qFormat/>
    <w:uiPriority w:val="0"/>
    <w:rPr>
      <w:rFonts w:ascii="Calibri" w:hAnsi="Calibri"/>
      <w:sz w:val="24"/>
      <w:szCs w:val="24"/>
      <w:lang w:eastAsia="en-US" w:bidi="en-US"/>
    </w:rPr>
  </w:style>
  <w:style w:type="paragraph" w:customStyle="1" w:styleId="255">
    <w:name w:val="列出段落1"/>
    <w:basedOn w:val="1"/>
    <w:link w:val="254"/>
    <w:qFormat/>
    <w:uiPriority w:val="0"/>
    <w:pPr>
      <w:widowControl/>
      <w:ind w:left="720"/>
      <w:contextualSpacing/>
      <w:jc w:val="left"/>
    </w:pPr>
    <w:rPr>
      <w:rFonts w:ascii="Calibri" w:hAnsi="Calibri"/>
      <w:sz w:val="24"/>
      <w:szCs w:val="24"/>
      <w:lang w:eastAsia="en-US" w:bidi="en-US"/>
    </w:rPr>
  </w:style>
  <w:style w:type="character" w:customStyle="1" w:styleId="256">
    <w:name w:val="页脚 Char"/>
    <w:link w:val="257"/>
    <w:qFormat/>
    <w:uiPriority w:val="0"/>
    <w:rPr>
      <w:rFonts w:ascii="Times New Roman" w:hAnsi="Times New Roman" w:eastAsia="宋体" w:cs="Times New Roman"/>
      <w:sz w:val="18"/>
      <w:szCs w:val="18"/>
    </w:rPr>
  </w:style>
  <w:style w:type="paragraph" w:customStyle="1" w:styleId="257">
    <w:name w:val="页脚2"/>
    <w:basedOn w:val="1"/>
    <w:link w:val="256"/>
    <w:qFormat/>
    <w:uiPriority w:val="0"/>
    <w:pPr>
      <w:tabs>
        <w:tab w:val="center" w:pos="4153"/>
        <w:tab w:val="right" w:pos="8306"/>
      </w:tabs>
      <w:jc w:val="left"/>
    </w:pPr>
    <w:rPr>
      <w:sz w:val="18"/>
      <w:szCs w:val="18"/>
    </w:rPr>
  </w:style>
  <w:style w:type="character" w:customStyle="1" w:styleId="258">
    <w:name w:val="文档结构图 Char"/>
    <w:link w:val="259"/>
    <w:semiHidden/>
    <w:qFormat/>
    <w:uiPriority w:val="0"/>
    <w:rPr>
      <w:rFonts w:ascii="Times New Roman" w:hAnsi="Times New Roman" w:eastAsia="宋体" w:cs="Times New Roman"/>
      <w:szCs w:val="21"/>
      <w:shd w:val="clear" w:color="auto" w:fill="000080"/>
    </w:rPr>
  </w:style>
  <w:style w:type="paragraph" w:customStyle="1" w:styleId="259">
    <w:name w:val="文档结构图1"/>
    <w:basedOn w:val="1"/>
    <w:link w:val="258"/>
    <w:semiHidden/>
    <w:qFormat/>
    <w:uiPriority w:val="0"/>
    <w:pPr>
      <w:shd w:val="clear" w:color="auto" w:fill="000080"/>
    </w:pPr>
    <w:rPr>
      <w:szCs w:val="21"/>
    </w:rPr>
  </w:style>
  <w:style w:type="paragraph" w:customStyle="1" w:styleId="260">
    <w:name w:val="正文文本1"/>
    <w:basedOn w:val="1"/>
    <w:next w:val="1"/>
    <w:semiHidden/>
    <w:qFormat/>
    <w:uiPriority w:val="0"/>
    <w:rPr>
      <w:rFonts w:ascii="Arial" w:hAnsi="Arial" w:eastAsia="Arial" w:cs="Arial"/>
      <w:szCs w:val="21"/>
      <w:lang w:eastAsia="en-US"/>
    </w:rPr>
  </w:style>
  <w:style w:type="paragraph" w:customStyle="1" w:styleId="261">
    <w:name w:val="索引 411"/>
    <w:basedOn w:val="1"/>
    <w:next w:val="1"/>
    <w:semiHidden/>
    <w:qFormat/>
    <w:uiPriority w:val="0"/>
    <w:pPr>
      <w:ind w:left="1260"/>
    </w:pPr>
    <w:rPr>
      <w:rFonts w:ascii="Calibri" w:hAnsi="Calibri" w:eastAsia="Calibri" w:cs="宋体"/>
      <w:sz w:val="20"/>
      <w:lang w:val="zh-CN"/>
    </w:rPr>
  </w:style>
  <w:style w:type="paragraph" w:customStyle="1" w:styleId="262">
    <w:name w:val="目录 21"/>
    <w:basedOn w:val="1"/>
    <w:next w:val="1"/>
    <w:semiHidden/>
    <w:qFormat/>
    <w:uiPriority w:val="0"/>
    <w:pPr>
      <w:ind w:left="210"/>
      <w:jc w:val="left"/>
    </w:pPr>
    <w:rPr>
      <w:smallCaps/>
      <w:szCs w:val="24"/>
    </w:rPr>
  </w:style>
  <w:style w:type="paragraph" w:customStyle="1" w:styleId="26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5">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66">
    <w:name w:val="Char Char Char Char"/>
    <w:basedOn w:val="259"/>
    <w:qFormat/>
    <w:uiPriority w:val="0"/>
    <w:pPr>
      <w:spacing w:line="360" w:lineRule="auto"/>
    </w:pPr>
    <w:rPr>
      <w:rFonts w:ascii="Tahoma" w:hAnsi="Tahoma"/>
      <w:sz w:val="24"/>
      <w:szCs w:val="24"/>
    </w:rPr>
  </w:style>
  <w:style w:type="paragraph" w:customStyle="1" w:styleId="267">
    <w:name w:val="列表1"/>
    <w:basedOn w:val="1"/>
    <w:qFormat/>
    <w:uiPriority w:val="0"/>
    <w:pPr>
      <w:ind w:left="200" w:hanging="200"/>
    </w:pPr>
    <w:rPr>
      <w:szCs w:val="21"/>
    </w:rPr>
  </w:style>
  <w:style w:type="paragraph" w:customStyle="1" w:styleId="268">
    <w:name w:val="目录 41"/>
    <w:basedOn w:val="1"/>
    <w:next w:val="1"/>
    <w:semiHidden/>
    <w:qFormat/>
    <w:uiPriority w:val="0"/>
    <w:pPr>
      <w:ind w:left="630"/>
      <w:jc w:val="left"/>
    </w:pPr>
    <w:rPr>
      <w:szCs w:val="21"/>
    </w:rPr>
  </w:style>
  <w:style w:type="paragraph" w:customStyle="1" w:styleId="269">
    <w:name w:val="正文文本缩进112"/>
    <w:basedOn w:val="1"/>
    <w:next w:val="270"/>
    <w:unhideWhenUsed/>
    <w:qFormat/>
    <w:uiPriority w:val="0"/>
    <w:pPr>
      <w:spacing w:after="120"/>
      <w:ind w:left="420"/>
    </w:pPr>
  </w:style>
  <w:style w:type="paragraph" w:customStyle="1" w:styleId="270">
    <w:name w:val="寄信人地址1"/>
    <w:basedOn w:val="1"/>
    <w:qFormat/>
    <w:uiPriority w:val="0"/>
    <w:rPr>
      <w:rFonts w:ascii="Arial" w:hAnsi="Arial" w:cs="宋体"/>
    </w:rPr>
  </w:style>
  <w:style w:type="paragraph" w:customStyle="1" w:styleId="271">
    <w:name w:val="普通(网站)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2">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3">
    <w:name w:val="列表 31"/>
    <w:basedOn w:val="1"/>
    <w:qFormat/>
    <w:uiPriority w:val="0"/>
    <w:pPr>
      <w:ind w:left="100" w:hanging="200"/>
    </w:pPr>
    <w:rPr>
      <w:szCs w:val="21"/>
    </w:rPr>
  </w:style>
  <w:style w:type="paragraph" w:customStyle="1" w:styleId="274">
    <w:name w:val="图表目录1"/>
    <w:basedOn w:val="1"/>
    <w:next w:val="1"/>
    <w:semiHidden/>
    <w:qFormat/>
    <w:uiPriority w:val="0"/>
    <w:pPr>
      <w:ind w:left="840" w:hanging="420"/>
    </w:pPr>
    <w:rPr>
      <w:szCs w:val="21"/>
    </w:rPr>
  </w:style>
  <w:style w:type="paragraph" w:customStyle="1" w:styleId="2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7">
    <w:name w:val="列表 21"/>
    <w:basedOn w:val="1"/>
    <w:qFormat/>
    <w:uiPriority w:val="0"/>
    <w:pPr>
      <w:ind w:left="100" w:hanging="200"/>
    </w:pPr>
    <w:rPr>
      <w:szCs w:val="21"/>
    </w:rPr>
  </w:style>
  <w:style w:type="paragraph" w:customStyle="1" w:styleId="278">
    <w:name w:val="目录 61"/>
    <w:basedOn w:val="1"/>
    <w:next w:val="1"/>
    <w:semiHidden/>
    <w:qFormat/>
    <w:uiPriority w:val="0"/>
    <w:pPr>
      <w:ind w:left="1050"/>
      <w:jc w:val="left"/>
    </w:pPr>
    <w:rPr>
      <w:szCs w:val="21"/>
    </w:rPr>
  </w:style>
  <w:style w:type="paragraph" w:customStyle="1" w:styleId="2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0">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28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目录 31"/>
    <w:basedOn w:val="1"/>
    <w:next w:val="1"/>
    <w:semiHidden/>
    <w:qFormat/>
    <w:uiPriority w:val="0"/>
    <w:pPr>
      <w:ind w:left="420"/>
      <w:jc w:val="left"/>
    </w:pPr>
    <w:rPr>
      <w:i/>
      <w:iCs/>
      <w:szCs w:val="24"/>
    </w:rPr>
  </w:style>
  <w:style w:type="paragraph" w:customStyle="1" w:styleId="28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5">
    <w:name w:val="table_lines"/>
    <w:basedOn w:val="1"/>
    <w:qFormat/>
    <w:uiPriority w:val="0"/>
    <w:pPr>
      <w:widowControl/>
      <w:jc w:val="left"/>
    </w:pPr>
    <w:rPr>
      <w:sz w:val="20"/>
      <w:szCs w:val="20"/>
      <w:lang w:val="de-DE" w:eastAsia="de-DE"/>
    </w:rPr>
  </w:style>
  <w:style w:type="paragraph" w:customStyle="1" w:styleId="286">
    <w:name w:val="目录 81"/>
    <w:basedOn w:val="1"/>
    <w:next w:val="1"/>
    <w:semiHidden/>
    <w:qFormat/>
    <w:uiPriority w:val="0"/>
    <w:pPr>
      <w:ind w:left="1470"/>
      <w:jc w:val="left"/>
    </w:pPr>
    <w:rPr>
      <w:szCs w:val="21"/>
    </w:rPr>
  </w:style>
  <w:style w:type="paragraph" w:customStyle="1" w:styleId="287">
    <w:name w:val="4"/>
    <w:basedOn w:val="1"/>
    <w:next w:val="212"/>
    <w:qFormat/>
    <w:uiPriority w:val="0"/>
    <w:pPr>
      <w:spacing w:line="360" w:lineRule="auto"/>
      <w:ind w:firstLine="420"/>
    </w:pPr>
    <w:rPr>
      <w:color w:val="FF0000"/>
      <w:sz w:val="24"/>
      <w:szCs w:val="24"/>
    </w:rPr>
  </w:style>
  <w:style w:type="paragraph" w:customStyle="1" w:styleId="288">
    <w:name w:val="页脚1"/>
    <w:basedOn w:val="1"/>
    <w:qFormat/>
    <w:uiPriority w:val="0"/>
    <w:pPr>
      <w:tabs>
        <w:tab w:val="center" w:pos="4153"/>
        <w:tab w:val="right" w:pos="8306"/>
      </w:tabs>
      <w:jc w:val="left"/>
    </w:pPr>
    <w:rPr>
      <w:sz w:val="18"/>
      <w:szCs w:val="18"/>
    </w:rPr>
  </w:style>
  <w:style w:type="paragraph" w:customStyle="1" w:styleId="289">
    <w:name w:val="WPSOffice手动目录 1"/>
    <w:qFormat/>
    <w:uiPriority w:val="0"/>
    <w:rPr>
      <w:rFonts w:ascii="Times New Roman" w:hAnsi="Times New Roman" w:eastAsia="宋体" w:cs="Times New Roman"/>
      <w:lang w:val="en-US" w:eastAsia="zh-CN" w:bidi="ar-SA"/>
    </w:rPr>
  </w:style>
  <w:style w:type="paragraph" w:customStyle="1" w:styleId="290">
    <w:name w:val="正文文本 211"/>
    <w:basedOn w:val="1"/>
    <w:qFormat/>
    <w:uiPriority w:val="99"/>
    <w:pPr>
      <w:jc w:val="center"/>
    </w:pPr>
    <w:rPr>
      <w:b/>
      <w:bCs/>
      <w:sz w:val="20"/>
      <w:szCs w:val="20"/>
    </w:rPr>
  </w:style>
  <w:style w:type="paragraph" w:customStyle="1" w:styleId="29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索引 11"/>
    <w:basedOn w:val="1"/>
    <w:next w:val="1"/>
    <w:semiHidden/>
    <w:qFormat/>
    <w:uiPriority w:val="0"/>
    <w:pPr>
      <w:spacing w:line="240" w:lineRule="atLeast"/>
    </w:pPr>
    <w:rPr>
      <w:b/>
      <w:bCs/>
      <w:szCs w:val="21"/>
    </w:rPr>
  </w:style>
  <w:style w:type="paragraph" w:customStyle="1" w:styleId="293">
    <w:name w:val="目录 71"/>
    <w:basedOn w:val="1"/>
    <w:next w:val="1"/>
    <w:semiHidden/>
    <w:qFormat/>
    <w:uiPriority w:val="0"/>
    <w:pPr>
      <w:ind w:left="1260"/>
      <w:jc w:val="left"/>
    </w:pPr>
    <w:rPr>
      <w:szCs w:val="21"/>
    </w:rPr>
  </w:style>
  <w:style w:type="paragraph" w:customStyle="1" w:styleId="294">
    <w:name w:val="目录 51"/>
    <w:basedOn w:val="1"/>
    <w:next w:val="1"/>
    <w:semiHidden/>
    <w:qFormat/>
    <w:uiPriority w:val="0"/>
    <w:pPr>
      <w:ind w:left="840"/>
      <w:jc w:val="left"/>
    </w:pPr>
    <w:rPr>
      <w:szCs w:val="21"/>
    </w:rPr>
  </w:style>
  <w:style w:type="paragraph" w:customStyle="1" w:styleId="295">
    <w:name w:val="目录 91"/>
    <w:basedOn w:val="1"/>
    <w:next w:val="1"/>
    <w:semiHidden/>
    <w:qFormat/>
    <w:uiPriority w:val="0"/>
    <w:pPr>
      <w:ind w:left="1680"/>
      <w:jc w:val="left"/>
    </w:pPr>
    <w:rPr>
      <w:szCs w:val="21"/>
    </w:rPr>
  </w:style>
  <w:style w:type="paragraph" w:customStyle="1" w:styleId="29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7">
    <w:name w:val="索引 41"/>
    <w:basedOn w:val="1"/>
    <w:next w:val="1"/>
    <w:semiHidden/>
    <w:qFormat/>
    <w:uiPriority w:val="0"/>
    <w:pPr>
      <w:ind w:left="1260"/>
    </w:pPr>
    <w:rPr>
      <w:rFonts w:ascii="Calibri" w:hAnsi="Calibri" w:eastAsia="Calibri" w:cs="宋体"/>
      <w:sz w:val="20"/>
      <w:lang w:val="zh-CN"/>
    </w:rPr>
  </w:style>
  <w:style w:type="paragraph" w:customStyle="1" w:styleId="298">
    <w:name w:val="Char"/>
    <w:basedOn w:val="1"/>
    <w:qFormat/>
    <w:uiPriority w:val="0"/>
    <w:pPr>
      <w:tabs>
        <w:tab w:val="left" w:pos="360"/>
      </w:tabs>
      <w:ind w:firstLine="200"/>
    </w:pPr>
    <w:rPr>
      <w:sz w:val="28"/>
      <w:szCs w:val="30"/>
    </w:rPr>
  </w:style>
  <w:style w:type="paragraph" w:customStyle="1" w:styleId="29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0">
    <w:name w:val="无间隔2"/>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1">
    <w:name w:val="Default"/>
    <w:qFormat/>
    <w:uiPriority w:val="0"/>
    <w:pPr>
      <w:widowControl w:val="0"/>
    </w:pPr>
    <w:rPr>
      <w:rFonts w:ascii="黑体" w:hAnsi="Times New Roman" w:eastAsia="黑体" w:cs="Times New Roman"/>
      <w:lang w:val="en-US" w:eastAsia="zh-CN" w:bidi="ar-SA"/>
    </w:rPr>
  </w:style>
  <w:style w:type="paragraph" w:customStyle="1" w:styleId="30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4">
    <w:name w:val="table_1stline"/>
    <w:basedOn w:val="1"/>
    <w:qFormat/>
    <w:uiPriority w:val="0"/>
    <w:pPr>
      <w:widowControl/>
      <w:spacing w:before="120"/>
      <w:jc w:val="left"/>
    </w:pPr>
    <w:rPr>
      <w:bCs/>
      <w:sz w:val="20"/>
      <w:szCs w:val="20"/>
      <w:lang w:val="de-DE" w:eastAsia="de-DE"/>
    </w:rPr>
  </w:style>
  <w:style w:type="paragraph" w:customStyle="1" w:styleId="305">
    <w:name w:val="Table Paragraph"/>
    <w:basedOn w:val="1"/>
    <w:qFormat/>
    <w:uiPriority w:val="1"/>
    <w:pPr>
      <w:jc w:val="left"/>
    </w:pPr>
    <w:rPr>
      <w:rFonts w:ascii="宋体" w:hAnsi="宋体" w:cs="宋体"/>
      <w:sz w:val="22"/>
      <w:lang w:val="zh-CN" w:bidi="zh-CN"/>
    </w:rPr>
  </w:style>
  <w:style w:type="paragraph" w:customStyle="1" w:styleId="30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7">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8">
    <w:name w:val="Body Text(ch)"/>
    <w:basedOn w:val="1"/>
    <w:next w:val="224"/>
    <w:qFormat/>
    <w:uiPriority w:val="0"/>
    <w:pPr>
      <w:spacing w:after="120"/>
    </w:pPr>
    <w:rPr>
      <w:rFonts w:ascii="宋体" w:hAnsi="Arial"/>
      <w:bCs/>
      <w:iCs/>
      <w:szCs w:val="24"/>
    </w:rPr>
  </w:style>
  <w:style w:type="paragraph" w:customStyle="1" w:styleId="309">
    <w:name w:val="Char Char Char Char1"/>
    <w:basedOn w:val="259"/>
    <w:qFormat/>
    <w:uiPriority w:val="0"/>
    <w:pPr>
      <w:spacing w:line="360" w:lineRule="auto"/>
    </w:pPr>
    <w:rPr>
      <w:rFonts w:ascii="Tahoma" w:hAnsi="Tahoma"/>
      <w:sz w:val="24"/>
      <w:szCs w:val="24"/>
    </w:rPr>
  </w:style>
  <w:style w:type="paragraph" w:customStyle="1" w:styleId="310">
    <w:name w:val="修订1"/>
    <w:semiHidden/>
    <w:qFormat/>
    <w:uiPriority w:val="99"/>
    <w:rPr>
      <w:rFonts w:ascii="Times New Roman" w:hAnsi="Times New Roman" w:eastAsia="宋体" w:cs="Times New Roman"/>
      <w:sz w:val="21"/>
      <w:szCs w:val="21"/>
      <w:lang w:val="en-US" w:eastAsia="zh-CN" w:bidi="ar-SA"/>
    </w:rPr>
  </w:style>
  <w:style w:type="paragraph" w:customStyle="1" w:styleId="311">
    <w:name w:val="纯文本1"/>
    <w:basedOn w:val="1"/>
    <w:qFormat/>
    <w:uiPriority w:val="0"/>
    <w:rPr>
      <w:rFonts w:ascii="宋体" w:hAnsi="Courier New" w:cs="Courier New"/>
    </w:rPr>
  </w:style>
  <w:style w:type="paragraph" w:customStyle="1" w:styleId="312">
    <w:name w:val="Char Char Char Char Char Char Char Char Char Char"/>
    <w:basedOn w:val="1"/>
    <w:qFormat/>
    <w:uiPriority w:val="0"/>
    <w:pPr>
      <w:spacing w:line="360" w:lineRule="auto"/>
    </w:pPr>
    <w:rPr>
      <w:sz w:val="24"/>
      <w:szCs w:val="20"/>
    </w:rPr>
  </w:style>
  <w:style w:type="paragraph" w:customStyle="1" w:styleId="313">
    <w:name w:val="正文首行缩进 212"/>
    <w:basedOn w:val="269"/>
    <w:next w:val="1"/>
    <w:qFormat/>
    <w:uiPriority w:val="0"/>
    <w:pPr>
      <w:spacing w:after="0"/>
      <w:ind w:left="0" w:firstLine="420"/>
    </w:pPr>
    <w:rPr>
      <w:rFonts w:ascii="宋体" w:hAnsi="宋体"/>
      <w:szCs w:val="20"/>
    </w:rPr>
  </w:style>
  <w:style w:type="paragraph" w:customStyle="1" w:styleId="314">
    <w:name w:val="普通(网站)12"/>
    <w:qFormat/>
    <w:uiPriority w:val="99"/>
    <w:pPr>
      <w:spacing w:before="100" w:beforeAutospacing="1" w:after="100" w:afterAutospacing="1"/>
    </w:pPr>
    <w:rPr>
      <w:rFonts w:ascii="宋体" w:hAnsi="宋体" w:eastAsia="宋体" w:cs="宋体"/>
      <w:sz w:val="24"/>
      <w:szCs w:val="24"/>
      <w:lang w:val="en-US" w:eastAsia="zh-CN" w:bidi="ar-SA"/>
    </w:rPr>
  </w:style>
  <w:style w:type="paragraph" w:customStyle="1" w:styleId="31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6">
    <w:name w:val="Char1"/>
    <w:basedOn w:val="259"/>
    <w:qFormat/>
    <w:uiPriority w:val="0"/>
    <w:rPr>
      <w:rFonts w:ascii="Tahoma" w:hAnsi="Tahoma"/>
      <w:sz w:val="24"/>
      <w:szCs w:val="24"/>
    </w:rPr>
  </w:style>
  <w:style w:type="paragraph" w:customStyle="1" w:styleId="317">
    <w:name w:val="标题 11"/>
    <w:basedOn w:val="1"/>
    <w:next w:val="1"/>
    <w:qFormat/>
    <w:uiPriority w:val="0"/>
    <w:pPr>
      <w:keepNext/>
      <w:jc w:val="center"/>
      <w:outlineLvl w:val="0"/>
    </w:pPr>
    <w:rPr>
      <w:rFonts w:ascii="楷体_GB2312" w:eastAsia="楷体_GB2312"/>
      <w:sz w:val="28"/>
      <w:szCs w:val="28"/>
    </w:rPr>
  </w:style>
  <w:style w:type="paragraph" w:customStyle="1" w:styleId="318">
    <w:name w:val="样式1"/>
    <w:basedOn w:val="1"/>
    <w:qFormat/>
    <w:uiPriority w:val="0"/>
    <w:pPr>
      <w:numPr>
        <w:ilvl w:val="0"/>
        <w:numId w:val="3"/>
      </w:numPr>
    </w:pPr>
    <w:rPr>
      <w:rFonts w:ascii="宋体" w:hAnsi="宋体"/>
      <w:szCs w:val="21"/>
    </w:rPr>
  </w:style>
  <w:style w:type="paragraph" w:customStyle="1" w:styleId="319">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2">
    <w:name w:val="标题 212"/>
    <w:basedOn w:val="1"/>
    <w:next w:val="1"/>
    <w:unhideWhenUsed/>
    <w:qFormat/>
    <w:uiPriority w:val="9"/>
    <w:pPr>
      <w:keepNext/>
      <w:keepLines/>
      <w:ind w:firstLine="1687"/>
      <w:jc w:val="left"/>
      <w:outlineLvl w:val="1"/>
    </w:pPr>
    <w:rPr>
      <w:rFonts w:ascii="Arial" w:hAnsi="Arial" w:cs="Arial"/>
      <w:b/>
      <w:sz w:val="30"/>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4">
    <w:name w:val="正文文本12"/>
    <w:basedOn w:val="1"/>
    <w:qFormat/>
    <w:uiPriority w:val="1"/>
    <w:pPr>
      <w:ind w:left="120"/>
    </w:pPr>
    <w:rPr>
      <w:rFonts w:ascii="宋体" w:hAnsi="宋体" w:cs="宋体"/>
      <w:szCs w:val="21"/>
      <w:lang w:val="zh-CN" w:bidi="zh-CN"/>
    </w:rPr>
  </w:style>
  <w:style w:type="table" w:customStyle="1" w:styleId="325">
    <w:name w:val="普通表格1"/>
    <w:unhideWhenUsed/>
    <w:qFormat/>
    <w:uiPriority w:val="99"/>
    <w:tblPr>
      <w:tblCellMar>
        <w:top w:w="0" w:type="dxa"/>
        <w:left w:w="0" w:type="dxa"/>
        <w:bottom w:w="0" w:type="dxa"/>
        <w:right w:w="0" w:type="dxa"/>
      </w:tblCellMar>
    </w:tblPr>
  </w:style>
  <w:style w:type="table" w:customStyle="1" w:styleId="326">
    <w:name w:val="Table Normal"/>
    <w:qFormat/>
    <w:uiPriority w:val="0"/>
    <w:tblPr>
      <w:tblCellMar>
        <w:top w:w="0" w:type="dxa"/>
        <w:left w:w="0" w:type="dxa"/>
        <w:bottom w:w="0" w:type="dxa"/>
        <w:right w:w="0" w:type="dxa"/>
      </w:tblCellMar>
    </w:tblPr>
  </w:style>
  <w:style w:type="table" w:customStyle="1" w:styleId="327">
    <w:name w:val="网格型11"/>
    <w:basedOn w:val="202"/>
    <w:qFormat/>
    <w:uiPriority w:val="0"/>
    <w:pPr>
      <w:widowControl w:val="0"/>
      <w:jc w:val="both"/>
    </w:pPr>
    <w:tblPr>
      <w:tblCellMar>
        <w:top w:w="0" w:type="dxa"/>
        <w:left w:w="0" w:type="dxa"/>
        <w:bottom w:w="0" w:type="dxa"/>
        <w:right w:w="0" w:type="dxa"/>
      </w:tblCellMar>
    </w:tblPr>
  </w:style>
  <w:style w:type="table" w:customStyle="1" w:styleId="328">
    <w:name w:val="网格型1"/>
    <w:basedOn w:val="325"/>
    <w:qFormat/>
    <w:uiPriority w:val="0"/>
    <w:pPr>
      <w:widowControl w:val="0"/>
      <w:jc w:val="both"/>
    </w:pPr>
    <w:tblPr>
      <w:tblCellMar>
        <w:top w:w="0" w:type="dxa"/>
        <w:left w:w="0" w:type="dxa"/>
        <w:bottom w:w="0" w:type="dxa"/>
        <w:right w:w="0" w:type="dxa"/>
      </w:tblCellMar>
    </w:tblPr>
  </w:style>
  <w:style w:type="table" w:customStyle="1" w:styleId="329">
    <w:name w:val="Table Normal_0"/>
    <w:basedOn w:val="202"/>
    <w:qFormat/>
    <w:uiPriority w:val="0"/>
    <w:rPr>
      <w:rFonts w:eastAsia="Times New Roman"/>
    </w:rPr>
    <w:tblPr>
      <w:tblCellMar>
        <w:top w:w="0" w:type="dxa"/>
        <w:left w:w="0" w:type="dxa"/>
        <w:bottom w:w="0" w:type="dxa"/>
        <w:right w:w="0" w:type="dxa"/>
      </w:tblCellMar>
    </w:tblPr>
  </w:style>
  <w:style w:type="paragraph" w:customStyle="1" w:styleId="330">
    <w:name w:val="正文1"/>
    <w:basedOn w:val="1"/>
    <w:qFormat/>
    <w:uiPriority w:val="0"/>
    <w:pPr>
      <w:ind w:left="350"/>
    </w:pPr>
    <w:rPr>
      <w:sz w:val="2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51</Pages>
  <Words>17142</Words>
  <Characters>18220</Characters>
  <Lines>764</Lines>
  <Paragraphs>836</Paragraphs>
  <TotalTime>152</TotalTime>
  <ScaleCrop>false</ScaleCrop>
  <LinksUpToDate>false</LinksUpToDate>
  <CharactersWithSpaces>18704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七月流火</cp:lastModifiedBy>
  <dcterms:modified xsi:type="dcterms:W3CDTF">2026-11-02T03:05:06Z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64B4719227AE46D8AB1B86E383489C15_13</vt:lpwstr>
  </property>
  <property fmtid="{D5CDD505-2E9C-101B-9397-08002B2CF9AE}" pid="4" name="KSOTemplateDocerSaveRecord">
    <vt:lpwstr>eyJoZGlkIjoiOGQ2ZmY0YWVmOWZkM2Q5YjdlZWMwNGYxNjZiYzgxOTMiLCJ1c2VySWQiOiIyMzA2NzAwNjEifQ==</vt:lpwstr>
  </property>
</Properties>
</file>