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江阴市中医院外科手术显微镜项目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
          <w:sz w:val="32"/>
          <w:szCs w:val="32"/>
        </w:rPr>
        <w:t xml:space="preserve">：</w:t>
      </w:r>
      <w:r>
        <w:rPr>
          <w:rFonts w:ascii="宋体" w:hAnsi="宋体" w:eastAsia="宋体" w:cs="宋体"/>
          <w:bCs/>
          <w:sz w:val="32"/>
          <w:szCs w:val="32"/>
        </w:rPr>
        <w:t xml:space="preserve">JSZC-320281-JZCG-G2026-0079</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sz w:val="32"/>
          <w:szCs w:val="32"/>
        </w:rPr>
        <w:t xml:space="preserve">：</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十</w:t>
      </w:r>
      <w:r>
        <w:rPr>
          <w:rFonts w:hint="eastAsia" w:ascii="宋体" w:hAnsi="宋体" w:eastAsia="宋体" w:cs="Times New Roman"/>
          <w:bCs/>
          <w:sz w:val="48"/>
          <w:szCs w:val="24"/>
        </w:rPr>
        <w:t xml:space="preserve">一</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13"/>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914"/>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914"/>
            <w:rFonts w:hint="eastAsia" w:ascii="宋体" w:hAnsi="宋体"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913"/>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914"/>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914"/>
            <w:rFonts w:hint="eastAsia" w:ascii="宋体" w:hAnsi="宋体"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913"/>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914"/>
            <w:rFonts w:hint="eastAsia" w:ascii="宋体" w:hAnsi="宋体" w:eastAsia="宋体"/>
            <w:color w:val="auto"/>
            <w:sz w:val="30"/>
            <w:szCs w:val="30"/>
          </w:rPr>
          <w:t xml:space="preserve">第三章　</w:t>
        </w:r>
        <w:r>
          <w:rPr>
            <w:rStyle w:val="914"/>
            <w:rFonts w:hint="eastAsia" w:ascii="宋体" w:hAnsi="宋体" w:eastAsia="宋体"/>
            <w:color w:val="auto"/>
            <w:sz w:val="30"/>
            <w:szCs w:val="30"/>
          </w:rPr>
          <w:t xml:space="preserve">采购需求</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914"/>
            <w:rFonts w:hint="eastAsia" w:ascii="宋体" w:hAnsi="宋体" w:eastAsia="宋体"/>
            <w:color w:val="auto"/>
            <w:sz w:val="30"/>
            <w:szCs w:val="30"/>
          </w:rPr>
          <w:t xml:space="preserve">18</w:t>
        </w:r>
        <w:r>
          <w:rPr>
            <w:rFonts w:eastAsia="宋体"/>
            <w:sz w:val="30"/>
            <w:szCs w:val="30"/>
          </w:rPr>
        </w:r>
        <w:r>
          <w:rPr>
            <w:rFonts w:eastAsia="宋体"/>
            <w:sz w:val="30"/>
            <w:szCs w:val="30"/>
          </w:rPr>
          <w:fldChar w:fldCharType="end"/>
        </w:r>
      </w:hyperlink>
      <w:r/>
      <w:r/>
    </w:p>
    <w:p>
      <w:pPr>
        <w:pStyle w:val="913"/>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914"/>
            <w:rFonts w:hint="eastAsia" w:ascii="宋体" w:hAnsi="宋体" w:eastAsia="宋体"/>
            <w:color w:val="auto"/>
            <w:sz w:val="30"/>
            <w:szCs w:val="30"/>
          </w:rPr>
          <w:t xml:space="preserve">第四章</w:t>
        </w:r>
        <w:r>
          <w:rPr>
            <w:rStyle w:val="914"/>
            <w:rFonts w:ascii="宋体" w:hAnsi="宋体" w:eastAsia="宋体"/>
            <w:color w:val="auto"/>
            <w:sz w:val="30"/>
            <w:szCs w:val="30"/>
          </w:rPr>
          <w:t xml:space="preserve">  </w:t>
        </w:r>
        <w:r>
          <w:rPr>
            <w:rStyle w:val="914"/>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914"/>
            <w:rFonts w:hint="eastAsia" w:ascii="宋体" w:hAnsi="宋体" w:eastAsia="宋体"/>
            <w:color w:val="auto"/>
            <w:sz w:val="30"/>
            <w:szCs w:val="30"/>
          </w:rPr>
          <w:t xml:space="preserve">23</w:t>
        </w:r>
        <w:r>
          <w:rPr>
            <w:rFonts w:eastAsia="宋体"/>
            <w:sz w:val="30"/>
            <w:szCs w:val="30"/>
          </w:rPr>
        </w:r>
        <w:r>
          <w:rPr>
            <w:rFonts w:eastAsia="宋体"/>
            <w:sz w:val="30"/>
            <w:szCs w:val="30"/>
          </w:rPr>
          <w:fldChar w:fldCharType="end"/>
        </w:r>
      </w:hyperlink>
      <w:r/>
      <w:r/>
    </w:p>
    <w:p>
      <w:pPr>
        <w:pStyle w:val="913"/>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914"/>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914"/>
            <w:rFonts w:hint="eastAsia" w:ascii="宋体" w:hAnsi="宋体" w:eastAsia="宋体"/>
            <w:color w:val="auto"/>
            <w:sz w:val="30"/>
            <w:szCs w:val="30"/>
          </w:rPr>
          <w:t xml:space="preserve">23</w:t>
        </w:r>
        <w:r>
          <w:rPr>
            <w:rFonts w:eastAsia="宋体"/>
            <w:sz w:val="30"/>
            <w:szCs w:val="30"/>
          </w:rPr>
        </w:r>
        <w:r>
          <w:rPr>
            <w:rFonts w:eastAsia="宋体"/>
            <w:sz w:val="30"/>
            <w:szCs w:val="30"/>
          </w:rPr>
          <w:fldChar w:fldCharType="end"/>
        </w:r>
      </w:hyperlink>
      <w:r/>
      <w:r/>
    </w:p>
    <w:p>
      <w:pPr>
        <w:pStyle w:val="913"/>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914"/>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914"/>
            <w:rFonts w:hint="eastAsia" w:ascii="宋体" w:hAnsi="宋体" w:eastAsia="宋体"/>
            <w:color w:val="auto"/>
            <w:sz w:val="30"/>
            <w:szCs w:val="30"/>
          </w:rPr>
          <w:t xml:space="preserve">30</w:t>
        </w:r>
        <w:r>
          <w:rPr>
            <w:rFonts w:eastAsia="宋体"/>
            <w:sz w:val="30"/>
            <w:szCs w:val="30"/>
          </w:rPr>
        </w:r>
        <w:r>
          <w:rPr>
            <w:rFonts w:eastAsia="宋体"/>
            <w:sz w:val="30"/>
            <w:szCs w:val="30"/>
          </w:rPr>
          <w:fldChar w:fldCharType="end"/>
        </w:r>
      </w:hyperlink>
      <w:r/>
      <w:r/>
    </w:p>
    <w:p>
      <w:pPr>
        <w:pStyle w:val="911"/>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911"/>
      </w:pPr>
      <w:r/>
      <w:r/>
    </w:p>
    <w:p>
      <w:pPr>
        <w:pStyle w:val="911"/>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江阴市中医院外科手术显微镜项目</w:t>
      </w:r>
      <w:r>
        <w:rPr>
          <w:rFonts w:ascii="宋体" w:hAnsi="宋体" w:eastAsia="宋体" w:cs="Times New Roman"/>
          <w:bCs/>
          <w:sz w:val="24"/>
          <w:szCs w:val="24"/>
        </w:rPr>
        <w:t xml:space="preserve">JSZC-320281-JZCG-G2026-0079</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rPr>
        <w:t xml:space="preserve">25</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JSZC-320281-JZCG-G2026-0079</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江阴市中医院外科手术显微镜项目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50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238</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江阴市中医院外科手术显微镜项目</w:t>
      </w:r>
      <w:r>
        <w:rPr>
          <w:rFonts w:hint="eastAsia" w:ascii="宋体" w:hAnsi="宋体" w:eastAsia="宋体" w:cs="Times New Roman"/>
          <w:sz w:val="24"/>
          <w:szCs w:val="24"/>
        </w:rPr>
        <w:t xml:space="preserve">，本项目允许采购进口产品</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w:t>
      </w:r>
      <w:r>
        <w:rPr>
          <w:rFonts w:hint="eastAsia" w:ascii="宋体" w:hAnsi="宋体" w:eastAsia="宋体" w:cs="Times New Roman"/>
          <w:sz w:val="24"/>
          <w:szCs w:val="24"/>
        </w:rPr>
        <w:t xml:space="preserve">“信用中国”网站、中国政府采购网</w:t>
      </w:r>
      <w:r>
        <w:rPr>
          <w:rFonts w:hint="eastAsia" w:ascii="宋体" w:hAnsi="宋体" w:eastAsia="宋体" w:cs="Times New Roman"/>
          <w:sz w:val="24"/>
          <w:szCs w:val="24"/>
        </w:rPr>
        <w:t xml:space="preserve">列入失信被执行人、重大税收违法失信主体、</w:t>
      </w:r>
      <w:r>
        <w:rPr>
          <w:rFonts w:hint="eastAsia" w:ascii="宋体" w:hAnsi="宋体" w:eastAsia="宋体" w:cs="Times New Roman"/>
          <w:sz w:val="24"/>
          <w:szCs w:val="24"/>
        </w:rPr>
        <w:t xml:space="preserve">政府采购严重违法失信行为记录名单</w:t>
      </w:r>
      <w:r>
        <w:rPr>
          <w:rFonts w:hint="eastAsia" w:ascii="宋体" w:hAnsi="宋体" w:eastAsia="宋体" w:cs="Times New Roman"/>
          <w:sz w:val="24"/>
          <w:szCs w:val="24"/>
        </w:rPr>
        <w:t xml:space="preserve">（无需提供证明材料）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sz w:val="24"/>
        </w:rPr>
        <w:t xml:space="preserve">投标产品属于医疗器械注册范畴的，投标人须具有《医疗器械经营许可证》（或《医疗器械经营备案凭证》）且在经营范围内。</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rPr>
        <w:t xml:space="preserve">25</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江阴市中医院</w:t>
      </w:r>
      <w:r/>
    </w:p>
    <w:p>
      <w:pPr>
        <w:ind w:firstLine="480"/>
        <w:spacing w:line="400" w:lineRule="exact"/>
        <w:rPr>
          <w:rFonts w:ascii="宋体" w:hAnsi="宋体"/>
          <w:sz w:val="24"/>
        </w:rPr>
      </w:pPr>
      <w:r>
        <w:rPr>
          <w:rFonts w:hint="eastAsia" w:ascii="宋体" w:hAnsi="宋体"/>
          <w:sz w:val="24"/>
        </w:rPr>
        <w:t xml:space="preserve">地　　址：江阴市工农路100号</w:t>
      </w:r>
      <w:r/>
    </w:p>
    <w:p>
      <w:pPr>
        <w:ind w:firstLine="480"/>
        <w:spacing w:line="400" w:lineRule="exact"/>
        <w:rPr>
          <w:rFonts w:ascii="宋体" w:hAnsi="宋体"/>
          <w:sz w:val="24"/>
        </w:rPr>
      </w:pPr>
      <w:r>
        <w:rPr>
          <w:rFonts w:hint="eastAsia" w:ascii="宋体" w:hAnsi="宋体"/>
          <w:sz w:val="24"/>
        </w:rPr>
        <w:t xml:space="preserve">项目联系人：汤先生</w:t>
      </w:r>
      <w:r/>
    </w:p>
    <w:p>
      <w:pPr>
        <w:ind w:firstLine="480"/>
        <w:spacing w:line="400" w:lineRule="exact"/>
        <w:rPr>
          <w:rFonts w:ascii="宋体" w:hAnsi="宋体"/>
          <w:sz w:val="24"/>
        </w:rPr>
      </w:pPr>
      <w:r>
        <w:rPr>
          <w:rFonts w:hint="eastAsia" w:ascii="宋体" w:hAnsi="宋体"/>
          <w:sz w:val="24"/>
        </w:rPr>
        <w:t xml:space="preserve">联系电话：0510-86703988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11"/>
      </w:pPr>
      <w:r/>
      <w:r/>
    </w:p>
    <w:p>
      <w:pPr>
        <w:pStyle w:val="911"/>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投标产品属于医疗器械注册范畴的，须提供《医疗器械注册证》；（扫描件）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宋体"/>
          <w:sz w:val="24"/>
          <w:szCs w:val="24"/>
        </w:rPr>
        <w:t xml:space="preserve">产品配置清单</w:t>
      </w:r>
      <w:r>
        <w:rPr>
          <w:rFonts w:hint="eastAsia" w:ascii="宋体" w:hAnsi="宋体" w:eastAsia="宋体" w:cs="宋体"/>
          <w:sz w:val="24"/>
          <w:szCs w:val="24"/>
        </w:rPr>
        <w:t xml:space="preserve">；</w:t>
      </w:r>
      <w:r>
        <w:rPr>
          <w:rFonts w:hint="eastAsia" w:ascii="宋体" w:hAnsi="宋体" w:eastAsia="宋体" w:cs="宋体"/>
          <w:sz w:val="24"/>
          <w:szCs w:val="24"/>
        </w:rPr>
        <w:t xml:space="preserve">（格式自拟）</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投标产品属于医疗器械注册范畴的，投标人须具有《医疗器械经营许可证》（或《医疗器械经营备案凭证》）且在经营范围内。</w:t>
      </w:r>
      <w:r>
        <w:rPr>
          <w:rFonts w:hint="eastAsia" w:ascii="宋体" w:hAnsi="宋体" w:eastAsia="宋体" w:cs="Times New Roman"/>
          <w:bCs/>
          <w:sz w:val="24"/>
          <w:szCs w:val="24"/>
        </w:rPr>
        <w:t xml:space="preserve">（扫描件）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8</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w:t>
      </w:r>
      <w:r>
        <w:rPr>
          <w:rFonts w:hint="eastAsia" w:ascii="宋体" w:hAnsi="宋体" w:eastAsia="宋体" w:cs="Times New Roman"/>
          <w:sz w:val="24"/>
          <w:szCs w:val="24"/>
        </w:rPr>
        <w:t xml:space="preserve">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w:t>
      </w:r>
      <w:r>
        <w:rPr>
          <w:rFonts w:hint="eastAsia" w:ascii="宋体" w:hAnsi="宋体" w:eastAsia="宋体" w:cs="Times New Roman"/>
          <w:sz w:val="24"/>
          <w:szCs w:val="24"/>
        </w:rPr>
        <w:t xml:space="preserve">“</w:t>
      </w:r>
      <w:r>
        <w:rPr>
          <w:rFonts w:ascii="宋体" w:hAnsi="宋体" w:eastAsia="宋体" w:cs="Times New Roman"/>
          <w:sz w:val="24"/>
          <w:szCs w:val="24"/>
        </w:rPr>
        <w:t xml:space="preserve">信用中国”网站、中国政府采购网</w:t>
      </w:r>
      <w:r>
        <w:rPr>
          <w:rFonts w:ascii="宋体" w:hAnsi="宋体" w:eastAsia="宋体" w:cs="Times New Roman"/>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w:t>
      </w:r>
      <w:r>
        <w:rPr>
          <w:rFonts w:hint="eastAsia" w:ascii="宋体" w:hAnsi="宋体" w:eastAsia="宋体" w:cs="Times New Roman"/>
          <w:b/>
          <w:sz w:val="24"/>
          <w:szCs w:val="24"/>
        </w:rPr>
        <w:t xml:space="preserve">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w:t>
      </w:r>
      <w:r>
        <w:rPr>
          <w:rFonts w:hint="eastAsia" w:ascii="宋体" w:hAnsi="宋体" w:eastAsia="宋体" w:cs="Times New Roman"/>
          <w:b/>
          <w:sz w:val="24"/>
          <w:szCs w:val="24"/>
        </w:rPr>
        <w:t xml:space="preserve">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宋体"/>
          <w:sz w:val="24"/>
          <w:szCs w:val="24"/>
          <w:u w:val="single"/>
        </w:rPr>
      </w:pPr>
      <w:r>
        <w:rPr>
          <w:rFonts w:hint="eastAsia" w:ascii="宋体" w:hAnsi="宋体" w:eastAsia="宋体" w:cs="宋体"/>
          <w:sz w:val="24"/>
          <w:szCs w:val="24"/>
          <w:u w:val="single"/>
        </w:rPr>
        <w:t xml:space="preserve">采购人收件人：汤先生  收件地址：江阴市工农路100号江阴市中医院行政楼308室  收件电话：0510-86703988</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w:t>
      </w:r>
      <w:r>
        <w:rPr>
          <w:rFonts w:ascii="宋体" w:hAnsi="宋体" w:eastAsia="宋体" w:cs="Times New Roman"/>
          <w:sz w:val="24"/>
          <w:szCs w:val="24"/>
        </w:rPr>
        <w:t xml:space="preserve">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1、根据《财政部、工业和信息化部关于印发《政府采购促进中小企业发展管理办法》的通知》（财库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6、中标供应商享受中小企业扶持政策的，江阴市政府采购中心将随中标结果公开中标供应商的《中小企业声明函》。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7、供应商提供声明函内容不实的，属于提供虚假材料谋取中标，依照《中华人民共和国政府采购法》等国家有关规定追究相应责任。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w:t>
      </w:r>
      <w:r>
        <w:rPr>
          <w:rFonts w:hint="eastAsia" w:ascii="宋体" w:hAnsi="宋体" w:eastAsia="宋体" w:cs="Times New Roman"/>
          <w:b/>
          <w:sz w:val="24"/>
          <w:szCs w:val="24"/>
        </w:rPr>
        <w:t xml:space="preserve">根据《国务院办公厅关于在政府采购中实施本国产品标准及相关政策的通知》（国办发〔2025〕34号）要求，本项目对采购本国产品</w:t>
      </w:r>
      <w:r>
        <w:rPr>
          <w:rFonts w:hint="eastAsia" w:ascii="宋体" w:hAnsi="宋体" w:eastAsia="宋体" w:cs="Times New Roman"/>
          <w:b/>
          <w:sz w:val="24"/>
          <w:szCs w:val="24"/>
        </w:rPr>
        <w:t xml:space="preserve">给予</w:t>
      </w:r>
      <w:r>
        <w:rPr>
          <w:rFonts w:hint="eastAsia" w:ascii="宋体" w:hAnsi="宋体" w:eastAsia="宋体" w:cs="Times New Roman"/>
          <w:b/>
          <w:sz w:val="24"/>
          <w:szCs w:val="24"/>
        </w:rPr>
        <w:t xml:space="preserve">政策支持。</w:t>
      </w:r>
      <w:r>
        <w:rPr>
          <w:rFonts w:hint="eastAsia" w:ascii="宋体" w:hAnsi="宋体" w:eastAsia="宋体" w:cs="Times New Roman"/>
          <w:b/>
          <w:sz w:val="24"/>
          <w:szCs w:val="24"/>
        </w:rPr>
        <w:t xml:space="preserve">（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政府采购活动中既有本</w:t>
      </w:r>
      <w:r>
        <w:rPr>
          <w:rFonts w:hint="eastAsia" w:ascii="宋体" w:hAnsi="宋体" w:eastAsia="宋体" w:cs="Times New Roman"/>
          <w:sz w:val="24"/>
          <w:szCs w:val="24"/>
        </w:rPr>
        <w:t xml:space="preserve">国产品又有非本国产品参与竞争的，依法对本国产品给予</w:t>
      </w:r>
      <w:r>
        <w:rPr>
          <w:rFonts w:hint="eastAsia" w:ascii="宋体" w:hAnsi="宋体" w:eastAsia="宋体" w:cs="Times New Roman"/>
          <w:sz w:val="24"/>
          <w:szCs w:val="24"/>
        </w:rPr>
        <w:t xml:space="preserve">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w:t>
      </w:r>
      <w:r>
        <w:rPr>
          <w:rFonts w:hint="eastAsia" w:ascii="宋体" w:hAnsi="宋体" w:eastAsia="宋体" w:cs="Times New Roman"/>
          <w:sz w:val="24"/>
          <w:szCs w:val="24"/>
        </w:rPr>
        <w:t xml:space="preserve">分项报价</w:t>
      </w:r>
      <w:r>
        <w:rPr>
          <w:rFonts w:hint="eastAsia" w:ascii="宋体" w:hAnsi="宋体" w:eastAsia="宋体" w:cs="Times New Roman"/>
          <w:sz w:val="24"/>
          <w:szCs w:val="24"/>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提供本国产品进行投标（报价）的供应商需在其投标（响应）文件中提供《关于符合本国产品标准的声明函》（格式见</w:t>
      </w:r>
      <w:r>
        <w:rPr>
          <w:rFonts w:hint="eastAsia" w:ascii="宋体" w:hAnsi="宋体" w:eastAsia="宋体" w:cs="Times New Roman"/>
          <w:sz w:val="24"/>
          <w:szCs w:val="24"/>
        </w:rPr>
        <w:t xml:space="preserve">附件</w:t>
      </w:r>
      <w:r>
        <w:rPr>
          <w:rFonts w:hint="eastAsia" w:ascii="宋体" w:hAnsi="宋体" w:eastAsia="宋体" w:cs="Times New Roman"/>
          <w:sz w:val="24"/>
          <w:szCs w:val="24"/>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w:t>
      </w:r>
      <w:r>
        <w:rPr>
          <w:rFonts w:hint="eastAsia" w:ascii="宋体" w:hAnsi="宋体" w:eastAsia="宋体" w:cs="Times New Roman"/>
          <w:sz w:val="24"/>
          <w:szCs w:val="24"/>
        </w:rPr>
        <w:t xml:space="preserve">国产品标准的声明函》或财政部门会同有关部门规定的有关证明文件的</w:t>
      </w:r>
      <w:r>
        <w:rPr>
          <w:rFonts w:hint="eastAsia" w:ascii="宋体" w:hAnsi="宋体" w:eastAsia="宋体" w:cs="Times New Roman"/>
          <w:sz w:val="24"/>
          <w:szCs w:val="24"/>
        </w:rPr>
        <w:t xml:space="preserve">，将不得享受本国产品价格扣除政策。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《江苏省政府采购履约验收管理办法》（苏财规〔2024〕7号）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11"/>
        <w:sectPr>
          <w:footnotePr/>
          <w:endnotePr/>
          <w:type w:val="nextPage"/>
          <w:pgSz w:w="11906" w:h="16838" w:orient="portrait"/>
          <w:pgMar w:top="1247" w:right="1247" w:bottom="1247" w:left="1247" w:header="680" w:footer="992" w:gutter="0"/>
          <w:cols w:num="1" w:sep="0" w:space="720" w:equalWidth="1"/>
          <w:docGrid w:linePitch="360"/>
        </w:sectPr>
      </w:pPr>
      <w:r/>
      <w:r/>
    </w:p>
    <w:p>
      <w:pPr>
        <w:pStyle w:val="911"/>
      </w:pPr>
      <w:r/>
      <w:r/>
    </w:p>
    <w:p>
      <w:pPr>
        <w:pStyle w:val="911"/>
      </w:pPr>
      <w:r/>
      <w:bookmarkStart w:id="10" w:name="_Toc213847315"/>
      <w:r>
        <w:rPr>
          <w:rFonts w:hint="eastAsia"/>
        </w:rPr>
        <w:t xml:space="preserve">第三章　</w:t>
      </w:r>
      <w:bookmarkStart w:id="11" w:name="_Toc251268361"/>
      <w:r/>
      <w:bookmarkEnd w:id="10"/>
      <w:r>
        <w:rPr>
          <w:rFonts w:hint="eastAsia"/>
        </w:rPr>
        <w:t xml:space="preserve">采购需求</w:t>
      </w:r>
      <w:r/>
    </w:p>
    <w:p>
      <w:pPr>
        <w:jc w:val="center"/>
        <w:spacing w:line="400" w:lineRule="exact"/>
        <w:tabs>
          <w:tab w:val="left" w:pos="900" w:leader="none"/>
        </w:tabs>
        <w:rPr>
          <w:rFonts w:ascii="宋体" w:hAnsi="宋体" w:eastAsia="宋体" w:cs="宋体"/>
          <w:b/>
          <w:bCs/>
          <w:sz w:val="24"/>
          <w:szCs w:val="24"/>
        </w:rPr>
      </w:pPr>
      <w:r>
        <w:rPr>
          <w:rFonts w:hint="eastAsia" w:ascii="宋体" w:hAnsi="宋体" w:eastAsia="宋体" w:cs="宋体"/>
          <w:b/>
          <w:bCs/>
          <w:sz w:val="24"/>
          <w:szCs w:val="24"/>
        </w:rPr>
        <w:t xml:space="preserve">（以下除“三、详细的技术参数要求”非打“★”项外，其余均为实质性要求）</w:t>
      </w:r>
      <w:r/>
    </w:p>
    <w:p>
      <w:pPr>
        <w:ind w:firstLine="482"/>
        <w:jc w:val="center"/>
        <w:spacing w:line="400" w:lineRule="exact"/>
        <w:widowControl/>
        <w:rPr>
          <w:rFonts w:ascii="宋体" w:hAnsi="宋体" w:eastAsia="宋体" w:cs="宋体"/>
          <w:b/>
          <w:sz w:val="24"/>
          <w:szCs w:val="24"/>
        </w:rPr>
      </w:pPr>
      <w:r>
        <w:rPr>
          <w:rFonts w:ascii="宋体" w:hAnsi="宋体" w:eastAsia="宋体" w:cs="宋体"/>
          <w:b/>
          <w:sz w:val="24"/>
          <w:szCs w:val="24"/>
        </w:rPr>
      </w:r>
      <w:r/>
    </w:p>
    <w:p>
      <w:pPr>
        <w:spacing w:line="400" w:lineRule="exact"/>
        <w:rPr>
          <w:rFonts w:ascii="黑体" w:hAnsi="黑体" w:eastAsia="黑体"/>
          <w:sz w:val="28"/>
          <w:szCs w:val="28"/>
        </w:rPr>
      </w:pPr>
      <w:r>
        <w:rPr>
          <w:rFonts w:hint="eastAsia" w:ascii="黑体" w:hAnsi="黑体" w:eastAsia="黑体"/>
          <w:sz w:val="28"/>
          <w:szCs w:val="28"/>
        </w:rPr>
        <w:t xml:space="preserve">一、项目概述：</w:t>
      </w:r>
      <w:r/>
    </w:p>
    <w:p>
      <w:pPr>
        <w:ind w:firstLine="480"/>
        <w:spacing w:line="400" w:lineRule="exact"/>
        <w:rPr>
          <w:rFonts w:ascii="宋体" w:hAnsi="宋体" w:eastAsia="宋体"/>
          <w:sz w:val="24"/>
          <w:szCs w:val="24"/>
        </w:rPr>
      </w:pPr>
      <w:r>
        <w:rPr>
          <w:rFonts w:hint="eastAsia" w:ascii="宋体" w:hAnsi="宋体" w:eastAsia="宋体"/>
          <w:bCs/>
          <w:sz w:val="24"/>
          <w:szCs w:val="24"/>
        </w:rPr>
        <w:t xml:space="preserve">本项目为江阴市中医院外科手术显微镜项目。</w:t>
      </w:r>
      <w:r>
        <w:rPr>
          <w:rFonts w:hint="eastAsia" w:ascii="宋体" w:hAnsi="宋体" w:eastAsia="宋体"/>
          <w:sz w:val="24"/>
          <w:szCs w:val="24"/>
        </w:rPr>
        <w:t xml:space="preserve">主要用于适用于适用神经外科脑血管、脑肿瘤、神经功能等手术。</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本项目最高限价238万元。</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本项目允许采购进口产品。</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本项目标的所属行业：工业。</w:t>
      </w:r>
      <w:r/>
    </w:p>
    <w:p>
      <w:pPr>
        <w:ind w:firstLine="482"/>
        <w:spacing w:line="400" w:lineRule="exact"/>
        <w:tabs>
          <w:tab w:val="left" w:pos="8475" w:leader="none"/>
        </w:tabs>
        <w:rPr>
          <w:rFonts w:ascii="宋体" w:hAnsi="宋体" w:eastAsia="宋体"/>
          <w:b/>
          <w:sz w:val="24"/>
          <w:szCs w:val="24"/>
        </w:rPr>
      </w:pPr>
      <w:r>
        <w:rPr>
          <w:rFonts w:ascii="宋体" w:hAnsi="宋体" w:eastAsia="宋体"/>
          <w:sz w:val="24"/>
          <w:szCs w:val="24"/>
        </w:rPr>
        <w:tab/>
      </w:r>
      <w:r/>
    </w:p>
    <w:p>
      <w:pPr>
        <w:spacing w:line="400" w:lineRule="exact"/>
        <w:rPr>
          <w:rFonts w:ascii="黑体" w:hAnsi="黑体" w:eastAsia="黑体"/>
          <w:sz w:val="28"/>
          <w:szCs w:val="28"/>
        </w:rPr>
      </w:pPr>
      <w:r>
        <w:rPr>
          <w:rFonts w:hint="eastAsia" w:ascii="黑体" w:hAnsi="黑体" w:eastAsia="黑体"/>
          <w:sz w:val="28"/>
          <w:szCs w:val="28"/>
        </w:rPr>
        <w:t xml:space="preserve">二、项目采购清单：</w:t>
      </w:r>
      <w:r/>
    </w:p>
    <w:tbl>
      <w:tblPr>
        <w:tblStyle w:val="1027"/>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770"/>
        <w:gridCol w:w="2175"/>
        <w:gridCol w:w="1062"/>
        <w:gridCol w:w="5735"/>
      </w:tblGrid>
      <w:tr>
        <w:trPr>
          <w:jc w:val="center"/>
          <w:tblHeader/>
        </w:trPr>
        <w:tc>
          <w:tcPr>
            <w:tcW w:w="770" w:type="dxa"/>
            <w:vAlign w:val="center"/>
            <w:textDirection w:val="lrTb"/>
            <w:noWrap w:val="false"/>
          </w:tcPr>
          <w:p>
            <w:pPr>
              <w:jc w:val="center"/>
              <w:spacing w:line="400" w:lineRule="exact"/>
              <w:rPr>
                <w:rFonts w:ascii="宋体" w:hAnsi="宋体" w:eastAsia="宋体"/>
                <w:b/>
                <w:sz w:val="24"/>
                <w:szCs w:val="24"/>
              </w:rPr>
            </w:pPr>
            <w:r>
              <w:rPr>
                <w:rFonts w:hint="eastAsia" w:ascii="宋体" w:hAnsi="宋体" w:eastAsia="宋体"/>
                <w:b/>
                <w:sz w:val="24"/>
                <w:szCs w:val="24"/>
              </w:rPr>
              <w:t xml:space="preserve">序号</w:t>
            </w:r>
            <w:r/>
          </w:p>
        </w:tc>
        <w:tc>
          <w:tcPr>
            <w:tcW w:w="2175" w:type="dxa"/>
            <w:vAlign w:val="center"/>
            <w:textDirection w:val="lrTb"/>
            <w:noWrap w:val="false"/>
          </w:tcPr>
          <w:p>
            <w:pPr>
              <w:jc w:val="center"/>
              <w:spacing w:line="400" w:lineRule="exact"/>
              <w:rPr>
                <w:rFonts w:ascii="宋体" w:hAnsi="宋体" w:eastAsia="宋体"/>
                <w:b/>
                <w:sz w:val="24"/>
                <w:szCs w:val="24"/>
              </w:rPr>
            </w:pPr>
            <w:r>
              <w:rPr>
                <w:rFonts w:hint="eastAsia" w:ascii="宋体" w:hAnsi="宋体" w:eastAsia="宋体"/>
                <w:b/>
                <w:sz w:val="24"/>
                <w:szCs w:val="24"/>
              </w:rPr>
              <w:t xml:space="preserve">标的名称</w:t>
            </w:r>
            <w:r/>
          </w:p>
        </w:tc>
        <w:tc>
          <w:tcPr>
            <w:tcW w:w="1062" w:type="dxa"/>
            <w:vAlign w:val="center"/>
            <w:textDirection w:val="lrTb"/>
            <w:noWrap w:val="false"/>
          </w:tcPr>
          <w:p>
            <w:pPr>
              <w:jc w:val="center"/>
              <w:spacing w:line="400" w:lineRule="exact"/>
              <w:rPr>
                <w:rFonts w:ascii="宋体" w:hAnsi="宋体" w:eastAsia="宋体"/>
                <w:b/>
                <w:sz w:val="24"/>
                <w:szCs w:val="24"/>
              </w:rPr>
            </w:pPr>
            <w:r>
              <w:rPr>
                <w:rFonts w:hint="eastAsia" w:ascii="宋体" w:hAnsi="宋体" w:eastAsia="宋体"/>
                <w:b/>
                <w:sz w:val="24"/>
                <w:szCs w:val="24"/>
              </w:rPr>
              <w:t xml:space="preserve">数量</w:t>
            </w:r>
            <w:r/>
          </w:p>
        </w:tc>
        <w:tc>
          <w:tcPr>
            <w:tcW w:w="5735" w:type="dxa"/>
            <w:vAlign w:val="center"/>
            <w:textDirection w:val="lrTb"/>
            <w:noWrap w:val="false"/>
          </w:tcPr>
          <w:p>
            <w:pPr>
              <w:jc w:val="center"/>
              <w:spacing w:line="400" w:lineRule="exact"/>
              <w:rPr>
                <w:rFonts w:ascii="宋体" w:hAnsi="宋体" w:eastAsia="宋体"/>
                <w:b/>
                <w:sz w:val="24"/>
                <w:szCs w:val="24"/>
              </w:rPr>
            </w:pPr>
            <w:r>
              <w:rPr>
                <w:rFonts w:hint="eastAsia" w:ascii="宋体" w:hAnsi="宋体" w:eastAsia="宋体"/>
                <w:b/>
                <w:bCs/>
                <w:sz w:val="24"/>
                <w:szCs w:val="24"/>
              </w:rPr>
              <w:t xml:space="preserve">备注</w:t>
            </w:r>
            <w:r/>
          </w:p>
        </w:tc>
      </w:tr>
      <w:tr>
        <w:trPr>
          <w:jc w:val="center"/>
        </w:trPr>
        <w:tc>
          <w:tcPr>
            <w:tcW w:w="77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tcW w:w="217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bCs/>
                <w:sz w:val="24"/>
                <w:szCs w:val="24"/>
              </w:rPr>
              <w:t xml:space="preserve">外科手术显微镜</w:t>
            </w:r>
            <w:r/>
          </w:p>
        </w:tc>
        <w:tc>
          <w:tcPr>
            <w:tcW w:w="1062"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1套</w:t>
            </w:r>
            <w:r/>
          </w:p>
        </w:tc>
        <w:tc>
          <w:tcPr>
            <w:tcW w:w="5735" w:type="dxa"/>
            <w:vAlign w:val="center"/>
            <w:textDirection w:val="lrTb"/>
            <w:noWrap w:val="false"/>
          </w:tcPr>
          <w:p>
            <w:pPr>
              <w:spacing w:line="400" w:lineRule="exact"/>
              <w:rPr>
                <w:rFonts w:ascii="宋体" w:hAnsi="宋体" w:eastAsia="宋体"/>
                <w:sz w:val="24"/>
                <w:szCs w:val="24"/>
              </w:rPr>
            </w:pPr>
            <w:r>
              <w:rPr>
                <w:rFonts w:ascii="宋体" w:hAnsi="宋体" w:eastAsia="宋体"/>
                <w:sz w:val="24"/>
                <w:szCs w:val="24"/>
              </w:rPr>
              <w:t xml:space="preserve">配置包括：</w:t>
            </w:r>
            <w:r>
              <w:rPr>
                <w:rFonts w:hint="eastAsia" w:ascii="宋体" w:hAnsi="宋体" w:eastAsia="宋体"/>
                <w:sz w:val="24"/>
                <w:szCs w:val="24"/>
              </w:rPr>
              <w:t xml:space="preserve">主镜1套，助手镜1套，照明系统1套，支架系统1套，摄像系统1套，高清血管荧光功能模块1套。</w:t>
            </w:r>
            <w:r/>
          </w:p>
          <w:p>
            <w:pPr>
              <w:spacing w:line="400" w:lineRule="exact"/>
              <w:rPr>
                <w:rFonts w:ascii="宋体" w:hAnsi="宋体" w:eastAsia="宋体"/>
                <w:sz w:val="24"/>
                <w:szCs w:val="24"/>
              </w:rPr>
            </w:pPr>
            <w:r>
              <w:rPr>
                <w:rFonts w:hint="eastAsia" w:ascii="宋体" w:hAnsi="宋体" w:eastAsia="宋体" w:cs="Times New Roman"/>
                <w:b/>
                <w:sz w:val="24"/>
              </w:rPr>
              <w:t xml:space="preserve">投标人须提供《产品配置清单》（格式自拟，未提供将作为无效投标）</w:t>
            </w:r>
            <w:r/>
          </w:p>
        </w:tc>
      </w:tr>
    </w:tbl>
    <w:p>
      <w:pPr>
        <w:jc w:val="left"/>
        <w:spacing w:line="400" w:lineRule="exact"/>
        <w:rPr>
          <w:rFonts w:ascii="宋体" w:hAnsi="宋体" w:eastAsia="宋体"/>
          <w:sz w:val="24"/>
          <w:szCs w:val="24"/>
        </w:rPr>
      </w:pPr>
      <w:r>
        <w:rPr>
          <w:rFonts w:ascii="宋体" w:hAnsi="宋体" w:eastAsia="宋体"/>
          <w:sz w:val="24"/>
          <w:szCs w:val="24"/>
        </w:rPr>
      </w:r>
      <w:r/>
    </w:p>
    <w:p>
      <w:pPr>
        <w:jc w:val="left"/>
        <w:spacing w:line="400" w:lineRule="exact"/>
        <w:rPr>
          <w:rFonts w:ascii="黑体" w:hAnsi="黑体" w:eastAsia="黑体"/>
          <w:sz w:val="28"/>
          <w:szCs w:val="28"/>
        </w:rPr>
      </w:pPr>
      <w:r>
        <w:rPr>
          <w:rFonts w:hint="eastAsia" w:ascii="黑体" w:hAnsi="黑体" w:eastAsia="黑体"/>
          <w:sz w:val="28"/>
          <w:szCs w:val="28"/>
        </w:rPr>
        <w:t xml:space="preserve">三、详细的技术参数要求：</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1、主镜</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▲1.1双人四目，适用神经外科脑血管、脑肿瘤、神经功能等手术；</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1.2一体化触摸屏集控系统：通过≥22英寸触摸屏集控光学、支架、影像及照明设置；</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▲1.3触屏可新建个性化用户和患者账户，新建用户数量≥20个，新建患者数量≥20个。</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1.4全光路复消色差，镀膜技术；</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▲1.5放大倍数（12.5×目镜下，无额外增倍器）：最小放大倍率≤1.8×，最大放大倍率≥16×；</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▲1.6单一连续可调物镜下，最小工作距离≤200mm，最大工作距离≥600mm；</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1.7广角目镜，屈光补偿+5D到-7D，眼杯高度可调；</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1.8主镜前后倾角度≥150º；</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1.9双目镜筒 12.5倍，0°到180°可调，可左右360°旋转；</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1.10全功能可编程手柄，可自由设定控制参数，如：变倍、调焦、拍照、视频、亮度、荧光等等，使操作变得简单，直观；</w:t>
      </w:r>
      <w:r>
        <w:rPr>
          <w:rFonts w:hint="eastAsia" w:ascii="宋体" w:hAnsi="宋体" w:eastAsia="宋体"/>
          <w:sz w:val="24"/>
          <w:szCs w:val="24"/>
        </w:rPr>
        <w:tab/>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1.11无外挂模块，可通过全内置主机的远程服务平台实现远程机器使用日志、报错和</w:t>
      </w:r>
      <w:r>
        <w:rPr>
          <w:rFonts w:hint="eastAsia" w:ascii="宋体" w:hAnsi="宋体" w:eastAsia="宋体"/>
          <w:sz w:val="24"/>
          <w:szCs w:val="24"/>
        </w:rPr>
        <w:t xml:space="preserve">故障排除等售后服务功能；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1.12机头后备手动旋钮：机头具备手动调焦、变倍和调光圈大小的旋钮；</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1.13自动将聚焦速度与放大倍率相匹配，在较高放大倍率时，将自动降低预选的聚焦速度；</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1.14变焦锁定：适用于激光手术，通过触屏变焦锁定开；</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1.15可升级折叠镜筒，可额外提高放大倍数。</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2、助手镜</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2.1 助手镜具备锁控功能，360°旋转可调至对手镜位置；</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▲2.2 配置全金属镜筒，释放电磁锁主刀镜前后移动时，助手镜水平位置不变；</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2.3无需额外分光器即可安装助手镜。</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3、照明系统</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3.1支架上冷光源照明系统，经光纤传导到显微镜；</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★3.2双氙灯光源，可切换使用；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3.3照明安全：光亮度和工作距离联动，光照范围与术野联动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3.4通过主机触摸屏同步照明强度调整、照明速度调节、聚焦照明联动以及照明开关功能；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3.5自动调节亮度：为了实现目镜中稳定的图片亮度，根据工作距离和放大倍率调整照明亮度；</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3.6可自定义设置照明亮度报警阈值，当实际照明亮度超出预设范围时，系统可自动触发提示。</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4、支架系统</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4.1平衡调节：无需分步，全自动一键电动平衡系统；</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▲4.2自动平衡功能完成时间≤60秒；</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4.3显微镜支架底盘尺寸≥800mm×800mm，支架稳定性更好；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4.4支架具有6关节电磁锁开关，支架臂上具有电磁锁；</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4.5智能防震颤支架：支架采用智能感应减震马达，使支架快速减震停摆；</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4.6术中或术前平衡时有远离病人或不在患者上方的图示性保护提示</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▲4.7过顶设计，支架最大高度≥2300mm，有效臂展≥1600mm；</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4.8具备精细平衡调节按钮；</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4.9具备WIFI功能；</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▲4.10具备内置无菌罩负压抽吸系统，可一键启动，将无菌罩内空气抽出，使无菌罩紧密贴合镜头与支架。</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5、摄像系统</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5.1真正一体化设计，镜体内完全内置高清摄像头（1920*1080p），无需外接分光器和视频适配器，便于临床线缆管理；</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5.2配置原厂≥22英寸高清触摸屏监视器，可外接USB数据存储；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5.3 照片格式：JPEG，PNG；</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6、高清血管荧光</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▲6.1整体荧光模块全内置，造影剂：吲哚青绿；</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6.2荧光亮度增益可调，确保术中成像效果清晰可见；</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▲6.3血管荧光模式下可录制≥5分钟；</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6.4荧光摄像头分辨率1920*1080p，可看清亚毫米级别血管；</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▲6.5具备荧光长回放功能，回放次数≥5次。</w:t>
      </w:r>
      <w:r/>
    </w:p>
    <w:p>
      <w:pPr>
        <w:spacing w:line="400" w:lineRule="exact"/>
        <w:rPr>
          <w:rFonts w:ascii="宋体" w:hAnsi="宋体" w:eastAsia="宋体"/>
          <w:sz w:val="24"/>
          <w:szCs w:val="24"/>
        </w:rPr>
      </w:pPr>
      <w:r>
        <w:rPr>
          <w:rFonts w:ascii="宋体" w:hAnsi="宋体" w:eastAsia="宋体"/>
          <w:sz w:val="24"/>
          <w:szCs w:val="24"/>
        </w:rPr>
      </w:r>
      <w:r/>
    </w:p>
    <w:p>
      <w:pPr>
        <w:spacing w:line="400" w:lineRule="exact"/>
        <w:rPr>
          <w:rFonts w:ascii="宋体" w:hAnsi="宋体" w:eastAsia="宋体"/>
          <w:b/>
          <w:bCs/>
          <w:sz w:val="24"/>
          <w:szCs w:val="24"/>
        </w:rPr>
      </w:pPr>
      <w:r>
        <w:rPr>
          <w:rFonts w:ascii="宋体" w:hAnsi="宋体" w:eastAsia="宋体"/>
          <w:b/>
          <w:bCs/>
          <w:sz w:val="24"/>
          <w:szCs w:val="24"/>
        </w:rPr>
        <w:t xml:space="preserve">备注：</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1.其中打“★”项为实质性要求，有一项负偏离将作为无效投标；打“▲”项为重要指标项。</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rPr>
        <w:t xml:space="preserve">.投标产品属于医疗器械注册范畴的，须提供《医疗器械注册证》。（扫描件）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.投标人必须如实地在偏离说明中做出明确的逐项响应承诺，并对其真实性负责。</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.所投产品技术参数单位与采购文件不一致的由投标供应商自行换算成与采购文件一</w:t>
      </w:r>
      <w:r>
        <w:rPr>
          <w:rFonts w:hint="eastAsia" w:ascii="宋体" w:hAnsi="宋体" w:eastAsia="宋体" w:cs="宋体"/>
          <w:bCs/>
          <w:sz w:val="24"/>
          <w:szCs w:val="24"/>
        </w:rPr>
        <w:t xml:space="preserve">致的单位。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.如中标单位供货产品的技术参数与“投标文件技术规范描述”不符，则按“提供虚假材料谋取中标”处理。</w:t>
      </w:r>
      <w:r/>
    </w:p>
    <w:p>
      <w:pPr>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sz w:val="28"/>
          <w:szCs w:val="28"/>
        </w:rPr>
      </w:pPr>
      <w:r>
        <w:rPr>
          <w:rFonts w:hint="eastAsia" w:ascii="黑体" w:hAnsi="黑体" w:eastAsia="黑体"/>
          <w:sz w:val="28"/>
          <w:szCs w:val="28"/>
        </w:rPr>
        <w:t xml:space="preserve">四、交货时间和地点：</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交货时间：签订合同后</w:t>
      </w:r>
      <w:r>
        <w:rPr>
          <w:rFonts w:ascii="宋体" w:hAnsi="宋体" w:eastAsia="宋体"/>
          <w:sz w:val="24"/>
          <w:szCs w:val="24"/>
          <w:u w:val="single"/>
        </w:rPr>
        <w:t xml:space="preserve">60</w:t>
      </w:r>
      <w:r>
        <w:rPr>
          <w:rFonts w:hint="eastAsia" w:ascii="宋体" w:hAnsi="宋体" w:eastAsia="宋体"/>
          <w:sz w:val="24"/>
          <w:szCs w:val="24"/>
        </w:rPr>
        <w:t xml:space="preserve">天内。（各供应商报出最早交货期限）</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交货地点：江阴市中医院。</w:t>
      </w:r>
      <w:r/>
    </w:p>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sz w:val="28"/>
          <w:szCs w:val="28"/>
        </w:rPr>
      </w:pPr>
      <w:r>
        <w:rPr>
          <w:rFonts w:hint="eastAsia" w:ascii="黑体" w:hAnsi="黑体" w:eastAsia="黑体"/>
          <w:sz w:val="28"/>
          <w:szCs w:val="28"/>
        </w:rPr>
        <w:t xml:space="preserve">五、安装及验收：</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3.提供设备的出厂检验报告、合格证书、装箱单，并预先提供验收标准，填写验收报告书，供双方最终确认使用。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4.设备安装后，按国际和国家标准及厂方标准进行质量验收。卖方应向买方提供详细的验收标准，验收专用仪器，并承担相关费用。</w:t>
      </w:r>
      <w:r/>
    </w:p>
    <w:p>
      <w:pPr>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sz w:val="28"/>
          <w:szCs w:val="28"/>
        </w:rPr>
      </w:pPr>
      <w:r>
        <w:rPr>
          <w:rFonts w:hint="eastAsia" w:ascii="黑体" w:hAnsi="黑体" w:eastAsia="黑体"/>
          <w:sz w:val="28"/>
          <w:szCs w:val="28"/>
        </w:rPr>
        <w:t xml:space="preserve">六、技术培训：</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1.卖方技术人员必须免费对安装、调试、操作、维修、保养等事项向买方作现场技术培训，提供必要次数厂家工程师跟台服务，保证使用人员正常操作设备的各种功能。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2.根据设备技术要求，向买方提供使用人员的集中培训。</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3.如买方需将该设备联入内部网络或外部网络（LIS,HIS,PACS等系统），卖方必须承担所有相关费用（含开放端口费用）并提供技术支持。</w:t>
      </w:r>
      <w:r/>
    </w:p>
    <w:p>
      <w:pPr>
        <w:spacing w:line="400" w:lineRule="exact"/>
        <w:rPr>
          <w:rFonts w:ascii="宋体" w:hAnsi="宋体" w:eastAsia="宋体"/>
          <w:b/>
          <w:sz w:val="24"/>
          <w:szCs w:val="24"/>
        </w:rPr>
      </w:pPr>
      <w:r>
        <w:rPr>
          <w:rFonts w:ascii="宋体" w:hAnsi="宋体" w:eastAsia="宋体"/>
          <w:b/>
          <w:sz w:val="24"/>
          <w:szCs w:val="24"/>
        </w:rPr>
      </w:r>
      <w:r/>
    </w:p>
    <w:p>
      <w:pPr>
        <w:spacing w:line="400" w:lineRule="exact"/>
        <w:rPr>
          <w:rFonts w:ascii="黑体" w:hAnsi="黑体" w:eastAsia="黑体"/>
          <w:sz w:val="28"/>
          <w:szCs w:val="28"/>
        </w:rPr>
      </w:pPr>
      <w:r>
        <w:rPr>
          <w:rFonts w:hint="eastAsia" w:ascii="黑体" w:hAnsi="黑体" w:eastAsia="黑体"/>
          <w:sz w:val="28"/>
          <w:szCs w:val="28"/>
        </w:rPr>
        <w:t xml:space="preserve">七、备件和资料：</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1.为保证设备正常运行，卖方应在中国境内设置备件库，存入所有必需的备件，并保证10年以上的供应期。</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2.专用工具：卖方向买方提供设备维护的专用工具。</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如后期</w:t>
      </w:r>
      <w:r>
        <w:rPr>
          <w:rFonts w:hint="eastAsia" w:ascii="宋体" w:hAnsi="宋体" w:eastAsia="宋体"/>
          <w:sz w:val="24"/>
          <w:szCs w:val="24"/>
        </w:rPr>
        <w:t xml:space="preserve">涉及</w:t>
      </w:r>
      <w:r>
        <w:rPr>
          <w:rFonts w:ascii="宋体" w:hAnsi="宋体" w:eastAsia="宋体"/>
          <w:sz w:val="24"/>
          <w:szCs w:val="24"/>
        </w:rPr>
        <w:t xml:space="preserve">软件重装或升级，终身免费</w:t>
      </w:r>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sz w:val="28"/>
          <w:szCs w:val="28"/>
        </w:rPr>
      </w:pPr>
      <w:r>
        <w:rPr>
          <w:rFonts w:hint="eastAsia" w:ascii="黑体" w:hAnsi="黑体" w:eastAsia="黑体"/>
          <w:sz w:val="28"/>
          <w:szCs w:val="28"/>
        </w:rPr>
        <w:t xml:space="preserve">八、质量保证及售后服务：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1.投标方</w:t>
      </w:r>
      <w:r>
        <w:rPr>
          <w:rFonts w:hint="eastAsia" w:ascii="宋体" w:hAnsi="宋体" w:eastAsia="宋体"/>
          <w:b/>
          <w:sz w:val="24"/>
          <w:szCs w:val="24"/>
        </w:rPr>
        <w:t xml:space="preserve">须在投标文件中注明所投产品说明书或质量保修卡等其他随设备出厂资料的原厂质保期限</w:t>
      </w:r>
      <w:r>
        <w:rPr>
          <w:rFonts w:hint="eastAsia" w:ascii="宋体" w:hAnsi="宋体" w:eastAsia="宋体"/>
          <w:sz w:val="24"/>
          <w:szCs w:val="24"/>
        </w:rPr>
        <w:t xml:space="preserve">，至少1年（含所有配件及易损件）（合同签订后采购方货物开箱验收时与产品说明书或质量保修卡等其他随设备出厂的资料进行核对）。</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2.质保期内每年保养≥4次，按“12个月/保养次数”作为最大保养间隔时间，按产品说明书要求执行保养。</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3.要求具备客户服务专线电话，接到医院报修电话须0.5小时内给予明确答复，并在24小时内赶到现场维修，单次故障最长修复时间在2日之内。</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4.要求保证开机率≥96%（按一年365天），全年停机日期不超过14天，若开机率 ＜ 96%，每停机1天则保修期延长7天。</w:t>
      </w:r>
      <w:r/>
    </w:p>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sz w:val="28"/>
          <w:szCs w:val="28"/>
        </w:rPr>
      </w:pPr>
      <w:r>
        <w:rPr>
          <w:rFonts w:hint="eastAsia" w:ascii="黑体" w:hAnsi="黑体" w:eastAsia="黑体"/>
          <w:sz w:val="28"/>
          <w:szCs w:val="28"/>
        </w:rPr>
        <w:t xml:space="preserve">九、付款方式：</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分两期付款：</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第1期：全部设备到货后，由买方逐一清点无误，与合同规定相符；设备软、硬件安装完毕，系统工作稳定，无故障，由买方组织验收，符合招标文件及合同要求，正常运行满5个月后，由买方组织验收合格签字后，买方支付合同总价的90%。</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第2期：验收合格满12个月，买方付清余款。</w:t>
      </w:r>
      <w:r/>
    </w:p>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sz w:val="28"/>
          <w:szCs w:val="28"/>
        </w:rPr>
      </w:pPr>
      <w:r>
        <w:rPr>
          <w:rFonts w:ascii="黑体" w:hAnsi="黑体" w:eastAsia="黑体"/>
          <w:sz w:val="28"/>
          <w:szCs w:val="28"/>
        </w:rPr>
        <w:t xml:space="preserve">十、有关说明：</w:t>
      </w:r>
      <w:r/>
    </w:p>
    <w:p>
      <w:pPr>
        <w:ind w:firstLine="480"/>
        <w:spacing w:line="400" w:lineRule="exact"/>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公开招标为一次性报价，投标单位所报内容必须完整，不得漏项。</w:t>
      </w:r>
      <w:r/>
    </w:p>
    <w:p>
      <w:pPr>
        <w:ind w:firstLine="480"/>
        <w:spacing w:line="40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投标报价包括产品、税金、包装、运费、仓储、质量检验、技术指导、验收、售后服务费、安装、培训等所有费用。</w:t>
      </w:r>
      <w:r/>
    </w:p>
    <w:p>
      <w:pPr>
        <w:ind w:firstLine="480"/>
        <w:spacing w:line="400" w:lineRule="exact"/>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w:t>
      </w:r>
      <w:r>
        <w:rPr>
          <w:rFonts w:ascii="宋体" w:hAnsi="宋体" w:eastAsia="宋体"/>
          <w:sz w:val="24"/>
          <w:szCs w:val="24"/>
        </w:rPr>
        <w:t xml:space="preserve">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w:t>
      </w:r>
      <w:r>
        <w:rPr>
          <w:rFonts w:ascii="宋体" w:hAnsi="宋体" w:eastAsia="宋体"/>
          <w:sz w:val="24"/>
          <w:szCs w:val="24"/>
        </w:rPr>
        <w:t xml:space="preserve">货物保管：货物到达买方地址至验收合格期间，由卖方负责保管，若因保管不当造成的质量问题，卖方应负责修理，同时有关费用由卖方承担。</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t xml:space="preserve">供应商若非投标产品原厂家的，成交后签订合同时须提供该产品原厂家（或驻中国办事机构）出具的有效的经销授权书</w:t>
      </w:r>
      <w:r>
        <w:rPr>
          <w:rFonts w:hint="eastAsia" w:ascii="宋体" w:hAnsi="宋体" w:eastAsia="宋体" w:cs="宋体"/>
          <w:sz w:val="24"/>
          <w:szCs w:val="24"/>
        </w:rPr>
        <w:t xml:space="preserve">。</w:t>
      </w:r>
      <w:r/>
    </w:p>
    <w:p>
      <w:pPr>
        <w:spacing w:line="400" w:lineRule="exact"/>
        <w:rPr>
          <w:rFonts w:ascii="宋体" w:hAnsi="宋体" w:eastAsia="宋体"/>
          <w:sz w:val="24"/>
          <w:szCs w:val="24"/>
        </w:rPr>
      </w:pPr>
      <w:r>
        <w:rPr>
          <w:rFonts w:ascii="宋体" w:hAnsi="宋体" w:eastAsia="宋体"/>
          <w:sz w:val="24"/>
          <w:szCs w:val="24"/>
        </w:rPr>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911"/>
      </w:pPr>
      <w:r/>
      <w:bookmarkStart w:id="12" w:name="_Toc213847316"/>
      <w:r>
        <w:rPr>
          <w:rFonts w:hint="eastAsia"/>
        </w:rPr>
        <w:t xml:space="preserve">第四章</w:t>
      </w:r>
      <w:r>
        <w:rPr>
          <w:rFonts w:hint="eastAsia"/>
        </w:rPr>
        <w:t xml:space="preserve">  </w:t>
      </w:r>
      <w:r>
        <w:rPr>
          <w:rFonts w:hint="eastAsia"/>
        </w:rPr>
        <w:t xml:space="preserve">评标方法和评标标准</w:t>
      </w:r>
      <w:bookmarkEnd w:id="12"/>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w:t>
      </w:r>
      <w:r>
        <w:rPr>
          <w:rFonts w:hint="eastAsia" w:ascii="宋体" w:hAnsi="宋体" w:eastAsia="宋体" w:cs="Times New Roman"/>
          <w:sz w:val="24"/>
        </w:rPr>
        <w:t xml:space="preserve">分</w:t>
      </w:r>
      <w:r>
        <w:rPr>
          <w:rFonts w:hint="eastAsia" w:ascii="宋体" w:hAnsi="宋体" w:eastAsia="宋体" w:cs="Times New Roman"/>
          <w:sz w:val="24"/>
        </w:rPr>
        <w:t xml:space="preserve">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w:t>
      </w:r>
      <w:bookmarkStart w:id="13" w:name="_GoBack"/>
      <w:r/>
      <w:bookmarkEnd w:id="13"/>
      <w:r>
        <w:rPr>
          <w:rFonts w:hint="eastAsia" w:ascii="宋体" w:hAnsi="宋体" w:eastAsia="宋体" w:cs="Times New Roman"/>
          <w:sz w:val="24"/>
        </w:rPr>
        <w:t xml:space="preserve">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bookmarkStart w:id="14" w:name="_Toc213847317"/>
            <w:r/>
            <w:bookmarkEnd w:id="11"/>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满足招标文件要求且投标报价最低的投标报价为评标基准价，其价格为满分。其他投标人的价格分按照下列公式计算：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（58分）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主要技术指标响应情况</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sz w:val="24"/>
              </w:rPr>
            </w:pPr>
            <w:r>
              <w:rPr>
                <w:rFonts w:hint="eastAsia" w:ascii="宋体" w:hAnsi="宋体"/>
                <w:sz w:val="24"/>
              </w:rPr>
              <w:t xml:space="preserve">根据所投产品的主要技术指标的性能、技术参数的响应情况进行综合评审，产品符合招标文件要求，无负偏离得40分。打“★”项参数有一项负偏离，则视为无效投标，打“▲”项参数每一项负偏离扣2分，未打“▲”项参数每一项负偏离扣0.6分，扣完为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40</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实施方案，包括①包装运输方案、②进度计划、③安装调试流程、④安装调试技术重难点、⑤安装调试人员安排，方案内容描述全面合理符合采购需求的得5分，每有一项内容缺失的扣1分；每有一项内容存在缺陷或不满足要求的扣0.5分，扣完为止。</w:t>
            </w:r>
            <w:r/>
          </w:p>
          <w:p>
            <w:pPr>
              <w:spacing w:line="400" w:lineRule="exact"/>
              <w:rPr>
                <w:rFonts w:ascii="宋体" w:hAnsi="宋体" w:cs="宋体"/>
                <w:sz w:val="24"/>
              </w:rPr>
            </w:pPr>
            <w:r>
              <w:rPr>
                <w:rFonts w:hint="eastAsia" w:ascii="宋体" w:hAnsi="宋体"/>
                <w:sz w:val="24"/>
              </w:rPr>
              <w:t xml:space="preserve">（缺陷或不满足指：内容不全面、与实际需求不符、内容不清晰或交叉混乱、套用其他项目方案、有规</w:t>
            </w:r>
            <w:r>
              <w:rPr>
                <w:rFonts w:hint="eastAsia" w:ascii="宋体" w:hAnsi="宋体"/>
                <w:sz w:val="24"/>
              </w:rPr>
              <w:t xml:space="preserve">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培训方案</w:t>
            </w:r>
            <w:r>
              <w:rPr>
                <w:rFonts w:hint="eastAsia" w:ascii="宋体" w:hAnsi="宋体" w:cs="宋体"/>
                <w:sz w:val="24"/>
              </w:rPr>
              <w:t xml:space="preserve">，包括①培训内容、②培训人员安排、③培训周期，方案内容描述全面合理符合采购需求的得3分，每有一项内容缺失的扣1分；每有一项内容存在缺陷或不满足要求的扣0.5分，扣完为止。</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3773"/>
        </w:trPr>
        <w:tc>
          <w:tcPr>
            <w:tcBorders>
              <w:left w:val="single" w:color="auto" w:sz="8" w:space="0"/>
              <w:right w:val="single" w:color="auto" w:sz="6" w:space="0"/>
            </w:tcBorders>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应急保障方案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应急保障方案</w:t>
            </w:r>
            <w:r>
              <w:rPr>
                <w:rFonts w:hint="eastAsia" w:ascii="宋体" w:hAnsi="宋体" w:cs="宋体"/>
                <w:sz w:val="24"/>
              </w:rPr>
              <w:t xml:space="preserve">，包括①</w:t>
            </w:r>
            <w:r>
              <w:rPr>
                <w:rFonts w:hint="eastAsia" w:ascii="宋体" w:hAnsi="宋体"/>
                <w:sz w:val="24"/>
              </w:rPr>
              <w:t xml:space="preserve">应急响应时间及修复时间、</w:t>
            </w:r>
            <w:r>
              <w:rPr>
                <w:rFonts w:hint="eastAsia" w:ascii="宋体" w:hAnsi="宋体" w:cs="宋体"/>
                <w:sz w:val="24"/>
              </w:rPr>
              <w:t xml:space="preserve">②</w:t>
            </w:r>
            <w:r>
              <w:rPr>
                <w:rFonts w:hint="eastAsia" w:ascii="宋体" w:hAnsi="宋体"/>
                <w:sz w:val="24"/>
              </w:rPr>
              <w:t xml:space="preserve">应急保障措施</w:t>
            </w:r>
            <w:r>
              <w:rPr>
                <w:rFonts w:hint="eastAsia" w:ascii="宋体" w:hAnsi="宋体" w:cs="宋体"/>
                <w:sz w:val="24"/>
              </w:rPr>
              <w:t xml:space="preserve">，方案内容描述全面合理符合采购需求的得4分，每有一项内容缺失的扣2分；每有一项内容存在缺陷或不满足要求的扣1分，扣完为止。</w:t>
            </w:r>
            <w:r/>
          </w:p>
          <w:p>
            <w:pPr>
              <w:spacing w:line="400" w:lineRule="exact"/>
              <w:rPr>
                <w:rFonts w:ascii="宋体" w:hAnsi="宋体" w:cs="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售后服务方案</w:t>
            </w:r>
            <w:r>
              <w:rPr>
                <w:rFonts w:hint="eastAsia" w:ascii="宋体" w:hAnsi="宋体" w:cs="宋体"/>
                <w:sz w:val="24"/>
              </w:rPr>
              <w:t xml:space="preserve">，包括①售后服务内容、②售后</w:t>
            </w:r>
            <w:r>
              <w:rPr>
                <w:rFonts w:hint="eastAsia" w:ascii="宋体" w:hAnsi="宋体"/>
                <w:sz w:val="24"/>
              </w:rPr>
              <w:t xml:space="preserve">服务</w:t>
            </w:r>
            <w:r>
              <w:rPr>
                <w:rFonts w:hint="eastAsia" w:ascii="宋体" w:hAnsi="宋体" w:cs="宋体"/>
                <w:sz w:val="24"/>
              </w:rPr>
              <w:t xml:space="preserve">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1382"/>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免费保修期</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满足招标文件免费保修期要求的基础上（不实质性响应的为无效投标），每增加一年原</w:t>
            </w:r>
            <w:r>
              <w:rPr>
                <w:rFonts w:ascii="宋体" w:hAnsi="宋体" w:eastAsia="宋体"/>
                <w:sz w:val="24"/>
                <w:szCs w:val="24"/>
              </w:rPr>
              <w:t xml:space="preserve">厂</w:t>
            </w:r>
            <w:r>
              <w:rPr>
                <w:rFonts w:hint="eastAsia" w:ascii="宋体" w:hAnsi="宋体" w:eastAsia="宋体"/>
                <w:sz w:val="24"/>
                <w:szCs w:val="24"/>
              </w:rPr>
              <w:t xml:space="preserve">免费保修期加3分，最多得6分。（须提供相关承诺函，格式自拟）</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2023年1月1日以来（以合同签订时间为准），投标人具有与本项目同类项目（须包含外科手术显微镜）的销售业绩的，有一个得1分，最高得6分。（须提供合同扫描件）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bl>
    <w:p>
      <w:r/>
      <w:r/>
    </w:p>
    <w:p>
      <w:r/>
      <w:r/>
    </w:p>
    <w:p>
      <w:pPr>
        <w:sectPr>
          <w:footnotePr/>
          <w:endnotePr/>
          <w:type w:val="nextPage"/>
          <w:pgSz w:w="11906" w:h="16838" w:orient="portrait"/>
          <w:pgMar w:top="1247" w:right="1247" w:bottom="1247" w:left="1247" w:header="680" w:footer="992" w:gutter="0"/>
          <w:cols w:num="1" w:sep="0" w:space="720" w:equalWidth="1"/>
          <w:docGrid w:linePitch="360"/>
        </w:sectPr>
      </w:pPr>
      <w:r/>
      <w:r/>
    </w:p>
    <w:p>
      <w:r/>
      <w:r/>
    </w:p>
    <w:p>
      <w:pPr>
        <w:pStyle w:val="911"/>
      </w:pPr>
      <w:r>
        <w:rPr>
          <w:rFonts w:hint="eastAsia"/>
        </w:rPr>
        <w:t xml:space="preserve">第</w:t>
      </w:r>
      <w:r>
        <w:rPr>
          <w:rFonts w:hint="eastAsia"/>
        </w:rPr>
        <w:t xml:space="preserve">五</w:t>
      </w:r>
      <w:r>
        <w:rPr>
          <w:rFonts w:hint="eastAsia"/>
        </w:rPr>
        <w:t xml:space="preserve">章　合同书（格式）</w:t>
      </w:r>
      <w:bookmarkEnd w:id="14"/>
      <w:r/>
      <w:r/>
    </w:p>
    <w:p>
      <w:pPr>
        <w:spacing w:line="400" w:lineRule="exact"/>
        <w:rPr>
          <w:rFonts w:ascii="宋体" w:hAnsi="宋体" w:eastAsia="宋体" w:cs="Times New Roman"/>
          <w:bCs/>
          <w:sz w:val="24"/>
          <w:szCs w:val="24"/>
        </w:rPr>
      </w:pPr>
      <w:r/>
      <w:bookmarkStart w:id="15" w:name="_Toc251268363"/>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项目编号：</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甲方：（买方</w:t>
      </w:r>
      <w:r>
        <w:rPr>
          <w:rFonts w:hint="eastAsia" w:ascii="宋体" w:hAnsi="宋体" w:eastAsia="宋体" w:cs="Courier New"/>
          <w:sz w:val="24"/>
          <w:szCs w:val="24"/>
        </w:rPr>
        <w:t xml:space="preserve">/</w:t>
      </w:r>
      <w:r>
        <w:rPr>
          <w:rFonts w:ascii="宋体" w:hAnsi="宋体" w:eastAsia="宋体" w:cs="Courier New"/>
          <w:sz w:val="24"/>
          <w:szCs w:val="24"/>
        </w:rPr>
        <w:t xml:space="preserve">采购人）____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乙方：（卖方</w:t>
      </w:r>
      <w:r>
        <w:rPr>
          <w:rFonts w:hint="eastAsia" w:ascii="宋体" w:hAnsi="宋体" w:eastAsia="宋体" w:cs="Courier New"/>
          <w:sz w:val="24"/>
          <w:szCs w:val="24"/>
        </w:rPr>
        <w:t xml:space="preserve">/</w:t>
      </w:r>
      <w:r>
        <w:rPr>
          <w:rFonts w:ascii="宋体" w:hAnsi="宋体" w:eastAsia="宋体" w:cs="Courier New"/>
          <w:sz w:val="24"/>
          <w:szCs w:val="24"/>
        </w:rPr>
        <w:t xml:space="preserve">供应商）____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r>
      <w:r/>
    </w:p>
    <w:p>
      <w:pPr>
        <w:ind w:firstLine="480"/>
        <w:spacing w:line="400" w:lineRule="exact"/>
        <w:rPr>
          <w:rFonts w:ascii="宋体" w:hAnsi="宋体" w:eastAsia="宋体" w:cs="Courier New"/>
          <w:b/>
          <w:sz w:val="24"/>
          <w:szCs w:val="24"/>
        </w:rPr>
      </w:pPr>
      <w:r>
        <w:rPr>
          <w:rFonts w:ascii="宋体" w:hAnsi="宋体" w:eastAsia="宋体" w:cs="Courier New"/>
          <w:sz w:val="24"/>
          <w:szCs w:val="24"/>
        </w:rPr>
        <w:t xml:space="preserve">甲、乙双方根据</w:t>
      </w:r>
      <w:r>
        <w:rPr>
          <w:rFonts w:hint="eastAsia" w:ascii="宋体" w:hAnsi="宋体" w:eastAsia="宋体" w:cs="Courier New"/>
          <w:sz w:val="24"/>
          <w:szCs w:val="24"/>
        </w:rPr>
        <w:t xml:space="preserve">江阴市政府采购中心</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项目公开招标的结果，签署本合同。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一、</w:t>
      </w:r>
      <w:r>
        <w:rPr>
          <w:rFonts w:hint="eastAsia" w:ascii="宋体" w:hAnsi="宋体" w:eastAsia="宋体" w:cs="Courier New"/>
          <w:b/>
          <w:sz w:val="24"/>
          <w:szCs w:val="24"/>
        </w:rPr>
        <w:t xml:space="preserve">合同</w:t>
      </w:r>
      <w:r>
        <w:rPr>
          <w:rFonts w:ascii="宋体" w:hAnsi="宋体" w:eastAsia="宋体" w:cs="Courier New"/>
          <w:b/>
          <w:sz w:val="24"/>
          <w:szCs w:val="24"/>
        </w:rPr>
        <w:t xml:space="preserve">内容</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1.1</w:t>
      </w:r>
      <w:r>
        <w:rPr>
          <w:rFonts w:hint="eastAsia" w:ascii="宋体" w:hAnsi="宋体" w:eastAsia="宋体" w:cs="Courier New"/>
          <w:sz w:val="24"/>
          <w:szCs w:val="24"/>
        </w:rPr>
        <w:t xml:space="preserve">标的</w:t>
      </w:r>
      <w:r>
        <w:rPr>
          <w:rFonts w:ascii="宋体" w:hAnsi="宋体" w:eastAsia="宋体" w:cs="Courier New"/>
          <w:sz w:val="24"/>
          <w:szCs w:val="24"/>
        </w:rPr>
        <w:t xml:space="preserve">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1.2</w:t>
      </w:r>
      <w:r>
        <w:rPr>
          <w:rFonts w:hint="eastAsia" w:ascii="宋体" w:hAnsi="宋体" w:eastAsia="宋体" w:cs="Courier New"/>
          <w:sz w:val="24"/>
          <w:szCs w:val="24"/>
        </w:rPr>
        <w:t xml:space="preserve">标的质量：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1.3标的数量（规模）：</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1.4履行时间（期限）：</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1.5履行地点：</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6履行方式：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1.7包装方式：</w:t>
      </w:r>
      <w:r>
        <w:rPr>
          <w:rFonts w:hint="eastAsia" w:ascii="宋体" w:hAnsi="宋体" w:eastAsia="宋体" w:cs="Courier New"/>
          <w:sz w:val="24"/>
          <w:szCs w:val="24"/>
          <w:u w:val="single"/>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二、合同金额</w:t>
      </w:r>
      <w:r/>
    </w:p>
    <w:p>
      <w:pPr>
        <w:ind w:firstLine="480"/>
        <w:spacing w:line="400" w:lineRule="exact"/>
        <w:rPr>
          <w:rFonts w:ascii="Times New Roman" w:hAnsi="宋体" w:eastAsia="宋体" w:cs="Times New Roman"/>
          <w:sz w:val="24"/>
          <w:szCs w:val="24"/>
        </w:rPr>
      </w:pPr>
      <w:r>
        <w:rPr>
          <w:rFonts w:ascii="宋体" w:hAnsi="宋体" w:eastAsia="宋体" w:cs="Courier New"/>
          <w:sz w:val="24"/>
          <w:szCs w:val="24"/>
        </w:rPr>
        <w:t xml:space="preserve">2.1</w:t>
      </w:r>
      <w:r>
        <w:rPr>
          <w:rFonts w:ascii="Times New Roman" w:hAnsi="宋体" w:eastAsia="宋体" w:cs="Times New Roman"/>
          <w:sz w:val="24"/>
          <w:szCs w:val="24"/>
        </w:rPr>
        <w:t xml:space="preserve">本合同金额为（大写）：</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圆</w:t>
      </w:r>
      <w:r>
        <w:rPr>
          <w:rFonts w:ascii="Times New Roman" w:hAnsi="宋体" w:eastAsia="宋体" w:cs="Times New Roman"/>
          <w:sz w:val="24"/>
          <w:szCs w:val="24"/>
        </w:rPr>
        <w:t xml:space="preserve">（</w:t>
      </w:r>
      <w:r>
        <w:rPr>
          <w:rFonts w:hint="eastAsia" w:ascii="Times New Roman" w:hAnsi="宋体" w:eastAsia="宋体" w:cs="Times New Roman"/>
          <w:sz w:val="24"/>
          <w:szCs w:val="24"/>
          <w:u w:val="single"/>
        </w:rPr>
        <w:t xml:space="preserve">            </w:t>
      </w:r>
      <w:r>
        <w:rPr>
          <w:rFonts w:ascii="Times New Roman" w:hAnsi="宋体" w:eastAsia="宋体" w:cs="Times New Roman"/>
          <w:sz w:val="24"/>
          <w:szCs w:val="24"/>
        </w:rPr>
        <w:t xml:space="preserve">元）人民币</w:t>
      </w:r>
      <w:r>
        <w:rPr>
          <w:rFonts w:hint="eastAsia" w:ascii="Times New Roman" w:hAnsi="宋体" w:eastAsia="宋体" w:cs="Times New Roman"/>
          <w:sz w:val="24"/>
          <w:szCs w:val="24"/>
        </w:rPr>
        <w:t xml:space="preserve">或其他币种</w:t>
      </w:r>
      <w:r>
        <w:rPr>
          <w:rFonts w:ascii="Times New Roman" w:hAnsi="宋体" w:eastAsia="宋体" w:cs="Times New Roman"/>
          <w:sz w:val="24"/>
          <w:szCs w:val="24"/>
        </w:rPr>
        <w:t xml:space="preserve">。</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三</w:t>
      </w:r>
      <w:r>
        <w:rPr>
          <w:rFonts w:ascii="宋体" w:hAnsi="宋体" w:eastAsia="宋体" w:cs="Courier New"/>
          <w:b/>
          <w:sz w:val="24"/>
          <w:szCs w:val="24"/>
        </w:rPr>
        <w:t xml:space="preserve">、</w:t>
      </w:r>
      <w:r>
        <w:rPr>
          <w:rFonts w:hint="eastAsia" w:ascii="宋体" w:hAnsi="宋体" w:eastAsia="宋体" w:cs="Courier New"/>
          <w:b/>
          <w:sz w:val="24"/>
          <w:szCs w:val="24"/>
        </w:rPr>
        <w:t xml:space="preserve">组成本合同的有关文件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（1）招标文件；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（2）投标文件；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（3）中标通知书；</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（4）中标人在投标、评标过程中所作其它有关承诺、声明、书面澄清；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（5）甲乙双方商定的其他文件等。</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四</w:t>
      </w:r>
      <w:r>
        <w:rPr>
          <w:rFonts w:ascii="宋体" w:hAnsi="宋体" w:eastAsia="宋体" w:cs="Courier New"/>
          <w:b/>
          <w:sz w:val="24"/>
          <w:szCs w:val="24"/>
        </w:rPr>
        <w:t xml:space="preserve">、技术资料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.1乙方应按招标文件规定的时间向甲方提供使用货物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的有关技术资料。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五</w:t>
      </w:r>
      <w:r>
        <w:rPr>
          <w:rFonts w:ascii="宋体" w:hAnsi="宋体" w:eastAsia="宋体" w:cs="Courier New"/>
          <w:b/>
          <w:sz w:val="24"/>
          <w:szCs w:val="24"/>
        </w:rPr>
        <w:t xml:space="preserve">、知识产权</w:t>
      </w:r>
      <w:r/>
    </w:p>
    <w:p>
      <w:pPr>
        <w:ind w:firstLine="480"/>
        <w:spacing w:line="400" w:lineRule="exact"/>
        <w:rPr>
          <w:rFonts w:ascii="宋体" w:hAnsi="宋体" w:eastAsia="宋体" w:cs="Times New Roman"/>
          <w:sz w:val="24"/>
          <w:szCs w:val="21"/>
        </w:rPr>
      </w:pPr>
      <w:r>
        <w:rPr>
          <w:rFonts w:hint="eastAsia" w:ascii="宋体" w:hAnsi="宋体" w:eastAsia="宋体" w:cs="Courier New"/>
          <w:sz w:val="24"/>
          <w:szCs w:val="24"/>
        </w:rPr>
        <w:t xml:space="preserve">5</w:t>
      </w:r>
      <w:r>
        <w:rPr>
          <w:rFonts w:ascii="宋体" w:hAnsi="宋体" w:eastAsia="宋体" w:cs="Courier New"/>
          <w:sz w:val="24"/>
          <w:szCs w:val="24"/>
        </w:rPr>
        <w:t xml:space="preserve">.1</w:t>
      </w:r>
      <w:r>
        <w:rPr>
          <w:rFonts w:ascii="Times New Roman" w:hAnsi="宋体" w:eastAsia="宋体" w:cs="Times New Roman"/>
          <w:sz w:val="24"/>
          <w:szCs w:val="24"/>
        </w:rPr>
        <w:t xml:space="preserve">乙</w:t>
      </w:r>
      <w:r>
        <w:rPr>
          <w:rFonts w:hint="eastAsia" w:ascii="宋体" w:hAnsi="宋体" w:eastAsia="宋体" w:cs="Times New Roman"/>
          <w:sz w:val="24"/>
          <w:szCs w:val="21"/>
        </w:rPr>
        <w:t xml:space="preserve">方应保证甲方在使用、接受本合同货物</w:t>
      </w:r>
      <w:r>
        <w:rPr>
          <w:rFonts w:hint="eastAsia" w:ascii="Times New Roman" w:hAnsi="宋体" w:eastAsia="宋体" w:cs="Times New Roman"/>
          <w:sz w:val="24"/>
          <w:szCs w:val="24"/>
        </w:rPr>
        <w:t xml:space="preserve">（包含与货物相关的服务）</w:t>
      </w:r>
      <w:r>
        <w:rPr>
          <w:rFonts w:hint="eastAsia" w:ascii="宋体" w:hAnsi="宋体" w:eastAsia="宋体" w:cs="Times New Roman"/>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sz w:val="24"/>
          <w:szCs w:val="24"/>
        </w:rPr>
      </w:pPr>
      <w:r>
        <w:rPr>
          <w:rFonts w:hint="eastAsia" w:ascii="Times New Roman" w:hAnsi="宋体" w:eastAsia="宋体" w:cs="Times New Roman"/>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eastAsia="宋体" w:cs="Courier New"/>
          <w:sz w:val="24"/>
          <w:szCs w:val="24"/>
          <w:u w:val="single"/>
        </w:rPr>
      </w:pPr>
      <w:r>
        <w:rPr>
          <w:rFonts w:hint="eastAsia" w:ascii="宋体" w:hAnsi="宋体" w:eastAsia="宋体" w:cs="Courier New"/>
          <w:b/>
          <w:sz w:val="24"/>
          <w:szCs w:val="24"/>
        </w:rPr>
        <w:t xml:space="preserve">六</w:t>
      </w:r>
      <w:r>
        <w:rPr>
          <w:rFonts w:ascii="宋体" w:hAnsi="宋体" w:eastAsia="宋体" w:cs="Courier New"/>
          <w:b/>
          <w:sz w:val="24"/>
          <w:szCs w:val="24"/>
        </w:rPr>
        <w:t xml:space="preserve">、产权担保</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6</w:t>
      </w:r>
      <w:r>
        <w:rPr>
          <w:rFonts w:ascii="宋体" w:hAnsi="宋体" w:eastAsia="宋体" w:cs="Courier New"/>
          <w:sz w:val="24"/>
          <w:szCs w:val="24"/>
        </w:rPr>
        <w:t xml:space="preserve">.1 乙方保证所交付的货物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的所有权完全属于乙方且无任何抵押、查封等产权瑕疵。</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七</w:t>
      </w:r>
      <w:r>
        <w:rPr>
          <w:rFonts w:ascii="宋体" w:hAnsi="宋体" w:eastAsia="宋体" w:cs="Courier New"/>
          <w:b/>
          <w:sz w:val="24"/>
          <w:szCs w:val="24"/>
        </w:rPr>
        <w:t xml:space="preserve">、履约保证金</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w:t>
      </w:r>
      <w:r>
        <w:rPr>
          <w:rFonts w:ascii="宋体" w:hAnsi="宋体" w:eastAsia="宋体" w:cs="Courier New"/>
          <w:sz w:val="24"/>
          <w:szCs w:val="24"/>
        </w:rPr>
        <w:t xml:space="preserve">.1 乙方交纳人民币_</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元作为本合同的履约保证金。</w:t>
      </w:r>
      <w:r>
        <w:rPr>
          <w:rFonts w:hint="eastAsia" w:ascii="宋体" w:hAnsi="宋体" w:eastAsia="宋体" w:cs="Courier New"/>
          <w:sz w:val="24"/>
          <w:szCs w:val="24"/>
        </w:rPr>
        <w:t xml:space="preserve">（不得超过合同金额的10%）</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7.2合同履行结束后，甲方应及时退还交纳的履约保证金。</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7.2.1履约保证金退还方式：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7.2.2履约保证金退还时间：</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7.2.3履约保证金退还条件：</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7.2.4履约保证金不予退还的情形：</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八、合同转包或分包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8.1乙方不得将合同标的转包给他人履行。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.3</w:t>
      </w:r>
      <w:r>
        <w:rPr>
          <w:rFonts w:hint="eastAsia" w:ascii="宋体" w:hAnsi="宋体" w:eastAsia="宋体" w:cs="Times New Roman"/>
          <w:sz w:val="24"/>
          <w:szCs w:val="24"/>
        </w:rPr>
        <w:t xml:space="preserve">乙方如有转包或未经甲方同意的分包行为，甲方有权给予终止合同。</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九</w:t>
      </w:r>
      <w:r>
        <w:rPr>
          <w:rFonts w:ascii="宋体" w:hAnsi="宋体" w:eastAsia="宋体" w:cs="Courier New"/>
          <w:b/>
          <w:sz w:val="24"/>
          <w:szCs w:val="24"/>
        </w:rPr>
        <w:t xml:space="preserve">、</w:t>
      </w:r>
      <w:r>
        <w:rPr>
          <w:rFonts w:hint="eastAsia" w:ascii="宋体" w:hAnsi="宋体" w:eastAsia="宋体" w:cs="Courier New"/>
          <w:b/>
          <w:sz w:val="24"/>
          <w:szCs w:val="24"/>
        </w:rPr>
        <w:t xml:space="preserve">合同款项</w:t>
      </w:r>
      <w:r>
        <w:rPr>
          <w:rFonts w:ascii="宋体" w:hAnsi="宋体" w:eastAsia="宋体" w:cs="Courier New"/>
          <w:b/>
          <w:sz w:val="24"/>
          <w:szCs w:val="24"/>
        </w:rPr>
        <w:t xml:space="preserve">支付</w:t>
      </w:r>
      <w:r/>
    </w:p>
    <w:p>
      <w:pPr>
        <w:ind w:firstLine="480"/>
        <w:spacing w:line="400" w:lineRule="exact"/>
        <w:rPr>
          <w:rFonts w:ascii="宋体" w:hAnsi="宋体" w:eastAsia="宋体" w:cs="Courier New"/>
          <w:sz w:val="24"/>
          <w:szCs w:val="24"/>
        </w:rPr>
      </w:pPr>
      <w:r>
        <w:rPr>
          <w:rFonts w:hint="eastAsia" w:ascii="宋体" w:hAnsi="宋体" w:eastAsia="宋体" w:cs="Courier New"/>
          <w:bCs/>
          <w:sz w:val="24"/>
          <w:szCs w:val="24"/>
        </w:rPr>
        <w:t xml:space="preserve">9</w:t>
      </w:r>
      <w:r>
        <w:rPr>
          <w:rFonts w:ascii="宋体" w:hAnsi="宋体" w:eastAsia="宋体" w:cs="Courier New"/>
          <w:bCs/>
          <w:sz w:val="24"/>
          <w:szCs w:val="24"/>
        </w:rPr>
        <w:t xml:space="preserve">.1</w:t>
      </w:r>
      <w:r>
        <w:rPr>
          <w:rFonts w:hint="eastAsia" w:ascii="宋体" w:hAnsi="宋体" w:eastAsia="宋体" w:cs="Courier New"/>
          <w:bCs/>
          <w:sz w:val="24"/>
          <w:szCs w:val="24"/>
        </w:rPr>
        <w:t xml:space="preserve">合同款项的支付方式及进度安排：</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十、税费</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10</w:t>
      </w: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本合同执行中相关的一切税费均由乙方负担。</w:t>
      </w:r>
      <w:r/>
    </w:p>
    <w:p>
      <w:pPr>
        <w:ind w:firstLine="482"/>
        <w:spacing w:line="400" w:lineRule="exact"/>
        <w:rPr>
          <w:rFonts w:ascii="宋体" w:hAnsi="宋体" w:eastAsia="宋体" w:cs="Courier New"/>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一</w:t>
      </w:r>
      <w:r>
        <w:rPr>
          <w:rFonts w:ascii="宋体" w:hAnsi="宋体" w:eastAsia="宋体" w:cs="Courier New"/>
          <w:b/>
          <w:sz w:val="24"/>
          <w:szCs w:val="24"/>
        </w:rPr>
        <w:t xml:space="preserve">、质量</w:t>
      </w:r>
      <w:r>
        <w:rPr>
          <w:rFonts w:hint="eastAsia" w:ascii="宋体" w:hAnsi="宋体" w:eastAsia="宋体" w:cs="Courier New"/>
          <w:b/>
          <w:sz w:val="24"/>
          <w:szCs w:val="24"/>
        </w:rPr>
        <w:t xml:space="preserve">保修范围和保修期</w:t>
      </w:r>
      <w:r>
        <w:rPr>
          <w:rFonts w:ascii="宋体" w:hAnsi="宋体" w:eastAsia="宋体" w:cs="Courier New"/>
          <w:b/>
          <w:sz w:val="24"/>
          <w:szCs w:val="24"/>
        </w:rPr>
        <w:t xml:space="preserve">及售后服务</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.1乙方应按招标文件规定的货物性能、技术要求、质量标准向甲方提供未经使用的全新产品。</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11.2除前款规定外，乙方还应提供下列服务：</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（1）货物的现场安装、调试、运行、维护等；</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（2）对甲方人员进行免费培训。</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w:t>
      </w:r>
      <w:r>
        <w:rPr>
          <w:rFonts w:ascii="宋体" w:hAnsi="宋体" w:eastAsia="宋体" w:cs="Courier New"/>
          <w:sz w:val="24"/>
          <w:szCs w:val="24"/>
        </w:rPr>
        <w:t xml:space="preserve">更换：由乙方承担所发生的全部费用。</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w:t>
      </w:r>
      <w:r>
        <w:rPr>
          <w:rFonts w:ascii="宋体" w:hAnsi="宋体" w:eastAsia="宋体" w:cs="Courier New"/>
          <w:sz w:val="24"/>
          <w:szCs w:val="24"/>
        </w:rPr>
        <w:t xml:space="preserve">贬值处理：由甲乙双方合议定价。</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w:t>
      </w:r>
      <w:r>
        <w:rPr>
          <w:rFonts w:ascii="宋体" w:hAnsi="宋体" w:eastAsia="宋体" w:cs="Courier New"/>
          <w:sz w:val="24"/>
          <w:szCs w:val="24"/>
        </w:rPr>
        <w:t xml:space="preserve">退货处理：乙方应退还甲方支付的合同款，同时应承担该货物的直接费用（运输、保险、检验、货款利息及银行手续费等）。</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4</w:t>
      </w:r>
      <w:r>
        <w:rPr>
          <w:rFonts w:ascii="宋体" w:hAnsi="宋体" w:eastAsia="宋体" w:cs="Courier New"/>
          <w:sz w:val="24"/>
          <w:szCs w:val="24"/>
        </w:rPr>
        <w:t xml:space="preserve">如在使用过程中发生质量问题，乙方在接到甲方通知后在_________小时内到达甲方现场。</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5</w:t>
      </w:r>
      <w:r>
        <w:rPr>
          <w:rFonts w:ascii="宋体" w:hAnsi="宋体" w:eastAsia="宋体" w:cs="Courier New"/>
          <w:sz w:val="24"/>
          <w:szCs w:val="24"/>
        </w:rPr>
        <w:t xml:space="preserve"> 在质保期内，乙方应对货物出现的质量及安全问题负责处理解决并承担一切费用。</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6</w:t>
      </w:r>
      <w:r>
        <w:rPr>
          <w:rFonts w:ascii="宋体" w:hAnsi="宋体" w:eastAsia="宋体" w:cs="Courier New"/>
          <w:sz w:val="24"/>
          <w:szCs w:val="24"/>
        </w:rPr>
        <w:t xml:space="preserve">上述货物免费保修期为</w:t>
      </w:r>
      <w:r>
        <w:rPr>
          <w:rFonts w:ascii="宋体" w:hAnsi="宋体" w:eastAsia="宋体" w:cs="Courier New"/>
          <w:sz w:val="24"/>
          <w:szCs w:val="24"/>
          <w:u w:val="single"/>
        </w:rPr>
        <w:t xml:space="preserve">     </w:t>
      </w:r>
      <w:r>
        <w:rPr>
          <w:rFonts w:ascii="宋体" w:hAnsi="宋体" w:eastAsia="宋体" w:cs="Courier New"/>
          <w:sz w:val="24"/>
          <w:szCs w:val="24"/>
        </w:rPr>
        <w:t xml:space="preserve">年（自交货验收合格之日起计），因人为因素出现的故障不在免费保修范围内。超过保修期的机器设备，终</w:t>
      </w:r>
      <w:r>
        <w:rPr>
          <w:rFonts w:hint="eastAsia" w:ascii="宋体" w:hAnsi="宋体" w:eastAsia="宋体" w:cs="Courier New"/>
          <w:sz w:val="24"/>
          <w:szCs w:val="24"/>
        </w:rPr>
        <w:t xml:space="preserve">身</w:t>
      </w:r>
      <w:r>
        <w:rPr>
          <w:rFonts w:ascii="宋体" w:hAnsi="宋体" w:eastAsia="宋体" w:cs="Courier New"/>
          <w:sz w:val="24"/>
          <w:szCs w:val="24"/>
        </w:rPr>
        <w:t xml:space="preserve">维修，维修时只收部件成本费。</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7</w:t>
      </w:r>
      <w:r>
        <w:rPr>
          <w:rFonts w:hint="eastAsia" w:ascii="宋体" w:hAnsi="宋体" w:eastAsia="宋体" w:cs="Times New Roman"/>
          <w:bCs/>
          <w:sz w:val="24"/>
          <w:szCs w:val="24"/>
          <w:lang w:val="zh-CN"/>
        </w:rPr>
        <w:t xml:space="preserve">乙方承诺的其他售后服务：</w:t>
      </w:r>
      <w:r>
        <w:rPr>
          <w:rFonts w:hint="eastAsia" w:ascii="宋体" w:hAnsi="宋体" w:eastAsia="宋体" w:cs="Times New Roman"/>
          <w:bCs/>
          <w:sz w:val="24"/>
          <w:szCs w:val="24"/>
          <w:u w:val="single"/>
          <w:lang w:val="zh-CN"/>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二</w:t>
      </w:r>
      <w:r>
        <w:rPr>
          <w:rFonts w:ascii="宋体" w:hAnsi="宋体" w:eastAsia="宋体" w:cs="Courier New"/>
          <w:b/>
          <w:sz w:val="24"/>
          <w:szCs w:val="24"/>
        </w:rPr>
        <w:t xml:space="preserve">、</w:t>
      </w:r>
      <w:r>
        <w:rPr>
          <w:rFonts w:hint="eastAsia" w:ascii="宋体" w:hAnsi="宋体" w:eastAsia="宋体" w:cs="Courier New"/>
          <w:b/>
          <w:sz w:val="24"/>
          <w:szCs w:val="24"/>
        </w:rPr>
        <w:t xml:space="preserve">项目</w:t>
      </w:r>
      <w:r>
        <w:rPr>
          <w:rFonts w:ascii="宋体" w:hAnsi="宋体" w:eastAsia="宋体" w:cs="Courier New"/>
          <w:b/>
          <w:sz w:val="24"/>
          <w:szCs w:val="24"/>
        </w:rPr>
        <w:t xml:space="preserve">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12.1</w:t>
      </w:r>
      <w:r>
        <w:rPr>
          <w:rFonts w:hint="eastAsia" w:ascii="宋体" w:hAnsi="宋体" w:eastAsia="宋体" w:cs="Times New Roman"/>
          <w:sz w:val="24"/>
          <w:szCs w:val="24"/>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12.3 对于实际使用人和甲方分离的项目，甲方邀请实际使用人参与验收。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12.4 如有必要，甲方邀请参加本项目的其他供应商或第三方专业机构及专家参与验收，相关意见将作为验收书的参考资料。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三</w:t>
      </w:r>
      <w:r>
        <w:rPr>
          <w:rFonts w:ascii="宋体" w:hAnsi="宋体" w:eastAsia="宋体" w:cs="Courier New"/>
          <w:b/>
          <w:sz w:val="24"/>
          <w:szCs w:val="24"/>
        </w:rPr>
        <w:t xml:space="preserve">、货物</w:t>
      </w:r>
      <w:r>
        <w:rPr>
          <w:rFonts w:hint="eastAsia" w:ascii="宋体" w:hAnsi="宋体" w:eastAsia="宋体" w:cs="Courier New"/>
          <w:b/>
          <w:sz w:val="24"/>
          <w:szCs w:val="24"/>
        </w:rPr>
        <w:t xml:space="preserve">的</w:t>
      </w:r>
      <w:r>
        <w:rPr>
          <w:rFonts w:ascii="宋体" w:hAnsi="宋体" w:eastAsia="宋体" w:cs="Courier New"/>
          <w:b/>
          <w:sz w:val="24"/>
          <w:szCs w:val="24"/>
        </w:rPr>
        <w:t xml:space="preserve">包装、发运及运输</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eastAsia="宋体" w:cs="Times New Roman"/>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.2 使用说明书、质量检验证明书、随配附件和工具以及清单一并附于货物内。</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w:t>
      </w:r>
      <w:r>
        <w:rPr>
          <w:rFonts w:ascii="宋体" w:hAnsi="宋体" w:eastAsia="宋体" w:cs="Courier New"/>
          <w:sz w:val="24"/>
          <w:szCs w:val="24"/>
        </w:rPr>
        <w:t xml:space="preserve">.4 货物在交付甲方前发生的风险均由乙方负责。</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四</w:t>
      </w:r>
      <w:r>
        <w:rPr>
          <w:rFonts w:ascii="宋体" w:hAnsi="宋体" w:eastAsia="宋体" w:cs="Courier New"/>
          <w:b/>
          <w:sz w:val="24"/>
          <w:szCs w:val="24"/>
        </w:rPr>
        <w:t xml:space="preserve">、违约责任</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.1 甲方无正当理由拒收货物的，甲方向乙方偿付拒收货款总值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.2 甲方无故逾期验收和办理货款支付手续的</w:t>
      </w:r>
      <w:r>
        <w:rPr>
          <w:rFonts w:hint="eastAsia" w:ascii="宋体" w:hAnsi="宋体" w:eastAsia="宋体" w:cs="Courier New"/>
          <w:sz w:val="24"/>
          <w:szCs w:val="24"/>
        </w:rPr>
        <w:t xml:space="preserve">，</w:t>
      </w:r>
      <w:r>
        <w:rPr>
          <w:rFonts w:ascii="宋体" w:hAnsi="宋体" w:eastAsia="宋体" w:cs="Courier New"/>
          <w:sz w:val="24"/>
          <w:szCs w:val="24"/>
        </w:rPr>
        <w:t xml:space="preserve">甲方应按逾期付款总额每日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向乙方支付违约金。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.3 乙方逾期交付货物的，乙方应按逾期交货总额每日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的违约金，如造成甲方损失超过违约金的，超出部分由乙方继续承担赔偿责任。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五</w:t>
      </w:r>
      <w:r>
        <w:rPr>
          <w:rFonts w:ascii="宋体" w:hAnsi="宋体" w:eastAsia="宋体" w:cs="Courier New"/>
          <w:b/>
          <w:sz w:val="24"/>
          <w:szCs w:val="24"/>
        </w:rPr>
        <w:t xml:space="preserve">、不可抗力事件处理</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.2 不可抗力事件发生后，应立即通知对方，并寄送有关权威机构出具的证明。</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.3 不可抗力事件延续120天以上，双方应通过友好协商，确定是否继续履行合同。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六</w:t>
      </w:r>
      <w:r>
        <w:rPr>
          <w:rFonts w:ascii="宋体" w:hAnsi="宋体" w:eastAsia="宋体" w:cs="Courier New"/>
          <w:b/>
          <w:sz w:val="24"/>
          <w:szCs w:val="24"/>
        </w:rPr>
        <w:t xml:space="preserve">、</w:t>
      </w:r>
      <w:r>
        <w:rPr>
          <w:rFonts w:hint="eastAsia" w:ascii="宋体" w:hAnsi="宋体" w:eastAsia="宋体" w:cs="Courier New"/>
          <w:b/>
          <w:sz w:val="24"/>
          <w:szCs w:val="24"/>
        </w:rPr>
        <w:t xml:space="preserve">解决争议的方法</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w:t>
      </w:r>
      <w:r>
        <w:rPr>
          <w:rFonts w:ascii="宋体" w:hAnsi="宋体" w:eastAsia="宋体" w:cs="Courier New"/>
          <w:sz w:val="24"/>
          <w:szCs w:val="24"/>
        </w:rPr>
        <w:t xml:space="preserve">.1</w:t>
      </w:r>
      <w:r>
        <w:rPr>
          <w:rFonts w:hint="eastAsia" w:ascii="宋体" w:hAnsi="宋体" w:eastAsia="宋体" w:cs="Courier New"/>
          <w:sz w:val="24"/>
          <w:szCs w:val="24"/>
        </w:rPr>
        <w:t xml:space="preserve">双方在签订、履行合同中所发生的一切争议，应通过友好协商解决。如协商不成，由甲方住所地人民法院管辖。</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七</w:t>
      </w:r>
      <w:r>
        <w:rPr>
          <w:rFonts w:ascii="宋体" w:hAnsi="宋体" w:eastAsia="宋体" w:cs="Courier New"/>
          <w:b/>
          <w:sz w:val="24"/>
          <w:szCs w:val="24"/>
        </w:rPr>
        <w:t xml:space="preserve">、合同生效及其他</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ascii="宋体" w:hAnsi="宋体" w:eastAsia="宋体" w:cs="Courier New"/>
          <w:sz w:val="24"/>
          <w:szCs w:val="24"/>
        </w:rPr>
        <w:t xml:space="preserve">人签字并加盖单位公章后生效。</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.2本合同未尽事宜，遵照</w:t>
      </w:r>
      <w:r>
        <w:rPr>
          <w:rFonts w:hint="eastAsia" w:ascii="宋体" w:hAnsi="宋体" w:eastAsia="宋体" w:cs="Courier New"/>
          <w:sz w:val="24"/>
          <w:szCs w:val="24"/>
        </w:rPr>
        <w:t xml:space="preserve">《中华人民共和国民法典》《中华人民共和国政府采购法》等</w:t>
      </w:r>
      <w:r>
        <w:rPr>
          <w:rFonts w:ascii="宋体" w:hAnsi="宋体" w:eastAsia="宋体" w:cs="Courier New"/>
          <w:sz w:val="24"/>
          <w:szCs w:val="24"/>
        </w:rPr>
        <w:t xml:space="preserve">有关条文执行。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本合同正本一式</w:t>
      </w:r>
      <w:r>
        <w:rPr>
          <w:rFonts w:hint="eastAsia" w:ascii="宋体" w:hAnsi="宋体" w:eastAsia="宋体" w:cs="Courier New"/>
          <w:sz w:val="24"/>
          <w:szCs w:val="24"/>
        </w:rPr>
        <w:t xml:space="preserve">两</w:t>
      </w:r>
      <w:r>
        <w:rPr>
          <w:rFonts w:ascii="宋体" w:hAnsi="宋体" w:eastAsia="宋体" w:cs="Courier New"/>
          <w:sz w:val="24"/>
          <w:szCs w:val="24"/>
        </w:rPr>
        <w:t xml:space="preserve">份，具有同等法律效力，甲</w:t>
      </w:r>
      <w:r>
        <w:rPr>
          <w:rFonts w:hint="eastAsia" w:ascii="宋体" w:hAnsi="宋体" w:eastAsia="宋体" w:cs="Courier New"/>
          <w:sz w:val="24"/>
          <w:szCs w:val="24"/>
        </w:rPr>
        <w:t xml:space="preserve">方、</w:t>
      </w:r>
      <w:r>
        <w:rPr>
          <w:rFonts w:ascii="宋体" w:hAnsi="宋体" w:eastAsia="宋体" w:cs="Courier New"/>
          <w:sz w:val="24"/>
          <w:szCs w:val="24"/>
        </w:rPr>
        <w:t xml:space="preserve">乙方各执一份。</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pStyle w:val="911"/>
        <w:sectPr>
          <w:footnotePr/>
          <w:endnotePr/>
          <w:type w:val="nextPage"/>
          <w:pgSz w:w="11906" w:h="16838" w:orient="portrait"/>
          <w:pgMar w:top="1247" w:right="1247" w:bottom="1247" w:left="1247" w:header="680" w:footer="992" w:gutter="0"/>
          <w:cols w:num="1" w:sep="0" w:space="720" w:equalWidth="1"/>
          <w:docGrid w:linePitch="360"/>
        </w:sectPr>
      </w:pPr>
      <w:r/>
      <w:r/>
    </w:p>
    <w:p>
      <w:pPr>
        <w:pStyle w:val="911"/>
      </w:pPr>
      <w:r/>
      <w:r/>
    </w:p>
    <w:p>
      <w:pPr>
        <w:pStyle w:val="911"/>
      </w:pPr>
      <w:r/>
      <w:bookmarkStart w:id="16"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hint="eastAsia" w:ascii="宋体" w:hAnsi="宋体" w:eastAsia="宋体" w:cs="Times New Roman"/>
          <w:bCs/>
          <w:sz w:val="24"/>
          <w:szCs w:val="24"/>
        </w:rPr>
        <w:t xml:space="preserve">我方已详细审核全部招标（采购）文件及其有效补充文件，完全理解并接受招标（采购）文件的各项规定和要求，无任何异议。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JSZC-320281-JZCG-G2026-0079</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江阴市中医院外科手术显微镜项目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7"/>
      <w:r/>
      <w:bookmarkEnd w:id="18"/>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Times New Roman" w:eastAsia="黑体" w:cs="Times New Roman"/>
          <w:sz w:val="28"/>
          <w:szCs w:val="28"/>
        </w:rPr>
        <w:t xml:space="preserve">、</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75"/>
        <w:gridCol w:w="674"/>
        <w:gridCol w:w="674"/>
        <w:gridCol w:w="1120"/>
        <w:gridCol w:w="1005"/>
        <w:gridCol w:w="851"/>
        <w:gridCol w:w="818"/>
        <w:gridCol w:w="674"/>
        <w:gridCol w:w="897"/>
        <w:gridCol w:w="1120"/>
        <w:gridCol w:w="1120"/>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w:t>
            </w: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685"/>
        </w:trPr>
        <w:tc>
          <w:tcPr>
            <w:gridSpan w:val="11"/>
            <w:tcBorders>
              <w:top w:val="single" w:color="auto" w:sz="6" w:space="0"/>
              <w:left w:val="single" w:color="auto" w:sz="12" w:space="0"/>
              <w:bottom w:val="single" w:color="auto" w:sz="12" w:space="0"/>
              <w:right w:val="single" w:color="auto" w:sz="12" w:space="0"/>
            </w:tcBorders>
            <w:tcW w:w="0" w:type="auto"/>
            <w:vAlign w:val="center"/>
            <w:textDirection w:val="lrTb"/>
            <w:noWrap w:val="false"/>
          </w:tcPr>
          <w:p>
            <w:pPr>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w:t>
      </w:r>
      <w:r>
        <w:rPr>
          <w:rFonts w:hint="eastAsia" w:ascii="宋体" w:hAnsi="宋体" w:eastAsia="宋体" w:cs="Times New Roman"/>
          <w:szCs w:val="21"/>
        </w:rPr>
        <w:t xml:space="preserve">投标单位应当根据本</w:t>
      </w:r>
      <w:r>
        <w:rPr>
          <w:rFonts w:hint="eastAsia" w:ascii="宋体" w:hAnsi="宋体" w:eastAsia="宋体" w:cs="Times New Roman"/>
          <w:szCs w:val="21"/>
        </w:rPr>
        <w:t xml:space="preserve">采购包</w:t>
      </w:r>
      <w:r>
        <w:rPr>
          <w:rFonts w:hint="eastAsia" w:ascii="宋体" w:hAnsi="宋体" w:eastAsia="宋体" w:cs="Times New Roman"/>
          <w:szCs w:val="21"/>
        </w:rPr>
        <w:t xml:space="preserve">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rPr>
        <w:t xml:space="preserve">、表格不够可另接。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w:t>
      </w:r>
      <w:r>
        <w:rPr>
          <w:rFonts w:hint="eastAsia" w:ascii="宋体" w:hAnsi="宋体" w:eastAsia="宋体" w:cs="Times New Roman"/>
          <w:szCs w:val="21"/>
        </w:rPr>
        <w:t xml:space="preserve">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取得采购标的的时间、地点、财务和服务要求，包括交付（实施）的时间（期限）和地点（范围），付款条件（进度和方式），包装和运输，售后服务，保险等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对采购标的的功能和质量要求，包括性能、材料、结构、外观、安全，或者服务内容和标准等。</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w:t>
      </w:r>
      <w:r>
        <w:rPr>
          <w:rFonts w:hint="eastAsia" w:ascii="宋体" w:hAnsi="宋体" w:eastAsia="宋体" w:cs="Times New Roman"/>
          <w:bCs/>
          <w:sz w:val="24"/>
          <w:szCs w:val="24"/>
        </w:rPr>
        <w:t xml:space="preserve">、中国政府采购网</w:t>
      </w:r>
      <w:r>
        <w:rPr>
          <w:rFonts w:ascii="宋体" w:hAnsi="宋体" w:eastAsia="宋体" w:cs="Times New Roman"/>
          <w:bCs/>
          <w:sz w:val="24"/>
          <w:szCs w:val="24"/>
        </w:rPr>
        <w:t xml:space="preserve">列入失信被执行人、重大税收违法失信主体、</w:t>
      </w:r>
      <w:r>
        <w:rPr>
          <w:rFonts w:ascii="宋体" w:hAnsi="宋体" w:eastAsia="宋体" w:cs="Times New Roman"/>
          <w:bCs/>
          <w:sz w:val="24"/>
          <w:szCs w:val="24"/>
        </w:rPr>
        <w:t xml:space="preserve">政府采购严重违法失信行为记录名单</w:t>
      </w:r>
      <w:r>
        <w:rPr>
          <w:rFonts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w:t>
      </w:r>
      <w:r>
        <w:rPr>
          <w:rFonts w:hint="eastAsia" w:ascii="黑体" w:hAnsi="黑体" w:eastAsia="黑体" w:cs="Times New Roman"/>
          <w:sz w:val="28"/>
          <w:szCs w:val="28"/>
        </w:rPr>
        <w:t xml:space="preserve">货物类项目</w:t>
      </w:r>
      <w:r>
        <w:rPr>
          <w:rFonts w:hint="eastAsia" w:ascii="黑体" w:hAnsi="黑体" w:eastAsia="黑体" w:cs="Times New Roman"/>
          <w:sz w:val="28"/>
          <w:szCs w:val="28"/>
        </w:rPr>
        <w:t xml:space="preserve">）</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rPr>
          <w:rFonts w:hint="eastAsia" w:ascii="宋体" w:hAnsi="宋体" w:eastAsia="宋体" w:cs="Times New Roman"/>
          <w:sz w:val="24"/>
          <w:szCs w:val="24"/>
        </w:rPr>
        <w:t xml:space="preserve">。</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u w:val="single"/>
          <w:shd w:val="clear" w:color="auto" w:fill="ffffff"/>
        </w:rPr>
        <w:t xml:space="preserve">（产品名称1）</w:t>
      </w:r>
      <w:r>
        <w:rPr>
          <w:rFonts w:hint="eastAsia" w:ascii="宋体" w:hAnsi="宋体" w:eastAsia="宋体" w:cs="宋体"/>
          <w:sz w:val="24"/>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ind w:right="480"/>
        <w:jc w:val="righ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sz w:val="24"/>
          <w:szCs w:val="24"/>
        </w:rPr>
      </w:pPr>
      <w:r>
        <w:rPr>
          <w:rFonts w:hint="eastAsia" w:ascii="宋体" w:hAnsi="宋体" w:eastAsia="宋体" w:cs="Times New Roman"/>
          <w:sz w:val="24"/>
          <w:szCs w:val="21"/>
        </w:rPr>
        <w:t xml:space="preserve">日  期：___年____月____日</w:t>
      </w:r>
      <w:r/>
    </w:p>
    <w:p>
      <w:pPr>
        <w:jc w:val="left"/>
        <w:spacing w:before="30" w:after="30" w:line="0" w:lineRule="atLeas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left"/>
        <w:spacing w:before="30" w:after="30" w:line="0" w:lineRule="atLeas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_________________</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Courier New">
    <w:panose1 w:val="02070309020205020404"/>
  </w:font>
  <w:font w:name="仿宋">
    <w:panose1 w:val="02010609060101010101"/>
  </w:font>
  <w:font w:name="Batang">
    <w:panose1 w:val="02010600040101010101"/>
  </w:font>
  <w:font w:name="Calibri">
    <w:panose1 w:val="020F0502020204030204"/>
  </w:font>
  <w:font w:name="金梅簡體中黑字形">
    <w:panose1 w:val="020B050302020202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25"/>
          <w:jc w:val="center"/>
        </w:pPr>
        <w:r>
          <w:fldChar w:fldCharType="begin"/>
        </w:r>
        <w:r>
          <w:instrText xml:space="preserve">PAGE   \* MERGEFORMAT</w:instrText>
        </w:r>
        <w:r>
          <w:fldChar w:fldCharType="separate"/>
        </w:r>
        <w:r>
          <w:rPr>
            <w:lang w:val="zh-CN"/>
          </w:rPr>
          <w:t xml:space="preserve">-</w:t>
        </w:r>
        <w:r>
          <w:t xml:space="preserve"> 41 -</w:t>
        </w:r>
        <w:r>
          <w:fldChar w:fldCharType="end"/>
        </w:r>
        <w:r/>
      </w:p>
    </w:sdtContent>
  </w:sdt>
  <w:p>
    <w:pPr>
      <w:pStyle w:val="9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92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w:t>
    </w:r>
    <w:r>
      <w:rPr>
        <w:rFonts w:hint="eastAsia" w:ascii="黑体" w:hAnsi="黑体" w:eastAsia="黑体" w:cs="Times New Roman"/>
        <w:bCs/>
        <w:sz w:val="16"/>
        <w:szCs w:val="18"/>
      </w:rPr>
      <w:t xml:space="preserve">26</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79</w:t>
    </w:r>
    <w:r>
      <w:rPr>
        <w:rFonts w:hint="eastAsia" w:ascii="黑体" w:hAnsi="黑体" w:eastAsia="黑体" w:cs="Times New Roman"/>
        <w:bCs/>
        <w:sz w:val="16"/>
        <w:szCs w:val="18"/>
      </w:rPr>
      <w:t xml:space="preserve">江阴市中医院外科手术显微镜项目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8">
    <w:multiLevelType w:val="hybridMultilevel"/>
    <w:lvl w:ilvl="0">
      <w:start w:val="1"/>
      <w:numFmt w:val="decimal"/>
      <w:isLgl w:val="false"/>
      <w:suff w:val="tab"/>
      <w:lvlText w:val="%1."/>
      <w:lvlJc w:val="left"/>
      <w:pPr>
        <w:ind w:left="283" w:hanging="283"/>
      </w:pPr>
      <w:rPr>
        <w:rFonts w:hint="default"/>
      </w:rPr>
    </w:lvl>
    <w:lvl w:ilvl="1">
      <w:start w:val="1"/>
      <w:numFmt w:val="decimal"/>
      <w:isLgl w:val="false"/>
      <w:suff w:val="space"/>
      <w:lvlText w:val="%1.%2."/>
      <w:lvlJc w:val="left"/>
      <w:pPr>
        <w:ind w:left="3828" w:firstLine="0"/>
      </w:pPr>
      <w:rPr>
        <w:rFonts w:hint="default"/>
      </w:rPr>
    </w:lvl>
    <w:lvl w:ilvl="2">
      <w:start w:val="1"/>
      <w:numFmt w:val="decimal"/>
      <w:isLgl w:val="false"/>
      <w:suff w:val="space"/>
      <w:lvlText w:val="%1.%2.%3."/>
      <w:lvlJc w:val="left"/>
      <w:pPr>
        <w:ind w:left="3828" w:firstLine="284"/>
      </w:pPr>
      <w:rPr>
        <w:rFonts w:hint="default"/>
      </w:rPr>
    </w:lvl>
    <w:lvl w:ilvl="3">
      <w:start w:val="1"/>
      <w:numFmt w:val="decimal"/>
      <w:isLgl w:val="false"/>
      <w:suff w:val="tab"/>
      <w:lvlText w:val="%1.%2.%3.%4."/>
      <w:lvlJc w:val="left"/>
      <w:pPr>
        <w:ind w:left="4395" w:hanging="850"/>
      </w:pPr>
      <w:rPr>
        <w:rFonts w:hint="default"/>
      </w:rPr>
    </w:lvl>
    <w:lvl w:ilvl="4">
      <w:start w:val="1"/>
      <w:numFmt w:val="decimal"/>
      <w:isLgl w:val="false"/>
      <w:suff w:val="tab"/>
      <w:lvlText w:val="%1.%2.%3.%4.%5."/>
      <w:lvlJc w:val="left"/>
      <w:pPr>
        <w:ind w:left="4536" w:hanging="991"/>
      </w:pPr>
      <w:rPr>
        <w:rFonts w:hint="default"/>
      </w:rPr>
    </w:lvl>
    <w:lvl w:ilvl="5">
      <w:start w:val="1"/>
      <w:numFmt w:val="decimal"/>
      <w:isLgl w:val="false"/>
      <w:suff w:val="tab"/>
      <w:lvlText w:val="%1.%2.%3.%4.%5.%6."/>
      <w:lvlJc w:val="left"/>
      <w:pPr>
        <w:ind w:left="4679" w:hanging="1134"/>
      </w:pPr>
      <w:rPr>
        <w:rFonts w:hint="default"/>
      </w:rPr>
    </w:lvl>
    <w:lvl w:ilvl="6">
      <w:start w:val="1"/>
      <w:numFmt w:val="decimal"/>
      <w:isLgl w:val="false"/>
      <w:suff w:val="tab"/>
      <w:lvlText w:val="%1.%2.%3.%4.%5.%6.%7."/>
      <w:lvlJc w:val="left"/>
      <w:pPr>
        <w:ind w:left="4820" w:hanging="1275"/>
      </w:pPr>
      <w:rPr>
        <w:rFonts w:hint="default"/>
      </w:rPr>
    </w:lvl>
    <w:lvl w:ilvl="7">
      <w:start w:val="1"/>
      <w:numFmt w:val="decimal"/>
      <w:isLgl w:val="false"/>
      <w:suff w:val="tab"/>
      <w:lvlText w:val="%1.%2.%3.%4.%5.%6.%7.%8."/>
      <w:lvlJc w:val="left"/>
      <w:pPr>
        <w:ind w:left="4963" w:hanging="1418"/>
      </w:pPr>
      <w:rPr>
        <w:rFonts w:hint="default"/>
      </w:rPr>
    </w:lvl>
    <w:lvl w:ilvl="8">
      <w:start w:val="1"/>
      <w:numFmt w:val="decimal"/>
      <w:isLgl w:val="false"/>
      <w:suff w:val="tab"/>
      <w:lvlText w:val="%1.%2.%3.%4.%5.%6.%7.%8.%9."/>
      <w:lvlJc w:val="left"/>
      <w:pPr>
        <w:ind w:left="5103" w:hanging="1558"/>
      </w:pPr>
      <w:rPr>
        <w:rFonts w:hint="default"/>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0"/>
      </w:pPr>
      <w:rPr>
        <w:rFonts w:hint="default"/>
        <w:b w:val="0"/>
        <w:bCs/>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22">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num w:numId="1">
    <w:abstractNumId w:val="1"/>
  </w:num>
  <w:num w:numId="2">
    <w:abstractNumId w:val="10"/>
  </w:num>
  <w:num w:numId="3">
    <w:abstractNumId w:val="6"/>
  </w:num>
  <w:num w:numId="4">
    <w:abstractNumId w:val="8"/>
  </w:num>
  <w:num w:numId="5">
    <w:abstractNumId w:val="21"/>
  </w:num>
  <w:num w:numId="6">
    <w:abstractNumId w:val="7"/>
  </w:num>
  <w:num w:numId="7">
    <w:abstractNumId w:val="16"/>
  </w:num>
  <w:num w:numId="8">
    <w:abstractNumId w:val="0"/>
  </w:num>
  <w:num w:numId="9">
    <w:abstractNumId w:val="19"/>
  </w:num>
  <w:num w:numId="10">
    <w:abstractNumId w:val="4"/>
  </w:num>
  <w:num w:numId="11">
    <w:abstractNumId w:val="15"/>
  </w:num>
  <w:num w:numId="12">
    <w:abstractNumId w:val="5"/>
  </w:num>
  <w:num w:numId="13">
    <w:abstractNumId w:val="2"/>
  </w:num>
  <w:num w:numId="14">
    <w:abstractNumId w:val="11"/>
  </w:num>
  <w:num w:numId="15">
    <w:abstractNumId w:val="13"/>
  </w:num>
  <w:num w:numId="16">
    <w:abstractNumId w:val="24"/>
  </w:num>
  <w:num w:numId="17">
    <w:abstractNumId w:val="22"/>
  </w:num>
  <w:num w:numId="18">
    <w:abstractNumId w:val="12"/>
  </w:num>
  <w:num w:numId="19">
    <w:abstractNumId w:val="17"/>
  </w:num>
  <w:num w:numId="20">
    <w:abstractNumId w:val="23"/>
  </w:num>
  <w:num w:numId="21">
    <w:abstractNumId w:val="20"/>
  </w:num>
  <w:num w:numId="22">
    <w:abstractNumId w:val="9"/>
  </w:num>
  <w:num w:numId="23">
    <w:abstractNumId w:val="14"/>
  </w:num>
  <w:num w:numId="24">
    <w:abstractNumId w:val="18"/>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08"/>
    <w:link w:val="903"/>
    <w:uiPriority w:val="9"/>
    <w:rPr>
      <w:rFonts w:ascii="Arial" w:hAnsi="Arial" w:eastAsia="Arial" w:cs="Arial"/>
      <w:sz w:val="40"/>
      <w:szCs w:val="40"/>
    </w:rPr>
  </w:style>
  <w:style w:type="character" w:styleId="747">
    <w:name w:val="Heading 2 Char"/>
    <w:basedOn w:val="908"/>
    <w:link w:val="904"/>
    <w:uiPriority w:val="9"/>
    <w:rPr>
      <w:rFonts w:ascii="Arial" w:hAnsi="Arial" w:eastAsia="Arial" w:cs="Arial"/>
      <w:sz w:val="34"/>
    </w:rPr>
  </w:style>
  <w:style w:type="character" w:styleId="748">
    <w:name w:val="Heading 3 Char"/>
    <w:basedOn w:val="908"/>
    <w:link w:val="905"/>
    <w:uiPriority w:val="9"/>
    <w:rPr>
      <w:rFonts w:ascii="Arial" w:hAnsi="Arial" w:eastAsia="Arial" w:cs="Arial"/>
      <w:sz w:val="30"/>
      <w:szCs w:val="30"/>
    </w:rPr>
  </w:style>
  <w:style w:type="character" w:styleId="749">
    <w:name w:val="Heading 4 Char"/>
    <w:basedOn w:val="908"/>
    <w:link w:val="906"/>
    <w:uiPriority w:val="9"/>
    <w:rPr>
      <w:rFonts w:ascii="Arial" w:hAnsi="Arial" w:eastAsia="Arial" w:cs="Arial"/>
      <w:b/>
      <w:bCs/>
      <w:sz w:val="26"/>
      <w:szCs w:val="26"/>
    </w:rPr>
  </w:style>
  <w:style w:type="character" w:styleId="750">
    <w:name w:val="Heading 5 Char"/>
    <w:basedOn w:val="908"/>
    <w:link w:val="907"/>
    <w:uiPriority w:val="9"/>
    <w:rPr>
      <w:rFonts w:ascii="Arial" w:hAnsi="Arial" w:eastAsia="Arial" w:cs="Arial"/>
      <w:b/>
      <w:bCs/>
      <w:sz w:val="24"/>
      <w:szCs w:val="24"/>
    </w:rPr>
  </w:style>
  <w:style w:type="paragraph" w:styleId="751">
    <w:name w:val="Heading 6"/>
    <w:basedOn w:val="902"/>
    <w:next w:val="902"/>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basedOn w:val="908"/>
    <w:link w:val="751"/>
    <w:uiPriority w:val="9"/>
    <w:rPr>
      <w:rFonts w:ascii="Arial" w:hAnsi="Arial" w:eastAsia="Arial" w:cs="Arial"/>
      <w:b/>
      <w:bCs/>
      <w:sz w:val="22"/>
      <w:szCs w:val="22"/>
    </w:rPr>
  </w:style>
  <w:style w:type="paragraph" w:styleId="753">
    <w:name w:val="Heading 7"/>
    <w:basedOn w:val="902"/>
    <w:next w:val="902"/>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basedOn w:val="908"/>
    <w:link w:val="753"/>
    <w:uiPriority w:val="9"/>
    <w:rPr>
      <w:rFonts w:ascii="Arial" w:hAnsi="Arial" w:eastAsia="Arial" w:cs="Arial"/>
      <w:b/>
      <w:bCs/>
      <w:i/>
      <w:iCs/>
      <w:sz w:val="22"/>
      <w:szCs w:val="22"/>
    </w:rPr>
  </w:style>
  <w:style w:type="paragraph" w:styleId="755">
    <w:name w:val="Heading 8"/>
    <w:basedOn w:val="902"/>
    <w:next w:val="902"/>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basedOn w:val="908"/>
    <w:link w:val="755"/>
    <w:uiPriority w:val="9"/>
    <w:rPr>
      <w:rFonts w:ascii="Arial" w:hAnsi="Arial" w:eastAsia="Arial" w:cs="Arial"/>
      <w:i/>
      <w:iCs/>
      <w:sz w:val="22"/>
      <w:szCs w:val="22"/>
    </w:rPr>
  </w:style>
  <w:style w:type="paragraph" w:styleId="757">
    <w:name w:val="Heading 9"/>
    <w:basedOn w:val="902"/>
    <w:next w:val="902"/>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basedOn w:val="908"/>
    <w:link w:val="757"/>
    <w:uiPriority w:val="9"/>
    <w:rPr>
      <w:rFonts w:ascii="Arial" w:hAnsi="Arial" w:eastAsia="Arial" w:cs="Arial"/>
      <w:i/>
      <w:iCs/>
      <w:sz w:val="21"/>
      <w:szCs w:val="21"/>
    </w:rPr>
  </w:style>
  <w:style w:type="character" w:styleId="759">
    <w:name w:val="Title Char"/>
    <w:basedOn w:val="908"/>
    <w:link w:val="911"/>
    <w:uiPriority w:val="10"/>
    <w:rPr>
      <w:sz w:val="48"/>
      <w:szCs w:val="48"/>
    </w:rPr>
  </w:style>
  <w:style w:type="paragraph" w:styleId="760">
    <w:name w:val="Subtitle"/>
    <w:basedOn w:val="902"/>
    <w:next w:val="902"/>
    <w:link w:val="761"/>
    <w:uiPriority w:val="11"/>
    <w:qFormat/>
    <w:pPr>
      <w:spacing w:before="200" w:after="200"/>
    </w:pPr>
    <w:rPr>
      <w:sz w:val="24"/>
      <w:szCs w:val="24"/>
    </w:rPr>
  </w:style>
  <w:style w:type="character" w:styleId="761">
    <w:name w:val="Subtitle Char"/>
    <w:basedOn w:val="908"/>
    <w:link w:val="760"/>
    <w:uiPriority w:val="11"/>
    <w:rPr>
      <w:sz w:val="24"/>
      <w:szCs w:val="24"/>
    </w:rPr>
  </w:style>
  <w:style w:type="paragraph" w:styleId="762">
    <w:name w:val="Quote"/>
    <w:basedOn w:val="902"/>
    <w:next w:val="902"/>
    <w:link w:val="763"/>
    <w:uiPriority w:val="29"/>
    <w:qFormat/>
    <w:pPr>
      <w:ind w:left="720" w:right="720"/>
    </w:pPr>
    <w:rPr>
      <w:i/>
    </w:rPr>
  </w:style>
  <w:style w:type="character" w:styleId="763">
    <w:name w:val="Quote Char"/>
    <w:link w:val="762"/>
    <w:uiPriority w:val="29"/>
    <w:rPr>
      <w:i/>
    </w:rPr>
  </w:style>
  <w:style w:type="paragraph" w:styleId="764">
    <w:name w:val="Intense Quote"/>
    <w:basedOn w:val="902"/>
    <w:next w:val="902"/>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08"/>
    <w:link w:val="923"/>
    <w:uiPriority w:val="99"/>
  </w:style>
  <w:style w:type="character" w:styleId="767">
    <w:name w:val="Footer Char"/>
    <w:basedOn w:val="908"/>
    <w:link w:val="925"/>
    <w:uiPriority w:val="99"/>
  </w:style>
  <w:style w:type="paragraph" w:styleId="768">
    <w:name w:val="Caption"/>
    <w:basedOn w:val="902"/>
    <w:next w:val="902"/>
    <w:uiPriority w:val="35"/>
    <w:semiHidden/>
    <w:unhideWhenUsed/>
    <w:qFormat/>
    <w:pPr>
      <w:spacing w:line="276" w:lineRule="auto"/>
    </w:pPr>
    <w:rPr>
      <w:b/>
      <w:bCs/>
      <w:color w:val="4f81bd" w:themeColor="accent1"/>
      <w:sz w:val="18"/>
      <w:szCs w:val="18"/>
    </w:rPr>
  </w:style>
  <w:style w:type="character" w:styleId="769">
    <w:name w:val="Caption Char"/>
    <w:basedOn w:val="768"/>
    <w:link w:val="925"/>
    <w:uiPriority w:val="99"/>
  </w:style>
  <w:style w:type="table" w:styleId="770">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5">
    <w:name w:val="footnote text"/>
    <w:basedOn w:val="90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08"/>
    <w:uiPriority w:val="99"/>
    <w:unhideWhenUsed/>
    <w:rPr>
      <w:vertAlign w:val="superscript"/>
    </w:rPr>
  </w:style>
  <w:style w:type="paragraph" w:styleId="898">
    <w:name w:val="endnote text"/>
    <w:basedOn w:val="90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08"/>
    <w:uiPriority w:val="99"/>
    <w:semiHidden/>
    <w:unhideWhenUsed/>
    <w:rPr>
      <w:vertAlign w:val="superscript"/>
    </w:rPr>
  </w:style>
  <w:style w:type="paragraph" w:styleId="901">
    <w:name w:val="table of figures"/>
    <w:basedOn w:val="902"/>
    <w:next w:val="902"/>
    <w:uiPriority w:val="99"/>
    <w:unhideWhenUsed/>
    <w:pPr>
      <w:spacing w:after="0" w:afterAutospacing="0"/>
    </w:pPr>
  </w:style>
  <w:style w:type="paragraph" w:styleId="902" w:default="1">
    <w:name w:val="Normal"/>
    <w:qFormat/>
    <w:pPr>
      <w:jc w:val="both"/>
      <w:widowControl w:val="off"/>
    </w:pPr>
  </w:style>
  <w:style w:type="paragraph" w:styleId="903">
    <w:name w:val="Heading 1"/>
    <w:basedOn w:val="902"/>
    <w:next w:val="902"/>
    <w:link w:val="952"/>
    <w:uiPriority w:val="9"/>
    <w:qFormat/>
    <w:pPr>
      <w:keepLines/>
      <w:keepNext/>
      <w:spacing w:before="340" w:after="330" w:line="578" w:lineRule="auto"/>
      <w:outlineLvl w:val="0"/>
    </w:pPr>
    <w:rPr>
      <w:b/>
      <w:bCs/>
      <w:sz w:val="44"/>
      <w:szCs w:val="44"/>
    </w:rPr>
  </w:style>
  <w:style w:type="paragraph" w:styleId="904">
    <w:name w:val="Heading 2"/>
    <w:basedOn w:val="902"/>
    <w:next w:val="902"/>
    <w:link w:val="95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05">
    <w:name w:val="Heading 3"/>
    <w:basedOn w:val="902"/>
    <w:next w:val="902"/>
    <w:link w:val="959"/>
    <w:uiPriority w:val="9"/>
    <w:semiHidden/>
    <w:unhideWhenUsed/>
    <w:qFormat/>
    <w:pPr>
      <w:keepLines/>
      <w:keepNext/>
      <w:spacing w:before="260" w:after="260" w:line="416" w:lineRule="auto"/>
      <w:outlineLvl w:val="2"/>
    </w:pPr>
    <w:rPr>
      <w:b/>
      <w:bCs/>
      <w:sz w:val="32"/>
      <w:szCs w:val="32"/>
    </w:rPr>
  </w:style>
  <w:style w:type="paragraph" w:styleId="906">
    <w:name w:val="Heading 4"/>
    <w:basedOn w:val="902"/>
    <w:next w:val="902"/>
    <w:link w:val="96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07">
    <w:name w:val="Heading 5"/>
    <w:basedOn w:val="902"/>
    <w:next w:val="902"/>
    <w:link w:val="961"/>
    <w:uiPriority w:val="9"/>
    <w:semiHidden/>
    <w:unhideWhenUsed/>
    <w:qFormat/>
    <w:pPr>
      <w:keepLines/>
      <w:keepNext/>
      <w:spacing w:before="280" w:after="290" w:line="376" w:lineRule="auto"/>
      <w:outlineLvl w:val="4"/>
    </w:pPr>
    <w:rPr>
      <w:b/>
      <w:bCs/>
      <w:sz w:val="28"/>
      <w:szCs w:val="28"/>
    </w:rPr>
  </w:style>
  <w:style w:type="character" w:styleId="908" w:default="1">
    <w:name w:val="Default Paragraph Font"/>
    <w:uiPriority w:val="1"/>
    <w:semiHidden/>
    <w:unhideWhenUsed/>
  </w:style>
  <w:style w:type="table" w:styleId="909" w:default="1">
    <w:name w:val="Normal Table"/>
    <w:uiPriority w:val="99"/>
    <w:semiHidden/>
    <w:unhideWhenUsed/>
    <w:tblPr>
      <w:tblInd w:w="0" w:type="dxa"/>
      <w:tblCellMar>
        <w:left w:w="108" w:type="dxa"/>
        <w:top w:w="0" w:type="dxa"/>
        <w:right w:w="108" w:type="dxa"/>
        <w:bottom w:w="0" w:type="dxa"/>
      </w:tblCellMar>
    </w:tblPr>
  </w:style>
  <w:style w:type="numbering" w:styleId="910" w:default="1">
    <w:name w:val="No List"/>
    <w:uiPriority w:val="99"/>
    <w:semiHidden/>
    <w:unhideWhenUsed/>
  </w:style>
  <w:style w:type="paragraph" w:styleId="911">
    <w:name w:val="Title"/>
    <w:basedOn w:val="902"/>
    <w:next w:val="902"/>
    <w:link w:val="912"/>
    <w:uiPriority w:val="10"/>
    <w:qFormat/>
    <w:pPr>
      <w:jc w:val="center"/>
      <w:spacing w:line="400" w:lineRule="exact"/>
      <w:outlineLvl w:val="0"/>
    </w:pPr>
    <w:rPr>
      <w:rFonts w:eastAsia="黑体" w:asciiTheme="majorHAnsi" w:hAnsiTheme="majorHAnsi" w:cstheme="majorBidi"/>
      <w:bCs/>
      <w:sz w:val="30"/>
      <w:szCs w:val="32"/>
    </w:rPr>
  </w:style>
  <w:style w:type="character" w:styleId="912" w:customStyle="1">
    <w:name w:val="标题 Char"/>
    <w:basedOn w:val="908"/>
    <w:link w:val="911"/>
    <w:uiPriority w:val="10"/>
    <w:rPr>
      <w:rFonts w:eastAsia="黑体" w:asciiTheme="majorHAnsi" w:hAnsiTheme="majorHAnsi" w:cstheme="majorBidi"/>
      <w:bCs/>
      <w:sz w:val="30"/>
      <w:szCs w:val="32"/>
    </w:rPr>
  </w:style>
  <w:style w:type="paragraph" w:styleId="913">
    <w:name w:val="toc 1"/>
    <w:basedOn w:val="902"/>
    <w:next w:val="902"/>
    <w:uiPriority w:val="39"/>
    <w:unhideWhenUsed/>
    <w:pPr>
      <w:jc w:val="left"/>
      <w:spacing w:before="120" w:after="120"/>
    </w:pPr>
    <w:rPr>
      <w:b/>
      <w:bCs/>
      <w:caps/>
      <w:sz w:val="20"/>
      <w:szCs w:val="20"/>
    </w:rPr>
  </w:style>
  <w:style w:type="character" w:styleId="914">
    <w:name w:val="Hyperlink"/>
    <w:basedOn w:val="908"/>
    <w:uiPriority w:val="99"/>
    <w:unhideWhenUsed/>
    <w:rPr>
      <w:color w:val="0000ff" w:themeColor="hyperlink"/>
      <w:u w:val="single"/>
    </w:rPr>
  </w:style>
  <w:style w:type="paragraph" w:styleId="915">
    <w:name w:val="toc 2"/>
    <w:basedOn w:val="902"/>
    <w:next w:val="902"/>
    <w:uiPriority w:val="39"/>
    <w:unhideWhenUsed/>
    <w:pPr>
      <w:ind w:left="210"/>
      <w:jc w:val="left"/>
    </w:pPr>
    <w:rPr>
      <w:smallCaps/>
      <w:sz w:val="20"/>
      <w:szCs w:val="20"/>
    </w:rPr>
  </w:style>
  <w:style w:type="paragraph" w:styleId="916">
    <w:name w:val="toc 3"/>
    <w:basedOn w:val="902"/>
    <w:next w:val="902"/>
    <w:uiPriority w:val="39"/>
    <w:unhideWhenUsed/>
    <w:pPr>
      <w:ind w:left="420"/>
      <w:jc w:val="left"/>
    </w:pPr>
    <w:rPr>
      <w:i/>
      <w:iCs/>
      <w:sz w:val="20"/>
      <w:szCs w:val="20"/>
    </w:rPr>
  </w:style>
  <w:style w:type="paragraph" w:styleId="917">
    <w:name w:val="toc 4"/>
    <w:basedOn w:val="902"/>
    <w:next w:val="902"/>
    <w:uiPriority w:val="39"/>
    <w:unhideWhenUsed/>
    <w:pPr>
      <w:ind w:left="630"/>
      <w:jc w:val="left"/>
    </w:pPr>
    <w:rPr>
      <w:sz w:val="18"/>
      <w:szCs w:val="18"/>
    </w:rPr>
  </w:style>
  <w:style w:type="paragraph" w:styleId="918">
    <w:name w:val="toc 5"/>
    <w:basedOn w:val="902"/>
    <w:next w:val="902"/>
    <w:uiPriority w:val="39"/>
    <w:unhideWhenUsed/>
    <w:pPr>
      <w:ind w:left="840"/>
      <w:jc w:val="left"/>
    </w:pPr>
    <w:rPr>
      <w:sz w:val="18"/>
      <w:szCs w:val="18"/>
    </w:rPr>
  </w:style>
  <w:style w:type="paragraph" w:styleId="919">
    <w:name w:val="toc 6"/>
    <w:basedOn w:val="902"/>
    <w:next w:val="902"/>
    <w:uiPriority w:val="39"/>
    <w:unhideWhenUsed/>
    <w:pPr>
      <w:ind w:left="1050"/>
      <w:jc w:val="left"/>
    </w:pPr>
    <w:rPr>
      <w:sz w:val="18"/>
      <w:szCs w:val="18"/>
    </w:rPr>
  </w:style>
  <w:style w:type="paragraph" w:styleId="920">
    <w:name w:val="toc 7"/>
    <w:basedOn w:val="902"/>
    <w:next w:val="902"/>
    <w:uiPriority w:val="39"/>
    <w:unhideWhenUsed/>
    <w:pPr>
      <w:ind w:left="1260"/>
      <w:jc w:val="left"/>
    </w:pPr>
    <w:rPr>
      <w:sz w:val="18"/>
      <w:szCs w:val="18"/>
    </w:rPr>
  </w:style>
  <w:style w:type="paragraph" w:styleId="921">
    <w:name w:val="toc 8"/>
    <w:basedOn w:val="902"/>
    <w:next w:val="902"/>
    <w:uiPriority w:val="39"/>
    <w:unhideWhenUsed/>
    <w:pPr>
      <w:ind w:left="1470"/>
      <w:jc w:val="left"/>
    </w:pPr>
    <w:rPr>
      <w:sz w:val="18"/>
      <w:szCs w:val="18"/>
    </w:rPr>
  </w:style>
  <w:style w:type="paragraph" w:styleId="922">
    <w:name w:val="toc 9"/>
    <w:basedOn w:val="902"/>
    <w:next w:val="902"/>
    <w:uiPriority w:val="39"/>
    <w:unhideWhenUsed/>
    <w:pPr>
      <w:ind w:left="1680"/>
      <w:jc w:val="left"/>
    </w:pPr>
    <w:rPr>
      <w:sz w:val="18"/>
      <w:szCs w:val="18"/>
    </w:rPr>
  </w:style>
  <w:style w:type="paragraph" w:styleId="923">
    <w:name w:val="Header"/>
    <w:basedOn w:val="902"/>
    <w:link w:val="924"/>
    <w:unhideWhenUsed/>
    <w:pPr>
      <w:jc w:val="center"/>
      <w:tabs>
        <w:tab w:val="center" w:pos="4153" w:leader="none"/>
        <w:tab w:val="right" w:pos="8306" w:leader="none"/>
      </w:tabs>
      <w:pBdr>
        <w:bottom w:val="single" w:color="auto" w:sz="6" w:space="1"/>
      </w:pBdr>
    </w:pPr>
    <w:rPr>
      <w:sz w:val="18"/>
      <w:szCs w:val="18"/>
    </w:rPr>
  </w:style>
  <w:style w:type="character" w:styleId="924" w:customStyle="1">
    <w:name w:val="页眉 Char"/>
    <w:basedOn w:val="908"/>
    <w:link w:val="923"/>
    <w:qFormat/>
    <w:rPr>
      <w:sz w:val="18"/>
      <w:szCs w:val="18"/>
    </w:rPr>
  </w:style>
  <w:style w:type="paragraph" w:styleId="925">
    <w:name w:val="Footer"/>
    <w:basedOn w:val="902"/>
    <w:link w:val="926"/>
    <w:uiPriority w:val="99"/>
    <w:unhideWhenUsed/>
    <w:pPr>
      <w:jc w:val="left"/>
      <w:tabs>
        <w:tab w:val="center" w:pos="4153" w:leader="none"/>
        <w:tab w:val="right" w:pos="8306" w:leader="none"/>
      </w:tabs>
    </w:pPr>
    <w:rPr>
      <w:sz w:val="18"/>
      <w:szCs w:val="18"/>
    </w:rPr>
  </w:style>
  <w:style w:type="character" w:styleId="926" w:customStyle="1">
    <w:name w:val="页脚 Char"/>
    <w:basedOn w:val="908"/>
    <w:link w:val="925"/>
    <w:uiPriority w:val="99"/>
    <w:rPr>
      <w:sz w:val="18"/>
      <w:szCs w:val="18"/>
    </w:rPr>
  </w:style>
  <w:style w:type="character" w:styleId="927">
    <w:name w:val="page number"/>
  </w:style>
  <w:style w:type="character" w:styleId="928" w:customStyle="1">
    <w:name w:val="font2800"/>
    <w:basedOn w:val="908"/>
  </w:style>
  <w:style w:type="table" w:styleId="929">
    <w:name w:val="Table Grid"/>
    <w:basedOn w:val="90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0">
    <w:name w:val="Balloon Text"/>
    <w:basedOn w:val="902"/>
    <w:link w:val="931"/>
    <w:uiPriority w:val="99"/>
    <w:semiHidden/>
    <w:unhideWhenUsed/>
    <w:rPr>
      <w:sz w:val="18"/>
      <w:szCs w:val="18"/>
    </w:rPr>
  </w:style>
  <w:style w:type="character" w:styleId="931" w:customStyle="1">
    <w:name w:val="批注框文本 Char"/>
    <w:basedOn w:val="908"/>
    <w:link w:val="930"/>
    <w:uiPriority w:val="99"/>
    <w:semiHidden/>
    <w:rPr>
      <w:sz w:val="18"/>
      <w:szCs w:val="18"/>
    </w:rPr>
  </w:style>
  <w:style w:type="table" w:styleId="932" w:customStyle="1">
    <w:name w:val="网格型1"/>
    <w:basedOn w:val="909"/>
    <w:next w:val="92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annotation reference"/>
    <w:basedOn w:val="908"/>
    <w:uiPriority w:val="99"/>
    <w:semiHidden/>
    <w:unhideWhenUsed/>
    <w:rPr>
      <w:sz w:val="21"/>
      <w:szCs w:val="21"/>
    </w:rPr>
  </w:style>
  <w:style w:type="paragraph" w:styleId="934">
    <w:name w:val="annotation text"/>
    <w:basedOn w:val="902"/>
    <w:link w:val="935"/>
    <w:uiPriority w:val="99"/>
    <w:unhideWhenUsed/>
    <w:pPr>
      <w:jc w:val="left"/>
    </w:pPr>
  </w:style>
  <w:style w:type="character" w:styleId="935" w:customStyle="1">
    <w:name w:val="批注文字 Char"/>
    <w:basedOn w:val="908"/>
    <w:link w:val="934"/>
    <w:uiPriority w:val="99"/>
  </w:style>
  <w:style w:type="paragraph" w:styleId="936">
    <w:name w:val="annotation subject"/>
    <w:basedOn w:val="934"/>
    <w:next w:val="934"/>
    <w:link w:val="937"/>
    <w:uiPriority w:val="99"/>
    <w:semiHidden/>
    <w:unhideWhenUsed/>
    <w:rPr>
      <w:b/>
      <w:bCs/>
    </w:rPr>
  </w:style>
  <w:style w:type="character" w:styleId="937" w:customStyle="1">
    <w:name w:val="批注主题 Char"/>
    <w:basedOn w:val="935"/>
    <w:link w:val="936"/>
    <w:uiPriority w:val="99"/>
    <w:semiHidden/>
    <w:rPr>
      <w:b/>
      <w:bCs/>
    </w:rPr>
  </w:style>
  <w:style w:type="paragraph" w:styleId="938">
    <w:name w:val="Body Text"/>
    <w:basedOn w:val="902"/>
    <w:link w:val="940"/>
    <w:pPr>
      <w:spacing w:line="360" w:lineRule="auto"/>
    </w:pPr>
    <w:rPr>
      <w:rFonts w:ascii="楷体_GB2312" w:hAnsi="Times New Roman" w:eastAsia="楷体_GB2312" w:cs="Times New Roman"/>
      <w:bCs/>
      <w:sz w:val="28"/>
      <w:szCs w:val="24"/>
    </w:rPr>
  </w:style>
  <w:style w:type="character" w:styleId="939" w:customStyle="1">
    <w:name w:val="正文文本 Char"/>
    <w:basedOn w:val="908"/>
  </w:style>
  <w:style w:type="character" w:styleId="940" w:customStyle="1">
    <w:name w:val="正文文本 Char1"/>
    <w:link w:val="938"/>
    <w:rPr>
      <w:rFonts w:ascii="楷体_GB2312" w:hAnsi="Times New Roman" w:eastAsia="楷体_GB2312" w:cs="Times New Roman"/>
      <w:bCs/>
      <w:sz w:val="28"/>
      <w:szCs w:val="24"/>
    </w:rPr>
  </w:style>
  <w:style w:type="paragraph" w:styleId="941" w:customStyle="1">
    <w:name w:val="Table Paragraph"/>
    <w:basedOn w:val="902"/>
    <w:uiPriority w:val="1"/>
    <w:pPr>
      <w:ind w:firstLine="260"/>
      <w:jc w:val="left"/>
      <w:spacing w:line="360" w:lineRule="auto"/>
    </w:pPr>
    <w:rPr>
      <w:rFonts w:ascii="Calibri" w:hAnsi="Calibri" w:eastAsia="仿宋" w:cs="Times New Roman"/>
      <w:sz w:val="28"/>
      <w:lang w:eastAsia="en-US"/>
    </w:rPr>
  </w:style>
  <w:style w:type="paragraph" w:styleId="942">
    <w:name w:val="No Spacing"/>
    <w:link w:val="943"/>
    <w:uiPriority w:val="1"/>
    <w:pPr>
      <w:jc w:val="both"/>
      <w:spacing w:line="360" w:lineRule="auto"/>
      <w:widowControl w:val="off"/>
    </w:pPr>
    <w:rPr>
      <w:rFonts w:ascii="宋体" w:hAnsi="宋体"/>
      <w:sz w:val="24"/>
    </w:rPr>
  </w:style>
  <w:style w:type="character" w:styleId="943" w:customStyle="1">
    <w:name w:val="无间隔 Char"/>
    <w:link w:val="942"/>
    <w:uiPriority w:val="1"/>
    <w:rPr>
      <w:rFonts w:ascii="宋体" w:hAnsi="宋体"/>
      <w:sz w:val="24"/>
    </w:rPr>
  </w:style>
  <w:style w:type="paragraph" w:styleId="944">
    <w:name w:val="Body Text Indent"/>
    <w:basedOn w:val="902"/>
    <w:link w:val="945"/>
    <w:unhideWhenUsed/>
    <w:pPr>
      <w:ind w:left="420"/>
      <w:spacing w:after="120"/>
    </w:pPr>
  </w:style>
  <w:style w:type="character" w:styleId="945" w:customStyle="1">
    <w:name w:val="正文文本缩进 Char"/>
    <w:basedOn w:val="908"/>
    <w:link w:val="944"/>
  </w:style>
  <w:style w:type="table" w:styleId="946" w:customStyle="1">
    <w:name w:val="网格型2"/>
    <w:basedOn w:val="909"/>
    <w:next w:val="92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7">
    <w:name w:val="Revision"/>
    <w:hidden/>
    <w:uiPriority w:val="99"/>
    <w:unhideWhenUsed/>
  </w:style>
  <w:style w:type="table" w:styleId="948" w:customStyle="1">
    <w:name w:val="网格型3"/>
    <w:basedOn w:val="909"/>
    <w:next w:val="92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49" w:customStyle="1">
    <w:name w:val="无列表1"/>
    <w:next w:val="910"/>
    <w:uiPriority w:val="99"/>
    <w:semiHidden/>
    <w:unhideWhenUsed/>
  </w:style>
  <w:style w:type="table" w:styleId="950" w:customStyle="1">
    <w:name w:val="网格型4"/>
    <w:basedOn w:val="909"/>
    <w:next w:val="92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customStyle="1">
    <w:name w:val="Table Normal"/>
    <w:semiHidden/>
    <w:unhideWhenUsed/>
    <w:qFormat/>
    <w:rPr>
      <w:sz w:val="20"/>
      <w:szCs w:val="20"/>
    </w:rPr>
    <w:tblPr>
      <w:tblCellMar>
        <w:left w:w="0" w:type="dxa"/>
        <w:top w:w="0" w:type="dxa"/>
        <w:right w:w="0" w:type="dxa"/>
        <w:bottom w:w="0" w:type="dxa"/>
      </w:tblCellMar>
    </w:tblPr>
  </w:style>
  <w:style w:type="character" w:styleId="952" w:customStyle="1">
    <w:name w:val="标题 1 Char"/>
    <w:basedOn w:val="908"/>
    <w:link w:val="903"/>
    <w:uiPriority w:val="9"/>
    <w:rPr>
      <w:b/>
      <w:bCs/>
      <w:sz w:val="44"/>
      <w:szCs w:val="44"/>
    </w:rPr>
  </w:style>
  <w:style w:type="paragraph" w:styleId="953">
    <w:name w:val="TOC Heading"/>
    <w:basedOn w:val="903"/>
    <w:next w:val="902"/>
    <w:uiPriority w:val="39"/>
    <w:semiHidden/>
    <w:unhideWhenUsed/>
    <w:qFormat/>
    <w:pPr>
      <w:outlineLvl w:val="9"/>
    </w:pPr>
  </w:style>
  <w:style w:type="character" w:styleId="954" w:customStyle="1">
    <w:name w:val="font21"/>
    <w:basedOn w:val="908"/>
    <w:rPr>
      <w:rFonts w:ascii="Calibri" w:hAnsi="Calibri" w:cs="Calibri"/>
      <w:color w:val="000000"/>
      <w:sz w:val="21"/>
      <w:szCs w:val="21"/>
      <w:u w:val="none"/>
    </w:rPr>
  </w:style>
  <w:style w:type="character" w:styleId="955" w:customStyle="1">
    <w:name w:val="font11"/>
    <w:basedOn w:val="908"/>
    <w:rPr>
      <w:rFonts w:hint="eastAsia" w:ascii="宋体" w:hAnsi="宋体" w:eastAsia="宋体" w:cs="宋体"/>
      <w:color w:val="000000"/>
      <w:sz w:val="21"/>
      <w:szCs w:val="21"/>
      <w:u w:val="none"/>
    </w:rPr>
  </w:style>
  <w:style w:type="paragraph" w:styleId="956">
    <w:name w:val="Body Text First Indent 2"/>
    <w:basedOn w:val="944"/>
    <w:link w:val="957"/>
    <w:unhideWhenUsed/>
    <w:pPr>
      <w:ind w:firstLine="420"/>
    </w:pPr>
  </w:style>
  <w:style w:type="character" w:styleId="957" w:customStyle="1">
    <w:name w:val="正文首行缩进 2 Char"/>
    <w:basedOn w:val="945"/>
    <w:link w:val="956"/>
  </w:style>
  <w:style w:type="character" w:styleId="958" w:customStyle="1">
    <w:name w:val="标题 2 Char"/>
    <w:basedOn w:val="908"/>
    <w:link w:val="904"/>
    <w:uiPriority w:val="9"/>
    <w:semiHidden/>
    <w:rPr>
      <w:rFonts w:asciiTheme="majorHAnsi" w:hAnsiTheme="majorHAnsi" w:eastAsiaTheme="majorEastAsia" w:cstheme="majorBidi"/>
      <w:b/>
      <w:bCs/>
      <w:sz w:val="32"/>
      <w:szCs w:val="32"/>
    </w:rPr>
  </w:style>
  <w:style w:type="character" w:styleId="959" w:customStyle="1">
    <w:name w:val="标题 3 Char"/>
    <w:basedOn w:val="908"/>
    <w:link w:val="905"/>
    <w:uiPriority w:val="9"/>
    <w:semiHidden/>
    <w:rPr>
      <w:b/>
      <w:bCs/>
      <w:sz w:val="32"/>
      <w:szCs w:val="32"/>
    </w:rPr>
  </w:style>
  <w:style w:type="character" w:styleId="960" w:customStyle="1">
    <w:name w:val="标题 4 Char"/>
    <w:basedOn w:val="908"/>
    <w:link w:val="906"/>
    <w:uiPriority w:val="9"/>
    <w:semiHidden/>
    <w:rPr>
      <w:rFonts w:asciiTheme="majorHAnsi" w:hAnsiTheme="majorHAnsi" w:eastAsiaTheme="majorEastAsia" w:cstheme="majorBidi"/>
      <w:b/>
      <w:bCs/>
      <w:sz w:val="28"/>
      <w:szCs w:val="28"/>
    </w:rPr>
  </w:style>
  <w:style w:type="character" w:styleId="961" w:customStyle="1">
    <w:name w:val="标题 5 Char"/>
    <w:basedOn w:val="908"/>
    <w:link w:val="907"/>
    <w:uiPriority w:val="9"/>
    <w:semiHidden/>
    <w:rPr>
      <w:b/>
      <w:bCs/>
      <w:sz w:val="28"/>
      <w:szCs w:val="28"/>
    </w:rPr>
  </w:style>
  <w:style w:type="paragraph" w:styleId="962">
    <w:name w:val="Note Heading"/>
    <w:basedOn w:val="902"/>
    <w:next w:val="902"/>
    <w:link w:val="963"/>
    <w:pPr>
      <w:jc w:val="center"/>
    </w:pPr>
    <w:rPr>
      <w:rFonts w:ascii="金梅簡體中黑字形" w:hAnsi="Arial" w:eastAsia="金梅簡體中黑字形" w:cs="Times New Roman"/>
      <w:sz w:val="24"/>
      <w:szCs w:val="24"/>
    </w:rPr>
  </w:style>
  <w:style w:type="character" w:styleId="963" w:customStyle="1">
    <w:name w:val="注释标题 Char"/>
    <w:basedOn w:val="908"/>
    <w:link w:val="962"/>
    <w:rPr>
      <w:rFonts w:ascii="金梅簡體中黑字形" w:hAnsi="Arial" w:eastAsia="金梅簡體中黑字形" w:cs="Times New Roman"/>
      <w:sz w:val="24"/>
      <w:szCs w:val="24"/>
    </w:rPr>
  </w:style>
  <w:style w:type="paragraph" w:styleId="964">
    <w:name w:val="Normal Indent"/>
    <w:basedOn w:val="902"/>
    <w:uiPriority w:val="99"/>
    <w:semiHidden/>
    <w:unhideWhenUsed/>
    <w:pPr>
      <w:ind w:left="720"/>
    </w:pPr>
  </w:style>
  <w:style w:type="paragraph" w:styleId="965">
    <w:name w:val="Document Map"/>
    <w:basedOn w:val="902"/>
    <w:link w:val="966"/>
    <w:uiPriority w:val="99"/>
    <w:rPr>
      <w:rFonts w:ascii="宋体"/>
      <w:sz w:val="18"/>
      <w:szCs w:val="18"/>
    </w:rPr>
  </w:style>
  <w:style w:type="character" w:styleId="966" w:customStyle="1">
    <w:name w:val="文档结构图 Char"/>
    <w:basedOn w:val="908"/>
    <w:link w:val="965"/>
    <w:uiPriority w:val="99"/>
    <w:rPr>
      <w:rFonts w:ascii="宋体"/>
      <w:sz w:val="18"/>
      <w:szCs w:val="18"/>
    </w:rPr>
  </w:style>
  <w:style w:type="paragraph" w:styleId="967">
    <w:name w:val="Body Text 3"/>
    <w:basedOn w:val="902"/>
    <w:link w:val="968"/>
    <w:rPr>
      <w:rFonts w:ascii="仿宋_GB2312" w:eastAsia="仿宋_GB2312"/>
      <w:sz w:val="24"/>
    </w:rPr>
  </w:style>
  <w:style w:type="character" w:styleId="968" w:customStyle="1">
    <w:name w:val="正文文本 3 Char"/>
    <w:basedOn w:val="908"/>
    <w:link w:val="967"/>
    <w:rPr>
      <w:rFonts w:ascii="仿宋_GB2312" w:eastAsia="仿宋_GB2312"/>
      <w:sz w:val="24"/>
    </w:rPr>
  </w:style>
  <w:style w:type="paragraph" w:styleId="969">
    <w:name w:val="Plain Text"/>
    <w:basedOn w:val="902"/>
    <w:link w:val="970"/>
    <w:rPr>
      <w:rFonts w:hAnsi="Courier New" w:cs="Courier New" w:asciiTheme="minorEastAsia"/>
    </w:rPr>
  </w:style>
  <w:style w:type="character" w:styleId="970" w:customStyle="1">
    <w:name w:val="纯文本 Char"/>
    <w:basedOn w:val="908"/>
    <w:link w:val="969"/>
    <w:rPr>
      <w:rFonts w:hAnsi="Courier New" w:cs="Courier New" w:asciiTheme="minorEastAsia"/>
    </w:rPr>
  </w:style>
  <w:style w:type="paragraph" w:styleId="971">
    <w:name w:val="Normal (Web)"/>
    <w:basedOn w:val="902"/>
    <w:pPr>
      <w:jc w:val="left"/>
      <w:spacing w:before="100" w:beforeAutospacing="1" w:after="100" w:afterAutospacing="1"/>
      <w:widowControl/>
    </w:pPr>
    <w:rPr>
      <w:rFonts w:ascii="宋体" w:hAnsi="宋体" w:cs="宋体"/>
      <w:sz w:val="24"/>
      <w:szCs w:val="24"/>
    </w:rPr>
  </w:style>
  <w:style w:type="paragraph" w:styleId="972">
    <w:name w:val="Body Text First Indent"/>
    <w:basedOn w:val="938"/>
    <w:link w:val="973"/>
    <w:pPr>
      <w:ind w:firstLine="420"/>
      <w:spacing w:after="120" w:line="240" w:lineRule="auto"/>
    </w:pPr>
    <w:rPr>
      <w:rFonts w:ascii="宋体" w:hAnsi="宋体" w:eastAsia="宋体" w:cstheme="minorBidi"/>
      <w:sz w:val="24"/>
      <w:szCs w:val="22"/>
    </w:rPr>
  </w:style>
  <w:style w:type="character" w:styleId="973" w:customStyle="1">
    <w:name w:val="正文首行缩进 Char"/>
    <w:basedOn w:val="940"/>
    <w:link w:val="972"/>
    <w:rPr>
      <w:rFonts w:ascii="宋体" w:hAnsi="宋体" w:eastAsia="宋体" w:cs="Times New Roman"/>
      <w:bCs/>
      <w:sz w:val="24"/>
      <w:szCs w:val="24"/>
    </w:rPr>
  </w:style>
  <w:style w:type="table" w:styleId="974" w:customStyle="1">
    <w:name w:val="网格型5"/>
    <w:basedOn w:val="909"/>
    <w:next w:val="92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5">
    <w:name w:val="Strong"/>
    <w:basedOn w:val="908"/>
    <w:uiPriority w:val="22"/>
    <w:qFormat/>
    <w:rPr>
      <w:b/>
      <w:bCs/>
    </w:rPr>
  </w:style>
  <w:style w:type="paragraph" w:styleId="976" w:customStyle="1">
    <w:name w:val="正文首行缩进 21"/>
    <w:basedOn w:val="944"/>
    <w:next w:val="938"/>
    <w:pPr>
      <w:ind w:firstLine="210"/>
    </w:pPr>
    <w:rPr>
      <w:szCs w:val="21"/>
    </w:rPr>
  </w:style>
  <w:style w:type="paragraph" w:styleId="977" w:customStyle="1">
    <w:name w:val="标题 21"/>
    <w:basedOn w:val="902"/>
    <w:next w:val="902"/>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978" w:customStyle="1">
    <w:name w:val="网格型11"/>
    <w:basedOn w:val="90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9" w:customStyle="1">
    <w:name w:val="BodyText1I2"/>
    <w:basedOn w:val="902"/>
    <w:next w:val="902"/>
    <w:uiPriority w:val="99"/>
    <w:pPr>
      <w:ind w:left="420" w:firstLine="420"/>
      <w:spacing w:after="120"/>
    </w:pPr>
    <w:rPr>
      <w:rFonts w:ascii="楷体_GB2312" w:hAnsi="Times New Roman" w:eastAsia="楷体_GB2312" w:cs="Times New Roman"/>
      <w:szCs w:val="24"/>
    </w:rPr>
  </w:style>
  <w:style w:type="paragraph" w:styleId="980">
    <w:name w:val="List Paragraph"/>
    <w:basedOn w:val="902"/>
    <w:uiPriority w:val="34"/>
    <w:qFormat/>
    <w:pPr>
      <w:ind w:firstLine="420"/>
    </w:pPr>
  </w:style>
  <w:style w:type="paragraph" w:styleId="981" w:customStyle="1">
    <w:name w:val="正文无缩进"/>
    <w:basedOn w:val="902"/>
    <w:pPr>
      <w:jc w:val="left"/>
      <w:spacing w:line="300" w:lineRule="auto"/>
      <w:widowControl/>
    </w:pPr>
    <w:rPr>
      <w:rFonts w:eastAsia="楷体_GB2312"/>
      <w:sz w:val="24"/>
    </w:rPr>
  </w:style>
  <w:style w:type="character" w:styleId="982" w:customStyle="1">
    <w:name w:val="NormalCharacter"/>
    <w:rPr>
      <w:rFonts w:ascii="Times New Roman" w:hAnsi="Times New Roman" w:eastAsia="宋体"/>
    </w:rPr>
  </w:style>
  <w:style w:type="table" w:styleId="983" w:customStyle="1">
    <w:name w:val="网格型21"/>
    <w:basedOn w:val="90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4" w:customStyle="1">
    <w:name w:val="Default"/>
    <w:uiPriority w:val="99"/>
    <w:pPr>
      <w:ind w:firstLine="1040"/>
      <w:jc w:val="both"/>
      <w:spacing w:line="360" w:lineRule="auto"/>
      <w:widowControl w:val="off"/>
    </w:pPr>
    <w:rPr>
      <w:rFonts w:eastAsia="Songti SC" w:cs="楷体à.ā" w:asciiTheme="minorEastAsia" w:hAnsiTheme="minorEastAsia"/>
      <w:color w:val="000000"/>
      <w:sz w:val="24"/>
      <w:szCs w:val="24"/>
    </w:rPr>
  </w:style>
  <w:style w:type="paragraph" w:styleId="985" w:customStyle="1">
    <w:name w:val="正文文本首行缩进1"/>
    <w:basedOn w:val="938"/>
    <w:next w:val="986"/>
    <w:pPr>
      <w:ind w:firstLine="420"/>
      <w:spacing w:after="120"/>
    </w:pPr>
    <w:rPr>
      <w:rFonts w:eastAsia="宋体"/>
    </w:rPr>
  </w:style>
  <w:style w:type="paragraph" w:styleId="986" w:customStyle="1">
    <w:name w:val="正文文本首行缩进 21"/>
    <w:basedOn w:val="944"/>
    <w:pPr>
      <w:ind w:firstLine="420"/>
      <w:widowControl/>
    </w:pPr>
    <w:rPr>
      <w:rFonts w:ascii="仿宋_GB2312" w:eastAsia="仿宋_GB2312"/>
      <w:color w:val="ff6600"/>
    </w:rPr>
  </w:style>
  <w:style w:type="character" w:styleId="987" w:customStyle="1">
    <w:name w:val="font41"/>
    <w:basedOn w:val="908"/>
    <w:rPr>
      <w:rFonts w:hint="eastAsia" w:ascii="宋体" w:hAnsi="宋体" w:eastAsia="宋体" w:cs="宋体"/>
      <w:color w:val="000000"/>
      <w:sz w:val="24"/>
      <w:szCs w:val="24"/>
      <w:u w:val="none"/>
    </w:rPr>
  </w:style>
  <w:style w:type="character" w:styleId="988" w:customStyle="1">
    <w:name w:val="font31"/>
    <w:rPr>
      <w:rFonts w:hint="default" w:ascii="Times New Roman" w:hAnsi="Times New Roman" w:cs="Times New Roman"/>
      <w:color w:val="000000"/>
      <w:sz w:val="24"/>
      <w:szCs w:val="24"/>
      <w:u w:val="none"/>
    </w:rPr>
  </w:style>
  <w:style w:type="paragraph" w:styleId="989" w:customStyle="1">
    <w:name w:val="msolistparagraph"/>
    <w:basedOn w:val="902"/>
    <w:pPr>
      <w:ind w:firstLine="420"/>
    </w:pPr>
    <w:rPr>
      <w:rFonts w:ascii="Calibri" w:hAnsi="Calibri" w:eastAsia="宋体" w:cs="Times New Roman"/>
    </w:rPr>
  </w:style>
  <w:style w:type="paragraph" w:styleId="990" w:customStyle="1">
    <w:name w:val="表格文本"/>
    <w:pPr>
      <w:jc w:val="center"/>
    </w:pPr>
    <w:rPr>
      <w:rFonts w:ascii="宋体" w:hAnsi="宋体" w:eastAsia="宋体" w:cs="Times New Roman (标题 CS)"/>
      <w:color w:val="000000" w:themeColor="text1"/>
      <w:sz w:val="24"/>
      <w:szCs w:val="40"/>
    </w:rPr>
  </w:style>
  <w:style w:type="paragraph" w:styleId="991" w:customStyle="1">
    <w:name w:val="表格文字"/>
    <w:basedOn w:val="992"/>
    <w:next w:val="938"/>
  </w:style>
  <w:style w:type="paragraph" w:styleId="992" w:customStyle="1">
    <w:name w:val="表格文字（两侧对齐）"/>
    <w:basedOn w:val="902"/>
    <w:rPr>
      <w:rFonts w:ascii="Calibri" w:hAnsi="Calibri"/>
      <w:sz w:val="20"/>
    </w:rPr>
  </w:style>
  <w:style w:type="paragraph" w:styleId="993" w:customStyle="1">
    <w:name w:val="样式 样式 小四 行距: 1.5 倍行距 + 首行缩进:  3 字符"/>
    <w:basedOn w:val="902"/>
    <w:pPr>
      <w:ind w:firstLine="420"/>
    </w:pPr>
    <w:rPr>
      <w:rFonts w:ascii="宋体" w:hAnsi="宋体" w:eastAsia="宋体" w:cs="宋体"/>
      <w:szCs w:val="21"/>
    </w:rPr>
  </w:style>
  <w:style w:type="paragraph" w:styleId="994" w:customStyle="1">
    <w:name w:val="列出段落1"/>
    <w:basedOn w:val="902"/>
    <w:uiPriority w:val="34"/>
    <w:pPr>
      <w:ind w:firstLine="420"/>
      <w:spacing w:line="360" w:lineRule="auto"/>
    </w:pPr>
    <w:rPr>
      <w:rFonts w:ascii="Times New Roman" w:hAnsi="Times New Roman" w:eastAsia="宋体" w:cs="Times New Roman"/>
      <w:sz w:val="24"/>
      <w:szCs w:val="24"/>
    </w:rPr>
  </w:style>
  <w:style w:type="paragraph" w:styleId="995" w:customStyle="1">
    <w:name w:val="投标正文"/>
    <w:basedOn w:val="902"/>
    <w:pPr>
      <w:ind w:left="567"/>
      <w:spacing w:line="360" w:lineRule="auto"/>
    </w:pPr>
    <w:rPr>
      <w:rFonts w:ascii="Times New Roman" w:hAnsi="Times New Roman"/>
      <w:sz w:val="24"/>
    </w:rPr>
  </w:style>
  <w:style w:type="table" w:styleId="996" w:customStyle="1">
    <w:name w:val="网格型6"/>
    <w:basedOn w:val="909"/>
    <w:next w:val="92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customStyle="1">
    <w:name w:val="网格型22"/>
    <w:basedOn w:val="90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8" w:customStyle="1">
    <w:name w:val="网格型7"/>
    <w:basedOn w:val="909"/>
    <w:next w:val="92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9" w:customStyle="1">
    <w:name w:val="修订1"/>
    <w:hidden/>
    <w:uiPriority w:val="99"/>
    <w:unhideWhenUsed/>
    <w:qFormat/>
  </w:style>
  <w:style w:type="paragraph" w:styleId="1000" w:customStyle="1">
    <w:name w:val="TOC 标题1"/>
    <w:basedOn w:val="903"/>
    <w:next w:val="902"/>
    <w:uiPriority w:val="39"/>
    <w:semiHidden/>
    <w:unhideWhenUsed/>
    <w:pPr>
      <w:outlineLvl w:val="9"/>
    </w:pPr>
  </w:style>
  <w:style w:type="table" w:styleId="1001" w:customStyle="1">
    <w:name w:val="网格型8"/>
    <w:basedOn w:val="909"/>
    <w:next w:val="92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2" w:customStyle="1">
    <w:name w:val="网格型9"/>
    <w:basedOn w:val="909"/>
    <w:next w:val="92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3" w:customStyle="1">
    <w:name w:val="网格型12"/>
    <w:basedOn w:val="909"/>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4" w:customStyle="1">
    <w:name w:val="网格型23"/>
    <w:basedOn w:val="90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5" w:customStyle="1">
    <w:name w:val="网格型31"/>
    <w:basedOn w:val="909"/>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6" w:customStyle="1">
    <w:name w:val="网格型41"/>
    <w:basedOn w:val="90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7" w:customStyle="1">
    <w:name w:val="Table Normal1"/>
    <w:semiHidden/>
    <w:unhideWhenUsed/>
    <w:qFormat/>
    <w:tblPr>
      <w:tblCellMar>
        <w:left w:w="0" w:type="dxa"/>
        <w:top w:w="0" w:type="dxa"/>
        <w:right w:w="0" w:type="dxa"/>
        <w:bottom w:w="0" w:type="dxa"/>
      </w:tblCellMar>
    </w:tblPr>
  </w:style>
  <w:style w:type="table" w:styleId="1008" w:customStyle="1">
    <w:name w:val="网格型51"/>
    <w:basedOn w:val="90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9" w:customStyle="1">
    <w:name w:val="网格型111"/>
    <w:basedOn w:val="90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0" w:customStyle="1">
    <w:name w:val="网格型211"/>
    <w:basedOn w:val="90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1" w:customStyle="1">
    <w:name w:val="网格型61"/>
    <w:basedOn w:val="90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2" w:customStyle="1">
    <w:name w:val="网格型221"/>
    <w:basedOn w:val="90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3" w:customStyle="1">
    <w:name w:val="网格型71"/>
    <w:basedOn w:val="90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4" w:customStyle="1">
    <w:name w:val="网格型10"/>
    <w:basedOn w:val="909"/>
    <w:next w:val="92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5" w:customStyle="1">
    <w:name w:val="网格型13"/>
    <w:basedOn w:val="909"/>
    <w:next w:val="92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6" w:customStyle="1">
    <w:name w:val="网格型121"/>
    <w:basedOn w:val="90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7" w:customStyle="1">
    <w:name w:val="网格型231"/>
    <w:basedOn w:val="90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8" w:customStyle="1">
    <w:name w:val="网格型311"/>
    <w:basedOn w:val="90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9" w:customStyle="1">
    <w:name w:val="网格型411"/>
    <w:basedOn w:val="90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0" w:customStyle="1">
    <w:name w:val="Table Normal11"/>
    <w:semiHidden/>
    <w:unhideWhenUsed/>
    <w:qFormat/>
    <w:rPr>
      <w:sz w:val="20"/>
      <w:szCs w:val="20"/>
    </w:rPr>
    <w:tblPr>
      <w:tblCellMar>
        <w:left w:w="0" w:type="dxa"/>
        <w:top w:w="0" w:type="dxa"/>
        <w:right w:w="0" w:type="dxa"/>
        <w:bottom w:w="0" w:type="dxa"/>
      </w:tblCellMar>
    </w:tblPr>
  </w:style>
  <w:style w:type="table" w:styleId="1021" w:customStyle="1">
    <w:name w:val="网格型511"/>
    <w:basedOn w:val="90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2" w:customStyle="1">
    <w:name w:val="网格型1111"/>
    <w:basedOn w:val="90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3" w:customStyle="1">
    <w:name w:val="网格型2111"/>
    <w:basedOn w:val="90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4" w:customStyle="1">
    <w:name w:val="网格型611"/>
    <w:basedOn w:val="90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5" w:customStyle="1">
    <w:name w:val="网格型2211"/>
    <w:basedOn w:val="90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6" w:customStyle="1">
    <w:name w:val="网格型711"/>
    <w:basedOn w:val="90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7" w:customStyle="1">
    <w:name w:val="网格型14"/>
    <w:basedOn w:val="909"/>
    <w:next w:val="92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573EB-8C4E-4149-A3F3-D36C35C67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546</cp:revision>
  <dcterms:created xsi:type="dcterms:W3CDTF">2025-10-17T05:39:00Z</dcterms:created>
  <dcterms:modified xsi:type="dcterms:W3CDTF">2026-11-03T01:22:09Z</dcterms:modified>
</cp:coreProperties>
</file>