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right"/>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right"/>
        <w:rPr>
          <w:rFonts w:ascii="宋体" w:hAnsi="宋体" w:cs="宋体"/>
          <w:b/>
          <w:bCs/>
          <w:color w:val="auto"/>
          <w:sz w:val="36"/>
          <w:highlight w:val="none"/>
        </w:rPr>
      </w:pPr>
      <w:r>
        <w:rPr>
          <w:rFonts w:hint="eastAsia" w:ascii="宋体" w:hAnsi="宋体" w:cs="宋体"/>
          <w:b/>
          <w:bCs/>
          <w:color w:val="auto"/>
          <w:sz w:val="36"/>
          <w:highlight w:val="none"/>
          <w:lang w:val="en-US" w:eastAsia="zh-CN"/>
        </w:rPr>
        <w:tab/>
      </w:r>
      <w:r>
        <w:rPr>
          <w:rFonts w:hint="eastAsia" w:ascii="宋体" w:hAnsi="宋体" w:cs="宋体"/>
          <w:b/>
          <w:bCs/>
          <w:color w:val="auto"/>
          <w:sz w:val="32"/>
          <w:szCs w:val="32"/>
          <w:highlight w:val="none"/>
          <w:lang w:eastAsia="zh-CN"/>
        </w:rPr>
        <w:t xml:space="preserve">JSZC-321000-JYYH-G2026-0002</w:t>
      </w:r>
      <w:r>
        <w:rPr>
          <w:rFonts w:hint="eastAsia" w:ascii="宋体" w:hAnsi="宋体" w:cs="宋体"/>
          <w:b/>
          <w:bCs/>
          <w:color w:val="auto"/>
          <w:sz w:val="36"/>
          <w:highlight w:val="none"/>
        </w:rPr>
        <w:t xml:space="preserve">号</w:t>
      </w:r>
      <w:r/>
    </w:p>
    <w:p>
      <w:pPr>
        <w:jc w:val="center"/>
        <w:tabs>
          <w:tab w:val="left" w:pos="2406" w:leader="none"/>
        </w:tabs>
        <w:rPr>
          <w:rFonts w:hint="eastAsia" w:ascii="宋体" w:hAnsi="宋体" w:cs="宋体"/>
          <w:b/>
          <w:bCs/>
          <w:color w:val="auto"/>
          <w:sz w:val="48"/>
          <w:szCs w:val="48"/>
          <w:highlight w:val="none"/>
          <w:lang w:eastAsia="zh-CN"/>
        </w:rPr>
      </w:pPr>
      <w:r>
        <w:rPr>
          <w:rFonts w:hint="eastAsia" w:ascii="宋体" w:hAnsi="宋体" w:cs="宋体"/>
          <w:b/>
          <w:bCs/>
          <w:color w:val="auto"/>
          <w:sz w:val="48"/>
          <w:szCs w:val="48"/>
          <w:highlight w:val="none"/>
          <w:lang w:eastAsia="zh-CN"/>
        </w:rPr>
      </w:r>
      <w:r/>
    </w:p>
    <w:p>
      <w:pPr>
        <w:jc w:val="center"/>
        <w:tabs>
          <w:tab w:val="left" w:pos="2406" w:leader="none"/>
        </w:tabs>
        <w:rPr>
          <w:rFonts w:hint="eastAsia" w:ascii="宋体" w:hAnsi="宋体" w:cs="宋体"/>
          <w:b/>
          <w:bCs/>
          <w:color w:val="auto"/>
          <w:sz w:val="48"/>
          <w:szCs w:val="48"/>
          <w:highlight w:val="none"/>
          <w:lang w:eastAsia="zh-CN"/>
        </w:rPr>
      </w:pPr>
      <w:r>
        <w:rPr>
          <w:rFonts w:hint="eastAsia" w:ascii="宋体" w:hAnsi="宋体" w:cs="宋体"/>
          <w:b/>
          <w:bCs/>
          <w:color w:val="auto"/>
          <w:sz w:val="48"/>
          <w:szCs w:val="48"/>
          <w:highlight w:val="none"/>
          <w:lang w:eastAsia="zh-CN"/>
        </w:rPr>
        <w:t xml:space="preserve">扬州市检验检测中心2026年重点工业产品检验检测设备更新项目</w:t>
      </w:r>
      <w:r/>
    </w:p>
    <w:p>
      <w:pPr>
        <w:jc w:val="center"/>
        <w:keepLines w:val="0"/>
        <w:keepNext w:val="0"/>
        <w:pageBreakBefore w:val="0"/>
        <w:spacing w:line="360" w:lineRule="auto"/>
        <w:widowControl w:val="off"/>
        <w:rPr>
          <w:rFonts w:hint="eastAsia" w:ascii="宋体" w:hAnsi="宋体" w:cs="宋体"/>
          <w:b/>
          <w:bCs/>
          <w:color w:val="auto"/>
          <w:sz w:val="48"/>
          <w:szCs w:val="48"/>
          <w:highlight w:val="none"/>
          <w:lang w:eastAsia="zh-CN"/>
        </w:rPr>
      </w:pPr>
      <w:r>
        <w:rPr>
          <w:rFonts w:hint="eastAsia" w:ascii="宋体" w:hAnsi="宋体" w:cs="宋体"/>
          <w:b/>
          <w:bCs/>
          <w:color w:val="auto"/>
          <w:sz w:val="48"/>
          <w:szCs w:val="48"/>
          <w:highlight w:val="none"/>
          <w:lang w:eastAsia="zh-CN"/>
        </w:rPr>
      </w:r>
      <w:r/>
    </w:p>
    <w:p>
      <w:pPr>
        <w:jc w:val="center"/>
        <w:keepLines w:val="0"/>
        <w:keepNext w:val="0"/>
        <w:pageBreakBefore w:val="0"/>
        <w:spacing w:line="360" w:lineRule="auto"/>
        <w:widowControl w:val="off"/>
        <w:rPr>
          <w:rFonts w:hint="eastAsia" w:ascii="宋体" w:hAnsi="宋体" w:cs="宋体"/>
          <w:b/>
          <w:bCs/>
          <w:color w:val="auto"/>
          <w:sz w:val="48"/>
          <w:szCs w:val="48"/>
          <w:highlight w:val="none"/>
          <w:lang w:eastAsia="zh-CN"/>
        </w:rPr>
      </w:pPr>
      <w:r>
        <w:rPr>
          <w:rFonts w:hint="eastAsia" w:ascii="宋体" w:hAnsi="宋体" w:cs="宋体"/>
          <w:b/>
          <w:bCs/>
          <w:color w:val="auto"/>
          <w:sz w:val="48"/>
          <w:szCs w:val="48"/>
          <w:highlight w:val="none"/>
          <w:lang w:eastAsia="zh-CN"/>
        </w:rPr>
      </w:r>
      <w:r/>
    </w:p>
    <w:p>
      <w:pPr>
        <w:jc w:val="center"/>
        <w:keepLines w:val="0"/>
        <w:keepNext w:val="0"/>
        <w:pageBreakBefore w:val="0"/>
        <w:spacing w:line="360" w:lineRule="auto"/>
        <w:widowControl w:val="off"/>
        <w:rPr>
          <w:rFonts w:hint="eastAsia" w:ascii="宋体" w:hAnsi="宋体" w:cs="宋体"/>
          <w:b/>
          <w:bCs/>
          <w:color w:val="auto"/>
          <w:sz w:val="48"/>
          <w:szCs w:val="48"/>
          <w:highlight w:val="none"/>
          <w:lang w:eastAsia="zh-CN"/>
        </w:rPr>
      </w:pPr>
      <w:r>
        <w:rPr>
          <w:rFonts w:hint="eastAsia" w:ascii="宋体" w:hAnsi="宋体" w:cs="宋体"/>
          <w:b/>
          <w:bCs/>
          <w:color w:val="auto"/>
          <w:sz w:val="48"/>
          <w:szCs w:val="48"/>
          <w:highlight w:val="none"/>
          <w:lang w:eastAsia="zh-CN"/>
        </w:rPr>
      </w:r>
      <w:r/>
    </w:p>
    <w:p>
      <w:pPr>
        <w:jc w:val="center"/>
        <w:keepLines w:val="0"/>
        <w:keepNext w:val="0"/>
        <w:pageBreakBefore w:val="0"/>
        <w:spacing w:line="360" w:lineRule="auto"/>
        <w:widowControl w:val="off"/>
        <w:rPr>
          <w:rFonts w:hint="eastAsia" w:ascii="宋体" w:hAnsi="宋体" w:cs="宋体"/>
          <w:b/>
          <w:bCs/>
          <w:color w:val="auto"/>
          <w:sz w:val="48"/>
          <w:szCs w:val="48"/>
          <w:highlight w:val="none"/>
          <w:lang w:eastAsia="zh-CN"/>
        </w:rPr>
      </w:pPr>
      <w:r>
        <w:rPr>
          <w:rFonts w:hint="eastAsia" w:ascii="宋体" w:hAnsi="宋体" w:cs="宋体"/>
          <w:b/>
          <w:bCs/>
          <w:color w:val="auto"/>
          <w:sz w:val="48"/>
          <w:szCs w:val="48"/>
          <w:highlight w:val="none"/>
          <w:lang w:eastAsia="zh-CN"/>
        </w:rPr>
      </w:r>
      <w:r/>
    </w:p>
    <w:p>
      <w:pPr>
        <w:jc w:val="center"/>
        <w:keepLines w:val="0"/>
        <w:keepNext w:val="0"/>
        <w:pageBreakBefore w:val="0"/>
        <w:spacing w:line="360" w:lineRule="auto"/>
        <w:widowControl w:val="off"/>
        <w:rPr>
          <w:rFonts w:ascii="宋体" w:hAnsi="宋体" w:cs="宋体"/>
          <w:b/>
          <w:bCs/>
          <w:color w:val="auto"/>
          <w:sz w:val="48"/>
          <w:szCs w:val="48"/>
          <w:highlight w:val="none"/>
        </w:rPr>
      </w:pPr>
      <w:r>
        <w:rPr>
          <w:rFonts w:hint="eastAsia" w:ascii="宋体" w:hAnsi="宋体" w:cs="宋体"/>
          <w:b/>
          <w:bCs/>
          <w:color w:val="auto"/>
          <w:sz w:val="48"/>
          <w:szCs w:val="48"/>
          <w:highlight w:val="none"/>
        </w:rPr>
        <w:t xml:space="preserve">公开招标文件</w:t>
      </w:r>
      <w:r/>
    </w:p>
    <w:p>
      <w:pPr>
        <w:jc w:val="center"/>
        <w:tabs>
          <w:tab w:val="left" w:pos="4620" w:leader="none"/>
        </w:tabs>
        <w:rPr>
          <w:rFonts w:ascii="宋体" w:hAnsi="宋体" w:cs="宋体"/>
          <w:color w:val="auto"/>
          <w:sz w:val="36"/>
          <w:highlight w:val="none"/>
        </w:rPr>
      </w:pPr>
      <w:r>
        <w:rPr>
          <w:rFonts w:ascii="宋体" w:hAnsi="宋体" w:cs="宋体"/>
          <w:color w:val="auto"/>
          <w:sz w:val="36"/>
          <w:highlight w:val="none"/>
        </w:rPr>
      </w:r>
      <w:r/>
    </w:p>
    <w:p>
      <w:pPr>
        <w:jc w:val="center"/>
        <w:rPr>
          <w:rFonts w:ascii="宋体" w:hAnsi="宋体" w:cs="宋体"/>
          <w:color w:val="auto"/>
          <w:sz w:val="36"/>
          <w:highlight w:val="none"/>
        </w:rPr>
      </w:pPr>
      <w:r>
        <w:rPr>
          <w:rFonts w:ascii="宋体" w:hAnsi="宋体" w:cs="宋体"/>
          <w:color w:val="auto"/>
          <w:sz w:val="36"/>
          <w:highlight w:val="none"/>
        </w:rPr>
      </w:r>
      <w:r/>
    </w:p>
    <w:p>
      <w:pPr>
        <w:jc w:val="center"/>
        <w:rPr>
          <w:rFonts w:ascii="宋体" w:hAnsi="宋体" w:cs="宋体"/>
          <w:color w:val="auto"/>
          <w:sz w:val="36"/>
          <w:highlight w:val="none"/>
        </w:rPr>
      </w:pPr>
      <w:r>
        <w:rPr>
          <w:rFonts w:ascii="宋体" w:hAnsi="宋体" w:cs="宋体"/>
          <w:color w:val="auto"/>
          <w:sz w:val="36"/>
          <w:highlight w:val="none"/>
        </w:rPr>
      </w:r>
      <w:r/>
    </w:p>
    <w:p>
      <w:pPr>
        <w:jc w:val="center"/>
        <w:rPr>
          <w:rFonts w:ascii="宋体" w:hAnsi="宋体" w:cs="宋体"/>
          <w:color w:val="auto"/>
          <w:sz w:val="36"/>
          <w:highlight w:val="none"/>
        </w:rPr>
      </w:pPr>
      <w:r>
        <w:rPr>
          <w:rFonts w:ascii="宋体" w:hAnsi="宋体" w:cs="宋体"/>
          <w:color w:val="auto"/>
          <w:sz w:val="36"/>
          <w:highlight w:val="none"/>
        </w:rPr>
      </w:r>
      <w:r/>
    </w:p>
    <w:p>
      <w:pPr>
        <w:jc w:val="center"/>
        <w:rPr>
          <w:rFonts w:ascii="宋体" w:hAnsi="宋体" w:cs="宋体"/>
          <w:color w:val="auto"/>
          <w:sz w:val="36"/>
          <w:highlight w:val="none"/>
        </w:rPr>
      </w:pPr>
      <w:r>
        <w:rPr>
          <w:rFonts w:ascii="宋体" w:hAnsi="宋体" w:cs="宋体"/>
          <w:color w:val="auto"/>
          <w:sz w:val="36"/>
          <w:highlight w:val="none"/>
        </w:rPr>
      </w:r>
      <w:r/>
    </w:p>
    <w:p>
      <w:pPr>
        <w:jc w:val="center"/>
        <w:rPr>
          <w:rFonts w:ascii="宋体" w:hAnsi="宋体" w:cs="宋体"/>
          <w:color w:val="auto"/>
          <w:sz w:val="36"/>
          <w:highlight w:val="none"/>
        </w:rPr>
      </w:pPr>
      <w:r>
        <w:rPr>
          <w:rFonts w:ascii="宋体" w:hAnsi="宋体" w:cs="宋体"/>
          <w:color w:val="auto"/>
          <w:sz w:val="36"/>
          <w:highlight w:val="none"/>
        </w:rPr>
      </w:r>
      <w:r/>
    </w:p>
    <w:p>
      <w:pPr>
        <w:jc w:val="left"/>
        <w:rPr>
          <w:rFonts w:ascii="宋体" w:hAnsi="宋体" w:cs="宋体"/>
          <w:color w:val="auto"/>
          <w:sz w:val="36"/>
          <w:highlight w:val="none"/>
        </w:rPr>
      </w:pPr>
      <w:r>
        <w:rPr>
          <w:rFonts w:ascii="宋体" w:hAnsi="宋体" w:cs="宋体"/>
          <w:color w:val="auto"/>
          <w:sz w:val="36"/>
          <w:highlight w:val="none"/>
        </w:rPr>
      </w:r>
      <w:r/>
    </w:p>
    <w:p>
      <w:pPr>
        <w:jc w:val="center"/>
        <w:rPr>
          <w:rFonts w:ascii="宋体" w:hAnsi="宋体" w:cs="宋体"/>
          <w:color w:val="auto"/>
          <w:sz w:val="36"/>
          <w:highlight w:val="none"/>
        </w:rPr>
      </w:pPr>
      <w:r>
        <w:rPr>
          <w:rFonts w:ascii="宋体" w:hAnsi="宋体" w:cs="宋体"/>
          <w:color w:val="auto"/>
          <w:sz w:val="36"/>
          <w:highlight w:val="none"/>
        </w:rPr>
      </w:r>
      <w:r/>
    </w:p>
    <w:p>
      <w:pPr>
        <w:pStyle w:val="861"/>
        <w:rPr>
          <w:color w:val="auto"/>
          <w:highlight w:val="none"/>
        </w:rPr>
      </w:pPr>
      <w:r>
        <w:rPr>
          <w:color w:val="auto"/>
          <w:highlight w:val="none"/>
        </w:rPr>
      </w:r>
      <w:r/>
    </w:p>
    <w:p>
      <w:pPr>
        <w:ind w:firstLine="643"/>
        <w:keepLines w:val="0"/>
        <w:keepNext w:val="0"/>
        <w:pageBreakBefore w:val="0"/>
        <w:spacing w:line="360" w:lineRule="auto"/>
        <w:widowControl w:val="off"/>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   购  人：</w:t>
      </w:r>
      <w:r>
        <w:rPr>
          <w:rFonts w:hint="eastAsia" w:ascii="宋体" w:hAnsi="宋体" w:cs="宋体"/>
          <w:b/>
          <w:bCs/>
          <w:color w:val="auto"/>
          <w:sz w:val="32"/>
          <w:szCs w:val="32"/>
          <w:highlight w:val="none"/>
          <w:lang w:eastAsia="zh-CN"/>
        </w:rPr>
        <w:t xml:space="preserve">扬州市检验检测中心</w:t>
      </w:r>
      <w:r/>
    </w:p>
    <w:p>
      <w:pPr>
        <w:ind w:firstLine="643"/>
        <w:keepLines w:val="0"/>
        <w:keepNext w:val="0"/>
        <w:pageBreakBefore w:val="0"/>
        <w:spacing w:line="360" w:lineRule="auto"/>
        <w:widowControl w:val="off"/>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采购代理机构(章)：</w:t>
      </w:r>
      <w:r>
        <w:rPr>
          <w:rFonts w:hint="eastAsia" w:ascii="宋体" w:hAnsi="宋体" w:cs="宋体"/>
          <w:b/>
          <w:bCs/>
          <w:color w:val="auto"/>
          <w:sz w:val="32"/>
          <w:szCs w:val="32"/>
          <w:highlight w:val="none"/>
          <w:lang w:eastAsia="zh-CN"/>
        </w:rPr>
        <w:t xml:space="preserve">江苏华彦建设投资管理有限公司</w:t>
      </w:r>
      <w:r/>
    </w:p>
    <w:p>
      <w:pPr>
        <w:ind w:firstLine="643"/>
        <w:keepLines w:val="0"/>
        <w:keepNext w:val="0"/>
        <w:pageBreakBefore w:val="0"/>
        <w:spacing w:line="360" w:lineRule="auto"/>
        <w:widowControl w:val="off"/>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发 放 日 期：</w:t>
      </w:r>
      <w:bookmarkStart w:id="0" w:name="EB59c3faf64f2a4bd092a206fb1d0c3c0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10</w:t>
      </w:r>
      <w:r>
        <w:rPr>
          <w:rFonts w:hint="eastAsia" w:ascii="宋体" w:hAnsi="宋体" w:cs="宋体"/>
          <w:b/>
          <w:bCs/>
          <w:color w:val="auto"/>
          <w:sz w:val="32"/>
          <w:szCs w:val="32"/>
          <w:highlight w:val="none"/>
        </w:rPr>
        <w:t xml:space="preserve">月</w:t>
      </w:r>
      <w:bookmarkEnd w:id="0"/>
      <w:r>
        <w:rPr>
          <w:rFonts w:hint="eastAsia" w:ascii="宋体" w:hAnsi="宋体" w:cs="宋体"/>
          <w:b/>
          <w:bCs/>
          <w:color w:val="auto"/>
          <w:sz w:val="32"/>
          <w:szCs w:val="32"/>
          <w:highlight w:val="none"/>
          <w:lang w:val="en-US" w:eastAsia="zh-CN"/>
        </w:rPr>
        <w:t xml:space="preserve">09</w:t>
      </w:r>
      <w:r>
        <w:rPr>
          <w:rFonts w:hint="eastAsia" w:ascii="宋体" w:hAnsi="宋体" w:cs="宋体"/>
          <w:b/>
          <w:bCs/>
          <w:color w:val="auto"/>
          <w:sz w:val="32"/>
          <w:szCs w:val="32"/>
          <w:highlight w:val="none"/>
        </w:rPr>
        <w:t xml:space="preserve">日</w:t>
      </w:r>
      <w:r/>
    </w:p>
    <w:p>
      <w:pPr>
        <w:jc w:val="center"/>
        <w:spacing w:line="360" w:lineRule="auto"/>
        <w:rPr>
          <w:rFonts w:ascii="宋体" w:hAnsi="宋体" w:cs="宋体"/>
          <w:color w:val="auto"/>
          <w:sz w:val="32"/>
          <w:highlight w:val="none"/>
        </w:rPr>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shd w:val="clear" w:color="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highlight w:val="none"/>
        </w:rPr>
        <w:t xml:space="preserve">目 录</w:t>
      </w:r>
      <w:r/>
    </w:p>
    <w:p>
      <w:pPr>
        <w:pStyle w:val="847"/>
        <w:spacing w:line="360" w:lineRule="auto"/>
        <w:tabs>
          <w:tab w:val="right" w:pos="8296" w:leader="dot"/>
        </w:tabs>
        <w:rPr>
          <w:rFonts w:ascii="宋体" w:hAnsi="宋体" w:cs="宋体"/>
          <w:color w:val="auto"/>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highlight w:val="none"/>
        </w:rPr>
        <w:t xml:space="preserve">第一章 招标公告</w:t>
      </w:r>
      <w:r>
        <w:rPr>
          <w:rFonts w:hint="eastAsia" w:ascii="宋体" w:hAnsi="宋体" w:cs="宋体"/>
          <w:color w:val="auto"/>
          <w:highlight w:val="none"/>
        </w:rPr>
        <w:tab/>
      </w:r>
      <w:r>
        <w:rPr>
          <w:rFonts w:hint="eastAsia" w:ascii="宋体" w:hAnsi="宋体" w:cs="宋体"/>
          <w:color w:val="auto"/>
          <w:highlight w:val="none"/>
        </w:rPr>
        <w:t xml:space="preserve">3</w:t>
      </w:r>
      <w:r/>
    </w:p>
    <w:p>
      <w:pPr>
        <w:pStyle w:val="847"/>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第二章 投标人须知</w:t>
      </w:r>
      <w:r>
        <w:rPr>
          <w:rFonts w:hint="eastAsia" w:ascii="宋体" w:hAnsi="宋体" w:cs="宋体"/>
          <w:color w:val="auto"/>
          <w:highlight w:val="none"/>
        </w:rPr>
        <w:tab/>
      </w:r>
      <w:r>
        <w:rPr>
          <w:rFonts w:hint="eastAsia" w:ascii="宋体" w:hAnsi="宋体" w:cs="宋体"/>
          <w:color w:val="auto"/>
          <w:highlight w:val="none"/>
        </w:rPr>
        <w:t xml:space="preserve">6</w:t>
      </w:r>
      <w:r/>
    </w:p>
    <w:p>
      <w:pPr>
        <w:pStyle w:val="847"/>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第三章 合同条款及格式</w:t>
      </w:r>
      <w:r>
        <w:rPr>
          <w:rFonts w:hint="eastAsia" w:ascii="宋体" w:hAnsi="宋体" w:cs="宋体"/>
          <w:color w:val="auto"/>
          <w:highlight w:val="none"/>
        </w:rPr>
        <w:tab/>
      </w:r>
      <w:r>
        <w:rPr>
          <w:rFonts w:hint="eastAsia" w:ascii="宋体" w:hAnsi="宋体" w:cs="宋体"/>
          <w:color w:val="auto"/>
          <w:highlight w:val="none"/>
        </w:rPr>
        <w:t xml:space="preserve">18</w:t>
      </w:r>
      <w:r/>
    </w:p>
    <w:p>
      <w:pPr>
        <w:pStyle w:val="847"/>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第四章 项目需求</w:t>
      </w:r>
      <w:r>
        <w:rPr>
          <w:rFonts w:hint="eastAsia" w:ascii="宋体" w:hAnsi="宋体" w:cs="宋体"/>
          <w:color w:val="auto"/>
          <w:highlight w:val="none"/>
        </w:rPr>
        <w:tab/>
      </w:r>
      <w:r>
        <w:rPr>
          <w:rFonts w:hint="eastAsia" w:ascii="宋体" w:hAnsi="宋体" w:cs="宋体"/>
          <w:color w:val="auto"/>
          <w:highlight w:val="none"/>
        </w:rPr>
        <w:t xml:space="preserve">24</w:t>
      </w:r>
      <w:r/>
    </w:p>
    <w:p>
      <w:pPr>
        <w:pStyle w:val="847"/>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第五章 评标方法及评标标准</w:t>
      </w:r>
      <w:r>
        <w:rPr>
          <w:rFonts w:hint="eastAsia" w:ascii="宋体" w:hAnsi="宋体" w:cs="宋体"/>
          <w:color w:val="auto"/>
          <w:highlight w:val="none"/>
        </w:rPr>
        <w:tab/>
      </w:r>
      <w:r>
        <w:rPr>
          <w:rFonts w:hint="eastAsia" w:ascii="宋体" w:hAnsi="宋体" w:cs="宋体"/>
          <w:color w:val="auto"/>
          <w:highlight w:val="none"/>
        </w:rPr>
        <w:t xml:space="preserve">28</w:t>
      </w:r>
      <w:r/>
    </w:p>
    <w:p>
      <w:pPr>
        <w:pStyle w:val="847"/>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第六章 投标文件格式</w:t>
      </w:r>
      <w:r>
        <w:rPr>
          <w:rFonts w:hint="eastAsia" w:ascii="宋体" w:hAnsi="宋体" w:cs="宋体"/>
          <w:color w:val="auto"/>
          <w:highlight w:val="none"/>
        </w:rPr>
        <w:tab/>
      </w:r>
      <w:r>
        <w:rPr>
          <w:rFonts w:hint="eastAsia" w:ascii="宋体" w:hAnsi="宋体" w:cs="宋体"/>
          <w:color w:val="auto"/>
          <w:highlight w:val="none"/>
        </w:rPr>
        <w:t xml:space="preserve">32</w:t>
      </w:r>
      <w:r/>
    </w:p>
    <w:p>
      <w:pPr>
        <w:jc w:val="center"/>
        <w:spacing w:line="360" w:lineRule="auto"/>
        <w:rPr>
          <w:rFonts w:ascii="宋体" w:hAnsi="宋体" w:cs="宋体"/>
          <w:color w:val="auto"/>
          <w:sz w:val="28"/>
          <w:highlight w:val="none"/>
        </w:rPr>
        <w:sectPr>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color w:val="auto"/>
          <w:sz w:val="28"/>
          <w:highlight w:val="none"/>
        </w:rPr>
        <w:fldChar w:fldCharType="end"/>
      </w:r>
      <w:r/>
    </w:p>
    <w:p>
      <w:pPr>
        <w:pStyle w:val="812"/>
        <w:jc w:val="center"/>
        <w:spacing w:line="360" w:lineRule="auto"/>
        <w:rPr>
          <w:rFonts w:ascii="宋体" w:hAnsi="宋体" w:cs="宋体"/>
          <w:color w:val="auto"/>
          <w:sz w:val="36"/>
          <w:highlight w:val="none"/>
        </w:rPr>
      </w:pPr>
      <w:r/>
      <w:bookmarkStart w:id="1" w:name="_Toc497133090"/>
      <w:r/>
      <w:bookmarkStart w:id="2" w:name="OLE_LINK1"/>
      <w:r>
        <w:rPr>
          <w:rFonts w:hint="eastAsia" w:ascii="宋体" w:hAnsi="宋体" w:cs="宋体"/>
          <w:color w:val="auto"/>
          <w:sz w:val="36"/>
          <w:highlight w:val="none"/>
        </w:rPr>
        <w:t xml:space="preserve">第一章 招标公告</w:t>
      </w:r>
      <w:bookmarkEnd w:id="1"/>
      <w:r/>
      <w:bookmarkEnd w:id="2"/>
      <w:r/>
      <w:r/>
    </w:p>
    <w:p>
      <w:pPr>
        <w:ind w:firstLine="420"/>
        <w:keepLines w:val="0"/>
        <w:keepNext w:val="0"/>
        <w:pageBreakBefore w:val="0"/>
        <w:spacing w:line="360" w:lineRule="auto"/>
        <w:widowControl w:val="off"/>
        <w:tabs>
          <w:tab w:val="left" w:pos="266" w:leader="none"/>
        </w:tabs>
        <w:rPr>
          <w:rFonts w:ascii="宋体" w:hAnsi="宋体" w:cs="宋体"/>
          <w:color w:val="auto"/>
          <w:szCs w:val="21"/>
          <w:highlight w:val="none"/>
        </w:rPr>
      </w:pPr>
      <w:r/>
      <w:bookmarkStart w:id="3" w:name="_Toc497133091"/>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扬州市检验检测中心</w:t>
      </w:r>
      <w:r>
        <w:rPr>
          <w:rFonts w:hint="eastAsia" w:ascii="宋体" w:hAnsi="宋体" w:cs="宋体"/>
          <w:color w:val="auto"/>
          <w:highlight w:val="none"/>
        </w:rPr>
        <w:t xml:space="preserve">的委托，</w:t>
      </w:r>
      <w:r>
        <w:rPr>
          <w:rFonts w:hint="eastAsia" w:ascii="宋体" w:hAnsi="宋体" w:cs="宋体"/>
          <w:color w:val="auto"/>
          <w:highlight w:val="none"/>
          <w:lang w:eastAsia="zh-CN"/>
        </w:rPr>
        <w:t xml:space="preserve">江苏华彦建设投资管理有限公司</w:t>
      </w:r>
      <w:r>
        <w:rPr>
          <w:rFonts w:hint="eastAsia" w:ascii="宋体" w:hAnsi="宋体" w:cs="宋体"/>
          <w:color w:val="auto"/>
          <w:highlight w:val="none"/>
        </w:rPr>
        <w:t xml:space="preserve">就</w:t>
      </w:r>
      <w:r>
        <w:rPr>
          <w:rFonts w:hint="eastAsia" w:ascii="宋体" w:hAnsi="宋体" w:cs="宋体"/>
          <w:color w:val="auto"/>
          <w:highlight w:val="none"/>
          <w:lang w:eastAsia="zh-CN"/>
        </w:rPr>
        <w:t xml:space="preserve">扬州市检验检测中心2026年重点工业产品检验检测设备更新项目</w:t>
      </w:r>
      <w:r>
        <w:rPr>
          <w:rFonts w:hint="eastAsia" w:ascii="宋体" w:hAnsi="宋体" w:cs="宋体"/>
          <w:color w:val="auto"/>
          <w:highlight w:val="none"/>
        </w:rPr>
        <w:t xml:space="preserve">进行公开招标采购，欢迎符合条件的供应商投标。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eastAsia="zh-CN"/>
        </w:rPr>
        <w:t xml:space="preserve">扬州市检验检测中心2026年重点工业产品检验检测设备更新项目</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的潜在投标人可在</w:t>
      </w:r>
      <w:r>
        <w:rPr>
          <w:rFonts w:hint="eastAsia" w:ascii="宋体" w:hAnsi="宋体" w:cs="宋体"/>
          <w:color w:val="auto"/>
          <w:highlight w:val="none"/>
          <w:u w:val="single"/>
        </w:rPr>
        <w:t xml:space="preserve">“扬州市政府采购网”、“江苏省政府采购网”</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中国政府采购网</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rPr>
        <w:t xml:space="preserve">自行免费下载</w:t>
      </w:r>
      <w:r>
        <w:rPr>
          <w:rFonts w:hint="eastAsia" w:ascii="宋体" w:hAnsi="宋体" w:cs="宋体"/>
          <w:color w:val="auto"/>
          <w:highlight w:val="none"/>
        </w:rPr>
        <w:t xml:space="preserve">招标文件，并于</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11</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02</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09</w:t>
      </w:r>
      <w:r>
        <w:rPr>
          <w:rFonts w:hint="eastAsia" w:ascii="宋体" w:hAnsi="宋体" w:cs="宋体"/>
          <w:color w:val="auto"/>
          <w:szCs w:val="21"/>
          <w:highlight w:val="none"/>
          <w:u w:val="single"/>
        </w:rPr>
        <w:t xml:space="preserve">点</w:t>
      </w:r>
      <w:r>
        <w:rPr>
          <w:rFonts w:hint="eastAsia" w:ascii="宋体" w:hAnsi="宋体" w:cs="宋体"/>
          <w:color w:val="auto"/>
          <w:szCs w:val="21"/>
          <w:highlight w:val="none"/>
          <w:u w:val="single"/>
          <w:lang w:val="en-US" w:eastAsia="zh-CN"/>
        </w:rPr>
        <w:t xml:space="preserve">30</w:t>
      </w:r>
      <w:r>
        <w:rPr>
          <w:rFonts w:hint="eastAsia" w:ascii="宋体" w:hAnsi="宋体" w:cs="宋体"/>
          <w:color w:val="auto"/>
          <w:szCs w:val="21"/>
          <w:highlight w:val="none"/>
          <w:u w:val="single"/>
        </w:rPr>
        <w:t xml:space="preserve">分</w:t>
      </w:r>
      <w:r>
        <w:rPr>
          <w:rFonts w:hint="eastAsia" w:ascii="宋体" w:hAnsi="宋体" w:cs="宋体"/>
          <w:bCs/>
          <w:color w:val="auto"/>
          <w:highlight w:val="none"/>
          <w:u w:val="singl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ind w:firstLine="422"/>
        <w:keepLines w:val="0"/>
        <w:keepNext w:val="0"/>
        <w:pageBreakBefore w:val="0"/>
        <w:spacing w:line="360" w:lineRule="auto"/>
        <w:tabs>
          <w:tab w:val="left" w:pos="266" w:leader="none"/>
        </w:tabs>
        <w:rPr>
          <w:rFonts w:ascii="宋体" w:hAnsi="宋体" w:cs="宋体"/>
          <w:b/>
          <w:bCs/>
          <w:color w:val="auto"/>
          <w:highlight w:val="none"/>
        </w:rPr>
      </w:pPr>
      <w:r/>
      <w:bookmarkStart w:id="4" w:name="_Toc38985263"/>
      <w:r>
        <w:rPr>
          <w:rFonts w:hint="eastAsia" w:ascii="宋体" w:hAnsi="宋体" w:cs="宋体"/>
          <w:b/>
          <w:bCs/>
          <w:color w:val="auto"/>
          <w:highlight w:val="none"/>
        </w:rPr>
        <w:t xml:space="preserve">一、项目基本情况</w:t>
      </w:r>
      <w:bookmarkEnd w:id="4"/>
      <w:r/>
      <w:r/>
    </w:p>
    <w:p>
      <w:pPr>
        <w:ind w:firstLine="420"/>
        <w:keepLines w:val="0"/>
        <w:keepNext w:val="0"/>
        <w:pageBreakBefore w:val="0"/>
        <w:spacing w:line="360" w:lineRule="auto"/>
        <w:rPr>
          <w:rFonts w:hint="default" w:ascii="宋体" w:hAnsi="宋体" w:eastAsia="宋体" w:cs="宋体"/>
          <w:b w:val="0"/>
          <w:bCs w:val="0"/>
          <w:color w:val="auto"/>
          <w:sz w:val="21"/>
          <w:szCs w:val="21"/>
          <w:highlight w:val="none"/>
        </w:rPr>
      </w:pPr>
      <w:r>
        <w:rPr>
          <w:rFonts w:hint="eastAsia" w:ascii="宋体" w:hAnsi="宋体" w:cs="宋体"/>
          <w:color w:val="auto"/>
          <w:highlight w:val="none"/>
        </w:rPr>
        <w:t xml:space="preserve">1.项目编号</w:t>
      </w:r>
      <w:r>
        <w:rPr>
          <w:rFonts w:hint="eastAsia" w:ascii="宋体" w:hAnsi="宋体" w:cs="宋体"/>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 </w:t>
      </w:r>
      <w:r>
        <w:rPr>
          <w:rFonts w:hint="eastAsia" w:ascii="宋体" w:hAnsi="宋体" w:cs="宋体"/>
          <w:b w:val="0"/>
          <w:bCs w:val="0"/>
          <w:color w:val="auto"/>
          <w:sz w:val="21"/>
          <w:szCs w:val="21"/>
          <w:highlight w:val="none"/>
          <w:lang w:eastAsia="zh-CN"/>
        </w:rPr>
        <w:t xml:space="preserve">JSZC-321000-JYYH-G2026-0002</w:t>
      </w:r>
      <w:r>
        <w:rPr>
          <w:rFonts w:hint="eastAsia" w:ascii="宋体" w:hAnsi="宋体" w:cs="宋体"/>
          <w:b w:val="0"/>
          <w:bCs w:val="0"/>
          <w:color w:val="auto"/>
          <w:sz w:val="21"/>
          <w:szCs w:val="21"/>
          <w:highlight w:val="none"/>
        </w:rPr>
        <w:t xml:space="preserve">号</w:t>
      </w:r>
      <w:r>
        <w:rPr>
          <w:b w:val="0"/>
          <w:bCs w:val="0"/>
          <w:sz w:val="21"/>
          <w:szCs w:val="21"/>
        </w:rPr>
      </w:r>
      <w:r/>
    </w:p>
    <w:p>
      <w:pPr>
        <w:ind w:firstLine="420"/>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r>
        <w:rPr>
          <w:rFonts w:hint="eastAsia" w:ascii="宋体" w:hAnsi="宋体" w:cs="宋体"/>
          <w:color w:val="auto"/>
          <w:highlight w:val="none"/>
          <w:lang w:eastAsia="zh-CN"/>
        </w:rPr>
        <w:t xml:space="preserve">扬州市检验检测中心2026年重点工业产品检验检测设备更新项目</w:t>
      </w:r>
      <w:r/>
    </w:p>
    <w:p>
      <w:pPr>
        <w:ind w:firstLine="420"/>
        <w:keepLines w:val="0"/>
        <w:keepNext w:val="0"/>
        <w:pageBreakBefore w:val="0"/>
        <w:spacing w:line="360" w:lineRule="auto"/>
        <w:rPr>
          <w:rFonts w:hint="eastAsia" w:ascii="宋体" w:hAnsi="宋体" w:cs="宋体"/>
          <w:color w:val="auto"/>
          <w:highlight w:val="none"/>
          <w:lang w:val="en-US" w:eastAsia="zh-CN"/>
        </w:rPr>
      </w:pPr>
      <w:r>
        <w:rPr>
          <w:rFonts w:hint="eastAsia" w:ascii="宋体" w:hAnsi="宋体" w:cs="宋体"/>
          <w:color w:val="auto"/>
          <w:highlight w:val="none"/>
        </w:rPr>
        <w:t xml:space="preserve">3.预算金额：</w:t>
      </w:r>
      <w:r>
        <w:rPr>
          <w:rFonts w:hint="eastAsia" w:ascii="宋体" w:hAnsi="宋体" w:cs="宋体"/>
          <w:color w:val="auto"/>
          <w:highlight w:val="none"/>
          <w:lang w:val="en-US" w:eastAsia="zh-CN"/>
        </w:rPr>
        <w:t xml:space="preserve">156</w:t>
      </w:r>
      <w:r>
        <w:rPr>
          <w:rFonts w:hint="eastAsia" w:ascii="宋体" w:hAnsi="宋体" w:cs="宋体"/>
          <w:color w:val="auto"/>
          <w:highlight w:val="none"/>
        </w:rPr>
        <w:t xml:space="preserve">万元，本项目分为</w:t>
      </w: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个包：</w:t>
      </w:r>
      <w:r>
        <w:rPr>
          <w:rFonts w:hint="eastAsia" w:ascii="宋体" w:hAnsi="宋体" w:cs="宋体"/>
          <w:color w:val="auto"/>
          <w:highlight w:val="none"/>
          <w:lang w:val="en-US" w:eastAsia="zh-CN"/>
        </w:rPr>
        <w:t xml:space="preserve">包1（微机控制环刚度试验机）9.8万元；包2（差示扫描量热仪）3.5万元；包3（红外碳硫分析仪）10万元；包4（阀门静压寿命试验台）19.9万元；包5（盐雾试验箱、交变湿热试验箱）33万元；包6（建材放射性检测仪）7万元；包7（电子万能材料试验机）57万元；包8（电液伺服压力试验机）12万元；包9（紫外-可见光谱仪）3.8万元。</w:t>
      </w:r>
      <w:r/>
    </w:p>
    <w:p>
      <w:pPr>
        <w:ind w:firstLine="420"/>
        <w:keepLines w:val="0"/>
        <w:keepNext w:val="0"/>
        <w:pageBreakBefore w:val="0"/>
        <w:spacing w:line="360" w:lineRule="auto"/>
        <w:rPr>
          <w:rFonts w:hint="eastAsia" w:ascii="宋体" w:hAnsi="宋体" w:cs="宋体"/>
          <w:color w:val="auto"/>
          <w:highlight w:val="none"/>
          <w:lang w:val="en-US" w:eastAsia="zh-CN"/>
        </w:rPr>
      </w:pPr>
      <w:r>
        <w:rPr>
          <w:rFonts w:hint="eastAsia" w:ascii="宋体" w:hAnsi="宋体" w:cs="宋体"/>
          <w:color w:val="auto"/>
          <w:highlight w:val="none"/>
        </w:rPr>
        <w:t xml:space="preserve">4.最高限价：156万元，本项目分为9个包</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包1（微机控制环刚度试验机）9.8万元；包2（差示扫描量热仪）3.5万元；包3（红外碳硫分析仪）10万元；包4（阀门静压寿命试验台）19.9万元；包5（盐雾试验箱、交变湿热试验箱）33万元；包6（建材放射性检测仪）7万元；包7（电子万能材料试验机）57万元；包8（电液伺服压力试验机）12万元；包9（紫外-可见光谱仪）3.8万元，</w:t>
      </w:r>
      <w:r>
        <w:rPr>
          <w:rFonts w:hint="eastAsia" w:ascii="宋体" w:hAnsi="宋体" w:cs="宋体"/>
          <w:b w:val="0"/>
          <w:bCs w:val="0"/>
          <w:color w:val="auto"/>
          <w:highlight w:val="none"/>
        </w:rPr>
        <w:t xml:space="preserve">每个标包报价高于最高限价的为无效标。</w:t>
      </w:r>
      <w:r/>
    </w:p>
    <w:p>
      <w:pPr>
        <w:numPr>
          <w:ilvl w:val="0"/>
          <w:numId w:val="0"/>
        </w:numPr>
        <w:ind w:firstLine="420"/>
        <w:keepLines w:val="0"/>
        <w:keepNext w:val="0"/>
        <w:pageBreakBefore w:val="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5.</w:t>
      </w:r>
      <w:r>
        <w:rPr>
          <w:rFonts w:hint="eastAsia" w:ascii="宋体" w:hAnsi="宋体" w:cs="宋体"/>
          <w:color w:val="auto"/>
          <w:highlight w:val="none"/>
        </w:rPr>
        <w:t xml:space="preserve">采购需求：</w:t>
      </w:r>
      <w:r>
        <w:rPr>
          <w:rFonts w:hint="eastAsia" w:ascii="宋体" w:hAnsi="宋体" w:cs="宋体"/>
          <w:color w:val="auto"/>
          <w:highlight w:val="none"/>
          <w:lang w:val="en-US" w:eastAsia="zh-CN"/>
        </w:rPr>
        <w:t xml:space="preserve">详见招标文件第四章</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.供货期：</w:t>
      </w:r>
      <w:bookmarkStart w:id="5" w:name="_Toc38985264"/>
      <w:r>
        <w:rPr>
          <w:rFonts w:hint="eastAsia" w:ascii="宋体" w:hAnsi="宋体" w:cs="宋体"/>
          <w:color w:val="auto"/>
          <w:highlight w:val="none"/>
          <w:lang w:val="en-US" w:eastAsia="zh-CN"/>
        </w:rPr>
        <w:t xml:space="preserve">详见招标文件第四章</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联合体投标。</w:t>
      </w:r>
      <w:r/>
    </w:p>
    <w:p>
      <w:pPr>
        <w:ind w:firstLine="420"/>
        <w:keepLines w:val="0"/>
        <w:keepNext w:val="0"/>
        <w:pageBreakBefore w:val="0"/>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8.本项目</w:t>
      </w:r>
      <w:r>
        <w:rPr>
          <w:rFonts w:hint="eastAsia" w:ascii="宋体" w:hAnsi="宋体" w:cs="宋体"/>
          <w:color w:val="auto"/>
          <w:highlight w:val="none"/>
          <w:u w:val="single"/>
          <w:lang w:val="en-US" w:eastAsia="zh-CN"/>
        </w:rPr>
        <w:t xml:space="preserve">不接受</w:t>
      </w:r>
      <w:r>
        <w:rPr>
          <w:rFonts w:hint="eastAsia" w:ascii="宋体" w:hAnsi="宋体" w:cs="宋体"/>
          <w:color w:val="auto"/>
          <w:highlight w:val="none"/>
          <w:lang w:val="en-US" w:eastAsia="zh-CN"/>
        </w:rPr>
        <w:t xml:space="preserve">进口产品投标。</w:t>
      </w:r>
      <w:r/>
    </w:p>
    <w:p>
      <w:pPr>
        <w:ind w:firstLine="422"/>
        <w:keepLines w:val="0"/>
        <w:keepNext w:val="0"/>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二、申请人的资格要求：</w:t>
      </w:r>
      <w:bookmarkEnd w:id="5"/>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keepLines w:val="0"/>
        <w:keepNext w:val="0"/>
        <w:pageBreakBefore w:val="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keepLines w:val="0"/>
        <w:keepNext w:val="0"/>
        <w:pageBreakBefore w:val="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(税务、银行或社会保险基金管理部门出具的近</w:t>
      </w:r>
      <w:r>
        <w:rPr>
          <w:rFonts w:hint="eastAsia" w:ascii="宋体" w:hAnsi="宋体" w:cs="宋体"/>
          <w:b/>
          <w:bCs/>
          <w:i/>
          <w:iCs/>
          <w:color w:val="auto"/>
          <w:szCs w:val="21"/>
          <w:highlight w:val="none"/>
          <w:u w:val="single"/>
          <w:lang w:val="en-US" w:eastAsia="zh-CN"/>
        </w:rPr>
        <w:t xml:space="preserve">一年内</w:t>
      </w:r>
      <w:r>
        <w:rPr>
          <w:rFonts w:hint="eastAsia" w:ascii="宋体" w:hAnsi="宋体" w:cs="宋体"/>
          <w:b/>
          <w:bCs/>
          <w:i/>
          <w:iCs/>
          <w:color w:val="auto"/>
          <w:szCs w:val="21"/>
          <w:highlight w:val="none"/>
          <w:u w:val="single"/>
        </w:rPr>
        <w:t xml:space="preserve">内任意一个月缴纳职工社会保障资金的缴款凭证或缴款证明)（投标人依法享受缓缴、免缴的提供证明材料）</w:t>
      </w:r>
      <w:r/>
    </w:p>
    <w:p>
      <w:pPr>
        <w:ind w:firstLine="420"/>
        <w:keepLines w:val="0"/>
        <w:keepNext w:val="0"/>
        <w:pageBreakBefore w:val="0"/>
        <w:spacing w:line="360" w:lineRule="auto"/>
        <w:rPr>
          <w:rFonts w:ascii="宋体" w:hAnsi="宋体"/>
          <w:b/>
          <w:bCs/>
          <w:i/>
          <w:iCs/>
          <w:color w:val="auto"/>
          <w:highlight w:val="none"/>
          <w:u w:val="single"/>
        </w:rPr>
      </w:pPr>
      <w:r>
        <w:rPr>
          <w:rFonts w:hint="eastAsia" w:ascii="宋体" w:hAnsi="宋体" w:cs="宋体"/>
          <w:i/>
          <w:iCs/>
          <w:color w:val="auto"/>
          <w:szCs w:val="21"/>
          <w:highlight w:val="none"/>
          <w:u w:val="single"/>
        </w:rPr>
        <w:t xml:space="preserve">1.3 投标人</w:t>
      </w:r>
      <w:r>
        <w:rPr>
          <w:rFonts w:hint="eastAsia" w:ascii="宋体" w:hAnsi="宋体" w:cs="宋体"/>
          <w:i/>
          <w:iCs/>
          <w:color w:val="auto"/>
          <w:szCs w:val="21"/>
          <w:highlight w:val="none"/>
          <w:u w:val="single"/>
          <w:lang w:eastAsia="zh-CN"/>
        </w:rPr>
        <w:t xml:space="preserve">近一年内</w:t>
      </w:r>
      <w:r>
        <w:rPr>
          <w:rFonts w:hint="eastAsia" w:ascii="宋体" w:hAnsi="宋体" w:cs="宋体"/>
          <w:i/>
          <w:iCs/>
          <w:color w:val="auto"/>
          <w:szCs w:val="21"/>
          <w:highlight w:val="none"/>
          <w:u w:val="single"/>
        </w:rPr>
        <w:t xml:space="preserve">任意一</w:t>
      </w:r>
      <w:r>
        <w:rPr>
          <w:rFonts w:hint="eastAsia" w:ascii="宋体" w:hAnsi="宋体" w:cs="宋体"/>
          <w:i/>
          <w:iCs/>
          <w:color w:val="auto"/>
          <w:szCs w:val="21"/>
          <w:highlight w:val="none"/>
          <w:u w:val="single"/>
          <w:lang w:val="en-US" w:eastAsia="zh-CN"/>
        </w:rPr>
        <w:t xml:space="preserve">个月</w:t>
      </w:r>
      <w:r>
        <w:rPr>
          <w:rFonts w:hint="eastAsia" w:ascii="宋体" w:hAnsi="宋体" w:cs="宋体"/>
          <w:i/>
          <w:iCs/>
          <w:color w:val="auto"/>
          <w:szCs w:val="21"/>
          <w:highlight w:val="none"/>
          <w:u w:val="single"/>
        </w:rPr>
        <w:t xml:space="preserve">依法纳税的缴款凭证</w:t>
      </w:r>
      <w:r>
        <w:rPr>
          <w:rFonts w:hint="eastAsia" w:ascii="宋体" w:hAnsi="宋体" w:cs="宋体"/>
          <w:b/>
          <w:bCs/>
          <w:i/>
          <w:iCs/>
          <w:color w:val="auto"/>
          <w:szCs w:val="21"/>
          <w:highlight w:val="none"/>
          <w:u w:val="single"/>
        </w:rPr>
        <w:t xml:space="preserve">（投标人依法享受缓缴、免缴的提供证明材料）</w:t>
      </w:r>
      <w:r/>
    </w:p>
    <w:p>
      <w:pPr>
        <w:ind w:firstLine="420"/>
        <w:keepLines w:val="0"/>
        <w:keepNext w:val="0"/>
        <w:pageBreakBefore w:val="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上一年度的财务报告情况（</w:t>
      </w:r>
      <w:r>
        <w:rPr>
          <w:rFonts w:hint="eastAsia" w:ascii="宋体" w:hAnsi="宋体" w:cs="宋体"/>
          <w:b/>
          <w:bCs/>
          <w:i/>
          <w:iCs/>
          <w:color w:val="auto"/>
          <w:szCs w:val="21"/>
          <w:highlight w:val="none"/>
          <w:u w:val="single"/>
        </w:rPr>
        <w:t xml:space="preserve">成立不满一年不需提供）</w:t>
      </w:r>
      <w:r/>
    </w:p>
    <w:p>
      <w:pPr>
        <w:ind w:firstLine="420"/>
        <w:keepLines w:val="0"/>
        <w:keepNext w:val="0"/>
        <w:pageBreakBefore w:val="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keepLines w:val="0"/>
        <w:keepNext w:val="0"/>
        <w:pageBreakBefore w:val="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keepLines w:val="0"/>
        <w:keepNext w:val="0"/>
        <w:pageBreakBefore w:val="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w:t>
      </w:r>
      <w:r/>
    </w:p>
    <w:p>
      <w:pPr>
        <w:ind w:firstLine="420"/>
        <w:keepLines w:val="0"/>
        <w:keepNext w:val="0"/>
        <w:pageBreakBefore w:val="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1.8供应商信用承诺函</w:t>
      </w:r>
      <w:r/>
    </w:p>
    <w:p>
      <w:pPr>
        <w:ind w:firstLine="420"/>
        <w:spacing w:line="360" w:lineRule="auto"/>
        <w:rPr>
          <w:rFonts w:hint="eastAsia" w:ascii="宋体" w:hAnsi="宋体" w:cs="宋体"/>
          <w:bCs/>
          <w:iCs/>
          <w:color w:val="auto"/>
          <w:szCs w:val="21"/>
          <w:highlight w:val="none"/>
        </w:rPr>
      </w:pPr>
      <w:r>
        <w:rPr>
          <w:rFonts w:hint="eastAsia" w:ascii="宋体" w:hAnsi="宋体" w:eastAsia="宋体" w:cs="宋体"/>
          <w:bCs/>
          <w:i/>
          <w:color w:val="auto"/>
          <w:sz w:val="21"/>
          <w:szCs w:val="22"/>
          <w:highlight w:val="none"/>
          <w:lang w:val="en-US" w:eastAsia="zh-CN" w:bidi="ar-SA"/>
        </w:rPr>
        <w:t xml:space="preserve">2.</w:t>
      </w:r>
      <w:r>
        <w:rPr>
          <w:rFonts w:hint="eastAsia" w:ascii="宋体" w:hAnsi="宋体" w:cs="宋体"/>
          <w:color w:val="auto"/>
          <w:szCs w:val="21"/>
          <w:highlight w:val="none"/>
        </w:rPr>
        <w:t xml:space="preserve">落实政府采购政策需满足的资格要求：</w:t>
      </w:r>
      <w:r>
        <w:rPr>
          <w:rFonts w:hint="eastAsia" w:ascii="宋体" w:hAnsi="宋体" w:cs="宋体"/>
          <w:bCs/>
          <w:i/>
          <w:color w:val="auto"/>
          <w:highlight w:val="none"/>
          <w:u w:val="single"/>
        </w:rPr>
        <w:t xml:space="preserve">根据《政府采购促进中小企业发展管理办法》的规定，本项目专门面向中小企业采购，供应商投标时须提供《中小企业声明函》，《中小企业声明函》不符合要求或未提供的，响应文件无效。</w:t>
      </w:r>
      <w:r/>
    </w:p>
    <w:p>
      <w:pPr>
        <w:ind w:firstLine="420"/>
        <w:keepLines w:val="0"/>
        <w:keepNext w:val="0"/>
        <w:pageBreakBefore w:val="0"/>
        <w:spacing w:line="360" w:lineRule="auto"/>
        <w:widowControl w:val="off"/>
        <w:tabs>
          <w:tab w:val="left" w:pos="266" w:leader="none"/>
        </w:tabs>
        <w:rPr>
          <w:rFonts w:hint="eastAsia" w:ascii="宋体" w:hAnsi="宋体" w:eastAsia="宋体" w:cs="宋体"/>
          <w:bCs/>
          <w:i/>
          <w:color w:val="auto"/>
          <w:highlight w:val="none"/>
          <w:u w:val="single"/>
          <w:lang w:val="en-US" w:eastAsia="zh-CN"/>
        </w:rPr>
      </w:pPr>
      <w:r>
        <w:rPr>
          <w:rFonts w:hint="eastAsia" w:ascii="宋体" w:hAnsi="宋体" w:cs="宋体"/>
          <w:color w:val="auto"/>
          <w:szCs w:val="21"/>
          <w:highlight w:val="none"/>
        </w:rPr>
        <w:t xml:space="preserve">3.本项目的特定资格要求：</w:t>
      </w:r>
      <w:r>
        <w:rPr>
          <w:rFonts w:hint="eastAsia" w:ascii="宋体" w:hAnsi="宋体" w:cs="宋体"/>
          <w:color w:val="auto"/>
          <w:szCs w:val="21"/>
          <w:highlight w:val="none"/>
          <w:lang w:val="en-US" w:eastAsia="zh-CN"/>
        </w:rPr>
        <w:t xml:space="preserve">无</w:t>
      </w:r>
      <w:r/>
    </w:p>
    <w:p>
      <w:pPr>
        <w:ind w:firstLine="422"/>
        <w:keepLines w:val="0"/>
        <w:keepNext w:val="0"/>
        <w:pageBreakBefore w:val="0"/>
        <w:spacing w:line="360" w:lineRule="auto"/>
        <w:widowControl w:val="off"/>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r/>
    </w:p>
    <w:p>
      <w:pPr>
        <w:ind w:firstLine="420"/>
        <w:keepLines w:val="0"/>
        <w:keepNext w:val="0"/>
        <w:pageBreakBefore w:val="0"/>
        <w:spacing w:line="360" w:lineRule="auto"/>
        <w:widowControl w:val="off"/>
        <w:rPr>
          <w:rFonts w:ascii="宋体" w:hAnsi="宋体" w:cs="宋体"/>
          <w:color w:val="auto"/>
          <w:highlight w:val="none"/>
        </w:rPr>
      </w:pPr>
      <w:r/>
      <w:bookmarkStart w:id="6" w:name="_Toc38985266"/>
      <w:r>
        <w:rPr>
          <w:rFonts w:hint="eastAsia" w:ascii="宋体" w:hAnsi="宋体" w:cs="宋体"/>
          <w:color w:val="auto"/>
          <w:highlight w:val="none"/>
        </w:rPr>
        <w:t xml:space="preserve">1.时间：自招标文件公告发布之日起5个工作日。</w:t>
      </w:r>
      <w:r/>
    </w:p>
    <w:p>
      <w:pPr>
        <w:ind w:firstLine="422"/>
        <w:keepLines w:val="0"/>
        <w:keepNext w:val="0"/>
        <w:pageBreakBefore w:val="0"/>
        <w:spacing w:line="360" w:lineRule="auto"/>
        <w:widowControl w:val="off"/>
        <w:rPr>
          <w:rFonts w:ascii="宋体" w:hAnsi="宋体"/>
          <w:b/>
          <w:bCs/>
          <w:color w:val="auto"/>
          <w:sz w:val="24"/>
          <w:szCs w:val="24"/>
          <w:highlight w:val="none"/>
        </w:rPr>
      </w:pPr>
      <w:r>
        <w:rPr>
          <w:rFonts w:hint="eastAsia" w:ascii="宋体" w:hAnsi="宋体" w:cs="宋体"/>
          <w:b/>
          <w:bCs/>
          <w:color w:val="auto"/>
          <w:highlight w:val="none"/>
        </w:rPr>
        <w:t xml:space="preserve">2.获取方式：</w:t>
      </w:r>
      <w:r>
        <w:rPr>
          <w:rFonts w:hint="eastAsia" w:ascii="宋体" w:hAnsi="宋体"/>
          <w:b/>
          <w:bCs/>
          <w:color w:val="auto"/>
          <w:szCs w:val="21"/>
          <w:highlight w:val="none"/>
        </w:rPr>
        <w:t xml:space="preserve">本项目采用网上注册登记方式。</w:t>
      </w:r>
      <w:r/>
    </w:p>
    <w:p>
      <w:pPr>
        <w:ind w:firstLine="422"/>
        <w:keepLines w:val="0"/>
        <w:keepNext w:val="0"/>
        <w:pageBreakBefore w:val="0"/>
        <w:spacing w:line="360" w:lineRule="auto"/>
        <w:widowControl w:val="off"/>
        <w:rPr>
          <w:rFonts w:ascii="宋体" w:hAnsi="宋体" w:cs="宋体"/>
          <w:b/>
          <w:bCs/>
          <w:color w:val="auto"/>
          <w:highlight w:val="none"/>
        </w:rPr>
      </w:pPr>
      <w:r>
        <w:rPr>
          <w:rFonts w:hint="eastAsia" w:ascii="宋体" w:hAnsi="宋体" w:cs="宋体"/>
          <w:b/>
          <w:bCs/>
          <w:color w:val="auto"/>
          <w:highlight w:val="none"/>
        </w:rPr>
        <w:t xml:space="preserve">3.潜在投标人访问</w:t>
      </w:r>
      <w:r>
        <w:rPr>
          <w:rFonts w:hint="eastAsia" w:ascii="宋体" w:hAnsi="宋体"/>
          <w:b/>
          <w:bCs/>
          <w:color w:val="auto"/>
          <w:szCs w:val="21"/>
          <w:highlight w:val="none"/>
        </w:rPr>
        <w:t xml:space="preserve">政府采购管理交易系统（苏采云）</w:t>
      </w:r>
      <w:r>
        <w:rPr>
          <w:rFonts w:hint="eastAsia" w:ascii="宋体" w:hAnsi="宋体" w:cs="宋体"/>
          <w:b/>
          <w:bCs/>
          <w:color w:val="auto"/>
          <w:highlight w:val="none"/>
        </w:rPr>
        <w:t xml:space="preserve">的网络地址和方法：</w:t>
      </w:r>
      <w:r/>
    </w:p>
    <w:p>
      <w:pPr>
        <w:ind w:firstLine="422"/>
        <w:keepLines w:val="0"/>
        <w:keepNext w:val="0"/>
        <w:pageBreakBefore w:val="0"/>
        <w:spacing w:line="360" w:lineRule="auto"/>
        <w:widowControl w:val="off"/>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60" w:lineRule="auto"/>
        <w:widowControl w:val="off"/>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keepLines w:val="0"/>
        <w:keepNext w:val="0"/>
        <w:pageBreakBefore w:val="0"/>
        <w:spacing w:line="360" w:lineRule="auto"/>
        <w:widowControl w:val="off"/>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（3）“CA数字证书”的办理材料以及供应商操作手册详见：http</w:t>
      </w:r>
      <w:r>
        <w:rPr>
          <w:rFonts w:hint="eastAsia" w:ascii="宋体" w:hAnsi="宋体"/>
          <w:b/>
          <w:bCs/>
          <w:color w:val="auto"/>
          <w:szCs w:val="21"/>
          <w:highlight w:val="none"/>
          <w:lang w:eastAsia="zh-CN"/>
        </w:rPr>
        <w:t xml:space="preserve">：</w:t>
      </w:r>
      <w:r>
        <w:rPr>
          <w:rFonts w:hint="eastAsia" w:ascii="宋体" w:hAnsi="宋体"/>
          <w:b/>
          <w:bCs/>
          <w:color w:val="auto"/>
          <w:szCs w:val="21"/>
          <w:highlight w:val="none"/>
        </w:rPr>
        <w:t xml:space="preserve">//zfcg.yangzhou.gov.cn/zfcg/xzzx/202309/4d7de1f7865f4a2894fc22bc452f94d8.shtml。</w:t>
      </w:r>
      <w:r/>
    </w:p>
    <w:p>
      <w:pPr>
        <w:ind w:firstLine="422"/>
        <w:jc w:val="left"/>
        <w:keepLines w:val="0"/>
        <w:keepNext w:val="0"/>
        <w:pageBreakBefore w:val="0"/>
        <w:spacing w:line="360" w:lineRule="auto"/>
        <w:widowControl w:val="off"/>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（4）潜在供应商访问“苏采云”系统的网络地址和方法：“苏采云”系统的网址：http</w:t>
      </w:r>
      <w:r>
        <w:rPr>
          <w:rFonts w:hint="eastAsia" w:ascii="宋体" w:hAnsi="宋体"/>
          <w:b/>
          <w:bCs/>
          <w:color w:val="auto"/>
          <w:szCs w:val="21"/>
          <w:highlight w:val="none"/>
          <w:lang w:eastAsia="zh-CN"/>
        </w:rPr>
        <w:t xml:space="preserve">：</w:t>
      </w:r>
      <w:r>
        <w:rPr>
          <w:rFonts w:hint="eastAsia" w:ascii="宋体" w:hAnsi="宋体"/>
          <w:b/>
          <w:bCs/>
          <w:color w:val="auto"/>
          <w:szCs w:val="21"/>
          <w:highlight w:val="none"/>
        </w:rPr>
        <w:t xml:space="preserve">//jszfcg.jsczt.cn/。</w:t>
      </w:r>
      <w:r/>
    </w:p>
    <w:p>
      <w:pPr>
        <w:ind w:firstLine="422"/>
        <w:keepLines w:val="0"/>
        <w:keepNext w:val="0"/>
        <w:pageBreakBefore w:val="0"/>
        <w:spacing w:line="360" w:lineRule="auto"/>
        <w:widowControl w:val="off"/>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keepLines w:val="0"/>
        <w:keepNext w:val="0"/>
        <w:pageBreakBefore w:val="0"/>
        <w:spacing w:line="360" w:lineRule="auto"/>
        <w:widowControl w:val="off"/>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（6）招标代理机构（采购代理机构）将数据电文形式的采购文件加载至“苏采云”系统，供潜在供应商下载或者查阅。     </w:t>
      </w:r>
      <w:r/>
    </w:p>
    <w:p>
      <w:pPr>
        <w:ind w:firstLine="422"/>
        <w:keepLines w:val="0"/>
        <w:keepNext w:val="0"/>
        <w:pageBreakBefore w:val="0"/>
        <w:spacing w:line="360" w:lineRule="auto"/>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（7）苏采云系统使用谷歌浏览器参与不见面开标。</w:t>
      </w:r>
      <w:r/>
    </w:p>
    <w:p>
      <w:pPr>
        <w:ind w:firstLine="422"/>
        <w:keepLines w:val="0"/>
        <w:keepNext w:val="0"/>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四、提交投标文件截止时间、开标时间和地点</w:t>
      </w:r>
      <w:bookmarkEnd w:id="6"/>
      <w:r/>
      <w:r/>
    </w:p>
    <w:p>
      <w:pPr>
        <w:ind w:firstLine="420"/>
        <w:keepLines w:val="0"/>
        <w:keepNext w:val="0"/>
        <w:pageBreakBefore w:val="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color w:val="auto"/>
          <w:szCs w:val="21"/>
          <w:highlight w:val="none"/>
          <w:u w:val="single"/>
        </w:rPr>
        <w:t xml:space="preserve">20</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年</w:t>
      </w:r>
      <w:r>
        <w:rPr>
          <w:rFonts w:hint="eastAsia" w:ascii="宋体" w:hAnsi="宋体" w:cs="宋体"/>
          <w:color w:val="auto"/>
          <w:szCs w:val="21"/>
          <w:highlight w:val="none"/>
          <w:u w:val="single"/>
          <w:lang w:val="en-US" w:eastAsia="zh-CN"/>
        </w:rPr>
        <w:t xml:space="preserve">11</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02</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09</w:t>
      </w:r>
      <w:r>
        <w:rPr>
          <w:rFonts w:hint="eastAsia" w:ascii="宋体" w:hAnsi="宋体" w:cs="宋体"/>
          <w:color w:val="auto"/>
          <w:szCs w:val="21"/>
          <w:highlight w:val="none"/>
          <w:u w:val="single"/>
        </w:rPr>
        <w:t xml:space="preserve">点</w:t>
      </w:r>
      <w:r>
        <w:rPr>
          <w:rFonts w:hint="eastAsia" w:ascii="宋体" w:hAnsi="宋体" w:cs="宋体"/>
          <w:color w:val="auto"/>
          <w:szCs w:val="21"/>
          <w:highlight w:val="none"/>
          <w:u w:val="single"/>
          <w:lang w:val="en-US" w:eastAsia="zh-CN"/>
        </w:rPr>
        <w:t xml:space="preserve">30</w:t>
      </w:r>
      <w:r>
        <w:rPr>
          <w:rFonts w:hint="eastAsia" w:ascii="宋体" w:hAnsi="宋体" w:cs="宋体"/>
          <w:color w:val="auto"/>
          <w:szCs w:val="21"/>
          <w:highlight w:val="none"/>
          <w:u w:val="single"/>
        </w:rPr>
        <w:t xml:space="preserve">分</w:t>
      </w:r>
      <w:r>
        <w:rPr>
          <w:rFonts w:hint="eastAsia" w:ascii="宋体" w:hAnsi="宋体" w:cs="宋体"/>
          <w:bCs/>
          <w:color w:val="auto"/>
          <w:highlight w:val="none"/>
        </w:rPr>
        <w:t xml:space="preserve">（北京时间）</w:t>
      </w:r>
      <w:r/>
    </w:p>
    <w:p>
      <w:pPr>
        <w:ind w:firstLine="420"/>
        <w:keepLines w:val="0"/>
        <w:keepNext w:val="0"/>
        <w:pageBreakBefore w:val="0"/>
        <w:spacing w:line="360" w:lineRule="auto"/>
        <w:rPr>
          <w:rFonts w:hint="eastAsia" w:ascii="宋体" w:hAnsi="宋体"/>
          <w:b w:val="0"/>
          <w:bCs/>
          <w:color w:val="auto"/>
          <w:szCs w:val="21"/>
          <w:highlight w:val="none"/>
        </w:rPr>
      </w:pPr>
      <w:r>
        <w:rPr>
          <w:rFonts w:hint="eastAsia" w:ascii="宋体" w:hAnsi="宋体" w:cs="宋体"/>
          <w:color w:val="auto"/>
          <w:highlight w:val="none"/>
        </w:rPr>
        <w:t xml:space="preserve">2.开标地点：</w:t>
      </w:r>
      <w:r>
        <w:rPr>
          <w:rFonts w:hint="eastAsia" w:ascii="宋体" w:hAnsi="宋体"/>
          <w:b w:val="0"/>
          <w:bCs/>
          <w:color w:val="auto"/>
          <w:szCs w:val="21"/>
          <w:highlight w:val="none"/>
        </w:rPr>
        <w:t xml:space="preserve">“苏采云”系统（网址：http</w:t>
      </w:r>
      <w:r>
        <w:rPr>
          <w:rFonts w:hint="eastAsia" w:ascii="宋体" w:hAnsi="宋体"/>
          <w:b w:val="0"/>
          <w:bCs/>
          <w:color w:val="auto"/>
          <w:szCs w:val="21"/>
          <w:highlight w:val="none"/>
          <w:lang w:eastAsia="zh-CN"/>
        </w:rPr>
        <w:t xml:space="preserve">：</w:t>
      </w:r>
      <w:r>
        <w:rPr>
          <w:rFonts w:hint="eastAsia" w:ascii="宋体" w:hAnsi="宋体"/>
          <w:b w:val="0"/>
          <w:bCs/>
          <w:color w:val="auto"/>
          <w:szCs w:val="21"/>
          <w:highlight w:val="none"/>
        </w:rPr>
        <w:t xml:space="preserve">//jszfcg.jsczt.cn/）“开标大厅”</w:t>
      </w:r>
      <w:r/>
    </w:p>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五、开启</w:t>
      </w:r>
      <w:r/>
    </w:p>
    <w:p>
      <w:pPr>
        <w:ind w:firstLine="422"/>
        <w:spacing w:line="360" w:lineRule="auto"/>
        <w:rPr>
          <w:rFonts w:hint="eastAsia" w:ascii="宋体" w:hAnsi="宋体" w:cs="宋体"/>
          <w:b/>
          <w:bCs/>
          <w:szCs w:val="21"/>
          <w:highlight w:val="none"/>
          <w:shd w:val="clear" w:color="auto" w:fill="ffffff"/>
        </w:rPr>
      </w:pPr>
      <w:r>
        <w:rPr>
          <w:rFonts w:hint="eastAsia" w:ascii="宋体" w:hAnsi="宋体" w:cs="宋体"/>
          <w:b/>
          <w:bCs/>
          <w:szCs w:val="21"/>
          <w:highlight w:val="none"/>
          <w:shd w:val="clear" w:color="auto" w:fill="ffffff"/>
        </w:rPr>
        <w:t xml:space="preserve">时间：</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年</w:t>
      </w:r>
      <w:r>
        <w:rPr>
          <w:rFonts w:hint="eastAsia" w:ascii="宋体" w:hAnsi="宋体" w:cs="宋体"/>
          <w:color w:val="auto"/>
          <w:szCs w:val="21"/>
          <w:highlight w:val="none"/>
          <w:u w:val="single"/>
          <w:lang w:val="en-US" w:eastAsia="zh-CN"/>
        </w:rPr>
        <w:t xml:space="preserve">11</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02</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09</w:t>
      </w:r>
      <w:r>
        <w:rPr>
          <w:rFonts w:hint="eastAsia" w:ascii="宋体" w:hAnsi="宋体" w:cs="宋体"/>
          <w:color w:val="auto"/>
          <w:szCs w:val="21"/>
          <w:highlight w:val="none"/>
          <w:u w:val="single"/>
        </w:rPr>
        <w:t xml:space="preserve">点</w:t>
      </w:r>
      <w:r>
        <w:rPr>
          <w:rFonts w:hint="eastAsia" w:ascii="宋体" w:hAnsi="宋体" w:cs="宋体"/>
          <w:color w:val="auto"/>
          <w:szCs w:val="21"/>
          <w:highlight w:val="none"/>
          <w:u w:val="single"/>
          <w:lang w:val="en-US" w:eastAsia="zh-CN"/>
        </w:rPr>
        <w:t xml:space="preserve">30</w:t>
      </w:r>
      <w:r>
        <w:rPr>
          <w:rFonts w:hint="eastAsia" w:ascii="宋体" w:hAnsi="宋体" w:cs="宋体"/>
          <w:color w:val="auto"/>
          <w:szCs w:val="21"/>
          <w:highlight w:val="none"/>
          <w:u w:val="single"/>
        </w:rPr>
        <w:t xml:space="preserve">分</w:t>
      </w:r>
      <w:r>
        <w:rPr>
          <w:rFonts w:hint="eastAsia" w:ascii="宋体" w:hAnsi="宋体" w:cs="宋体"/>
          <w:b/>
          <w:bCs/>
          <w:szCs w:val="21"/>
          <w:highlight w:val="none"/>
          <w:shd w:val="clear" w:color="auto" w:fill="ffffff"/>
        </w:rPr>
        <w:t xml:space="preserve">（北京时间）</w:t>
      </w:r>
      <w:r/>
    </w:p>
    <w:p>
      <w:pPr>
        <w:ind w:firstLine="422"/>
        <w:spacing w:line="360" w:lineRule="auto"/>
        <w:rPr>
          <w:rFonts w:hint="eastAsia" w:ascii="宋体" w:hAnsi="宋体"/>
          <w:b w:val="0"/>
          <w:bCs/>
          <w:color w:val="auto"/>
          <w:szCs w:val="21"/>
          <w:highlight w:val="none"/>
        </w:rPr>
      </w:pPr>
      <w:r>
        <w:rPr>
          <w:rFonts w:hint="eastAsia" w:ascii="宋体" w:hAnsi="宋体" w:cs="宋体"/>
          <w:b/>
          <w:szCs w:val="21"/>
          <w:highlight w:val="none"/>
        </w:rPr>
        <w:t xml:space="preserve">开标地点：“苏采云”系统（网址： http://jszfcg.jsczt.cn/）“开标大厅”</w:t>
      </w:r>
      <w:r/>
    </w:p>
    <w:p>
      <w:pPr>
        <w:ind w:firstLine="422"/>
        <w:keepLines w:val="0"/>
        <w:keepNext w:val="0"/>
        <w:pageBreakBefore w:val="0"/>
        <w:spacing w:line="360" w:lineRule="auto"/>
        <w:tabs>
          <w:tab w:val="left" w:pos="266" w:leader="none"/>
        </w:tabs>
        <w:rPr>
          <w:rFonts w:ascii="宋体" w:hAnsi="宋体" w:cs="宋体"/>
          <w:b/>
          <w:bCs/>
          <w:color w:val="auto"/>
          <w:highlight w:val="none"/>
        </w:rPr>
      </w:pPr>
      <w:r/>
      <w:bookmarkStart w:id="7" w:name="_Toc38985267"/>
      <w:r>
        <w:rPr>
          <w:rFonts w:hint="eastAsia" w:ascii="宋体" w:hAnsi="宋体" w:cs="宋体"/>
          <w:b/>
          <w:bCs/>
          <w:color w:val="auto"/>
          <w:highlight w:val="none"/>
          <w:lang w:val="en-US" w:eastAsia="zh-CN"/>
        </w:rPr>
        <w:t xml:space="preserve">六</w:t>
      </w:r>
      <w:r>
        <w:rPr>
          <w:rFonts w:hint="eastAsia" w:ascii="宋体" w:hAnsi="宋体" w:cs="宋体"/>
          <w:b/>
          <w:bCs/>
          <w:color w:val="auto"/>
          <w:highlight w:val="none"/>
        </w:rPr>
        <w:t xml:space="preserve">、公告期限</w:t>
      </w:r>
      <w:bookmarkEnd w:id="7"/>
      <w:r/>
      <w:r/>
    </w:p>
    <w:p>
      <w:pPr>
        <w:ind w:firstLine="420"/>
        <w:keepLines w:val="0"/>
        <w:keepNext w:val="0"/>
        <w:pageBreakBefore w:val="0"/>
        <w:spacing w:line="360" w:lineRule="auto"/>
        <w:rPr>
          <w:rFonts w:ascii="宋体" w:hAnsi="宋体" w:cs="宋体"/>
          <w:color w:val="auto"/>
          <w:highlight w:val="none"/>
        </w:rPr>
      </w:pPr>
      <w:r/>
      <w:bookmarkStart w:id="8" w:name="_Toc38985268"/>
      <w:r>
        <w:rPr>
          <w:rFonts w:hint="eastAsia" w:ascii="宋体" w:hAnsi="宋体" w:cs="宋体"/>
          <w:color w:val="auto"/>
          <w:highlight w:val="none"/>
        </w:rPr>
        <w:t xml:space="preserve">招标公告及招标文件公告期限为自本公告发布之日起5个工作日。</w:t>
      </w:r>
      <w:bookmarkEnd w:id="8"/>
      <w:r/>
      <w:r/>
    </w:p>
    <w:p>
      <w:pPr>
        <w:ind w:firstLine="422"/>
        <w:keepLines w:val="0"/>
        <w:keepNext w:val="0"/>
        <w:pageBreakBefore w:val="0"/>
        <w:spacing w:line="360" w:lineRule="auto"/>
        <w:tabs>
          <w:tab w:val="left" w:pos="266" w:leader="none"/>
        </w:tabs>
        <w:rPr>
          <w:rFonts w:ascii="宋体" w:hAnsi="宋体" w:cs="宋体"/>
          <w:b/>
          <w:bCs/>
          <w:color w:val="auto"/>
          <w:highlight w:val="none"/>
        </w:rPr>
      </w:pPr>
      <w:r/>
      <w:bookmarkStart w:id="9" w:name="_Toc28359087"/>
      <w:r/>
      <w:bookmarkStart w:id="10" w:name="_Toc28359010"/>
      <w:r>
        <w:rPr>
          <w:rFonts w:hint="eastAsia" w:ascii="宋体" w:hAnsi="宋体" w:cs="宋体"/>
          <w:b/>
          <w:bCs/>
          <w:color w:val="auto"/>
          <w:highlight w:val="none"/>
          <w:lang w:val="en-US" w:eastAsia="zh-CN"/>
        </w:rPr>
        <w:t xml:space="preserve">七</w:t>
      </w:r>
      <w:r>
        <w:rPr>
          <w:rFonts w:hint="eastAsia" w:ascii="宋体" w:hAnsi="宋体" w:cs="宋体"/>
          <w:b/>
          <w:bCs/>
          <w:color w:val="auto"/>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//www.crcrfsp.com）”向参与政府采购融资业务的金融机构申请线上融资，相关事宜可向市人民银行咨询，联系电话：0514-87936653。</w:t>
      </w:r>
      <w:r/>
    </w:p>
    <w:p>
      <w:pPr>
        <w:ind w:firstLine="422"/>
        <w:keepLines w:val="0"/>
        <w:keepNext w:val="0"/>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中标供应商可凭政府采购合同办理融资贷款，详见江苏政府采购网“政采贷”专栏。</w:t>
      </w:r>
      <w:bookmarkEnd w:id="9"/>
      <w:r/>
      <w:bookmarkEnd w:id="10"/>
      <w:r/>
      <w:r/>
    </w:p>
    <w:p>
      <w:pPr>
        <w:ind w:firstLine="422"/>
        <w:keepLines w:val="0"/>
        <w:keepNext w:val="0"/>
        <w:pageBreakBefore w:val="0"/>
        <w:spacing w:line="360" w:lineRule="auto"/>
        <w:rPr>
          <w:rFonts w:ascii="宋体" w:hAnsi="宋体" w:cs="宋体"/>
          <w:b/>
          <w:bCs/>
          <w:color w:val="auto"/>
          <w:highlight w:val="none"/>
        </w:rPr>
      </w:pPr>
      <w:r>
        <w:rPr>
          <w:rFonts w:hint="eastAsia" w:ascii="宋体" w:hAnsi="宋体" w:cs="宋体"/>
          <w:b/>
          <w:bCs/>
          <w:color w:val="auto"/>
          <w:highlight w:val="none"/>
          <w:lang w:val="en-US" w:eastAsia="zh-CN"/>
        </w:rPr>
        <w:t xml:space="preserve">八</w:t>
      </w:r>
      <w:r>
        <w:rPr>
          <w:rFonts w:hint="eastAsia" w:ascii="宋体" w:hAnsi="宋体" w:cs="宋体"/>
          <w:b/>
          <w:bCs/>
          <w:color w:val="auto"/>
          <w:highlight w:val="none"/>
        </w:rPr>
        <w:t xml:space="preserve">、其他</w:t>
      </w:r>
      <w:r/>
    </w:p>
    <w:p>
      <w:pPr>
        <w:ind w:firstLine="422"/>
        <w:keepLines w:val="0"/>
        <w:keepNext w:val="0"/>
        <w:pageBreakBefore w:val="0"/>
        <w:spacing w:line="360" w:lineRule="auto"/>
        <w:rPr>
          <w:rFonts w:ascii="宋体" w:hAnsi="宋体" w:cs="宋体"/>
          <w:b/>
          <w:bCs/>
          <w:color w:val="auto"/>
          <w:szCs w:val="21"/>
          <w:highlight w:val="none"/>
        </w:rPr>
      </w:pPr>
      <w:r/>
      <w:bookmarkStart w:id="11" w:name="_Toc38985269"/>
      <w:r>
        <w:rPr>
          <w:rFonts w:hint="eastAsia" w:ascii="宋体" w:hAnsi="宋体" w:cs="宋体"/>
          <w:b/>
          <w:bCs/>
          <w:color w:val="auto"/>
          <w:szCs w:val="21"/>
          <w:highlight w:val="none"/>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2"/>
        <w:keepLines w:val="0"/>
        <w:keepNext w:val="0"/>
        <w:pageBreakBefore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2.供应商如确定参加</w:t>
      </w:r>
      <w:r>
        <w:rPr>
          <w:rFonts w:hint="eastAsia" w:ascii="宋体" w:hAnsi="宋体" w:cs="宋体"/>
          <w:b/>
          <w:bCs/>
          <w:color w:val="auto"/>
          <w:szCs w:val="21"/>
          <w:highlight w:val="none"/>
          <w:lang w:eastAsia="zh-CN"/>
        </w:rPr>
        <w:t xml:space="preserve">投标</w:t>
      </w:r>
      <w:r>
        <w:rPr>
          <w:rFonts w:hint="eastAsia" w:ascii="宋体" w:hAnsi="宋体" w:cs="宋体"/>
          <w:b/>
          <w:bCs/>
          <w:color w:val="auto"/>
          <w:szCs w:val="21"/>
          <w:highlight w:val="none"/>
        </w:rPr>
        <w:t xml:space="preserve">，可自行下载采购文件及有关资料，按照《操作手册》进行注册，领取CA和办理电子签章，并按《操作手册》要求制作、上传电子投标文件，技术支持联系方式：13813140731。</w:t>
      </w:r>
      <w:r/>
    </w:p>
    <w:p>
      <w:pPr>
        <w:ind w:firstLine="422"/>
        <w:jc w:val="left"/>
        <w:keepLines w:val="0"/>
        <w:keepNext w:val="0"/>
        <w:pageBreakBefore w:val="0"/>
        <w:spacing w:line="360" w:lineRule="auto"/>
        <w:widowControl/>
        <w:rPr>
          <w:rFonts w:ascii="宋体" w:hAnsi="宋体" w:cs="宋体"/>
          <w:b/>
          <w:color w:val="auto"/>
          <w:szCs w:val="21"/>
          <w:highlight w:val="none"/>
        </w:rPr>
      </w:pPr>
      <w:r>
        <w:rPr>
          <w:rFonts w:ascii="宋体" w:hAnsi="宋体" w:cs="宋体"/>
          <w:b/>
          <w:color w:val="auto"/>
          <w:szCs w:val="21"/>
          <w:highlight w:val="none"/>
        </w:rPr>
        <w:t xml:space="preserve">3</w:t>
      </w:r>
      <w:r>
        <w:rPr>
          <w:rFonts w:hint="eastAsia" w:ascii="宋体" w:hAnsi="宋体" w:cs="宋体"/>
          <w:b/>
          <w:color w:val="auto"/>
          <w:szCs w:val="21"/>
          <w:highlight w:val="none"/>
        </w:rPr>
        <w:t xml:space="preserve">.严格执行政府采购关于支持节能</w:t>
      </w:r>
      <w:r>
        <w:rPr>
          <w:rFonts w:hint="eastAsia" w:ascii="宋体" w:hAnsi="宋体" w:cs="宋体"/>
          <w:b/>
          <w:color w:val="auto"/>
          <w:szCs w:val="21"/>
          <w:highlight w:val="none"/>
        </w:rPr>
        <w:t xml:space="preserve">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  </w:t>
      </w:r>
      <w:r/>
    </w:p>
    <w:p>
      <w:pPr>
        <w:ind w:firstLine="422"/>
        <w:jc w:val="left"/>
        <w:keepLines w:val="0"/>
        <w:keepNext w:val="0"/>
        <w:pageBreakBefore w:val="0"/>
        <w:spacing w:line="360" w:lineRule="auto"/>
        <w:widowControl/>
        <w:rPr>
          <w:color w:val="auto"/>
          <w:highlight w:val="none"/>
        </w:rPr>
      </w:pPr>
      <w:r>
        <w:rPr>
          <w:rFonts w:ascii="宋体" w:hAnsi="宋体" w:cs="宋体"/>
          <w:b/>
          <w:color w:val="auto"/>
          <w:szCs w:val="21"/>
          <w:highlight w:val="none"/>
        </w:rPr>
        <w:t xml:space="preserve">4</w:t>
      </w:r>
      <w:r>
        <w:rPr>
          <w:rFonts w:hint="eastAsia" w:ascii="宋体" w:hAnsi="宋体" w:cs="宋体"/>
          <w:b/>
          <w:color w:val="auto"/>
          <w:szCs w:val="21"/>
          <w:highlight w:val="none"/>
        </w:rPr>
        <w:t xml:space="preserve">.供应商对于投标产品的包装应按照“财办库[2020]123号《关于印发《商品包装政府采购需求标准（试行）》、《快递包装政府采购需求标准（试行）的通知》”执行。</w:t>
      </w:r>
      <w:r/>
    </w:p>
    <w:p>
      <w:pPr>
        <w:ind w:firstLine="422"/>
        <w:jc w:val="left"/>
        <w:keepLines w:val="0"/>
        <w:keepNext w:val="0"/>
        <w:pageBreakBefore w:val="0"/>
        <w:spacing w:line="360" w:lineRule="auto"/>
        <w:widowControl/>
        <w:rPr>
          <w:rFonts w:ascii="宋体" w:hAnsi="宋体" w:cs="宋体"/>
          <w:b/>
          <w:color w:val="auto"/>
          <w:szCs w:val="21"/>
          <w:highlight w:val="none"/>
        </w:rPr>
      </w:pPr>
      <w:r>
        <w:rPr>
          <w:rFonts w:ascii="宋体" w:hAnsi="宋体" w:cs="宋体"/>
          <w:b/>
          <w:color w:val="auto"/>
          <w:szCs w:val="21"/>
          <w:highlight w:val="none"/>
        </w:rPr>
        <w:t xml:space="preserve">5</w:t>
      </w:r>
      <w:r>
        <w:rPr>
          <w:rFonts w:hint="eastAsia" w:ascii="宋体" w:hAnsi="宋体" w:cs="宋体"/>
          <w:b/>
          <w:color w:val="auto"/>
          <w:szCs w:val="21"/>
          <w:highlight w:val="none"/>
        </w:rPr>
        <w:t xml:space="preserve">.潜在供应商对采购文件项目需求部分的询问、质疑请向采购人提出，由采购人负责答复。</w:t>
      </w:r>
      <w:r/>
    </w:p>
    <w:p>
      <w:pPr>
        <w:ind w:firstLine="420"/>
        <w:keepLines w:val="0"/>
        <w:keepNext w:val="0"/>
        <w:pageBreakBefore w:val="0"/>
        <w:spacing w:line="360" w:lineRule="auto"/>
        <w:rPr>
          <w:rFonts w:ascii="宋体" w:hAnsi="宋体" w:cs="宋体"/>
          <w:bCs/>
          <w:color w:val="auto"/>
          <w:highlight w:val="none"/>
        </w:rPr>
      </w:pPr>
      <w:r>
        <w:rPr>
          <w:rFonts w:ascii="宋体" w:hAnsi="宋体" w:cs="宋体"/>
          <w:bCs/>
          <w:color w:val="auto"/>
          <w:szCs w:val="21"/>
          <w:highlight w:val="none"/>
        </w:rPr>
        <w:t xml:space="preserve">6</w:t>
      </w:r>
      <w:r>
        <w:rPr>
          <w:rFonts w:hint="eastAsia" w:ascii="宋体" w:hAnsi="宋体" w:cs="宋体"/>
          <w:bCs/>
          <w:color w:val="auto"/>
          <w:szCs w:val="21"/>
          <w:highlight w:val="none"/>
        </w:rPr>
        <w:t xml:space="preserve">.</w:t>
      </w:r>
      <w:r>
        <w:rPr>
          <w:rFonts w:hint="eastAsia" w:ascii="宋体" w:hAnsi="宋体"/>
          <w:color w:val="auto"/>
          <w:highlight w:val="none"/>
        </w:rPr>
        <w:t xml:space="preserve">本次招标不收取投标保证金。</w:t>
      </w:r>
      <w:r/>
    </w:p>
    <w:p>
      <w:pPr>
        <w:ind w:firstLine="420"/>
        <w:keepLines w:val="0"/>
        <w:keepNext w:val="0"/>
        <w:pageBreakBefore w:val="0"/>
        <w:spacing w:line="360" w:lineRule="auto"/>
        <w:rPr>
          <w:rFonts w:ascii="宋体" w:hAnsi="宋体" w:cs="宋体"/>
          <w:bCs/>
          <w:color w:val="auto"/>
          <w:szCs w:val="21"/>
          <w:highlight w:val="none"/>
        </w:rPr>
      </w:pPr>
      <w:r>
        <w:rPr>
          <w:rFonts w:ascii="宋体" w:hAnsi="宋体" w:cs="宋体"/>
          <w:bCs/>
          <w:color w:val="auto"/>
          <w:szCs w:val="21"/>
          <w:highlight w:val="none"/>
        </w:rPr>
        <w:t xml:space="preserve">7</w:t>
      </w:r>
      <w:r>
        <w:rPr>
          <w:rFonts w:hint="eastAsia" w:ascii="宋体" w:hAnsi="宋体" w:cs="宋体"/>
          <w:bCs/>
          <w:color w:val="auto"/>
          <w:szCs w:val="21"/>
          <w:highlight w:val="none"/>
        </w:rPr>
        <w:t xml:space="preserve">.有关本次招标的事项若存在变动或修改，敬请及时关注“扬州市政府采购网”、“江苏省政府采购网”</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中国政府采购网</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发布的信息。</w:t>
      </w:r>
      <w:r/>
    </w:p>
    <w:p>
      <w:pPr>
        <w:ind w:firstLine="422"/>
        <w:jc w:val="left"/>
        <w:keepLines w:val="0"/>
        <w:keepNext w:val="0"/>
        <w:pageBreakBefore w:val="0"/>
        <w:spacing w:line="360" w:lineRule="auto"/>
        <w:widowControl w:val="off"/>
        <w:rPr>
          <w:rFonts w:hint="eastAsia" w:ascii="宋体" w:hAnsi="宋体" w:cs="宋体"/>
          <w:b/>
          <w:bCs/>
          <w:i/>
          <w:color w:val="auto"/>
          <w:szCs w:val="21"/>
          <w:highlight w:val="none"/>
          <w:u w:val="single"/>
        </w:rPr>
      </w:pPr>
      <w:r>
        <w:rPr>
          <w:rFonts w:ascii="宋体" w:hAnsi="宋体" w:cs="宋体"/>
          <w:b/>
          <w:bCs/>
          <w:i/>
          <w:color w:val="auto"/>
          <w:szCs w:val="21"/>
          <w:highlight w:val="none"/>
          <w:u w:val="single"/>
        </w:rPr>
        <w:t xml:space="preserve">8</w:t>
      </w:r>
      <w:r>
        <w:rPr>
          <w:rFonts w:hint="eastAsia" w:ascii="宋体" w:hAnsi="宋体" w:cs="宋体"/>
          <w:b/>
          <w:bCs/>
          <w:i/>
          <w:color w:val="auto"/>
          <w:szCs w:val="21"/>
          <w:highlight w:val="none"/>
          <w:u w:val="single"/>
        </w:rPr>
        <w:t xml:space="preserve">.本项目招标文件中所有斜体下划线部分为实质性条款，如不满足，则为无效投标</w:t>
      </w:r>
      <w:r/>
    </w:p>
    <w:p>
      <w:pPr>
        <w:ind w:firstLine="420"/>
        <w:jc w:val="left"/>
        <w:keepLines w:val="0"/>
        <w:keepNext w:val="0"/>
        <w:pageBreakBefore w:val="0"/>
        <w:spacing w:line="360" w:lineRule="auto"/>
        <w:widowControl w:val="off"/>
        <w:rPr>
          <w:rFonts w:ascii="宋体" w:hAnsi="宋体" w:eastAsia="宋体" w:cs="宋体"/>
          <w:bCs/>
          <w:color w:val="auto"/>
          <w:szCs w:val="21"/>
          <w:highlight w:val="none"/>
        </w:rPr>
      </w:pPr>
      <w:r>
        <w:rPr>
          <w:rFonts w:ascii="宋体" w:hAnsi="宋体" w:eastAsia="宋体" w:cs="宋体"/>
          <w:bCs/>
          <w:color w:val="auto"/>
          <w:szCs w:val="21"/>
          <w:highlight w:val="none"/>
        </w:rPr>
        <w:t xml:space="preserve">9</w:t>
      </w:r>
      <w:r>
        <w:rPr>
          <w:rFonts w:hint="eastAsia" w:ascii="宋体" w:hAnsi="宋体" w:eastAsia="宋体" w:cs="宋体"/>
          <w:bCs/>
          <w:color w:val="auto"/>
          <w:szCs w:val="21"/>
          <w:highlight w:val="none"/>
        </w:rPr>
        <w:t xml:space="preserve">.如在开标时间发生系统崩溃等不可预见的情况，造成开评标活动无法正常进行的，</w:t>
      </w:r>
      <w:r>
        <w:rPr>
          <w:rFonts w:hint="eastAsia" w:ascii="宋体" w:hAnsi="宋体" w:eastAsia="宋体" w:cs="宋体"/>
          <w:bCs/>
          <w:color w:val="auto"/>
          <w:szCs w:val="21"/>
          <w:highlight w:val="none"/>
          <w:lang w:val="en-US" w:eastAsia="zh-CN"/>
        </w:rPr>
        <w:t xml:space="preserve">将</w:t>
      </w:r>
      <w:r>
        <w:rPr>
          <w:rFonts w:hint="eastAsia" w:ascii="宋体" w:hAnsi="宋体" w:eastAsia="宋体" w:cs="宋体"/>
          <w:bCs/>
          <w:color w:val="auto"/>
          <w:szCs w:val="21"/>
          <w:highlight w:val="none"/>
        </w:rPr>
        <w:t xml:space="preserve">延迟开评标，具体开评标时间另行通知。</w:t>
      </w:r>
      <w:r/>
    </w:p>
    <w:p>
      <w:pPr>
        <w:ind w:firstLine="422"/>
        <w:keepLines w:val="0"/>
        <w:keepNext w:val="0"/>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lang w:val="en-US" w:eastAsia="zh-CN"/>
        </w:rPr>
        <w:t xml:space="preserve">九</w:t>
      </w:r>
      <w:r>
        <w:rPr>
          <w:rFonts w:hint="eastAsia" w:ascii="宋体" w:hAnsi="宋体" w:cs="宋体"/>
          <w:b/>
          <w:bCs/>
          <w:color w:val="auto"/>
          <w:highlight w:val="none"/>
        </w:rPr>
        <w:t xml:space="preserve">、本次招标联系方式</w:t>
      </w:r>
      <w:bookmarkEnd w:id="11"/>
      <w:r/>
      <w:r/>
    </w:p>
    <w:p>
      <w:pPr>
        <w:ind w:firstLine="420"/>
        <w:jc w:val="left"/>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highlight w:val="none"/>
        </w:rPr>
        <w:t xml:space="preserve">1.采购人信息</w:t>
      </w:r>
      <w:r/>
    </w:p>
    <w:p>
      <w:pPr>
        <w:pStyle w:val="1059"/>
        <w:ind w:firstLine="420"/>
        <w:jc w:val="left"/>
        <w:keepLines w:val="0"/>
        <w:keepNext w:val="0"/>
        <w:pageBreakBefore w:val="0"/>
        <w:spacing w:line="360" w:lineRule="auto"/>
        <w:rPr>
          <w:rFonts w:hint="eastAsia" w:ascii="宋体" w:hAnsi="宋体" w:eastAsia="宋体" w:cs="宋体"/>
          <w:color w:val="auto"/>
          <w:szCs w:val="21"/>
          <w:highlight w:val="none"/>
          <w:lang w:eastAsia="zh-CN"/>
        </w:rPr>
      </w:pPr>
      <w:r/>
      <w:bookmarkStart w:id="12" w:name="_Toc28359009"/>
      <w:r/>
      <w:bookmarkStart w:id="13" w:name="_Toc28359086"/>
      <w:r>
        <w:rPr>
          <w:rFonts w:hint="eastAsia" w:ascii="宋体" w:hAnsi="宋体" w:cs="宋体"/>
          <w:color w:val="auto"/>
          <w:szCs w:val="21"/>
          <w:highlight w:val="none"/>
        </w:rPr>
        <w:t xml:space="preserve">名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称：</w:t>
      </w:r>
      <w:r>
        <w:rPr>
          <w:rFonts w:hint="eastAsia" w:ascii="宋体" w:hAnsi="宋体" w:cs="宋体"/>
          <w:color w:val="auto"/>
          <w:szCs w:val="21"/>
          <w:highlight w:val="none"/>
          <w:lang w:eastAsia="zh-CN"/>
        </w:rPr>
        <w:t xml:space="preserve">扬州市检验检测中心</w:t>
      </w:r>
      <w:r/>
    </w:p>
    <w:p>
      <w:pPr>
        <w:pStyle w:val="1059"/>
        <w:ind w:firstLine="420"/>
        <w:jc w:val="left"/>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地</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址：</w:t>
      </w:r>
      <w:r>
        <w:rPr>
          <w:rFonts w:hint="eastAsia" w:ascii="宋体" w:hAnsi="宋体" w:cs="宋体"/>
          <w:color w:val="auto"/>
          <w:highlight w:val="none"/>
          <w:lang w:eastAsia="zh-CN"/>
        </w:rPr>
        <w:t xml:space="preserve">扬州市</w:t>
      </w:r>
      <w:r>
        <w:rPr>
          <w:rFonts w:hint="eastAsia" w:ascii="宋体" w:hAnsi="宋体"/>
          <w:color w:val="000000"/>
          <w:szCs w:val="21"/>
          <w:highlight w:val="none"/>
          <w:lang w:eastAsia="zh-CN"/>
        </w:rPr>
        <w:t xml:space="preserve">广陵经济开发区创业路20号</w:t>
      </w:r>
      <w:r/>
    </w:p>
    <w:p>
      <w:pPr>
        <w:pStyle w:val="1059"/>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系</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人：周恺</w:t>
      </w:r>
      <w:r/>
    </w:p>
    <w:p>
      <w:pPr>
        <w:pStyle w:val="1059"/>
        <w:ind w:firstLine="420"/>
        <w:jc w:val="left"/>
        <w:keepLines w:val="0"/>
        <w:keepNext w:val="0"/>
        <w:pageBreakBefore w:val="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联系方式：13952756015</w:t>
      </w:r>
      <w:r/>
    </w:p>
    <w:p>
      <w:pPr>
        <w:ind w:firstLine="420"/>
        <w:jc w:val="left"/>
        <w:keepLines w:val="0"/>
        <w:keepNext w:val="0"/>
        <w:pageBreakBefore w:val="0"/>
        <w:spacing w:line="360" w:lineRule="auto"/>
        <w:rPr>
          <w:rFonts w:ascii="宋体" w:hAnsi="宋体" w:cs="宋体"/>
          <w:color w:val="auto"/>
          <w:highlight w:val="none"/>
        </w:rPr>
      </w:pPr>
      <w:r>
        <w:rPr>
          <w:rFonts w:hint="eastAsia" w:ascii="宋体" w:hAnsi="宋体" w:cs="宋体"/>
          <w:color w:val="auto"/>
          <w:highlight w:val="none"/>
        </w:rPr>
        <w:t xml:space="preserve">2.代理机构信息</w:t>
      </w:r>
      <w:bookmarkEnd w:id="12"/>
      <w:r/>
      <w:bookmarkEnd w:id="13"/>
      <w:r/>
      <w:r/>
    </w:p>
    <w:p>
      <w:pPr>
        <w:ind w:firstLine="420"/>
        <w:jc w:val="left"/>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名    称：</w:t>
      </w:r>
      <w:r>
        <w:rPr>
          <w:rFonts w:hint="eastAsia" w:ascii="宋体" w:hAnsi="宋体" w:cs="宋体"/>
          <w:color w:val="auto"/>
          <w:highlight w:val="none"/>
          <w:lang w:eastAsia="zh-CN"/>
        </w:rPr>
        <w:t xml:space="preserve">江苏华彦建设投资管理有限公司</w:t>
      </w:r>
      <w:r/>
    </w:p>
    <w:p>
      <w:pPr>
        <w:ind w:firstLine="420"/>
        <w:jc w:val="left"/>
        <w:keepLines w:val="0"/>
        <w:keepNext w:val="0"/>
        <w:pageBreakBefore w:val="0"/>
        <w:spacing w:line="360" w:lineRule="auto"/>
        <w:rPr>
          <w:rFonts w:hint="eastAsia" w:ascii="宋体" w:hAnsi="宋体" w:cs="宋体"/>
          <w:color w:val="auto"/>
          <w:highlight w:val="none"/>
          <w:lang w:eastAsia="zh-CN"/>
        </w:rPr>
      </w:pPr>
      <w:r>
        <w:rPr>
          <w:rFonts w:hint="eastAsia" w:ascii="宋体" w:hAnsi="宋体" w:cs="宋体"/>
          <w:color w:val="auto"/>
          <w:highlight w:val="none"/>
        </w:rPr>
        <w:t xml:space="preserve">地　  址：</w:t>
      </w:r>
      <w:r>
        <w:rPr>
          <w:rFonts w:hint="eastAsia" w:ascii="宋体" w:hAnsi="宋体" w:cs="宋体"/>
          <w:color w:val="auto"/>
          <w:highlight w:val="none"/>
          <w:lang w:eastAsia="zh-CN"/>
        </w:rPr>
        <w:t xml:space="preserve">扬州市广陵区广陵新城京杭路京杭水镇南街三楼</w:t>
      </w:r>
      <w:r/>
    </w:p>
    <w:p>
      <w:pPr>
        <w:ind w:firstLine="420"/>
        <w:jc w:val="left"/>
        <w:keepLines w:val="0"/>
        <w:keepNext w:val="0"/>
        <w:pageBreakBefore w:val="0"/>
        <w:spacing w:line="360" w:lineRule="auto"/>
        <w:rPr>
          <w:rFonts w:hint="eastAsia" w:ascii="宋体" w:hAnsi="宋体" w:cs="宋体"/>
          <w:color w:val="auto"/>
          <w:highlight w:val="none"/>
          <w:lang w:val="en-US" w:eastAsia="zh-CN"/>
        </w:rPr>
      </w:pPr>
      <w:r>
        <w:rPr>
          <w:rFonts w:hint="eastAsia" w:ascii="宋体" w:hAnsi="宋体" w:cs="宋体"/>
          <w:color w:val="auto"/>
          <w:highlight w:val="none"/>
        </w:rPr>
        <w:t xml:space="preserve">联 系 人：</w:t>
      </w:r>
      <w:r>
        <w:rPr>
          <w:rFonts w:hint="eastAsia" w:ascii="宋体" w:hAnsi="宋体" w:cs="宋体"/>
          <w:color w:val="auto"/>
          <w:highlight w:val="none"/>
          <w:lang w:val="en-US" w:eastAsia="zh-CN"/>
        </w:rPr>
        <w:t xml:space="preserve">阮海林</w:t>
      </w:r>
      <w:r/>
    </w:p>
    <w:p>
      <w:pPr>
        <w:ind w:firstLine="420"/>
        <w:jc w:val="left"/>
        <w:keepLines w:val="0"/>
        <w:keepNext w:val="0"/>
        <w:pageBreakBefore w:val="0"/>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联系方式：</w:t>
      </w:r>
      <w:r>
        <w:rPr>
          <w:rFonts w:hint="eastAsia" w:ascii="宋体" w:hAnsi="宋体" w:cs="宋体"/>
          <w:color w:val="auto"/>
          <w:highlight w:val="none"/>
          <w:lang w:val="en-US" w:eastAsia="zh-CN"/>
        </w:rPr>
        <w:t xml:space="preserve">13328129836</w:t>
      </w:r>
      <w:r/>
    </w:p>
    <w:p>
      <w:pPr>
        <w:pStyle w:val="1055"/>
        <w:rPr>
          <w:color w:val="auto"/>
          <w:highlight w:val="none"/>
        </w:rPr>
      </w:pPr>
      <w:r>
        <w:rPr>
          <w:color w:val="auto"/>
          <w:highlight w:val="none"/>
        </w:rPr>
      </w:r>
      <w:r/>
    </w:p>
    <w:p>
      <w:pPr>
        <w:pStyle w:val="812"/>
        <w:jc w:val="center"/>
        <w:keepLines/>
        <w:keepNext/>
        <w:pageBreakBefore w:val="0"/>
        <w:spacing w:line="240" w:lineRule="auto"/>
        <w:widowControl w:val="off"/>
        <w:rPr>
          <w:rFonts w:ascii="宋体" w:hAnsi="宋体" w:cs="宋体"/>
          <w:color w:val="auto"/>
          <w:sz w:val="36"/>
          <w:highlight w:val="none"/>
        </w:rPr>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第二章 投标人须知</w:t>
      </w:r>
      <w:bookmarkEnd w:id="3"/>
      <w:r/>
      <w:r/>
    </w:p>
    <w:p>
      <w:pPr>
        <w:ind w:left="0" w:firstLine="422"/>
        <w:keepLines w:val="0"/>
        <w:keepNext w:val="0"/>
        <w:pageBreakBefore w:val="0"/>
        <w:spacing w:line="360" w:lineRule="auto"/>
        <w:widowControl w:val="off"/>
        <w:rPr>
          <w:rFonts w:ascii="宋体" w:hAnsi="宋体"/>
          <w:b/>
          <w:color w:val="auto"/>
          <w:szCs w:val="21"/>
          <w:highlight w:val="none"/>
        </w:rPr>
      </w:pPr>
      <w:r/>
      <w:bookmarkStart w:id="14" w:name="_Toc497133092"/>
      <w:r>
        <w:rPr>
          <w:rFonts w:hint="eastAsia" w:ascii="宋体" w:hAnsi="宋体"/>
          <w:b/>
          <w:color w:val="auto"/>
          <w:szCs w:val="21"/>
          <w:highlight w:val="none"/>
        </w:rPr>
        <w:t xml:space="preserve">1、招标方式</w:t>
      </w:r>
      <w:r/>
    </w:p>
    <w:p>
      <w:pPr>
        <w:ind w:left="0" w:firstLine="420"/>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1.1 本次招标采取公开</w:t>
      </w:r>
      <w:bookmarkStart w:id="48" w:name="_GoBack"/>
      <w:r/>
      <w:bookmarkEnd w:id="48"/>
      <w:r>
        <w:rPr>
          <w:rFonts w:hint="eastAsia" w:ascii="宋体" w:hAnsi="宋体"/>
          <w:bCs/>
          <w:color w:val="auto"/>
          <w:szCs w:val="21"/>
          <w:highlight w:val="none"/>
        </w:rPr>
        <w:t xml:space="preserve">招标方式，本招标文件仅适用</w:t>
      </w:r>
      <w:r>
        <w:rPr>
          <w:rFonts w:hint="eastAsia" w:ascii="宋体" w:hAnsi="宋体"/>
          <w:bCs/>
          <w:color w:val="auto"/>
          <w:szCs w:val="21"/>
          <w:highlight w:val="none"/>
        </w:rPr>
        <w:t xml:space="preserve">于</w:t>
      </w:r>
      <w:r>
        <w:rPr>
          <w:rFonts w:hint="eastAsia" w:ascii="宋体" w:hAnsi="宋体"/>
          <w:bCs/>
          <w:color w:val="auto"/>
          <w:szCs w:val="21"/>
          <w:highlight w:val="none"/>
          <w:lang w:eastAsia="zh-CN"/>
        </w:rPr>
        <w:t xml:space="preserve">JSZC-321000-JYYH-G2026-0002</w:t>
      </w:r>
      <w:r>
        <w:rPr>
          <w:rFonts w:hint="eastAsia" w:ascii="宋体" w:hAnsi="宋体"/>
          <w:bCs/>
          <w:color w:val="auto"/>
          <w:szCs w:val="21"/>
          <w:highlight w:val="none"/>
          <w:lang w:val="en-US" w:eastAsia="zh-CN"/>
        </w:rPr>
        <w:t xml:space="preserve">号</w:t>
      </w:r>
      <w:r>
        <w:rPr>
          <w:rFonts w:hint="eastAsia" w:ascii="宋体" w:hAnsi="宋体"/>
          <w:bCs/>
          <w:color w:val="auto"/>
          <w:szCs w:val="21"/>
          <w:highlight w:val="none"/>
        </w:rPr>
        <w:t xml:space="preserve">项目。</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2、投标人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2.1 本招标文件中“供应商”，即“投标人”，是指参加投标竞争，并符合招标文件规定资格条件的法人、其他组织或者自然人。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2.2合格的投标人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3、适用法律</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4、投标费用</w:t>
      </w:r>
      <w:r/>
    </w:p>
    <w:p>
      <w:pPr>
        <w:ind w:left="0"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4.1 投标人应自行承担所有与参加投标有关的费用，无论投标过程中的做法和结果如 何，代理机构在任何情况下均无义务和责任承担这些费用。 </w:t>
      </w:r>
      <w:r/>
    </w:p>
    <w:p>
      <w:pPr>
        <w:pStyle w:val="1214"/>
        <w:ind w:firstLine="422"/>
        <w:spacing w:before="0" w:after="0" w:line="360" w:lineRule="auto"/>
        <w:rPr>
          <w:rFonts w:hint="eastAsia" w:ascii="宋体" w:hAnsi="宋体" w:cs="宋体"/>
          <w:color w:val="auto"/>
          <w:highlight w:val="none"/>
          <w:lang w:val="en-US" w:eastAsia="zh-CN"/>
        </w:rPr>
      </w:pPr>
      <w:r>
        <w:rPr>
          <w:rFonts w:hint="eastAsia" w:ascii="宋体" w:hAnsi="宋体" w:eastAsia="宋体"/>
          <w:sz w:val="21"/>
          <w:szCs w:val="21"/>
          <w:highlight w:val="none"/>
        </w:rPr>
        <w:t xml:space="preserve">5、采购文件的约束力</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6、招标文件构成</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6.1 招标文件有以下部分组成：</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（1）招标公告</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（3）合同条款及格式</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（4）项目需求</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（5）评标方法与评标标准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（6）投标文件格式</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7、招标文件的澄清</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7.1 任何要求对招标文件进行澄清的投标人，应在投标截止日期的十日前按招标公告中的通讯地址，以书面形式通知代理机构。</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8、招标文件的修改</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8.3招标文件的修改将在“扬州市政府采购网”、“江苏省政府采购网”</w:t>
      </w: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中国政府采购网</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公布，补充文件将作为招标文件的组成部分，并对投标人具有约束力。</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9.2 除技术性能另有规定外，投标文件所使用的度量衡单位，均须采用国家法定计量单位。</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10、投标文件构成</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10.1投标文件由以下部分组成</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（1）资格审查响应对照表</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（2）符合性审查响应对照表</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（3）非实质性响应对照表</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（4）开标一览表 </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（5）分项报价表 </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（6）技术参数响应及偏离表 </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（7）商务条款响应及偏离表 </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（8）其他 （投标人认为有必要提供的声明和文件，如有自拟并自行添加）</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11.4投标人应提交根据合同要求提供的证明服务质量合格以及符合招标文件规定的证明文件。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11.5证明投标人所提供服务与招标文件的要求相一致的文件可以是手册、图纸、文字资料和数据。</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12、分项报价表</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12.1 投标人应按照招标文件规定格式填报分项报价表，每项服务只允许有一个报价，任何有选择的报价将不予接受。</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12.2 标的物</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12.3其它费用处理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招标文件未列明，而投标人认为必需的费用也需列入报价。</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12.4投标货币</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投标文件中的服务单价和总价无特殊规定的采用人民币报价，以元为单位标注。招标文件中另有规定的按规定执行。</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13、技术参数响应及偏离表、商务条款响应及偏离表及投标服务说明</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13.3 详细阐述所投服务的主要组成部分、功能设计、实现思路及关键技术；</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13.4 投标人认为需要的其他技术文件或说明。</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14.1投标人的服务承诺应按不低于招标文件中商务要求的标准。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15、投标函和开标一览表</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16、投标有效期</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left="0" w:firstLine="422"/>
        <w:keepLines w:val="0"/>
        <w:keepNext w:val="0"/>
        <w:pageBreakBefore w:val="0"/>
        <w:spacing w:line="360" w:lineRule="auto"/>
        <w:widowControl w:val="off"/>
        <w:rPr>
          <w:rFonts w:ascii="宋体" w:hAnsi="宋体"/>
          <w:b/>
          <w:color w:val="auto"/>
          <w:szCs w:val="21"/>
          <w:highlight w:val="none"/>
        </w:rPr>
      </w:pPr>
      <w:r/>
      <w:bookmarkStart w:id="15" w:name="_Toc462564084"/>
      <w:r/>
      <w:bookmarkStart w:id="16" w:name="_Toc20823297"/>
      <w:r/>
      <w:bookmarkStart w:id="17" w:name="_Toc16938541"/>
      <w:r/>
      <w:bookmarkStart w:id="18" w:name="_Toc513029225"/>
      <w:r>
        <w:rPr>
          <w:rFonts w:hint="eastAsia" w:ascii="宋体" w:hAnsi="宋体"/>
          <w:b/>
          <w:color w:val="auto"/>
          <w:szCs w:val="21"/>
          <w:highlight w:val="none"/>
        </w:rPr>
        <w:t xml:space="preserve">17、投标文件</w:t>
      </w:r>
      <w:bookmarkEnd w:id="15"/>
      <w:r/>
      <w:bookmarkEnd w:id="16"/>
      <w:r/>
      <w:bookmarkEnd w:id="17"/>
      <w:r/>
      <w:bookmarkEnd w:id="18"/>
      <w:r>
        <w:rPr>
          <w:rFonts w:hint="eastAsia" w:ascii="宋体" w:hAnsi="宋体"/>
          <w:b/>
          <w:color w:val="auto"/>
          <w:szCs w:val="21"/>
          <w:highlight w:val="none"/>
        </w:rPr>
        <w:t xml:space="preserve">的递交</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bookmarkStart w:id="19" w:name="_Toc513029226"/>
      <w:r/>
      <w:bookmarkStart w:id="20" w:name="_Toc16938542"/>
      <w:r/>
      <w:bookmarkStart w:id="21" w:name="_Toc20823298"/>
      <w:r/>
      <w:r/>
    </w:p>
    <w:p>
      <w:pPr>
        <w:ind w:left="0" w:firstLine="420"/>
        <w:keepLines w:val="0"/>
        <w:keepNext w:val="0"/>
        <w:pageBreakBefore w:val="0"/>
        <w:spacing w:line="360" w:lineRule="auto"/>
        <w:widowControl w:val="off"/>
        <w:rPr>
          <w:rFonts w:ascii="宋体" w:hAnsi="宋体"/>
          <w:b w:val="0"/>
          <w:bCs/>
          <w:color w:val="auto"/>
          <w:szCs w:val="21"/>
          <w:highlight w:val="none"/>
        </w:rPr>
      </w:pPr>
      <w:r>
        <w:rPr>
          <w:rFonts w:hint="eastAsia" w:ascii="宋体" w:hAnsi="宋体"/>
          <w:b w:val="0"/>
          <w:bCs/>
          <w:color w:val="auto"/>
          <w:szCs w:val="21"/>
          <w:highlight w:val="none"/>
        </w:rPr>
        <w:t xml:space="preserve">17.2政府采购管理交易系统（苏采云）相关要求是本招标文件的组成部分。</w:t>
      </w:r>
      <w:r/>
    </w:p>
    <w:p>
      <w:pPr>
        <w:ind w:left="0" w:firstLine="420"/>
        <w:keepLines w:val="0"/>
        <w:keepNext w:val="0"/>
        <w:pageBreakBefore w:val="0"/>
        <w:spacing w:line="360" w:lineRule="auto"/>
        <w:widowControl w:val="off"/>
        <w:rPr>
          <w:rFonts w:ascii="宋体" w:hAnsi="宋体"/>
          <w:b w:val="0"/>
          <w:bCs/>
          <w:color w:val="auto"/>
          <w:szCs w:val="21"/>
          <w:highlight w:val="none"/>
        </w:rPr>
      </w:pPr>
      <w:r>
        <w:rPr>
          <w:rFonts w:hint="eastAsia" w:ascii="宋体" w:hAnsi="宋体"/>
          <w:b w:val="0"/>
          <w:bCs/>
          <w:color w:val="auto"/>
          <w:szCs w:val="21"/>
          <w:highlight w:val="none"/>
        </w:rPr>
        <w:t xml:space="preserve">17.3投标人应对 CA 证书妥善保管，如被他人盗用投标，因此带来的结果均由投标人自行承担。</w:t>
      </w:r>
      <w:r/>
    </w:p>
    <w:p>
      <w:pPr>
        <w:ind w:left="0" w:firstLine="420"/>
        <w:keepLines w:val="0"/>
        <w:keepNext w:val="0"/>
        <w:pageBreakBefore w:val="0"/>
        <w:spacing w:line="360" w:lineRule="auto"/>
        <w:widowControl w:val="off"/>
        <w:rPr>
          <w:rFonts w:ascii="宋体" w:hAnsi="宋体"/>
          <w:b w:val="0"/>
          <w:bCs/>
          <w:color w:val="auto"/>
          <w:szCs w:val="21"/>
          <w:highlight w:val="none"/>
        </w:rPr>
      </w:pPr>
      <w:r>
        <w:rPr>
          <w:rFonts w:hint="eastAsia" w:ascii="宋体" w:hAnsi="宋体"/>
          <w:b w:val="0"/>
          <w:bCs/>
          <w:color w:val="auto"/>
          <w:szCs w:val="21"/>
          <w:highlight w:val="none"/>
        </w:rPr>
        <w:t xml:space="preserve">17.4投标人应当对招标文件提出的要求和条件作出实质性响应，并在电子投标系统逐条应答。</w:t>
      </w:r>
      <w:r/>
    </w:p>
    <w:p>
      <w:pPr>
        <w:ind w:left="0" w:firstLine="420"/>
        <w:keepLines w:val="0"/>
        <w:keepNext w:val="0"/>
        <w:pageBreakBefore w:val="0"/>
        <w:spacing w:line="360" w:lineRule="auto"/>
        <w:widowControl w:val="off"/>
        <w:rPr>
          <w:rFonts w:ascii="宋体" w:hAnsi="宋体"/>
          <w:b w:val="0"/>
          <w:bCs/>
          <w:color w:val="auto"/>
          <w:szCs w:val="21"/>
          <w:highlight w:val="none"/>
        </w:rPr>
      </w:pPr>
      <w:r>
        <w:rPr>
          <w:rFonts w:hint="eastAsia" w:ascii="宋体" w:hAnsi="宋体"/>
          <w:b w:val="0"/>
          <w:bCs/>
          <w:color w:val="auto"/>
          <w:szCs w:val="21"/>
          <w:highlight w:val="none"/>
        </w:rPr>
        <w:t xml:space="preserve">17.5投标人应对要求提供的资格证明文件（如资质证书、资格证书）、技术资料（如白皮书、彩页、手册、检测报告等）扫描上传至投标系统。</w:t>
      </w:r>
      <w:r/>
    </w:p>
    <w:p>
      <w:pPr>
        <w:ind w:left="0" w:firstLine="420"/>
        <w:keepLines w:val="0"/>
        <w:keepNext w:val="0"/>
        <w:pageBreakBefore w:val="0"/>
        <w:spacing w:line="360" w:lineRule="auto"/>
        <w:widowControl w:val="off"/>
        <w:rPr>
          <w:rFonts w:ascii="宋体" w:hAnsi="宋体"/>
          <w:b w:val="0"/>
          <w:bCs/>
          <w:color w:val="auto"/>
          <w:szCs w:val="21"/>
          <w:highlight w:val="none"/>
        </w:rPr>
      </w:pPr>
      <w:r>
        <w:rPr>
          <w:rFonts w:hint="eastAsia" w:ascii="宋体" w:hAnsi="宋体"/>
          <w:b w:val="0"/>
          <w:bCs/>
          <w:color w:val="auto"/>
          <w:szCs w:val="21"/>
          <w:highlight w:val="none"/>
        </w:rPr>
        <w:t xml:space="preserve">17.6投标人应当在招标文件要求提交投标文件的截止时间前，将投标文件提交至“苏采云”系统，逾期提交的投标文件，“苏采云”系统将自动拒收。</w:t>
      </w:r>
      <w:r/>
    </w:p>
    <w:p>
      <w:pPr>
        <w:ind w:left="0" w:firstLine="420"/>
        <w:keepLines w:val="0"/>
        <w:keepNext w:val="0"/>
        <w:pageBreakBefore w:val="0"/>
        <w:spacing w:line="360" w:lineRule="auto"/>
        <w:widowControl w:val="off"/>
        <w:rPr>
          <w:b w:val="0"/>
          <w:bCs/>
          <w:color w:val="auto"/>
          <w:highlight w:val="none"/>
        </w:rPr>
      </w:pPr>
      <w:r>
        <w:rPr>
          <w:rFonts w:hint="eastAsia" w:ascii="宋体" w:hAnsi="宋体"/>
          <w:b w:val="0"/>
          <w:bCs/>
          <w:color w:val="auto"/>
          <w:szCs w:val="21"/>
          <w:highlight w:val="none"/>
        </w:rPr>
        <w:t xml:space="preserve">17.7各投标人应在规定时间内凭CA证书进行网上解密。</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18、投标截止日期</w:t>
      </w:r>
      <w:bookmarkEnd w:id="19"/>
      <w:r/>
      <w:bookmarkEnd w:id="20"/>
      <w:r/>
      <w:bookmarkEnd w:id="21"/>
      <w:r/>
      <w:r/>
    </w:p>
    <w:p>
      <w:pPr>
        <w:ind w:left="0" w:firstLine="420"/>
        <w:keepLines w:val="0"/>
        <w:keepNext w:val="0"/>
        <w:pageBreakBefore w:val="0"/>
        <w:spacing w:line="360" w:lineRule="auto"/>
        <w:widowControl w:val="off"/>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left="0" w:firstLine="422"/>
        <w:keepLines w:val="0"/>
        <w:keepNext w:val="0"/>
        <w:pageBreakBefore w:val="0"/>
        <w:spacing w:line="360" w:lineRule="auto"/>
        <w:widowControl w:val="off"/>
        <w:rPr>
          <w:rFonts w:ascii="宋体" w:hAnsi="宋体"/>
          <w:b/>
          <w:color w:val="auto"/>
          <w:szCs w:val="21"/>
          <w:highlight w:val="none"/>
        </w:rPr>
      </w:pPr>
      <w:r/>
      <w:bookmarkStart w:id="22" w:name="_Toc513029227"/>
      <w:r/>
      <w:bookmarkStart w:id="23" w:name="_Toc16938543"/>
      <w:r/>
      <w:bookmarkStart w:id="24" w:name="_Toc20823299"/>
      <w:r>
        <w:rPr>
          <w:rFonts w:hint="eastAsia" w:ascii="宋体" w:hAnsi="宋体"/>
          <w:b/>
          <w:color w:val="auto"/>
          <w:szCs w:val="21"/>
          <w:highlight w:val="none"/>
        </w:rPr>
        <w:t xml:space="preserve">19、投标文件</w:t>
      </w:r>
      <w:bookmarkEnd w:id="22"/>
      <w:r/>
      <w:bookmarkEnd w:id="23"/>
      <w:r/>
      <w:bookmarkEnd w:id="24"/>
      <w:r>
        <w:rPr>
          <w:rFonts w:hint="eastAsia" w:ascii="宋体" w:hAnsi="宋体"/>
          <w:b/>
          <w:color w:val="auto"/>
          <w:szCs w:val="21"/>
          <w:highlight w:val="none"/>
        </w:rPr>
        <w:t xml:space="preserve">的拒收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left="0" w:firstLine="422"/>
        <w:keepLines w:val="0"/>
        <w:keepNext w:val="0"/>
        <w:pageBreakBefore w:val="0"/>
        <w:spacing w:line="360" w:lineRule="auto"/>
        <w:widowControl w:val="off"/>
        <w:rPr>
          <w:rFonts w:ascii="宋体" w:hAnsi="宋体"/>
          <w:b/>
          <w:color w:val="auto"/>
          <w:szCs w:val="21"/>
          <w:highlight w:val="none"/>
        </w:rPr>
      </w:pPr>
      <w:r/>
      <w:bookmarkStart w:id="25" w:name="_Toc513029228"/>
      <w:r/>
      <w:bookmarkStart w:id="26" w:name="_Toc16938544"/>
      <w:r/>
      <w:bookmarkStart w:id="27" w:name="_Toc20823300"/>
      <w:r>
        <w:rPr>
          <w:rFonts w:hint="eastAsia" w:ascii="宋体" w:hAnsi="宋体"/>
          <w:b/>
          <w:color w:val="auto"/>
          <w:szCs w:val="21"/>
          <w:highlight w:val="none"/>
        </w:rPr>
        <w:t xml:space="preserve">20、投标文件的撤回和修改</w:t>
      </w:r>
      <w:bookmarkEnd w:id="25"/>
      <w:r/>
      <w:bookmarkEnd w:id="26"/>
      <w:r/>
      <w:bookmarkEnd w:id="27"/>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20.1 投标文件的撤回</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20.2 投标文件的修改</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21、开标</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21.2投标人不足3家的，不得开标。</w:t>
      </w:r>
      <w:r/>
    </w:p>
    <w:p>
      <w:pPr>
        <w:ind w:left="0" w:firstLine="420"/>
        <w:keepLines w:val="0"/>
        <w:keepNext w:val="0"/>
        <w:pageBreakBefore w:val="0"/>
        <w:spacing w:line="360" w:lineRule="auto"/>
        <w:widowControl w:val="off"/>
        <w:rPr>
          <w:rFonts w:ascii="宋体" w:hAnsi="宋体"/>
          <w:b w:val="0"/>
          <w:bCs/>
          <w:color w:val="auto"/>
          <w:szCs w:val="21"/>
          <w:highlight w:val="none"/>
        </w:rPr>
      </w:pPr>
      <w:r>
        <w:rPr>
          <w:rFonts w:hint="eastAsia" w:ascii="宋体" w:hAnsi="宋体"/>
          <w:b w:val="0"/>
          <w:bCs/>
          <w:color w:val="auto"/>
          <w:szCs w:val="21"/>
          <w:highlight w:val="none"/>
        </w:rPr>
        <w:t xml:space="preserve">21.3开标仪式由代理机构主持。“政府采购管理交易系统（苏采云）”将自动对项目进行开标，并宣读各投标人的《开标一览表》。</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21.4投标人在开标过程中涉及到的投标文件解密、开标结果确认等工作，应按照《操作手册》规定执行。</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22、评标委员会</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22.1 开标后，代理机构将立即组织评标委员会（以下简称评委会）进行评标。</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22.2 评委会由采购人代表和有关技术、经济等方面的专家组成，且人员构成符合政府采购有关规定。</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22.3评委会独立工作，负责评审所有投标文件并确定中标候选人。</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23、评标过程的保密与公正</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24、投标的澄清</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24.3 接到评委会澄清要求的投标人如未按规定做出澄清，其风险由投标人自行承担。</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25、对投标文件的初审</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25.1.1资格审查：依据法律法规和招标文件的规定，对投标文件中的资格证明文件进行审查。并将审查结论以书面形式向评委会反馈。</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left="0" w:firstLine="420"/>
        <w:jc w:val="left"/>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25.7 投标人在开、评标全过程中应保持通讯畅通，并安排专人与代理机构及评委会联系。</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26.1无效投标条款</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Cs/>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26.1.12 投标文件未按照招标文件要求加盖电子签章。</w:t>
      </w:r>
      <w:r/>
    </w:p>
    <w:p>
      <w:pPr>
        <w:ind w:firstLine="420"/>
        <w:keepLines w:val="0"/>
        <w:keepNext w:val="0"/>
        <w:pageBreakBefore w:val="0"/>
        <w:spacing w:line="360" w:lineRule="auto"/>
        <w:widowControl w:val="off"/>
        <w:rPr>
          <w:rFonts w:hint="eastAsia" w:ascii="宋体" w:hAnsi="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auto"/>
          <w:szCs w:val="21"/>
          <w:highlight w:val="none"/>
        </w:rPr>
        <w:t xml:space="preserve">26.1.1</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 异常低价投标（响应）</w:t>
      </w:r>
      <w:r/>
    </w:p>
    <w:p>
      <w:pPr>
        <w:ind w:firstLine="420"/>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26.1.</w:t>
      </w:r>
      <w:r>
        <w:rPr>
          <w:rFonts w:hint="eastAsia" w:ascii="宋体" w:hAnsi="宋体"/>
          <w:bCs/>
          <w:color w:val="auto"/>
          <w:szCs w:val="21"/>
          <w:highlight w:val="none"/>
          <w:lang w:val="en-US" w:eastAsia="zh-CN"/>
        </w:rPr>
        <w:t xml:space="preserve">13</w:t>
      </w:r>
      <w:r>
        <w:rPr>
          <w:rFonts w:hint="eastAsia" w:ascii="宋体" w:hAnsi="宋体"/>
          <w:bCs/>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0"/>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26.1.</w:t>
      </w:r>
      <w:r>
        <w:rPr>
          <w:rFonts w:hint="eastAsia" w:ascii="宋体" w:hAnsi="宋体"/>
          <w:bCs/>
          <w:color w:val="auto"/>
          <w:szCs w:val="21"/>
          <w:highlight w:val="none"/>
          <w:lang w:val="en-US" w:eastAsia="zh-CN"/>
        </w:rPr>
        <w:t xml:space="preserve">13</w:t>
      </w:r>
      <w:r>
        <w:rPr>
          <w:rFonts w:hint="eastAsia" w:ascii="宋体" w:hAnsi="宋体"/>
          <w:bCs/>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0"/>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26.1.</w:t>
      </w:r>
      <w:r>
        <w:rPr>
          <w:rFonts w:hint="eastAsia" w:ascii="宋体" w:hAnsi="宋体"/>
          <w:bCs/>
          <w:color w:val="auto"/>
          <w:szCs w:val="21"/>
          <w:highlight w:val="none"/>
          <w:lang w:val="en-US" w:eastAsia="zh-CN"/>
        </w:rPr>
        <w:t xml:space="preserve">13</w:t>
      </w:r>
      <w:r>
        <w:rPr>
          <w:rFonts w:hint="eastAsia" w:ascii="宋体" w:hAnsi="宋体"/>
          <w:bCs/>
          <w:color w:val="auto"/>
          <w:szCs w:val="21"/>
          <w:highlight w:val="none"/>
        </w:rPr>
        <w:t xml:space="preserve">.3投标（响应）报价低于采购项目最高限价45%的，即投标（响应）报价&lt;采购项目最高限价×45%； </w:t>
      </w:r>
      <w:r/>
    </w:p>
    <w:p>
      <w:pPr>
        <w:ind w:firstLine="420"/>
        <w:keepLines w:val="0"/>
        <w:keepNext w:val="0"/>
        <w:pageBreakBefore w:val="0"/>
        <w:spacing w:line="360" w:lineRule="auto"/>
        <w:widowControl w:val="off"/>
        <w:rPr>
          <w:color w:val="auto"/>
          <w:highlight w:val="none"/>
        </w:rPr>
      </w:pPr>
      <w:r>
        <w:rPr>
          <w:rFonts w:hint="eastAsia" w:ascii="宋体" w:hAnsi="宋体"/>
          <w:bCs/>
          <w:color w:val="auto"/>
          <w:szCs w:val="21"/>
          <w:highlight w:val="none"/>
        </w:rPr>
        <w:t xml:space="preserve">26.1.</w:t>
      </w:r>
      <w:r>
        <w:rPr>
          <w:rFonts w:hint="eastAsia" w:ascii="宋体" w:hAnsi="宋体"/>
          <w:bCs/>
          <w:color w:val="auto"/>
          <w:szCs w:val="21"/>
          <w:highlight w:val="none"/>
          <w:lang w:val="en-US" w:eastAsia="zh-CN"/>
        </w:rPr>
        <w:t xml:space="preserve">13</w:t>
      </w:r>
      <w:r>
        <w:rPr>
          <w:rFonts w:hint="eastAsia" w:ascii="宋体" w:hAnsi="宋体"/>
          <w:bCs/>
          <w:color w:val="auto"/>
          <w:szCs w:val="21"/>
          <w:highlight w:val="none"/>
        </w:rPr>
        <w:t xml:space="preserve">.4 评审委员会认定的供应商报价过低、有可能影响产品质量或者不能诚信履约的其他情形。</w:t>
      </w:r>
      <w:r/>
    </w:p>
    <w:p>
      <w:pPr>
        <w:ind w:firstLine="420"/>
        <w:keepLines w:val="0"/>
        <w:keepNext w:val="0"/>
        <w:pageBreakBefore w:val="0"/>
        <w:spacing w:line="360" w:lineRule="auto"/>
        <w:widowControl w:val="off"/>
        <w:rPr>
          <w:rFonts w:hint="eastAsia" w:ascii="宋体" w:hAnsi="宋体"/>
          <w:color w:val="auto"/>
          <w:highlight w:val="none"/>
        </w:rPr>
      </w:pPr>
      <w:r>
        <w:rPr>
          <w:rFonts w:hint="eastAsia" w:ascii="宋体" w:hAnsi="宋体"/>
          <w:bCs/>
          <w:color w:val="auto"/>
          <w:szCs w:val="21"/>
          <w:highlight w:val="none"/>
        </w:rPr>
        <w:t xml:space="preserve">26.1.</w:t>
      </w:r>
      <w:r>
        <w:rPr>
          <w:rFonts w:hint="eastAsia" w:ascii="宋体" w:hAnsi="宋体"/>
          <w:bCs/>
          <w:color w:val="auto"/>
          <w:szCs w:val="21"/>
          <w:highlight w:val="none"/>
          <w:lang w:val="en-US" w:eastAsia="zh-CN"/>
        </w:rPr>
        <w:t xml:space="preserve">13</w:t>
      </w:r>
      <w:r>
        <w:rPr>
          <w:rFonts w:hint="eastAsia" w:ascii="宋体" w:hAnsi="宋体"/>
          <w:bCs/>
          <w:color w:val="auto"/>
          <w:szCs w:val="21"/>
          <w:highlight w:val="none"/>
        </w:rPr>
        <w:t xml:space="preserve">.5 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26.1.1</w:t>
      </w:r>
      <w:r>
        <w:rPr>
          <w:rFonts w:hint="eastAsia" w:ascii="宋体" w:hAnsi="宋体"/>
          <w:bCs/>
          <w:color w:val="auto"/>
          <w:szCs w:val="21"/>
          <w:highlight w:val="none"/>
          <w:lang w:val="en-US" w:eastAsia="zh-CN"/>
        </w:rPr>
        <w:t xml:space="preserve">4</w:t>
      </w:r>
      <w:r>
        <w:rPr>
          <w:rFonts w:hint="eastAsia" w:ascii="宋体" w:hAnsi="宋体"/>
          <w:bCs/>
          <w:color w:val="auto"/>
          <w:szCs w:val="21"/>
          <w:highlight w:val="none"/>
        </w:rPr>
        <w:t xml:space="preserve">其他法律、法规及本招标文件规定的属无效投标的情形。</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26.2废标条款：</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26.2.1符合专业条件的供应商或者对招标文件作实质响应的供应商不足三家的。26.2.2出现影响采购公正的违法、违规行为的。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26.2.3因重大变故，采购任务取消的。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26.2.4评委会认定招标文件存在歧义、重大缺陷导致评审工作无法进行。</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27、确定中标单位</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27.3代理机构将在“扬州市政府采购网”、“江苏省政府采购网”</w:t>
      </w: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中国政府采购网</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发布中标公告，公告期限为1个工作日。</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28、质疑处理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28.2.2对采购过程提出质疑的，为各采购程序环节结束之日起7个工作日内提出。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28.2.3对中标结果提出质疑的，为中标结果公告期限届满之日起7个工作日内提出。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//zfcg.yangzhou.gov.cn。供应商如组成联合体参加投标，则《质疑函范本》及《授权委托书》中要求签字、盖章、加盖公章之处，联合体各方均须按要求签字、盖章、加盖公章。</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28.5 代理机构及采购人只接收以纸质原件形式送达的质疑。</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29、中标通知书</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30、 签订合同</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30.l中标人应在中标通知书发出之日起三十日内，按照招标文件确定的事项与采购人签订政府采购合同。</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。未经采购人同意，中标人也不得采用分包的形式履行合同，否则采购人有权终止合同。转包或分包造成采购人损失的，中标人应承担赔偿责任。</w:t>
      </w:r>
      <w:r/>
    </w:p>
    <w:p>
      <w:pPr>
        <w:ind w:left="0"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pStyle w:val="812"/>
        <w:jc w:val="center"/>
        <w:keepLines/>
        <w:keepNext/>
        <w:pageBreakBefore w:val="0"/>
        <w:spacing w:line="360" w:lineRule="auto"/>
        <w:widowControl w:val="off"/>
        <w:rPr>
          <w:rFonts w:ascii="宋体" w:hAnsi="宋体" w:cs="宋体"/>
          <w:color w:val="auto"/>
          <w:sz w:val="36"/>
          <w:highlight w:val="none"/>
        </w:rPr>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第三章 合同条款及格式</w:t>
      </w:r>
      <w:bookmarkEnd w:id="14"/>
      <w:r/>
      <w:r/>
    </w:p>
    <w:p>
      <w:pPr>
        <w:pStyle w:val="839"/>
        <w:ind w:firstLine="420"/>
        <w:keepLines w:val="0"/>
        <w:keepNext w:val="0"/>
        <w:pageBreakBefore w:val="0"/>
        <w:spacing w:line="360" w:lineRule="auto"/>
        <w:widowControl w:val="off"/>
        <w:rPr>
          <w:rFonts w:hAnsi="宋体" w:cs="宋体"/>
          <w:color w:val="auto"/>
          <w:sz w:val="21"/>
          <w:highlight w:val="none"/>
        </w:rPr>
      </w:pPr>
      <w:r/>
      <w:bookmarkStart w:id="28" w:name="_Hlt16619369"/>
      <w:r/>
      <w:bookmarkEnd w:id="28"/>
      <w:r>
        <w:rPr>
          <w:rFonts w:hint="eastAsia" w:hAnsi="宋体" w:cs="宋体"/>
          <w:color w:val="auto"/>
          <w:sz w:val="21"/>
          <w:highlight w:val="none"/>
        </w:rPr>
        <w:t xml:space="preserve">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r/>
    </w:p>
    <w:p>
      <w:pPr>
        <w:pStyle w:val="839"/>
        <w:rPr>
          <w:rFonts w:hAnsi="宋体" w:cs="宋体"/>
          <w:color w:val="auto"/>
          <w:highlight w:val="none"/>
        </w:rPr>
      </w:pPr>
      <w:r>
        <w:rPr>
          <w:rFonts w:hAnsi="宋体" w:cs="宋体"/>
          <w:color w:val="auto"/>
          <w:highlight w:val="none"/>
        </w:rPr>
      </w:r>
      <w:r/>
    </w:p>
    <w:p>
      <w:pPr>
        <w:pStyle w:val="839"/>
        <w:ind w:firstLine="422"/>
        <w:jc w:val="center"/>
        <w:spacing w:before="120" w:after="120" w:line="360" w:lineRule="auto"/>
        <w:rPr>
          <w:rFonts w:hAnsi="宋体"/>
          <w:b/>
          <w:bCs/>
          <w:color w:val="auto"/>
          <w:sz w:val="21"/>
          <w:highlight w:val="none"/>
        </w:rPr>
      </w:pPr>
      <w:r>
        <w:rPr>
          <w:rFonts w:hint="eastAsia" w:hAnsi="宋体"/>
          <w:b/>
          <w:bCs/>
          <w:color w:val="auto"/>
          <w:sz w:val="21"/>
          <w:highlight w:val="none"/>
        </w:rPr>
        <w:t xml:space="preserve">政府采购合同</w:t>
      </w:r>
      <w:r>
        <w:rPr>
          <w:rFonts w:hAnsi="宋体"/>
          <w:b/>
          <w:bCs/>
          <w:color w:val="auto"/>
          <w:sz w:val="21"/>
          <w:highlight w:val="none"/>
        </w:rPr>
        <w:t xml:space="preserve"> </w:t>
      </w:r>
      <w:r/>
    </w:p>
    <w:p>
      <w:pPr>
        <w:pStyle w:val="839"/>
        <w:spacing w:before="120" w:after="120" w:line="360" w:lineRule="auto"/>
        <w:rPr>
          <w:rFonts w:hAnsi="宋体" w:cs="宋体"/>
          <w:color w:val="auto"/>
          <w:sz w:val="21"/>
          <w:highlight w:val="none"/>
        </w:rPr>
      </w:pPr>
      <w:r>
        <w:rPr>
          <w:rFonts w:hint="eastAsia" w:hAnsi="宋体" w:cs="宋体"/>
          <w:color w:val="auto"/>
          <w:sz w:val="21"/>
          <w:highlight w:val="none"/>
        </w:rPr>
        <w:t xml:space="preserve">项目名称：</w:t>
      </w:r>
      <w:r>
        <w:rPr>
          <w:rFonts w:hint="eastAsia" w:hAnsi="宋体" w:cs="宋体"/>
          <w:color w:val="auto"/>
          <w:sz w:val="21"/>
          <w:highlight w:val="none"/>
          <w:lang w:eastAsia="zh-CN"/>
        </w:rPr>
        <w:t xml:space="preserve">扬州市检验检测中心2026年重点工业产品检验检测设备更新项目</w:t>
      </w:r>
      <w:r>
        <w:rPr>
          <w:rFonts w:hint="eastAsia" w:hAnsi="宋体" w:cs="宋体"/>
          <w:color w:val="auto"/>
          <w:sz w:val="21"/>
          <w:highlight w:val="none"/>
        </w:rPr>
        <w:t xml:space="preserve">                       </w:t>
      </w:r>
      <w:r/>
    </w:p>
    <w:p>
      <w:pPr>
        <w:pStyle w:val="839"/>
        <w:spacing w:before="120" w:after="120" w:line="360" w:lineRule="auto"/>
        <w:rPr>
          <w:rFonts w:hAnsi="宋体" w:cs="宋体"/>
          <w:b w:val="0"/>
          <w:bCs w:val="0"/>
          <w:color w:val="auto"/>
          <w:sz w:val="21"/>
          <w:szCs w:val="21"/>
          <w:highlight w:val="none"/>
        </w:rPr>
      </w:pPr>
      <w:r>
        <w:rPr>
          <w:rFonts w:hint="eastAsia" w:hAnsi="宋体" w:cs="宋体"/>
          <w:color w:val="auto"/>
          <w:sz w:val="21"/>
          <w:highlight w:val="none"/>
        </w:rPr>
        <w:t xml:space="preserve">编号</w:t>
      </w:r>
      <w:r>
        <w:rPr>
          <w:rFonts w:hint="eastAsia" w:hAnsi="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eastAsia="zh-CN"/>
        </w:rPr>
        <w:t xml:space="preserve">JSZC-321000-JYYH-G2026-0002</w:t>
      </w:r>
      <w:r>
        <w:rPr>
          <w:rFonts w:hint="eastAsia" w:hAnsi="宋体" w:cs="宋体"/>
          <w:b w:val="0"/>
          <w:bCs w:val="0"/>
          <w:color w:val="auto"/>
          <w:sz w:val="21"/>
          <w:szCs w:val="21"/>
          <w:highlight w:val="none"/>
        </w:rPr>
        <w:t xml:space="preserve">号</w:t>
      </w:r>
      <w:r>
        <w:rPr>
          <w:b w:val="0"/>
          <w:bCs w:val="0"/>
          <w:sz w:val="21"/>
          <w:szCs w:val="21"/>
        </w:rPr>
      </w:r>
      <w:r/>
    </w:p>
    <w:p>
      <w:pPr>
        <w:pStyle w:val="839"/>
        <w:spacing w:before="120" w:after="120" w:line="360" w:lineRule="auto"/>
        <w:rPr>
          <w:rFonts w:hAnsi="宋体" w:cs="宋体"/>
          <w:color w:val="auto"/>
          <w:sz w:val="21"/>
          <w:highlight w:val="none"/>
        </w:rPr>
      </w:pPr>
      <w:r>
        <w:rPr>
          <w:rFonts w:hint="eastAsia" w:hAnsi="宋体" w:cs="宋体"/>
          <w:color w:val="auto"/>
          <w:sz w:val="21"/>
          <w:highlight w:val="none"/>
        </w:rPr>
        <w:t xml:space="preserve">甲方（采购人/买方）：</w:t>
      </w:r>
      <w:r>
        <w:rPr>
          <w:rFonts w:hint="eastAsia" w:hAnsi="宋体" w:cs="宋体"/>
          <w:color w:val="auto"/>
          <w:sz w:val="21"/>
          <w:highlight w:val="none"/>
          <w:lang w:eastAsia="zh-CN"/>
        </w:rPr>
        <w:t xml:space="preserve">扬州市检验检测中心</w:t>
      </w:r>
      <w:r>
        <w:rPr>
          <w:rFonts w:hint="eastAsia" w:hAnsi="宋体" w:cs="宋体"/>
          <w:color w:val="auto"/>
          <w:sz w:val="21"/>
          <w:highlight w:val="none"/>
        </w:rPr>
        <w:t xml:space="preserve">       </w:t>
      </w:r>
      <w:r/>
    </w:p>
    <w:p>
      <w:pPr>
        <w:pStyle w:val="839"/>
        <w:spacing w:before="120" w:after="120" w:line="360" w:lineRule="auto"/>
        <w:rPr>
          <w:rFonts w:hAnsi="宋体" w:cs="宋体"/>
          <w:color w:val="auto"/>
          <w:sz w:val="21"/>
          <w:highlight w:val="none"/>
        </w:rPr>
      </w:pPr>
      <w:r>
        <w:rPr>
          <w:rFonts w:hint="eastAsia" w:hAnsi="宋体" w:cs="宋体"/>
          <w:color w:val="auto"/>
          <w:sz w:val="21"/>
          <w:highlight w:val="none"/>
        </w:rPr>
        <w:t xml:space="preserve">乙方（供应商/卖方）：</w:t>
      </w:r>
      <w:r>
        <w:rPr>
          <w:rFonts w:hint="eastAsia" w:hAnsi="宋体" w:cs="宋体"/>
          <w:color w:val="auto"/>
          <w:sz w:val="21"/>
          <w:highlight w:val="none"/>
          <w:u w:val="single"/>
        </w:rPr>
        <w:t xml:space="preserve">                </w:t>
      </w:r>
      <w:r/>
    </w:p>
    <w:p>
      <w:pPr>
        <w:pStyle w:val="839"/>
        <w:spacing w:before="120" w:after="120" w:line="360" w:lineRule="auto"/>
        <w:rPr>
          <w:rFonts w:hint="eastAsia" w:hAnsi="宋体" w:eastAsia="宋体" w:cs="宋体"/>
          <w:color w:val="auto"/>
          <w:sz w:val="21"/>
          <w:highlight w:val="none"/>
          <w:lang w:eastAsia="zh-CN"/>
        </w:rPr>
      </w:pPr>
      <w:r>
        <w:rPr>
          <w:rFonts w:hint="eastAsia" w:hAnsi="宋体" w:cs="宋体"/>
          <w:color w:val="auto"/>
          <w:sz w:val="21"/>
          <w:highlight w:val="none"/>
        </w:rPr>
        <w:t xml:space="preserve">见证方：</w:t>
      </w:r>
      <w:r>
        <w:rPr>
          <w:rFonts w:hint="eastAsia" w:hAnsi="宋体" w:cs="宋体"/>
          <w:color w:val="auto"/>
          <w:sz w:val="21"/>
          <w:highlight w:val="none"/>
          <w:lang w:eastAsia="zh-CN"/>
        </w:rPr>
        <w:t xml:space="preserve">江苏华彦建设投资管理有限公司</w:t>
      </w:r>
      <w:r/>
    </w:p>
    <w:p>
      <w:pPr>
        <w:pStyle w:val="839"/>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根据《中华人民共和国政府采购法》、《中华人民共和国民法典》等法律法规的规定，甲乙双方按照</w:t>
      </w:r>
      <w:r>
        <w:rPr>
          <w:rFonts w:hint="eastAsia" w:hAnsi="宋体" w:cs="宋体"/>
          <w:color w:val="auto"/>
          <w:sz w:val="21"/>
          <w:highlight w:val="none"/>
          <w:lang w:eastAsia="zh-CN"/>
        </w:rPr>
        <w:t xml:space="preserve">江苏华彦建设投资管理有限公司</w:t>
      </w:r>
      <w:r>
        <w:rPr>
          <w:rFonts w:hint="eastAsia" w:hAnsi="宋体" w:cs="宋体"/>
          <w:color w:val="auto"/>
          <w:sz w:val="21"/>
          <w:highlight w:val="none"/>
        </w:rPr>
        <w:t xml:space="preserve">关于本项目招标结果签订本合同。</w:t>
      </w:r>
      <w:r/>
    </w:p>
    <w:p>
      <w:pPr>
        <w:pStyle w:val="839"/>
        <w:ind w:firstLine="422"/>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1、合同标的</w:t>
      </w:r>
      <w:r/>
    </w:p>
    <w:p>
      <w:pPr>
        <w:pStyle w:val="839"/>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乙方根据甲方需求，提供下列货物：</w:t>
      </w:r>
      <w:r>
        <w:rPr>
          <w:rFonts w:hint="eastAsia" w:hAnsi="宋体" w:cs="宋体"/>
          <w:color w:val="auto"/>
          <w:sz w:val="21"/>
          <w:highlight w:val="none"/>
          <w:u w:val="single"/>
        </w:rPr>
        <w:t xml:space="preserve">                      </w:t>
      </w:r>
      <w:r>
        <w:rPr>
          <w:rFonts w:hint="eastAsia" w:hAnsi="宋体" w:cs="宋体"/>
          <w:color w:val="auto"/>
          <w:sz w:val="21"/>
          <w:highlight w:val="none"/>
        </w:rPr>
        <w:t xml:space="preserve">。</w:t>
      </w:r>
      <w:r/>
    </w:p>
    <w:p>
      <w:pPr>
        <w:pStyle w:val="839"/>
        <w:ind w:firstLine="420"/>
        <w:spacing w:before="120" w:after="120" w:line="360" w:lineRule="auto"/>
        <w:rPr>
          <w:rFonts w:hAnsi="宋体" w:cs="宋体"/>
          <w:b/>
          <w:color w:val="auto"/>
          <w:sz w:val="21"/>
          <w:highlight w:val="none"/>
        </w:rPr>
      </w:pPr>
      <w:r>
        <w:rPr>
          <w:rFonts w:hint="eastAsia" w:hAnsi="宋体" w:cs="宋体"/>
          <w:color w:val="auto"/>
          <w:sz w:val="21"/>
          <w:highlight w:val="none"/>
        </w:rPr>
        <w:t xml:space="preserve">货物名称、规格及数量等要求详见招投标文件。</w:t>
      </w:r>
      <w:r/>
    </w:p>
    <w:p>
      <w:pPr>
        <w:pStyle w:val="839"/>
        <w:ind w:firstLine="422"/>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2、合同总金额</w:t>
      </w:r>
      <w:r/>
    </w:p>
    <w:p>
      <w:pPr>
        <w:pStyle w:val="839"/>
        <w:ind w:left="315" w:firstLine="105"/>
        <w:spacing w:before="120" w:after="120" w:line="360" w:lineRule="auto"/>
        <w:rPr>
          <w:rFonts w:hAnsi="宋体" w:cs="宋体"/>
          <w:color w:val="auto"/>
          <w:sz w:val="21"/>
          <w:highlight w:val="none"/>
        </w:rPr>
      </w:pPr>
      <w:r>
        <w:rPr>
          <w:rFonts w:hint="eastAsia" w:hAnsi="宋体" w:cs="宋体"/>
          <w:color w:val="auto"/>
          <w:sz w:val="21"/>
          <w:highlight w:val="none"/>
        </w:rPr>
        <w:t xml:space="preserve">2.1 本合同金额为（大写）：______________元人民币（¥_____元）。</w:t>
      </w:r>
      <w:r/>
    </w:p>
    <w:p>
      <w:pPr>
        <w:pStyle w:val="839"/>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2.2 本合同总金额包括所乙方提供货物的产品费用、安装费、验收费、维护费用、税金及其他有关的为完成本项目发生的所有费用，招标文件中另有规定的除外。</w:t>
      </w:r>
      <w:r/>
    </w:p>
    <w:p>
      <w:pPr>
        <w:pStyle w:val="839"/>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2.3 在招标文件未列明，而乙方认为履行本合同必需的费用也包含在合同总金额中。</w:t>
      </w:r>
      <w:r/>
    </w:p>
    <w:p>
      <w:pPr>
        <w:pStyle w:val="839"/>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2.4 本合同总金额还包含乙方提供的伴随服务/售后服务费用。</w:t>
      </w:r>
      <w:r/>
    </w:p>
    <w:p>
      <w:pPr>
        <w:pStyle w:val="839"/>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2.5 本合同签订后：甲方需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p>
    <w:p>
      <w:pPr>
        <w:pStyle w:val="839"/>
        <w:ind w:firstLine="422"/>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3、组成本合同的有关文件</w:t>
      </w:r>
      <w:r/>
    </w:p>
    <w:p>
      <w:pPr>
        <w:pStyle w:val="839"/>
        <w:ind w:left="315" w:firstLine="105"/>
        <w:spacing w:before="120" w:after="120" w:line="360" w:lineRule="auto"/>
        <w:rPr>
          <w:rFonts w:hAnsi="宋体" w:cs="宋体"/>
          <w:color w:val="auto"/>
          <w:sz w:val="21"/>
          <w:highlight w:val="none"/>
        </w:rPr>
      </w:pPr>
      <w:r>
        <w:rPr>
          <w:rFonts w:hint="eastAsia" w:hAnsi="宋体" w:cs="宋体"/>
          <w:color w:val="auto"/>
          <w:sz w:val="21"/>
          <w:highlight w:val="none"/>
        </w:rPr>
        <w:t xml:space="preserve">3.1乙方应按招标文件规定的时间向甲方提供使用货物的有关技术资料。</w:t>
      </w:r>
      <w:r/>
    </w:p>
    <w:p>
      <w:pPr>
        <w:pStyle w:val="839"/>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p>
    <w:p>
      <w:pPr>
        <w:pStyle w:val="839"/>
        <w:ind w:left="315" w:firstLine="105"/>
        <w:spacing w:before="120" w:after="120" w:line="360" w:lineRule="auto"/>
        <w:rPr>
          <w:rFonts w:hAnsi="宋体" w:cs="宋体"/>
          <w:color w:val="auto"/>
          <w:sz w:val="21"/>
          <w:highlight w:val="none"/>
        </w:rPr>
      </w:pPr>
      <w:r>
        <w:rPr>
          <w:rFonts w:hint="eastAsia" w:hAnsi="宋体" w:cs="宋体"/>
          <w:color w:val="auto"/>
          <w:sz w:val="21"/>
          <w:highlight w:val="none"/>
        </w:rPr>
        <w:t xml:space="preserve">3.3 关于本项目政府采购的招投标文件或与本次采购活动方式相适应的文件及有关附件是本合同不可分割的组成部分，这些文件包括但不限于：</w:t>
      </w:r>
      <w:r/>
    </w:p>
    <w:p>
      <w:pPr>
        <w:pStyle w:val="839"/>
        <w:ind w:left="359" w:hanging="359"/>
        <w:spacing w:before="120" w:after="120" w:line="360" w:lineRule="auto"/>
        <w:rPr>
          <w:rFonts w:hAnsi="宋体" w:cs="宋体"/>
          <w:color w:val="auto"/>
          <w:sz w:val="21"/>
          <w:highlight w:val="none"/>
        </w:rPr>
      </w:pPr>
      <w:r>
        <w:rPr>
          <w:rFonts w:hint="eastAsia" w:hAnsi="宋体" w:cs="宋体"/>
          <w:color w:val="auto"/>
          <w:sz w:val="21"/>
          <w:highlight w:val="none"/>
        </w:rPr>
        <w:t xml:space="preserve">   （1）投标响应文件；               （2）投标产品配置与报价文件；</w:t>
      </w:r>
      <w:r/>
    </w:p>
    <w:p>
      <w:pPr>
        <w:pStyle w:val="839"/>
        <w:ind w:left="359" w:hanging="359"/>
        <w:spacing w:before="120" w:after="120" w:line="360" w:lineRule="auto"/>
        <w:rPr>
          <w:rFonts w:hAnsi="宋体" w:cs="宋体"/>
          <w:color w:val="auto"/>
          <w:sz w:val="21"/>
          <w:highlight w:val="none"/>
        </w:rPr>
      </w:pPr>
      <w:r>
        <w:rPr>
          <w:rFonts w:hint="eastAsia" w:hAnsi="宋体" w:cs="宋体"/>
          <w:color w:val="auto"/>
          <w:sz w:val="21"/>
          <w:highlight w:val="none"/>
        </w:rPr>
        <w:t xml:space="preserve">   （3）供货一览表；                 （4）技术参数响应表；</w:t>
      </w:r>
      <w:r/>
    </w:p>
    <w:p>
      <w:pPr>
        <w:pStyle w:val="839"/>
        <w:ind w:left="359" w:hanging="359"/>
        <w:spacing w:before="120" w:after="120" w:line="360" w:lineRule="auto"/>
        <w:rPr>
          <w:rFonts w:hAnsi="宋体" w:cs="宋体"/>
          <w:color w:val="auto"/>
          <w:sz w:val="21"/>
          <w:highlight w:val="none"/>
        </w:rPr>
      </w:pPr>
      <w:r>
        <w:rPr>
          <w:rFonts w:hint="eastAsia" w:hAnsi="宋体" w:cs="宋体"/>
          <w:color w:val="auto"/>
          <w:sz w:val="21"/>
          <w:highlight w:val="none"/>
        </w:rPr>
        <w:t xml:space="preserve">   （5）服务承诺；                   （6）中标通知书；</w:t>
      </w:r>
      <w:r/>
    </w:p>
    <w:p>
      <w:pPr>
        <w:pStyle w:val="839"/>
        <w:ind w:left="359" w:hanging="359"/>
        <w:spacing w:before="120" w:after="120" w:line="360" w:lineRule="auto"/>
        <w:rPr>
          <w:rFonts w:hAnsi="宋体" w:cs="宋体"/>
          <w:color w:val="auto"/>
          <w:sz w:val="21"/>
          <w:highlight w:val="none"/>
        </w:rPr>
      </w:pPr>
      <w:r>
        <w:rPr>
          <w:rFonts w:hint="eastAsia" w:hAnsi="宋体" w:cs="宋体"/>
          <w:color w:val="auto"/>
          <w:sz w:val="21"/>
          <w:highlight w:val="none"/>
        </w:rPr>
        <w:t xml:space="preserve">   （7）甲乙双方补充协议；           （8）乙方投标时提供的响应文件。</w:t>
      </w:r>
      <w:r/>
    </w:p>
    <w:p>
      <w:pPr>
        <w:pStyle w:val="839"/>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4、知识产权保证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p>
    <w:p>
      <w:pPr>
        <w:pStyle w:val="839"/>
        <w:ind w:firstLine="422"/>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5、产权保证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乙方保证所交付的货物的所有权无任何抵押、查封等权利瑕疵。</w:t>
      </w:r>
      <w:r/>
    </w:p>
    <w:p>
      <w:pPr>
        <w:pStyle w:val="839"/>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6、履约保证金</w:t>
      </w:r>
      <w:r/>
    </w:p>
    <w:p>
      <w:pPr>
        <w:pStyle w:val="839"/>
        <w:ind w:left="0" w:firstLine="420"/>
        <w:keepLines w:val="0"/>
        <w:keepNext w:val="0"/>
        <w:pageBreakBefore w:val="0"/>
        <w:spacing w:before="120" w:after="120" w:line="360" w:lineRule="auto"/>
        <w:widowControl w:val="off"/>
        <w:rPr>
          <w:rFonts w:hint="eastAsia" w:ascii="宋体" w:hAnsi="宋体" w:eastAsia="宋体" w:cs="宋体"/>
          <w:color w:val="auto"/>
          <w:sz w:val="21"/>
          <w:highlight w:val="none"/>
          <w:u w:val="none"/>
        </w:rPr>
      </w:pPr>
      <w:r>
        <w:rPr>
          <w:rFonts w:hint="eastAsia" w:ascii="宋体" w:hAnsi="宋体" w:eastAsia="宋体" w:cs="宋体"/>
          <w:color w:val="auto"/>
          <w:sz w:val="21"/>
          <w:highlight w:val="none"/>
          <w:u w:val="none"/>
        </w:rPr>
        <w:t xml:space="preserve">6.1</w:t>
      </w:r>
      <w:r>
        <w:rPr>
          <w:rFonts w:hint="eastAsia" w:ascii="宋体" w:hAnsi="宋体" w:eastAsia="宋体" w:cs="宋体"/>
          <w:color w:val="auto"/>
          <w:sz w:val="21"/>
          <w:highlight w:val="none"/>
          <w:u w:val="none"/>
          <w:lang w:val="en-US" w:eastAsia="zh-CN"/>
        </w:rPr>
        <w:t xml:space="preserve">本项目</w:t>
      </w:r>
      <w:r>
        <w:rPr>
          <w:rFonts w:hint="eastAsia" w:hAnsi="宋体" w:cs="宋体"/>
          <w:color w:val="auto"/>
          <w:sz w:val="21"/>
          <w:highlight w:val="none"/>
          <w:u w:val="none"/>
          <w:lang w:val="en-US" w:eastAsia="zh-CN"/>
        </w:rPr>
        <w:t xml:space="preserve">不</w:t>
      </w:r>
      <w:r>
        <w:rPr>
          <w:rFonts w:hint="eastAsia" w:ascii="宋体" w:hAnsi="宋体" w:eastAsia="宋体" w:cs="宋体"/>
          <w:color w:val="auto"/>
          <w:sz w:val="21"/>
          <w:highlight w:val="none"/>
          <w:u w:val="none"/>
          <w:lang w:val="en-US" w:eastAsia="zh-CN"/>
        </w:rPr>
        <w:t xml:space="preserve">收取履约保证金</w:t>
      </w:r>
      <w:r>
        <w:rPr>
          <w:rFonts w:hint="eastAsia" w:hAnsi="宋体" w:cs="宋体"/>
          <w:color w:val="auto"/>
          <w:sz w:val="21"/>
          <w:highlight w:val="none"/>
          <w:u w:val="none"/>
          <w:lang w:val="en-US" w:eastAsia="zh-CN"/>
        </w:rPr>
        <w:t xml:space="preserve">。</w:t>
      </w:r>
      <w:r/>
    </w:p>
    <w:p>
      <w:pPr>
        <w:pStyle w:val="839"/>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7、转包或分包</w:t>
      </w:r>
      <w:r/>
    </w:p>
    <w:p>
      <w:pPr>
        <w:pStyle w:val="839"/>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7.1 本合同禁止转包，本合同范围的货物，应由乙方直接供应的，不得转让他人供应。</w:t>
      </w:r>
      <w:r/>
    </w:p>
    <w:p>
      <w:pPr>
        <w:pStyle w:val="839"/>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7.2 经甲方同意，乙方可以依法采取分包方式履行合同，但是分包方式履行的，乙方应就采购项目向甲方负全责。</w:t>
      </w:r>
      <w:r>
        <w:rPr>
          <w:rFonts w:hint="eastAsia" w:hAnsi="宋体" w:cs="宋体"/>
          <w:color w:val="auto"/>
          <w:sz w:val="21"/>
          <w:highlight w:val="none"/>
        </w:rPr>
        <w:tab/>
      </w:r>
      <w:r/>
    </w:p>
    <w:p>
      <w:pPr>
        <w:pStyle w:val="839"/>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8、质保期</w:t>
      </w:r>
      <w:r/>
    </w:p>
    <w:p>
      <w:pPr>
        <w:pStyle w:val="839"/>
        <w:ind w:firstLine="420"/>
        <w:spacing w:before="120" w:after="120" w:line="360" w:lineRule="auto"/>
        <w:tabs>
          <w:tab w:val="left" w:pos="2100" w:leader="none"/>
        </w:tabs>
        <w:rPr>
          <w:rFonts w:hint="default" w:hAnsi="宋体" w:eastAsia="宋体" w:cs="宋体"/>
          <w:bCs/>
          <w:color w:val="auto"/>
          <w:sz w:val="21"/>
          <w:highlight w:val="none"/>
          <w:u w:val="single"/>
          <w:lang w:val="en-US" w:eastAsia="zh-CN"/>
        </w:rPr>
      </w:pPr>
      <w:r>
        <w:rPr>
          <w:rFonts w:hint="eastAsia" w:hAnsi="宋体" w:cs="宋体"/>
          <w:bCs/>
          <w:color w:val="auto"/>
          <w:sz w:val="21"/>
          <w:highlight w:val="none"/>
        </w:rPr>
        <w:t xml:space="preserve">质保期</w:t>
      </w:r>
      <w:r>
        <w:rPr>
          <w:rFonts w:hint="eastAsia" w:hAnsi="宋体" w:cs="宋体"/>
          <w:bCs/>
          <w:color w:val="auto"/>
          <w:sz w:val="21"/>
          <w:highlight w:val="none"/>
          <w:lang w:eastAsia="zh-CN"/>
        </w:rPr>
        <w:t xml:space="preserve">：</w:t>
      </w:r>
      <w:r>
        <w:rPr>
          <w:rFonts w:hint="eastAsia" w:hAnsi="宋体" w:cs="宋体"/>
          <w:bCs/>
          <w:color w:val="auto"/>
          <w:sz w:val="21"/>
          <w:highlight w:val="none"/>
          <w:u w:val="single"/>
          <w:lang w:val="en-US" w:eastAsia="zh-CN"/>
        </w:rPr>
        <w:t xml:space="preserve">                </w:t>
      </w:r>
      <w:r/>
    </w:p>
    <w:p>
      <w:pPr>
        <w:pStyle w:val="839"/>
        <w:ind w:firstLine="420"/>
        <w:spacing w:before="120" w:after="120" w:line="360" w:lineRule="auto"/>
        <w:rPr>
          <w:rFonts w:hAnsi="宋体" w:cs="宋体"/>
          <w:b/>
          <w:bCs w:val="0"/>
          <w:color w:val="auto"/>
          <w:sz w:val="21"/>
          <w:highlight w:val="none"/>
        </w:rPr>
      </w:pPr>
      <w:r>
        <w:rPr>
          <w:rFonts w:hint="eastAsia" w:hAnsi="宋体" w:cs="宋体"/>
          <w:b/>
          <w:bCs w:val="0"/>
          <w:color w:val="auto"/>
          <w:sz w:val="21"/>
          <w:highlight w:val="none"/>
        </w:rPr>
        <w:t xml:space="preserve">9、交货期、交货方式及交货地点</w:t>
      </w:r>
      <w:r/>
    </w:p>
    <w:p>
      <w:pPr>
        <w:ind w:firstLine="420"/>
        <w:spacing w:line="360" w:lineRule="auto"/>
        <w:rPr>
          <w:rFonts w:hint="eastAsia" w:ascii="宋体" w:hAnsi="宋体" w:eastAsia="宋体" w:cs="宋体"/>
          <w:bCs/>
          <w:color w:val="auto"/>
          <w:highlight w:val="none"/>
          <w:lang w:val="en-US" w:eastAsia="zh-CN"/>
        </w:rPr>
      </w:pPr>
      <w:r>
        <w:rPr>
          <w:rFonts w:hint="eastAsia" w:ascii="宋体" w:hAnsi="宋体" w:cs="宋体"/>
          <w:bCs/>
          <w:color w:val="auto"/>
          <w:highlight w:val="none"/>
        </w:rPr>
        <w:t xml:space="preserve">9.1 交货期：</w:t>
      </w:r>
      <w:r>
        <w:rPr>
          <w:rFonts w:hint="eastAsia" w:ascii="宋体" w:hAnsi="宋体" w:cs="宋体"/>
          <w:bCs/>
          <w:color w:val="auto"/>
          <w:highlight w:val="none"/>
          <w:u w:val="single"/>
        </w:rPr>
        <w:t xml:space="preserve">合同签订后</w:t>
      </w:r>
      <w:r>
        <w:rPr>
          <w:rFonts w:hint="eastAsia" w:ascii="宋体" w:hAnsi="宋体" w:cs="宋体"/>
          <w:bCs/>
          <w:color w:val="auto"/>
          <w:highlight w:val="none"/>
          <w:u w:val="single"/>
          <w:lang w:val="en-US" w:eastAsia="zh-CN"/>
        </w:rPr>
        <w:t xml:space="preserve">6个月</w:t>
      </w:r>
      <w:r>
        <w:rPr>
          <w:rFonts w:hint="eastAsia" w:ascii="宋体" w:hAnsi="宋体" w:cs="宋体"/>
          <w:bCs/>
          <w:color w:val="auto"/>
          <w:highlight w:val="none"/>
          <w:u w:val="single"/>
        </w:rPr>
        <w:t xml:space="preserve">内</w:t>
      </w:r>
      <w:r>
        <w:rPr>
          <w:rFonts w:hint="eastAsia" w:ascii="宋体" w:hAnsi="宋体" w:cs="宋体"/>
          <w:bCs/>
          <w:color w:val="auto"/>
          <w:highlight w:val="none"/>
          <w:u w:val="single"/>
          <w:lang w:val="en-US" w:eastAsia="zh-CN"/>
        </w:rPr>
        <w:t xml:space="preserve">完成</w:t>
      </w:r>
      <w:r/>
    </w:p>
    <w:p>
      <w:pPr>
        <w:ind w:firstLine="420"/>
        <w:spacing w:line="360" w:lineRule="auto"/>
        <w:rPr>
          <w:rFonts w:ascii="宋体" w:hAnsi="宋体" w:cs="宋体"/>
          <w:bCs/>
          <w:color w:val="auto"/>
          <w:highlight w:val="none"/>
          <w:u w:val="single"/>
        </w:rPr>
      </w:pPr>
      <w:r>
        <w:rPr>
          <w:rFonts w:hint="eastAsia" w:ascii="宋体" w:hAnsi="宋体" w:cs="宋体"/>
          <w:bCs/>
          <w:color w:val="auto"/>
          <w:highlight w:val="none"/>
        </w:rPr>
        <w:t xml:space="preserve">9.2 交货方式：</w:t>
      </w:r>
      <w:r>
        <w:rPr>
          <w:rFonts w:hint="eastAsia" w:ascii="宋体" w:hAnsi="宋体" w:cs="宋体"/>
          <w:bCs/>
          <w:color w:val="auto"/>
          <w:highlight w:val="none"/>
          <w:u w:val="single"/>
        </w:rPr>
        <w:t xml:space="preserve">甲方指定方式</w:t>
      </w:r>
      <w:r/>
    </w:p>
    <w:p>
      <w:pPr>
        <w:pStyle w:val="839"/>
        <w:ind w:firstLine="420"/>
        <w:spacing w:before="120" w:after="120" w:line="360" w:lineRule="auto"/>
        <w:rPr>
          <w:rFonts w:hAnsi="宋体" w:cs="宋体"/>
          <w:bCs/>
          <w:color w:val="auto"/>
          <w:sz w:val="21"/>
          <w:highlight w:val="none"/>
          <w:u w:val="single"/>
        </w:rPr>
      </w:pPr>
      <w:r>
        <w:rPr>
          <w:rFonts w:hint="eastAsia" w:hAnsi="宋体" w:cs="宋体"/>
          <w:bCs/>
          <w:color w:val="auto"/>
          <w:sz w:val="21"/>
          <w:highlight w:val="none"/>
        </w:rPr>
        <w:t xml:space="preserve">9.3 交货地点：</w:t>
      </w:r>
      <w:r>
        <w:rPr>
          <w:rFonts w:hint="eastAsia" w:hAnsi="宋体" w:cs="宋体"/>
          <w:bCs/>
          <w:color w:val="auto"/>
          <w:sz w:val="21"/>
          <w:highlight w:val="none"/>
          <w:u w:val="single"/>
        </w:rPr>
        <w:t xml:space="preserve">甲方指定地点</w:t>
      </w:r>
      <w:r/>
    </w:p>
    <w:p>
      <w:pPr>
        <w:pStyle w:val="839"/>
        <w:ind w:firstLine="420"/>
        <w:spacing w:before="120" w:after="120" w:line="360" w:lineRule="auto"/>
        <w:rPr>
          <w:rFonts w:hAnsi="宋体" w:cs="宋体"/>
          <w:b/>
          <w:bCs w:val="0"/>
          <w:color w:val="auto"/>
          <w:sz w:val="21"/>
          <w:highlight w:val="none"/>
        </w:rPr>
      </w:pPr>
      <w:r>
        <w:rPr>
          <w:rFonts w:hint="eastAsia" w:hAnsi="宋体" w:cs="宋体"/>
          <w:b/>
          <w:bCs w:val="0"/>
          <w:color w:val="auto"/>
          <w:sz w:val="21"/>
          <w:highlight w:val="none"/>
        </w:rPr>
        <w:t xml:space="preserve">10、货款支付</w:t>
      </w:r>
      <w:r/>
    </w:p>
    <w:p>
      <w:pPr>
        <w:pStyle w:val="839"/>
        <w:ind w:firstLine="420"/>
        <w:spacing w:before="120" w:after="120" w:line="360" w:lineRule="auto"/>
        <w:rPr>
          <w:rFonts w:hAnsi="宋体" w:cs="宋体"/>
          <w:bCs/>
          <w:color w:val="auto"/>
          <w:sz w:val="21"/>
          <w:highlight w:val="none"/>
        </w:rPr>
      </w:pPr>
      <w:r>
        <w:rPr>
          <w:rFonts w:hint="eastAsia" w:hAnsi="宋体" w:cs="宋体"/>
          <w:bCs/>
          <w:color w:val="auto"/>
          <w:sz w:val="21"/>
          <w:highlight w:val="none"/>
        </w:rPr>
        <w:t xml:space="preserve">10.1 本合同项下所有款项均以人民币支付。 </w:t>
      </w:r>
      <w:r/>
    </w:p>
    <w:p>
      <w:pPr>
        <w:pStyle w:val="839"/>
        <w:ind w:firstLine="420"/>
        <w:spacing w:before="120" w:after="120" w:line="360" w:lineRule="auto"/>
        <w:rPr>
          <w:rFonts w:hAnsi="宋体" w:cs="宋体"/>
          <w:bCs/>
          <w:color w:val="auto"/>
          <w:sz w:val="21"/>
          <w:highlight w:val="none"/>
        </w:rPr>
      </w:pPr>
      <w:r>
        <w:rPr>
          <w:rFonts w:hint="eastAsia" w:hAnsi="宋体" w:cs="宋体"/>
          <w:bCs/>
          <w:color w:val="auto"/>
          <w:sz w:val="21"/>
          <w:highlight w:val="none"/>
        </w:rPr>
        <w:t xml:space="preserve">10.2 本合同项下的采购资金由甲方支付，付款前乙方向甲方开具发票。</w:t>
      </w:r>
      <w:r/>
    </w:p>
    <w:p>
      <w:pPr>
        <w:pStyle w:val="839"/>
        <w:ind w:firstLine="420"/>
        <w:spacing w:before="120" w:after="120" w:line="360" w:lineRule="auto"/>
        <w:rPr>
          <w:rFonts w:hAnsi="宋体" w:cs="宋体"/>
          <w:b w:val="0"/>
          <w:bCs/>
          <w:strike/>
          <w:color w:val="auto"/>
          <w:sz w:val="21"/>
          <w:highlight w:val="none"/>
        </w:rPr>
      </w:pPr>
      <w:r>
        <w:rPr>
          <w:rFonts w:hint="eastAsia" w:hAnsi="宋体" w:cs="宋体"/>
          <w:bCs/>
          <w:color w:val="auto"/>
          <w:sz w:val="21"/>
          <w:highlight w:val="none"/>
        </w:rPr>
        <w:t xml:space="preserve">10.3 付款方式：</w:t>
      </w:r>
      <w:r>
        <w:rPr>
          <w:rFonts w:hint="eastAsia" w:hAnsi="宋体" w:cs="宋体"/>
          <w:b w:val="0"/>
          <w:bCs/>
          <w:color w:val="auto"/>
          <w:sz w:val="21"/>
          <w:highlight w:val="none"/>
        </w:rPr>
        <w:t xml:space="preserve">合同签订后，采购人在收到投标人开具的增值税发票后的10个工作日内支付30%预付款；货物交付、安装、调试且验收合格后，采购人在收到投标人开具的增值税发票后的10个工作日内支付70%尾款。</w:t>
      </w:r>
      <w:r/>
    </w:p>
    <w:p>
      <w:pPr>
        <w:pStyle w:val="839"/>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11、税费</w:t>
      </w:r>
      <w:r/>
    </w:p>
    <w:p>
      <w:pPr>
        <w:pStyle w:val="839"/>
        <w:ind w:firstLine="420"/>
        <w:spacing w:before="120" w:after="120" w:line="360" w:lineRule="auto"/>
        <w:rPr>
          <w:rFonts w:hAnsi="宋体" w:cs="宋体"/>
          <w:b/>
          <w:bCs/>
          <w:color w:val="auto"/>
          <w:sz w:val="21"/>
          <w:highlight w:val="none"/>
        </w:rPr>
      </w:pPr>
      <w:r>
        <w:rPr>
          <w:rFonts w:hint="eastAsia" w:hAnsi="宋体" w:cs="宋体"/>
          <w:color w:val="auto"/>
          <w:sz w:val="21"/>
          <w:highlight w:val="none"/>
        </w:rPr>
        <w:t xml:space="preserve">本合同执行中相关的一切税费均由乙方负担。</w:t>
      </w:r>
      <w:r/>
    </w:p>
    <w:p>
      <w:pPr>
        <w:pStyle w:val="839"/>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12、质量保证及售后服务</w:t>
      </w:r>
      <w:r/>
    </w:p>
    <w:p>
      <w:pPr>
        <w:ind w:firstLine="420"/>
        <w:spacing w:before="156" w:after="156" w:line="360" w:lineRule="auto"/>
        <w:rPr>
          <w:rFonts w:ascii="宋体" w:hAnsi="宋体" w:cs="宋体"/>
          <w:color w:val="auto"/>
          <w:szCs w:val="21"/>
          <w:highlight w:val="none"/>
        </w:rPr>
      </w:pPr>
      <w:r>
        <w:rPr>
          <w:rFonts w:hint="eastAsia" w:ascii="宋体" w:hAnsi="宋体" w:cs="宋体"/>
          <w:color w:val="auto"/>
          <w:szCs w:val="21"/>
          <w:highlight w:val="none"/>
        </w:rPr>
        <w:t xml:space="preserve">12.1 乙方应按招标文件规定及响应文件承诺的货物性能、技术要求、质量标准向甲方提供未经使用的全新产品；若技术性能无特殊说明，则按国家有关部门最新颁布的标准及规范为准。</w:t>
      </w:r>
      <w:r/>
    </w:p>
    <w:p>
      <w:pPr>
        <w:pStyle w:val="839"/>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839"/>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12.3 乙方提供的货物在质保期内因货物本身的质量问题发生故障，乙方应负责免费更换。对达不到技术要求者，根据实际情况，经双方协商，可按以下办法处理：</w:t>
      </w:r>
      <w:r/>
    </w:p>
    <w:p>
      <w:pPr>
        <w:pStyle w:val="839"/>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⑴更换：由乙方承担所发生的全部费用。</w:t>
      </w:r>
      <w:r/>
    </w:p>
    <w:p>
      <w:pPr>
        <w:pStyle w:val="839"/>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⑵贬值处理：由甲乙双方合议定价。</w:t>
      </w:r>
      <w:r/>
    </w:p>
    <w:p>
      <w:pPr>
        <w:pStyle w:val="839"/>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⑶退货处理：乙方应退还甲方支付的合同款，同时应承担该货物的直接费用（运输、保险、检验、货款利息及银行手续费等）。</w:t>
      </w:r>
      <w:r/>
    </w:p>
    <w:p>
      <w:pPr>
        <w:pStyle w:val="839"/>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12.4 如在使用过程中发生质量问题，乙方在接到甲方通知后在24小时内到达甲方现场，48小时内完成维修。</w:t>
      </w:r>
      <w:r/>
    </w:p>
    <w:p>
      <w:pPr>
        <w:pStyle w:val="839"/>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12.5 在质保期内，乙方应对货物出现的质量及安全问题负责处理解决并承担一切费用。</w:t>
      </w:r>
      <w:r/>
    </w:p>
    <w:p>
      <w:pPr>
        <w:pStyle w:val="839"/>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12.6上述的货物免费保修期为</w:t>
      </w:r>
      <w:r>
        <w:rPr>
          <w:rFonts w:hint="eastAsia" w:hAnsi="宋体" w:cs="宋体"/>
          <w:color w:val="auto"/>
          <w:sz w:val="21"/>
          <w:highlight w:val="none"/>
          <w:u w:val="single"/>
        </w:rPr>
        <w:t xml:space="preserve">    </w:t>
      </w:r>
      <w:r>
        <w:rPr>
          <w:rFonts w:hint="eastAsia" w:hAnsi="宋体" w:cs="宋体"/>
          <w:color w:val="auto"/>
          <w:sz w:val="21"/>
          <w:highlight w:val="none"/>
        </w:rPr>
        <w:t xml:space="preserve">年，因人为因素出现的故障不在免费保修范围内。超过保修期的机器设备，终生维修，维修时只收部件成本费。</w:t>
      </w:r>
      <w:r/>
    </w:p>
    <w:p>
      <w:pPr>
        <w:pStyle w:val="839"/>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13、交货、调试和验收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13.1乙方应当在合同生效后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none"/>
          <w:lang w:val="en-US" w:eastAsia="zh-CN"/>
        </w:rPr>
        <w:t xml:space="preserve">工作日</w:t>
      </w:r>
      <w:r>
        <w:rPr>
          <w:rFonts w:hint="eastAsia" w:ascii="宋体" w:hAnsi="宋体" w:cs="宋体"/>
          <w:color w:val="auto"/>
          <w:szCs w:val="21"/>
          <w:highlight w:val="none"/>
        </w:rPr>
        <w:t xml:space="preserve">内将货物交付甲方，地点由甲方指定，招标文件有约定的，从其约定。在发货前，乙方应对产品作出全面检查和对验收文件进行整理，并列出清单，作为甲方初步验收的技术条件依据。甲方对乙方提交的货物依据招标文件上的技术规格要求和国家有关质量标准进行现场初步验收，外观、说明书、包装需符合招标文件技术要求。检验的结果应随货物交甲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13.2 货到甲方后，甲、乙双方须在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工作日内初验收，</w:t>
      </w:r>
      <w:r>
        <w:rPr>
          <w:rFonts w:hint="eastAsia" w:ascii="宋体" w:hAnsi="宋体" w:cs="宋体"/>
          <w:color w:val="auto"/>
          <w:highlight w:val="none"/>
        </w:rPr>
        <w:t xml:space="preserve">乙方按照招标文件要求负责</w:t>
      </w:r>
      <w:r>
        <w:rPr>
          <w:rFonts w:hint="eastAsia" w:ascii="宋体" w:hAnsi="宋体" w:cs="宋体"/>
          <w:bCs/>
          <w:color w:val="auto"/>
          <w:highlight w:val="none"/>
        </w:rPr>
        <w:t xml:space="preserve">系统集成、联通完毕</w:t>
      </w:r>
      <w:r>
        <w:rPr>
          <w:rFonts w:hint="eastAsia" w:ascii="宋体" w:hAnsi="宋体" w:cs="宋体"/>
          <w:color w:val="auto"/>
          <w:highlight w:val="none"/>
        </w:rPr>
        <w:t xml:space="preserve">并培训甲方的使用操作人员，乙方在甲方使用前进行调试，调试直到符合技术要求的甲方才做最终验收</w:t>
      </w:r>
      <w:r>
        <w:rPr>
          <w:rFonts w:hint="eastAsia" w:ascii="宋体" w:hAnsi="宋体" w:cs="宋体"/>
          <w:color w:val="auto"/>
          <w:szCs w:val="21"/>
          <w:highlight w:val="none"/>
        </w:rPr>
        <w:t xml:space="preserve">，初步验收不合格的不予签收。</w:t>
      </w:r>
      <w:r/>
    </w:p>
    <w:p>
      <w:pPr>
        <w:pStyle w:val="839"/>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13.3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firstLine="420"/>
        <w:spacing w:line="360" w:lineRule="auto"/>
        <w:rPr>
          <w:rFonts w:ascii="宋体" w:hAnsi="宋体" w:cs="宋体"/>
          <w:color w:val="auto"/>
          <w:sz w:val="18"/>
          <w:szCs w:val="18"/>
          <w:highlight w:val="none"/>
        </w:rPr>
      </w:pPr>
      <w:r>
        <w:rPr>
          <w:rFonts w:hint="eastAsia" w:ascii="宋体" w:hAnsi="宋体" w:cs="宋体"/>
          <w:color w:val="auto"/>
          <w:szCs w:val="21"/>
          <w:highlight w:val="none"/>
        </w:rPr>
        <w:t xml:space="preserve">13.4 甲乙双方关于调试和验收的其他约定：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839"/>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14、货物包装、发运及运输</w:t>
      </w:r>
      <w:r/>
    </w:p>
    <w:p>
      <w:pPr>
        <w:pStyle w:val="839"/>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14.1 乙方应在货物发运前对其进行满足运输距离、防潮、防震、防锈和防破损装卸等要求包装，以保证货物安全运达甲方指定地点。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14.2 乙方发货时，产品使用说明书、检验证明书、随配附件和工具以及清单一并附于货物内。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14.4 货物在交付甲方前发生的风险均由乙方负责。</w:t>
      </w:r>
      <w:r/>
    </w:p>
    <w:p>
      <w:pPr>
        <w:pStyle w:val="839"/>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14.5 货物在规定的交付期限内由乙方送达甲方指定的地点，经初步验收即视为货物交付。</w:t>
      </w:r>
      <w:r/>
    </w:p>
    <w:p>
      <w:pPr>
        <w:pStyle w:val="839"/>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15、违约责任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15.1 甲方无正当理由拒绝初验收和终验收货物的，甲方应按未付货款金额</w:t>
      </w:r>
      <w:r>
        <w:rPr>
          <w:rFonts w:hint="eastAsia" w:ascii="宋体" w:hAnsi="宋体" w:cs="宋体"/>
          <w:color w:val="auto"/>
          <w:szCs w:val="21"/>
          <w:highlight w:val="none"/>
          <w:lang w:val="en-US" w:eastAsia="zh-CN"/>
        </w:rPr>
        <w:t xml:space="preserve">LPR利率计算</w:t>
      </w:r>
      <w:r>
        <w:rPr>
          <w:rFonts w:hint="eastAsia" w:ascii="宋体" w:hAnsi="宋体" w:cs="宋体"/>
          <w:color w:val="auto"/>
          <w:szCs w:val="21"/>
          <w:highlight w:val="none"/>
        </w:rPr>
        <w:t xml:space="preserve">向乙方支付违约金。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15.2 甲方无故逾期验收和无故逾期办理货款支付手续的,甲方应按逾期付款金额</w:t>
      </w:r>
      <w:r>
        <w:rPr>
          <w:rFonts w:hint="eastAsia" w:ascii="宋体" w:hAnsi="宋体" w:cs="宋体"/>
          <w:color w:val="auto"/>
          <w:szCs w:val="21"/>
          <w:highlight w:val="none"/>
          <w:lang w:val="en-US" w:eastAsia="zh-CN"/>
        </w:rPr>
        <w:t xml:space="preserve">LPR利率计算</w:t>
      </w:r>
      <w:r>
        <w:rPr>
          <w:rFonts w:hint="eastAsia" w:ascii="宋体" w:hAnsi="宋体" w:cs="宋体"/>
          <w:color w:val="auto"/>
          <w:szCs w:val="21"/>
          <w:highlight w:val="none"/>
        </w:rPr>
        <w:t xml:space="preserve">向乙方支付违约金。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15.3乙方违约，在消除违约情形前，应按货款总额每日万分之五向甲方支付违约金，甲方可以从待付货款中扣除。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15.4乙方因逾期交货或因其他违约行为，导致甲方解除合同的，乙方应向甲方支付合同总值5%的违约金，如造成甲方损失超过违约金的，超出部分由乙方继续承担赔偿责任。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15.5 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15.6合同生效后，发现乙方投标属虚假承诺，或经权威部门监测提供的货物不能满足招标文件要求，造成合同无法继续履行的，还应向甲方支付不少于合同总价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赔偿金。</w:t>
      </w:r>
      <w:r/>
    </w:p>
    <w:p>
      <w:pPr>
        <w:pStyle w:val="839"/>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16、不可抗力事件处理</w:t>
      </w:r>
      <w:r/>
    </w:p>
    <w:p>
      <w:pPr>
        <w:pStyle w:val="839"/>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839"/>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839"/>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17、争议解决</w:t>
      </w:r>
      <w:r/>
    </w:p>
    <w:p>
      <w:pPr>
        <w:pStyle w:val="839"/>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17.1 因货物的质量问题发生争议的，可在国家认可的质量检测机构对货物质量进行鉴定。货物符合标准的，鉴定费由甲方承担；货物不符合质量标准的，鉴定费由乙方承担。</w:t>
      </w:r>
      <w:r/>
    </w:p>
    <w:p>
      <w:pPr>
        <w:pStyle w:val="839"/>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17.2 因履行本合同引起的或与本合同有关的争议，甲、乙双方应首先通过友好协商解决；如果协商不能解决争议，甲乙双方同意采取下列两种方式的第</w:t>
      </w:r>
      <w:r>
        <w:rPr>
          <w:rFonts w:hint="eastAsia" w:hAnsi="宋体" w:cs="宋体"/>
          <w:color w:val="auto"/>
          <w:sz w:val="21"/>
          <w:highlight w:val="none"/>
          <w:u w:val="single"/>
        </w:rPr>
        <w:t xml:space="preserve">（1）</w:t>
      </w:r>
      <w:r>
        <w:rPr>
          <w:rFonts w:hint="eastAsia" w:hAnsi="宋体" w:cs="宋体"/>
          <w:color w:val="auto"/>
          <w:sz w:val="21"/>
          <w:highlight w:val="none"/>
        </w:rPr>
        <w:t xml:space="preserve">种方式解决争议：</w:t>
      </w:r>
      <w:r/>
    </w:p>
    <w:p>
      <w:pPr>
        <w:pStyle w:val="839"/>
        <w:ind w:firstLine="315"/>
        <w:spacing w:before="120" w:after="120" w:line="360" w:lineRule="auto"/>
        <w:rPr>
          <w:rFonts w:hAnsi="宋体" w:cs="宋体"/>
          <w:color w:val="auto"/>
          <w:sz w:val="21"/>
          <w:highlight w:val="none"/>
        </w:rPr>
      </w:pPr>
      <w:r>
        <w:rPr>
          <w:rFonts w:hint="eastAsia" w:hAnsi="宋体" w:cs="宋体"/>
          <w:color w:val="auto"/>
          <w:sz w:val="21"/>
          <w:highlight w:val="none"/>
        </w:rPr>
        <w:t xml:space="preserve">（1）向甲方所在地有管辖权的人民法院提起诉讼，适用中华人民共和国法律；</w:t>
      </w:r>
      <w:r/>
    </w:p>
    <w:p>
      <w:pPr>
        <w:pStyle w:val="839"/>
        <w:ind w:left="420" w:hanging="105"/>
        <w:spacing w:before="120" w:after="120" w:line="360" w:lineRule="auto"/>
        <w:rPr>
          <w:rFonts w:hAnsi="宋体" w:cs="宋体"/>
          <w:color w:val="auto"/>
          <w:sz w:val="21"/>
          <w:highlight w:val="none"/>
        </w:rPr>
      </w:pPr>
      <w:r>
        <w:rPr>
          <w:rFonts w:hint="eastAsia" w:hAnsi="宋体" w:cs="宋体"/>
          <w:color w:val="auto"/>
          <w:sz w:val="21"/>
          <w:highlight w:val="none"/>
        </w:rPr>
        <w:t xml:space="preserve">（2）向扬州仲裁委员会按其仲裁规则申请仲裁。</w:t>
      </w:r>
      <w:r/>
    </w:p>
    <w:p>
      <w:pPr>
        <w:pStyle w:val="839"/>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17.3 若甲乙双方任何一方都没有选择解除合同的，为避免扩大损失，在诉讼或仲裁期间，双方应继续履行。</w:t>
      </w:r>
      <w:r/>
    </w:p>
    <w:p>
      <w:pPr>
        <w:pStyle w:val="839"/>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18、合同其它</w:t>
      </w:r>
      <w:r/>
    </w:p>
    <w:p>
      <w:pPr>
        <w:pStyle w:val="839"/>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18.1 乙方应诚实信用，严格按照招标文件要求和投标承诺履行合同，不向甲方进行商业贿赂或者提供不正当利益。</w:t>
      </w:r>
      <w:r/>
    </w:p>
    <w:p>
      <w:pPr>
        <w:pStyle w:val="839"/>
        <w:ind w:firstLine="420"/>
        <w:spacing w:before="120" w:after="120" w:line="360" w:lineRule="auto"/>
        <w:rPr>
          <w:rFonts w:hAnsi="宋体" w:cs="宋体"/>
          <w:color w:val="auto"/>
          <w:sz w:val="21"/>
          <w:highlight w:val="none"/>
          <w:u w:val="single"/>
        </w:rPr>
      </w:pPr>
      <w:r>
        <w:rPr>
          <w:rFonts w:hint="eastAsia" w:hAnsi="宋体" w:cs="宋体"/>
          <w:color w:val="auto"/>
          <w:sz w:val="21"/>
          <w:highlight w:val="none"/>
        </w:rPr>
        <w:t xml:space="preserve">18.2 合同经双方法定代表人或授权代表签字并加盖单位公章，并经</w:t>
      </w:r>
      <w:r>
        <w:rPr>
          <w:rFonts w:hint="eastAsia" w:hAnsi="宋体" w:cs="宋体"/>
          <w:color w:val="auto"/>
          <w:sz w:val="21"/>
          <w:highlight w:val="none"/>
          <w:lang w:eastAsia="zh-CN"/>
        </w:rPr>
        <w:t xml:space="preserve">江苏华彦建设投资管理有限公司</w:t>
      </w:r>
      <w:r>
        <w:rPr>
          <w:rFonts w:hint="eastAsia" w:hAnsi="宋体" w:cs="宋体"/>
          <w:color w:val="auto"/>
          <w:sz w:val="21"/>
          <w:highlight w:val="none"/>
        </w:rPr>
        <w:t xml:space="preserve">见证盖章后生效。</w:t>
      </w:r>
      <w:r/>
    </w:p>
    <w:p>
      <w:pPr>
        <w:pStyle w:val="839"/>
        <w:ind w:firstLine="420"/>
        <w:spacing w:before="120" w:after="120" w:line="360" w:lineRule="auto"/>
        <w:rPr>
          <w:rFonts w:hAnsi="宋体" w:cs="宋体"/>
          <w:color w:val="auto"/>
          <w:sz w:val="21"/>
          <w:highlight w:val="none"/>
          <w:u w:val="single"/>
        </w:rPr>
      </w:pPr>
      <w:r>
        <w:rPr>
          <w:rFonts w:hint="eastAsia" w:hAnsi="宋体" w:cs="宋体"/>
          <w:color w:val="auto"/>
          <w:sz w:val="21"/>
          <w:highlight w:val="none"/>
        </w:rPr>
        <w:t xml:space="preserve">18.2本合同未尽事宜，遵照《</w:t>
      </w:r>
      <w:r>
        <w:rPr>
          <w:rFonts w:hint="eastAsia" w:hAnsi="宋体" w:cs="宋体"/>
          <w:color w:val="auto"/>
          <w:sz w:val="21"/>
          <w:highlight w:val="none"/>
          <w:lang w:val="en-US" w:eastAsia="zh-CN"/>
        </w:rPr>
        <w:t xml:space="preserve">中华人民共和国</w:t>
      </w:r>
      <w:r>
        <w:rPr>
          <w:rFonts w:hint="eastAsia" w:hAnsi="宋体" w:cs="宋体"/>
          <w:color w:val="auto"/>
          <w:sz w:val="21"/>
          <w:highlight w:val="none"/>
        </w:rPr>
        <w:t xml:space="preserve">民法典》有关条文执行。</w:t>
      </w:r>
      <w:r/>
    </w:p>
    <w:p>
      <w:pPr>
        <w:pStyle w:val="839"/>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18.3 </w:t>
      </w:r>
      <w:r>
        <w:rPr>
          <w:rFonts w:hint="eastAsia" w:hAnsi="宋体" w:cs="宋体"/>
          <w:color w:val="auto"/>
          <w:sz w:val="21"/>
          <w:highlight w:val="none"/>
          <w:lang w:val="zh-CN"/>
        </w:rPr>
        <w:t xml:space="preserve">本合同正本一式</w:t>
      </w:r>
      <w:r>
        <w:rPr>
          <w:rFonts w:hint="eastAsia" w:hAnsi="宋体" w:cs="宋体"/>
          <w:color w:val="auto"/>
          <w:sz w:val="21"/>
          <w:highlight w:val="none"/>
          <w:lang w:val="en-US" w:eastAsia="zh-CN"/>
        </w:rPr>
        <w:t xml:space="preserve">肆</w:t>
      </w:r>
      <w:r>
        <w:rPr>
          <w:rFonts w:hint="eastAsia" w:hAnsi="宋体" w:cs="宋体"/>
          <w:color w:val="auto"/>
          <w:sz w:val="21"/>
          <w:highlight w:val="none"/>
          <w:lang w:val="zh-CN"/>
        </w:rPr>
        <w:t xml:space="preserve">份，具有同等法律效力，甲方</w:t>
      </w:r>
      <w:r>
        <w:rPr>
          <w:rFonts w:hint="eastAsia" w:hAnsi="宋体" w:cs="宋体"/>
          <w:color w:val="auto"/>
          <w:sz w:val="21"/>
          <w:highlight w:val="none"/>
          <w:lang w:val="en-US" w:eastAsia="zh-CN"/>
        </w:rPr>
        <w:t xml:space="preserve">贰</w:t>
      </w:r>
      <w:r>
        <w:rPr>
          <w:rFonts w:hint="eastAsia" w:hAnsi="宋体" w:cs="宋体"/>
          <w:color w:val="auto"/>
          <w:sz w:val="21"/>
          <w:highlight w:val="none"/>
          <w:lang w:val="zh-CN"/>
        </w:rPr>
        <w:t xml:space="preserve">份，乙方壹份，见证方壹份。</w:t>
      </w:r>
      <w:r/>
    </w:p>
    <w:p>
      <w:pPr>
        <w:pStyle w:val="839"/>
        <w:ind w:left="420" w:hanging="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w:t>
      </w:r>
      <w:r/>
    </w:p>
    <w:p>
      <w:pPr>
        <w:pStyle w:val="839"/>
        <w:ind w:left="420" w:hanging="210"/>
        <w:spacing w:before="120" w:after="120" w:line="360" w:lineRule="auto"/>
        <w:rPr>
          <w:rFonts w:hAnsi="宋体" w:cs="宋体"/>
          <w:color w:val="auto"/>
          <w:sz w:val="21"/>
          <w:highlight w:val="none"/>
        </w:rPr>
      </w:pPr>
      <w:r>
        <w:rPr>
          <w:rFonts w:hint="eastAsia" w:hAnsi="宋体" w:cs="宋体"/>
          <w:color w:val="auto"/>
          <w:sz w:val="21"/>
          <w:highlight w:val="none"/>
        </w:rPr>
        <w:t xml:space="preserve">甲方：</w:t>
      </w:r>
      <w:r>
        <w:rPr>
          <w:rFonts w:hint="eastAsia" w:hAnsi="宋体" w:cs="宋体"/>
          <w:color w:val="auto"/>
          <w:sz w:val="21"/>
          <w:highlight w:val="none"/>
          <w:lang w:eastAsia="zh-CN"/>
        </w:rPr>
        <w:t xml:space="preserve">扬州市检验检测中心</w:t>
      </w:r>
      <w:r>
        <w:rPr>
          <w:rFonts w:hint="eastAsia" w:hAnsi="宋体" w:cs="宋体"/>
          <w:color w:val="auto"/>
          <w:sz w:val="21"/>
          <w:highlight w:val="none"/>
        </w:rPr>
        <w:t xml:space="preserve">             </w:t>
      </w:r>
      <w:r>
        <w:rPr>
          <w:rFonts w:hint="eastAsia" w:hAnsi="宋体" w:cs="宋体"/>
          <w:color w:val="auto"/>
          <w:sz w:val="21"/>
          <w:highlight w:val="none"/>
          <w:lang w:val="en-US" w:eastAsia="zh-CN"/>
        </w:rPr>
        <w:t xml:space="preserve">      </w:t>
      </w:r>
      <w:r>
        <w:rPr>
          <w:rFonts w:hint="eastAsia" w:hAnsi="宋体" w:cs="宋体"/>
          <w:color w:val="auto"/>
          <w:sz w:val="21"/>
          <w:highlight w:val="none"/>
        </w:rPr>
        <w:t xml:space="preserve">乙方： </w:t>
      </w:r>
      <w:r/>
    </w:p>
    <w:p>
      <w:pPr>
        <w:pStyle w:val="839"/>
        <w:spacing w:before="120" w:after="120" w:line="360" w:lineRule="auto"/>
        <w:rPr>
          <w:rFonts w:hAnsi="宋体" w:cs="宋体"/>
          <w:color w:val="auto"/>
          <w:sz w:val="21"/>
          <w:highlight w:val="none"/>
        </w:rPr>
      </w:pPr>
      <w:r>
        <w:rPr>
          <w:rFonts w:hint="eastAsia" w:hAnsi="宋体" w:cs="宋体"/>
          <w:color w:val="auto"/>
          <w:sz w:val="21"/>
          <w:highlight w:val="none"/>
        </w:rPr>
        <w:t xml:space="preserve">  地址：</w:t>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 xml:space="preserve">                   地址： </w:t>
      </w:r>
      <w:r/>
    </w:p>
    <w:p>
      <w:pPr>
        <w:pStyle w:val="839"/>
        <w:ind w:left="420" w:hanging="210"/>
        <w:spacing w:before="120" w:after="120" w:line="360" w:lineRule="auto"/>
        <w:rPr>
          <w:rFonts w:hint="eastAsia" w:hAnsi="宋体" w:cs="宋体"/>
          <w:color w:val="auto"/>
          <w:sz w:val="21"/>
          <w:highlight w:val="none"/>
          <w:lang w:eastAsia="zh-CN"/>
        </w:rPr>
      </w:pPr>
      <w:r>
        <w:rPr>
          <w:rFonts w:hint="eastAsia" w:hAnsi="宋体" w:cs="宋体"/>
          <w:color w:val="auto"/>
          <w:sz w:val="21"/>
          <w:highlight w:val="none"/>
          <w:lang w:eastAsia="zh-CN"/>
        </w:rPr>
        <w:t xml:space="preserve">法定代表人或授权代表：                   法定代表人或授权代表：</w:t>
      </w:r>
      <w:r/>
    </w:p>
    <w:p>
      <w:pPr>
        <w:pStyle w:val="839"/>
        <w:ind w:left="420" w:hanging="210"/>
        <w:spacing w:before="120" w:after="120" w:line="360" w:lineRule="auto"/>
        <w:rPr>
          <w:rFonts w:hint="eastAsia" w:hAnsi="宋体" w:cs="宋体"/>
          <w:color w:val="auto"/>
          <w:sz w:val="21"/>
          <w:highlight w:val="none"/>
          <w:lang w:eastAsia="zh-CN"/>
        </w:rPr>
      </w:pPr>
      <w:r>
        <w:rPr>
          <w:rFonts w:hint="eastAsia" w:hAnsi="宋体" w:cs="宋体"/>
          <w:color w:val="auto"/>
          <w:sz w:val="21"/>
          <w:highlight w:val="none"/>
          <w:lang w:eastAsia="zh-CN"/>
        </w:rPr>
        <w:t xml:space="preserve">联系电话：                               联系电话：</w:t>
      </w:r>
      <w:r/>
    </w:p>
    <w:p>
      <w:pPr>
        <w:pStyle w:val="839"/>
        <w:ind w:left="420" w:hanging="210"/>
        <w:spacing w:before="120" w:after="120" w:line="360" w:lineRule="auto"/>
        <w:rPr>
          <w:rFonts w:hint="eastAsia" w:hAnsi="宋体" w:cs="宋体"/>
          <w:color w:val="auto"/>
          <w:sz w:val="21"/>
          <w:highlight w:val="none"/>
          <w:lang w:eastAsia="zh-CN"/>
        </w:rPr>
      </w:pPr>
      <w:r>
        <w:rPr>
          <w:rFonts w:hint="eastAsia" w:hAnsi="宋体" w:cs="宋体"/>
          <w:color w:val="auto"/>
          <w:sz w:val="21"/>
          <w:highlight w:val="none"/>
          <w:lang w:eastAsia="zh-CN"/>
        </w:rPr>
        <w:t xml:space="preserve">  </w:t>
      </w:r>
      <w:r/>
    </w:p>
    <w:p>
      <w:pPr>
        <w:pStyle w:val="839"/>
        <w:ind w:left="420" w:hanging="210"/>
        <w:spacing w:before="120" w:after="120" w:line="360" w:lineRule="auto"/>
        <w:rPr>
          <w:rFonts w:hint="eastAsia" w:hAnsi="宋体" w:cs="宋体"/>
          <w:color w:val="auto"/>
          <w:sz w:val="21"/>
          <w:highlight w:val="none"/>
          <w:lang w:eastAsia="zh-CN"/>
        </w:rPr>
      </w:pPr>
      <w:r>
        <w:rPr>
          <w:rFonts w:hint="eastAsia" w:hAnsi="宋体" w:cs="宋体"/>
          <w:color w:val="auto"/>
          <w:sz w:val="21"/>
          <w:highlight w:val="none"/>
          <w:lang w:eastAsia="zh-CN"/>
        </w:rPr>
        <w:t xml:space="preserve">见证方：江苏华彦建设投资管理有限公司</w:t>
      </w:r>
      <w:r/>
    </w:p>
    <w:p>
      <w:pPr>
        <w:pStyle w:val="839"/>
        <w:ind w:left="420" w:hanging="210"/>
        <w:spacing w:before="120" w:after="120" w:line="360" w:lineRule="auto"/>
        <w:rPr>
          <w:rFonts w:hint="eastAsia" w:hAnsi="宋体" w:cs="宋体"/>
          <w:color w:val="auto"/>
          <w:sz w:val="21"/>
          <w:highlight w:val="none"/>
          <w:lang w:eastAsia="zh-CN"/>
        </w:rPr>
      </w:pPr>
      <w:r>
        <w:rPr>
          <w:rFonts w:hint="eastAsia" w:hAnsi="宋体" w:cs="宋体"/>
          <w:color w:val="auto"/>
          <w:sz w:val="21"/>
          <w:highlight w:val="none"/>
          <w:lang w:eastAsia="zh-CN"/>
        </w:rPr>
        <w:t xml:space="preserve">项目经办人：</w:t>
      </w:r>
      <w:r/>
    </w:p>
    <w:p>
      <w:pPr>
        <w:pStyle w:val="839"/>
        <w:ind w:left="420" w:hanging="210"/>
        <w:spacing w:before="120" w:after="120" w:line="360" w:lineRule="auto"/>
        <w:rPr>
          <w:rFonts w:hint="eastAsia" w:hAnsi="宋体" w:cs="宋体"/>
          <w:color w:val="auto"/>
          <w:sz w:val="21"/>
          <w:highlight w:val="none"/>
          <w:lang w:eastAsia="zh-CN"/>
        </w:rPr>
      </w:pPr>
      <w:r>
        <w:rPr>
          <w:rFonts w:hint="eastAsia" w:hAnsi="宋体" w:cs="宋体"/>
          <w:color w:val="auto"/>
          <w:sz w:val="21"/>
          <w:highlight w:val="none"/>
          <w:lang w:eastAsia="zh-CN"/>
        </w:rPr>
        <w:t xml:space="preserve">日期：     年   月   日</w:t>
      </w:r>
      <w:r/>
    </w:p>
    <w:p>
      <w:pPr>
        <w:pStyle w:val="839"/>
        <w:ind w:left="420" w:hanging="210"/>
        <w:spacing w:before="120" w:after="120" w:line="360" w:lineRule="auto"/>
        <w:rPr>
          <w:rFonts w:hint="eastAsia" w:hAnsi="宋体" w:cs="宋体"/>
          <w:color w:val="auto"/>
          <w:sz w:val="21"/>
          <w:highlight w:val="none"/>
          <w:lang w:eastAsia="zh-CN"/>
        </w:rPr>
        <w:sectPr>
          <w:headerReference w:type="default" r:id="rId10"/>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cs="宋体"/>
          <w:color w:val="auto"/>
          <w:sz w:val="21"/>
          <w:highlight w:val="none"/>
          <w:lang w:eastAsia="zh-CN"/>
        </w:rPr>
      </w:r>
      <w:r/>
    </w:p>
    <w:p>
      <w:pPr>
        <w:pStyle w:val="812"/>
        <w:numPr>
          <w:ilvl w:val="0"/>
          <w:numId w:val="0"/>
        </w:numPr>
        <w:jc w:val="center"/>
        <w:keepLines/>
        <w:keepNext/>
        <w:pageBreakBefore w:val="0"/>
        <w:spacing w:line="360" w:lineRule="auto"/>
        <w:widowControl w:val="off"/>
        <w:rPr>
          <w:rFonts w:ascii="宋体" w:hAnsi="宋体"/>
          <w:color w:val="auto"/>
          <w:sz w:val="36"/>
          <w:highlight w:val="none"/>
        </w:rPr>
      </w:pPr>
      <w:r>
        <w:rPr>
          <w:rFonts w:hint="eastAsia" w:ascii="宋体" w:hAnsi="宋体" w:eastAsia="宋体" w:cs="Times New Roman"/>
          <w:b/>
          <w:bCs/>
          <w:color w:val="auto"/>
          <w:sz w:val="36"/>
          <w:szCs w:val="44"/>
          <w:highlight w:val="none"/>
          <w:lang w:val="en-US" w:eastAsia="zh-CN" w:bidi="ar-SA"/>
        </w:rPr>
        <w:t xml:space="preserve">第四章</w:t>
      </w:r>
      <w:r>
        <w:rPr>
          <w:rFonts w:hint="eastAsia" w:ascii="宋体" w:hAnsi="宋体" w:cs="Times New Roman"/>
          <w:b/>
          <w:bCs/>
          <w:color w:val="auto"/>
          <w:sz w:val="36"/>
          <w:szCs w:val="44"/>
          <w:highlight w:val="none"/>
          <w:lang w:val="en-US" w:eastAsia="zh-CN" w:bidi="ar-SA"/>
        </w:rPr>
        <w:t xml:space="preserve"> </w:t>
      </w:r>
      <w:r>
        <w:rPr>
          <w:rFonts w:hint="eastAsia" w:ascii="宋体" w:hAnsi="宋体"/>
          <w:color w:val="auto"/>
          <w:sz w:val="36"/>
          <w:highlight w:val="none"/>
        </w:rPr>
        <w:t xml:space="preserve">项目需求</w:t>
      </w:r>
      <w:r/>
    </w:p>
    <w:p>
      <w:pPr>
        <w:numPr>
          <w:ilvl w:val="0"/>
          <w:numId w:val="7"/>
        </w:numPr>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bookmarkStart w:id="29" w:name="_Toc497133122"/>
      <w:r>
        <w:rPr>
          <w:rFonts w:hint="eastAsia" w:ascii="宋体" w:hAnsi="宋体" w:eastAsia="宋体" w:cs="宋体"/>
          <w:b/>
          <w:bCs/>
          <w:color w:val="auto"/>
          <w:sz w:val="21"/>
          <w:szCs w:val="21"/>
          <w:highlight w:val="none"/>
          <w:lang w:val="en-US" w:eastAsia="zh-CN"/>
        </w:rPr>
        <w:t xml:space="preserve">项目概况</w:t>
      </w:r>
      <w:r/>
    </w:p>
    <w:p>
      <w:pPr>
        <w:pStyle w:val="857"/>
        <w:ind w:left="0" w:right="0" w:firstLine="422"/>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rPr>
        <w:t xml:space="preserve">项目名称：</w:t>
      </w:r>
      <w:r>
        <w:rPr>
          <w:rFonts w:hint="eastAsia" w:ascii="宋体" w:hAnsi="宋体" w:cs="宋体"/>
          <w:b w:val="0"/>
          <w:bCs w:val="0"/>
          <w:color w:val="auto"/>
          <w:sz w:val="21"/>
          <w:szCs w:val="21"/>
          <w:highlight w:val="none"/>
          <w:lang w:val="en-US" w:eastAsia="zh-CN"/>
        </w:rPr>
        <w:t xml:space="preserve">扬州市检验检测中心2026年重点工业产品检验检测设备更新项目</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shd w:val="clear" w:color="auto" w:fill="ffffff"/>
          <w:lang w:val="en-US" w:eastAsia="zh-CN"/>
        </w:rPr>
        <w:t xml:space="preserve">最高限价</w:t>
      </w:r>
      <w:r>
        <w:rPr>
          <w:rFonts w:hint="eastAsia" w:ascii="宋体" w:hAnsi="宋体" w:eastAsia="宋体" w:cs="宋体"/>
          <w:b w:val="0"/>
          <w:bCs w:val="0"/>
          <w:color w:val="auto"/>
          <w:sz w:val="21"/>
          <w:szCs w:val="21"/>
          <w:highlight w:val="none"/>
          <w:shd w:val="clear" w:color="auto" w:fill="ffffff"/>
        </w:rPr>
        <w:t xml:space="preserve">：</w:t>
      </w:r>
      <w:r>
        <w:rPr>
          <w:rFonts w:hint="eastAsia" w:ascii="宋体" w:hAnsi="宋体" w:cs="宋体"/>
          <w:b w:val="0"/>
          <w:bCs w:val="0"/>
          <w:color w:val="auto"/>
          <w:highlight w:val="none"/>
          <w:lang w:val="en-US" w:eastAsia="zh-CN"/>
        </w:rPr>
        <w:t xml:space="preserve">包1（微机控制环刚度试验机）9.8万元；包2（差示扫描量热仪）3.5万元；包3（红外碳硫分析仪）10万元；包4（阀门静压寿命试验台）19.9万元；包5（盐雾试验箱、交变湿热试验箱）33万元；包6（建材放射性检测仪）7万元；包7（电子万能材料试验机）57万元；包8（电液伺服压力试验机）12万元；包9（紫外-可见光谱仪）3.8万元</w:t>
      </w:r>
      <w:r>
        <w:rPr>
          <w:rFonts w:hint="eastAsia" w:ascii="宋体" w:hAnsi="宋体" w:cs="宋体"/>
          <w:b w:val="0"/>
          <w:bCs w:val="0"/>
          <w:color w:val="auto"/>
          <w:highlight w:val="none"/>
        </w:rPr>
        <w:t xml:space="preserve">，每个标包报价高于最高限价的为无效标。</w:t>
      </w:r>
      <w:r/>
    </w:p>
    <w:p>
      <w:pPr>
        <w:ind w:firstLine="422"/>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项目属性：货物类</w:t>
      </w:r>
      <w:r/>
    </w:p>
    <w:p>
      <w:pPr>
        <w:numPr>
          <w:ilvl w:val="-1"/>
          <w:numId w:val="0"/>
        </w:num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二、采购清单</w:t>
      </w:r>
      <w:r/>
    </w:p>
    <w:tbl>
      <w:tblPr>
        <w:tblStyle w:val="822"/>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6"/>
        <w:gridCol w:w="2059"/>
        <w:gridCol w:w="1170"/>
        <w:gridCol w:w="4522"/>
      </w:tblGrid>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采购项目</w:t>
            </w:r>
            <w:r/>
          </w:p>
        </w:tc>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65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Cs w:val="21"/>
                <w:highlight w:val="none"/>
              </w:rPr>
              <w:t xml:space="preserve">交货地点</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包1</w:t>
            </w:r>
            <w:r/>
          </w:p>
        </w:tc>
        <w:tc>
          <w:tcPr>
            <w:shd w:val="clear" w:color="auto" w:fill="auto"/>
            <w:tcBorders>
              <w:top w:val="single" w:color="000000" w:sz="4" w:space="0"/>
              <w:left w:val="single" w:color="000000" w:sz="4" w:space="0"/>
              <w:bottom w:val="single" w:color="000000" w:sz="4" w:space="0"/>
              <w:right w:val="single" w:color="000000" w:sz="4" w:space="0"/>
            </w:tcBorders>
            <w:tcW w:w="1208"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SA"/>
              </w:rPr>
              <w:suppressLineNumbers w:val="0"/>
            </w:pPr>
            <w:r>
              <w:rPr>
                <w:rFonts w:hint="eastAsia" w:ascii="新宋体" w:hAnsi="新宋体" w:eastAsia="新宋体" w:cs="新宋体"/>
                <w:i w:val="0"/>
                <w:iCs w:val="0"/>
                <w:color w:val="auto"/>
                <w:sz w:val="21"/>
                <w:szCs w:val="21"/>
                <w:highlight w:val="none"/>
                <w:u w:val="none"/>
              </w:rPr>
              <w:t xml:space="preserve">微机控制环刚度试验机</w:t>
            </w:r>
            <w:r/>
          </w:p>
        </w:tc>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SA"/>
              </w:rPr>
              <w:suppressLineNumbers w:val="0"/>
            </w:pPr>
            <w:r>
              <w:rPr>
                <w:rFonts w:hint="eastAsia" w:ascii="新宋体" w:hAnsi="新宋体" w:eastAsia="新宋体" w:cs="新宋体"/>
                <w:i w:val="0"/>
                <w:iCs w:val="0"/>
                <w:color w:val="auto"/>
                <w:sz w:val="21"/>
                <w:szCs w:val="21"/>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54"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扬州市检验检测中心</w:t>
            </w:r>
            <w:r/>
          </w:p>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（扬州市广陵区杭集镇龙王路6号）</w:t>
            </w:r>
            <w:r/>
          </w:p>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或指定地点</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包2</w:t>
            </w:r>
            <w:r/>
          </w:p>
        </w:tc>
        <w:tc>
          <w:tcPr>
            <w:shd w:val="clear" w:color="auto" w:fill="auto"/>
            <w:tcBorders>
              <w:top w:val="single" w:color="000000" w:sz="4" w:space="0"/>
              <w:left w:val="single" w:color="000000" w:sz="4" w:space="0"/>
              <w:bottom w:val="single" w:color="000000" w:sz="4" w:space="0"/>
              <w:right w:val="single" w:color="000000" w:sz="4" w:space="0"/>
            </w:tcBorders>
            <w:tcW w:w="1208" w:type="pct"/>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SA"/>
              </w:rPr>
              <w:suppressLineNumbers w:val="0"/>
            </w:pPr>
            <w:r>
              <w:rPr>
                <w:rFonts w:hint="eastAsia" w:ascii="宋体" w:hAnsi="宋体" w:eastAsia="宋体" w:cs="宋体"/>
                <w:color w:val="auto"/>
                <w:highlight w:val="none"/>
                <w:lang w:val="en-US" w:eastAsia="zh-CN"/>
              </w:rPr>
              <w:t xml:space="preserve">差示扫描量热仪</w:t>
            </w:r>
            <w:r/>
          </w:p>
        </w:tc>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SA"/>
              </w:rPr>
              <w:suppressLineNumbers w:val="0"/>
            </w:pPr>
            <w:r>
              <w:rPr>
                <w:rFonts w:hint="eastAsia" w:ascii="新宋体" w:hAnsi="新宋体" w:eastAsia="新宋体" w:cs="新宋体"/>
                <w:i w:val="0"/>
                <w:iCs w:val="0"/>
                <w:color w:val="auto"/>
                <w:sz w:val="21"/>
                <w:szCs w:val="21"/>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54"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扬州市检验检测中心</w:t>
            </w:r>
            <w:r/>
          </w:p>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（扬州市广陵区杭集镇龙王路6号）</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SA"/>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包3</w:t>
            </w:r>
            <w:r/>
          </w:p>
        </w:tc>
        <w:tc>
          <w:tcPr>
            <w:shd w:val="clear" w:color="auto" w:fill="auto"/>
            <w:tcBorders>
              <w:top w:val="single" w:color="000000" w:sz="4" w:space="0"/>
              <w:left w:val="single" w:color="000000" w:sz="4" w:space="0"/>
              <w:bottom w:val="single" w:color="000000" w:sz="4" w:space="0"/>
              <w:right w:val="single" w:color="000000" w:sz="4" w:space="0"/>
            </w:tcBorders>
            <w:tcW w:w="1208" w:type="pct"/>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SA"/>
              </w:rPr>
              <w:suppressLineNumbers w:val="0"/>
            </w:pPr>
            <w:r>
              <w:rPr>
                <w:rFonts w:hint="eastAsia" w:ascii="宋体" w:hAnsi="宋体" w:cs="宋体"/>
                <w:b w:val="0"/>
                <w:bCs w:val="0"/>
                <w:color w:val="auto"/>
                <w:highlight w:val="none"/>
                <w:lang w:val="en-US" w:eastAsia="zh-CN"/>
              </w:rPr>
              <w:t xml:space="preserve">红外碳硫分析仪</w:t>
            </w:r>
            <w:r/>
          </w:p>
        </w:tc>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54"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扬</w:t>
            </w:r>
            <w:r>
              <w:rPr>
                <w:rFonts w:hint="eastAsia" w:ascii="宋体" w:hAnsi="宋体" w:eastAsia="宋体" w:cs="宋体"/>
                <w:color w:val="auto"/>
                <w:szCs w:val="21"/>
                <w:highlight w:val="none"/>
                <w:lang w:val="en-US" w:eastAsia="zh-CN"/>
              </w:rPr>
              <w:t xml:space="preserve">州市检验检测中心</w:t>
            </w:r>
            <w:r/>
          </w:p>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highlight w:val="none"/>
              </w:rPr>
              <w:t xml:space="preserve">扬州市广陵区广陵</w:t>
            </w:r>
            <w:r>
              <w:rPr>
                <w:rFonts w:hint="eastAsia" w:ascii="宋体" w:hAnsi="宋体" w:eastAsia="宋体" w:cs="宋体"/>
                <w:color w:val="auto"/>
                <w:highlight w:val="none"/>
                <w:lang w:eastAsia="zh-CN"/>
              </w:rPr>
              <w:t xml:space="preserve">经济开发区</w:t>
            </w:r>
            <w:r>
              <w:rPr>
                <w:rFonts w:hint="eastAsia" w:ascii="宋体" w:hAnsi="宋体" w:eastAsia="宋体" w:cs="宋体"/>
                <w:color w:val="auto"/>
                <w:highlight w:val="none"/>
              </w:rPr>
              <w:t xml:space="preserve">创业路20号</w:t>
            </w:r>
            <w:r>
              <w:rPr>
                <w:rFonts w:hint="eastAsia" w:ascii="宋体" w:hAnsi="宋体" w:eastAsia="宋体" w:cs="宋体"/>
                <w:color w:val="auto"/>
                <w:szCs w:val="21"/>
                <w:highlight w:val="none"/>
                <w:lang w:eastAsia="zh-CN"/>
              </w:rPr>
              <w:t xml:space="preserve">）</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default" w:ascii="新宋体" w:hAnsi="新宋体" w:eastAsia="新宋体" w:cs="新宋体"/>
                <w:i w:val="0"/>
                <w:iCs w:val="0"/>
                <w:color w:val="auto"/>
                <w:sz w:val="21"/>
                <w:szCs w:val="21"/>
                <w:highlight w:val="none"/>
                <w:u w:val="none"/>
                <w:lang w:val="en-US" w:eastAsia="zh-CN" w:bidi="ar-SA"/>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包4</w:t>
            </w:r>
            <w:r/>
          </w:p>
        </w:tc>
        <w:tc>
          <w:tcPr>
            <w:shd w:val="clear" w:color="auto" w:fill="auto"/>
            <w:tcBorders>
              <w:top w:val="single" w:color="000000" w:sz="4" w:space="0"/>
              <w:left w:val="none" w:color="000000" w:sz="4" w:space="0"/>
              <w:bottom w:val="single" w:color="000000" w:sz="4" w:space="0"/>
              <w:right w:val="single" w:color="000000" w:sz="4" w:space="0"/>
            </w:tcBorders>
            <w:tcW w:w="1208" w:type="pct"/>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SA"/>
              </w:rPr>
              <w:suppressLineNumbers w:val="0"/>
            </w:pPr>
            <w:r>
              <w:rPr>
                <w:rFonts w:hint="eastAsia" w:ascii="宋体" w:hAnsi="宋体" w:cs="宋体"/>
                <w:b w:val="0"/>
                <w:bCs w:val="0"/>
                <w:color w:val="auto"/>
                <w:highlight w:val="none"/>
                <w:lang w:val="en-US" w:eastAsia="zh-CN"/>
              </w:rPr>
              <w:t xml:space="preserve">阀门静压寿命试验台</w:t>
            </w:r>
            <w:r/>
          </w:p>
        </w:tc>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default" w:ascii="新宋体" w:hAnsi="新宋体" w:eastAsia="新宋体" w:cs="新宋体"/>
                <w:i w:val="0"/>
                <w:iCs w:val="0"/>
                <w:color w:val="auto"/>
                <w:sz w:val="21"/>
                <w:szCs w:val="21"/>
                <w:highlight w:val="none"/>
                <w:u w:val="none"/>
                <w:lang w:val="en-US" w:eastAsia="zh-CN" w:bidi="ar-SA"/>
              </w:rPr>
              <w:suppressLineNumbers w:val="0"/>
            </w:pPr>
            <w:r>
              <w:rPr>
                <w:rFonts w:hint="eastAsia" w:ascii="新宋体" w:hAnsi="新宋体" w:eastAsia="新宋体" w:cs="新宋体"/>
                <w:i w:val="0"/>
                <w:iCs w:val="0"/>
                <w:color w:val="auto"/>
                <w:sz w:val="21"/>
                <w:szCs w:val="21"/>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54"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扬州市检验检测中心</w:t>
            </w:r>
            <w:r/>
          </w:p>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（扬州市广陵区杭集镇龙王路6号）</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default" w:ascii="新宋体" w:hAnsi="新宋体" w:eastAsia="新宋体" w:cs="新宋体"/>
                <w:i w:val="0"/>
                <w:iCs w:val="0"/>
                <w:color w:val="auto"/>
                <w:sz w:val="21"/>
                <w:szCs w:val="21"/>
                <w:highlight w:val="none"/>
                <w:u w:val="none"/>
                <w:lang w:val="en-US" w:eastAsia="zh-CN" w:bidi="ar-SA"/>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包5</w:t>
            </w:r>
            <w:r/>
          </w:p>
        </w:tc>
        <w:tc>
          <w:tcPr>
            <w:shd w:val="clear" w:color="auto" w:fill="auto"/>
            <w:tcBorders>
              <w:top w:val="single" w:color="000000" w:sz="4" w:space="0"/>
              <w:left w:val="none" w:color="000000" w:sz="4" w:space="0"/>
              <w:bottom w:val="single" w:color="000000" w:sz="4" w:space="0"/>
              <w:right w:val="single" w:color="000000" w:sz="4" w:space="0"/>
            </w:tcBorders>
            <w:tcW w:w="1208" w:type="pct"/>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SA"/>
              </w:rPr>
              <w:suppressLineNumbers w:val="0"/>
            </w:pPr>
            <w:r>
              <w:rPr>
                <w:rFonts w:hint="eastAsia" w:ascii="新宋体" w:hAnsi="新宋体" w:eastAsia="新宋体" w:cs="新宋体"/>
                <w:i w:val="0"/>
                <w:iCs w:val="0"/>
                <w:color w:val="auto"/>
                <w:sz w:val="21"/>
                <w:szCs w:val="21"/>
                <w:highlight w:val="none"/>
                <w:u w:val="none"/>
              </w:rPr>
              <w:t xml:space="preserve">盐雾试验箱、交变湿热试验箱</w:t>
            </w:r>
            <w:r/>
          </w:p>
        </w:tc>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default" w:ascii="新宋体" w:hAnsi="新宋体" w:eastAsia="新宋体" w:cs="新宋体"/>
                <w:i w:val="0"/>
                <w:iCs w:val="0"/>
                <w:color w:val="auto"/>
                <w:sz w:val="21"/>
                <w:szCs w:val="21"/>
                <w:highlight w:val="none"/>
                <w:u w:val="none"/>
                <w:lang w:val="en-US" w:eastAsia="zh-CN" w:bidi="ar-SA"/>
              </w:rPr>
              <w:suppressLineNumbers w:val="0"/>
            </w:pPr>
            <w:r>
              <w:rPr>
                <w:rFonts w:hint="eastAsia" w:ascii="新宋体" w:hAnsi="新宋体" w:eastAsia="新宋体" w:cs="新宋体"/>
                <w:i w:val="0"/>
                <w:iCs w:val="0"/>
                <w:color w:val="auto"/>
                <w:sz w:val="21"/>
                <w:szCs w:val="21"/>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54"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扬州市检验检测中心</w:t>
            </w:r>
            <w:r/>
          </w:p>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（扬州市广陵区杭集镇龙王路6号）</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SA"/>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包6</w:t>
            </w:r>
            <w:r/>
          </w:p>
        </w:tc>
        <w:tc>
          <w:tcPr>
            <w:shd w:val="clear" w:color="auto" w:fill="auto"/>
            <w:tcBorders>
              <w:top w:val="single" w:color="000000" w:sz="4" w:space="0"/>
              <w:left w:val="none" w:color="000000" w:sz="4" w:space="0"/>
              <w:bottom w:val="single" w:color="000000" w:sz="4" w:space="0"/>
              <w:right w:val="single" w:color="000000" w:sz="4" w:space="0"/>
            </w:tcBorders>
            <w:tcW w:w="1208" w:type="pct"/>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SA"/>
              </w:rPr>
              <w:suppressLineNumbers w:val="0"/>
            </w:pPr>
            <w:r>
              <w:rPr>
                <w:rFonts w:hint="eastAsia" w:ascii="新宋体" w:hAnsi="新宋体" w:eastAsia="新宋体" w:cs="新宋体"/>
                <w:i w:val="0"/>
                <w:iCs w:val="0"/>
                <w:color w:val="auto"/>
                <w:sz w:val="21"/>
                <w:szCs w:val="21"/>
                <w:highlight w:val="none"/>
                <w:u w:val="none"/>
              </w:rPr>
              <w:t xml:space="preserve">建材放射性检测仪</w:t>
            </w:r>
            <w:r/>
          </w:p>
        </w:tc>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default" w:ascii="新宋体" w:hAnsi="新宋体" w:eastAsia="新宋体" w:cs="新宋体"/>
                <w:i w:val="0"/>
                <w:iCs w:val="0"/>
                <w:color w:val="auto"/>
                <w:sz w:val="21"/>
                <w:szCs w:val="21"/>
                <w:highlight w:val="none"/>
                <w:u w:val="none"/>
                <w:lang w:val="en-US" w:eastAsia="zh-CN" w:bidi="ar-SA"/>
              </w:rPr>
              <w:suppressLineNumbers w:val="0"/>
            </w:pPr>
            <w:r>
              <w:rPr>
                <w:rFonts w:hint="eastAsia" w:ascii="新宋体" w:hAnsi="新宋体" w:eastAsia="新宋体" w:cs="新宋体"/>
                <w:i w:val="0"/>
                <w:iCs w:val="0"/>
                <w:color w:val="auto"/>
                <w:sz w:val="21"/>
                <w:szCs w:val="21"/>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54"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扬州市检验检测中心</w:t>
            </w:r>
            <w:r/>
          </w:p>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（扬州市广陵区广陵经济开发区创业路20号）</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SA"/>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包7</w:t>
            </w:r>
            <w:r/>
          </w:p>
        </w:tc>
        <w:tc>
          <w:tcPr>
            <w:shd w:val="clear" w:color="auto" w:fill="auto"/>
            <w:tcBorders>
              <w:top w:val="single" w:color="000000" w:sz="4" w:space="0"/>
              <w:left w:val="none" w:color="000000" w:sz="4" w:space="0"/>
              <w:bottom w:val="single" w:color="000000" w:sz="4" w:space="0"/>
              <w:right w:val="single" w:color="000000" w:sz="4" w:space="0"/>
            </w:tcBorders>
            <w:tcW w:w="1208" w:type="pct"/>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SA"/>
              </w:rPr>
              <w:suppressLineNumbers w:val="0"/>
            </w:pPr>
            <w:r>
              <w:rPr>
                <w:rFonts w:hint="eastAsia" w:ascii="新宋体" w:hAnsi="新宋体" w:eastAsia="新宋体" w:cs="新宋体"/>
                <w:i w:val="0"/>
                <w:iCs w:val="0"/>
                <w:color w:val="auto"/>
                <w:sz w:val="21"/>
                <w:szCs w:val="21"/>
                <w:highlight w:val="none"/>
                <w:u w:val="none"/>
              </w:rPr>
              <w:t xml:space="preserve">电子万能材料试验机</w:t>
            </w:r>
            <w:r/>
          </w:p>
        </w:tc>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SA"/>
              </w:rPr>
              <w:suppressLineNumbers w:val="0"/>
            </w:pPr>
            <w:r>
              <w:rPr>
                <w:rFonts w:hint="eastAsia" w:ascii="新宋体" w:hAnsi="新宋体" w:eastAsia="新宋体" w:cs="新宋体"/>
                <w:i w:val="0"/>
                <w:iCs w:val="0"/>
                <w:color w:val="auto"/>
                <w:sz w:val="21"/>
                <w:szCs w:val="21"/>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54"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扬州市检验检测中心</w:t>
            </w:r>
            <w:r/>
          </w:p>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（设备1-3发扬州市广陵区杭集镇龙王路6号；</w:t>
            </w:r>
            <w:r/>
          </w:p>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设备4发扬州市广陵区广陵经济开发区创业路20号）</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包8</w:t>
            </w:r>
            <w:r/>
          </w:p>
        </w:tc>
        <w:tc>
          <w:tcPr>
            <w:shd w:val="clear" w:color="auto" w:fill="auto"/>
            <w:tcBorders>
              <w:top w:val="single" w:color="000000" w:sz="4" w:space="0"/>
              <w:left w:val="none" w:color="000000" w:sz="4" w:space="0"/>
              <w:bottom w:val="single" w:color="000000" w:sz="4" w:space="0"/>
              <w:right w:val="single" w:color="000000" w:sz="4" w:space="0"/>
            </w:tcBorders>
            <w:tcW w:w="12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rPr>
              <w:t xml:space="preserve">电液伺服压力试验机</w:t>
            </w:r>
            <w:r/>
          </w:p>
        </w:tc>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5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扬州市检验检测中心</w:t>
            </w:r>
            <w:r/>
          </w:p>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（扬州市广陵区广陵经济开发区创业路20号）</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包9</w:t>
            </w:r>
            <w:r/>
          </w:p>
        </w:tc>
        <w:tc>
          <w:tcPr>
            <w:shd w:val="clear" w:color="auto" w:fill="auto"/>
            <w:tcBorders>
              <w:top w:val="single" w:color="000000" w:sz="4" w:space="0"/>
              <w:left w:val="none" w:color="000000" w:sz="4" w:space="0"/>
              <w:bottom w:val="single" w:color="000000" w:sz="4" w:space="0"/>
              <w:right w:val="single" w:color="000000" w:sz="4" w:space="0"/>
            </w:tcBorders>
            <w:tcW w:w="12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color w:val="auto"/>
                <w:highlight w:val="none"/>
                <w:lang w:val="en-US" w:eastAsia="zh-CN"/>
              </w:rPr>
              <w:t xml:space="preserve">紫外-可见光谱仪</w:t>
            </w:r>
            <w:r/>
          </w:p>
        </w:tc>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54" w:type="pct"/>
            <w:vAlign w:val="center"/>
            <w:textDirection w:val="lrTb"/>
            <w:noWrap/>
          </w:tcPr>
          <w:p>
            <w:pPr>
              <w:jc w:val="center"/>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扬州市检验检测中心</w:t>
            </w:r>
            <w:r/>
          </w:p>
          <w:p>
            <w:pPr>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highlight w:val="none"/>
              </w:rPr>
              <w:t xml:space="preserve">扬州市广陵区广陵</w:t>
            </w:r>
            <w:r>
              <w:rPr>
                <w:rFonts w:hint="eastAsia" w:ascii="宋体" w:hAnsi="宋体" w:eastAsia="宋体" w:cs="宋体"/>
                <w:b w:val="0"/>
                <w:bCs w:val="0"/>
                <w:color w:val="auto"/>
                <w:highlight w:val="none"/>
                <w:lang w:eastAsia="zh-CN"/>
              </w:rPr>
              <w:t xml:space="preserve">经济开发区</w:t>
            </w:r>
            <w:r>
              <w:rPr>
                <w:rFonts w:hint="eastAsia" w:ascii="宋体" w:hAnsi="宋体" w:eastAsia="宋体" w:cs="宋体"/>
                <w:b w:val="0"/>
                <w:bCs w:val="0"/>
                <w:color w:val="auto"/>
                <w:highlight w:val="none"/>
              </w:rPr>
              <w:t xml:space="preserve">创业路20号</w:t>
            </w:r>
            <w:r>
              <w:rPr>
                <w:rFonts w:hint="eastAsia" w:ascii="宋体" w:hAnsi="宋体" w:eastAsia="宋体" w:cs="宋体"/>
                <w:b w:val="0"/>
                <w:bCs w:val="0"/>
                <w:color w:val="auto"/>
                <w:szCs w:val="21"/>
                <w:highlight w:val="none"/>
                <w:lang w:eastAsia="zh-CN"/>
              </w:rPr>
              <w:t xml:space="preserve">）</w:t>
            </w:r>
            <w:r/>
          </w:p>
        </w:tc>
      </w:tr>
    </w:tbl>
    <w:p>
      <w:pPr>
        <w:numPr>
          <w:ilvl w:val="0"/>
          <w:numId w:val="0"/>
        </w:num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numPr>
          <w:ilvl w:val="0"/>
          <w:numId w:val="0"/>
        </w:numPr>
        <w:keepLines w:val="0"/>
        <w:keepNext w:val="0"/>
        <w:pageBreakBefore w:val="0"/>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三、技术要求</w:t>
      </w:r>
      <w:bookmarkEnd w:id="29"/>
      <w:r/>
      <w:r/>
    </w:p>
    <w:p>
      <w:pPr>
        <w:numPr>
          <w:ilvl w:val="0"/>
          <w:numId w:val="0"/>
        </w:numPr>
        <w:jc w:val="both"/>
        <w:keepLines w:val="0"/>
        <w:keepNext w:val="0"/>
        <w:pageBreakBefore w:val="0"/>
        <w:spacing w:line="440" w:lineRule="exact"/>
        <w:widowControl w:val="off"/>
        <w:rPr>
          <w:rFonts w:hint="eastAsia" w:ascii="宋体" w:hAnsi="宋体" w:eastAsia="宋体" w:cs="宋体"/>
          <w:b/>
          <w:bCs w:val="0"/>
          <w:color w:val="auto"/>
          <w:sz w:val="21"/>
          <w:szCs w:val="21"/>
          <w:highlight w:val="none"/>
          <w:lang w:val="en-US" w:eastAsia="zh-CN" w:bidi="ar-SA"/>
        </w:rPr>
      </w:pPr>
      <w:r/>
      <w:bookmarkStart w:id="30" w:name="_Toc497133123"/>
      <w:r>
        <w:rPr>
          <w:rFonts w:hint="eastAsia" w:ascii="宋体" w:hAnsi="宋体" w:eastAsia="宋体" w:cs="宋体"/>
          <w:b/>
          <w:bCs w:val="0"/>
          <w:color w:val="auto"/>
          <w:sz w:val="21"/>
          <w:szCs w:val="21"/>
          <w:highlight w:val="none"/>
          <w:lang w:val="en-US" w:eastAsia="zh-CN" w:bidi="ar-SA"/>
        </w:rPr>
        <w:t xml:space="preserve">包</w:t>
      </w:r>
      <w:r>
        <w:rPr>
          <w:rFonts w:hint="eastAsia" w:ascii="宋体" w:hAnsi="宋体" w:cs="宋体"/>
          <w:b/>
          <w:bCs w:val="0"/>
          <w:color w:val="auto"/>
          <w:sz w:val="21"/>
          <w:szCs w:val="21"/>
          <w:highlight w:val="none"/>
          <w:lang w:val="en-US" w:eastAsia="zh-CN" w:bidi="ar-SA"/>
        </w:rPr>
        <w:t xml:space="preserve">1</w:t>
      </w:r>
      <w:r>
        <w:rPr>
          <w:rFonts w:hint="eastAsia" w:ascii="宋体" w:hAnsi="宋体" w:eastAsia="宋体" w:cs="宋体"/>
          <w:b/>
          <w:bCs w:val="0"/>
          <w:color w:val="auto"/>
          <w:sz w:val="21"/>
          <w:szCs w:val="21"/>
          <w:highlight w:val="none"/>
          <w:lang w:val="en-US" w:eastAsia="zh-CN" w:bidi="ar-SA"/>
        </w:rPr>
        <w:t xml:space="preserve">：</w:t>
      </w:r>
      <w:r>
        <w:rPr>
          <w:rFonts w:hint="eastAsia" w:ascii="宋体" w:hAnsi="宋体" w:eastAsia="宋体" w:cs="宋体"/>
          <w:b/>
          <w:bCs w:val="0"/>
          <w:color w:val="auto"/>
          <w:highlight w:val="none"/>
          <w:lang w:val="en-US" w:eastAsia="zh-CN"/>
        </w:rPr>
        <w:t xml:space="preserve">微机控制环刚度试验机</w:t>
      </w:r>
      <w:r/>
    </w:p>
    <w:p>
      <w:pPr>
        <w:numPr>
          <w:ilvl w:val="0"/>
          <w:numId w:val="0"/>
        </w:numPr>
        <w:jc w:val="both"/>
        <w:keepLines w:val="0"/>
        <w:keepNext w:val="0"/>
        <w:pageBreakBefore w:val="0"/>
        <w:spacing w:line="440" w:lineRule="exact"/>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（一）技术要求</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[核心参数]</w:t>
      </w:r>
      <w:r/>
    </w:p>
    <w:p>
      <w:pPr>
        <w:numPr>
          <w:ilvl w:val="0"/>
          <w:numId w:val="8"/>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微机控制环刚度试验机</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★1、试验机级别：1级</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★2、力值范围：50N-100kN</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★3、试验速度：0.5-200mm/min</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★4、配有内径测量装置，测试范围110-2000mm</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★5、有效试验宽度1000mm</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★6、软件及用户界面：中文版试验软件1套，以及品牌电脑1台。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[重要参数]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▲1、配置环刚度夹具</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▲2、具有超载保护，限位保护，过流过压超温保护</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▲3、符合GB/T 9647-2015《热塑性塑料管材  环刚度的测定》标准对设备的要求。</w:t>
      </w:r>
      <w:r/>
    </w:p>
    <w:p>
      <w:pPr>
        <w:numPr>
          <w:ilvl w:val="0"/>
          <w:numId w:val="0"/>
        </w:numPr>
        <w:ind w:firstLine="422"/>
        <w:jc w:val="both"/>
        <w:keepLines w:val="0"/>
        <w:keepNext w:val="0"/>
        <w:pageBreakBefore w:val="0"/>
        <w:spacing w:line="440" w:lineRule="exact"/>
        <w:widowControl w:val="off"/>
        <w:rPr>
          <w:rFonts w:hint="eastAsia" w:ascii="宋体" w:hAnsi="宋体" w:eastAsia="宋体" w:cs="宋体"/>
          <w:b/>
          <w:bCs w:val="0"/>
          <w:i/>
          <w:iCs/>
          <w:color w:val="auto"/>
          <w:sz w:val="21"/>
          <w:szCs w:val="21"/>
          <w:highlight w:val="none"/>
          <w:u w:val="single"/>
          <w:lang w:val="en-US" w:eastAsia="zh-CN"/>
        </w:rPr>
      </w:pPr>
      <w:r>
        <w:rPr>
          <w:rFonts w:hint="eastAsia" w:ascii="宋体" w:hAnsi="宋体" w:eastAsia="宋体" w:cs="宋体"/>
          <w:b/>
          <w:bCs w:val="0"/>
          <w:i/>
          <w:iCs/>
          <w:color w:val="auto"/>
          <w:sz w:val="21"/>
          <w:szCs w:val="21"/>
          <w:highlight w:val="none"/>
          <w:u w:val="single"/>
          <w:lang w:val="en-US" w:eastAsia="zh-CN" w:bidi="ar-SA"/>
        </w:rPr>
        <w:t xml:space="preserve">注：</w:t>
      </w:r>
      <w:r>
        <w:rPr>
          <w:rFonts w:hint="eastAsia" w:ascii="宋体" w:hAnsi="宋体" w:eastAsia="宋体" w:cs="宋体"/>
          <w:b/>
          <w:bCs w:val="0"/>
          <w:i/>
          <w:iCs/>
          <w:color w:val="auto"/>
          <w:sz w:val="21"/>
          <w:szCs w:val="21"/>
          <w:highlight w:val="none"/>
          <w:u w:val="single"/>
          <w:lang w:val="en-US" w:eastAsia="zh-CN"/>
        </w:rPr>
        <w:t xml:space="preserve">★参数</w:t>
      </w:r>
      <w:r>
        <w:rPr>
          <w:rFonts w:hint="eastAsia" w:ascii="宋体" w:hAnsi="宋体" w:eastAsia="宋体" w:cs="宋体"/>
          <w:b/>
          <w:bCs w:val="0"/>
          <w:i/>
          <w:iCs/>
          <w:color w:val="auto"/>
          <w:sz w:val="21"/>
          <w:szCs w:val="21"/>
          <w:highlight w:val="none"/>
          <w:u w:val="single"/>
        </w:rPr>
        <w:t xml:space="preserve">为核心参数，</w:t>
      </w:r>
      <w:r>
        <w:rPr>
          <w:rFonts w:hint="eastAsia" w:ascii="宋体" w:hAnsi="宋体" w:eastAsia="宋体" w:cs="宋体"/>
          <w:b/>
          <w:bCs w:val="0"/>
          <w:i/>
          <w:iCs/>
          <w:color w:val="auto"/>
          <w:sz w:val="21"/>
          <w:szCs w:val="21"/>
          <w:highlight w:val="none"/>
          <w:u w:val="single"/>
          <w:lang w:val="en-US" w:eastAsia="zh-CN"/>
        </w:rPr>
        <w:t xml:space="preserve">负偏离无效</w:t>
      </w:r>
      <w:r/>
    </w:p>
    <w:p>
      <w:pPr>
        <w:numPr>
          <w:ilvl w:val="0"/>
          <w:numId w:val="0"/>
        </w:numPr>
        <w:jc w:val="both"/>
        <w:keepLines w:val="0"/>
        <w:keepNext w:val="0"/>
        <w:pageBreakBefore w:val="0"/>
        <w:spacing w:line="440" w:lineRule="exact"/>
        <w:widowControl w:val="off"/>
        <w:rPr>
          <w:rFonts w:hint="eastAsia" w:ascii="宋体" w:hAnsi="宋体" w:eastAsia="宋体" w:cs="宋体"/>
          <w:b/>
          <w:bCs w:val="0"/>
          <w:i w:val="0"/>
          <w:iCs w:val="0"/>
          <w:color w:val="auto"/>
          <w:sz w:val="21"/>
          <w:szCs w:val="21"/>
          <w:highlight w:val="none"/>
          <w:u w:val="none"/>
          <w:lang w:val="en-US" w:eastAsia="zh-CN" w:bidi="ar-SA"/>
        </w:rPr>
      </w:pPr>
      <w:r>
        <w:rPr>
          <w:rFonts w:hint="eastAsia" w:ascii="宋体" w:hAnsi="宋体" w:eastAsia="宋体" w:cs="宋体"/>
          <w:b/>
          <w:bCs w:val="0"/>
          <w:i w:val="0"/>
          <w:iCs w:val="0"/>
          <w:color w:val="auto"/>
          <w:sz w:val="21"/>
          <w:szCs w:val="21"/>
          <w:highlight w:val="none"/>
          <w:u w:val="none"/>
          <w:lang w:val="en-US" w:eastAsia="zh-CN" w:bidi="ar-SA"/>
        </w:rPr>
        <w:t xml:space="preserve">（</w:t>
      </w:r>
      <w:r>
        <w:rPr>
          <w:rFonts w:hint="eastAsia" w:ascii="宋体" w:hAnsi="宋体" w:cs="宋体"/>
          <w:b/>
          <w:bCs w:val="0"/>
          <w:i w:val="0"/>
          <w:iCs w:val="0"/>
          <w:color w:val="auto"/>
          <w:sz w:val="21"/>
          <w:szCs w:val="21"/>
          <w:highlight w:val="none"/>
          <w:u w:val="none"/>
          <w:lang w:val="en-US" w:eastAsia="zh-CN" w:bidi="ar-SA"/>
        </w:rPr>
        <w:t xml:space="preserve">二</w:t>
      </w:r>
      <w:r>
        <w:rPr>
          <w:rFonts w:hint="eastAsia" w:ascii="宋体" w:hAnsi="宋体" w:eastAsia="宋体" w:cs="宋体"/>
          <w:b/>
          <w:bCs w:val="0"/>
          <w:i w:val="0"/>
          <w:iCs w:val="0"/>
          <w:color w:val="auto"/>
          <w:sz w:val="21"/>
          <w:szCs w:val="21"/>
          <w:highlight w:val="none"/>
          <w:u w:val="none"/>
          <w:lang w:val="en-US" w:eastAsia="zh-CN" w:bidi="ar-SA"/>
        </w:rPr>
        <w:t xml:space="preserve">）其他</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1.落实商品包装、快递包装政府采购需求标准按照“财办库[2020]123号《关于印发《商品包装政府采购需求标准（试行）》、《快递包装政府采购需求标准（试行）的通知》”执行，在履约验收时按照本条款执行，违反本约定的对照合同违约条款追究违约责任。投标人一旦参与本项目，即完全响应本条款要求。</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2.项目交货方案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合同签订后</w:t>
      </w:r>
      <w:r>
        <w:rPr>
          <w:rFonts w:hint="eastAsia" w:ascii="宋体" w:hAnsi="宋体" w:cs="宋体"/>
          <w:bCs/>
          <w:color w:val="auto"/>
          <w:sz w:val="21"/>
          <w:szCs w:val="21"/>
          <w:highlight w:val="none"/>
          <w:lang w:val="en-US" w:eastAsia="zh-CN" w:bidi="ar-SA"/>
        </w:rPr>
        <w:t xml:space="preserve">6个月</w:t>
      </w:r>
      <w:r>
        <w:rPr>
          <w:rFonts w:hint="eastAsia" w:ascii="宋体" w:hAnsi="宋体" w:eastAsia="宋体" w:cs="宋体"/>
          <w:bCs/>
          <w:color w:val="auto"/>
          <w:sz w:val="21"/>
          <w:szCs w:val="21"/>
          <w:highlight w:val="none"/>
          <w:lang w:val="en-US" w:eastAsia="zh-CN" w:bidi="ar-SA"/>
        </w:rPr>
        <w:t xml:space="preserve">内完成合同范围内所有设备的供货，上门安装调试。</w:t>
      </w:r>
      <w:r>
        <w:rPr>
          <w:rFonts w:hint="eastAsia" w:ascii="宋体" w:hAnsi="宋体" w:eastAsia="宋体" w:cs="宋体"/>
          <w:bCs/>
          <w:color w:val="auto"/>
          <w:sz w:val="21"/>
          <w:szCs w:val="21"/>
          <w:highlight w:val="none"/>
        </w:rPr>
        <w:t xml:space="preserve">根据招标文件要求提供项目交货方案、进度方案、防护方案以及方案的科学合理、完整、切实可行性等内容。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3.安装调试方案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合同签订后</w:t>
      </w:r>
      <w:r>
        <w:rPr>
          <w:rFonts w:hint="eastAsia" w:ascii="宋体" w:hAnsi="宋体" w:cs="宋体"/>
          <w:bCs/>
          <w:color w:val="auto"/>
          <w:sz w:val="21"/>
          <w:szCs w:val="21"/>
          <w:highlight w:val="none"/>
          <w:lang w:val="en-US" w:eastAsia="zh-CN" w:bidi="ar-SA"/>
        </w:rPr>
        <w:t xml:space="preserve">6个月</w:t>
      </w:r>
      <w:r>
        <w:rPr>
          <w:rFonts w:hint="eastAsia" w:ascii="宋体" w:hAnsi="宋体" w:eastAsia="宋体" w:cs="宋体"/>
          <w:bCs/>
          <w:color w:val="auto"/>
          <w:sz w:val="21"/>
          <w:szCs w:val="21"/>
          <w:highlight w:val="none"/>
          <w:lang w:val="en-US" w:eastAsia="zh-CN" w:bidi="ar-SA"/>
        </w:rPr>
        <w:t xml:space="preserve">内完成合同范围内所有设备的供货，上门安装调试。</w:t>
      </w:r>
      <w:r>
        <w:rPr>
          <w:rFonts w:hint="eastAsia" w:ascii="宋体" w:hAnsi="宋体" w:eastAsia="宋体" w:cs="宋体"/>
          <w:bCs/>
          <w:color w:val="auto"/>
          <w:sz w:val="21"/>
          <w:szCs w:val="21"/>
          <w:highlight w:val="none"/>
        </w:rPr>
        <w:t xml:space="preserve">根据招标文件要求提供安装方案、调试方案、管理方案以及方案的科学合理、完整、切实可行性等内容。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4.质量控制方案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根据招标文件要求提供质量控制体系、质量检验标准、质量管理方案以及方案的科学合理、完整、切实可行性等内容。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5.培训及技术支持方案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根据招标文件要求提供人员培训方案、技术支持方案、采购人所需的技术和学术支持方案以及方案的科学合理、完整、切实可行性等内容。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6.售后服务方案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根据招标文件要求提供售后方案、售后人员安排、售后响应措施以及方案的科学合理、完整、切实可行性等内容。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7.应急方案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根据招标文件要求提供应急预案、应急处理方案、应急人员安排以及方案的科学合理、完整、切实可行性等内容。</w:t>
      </w:r>
      <w:r/>
    </w:p>
    <w:p>
      <w:pPr>
        <w:numPr>
          <w:ilvl w:val="0"/>
          <w:numId w:val="0"/>
        </w:numPr>
        <w:jc w:val="both"/>
        <w:keepLines w:val="0"/>
        <w:keepNext w:val="0"/>
        <w:pageBreakBefore w:val="0"/>
        <w:spacing w:line="440" w:lineRule="exact"/>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r>
      <w:r/>
    </w:p>
    <w:p>
      <w:pPr>
        <w:numPr>
          <w:ilvl w:val="0"/>
          <w:numId w:val="0"/>
        </w:numPr>
        <w:jc w:val="both"/>
        <w:keepLines w:val="0"/>
        <w:keepNext w:val="0"/>
        <w:pageBreakBefore w:val="0"/>
        <w:spacing w:line="440" w:lineRule="exact"/>
        <w:widowControl w:val="off"/>
        <w:rPr>
          <w:rFonts w:hint="eastAsia" w:ascii="宋体" w:hAnsi="宋体" w:eastAsia="宋体" w:cs="宋体"/>
          <w:b/>
          <w:bCs w:val="0"/>
          <w:color w:val="auto"/>
          <w:highlight w:val="none"/>
          <w:lang w:val="en-US" w:eastAsia="zh-CN"/>
        </w:rPr>
      </w:pPr>
      <w:r>
        <w:rPr>
          <w:rFonts w:hint="eastAsia" w:ascii="宋体" w:hAnsi="宋体" w:eastAsia="宋体" w:cs="宋体"/>
          <w:b/>
          <w:bCs w:val="0"/>
          <w:color w:val="auto"/>
          <w:sz w:val="21"/>
          <w:szCs w:val="21"/>
          <w:highlight w:val="none"/>
          <w:lang w:val="en-US" w:eastAsia="zh-CN" w:bidi="ar-SA"/>
        </w:rPr>
        <w:t xml:space="preserve">包</w:t>
      </w:r>
      <w:r>
        <w:rPr>
          <w:rFonts w:hint="eastAsia" w:ascii="宋体" w:hAnsi="宋体" w:cs="宋体"/>
          <w:b/>
          <w:bCs w:val="0"/>
          <w:color w:val="auto"/>
          <w:sz w:val="21"/>
          <w:szCs w:val="21"/>
          <w:highlight w:val="none"/>
          <w:lang w:val="en-US" w:eastAsia="zh-CN" w:bidi="ar-SA"/>
        </w:rPr>
        <w:t xml:space="preserve">2</w:t>
      </w:r>
      <w:r>
        <w:rPr>
          <w:rFonts w:hint="eastAsia" w:ascii="宋体" w:hAnsi="宋体" w:eastAsia="宋体" w:cs="宋体"/>
          <w:b/>
          <w:bCs w:val="0"/>
          <w:color w:val="auto"/>
          <w:sz w:val="21"/>
          <w:szCs w:val="21"/>
          <w:highlight w:val="none"/>
          <w:lang w:val="en-US" w:eastAsia="zh-CN" w:bidi="ar-SA"/>
        </w:rPr>
        <w:t xml:space="preserve">：</w:t>
      </w:r>
      <w:r>
        <w:rPr>
          <w:rFonts w:hint="eastAsia" w:ascii="宋体" w:hAnsi="宋体" w:eastAsia="宋体" w:cs="宋体"/>
          <w:b/>
          <w:bCs w:val="0"/>
          <w:color w:val="auto"/>
          <w:highlight w:val="none"/>
          <w:lang w:val="en-US" w:eastAsia="zh-CN"/>
        </w:rPr>
        <w:t xml:space="preserve">差示扫描量热仪</w:t>
      </w:r>
      <w:r/>
    </w:p>
    <w:p>
      <w:pPr>
        <w:numPr>
          <w:ilvl w:val="0"/>
          <w:numId w:val="0"/>
        </w:numPr>
        <w:jc w:val="both"/>
        <w:keepLines w:val="0"/>
        <w:keepNext w:val="0"/>
        <w:pageBreakBefore w:val="0"/>
        <w:spacing w:line="440" w:lineRule="exact"/>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（一）技术要求</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[核心参数]</w:t>
      </w:r>
      <w:r/>
    </w:p>
    <w:p>
      <w:pPr>
        <w:numPr>
          <w:ilvl w:val="0"/>
          <w:numId w:val="8"/>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差示扫描量热仪</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温度范围</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室温～500℃</w:t>
      </w:r>
      <w:r>
        <w:rPr>
          <w:rFonts w:hint="eastAsia" w:ascii="宋体" w:hAnsi="宋体" w:eastAsia="宋体" w:cs="宋体"/>
          <w:color w:val="auto"/>
          <w:sz w:val="21"/>
          <w:szCs w:val="21"/>
          <w:highlight w:val="none"/>
          <w:lang w:val="en-US" w:eastAsia="zh-CN"/>
        </w:rPr>
        <w:t xml:space="preserve">；</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★2、包含放置试样坩埚和参比坩埚的对称测试系统；</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、能以设定的测量速率等速升温和降温；</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、升温速率: 0.1℃/min～</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lang w:val="en-US" w:eastAsia="zh-CN"/>
        </w:rPr>
        <w:t xml:space="preserve">℃/min；</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、能够进行分段程序升温，包含线性升温、线性降温、恒温模式及其组合；</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、将温度恒定在设定温度的±0.3℃内至少60min；</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、仪器可设置并自动切换两种及以上吹扫气和一种保护气，流动速率：0～</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0ml/mi</w:t>
      </w:r>
      <w:r>
        <w:rPr>
          <w:rFonts w:hint="eastAsia" w:ascii="宋体" w:hAnsi="宋体" w:eastAsia="宋体" w:cs="宋体"/>
          <w:color w:val="auto"/>
          <w:sz w:val="21"/>
          <w:szCs w:val="21"/>
          <w:highlight w:val="none"/>
          <w:lang w:val="en-US" w:eastAsia="zh-CN"/>
        </w:rPr>
        <w:t xml:space="preserve">n；流动速率最大偏差及波动度：±10%；</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、热流速率量程为±100mW及以上；</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、能自动记录热流速率随温度和时间变化的曲线；</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t xml:space="preserve">、温度信号最小分度值：±0.1K；准确度：±0.5K；</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、时间信号最小分度值：±0.5s；准确度：±1s；</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、热流速率最小分度值：±0.5μW；准确度：±2μW；</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[重要参数]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▲1、内置风冷装置；</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▲2、配有标准物质（铟，锡，锌），用于校正温度和热焓；</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▲3、配有配套尺寸铝质坩埚600只；</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▲4、全封闭支架结构设计，防止物品掉入到炉体中污染炉体；</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▲5、配置可输出结果的计算机及打印机；</w:t>
      </w:r>
      <w:r/>
    </w:p>
    <w:p>
      <w:pPr>
        <w:numPr>
          <w:ilvl w:val="0"/>
          <w:numId w:val="0"/>
        </w:numPr>
        <w:ind w:firstLine="422"/>
        <w:jc w:val="both"/>
        <w:keepLines w:val="0"/>
        <w:keepNext w:val="0"/>
        <w:pageBreakBefore w:val="0"/>
        <w:spacing w:line="360" w:lineRule="auto"/>
        <w:widowControl w:val="off"/>
        <w:rPr>
          <w:rFonts w:hint="eastAsia" w:ascii="宋体" w:hAnsi="宋体" w:eastAsia="宋体" w:cs="宋体"/>
          <w:b/>
          <w:bCs w:val="0"/>
          <w:i/>
          <w:iCs/>
          <w:color w:val="auto"/>
          <w:sz w:val="21"/>
          <w:szCs w:val="21"/>
          <w:highlight w:val="none"/>
          <w:u w:val="single"/>
          <w:lang w:val="en-US" w:eastAsia="zh-CN" w:bidi="ar-SA"/>
        </w:rPr>
      </w:pPr>
      <w:r>
        <w:rPr>
          <w:rFonts w:hint="eastAsia" w:ascii="宋体" w:hAnsi="宋体" w:eastAsia="宋体" w:cs="宋体"/>
          <w:b/>
          <w:bCs w:val="0"/>
          <w:i/>
          <w:iCs/>
          <w:color w:val="auto"/>
          <w:sz w:val="21"/>
          <w:szCs w:val="21"/>
          <w:highlight w:val="none"/>
          <w:u w:val="single"/>
          <w:lang w:val="en-US" w:eastAsia="zh-CN" w:bidi="ar-SA"/>
        </w:rPr>
      </w:r>
      <w:r/>
    </w:p>
    <w:p>
      <w:pPr>
        <w:numPr>
          <w:ilvl w:val="0"/>
          <w:numId w:val="0"/>
        </w:numPr>
        <w:ind w:firstLine="422"/>
        <w:jc w:val="both"/>
        <w:keepLines w:val="0"/>
        <w:keepNext w:val="0"/>
        <w:pageBreakBefore w:val="0"/>
        <w:spacing w:line="360" w:lineRule="auto"/>
        <w:widowControl w:val="off"/>
        <w:rPr>
          <w:rFonts w:hint="eastAsia" w:ascii="宋体" w:hAnsi="宋体" w:eastAsia="宋体" w:cs="宋体"/>
          <w:b/>
          <w:bCs w:val="0"/>
          <w:i/>
          <w:iCs/>
          <w:color w:val="auto"/>
          <w:sz w:val="21"/>
          <w:szCs w:val="21"/>
          <w:highlight w:val="none"/>
          <w:u w:val="single"/>
          <w:lang w:val="en-US" w:eastAsia="zh-CN"/>
        </w:rPr>
      </w:pPr>
      <w:r>
        <w:rPr>
          <w:rFonts w:hint="eastAsia" w:ascii="宋体" w:hAnsi="宋体" w:eastAsia="宋体" w:cs="宋体"/>
          <w:b/>
          <w:bCs w:val="0"/>
          <w:i/>
          <w:iCs/>
          <w:color w:val="auto"/>
          <w:sz w:val="21"/>
          <w:szCs w:val="21"/>
          <w:highlight w:val="none"/>
          <w:u w:val="single"/>
          <w:lang w:val="en-US" w:eastAsia="zh-CN" w:bidi="ar-SA"/>
        </w:rPr>
        <w:t xml:space="preserve">注：</w:t>
      </w:r>
      <w:r>
        <w:rPr>
          <w:rFonts w:hint="eastAsia" w:ascii="宋体" w:hAnsi="宋体" w:eastAsia="宋体" w:cs="宋体"/>
          <w:b/>
          <w:bCs w:val="0"/>
          <w:i/>
          <w:iCs/>
          <w:color w:val="auto"/>
          <w:sz w:val="21"/>
          <w:szCs w:val="21"/>
          <w:highlight w:val="none"/>
          <w:u w:val="single"/>
          <w:lang w:val="en-US" w:eastAsia="zh-CN"/>
        </w:rPr>
        <w:t xml:space="preserve">★参数</w:t>
      </w:r>
      <w:r>
        <w:rPr>
          <w:rFonts w:hint="eastAsia" w:ascii="宋体" w:hAnsi="宋体" w:eastAsia="宋体" w:cs="宋体"/>
          <w:b/>
          <w:bCs w:val="0"/>
          <w:i/>
          <w:iCs/>
          <w:color w:val="auto"/>
          <w:sz w:val="21"/>
          <w:szCs w:val="21"/>
          <w:highlight w:val="none"/>
          <w:u w:val="single"/>
        </w:rPr>
        <w:t xml:space="preserve">为核心参数，</w:t>
      </w:r>
      <w:r>
        <w:rPr>
          <w:rFonts w:hint="eastAsia" w:ascii="宋体" w:hAnsi="宋体" w:eastAsia="宋体" w:cs="宋体"/>
          <w:b/>
          <w:bCs w:val="0"/>
          <w:i/>
          <w:iCs/>
          <w:color w:val="auto"/>
          <w:sz w:val="21"/>
          <w:szCs w:val="21"/>
          <w:highlight w:val="none"/>
          <w:u w:val="single"/>
          <w:lang w:val="en-US" w:eastAsia="zh-CN"/>
        </w:rPr>
        <w:t xml:space="preserve">负偏离无效</w:t>
      </w:r>
      <w:r/>
    </w:p>
    <w:p>
      <w:pPr>
        <w:numPr>
          <w:ilvl w:val="0"/>
          <w:numId w:val="0"/>
        </w:numPr>
        <w:jc w:val="both"/>
        <w:keepLines w:val="0"/>
        <w:keepNext w:val="0"/>
        <w:pageBreakBefore w:val="0"/>
        <w:spacing w:line="360" w:lineRule="auto"/>
        <w:widowControl w:val="off"/>
        <w:rPr>
          <w:rFonts w:hint="eastAsia" w:ascii="宋体" w:hAnsi="宋体" w:eastAsia="宋体" w:cs="宋体"/>
          <w:b/>
          <w:bCs w:val="0"/>
          <w:i w:val="0"/>
          <w:iCs w:val="0"/>
          <w:color w:val="auto"/>
          <w:sz w:val="21"/>
          <w:szCs w:val="21"/>
          <w:highlight w:val="none"/>
          <w:u w:val="none"/>
          <w:lang w:val="en-US" w:eastAsia="zh-CN" w:bidi="ar-SA"/>
        </w:rPr>
      </w:pPr>
      <w:r>
        <w:rPr>
          <w:rFonts w:hint="eastAsia" w:ascii="宋体" w:hAnsi="宋体" w:eastAsia="宋体" w:cs="宋体"/>
          <w:b/>
          <w:bCs w:val="0"/>
          <w:i w:val="0"/>
          <w:iCs w:val="0"/>
          <w:color w:val="auto"/>
          <w:sz w:val="21"/>
          <w:szCs w:val="21"/>
          <w:highlight w:val="none"/>
          <w:u w:val="none"/>
          <w:lang w:val="en-US" w:eastAsia="zh-CN" w:bidi="ar-SA"/>
        </w:rPr>
        <w:t xml:space="preserve">（</w:t>
      </w:r>
      <w:r>
        <w:rPr>
          <w:rFonts w:hint="eastAsia" w:ascii="宋体" w:hAnsi="宋体" w:cs="宋体"/>
          <w:b/>
          <w:bCs w:val="0"/>
          <w:i w:val="0"/>
          <w:iCs w:val="0"/>
          <w:color w:val="auto"/>
          <w:sz w:val="21"/>
          <w:szCs w:val="21"/>
          <w:highlight w:val="none"/>
          <w:u w:val="none"/>
          <w:lang w:val="en-US" w:eastAsia="zh-CN" w:bidi="ar-SA"/>
        </w:rPr>
        <w:t xml:space="preserve">二</w:t>
      </w:r>
      <w:r>
        <w:rPr>
          <w:rFonts w:hint="eastAsia" w:ascii="宋体" w:hAnsi="宋体" w:eastAsia="宋体" w:cs="宋体"/>
          <w:b/>
          <w:bCs w:val="0"/>
          <w:i w:val="0"/>
          <w:iCs w:val="0"/>
          <w:color w:val="auto"/>
          <w:sz w:val="21"/>
          <w:szCs w:val="21"/>
          <w:highlight w:val="none"/>
          <w:u w:val="none"/>
          <w:lang w:val="en-US" w:eastAsia="zh-CN" w:bidi="ar-SA"/>
        </w:rPr>
        <w:t xml:space="preserve">）其他</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1.落实商品包装、快递包装政府采购需求标准按照“财办库[2020]123号《关于印发《商品包装政府采购需求标准（试行）》、《快递包装政府采购需求标准（试行）的通知》”执行，在履约验收时按照本条款执行，违反本约定的对照合同违约条款追究违约责任。投标人一旦参与本项目，即完全响应本条款要求。</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2.项目交货方案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合同签订后</w:t>
      </w:r>
      <w:r>
        <w:rPr>
          <w:rFonts w:hint="eastAsia" w:ascii="宋体" w:hAnsi="宋体" w:cs="宋体"/>
          <w:bCs/>
          <w:color w:val="auto"/>
          <w:sz w:val="21"/>
          <w:szCs w:val="21"/>
          <w:highlight w:val="none"/>
          <w:lang w:val="en-US" w:eastAsia="zh-CN" w:bidi="ar-SA"/>
        </w:rPr>
        <w:t xml:space="preserve">6个月</w:t>
      </w:r>
      <w:r>
        <w:rPr>
          <w:rFonts w:hint="eastAsia" w:ascii="宋体" w:hAnsi="宋体" w:eastAsia="宋体" w:cs="宋体"/>
          <w:bCs/>
          <w:color w:val="auto"/>
          <w:sz w:val="21"/>
          <w:szCs w:val="21"/>
          <w:highlight w:val="none"/>
          <w:lang w:val="en-US" w:eastAsia="zh-CN" w:bidi="ar-SA"/>
        </w:rPr>
        <w:t xml:space="preserve">内完成合同范围内所有设备的供货，上门安装调试。</w:t>
      </w:r>
      <w:r>
        <w:rPr>
          <w:rFonts w:hint="eastAsia" w:ascii="宋体" w:hAnsi="宋体" w:eastAsia="宋体" w:cs="宋体"/>
          <w:bCs/>
          <w:color w:val="auto"/>
          <w:sz w:val="21"/>
          <w:szCs w:val="21"/>
          <w:highlight w:val="none"/>
        </w:rPr>
        <w:t xml:space="preserve">根据招标文件要求提供项目交货方案、进度方案、防护方案以及方案的科学合理、完整、切实可行性等内容。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3.安装调试方案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合同签订后</w:t>
      </w:r>
      <w:r>
        <w:rPr>
          <w:rFonts w:hint="eastAsia" w:ascii="宋体" w:hAnsi="宋体" w:cs="宋体"/>
          <w:bCs/>
          <w:color w:val="auto"/>
          <w:sz w:val="21"/>
          <w:szCs w:val="21"/>
          <w:highlight w:val="none"/>
          <w:lang w:val="en-US" w:eastAsia="zh-CN" w:bidi="ar-SA"/>
        </w:rPr>
        <w:t xml:space="preserve">6个月</w:t>
      </w:r>
      <w:r>
        <w:rPr>
          <w:rFonts w:hint="eastAsia" w:ascii="宋体" w:hAnsi="宋体" w:eastAsia="宋体" w:cs="宋体"/>
          <w:bCs/>
          <w:color w:val="auto"/>
          <w:sz w:val="21"/>
          <w:szCs w:val="21"/>
          <w:highlight w:val="none"/>
          <w:lang w:val="en-US" w:eastAsia="zh-CN" w:bidi="ar-SA"/>
        </w:rPr>
        <w:t xml:space="preserve">内完成合同范围内所有设备的供货，上门安装调试。</w:t>
      </w:r>
      <w:r>
        <w:rPr>
          <w:rFonts w:hint="eastAsia" w:ascii="宋体" w:hAnsi="宋体" w:eastAsia="宋体" w:cs="宋体"/>
          <w:bCs/>
          <w:color w:val="auto"/>
          <w:sz w:val="21"/>
          <w:szCs w:val="21"/>
          <w:highlight w:val="none"/>
        </w:rPr>
        <w:t xml:space="preserve">根据招标文件要求提供安装方案、调试方案、管理方案以及方案的科学合理、完整、切实可行性等内容。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4.质量控制方案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根据招标文件要求提供质量控制体系、质量检验标准、质量管理方案以及方案的科学合理、完整、切实可行性等内容。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5.培训及技术支持方案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根据招标文件要求提供人员培训方案、技术支持方案、采购人所需的技术和学术支持方案以及方案的科学合理、完整、切实可行性等内容。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6.售后服务方案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根据招标文件要求提供售后方案、售后人员安排、售后响应措施以及方案的科学合理、完整、切实可行性等内容。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7.应急方案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根据招标文件要求提供应急预案、应急处理方案、应急人员安排以及方案的科学合理、完整、切实可行性等内容。</w:t>
      </w:r>
      <w:r/>
    </w:p>
    <w:p>
      <w:pPr>
        <w:numPr>
          <w:ilvl w:val="0"/>
          <w:numId w:val="0"/>
        </w:numPr>
        <w:keepLines w:val="0"/>
        <w:keepNext w:val="0"/>
        <w:pageBreakBefore w:val="0"/>
        <w:spacing w:line="360" w:lineRule="auto"/>
        <w:widowControl w:val="off"/>
        <w:rPr>
          <w:rFonts w:hint="default" w:ascii="宋体" w:hAnsi="宋体" w:cs="宋体"/>
          <w:b/>
          <w:bCs/>
          <w:color w:val="auto"/>
          <w:highlight w:val="none"/>
          <w:lang w:val="en-US" w:eastAsia="zh-CN"/>
        </w:rPr>
      </w:pPr>
      <w:r>
        <w:rPr>
          <w:rFonts w:hint="default" w:ascii="宋体" w:hAnsi="宋体" w:cs="宋体"/>
          <w:b/>
          <w:bCs/>
          <w:color w:val="auto"/>
          <w:highlight w:val="none"/>
          <w:lang w:val="en-US" w:eastAsia="zh-CN"/>
        </w:rPr>
      </w:r>
      <w:r/>
    </w:p>
    <w:p>
      <w:pPr>
        <w:numPr>
          <w:ilvl w:val="0"/>
          <w:numId w:val="0"/>
        </w:numPr>
        <w:keepLines w:val="0"/>
        <w:keepNext w:val="0"/>
        <w:pageBreakBefore w:val="0"/>
        <w:spacing w:line="360" w:lineRule="auto"/>
        <w:widowControl w:val="off"/>
        <w:rPr>
          <w:rFonts w:hint="default" w:ascii="宋体" w:hAnsi="宋体" w:cs="宋体"/>
          <w:b/>
          <w:bCs/>
          <w:color w:val="auto"/>
          <w:highlight w:val="none"/>
          <w:lang w:val="en-US" w:eastAsia="zh-CN"/>
        </w:rPr>
      </w:pPr>
      <w:r>
        <w:rPr>
          <w:rFonts w:hint="default" w:ascii="宋体" w:hAnsi="宋体" w:cs="宋体"/>
          <w:b/>
          <w:bCs/>
          <w:color w:val="auto"/>
          <w:highlight w:val="none"/>
          <w:lang w:val="en-US" w:eastAsia="zh-CN"/>
        </w:rPr>
        <w:t xml:space="preserve">包</w:t>
      </w:r>
      <w:r>
        <w:rPr>
          <w:rFonts w:hint="eastAsia" w:ascii="宋体" w:hAnsi="宋体" w:cs="宋体"/>
          <w:b/>
          <w:bCs/>
          <w:color w:val="auto"/>
          <w:highlight w:val="none"/>
          <w:lang w:val="en-US" w:eastAsia="zh-CN"/>
        </w:rPr>
        <w:t xml:space="preserve">3：</w:t>
      </w:r>
      <w:r>
        <w:rPr>
          <w:rFonts w:hint="default" w:ascii="宋体" w:hAnsi="宋体" w:cs="宋体"/>
          <w:b/>
          <w:bCs/>
          <w:color w:val="auto"/>
          <w:highlight w:val="none"/>
          <w:lang w:val="en-US" w:eastAsia="zh-CN"/>
        </w:rPr>
        <w:t xml:space="preserve">红外碳硫分析仪</w:t>
      </w:r>
      <w:r/>
    </w:p>
    <w:p>
      <w:pPr>
        <w:numPr>
          <w:ilvl w:val="0"/>
          <w:numId w:val="0"/>
        </w:numPr>
        <w:jc w:val="both"/>
        <w:keepLines w:val="0"/>
        <w:keepNext w:val="0"/>
        <w:pageBreakBefore w:val="0"/>
        <w:spacing w:line="440" w:lineRule="exact"/>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（一）技术要求</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[核心参数]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★1、碳测量范围：0.00001%～99.9999%</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★2、硫测量范围：0.00001%～99.9999%</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★3、碳分析精度：RSD≤0.8%</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★4、硫分析精度：RSD≤1.0%</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★5、灵敏度：0.1ppm</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★6、分析误差：碳：符合GB/T 223.86-2009/ISO9556；硫：符合GB/T 223.85-2009/ISO4935。同时符合JJG 395-2016定碳定硫分析仪检定规程 </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[重要参数]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▲1、燃烧功率2.5</w:t>
      </w:r>
      <w:bookmarkStart w:id="31" w:name="OLE_LINK9"/>
      <w:r/>
      <w:bookmarkStart w:id="32" w:name="OLE_LINK8"/>
      <w:r>
        <w:rPr>
          <w:rFonts w:hint="eastAsia" w:ascii="宋体" w:hAnsi="宋体" w:eastAsia="宋体" w:cs="宋体"/>
          <w:color w:val="auto"/>
          <w:sz w:val="21"/>
          <w:szCs w:val="21"/>
          <w:highlight w:val="none"/>
          <w:lang w:val="en-US" w:eastAsia="zh-CN"/>
        </w:rPr>
        <w:t xml:space="preserve">KVA</w:t>
      </w:r>
      <w:bookmarkEnd w:id="31"/>
      <w:r/>
      <w:bookmarkEnd w:id="32"/>
      <w:r>
        <w:rPr>
          <w:rFonts w:hint="eastAsia" w:ascii="宋体" w:hAnsi="宋体" w:eastAsia="宋体" w:cs="宋体"/>
          <w:color w:val="auto"/>
          <w:sz w:val="21"/>
          <w:szCs w:val="21"/>
          <w:highlight w:val="none"/>
          <w:lang w:val="en-US" w:eastAsia="zh-CN"/>
        </w:rPr>
        <w:t xml:space="preserve">~3.0 KVA</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▲2、分析时间：</w:t>
      </w:r>
      <w:bookmarkStart w:id="33" w:name="OLE_LINK26"/>
      <w:r/>
      <w:bookmarkStart w:id="34" w:name="OLE_LINK25"/>
      <w:r>
        <w:rPr>
          <w:rFonts w:hint="eastAsia" w:ascii="宋体" w:hAnsi="宋体" w:eastAsia="宋体" w:cs="宋体"/>
          <w:color w:val="auto"/>
          <w:sz w:val="21"/>
          <w:szCs w:val="21"/>
          <w:highlight w:val="none"/>
          <w:lang w:val="en-US" w:eastAsia="zh-CN"/>
        </w:rPr>
        <w:t xml:space="preserve">30s左右（燃烧时间可调整</w:t>
      </w:r>
      <w:bookmarkEnd w:id="33"/>
      <w:r/>
      <w:bookmarkEnd w:id="34"/>
      <w:r>
        <w:rPr>
          <w:rFonts w:hint="eastAsia" w:ascii="宋体" w:hAnsi="宋体" w:eastAsia="宋体" w:cs="宋体"/>
          <w:color w:val="auto"/>
          <w:sz w:val="21"/>
          <w:szCs w:val="21"/>
          <w:highlight w:val="none"/>
          <w:lang w:val="en-US" w:eastAsia="zh-CN"/>
        </w:rPr>
        <w:t xml:space="preserve">）</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▲3、高频炉：频率：18~30MHz；功率：2.5~3.5kW</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bookmarkStart w:id="35" w:name="OLE_LINK28"/>
      <w:r/>
      <w:bookmarkStart w:id="36" w:name="OLE_LINK29"/>
      <w:r>
        <w:rPr>
          <w:rFonts w:hint="eastAsia" w:ascii="宋体" w:hAnsi="宋体" w:eastAsia="宋体" w:cs="宋体"/>
          <w:color w:val="auto"/>
          <w:sz w:val="21"/>
          <w:szCs w:val="21"/>
          <w:highlight w:val="none"/>
          <w:lang w:val="en-US" w:eastAsia="zh-CN"/>
        </w:rPr>
        <w:t xml:space="preserve">电子天平</w:t>
      </w:r>
      <w:bookmarkEnd w:id="35"/>
      <w:r/>
      <w:bookmarkEnd w:id="36"/>
      <w:r>
        <w:rPr>
          <w:rFonts w:hint="eastAsia" w:ascii="宋体" w:hAnsi="宋体" w:eastAsia="宋体" w:cs="宋体"/>
          <w:color w:val="auto"/>
          <w:sz w:val="21"/>
          <w:szCs w:val="21"/>
          <w:highlight w:val="none"/>
          <w:lang w:val="en-US" w:eastAsia="zh-CN"/>
        </w:rPr>
        <w:t xml:space="preserve">：量程：0.1～120g，读数精度0.0001g</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[一般参数]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1、标准配置高频碳硫分析仪根据用户需求配备二个独立的红外吸收池（即碳硫各有10个通道，检测器：吸收池采用热释电固态红外检测器；</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2、电机：</w:t>
      </w:r>
      <w:r>
        <w:rPr>
          <w:rFonts w:hint="eastAsia" w:ascii="宋体" w:hAnsi="宋体" w:eastAsia="宋体" w:cs="宋体"/>
          <w:color w:val="auto"/>
          <w:sz w:val="21"/>
          <w:szCs w:val="21"/>
          <w:highlight w:val="none"/>
          <w:lang w:val="en-US" w:eastAsia="zh-CN"/>
        </w:rPr>
        <w:t xml:space="preserve">采用同步电机</w:t>
      </w:r>
      <w:r>
        <w:rPr>
          <w:rFonts w:hint="eastAsia" w:ascii="宋体" w:hAnsi="宋体" w:cs="宋体"/>
          <w:color w:val="auto"/>
          <w:sz w:val="21"/>
          <w:szCs w:val="21"/>
          <w:highlight w:val="none"/>
          <w:lang w:val="en-US" w:eastAsia="zh-CN"/>
        </w:rPr>
        <w:t xml:space="preserve">，运行稳定可靠，</w:t>
      </w:r>
      <w:r>
        <w:rPr>
          <w:rFonts w:hint="eastAsia" w:ascii="宋体" w:hAnsi="宋体" w:eastAsia="宋体" w:cs="宋体"/>
          <w:color w:val="auto"/>
          <w:sz w:val="21"/>
          <w:szCs w:val="21"/>
          <w:highlight w:val="none"/>
          <w:lang w:val="en-US" w:eastAsia="zh-CN"/>
        </w:rPr>
        <w:t xml:space="preserve">连续工作10万小时</w:t>
      </w:r>
      <w:r>
        <w:rPr>
          <w:rFonts w:hint="eastAsia" w:ascii="宋体" w:hAnsi="宋体" w:cs="宋体"/>
          <w:color w:val="auto"/>
          <w:sz w:val="21"/>
          <w:szCs w:val="21"/>
          <w:highlight w:val="none"/>
          <w:lang w:val="en-US" w:eastAsia="zh-CN"/>
        </w:rPr>
        <w:t xml:space="preserve">无故障</w:t>
      </w:r>
      <w:r>
        <w:rPr>
          <w:rFonts w:hint="eastAsia" w:ascii="宋体" w:hAnsi="宋体" w:eastAsia="宋体" w:cs="宋体"/>
          <w:color w:val="auto"/>
          <w:sz w:val="21"/>
          <w:szCs w:val="21"/>
          <w:highlight w:val="none"/>
          <w:lang w:val="en-US" w:eastAsia="zh-CN"/>
        </w:rPr>
        <w:t xml:space="preserve">；</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3、光源：采用抗氧化、稳定红外光源；</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4、气室恒温：整个气室进行恒温控制，保证分析气温度恒定，确保测量精度；</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5、保护气：红外光源及检测器采用氧气保护、净化，隔绝周围环境气氛的影响，提高稳定性和测量精度</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6、电源电压/频率：220V±10% AC / </w:t>
      </w:r>
      <w:bookmarkStart w:id="37" w:name="OLE_LINK10"/>
      <w:r/>
      <w:bookmarkStart w:id="38" w:name="OLE_LINK11"/>
      <w:r>
        <w:rPr>
          <w:rFonts w:hint="eastAsia" w:ascii="宋体" w:hAnsi="宋体" w:eastAsia="宋体" w:cs="宋体"/>
          <w:color w:val="auto"/>
          <w:sz w:val="21"/>
          <w:szCs w:val="21"/>
          <w:highlight w:val="none"/>
          <w:lang w:val="en-US" w:eastAsia="zh-CN"/>
        </w:rPr>
        <w:t xml:space="preserve">50Hz</w:t>
      </w:r>
      <w:bookmarkEnd w:id="37"/>
      <w:r/>
      <w:bookmarkEnd w:id="38"/>
      <w:r>
        <w:rPr>
          <w:rFonts w:hint="eastAsia" w:ascii="宋体" w:hAnsi="宋体" w:eastAsia="宋体" w:cs="宋体"/>
          <w:color w:val="auto"/>
          <w:sz w:val="21"/>
          <w:szCs w:val="21"/>
          <w:highlight w:val="none"/>
          <w:lang w:val="en-US" w:eastAsia="zh-CN"/>
        </w:rPr>
        <w:t xml:space="preserve">~50Hz</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val="0"/>
          <w:i/>
          <w:iCs/>
          <w:color w:val="auto"/>
          <w:sz w:val="21"/>
          <w:szCs w:val="21"/>
          <w:highlight w:val="none"/>
          <w:u w:val="single"/>
          <w:lang w:val="en-US" w:eastAsia="zh-CN" w:bidi="ar-SA"/>
        </w:rPr>
        <w:t xml:space="preserve">注：</w:t>
      </w:r>
      <w:r>
        <w:rPr>
          <w:rFonts w:hint="eastAsia" w:ascii="宋体" w:hAnsi="宋体" w:eastAsia="宋体" w:cs="宋体"/>
          <w:b/>
          <w:bCs w:val="0"/>
          <w:i/>
          <w:iCs/>
          <w:color w:val="auto"/>
          <w:sz w:val="21"/>
          <w:szCs w:val="21"/>
          <w:highlight w:val="none"/>
          <w:u w:val="single"/>
          <w:lang w:val="en-US" w:eastAsia="zh-CN"/>
        </w:rPr>
        <w:t xml:space="preserve">★参数</w:t>
      </w:r>
      <w:r>
        <w:rPr>
          <w:rFonts w:hint="eastAsia" w:ascii="宋体" w:hAnsi="宋体" w:eastAsia="宋体" w:cs="宋体"/>
          <w:b/>
          <w:bCs w:val="0"/>
          <w:i/>
          <w:iCs/>
          <w:color w:val="auto"/>
          <w:sz w:val="21"/>
          <w:szCs w:val="21"/>
          <w:highlight w:val="none"/>
          <w:u w:val="single"/>
        </w:rPr>
        <w:t xml:space="preserve">为核心参数，</w:t>
      </w:r>
      <w:r>
        <w:rPr>
          <w:rFonts w:hint="eastAsia" w:ascii="宋体" w:hAnsi="宋体" w:eastAsia="宋体" w:cs="宋体"/>
          <w:b/>
          <w:bCs w:val="0"/>
          <w:i/>
          <w:iCs/>
          <w:color w:val="auto"/>
          <w:sz w:val="21"/>
          <w:szCs w:val="21"/>
          <w:highlight w:val="none"/>
          <w:u w:val="single"/>
          <w:lang w:val="en-US" w:eastAsia="zh-CN"/>
        </w:rPr>
        <w:t xml:space="preserve">负偏离无效</w:t>
      </w:r>
      <w:r/>
    </w:p>
    <w:p>
      <w:pPr>
        <w:numPr>
          <w:ilvl w:val="0"/>
          <w:numId w:val="0"/>
        </w:numPr>
        <w:jc w:val="both"/>
        <w:keepLines w:val="0"/>
        <w:keepNext w:val="0"/>
        <w:pageBreakBefore w:val="0"/>
        <w:spacing w:line="440" w:lineRule="exact"/>
        <w:widowControl w:val="off"/>
        <w:rPr>
          <w:rFonts w:hint="eastAsia" w:ascii="宋体" w:hAnsi="宋体" w:eastAsia="宋体" w:cs="宋体"/>
          <w:b/>
          <w:bCs w:val="0"/>
          <w:i w:val="0"/>
          <w:iCs w:val="0"/>
          <w:color w:val="auto"/>
          <w:sz w:val="21"/>
          <w:szCs w:val="21"/>
          <w:highlight w:val="none"/>
          <w:u w:val="none"/>
          <w:lang w:val="en-US" w:eastAsia="zh-CN" w:bidi="ar-SA"/>
        </w:rPr>
      </w:pPr>
      <w:r>
        <w:rPr>
          <w:rFonts w:hint="eastAsia" w:ascii="宋体" w:hAnsi="宋体" w:eastAsia="宋体" w:cs="宋体"/>
          <w:b/>
          <w:bCs w:val="0"/>
          <w:i w:val="0"/>
          <w:iCs w:val="0"/>
          <w:color w:val="auto"/>
          <w:sz w:val="21"/>
          <w:szCs w:val="21"/>
          <w:highlight w:val="none"/>
          <w:u w:val="none"/>
          <w:lang w:val="en-US" w:eastAsia="zh-CN" w:bidi="ar-SA"/>
        </w:rPr>
        <w:t xml:space="preserve">（</w:t>
      </w:r>
      <w:r>
        <w:rPr>
          <w:rFonts w:hint="eastAsia" w:ascii="宋体" w:hAnsi="宋体" w:cs="宋体"/>
          <w:b/>
          <w:bCs w:val="0"/>
          <w:i w:val="0"/>
          <w:iCs w:val="0"/>
          <w:color w:val="auto"/>
          <w:sz w:val="21"/>
          <w:szCs w:val="21"/>
          <w:highlight w:val="none"/>
          <w:u w:val="none"/>
          <w:lang w:val="en-US" w:eastAsia="zh-CN" w:bidi="ar-SA"/>
        </w:rPr>
        <w:t xml:space="preserve">二</w:t>
      </w:r>
      <w:r>
        <w:rPr>
          <w:rFonts w:hint="eastAsia" w:ascii="宋体" w:hAnsi="宋体" w:eastAsia="宋体" w:cs="宋体"/>
          <w:b/>
          <w:bCs w:val="0"/>
          <w:i w:val="0"/>
          <w:iCs w:val="0"/>
          <w:color w:val="auto"/>
          <w:sz w:val="21"/>
          <w:szCs w:val="21"/>
          <w:highlight w:val="none"/>
          <w:u w:val="none"/>
          <w:lang w:val="en-US" w:eastAsia="zh-CN" w:bidi="ar-SA"/>
        </w:rPr>
        <w:t xml:space="preserve">）其他</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1.落实商品包装、快递包装政府采购需求标准按照“财办库[2020]123号《关于印发《商品包装政府采购需求标准（试行）》、《快递包装政府采购需求标准（试行）的通知》”执行，在履约验收时按照本条款执行，违反本约定的对照合同违约条款追究违约责任。投标人一旦参与本项目，即完全响应本条款要求。</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2.项目交货方案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根据招标文件要求提供项目交货方案、进度方案、防护方案以及方案的科学合理、完整、切实可行性等内容。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3.安装调试方案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根据招标文件要求提供安装方案、调试方案、管理方案以及方案的科学合理、完整、切实可行性等内容。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4.质量控制方案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根据招标文件要求提供质量控制体系、质量检验标准、质量管理方案以及方案的科学合理、完整、切实可行性等内容。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5.培训及技术支持方案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根据招标文件要求提供人员培训方案、技术支持方案、采购人所需的技术和学术支持方案以及方案的科学合理、完整、切实可行性等内容。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6.售后服务方案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根据招标文件要求提供售后方案、售后人员安排、售后响应措施以及方案的科学合理、完整、切实可行性等内容。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7.应急方案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根据招标文件要求提供应急预案、应急处理方案、应急人员安排以及方案的科学合理、完整、切实可行性等内容。</w:t>
      </w:r>
      <w:r/>
    </w:p>
    <w:p>
      <w:pPr>
        <w:numPr>
          <w:ilvl w:val="0"/>
          <w:numId w:val="0"/>
        </w:numPr>
        <w:keepLines w:val="0"/>
        <w:keepNext w:val="0"/>
        <w:pageBreakBefore w:val="0"/>
        <w:spacing w:line="360" w:lineRule="auto"/>
        <w:widowControl w:val="off"/>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p>
    <w:p>
      <w:pPr>
        <w:numPr>
          <w:ilvl w:val="0"/>
          <w:numId w:val="0"/>
        </w:numPr>
        <w:keepLines w:val="0"/>
        <w:keepNext w:val="0"/>
        <w:pageBreakBefore w:val="0"/>
        <w:spacing w:line="360" w:lineRule="auto"/>
        <w:widowControl w:val="off"/>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包4：阀门静压寿命试验台</w:t>
      </w:r>
      <w:r/>
    </w:p>
    <w:p>
      <w:pPr>
        <w:numPr>
          <w:ilvl w:val="0"/>
          <w:numId w:val="0"/>
        </w:numPr>
        <w:jc w:val="both"/>
        <w:keepLines w:val="0"/>
        <w:keepNext w:val="0"/>
        <w:pageBreakBefore w:val="0"/>
        <w:spacing w:line="440" w:lineRule="exact"/>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（一）技术要求</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[核心参数]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★1、最大输出及测量扭矩：1000N*m，输出结构：万向节，额定转速:约20RPM(速度可调)，设备最大升降高度:1900mm(升降行程700mm)。</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★2、扭矩保护方式:软件设定，扭矩传感器精度:0.5%，扭矩综合测量精度:1%。</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sz w:val="21"/>
          <w:szCs w:val="21"/>
          <w:highlight w:val="none"/>
          <w:lang w:val="en-US" w:eastAsia="zh-CN"/>
        </w:rPr>
        <w:t xml:space="preserve"> </w:t>
      </w:r>
      <w:r>
        <w:rPr>
          <w:rFonts w:hint="eastAsia" w:ascii="宋体" w:hAnsi="宋体" w:eastAsia="宋体" w:cs="宋体"/>
          <w:b/>
          <w:bCs/>
          <w:color w:val="auto"/>
          <w:sz w:val="21"/>
          <w:szCs w:val="21"/>
          <w:highlight w:val="none"/>
          <w:lang w:val="en-US" w:eastAsia="zh-CN"/>
        </w:rPr>
        <w:t xml:space="preserve">[重要参数]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▲1、水嘴可检测项目：抗水压机械性能试验，密封性能试验</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▲2、阀门可检测项目：水压试验，密封试验，上密封试验，静压寿命试验</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▲3、水嘴测试：加压压力范围0.05～2.5MPa，精度≤1%，分辨力≥0.01MPa；计时器范围≥60s,精度≤1s；水流量测量0.4L/s,精度≤2%；以冷水为介质进行试验。</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▲4、阀门测试：最大加压压力100MPa，精度≤1%；适用通径: DN 15 ～ DN 200。</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[一般参数]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bidi="ar-SA"/>
        </w:rPr>
        <w:t xml:space="preserve">1、可满足的检</w:t>
      </w:r>
      <w:r>
        <w:rPr>
          <w:rFonts w:hint="eastAsia" w:ascii="宋体" w:hAnsi="宋体" w:eastAsia="宋体" w:cs="宋体"/>
          <w:color w:val="auto"/>
          <w:sz w:val="21"/>
          <w:szCs w:val="21"/>
          <w:highlight w:val="none"/>
          <w:lang w:val="en-US" w:eastAsia="zh-CN"/>
        </w:rPr>
        <w:t xml:space="preserve">测标准：GB 18145-2014 陶瓷片密封水嘴</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2、可满足的检测标准：GB/T 12234-2019 石油、天然气工业用螺柱连接阀盖的钢制闸阀</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3、GB/T 12235-2025 石油、石化及相关工业用钢制截止阀和升降式止回阀</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4、GB/T 25429-2019 石油天然气钻采设备 钻具止回阀</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5、GB/T 26480-2011 阀门的检验和试验</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6、GB/T 13927-2022 工业阀门 压力试验</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7、JB/T 8858-2017 闸阀 静压寿命试验规程</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val="0"/>
          <w:i/>
          <w:iCs/>
          <w:color w:val="auto"/>
          <w:sz w:val="21"/>
          <w:szCs w:val="21"/>
          <w:highlight w:val="none"/>
          <w:u w:val="single"/>
          <w:lang w:val="en-US" w:eastAsia="zh-CN"/>
        </w:rPr>
      </w:pPr>
      <w:r>
        <w:rPr>
          <w:rFonts w:hint="eastAsia" w:ascii="宋体" w:hAnsi="宋体" w:eastAsia="宋体" w:cs="宋体"/>
          <w:b/>
          <w:bCs w:val="0"/>
          <w:i/>
          <w:iCs/>
          <w:color w:val="auto"/>
          <w:sz w:val="21"/>
          <w:szCs w:val="21"/>
          <w:highlight w:val="none"/>
          <w:u w:val="single"/>
          <w:lang w:val="en-US" w:eastAsia="zh-CN" w:bidi="ar-SA"/>
        </w:rPr>
        <w:t xml:space="preserve">注：</w:t>
      </w:r>
      <w:r>
        <w:rPr>
          <w:rFonts w:hint="eastAsia" w:ascii="宋体" w:hAnsi="宋体" w:eastAsia="宋体" w:cs="宋体"/>
          <w:b/>
          <w:bCs w:val="0"/>
          <w:i/>
          <w:iCs/>
          <w:color w:val="auto"/>
          <w:sz w:val="21"/>
          <w:szCs w:val="21"/>
          <w:highlight w:val="none"/>
          <w:u w:val="single"/>
          <w:lang w:val="en-US" w:eastAsia="zh-CN"/>
        </w:rPr>
        <w:t xml:space="preserve">★参数</w:t>
      </w:r>
      <w:r>
        <w:rPr>
          <w:rFonts w:hint="eastAsia" w:ascii="宋体" w:hAnsi="宋体" w:eastAsia="宋体" w:cs="宋体"/>
          <w:b/>
          <w:bCs w:val="0"/>
          <w:i/>
          <w:iCs/>
          <w:color w:val="auto"/>
          <w:sz w:val="21"/>
          <w:szCs w:val="21"/>
          <w:highlight w:val="none"/>
          <w:u w:val="single"/>
        </w:rPr>
        <w:t xml:space="preserve">为核心参数，</w:t>
      </w:r>
      <w:r>
        <w:rPr>
          <w:rFonts w:hint="eastAsia" w:ascii="宋体" w:hAnsi="宋体" w:eastAsia="宋体" w:cs="宋体"/>
          <w:b/>
          <w:bCs w:val="0"/>
          <w:i/>
          <w:iCs/>
          <w:color w:val="auto"/>
          <w:sz w:val="21"/>
          <w:szCs w:val="21"/>
          <w:highlight w:val="none"/>
          <w:u w:val="single"/>
          <w:lang w:val="en-US" w:eastAsia="zh-CN"/>
        </w:rPr>
        <w:t xml:space="preserve">负偏离无效</w:t>
      </w:r>
      <w:r/>
    </w:p>
    <w:p>
      <w:pPr>
        <w:numPr>
          <w:ilvl w:val="0"/>
          <w:numId w:val="0"/>
        </w:numPr>
        <w:jc w:val="both"/>
        <w:keepLines w:val="0"/>
        <w:keepNext w:val="0"/>
        <w:pageBreakBefore w:val="0"/>
        <w:spacing w:line="440" w:lineRule="exact"/>
        <w:widowControl w:val="off"/>
        <w:rPr>
          <w:rFonts w:hint="eastAsia" w:ascii="宋体" w:hAnsi="宋体" w:eastAsia="宋体" w:cs="宋体"/>
          <w:b/>
          <w:bCs w:val="0"/>
          <w:i w:val="0"/>
          <w:iCs w:val="0"/>
          <w:color w:val="auto"/>
          <w:sz w:val="21"/>
          <w:szCs w:val="21"/>
          <w:highlight w:val="none"/>
          <w:u w:val="none"/>
          <w:lang w:val="en-US" w:eastAsia="zh-CN" w:bidi="ar-SA"/>
        </w:rPr>
      </w:pPr>
      <w:r>
        <w:rPr>
          <w:rFonts w:hint="eastAsia" w:ascii="宋体" w:hAnsi="宋体" w:eastAsia="宋体" w:cs="宋体"/>
          <w:b/>
          <w:bCs w:val="0"/>
          <w:i w:val="0"/>
          <w:iCs w:val="0"/>
          <w:color w:val="auto"/>
          <w:sz w:val="21"/>
          <w:szCs w:val="21"/>
          <w:highlight w:val="none"/>
          <w:u w:val="none"/>
          <w:lang w:val="en-US" w:eastAsia="zh-CN" w:bidi="ar-SA"/>
        </w:rPr>
        <w:t xml:space="preserve">（</w:t>
      </w:r>
      <w:r>
        <w:rPr>
          <w:rFonts w:hint="eastAsia" w:ascii="宋体" w:hAnsi="宋体" w:cs="宋体"/>
          <w:b/>
          <w:bCs w:val="0"/>
          <w:i w:val="0"/>
          <w:iCs w:val="0"/>
          <w:color w:val="auto"/>
          <w:sz w:val="21"/>
          <w:szCs w:val="21"/>
          <w:highlight w:val="none"/>
          <w:u w:val="none"/>
          <w:lang w:val="en-US" w:eastAsia="zh-CN" w:bidi="ar-SA"/>
        </w:rPr>
        <w:t xml:space="preserve">二</w:t>
      </w:r>
      <w:r>
        <w:rPr>
          <w:rFonts w:hint="eastAsia" w:ascii="宋体" w:hAnsi="宋体" w:eastAsia="宋体" w:cs="宋体"/>
          <w:b/>
          <w:bCs w:val="0"/>
          <w:i w:val="0"/>
          <w:iCs w:val="0"/>
          <w:color w:val="auto"/>
          <w:sz w:val="21"/>
          <w:szCs w:val="21"/>
          <w:highlight w:val="none"/>
          <w:u w:val="none"/>
          <w:lang w:val="en-US" w:eastAsia="zh-CN" w:bidi="ar-SA"/>
        </w:rPr>
        <w:t xml:space="preserve">）其他</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1.落实商品包装、快递包装政府采购需求标准按照“财办库[2020]123号《关于印发《商品包装政府采购需求标准（试行）》、《快递包装政府采购需求标准（试行）的通知》”执行，在履约验收时按照本条款执行，违反本约定的对照合同违约条款追究违约责任。投标人一旦参与本项目，即完全响应本条款要求。</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2.项目交货方案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根据招标文件要求提供项目交货方案、进度方案、防护方案以及方案的科学合理、完整、切实可行性等内容。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3.安装调试方案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根据招标文件要求提供安装方案、调试方案、管理方案以及方案的科学合理、完整、切实可行性等内容。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4.质量控制方案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根据招标文件要求提供质量控制体系、质量检验标准、质量管理方案以及方案的科学合理、完整、切实可行性等内容。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5.培训及技术支持方案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根据招标文件要求提供人员培训方案、技术支持方案、采购人所需的技术和学术支持方案以及方案的科学合理、完整、切实可行性等内容。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6.售后服务方案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根据招标文件要求提供售后方案、售后人员安排、售后响应措施以及方案的科学合理、完整、切实可行性等内容。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7.应急方案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根据招标文件要求提供应急预案、应急处理方案、应急人员安排以及方案的科学合理、完整、切实可行性等内容。</w:t>
      </w:r>
      <w:r/>
    </w:p>
    <w:p>
      <w:pPr>
        <w:numPr>
          <w:ilvl w:val="0"/>
          <w:numId w:val="0"/>
        </w:numPr>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r>
      <w:r/>
    </w:p>
    <w:p>
      <w:pPr>
        <w:numPr>
          <w:ilvl w:val="0"/>
          <w:numId w:val="0"/>
        </w:numPr>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包5：盐雾试验箱、交变湿热试验箱</w:t>
      </w:r>
      <w:r/>
    </w:p>
    <w:p>
      <w:pPr>
        <w:numPr>
          <w:ilvl w:val="0"/>
          <w:numId w:val="0"/>
        </w:numPr>
        <w:jc w:val="both"/>
        <w:keepLines w:val="0"/>
        <w:keepNext w:val="0"/>
        <w:pageBreakBefore w:val="0"/>
        <w:spacing w:line="440" w:lineRule="exact"/>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（一）技术要求</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设备1：盐雾试验箱1台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[核心参数]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★1、1~2ml/80cm²·h</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★2、35℃~55℃</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★3、温度均匀度：≤±2℃ </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★4、温度波动度：≤±1℃</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★5、内胆尺寸（mm）W×D×H：不小于1200×800×500</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[重要参数]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▲1、箱体加热方式：采用钛合金电热管加热</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▲2、具有低水位保护</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▲3、具有超温保护</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设备2：交变湿热试验箱1台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温</w:t>
      </w:r>
      <w:r>
        <w:rPr>
          <w:rFonts w:hint="eastAsia" w:ascii="宋体" w:hAnsi="宋体" w:eastAsia="宋体" w:cs="宋体"/>
          <w:color w:val="auto"/>
          <w:sz w:val="21"/>
          <w:szCs w:val="21"/>
          <w:highlight w:val="none"/>
          <w:lang w:val="en-US" w:eastAsia="zh-CN"/>
        </w:rPr>
        <w:t xml:space="preserve">度偏差：±2℃, 均匀度±2℃</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1"/>
          <w:szCs w:val="21"/>
          <w:highlight w:val="none"/>
          <w:lang w:val="en-US" w:eastAsia="zh-CN"/>
        </w:rPr>
        <w:t xml:space="preserve">★2、湿度偏差：</w:t>
      </w:r>
      <w:r>
        <w:rPr>
          <w:rFonts w:ascii="SimSun" w:hAnsi="SimSun" w:eastAsia="SimSun" w:cs="SimSun"/>
          <w:color w:val="000000"/>
          <w:sz w:val="20"/>
          <w:szCs w:val="20"/>
        </w:rPr>
        <w:t xml:space="preserve">75%RH以下≤5.0%RH、75%RH以上≤+2/-3%RH</w:t>
      </w:r>
      <w:r>
        <w:rPr>
          <w:rFonts w:hint="eastAsia" w:ascii="宋体" w:hAnsi="宋体" w:eastAsia="宋体" w:cs="宋体"/>
          <w:color w:val="auto"/>
          <w:sz w:val="20"/>
          <w:szCs w:val="20"/>
          <w:highlight w:val="none"/>
          <w:lang w:val="en-US" w:eastAsia="zh-CN"/>
        </w:rPr>
      </w:r>
      <w:r>
        <w:rPr>
          <w:sz w:val="20"/>
          <w:szCs w:val="20"/>
        </w:rP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★3、温度波动度：≤±0.5℃</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★4、-40℃~100℃</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★5、有效容积：不低于250L</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[重要参数]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▲1、设备具有超温保护、加湿器断水保护、风机和压缩机过载保护、压缩机过压力保护和漏电保护。</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▲2、压缩机</w:t>
      </w:r>
      <w:r>
        <w:rPr>
          <w:rFonts w:hint="eastAsia" w:ascii="宋体" w:hAnsi="宋体" w:cs="宋体"/>
          <w:color w:val="auto"/>
          <w:sz w:val="21"/>
          <w:szCs w:val="21"/>
          <w:highlight w:val="none"/>
          <w:lang w:val="en-US" w:eastAsia="zh-CN"/>
        </w:rPr>
        <w:t xml:space="preserve">为知名</w:t>
      </w:r>
      <w:r>
        <w:rPr>
          <w:rFonts w:hint="eastAsia" w:ascii="宋体" w:hAnsi="宋体" w:eastAsia="宋体" w:cs="宋体"/>
          <w:color w:val="auto"/>
          <w:sz w:val="21"/>
          <w:szCs w:val="21"/>
          <w:highlight w:val="none"/>
          <w:lang w:val="en-US" w:eastAsia="zh-CN"/>
        </w:rPr>
        <w:t xml:space="preserve">品牌</w:t>
      </w:r>
      <w:r>
        <w:rPr>
          <w:rFonts w:hint="eastAsia" w:ascii="宋体" w:hAnsi="宋体" w:cs="宋体"/>
          <w:color w:val="auto"/>
          <w:sz w:val="21"/>
          <w:szCs w:val="21"/>
          <w:highlight w:val="none"/>
          <w:lang w:val="en-US" w:eastAsia="zh-CN"/>
        </w:rPr>
        <w:t xml:space="preserve">全封闭压缩机，具备过载保护、过压保护</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▲3、试验箱外壳：304 不锈钢发纹板 、内箱体材料：316L 不锈钢板</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设备3：交变湿热试验箱1台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温</w:t>
      </w:r>
      <w:r>
        <w:rPr>
          <w:rFonts w:hint="eastAsia" w:ascii="宋体" w:hAnsi="宋体" w:eastAsia="宋体" w:cs="宋体"/>
          <w:color w:val="auto"/>
          <w:sz w:val="21"/>
          <w:szCs w:val="21"/>
          <w:highlight w:val="none"/>
          <w:lang w:val="en-US" w:eastAsia="zh-CN"/>
        </w:rPr>
        <w:t xml:space="preserve">度偏差：±2℃, 均匀度±1.5℃</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★2、湿度偏差：±2%rh</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★3、温度波动度：≤±0.5℃</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★4、温度范围：-40℃-150℃；湿度范围：20%rh-98%rh，±2%rh；</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★5、工作容积：1立方米</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[重要参数]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▲1、设备具有超温保护、加湿器断水保护、风机和压缩机过载保护、压缩机过压力保护和漏电保护。</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▲2、彩色触摸屏控制</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▲3、试验箱外壳：不锈钢发纹板 、内箱体材料：316L 不锈钢板</w:t>
      </w:r>
      <w:r/>
    </w:p>
    <w:p>
      <w:pPr>
        <w:numPr>
          <w:ilvl w:val="0"/>
          <w:numId w:val="0"/>
        </w:numPr>
        <w:ind w:firstLine="422"/>
        <w:jc w:val="both"/>
        <w:keepLines w:val="0"/>
        <w:keepNext w:val="0"/>
        <w:pageBreakBefore w:val="0"/>
        <w:spacing w:line="440" w:lineRule="exact"/>
        <w:widowControl w:val="off"/>
        <w:rPr>
          <w:rFonts w:hint="eastAsia" w:ascii="宋体" w:hAnsi="宋体" w:eastAsia="宋体" w:cs="宋体"/>
          <w:b/>
          <w:bCs w:val="0"/>
          <w:i/>
          <w:iCs/>
          <w:color w:val="auto"/>
          <w:sz w:val="21"/>
          <w:szCs w:val="21"/>
          <w:highlight w:val="none"/>
          <w:u w:val="single"/>
          <w:lang w:val="en-US" w:eastAsia="zh-CN"/>
        </w:rPr>
      </w:pPr>
      <w:r>
        <w:rPr>
          <w:rFonts w:hint="eastAsia" w:ascii="宋体" w:hAnsi="宋体" w:eastAsia="宋体" w:cs="宋体"/>
          <w:b/>
          <w:bCs w:val="0"/>
          <w:i/>
          <w:iCs/>
          <w:color w:val="auto"/>
          <w:sz w:val="21"/>
          <w:szCs w:val="21"/>
          <w:highlight w:val="none"/>
          <w:u w:val="single"/>
          <w:lang w:val="en-US" w:eastAsia="zh-CN" w:bidi="ar-SA"/>
        </w:rPr>
        <w:t xml:space="preserve">注：</w:t>
      </w:r>
      <w:r>
        <w:rPr>
          <w:rFonts w:hint="eastAsia" w:ascii="宋体" w:hAnsi="宋体" w:eastAsia="宋体" w:cs="宋体"/>
          <w:b/>
          <w:bCs w:val="0"/>
          <w:i/>
          <w:iCs/>
          <w:color w:val="auto"/>
          <w:sz w:val="21"/>
          <w:szCs w:val="21"/>
          <w:highlight w:val="none"/>
          <w:u w:val="single"/>
          <w:lang w:val="en-US" w:eastAsia="zh-CN"/>
        </w:rPr>
        <w:t xml:space="preserve">★参数</w:t>
      </w:r>
      <w:r>
        <w:rPr>
          <w:rFonts w:hint="eastAsia" w:ascii="宋体" w:hAnsi="宋体" w:eastAsia="宋体" w:cs="宋体"/>
          <w:b/>
          <w:bCs w:val="0"/>
          <w:i/>
          <w:iCs/>
          <w:color w:val="auto"/>
          <w:sz w:val="21"/>
          <w:szCs w:val="21"/>
          <w:highlight w:val="none"/>
          <w:u w:val="single"/>
        </w:rPr>
        <w:t xml:space="preserve">为核心参数，</w:t>
      </w:r>
      <w:r>
        <w:rPr>
          <w:rFonts w:hint="eastAsia" w:ascii="宋体" w:hAnsi="宋体" w:eastAsia="宋体" w:cs="宋体"/>
          <w:b/>
          <w:bCs w:val="0"/>
          <w:i/>
          <w:iCs/>
          <w:color w:val="auto"/>
          <w:sz w:val="21"/>
          <w:szCs w:val="21"/>
          <w:highlight w:val="none"/>
          <w:u w:val="single"/>
          <w:lang w:val="en-US" w:eastAsia="zh-CN"/>
        </w:rPr>
        <w:t xml:space="preserve">负偏离无效</w:t>
      </w:r>
      <w:r/>
    </w:p>
    <w:p>
      <w:pPr>
        <w:numPr>
          <w:ilvl w:val="0"/>
          <w:numId w:val="0"/>
        </w:numPr>
        <w:jc w:val="both"/>
        <w:keepLines w:val="0"/>
        <w:keepNext w:val="0"/>
        <w:pageBreakBefore w:val="0"/>
        <w:spacing w:line="440" w:lineRule="exact"/>
        <w:widowControl w:val="off"/>
        <w:rPr>
          <w:rFonts w:hint="eastAsia" w:ascii="宋体" w:hAnsi="宋体" w:eastAsia="宋体" w:cs="宋体"/>
          <w:b/>
          <w:bCs w:val="0"/>
          <w:i w:val="0"/>
          <w:iCs w:val="0"/>
          <w:color w:val="auto"/>
          <w:sz w:val="21"/>
          <w:szCs w:val="21"/>
          <w:highlight w:val="none"/>
          <w:u w:val="none"/>
          <w:lang w:val="en-US" w:eastAsia="zh-CN" w:bidi="ar-SA"/>
        </w:rPr>
      </w:pPr>
      <w:r>
        <w:rPr>
          <w:rFonts w:hint="eastAsia" w:ascii="宋体" w:hAnsi="宋体" w:eastAsia="宋体" w:cs="宋体"/>
          <w:b/>
          <w:bCs w:val="0"/>
          <w:i w:val="0"/>
          <w:iCs w:val="0"/>
          <w:color w:val="auto"/>
          <w:sz w:val="21"/>
          <w:szCs w:val="21"/>
          <w:highlight w:val="none"/>
          <w:u w:val="none"/>
          <w:lang w:val="en-US" w:eastAsia="zh-CN" w:bidi="ar-SA"/>
        </w:rPr>
        <w:t xml:space="preserve">（</w:t>
      </w:r>
      <w:r>
        <w:rPr>
          <w:rFonts w:hint="eastAsia" w:ascii="宋体" w:hAnsi="宋体" w:cs="宋体"/>
          <w:b/>
          <w:bCs w:val="0"/>
          <w:i w:val="0"/>
          <w:iCs w:val="0"/>
          <w:color w:val="auto"/>
          <w:sz w:val="21"/>
          <w:szCs w:val="21"/>
          <w:highlight w:val="none"/>
          <w:u w:val="none"/>
          <w:lang w:val="en-US" w:eastAsia="zh-CN" w:bidi="ar-SA"/>
        </w:rPr>
        <w:t xml:space="preserve">二</w:t>
      </w:r>
      <w:r>
        <w:rPr>
          <w:rFonts w:hint="eastAsia" w:ascii="宋体" w:hAnsi="宋体" w:eastAsia="宋体" w:cs="宋体"/>
          <w:b/>
          <w:bCs w:val="0"/>
          <w:i w:val="0"/>
          <w:iCs w:val="0"/>
          <w:color w:val="auto"/>
          <w:sz w:val="21"/>
          <w:szCs w:val="21"/>
          <w:highlight w:val="none"/>
          <w:u w:val="none"/>
          <w:lang w:val="en-US" w:eastAsia="zh-CN" w:bidi="ar-SA"/>
        </w:rPr>
        <w:t xml:space="preserve">）其他</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1.落实商品包装、快递包装政府采购需求标准按照“财办库[2020]123号《关于印发《商品包装政府采购需求标准（试行）》、《快递包装政府采购需求标准（试行）的通知》”执行，在履约验收时按照本条款执行，违反本约定的对照合同违约条款追究违约责任。投标人一旦参与本项目，即完全响应本条款要求。</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2.项目交货方案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根据招标文件要求提供项目交货方案、进度方案、防护方案以及方案的科学合理、完整、切实可行性等内容。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3.安装调试方案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根据招标文件要求提供安装方案、调试方案、管理方案以及方案的科学合理、完整、切实可行性等内容。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4.质量控制方案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根据招标文件要求提供质量控制体系、质量检验标准、质量管理方案以及方案的科学合理、完整、切实可行性等内容。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5.培训及技术支持方案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根据招标文件要求提供人员培训方案、技术支持方案、采购人所需的技术和学术支持方案以及方案的科学合理、完整、切实可行性等内容。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6.售后服务方案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根据招标文件要求提供售后方案、售后人员安排、售后响应措施以及方案的科学合理、完整、切实可行性等内容。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7.应急方案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根据招标文件要求提供应急预案、应急处理方案、应急人员安排以及方案的科学合理、完整、切实可行性等内容</w:t>
      </w:r>
      <w:r/>
    </w:p>
    <w:p>
      <w:pPr>
        <w:numPr>
          <w:ilvl w:val="0"/>
          <w:numId w:val="0"/>
        </w:numPr>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r>
      <w:r/>
    </w:p>
    <w:p>
      <w:pPr>
        <w:numPr>
          <w:ilvl w:val="0"/>
          <w:numId w:val="0"/>
        </w:numPr>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包</w:t>
      </w:r>
      <w:r>
        <w:rPr>
          <w:rFonts w:hint="eastAsia" w:ascii="宋体" w:hAnsi="宋体" w:cs="宋体"/>
          <w:b/>
          <w:bCs w:val="0"/>
          <w:color w:val="auto"/>
          <w:sz w:val="21"/>
          <w:szCs w:val="21"/>
          <w:highlight w:val="none"/>
          <w:lang w:val="en-US" w:eastAsia="zh-CN" w:bidi="ar-SA"/>
        </w:rPr>
        <w:t xml:space="preserve">6</w:t>
      </w:r>
      <w:r>
        <w:rPr>
          <w:rFonts w:hint="eastAsia" w:ascii="宋体" w:hAnsi="宋体" w:eastAsia="宋体" w:cs="宋体"/>
          <w:b/>
          <w:bCs w:val="0"/>
          <w:color w:val="auto"/>
          <w:sz w:val="21"/>
          <w:szCs w:val="21"/>
          <w:highlight w:val="none"/>
          <w:lang w:val="en-US" w:eastAsia="zh-CN" w:bidi="ar-SA"/>
        </w:rPr>
        <w:t xml:space="preserve">：建材放射性检测仪</w:t>
      </w:r>
      <w:r/>
    </w:p>
    <w:p>
      <w:pPr>
        <w:numPr>
          <w:ilvl w:val="0"/>
          <w:numId w:val="0"/>
        </w:numPr>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bidi="ar-SA"/>
        </w:rPr>
        <w:t xml:space="preserve">（一）技术要求</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[核心参数]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★1、工作环境温度为</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0～40</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★2、可测能量范围：20Kev～10Mev</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★3、高灵敏低钾 NaI(TI)能谱探头分辨率：≤7.5%（137CS）</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★4、铅室测量本底≤180cpm</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★5、稳定性：峰位移≤1%</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[重要参数]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▲1、附钾标样一个</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▲2、附镭、钍、钾混合标样一个</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▲3、随附计量证书</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▲4、随附放射性标准样品盒一套(10个)</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▲5、重复性:≤2%;</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▲6、核素测量范围:U、Th、K-40、Cs-137等多种核素</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[一般参数]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1、不确定度：≤10%(k=2)</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2、在能区50keV-3000keV内本底计数率不大于5cps</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3、时间量程:优于1-65500秒</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val="0"/>
          <w:i/>
          <w:iCs/>
          <w:color w:val="auto"/>
          <w:sz w:val="21"/>
          <w:szCs w:val="21"/>
          <w:highlight w:val="none"/>
          <w:u w:val="single"/>
          <w:lang w:val="en-US" w:eastAsia="zh-CN"/>
        </w:rPr>
      </w:pPr>
      <w:r>
        <w:rPr>
          <w:rFonts w:hint="eastAsia" w:ascii="宋体" w:hAnsi="宋体" w:eastAsia="宋体" w:cs="宋体"/>
          <w:b/>
          <w:bCs w:val="0"/>
          <w:i/>
          <w:iCs/>
          <w:color w:val="auto"/>
          <w:sz w:val="21"/>
          <w:szCs w:val="21"/>
          <w:highlight w:val="none"/>
          <w:u w:val="single"/>
          <w:lang w:val="en-US" w:eastAsia="zh-CN" w:bidi="ar-SA"/>
        </w:rPr>
        <w:t xml:space="preserve">注：</w:t>
      </w:r>
      <w:r>
        <w:rPr>
          <w:rFonts w:hint="eastAsia" w:ascii="宋体" w:hAnsi="宋体" w:eastAsia="宋体" w:cs="宋体"/>
          <w:b/>
          <w:bCs w:val="0"/>
          <w:i/>
          <w:iCs/>
          <w:color w:val="auto"/>
          <w:sz w:val="21"/>
          <w:szCs w:val="21"/>
          <w:highlight w:val="none"/>
          <w:u w:val="single"/>
          <w:lang w:val="en-US" w:eastAsia="zh-CN"/>
        </w:rPr>
        <w:t xml:space="preserve">★参数</w:t>
      </w:r>
      <w:r>
        <w:rPr>
          <w:rFonts w:hint="eastAsia" w:ascii="宋体" w:hAnsi="宋体" w:eastAsia="宋体" w:cs="宋体"/>
          <w:b/>
          <w:bCs w:val="0"/>
          <w:i/>
          <w:iCs/>
          <w:color w:val="auto"/>
          <w:sz w:val="21"/>
          <w:szCs w:val="21"/>
          <w:highlight w:val="none"/>
          <w:u w:val="single"/>
        </w:rPr>
        <w:t xml:space="preserve">为核心参数，</w:t>
      </w:r>
      <w:r>
        <w:rPr>
          <w:rFonts w:hint="eastAsia" w:ascii="宋体" w:hAnsi="宋体" w:eastAsia="宋体" w:cs="宋体"/>
          <w:b/>
          <w:bCs w:val="0"/>
          <w:i/>
          <w:iCs/>
          <w:color w:val="auto"/>
          <w:sz w:val="21"/>
          <w:szCs w:val="21"/>
          <w:highlight w:val="none"/>
          <w:u w:val="single"/>
          <w:lang w:val="en-US" w:eastAsia="zh-CN"/>
        </w:rPr>
        <w:t xml:space="preserve">负偏离无效</w:t>
      </w:r>
      <w:r/>
    </w:p>
    <w:p>
      <w:pPr>
        <w:numPr>
          <w:ilvl w:val="0"/>
          <w:numId w:val="0"/>
        </w:numPr>
        <w:jc w:val="both"/>
        <w:keepLines w:val="0"/>
        <w:keepNext w:val="0"/>
        <w:pageBreakBefore w:val="0"/>
        <w:spacing w:line="440" w:lineRule="exact"/>
        <w:widowControl w:val="off"/>
        <w:rPr>
          <w:rFonts w:hint="eastAsia" w:ascii="宋体" w:hAnsi="宋体" w:eastAsia="宋体" w:cs="宋体"/>
          <w:b/>
          <w:bCs w:val="0"/>
          <w:i w:val="0"/>
          <w:iCs w:val="0"/>
          <w:color w:val="auto"/>
          <w:sz w:val="21"/>
          <w:szCs w:val="21"/>
          <w:highlight w:val="none"/>
          <w:u w:val="none"/>
          <w:lang w:val="en-US" w:eastAsia="zh-CN" w:bidi="ar-SA"/>
        </w:rPr>
      </w:pPr>
      <w:r>
        <w:rPr>
          <w:rFonts w:hint="eastAsia" w:ascii="宋体" w:hAnsi="宋体" w:eastAsia="宋体" w:cs="宋体"/>
          <w:b/>
          <w:bCs w:val="0"/>
          <w:i w:val="0"/>
          <w:iCs w:val="0"/>
          <w:color w:val="auto"/>
          <w:sz w:val="21"/>
          <w:szCs w:val="21"/>
          <w:highlight w:val="none"/>
          <w:u w:val="none"/>
          <w:lang w:val="en-US" w:eastAsia="zh-CN" w:bidi="ar-SA"/>
        </w:rPr>
        <w:t xml:space="preserve">（</w:t>
      </w:r>
      <w:r>
        <w:rPr>
          <w:rFonts w:hint="eastAsia" w:ascii="宋体" w:hAnsi="宋体" w:cs="宋体"/>
          <w:b/>
          <w:bCs w:val="0"/>
          <w:i w:val="0"/>
          <w:iCs w:val="0"/>
          <w:color w:val="auto"/>
          <w:sz w:val="21"/>
          <w:szCs w:val="21"/>
          <w:highlight w:val="none"/>
          <w:u w:val="none"/>
          <w:lang w:val="en-US" w:eastAsia="zh-CN" w:bidi="ar-SA"/>
        </w:rPr>
        <w:t xml:space="preserve">二</w:t>
      </w:r>
      <w:r>
        <w:rPr>
          <w:rFonts w:hint="eastAsia" w:ascii="宋体" w:hAnsi="宋体" w:eastAsia="宋体" w:cs="宋体"/>
          <w:b/>
          <w:bCs w:val="0"/>
          <w:i w:val="0"/>
          <w:iCs w:val="0"/>
          <w:color w:val="auto"/>
          <w:sz w:val="21"/>
          <w:szCs w:val="21"/>
          <w:highlight w:val="none"/>
          <w:u w:val="none"/>
          <w:lang w:val="en-US" w:eastAsia="zh-CN" w:bidi="ar-SA"/>
        </w:rPr>
        <w:t xml:space="preserve">）其他</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1.落实商品包装、快递包装政府采购需求标准按照“财办库[2020]123号《关于印发《商品包装政府采购需求标准（试行）》、《快递包装政府采购需求标准（试行）的通知》”执行，在履约验收时按照本条款执行，违反本约定的对照合同违约条款追究违约责任。投标人一旦参与本项目，即完全响应本条款要求。</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2.项目交货方案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根据招标文件要求提供项目交货方案、进度方案、防护方案以及方案的科学合理、完整、切实可行性等内容。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3.安装调试方案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根据招标文件要求提供安装方案、调试方案、管理方案以及方案的科学合理、完整、切实可行性等内容。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4.质量控制方案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根据招标文件要求提供质量控制体系、质量检验标准、质量管理方案以及方案的科学合理、完整、切实可行性等内容。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5.培训及技术支持方案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根据招标文件要求提供人员培训方案、技术支持方案、采购人所需的技术和学术支持方案以及方案的科学合理、完整、切实可行性等内容。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6.售后服务方案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根据招标文件要求提供售后方案、售后人员安排、售后响应措施以及方案的科学合理、完整、切实可行性等内容。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7.应急方案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根据招标文件要求提供应急预案、应急处理方案、应急人员安排以及方案的科学合理、完整、切实可行性等内容。</w:t>
      </w:r>
      <w:r/>
    </w:p>
    <w:p>
      <w:pPr>
        <w:numPr>
          <w:ilvl w:val="0"/>
          <w:numId w:val="0"/>
        </w:numPr>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r>
      <w:r/>
    </w:p>
    <w:p>
      <w:pPr>
        <w:numPr>
          <w:ilvl w:val="0"/>
          <w:numId w:val="0"/>
        </w:numPr>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包</w:t>
      </w:r>
      <w:r>
        <w:rPr>
          <w:rFonts w:hint="eastAsia" w:ascii="宋体" w:hAnsi="宋体" w:cs="宋体"/>
          <w:b/>
          <w:bCs w:val="0"/>
          <w:color w:val="auto"/>
          <w:sz w:val="21"/>
          <w:szCs w:val="21"/>
          <w:highlight w:val="none"/>
          <w:lang w:val="en-US" w:eastAsia="zh-CN" w:bidi="ar-SA"/>
        </w:rPr>
        <w:t xml:space="preserve">7</w:t>
      </w:r>
      <w:r>
        <w:rPr>
          <w:rFonts w:hint="eastAsia" w:ascii="宋体" w:hAnsi="宋体" w:eastAsia="宋体" w:cs="宋体"/>
          <w:b/>
          <w:bCs w:val="0"/>
          <w:color w:val="auto"/>
          <w:sz w:val="21"/>
          <w:szCs w:val="21"/>
          <w:highlight w:val="none"/>
          <w:lang w:val="en-US" w:eastAsia="zh-CN" w:bidi="ar-SA"/>
        </w:rPr>
        <w:t xml:space="preserve">：</w:t>
      </w:r>
      <w:r>
        <w:rPr>
          <w:rFonts w:hint="eastAsia" w:ascii="宋体" w:hAnsi="宋体" w:eastAsia="宋体" w:cs="宋体"/>
          <w:b/>
          <w:bCs w:val="0"/>
          <w:color w:val="auto"/>
          <w:sz w:val="21"/>
          <w:szCs w:val="21"/>
          <w:highlight w:val="none"/>
          <w:lang w:val="en-US" w:eastAsia="zh-CN"/>
        </w:rPr>
        <w:t xml:space="preserve">电子万能材料试验机</w:t>
      </w:r>
      <w:r/>
    </w:p>
    <w:p>
      <w:pPr>
        <w:numPr>
          <w:ilvl w:val="0"/>
          <w:numId w:val="0"/>
        </w:numPr>
        <w:jc w:val="both"/>
        <w:keepLines w:val="0"/>
        <w:keepNext w:val="0"/>
        <w:pageBreakBefore w:val="0"/>
        <w:spacing w:line="440" w:lineRule="exact"/>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（一）技术要求</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设备1：电子万能材料试验机1台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[核心参数]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★1、试验机级别：0.5级</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★2、力值范围：50N-10kN</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★3、试验速度：0.5-500mm/min</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★4、带大变形10-800mm，精度0.5%</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★5、软件及用户界面：中文版试验软件1套，以及品牌电脑1台。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[重要参数]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▲1、配齐拉伸、压缩、剥离等夹具。</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▲2、具有超载保护，限位保护，过流过压超温保护</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设备2：电子万能材料试验机1台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★1、试验机级别：0.5级</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★2、力值范围：0N-200N</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★3、试验速度：0.5-500mm/min</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★4、带大变形10-300mm，精度0.5%</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★5、软件及用户界面：中文版试验软件1套，以及品牌电脑1台。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[重要参数]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▲1、配齐拉伸、压缩、剥离等夹具。</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▲2、具有超载保护，限位保护，过流过压超温保护</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设备3：电子万能材料试验机1台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★1、试验机级别：0.5级</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★2、力值范围：50N-30kN</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★3、试验速度：0.5-500mm/min</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★4、带大变形10-800mm，精度0.5%</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★5、软件及用户界面：中文版试验软件1套，以及品牌电脑1台。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[重要参数]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▲1、配齐拉伸、压缩、剥离等夹具。</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▲2、具有超载保护，限位保护，过流过压超温保护</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设备4：电子万能材料试验机1台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[核心参数]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★1、载荷容量：不低于30kN</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★2、准确度等级：不低于0.5级</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★3、试验力范围：优于2N～30kN</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★4、双制冷模式高低温箱：满足</w:t>
      </w:r>
      <w:r>
        <w:rPr>
          <w:rFonts w:hint="eastAsia" w:ascii="宋体" w:hAnsi="宋体" w:eastAsia="宋体" w:cs="宋体"/>
          <w:color w:val="auto"/>
          <w:sz w:val="21"/>
          <w:szCs w:val="21"/>
          <w:highlight w:val="none"/>
          <w:lang w:val="en-US" w:eastAsia="zh-CN"/>
        </w:rPr>
        <w:t xml:space="preserve">-70℃～3</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t xml:space="preserve">温度范围调节需求</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[重要参数]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▲1、附带人造板试验全套夹具（符合GB/T 17657-2022 4.7、4.11、4.15、4.16、4.17等）、附带橡胶拉伸夹具（符合GB/T 528-2009哑铃状试样夹具)、附带防水卷材夹具（符合GB/T 328.8-2007、GB/T 328.18-2007)、附带压缩剪切压板夹具（符合HG/T 2727-2010 附录A）、附带织物芯输送带拉伸夹具（符合GB/T 3690-2017）、附带压缩夹具</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▲2、配套30</w:t>
      </w:r>
      <w:r>
        <w:rPr>
          <w:rFonts w:hint="eastAsia" w:ascii="宋体" w:hAnsi="宋体" w:cs="宋体"/>
          <w:color w:val="auto"/>
          <w:sz w:val="21"/>
          <w:szCs w:val="21"/>
          <w:highlight w:val="none"/>
          <w:lang w:val="en-US" w:eastAsia="zh-CN"/>
        </w:rPr>
        <w:t xml:space="preserve">k</w:t>
      </w:r>
      <w:r>
        <w:rPr>
          <w:rFonts w:hint="eastAsia" w:ascii="宋体" w:hAnsi="宋体" w:eastAsia="宋体" w:cs="宋体"/>
          <w:color w:val="auto"/>
          <w:sz w:val="21"/>
          <w:szCs w:val="21"/>
          <w:highlight w:val="none"/>
          <w:lang w:val="en-US" w:eastAsia="zh-CN"/>
        </w:rPr>
        <w:t xml:space="preserve">N和1</w:t>
      </w:r>
      <w:r>
        <w:rPr>
          <w:rFonts w:hint="eastAsia" w:ascii="宋体" w:hAnsi="宋体" w:cs="宋体"/>
          <w:color w:val="auto"/>
          <w:sz w:val="21"/>
          <w:szCs w:val="21"/>
          <w:highlight w:val="none"/>
          <w:lang w:val="en-US" w:eastAsia="zh-CN"/>
        </w:rPr>
        <w:t xml:space="preserve">k</w:t>
      </w:r>
      <w:r>
        <w:rPr>
          <w:rFonts w:hint="eastAsia" w:ascii="宋体" w:hAnsi="宋体" w:eastAsia="宋体" w:cs="宋体"/>
          <w:color w:val="auto"/>
          <w:sz w:val="21"/>
          <w:szCs w:val="21"/>
          <w:highlight w:val="none"/>
          <w:lang w:val="en-US" w:eastAsia="zh-CN"/>
        </w:rPr>
        <w:t xml:space="preserve">N 传感器、大变形引伸计</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▲3、附校准证书</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[一般参数]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1、位移速度：优于</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0.001～500</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mm/min</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2、配套液氮罐</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3、具备力传感器防撞功能</w:t>
      </w:r>
      <w:r/>
    </w:p>
    <w:p>
      <w:pPr>
        <w:numPr>
          <w:ilvl w:val="0"/>
          <w:numId w:val="0"/>
        </w:numPr>
        <w:ind w:firstLine="422"/>
        <w:jc w:val="both"/>
        <w:keepLines w:val="0"/>
        <w:keepNext w:val="0"/>
        <w:pageBreakBefore w:val="0"/>
        <w:spacing w:line="440" w:lineRule="exact"/>
        <w:widowControl w:val="off"/>
        <w:rPr>
          <w:rFonts w:hint="eastAsia" w:ascii="宋体" w:hAnsi="宋体" w:eastAsia="宋体" w:cs="宋体"/>
          <w:b/>
          <w:bCs w:val="0"/>
          <w:i/>
          <w:iCs/>
          <w:color w:val="auto"/>
          <w:sz w:val="21"/>
          <w:szCs w:val="21"/>
          <w:highlight w:val="none"/>
          <w:u w:val="single"/>
          <w:lang w:val="en-US" w:eastAsia="zh-CN"/>
        </w:rPr>
      </w:pPr>
      <w:r>
        <w:rPr>
          <w:rFonts w:hint="eastAsia" w:ascii="宋体" w:hAnsi="宋体" w:eastAsia="宋体" w:cs="宋体"/>
          <w:b/>
          <w:bCs w:val="0"/>
          <w:i/>
          <w:iCs/>
          <w:color w:val="auto"/>
          <w:sz w:val="21"/>
          <w:szCs w:val="21"/>
          <w:highlight w:val="none"/>
          <w:u w:val="single"/>
          <w:lang w:val="en-US" w:eastAsia="zh-CN" w:bidi="ar-SA"/>
        </w:rPr>
        <w:t xml:space="preserve">注：</w:t>
      </w:r>
      <w:r>
        <w:rPr>
          <w:rFonts w:hint="eastAsia" w:ascii="宋体" w:hAnsi="宋体" w:eastAsia="宋体" w:cs="宋体"/>
          <w:b/>
          <w:bCs w:val="0"/>
          <w:i/>
          <w:iCs/>
          <w:color w:val="auto"/>
          <w:sz w:val="21"/>
          <w:szCs w:val="21"/>
          <w:highlight w:val="none"/>
          <w:u w:val="single"/>
          <w:lang w:val="en-US" w:eastAsia="zh-CN"/>
        </w:rPr>
        <w:t xml:space="preserve">★参数</w:t>
      </w:r>
      <w:r>
        <w:rPr>
          <w:rFonts w:hint="eastAsia" w:ascii="宋体" w:hAnsi="宋体" w:eastAsia="宋体" w:cs="宋体"/>
          <w:b/>
          <w:bCs w:val="0"/>
          <w:i/>
          <w:iCs/>
          <w:color w:val="auto"/>
          <w:sz w:val="21"/>
          <w:szCs w:val="21"/>
          <w:highlight w:val="none"/>
          <w:u w:val="single"/>
        </w:rPr>
        <w:t xml:space="preserve">为核心参数，</w:t>
      </w:r>
      <w:r>
        <w:rPr>
          <w:rFonts w:hint="eastAsia" w:ascii="宋体" w:hAnsi="宋体" w:eastAsia="宋体" w:cs="宋体"/>
          <w:b/>
          <w:bCs w:val="0"/>
          <w:i/>
          <w:iCs/>
          <w:color w:val="auto"/>
          <w:sz w:val="21"/>
          <w:szCs w:val="21"/>
          <w:highlight w:val="none"/>
          <w:u w:val="single"/>
          <w:lang w:val="en-US" w:eastAsia="zh-CN"/>
        </w:rPr>
        <w:t xml:space="preserve">负偏离无效</w:t>
      </w:r>
      <w:r/>
    </w:p>
    <w:p>
      <w:pPr>
        <w:numPr>
          <w:ilvl w:val="0"/>
          <w:numId w:val="0"/>
        </w:numPr>
        <w:jc w:val="both"/>
        <w:keepLines w:val="0"/>
        <w:keepNext w:val="0"/>
        <w:pageBreakBefore w:val="0"/>
        <w:spacing w:line="440" w:lineRule="exact"/>
        <w:widowControl w:val="off"/>
        <w:rPr>
          <w:rFonts w:hint="eastAsia" w:ascii="宋体" w:hAnsi="宋体" w:eastAsia="宋体" w:cs="宋体"/>
          <w:b/>
          <w:bCs w:val="0"/>
          <w:i w:val="0"/>
          <w:iCs w:val="0"/>
          <w:color w:val="auto"/>
          <w:sz w:val="21"/>
          <w:szCs w:val="21"/>
          <w:highlight w:val="none"/>
          <w:u w:val="none"/>
          <w:lang w:val="en-US" w:eastAsia="zh-CN" w:bidi="ar-SA"/>
        </w:rPr>
      </w:pPr>
      <w:r>
        <w:rPr>
          <w:rFonts w:hint="eastAsia" w:ascii="宋体" w:hAnsi="宋体" w:eastAsia="宋体" w:cs="宋体"/>
          <w:b/>
          <w:bCs w:val="0"/>
          <w:i w:val="0"/>
          <w:iCs w:val="0"/>
          <w:color w:val="auto"/>
          <w:sz w:val="21"/>
          <w:szCs w:val="21"/>
          <w:highlight w:val="none"/>
          <w:u w:val="none"/>
          <w:lang w:val="en-US" w:eastAsia="zh-CN" w:bidi="ar-SA"/>
        </w:rPr>
        <w:t xml:space="preserve">（</w:t>
      </w:r>
      <w:r>
        <w:rPr>
          <w:rFonts w:hint="eastAsia" w:ascii="宋体" w:hAnsi="宋体" w:cs="宋体"/>
          <w:b/>
          <w:bCs w:val="0"/>
          <w:i w:val="0"/>
          <w:iCs w:val="0"/>
          <w:color w:val="auto"/>
          <w:sz w:val="21"/>
          <w:szCs w:val="21"/>
          <w:highlight w:val="none"/>
          <w:u w:val="none"/>
          <w:lang w:val="en-US" w:eastAsia="zh-CN" w:bidi="ar-SA"/>
        </w:rPr>
        <w:t xml:space="preserve">二</w:t>
      </w:r>
      <w:r>
        <w:rPr>
          <w:rFonts w:hint="eastAsia" w:ascii="宋体" w:hAnsi="宋体" w:eastAsia="宋体" w:cs="宋体"/>
          <w:b/>
          <w:bCs w:val="0"/>
          <w:i w:val="0"/>
          <w:iCs w:val="0"/>
          <w:color w:val="auto"/>
          <w:sz w:val="21"/>
          <w:szCs w:val="21"/>
          <w:highlight w:val="none"/>
          <w:u w:val="none"/>
          <w:lang w:val="en-US" w:eastAsia="zh-CN" w:bidi="ar-SA"/>
        </w:rPr>
        <w:t xml:space="preserve">）其他</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1.落实商品包装、快递包装政府采购需求标准按照“财办库[2020]123号《关于印发《商品包装政府采购需求标准（试行）》、《快递包装政府采购需求标准（试行）的通知》”执行，在履约验收时按照本条款执行，违反本约定的对照合同违约条款追究违约责任。投标人一旦参与本项目，即完全响应本条款要求。</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2.项目交货方案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合同签订后</w:t>
      </w:r>
      <w:r>
        <w:rPr>
          <w:rFonts w:hint="eastAsia" w:ascii="宋体" w:hAnsi="宋体" w:cs="宋体"/>
          <w:bCs/>
          <w:color w:val="auto"/>
          <w:sz w:val="21"/>
          <w:szCs w:val="21"/>
          <w:highlight w:val="none"/>
          <w:lang w:val="en-US" w:eastAsia="zh-CN" w:bidi="ar-SA"/>
        </w:rPr>
        <w:t xml:space="preserve">6个月</w:t>
      </w:r>
      <w:r>
        <w:rPr>
          <w:rFonts w:hint="eastAsia" w:ascii="宋体" w:hAnsi="宋体" w:eastAsia="宋体" w:cs="宋体"/>
          <w:bCs/>
          <w:color w:val="auto"/>
          <w:sz w:val="21"/>
          <w:szCs w:val="21"/>
          <w:highlight w:val="none"/>
          <w:lang w:val="en-US" w:eastAsia="zh-CN" w:bidi="ar-SA"/>
        </w:rPr>
        <w:t xml:space="preserve">内完成合同范围内所有设备的供货，上门安装调试。</w:t>
      </w:r>
      <w:r>
        <w:rPr>
          <w:rFonts w:hint="eastAsia" w:ascii="宋体" w:hAnsi="宋体" w:eastAsia="宋体" w:cs="宋体"/>
          <w:bCs/>
          <w:color w:val="auto"/>
          <w:sz w:val="21"/>
          <w:szCs w:val="21"/>
          <w:highlight w:val="none"/>
        </w:rPr>
        <w:t xml:space="preserve">根据招标文件要求提供项目交货方案、进度方案、防护方案以及方案的科学合理、完整、切实可行性等内容。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3.安装调试方案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合同签订后</w:t>
      </w:r>
      <w:r>
        <w:rPr>
          <w:rFonts w:hint="eastAsia" w:ascii="宋体" w:hAnsi="宋体" w:cs="宋体"/>
          <w:bCs/>
          <w:color w:val="auto"/>
          <w:sz w:val="21"/>
          <w:szCs w:val="21"/>
          <w:highlight w:val="none"/>
          <w:lang w:val="en-US" w:eastAsia="zh-CN" w:bidi="ar-SA"/>
        </w:rPr>
        <w:t xml:space="preserve">6个月</w:t>
      </w:r>
      <w:r>
        <w:rPr>
          <w:rFonts w:hint="eastAsia" w:ascii="宋体" w:hAnsi="宋体" w:eastAsia="宋体" w:cs="宋体"/>
          <w:bCs/>
          <w:color w:val="auto"/>
          <w:sz w:val="21"/>
          <w:szCs w:val="21"/>
          <w:highlight w:val="none"/>
          <w:lang w:val="en-US" w:eastAsia="zh-CN" w:bidi="ar-SA"/>
        </w:rPr>
        <w:t xml:space="preserve">内完成合同范围内所有设备的供货，上门安装调试。</w:t>
      </w:r>
      <w:r>
        <w:rPr>
          <w:rFonts w:hint="eastAsia" w:ascii="宋体" w:hAnsi="宋体" w:eastAsia="宋体" w:cs="宋体"/>
          <w:bCs/>
          <w:color w:val="auto"/>
          <w:sz w:val="21"/>
          <w:szCs w:val="21"/>
          <w:highlight w:val="none"/>
        </w:rPr>
        <w:t xml:space="preserve">根据招标文件要求提供安装方案、调试方案、管理方案以及方案的科学合理、完整、切实可行性等内容。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4.质量控制方案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根据招标文件要求提供质量控制体系、质量检验标准、质量管理方案以及方案的科学合理、完整、切实可行性等内容。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5.培训及技术支持方案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根据招标文件要求提供人员培训方案、技术支持方案、采购人所需的技术和学术支持方案以及方案的科学合理、完整、切实可行性等内容。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6.售后服务方案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根据招标文件要求提供售后方案、售后人员安排、售后响应措施以及方案的科学合理、完整、切实可行性等内容。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7.应急方案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根据招标文件要求提供应急预案、应急处理方案、应急人员安排以及方案的科学合理、完整、切实可行性等内容。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jc w:val="both"/>
        <w:keepLines w:val="0"/>
        <w:keepNext w:val="0"/>
        <w:pageBreakBefore w:val="0"/>
        <w:spacing w:line="440" w:lineRule="exact"/>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包8：电液伺服压力试验机</w:t>
      </w:r>
      <w:r/>
    </w:p>
    <w:p>
      <w:pPr>
        <w:numPr>
          <w:ilvl w:val="0"/>
          <w:numId w:val="0"/>
        </w:numPr>
        <w:jc w:val="both"/>
        <w:keepLines w:val="0"/>
        <w:keepNext w:val="0"/>
        <w:pageBreakBefore w:val="0"/>
        <w:spacing w:line="440" w:lineRule="exact"/>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（一）技术要求</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[核心参数]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★1、最大负荷不低于5000kN</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★2、试验机准确度等级不低于0.5级</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★3、试验力示值相对误差±0.5%以内</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★4、试验力测量范围优于2%-100%FS</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[重要参数]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▲1、试验力加载速率范围：0.02%-2%FS/s</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▲2、试验力分辨力：满量程的 1/500000</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▲3、随附计量证书</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▲4、随附压机专用抗折夹具</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▲5、最大压缩空间不低于：350mm</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▲6、框架有效跨距不低于：500mm</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▲7、活塞空载移动最大速度不低于：50mm/min</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▲8、活塞最大行程不低于：100mm</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[一般参数]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1、位移测量分辨力：0.01mm；</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2、位移测量精度：优于≤±0.5%</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3、框架材质：铸钢</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val="0"/>
          <w:i/>
          <w:iCs/>
          <w:color w:val="auto"/>
          <w:sz w:val="21"/>
          <w:szCs w:val="21"/>
          <w:highlight w:val="none"/>
          <w:u w:val="single"/>
          <w:lang w:val="en-US" w:eastAsia="zh-CN"/>
        </w:rPr>
      </w:pPr>
      <w:r>
        <w:rPr>
          <w:rFonts w:hint="eastAsia" w:ascii="宋体" w:hAnsi="宋体" w:eastAsia="宋体" w:cs="宋体"/>
          <w:b/>
          <w:bCs w:val="0"/>
          <w:i/>
          <w:iCs/>
          <w:color w:val="auto"/>
          <w:sz w:val="21"/>
          <w:szCs w:val="21"/>
          <w:highlight w:val="none"/>
          <w:u w:val="single"/>
          <w:lang w:val="en-US" w:eastAsia="zh-CN" w:bidi="ar-SA"/>
        </w:rPr>
        <w:t xml:space="preserve">注：</w:t>
      </w:r>
      <w:r>
        <w:rPr>
          <w:rFonts w:hint="eastAsia" w:ascii="宋体" w:hAnsi="宋体" w:eastAsia="宋体" w:cs="宋体"/>
          <w:b/>
          <w:bCs w:val="0"/>
          <w:i/>
          <w:iCs/>
          <w:color w:val="auto"/>
          <w:sz w:val="21"/>
          <w:szCs w:val="21"/>
          <w:highlight w:val="none"/>
          <w:u w:val="single"/>
          <w:lang w:val="en-US" w:eastAsia="zh-CN"/>
        </w:rPr>
        <w:t xml:space="preserve">★参数</w:t>
      </w:r>
      <w:r>
        <w:rPr>
          <w:rFonts w:hint="eastAsia" w:ascii="宋体" w:hAnsi="宋体" w:eastAsia="宋体" w:cs="宋体"/>
          <w:b/>
          <w:bCs w:val="0"/>
          <w:i/>
          <w:iCs/>
          <w:color w:val="auto"/>
          <w:sz w:val="21"/>
          <w:szCs w:val="21"/>
          <w:highlight w:val="none"/>
          <w:u w:val="single"/>
        </w:rPr>
        <w:t xml:space="preserve">为核心参数，</w:t>
      </w:r>
      <w:r>
        <w:rPr>
          <w:rFonts w:hint="eastAsia" w:ascii="宋体" w:hAnsi="宋体" w:eastAsia="宋体" w:cs="宋体"/>
          <w:b/>
          <w:bCs w:val="0"/>
          <w:i/>
          <w:iCs/>
          <w:color w:val="auto"/>
          <w:sz w:val="21"/>
          <w:szCs w:val="21"/>
          <w:highlight w:val="none"/>
          <w:u w:val="single"/>
          <w:lang w:val="en-US" w:eastAsia="zh-CN"/>
        </w:rPr>
        <w:t xml:space="preserve">负偏离无效</w:t>
      </w:r>
      <w:r/>
    </w:p>
    <w:p>
      <w:pPr>
        <w:numPr>
          <w:ilvl w:val="0"/>
          <w:numId w:val="0"/>
        </w:numPr>
        <w:jc w:val="both"/>
        <w:keepLines w:val="0"/>
        <w:keepNext w:val="0"/>
        <w:pageBreakBefore w:val="0"/>
        <w:spacing w:line="440" w:lineRule="exact"/>
        <w:widowControl w:val="off"/>
        <w:rPr>
          <w:rFonts w:hint="eastAsia" w:ascii="宋体" w:hAnsi="宋体" w:eastAsia="宋体" w:cs="宋体"/>
          <w:b/>
          <w:bCs w:val="0"/>
          <w:i w:val="0"/>
          <w:iCs w:val="0"/>
          <w:color w:val="auto"/>
          <w:sz w:val="21"/>
          <w:szCs w:val="21"/>
          <w:highlight w:val="none"/>
          <w:u w:val="none"/>
          <w:lang w:val="en-US" w:eastAsia="zh-CN" w:bidi="ar-SA"/>
        </w:rPr>
      </w:pPr>
      <w:r>
        <w:rPr>
          <w:rFonts w:hint="eastAsia" w:ascii="宋体" w:hAnsi="宋体" w:eastAsia="宋体" w:cs="宋体"/>
          <w:b/>
          <w:bCs w:val="0"/>
          <w:i w:val="0"/>
          <w:iCs w:val="0"/>
          <w:color w:val="auto"/>
          <w:sz w:val="21"/>
          <w:szCs w:val="21"/>
          <w:highlight w:val="none"/>
          <w:u w:val="none"/>
          <w:lang w:val="en-US" w:eastAsia="zh-CN" w:bidi="ar-SA"/>
        </w:rPr>
        <w:t xml:space="preserve">（</w:t>
      </w:r>
      <w:r>
        <w:rPr>
          <w:rFonts w:hint="eastAsia" w:ascii="宋体" w:hAnsi="宋体" w:cs="宋体"/>
          <w:b/>
          <w:bCs w:val="0"/>
          <w:i w:val="0"/>
          <w:iCs w:val="0"/>
          <w:color w:val="auto"/>
          <w:sz w:val="21"/>
          <w:szCs w:val="21"/>
          <w:highlight w:val="none"/>
          <w:u w:val="none"/>
          <w:lang w:val="en-US" w:eastAsia="zh-CN" w:bidi="ar-SA"/>
        </w:rPr>
        <w:t xml:space="preserve">二</w:t>
      </w:r>
      <w:r>
        <w:rPr>
          <w:rFonts w:hint="eastAsia" w:ascii="宋体" w:hAnsi="宋体" w:eastAsia="宋体" w:cs="宋体"/>
          <w:b/>
          <w:bCs w:val="0"/>
          <w:i w:val="0"/>
          <w:iCs w:val="0"/>
          <w:color w:val="auto"/>
          <w:sz w:val="21"/>
          <w:szCs w:val="21"/>
          <w:highlight w:val="none"/>
          <w:u w:val="none"/>
          <w:lang w:val="en-US" w:eastAsia="zh-CN" w:bidi="ar-SA"/>
        </w:rPr>
        <w:t xml:space="preserve">）其他</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1.落实商品包装、快递包装政府采购需求标准按照“财办库[2020]123号《关于印发《商品包装政府采购需求标准（试行）》、《快递包装政府采购需求标准（试行）的通知》”执行，在履约验收时按照本条款执行，违反本约定的对照合同违约条款追究违约责任。投标人一旦参与本项目，即完全响应本条款要求。</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2.项目交货方案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根据招标文件要求提供项目交货方案、进度方案、防护方案以及方案的科学合理、完整、切实可行性等内容。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3.安装调试方案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根据招标文件要求提供安装方案、调试方案、管理方案以及方案的科学合理、完整、切实可行性等内容。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4.质量控制方案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根据招标文件要求提供质量控制体系、质量检验标准、质量管理方案以及方案的科学合理、完整、切实可行性等内容。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5.培训及技术支持方案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根据招标文件要求提供人员培训方案、技术支持方案、采购人所需的技术和学术支持方案以及方案的科学合理、完整、切实可行性等内容。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6.售后服务方案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根据招标文件要求提供售后方案、售后人员安排、售后响应措施以及方案的科学合理、完整、切实可行性等内容。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7.应急方案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根据招标文件要求提供应急预案、应急处理方案、应急人员安排以及方案的科学合理、完整、切实可行性等内容。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keepLines w:val="0"/>
        <w:keepNext w:val="0"/>
        <w:pageBreakBefore w:val="0"/>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包9：紫外-可见光谱仪</w:t>
      </w:r>
      <w:r/>
    </w:p>
    <w:p>
      <w:pPr>
        <w:numPr>
          <w:ilvl w:val="0"/>
          <w:numId w:val="0"/>
        </w:numPr>
        <w:jc w:val="both"/>
        <w:keepLines w:val="0"/>
        <w:keepNext w:val="0"/>
        <w:pageBreakBefore w:val="0"/>
        <w:spacing w:line="440" w:lineRule="exact"/>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（一）技术要求</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[核心参数]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★1、波长范围：满足190～1100nm的波长调节范围</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★2、波长准确度：不低于±0.3nm</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★3、波长重复性：≤0.1nm</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[重要参数]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▲1、基线漂移:≤0.0003A/h</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▲2、附计量证书</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▲3、杂散光：≤0.02%</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▲4、光度准确度：不低于±0.2%T</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▲5、光度重复性：≤0.08%T</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▲6、基线平直度：不低于±0.0006A</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▲7、波长设定模式：触控屏输入</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[一般参数]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1、噪声：≤0.03%T，≤0.00015A</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2、边缘噪声：100%T处：≤0.1%T，≤0.0004A</w:t>
      </w:r>
      <w:r/>
    </w:p>
    <w:p>
      <w:pPr>
        <w:numPr>
          <w:ilvl w:val="0"/>
          <w:numId w:val="0"/>
        </w:numPr>
        <w:ind w:firstLine="189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0%T处：≤0.02%T，≤0.00008</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val="0"/>
          <w:i/>
          <w:iCs/>
          <w:color w:val="auto"/>
          <w:sz w:val="21"/>
          <w:szCs w:val="21"/>
          <w:highlight w:val="none"/>
          <w:u w:val="single"/>
          <w:lang w:val="en-US" w:eastAsia="zh-CN"/>
        </w:rPr>
      </w:pPr>
      <w:r>
        <w:rPr>
          <w:rFonts w:hint="eastAsia" w:ascii="宋体" w:hAnsi="宋体" w:eastAsia="宋体" w:cs="宋体"/>
          <w:b/>
          <w:bCs w:val="0"/>
          <w:i/>
          <w:iCs/>
          <w:color w:val="auto"/>
          <w:sz w:val="21"/>
          <w:szCs w:val="21"/>
          <w:highlight w:val="none"/>
          <w:u w:val="single"/>
          <w:lang w:val="en-US" w:eastAsia="zh-CN" w:bidi="ar-SA"/>
        </w:rPr>
        <w:t xml:space="preserve">注：</w:t>
      </w:r>
      <w:r>
        <w:rPr>
          <w:rFonts w:hint="eastAsia" w:ascii="宋体" w:hAnsi="宋体" w:eastAsia="宋体" w:cs="宋体"/>
          <w:b/>
          <w:bCs w:val="0"/>
          <w:i/>
          <w:iCs/>
          <w:color w:val="auto"/>
          <w:sz w:val="21"/>
          <w:szCs w:val="21"/>
          <w:highlight w:val="none"/>
          <w:u w:val="single"/>
          <w:lang w:val="en-US" w:eastAsia="zh-CN"/>
        </w:rPr>
        <w:t xml:space="preserve">★参数</w:t>
      </w:r>
      <w:r>
        <w:rPr>
          <w:rFonts w:hint="eastAsia" w:ascii="宋体" w:hAnsi="宋体" w:eastAsia="宋体" w:cs="宋体"/>
          <w:b/>
          <w:bCs w:val="0"/>
          <w:i/>
          <w:iCs/>
          <w:color w:val="auto"/>
          <w:sz w:val="21"/>
          <w:szCs w:val="21"/>
          <w:highlight w:val="none"/>
          <w:u w:val="single"/>
        </w:rPr>
        <w:t xml:space="preserve">为核心参数，</w:t>
      </w:r>
      <w:r>
        <w:rPr>
          <w:rFonts w:hint="eastAsia" w:ascii="宋体" w:hAnsi="宋体" w:eastAsia="宋体" w:cs="宋体"/>
          <w:b/>
          <w:bCs w:val="0"/>
          <w:i/>
          <w:iCs/>
          <w:color w:val="auto"/>
          <w:sz w:val="21"/>
          <w:szCs w:val="21"/>
          <w:highlight w:val="none"/>
          <w:u w:val="single"/>
          <w:lang w:val="en-US" w:eastAsia="zh-CN"/>
        </w:rPr>
        <w:t xml:space="preserve">负偏离无效</w:t>
      </w:r>
      <w:r/>
    </w:p>
    <w:p>
      <w:pPr>
        <w:numPr>
          <w:ilvl w:val="0"/>
          <w:numId w:val="0"/>
        </w:numPr>
        <w:jc w:val="both"/>
        <w:keepLines w:val="0"/>
        <w:keepNext w:val="0"/>
        <w:pageBreakBefore w:val="0"/>
        <w:spacing w:line="440" w:lineRule="exact"/>
        <w:widowControl w:val="off"/>
        <w:rPr>
          <w:rFonts w:hint="eastAsia" w:ascii="宋体" w:hAnsi="宋体" w:eastAsia="宋体" w:cs="宋体"/>
          <w:b/>
          <w:bCs w:val="0"/>
          <w:i w:val="0"/>
          <w:iCs w:val="0"/>
          <w:color w:val="auto"/>
          <w:sz w:val="21"/>
          <w:szCs w:val="21"/>
          <w:highlight w:val="none"/>
          <w:u w:val="none"/>
          <w:lang w:val="en-US" w:eastAsia="zh-CN" w:bidi="ar-SA"/>
        </w:rPr>
      </w:pPr>
      <w:r>
        <w:rPr>
          <w:rFonts w:hint="eastAsia" w:ascii="宋体" w:hAnsi="宋体" w:eastAsia="宋体" w:cs="宋体"/>
          <w:b/>
          <w:bCs w:val="0"/>
          <w:i w:val="0"/>
          <w:iCs w:val="0"/>
          <w:color w:val="auto"/>
          <w:sz w:val="21"/>
          <w:szCs w:val="21"/>
          <w:highlight w:val="none"/>
          <w:u w:val="none"/>
          <w:lang w:val="en-US" w:eastAsia="zh-CN" w:bidi="ar-SA"/>
        </w:rPr>
        <w:t xml:space="preserve">（</w:t>
      </w:r>
      <w:r>
        <w:rPr>
          <w:rFonts w:hint="eastAsia" w:ascii="宋体" w:hAnsi="宋体" w:cs="宋体"/>
          <w:b/>
          <w:bCs w:val="0"/>
          <w:i w:val="0"/>
          <w:iCs w:val="0"/>
          <w:color w:val="auto"/>
          <w:sz w:val="21"/>
          <w:szCs w:val="21"/>
          <w:highlight w:val="none"/>
          <w:u w:val="none"/>
          <w:lang w:val="en-US" w:eastAsia="zh-CN" w:bidi="ar-SA"/>
        </w:rPr>
        <w:t xml:space="preserve">二</w:t>
      </w:r>
      <w:r>
        <w:rPr>
          <w:rFonts w:hint="eastAsia" w:ascii="宋体" w:hAnsi="宋体" w:eastAsia="宋体" w:cs="宋体"/>
          <w:b/>
          <w:bCs w:val="0"/>
          <w:i w:val="0"/>
          <w:iCs w:val="0"/>
          <w:color w:val="auto"/>
          <w:sz w:val="21"/>
          <w:szCs w:val="21"/>
          <w:highlight w:val="none"/>
          <w:u w:val="none"/>
          <w:lang w:val="en-US" w:eastAsia="zh-CN" w:bidi="ar-SA"/>
        </w:rPr>
        <w:t xml:space="preserve">）其他</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落实商品包装、快递包装政府采购需求标准</w:t>
      </w:r>
      <w:r>
        <w:rPr>
          <w:rFonts w:hint="eastAsia" w:ascii="宋体" w:hAnsi="宋体" w:cs="宋体"/>
          <w:bCs/>
          <w:color w:val="auto"/>
          <w:sz w:val="21"/>
          <w:szCs w:val="21"/>
          <w:highlight w:val="none"/>
          <w:lang w:val="en-US" w:eastAsia="zh-CN"/>
        </w:rPr>
        <w:t xml:space="preserve">按照</w:t>
      </w:r>
      <w:r>
        <w:rPr>
          <w:rFonts w:hint="eastAsia" w:ascii="宋体" w:hAnsi="宋体" w:eastAsia="宋体" w:cs="宋体"/>
          <w:bCs/>
          <w:color w:val="auto"/>
          <w:sz w:val="21"/>
          <w:szCs w:val="21"/>
          <w:highlight w:val="none"/>
        </w:rPr>
        <w:t xml:space="preserve">“财办库[2020]123号《关于印发《商品包装政府采购需求标准（试行）》、《快递包装政府采购需求标准（试行）的通知》”执行，在履约验收时按照本条款执行，违反本约定的对照合同违约条款追究违约责任。投标人一旦参与本项目，即完全响应本条款要求。</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2.项目交货方案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根据招标文件要求提供项目交货方案、进度方案、防护方案以及方案的科学合理、完整、切实可行性等内容。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3.安装调试方案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根据招标文件要求提供安装方案、调试方案、管理方案以及方案的科学合理、完整、切实可行性等内容。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4.质量控制方案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根据招标文件要求提供质量控制体系、质量检验标准、质量管理方案以及方案的科学合理、完整、切实可行性等内容。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5.培训及技术支持方案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根据招标文件要求提供人员培训方案、技术支持方案、采购人所需的技术和学术支持方案以及方案的科学合理、完整、切实可行性等内容。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6.售后服务方案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根据招标文件要求提供售后方案、售后人员安排、售后响应措施以及方案的科学合理、完整、切实可行性等内容。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7.应急方案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根据招标文件要求提供应急预案、应急处理方案、应急人员安排以及方案的科学合理、完整、切实可行性等内容。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1137"/>
        <w:ind w:left="0" w:firstLine="0"/>
        <w:jc w:val="center"/>
        <w:keepLines w:val="0"/>
        <w:keepNext w:val="0"/>
        <w:pageBreakBefore w:val="0"/>
        <w:spacing w:line="360" w:lineRule="auto"/>
        <w:widowControl w:val="off"/>
        <w:rPr>
          <w:rFonts w:ascii="宋体" w:hAnsi="宋体"/>
          <w:color w:val="auto"/>
          <w:highlight w:val="none"/>
        </w:rPr>
        <w:outlineLvl w:val="0"/>
      </w:pPr>
      <w:r>
        <w:rPr>
          <w:rFonts w:hint="eastAsia" w:ascii="宋体" w:hAnsi="宋体"/>
          <w:b/>
          <w:bCs/>
          <w:color w:val="auto"/>
          <w:sz w:val="36"/>
          <w:highlight w:val="none"/>
        </w:rPr>
        <w:t xml:space="preserve">第五章 评标方法及评标标准</w:t>
      </w:r>
      <w:r/>
    </w:p>
    <w:p>
      <w:pPr>
        <w:pStyle w:val="1138"/>
        <w:ind w:firstLine="422"/>
        <w:jc w:val="both"/>
        <w:spacing w:before="0" w:after="0"/>
        <w:rPr>
          <w:rFonts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1138"/>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color w:val="auto"/>
          <w:szCs w:val="21"/>
          <w:highlight w:val="none"/>
        </w:rPr>
      </w:pPr>
      <w:r/>
      <w:bookmarkStart w:id="39" w:name="_Toc449017024"/>
      <w:r/>
      <w:bookmarkStart w:id="40" w:name="_Toc449016388"/>
      <w:r>
        <w:rPr>
          <w:rFonts w:hint="eastAsia" w:ascii="宋体" w:hAnsi="宋体"/>
          <w:b/>
          <w:color w:val="auto"/>
          <w:szCs w:val="21"/>
          <w:highlight w:val="none"/>
        </w:rPr>
        <w:t xml:space="preserve">二、政府采购政策功能落实</w:t>
      </w:r>
      <w:bookmarkEnd w:id="39"/>
      <w:r/>
      <w:bookmarkEnd w:id="40"/>
      <w:r/>
      <w:r/>
    </w:p>
    <w:p>
      <w:pPr>
        <w:pStyle w:val="1138"/>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38"/>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138"/>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%的扣除价格，用扣除后的价格参与评审。</w:t>
      </w:r>
      <w:r/>
    </w:p>
    <w:p>
      <w:pPr>
        <w:pStyle w:val="1138"/>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（2）供应商需按照采购文件的要求提供相应的《企业声明函》。</w:t>
      </w:r>
      <w:r/>
    </w:p>
    <w:p>
      <w:pPr>
        <w:pStyle w:val="1138"/>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138"/>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%的价格扣除，用扣除后的价格参与评审。</w:t>
      </w:r>
      <w:r/>
    </w:p>
    <w:p>
      <w:pPr>
        <w:pStyle w:val="1138"/>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138"/>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138"/>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138"/>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%的价格扣除，用扣除后的价格参与评审。</w:t>
      </w:r>
      <w:r/>
    </w:p>
    <w:p>
      <w:pPr>
        <w:pStyle w:val="1138"/>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38"/>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138"/>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138"/>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%的价格扣除，用扣除后的价格参与评审。 </w:t>
      </w:r>
      <w:r/>
    </w:p>
    <w:p>
      <w:pPr>
        <w:pStyle w:val="113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%价格扣除，用扣除后的价格参与评审。</w:t>
      </w:r>
      <w:r/>
    </w:p>
    <w:p>
      <w:pPr>
        <w:pStyle w:val="1138"/>
        <w:ind w:firstLine="420"/>
        <w:spacing w:before="0" w:after="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大中型企业向小型、微型企业分包的，分包意向协议约定小型、微型企业合同份额占到合同总金额30%以上的，给予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w:t>
      </w:r>
      <w:r>
        <w:rPr>
          <w:rFonts w:hint="eastAsia" w:ascii="宋体" w:hAnsi="宋体" w:eastAsia="宋体" w:cs="宋体"/>
          <w:color w:val="auto"/>
          <w:szCs w:val="21"/>
          <w:highlight w:val="none"/>
        </w:rPr>
        <w:t xml:space="preserve">的价格扣除，用扣除后的价格参与评审。</w:t>
      </w:r>
      <w:r/>
    </w:p>
    <w:p>
      <w:pPr>
        <w:pStyle w:val="1138"/>
        <w:ind w:firstLine="420"/>
        <w:spacing w:before="0" w:after="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采购本国产品的支持政策</w:t>
      </w:r>
      <w:r/>
    </w:p>
    <w:p>
      <w:pPr>
        <w:pStyle w:val="1138"/>
        <w:ind w:firstLine="420"/>
        <w:spacing w:before="0" w:after="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本项目政府采购活动中既有本国产品又有非本国产品参与竞争的，依法对本国产品给予价格评审优惠，对本国产品的报价给予 20%的价格扣除，用扣除后的价格参与评审。</w:t>
      </w:r>
      <w:r/>
    </w:p>
    <w:p>
      <w:pPr>
        <w:pStyle w:val="1138"/>
        <w:ind w:firstLine="420"/>
        <w:spacing w:before="0" w:after="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38"/>
        <w:ind w:firstLine="420"/>
        <w:spacing w:before="0" w:after="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供应商需按照招标文件的要求提供《关于符合本国产品标准的声明函》（以下简称《声明函》），如不提供将不享受本国产品价格评审优惠。</w:t>
      </w:r>
      <w:r/>
    </w:p>
    <w:p>
      <w:pPr>
        <w:pStyle w:val="1138"/>
        <w:ind w:firstLine="420"/>
        <w:spacing w:before="0" w:after="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38"/>
        <w:ind w:firstLine="420"/>
        <w:spacing w:before="0" w:after="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38"/>
        <w:ind w:firstLine="422"/>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bookmarkEnd w:id="30"/>
      <w:r/>
      <w:r/>
    </w:p>
    <w:p>
      <w:pPr>
        <w:spacing w:line="360" w:lineRule="auto"/>
        <w:rPr>
          <w:rFonts w:hint="eastAsia" w:ascii="宋体" w:hAnsi="宋体"/>
          <w:b/>
          <w:bCs/>
          <w:color w:val="auto"/>
          <w:highlight w:val="none"/>
          <w:lang w:val="en-US" w:eastAsia="zh-CN"/>
        </w:rPr>
      </w:pPr>
      <w:r>
        <w:rPr>
          <w:rFonts w:hint="eastAsia" w:ascii="宋体" w:hAnsi="宋体"/>
          <w:b/>
          <w:bCs/>
          <w:color w:val="auto"/>
          <w:highlight w:val="none"/>
          <w:lang w:val="en-US" w:eastAsia="zh-CN"/>
        </w:rPr>
        <w:t xml:space="preserve">包1：微机控制环刚度试验机</w:t>
      </w:r>
      <w:r/>
    </w:p>
    <w:tbl>
      <w:tblPr>
        <w:tblStyle w:val="822"/>
        <w:tblW w:w="97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320"/>
        <w:gridCol w:w="761"/>
        <w:gridCol w:w="6918"/>
      </w:tblGrid>
      <w:tr>
        <w:trPr>
          <w:jc w:val="center"/>
          <w:trHeight w:val="542"/>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W w:w="6918"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评分依据</w:t>
            </w:r>
            <w:r/>
          </w:p>
        </w:tc>
      </w:tr>
      <w:tr>
        <w:trPr>
          <w:jc w:val="center"/>
          <w:trHeight w:val="1710"/>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tc>
        <w:tc>
          <w:tcPr>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6918"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val="0"/>
                <w:color w:val="auto"/>
                <w:sz w:val="21"/>
                <w:szCs w:val="21"/>
                <w:highlight w:val="none"/>
              </w:rPr>
              <w:t xml:space="preserve">价格分采用低价优先法计算，即满足</w:t>
            </w:r>
            <w:r>
              <w:rPr>
                <w:rFonts w:hint="eastAsia" w:ascii="宋体" w:hAnsi="宋体" w:eastAsia="宋体" w:cs="宋体"/>
                <w:bCs w:val="0"/>
                <w:color w:val="auto"/>
                <w:sz w:val="21"/>
                <w:szCs w:val="21"/>
                <w:highlight w:val="none"/>
                <w:lang w:val="en-US" w:eastAsia="zh-CN"/>
              </w:rPr>
              <w:t xml:space="preserve">招标</w:t>
            </w:r>
            <w:r>
              <w:rPr>
                <w:rFonts w:hint="eastAsia" w:ascii="宋体" w:hAnsi="宋体" w:eastAsia="宋体" w:cs="宋体"/>
                <w:bCs w:val="0"/>
                <w:color w:val="auto"/>
                <w:sz w:val="21"/>
                <w:szCs w:val="21"/>
                <w:highlight w:val="none"/>
              </w:rPr>
              <w:t xml:space="preserve">文件要求且</w:t>
            </w:r>
            <w:r>
              <w:rPr>
                <w:rFonts w:hint="eastAsia" w:ascii="宋体" w:hAnsi="宋体" w:eastAsia="宋体" w:cs="宋体"/>
                <w:bCs w:val="0"/>
                <w:color w:val="auto"/>
                <w:sz w:val="21"/>
                <w:szCs w:val="21"/>
                <w:highlight w:val="none"/>
                <w:lang w:val="en-US" w:eastAsia="zh-CN"/>
              </w:rPr>
              <w:t xml:space="preserve">报价</w:t>
            </w:r>
            <w:r>
              <w:rPr>
                <w:rFonts w:hint="eastAsia" w:ascii="宋体" w:hAnsi="宋体" w:eastAsia="宋体" w:cs="宋体"/>
                <w:bCs w:val="0"/>
                <w:color w:val="auto"/>
                <w:sz w:val="21"/>
                <w:szCs w:val="21"/>
                <w:highlight w:val="none"/>
              </w:rPr>
              <w:t xml:space="preserve">最低的报价为评标基准价，其价格分为满分。其他</w:t>
            </w:r>
            <w:r>
              <w:rPr>
                <w:rFonts w:hint="eastAsia" w:ascii="宋体" w:hAnsi="宋体" w:eastAsia="宋体" w:cs="宋体"/>
                <w:bCs w:val="0"/>
                <w:color w:val="auto"/>
                <w:sz w:val="21"/>
                <w:szCs w:val="21"/>
                <w:highlight w:val="none"/>
                <w:lang w:eastAsia="zh-CN"/>
              </w:rPr>
              <w:t xml:space="preserve">投标人</w:t>
            </w:r>
            <w:r>
              <w:rPr>
                <w:rFonts w:hint="eastAsia" w:ascii="宋体" w:hAnsi="宋体" w:eastAsia="宋体" w:cs="宋体"/>
                <w:bCs w:val="0"/>
                <w:color w:val="auto"/>
                <w:sz w:val="21"/>
                <w:szCs w:val="21"/>
                <w:highlight w:val="none"/>
              </w:rPr>
              <w:t xml:space="preserve">的价格分按照下列公式计算，保留小数点后2位：报价得分=（评标基准价／报价）×</w:t>
            </w:r>
            <w:r>
              <w:rPr>
                <w:rFonts w:hint="eastAsia" w:ascii="宋体" w:hAnsi="宋体" w:eastAsia="宋体" w:cs="宋体"/>
                <w:bCs w:val="0"/>
                <w:color w:val="auto"/>
                <w:sz w:val="21"/>
                <w:szCs w:val="21"/>
                <w:highlight w:val="none"/>
                <w:lang w:val="en-US" w:eastAsia="zh-CN"/>
              </w:rPr>
              <w:t xml:space="preserve">30</w:t>
            </w:r>
            <w:r>
              <w:rPr>
                <w:rFonts w:hint="eastAsia" w:ascii="宋体" w:hAnsi="宋体" w:eastAsia="宋体" w:cs="宋体"/>
                <w:bCs w:val="0"/>
                <w:color w:val="auto"/>
                <w:sz w:val="21"/>
                <w:szCs w:val="21"/>
                <w:highlight w:val="none"/>
              </w:rPr>
              <w:t xml:space="preserve">。</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需求响应</w:t>
            </w:r>
            <w:r/>
          </w:p>
        </w:tc>
        <w:tc>
          <w:tcPr>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6918"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完全满足招标文件第四部分采购需求（</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）技术要求</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得满分，</w:t>
            </w:r>
            <w:r>
              <w:rPr>
                <w:rFonts w:hint="eastAsia" w:ascii="宋体" w:hAnsi="宋体" w:eastAsia="宋体" w:cs="宋体"/>
                <w:color w:val="auto"/>
                <w:sz w:val="21"/>
                <w:szCs w:val="21"/>
                <w:highlight w:val="none"/>
                <w:lang w:val="en-US" w:eastAsia="zh-CN"/>
              </w:rPr>
              <w:t xml:space="preserve">★参数</w:t>
            </w:r>
            <w:r>
              <w:rPr>
                <w:rFonts w:hint="eastAsia" w:ascii="宋体" w:hAnsi="宋体" w:eastAsia="宋体" w:cs="宋体"/>
                <w:color w:val="auto"/>
                <w:sz w:val="21"/>
                <w:szCs w:val="21"/>
                <w:highlight w:val="none"/>
              </w:rPr>
              <w:t xml:space="preserve">为核心参数，</w:t>
            </w:r>
            <w:r>
              <w:rPr>
                <w:rFonts w:hint="eastAsia" w:ascii="宋体" w:hAnsi="宋体" w:eastAsia="宋体" w:cs="宋体"/>
                <w:color w:val="auto"/>
                <w:sz w:val="21"/>
                <w:szCs w:val="21"/>
                <w:highlight w:val="none"/>
                <w:lang w:val="en-US" w:eastAsia="zh-CN"/>
              </w:rPr>
              <w:t xml:space="preserve">不得出现负偏离，否则将作无效投标处理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▲参数为重要参数，全部满足得30分，每负偏离一项扣10分；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注：★、▲参数以及采购需求中明确要求提供证明材料的，须按要求在投标文件中提供证明材料，且均须在技术响应偏差表详尽真实地提供偏差情况及证明材料页码，否则视为负偏离。</w:t>
            </w:r>
            <w:r/>
          </w:p>
        </w:tc>
      </w:tr>
      <w:tr>
        <w:trPr>
          <w:jc w:val="center"/>
          <w:trHeight w:val="507"/>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项目交货方案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918"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投标人应根据招标文件要求提供项目交货方案、进度方案、防护方案：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①有完整供货进度计划，明确生产、备货、物流、到货各节点时间；②有设备防护、运输防震防潮保护措施；③有缺货或延期备选预案；④有供货组织人员配置清单。方案内容完整、可落地得5分；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具备供货进度计划，运输防护措施，人员配置，备选预案有一项缺失或内容简略的，得3分；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仅简单描述供货流程，无时间节点、无风险预案，内容空洞的，得1分；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安装调试方案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918"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投标人应根据招标文件要求提供安装方案、调试方案、管理方案：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①明确安装实施步骤；②调试流程、校准自检流程完整；③现场安全防护、现场保护措施；④人员资质配置齐全（包含技术人员、持证情况）。方案内容完整的得5分；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具备安装调试流程，安全措施，人员配置，方案中有一项简略的，得3分；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仅简单说明会完成安装调试，无实施步骤、无人员的，得1分；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质量控制方案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918"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投标人应根据招标文件要求提供质量控制体系、质量检验标准、质量管理方案：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质量控制体系，质量责任分工及质量管理制度；②有明确的质量检验及合格判定标准；③有全过程质量控制措施；④有质量问题处理机制，明确不合格品的判定、处置及追溯方式。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具备质量控制体系，质量检验标准，全过程控制措施，质量问题处理机制，其中有一项缺失或内容简略的，得3分；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仅简单描述质量控制流程，无检验标准、无责任分工，内容空洞的，得1分；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培训及技术支持方案</w:t>
            </w:r>
            <w:r/>
          </w:p>
        </w:tc>
        <w:tc>
          <w:tcPr>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918"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投标人应根据招标文件要求提供人员培训方案、技术支持方案、采购人所需的技术和学术支持方案：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人员培训方案，明确培训对象、内容、方式、课时安排及考核方式；②有明确的技术支持方案，明确支持渠道、人员及内容；③有采购人所需的技术和学术支持方案，明确可提供的技术资料、专业指导等支持内容；④有培训及技术支持人员配置清单，明确人员资质及职责分工。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具备培训方案，技术支持方案，学术支持方案，人员配置清单，其中有一项缺失或内容简略的，得3分；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仅简单描述提供培训和技术支持，无培训内容、无人员安排，内容空洞的，得1分；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540"/>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售后服务方案</w:t>
            </w:r>
            <w:r/>
          </w:p>
        </w:tc>
        <w:tc>
          <w:tcPr>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918"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投标人应根据招标文件要求提供售后方案、售后人员安排、售后响应措施：</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售后服务方案，明确服务范围、服务内容、服务期限；②有明确的售后人员安排，明确售后服务机构、人员配置及联系方式；③有明确的售后响应措施，明确响应时间、到场时间、故障处理时限及处理方式；④有完善的售后保障措施，明确备品备件供应、定期回访、质量跟踪等内容。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具备售后方案，售后人员安排，售后响应措施，售后保障措施，其中有一项缺失或内容简略的，得3分；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仅简单描述提供售后服务，无服务内容、无响应时限，内容空洞的，得1分；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应急方案</w:t>
            </w:r>
            <w:r/>
          </w:p>
        </w:tc>
        <w:tc>
          <w:tcPr>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918"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投标人应根据招标文件要求提供应急预案、应急处理方案、应急人员安排：</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应急预案，及分级响应机制；②有针对性的应急处理方案，明确的处置流程、处置措施及补救办法；③有明确的应急人员安排，明确应急组织架构、人员分工及联络方式；④有应急资源保障，明确应急备货、运力、技术支持等资源储备。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具备应急预案，应急处理方案，应急人员安排，应急资源保障，其中有一项缺失或内容简略的，得3分；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仅简单描述应急处理措施，无应急场景、无人员安排，内容空洞的，得1分；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shd w:val="clear" w:color="auto" w:fill="auto"/>
            <w:tcW w:w="13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业绩</w:t>
            </w:r>
            <w:r/>
          </w:p>
        </w:tc>
        <w:tc>
          <w:tcPr>
            <w:shd w:val="clear" w:color="auto" w:fill="auto"/>
            <w:tcW w:w="76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10分</w:t>
            </w:r>
            <w:r/>
          </w:p>
        </w:tc>
        <w:tc>
          <w:tcPr>
            <w:shd w:val="clear" w:color="auto" w:fill="auto"/>
            <w:tcW w:w="691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2024年1月1日以来（以合同签订时间为准）所投同品牌同型号产品的销售合同及合同对应的销售发票，每一份得2分，最高得10分。（投标文件中提供包含双方签章并且显示品牌型号的合同复印件及合同对应显示型号的销售发票。提供不全的不得分，原件标后备查）</w:t>
            </w:r>
            <w:r/>
          </w:p>
        </w:tc>
      </w:tr>
    </w:tbl>
    <w:p>
      <w:pPr>
        <w:spacing w:line="360" w:lineRule="auto"/>
        <w:rPr>
          <w:rFonts w:hint="eastAsia" w:ascii="宋体" w:hAnsi="宋体"/>
          <w:b/>
          <w:bCs/>
          <w:color w:val="auto"/>
          <w:highlight w:val="none"/>
          <w:lang w:val="en-US" w:eastAsia="zh-CN"/>
        </w:rPr>
      </w:pPr>
      <w:r>
        <w:rPr>
          <w:rFonts w:hint="eastAsia" w:ascii="宋体" w:hAnsi="宋体"/>
          <w:b/>
          <w:bCs/>
          <w:color w:val="auto"/>
          <w:highlight w:val="none"/>
          <w:lang w:val="en-US" w:eastAsia="zh-CN"/>
        </w:rPr>
      </w:r>
      <w:r/>
    </w:p>
    <w:p>
      <w:pPr>
        <w:spacing w:line="360" w:lineRule="auto"/>
        <w:rPr>
          <w:rFonts w:hint="eastAsia" w:ascii="宋体" w:hAnsi="宋体"/>
          <w:b/>
          <w:bCs/>
          <w:color w:val="auto"/>
          <w:highlight w:val="none"/>
          <w:lang w:val="en-US" w:eastAsia="zh-CN"/>
        </w:rPr>
      </w:pPr>
      <w:r>
        <w:rPr>
          <w:rFonts w:hint="eastAsia" w:ascii="宋体" w:hAnsi="宋体"/>
          <w:b/>
          <w:bCs/>
          <w:color w:val="auto"/>
          <w:highlight w:val="none"/>
          <w:lang w:val="en-US" w:eastAsia="zh-CN"/>
        </w:rPr>
        <w:t xml:space="preserve">包2：差示扫描量热仪</w:t>
      </w:r>
      <w:r/>
    </w:p>
    <w:tbl>
      <w:tblPr>
        <w:tblStyle w:val="822"/>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8"/>
        <w:gridCol w:w="1575"/>
        <w:gridCol w:w="628"/>
        <w:gridCol w:w="6375"/>
      </w:tblGrid>
      <w:tr>
        <w:trPr>
          <w:jc w:val="center"/>
          <w:trHeight w:val="542"/>
        </w:trPr>
        <w:tc>
          <w:tcPr>
            <w:tcW w:w="628"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575"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W w:w="628"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W w:w="6375"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评分依据</w:t>
            </w:r>
            <w:r/>
          </w:p>
        </w:tc>
      </w:tr>
      <w:tr>
        <w:trPr>
          <w:jc w:val="center"/>
          <w:trHeight w:val="788"/>
        </w:trPr>
        <w:tc>
          <w:tcPr>
            <w:tcW w:w="62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W w:w="157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tc>
        <w:tc>
          <w:tcPr>
            <w:tcW w:w="62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val="0"/>
                <w:color w:val="auto"/>
                <w:sz w:val="21"/>
                <w:szCs w:val="21"/>
                <w:highlight w:val="none"/>
              </w:rPr>
              <w:t xml:space="preserve">价格分采用低价优先法计算，即满足</w:t>
            </w:r>
            <w:r>
              <w:rPr>
                <w:rFonts w:hint="eastAsia" w:ascii="宋体" w:hAnsi="宋体" w:eastAsia="宋体" w:cs="宋体"/>
                <w:bCs w:val="0"/>
                <w:color w:val="auto"/>
                <w:sz w:val="21"/>
                <w:szCs w:val="21"/>
                <w:highlight w:val="none"/>
                <w:lang w:val="en-US" w:eastAsia="zh-CN"/>
              </w:rPr>
              <w:t xml:space="preserve">招标</w:t>
            </w:r>
            <w:r>
              <w:rPr>
                <w:rFonts w:hint="eastAsia" w:ascii="宋体" w:hAnsi="宋体" w:eastAsia="宋体" w:cs="宋体"/>
                <w:bCs w:val="0"/>
                <w:color w:val="auto"/>
                <w:sz w:val="21"/>
                <w:szCs w:val="21"/>
                <w:highlight w:val="none"/>
              </w:rPr>
              <w:t xml:space="preserve">文件要求且</w:t>
            </w:r>
            <w:r>
              <w:rPr>
                <w:rFonts w:hint="eastAsia" w:ascii="宋体" w:hAnsi="宋体" w:eastAsia="宋体" w:cs="宋体"/>
                <w:bCs w:val="0"/>
                <w:color w:val="auto"/>
                <w:sz w:val="21"/>
                <w:szCs w:val="21"/>
                <w:highlight w:val="none"/>
                <w:lang w:val="en-US" w:eastAsia="zh-CN"/>
              </w:rPr>
              <w:t xml:space="preserve">报价</w:t>
            </w:r>
            <w:r>
              <w:rPr>
                <w:rFonts w:hint="eastAsia" w:ascii="宋体" w:hAnsi="宋体" w:eastAsia="宋体" w:cs="宋体"/>
                <w:bCs w:val="0"/>
                <w:color w:val="auto"/>
                <w:sz w:val="21"/>
                <w:szCs w:val="21"/>
                <w:highlight w:val="none"/>
              </w:rPr>
              <w:t xml:space="preserve">最低的报价为评标基准价，其价格分为满分。其他</w:t>
            </w:r>
            <w:r>
              <w:rPr>
                <w:rFonts w:hint="eastAsia" w:ascii="宋体" w:hAnsi="宋体" w:eastAsia="宋体" w:cs="宋体"/>
                <w:bCs w:val="0"/>
                <w:color w:val="auto"/>
                <w:sz w:val="21"/>
                <w:szCs w:val="21"/>
                <w:highlight w:val="none"/>
                <w:lang w:eastAsia="zh-CN"/>
              </w:rPr>
              <w:t xml:space="preserve">投标人</w:t>
            </w:r>
            <w:r>
              <w:rPr>
                <w:rFonts w:hint="eastAsia" w:ascii="宋体" w:hAnsi="宋体" w:eastAsia="宋体" w:cs="宋体"/>
                <w:bCs w:val="0"/>
                <w:color w:val="auto"/>
                <w:sz w:val="21"/>
                <w:szCs w:val="21"/>
                <w:highlight w:val="none"/>
              </w:rPr>
              <w:t xml:space="preserve">的价格分按照下列公式计算，保留小数点后2位：报价得分=（评标基准价／报价）×</w:t>
            </w:r>
            <w:r>
              <w:rPr>
                <w:rFonts w:hint="eastAsia" w:ascii="宋体" w:hAnsi="宋体" w:eastAsia="宋体" w:cs="宋体"/>
                <w:bCs w:val="0"/>
                <w:color w:val="auto"/>
                <w:sz w:val="21"/>
                <w:szCs w:val="21"/>
                <w:highlight w:val="none"/>
                <w:lang w:val="en-US" w:eastAsia="zh-CN"/>
              </w:rPr>
              <w:t xml:space="preserve">30</w:t>
            </w:r>
            <w:r>
              <w:rPr>
                <w:rFonts w:hint="eastAsia" w:ascii="宋体" w:hAnsi="宋体" w:eastAsia="宋体" w:cs="宋体"/>
                <w:bCs w:val="0"/>
                <w:color w:val="auto"/>
                <w:sz w:val="21"/>
                <w:szCs w:val="21"/>
                <w:highlight w:val="none"/>
              </w:rPr>
              <w:t xml:space="preserve">。</w:t>
            </w:r>
            <w:r/>
          </w:p>
        </w:tc>
      </w:tr>
      <w:tr>
        <w:trPr>
          <w:jc w:val="center"/>
          <w:trHeight w:val="788"/>
        </w:trPr>
        <w:tc>
          <w:tcPr>
            <w:tcW w:w="62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W w:w="157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需求响应</w:t>
            </w:r>
            <w:r/>
          </w:p>
        </w:tc>
        <w:tc>
          <w:tcPr>
            <w:tcW w:w="62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完全满足招标文件第四部分采购需求（</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）技术要求</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得满分，</w:t>
            </w:r>
            <w:r>
              <w:rPr>
                <w:rFonts w:hint="eastAsia" w:ascii="宋体" w:hAnsi="宋体" w:eastAsia="宋体" w:cs="宋体"/>
                <w:color w:val="auto"/>
                <w:sz w:val="21"/>
                <w:szCs w:val="21"/>
                <w:highlight w:val="none"/>
                <w:lang w:val="en-US" w:eastAsia="zh-CN"/>
              </w:rPr>
              <w:t xml:space="preserve">★参数</w:t>
            </w:r>
            <w:r>
              <w:rPr>
                <w:rFonts w:hint="eastAsia" w:ascii="宋体" w:hAnsi="宋体" w:eastAsia="宋体" w:cs="宋体"/>
                <w:color w:val="auto"/>
                <w:sz w:val="21"/>
                <w:szCs w:val="21"/>
                <w:highlight w:val="none"/>
              </w:rPr>
              <w:t xml:space="preserve">为核心参数，</w:t>
            </w:r>
            <w:r>
              <w:rPr>
                <w:rFonts w:hint="eastAsia" w:ascii="宋体" w:hAnsi="宋体" w:eastAsia="宋体" w:cs="宋体"/>
                <w:color w:val="auto"/>
                <w:sz w:val="21"/>
                <w:szCs w:val="21"/>
                <w:highlight w:val="none"/>
                <w:lang w:val="en-US" w:eastAsia="zh-CN"/>
              </w:rPr>
              <w:t xml:space="preserve">不得出现负偏离，否则将作无效投标处理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▲参数为重要参数，全部满足得30分，每负偏离一项扣6分；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注：★、▲参数以及采购需求中明确要求提供证明材料的，须按要求在投标文件中提供证明材料，且均须在技术响应偏差表详尽真实地提供偏差情况及证明材料页码，否则视为负偏离。</w:t>
            </w:r>
            <w:r/>
          </w:p>
        </w:tc>
      </w:tr>
      <w:tr>
        <w:trPr>
          <w:jc w:val="center"/>
          <w:trHeight w:val="507"/>
        </w:trPr>
        <w:tc>
          <w:tcPr>
            <w:tcW w:w="62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shd w:val="clear" w:color="auto" w:fill="auto"/>
            <w:tcW w:w="157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项目交货方案</w:t>
            </w:r>
            <w:r/>
          </w:p>
        </w:tc>
        <w:tc>
          <w:tcPr>
            <w:shd w:val="clear" w:color="auto" w:fill="auto"/>
            <w:tcW w:w="62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投标人应根据招标文件要求提供项目交货方案、进度方案、防护方案：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①有完整供货进度计划，明确生产、备货、物流、到货各节点时间；②有设备防护、运输防震防潮保护措施；③有缺货或延期备选预案；④有供货组织人员配置清单。方案内容完整、可落地得5分；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具备供货进度计划，运输防护措施，人员配置，备选预案有一项缺失或内容简略的，得3分；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仅简单描述供货流程，无时间节点、无风险预案，内容空洞的，得1分；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shd w:val="clear" w:color="auto" w:fill="auto"/>
            <w:tcW w:w="62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shd w:val="clear" w:color="auto" w:fill="auto"/>
            <w:tcW w:w="157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安装调试方案</w:t>
            </w:r>
            <w:r/>
          </w:p>
        </w:tc>
        <w:tc>
          <w:tcPr>
            <w:shd w:val="clear" w:color="auto" w:fill="auto"/>
            <w:tcW w:w="62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投标人应根据招标文件要求提供安装方案、调试方案、管理方案：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①明确安装实施步骤；②调试流程、校准自检流程完整；③现场安全防护、现场保护措施；④人员资质配置齐全（包含技术人员、持证情况）。方案内容完整的得5分；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具备安装调试流程，安全措施，人员配置，方案中有一项简略的，得3分；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仅简单说明会完成安装调试，无实施步骤、无人员的，得1分；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shd w:val="clear" w:color="auto" w:fill="auto"/>
            <w:tcW w:w="62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shd w:val="clear" w:color="auto" w:fill="auto"/>
            <w:tcW w:w="157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质量控制方案</w:t>
            </w:r>
            <w:r/>
          </w:p>
        </w:tc>
        <w:tc>
          <w:tcPr>
            <w:shd w:val="clear" w:color="auto" w:fill="auto"/>
            <w:tcW w:w="62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投标人应根据招标文件要求提供质量控制体系、质量检验标准、质量管理方案：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质量控制体系，质量责任分工及质量管理制度；②有明确的质量检验及合格判定标准；③有全过程质量控制措施；④有质量问题处理机制，明确不合格品的判定、处置及追溯方式。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具备质量控制体系，质量检验标准，全过程控制措施，质量问题处理机制，其中有一项缺失或内容简略的，得3分；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仅简单描述质量控制流程，无检验标准、无责任分工，内容空洞的，得1分；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62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shd w:val="clear" w:color="auto" w:fill="auto"/>
            <w:tcW w:w="157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培训及技术支持方案</w:t>
            </w:r>
            <w:r/>
          </w:p>
        </w:tc>
        <w:tc>
          <w:tcPr>
            <w:tcW w:w="62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投标人应根据招标文件要求提供人员培训方案、技术支持方案、采购人所需的技术和学术支持方案：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人员培训方案，明确培训对象、内容、方式、课时安排及考核方式；②有明确的技术支持方案，明确支持渠道、人员及内容；③有采购人所需的技术和学术支持方案，明确可提供的技术资料、专业指导等支持内容；④有培训及技术支持人员配置清单，明确人员资质及职责分工。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具备培训方案，技术支持方案，学术支持方案，人员配置清单，其中有一项缺失或内容简略的，得3分；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仅简单描述提供培训和技术支持，无培训内容、无人员安排，内容空洞的，得1分；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540"/>
        </w:trPr>
        <w:tc>
          <w:tcPr>
            <w:tcW w:w="62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shd w:val="clear" w:color="auto" w:fill="auto"/>
            <w:tcW w:w="157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售后服务方案</w:t>
            </w:r>
            <w:r/>
          </w:p>
        </w:tc>
        <w:tc>
          <w:tcPr>
            <w:tcW w:w="62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投标人应根据招标文件要求提供售后方案、售后人员安排、售后响应措施：</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售后服务方案，明确服务范围、服务内容、服务期限；②有明确的售后人员安排，明确售后服务机构、人员配置及联系方式；③有明确的售后响应措施，明确响应时间、到场时间、故障处理时限及处理方式；④有完善的售后保障措施，明确备品备件供应、定期回访、质量跟踪等内容。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具备售后方案，售后人员安排，售后响应措施，售后保障措施，其中有一项缺失或内容简略的，得3分；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仅简单描述提供售后服务，无服务内容、无响应时限，内容空洞的，得1分；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62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shd w:val="clear" w:color="auto" w:fill="auto"/>
            <w:tcW w:w="157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应急方案</w:t>
            </w:r>
            <w:r/>
          </w:p>
        </w:tc>
        <w:tc>
          <w:tcPr>
            <w:tcW w:w="62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投标人应根据招标文件要求提供应急预案、应急处理方案、应急人员安排：</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应急预案，及分级响应机制；②有针对性的应急处理方案，明确的处置流程、处置措施及补救办法；③有明确的应急人员安排，明确应急组织架构、人员分工及联络方式；④有应急资源保障，明确应急备货、运力、技术支持等资源储备。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具备应急预案，应急处理方案，应急人员安排，应急资源保障，其中有一项缺失或内容简略的，得3分；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仅简单描述应急处理措施，无应急场景、无人员安排，内容空洞的，得1分；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62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shd w:val="clear" w:color="auto" w:fill="auto"/>
            <w:tcW w:w="157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业绩</w:t>
            </w:r>
            <w:r/>
          </w:p>
        </w:tc>
        <w:tc>
          <w:tcPr>
            <w:shd w:val="clear" w:color="auto" w:fill="auto"/>
            <w:tcW w:w="62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10分</w:t>
            </w:r>
            <w:r/>
          </w:p>
        </w:tc>
        <w:tc>
          <w:tcPr>
            <w:shd w:val="clear" w:color="auto" w:fill="auto"/>
            <w:tcW w:w="6375"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2024年1月1日以来（以合同签订时间为准）所投同品牌同型号产品的销售合同及合同对应的销售发票，每一份得2分，最高得10分。（投标文件中提供包含双方签章并且显示品牌型号的合同复印件及合同对应显示型号的销售发票。提供不全的不得分，原件标后备查）</w:t>
            </w:r>
            <w:r/>
          </w:p>
        </w:tc>
      </w:tr>
    </w:tbl>
    <w:p>
      <w:pPr>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p>
    <w:p>
      <w:pPr>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包3：红外碳硫分析仪</w:t>
      </w:r>
      <w:r/>
    </w:p>
    <w:tbl>
      <w:tblPr>
        <w:tblStyle w:val="822"/>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320"/>
        <w:gridCol w:w="761"/>
        <w:gridCol w:w="6375"/>
      </w:tblGrid>
      <w:tr>
        <w:trPr>
          <w:jc w:val="center"/>
          <w:trHeight w:val="542"/>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W w:w="6375"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评分依据</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tc>
        <w:tc>
          <w:tcPr>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val="0"/>
                <w:color w:val="auto"/>
                <w:sz w:val="21"/>
                <w:szCs w:val="21"/>
                <w:highlight w:val="none"/>
              </w:rPr>
              <w:t xml:space="preserve">价格分采用低价优先法计算，即满足</w:t>
            </w:r>
            <w:r>
              <w:rPr>
                <w:rFonts w:hint="eastAsia" w:ascii="宋体" w:hAnsi="宋体" w:eastAsia="宋体" w:cs="宋体"/>
                <w:bCs w:val="0"/>
                <w:color w:val="auto"/>
                <w:sz w:val="21"/>
                <w:szCs w:val="21"/>
                <w:highlight w:val="none"/>
                <w:lang w:val="en-US" w:eastAsia="zh-CN"/>
              </w:rPr>
              <w:t xml:space="preserve">招标</w:t>
            </w:r>
            <w:r>
              <w:rPr>
                <w:rFonts w:hint="eastAsia" w:ascii="宋体" w:hAnsi="宋体" w:eastAsia="宋体" w:cs="宋体"/>
                <w:bCs w:val="0"/>
                <w:color w:val="auto"/>
                <w:sz w:val="21"/>
                <w:szCs w:val="21"/>
                <w:highlight w:val="none"/>
              </w:rPr>
              <w:t xml:space="preserve">文件要求且</w:t>
            </w:r>
            <w:r>
              <w:rPr>
                <w:rFonts w:hint="eastAsia" w:ascii="宋体" w:hAnsi="宋体" w:eastAsia="宋体" w:cs="宋体"/>
                <w:bCs w:val="0"/>
                <w:color w:val="auto"/>
                <w:sz w:val="21"/>
                <w:szCs w:val="21"/>
                <w:highlight w:val="none"/>
                <w:lang w:val="en-US" w:eastAsia="zh-CN"/>
              </w:rPr>
              <w:t xml:space="preserve">报价</w:t>
            </w:r>
            <w:r>
              <w:rPr>
                <w:rFonts w:hint="eastAsia" w:ascii="宋体" w:hAnsi="宋体" w:eastAsia="宋体" w:cs="宋体"/>
                <w:bCs w:val="0"/>
                <w:color w:val="auto"/>
                <w:sz w:val="21"/>
                <w:szCs w:val="21"/>
                <w:highlight w:val="none"/>
              </w:rPr>
              <w:t xml:space="preserve">最低的报价为评标基准价，其价格分为满分。其他</w:t>
            </w:r>
            <w:r>
              <w:rPr>
                <w:rFonts w:hint="eastAsia" w:ascii="宋体" w:hAnsi="宋体" w:eastAsia="宋体" w:cs="宋体"/>
                <w:bCs w:val="0"/>
                <w:color w:val="auto"/>
                <w:sz w:val="21"/>
                <w:szCs w:val="21"/>
                <w:highlight w:val="none"/>
                <w:lang w:eastAsia="zh-CN"/>
              </w:rPr>
              <w:t xml:space="preserve">投标人</w:t>
            </w:r>
            <w:r>
              <w:rPr>
                <w:rFonts w:hint="eastAsia" w:ascii="宋体" w:hAnsi="宋体" w:eastAsia="宋体" w:cs="宋体"/>
                <w:bCs w:val="0"/>
                <w:color w:val="auto"/>
                <w:sz w:val="21"/>
                <w:szCs w:val="21"/>
                <w:highlight w:val="none"/>
              </w:rPr>
              <w:t xml:space="preserve">的价格分按照下列公式计算，保留小数点后2位：报价得分=（评标基准价／报价）×</w:t>
            </w:r>
            <w:r>
              <w:rPr>
                <w:rFonts w:hint="eastAsia" w:ascii="宋体" w:hAnsi="宋体" w:eastAsia="宋体" w:cs="宋体"/>
                <w:bCs w:val="0"/>
                <w:color w:val="auto"/>
                <w:sz w:val="21"/>
                <w:szCs w:val="21"/>
                <w:highlight w:val="none"/>
                <w:lang w:val="en-US" w:eastAsia="zh-CN"/>
              </w:rPr>
              <w:t xml:space="preserve">30</w:t>
            </w:r>
            <w:r>
              <w:rPr>
                <w:rFonts w:hint="eastAsia" w:ascii="宋体" w:hAnsi="宋体" w:eastAsia="宋体" w:cs="宋体"/>
                <w:bCs w:val="0"/>
                <w:color w:val="auto"/>
                <w:sz w:val="21"/>
                <w:szCs w:val="21"/>
                <w:highlight w:val="none"/>
              </w:rPr>
              <w:t xml:space="preserve">。</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需求响应</w:t>
            </w:r>
            <w:r/>
          </w:p>
        </w:tc>
        <w:tc>
          <w:tcPr>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完全满足招标文件第四部分采购需求（</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）技术要求</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得满分，</w:t>
            </w:r>
            <w:r>
              <w:rPr>
                <w:rFonts w:hint="eastAsia" w:ascii="宋体" w:hAnsi="宋体" w:eastAsia="宋体" w:cs="宋体"/>
                <w:color w:val="auto"/>
                <w:sz w:val="21"/>
                <w:szCs w:val="21"/>
                <w:highlight w:val="none"/>
                <w:lang w:val="en-US" w:eastAsia="zh-CN"/>
              </w:rPr>
              <w:t xml:space="preserve">★参数</w:t>
            </w:r>
            <w:r>
              <w:rPr>
                <w:rFonts w:hint="eastAsia" w:ascii="宋体" w:hAnsi="宋体" w:eastAsia="宋体" w:cs="宋体"/>
                <w:color w:val="auto"/>
                <w:sz w:val="21"/>
                <w:szCs w:val="21"/>
                <w:highlight w:val="none"/>
              </w:rPr>
              <w:t xml:space="preserve">为核心参数，</w:t>
            </w:r>
            <w:r>
              <w:rPr>
                <w:rFonts w:hint="eastAsia" w:ascii="宋体" w:hAnsi="宋体" w:eastAsia="宋体" w:cs="宋体"/>
                <w:color w:val="auto"/>
                <w:sz w:val="21"/>
                <w:szCs w:val="21"/>
                <w:highlight w:val="none"/>
                <w:lang w:val="en-US" w:eastAsia="zh-CN"/>
              </w:rPr>
              <w:t xml:space="preserve">不得出现负偏离，否则将作无效投标处理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▲参数为重要参数，全部满足得24分，每负偏离一项扣6分；其余参数为一般参数，全部满足得6分，每负偏离一项扣1分</w:t>
            </w:r>
            <w:r>
              <w:rPr>
                <w:rFonts w:hint="eastAsia" w:ascii="宋体" w:hAnsi="宋体" w:eastAsia="宋体" w:cs="宋体"/>
                <w:color w:val="auto"/>
                <w:sz w:val="21"/>
                <w:szCs w:val="21"/>
                <w:highlight w:val="none"/>
              </w:rPr>
              <w:t xml:space="preserve">。</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注：★、▲参数以及采购需求中明确要求提供证明材料的，须按要求在投标文件中提供证明材料，且均须在技术响应偏差表详尽真实地提供偏差情况及证明材料页码，否则视为负偏离。</w:t>
            </w:r>
            <w:r/>
          </w:p>
        </w:tc>
      </w:tr>
      <w:tr>
        <w:trPr>
          <w:jc w:val="center"/>
          <w:trHeight w:val="507"/>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项目交货方案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投标人应根据招标文件要求提供项目交货方案、进度方案、防护方案：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①有完整供货进度计划，明确生产、备货、物流、到货各节点时间；②有设备防护、运输防震防潮保护措施；③有缺货或延期备选预案；④有供货组织人员配置清单。方案内容完整、可落地得5分；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具备供货进度计划，运输防护措施，人员配置，备选预案有一项缺失或内容简略的，得3分；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仅简单描述供货流程，无时间节点、无风险预案，内容空洞的，得1分；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安装调试方案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投标人应根据招标文件要求提供安装方案、调试方案、管理方案：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①明确安装实施步骤；②调试流程、校准自检流程完整；③现场安全防护、现场保护措施；④人员资质配置齐全（包含技术人员、持证情况）。方案内容完整的得5分；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具备安装调试流程，安全措施，人员配置，方案中有一项简略的，得3分；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仅简单说明会完成安装调试，无实施步骤、无人员的，得1分；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质量控制方案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投标人应根据招标文件要求提供质量控制体系、质量检验标准、质量管理方案：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质量控制体系，质量责任分工及质量管理制度；②有明确的质量检验及合格判定标准；③有全过程质量控制措施；④有质量问题处理机制，明确不合格品的判定、处置及追溯方式。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具备质量控制体系，质量检验标准，全过程控制措施，质量问题处理机制，其中有一项缺失或内容简略的，得3分；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仅简单描述质量控制流程，无检验标准、无责任分工，内容空洞的，得1分；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培训及技术支持方案</w:t>
            </w:r>
            <w:r/>
          </w:p>
        </w:tc>
        <w:tc>
          <w:tcPr>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投标人应根据招标文件要求提供人员培训方案、技术支持方案、采购人所需的技术和学术支持方案：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人员培训方案，明确培训对象、内容、方式、课时安排及考核方式；②有明确的技术支持方案，明确支持渠道、人员及内容；③有采购人所需的技术和学术支持方案，明确可提供的技术资料、专业指导等支持内容；④有培训及技术支持人员配置清单，明确人员资质及职责分工。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具备培训方案，技术支持方案，学术支持方案，人员配置清单，其中有一项缺失或内容简略的，得3分；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仅简单描述提供培训和技术支持，无培训内容、无人员安排，内容空洞的，得1分；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540"/>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售后服务方案</w:t>
            </w:r>
            <w:r/>
          </w:p>
        </w:tc>
        <w:tc>
          <w:tcPr>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投标人应根据招标文件要求提供售后方案、售后人员安排、售后响应措施：</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售后服务方案，明确服务范围、服务内容、服务期限；②有明确的售后人员安排，明确售后服务机构、人员配置及联系方式；③有明确的售后响应措施，明确响应时间、到场时间、故障处理时限及处理方式；④有完善的售后保障措施，明确备品备件供应、定期回访、质量跟踪等内容。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具备售后方案，售后人员安排，售后响应措施，售后保障措施，其中有一项缺失或内容简略的，得3分；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仅简单描述提供售后服务，无服务内容、无响应时限，内容空洞的，得1分；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应急方案</w:t>
            </w:r>
            <w:r/>
          </w:p>
        </w:tc>
        <w:tc>
          <w:tcPr>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投标人应根据招标文件要求提供应急预案、应急处理方案、应急人员安排：</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应急预案，及分级响应机制；②有针对性的应急处理方案，明确的处置流程、处置措施及补救办法；③有明确的应急人员安排，明确应急组织架构、人员分工及联络方式；④有应急资源保障，明确应急备货、运力、技术支持等资源储备。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具备应急预案，应急处理方案，应急人员安排，应急资源保障，其中有一项缺失或内容简略的，得3分；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仅简单描述应急处理措施，无应急场景、无人员安排，内容空洞的，得1分；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shd w:val="clear" w:color="auto" w:fill="auto"/>
            <w:tcW w:w="13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业绩</w:t>
            </w:r>
            <w:r/>
          </w:p>
        </w:tc>
        <w:tc>
          <w:tcPr>
            <w:shd w:val="clear" w:color="auto" w:fill="auto"/>
            <w:tcW w:w="76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10分</w:t>
            </w:r>
            <w:r/>
          </w:p>
        </w:tc>
        <w:tc>
          <w:tcPr>
            <w:shd w:val="clear" w:color="auto" w:fill="auto"/>
            <w:tcW w:w="6375"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2024年1月1日以来（以合同签订时间为准）所投同品牌同型号产品的销售合同及合同对应的销售发票，每一份得2分，最高得10分。（投标文件中提供包含双方签章并且显示品牌型号的合同复印件及合同对应显示型号的销售发票。提供不全的不得分，原件标后备查）</w:t>
            </w:r>
            <w:r/>
          </w:p>
        </w:tc>
      </w:tr>
    </w:tbl>
    <w:p>
      <w:pPr>
        <w:spacing w:line="360" w:lineRule="auto"/>
        <w:rPr>
          <w:rFonts w:hint="eastAsia" w:ascii="宋体" w:hAnsi="宋体"/>
          <w:b/>
          <w:bCs/>
          <w:color w:val="auto"/>
          <w:highlight w:val="none"/>
          <w:lang w:val="en-US" w:eastAsia="zh-CN"/>
        </w:rPr>
      </w:pPr>
      <w:r>
        <w:rPr>
          <w:rFonts w:hint="eastAsia" w:ascii="宋体" w:hAnsi="宋体"/>
          <w:b/>
          <w:bCs/>
          <w:color w:val="auto"/>
          <w:highlight w:val="none"/>
          <w:lang w:val="en-US" w:eastAsia="zh-CN"/>
        </w:rPr>
      </w:r>
      <w:r/>
    </w:p>
    <w:p>
      <w:pPr>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包4：阀门静压寿命试验台</w:t>
      </w:r>
      <w:r/>
    </w:p>
    <w:tbl>
      <w:tblPr>
        <w:tblStyle w:val="822"/>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1590"/>
        <w:gridCol w:w="673"/>
        <w:gridCol w:w="6375"/>
      </w:tblGrid>
      <w:tr>
        <w:trPr>
          <w:jc w:val="center"/>
          <w:trHeight w:val="542"/>
        </w:trPr>
        <w:tc>
          <w:tcPr>
            <w:tcW w:w="568"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590"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W w:w="6375"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评分依据</w:t>
            </w:r>
            <w:r/>
          </w:p>
        </w:tc>
      </w:tr>
      <w:tr>
        <w:trPr>
          <w:jc w:val="center"/>
          <w:trHeight w:val="788"/>
        </w:trPr>
        <w:tc>
          <w:tcPr>
            <w:tcW w:w="56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W w:w="15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val="0"/>
                <w:color w:val="auto"/>
                <w:sz w:val="21"/>
                <w:szCs w:val="21"/>
                <w:highlight w:val="none"/>
              </w:rPr>
              <w:t xml:space="preserve">价格分采用低价优先法计算，即满足</w:t>
            </w:r>
            <w:r>
              <w:rPr>
                <w:rFonts w:hint="eastAsia" w:ascii="宋体" w:hAnsi="宋体" w:eastAsia="宋体" w:cs="宋体"/>
                <w:bCs w:val="0"/>
                <w:color w:val="auto"/>
                <w:sz w:val="21"/>
                <w:szCs w:val="21"/>
                <w:highlight w:val="none"/>
                <w:lang w:val="en-US" w:eastAsia="zh-CN"/>
              </w:rPr>
              <w:t xml:space="preserve">招标</w:t>
            </w:r>
            <w:r>
              <w:rPr>
                <w:rFonts w:hint="eastAsia" w:ascii="宋体" w:hAnsi="宋体" w:eastAsia="宋体" w:cs="宋体"/>
                <w:bCs w:val="0"/>
                <w:color w:val="auto"/>
                <w:sz w:val="21"/>
                <w:szCs w:val="21"/>
                <w:highlight w:val="none"/>
              </w:rPr>
              <w:t xml:space="preserve">文件要求且</w:t>
            </w:r>
            <w:r>
              <w:rPr>
                <w:rFonts w:hint="eastAsia" w:ascii="宋体" w:hAnsi="宋体" w:eastAsia="宋体" w:cs="宋体"/>
                <w:bCs w:val="0"/>
                <w:color w:val="auto"/>
                <w:sz w:val="21"/>
                <w:szCs w:val="21"/>
                <w:highlight w:val="none"/>
                <w:lang w:val="en-US" w:eastAsia="zh-CN"/>
              </w:rPr>
              <w:t xml:space="preserve">报价</w:t>
            </w:r>
            <w:r>
              <w:rPr>
                <w:rFonts w:hint="eastAsia" w:ascii="宋体" w:hAnsi="宋体" w:eastAsia="宋体" w:cs="宋体"/>
                <w:bCs w:val="0"/>
                <w:color w:val="auto"/>
                <w:sz w:val="21"/>
                <w:szCs w:val="21"/>
                <w:highlight w:val="none"/>
              </w:rPr>
              <w:t xml:space="preserve">最低的报价为评标基准价，其价格分为满分。其他</w:t>
            </w:r>
            <w:r>
              <w:rPr>
                <w:rFonts w:hint="eastAsia" w:ascii="宋体" w:hAnsi="宋体" w:eastAsia="宋体" w:cs="宋体"/>
                <w:bCs w:val="0"/>
                <w:color w:val="auto"/>
                <w:sz w:val="21"/>
                <w:szCs w:val="21"/>
                <w:highlight w:val="none"/>
                <w:lang w:eastAsia="zh-CN"/>
              </w:rPr>
              <w:t xml:space="preserve">投标人</w:t>
            </w:r>
            <w:r>
              <w:rPr>
                <w:rFonts w:hint="eastAsia" w:ascii="宋体" w:hAnsi="宋体" w:eastAsia="宋体" w:cs="宋体"/>
                <w:bCs w:val="0"/>
                <w:color w:val="auto"/>
                <w:sz w:val="21"/>
                <w:szCs w:val="21"/>
                <w:highlight w:val="none"/>
              </w:rPr>
              <w:t xml:space="preserve">的价格分按照下列公式计算，保留小数点后2位：报价得分=（评标基准价／报价）×</w:t>
            </w:r>
            <w:r>
              <w:rPr>
                <w:rFonts w:hint="eastAsia" w:ascii="宋体" w:hAnsi="宋体" w:eastAsia="宋体" w:cs="宋体"/>
                <w:bCs w:val="0"/>
                <w:color w:val="auto"/>
                <w:sz w:val="21"/>
                <w:szCs w:val="21"/>
                <w:highlight w:val="none"/>
                <w:lang w:val="en-US" w:eastAsia="zh-CN"/>
              </w:rPr>
              <w:t xml:space="preserve">30</w:t>
            </w:r>
            <w:r>
              <w:rPr>
                <w:rFonts w:hint="eastAsia" w:ascii="宋体" w:hAnsi="宋体" w:eastAsia="宋体" w:cs="宋体"/>
                <w:bCs w:val="0"/>
                <w:color w:val="auto"/>
                <w:sz w:val="21"/>
                <w:szCs w:val="21"/>
                <w:highlight w:val="none"/>
              </w:rPr>
              <w:t xml:space="preserve">。</w:t>
            </w:r>
            <w:r/>
          </w:p>
        </w:tc>
      </w:tr>
      <w:tr>
        <w:trPr>
          <w:jc w:val="center"/>
          <w:trHeight w:val="788"/>
        </w:trPr>
        <w:tc>
          <w:tcPr>
            <w:tcW w:w="56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W w:w="15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需求响应</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完全满足招标文件第四部分采购需求（</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）技术要求</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得满分，</w:t>
            </w:r>
            <w:r>
              <w:rPr>
                <w:rFonts w:hint="eastAsia" w:ascii="宋体" w:hAnsi="宋体" w:eastAsia="宋体" w:cs="宋体"/>
                <w:color w:val="auto"/>
                <w:sz w:val="21"/>
                <w:szCs w:val="21"/>
                <w:highlight w:val="none"/>
                <w:lang w:val="en-US" w:eastAsia="zh-CN"/>
              </w:rPr>
              <w:t xml:space="preserve">★参数</w:t>
            </w:r>
            <w:r>
              <w:rPr>
                <w:rFonts w:hint="eastAsia" w:ascii="宋体" w:hAnsi="宋体" w:eastAsia="宋体" w:cs="宋体"/>
                <w:color w:val="auto"/>
                <w:sz w:val="21"/>
                <w:szCs w:val="21"/>
                <w:highlight w:val="none"/>
              </w:rPr>
              <w:t xml:space="preserve">为核心参数，</w:t>
            </w:r>
            <w:r>
              <w:rPr>
                <w:rFonts w:hint="eastAsia" w:ascii="宋体" w:hAnsi="宋体" w:eastAsia="宋体" w:cs="宋体"/>
                <w:color w:val="auto"/>
                <w:sz w:val="21"/>
                <w:szCs w:val="21"/>
                <w:highlight w:val="none"/>
                <w:lang w:val="en-US" w:eastAsia="zh-CN"/>
              </w:rPr>
              <w:t xml:space="preserve">不得出现负偏离，否则将作无效投标处理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▲参数为重要参数，全部满足得16分，每负偏离一项扣4分；其余参数为一般参数，全部满足得14分，每负偏离一项扣2分</w:t>
            </w:r>
            <w:r>
              <w:rPr>
                <w:rFonts w:hint="eastAsia" w:ascii="宋体" w:hAnsi="宋体" w:eastAsia="宋体" w:cs="宋体"/>
                <w:color w:val="auto"/>
                <w:sz w:val="21"/>
                <w:szCs w:val="21"/>
                <w:highlight w:val="none"/>
              </w:rPr>
              <w:t xml:space="preserve">。</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注：★、▲参数以及采购需求中明确要求提供证明材料的，须按要求在投标文件中提供证明材料，且均须在技术响应偏差表详尽真实地提供偏差情况及证明材料页码，否则视为负偏离。</w:t>
            </w:r>
            <w:r/>
          </w:p>
        </w:tc>
      </w:tr>
      <w:tr>
        <w:trPr>
          <w:jc w:val="center"/>
          <w:trHeight w:val="507"/>
        </w:trPr>
        <w:tc>
          <w:tcPr>
            <w:tcW w:w="56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shd w:val="clear" w:color="auto" w:fill="auto"/>
            <w:tcW w:w="15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项目交货方案</w:t>
            </w:r>
            <w:r/>
          </w:p>
        </w:tc>
        <w:tc>
          <w:tcPr>
            <w:shd w:val="clear" w:color="auto" w:fill="auto"/>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投标人应根据招标文件要求提供项目交货方案、进度方案、防护方案：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①有完整供货进度计划，明确生产、备货、物流、到货各节点时间；②有设备防护、运输防震防潮保护措施；③有缺货或延期备选预案；④有供货组织人员配置清单。方案内容完整、可落地得5分；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具备供货进度计划，运输防护措施，人员配置，备选预案有一项缺失或内容简略的，得3分；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仅简单描述供货流程，无时间节点、无风险预案，内容空洞的，得1分；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shd w:val="clear" w:color="auto" w:fill="auto"/>
            <w:tcW w:w="56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shd w:val="clear" w:color="auto" w:fill="auto"/>
            <w:tcW w:w="15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安装调试方案</w:t>
            </w:r>
            <w:r/>
          </w:p>
        </w:tc>
        <w:tc>
          <w:tcPr>
            <w:shd w:val="clear" w:color="auto" w:fill="auto"/>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投标人应根据招标文件要求提供安装方案、调试方案、管理方案：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①明确安装实施步骤；②调试流程、校准自检流程完整；③现场安全防护、现场保护措施；④人员资质配置齐全（包含技术人员、持证情况）。方案内容完整的得5分；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具备安装调试流程，安全措施，人员配置，方案中有一项简略的，得3分；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仅简单说明会完成安装调试，无实施步骤、无人员的，得1分；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shd w:val="clear" w:color="auto" w:fill="auto"/>
            <w:tcW w:w="56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shd w:val="clear" w:color="auto" w:fill="auto"/>
            <w:tcW w:w="15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质量控制方案</w:t>
            </w:r>
            <w:r/>
          </w:p>
        </w:tc>
        <w:tc>
          <w:tcPr>
            <w:shd w:val="clear" w:color="auto" w:fill="auto"/>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投标人应根据招标文件要求提供质量控制体系、质量检验标准、质量管理方案：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质量控制体系，质量责任分工及质量管理制度；②有明确的质量检验及合格判定标准；③有全过程质量控制措施；④有质量问题处理机制，明确不合格品的判定、处置及追溯方式。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具备质量控制体系，质量检验标准，全过程控制措施，质量问题处理机制，其中有一项缺失或内容简略的，得3分；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仅简单描述质量控制流程，无检验标准、无责任分工，内容空洞的，得1分；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56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shd w:val="clear" w:color="auto" w:fill="auto"/>
            <w:tcW w:w="15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培训及技术支持方案</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投标人应根据招标文件要求提供人员培训方案、技术支持方案、采购人所需的技术和学术支持方案：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人员培训方案，明确培训对象、内容、方式、课时安排及考核方式；②有明确的技术支持方案，明确支持渠道、人员及内容；③有采购人所需的技术和学术支持方案，明确可提供的技术资料、专业指导等支持内容；④有培训及技术支持人员配置清单，明确人员资质及职责分工。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具备培训方案，技术支持方案，学术支持方案，人员配置清单，其中有一项缺失或内容简略的，得3分；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仅简单描述提供培训和技术支持，无培训内容、无人员安排，内容空洞的，得1分；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540"/>
        </w:trPr>
        <w:tc>
          <w:tcPr>
            <w:tcW w:w="56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shd w:val="clear" w:color="auto" w:fill="auto"/>
            <w:tcW w:w="15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售后服务方案</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投标人应根据招标文件要求提供售后方案、售后人员安排、售后响应措施：</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售后服务方案，明确服务范围、服务内容、服务期限；②有明确的售后人员安排，明确售后服务机构、人员配置及联系方式；③有明确的售后响应措施，明确响应时间、到场时间、故障处理时限及处理方式；④有完善的售后保障措施，明确备品备件供应、定期回访、质量跟踪等内容。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具备售后方案，售后人员安排，售后响应措施，售后保障措施，其中有一项缺失或内容简略的，得3分；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仅简单描述提供售后服务，无服务内容、无响应时限，内容空洞的，得1分；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56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shd w:val="clear" w:color="auto" w:fill="auto"/>
            <w:tcW w:w="15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应急方案</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投标人应根据招标文件要求提供应急预案、应急处理方案、应急人员安排：</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应急预案，及分级响应机制；②有针对性的应急处理方案，明确的处置流程、处置措施及补救办法；③有明确的应急人员安排，明确应急组织架构、人员分工及联络方式；④有应急资源保障，明确应急备货、运力、技术支持等资源储备。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具备应急预案，应急处理方案，应急人员安排，应急资源保障，其中有一项缺失或内容简略的，得3分；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仅简单描述应急处理措施，无应急场景、无人员安排，内容空洞的，得1分；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56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shd w:val="clear" w:color="auto" w:fill="auto"/>
            <w:tcW w:w="159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业绩</w:t>
            </w:r>
            <w:r/>
          </w:p>
        </w:tc>
        <w:tc>
          <w:tcPr>
            <w:shd w:val="clear" w:color="auto" w:fill="auto"/>
            <w:tcW w:w="67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10分</w:t>
            </w:r>
            <w:r/>
          </w:p>
        </w:tc>
        <w:tc>
          <w:tcPr>
            <w:shd w:val="clear" w:color="auto" w:fill="auto"/>
            <w:tcW w:w="6375"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2024年1月1日以来（以合同签订时间为准）所投同品牌同型号产品的销售合同及合同对应的销售发票，每一份得2分，最高得10分。（投标文件中提供包含双方签章并且显示品牌型号的合同复印件及合同对应显示型号的销售发票。提供不全的不得分，原件标后备查）</w:t>
            </w:r>
            <w:r/>
          </w:p>
        </w:tc>
      </w:tr>
    </w:tbl>
    <w:p>
      <w:pPr>
        <w:spacing w:line="360" w:lineRule="auto"/>
        <w:rPr>
          <w:rFonts w:hint="eastAsia" w:ascii="宋体" w:hAnsi="宋体"/>
          <w:b/>
          <w:bCs/>
          <w:color w:val="auto"/>
          <w:highlight w:val="none"/>
          <w:lang w:val="en-US" w:eastAsia="zh-CN"/>
        </w:rPr>
      </w:pPr>
      <w:r>
        <w:rPr>
          <w:rFonts w:hint="eastAsia" w:ascii="宋体" w:hAnsi="宋体"/>
          <w:b/>
          <w:bCs/>
          <w:color w:val="auto"/>
          <w:highlight w:val="none"/>
          <w:lang w:val="en-US" w:eastAsia="zh-CN"/>
        </w:rPr>
      </w:r>
      <w:r/>
    </w:p>
    <w:p>
      <w:pPr>
        <w:spacing w:line="360" w:lineRule="auto"/>
        <w:rPr>
          <w:rFonts w:hint="eastAsia" w:ascii="宋体" w:hAnsi="宋体"/>
          <w:b/>
          <w:bCs/>
          <w:color w:val="auto"/>
          <w:highlight w:val="none"/>
          <w:lang w:val="en-US" w:eastAsia="zh-CN"/>
        </w:rPr>
      </w:pPr>
      <w:r>
        <w:rPr>
          <w:rFonts w:hint="eastAsia" w:ascii="宋体" w:hAnsi="宋体"/>
          <w:b/>
          <w:bCs/>
          <w:color w:val="auto"/>
          <w:highlight w:val="none"/>
          <w:lang w:val="en-US" w:eastAsia="zh-CN"/>
        </w:rPr>
        <w:t xml:space="preserve">包5：盐雾试验箱、交变湿热试验箱</w:t>
      </w:r>
      <w:r/>
    </w:p>
    <w:tbl>
      <w:tblPr>
        <w:tblStyle w:val="822"/>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500"/>
        <w:gridCol w:w="673"/>
        <w:gridCol w:w="6375"/>
      </w:tblGrid>
      <w:tr>
        <w:trPr>
          <w:jc w:val="center"/>
          <w:trHeight w:val="542"/>
        </w:trPr>
        <w:tc>
          <w:tcPr>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W w:w="6375"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评分依据</w:t>
            </w:r>
            <w:r/>
          </w:p>
        </w:tc>
      </w:tr>
      <w:tr>
        <w:trPr>
          <w:jc w:val="center"/>
          <w:trHeight w:val="788"/>
        </w:trPr>
        <w:tc>
          <w:tcPr>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val="0"/>
                <w:color w:val="auto"/>
                <w:sz w:val="21"/>
                <w:szCs w:val="21"/>
                <w:highlight w:val="none"/>
              </w:rPr>
              <w:t xml:space="preserve">价格分采用低价优先法计算，即满足</w:t>
            </w:r>
            <w:r>
              <w:rPr>
                <w:rFonts w:hint="eastAsia" w:ascii="宋体" w:hAnsi="宋体" w:eastAsia="宋体" w:cs="宋体"/>
                <w:bCs w:val="0"/>
                <w:color w:val="auto"/>
                <w:sz w:val="21"/>
                <w:szCs w:val="21"/>
                <w:highlight w:val="none"/>
                <w:lang w:val="en-US" w:eastAsia="zh-CN"/>
              </w:rPr>
              <w:t xml:space="preserve">招标</w:t>
            </w:r>
            <w:r>
              <w:rPr>
                <w:rFonts w:hint="eastAsia" w:ascii="宋体" w:hAnsi="宋体" w:eastAsia="宋体" w:cs="宋体"/>
                <w:bCs w:val="0"/>
                <w:color w:val="auto"/>
                <w:sz w:val="21"/>
                <w:szCs w:val="21"/>
                <w:highlight w:val="none"/>
              </w:rPr>
              <w:t xml:space="preserve">文件要求且</w:t>
            </w:r>
            <w:r>
              <w:rPr>
                <w:rFonts w:hint="eastAsia" w:ascii="宋体" w:hAnsi="宋体" w:eastAsia="宋体" w:cs="宋体"/>
                <w:bCs w:val="0"/>
                <w:color w:val="auto"/>
                <w:sz w:val="21"/>
                <w:szCs w:val="21"/>
                <w:highlight w:val="none"/>
                <w:lang w:val="en-US" w:eastAsia="zh-CN"/>
              </w:rPr>
              <w:t xml:space="preserve">报价</w:t>
            </w:r>
            <w:r>
              <w:rPr>
                <w:rFonts w:hint="eastAsia" w:ascii="宋体" w:hAnsi="宋体" w:eastAsia="宋体" w:cs="宋体"/>
                <w:bCs w:val="0"/>
                <w:color w:val="auto"/>
                <w:sz w:val="21"/>
                <w:szCs w:val="21"/>
                <w:highlight w:val="none"/>
              </w:rPr>
              <w:t xml:space="preserve">最低的报价为评标基准价，其价格分为满分。其他</w:t>
            </w:r>
            <w:r>
              <w:rPr>
                <w:rFonts w:hint="eastAsia" w:ascii="宋体" w:hAnsi="宋体" w:eastAsia="宋体" w:cs="宋体"/>
                <w:bCs w:val="0"/>
                <w:color w:val="auto"/>
                <w:sz w:val="21"/>
                <w:szCs w:val="21"/>
                <w:highlight w:val="none"/>
                <w:lang w:eastAsia="zh-CN"/>
              </w:rPr>
              <w:t xml:space="preserve">投标人</w:t>
            </w:r>
            <w:r>
              <w:rPr>
                <w:rFonts w:hint="eastAsia" w:ascii="宋体" w:hAnsi="宋体" w:eastAsia="宋体" w:cs="宋体"/>
                <w:bCs w:val="0"/>
                <w:color w:val="auto"/>
                <w:sz w:val="21"/>
                <w:szCs w:val="21"/>
                <w:highlight w:val="none"/>
              </w:rPr>
              <w:t xml:space="preserve">的价格分按照下列公式计算，保留小数点后2位：报价得分=（评标基准价／报价）×</w:t>
            </w:r>
            <w:r>
              <w:rPr>
                <w:rFonts w:hint="eastAsia" w:ascii="宋体" w:hAnsi="宋体" w:eastAsia="宋体" w:cs="宋体"/>
                <w:bCs w:val="0"/>
                <w:color w:val="auto"/>
                <w:sz w:val="21"/>
                <w:szCs w:val="21"/>
                <w:highlight w:val="none"/>
                <w:lang w:val="en-US" w:eastAsia="zh-CN"/>
              </w:rPr>
              <w:t xml:space="preserve">30</w:t>
            </w:r>
            <w:r>
              <w:rPr>
                <w:rFonts w:hint="eastAsia" w:ascii="宋体" w:hAnsi="宋体" w:eastAsia="宋体" w:cs="宋体"/>
                <w:bCs w:val="0"/>
                <w:color w:val="auto"/>
                <w:sz w:val="21"/>
                <w:szCs w:val="21"/>
                <w:highlight w:val="none"/>
              </w:rPr>
              <w:t xml:space="preserve">。</w:t>
            </w:r>
            <w:r/>
          </w:p>
        </w:tc>
      </w:tr>
      <w:tr>
        <w:trPr>
          <w:jc w:val="center"/>
          <w:trHeight w:val="788"/>
        </w:trPr>
        <w:tc>
          <w:tcPr>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需求响应</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完全满足招标文件第四部分采购需求（</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）技术要求</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得满分，</w:t>
            </w:r>
            <w:r>
              <w:rPr>
                <w:rFonts w:hint="eastAsia" w:ascii="宋体" w:hAnsi="宋体" w:eastAsia="宋体" w:cs="宋体"/>
                <w:color w:val="auto"/>
                <w:sz w:val="21"/>
                <w:szCs w:val="21"/>
                <w:highlight w:val="none"/>
                <w:lang w:val="en-US" w:eastAsia="zh-CN"/>
              </w:rPr>
              <w:t xml:space="preserve">★参数</w:t>
            </w:r>
            <w:r>
              <w:rPr>
                <w:rFonts w:hint="eastAsia" w:ascii="宋体" w:hAnsi="宋体" w:eastAsia="宋体" w:cs="宋体"/>
                <w:color w:val="auto"/>
                <w:sz w:val="21"/>
                <w:szCs w:val="21"/>
                <w:highlight w:val="none"/>
              </w:rPr>
              <w:t xml:space="preserve">为核心参数，</w:t>
            </w:r>
            <w:r>
              <w:rPr>
                <w:rFonts w:hint="eastAsia" w:ascii="宋体" w:hAnsi="宋体" w:eastAsia="宋体" w:cs="宋体"/>
                <w:color w:val="auto"/>
                <w:sz w:val="21"/>
                <w:szCs w:val="21"/>
                <w:highlight w:val="none"/>
                <w:lang w:val="en-US" w:eastAsia="zh-CN"/>
              </w:rPr>
              <w:t xml:space="preserve">不得出现负偏离，否则将作无效投标处理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▲参数为重要参数，全部满足得30分，每负偏离一项扣4分（扣完为止）；</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注：★、▲参数以及采购需求中明确要求提供证明材料的，须按要求在投标文件中提供证明材料，且均须在技术响应偏差表详尽真实地提供偏差情况及证明材料页码，否则视为负偏离。</w:t>
            </w:r>
            <w:r/>
          </w:p>
        </w:tc>
      </w:tr>
      <w:tr>
        <w:trPr>
          <w:jc w:val="center"/>
          <w:trHeight w:val="507"/>
        </w:trPr>
        <w:tc>
          <w:tcPr>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项目交货方案</w:t>
            </w:r>
            <w:r/>
          </w:p>
        </w:tc>
        <w:tc>
          <w:tcPr>
            <w:shd w:val="clear" w:color="auto" w:fill="auto"/>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投标人应根据招标文件要求提供项目交货方案、进度方案、防护方案：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①有完整供货进度计划，明确生产、备货、物流、到货各节点时间；②有设备防护、运输防震防潮保护措施；③有缺货或延期备选预案；④有供货组织人员配置清单。方案内容完整、可落地得5分；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具备供货进度计划，运输防护措施，人员配置，备选预案有一项缺失或内容简略的，得3分；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仅简单描述供货流程，无时间节点、无风险预案，内容空洞的，得1分；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shd w:val="clear" w:color="auto" w:fill="auto"/>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安装调试方案</w:t>
            </w:r>
            <w:r/>
          </w:p>
        </w:tc>
        <w:tc>
          <w:tcPr>
            <w:shd w:val="clear" w:color="auto" w:fill="auto"/>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投标人应根据招标文件要求提供安装方案、调试方案、管理方案：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①明确安装实施步骤；②调试流程、校准自检流程完整；③现场安全防护、现场保护措施；④人员资质配置齐全（包含技术人员、持证情况）。方案内容完整的得5分；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具备安装调试流程，安全措施，人员配置，方案中有一项简略的，得3分；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仅简单说明会完成安装调试，无实施步骤、无人员的，得1分；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shd w:val="clear" w:color="auto" w:fill="auto"/>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质量控制方案</w:t>
            </w:r>
            <w:r/>
          </w:p>
        </w:tc>
        <w:tc>
          <w:tcPr>
            <w:shd w:val="clear" w:color="auto" w:fill="auto"/>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投标人应根据招标文件要求提供质量控制体系、质量检验标准、质量管理方案：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质量控制体系，质量责任分工及质量管理制度；②有明确的质量检验及合格判定标准；③有全过程质量控制措施；④有质量问题处理机制，明确不合格品的判定、处置及追溯方式。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具备质量控制体系，质量检验标准，全过程控制措施，质量问题处理机制，其中有一项缺失或内容简略的，得3分；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仅简单描述质量控制流程，无检验标准、无责任分工，内容空洞的，得1分；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培训及技术支持方案</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投标人应根据招标文件要求提供人员培训方案、技术支持方案、采购人所需的技术和学术支持方案：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人员培训方案，明确培训对象、内容、方式、课时安排及考核方式；②有明确的技术支持方案，明确支持渠道、人员及内容；③有采购人所需的技术和学术支持方案，明确可提供的技术资料、专业指导等支持内容；④有培训及技术支持人员配置清单，明确人员资质及职责分工。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具备培训方案，技术支持方案，学术支持方案，人员配置清单，其中有一项缺失或内容简略的，得3分；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仅简单描述提供培训和技术支持，无培训内容、无人员安排，内容空洞的，得1分；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540"/>
        </w:trPr>
        <w:tc>
          <w:tcPr>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售后服务方案</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投标人应根据招标文件要求提供售后方案、售后人员安排、售后响应措施：</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售后服务方案，明确服务范围、服务内容、服务期限；②有明确的售后人员安排，明确售后服务机构、人员配置及联系方式；③有明确的售后响应措施，明确响应时间、到场时间、故障处理时限及处理方式；④有完善的售后保障措施，明确备品备件供应、定期回访、质量跟踪等内容。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具备售后方案，售后人员安排，售后响应措施，售后保障措施，其中有一项缺失或内容简略的，得3分；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仅简单描述提供售后服务，无服务内容、无响应时限，内容空洞的，得1分；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应急方案</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投标人应根据招标文件要求提供应急预案、应急处理方案、应急人员安排：</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应急预案，及分级响应机制；②有针对性的应急处理方案，明确的处置流程、处置措施及补救办法；③有明确的应急人员安排，明确应急组织架构、人员分工及联络方式；④有应急资源保障，明确应急备货、运力、技术支持等资源储备。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具备应急预案，应急处理方案，应急人员安排，应急资源保障，其中有一项缺失或内容简略的，得3分；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仅简单描述应急处理措施，无应急场景、无人员安排，内容空洞的，得1分；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shd w:val="clear" w:color="auto" w:fill="auto"/>
            <w:tcW w:w="150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业绩</w:t>
            </w:r>
            <w:r/>
          </w:p>
        </w:tc>
        <w:tc>
          <w:tcPr>
            <w:shd w:val="clear" w:color="auto" w:fill="auto"/>
            <w:tcW w:w="67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10分</w:t>
            </w:r>
            <w:r/>
          </w:p>
        </w:tc>
        <w:tc>
          <w:tcPr>
            <w:shd w:val="clear" w:color="auto" w:fill="auto"/>
            <w:tcW w:w="6375"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2024年1月1日以来（以合同签订时间为准）所投同品牌同型号产品的销售合同及合同对应的销售发票，每一份得2分，最高得10分。（投标文件中提供包含双方签章并且显示品牌型号的合同复印件及合同对应显示型号的销售发票。提供不全的不得分，原件标后备查）</w:t>
            </w:r>
            <w:r/>
          </w:p>
        </w:tc>
      </w:tr>
    </w:tbl>
    <w:p>
      <w:pPr>
        <w:spacing w:line="360" w:lineRule="auto"/>
        <w:rPr>
          <w:rFonts w:hint="eastAsia" w:ascii="宋体" w:hAnsi="宋体"/>
          <w:b/>
          <w:bCs/>
          <w:color w:val="auto"/>
          <w:highlight w:val="none"/>
          <w:lang w:val="en-US" w:eastAsia="zh-CN"/>
        </w:rPr>
      </w:pPr>
      <w:r>
        <w:rPr>
          <w:rFonts w:hint="eastAsia" w:ascii="宋体" w:hAnsi="宋体"/>
          <w:b/>
          <w:bCs/>
          <w:color w:val="auto"/>
          <w:highlight w:val="none"/>
          <w:lang w:val="en-US" w:eastAsia="zh-CN"/>
        </w:rPr>
      </w:r>
      <w:r/>
    </w:p>
    <w:p>
      <w:pPr>
        <w:spacing w:line="360" w:lineRule="auto"/>
        <w:rPr>
          <w:rFonts w:hint="eastAsia" w:ascii="宋体" w:hAnsi="宋体"/>
          <w:b/>
          <w:bCs/>
          <w:color w:val="auto"/>
          <w:highlight w:val="none"/>
          <w:lang w:val="en-US" w:eastAsia="zh-CN"/>
        </w:rPr>
      </w:pPr>
      <w:r>
        <w:rPr>
          <w:rFonts w:hint="eastAsia" w:ascii="宋体" w:hAnsi="宋体"/>
          <w:b/>
          <w:bCs/>
          <w:color w:val="auto"/>
          <w:highlight w:val="none"/>
          <w:lang w:val="en-US" w:eastAsia="zh-CN"/>
        </w:rPr>
        <w:t xml:space="preserve">包6：建材放射性检测仪</w:t>
      </w:r>
      <w:r/>
    </w:p>
    <w:tbl>
      <w:tblPr>
        <w:tblStyle w:val="822"/>
        <w:tblW w:w="93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3"/>
        <w:gridCol w:w="1515"/>
        <w:gridCol w:w="673"/>
        <w:gridCol w:w="6482"/>
      </w:tblGrid>
      <w:tr>
        <w:trPr>
          <w:jc w:val="center"/>
          <w:trHeight w:val="542"/>
        </w:trPr>
        <w:tc>
          <w:tcPr>
            <w:tcW w:w="643"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515"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W w:w="6482"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评分依据</w:t>
            </w:r>
            <w:r/>
          </w:p>
        </w:tc>
      </w:tr>
      <w:tr>
        <w:trPr>
          <w:jc w:val="center"/>
          <w:trHeight w:val="788"/>
        </w:trPr>
        <w:tc>
          <w:tcPr>
            <w:tcW w:w="64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W w:w="151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6482"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val="0"/>
                <w:color w:val="auto"/>
                <w:sz w:val="21"/>
                <w:szCs w:val="21"/>
                <w:highlight w:val="none"/>
              </w:rPr>
              <w:t xml:space="preserve">价格分采用低价优先法计算，即满足</w:t>
            </w:r>
            <w:r>
              <w:rPr>
                <w:rFonts w:hint="eastAsia" w:ascii="宋体" w:hAnsi="宋体" w:eastAsia="宋体" w:cs="宋体"/>
                <w:bCs w:val="0"/>
                <w:color w:val="auto"/>
                <w:sz w:val="21"/>
                <w:szCs w:val="21"/>
                <w:highlight w:val="none"/>
                <w:lang w:val="en-US" w:eastAsia="zh-CN"/>
              </w:rPr>
              <w:t xml:space="preserve">招标</w:t>
            </w:r>
            <w:r>
              <w:rPr>
                <w:rFonts w:hint="eastAsia" w:ascii="宋体" w:hAnsi="宋体" w:eastAsia="宋体" w:cs="宋体"/>
                <w:bCs w:val="0"/>
                <w:color w:val="auto"/>
                <w:sz w:val="21"/>
                <w:szCs w:val="21"/>
                <w:highlight w:val="none"/>
              </w:rPr>
              <w:t xml:space="preserve">文件要求且</w:t>
            </w:r>
            <w:r>
              <w:rPr>
                <w:rFonts w:hint="eastAsia" w:ascii="宋体" w:hAnsi="宋体" w:eastAsia="宋体" w:cs="宋体"/>
                <w:bCs w:val="0"/>
                <w:color w:val="auto"/>
                <w:sz w:val="21"/>
                <w:szCs w:val="21"/>
                <w:highlight w:val="none"/>
                <w:lang w:val="en-US" w:eastAsia="zh-CN"/>
              </w:rPr>
              <w:t xml:space="preserve">报价</w:t>
            </w:r>
            <w:r>
              <w:rPr>
                <w:rFonts w:hint="eastAsia" w:ascii="宋体" w:hAnsi="宋体" w:eastAsia="宋体" w:cs="宋体"/>
                <w:bCs w:val="0"/>
                <w:color w:val="auto"/>
                <w:sz w:val="21"/>
                <w:szCs w:val="21"/>
                <w:highlight w:val="none"/>
              </w:rPr>
              <w:t xml:space="preserve">最低的报价为评标基准价，其价格分为满分。其他</w:t>
            </w:r>
            <w:r>
              <w:rPr>
                <w:rFonts w:hint="eastAsia" w:ascii="宋体" w:hAnsi="宋体" w:eastAsia="宋体" w:cs="宋体"/>
                <w:bCs w:val="0"/>
                <w:color w:val="auto"/>
                <w:sz w:val="21"/>
                <w:szCs w:val="21"/>
                <w:highlight w:val="none"/>
                <w:lang w:eastAsia="zh-CN"/>
              </w:rPr>
              <w:t xml:space="preserve">投标人</w:t>
            </w:r>
            <w:r>
              <w:rPr>
                <w:rFonts w:hint="eastAsia" w:ascii="宋体" w:hAnsi="宋体" w:eastAsia="宋体" w:cs="宋体"/>
                <w:bCs w:val="0"/>
                <w:color w:val="auto"/>
                <w:sz w:val="21"/>
                <w:szCs w:val="21"/>
                <w:highlight w:val="none"/>
              </w:rPr>
              <w:t xml:space="preserve">的价格分按照下列公式计算，保留小数点后2位：报价得分=（评标基准价／报价）×</w:t>
            </w:r>
            <w:r>
              <w:rPr>
                <w:rFonts w:hint="eastAsia" w:ascii="宋体" w:hAnsi="宋体" w:eastAsia="宋体" w:cs="宋体"/>
                <w:bCs w:val="0"/>
                <w:color w:val="auto"/>
                <w:sz w:val="21"/>
                <w:szCs w:val="21"/>
                <w:highlight w:val="none"/>
                <w:lang w:val="en-US" w:eastAsia="zh-CN"/>
              </w:rPr>
              <w:t xml:space="preserve">30</w:t>
            </w:r>
            <w:r>
              <w:rPr>
                <w:rFonts w:hint="eastAsia" w:ascii="宋体" w:hAnsi="宋体" w:eastAsia="宋体" w:cs="宋体"/>
                <w:bCs w:val="0"/>
                <w:color w:val="auto"/>
                <w:sz w:val="21"/>
                <w:szCs w:val="21"/>
                <w:highlight w:val="none"/>
              </w:rPr>
              <w:t xml:space="preserve">。</w:t>
            </w:r>
            <w:r/>
          </w:p>
        </w:tc>
      </w:tr>
      <w:tr>
        <w:trPr>
          <w:jc w:val="center"/>
          <w:trHeight w:val="788"/>
        </w:trPr>
        <w:tc>
          <w:tcPr>
            <w:tcW w:w="64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W w:w="151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需求响应</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6482"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完全满足招标文件第四部分采购需求（</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）技术要求</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得满分，</w:t>
            </w:r>
            <w:r>
              <w:rPr>
                <w:rFonts w:hint="eastAsia" w:ascii="宋体" w:hAnsi="宋体" w:eastAsia="宋体" w:cs="宋体"/>
                <w:color w:val="auto"/>
                <w:sz w:val="21"/>
                <w:szCs w:val="21"/>
                <w:highlight w:val="none"/>
                <w:lang w:val="en-US" w:eastAsia="zh-CN"/>
              </w:rPr>
              <w:t xml:space="preserve">★参数</w:t>
            </w:r>
            <w:r>
              <w:rPr>
                <w:rFonts w:hint="eastAsia" w:ascii="宋体" w:hAnsi="宋体" w:eastAsia="宋体" w:cs="宋体"/>
                <w:color w:val="auto"/>
                <w:sz w:val="21"/>
                <w:szCs w:val="21"/>
                <w:highlight w:val="none"/>
              </w:rPr>
              <w:t xml:space="preserve">为核心参数，</w:t>
            </w:r>
            <w:r>
              <w:rPr>
                <w:rFonts w:hint="eastAsia" w:ascii="宋体" w:hAnsi="宋体" w:eastAsia="宋体" w:cs="宋体"/>
                <w:color w:val="auto"/>
                <w:sz w:val="21"/>
                <w:szCs w:val="21"/>
                <w:highlight w:val="none"/>
                <w:lang w:val="en-US" w:eastAsia="zh-CN"/>
              </w:rPr>
              <w:t xml:space="preserve">不得出现负偏离，否则将作无效投标处理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▲参数为重要参数，全部满足得24分，每负偏离一项扣4分；其余参数为一般参数，全部满足得6分，每负偏离一项扣2分</w:t>
            </w:r>
            <w:r>
              <w:rPr>
                <w:rFonts w:hint="eastAsia" w:ascii="宋体" w:hAnsi="宋体" w:eastAsia="宋体" w:cs="宋体"/>
                <w:color w:val="auto"/>
                <w:sz w:val="21"/>
                <w:szCs w:val="21"/>
                <w:highlight w:val="none"/>
              </w:rPr>
              <w:t xml:space="preserve">。</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注：★、▲参数以及采购需求中明确要求提供证明材料的，须按要求在投标文件中提供证明材料，且均须在技术响应偏差表详尽真实地提供偏差情况及证明材料页码，否则视为负偏离。</w:t>
            </w:r>
            <w:r/>
          </w:p>
        </w:tc>
      </w:tr>
      <w:tr>
        <w:trPr>
          <w:jc w:val="center"/>
          <w:trHeight w:val="507"/>
        </w:trPr>
        <w:tc>
          <w:tcPr>
            <w:tcW w:w="64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shd w:val="clear" w:color="auto" w:fill="auto"/>
            <w:tcW w:w="151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项目交货方案</w:t>
            </w:r>
            <w:r/>
          </w:p>
        </w:tc>
        <w:tc>
          <w:tcPr>
            <w:shd w:val="clear" w:color="auto" w:fill="auto"/>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482"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投标人应根据招标文件要求提供项目交货方案、进度方案、防护方案：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①有完整供货进度计划，明确生产、备货、物流、到货各节点时间；②有设备防护、运输防震防潮保护措施；③有缺货或延期备选预案；④有供货组织人员配置清单。方案内容完整、可落地得5分；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具备供货进度计划，运输防护措施，人员配置，备选预案有一项缺失或内容简略的，得3分；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仅简单描述供货流程，无时间节点、无风险预案，内容空洞的，得1分；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shd w:val="clear" w:color="auto" w:fill="auto"/>
            <w:tcW w:w="64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shd w:val="clear" w:color="auto" w:fill="auto"/>
            <w:tcW w:w="151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安装调试方案</w:t>
            </w:r>
            <w:r/>
          </w:p>
        </w:tc>
        <w:tc>
          <w:tcPr>
            <w:shd w:val="clear" w:color="auto" w:fill="auto"/>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482"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投标人应根据招标文件要求提供安装方案、调试方案、管理方案：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①明确安装实施步骤；②调试流程、校准自检流程完整；③现场安全防护、现场保护措施；④人员资质配置齐全（包含技术人员、持证情况）。方案内容完整的得5分；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具备安装调试流程，安全措施，人员配置，方案中有一项简略的，得3分；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仅简单说明会完成安装调试，无实施步骤、无人员的，得1分；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shd w:val="clear" w:color="auto" w:fill="auto"/>
            <w:tcW w:w="64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shd w:val="clear" w:color="auto" w:fill="auto"/>
            <w:tcW w:w="151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质量控制方案</w:t>
            </w:r>
            <w:r/>
          </w:p>
        </w:tc>
        <w:tc>
          <w:tcPr>
            <w:shd w:val="clear" w:color="auto" w:fill="auto"/>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482"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投标人应根据招标文件要求提供质量控制体系、质量检验标准、质量管理方案：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质量控制体系，质量责任分工及质量管理制度；②有明确的质量检验及合格判定标准；③有全过程质量控制措施；④有质量问题处理机制，明确不合格品的判定、处置及追溯方式。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具备质量控制体系，质量检验标准，全过程控制措施，质量问题处理机制，其中有一项缺失或内容简略的，得3分；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仅简单描述质量控制流程，无检验标准、无责任分工，内容空洞的，得1分；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64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shd w:val="clear" w:color="auto" w:fill="auto"/>
            <w:tcW w:w="151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培训及技术支持方案</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482"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投标人应根据招标文件要求提供人员培训方案、技术支持方案、采购人所需的技术和学术支持方案：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人员培训方案，明确培训对象、内容、方式、课时安排及考核方式；②有明确的技术支持方案，明确支持渠道、人员及内容；③有采购人所需的技术和学术支持方案，明确可提供的技术资料、专业指导等支持内容；④有培训及技术支持人员配置清单，明确人员资质及职责分工。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具备培训方案，技术支持方案，学术支持方案，人员配置清单，其中有一项缺失或内容简略的，得3分；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仅简单描述提供培训和技术支持，无培训内容、无人员安排，内容空洞的，得1分；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540"/>
        </w:trPr>
        <w:tc>
          <w:tcPr>
            <w:tcW w:w="64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shd w:val="clear" w:color="auto" w:fill="auto"/>
            <w:tcW w:w="151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售后服务方案</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482"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投标人应根据招标文件要求提供售后方案、售后人员安排、售后响应措施：</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售后服务方案，明确服务范围、服务内容、服务期限；②有明确的售后人员安排，明确售后服务机构、人员配置及联系方式；③有明确的售后响应措施，明确响应时间、到场时间、故障处理时限及处理方式；④有完善的售后保障措施，明确备品备件供应、定期回访、质量跟踪等内容。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具备售后方案，售后人员安排，售后响应措施，售后保障措施，其中有一项缺失或内容简略的，得3分；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仅简单描述提供售后服务，无服务内容、无响应时限，内容空洞的，得1分；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64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shd w:val="clear" w:color="auto" w:fill="auto"/>
            <w:tcW w:w="151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应急方案</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482"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投标人应根据招标文件要求提供应急预案、应急处理方案、应急人员安排：</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应急预案，及分级响应机制；②有针对性的应急处理方案，明确的处置流程、处置措施及补救办法；③有明确的应急人员安排，明确应急组织架构、人员分工及联络方式；④有应急资源保障，明确应急备货、运力、技术支持等资源储备。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具备应急预案，应急处理方案，应急人员安排，应急资源保障，其中有一项缺失或内容简略的，得3分；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仅简单描述应急处理措施，无应急场景、无人员安排，内容空洞的，得1分；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64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shd w:val="clear" w:color="auto" w:fill="auto"/>
            <w:tcW w:w="151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业绩</w:t>
            </w:r>
            <w:r/>
          </w:p>
        </w:tc>
        <w:tc>
          <w:tcPr>
            <w:shd w:val="clear" w:color="auto" w:fill="auto"/>
            <w:tcW w:w="67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10分</w:t>
            </w:r>
            <w:r/>
          </w:p>
        </w:tc>
        <w:tc>
          <w:tcPr>
            <w:shd w:val="clear" w:color="auto" w:fill="auto"/>
            <w:tcW w:w="6482"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2024年1月1日以来（以合同签订时间为准）所投同品牌同型号产品的销售合同及合同对应的销售发票，每一份得2分，最高得10分。（投标文件中提供包含双方签章并且显示品牌型号的合同复印件及合同对应显示型号的销售发票。提供不全的不得分，原件标后备查）</w:t>
            </w:r>
            <w:r/>
          </w:p>
        </w:tc>
      </w:tr>
    </w:tbl>
    <w:p>
      <w:pPr>
        <w:spacing w:line="360" w:lineRule="auto"/>
        <w:rPr>
          <w:rFonts w:hint="eastAsia" w:ascii="宋体" w:hAnsi="宋体"/>
          <w:b/>
          <w:bCs/>
          <w:color w:val="auto"/>
          <w:highlight w:val="none"/>
          <w:lang w:val="en-US" w:eastAsia="zh-CN"/>
        </w:rPr>
      </w:pPr>
      <w:r>
        <w:rPr>
          <w:rFonts w:hint="eastAsia" w:ascii="宋体" w:hAnsi="宋体"/>
          <w:b/>
          <w:bCs/>
          <w:color w:val="auto"/>
          <w:highlight w:val="none"/>
          <w:lang w:val="en-US" w:eastAsia="zh-CN"/>
        </w:rPr>
      </w:r>
      <w:r/>
    </w:p>
    <w:p>
      <w:pPr>
        <w:spacing w:line="360" w:lineRule="auto"/>
        <w:rPr>
          <w:rFonts w:hint="eastAsia" w:ascii="宋体" w:hAnsi="宋体"/>
          <w:b/>
          <w:bCs/>
          <w:color w:val="auto"/>
          <w:highlight w:val="none"/>
          <w:lang w:val="en-US" w:eastAsia="zh-CN"/>
        </w:rPr>
      </w:pPr>
      <w:r>
        <w:rPr>
          <w:rFonts w:hint="eastAsia" w:ascii="宋体" w:hAnsi="宋体"/>
          <w:b/>
          <w:bCs/>
          <w:color w:val="auto"/>
          <w:highlight w:val="none"/>
          <w:lang w:val="en-US" w:eastAsia="zh-CN"/>
        </w:rPr>
      </w:r>
      <w:r/>
    </w:p>
    <w:p>
      <w:pPr>
        <w:spacing w:line="360" w:lineRule="auto"/>
        <w:rPr>
          <w:rFonts w:hint="eastAsia" w:ascii="宋体" w:hAnsi="宋体"/>
          <w:b/>
          <w:bCs/>
          <w:color w:val="auto"/>
          <w:highlight w:val="none"/>
          <w:lang w:val="en-US" w:eastAsia="zh-CN"/>
        </w:rPr>
      </w:pPr>
      <w:r>
        <w:rPr>
          <w:rFonts w:hint="eastAsia" w:ascii="宋体" w:hAnsi="宋体"/>
          <w:b/>
          <w:bCs/>
          <w:color w:val="auto"/>
          <w:highlight w:val="none"/>
          <w:lang w:val="en-US" w:eastAsia="zh-CN"/>
        </w:rPr>
      </w:r>
      <w:r/>
    </w:p>
    <w:p>
      <w:pPr>
        <w:spacing w:line="360" w:lineRule="auto"/>
        <w:rPr>
          <w:rFonts w:hint="eastAsia" w:ascii="宋体" w:hAnsi="宋体"/>
          <w:b/>
          <w:bCs/>
          <w:color w:val="auto"/>
          <w:highlight w:val="none"/>
          <w:lang w:val="en-US" w:eastAsia="zh-CN"/>
        </w:rPr>
      </w:pPr>
      <w:r>
        <w:rPr>
          <w:rFonts w:hint="eastAsia" w:ascii="宋体" w:hAnsi="宋体"/>
          <w:b/>
          <w:bCs/>
          <w:color w:val="auto"/>
          <w:highlight w:val="none"/>
          <w:lang w:val="en-US" w:eastAsia="zh-CN"/>
        </w:rPr>
        <w:t xml:space="preserve">包7：电子万能材料试验机</w:t>
      </w:r>
      <w:r/>
    </w:p>
    <w:tbl>
      <w:tblPr>
        <w:tblStyle w:val="822"/>
        <w:tblW w:w="94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1500"/>
        <w:gridCol w:w="690"/>
        <w:gridCol w:w="6577"/>
      </w:tblGrid>
      <w:tr>
        <w:trPr>
          <w:jc w:val="center"/>
          <w:trHeight w:val="542"/>
        </w:trPr>
        <w:tc>
          <w:tcPr>
            <w:tcW w:w="637"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W w:w="690"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W w:w="6577"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评分依据</w:t>
            </w:r>
            <w:r/>
          </w:p>
        </w:tc>
      </w:tr>
      <w:tr>
        <w:trPr>
          <w:jc w:val="center"/>
          <w:trHeight w:val="788"/>
        </w:trPr>
        <w:tc>
          <w:tcPr>
            <w:tcW w:w="63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tc>
        <w:tc>
          <w:tcPr>
            <w:tcW w:w="6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6577"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val="0"/>
                <w:color w:val="auto"/>
                <w:sz w:val="21"/>
                <w:szCs w:val="21"/>
                <w:highlight w:val="none"/>
              </w:rPr>
              <w:t xml:space="preserve">价格分采用低价优先法计算，即满足</w:t>
            </w:r>
            <w:r>
              <w:rPr>
                <w:rFonts w:hint="eastAsia" w:ascii="宋体" w:hAnsi="宋体" w:eastAsia="宋体" w:cs="宋体"/>
                <w:bCs w:val="0"/>
                <w:color w:val="auto"/>
                <w:sz w:val="21"/>
                <w:szCs w:val="21"/>
                <w:highlight w:val="none"/>
                <w:lang w:val="en-US" w:eastAsia="zh-CN"/>
              </w:rPr>
              <w:t xml:space="preserve">招标</w:t>
            </w:r>
            <w:r>
              <w:rPr>
                <w:rFonts w:hint="eastAsia" w:ascii="宋体" w:hAnsi="宋体" w:eastAsia="宋体" w:cs="宋体"/>
                <w:bCs w:val="0"/>
                <w:color w:val="auto"/>
                <w:sz w:val="21"/>
                <w:szCs w:val="21"/>
                <w:highlight w:val="none"/>
              </w:rPr>
              <w:t xml:space="preserve">文件要求且</w:t>
            </w:r>
            <w:r>
              <w:rPr>
                <w:rFonts w:hint="eastAsia" w:ascii="宋体" w:hAnsi="宋体" w:eastAsia="宋体" w:cs="宋体"/>
                <w:bCs w:val="0"/>
                <w:color w:val="auto"/>
                <w:sz w:val="21"/>
                <w:szCs w:val="21"/>
                <w:highlight w:val="none"/>
                <w:lang w:val="en-US" w:eastAsia="zh-CN"/>
              </w:rPr>
              <w:t xml:space="preserve">报价</w:t>
            </w:r>
            <w:r>
              <w:rPr>
                <w:rFonts w:hint="eastAsia" w:ascii="宋体" w:hAnsi="宋体" w:eastAsia="宋体" w:cs="宋体"/>
                <w:bCs w:val="0"/>
                <w:color w:val="auto"/>
                <w:sz w:val="21"/>
                <w:szCs w:val="21"/>
                <w:highlight w:val="none"/>
              </w:rPr>
              <w:t xml:space="preserve">最低的报价为评标基准价，其价格分为满分。其他</w:t>
            </w:r>
            <w:r>
              <w:rPr>
                <w:rFonts w:hint="eastAsia" w:ascii="宋体" w:hAnsi="宋体" w:eastAsia="宋体" w:cs="宋体"/>
                <w:bCs w:val="0"/>
                <w:color w:val="auto"/>
                <w:sz w:val="21"/>
                <w:szCs w:val="21"/>
                <w:highlight w:val="none"/>
                <w:lang w:eastAsia="zh-CN"/>
              </w:rPr>
              <w:t xml:space="preserve">投标人</w:t>
            </w:r>
            <w:r>
              <w:rPr>
                <w:rFonts w:hint="eastAsia" w:ascii="宋体" w:hAnsi="宋体" w:eastAsia="宋体" w:cs="宋体"/>
                <w:bCs w:val="0"/>
                <w:color w:val="auto"/>
                <w:sz w:val="21"/>
                <w:szCs w:val="21"/>
                <w:highlight w:val="none"/>
              </w:rPr>
              <w:t xml:space="preserve">的价格分按照下列公式计算，保留小数点后2位：报价得分=（评标基准价／报价）×</w:t>
            </w:r>
            <w:r>
              <w:rPr>
                <w:rFonts w:hint="eastAsia" w:ascii="宋体" w:hAnsi="宋体" w:eastAsia="宋体" w:cs="宋体"/>
                <w:bCs w:val="0"/>
                <w:color w:val="auto"/>
                <w:sz w:val="21"/>
                <w:szCs w:val="21"/>
                <w:highlight w:val="none"/>
                <w:lang w:val="en-US" w:eastAsia="zh-CN"/>
              </w:rPr>
              <w:t xml:space="preserve">30</w:t>
            </w:r>
            <w:r>
              <w:rPr>
                <w:rFonts w:hint="eastAsia" w:ascii="宋体" w:hAnsi="宋体" w:eastAsia="宋体" w:cs="宋体"/>
                <w:bCs w:val="0"/>
                <w:color w:val="auto"/>
                <w:sz w:val="21"/>
                <w:szCs w:val="21"/>
                <w:highlight w:val="none"/>
              </w:rPr>
              <w:t xml:space="preserve">。</w:t>
            </w:r>
            <w:r/>
          </w:p>
        </w:tc>
      </w:tr>
      <w:tr>
        <w:trPr>
          <w:jc w:val="center"/>
          <w:trHeight w:val="788"/>
        </w:trPr>
        <w:tc>
          <w:tcPr>
            <w:tcW w:w="63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需求响应</w:t>
            </w:r>
            <w:r/>
          </w:p>
        </w:tc>
        <w:tc>
          <w:tcPr>
            <w:tcW w:w="6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6577"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完全满足招标文件第四部分采购需求（</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）技术要求</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得满分，</w:t>
            </w:r>
            <w:r>
              <w:rPr>
                <w:rFonts w:hint="eastAsia" w:ascii="宋体" w:hAnsi="宋体" w:eastAsia="宋体" w:cs="宋体"/>
                <w:color w:val="auto"/>
                <w:sz w:val="21"/>
                <w:szCs w:val="21"/>
                <w:highlight w:val="none"/>
                <w:lang w:val="en-US" w:eastAsia="zh-CN"/>
              </w:rPr>
              <w:t xml:space="preserve">★参数</w:t>
            </w:r>
            <w:r>
              <w:rPr>
                <w:rFonts w:hint="eastAsia" w:ascii="宋体" w:hAnsi="宋体" w:eastAsia="宋体" w:cs="宋体"/>
                <w:color w:val="auto"/>
                <w:sz w:val="21"/>
                <w:szCs w:val="21"/>
                <w:highlight w:val="none"/>
              </w:rPr>
              <w:t xml:space="preserve">为核心参数，</w:t>
            </w:r>
            <w:r>
              <w:rPr>
                <w:rFonts w:hint="eastAsia" w:ascii="宋体" w:hAnsi="宋体" w:eastAsia="宋体" w:cs="宋体"/>
                <w:color w:val="auto"/>
                <w:sz w:val="21"/>
                <w:szCs w:val="21"/>
                <w:highlight w:val="none"/>
                <w:lang w:val="en-US" w:eastAsia="zh-CN"/>
              </w:rPr>
              <w:t xml:space="preserve">不得出现负偏离，否则将作无效投标处理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▲参数为重要参数，全部满足得27分，每负偏离一项扣3分；其余参数为一般参数，全部满足得3分，每负偏离一项扣1分</w:t>
            </w:r>
            <w:r>
              <w:rPr>
                <w:rFonts w:hint="eastAsia" w:ascii="宋体" w:hAnsi="宋体" w:eastAsia="宋体" w:cs="宋体"/>
                <w:color w:val="auto"/>
                <w:sz w:val="21"/>
                <w:szCs w:val="21"/>
                <w:highlight w:val="none"/>
              </w:rPr>
              <w:t xml:space="preserve">。</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注：★、▲参数以及采购需求中明确要求提供证明材料的，须按要求在投标文件中提供证明材料，且均须在技术响应偏差表详尽真实地提供偏差情况及证明材料页码，否则视为负偏离。</w:t>
            </w:r>
            <w:r/>
          </w:p>
        </w:tc>
      </w:tr>
      <w:tr>
        <w:trPr>
          <w:jc w:val="center"/>
          <w:trHeight w:val="507"/>
        </w:trPr>
        <w:tc>
          <w:tcPr>
            <w:tcW w:w="63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项目交货方案</w:t>
            </w:r>
            <w:r/>
          </w:p>
        </w:tc>
        <w:tc>
          <w:tcPr>
            <w:shd w:val="clear" w:color="auto" w:fill="auto"/>
            <w:tcW w:w="6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577"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投标人应根据招标文件要求提供项目交货方案、进度方案、防护方案：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①有完整供货进度计划，明确生产、备货、物流、到货各节点时间；②有设备防护、运输防震防潮保护措施；③有缺货或延期备选预案；④有供货组织人员配置清单。方案内容完整、可落地得5分；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具备供货进度计划，运输防护措施，人员配置，备选预案有一项缺失或内容简略的，得3分；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仅简单描述供货流程，无时间节点、无风险预案，内容空洞的，得1分；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shd w:val="clear" w:color="auto" w:fill="auto"/>
            <w:tcW w:w="63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安装调试方案</w:t>
            </w:r>
            <w:r/>
          </w:p>
        </w:tc>
        <w:tc>
          <w:tcPr>
            <w:shd w:val="clear" w:color="auto" w:fill="auto"/>
            <w:tcW w:w="6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577"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投标人应根据招标文件要求提供安装方案、调试方案、管理方案：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①明确安装实施步骤；②调试流程、校准自检流程完整；③现场安全防护、现场保护措施；④人员资质配置齐全（包含技术人员、持证情况）。方案内容完整的得5分；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具备安装调试流程，安全措施，人员配置，方案中有一项简略的，得3分；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仅简单说明会完成安装调试，无实施步骤、无人员的，得1分；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shd w:val="clear" w:color="auto" w:fill="auto"/>
            <w:tcW w:w="63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质量控制方案</w:t>
            </w:r>
            <w:r/>
          </w:p>
        </w:tc>
        <w:tc>
          <w:tcPr>
            <w:shd w:val="clear" w:color="auto" w:fill="auto"/>
            <w:tcW w:w="6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577"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投标人应根据招标文件要求提供质量控制体系、质量检验标准、质量管理方案：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质量控制体系，质量责任分工及质量管理制度；②有明确的质量检验及合格判定标准；③有全过程质量控制措施；④有质量问题处理机制，明确不合格品的判定、处置及追溯方式。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具备质量控制体系，质量检验标准，全过程控制措施，质量问题处理机制，其中有一项缺失或内容简略的，得3分；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仅简单描述质量控制流程，无检验标准、无责任分工，内容空洞的，得1分；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63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培训及技术支持方案</w:t>
            </w:r>
            <w:r/>
          </w:p>
        </w:tc>
        <w:tc>
          <w:tcPr>
            <w:tcW w:w="6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577"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投标人应根据招标文件要求提供人员培训方案、技术支持方案、采购人所需的技术和学术支持方案：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人员培训方案，明确培训对象、内容、方式、课时安排及考核方式；②有明确的技术支持方案，明确支持渠道、人员及内容；③有采购人所需的技术和学术支持方案，明确可提供的技术资料、专业指导等支持内容；④有培训及技术支持人员配置清单，明确人员资质及职责分工。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具备培训方案，技术支持方案，学术支持方案，人员配置清单，其中有一项缺失或内容简略的，得3分；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仅简单描述提供培训和技术支持，无培训内容、无人员安排，内容空洞的，得1分；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540"/>
        </w:trPr>
        <w:tc>
          <w:tcPr>
            <w:tcW w:w="63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售后服务方案</w:t>
            </w:r>
            <w:r/>
          </w:p>
        </w:tc>
        <w:tc>
          <w:tcPr>
            <w:tcW w:w="6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577"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投标人应根据招标文件要求提供售后方案、售后人员安排、售后响应措施：</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售后服务方案，明确服务范围、服务内容、服务期限；②有明确的售后人员安排，明确售后服务机构、人员配置及联系方式；③有明确的售后响应措施，明确响应时间、到场时间、故障处理时限及处理方式；④有完善的售后保障措施，明确备品备件供应、定期回访、质量跟踪等内容。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具备售后方案，售后人员安排，售后响应措施，售后保障措施，其中有一项缺失或内容简略的，得3分；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仅简单描述提供售后服务，无服务内容、无响应时限，内容空洞的，得1分；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63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应急方案</w:t>
            </w:r>
            <w:r/>
          </w:p>
        </w:tc>
        <w:tc>
          <w:tcPr>
            <w:tcW w:w="6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577"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投标人应根据招标文件要求提供应急预案、应急处理方案、应急人员安排：</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应急预案，及分级响应机制；②有针对性的应急处理方案，明确的处置流程、处置措施及补救办法；③有明确的应急人员安排，明确应急组织架构、人员分工及联络方式；④有应急资源保障，明确应急备货、运力、技术支持等资源储备。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具备应急预案，应急处理方案，应急人员安排，应急资源保障，其中有一项缺失或内容简略的，得3分；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仅简单描述应急处理措施，无应急场景、无人员安排，内容空洞的，得1分；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63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shd w:val="clear" w:color="auto" w:fill="auto"/>
            <w:tcW w:w="150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业绩</w:t>
            </w:r>
            <w:r/>
          </w:p>
        </w:tc>
        <w:tc>
          <w:tcPr>
            <w:shd w:val="clear" w:color="auto" w:fill="auto"/>
            <w:tcW w:w="69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10分</w:t>
            </w:r>
            <w:r/>
          </w:p>
        </w:tc>
        <w:tc>
          <w:tcPr>
            <w:shd w:val="clear" w:color="auto" w:fill="auto"/>
            <w:tcW w:w="6577"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2024年1月1日以来（以合同签订时间为准）所投同品牌同型号产品的销售合同及合同对应的销售发票，每一份得2分，最高得10分。（投标文件中提供包含双方签章并且显示品牌型号的合同复印件及合同对应显示型号的销售发票。提供不全的不得分，原件标后备查）</w:t>
            </w:r>
            <w:r/>
          </w:p>
        </w:tc>
      </w:tr>
    </w:tbl>
    <w:p>
      <w:pPr>
        <w:spacing w:line="360" w:lineRule="auto"/>
        <w:rPr>
          <w:rFonts w:hint="eastAsia" w:ascii="宋体" w:hAnsi="宋体"/>
          <w:b/>
          <w:bCs/>
          <w:color w:val="auto"/>
          <w:highlight w:val="none"/>
          <w:lang w:val="en-US" w:eastAsia="zh-CN"/>
        </w:rPr>
      </w:pPr>
      <w:r>
        <w:rPr>
          <w:rFonts w:hint="eastAsia" w:ascii="宋体" w:hAnsi="宋体"/>
          <w:b/>
          <w:bCs/>
          <w:color w:val="auto"/>
          <w:highlight w:val="none"/>
          <w:lang w:val="en-US" w:eastAsia="zh-CN"/>
        </w:rPr>
      </w:r>
      <w:r/>
    </w:p>
    <w:p>
      <w:pPr>
        <w:spacing w:line="360" w:lineRule="auto"/>
        <w:rPr>
          <w:rFonts w:hint="eastAsia" w:ascii="宋体" w:hAnsi="宋体"/>
          <w:b/>
          <w:bCs/>
          <w:color w:val="auto"/>
          <w:highlight w:val="none"/>
          <w:lang w:val="en-US" w:eastAsia="zh-CN"/>
        </w:rPr>
      </w:pPr>
      <w:r>
        <w:rPr>
          <w:rFonts w:hint="eastAsia" w:ascii="宋体" w:hAnsi="宋体"/>
          <w:b/>
          <w:bCs/>
          <w:color w:val="auto"/>
          <w:highlight w:val="none"/>
          <w:lang w:val="en-US" w:eastAsia="zh-CN"/>
        </w:rPr>
        <w:t xml:space="preserve">包8：电液伺服压力试验机</w:t>
      </w:r>
      <w:r/>
    </w:p>
    <w:tbl>
      <w:tblPr>
        <w:tblStyle w:val="822"/>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500"/>
        <w:gridCol w:w="673"/>
        <w:gridCol w:w="6581"/>
      </w:tblGrid>
      <w:tr>
        <w:trPr>
          <w:jc w:val="center"/>
          <w:trHeight w:val="542"/>
        </w:trPr>
        <w:tc>
          <w:tcPr>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序号</w:t>
            </w:r>
            <w:r/>
          </w:p>
        </w:tc>
        <w:tc>
          <w:tcPr>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评分因素</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分值</w:t>
            </w:r>
            <w:r/>
          </w:p>
        </w:tc>
        <w:tc>
          <w:tcPr>
            <w:tcW w:w="6581"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评分依据</w:t>
            </w:r>
            <w:r/>
          </w:p>
        </w:tc>
      </w:tr>
      <w:tr>
        <w:trPr>
          <w:jc w:val="center"/>
          <w:trHeight w:val="788"/>
        </w:trPr>
        <w:tc>
          <w:tcPr>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6581"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val="0"/>
                <w:color w:val="auto"/>
                <w:sz w:val="21"/>
                <w:szCs w:val="21"/>
                <w:highlight w:val="none"/>
              </w:rPr>
              <w:t xml:space="preserve">价格分采用低价优先法计算，即满足</w:t>
            </w:r>
            <w:r>
              <w:rPr>
                <w:rFonts w:hint="eastAsia" w:ascii="宋体" w:hAnsi="宋体" w:eastAsia="宋体" w:cs="宋体"/>
                <w:bCs w:val="0"/>
                <w:color w:val="auto"/>
                <w:sz w:val="21"/>
                <w:szCs w:val="21"/>
                <w:highlight w:val="none"/>
                <w:lang w:val="en-US" w:eastAsia="zh-CN"/>
              </w:rPr>
              <w:t xml:space="preserve">招标</w:t>
            </w:r>
            <w:r>
              <w:rPr>
                <w:rFonts w:hint="eastAsia" w:ascii="宋体" w:hAnsi="宋体" w:eastAsia="宋体" w:cs="宋体"/>
                <w:bCs w:val="0"/>
                <w:color w:val="auto"/>
                <w:sz w:val="21"/>
                <w:szCs w:val="21"/>
                <w:highlight w:val="none"/>
              </w:rPr>
              <w:t xml:space="preserve">文件要求且</w:t>
            </w:r>
            <w:r>
              <w:rPr>
                <w:rFonts w:hint="eastAsia" w:ascii="宋体" w:hAnsi="宋体" w:eastAsia="宋体" w:cs="宋体"/>
                <w:bCs w:val="0"/>
                <w:color w:val="auto"/>
                <w:sz w:val="21"/>
                <w:szCs w:val="21"/>
                <w:highlight w:val="none"/>
                <w:lang w:val="en-US" w:eastAsia="zh-CN"/>
              </w:rPr>
              <w:t xml:space="preserve">报价</w:t>
            </w:r>
            <w:r>
              <w:rPr>
                <w:rFonts w:hint="eastAsia" w:ascii="宋体" w:hAnsi="宋体" w:eastAsia="宋体" w:cs="宋体"/>
                <w:bCs w:val="0"/>
                <w:color w:val="auto"/>
                <w:sz w:val="21"/>
                <w:szCs w:val="21"/>
                <w:highlight w:val="none"/>
              </w:rPr>
              <w:t xml:space="preserve">最低的报价为评标基准价，其价格分为满分。其他</w:t>
            </w:r>
            <w:r>
              <w:rPr>
                <w:rFonts w:hint="eastAsia" w:ascii="宋体" w:hAnsi="宋体" w:eastAsia="宋体" w:cs="宋体"/>
                <w:bCs w:val="0"/>
                <w:color w:val="auto"/>
                <w:sz w:val="21"/>
                <w:szCs w:val="21"/>
                <w:highlight w:val="none"/>
                <w:lang w:eastAsia="zh-CN"/>
              </w:rPr>
              <w:t xml:space="preserve">投标人</w:t>
            </w:r>
            <w:r>
              <w:rPr>
                <w:rFonts w:hint="eastAsia" w:ascii="宋体" w:hAnsi="宋体" w:eastAsia="宋体" w:cs="宋体"/>
                <w:bCs w:val="0"/>
                <w:color w:val="auto"/>
                <w:sz w:val="21"/>
                <w:szCs w:val="21"/>
                <w:highlight w:val="none"/>
              </w:rPr>
              <w:t xml:space="preserve">的价格分按照下列公式计算，保留小数点后2位：报价得分=（评标基准价／报价）×</w:t>
            </w:r>
            <w:r>
              <w:rPr>
                <w:rFonts w:hint="eastAsia" w:ascii="宋体" w:hAnsi="宋体" w:eastAsia="宋体" w:cs="宋体"/>
                <w:bCs w:val="0"/>
                <w:color w:val="auto"/>
                <w:sz w:val="21"/>
                <w:szCs w:val="21"/>
                <w:highlight w:val="none"/>
                <w:lang w:val="en-US" w:eastAsia="zh-CN"/>
              </w:rPr>
              <w:t xml:space="preserve">30</w:t>
            </w:r>
            <w:r>
              <w:rPr>
                <w:rFonts w:hint="eastAsia" w:ascii="宋体" w:hAnsi="宋体" w:eastAsia="宋体" w:cs="宋体"/>
                <w:bCs w:val="0"/>
                <w:color w:val="auto"/>
                <w:sz w:val="21"/>
                <w:szCs w:val="21"/>
                <w:highlight w:val="none"/>
              </w:rPr>
              <w:t xml:space="preserve">。</w:t>
            </w:r>
            <w:r/>
          </w:p>
        </w:tc>
      </w:tr>
      <w:tr>
        <w:trPr>
          <w:jc w:val="center"/>
          <w:trHeight w:val="788"/>
        </w:trPr>
        <w:tc>
          <w:tcPr>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需求响应</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6581"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完全满足招标文件第四部分采购需求（</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）技术要求</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得满分，</w:t>
            </w:r>
            <w:r>
              <w:rPr>
                <w:rFonts w:hint="eastAsia" w:ascii="宋体" w:hAnsi="宋体" w:eastAsia="宋体" w:cs="宋体"/>
                <w:color w:val="auto"/>
                <w:sz w:val="21"/>
                <w:szCs w:val="21"/>
                <w:highlight w:val="none"/>
                <w:lang w:val="en-US" w:eastAsia="zh-CN"/>
              </w:rPr>
              <w:t xml:space="preserve">★参数</w:t>
            </w:r>
            <w:r>
              <w:rPr>
                <w:rFonts w:hint="eastAsia" w:ascii="宋体" w:hAnsi="宋体" w:eastAsia="宋体" w:cs="宋体"/>
                <w:color w:val="auto"/>
                <w:sz w:val="21"/>
                <w:szCs w:val="21"/>
                <w:highlight w:val="none"/>
              </w:rPr>
              <w:t xml:space="preserve">为核心参数，</w:t>
            </w:r>
            <w:r>
              <w:rPr>
                <w:rFonts w:hint="eastAsia" w:ascii="宋体" w:hAnsi="宋体" w:eastAsia="宋体" w:cs="宋体"/>
                <w:color w:val="auto"/>
                <w:sz w:val="21"/>
                <w:szCs w:val="21"/>
                <w:highlight w:val="none"/>
                <w:lang w:val="en-US" w:eastAsia="zh-CN"/>
              </w:rPr>
              <w:t xml:space="preserve">不得出现负偏离，否则将作无效投标处理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▲参数为重要参数，全部满足得24分，每负偏离一项扣3分；其余参数为一般参数，全部满足得6分，每负偏离一项扣2分</w:t>
            </w:r>
            <w:r>
              <w:rPr>
                <w:rFonts w:hint="eastAsia" w:ascii="宋体" w:hAnsi="宋体" w:eastAsia="宋体" w:cs="宋体"/>
                <w:color w:val="auto"/>
                <w:sz w:val="21"/>
                <w:szCs w:val="21"/>
                <w:highlight w:val="none"/>
              </w:rPr>
              <w:t xml:space="preserve">。</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注：★、▲参数以及采购需求中明确要求提供证明材料的，须按要求在投标文件中提供证明材料，且均须在技术响应偏差表详尽真实地提供偏差情况及证明材料页码，否则视为负偏离。</w:t>
            </w:r>
            <w:r/>
          </w:p>
        </w:tc>
      </w:tr>
      <w:tr>
        <w:trPr>
          <w:jc w:val="center"/>
          <w:trHeight w:val="507"/>
        </w:trPr>
        <w:tc>
          <w:tcPr>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项目交货方案</w:t>
            </w:r>
            <w:r/>
          </w:p>
        </w:tc>
        <w:tc>
          <w:tcPr>
            <w:shd w:val="clear" w:color="auto" w:fill="auto"/>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581"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投标人应根据招标文件要求提供项目交货方案、进度方案、防护方案：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①有完整供货进度计划，明确生产、备货、物流、到货各节点时间；②有设备防护、运输防震防潮保护措施；③有缺货或延期备选预案；④有供货组织人员配置清单。方案内容完整、可落地得5分；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具备供货进度计划，运输防护措施，人员配置，备选预案有一项缺失或内容简略的，得3分；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仅简单描述供货流程，无时间节点、无风险预案，内容空洞的，得1分；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shd w:val="clear" w:color="auto" w:fill="auto"/>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安装调试方案</w:t>
            </w:r>
            <w:r/>
          </w:p>
        </w:tc>
        <w:tc>
          <w:tcPr>
            <w:shd w:val="clear" w:color="auto" w:fill="auto"/>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581"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投标人应根据招标文件要求提供安装方案、调试方案、管理方案：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①明确安装实施步骤；②调试流程、校准自检流程完整；③现场安全防护、现场保护措施；④人员资质配置齐全（包含技术人员、持证情况）。方案内容完整的得5分；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具备安装调试流程，安全措施，人员配置，方案中有一项简略的，得3分；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仅简单说明会完成安装调试，无实施步骤、无人员的，得1分；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shd w:val="clear" w:color="auto" w:fill="auto"/>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质量控制方案</w:t>
            </w:r>
            <w:r/>
          </w:p>
        </w:tc>
        <w:tc>
          <w:tcPr>
            <w:shd w:val="clear" w:color="auto" w:fill="auto"/>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581"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投标人应根据招标文件要求提供质量控制体系、质量检验标准、质量管理方案：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质量控制体系，质量责任分工及质量管理制度；②有明确的质量检验及合格判定标准；③有全过程质量控制措施；④有质量问题处理机制，明确不合格品的判定、处置及追溯方式。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具备质量控制体系，质量检验标准，全过程控制措施，质量问题处理机制，其中有一项缺失或内容简略的，得3分；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仅简单描述质量控制流程，无检验标准、无责任分工，内容空洞的，得1分；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培训及技术支持方案</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581"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投标人应根据招标文件要求提供人员培训方案、技术支持方案、采购人所需的技术和学术支持方案：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人员培训方案，明确培训对象、内容、方式、课时安排及考核方式；②有明确的技术支持方案，明确支持渠道、人员及内容；③有采购人所需的技术和学术支持方案，明确可提供的技术资料、专业指导等支持内容；④有培训及技术支持人员配置清单，明确人员资质及职责分工。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具备培训方案，技术支持方案，学术支持方案，人员配置清单，其中有一项缺失或内容简略的，得3分；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仅简单描述提供培训和技术支持，无培训内容、无人员安排，内容空洞的，得1分；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540"/>
        </w:trPr>
        <w:tc>
          <w:tcPr>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售后服务方案</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581"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投标人应根据招标文件要求提供售后方案、售后人员安排、售后响应措施：</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售后服务方案，明确服务范围、服务内容、服务期限；②有明确的售后人员安排，明确售后服务机构、人员配置及联系方式；③有明确的售后响应措施，明确响应时间、到场时间、故障处理时限及处理方式；④有完善的售后保障措施，明确备品备件供应、定期回访、质量跟踪等内容。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具备售后方案，售后人员安排，售后响应措施，售后保障措施，其中有一项缺失或内容简略的，得3分；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仅简单描述提供售后服务，无服务内容、无响应时限，内容空洞的，得1分；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应急方案</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581"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投标人应根据招标文件要求提供应急预案、应急处理方案、应急人员安排：</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应急预案，及分级响应机制；②有针对性的应急处理方案，明确的处置流程、处置措施及补救办法；③有明确的应急人员安排，明确应急组织架构、人员分工及联络方式；④有应急资源保障，明确应急备货、运力、技术支持等资源储备。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具备应急预案，应急处理方案，应急人员安排，应急资源保障，其中有一项缺失或内容简略的，得3分；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仅简单描述应急处理措施，无应急场景、无人员安排，内容空洞的，得1分；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shd w:val="clear" w:color="auto" w:fill="auto"/>
            <w:tcW w:w="150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业绩</w:t>
            </w:r>
            <w:r/>
          </w:p>
        </w:tc>
        <w:tc>
          <w:tcPr>
            <w:shd w:val="clear" w:color="auto" w:fill="auto"/>
            <w:tcW w:w="67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10分</w:t>
            </w:r>
            <w:r/>
          </w:p>
        </w:tc>
        <w:tc>
          <w:tcPr>
            <w:shd w:val="clear" w:color="auto" w:fill="auto"/>
            <w:tcW w:w="6581"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2024年1月1日以来（以合同签订时间为准）所投同品牌同型号产品的销售合同及合同对应的销售发票，每一份得2分，最高得10分。（投标文件中提供包含双方签章并且显示品牌型号的合同复印件及合同对应显示型号的销售发票。提供不全的不得分，原件标后备查）</w:t>
            </w:r>
            <w:r/>
          </w:p>
        </w:tc>
      </w:tr>
    </w:tbl>
    <w:p>
      <w:pPr>
        <w:pStyle w:val="1138"/>
        <w:ind w:firstLine="422"/>
        <w:spacing w:before="0" w:after="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r>
      <w:r/>
    </w:p>
    <w:p>
      <w:pPr>
        <w:pStyle w:val="1138"/>
        <w:ind w:firstLine="422"/>
        <w:spacing w:before="0" w:after="0"/>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包9：紫外-可见光谱仪</w:t>
      </w:r>
      <w:r/>
    </w:p>
    <w:tbl>
      <w:tblPr>
        <w:tblStyle w:val="822"/>
        <w:tblW w:w="94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7"/>
        <w:gridCol w:w="1530"/>
        <w:gridCol w:w="645"/>
        <w:gridCol w:w="6645"/>
      </w:tblGrid>
      <w:tr>
        <w:trPr>
          <w:jc w:val="center"/>
          <w:trHeight w:val="542"/>
        </w:trPr>
        <w:tc>
          <w:tcPr>
            <w:tcW w:w="627"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530"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W w:w="645"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W w:w="6645"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评分依据</w:t>
            </w:r>
            <w:r/>
          </w:p>
        </w:tc>
      </w:tr>
      <w:tr>
        <w:trPr>
          <w:jc w:val="center"/>
          <w:trHeight w:val="788"/>
        </w:trPr>
        <w:tc>
          <w:tcPr>
            <w:tcW w:w="62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W w:w="153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tc>
        <w:tc>
          <w:tcPr>
            <w:tcW w:w="64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664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val="0"/>
                <w:color w:val="auto"/>
                <w:sz w:val="21"/>
                <w:szCs w:val="21"/>
                <w:highlight w:val="none"/>
              </w:rPr>
              <w:t xml:space="preserve">价格分采用低价优先法计算，即满足</w:t>
            </w:r>
            <w:r>
              <w:rPr>
                <w:rFonts w:hint="eastAsia" w:ascii="宋体" w:hAnsi="宋体" w:eastAsia="宋体" w:cs="宋体"/>
                <w:bCs w:val="0"/>
                <w:color w:val="auto"/>
                <w:sz w:val="21"/>
                <w:szCs w:val="21"/>
                <w:highlight w:val="none"/>
                <w:lang w:val="en-US" w:eastAsia="zh-CN"/>
              </w:rPr>
              <w:t xml:space="preserve">招标</w:t>
            </w:r>
            <w:r>
              <w:rPr>
                <w:rFonts w:hint="eastAsia" w:ascii="宋体" w:hAnsi="宋体" w:eastAsia="宋体" w:cs="宋体"/>
                <w:bCs w:val="0"/>
                <w:color w:val="auto"/>
                <w:sz w:val="21"/>
                <w:szCs w:val="21"/>
                <w:highlight w:val="none"/>
              </w:rPr>
              <w:t xml:space="preserve">文件要求且</w:t>
            </w:r>
            <w:r>
              <w:rPr>
                <w:rFonts w:hint="eastAsia" w:ascii="宋体" w:hAnsi="宋体" w:eastAsia="宋体" w:cs="宋体"/>
                <w:bCs w:val="0"/>
                <w:color w:val="auto"/>
                <w:sz w:val="21"/>
                <w:szCs w:val="21"/>
                <w:highlight w:val="none"/>
                <w:lang w:val="en-US" w:eastAsia="zh-CN"/>
              </w:rPr>
              <w:t xml:space="preserve">报价</w:t>
            </w:r>
            <w:r>
              <w:rPr>
                <w:rFonts w:hint="eastAsia" w:ascii="宋体" w:hAnsi="宋体" w:eastAsia="宋体" w:cs="宋体"/>
                <w:bCs w:val="0"/>
                <w:color w:val="auto"/>
                <w:sz w:val="21"/>
                <w:szCs w:val="21"/>
                <w:highlight w:val="none"/>
              </w:rPr>
              <w:t xml:space="preserve">最低的报价为评标基准价，其价格分为满分。其他</w:t>
            </w:r>
            <w:r>
              <w:rPr>
                <w:rFonts w:hint="eastAsia" w:ascii="宋体" w:hAnsi="宋体" w:eastAsia="宋体" w:cs="宋体"/>
                <w:bCs w:val="0"/>
                <w:color w:val="auto"/>
                <w:sz w:val="21"/>
                <w:szCs w:val="21"/>
                <w:highlight w:val="none"/>
                <w:lang w:eastAsia="zh-CN"/>
              </w:rPr>
              <w:t xml:space="preserve">投标人</w:t>
            </w:r>
            <w:r>
              <w:rPr>
                <w:rFonts w:hint="eastAsia" w:ascii="宋体" w:hAnsi="宋体" w:eastAsia="宋体" w:cs="宋体"/>
                <w:bCs w:val="0"/>
                <w:color w:val="auto"/>
                <w:sz w:val="21"/>
                <w:szCs w:val="21"/>
                <w:highlight w:val="none"/>
              </w:rPr>
              <w:t xml:space="preserve">的价格分按照下列公式计算，保留小数点后2位：报价得分=（评标基准价／报价）×</w:t>
            </w:r>
            <w:r>
              <w:rPr>
                <w:rFonts w:hint="eastAsia" w:ascii="宋体" w:hAnsi="宋体" w:eastAsia="宋体" w:cs="宋体"/>
                <w:bCs w:val="0"/>
                <w:color w:val="auto"/>
                <w:sz w:val="21"/>
                <w:szCs w:val="21"/>
                <w:highlight w:val="none"/>
                <w:lang w:val="en-US" w:eastAsia="zh-CN"/>
              </w:rPr>
              <w:t xml:space="preserve">30</w:t>
            </w:r>
            <w:r>
              <w:rPr>
                <w:rFonts w:hint="eastAsia" w:ascii="宋体" w:hAnsi="宋体" w:eastAsia="宋体" w:cs="宋体"/>
                <w:bCs w:val="0"/>
                <w:color w:val="auto"/>
                <w:sz w:val="21"/>
                <w:szCs w:val="21"/>
                <w:highlight w:val="none"/>
              </w:rPr>
              <w:t xml:space="preserve">。</w:t>
            </w:r>
            <w:r/>
          </w:p>
        </w:tc>
      </w:tr>
      <w:tr>
        <w:trPr>
          <w:jc w:val="center"/>
          <w:trHeight w:val="788"/>
        </w:trPr>
        <w:tc>
          <w:tcPr>
            <w:tcW w:w="62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W w:w="153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需求响应</w:t>
            </w:r>
            <w:r/>
          </w:p>
        </w:tc>
        <w:tc>
          <w:tcPr>
            <w:tcW w:w="64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664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完全满足招标文件第四部分采购需求（</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）技术要求</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得满分，</w:t>
            </w:r>
            <w:r>
              <w:rPr>
                <w:rFonts w:hint="eastAsia" w:ascii="宋体" w:hAnsi="宋体" w:eastAsia="宋体" w:cs="宋体"/>
                <w:color w:val="auto"/>
                <w:sz w:val="21"/>
                <w:szCs w:val="21"/>
                <w:highlight w:val="none"/>
                <w:lang w:val="en-US" w:eastAsia="zh-CN"/>
              </w:rPr>
              <w:t xml:space="preserve">★参数</w:t>
            </w:r>
            <w:r>
              <w:rPr>
                <w:rFonts w:hint="eastAsia" w:ascii="宋体" w:hAnsi="宋体" w:eastAsia="宋体" w:cs="宋体"/>
                <w:color w:val="auto"/>
                <w:sz w:val="21"/>
                <w:szCs w:val="21"/>
                <w:highlight w:val="none"/>
              </w:rPr>
              <w:t xml:space="preserve">为核心参数，</w:t>
            </w:r>
            <w:r>
              <w:rPr>
                <w:rFonts w:hint="eastAsia" w:ascii="宋体" w:hAnsi="宋体" w:eastAsia="宋体" w:cs="宋体"/>
                <w:color w:val="auto"/>
                <w:sz w:val="21"/>
                <w:szCs w:val="21"/>
                <w:highlight w:val="none"/>
                <w:lang w:val="en-US" w:eastAsia="zh-CN"/>
              </w:rPr>
              <w:t xml:space="preserve">不得出现负偏离，否则将作无效投标处理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▲参数为重要参数，全部满足得28分，每负偏离一项扣4分；其余参数为一般参数，全部满足得2分每负偏离一项扣1分</w:t>
            </w:r>
            <w:r>
              <w:rPr>
                <w:rFonts w:hint="eastAsia" w:ascii="宋体" w:hAnsi="宋体" w:eastAsia="宋体" w:cs="宋体"/>
                <w:color w:val="auto"/>
                <w:sz w:val="21"/>
                <w:szCs w:val="21"/>
                <w:highlight w:val="none"/>
              </w:rPr>
              <w:t xml:space="preserve">。</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注：★、▲参数以及采购需求中明确要求提供证明材料的，须按要求在投标文件中提供证明材料，且均须在技术响应偏差表详尽真实地提供偏差情况及证明材料页码，否则视为负偏离。</w:t>
            </w:r>
            <w:r/>
          </w:p>
        </w:tc>
      </w:tr>
      <w:tr>
        <w:trPr>
          <w:jc w:val="center"/>
          <w:trHeight w:val="507"/>
        </w:trPr>
        <w:tc>
          <w:tcPr>
            <w:tcW w:w="62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shd w:val="clear" w:color="auto" w:fill="auto"/>
            <w:tcW w:w="153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项目交货方案</w:t>
            </w:r>
            <w:r/>
          </w:p>
        </w:tc>
        <w:tc>
          <w:tcPr>
            <w:shd w:val="clear" w:color="auto" w:fill="auto"/>
            <w:tcW w:w="64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64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投标人应根据招标文件要求提供项目交货方案、进度方案、防护方案：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①有完整供货进度计划，明确生产、备货、物流、到货各节点时间；②有设备防护、运输防震防潮保护措施；③有缺货或延期备选预案；④有供货组织人员配置清单。方案内容完整、可落地得5分；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具备供货进度计划，运输防护措施，人员配置，备选预案有一项缺失或内容简略的，得3分；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仅简单描述供货流程，无时间节点、无风险预案，内容空洞的，得1分；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shd w:val="clear" w:color="auto" w:fill="auto"/>
            <w:tcW w:w="62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shd w:val="clear" w:color="auto" w:fill="auto"/>
            <w:tcW w:w="153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安装调试方案</w:t>
            </w:r>
            <w:r/>
          </w:p>
        </w:tc>
        <w:tc>
          <w:tcPr>
            <w:shd w:val="clear" w:color="auto" w:fill="auto"/>
            <w:tcW w:w="64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64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投标人应根据招标文件要求提供安装方案、调试方案、管理方案：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①明确安装实施步骤；②调试流程、校准自检流程完整；③现场安全防护、现场保护措施；④人员资质配置齐全（包含技术人员、持证情况）。方案内容完整的得5分；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具备安装调试流程，安全措施，人员配置，方案中有一项简略的，得3分；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仅简单说明会完成安装调试，无实施步骤、无人员的，得1分；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shd w:val="clear" w:color="auto" w:fill="auto"/>
            <w:tcW w:w="62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shd w:val="clear" w:color="auto" w:fill="auto"/>
            <w:tcW w:w="153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质量控制方案</w:t>
            </w:r>
            <w:r/>
          </w:p>
        </w:tc>
        <w:tc>
          <w:tcPr>
            <w:shd w:val="clear" w:color="auto" w:fill="auto"/>
            <w:tcW w:w="64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64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投标人应根据招标文件要求提供质量控制体系、质量检验标准、质量管理方案：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质量控制体系，质量责任分工及质量管理制度；②有明确的质量检验及合格判定标准；③有全过程质量控制措施；④有质量问题处理机制，明确不合格品的判定、处置及追溯方式。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具备质量控制体系，质量检验标准，全过程控制措施，质量问题处理机制，其中有一项缺失或内容简略的，得3分；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仅简单描述质量控制流程，无检验标准、无责任分工，内容空洞的，得1分；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62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shd w:val="clear" w:color="auto" w:fill="auto"/>
            <w:tcW w:w="153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培训及技术支持方案</w:t>
            </w:r>
            <w:r/>
          </w:p>
        </w:tc>
        <w:tc>
          <w:tcPr>
            <w:tcW w:w="64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64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投标人应根据招标文件要求提供人员培训方案、技术支持方案、采购人所需的技术和学术支持方案：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人员培训方案，明确培训对象、内容、方式、课时安排及考核方式；②有明确的技术支持方案，明确支持渠道、人员及内容；③有采购人所需的技术和学术支持方案，明确可提供的技术资料、专业指导等支持内容；④有培训及技术支持人员配置清单，明确人员资质及职责分工。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具备培训方案，技术支持方案，学术支持方案，人员配置清单，其中有一项缺失或内容简略的，得3分；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仅简单描述提供培训和技术支持，无培训内容、无人员安排，内容空洞的，得1分；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540"/>
        </w:trPr>
        <w:tc>
          <w:tcPr>
            <w:tcW w:w="62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shd w:val="clear" w:color="auto" w:fill="auto"/>
            <w:tcW w:w="153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售后服务方案</w:t>
            </w:r>
            <w:r/>
          </w:p>
        </w:tc>
        <w:tc>
          <w:tcPr>
            <w:tcW w:w="64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64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投标人应根据招标文件要求提供售后方案、售后人员安排、售后响应措施：</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售后服务方案，明确服务范围、服务内容、服务期限；②有明确的售后人员安排，明确售后服务机构、人员配置及联系方式；③有明确的售后响应措施，明确响应时间、到场时间、故障处理时限及处理方式；④有完善的售后保障措施，明确备品备件供应、定期回访、质量跟踪等内容。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具备售后方案，售后人员安排，售后响应措施，售后保障措施，其中有一项缺失或内容简略的，得3分；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仅简单描述提供售后服务，无服务内容、无响应时限，内容空洞的，得1分；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62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shd w:val="clear" w:color="auto" w:fill="auto"/>
            <w:tcW w:w="153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应急方案</w:t>
            </w:r>
            <w:r/>
          </w:p>
        </w:tc>
        <w:tc>
          <w:tcPr>
            <w:tcW w:w="64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64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投标人应根据招标文件要求提供应急预案、应急处理方案、应急人员安排：</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应急预案，及分级响应机制；②有针对性的应急处理方案，明确的处置流程、处置措施及补救办法；③有明确的应急人员安排，明确应急组织架构、人员分工及联络方式；④有应急资源保障，明确应急备货、运力、技术支持等资源储备。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具备应急预案，应急处理方案，应急人员安排，应急资源保障，其中有一项缺失或内容简略的，得3分；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仅简单描述应急处理措施，无应急场景、无人员安排，内容空洞的，得1分；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62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shd w:val="clear" w:color="auto" w:fill="auto"/>
            <w:tcW w:w="153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业绩</w:t>
            </w:r>
            <w:r/>
          </w:p>
        </w:tc>
        <w:tc>
          <w:tcPr>
            <w:shd w:val="clear" w:color="auto" w:fill="auto"/>
            <w:tcW w:w="64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10分</w:t>
            </w:r>
            <w:r/>
          </w:p>
        </w:tc>
        <w:tc>
          <w:tcPr>
            <w:shd w:val="clear" w:color="auto" w:fill="auto"/>
            <w:tcW w:w="6645"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2024年1月1日以来（以合同签订时间为准）所投同品牌同型号产品的销售合同及合同对应的销售发票，每一份得2分，最高得10分。（投标文件中提供包含双方签章并且显示品牌型号的合同复印件及合同对应显示型号的销售发票。提供不全的不得分，原件标后备查）</w:t>
            </w:r>
            <w:r/>
          </w:p>
        </w:tc>
      </w:tr>
    </w:tbl>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pStyle w:val="812"/>
        <w:jc w:val="center"/>
        <w:rPr>
          <w:rFonts w:ascii="宋体" w:hAnsi="宋体"/>
          <w:color w:val="auto"/>
          <w:highlight w:val="none"/>
        </w:rPr>
      </w:pPr>
      <w:r>
        <w:rPr>
          <w:rFonts w:hint="eastAsia" w:ascii="宋体" w:hAnsi="宋体"/>
          <w:color w:val="auto"/>
          <w:highlight w:val="none"/>
        </w:rPr>
        <w:t xml:space="preserve">第六章 投标文件格式 </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br w:type="page" w:clear="all"/>
      </w: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813"/>
        <w:numPr>
          <w:ilvl w:val="0"/>
          <w:numId w:val="0"/>
        </w:numPr>
        <w:jc w:val="center"/>
        <w:rPr>
          <w:rFonts w:ascii="宋体" w:hAnsi="宋体"/>
          <w:b w:val="0"/>
          <w:color w:val="auto"/>
          <w:sz w:val="32"/>
          <w:szCs w:val="32"/>
          <w:highlight w:val="none"/>
        </w:rPr>
      </w:pPr>
      <w:r>
        <w:rPr>
          <w:rFonts w:hint="eastAsia" w:ascii="宋体" w:hAnsi="宋体"/>
          <w:color w:val="auto"/>
          <w:sz w:val="32"/>
          <w:szCs w:val="32"/>
          <w:highlight w:val="none"/>
        </w:rPr>
        <w:br w:type="page" w:clear="all"/>
      </w:r>
      <w:r>
        <w:rPr>
          <w:rFonts w:hint="eastAsia" w:ascii="宋体" w:hAnsi="宋体"/>
          <w:bCs w:val="0"/>
          <w:color w:val="auto"/>
          <w:sz w:val="32"/>
          <w:szCs w:val="32"/>
          <w:highlight w:val="none"/>
        </w:rPr>
        <w:t xml:space="preserve">一、资格审查响应对照表</w:t>
      </w:r>
      <w:r/>
    </w:p>
    <w:tbl>
      <w:tblPr>
        <w:tblStyle w:val="822"/>
        <w:tblW w:w="8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keepLines w:val="0"/>
              <w:keepNext w:val="0"/>
              <w:pageBreakBefore w:val="0"/>
              <w:spacing w:line="24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2158" w:type="dxa"/>
            <w:vAlign w:val="center"/>
            <w:textDirection w:val="lrTb"/>
            <w:noWrap w:val="false"/>
          </w:tcPr>
          <w:p>
            <w:pPr>
              <w:jc w:val="center"/>
              <w:keepLines w:val="0"/>
              <w:keepNext w:val="0"/>
              <w:pageBreakBefore w:val="0"/>
              <w:spacing w:line="24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keepLines w:val="0"/>
              <w:keepNext w:val="0"/>
              <w:pageBreakBefore w:val="0"/>
              <w:spacing w:line="24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jc w:val="center"/>
          <w:trHeight w:val="567"/>
        </w:trPr>
        <w:tc>
          <w:tcPr>
            <w:gridSpan w:val="3"/>
            <w:tcW w:w="8251" w:type="dxa"/>
            <w:vAlign w:val="center"/>
            <w:textDirection w:val="lrTb"/>
            <w:noWrap w:val="false"/>
          </w:tcPr>
          <w:p>
            <w:pPr>
              <w:jc w:val="left"/>
              <w:keepLines w:val="0"/>
              <w:keepNext w:val="0"/>
              <w:pageBreakBefore w:val="0"/>
              <w:spacing w:line="240" w:lineRule="auto"/>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通用资格条件</w:t>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b/>
                <w:color w:val="auto"/>
                <w:szCs w:val="21"/>
                <w:highlight w:val="none"/>
              </w:rPr>
            </w:pPr>
            <w:r>
              <w:rPr>
                <w:rFonts w:hint="eastAsia" w:ascii="宋体" w:hAnsi="宋体" w:cs="宋体"/>
                <w:color w:val="auto"/>
                <w:szCs w:val="21"/>
                <w:highlight w:val="none"/>
              </w:rPr>
              <w:t xml:space="preserve">1</w:t>
            </w:r>
            <w:r/>
          </w:p>
        </w:tc>
        <w:tc>
          <w:tcPr>
            <w:tcW w:w="544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Cs/>
                <w:i w:val="0"/>
                <w:iCs/>
                <w:color w:val="auto"/>
                <w:highlight w:val="none"/>
                <w:u w:val="none"/>
                <w:lang w:eastAsia="zh-CN"/>
              </w:rPr>
            </w:pPr>
            <w:r>
              <w:rPr>
                <w:rFonts w:hint="eastAsia" w:ascii="宋体" w:hAnsi="宋体" w:eastAsia="宋体" w:cs="宋体"/>
                <w:bCs/>
                <w:i w:val="0"/>
                <w:iCs/>
                <w:color w:val="auto"/>
                <w:highlight w:val="none"/>
                <w:u w:val="none"/>
                <w:lang w:eastAsia="zh-CN"/>
              </w:rPr>
              <w:t xml:space="preserve">法人或者其他组织的营业执照等证明文件，自然人的身份证明</w:t>
            </w:r>
            <w:r/>
          </w:p>
        </w:tc>
        <w:tc>
          <w:tcPr>
            <w:tcW w:w="2158" w:type="dxa"/>
            <w:vAlign w:val="center"/>
            <w:textDirection w:val="lrTb"/>
            <w:noWrap w:val="false"/>
          </w:tcPr>
          <w:p>
            <w:pPr>
              <w:keepLines w:val="0"/>
              <w:keepNext w:val="0"/>
              <w:pageBreakBefore w:val="0"/>
              <w:spacing w:line="240" w:lineRule="auto"/>
              <w:widowControl w:val="off"/>
              <w:rPr>
                <w:rFonts w:ascii="宋体" w:hAnsi="宋体"/>
                <w:b/>
                <w:color w:val="auto"/>
                <w:szCs w:val="21"/>
                <w:highlight w:val="none"/>
              </w:rPr>
            </w:pPr>
            <w:r>
              <w:rPr>
                <w:rFonts w:ascii="宋体" w:hAnsi="宋体"/>
                <w:b/>
                <w:color w:val="auto"/>
                <w:szCs w:val="21"/>
                <w:highlight w:val="none"/>
              </w:rPr>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544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Cs/>
                <w:i w:val="0"/>
                <w:iCs/>
                <w:color w:val="auto"/>
                <w:highlight w:val="none"/>
                <w:u w:val="none"/>
                <w:lang w:eastAsia="zh-CN"/>
              </w:rPr>
            </w:pPr>
            <w:r>
              <w:rPr>
                <w:rFonts w:hint="eastAsia" w:ascii="宋体" w:hAnsi="宋体" w:eastAsia="宋体" w:cs="宋体"/>
                <w:bCs/>
                <w:i w:val="0"/>
                <w:iCs/>
                <w:color w:val="auto"/>
                <w:highlight w:val="none"/>
                <w:u w:val="none"/>
                <w:lang w:eastAsia="zh-CN"/>
              </w:rPr>
              <w:t xml:space="preserve">依法缴纳职工社会保障资金的证明材料(税务、银行或社会保险基金管理部门出具的近</w:t>
            </w:r>
            <w:r>
              <w:rPr>
                <w:rFonts w:hint="eastAsia" w:ascii="宋体" w:hAnsi="宋体" w:eastAsia="宋体" w:cs="宋体"/>
                <w:bCs/>
                <w:i w:val="0"/>
                <w:iCs/>
                <w:color w:val="auto"/>
                <w:highlight w:val="none"/>
                <w:u w:val="none"/>
                <w:lang w:val="en-US" w:eastAsia="zh-CN"/>
              </w:rPr>
              <w:t xml:space="preserve">一年内</w:t>
            </w:r>
            <w:r>
              <w:rPr>
                <w:rFonts w:hint="eastAsia" w:ascii="宋体" w:hAnsi="宋体" w:eastAsia="宋体" w:cs="宋体"/>
                <w:bCs/>
                <w:i w:val="0"/>
                <w:iCs/>
                <w:color w:val="auto"/>
                <w:highlight w:val="none"/>
                <w:u w:val="none"/>
                <w:lang w:eastAsia="zh-CN"/>
              </w:rPr>
              <w:t xml:space="preserve">内任意一个月缴纳职工社会保障资金的缴款凭证或缴款证明)（投标人依法享受缓缴、免缴的提供证明材料）</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544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Cs/>
                <w:i w:val="0"/>
                <w:iCs/>
                <w:color w:val="auto"/>
                <w:highlight w:val="none"/>
                <w:u w:val="none"/>
                <w:lang w:eastAsia="zh-CN"/>
              </w:rPr>
            </w:pPr>
            <w:r>
              <w:rPr>
                <w:rFonts w:hint="eastAsia" w:ascii="宋体" w:hAnsi="宋体" w:eastAsia="宋体" w:cs="宋体"/>
                <w:bCs/>
                <w:i w:val="0"/>
                <w:iCs/>
                <w:color w:val="auto"/>
                <w:highlight w:val="none"/>
                <w:u w:val="none"/>
                <w:lang w:eastAsia="zh-CN"/>
              </w:rPr>
              <w:t xml:space="preserve">投标人近一年内任意一</w:t>
            </w:r>
            <w:r>
              <w:rPr>
                <w:rFonts w:hint="eastAsia" w:ascii="宋体" w:hAnsi="宋体" w:eastAsia="宋体" w:cs="宋体"/>
                <w:bCs/>
                <w:i w:val="0"/>
                <w:iCs/>
                <w:color w:val="auto"/>
                <w:highlight w:val="none"/>
                <w:u w:val="none"/>
                <w:lang w:val="en-US" w:eastAsia="zh-CN"/>
              </w:rPr>
              <w:t xml:space="preserve">个月</w:t>
            </w:r>
            <w:r>
              <w:rPr>
                <w:rFonts w:hint="eastAsia" w:ascii="宋体" w:hAnsi="宋体" w:eastAsia="宋体" w:cs="宋体"/>
                <w:bCs/>
                <w:i w:val="0"/>
                <w:iCs/>
                <w:color w:val="auto"/>
                <w:highlight w:val="none"/>
                <w:u w:val="none"/>
                <w:lang w:eastAsia="zh-CN"/>
              </w:rPr>
              <w:t xml:space="preserve">依法纳税的缴款凭证（投标人依法享受缓缴、免缴的提供证明材料）</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544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Cs/>
                <w:i w:val="0"/>
                <w:iCs/>
                <w:color w:val="auto"/>
                <w:highlight w:val="none"/>
                <w:u w:val="none"/>
                <w:lang w:eastAsia="zh-CN"/>
              </w:rPr>
            </w:pPr>
            <w:r>
              <w:rPr>
                <w:rFonts w:hint="eastAsia" w:ascii="宋体" w:hAnsi="宋体" w:eastAsia="宋体" w:cs="宋体"/>
                <w:bCs/>
                <w:i w:val="0"/>
                <w:iCs/>
                <w:color w:val="auto"/>
                <w:highlight w:val="none"/>
                <w:u w:val="none"/>
                <w:lang w:eastAsia="zh-CN"/>
              </w:rPr>
              <w:t xml:space="preserve">上一年度的财务报告情况（成立不满一年不需提供）</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544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Cs/>
                <w:i w:val="0"/>
                <w:iCs/>
                <w:color w:val="auto"/>
                <w:highlight w:val="none"/>
                <w:u w:val="none"/>
                <w:lang w:eastAsia="zh-CN"/>
              </w:rPr>
            </w:pPr>
            <w:r>
              <w:rPr>
                <w:rFonts w:hint="eastAsia" w:ascii="宋体" w:hAnsi="宋体" w:eastAsia="宋体" w:cs="宋体"/>
                <w:bCs/>
                <w:i w:val="0"/>
                <w:iCs/>
                <w:color w:val="auto"/>
                <w:highlight w:val="none"/>
                <w:u w:val="none"/>
                <w:lang w:eastAsia="zh-CN"/>
              </w:rPr>
              <w:t xml:space="preserve">具备履行合同所必需的设备和专业技术能力的证明材料</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544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Cs/>
                <w:i w:val="0"/>
                <w:iCs/>
                <w:color w:val="auto"/>
                <w:highlight w:val="none"/>
                <w:u w:val="none"/>
                <w:lang w:eastAsia="zh-CN"/>
              </w:rPr>
            </w:pPr>
            <w:r>
              <w:rPr>
                <w:rFonts w:hint="eastAsia" w:ascii="宋体" w:hAnsi="宋体" w:eastAsia="宋体" w:cs="宋体"/>
                <w:bCs/>
                <w:i w:val="0"/>
                <w:iCs/>
                <w:color w:val="auto"/>
                <w:highlight w:val="none"/>
                <w:u w:val="none"/>
                <w:lang w:eastAsia="zh-CN"/>
              </w:rPr>
              <w:t xml:space="preserve">参加本次政府采购活动前3年内在经营活动中没有重大违法记录的书面声明</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544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Cs/>
                <w:i w:val="0"/>
                <w:iCs/>
                <w:color w:val="auto"/>
                <w:highlight w:val="none"/>
                <w:u w:val="none"/>
                <w:lang w:eastAsia="zh-CN"/>
              </w:rPr>
            </w:pPr>
            <w:r>
              <w:rPr>
                <w:rFonts w:hint="eastAsia" w:ascii="宋体" w:hAnsi="宋体" w:eastAsia="宋体" w:cs="宋体"/>
                <w:bCs/>
                <w:i w:val="0"/>
                <w:iCs/>
                <w:color w:val="auto"/>
                <w:highlight w:val="none"/>
                <w:u w:val="none"/>
                <w:lang w:eastAsia="zh-CN"/>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5447"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i w:val="0"/>
                <w:iCs/>
                <w:color w:val="auto"/>
                <w:highlight w:val="none"/>
                <w:u w:val="none"/>
                <w:lang w:eastAsia="zh-CN"/>
              </w:rPr>
            </w:pPr>
            <w:r>
              <w:rPr>
                <w:rFonts w:hint="eastAsia" w:ascii="宋体" w:hAnsi="宋体" w:eastAsia="宋体" w:cs="宋体"/>
                <w:bCs/>
                <w:i w:val="0"/>
                <w:iCs/>
                <w:color w:val="auto"/>
                <w:highlight w:val="none"/>
                <w:u w:val="none"/>
                <w:lang w:eastAsia="zh-CN"/>
              </w:rPr>
              <w:t xml:space="preserve">供应商信用承诺函</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jc w:val="center"/>
          <w:trHeight w:val="567"/>
        </w:trPr>
        <w:tc>
          <w:tcPr>
            <w:gridSpan w:val="3"/>
            <w:tcW w:w="8251" w:type="dxa"/>
            <w:vAlign w:val="center"/>
            <w:textDirection w:val="lrTb"/>
            <w:noWrap w:val="false"/>
          </w:tcPr>
          <w:p>
            <w:pPr>
              <w:jc w:val="left"/>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i w:val="0"/>
                <w:iCs w:val="0"/>
                <w:color w:val="auto"/>
                <w:szCs w:val="21"/>
                <w:highlight w:val="none"/>
                <w:u w:val="none"/>
              </w:rPr>
            </w:pPr>
            <w:r>
              <w:rPr>
                <w:rFonts w:hint="eastAsia" w:ascii="宋体" w:hAnsi="宋体" w:cs="宋体"/>
                <w:i w:val="0"/>
                <w:iCs w:val="0"/>
                <w:color w:val="auto"/>
                <w:szCs w:val="21"/>
                <w:highlight w:val="none"/>
                <w:u w:val="none"/>
              </w:rPr>
              <w:t xml:space="preserve">9</w:t>
            </w:r>
            <w:r/>
          </w:p>
        </w:tc>
        <w:tc>
          <w:tcPr>
            <w:tcW w:w="5447" w:type="dxa"/>
            <w:vAlign w:val="center"/>
            <w:textDirection w:val="lrTb"/>
            <w:noWrap w:val="false"/>
          </w:tcPr>
          <w:p>
            <w:pPr>
              <w:keepLines w:val="0"/>
              <w:keepNext w:val="0"/>
              <w:pageBreakBefore w:val="0"/>
              <w:spacing w:line="240" w:lineRule="auto"/>
              <w:widowControl w:val="off"/>
              <w:rPr>
                <w:rFonts w:hint="eastAsia" w:ascii="宋体" w:hAnsi="宋体" w:cs="宋体"/>
                <w:i w:val="0"/>
                <w:iCs w:val="0"/>
                <w:color w:val="auto"/>
                <w:szCs w:val="21"/>
                <w:highlight w:val="none"/>
                <w:u w:val="none"/>
              </w:rPr>
            </w:pPr>
            <w:r>
              <w:rPr>
                <w:rFonts w:hint="eastAsia" w:ascii="宋体" w:hAnsi="宋体" w:cs="宋体"/>
                <w:i w:val="0"/>
                <w:iCs w:val="0"/>
                <w:color w:val="auto"/>
                <w:szCs w:val="21"/>
                <w:highlight w:val="none"/>
                <w:u w:val="none"/>
              </w:rPr>
              <w:t xml:space="preserve">根据《政府采购促进中小企业发展管理办法》的规定，本项目专门面向中小企业采购，供应商投标时须提供《中小企业声明函》，《中小企业声明函》不符合要求或未提供的，响应文件无效。</w:t>
            </w:r>
            <w:r/>
          </w:p>
          <w:p>
            <w:pPr>
              <w:keepLines w:val="0"/>
              <w:keepNext w:val="0"/>
              <w:pageBreakBefore w:val="0"/>
              <w:spacing w:line="240" w:lineRule="auto"/>
              <w:widowControl w:val="off"/>
              <w:rPr>
                <w:rFonts w:ascii="宋体" w:hAnsi="宋体" w:cs="宋体"/>
                <w:i w:val="0"/>
                <w:iCs w:val="0"/>
                <w:color w:val="auto"/>
                <w:szCs w:val="21"/>
                <w:highlight w:val="none"/>
                <w:u w:val="none"/>
              </w:rPr>
            </w:pPr>
            <w:r>
              <w:rPr>
                <w:rFonts w:hint="eastAsia" w:ascii="宋体" w:hAnsi="宋体" w:cs="宋体"/>
                <w:i w:val="0"/>
                <w:iCs w:val="0"/>
                <w:color w:val="auto"/>
                <w:szCs w:val="21"/>
                <w:highlight w:val="none"/>
                <w:u w:val="none"/>
              </w:rPr>
              <w:t xml:space="preserve">本项目采购标的按中小企业划分标准所属行业区分为：工业（中小微企业划型标准网http://www.ccgp.gov.cn/zcfg/mof/201310/t20131029_3587674.htm）。</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jc w:val="center"/>
          <w:trHeight w:val="567"/>
        </w:trPr>
        <w:tc>
          <w:tcPr>
            <w:gridSpan w:val="3"/>
            <w:tcW w:w="8251" w:type="dxa"/>
            <w:vAlign w:val="center"/>
            <w:textDirection w:val="lrTb"/>
            <w:noWrap w:val="false"/>
          </w:tcPr>
          <w:p>
            <w:pPr>
              <w:jc w:val="left"/>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5447" w:type="dxa"/>
            <w:vAlign w:val="center"/>
            <w:textDirection w:val="lrTb"/>
            <w:noWrap w:val="false"/>
          </w:tcPr>
          <w:p>
            <w:pPr>
              <w:jc w:val="both"/>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lang w:val="en-US" w:eastAsia="zh-CN"/>
              </w:rPr>
              <w:t xml:space="preserve">无</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jc w:val="center"/>
          <w:trHeight w:val="567"/>
        </w:trPr>
        <w:tc>
          <w:tcPr>
            <w:gridSpan w:val="3"/>
            <w:tcW w:w="8251" w:type="dxa"/>
            <w:vAlign w:val="center"/>
            <w:textDirection w:val="lrTb"/>
            <w:noWrap w:val="false"/>
          </w:tcPr>
          <w:p>
            <w:pPr>
              <w:jc w:val="left"/>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b/>
                <w:color w:val="auto"/>
                <w:szCs w:val="21"/>
                <w:highlight w:val="none"/>
              </w:rPr>
              <w:t xml:space="preserve">其他</w:t>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5447" w:type="dxa"/>
            <w:vAlign w:val="center"/>
            <w:textDirection w:val="lrTb"/>
            <w:noWrap w:val="false"/>
          </w:tcPr>
          <w:p>
            <w:pPr>
              <w:jc w:val="left"/>
              <w:keepLines w:val="0"/>
              <w:keepNext w:val="0"/>
              <w:pageBreakBefore w:val="0"/>
              <w:spacing w:line="240" w:lineRule="auto"/>
              <w:widowControl w:val="off"/>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5447" w:type="dxa"/>
            <w:vAlign w:val="center"/>
            <w:textDirection w:val="lrTb"/>
            <w:noWrap w:val="false"/>
          </w:tcPr>
          <w:p>
            <w:pPr>
              <w:jc w:val="left"/>
              <w:keepLines w:val="0"/>
              <w:keepNext w:val="0"/>
              <w:pageBreakBefore w:val="0"/>
              <w:spacing w:line="240" w:lineRule="auto"/>
              <w:widowControl w:val="off"/>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bl>
    <w:p>
      <w:pPr>
        <w:ind w:firstLine="1476"/>
        <w:spacing w:before="156" w:after="156" w:line="360" w:lineRule="auto"/>
        <w:rPr>
          <w:rFonts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br w:type="page" w:clear="all"/>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日期：______年    月    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500" w:lineRule="exact"/>
        <w:rPr>
          <w:rFonts w:ascii="宋体" w:hAnsi="宋体"/>
          <w:b/>
          <w:color w:val="auto"/>
          <w:szCs w:val="21"/>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olor w:val="auto"/>
          <w:szCs w:val="21"/>
          <w:highlight w:val="none"/>
          <w:lang w:eastAsia="zh-CN"/>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olor w:val="auto"/>
          <w:szCs w:val="21"/>
          <w:highlight w:val="none"/>
          <w:lang w:eastAsia="zh-CN"/>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投标函格式</w:t>
      </w:r>
      <w:r/>
    </w:p>
    <w:p>
      <w:pPr>
        <w:pStyle w:val="1138"/>
        <w:ind w:firstLine="0"/>
        <w:spacing w:before="0" w:after="0"/>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致：</w:t>
      </w:r>
      <w:r>
        <w:rPr>
          <w:rFonts w:hint="eastAsia" w:ascii="宋体" w:hAnsi="宋体"/>
          <w:color w:val="auto"/>
          <w:sz w:val="21"/>
          <w:szCs w:val="21"/>
          <w:highlight w:val="none"/>
          <w:lang w:eastAsia="zh-CN"/>
        </w:rPr>
        <w:t xml:space="preserve">江苏华彦建设投资管理有限公司</w:t>
      </w:r>
      <w:r/>
    </w:p>
    <w:p>
      <w:pPr>
        <w:pStyle w:val="113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号招</w:t>
      </w:r>
      <w:r>
        <w:rPr>
          <w:rFonts w:hint="eastAsia" w:ascii="宋体" w:hAnsi="宋体"/>
          <w:color w:val="auto"/>
          <w:sz w:val="21"/>
          <w:szCs w:val="21"/>
          <w:highlight w:val="none"/>
        </w:rPr>
        <w:t xml:space="preserve">标文件，正式授权下述签字人_________________(姓名)代表我方______________（投标人的名称），全权处理本次项目投标的有关事宜。</w:t>
      </w:r>
      <w:r/>
    </w:p>
    <w:p>
      <w:pPr>
        <w:pStyle w:val="113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113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113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113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113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113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13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138"/>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113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113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113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113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113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113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113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113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color w:val="auto"/>
          <w:szCs w:val="21"/>
          <w:highlight w:val="none"/>
        </w:rPr>
      </w:pPr>
      <w:r>
        <w:rPr>
          <w:rFonts w:hint="eastAsia" w:ascii="宋体" w:hAnsi="宋体"/>
          <w:b/>
          <w:color w:val="auto"/>
          <w:sz w:val="32"/>
          <w:szCs w:val="32"/>
          <w:highlight w:val="none"/>
        </w:rPr>
        <w:br w:type="page" w:clear="all"/>
      </w:r>
      <w:r>
        <w:rPr>
          <w:rFonts w:hint="eastAsia" w:ascii="宋体" w:hAnsi="宋体"/>
          <w:b/>
          <w:color w:val="auto"/>
          <w:szCs w:val="21"/>
          <w:highlight w:val="none"/>
        </w:rPr>
        <w:t xml:space="preserve">法人授权书</w:t>
      </w:r>
      <w:r/>
    </w:p>
    <w:p>
      <w:pPr>
        <w:pStyle w:val="114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114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1145"/>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114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_______________________</w:t>
      </w:r>
      <w:r>
        <w:rPr>
          <w:rFonts w:hint="eastAsia" w:ascii="宋体" w:hAnsi="宋体"/>
          <w:color w:val="auto"/>
          <w:sz w:val="21"/>
          <w:szCs w:val="21"/>
          <w:highlight w:val="none"/>
        </w:rPr>
        <w:t xml:space="preserve">     </w:t>
      </w:r>
      <w:r/>
    </w:p>
    <w:p>
      <w:pPr>
        <w:pStyle w:val="1145"/>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1145"/>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w:t>
      </w:r>
      <w:r/>
    </w:p>
    <w:p>
      <w:pPr>
        <w:pStyle w:val="1145"/>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1145"/>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hint="eastAsia" w:ascii="宋体" w:hAnsi="宋体"/>
          <w:bCs/>
          <w:color w:val="auto"/>
          <w:highlight w:val="none"/>
        </w:rPr>
      </w:pPr>
      <w:r>
        <w:rPr>
          <w:rFonts w:hint="eastAsia" w:ascii="宋体" w:hAnsi="宋体"/>
          <w:bCs/>
          <w:color w:val="auto"/>
          <w:highlight w:val="none"/>
        </w:rPr>
        <w:t xml:space="preserve">被授权人身份证复印</w:t>
      </w:r>
      <w:r/>
    </w:p>
    <w:p>
      <w:pPr>
        <w:ind w:firstLine="420"/>
        <w:spacing w:line="460" w:lineRule="exact"/>
        <w:rPr>
          <w:rFonts w:hint="eastAsia" w:ascii="宋体" w:hAnsi="宋体"/>
          <w:bCs/>
          <w:color w:val="auto"/>
          <w:highlight w:val="none"/>
        </w:rPr>
      </w:pPr>
      <w:r>
        <w:rPr>
          <w:rFonts w:hint="eastAsia" w:ascii="宋体" w:hAnsi="宋体"/>
          <w:bCs/>
          <w:color w:val="auto"/>
          <w:highlight w:val="none"/>
        </w:rPr>
      </w:r>
      <w:r/>
    </w:p>
    <w:p>
      <w:pPr>
        <w:ind w:firstLine="420"/>
        <w:spacing w:line="460" w:lineRule="exact"/>
        <w:rPr>
          <w:rFonts w:hint="eastAsia" w:ascii="宋体" w:hAnsi="宋体"/>
          <w:bCs/>
          <w:color w:val="auto"/>
          <w:highlight w:val="none"/>
        </w:rPr>
      </w:pPr>
      <w:r>
        <w:rPr>
          <w:rFonts w:hint="eastAsia" w:ascii="宋体" w:hAnsi="宋体"/>
          <w:bCs/>
          <w:color w:val="auto"/>
          <w:highlight w:val="none"/>
        </w:rPr>
      </w:r>
      <w:r/>
    </w:p>
    <w:p>
      <w:pPr>
        <w:ind w:firstLine="420"/>
        <w:spacing w:line="460" w:lineRule="exact"/>
        <w:rPr>
          <w:rFonts w:hint="eastAsia" w:ascii="宋体" w:hAnsi="宋体"/>
          <w:bCs/>
          <w:color w:val="auto"/>
          <w:highlight w:val="none"/>
        </w:rPr>
      </w:pPr>
      <w:r>
        <w:rPr>
          <w:rFonts w:hint="eastAsia" w:ascii="宋体" w:hAnsi="宋体"/>
          <w:bCs/>
          <w:color w:val="auto"/>
          <w:highlight w:val="none"/>
        </w:rPr>
      </w:r>
      <w:r/>
    </w:p>
    <w:p>
      <w:pPr>
        <w:ind w:firstLine="420"/>
        <w:spacing w:line="460" w:lineRule="exact"/>
        <w:rPr>
          <w:rFonts w:hint="eastAsia"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lang w:val="en-US" w:eastAsia="zh-CN"/>
        </w:rPr>
        <w:t xml:space="preserve">法定代表人</w:t>
      </w:r>
      <w:r>
        <w:rPr>
          <w:rFonts w:hint="eastAsia" w:ascii="宋体" w:hAnsi="宋体"/>
          <w:bCs/>
          <w:color w:val="auto"/>
          <w:highlight w:val="none"/>
        </w:rPr>
        <w:t xml:space="preserve">身份证复印</w:t>
      </w:r>
      <w:r/>
    </w:p>
    <w:p>
      <w:pPr>
        <w:pStyle w:val="813"/>
        <w:numPr>
          <w:ilvl w:val="0"/>
          <w:numId w:val="0"/>
        </w:numPr>
        <w:jc w:val="center"/>
        <w:spacing w:before="260" w:after="260" w:line="416" w:lineRule="auto"/>
        <w:rPr>
          <w:rFonts w:ascii="宋体" w:hAnsi="宋体"/>
          <w:bCs w:val="0"/>
          <w:color w:val="auto"/>
          <w:sz w:val="32"/>
          <w:szCs w:val="32"/>
          <w:highlight w:val="none"/>
        </w:rPr>
      </w:pPr>
      <w:r>
        <w:rPr>
          <w:rFonts w:hint="eastAsia" w:ascii="宋体" w:hAnsi="宋体"/>
          <w:bCs w:val="0"/>
          <w:color w:val="auto"/>
          <w:sz w:val="32"/>
          <w:szCs w:val="32"/>
          <w:highlight w:val="none"/>
        </w:rPr>
        <w:t xml:space="preserve">二、符合性审查响应对照表</w:t>
      </w:r>
      <w:r/>
    </w:p>
    <w:tbl>
      <w:tblPr>
        <w:tblStyle w:val="822"/>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jc w:val="center"/>
          <w:trHeight w:val="882"/>
        </w:trPr>
        <w:tc>
          <w:tcPr>
            <w:tcW w:w="60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575"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jc w:val="center"/>
          <w:trHeight w:val="582"/>
        </w:trPr>
        <w:tc>
          <w:tcPr>
            <w:tcW w:w="605"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575"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22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jc w:val="center"/>
          <w:trHeight w:val="582"/>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82"/>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82"/>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82"/>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pStyle w:val="813"/>
        <w:numPr>
          <w:ilvl w:val="0"/>
          <w:numId w:val="0"/>
        </w:numPr>
        <w:jc w:val="center"/>
        <w:spacing w:before="260" w:after="260" w:line="416" w:lineRule="auto"/>
        <w:rPr>
          <w:rFonts w:ascii="宋体" w:hAnsi="宋体"/>
          <w:bCs w:val="0"/>
          <w:color w:val="auto"/>
          <w:sz w:val="32"/>
          <w:szCs w:val="32"/>
          <w:highlight w:val="none"/>
        </w:rPr>
      </w:pPr>
      <w:r>
        <w:rPr>
          <w:rFonts w:hint="eastAsia" w:ascii="宋体" w:hAnsi="宋体"/>
          <w:bCs w:val="0"/>
          <w:color w:val="auto"/>
          <w:sz w:val="32"/>
          <w:szCs w:val="32"/>
          <w:highlight w:val="none"/>
        </w:rPr>
        <w:t xml:space="preserve">三、非实质性响应对照表</w:t>
      </w:r>
      <w:r/>
    </w:p>
    <w:tbl>
      <w:tblPr>
        <w:tblStyle w:val="822"/>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jc w:val="center"/>
          <w:trHeight w:val="882"/>
        </w:trPr>
        <w:tc>
          <w:tcPr>
            <w:tcW w:w="60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575"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605"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《企业声明函》</w:t>
            </w:r>
            <w:r/>
          </w:p>
        </w:tc>
        <w:tc>
          <w:tcPr>
            <w:tcW w:w="1575"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22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780"/>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rPr>
          <w:rFonts w:ascii="宋体" w:hAnsi="宋体" w:cs="宋体"/>
          <w:b/>
          <w:bCs/>
          <w:color w:val="auto"/>
          <w:highlight w:val="none"/>
        </w:rPr>
      </w:pPr>
      <w:r>
        <w:rPr>
          <w:rFonts w:hint="eastAsia"/>
          <w:b/>
          <w:bCs/>
          <w:color w:val="auto"/>
          <w:highlight w:val="none"/>
        </w:rPr>
        <w:br w:type="page" w:clear="all"/>
      </w:r>
      <w:r>
        <w:rPr>
          <w:rFonts w:hint="eastAsia" w:ascii="宋体" w:hAnsi="宋体" w:cs="宋体"/>
          <w:b/>
          <w:bCs/>
          <w:color w:val="auto"/>
          <w:highlight w:val="none"/>
        </w:rPr>
        <w:t xml:space="preserve">中小企业声明函（货物）</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color w:val="auto"/>
          <w:highlight w:val="none"/>
          <w:u w:val="single"/>
          <w:lang w:val="en-US" w:eastAsia="zh-CN"/>
        </w:rPr>
        <w:t xml:space="preserve">工业</w:t>
      </w:r>
      <w:r>
        <w:rPr>
          <w:rFonts w:hint="eastAsia" w:ascii="宋体" w:hAnsi="宋体" w:cs="宋体"/>
          <w:color w:val="auto"/>
          <w:highlight w:val="none"/>
        </w:rPr>
        <w:t xml:space="preserve">；制造商为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color w:val="auto"/>
          <w:highlight w:val="none"/>
          <w:u w:val="single"/>
          <w:lang w:val="en-US" w:eastAsia="zh-CN"/>
        </w:rPr>
        <w:t xml:space="preserve">  </w:t>
      </w:r>
      <w:r>
        <w:rPr>
          <w:rFonts w:hint="eastAsia" w:ascii="宋体" w:hAnsi="宋体" w:cs="宋体"/>
          <w:color w:val="auto"/>
          <w:highlight w:val="none"/>
          <w:u w:val="single"/>
        </w:rPr>
        <w:t xml:space="preserve">行业</w:t>
      </w:r>
      <w:r>
        <w:rPr>
          <w:rFonts w:hint="eastAsia" w:ascii="宋体" w:hAnsi="宋体" w:cs="宋体"/>
          <w:color w:val="auto"/>
          <w:highlight w:val="none"/>
        </w:rPr>
        <w:t xml:space="preserve">；制造商为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ind w:firstLine="420"/>
        <w:jc w:val="left"/>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hint="eastAsia" w:ascii="宋体" w:hAnsi="宋体" w:cs="宋体"/>
          <w:color w:val="auto"/>
          <w:highlight w:val="none"/>
        </w:rPr>
        <w:t xml:space="preserve">注：1、供应商如不提供此声明函，价格将不做相应扣除。</w:t>
      </w:r>
      <w:r/>
    </w:p>
    <w:p>
      <w:pPr>
        <w:spacing w:line="360" w:lineRule="auto"/>
        <w:rPr>
          <w:rFonts w:ascii="宋体" w:hAnsi="宋体" w:cs="宋体"/>
          <w:color w:val="auto"/>
          <w:highlight w:val="none"/>
        </w:rPr>
      </w:pPr>
      <w:r>
        <w:rPr>
          <w:rFonts w:hint="eastAsia" w:ascii="宋体" w:hAnsi="宋体" w:cs="宋体"/>
          <w:color w:val="auto"/>
          <w:highlight w:val="none"/>
        </w:rPr>
        <w:t xml:space="preserve">    2、企业声明函请完整填写，中标后将公示。</w:t>
      </w:r>
      <w:r/>
    </w:p>
    <w:p>
      <w:pPr>
        <w:ind w:firstLine="420"/>
        <w:jc w:val="left"/>
        <w:spacing w:line="360" w:lineRule="auto"/>
        <w:rPr>
          <w:rFonts w:ascii="宋体" w:hAnsi="宋体" w:cs="宋体"/>
          <w:color w:val="auto"/>
          <w:highlight w:val="none"/>
        </w:rPr>
      </w:pPr>
      <w:r>
        <w:rPr>
          <w:rFonts w:ascii="宋体" w:hAnsi="宋体" w:cs="宋体"/>
          <w:color w:val="auto"/>
          <w:highlight w:val="none"/>
        </w:rPr>
      </w:r>
      <w:r/>
    </w:p>
    <w:p>
      <w:pPr>
        <w:ind w:firstLine="420"/>
        <w:jc w:val="left"/>
        <w:spacing w:line="360" w:lineRule="auto"/>
        <w:rPr>
          <w:rFonts w:ascii="宋体" w:hAnsi="宋体" w:cs="宋体"/>
          <w:color w:val="auto"/>
          <w:highlight w:val="none"/>
        </w:rPr>
      </w:pPr>
      <w:r>
        <w:rPr>
          <w:rFonts w:ascii="宋体" w:hAnsi="宋体" w:cs="宋体"/>
          <w:color w:val="auto"/>
          <w:highlight w:val="none"/>
        </w:rPr>
      </w:r>
      <w:r/>
    </w:p>
    <w:p>
      <w:pPr>
        <w:jc w:val="left"/>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highlight w:val="none"/>
        </w:rPr>
      </w:pPr>
      <w:r>
        <w:rPr>
          <w:rFonts w:hint="eastAsia" w:ascii="宋体" w:hAnsi="宋体" w:cs="宋体"/>
          <w:color w:val="auto"/>
          <w:highlight w:val="none"/>
        </w:rPr>
        <w:t xml:space="preserve">                                       企业名称（盖章）：</w:t>
      </w:r>
      <w:r/>
    </w:p>
    <w:p>
      <w:pPr>
        <w:jc w:val="center"/>
        <w:spacing w:line="360" w:lineRule="auto"/>
        <w:rPr>
          <w:rFonts w:ascii="宋体" w:hAnsi="宋体" w:cs="宋体"/>
          <w:color w:val="auto"/>
          <w:highlight w:val="none"/>
        </w:rPr>
      </w:pPr>
      <w:r>
        <w:rPr>
          <w:rFonts w:hint="eastAsia" w:ascii="宋体" w:hAnsi="宋体" w:cs="宋体"/>
          <w:color w:val="auto"/>
          <w:highlight w:val="none"/>
        </w:rPr>
        <w:t xml:space="preserve">                             日 期：</w:t>
      </w:r>
      <w:r/>
    </w:p>
    <w:p>
      <w:pPr>
        <w:jc w:val="left"/>
        <w:rPr>
          <w:rFonts w:ascii="宋体" w:hAnsi="宋体" w:cs="宋体"/>
          <w:color w:val="auto"/>
          <w:highlight w:val="none"/>
        </w:rPr>
      </w:pPr>
      <w:r>
        <w:rPr>
          <w:rFonts w:ascii="宋体" w:hAnsi="宋体" w:cs="宋体"/>
          <w:color w:val="auto"/>
          <w:highlight w:val="none"/>
        </w:rPr>
      </w:r>
      <w:r/>
    </w:p>
    <w:p>
      <w:pPr>
        <w:jc w:val="left"/>
        <w:rPr>
          <w:rFonts w:ascii="宋体" w:hAnsi="宋体" w:cs="宋体"/>
          <w:color w:val="auto"/>
          <w:highlight w:val="none"/>
        </w:rPr>
      </w:pPr>
      <w:r>
        <w:rPr>
          <w:rFonts w:ascii="宋体" w:hAnsi="宋体" w:cs="宋体"/>
          <w:color w:val="auto"/>
          <w:highlight w:val="none"/>
        </w:rPr>
      </w:r>
      <w:r/>
    </w:p>
    <w:p>
      <w:pPr>
        <w:jc w:val="left"/>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hint="eastAsia" w:ascii="宋体" w:hAnsi="宋体" w:cs="宋体"/>
          <w:color w:val="auto"/>
          <w:highlight w:val="none"/>
        </w:rPr>
        <w:t xml:space="preserve">1从业人员、营业收入、资产总额填报上一年度数据，无上一年度数据的新成立企业可不填报。</w:t>
      </w:r>
      <w:r/>
    </w:p>
    <w:p>
      <w:pPr>
        <w:jc w:val="left"/>
        <w:rPr>
          <w:rFonts w:ascii="宋体" w:hAnsi="宋体" w:cs="宋体"/>
          <w:color w:val="auto"/>
          <w:highlight w:val="none"/>
        </w:rPr>
      </w:pPr>
      <w:r>
        <w:rPr>
          <w:rFonts w:ascii="宋体" w:hAnsi="宋体" w:cs="宋体"/>
          <w:color w:val="auto"/>
          <w:highlight w:val="none"/>
        </w:rPr>
      </w:r>
      <w:r/>
    </w:p>
    <w:p>
      <w:pPr>
        <w:jc w:val="left"/>
        <w:rPr>
          <w:rFonts w:ascii="宋体" w:hAnsi="宋体" w:cs="宋体"/>
          <w:color w:val="auto"/>
          <w:highlight w:val="none"/>
        </w:rPr>
      </w:pPr>
      <w:r>
        <w:rPr>
          <w:rFonts w:ascii="宋体" w:hAnsi="宋体" w:cs="宋体"/>
          <w:color w:val="auto"/>
          <w:highlight w:val="none"/>
        </w:rPr>
      </w:r>
      <w:r/>
    </w:p>
    <w:p>
      <w:pPr>
        <w:jc w:val="center"/>
        <w:spacing w:before="312" w:after="312" w:line="360" w:lineRule="auto"/>
        <w:rPr>
          <w:color w:val="auto"/>
          <w:highlight w:val="none"/>
        </w:rPr>
      </w:pPr>
      <w:r>
        <w:rPr>
          <w:color w:val="auto"/>
          <w:highlight w:val="none"/>
        </w:rPr>
        <w:t xml:space="preserve"> </w:t>
      </w:r>
      <w:r/>
    </w:p>
    <w:p>
      <w:pPr>
        <w:rPr>
          <w:rFonts w:hint="eastAsia" w:ascii="宋体" w:hAnsi="宋体"/>
          <w:b/>
          <w:bCs/>
          <w:color w:val="auto"/>
          <w:highlight w:val="none"/>
        </w:rPr>
      </w:pPr>
      <w:r>
        <w:rPr>
          <w:rFonts w:hint="eastAsia" w:ascii="宋体" w:hAnsi="宋体"/>
          <w:b/>
          <w:bCs/>
          <w:color w:val="auto"/>
          <w:highlight w:val="none"/>
        </w:rPr>
        <w:br w:type="page" w:clear="all"/>
      </w:r>
      <w:r/>
    </w:p>
    <w:p>
      <w:pPr>
        <w:jc w:val="center"/>
        <w:rPr>
          <w:color w:val="auto"/>
          <w:highlight w:val="none"/>
        </w:rPr>
      </w:pPr>
      <w:r>
        <w:rPr>
          <w:rFonts w:hint="eastAsia" w:ascii="宋体" w:hAnsi="宋体"/>
          <w:b/>
          <w:bCs/>
          <w:color w:val="auto"/>
          <w:highlight w:val="none"/>
        </w:rPr>
        <w:t xml:space="preserve">残疾人福利性单位声明函</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pStyle w:val="813"/>
        <w:numPr>
          <w:ilvl w:val="0"/>
          <w:numId w:val="0"/>
        </w:numPr>
        <w:jc w:val="center"/>
        <w:spacing w:line="360" w:lineRule="auto"/>
        <w:widowControl/>
        <w:rPr>
          <w:rFonts w:ascii="宋体" w:hAnsi="宋体" w:cs="微软雅黑"/>
          <w:bCs w:val="0"/>
          <w:color w:val="auto"/>
          <w:sz w:val="21"/>
          <w:szCs w:val="21"/>
          <w:highlight w:val="none"/>
        </w:rPr>
        <w:sectPr>
          <w:headerReference w:type="default" r:id="rId11"/>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微软雅黑"/>
          <w:bCs w:val="0"/>
          <w:color w:val="auto"/>
          <w:sz w:val="21"/>
          <w:szCs w:val="21"/>
          <w:highlight w:val="none"/>
        </w:rPr>
      </w:r>
      <w:r/>
    </w:p>
    <w:p>
      <w:pPr>
        <w:pStyle w:val="813"/>
        <w:numPr>
          <w:ilvl w:val="0"/>
          <w:numId w:val="0"/>
        </w:numPr>
        <w:jc w:val="center"/>
        <w:spacing w:line="360" w:lineRule="auto"/>
        <w:widowControl/>
        <w:rPr>
          <w:rFonts w:ascii="宋体" w:hAnsi="宋体"/>
          <w:color w:val="auto"/>
          <w:sz w:val="21"/>
          <w:szCs w:val="21"/>
          <w:highlight w:val="none"/>
        </w:rPr>
      </w:pPr>
      <w:r>
        <w:rPr>
          <w:rFonts w:hint="eastAsia" w:ascii="宋体" w:hAnsi="宋体" w:cs="微软雅黑"/>
          <w:bCs w:val="0"/>
          <w:color w:val="auto"/>
          <w:sz w:val="21"/>
          <w:szCs w:val="21"/>
          <w:highlight w:val="none"/>
        </w:rPr>
        <w:t xml:space="preserve">中小微企业划型标准</w:t>
      </w:r>
      <w:r/>
    </w:p>
    <w:p>
      <w:pPr>
        <w:pStyle w:val="857"/>
        <w:ind w:firstLine="420"/>
        <w:spacing w:before="300" w:after="452" w:line="360" w:lineRule="auto"/>
        <w:widowControl/>
        <w:rPr>
          <w:rFonts w:ascii="宋体" w:hAnsi="宋体"/>
          <w:color w:val="auto"/>
          <w:sz w:val="21"/>
          <w:szCs w:val="21"/>
          <w:highlight w:val="none"/>
        </w:rPr>
      </w:pPr>
      <w:r>
        <w:rPr>
          <w:rStyle w:val="863"/>
          <w:rFonts w:hint="eastAsia" w:ascii="宋体" w:hAnsi="宋体" w:cs="仿宋"/>
          <w:color w:val="auto"/>
          <w:sz w:val="21"/>
          <w:szCs w:val="21"/>
          <w:highlight w:val="none"/>
        </w:rPr>
        <w:t xml:space="preserve">中小微企业划型标准如下：</w:t>
      </w:r>
      <w:r/>
    </w:p>
    <w:tbl>
      <w:tblPr>
        <w:tblStyle w:val="822"/>
        <w:tblW w:w="9130"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58"/>
        <w:gridCol w:w="1728"/>
        <w:gridCol w:w="787"/>
        <w:gridCol w:w="1967"/>
        <w:gridCol w:w="1966"/>
        <w:gridCol w:w="1224"/>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13"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7"/>
              <w:spacing w:line="360" w:lineRule="auto"/>
              <w:widowControl/>
              <w:rPr>
                <w:rFonts w:hint="eastAsia" w:ascii="宋体" w:hAnsi="宋体" w:eastAsia="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7"/>
              <w:jc w:val="center"/>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7"/>
              <w:spacing w:line="360" w:lineRule="auto"/>
              <w:widowControl/>
              <w:rPr>
                <w:rFonts w:ascii="宋体" w:hAnsi="宋体"/>
                <w:b/>
                <w:bCs/>
                <w:color w:val="auto"/>
                <w:sz w:val="21"/>
                <w:szCs w:val="21"/>
                <w:highlight w:val="none"/>
              </w:rPr>
            </w:pPr>
            <w:r>
              <w:rPr>
                <w:rStyle w:val="863"/>
                <w:rFonts w:hint="eastAsia" w:ascii="宋体" w:hAnsi="宋体" w:cs="仿宋"/>
                <w:b/>
                <w:bCs/>
                <w:color w:val="auto"/>
                <w:sz w:val="21"/>
                <w:szCs w:val="21"/>
                <w:highlight w:val="none"/>
              </w:rPr>
              <w:t xml:space="preserve">X＜10</w:t>
            </w:r>
            <w:r/>
          </w:p>
        </w:tc>
      </w:tr>
    </w:tbl>
    <w:p>
      <w:pPr>
        <w:pStyle w:val="857"/>
        <w:ind w:firstLine="462"/>
        <w:spacing w:before="300" w:after="452" w:line="360" w:lineRule="auto"/>
        <w:widowControl/>
        <w:rPr>
          <w:rStyle w:val="863"/>
          <w:rFonts w:ascii="宋体" w:hAnsi="宋体" w:cs="仿宋"/>
          <w:color w:val="auto"/>
          <w:sz w:val="21"/>
          <w:szCs w:val="21"/>
          <w:highlight w:val="none"/>
        </w:rPr>
      </w:pPr>
      <w:r>
        <w:rPr>
          <w:rStyle w:val="863"/>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rFonts w:ascii="宋体" w:hAnsi="宋体" w:cs="Arial"/>
          <w:b/>
          <w:bCs/>
          <w:color w:val="auto"/>
          <w:highlight w:val="none"/>
        </w:rPr>
      </w:pPr>
      <w:r>
        <w:rPr>
          <w:rFonts w:ascii="宋体" w:hAnsi="宋体" w:cs="Arial"/>
          <w:b/>
          <w:bCs/>
          <w:color w:val="auto"/>
          <w:highlight w:val="none"/>
        </w:rPr>
        <w:br w:type="page" w:clear="all"/>
      </w:r>
      <w:r/>
    </w:p>
    <w:p>
      <w:pPr>
        <w:pStyle w:val="814"/>
        <w:numPr>
          <w:ilvl w:val="0"/>
          <w:numId w:val="0"/>
        </w:numPr>
        <w:jc w:val="center"/>
        <w:rPr>
          <w:rFonts w:ascii="宋体" w:hAnsi="宋体"/>
          <w:b w:val="0"/>
          <w:color w:val="auto"/>
          <w:sz w:val="32"/>
          <w:highlight w:val="none"/>
        </w:rPr>
      </w:pPr>
      <w:r>
        <w:rPr>
          <w:rFonts w:hint="eastAsia" w:ascii="宋体" w:hAnsi="宋体" w:eastAsia="宋体" w:cs="Arial"/>
          <w:b/>
          <w:bCs/>
          <w:color w:val="auto"/>
          <w:sz w:val="32"/>
          <w:szCs w:val="44"/>
          <w:highlight w:val="none"/>
          <w:lang w:val="en-US" w:eastAsia="zh-CN" w:bidi="ar-SA"/>
        </w:rPr>
        <w:t xml:space="preserve">四、开标一览表</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                 </w:t>
      </w:r>
      <w:r/>
    </w:p>
    <w:tbl>
      <w:tblPr>
        <w:tblStyle w:val="822"/>
        <w:tblW w:w="86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27"/>
        <w:gridCol w:w="6272"/>
      </w:tblGrid>
      <w:tr>
        <w:trPr>
          <w:cantSplit/>
          <w:trHeight w:val="1460"/>
        </w:trPr>
        <w:tc>
          <w:tcPr>
            <w:tcW w:w="2427" w:type="dxa"/>
            <w:vAlign w:val="center"/>
            <w:textDirection w:val="lrTb"/>
            <w:noWrap w:val="false"/>
          </w:tcPr>
          <w:p>
            <w:pPr>
              <w:pStyle w:val="830"/>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投标服务或产品名称</w:t>
            </w:r>
            <w:r/>
          </w:p>
        </w:tc>
        <w:tc>
          <w:tcPr>
            <w:tcW w:w="6272" w:type="dxa"/>
            <w:vAlign w:val="center"/>
            <w:textDirection w:val="lrTb"/>
            <w:noWrap w:val="false"/>
          </w:tcPr>
          <w:p>
            <w:pPr>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2264"/>
        </w:trPr>
        <w:tc>
          <w:tcPr>
            <w:tcW w:w="2427" w:type="dxa"/>
            <w:vAlign w:val="center"/>
            <w:textDirection w:val="lrTb"/>
            <w:noWrap w:val="false"/>
          </w:tcPr>
          <w:p>
            <w:pPr>
              <w:pStyle w:val="830"/>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272" w:type="dxa"/>
            <w:vAlign w:val="center"/>
            <w:textDirection w:val="lrTb"/>
            <w:noWrap w:val="false"/>
          </w:tcPr>
          <w:p>
            <w:pPr>
              <w:pStyle w:val="1138"/>
              <w:ind w:firstLine="42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大写：                       </w:t>
            </w:r>
            <w:r/>
          </w:p>
          <w:p>
            <w:pPr>
              <w:pStyle w:val="1138"/>
              <w:ind w:firstLine="42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   ）</w:t>
            </w:r>
            <w:r/>
          </w:p>
        </w:tc>
      </w:tr>
      <w:tr>
        <w:trPr>
          <w:cantSplit/>
          <w:trHeight w:val="1787"/>
        </w:trPr>
        <w:tc>
          <w:tcPr>
            <w:tcW w:w="2427" w:type="dxa"/>
            <w:vAlign w:val="center"/>
            <w:textDirection w:val="lrTb"/>
            <w:noWrap w:val="false"/>
          </w:tcPr>
          <w:p>
            <w:pPr>
              <w:pStyle w:val="830"/>
              <w:jc w:val="center"/>
              <w:spacing w:line="30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是否小微企业制造</w:t>
            </w:r>
            <w:r/>
          </w:p>
        </w:tc>
        <w:tc>
          <w:tcPr>
            <w:tcW w:w="6272" w:type="dxa"/>
            <w:vAlign w:val="center"/>
            <w:textDirection w:val="lrTb"/>
            <w:noWrap w:val="false"/>
          </w:tcPr>
          <w:p>
            <w:pPr>
              <w:pStyle w:val="830"/>
              <w:jc w:val="center"/>
              <w:spacing w:line="300" w:lineRule="auto"/>
              <w:shd w:val="clear" w:color="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□是             □否</w:t>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813"/>
        <w:numPr>
          <w:ilvl w:val="0"/>
          <w:numId w:val="0"/>
        </w:numPr>
        <w:ind w:left="2100"/>
        <w:jc w:val="both"/>
        <w:rPr>
          <w:rFonts w:ascii="宋体" w:hAnsi="宋体"/>
          <w:bCs w:val="0"/>
          <w:color w:val="auto"/>
          <w:sz w:val="32"/>
          <w:szCs w:val="32"/>
          <w:highlight w:val="none"/>
        </w:rPr>
      </w:pPr>
      <w:r>
        <w:rPr>
          <w:rFonts w:ascii="宋体" w:hAnsi="宋体"/>
          <w:bCs w:val="0"/>
          <w:color w:val="auto"/>
          <w:sz w:val="32"/>
          <w:szCs w:val="32"/>
          <w:highlight w:val="none"/>
        </w:rPr>
      </w:r>
      <w:r/>
    </w:p>
    <w:p>
      <w:pPr>
        <w:pStyle w:val="823"/>
        <w:ind w:firstLine="640"/>
        <w:rPr>
          <w:rFonts w:ascii="宋体" w:hAnsi="宋体"/>
          <w:color w:val="auto"/>
          <w:sz w:val="32"/>
          <w:szCs w:val="32"/>
          <w:highlight w:val="none"/>
        </w:rPr>
      </w:pPr>
      <w:r>
        <w:rPr>
          <w:rFonts w:ascii="宋体" w:hAnsi="宋体"/>
          <w:color w:val="auto"/>
          <w:sz w:val="32"/>
          <w:szCs w:val="32"/>
          <w:highlight w:val="none"/>
        </w:rPr>
      </w:r>
      <w:r/>
    </w:p>
    <w:p>
      <w:pPr>
        <w:numPr>
          <w:ilvl w:val="0"/>
          <w:numId w:val="9"/>
        </w:numPr>
        <w:jc w:val="center"/>
        <w:spacing w:line="360" w:lineRule="auto"/>
        <w:rPr>
          <w:rFonts w:hint="eastAsia" w:ascii="宋体" w:hAnsi="宋体" w:cs="Arial"/>
          <w:b/>
          <w:bCs/>
          <w:color w:val="auto"/>
          <w:sz w:val="32"/>
          <w:szCs w:val="44"/>
          <w:highlight w:val="none"/>
        </w:rPr>
      </w:pPr>
      <w:r>
        <w:rPr>
          <w:rFonts w:hint="eastAsia" w:ascii="宋体" w:hAnsi="宋体"/>
          <w:color w:val="auto"/>
          <w:sz w:val="32"/>
          <w:szCs w:val="32"/>
          <w:highlight w:val="none"/>
        </w:rPr>
        <w:br w:type="page" w:clear="all"/>
      </w:r>
      <w:r>
        <w:rPr>
          <w:rFonts w:hint="eastAsia" w:ascii="宋体" w:hAnsi="宋体" w:cs="Arial"/>
          <w:b/>
          <w:bCs/>
          <w:color w:val="auto"/>
          <w:sz w:val="32"/>
          <w:szCs w:val="44"/>
          <w:highlight w:val="none"/>
        </w:rPr>
        <w:t xml:space="preserve">投标产品配置及分项报价表</w:t>
      </w:r>
      <w:r/>
    </w:p>
    <w:p>
      <w:pPr>
        <w:pStyle w:val="861"/>
        <w:numPr>
          <w:ilvl w:val="0"/>
          <w:numId w:val="0"/>
        </w:numPr>
        <w:ind w:left="840"/>
        <w:rPr>
          <w:color w:val="auto"/>
          <w:highlight w:val="none"/>
        </w:rPr>
      </w:pPr>
      <w:r>
        <w:rPr>
          <w:color w:val="auto"/>
          <w:highlight w:val="none"/>
        </w:rPr>
      </w:r>
      <w:r/>
    </w:p>
    <w:tbl>
      <w:tblPr>
        <w:tblStyle w:val="82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33"/>
        <w:gridCol w:w="1701"/>
        <w:gridCol w:w="1563"/>
        <w:gridCol w:w="1722"/>
      </w:tblGrid>
      <w:tr>
        <w:trPr>
          <w:cantSplit/>
          <w:trHeight w:val="712"/>
        </w:trPr>
        <w:tc>
          <w:tcPr>
            <w:tcW w:w="2073" w:type="pct"/>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产品名称及规格、型号</w:t>
            </w:r>
            <w:r/>
          </w:p>
        </w:tc>
        <w:tc>
          <w:tcPr>
            <w:tcW w:w="998" w:type="pct"/>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交付期</w:t>
            </w:r>
            <w:r/>
          </w:p>
        </w:tc>
        <w:tc>
          <w:tcPr>
            <w:tcW w:w="917" w:type="pct"/>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单价</w:t>
            </w:r>
            <w:r/>
          </w:p>
        </w:tc>
        <w:tc>
          <w:tcPr>
            <w:tcW w:w="1010" w:type="pct"/>
            <w:vAlign w:val="center"/>
            <w:textDirection w:val="lrTb"/>
            <w:noWrap w:val="false"/>
          </w:tcPr>
          <w:p>
            <w:pPr>
              <w:jc w:val="cente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备注</w:t>
            </w:r>
            <w:r/>
          </w:p>
        </w:tc>
      </w:tr>
      <w:tr>
        <w:trPr>
          <w:cantSplit/>
          <w:trHeight w:val="712"/>
        </w:trPr>
        <w:tc>
          <w:tcPr>
            <w:tcW w:w="2073" w:type="pct"/>
            <w:vAlign w:val="center"/>
            <w:textDirection w:val="lrTb"/>
            <w:noWrap w:val="false"/>
          </w:tcPr>
          <w:p>
            <w:pPr>
              <w:jc w:val="center"/>
              <w:keepLines w:val="0"/>
              <w:keepNext w:val="0"/>
              <w:pageBreakBefore w:val="0"/>
              <w:spacing w:line="288" w:lineRule="auto"/>
              <w:widowControl w:val="off"/>
              <w:rPr>
                <w:rFonts w:ascii="宋体" w:hAnsi="宋体"/>
                <w:color w:val="auto"/>
                <w:szCs w:val="21"/>
                <w:highlight w:val="none"/>
              </w:rPr>
            </w:pPr>
            <w:r>
              <w:rPr>
                <w:rFonts w:ascii="宋体" w:hAnsi="宋体"/>
                <w:color w:val="auto"/>
                <w:szCs w:val="21"/>
                <w:highlight w:val="none"/>
              </w:rPr>
            </w:r>
            <w:r/>
          </w:p>
        </w:tc>
        <w:tc>
          <w:tcPr>
            <w:tcW w:w="998"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7"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0"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712"/>
        </w:trPr>
        <w:tc>
          <w:tcPr>
            <w:tcW w:w="2073" w:type="pct"/>
            <w:vAlign w:val="center"/>
            <w:textDirection w:val="lrTb"/>
            <w:noWrap w:val="false"/>
          </w:tcPr>
          <w:p>
            <w:pPr>
              <w:jc w:val="center"/>
              <w:keepLines w:val="0"/>
              <w:keepNext w:val="0"/>
              <w:pageBreakBefore w:val="0"/>
              <w:spacing w:line="288" w:lineRule="auto"/>
              <w:widowControl w:val="off"/>
              <w:rPr>
                <w:rFonts w:ascii="宋体" w:hAnsi="宋体"/>
                <w:color w:val="auto"/>
                <w:szCs w:val="21"/>
                <w:highlight w:val="none"/>
              </w:rPr>
            </w:pPr>
            <w:r>
              <w:rPr>
                <w:rFonts w:ascii="宋体" w:hAnsi="宋体"/>
                <w:color w:val="auto"/>
                <w:szCs w:val="21"/>
                <w:highlight w:val="none"/>
              </w:rPr>
            </w:r>
            <w:r/>
          </w:p>
        </w:tc>
        <w:tc>
          <w:tcPr>
            <w:tcW w:w="998"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7"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0"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712"/>
        </w:trPr>
        <w:tc>
          <w:tcPr>
            <w:tcW w:w="2073" w:type="pct"/>
            <w:vAlign w:val="center"/>
            <w:textDirection w:val="lrTb"/>
            <w:noWrap w:val="false"/>
          </w:tcPr>
          <w:p>
            <w:pPr>
              <w:jc w:val="center"/>
              <w:keepLines w:val="0"/>
              <w:keepNext w:val="0"/>
              <w:pageBreakBefore w:val="0"/>
              <w:spacing w:line="288" w:lineRule="auto"/>
              <w:widowControl w:val="off"/>
              <w:rPr>
                <w:rFonts w:ascii="宋体" w:hAnsi="宋体"/>
                <w:color w:val="auto"/>
                <w:szCs w:val="21"/>
                <w:highlight w:val="none"/>
              </w:rPr>
            </w:pPr>
            <w:r>
              <w:rPr>
                <w:rFonts w:ascii="宋体" w:hAnsi="宋体"/>
                <w:color w:val="auto"/>
                <w:szCs w:val="21"/>
                <w:highlight w:val="none"/>
              </w:rPr>
            </w:r>
            <w:r/>
          </w:p>
        </w:tc>
        <w:tc>
          <w:tcPr>
            <w:tcW w:w="998"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7"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0"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712"/>
        </w:trPr>
        <w:tc>
          <w:tcPr>
            <w:tcW w:w="2073" w:type="pct"/>
            <w:vAlign w:val="center"/>
            <w:textDirection w:val="lrTb"/>
            <w:noWrap w:val="false"/>
          </w:tcPr>
          <w:p>
            <w:pPr>
              <w:jc w:val="center"/>
              <w:keepLines w:val="0"/>
              <w:keepNext w:val="0"/>
              <w:pageBreakBefore w:val="0"/>
              <w:spacing w:line="288" w:lineRule="auto"/>
              <w:widowControl w:val="off"/>
              <w:rPr>
                <w:rFonts w:ascii="宋体" w:hAnsi="宋体"/>
                <w:color w:val="auto"/>
                <w:szCs w:val="21"/>
                <w:highlight w:val="none"/>
              </w:rPr>
            </w:pPr>
            <w:r>
              <w:rPr>
                <w:rFonts w:ascii="宋体" w:hAnsi="宋体"/>
                <w:color w:val="auto"/>
                <w:szCs w:val="21"/>
                <w:highlight w:val="none"/>
              </w:rPr>
            </w:r>
            <w:r/>
          </w:p>
        </w:tc>
        <w:tc>
          <w:tcPr>
            <w:tcW w:w="998"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7"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0"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712"/>
        </w:trPr>
        <w:tc>
          <w:tcPr>
            <w:tcW w:w="2073" w:type="pct"/>
            <w:vAlign w:val="center"/>
            <w:textDirection w:val="lrTb"/>
            <w:noWrap w:val="false"/>
          </w:tcPr>
          <w:p>
            <w:pPr>
              <w:jc w:val="center"/>
              <w:keepLines w:val="0"/>
              <w:keepNext w:val="0"/>
              <w:pageBreakBefore w:val="0"/>
              <w:spacing w:line="288" w:lineRule="auto"/>
              <w:widowControl w:val="off"/>
              <w:rPr>
                <w:rFonts w:ascii="宋体" w:hAnsi="宋体"/>
                <w:color w:val="auto"/>
                <w:szCs w:val="21"/>
                <w:highlight w:val="none"/>
              </w:rPr>
            </w:pPr>
            <w:r>
              <w:rPr>
                <w:rFonts w:ascii="宋体" w:hAnsi="宋体"/>
                <w:color w:val="auto"/>
                <w:szCs w:val="21"/>
                <w:highlight w:val="none"/>
              </w:rPr>
            </w:r>
            <w:r/>
          </w:p>
        </w:tc>
        <w:tc>
          <w:tcPr>
            <w:tcW w:w="998"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7"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0"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712"/>
        </w:trPr>
        <w:tc>
          <w:tcPr>
            <w:tcW w:w="2073" w:type="pct"/>
            <w:vAlign w:val="center"/>
            <w:textDirection w:val="lrTb"/>
            <w:noWrap w:val="false"/>
          </w:tcPr>
          <w:p>
            <w:pPr>
              <w:jc w:val="center"/>
              <w:keepLines w:val="0"/>
              <w:keepNext w:val="0"/>
              <w:pageBreakBefore w:val="0"/>
              <w:spacing w:line="288" w:lineRule="auto"/>
              <w:widowControl w:val="off"/>
              <w:rPr>
                <w:rFonts w:ascii="宋体" w:hAnsi="宋体"/>
                <w:color w:val="auto"/>
                <w:szCs w:val="21"/>
                <w:highlight w:val="none"/>
              </w:rPr>
            </w:pPr>
            <w:r>
              <w:rPr>
                <w:rFonts w:ascii="宋体" w:hAnsi="宋体"/>
                <w:color w:val="auto"/>
                <w:szCs w:val="21"/>
                <w:highlight w:val="none"/>
              </w:rPr>
            </w:r>
            <w:r/>
          </w:p>
        </w:tc>
        <w:tc>
          <w:tcPr>
            <w:tcW w:w="998"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7"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0"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712"/>
        </w:trPr>
        <w:tc>
          <w:tcPr>
            <w:tcW w:w="2073" w:type="pct"/>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color w:val="auto"/>
                <w:szCs w:val="21"/>
                <w:highlight w:val="none"/>
              </w:rPr>
              <w:t xml:space="preserve">合计</w:t>
            </w:r>
            <w:r/>
          </w:p>
        </w:tc>
        <w:tc>
          <w:tcPr>
            <w:tcW w:w="998"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7"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0"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rFonts w:ascii="宋体" w:hAnsi="宋体"/>
          <w:bCs w:val="0"/>
          <w:color w:val="auto"/>
          <w:sz w:val="32"/>
          <w:szCs w:val="32"/>
          <w:highlight w:val="none"/>
        </w:rPr>
      </w:pPr>
      <w:r>
        <w:rPr>
          <w:rFonts w:hint="eastAsia" w:ascii="宋体" w:hAnsi="宋体"/>
          <w:bCs w:val="0"/>
          <w:color w:val="auto"/>
          <w:sz w:val="32"/>
          <w:szCs w:val="32"/>
          <w:highlight w:val="none"/>
        </w:rPr>
        <w:br w:type="page" w:clear="all"/>
      </w:r>
      <w:r>
        <w:rPr>
          <w:rFonts w:hint="eastAsia" w:ascii="宋体" w:hAnsi="宋体"/>
          <w:bCs w:val="0"/>
          <w:color w:val="auto"/>
          <w:sz w:val="32"/>
          <w:szCs w:val="32"/>
          <w:highlight w:val="none"/>
        </w:rPr>
        <w:t xml:space="preserve">六、技术参数响应及偏离表</w:t>
      </w:r>
      <w:r/>
    </w:p>
    <w:tbl>
      <w:tblPr>
        <w:tblStyle w:val="822"/>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2650"/>
        <w:gridCol w:w="2650"/>
        <w:gridCol w:w="1215"/>
        <w:gridCol w:w="1090"/>
      </w:tblGrid>
      <w:tr>
        <w:trPr>
          <w:cantSplit/>
        </w:trPr>
        <w:tc>
          <w:tcPr>
            <w:tcW w:w="91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65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265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21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09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1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jc w:val="center"/>
        <w:rPr>
          <w:rFonts w:ascii="宋体" w:hAnsi="宋体"/>
          <w:color w:val="auto"/>
          <w:sz w:val="32"/>
          <w:szCs w:val="32"/>
          <w:highlight w:val="none"/>
        </w:rPr>
        <w:outlineLvl w:val="1"/>
      </w:pPr>
      <w:r>
        <w:rPr>
          <w:rFonts w:hint="eastAsia" w:ascii="黑体" w:hAnsi="Arial" w:eastAsia="黑体"/>
          <w:color w:val="auto"/>
          <w:sz w:val="32"/>
          <w:highlight w:val="none"/>
        </w:rPr>
        <w:br w:type="page" w:clear="all"/>
      </w:r>
      <w:bookmarkStart w:id="41" w:name="_Hlt26955054"/>
      <w:r/>
      <w:bookmarkEnd w:id="41"/>
      <w:r/>
      <w:bookmarkStart w:id="42" w:name="_Toc113352363"/>
      <w:r>
        <w:rPr>
          <w:rFonts w:hint="eastAsia" w:ascii="宋体" w:hAnsi="宋体"/>
          <w:b/>
          <w:color w:val="auto"/>
          <w:sz w:val="32"/>
          <w:szCs w:val="32"/>
          <w:highlight w:val="none"/>
        </w:rPr>
        <w:t xml:space="preserve">七、商务条款响应及偏离表</w:t>
      </w:r>
      <w:bookmarkEnd w:id="42"/>
      <w:r/>
      <w:r/>
    </w:p>
    <w:tbl>
      <w:tblPr>
        <w:tblStyle w:val="822"/>
        <w:tblW w:w="851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57"/>
        <w:gridCol w:w="2379"/>
        <w:gridCol w:w="1747"/>
        <w:gridCol w:w="2836"/>
      </w:tblGrid>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仿宋_GB2312" w:hAnsi="Arial"/>
          <w:color w:val="auto"/>
          <w:sz w:val="30"/>
          <w:highlight w:val="none"/>
        </w:rPr>
      </w:pPr>
      <w:r>
        <w:rPr>
          <w:rFonts w:ascii="仿宋_GB2312" w:hAnsi="Arial"/>
          <w:color w:val="auto"/>
          <w:sz w:val="30"/>
          <w:highlight w:val="none"/>
        </w:rPr>
      </w:r>
      <w:r/>
    </w:p>
    <w:p>
      <w:pPr>
        <w:pStyle w:val="823"/>
        <w:ind w:firstLine="480"/>
        <w:rPr>
          <w:rFonts w:ascii="宋体" w:hAnsi="宋体"/>
          <w:color w:val="auto"/>
          <w:sz w:val="24"/>
          <w:highlight w:val="none"/>
        </w:rPr>
      </w:pPr>
      <w:r/>
      <w:bookmarkStart w:id="43" w:name="_Hlt26955066"/>
      <w:r/>
      <w:bookmarkEnd w:id="43"/>
      <w:r/>
      <w:bookmarkStart w:id="44" w:name="_Hlt26671374"/>
      <w:r/>
      <w:bookmarkEnd w:id="44"/>
      <w:r/>
      <w:bookmarkStart w:id="45" w:name="_Hlt26609389"/>
      <w:r/>
      <w:bookmarkEnd w:id="45"/>
      <w:r/>
      <w:bookmarkStart w:id="46" w:name="_Toc462564146"/>
      <w:r/>
      <w:r/>
    </w:p>
    <w:p>
      <w:pPr>
        <w:pStyle w:val="823"/>
        <w:ind w:firstLine="480"/>
        <w:rPr>
          <w:rFonts w:ascii="宋体" w:hAnsi="宋体"/>
          <w:color w:val="auto"/>
          <w:sz w:val="24"/>
          <w:highlight w:val="none"/>
        </w:rPr>
      </w:pPr>
      <w:r>
        <w:rPr>
          <w:rFonts w:ascii="宋体" w:hAnsi="宋体"/>
          <w:color w:val="auto"/>
          <w:sz w:val="24"/>
          <w:highlight w:val="none"/>
        </w:rPr>
      </w:r>
      <w:r/>
    </w:p>
    <w:p>
      <w:pPr>
        <w:pStyle w:val="823"/>
        <w:ind w:firstLine="480"/>
        <w:rPr>
          <w:rFonts w:ascii="宋体" w:hAnsi="宋体"/>
          <w:color w:val="auto"/>
          <w:sz w:val="24"/>
          <w:highlight w:val="none"/>
        </w:rPr>
      </w:pPr>
      <w:r>
        <w:rPr>
          <w:rFonts w:ascii="宋体" w:hAnsi="宋体"/>
          <w:color w:val="auto"/>
          <w:sz w:val="24"/>
          <w:highlight w:val="none"/>
        </w:rPr>
      </w:r>
      <w:r/>
    </w:p>
    <w:p>
      <w:pPr>
        <w:pStyle w:val="823"/>
        <w:ind w:firstLine="480"/>
        <w:rPr>
          <w:rFonts w:ascii="宋体" w:hAnsi="宋体"/>
          <w:color w:val="auto"/>
          <w:sz w:val="24"/>
          <w:highlight w:val="none"/>
        </w:rPr>
      </w:pPr>
      <w:r>
        <w:rPr>
          <w:rFonts w:ascii="宋体" w:hAnsi="宋体"/>
          <w:color w:val="auto"/>
          <w:sz w:val="24"/>
          <w:highlight w:val="none"/>
        </w:rPr>
      </w:r>
      <w:r/>
    </w:p>
    <w:p>
      <w:pPr>
        <w:pStyle w:val="823"/>
        <w:ind w:firstLine="480"/>
        <w:rPr>
          <w:rFonts w:ascii="宋体" w:hAnsi="宋体"/>
          <w:color w:val="auto"/>
          <w:sz w:val="24"/>
          <w:highlight w:val="none"/>
        </w:rPr>
      </w:pPr>
      <w:r>
        <w:rPr>
          <w:rFonts w:hint="eastAsia" w:ascii="宋体" w:hAnsi="宋体"/>
          <w:color w:val="auto"/>
          <w:sz w:val="24"/>
          <w:highlight w:val="none"/>
        </w:rPr>
        <w:t xml:space="preserve">.</w:t>
      </w:r>
      <w:r/>
    </w:p>
    <w:p>
      <w:pPr>
        <w:pStyle w:val="823"/>
        <w:ind w:firstLine="480"/>
        <w:rPr>
          <w:rFonts w:ascii="宋体" w:hAnsi="宋体"/>
          <w:color w:val="auto"/>
          <w:sz w:val="24"/>
          <w:highlight w:val="none"/>
        </w:rPr>
      </w:pPr>
      <w:r>
        <w:rPr>
          <w:rFonts w:ascii="宋体" w:hAnsi="宋体"/>
          <w:color w:val="auto"/>
          <w:sz w:val="24"/>
          <w:highlight w:val="none"/>
        </w:rPr>
      </w:r>
      <w:r/>
    </w:p>
    <w:p>
      <w:pPr>
        <w:pStyle w:val="823"/>
        <w:ind w:firstLine="643"/>
        <w:rPr>
          <w:rFonts w:ascii="宋体" w:hAnsi="宋体"/>
          <w:b/>
          <w:color w:val="auto"/>
          <w:sz w:val="32"/>
          <w:szCs w:val="32"/>
          <w:highlight w:val="none"/>
        </w:rPr>
      </w:pPr>
      <w:r>
        <w:rPr>
          <w:rFonts w:ascii="宋体" w:hAnsi="宋体"/>
          <w:b/>
          <w:color w:val="auto"/>
          <w:sz w:val="32"/>
          <w:szCs w:val="32"/>
          <w:highlight w:val="none"/>
        </w:rPr>
      </w:r>
      <w:r/>
    </w:p>
    <w:p>
      <w:pPr>
        <w:pStyle w:val="823"/>
        <w:ind w:firstLine="480"/>
        <w:rPr>
          <w:rFonts w:ascii="宋体" w:hAnsi="宋体"/>
          <w:color w:val="auto"/>
          <w:sz w:val="24"/>
          <w:highlight w:val="none"/>
        </w:rPr>
      </w:pPr>
      <w:r>
        <w:rPr>
          <w:rFonts w:hint="eastAsia" w:ascii="宋体" w:hAnsi="宋体"/>
          <w:b/>
          <w:color w:val="auto"/>
          <w:sz w:val="32"/>
          <w:szCs w:val="32"/>
          <w:highlight w:val="none"/>
        </w:rPr>
        <w:br w:type="page" w:clear="all"/>
      </w:r>
      <w:bookmarkEnd w:id="46"/>
      <w:r/>
      <w:r/>
    </w:p>
    <w:p>
      <w:pPr>
        <w:pStyle w:val="823"/>
        <w:ind w:firstLine="480"/>
        <w:rPr>
          <w:rFonts w:ascii="宋体" w:hAnsi="宋体"/>
          <w:color w:val="auto"/>
          <w:sz w:val="24"/>
          <w:highlight w:val="none"/>
        </w:rPr>
      </w:pPr>
      <w:r>
        <w:rPr>
          <w:rFonts w:ascii="宋体" w:hAnsi="宋体"/>
          <w:color w:val="auto"/>
          <w:sz w:val="24"/>
          <w:highlight w:val="none"/>
        </w:rPr>
      </w:r>
      <w:r/>
    </w:p>
    <w:p>
      <w:pPr>
        <w:jc w:val="center"/>
        <w:widowControl/>
        <w:rPr>
          <w:rFonts w:ascii="宋体" w:hAnsi="宋体"/>
          <w:b/>
          <w:color w:val="auto"/>
          <w:highlight w:val="none"/>
        </w:rPr>
      </w:pPr>
      <w:r/>
      <w:bookmarkStart w:id="47" w:name="_格式2__法定代表人授权书"/>
      <w:r/>
      <w:bookmarkEnd w:id="47"/>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822"/>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27"/>
        <w:gridCol w:w="4193"/>
      </w:tblGrid>
      <w:tr>
        <w:trPr>
          <w:trHeight w:val="567"/>
        </w:trPr>
        <w:tc>
          <w:tcPr>
            <w:tcW w:w="4327"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4193"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567"/>
        </w:trPr>
        <w:tc>
          <w:tcPr>
            <w:tcW w:w="4327"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4193"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Arial Unicode MS">
    <w:panose1 w:val="020B0604020202020204"/>
  </w:font>
  <w:font w:name="新宋体">
    <w:panose1 w:val="02010609030101010101"/>
  </w:font>
  <w:font w:name="Symbol">
    <w:panose1 w:val="05050102010706020507"/>
  </w:font>
  <w:font w:name="等线">
    <w:panose1 w:val="02010600030101010101"/>
  </w:font>
  <w:font w:name="仿宋">
    <w:panose1 w:val="02010609060101010101"/>
  </w:font>
  <w:font w:name="等线 Light">
    <w:panose1 w:val="02010600030101010101"/>
  </w:font>
  <w:font w:name="Tahoma">
    <w:panose1 w:val="020B0604030504040204"/>
  </w:font>
  <w:font w:name="Courier New">
    <w:panose1 w:val="02070309020205020404"/>
  </w:font>
  <w:font w:name="楷体_GB2312">
    <w:panose1 w:val="02010609060101010101"/>
  </w:font>
  <w:font w:name="Consolas">
    <w:panose1 w:val="020B0609020204030204"/>
  </w:font>
  <w:font w:name="Cambria">
    <w:panose1 w:val="02040503050406030204"/>
  </w:font>
  <w:font w:name="Calibri">
    <w:panose1 w:val="020F0502020204030204"/>
  </w:font>
  <w:font w:name="微软雅黑">
    <w:panose1 w:val="020B0503020204020204"/>
  </w:font>
  <w:font w:name="宋体_GB2312">
    <w:panose1 w:val="0201060003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center"/>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5"/>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5"/>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5"/>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5"/>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v:textbox>
            </v:shape>
          </w:pict>
        </mc:Fallback>
      </mc:AlternateContent>
    </w:r>
    <w:r/>
  </w:p>
  <w:p>
    <w:pPr>
      <w:pStyle w:val="84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rPr>
        <w:rFonts w:hint="eastAsia" w:eastAsia="宋体"/>
        <w:lang w:val="en-US" w:eastAsia="zh-CN"/>
      </w:rPr>
    </w:pPr>
    <w:r>
      <w:rPr>
        <w:rFonts w:hint="eastAsia" w:ascii="宋体" w:hAnsi="宋体" w:cs="宋体"/>
        <w:highlight w:val="none"/>
        <w:lang w:val="en-US" w:eastAsia="zh-CN"/>
      </w:rPr>
      <w:t xml:space="preserve"> </w:t>
    </w:r>
    <w:r>
      <w:rPr>
        <w:rFonts w:hint="eastAsia"/>
      </w:rPr>
      <w:t xml:space="preserve">                                 </w:t>
    </w:r>
    <w:r>
      <w:rPr>
        <w:rFonts w:hint="eastAsia"/>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rPr>
        <w:rFonts w:hint="eastAsia" w:eastAsia="宋体"/>
        <w:lang w:eastAsia="zh-CN"/>
      </w:rPr>
    </w:pPr>
    <w:r>
      <w:rPr>
        <w:rFonts w:hint="eastAsia"/>
        <w:lang w:val="en-US" w:eastAsia="zh-CN"/>
      </w:rPr>
      <w:tab/>
    </w:r>
    <w:r>
      <w:rPr>
        <w:rFonts w:hint="eastAsia"/>
        <w:lang w:eastAsia="zh-CN"/>
      </w:rPr>
      <w:t xml:space="preserve">JSZC-321000-JYYH-G2026-0002号  </w:t>
    </w:r>
    <w:r>
      <w:rPr>
        <w:rFonts w:hint="eastAsia"/>
      </w:rPr>
      <w:t xml:space="preserve">                              </w:t>
    </w:r>
    <w:r>
      <w:rPr>
        <w:rFonts w:hint="eastAsia"/>
        <w:lang w:eastAsia="zh-CN"/>
      </w:rPr>
      <w:t xml:space="preserve">江苏华彦建设投资管理有限公司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rPr>
        <w:rFonts w:hint="eastAsia" w:eastAsia="宋体"/>
        <w:lang w:eastAsia="zh-CN"/>
      </w:rPr>
    </w:pPr>
    <w:r>
      <w:rPr>
        <w:rFonts w:hint="eastAsia"/>
        <w:lang w:val="en-US" w:eastAsia="zh-CN"/>
      </w:rPr>
      <w:tab/>
    </w:r>
    <w:r>
      <w:rPr>
        <w:rFonts w:hint="eastAsia"/>
        <w:lang w:eastAsia="zh-CN"/>
      </w:rPr>
      <w:t xml:space="preserve">JSZC-321000-JYYH-G2026-0002号  </w:t>
    </w:r>
    <w:r>
      <w:rPr>
        <w:rFonts w:hint="eastAsia"/>
      </w:rPr>
      <w:t xml:space="preserve">                              </w:t>
    </w:r>
    <w:r>
      <w:rPr>
        <w:rFonts w:hint="eastAsia"/>
        <w:lang w:eastAsia="zh-CN"/>
      </w:rPr>
      <w:t xml:space="preserve">江苏华彦建设投资管理有限公司</w:t>
    </w:r>
    <w:r/>
  </w:p>
  <w:p>
    <w:pPr>
      <w:pStyle w:val="846"/>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1139"/>
      <w:isLgl/>
      <w:suff w:val="tab"/>
      <w:lvlText w:val="%1.%2"/>
      <w:lvlJc w:val="left"/>
      <w:pPr>
        <w:ind w:left="0" w:firstLine="0"/>
        <w:tabs>
          <w:tab w:val="left" w:pos="851" w:leader="none"/>
        </w:tabs>
      </w:pPr>
    </w:lvl>
    <w:lvl w:ilvl="2">
      <w:start w:val="1"/>
      <w:numFmt w:val="decimal"/>
      <w:pStyle w:val="1123"/>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
    <w:multiLevelType w:val="hybridMultilevel"/>
    <w:lvl w:ilvl="0">
      <w:start w:val="1"/>
      <w:numFmt w:val="bullet"/>
      <w:pStyle w:val="1119"/>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7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1、"/>
      <w:lvlJc w:val="left"/>
      <w:pPr>
        <w:ind w:left="431" w:hanging="431"/>
      </w:pPr>
      <w:rPr>
        <w:rFonts w:hint="default" w:cs="Times New Roman"/>
        <w:b/>
        <w:i w:val="0"/>
        <w:iCs w:val="0"/>
        <w:caps w:val="0"/>
        <w:strike w:val="0"/>
        <w:spacing w:val="0"/>
        <w:position w:val="0"/>
        <w:sz w:val="21"/>
        <w:szCs w:val="32"/>
        <w:u w:val="none"/>
        <w:vertAlign w:val="baseline"/>
      </w:rPr>
    </w:lvl>
    <w:lvl w:ilvl="1">
      <w:start w:val="1"/>
      <w:numFmt w:val="decimal"/>
      <w:pStyle w:val="813"/>
      <w:isLgl w:val="false"/>
      <w:suff w:val="space"/>
      <w:lvlText w:val="%1.%2"/>
      <w:lvlJc w:val="left"/>
      <w:pPr>
        <w:ind w:left="851" w:hanging="567"/>
      </w:pPr>
      <w:rPr>
        <w:rFonts w:hint="default" w:ascii="Arial" w:hAnsi="Arial" w:eastAsia="黑体"/>
        <w:b/>
        <w:i w:val="0"/>
        <w:sz w:val="28"/>
        <w:szCs w:val="28"/>
      </w:rPr>
    </w:lvl>
    <w:lvl w:ilvl="2">
      <w:start w:val="1"/>
      <w:numFmt w:val="decimal"/>
      <w:pStyle w:val="814"/>
      <w:isLgl w:val="false"/>
      <w:suff w:val="space"/>
      <w:lvlText w:val="%1.%2.%3"/>
      <w:lvlJc w:val="left"/>
      <w:pPr>
        <w:ind w:left="720" w:hanging="720"/>
      </w:pPr>
      <w:rPr>
        <w:rFonts w:hint="default" w:ascii="Arial" w:hAnsi="Arial" w:eastAsia="黑体"/>
        <w:b/>
        <w:i w:val="0"/>
        <w:sz w:val="28"/>
        <w:szCs w:val="28"/>
      </w:rPr>
    </w:lvl>
    <w:lvl w:ilvl="3">
      <w:start w:val="1"/>
      <w:numFmt w:val="decimal"/>
      <w:isLgl w:val="false"/>
      <w:suff w:val="space"/>
      <w:lvlText w:val="%1.%2.%3.%4"/>
      <w:lvlJc w:val="left"/>
      <w:pPr>
        <w:ind w:left="864" w:hanging="864"/>
      </w:pPr>
      <w:rPr>
        <w:rFonts w:hint="default" w:ascii="Arial" w:hAnsi="Arial" w:eastAsia="黑体"/>
        <w:b/>
        <w:i w:val="0"/>
        <w:sz w:val="30"/>
        <w:szCs w:val="30"/>
      </w:rPr>
    </w:lvl>
    <w:lvl w:ilvl="4">
      <w:start w:val="1"/>
      <w:numFmt w:val="decimal"/>
      <w:isLgl w:val="false"/>
      <w:suff w:val="space"/>
      <w:lvlText w:val="%1.%2.%3.%4.%5"/>
      <w:lvlJc w:val="left"/>
      <w:pPr>
        <w:ind w:left="1008" w:hanging="1008"/>
      </w:pPr>
      <w:rPr>
        <w:rFonts w:hint="default"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1"/>
      <w:numFmt w:val="japaneseCounting"/>
      <w:pStyle w:val="1129"/>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87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1"/>
  </w:num>
  <w:num w:numId="5">
    <w:abstractNumId w:val="0"/>
  </w:num>
  <w:num w:numId="6">
    <w:abstractNumId w:val="5"/>
  </w:num>
  <w:num w:numId="7">
    <w:abstractNumId w:val="6"/>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1"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12">
    <w:name w:val="Heading 1"/>
    <w:basedOn w:val="811"/>
    <w:next w:val="811"/>
    <w:link w:val="1033"/>
    <w:uiPriority w:val="9"/>
    <w:qFormat/>
    <w:pPr>
      <w:keepLines/>
      <w:keepNext/>
      <w:spacing w:before="340" w:after="330" w:line="578" w:lineRule="auto"/>
      <w:outlineLvl w:val="0"/>
    </w:pPr>
    <w:rPr>
      <w:b/>
      <w:bCs/>
      <w:sz w:val="44"/>
      <w:szCs w:val="44"/>
    </w:rPr>
  </w:style>
  <w:style w:type="paragraph" w:styleId="813">
    <w:name w:val="Heading 2"/>
    <w:basedOn w:val="811"/>
    <w:next w:val="823"/>
    <w:link w:val="1034"/>
    <w:uiPriority w:val="9"/>
    <w:qFormat/>
    <w:pPr>
      <w:numPr>
        <w:ilvl w:val="1"/>
        <w:numId w:val="1"/>
      </w:numPr>
      <w:jc w:val="left"/>
      <w:keepLines/>
      <w:keepNext/>
      <w:spacing w:before="312" w:after="312"/>
      <w:outlineLvl w:val="1"/>
    </w:pPr>
    <w:rPr>
      <w:rFonts w:ascii="Arial" w:hAnsi="Arial"/>
      <w:b/>
      <w:bCs/>
      <w:sz w:val="28"/>
      <w:szCs w:val="36"/>
    </w:rPr>
  </w:style>
  <w:style w:type="paragraph" w:styleId="814">
    <w:name w:val="Heading 3"/>
    <w:basedOn w:val="811"/>
    <w:next w:val="811"/>
    <w:link w:val="1036"/>
    <w:uiPriority w:val="0"/>
    <w:qFormat/>
    <w:pPr>
      <w:numPr>
        <w:ilvl w:val="2"/>
        <w:numId w:val="1"/>
      </w:numPr>
      <w:jc w:val="left"/>
      <w:keepLines/>
      <w:keepNext/>
      <w:spacing w:before="312" w:after="312"/>
      <w:outlineLvl w:val="2"/>
    </w:pPr>
    <w:rPr>
      <w:rFonts w:ascii="Arial" w:hAnsi="Arial" w:eastAsia="黑体"/>
      <w:b/>
      <w:bCs/>
      <w:sz w:val="30"/>
      <w:szCs w:val="32"/>
    </w:rPr>
  </w:style>
  <w:style w:type="paragraph" w:styleId="815">
    <w:name w:val="Heading 4"/>
    <w:basedOn w:val="811"/>
    <w:next w:val="823"/>
    <w:link w:val="1037"/>
    <w:uiPriority w:val="0"/>
    <w:qFormat/>
    <w:pPr>
      <w:spacing w:before="280" w:after="290" w:line="377" w:lineRule="auto"/>
      <w:outlineLvl w:val="3"/>
    </w:pPr>
    <w:rPr>
      <w:rFonts w:ascii="Arial" w:hAnsi="Arial" w:eastAsia="黑体"/>
      <w:b/>
      <w:bCs/>
      <w:sz w:val="28"/>
      <w:szCs w:val="28"/>
    </w:rPr>
  </w:style>
  <w:style w:type="paragraph" w:styleId="816">
    <w:name w:val="Heading 5"/>
    <w:basedOn w:val="811"/>
    <w:next w:val="811"/>
    <w:link w:val="1038"/>
    <w:uiPriority w:val="0"/>
    <w:qFormat/>
    <w:pPr>
      <w:keepLines/>
      <w:keepNext/>
      <w:spacing w:before="280" w:after="290" w:line="376" w:lineRule="auto"/>
      <w:outlineLvl w:val="4"/>
    </w:pPr>
    <w:rPr>
      <w:rFonts w:ascii="Calibri" w:hAnsi="Calibri"/>
      <w:b/>
      <w:bCs/>
      <w:sz w:val="28"/>
      <w:szCs w:val="28"/>
    </w:rPr>
  </w:style>
  <w:style w:type="paragraph" w:styleId="817">
    <w:name w:val="Heading 6"/>
    <w:basedOn w:val="811"/>
    <w:next w:val="811"/>
    <w:link w:val="1039"/>
    <w:uiPriority w:val="0"/>
    <w:qFormat/>
    <w:pPr>
      <w:ind w:left="1152" w:hanging="1152"/>
      <w:keepLines/>
      <w:keepNext/>
      <w:spacing w:before="240" w:after="64" w:line="320" w:lineRule="auto"/>
      <w:outlineLvl w:val="5"/>
    </w:pPr>
    <w:rPr>
      <w:rFonts w:ascii="Cambria" w:hAnsi="Cambria"/>
      <w:b/>
      <w:bCs/>
      <w:sz w:val="24"/>
      <w:szCs w:val="24"/>
    </w:rPr>
  </w:style>
  <w:style w:type="paragraph" w:styleId="818">
    <w:name w:val="Heading 7"/>
    <w:basedOn w:val="811"/>
    <w:next w:val="811"/>
    <w:link w:val="1040"/>
    <w:uiPriority w:val="0"/>
    <w:qFormat/>
    <w:pPr>
      <w:ind w:left="1296" w:hanging="1296"/>
      <w:keepLines/>
      <w:keepNext/>
      <w:spacing w:before="240" w:after="64" w:line="320" w:lineRule="auto"/>
      <w:outlineLvl w:val="6"/>
    </w:pPr>
    <w:rPr>
      <w:b/>
      <w:bCs/>
      <w:sz w:val="24"/>
      <w:szCs w:val="24"/>
    </w:rPr>
  </w:style>
  <w:style w:type="paragraph" w:styleId="819">
    <w:name w:val="Heading 8"/>
    <w:basedOn w:val="811"/>
    <w:next w:val="811"/>
    <w:link w:val="1041"/>
    <w:uiPriority w:val="0"/>
    <w:qFormat/>
    <w:pPr>
      <w:ind w:left="1440" w:hanging="1440"/>
      <w:keepLines/>
      <w:keepNext/>
      <w:spacing w:before="240" w:after="64" w:line="320" w:lineRule="auto"/>
      <w:outlineLvl w:val="7"/>
    </w:pPr>
    <w:rPr>
      <w:rFonts w:ascii="Cambria" w:hAnsi="Cambria"/>
      <w:sz w:val="24"/>
      <w:szCs w:val="24"/>
    </w:rPr>
  </w:style>
  <w:style w:type="paragraph" w:styleId="820">
    <w:name w:val="Heading 9"/>
    <w:basedOn w:val="811"/>
    <w:next w:val="811"/>
    <w:link w:val="1042"/>
    <w:uiPriority w:val="0"/>
    <w:qFormat/>
    <w:pPr>
      <w:ind w:left="1584" w:hanging="1584"/>
      <w:keepLines/>
      <w:keepNext/>
      <w:spacing w:before="240" w:after="64" w:line="320" w:lineRule="auto"/>
      <w:outlineLvl w:val="8"/>
    </w:pPr>
    <w:rPr>
      <w:rFonts w:ascii="Cambria" w:hAnsi="Cambria"/>
      <w:sz w:val="20"/>
      <w:szCs w:val="21"/>
    </w:rPr>
  </w:style>
  <w:style w:type="character" w:styleId="821" w:default="1">
    <w:name w:val="Default Paragraph Font"/>
    <w:uiPriority w:val="1"/>
    <w:semiHidden/>
    <w:unhideWhenUsed/>
    <w:qFormat/>
  </w:style>
  <w:style w:type="table" w:styleId="822" w:default="1">
    <w:name w:val="Normal Table"/>
    <w:uiPriority w:val="99"/>
    <w:semiHidden/>
    <w:unhideWhenUsed/>
    <w:qFormat/>
    <w:tblPr>
      <w:tblCellMar>
        <w:left w:w="108" w:type="dxa"/>
        <w:top w:w="0" w:type="dxa"/>
        <w:right w:w="108" w:type="dxa"/>
        <w:bottom w:w="0" w:type="dxa"/>
      </w:tblCellMar>
    </w:tblPr>
  </w:style>
  <w:style w:type="paragraph" w:styleId="823">
    <w:name w:val="Normal Indent"/>
    <w:basedOn w:val="811"/>
    <w:link w:val="1035"/>
    <w:uiPriority w:val="0"/>
    <w:unhideWhenUsed/>
    <w:qFormat/>
    <w:pPr>
      <w:ind w:firstLine="420"/>
    </w:pPr>
  </w:style>
  <w:style w:type="paragraph" w:styleId="824">
    <w:name w:val="toc 7"/>
    <w:basedOn w:val="811"/>
    <w:next w:val="811"/>
    <w:uiPriority w:val="39"/>
    <w:unhideWhenUsed/>
    <w:qFormat/>
    <w:pPr>
      <w:ind w:left="1701" w:right="0" w:firstLine="0"/>
      <w:spacing w:after="57"/>
    </w:pPr>
  </w:style>
  <w:style w:type="paragraph" w:styleId="825">
    <w:name w:val="table of authorities"/>
    <w:basedOn w:val="811"/>
    <w:next w:val="811"/>
    <w:uiPriority w:val="0"/>
    <w:qFormat/>
    <w:pPr>
      <w:ind w:left="420"/>
    </w:pPr>
  </w:style>
  <w:style w:type="paragraph" w:styleId="826">
    <w:name w:val="Caption"/>
    <w:basedOn w:val="811"/>
    <w:next w:val="811"/>
    <w:uiPriority w:val="0"/>
    <w:qFormat/>
    <w:rPr>
      <w:rFonts w:ascii="Arial" w:hAnsi="Arial" w:eastAsia="黑体"/>
      <w:sz w:val="20"/>
    </w:rPr>
  </w:style>
  <w:style w:type="paragraph" w:styleId="827">
    <w:name w:val="Document Map"/>
    <w:basedOn w:val="811"/>
    <w:link w:val="1043"/>
    <w:uiPriority w:val="0"/>
    <w:qFormat/>
    <w:rPr>
      <w:rFonts w:ascii="宋体"/>
      <w:sz w:val="18"/>
      <w:szCs w:val="18"/>
    </w:rPr>
  </w:style>
  <w:style w:type="paragraph" w:styleId="828">
    <w:name w:val="annotation text"/>
    <w:basedOn w:val="811"/>
    <w:link w:val="1044"/>
    <w:uiPriority w:val="99"/>
    <w:unhideWhenUsed/>
    <w:qFormat/>
    <w:pPr>
      <w:jc w:val="left"/>
    </w:pPr>
    <w:rPr>
      <w:sz w:val="20"/>
      <w:szCs w:val="24"/>
    </w:rPr>
  </w:style>
  <w:style w:type="paragraph" w:styleId="829">
    <w:name w:val="Body Text 3"/>
    <w:basedOn w:val="811"/>
    <w:link w:val="1045"/>
    <w:uiPriority w:val="0"/>
    <w:qFormat/>
    <w:rPr>
      <w:rFonts w:ascii="宋体"/>
      <w:sz w:val="24"/>
      <w:szCs w:val="20"/>
    </w:rPr>
  </w:style>
  <w:style w:type="paragraph" w:styleId="830">
    <w:name w:val="Body Text"/>
    <w:basedOn w:val="811"/>
    <w:next w:val="831"/>
    <w:link w:val="1046"/>
    <w:uiPriority w:val="0"/>
    <w:qFormat/>
    <w:rPr>
      <w:rFonts w:ascii="楷体_GB2312" w:hAnsi="Arial" w:eastAsia="楷体_GB2312"/>
      <w:sz w:val="28"/>
      <w:szCs w:val="28"/>
    </w:rPr>
  </w:style>
  <w:style w:type="paragraph" w:styleId="831" w:customStyle="1">
    <w:name w:val="目录 53"/>
    <w:next w:val="811"/>
    <w:uiPriority w:val="0"/>
    <w:qFormat/>
    <w:pPr>
      <w:ind w:left="1275"/>
      <w:jc w:val="both"/>
    </w:pPr>
    <w:rPr>
      <w:rFonts w:ascii="Times New Roman" w:hAnsi="Times New Roman" w:eastAsia="宋体" w:cs="Times New Roman"/>
      <w:sz w:val="21"/>
      <w:lang w:val="en-US" w:eastAsia="zh-CN" w:bidi="ar-SA"/>
    </w:rPr>
  </w:style>
  <w:style w:type="paragraph" w:styleId="832">
    <w:name w:val="Body Text Indent"/>
    <w:basedOn w:val="811"/>
    <w:next w:val="833"/>
    <w:link w:val="1047"/>
    <w:uiPriority w:val="99"/>
    <w:qFormat/>
    <w:pPr>
      <w:ind w:left="420"/>
      <w:spacing w:after="120"/>
    </w:pPr>
    <w:rPr>
      <w:sz w:val="20"/>
      <w:szCs w:val="24"/>
    </w:rPr>
  </w:style>
  <w:style w:type="paragraph" w:styleId="833">
    <w:name w:val="envelope return"/>
    <w:basedOn w:val="811"/>
    <w:uiPriority w:val="0"/>
    <w:qFormat/>
    <w:rPr>
      <w:rFonts w:ascii="Arial" w:hAnsi="Arial"/>
    </w:rPr>
  </w:style>
  <w:style w:type="paragraph" w:styleId="834">
    <w:name w:val="Block Text"/>
    <w:basedOn w:val="811"/>
    <w:uiPriority w:val="0"/>
    <w:qFormat/>
    <w:pPr>
      <w:spacing w:line="856" w:lineRule="atLeast"/>
      <w:widowControl/>
    </w:pPr>
    <w:rPr>
      <w:color w:val="000000"/>
      <w:szCs w:val="20"/>
    </w:rPr>
  </w:style>
  <w:style w:type="paragraph" w:styleId="835">
    <w:name w:val="List Bullet 2"/>
    <w:basedOn w:val="811"/>
    <w:uiPriority w:val="99"/>
    <w:unhideWhenUsed/>
    <w:qFormat/>
    <w:pPr>
      <w:ind w:left="780" w:hanging="360"/>
      <w:tabs>
        <w:tab w:val="left" w:pos="780" w:leader="none"/>
      </w:tabs>
    </w:pPr>
  </w:style>
  <w:style w:type="paragraph" w:styleId="836">
    <w:name w:val="index 4"/>
    <w:next w:val="811"/>
    <w:uiPriority w:val="0"/>
    <w:qFormat/>
    <w:pPr>
      <w:ind w:left="600"/>
      <w:jc w:val="both"/>
      <w:widowControl w:val="off"/>
    </w:pPr>
    <w:rPr>
      <w:rFonts w:hint="default" w:ascii="Times New Roman" w:hAnsi="Times New Roman" w:eastAsia="宋体" w:cs="Times New Roman"/>
      <w:sz w:val="21"/>
      <w:szCs w:val="21"/>
      <w:lang w:val="en-US" w:eastAsia="zh-CN" w:bidi="ar-SA"/>
    </w:rPr>
  </w:style>
  <w:style w:type="paragraph" w:styleId="837">
    <w:name w:val="toc 5"/>
    <w:basedOn w:val="811"/>
    <w:next w:val="811"/>
    <w:uiPriority w:val="39"/>
    <w:unhideWhenUsed/>
    <w:qFormat/>
    <w:pPr>
      <w:ind w:left="1134" w:right="0" w:firstLine="0"/>
      <w:spacing w:after="57"/>
    </w:pPr>
  </w:style>
  <w:style w:type="paragraph" w:styleId="838">
    <w:name w:val="toc 3"/>
    <w:basedOn w:val="811"/>
    <w:next w:val="811"/>
    <w:uiPriority w:val="39"/>
    <w:unhideWhenUsed/>
    <w:qFormat/>
    <w:pPr>
      <w:ind w:left="840"/>
    </w:pPr>
    <w:rPr>
      <w:rFonts w:ascii="Calibri" w:hAnsi="Calibri"/>
    </w:rPr>
  </w:style>
  <w:style w:type="paragraph" w:styleId="839">
    <w:name w:val="Plain Text"/>
    <w:basedOn w:val="811"/>
    <w:link w:val="1048"/>
    <w:uiPriority w:val="0"/>
    <w:qFormat/>
    <w:rPr>
      <w:rFonts w:ascii="宋体" w:hAnsi="Courier New"/>
      <w:sz w:val="20"/>
      <w:szCs w:val="21"/>
    </w:rPr>
  </w:style>
  <w:style w:type="paragraph" w:styleId="840">
    <w:name w:val="toc 8"/>
    <w:basedOn w:val="811"/>
    <w:next w:val="811"/>
    <w:uiPriority w:val="39"/>
    <w:unhideWhenUsed/>
    <w:qFormat/>
    <w:pPr>
      <w:ind w:left="1984" w:right="0" w:firstLine="0"/>
      <w:spacing w:after="57"/>
    </w:pPr>
  </w:style>
  <w:style w:type="paragraph" w:styleId="841">
    <w:name w:val="Date"/>
    <w:basedOn w:val="811"/>
    <w:next w:val="811"/>
    <w:uiPriority w:val="0"/>
    <w:semiHidden/>
    <w:qFormat/>
    <w:rPr>
      <w:szCs w:val="20"/>
    </w:rPr>
  </w:style>
  <w:style w:type="paragraph" w:styleId="842">
    <w:name w:val="Body Text Indent 2"/>
    <w:basedOn w:val="811"/>
    <w:link w:val="1049"/>
    <w:uiPriority w:val="0"/>
    <w:qFormat/>
    <w:pPr>
      <w:ind w:firstLine="562"/>
      <w:spacing w:line="480" w:lineRule="exact"/>
    </w:pPr>
    <w:rPr>
      <w:rFonts w:ascii="楷体_GB2312" w:eastAsia="楷体_GB2312"/>
      <w:b/>
      <w:bCs/>
      <w:sz w:val="28"/>
      <w:szCs w:val="24"/>
    </w:rPr>
  </w:style>
  <w:style w:type="paragraph" w:styleId="843">
    <w:name w:val="endnote text"/>
    <w:basedOn w:val="811"/>
    <w:link w:val="1024"/>
    <w:uiPriority w:val="99"/>
    <w:semiHidden/>
    <w:unhideWhenUsed/>
    <w:qFormat/>
    <w:pPr>
      <w:spacing w:after="0" w:line="240" w:lineRule="auto"/>
    </w:pPr>
    <w:rPr>
      <w:sz w:val="20"/>
    </w:rPr>
  </w:style>
  <w:style w:type="paragraph" w:styleId="844">
    <w:name w:val="Balloon Text"/>
    <w:basedOn w:val="811"/>
    <w:link w:val="1050"/>
    <w:uiPriority w:val="99"/>
    <w:unhideWhenUsed/>
    <w:qFormat/>
    <w:rPr>
      <w:sz w:val="18"/>
      <w:szCs w:val="18"/>
    </w:rPr>
  </w:style>
  <w:style w:type="paragraph" w:styleId="845">
    <w:name w:val="Footer"/>
    <w:basedOn w:val="811"/>
    <w:link w:val="1051"/>
    <w:uiPriority w:val="99"/>
    <w:unhideWhenUsed/>
    <w:qFormat/>
    <w:pPr>
      <w:jc w:val="left"/>
      <w:tabs>
        <w:tab w:val="center" w:pos="4153" w:leader="none"/>
        <w:tab w:val="right" w:pos="8306" w:leader="none"/>
      </w:tabs>
    </w:pPr>
    <w:rPr>
      <w:sz w:val="18"/>
      <w:szCs w:val="18"/>
    </w:rPr>
  </w:style>
  <w:style w:type="paragraph" w:styleId="846">
    <w:name w:val="Header"/>
    <w:basedOn w:val="811"/>
    <w:link w:val="105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47">
    <w:name w:val="toc 1"/>
    <w:basedOn w:val="811"/>
    <w:next w:val="811"/>
    <w:uiPriority w:val="39"/>
    <w:unhideWhenUsed/>
    <w:qFormat/>
    <w:rPr>
      <w:rFonts w:ascii="Calibri" w:hAnsi="Calibri"/>
    </w:rPr>
  </w:style>
  <w:style w:type="paragraph" w:styleId="848">
    <w:name w:val="toc 4"/>
    <w:basedOn w:val="811"/>
    <w:next w:val="811"/>
    <w:uiPriority w:val="39"/>
    <w:unhideWhenUsed/>
    <w:qFormat/>
    <w:pPr>
      <w:ind w:left="850" w:right="0" w:firstLine="0"/>
      <w:spacing w:after="57"/>
    </w:pPr>
  </w:style>
  <w:style w:type="paragraph" w:styleId="849">
    <w:name w:val="Subtitle"/>
    <w:basedOn w:val="811"/>
    <w:next w:val="811"/>
    <w:link w:val="890"/>
    <w:uiPriority w:val="11"/>
    <w:qFormat/>
    <w:pPr>
      <w:spacing w:before="200" w:after="200"/>
    </w:pPr>
    <w:rPr>
      <w:sz w:val="24"/>
      <w:szCs w:val="24"/>
    </w:rPr>
  </w:style>
  <w:style w:type="paragraph" w:styleId="850">
    <w:name w:val="List"/>
    <w:basedOn w:val="811"/>
    <w:uiPriority w:val="99"/>
    <w:qFormat/>
    <w:pPr>
      <w:ind w:left="200" w:hanging="200"/>
    </w:pPr>
    <w:rPr>
      <w:szCs w:val="24"/>
    </w:rPr>
  </w:style>
  <w:style w:type="paragraph" w:styleId="851">
    <w:name w:val="footnote text"/>
    <w:basedOn w:val="811"/>
    <w:link w:val="1023"/>
    <w:uiPriority w:val="99"/>
    <w:semiHidden/>
    <w:unhideWhenUsed/>
    <w:qFormat/>
    <w:pPr>
      <w:spacing w:after="40" w:line="240" w:lineRule="auto"/>
    </w:pPr>
    <w:rPr>
      <w:sz w:val="18"/>
    </w:rPr>
  </w:style>
  <w:style w:type="paragraph" w:styleId="852">
    <w:name w:val="toc 6"/>
    <w:basedOn w:val="811"/>
    <w:next w:val="811"/>
    <w:uiPriority w:val="39"/>
    <w:unhideWhenUsed/>
    <w:qFormat/>
    <w:pPr>
      <w:ind w:left="1417" w:right="0" w:firstLine="0"/>
      <w:spacing w:after="57"/>
    </w:pPr>
  </w:style>
  <w:style w:type="paragraph" w:styleId="853">
    <w:name w:val="table of figures"/>
    <w:basedOn w:val="811"/>
    <w:next w:val="811"/>
    <w:uiPriority w:val="0"/>
    <w:semiHidden/>
    <w:qFormat/>
    <w:pPr>
      <w:ind w:left="840" w:hanging="420"/>
      <w:spacing w:before="156" w:after="156"/>
    </w:pPr>
    <w:rPr>
      <w:sz w:val="24"/>
      <w:szCs w:val="24"/>
    </w:rPr>
  </w:style>
  <w:style w:type="paragraph" w:styleId="854">
    <w:name w:val="toc 2"/>
    <w:basedOn w:val="811"/>
    <w:next w:val="811"/>
    <w:uiPriority w:val="39"/>
    <w:unhideWhenUsed/>
    <w:qFormat/>
    <w:pPr>
      <w:ind w:left="420"/>
    </w:pPr>
    <w:rPr>
      <w:rFonts w:ascii="Calibri" w:hAnsi="Calibri"/>
    </w:rPr>
  </w:style>
  <w:style w:type="paragraph" w:styleId="855">
    <w:name w:val="toc 9"/>
    <w:basedOn w:val="811"/>
    <w:next w:val="811"/>
    <w:uiPriority w:val="0"/>
    <w:semiHidden/>
    <w:qFormat/>
    <w:pPr>
      <w:ind w:left="3360"/>
    </w:pPr>
  </w:style>
  <w:style w:type="paragraph" w:styleId="856">
    <w:name w:val="Body Text 2"/>
    <w:basedOn w:val="811"/>
    <w:uiPriority w:val="0"/>
    <w:qFormat/>
    <w:pPr>
      <w:spacing w:after="120" w:line="480" w:lineRule="auto"/>
    </w:pPr>
  </w:style>
  <w:style w:type="paragraph" w:styleId="857">
    <w:name w:val="Normal (Web)"/>
    <w:basedOn w:val="811"/>
    <w:uiPriority w:val="99"/>
    <w:unhideWhenUsed/>
    <w:qFormat/>
    <w:rPr>
      <w:sz w:val="24"/>
    </w:rPr>
  </w:style>
  <w:style w:type="paragraph" w:styleId="858">
    <w:name w:val="Title"/>
    <w:basedOn w:val="811"/>
    <w:next w:val="811"/>
    <w:link w:val="889"/>
    <w:uiPriority w:val="10"/>
    <w:qFormat/>
    <w:pPr>
      <w:contextualSpacing/>
      <w:spacing w:before="300" w:after="200"/>
    </w:pPr>
    <w:rPr>
      <w:sz w:val="48"/>
      <w:szCs w:val="48"/>
    </w:rPr>
  </w:style>
  <w:style w:type="paragraph" w:styleId="859">
    <w:name w:val="annotation subject"/>
    <w:basedOn w:val="828"/>
    <w:next w:val="828"/>
    <w:link w:val="1053"/>
    <w:uiPriority w:val="99"/>
    <w:unhideWhenUsed/>
    <w:qFormat/>
    <w:rPr>
      <w:b/>
      <w:bCs/>
      <w:szCs w:val="20"/>
    </w:rPr>
  </w:style>
  <w:style w:type="paragraph" w:styleId="860">
    <w:name w:val="Body Text First Indent"/>
    <w:basedOn w:val="830"/>
    <w:next w:val="811"/>
    <w:uiPriority w:val="0"/>
    <w:qFormat/>
    <w:pPr>
      <w:ind w:left="300" w:firstLine="420"/>
      <w:spacing w:after="120"/>
    </w:pPr>
    <w:rPr>
      <w:rFonts w:ascii="宋体" w:hAnsi="Verdana"/>
      <w:lang w:val="en-GB"/>
    </w:rPr>
  </w:style>
  <w:style w:type="paragraph" w:styleId="861">
    <w:name w:val="Body Text First Indent 2"/>
    <w:basedOn w:val="832"/>
    <w:link w:val="1054"/>
    <w:uiPriority w:val="99"/>
    <w:qFormat/>
    <w:pPr>
      <w:ind w:firstLine="420"/>
    </w:pPr>
  </w:style>
  <w:style w:type="table" w:styleId="862">
    <w:name w:val="Table Grid"/>
    <w:basedOn w:val="822"/>
    <w:uiPriority w:val="3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3">
    <w:name w:val="Strong"/>
    <w:uiPriority w:val="22"/>
    <w:qFormat/>
    <w:rPr>
      <w:rFonts w:ascii="Tahoma" w:hAnsi="Tahoma" w:eastAsia="宋体"/>
      <w:b/>
      <w:bCs/>
      <w:spacing w:val="10"/>
      <w:sz w:val="24"/>
      <w:lang w:val="en-US" w:eastAsia="zh-CN" w:bidi="ar-SA"/>
    </w:rPr>
  </w:style>
  <w:style w:type="character" w:styleId="864">
    <w:name w:val="endnote reference"/>
    <w:basedOn w:val="821"/>
    <w:uiPriority w:val="99"/>
    <w:semiHidden/>
    <w:unhideWhenUsed/>
    <w:qFormat/>
    <w:rPr>
      <w:vertAlign w:val="superscript"/>
    </w:rPr>
  </w:style>
  <w:style w:type="character" w:styleId="865">
    <w:name w:val="page number"/>
    <w:uiPriority w:val="0"/>
    <w:qFormat/>
  </w:style>
  <w:style w:type="character" w:styleId="866">
    <w:name w:val="FollowedHyperlink"/>
    <w:uiPriority w:val="99"/>
    <w:unhideWhenUsed/>
    <w:qFormat/>
    <w:rPr>
      <w:color w:val="333333"/>
      <w:u w:val="none"/>
    </w:rPr>
  </w:style>
  <w:style w:type="character" w:styleId="867">
    <w:name w:val="Emphasis"/>
    <w:uiPriority w:val="0"/>
    <w:qFormat/>
    <w:rPr>
      <w:rFonts w:ascii="Times New Roman" w:hAnsi="Times New Roman"/>
      <w:i/>
      <w:iCs/>
      <w:sz w:val="21"/>
      <w:szCs w:val="20"/>
    </w:rPr>
  </w:style>
  <w:style w:type="character" w:styleId="868">
    <w:name w:val="HTML Definition"/>
    <w:uiPriority w:val="99"/>
    <w:unhideWhenUsed/>
    <w:qFormat/>
    <w:rPr>
      <w:i/>
    </w:rPr>
  </w:style>
  <w:style w:type="character" w:styleId="869">
    <w:name w:val="Hyperlink"/>
    <w:uiPriority w:val="99"/>
    <w:unhideWhenUsed/>
    <w:qFormat/>
    <w:rPr>
      <w:color w:val="333333"/>
      <w:u w:val="none"/>
    </w:rPr>
  </w:style>
  <w:style w:type="character" w:styleId="870">
    <w:name w:val="HTML Code"/>
    <w:uiPriority w:val="99"/>
    <w:unhideWhenUsed/>
    <w:qFormat/>
    <w:rPr>
      <w:rFonts w:ascii="Consolas" w:hAnsi="Consolas" w:eastAsia="Consolas" w:cs="Consolas"/>
      <w:color w:val="c7254e"/>
      <w:sz w:val="21"/>
      <w:szCs w:val="21"/>
      <w:shd w:val="clear" w:color="auto" w:fill="f9f2f4"/>
    </w:rPr>
  </w:style>
  <w:style w:type="character" w:styleId="871">
    <w:name w:val="annotation reference"/>
    <w:uiPriority w:val="99"/>
    <w:unhideWhenUsed/>
    <w:qFormat/>
    <w:rPr>
      <w:sz w:val="21"/>
      <w:szCs w:val="21"/>
    </w:rPr>
  </w:style>
  <w:style w:type="character" w:styleId="872">
    <w:name w:val="footnote reference"/>
    <w:basedOn w:val="821"/>
    <w:uiPriority w:val="99"/>
    <w:unhideWhenUsed/>
    <w:qFormat/>
    <w:rPr>
      <w:vertAlign w:val="superscript"/>
    </w:rPr>
  </w:style>
  <w:style w:type="character" w:styleId="873">
    <w:name w:val="HTML Keyboard"/>
    <w:uiPriority w:val="99"/>
    <w:unhideWhenUsed/>
    <w:qFormat/>
    <w:rPr>
      <w:rFonts w:hint="default" w:ascii="Consolas" w:hAnsi="Consolas" w:eastAsia="Consolas" w:cs="Consolas"/>
      <w:color w:val="ffffff"/>
      <w:sz w:val="21"/>
      <w:szCs w:val="21"/>
      <w:shd w:val="clear" w:color="auto" w:fill="333333"/>
    </w:rPr>
  </w:style>
  <w:style w:type="character" w:styleId="874">
    <w:name w:val="HTML Sample"/>
    <w:uiPriority w:val="99"/>
    <w:unhideWhenUsed/>
    <w:qFormat/>
    <w:rPr>
      <w:rFonts w:hint="default" w:ascii="Consolas" w:hAnsi="Consolas" w:eastAsia="Consolas" w:cs="Consolas"/>
      <w:sz w:val="21"/>
      <w:szCs w:val="21"/>
    </w:rPr>
  </w:style>
  <w:style w:type="paragraph" w:styleId="875" w:customStyle="1">
    <w:name w:val="ListBullet2"/>
    <w:basedOn w:val="811"/>
    <w:uiPriority w:val="0"/>
    <w:qFormat/>
    <w:pPr>
      <w:numPr>
        <w:ilvl w:val="0"/>
        <w:numId w:val="2"/>
      </w:numPr>
    </w:pPr>
  </w:style>
  <w:style w:type="paragraph" w:styleId="876" w:customStyle="1">
    <w:name w:val="首行缩进"/>
    <w:basedOn w:val="811"/>
    <w:uiPriority w:val="0"/>
    <w:qFormat/>
    <w:pPr>
      <w:ind w:firstLine="420"/>
      <w:spacing w:line="360" w:lineRule="auto"/>
    </w:pPr>
  </w:style>
  <w:style w:type="paragraph" w:styleId="877" w:customStyle="1">
    <w:name w:val="正文文本11"/>
    <w:basedOn w:val="811"/>
    <w:next w:val="811"/>
    <w:uiPriority w:val="0"/>
    <w:qFormat/>
    <w:rPr>
      <w:rFonts w:ascii="楷体_GB2312" w:hAnsi="Arial" w:eastAsia="楷体_GB2312"/>
      <w:sz w:val="28"/>
      <w:szCs w:val="28"/>
    </w:rPr>
  </w:style>
  <w:style w:type="paragraph" w:styleId="878" w:customStyle="1">
    <w:name w:val="ListBullet21"/>
    <w:basedOn w:val="811"/>
    <w:uiPriority w:val="0"/>
    <w:qFormat/>
    <w:pPr>
      <w:numPr>
        <w:ilvl w:val="0"/>
        <w:numId w:val="3"/>
      </w:numPr>
    </w:pPr>
  </w:style>
  <w:style w:type="character" w:styleId="879" w:customStyle="1">
    <w:name w:val="Heading 1 Char"/>
    <w:basedOn w:val="821"/>
    <w:uiPriority w:val="9"/>
    <w:qFormat/>
    <w:rPr>
      <w:rFonts w:ascii="Arial" w:hAnsi="Arial" w:eastAsia="Arial" w:cs="Arial"/>
      <w:sz w:val="40"/>
      <w:szCs w:val="40"/>
    </w:rPr>
  </w:style>
  <w:style w:type="character" w:styleId="880" w:customStyle="1">
    <w:name w:val="Heading 2 Char"/>
    <w:basedOn w:val="821"/>
    <w:uiPriority w:val="9"/>
    <w:qFormat/>
    <w:rPr>
      <w:rFonts w:ascii="Arial" w:hAnsi="Arial" w:eastAsia="Arial" w:cs="Arial"/>
      <w:sz w:val="34"/>
    </w:rPr>
  </w:style>
  <w:style w:type="character" w:styleId="881" w:customStyle="1">
    <w:name w:val="Heading 3 Char"/>
    <w:basedOn w:val="821"/>
    <w:uiPriority w:val="9"/>
    <w:qFormat/>
    <w:rPr>
      <w:rFonts w:ascii="Arial" w:hAnsi="Arial" w:eastAsia="Arial" w:cs="Arial"/>
      <w:sz w:val="30"/>
      <w:szCs w:val="30"/>
    </w:rPr>
  </w:style>
  <w:style w:type="character" w:styleId="882" w:customStyle="1">
    <w:name w:val="Heading 4 Char"/>
    <w:basedOn w:val="821"/>
    <w:uiPriority w:val="9"/>
    <w:qFormat/>
    <w:rPr>
      <w:rFonts w:ascii="Arial" w:hAnsi="Arial" w:eastAsia="Arial" w:cs="Arial"/>
      <w:b/>
      <w:bCs/>
      <w:sz w:val="26"/>
      <w:szCs w:val="26"/>
    </w:rPr>
  </w:style>
  <w:style w:type="character" w:styleId="883" w:customStyle="1">
    <w:name w:val="Heading 5 Char"/>
    <w:basedOn w:val="821"/>
    <w:uiPriority w:val="9"/>
    <w:qFormat/>
    <w:rPr>
      <w:rFonts w:ascii="Arial" w:hAnsi="Arial" w:eastAsia="Arial" w:cs="Arial"/>
      <w:b/>
      <w:bCs/>
      <w:sz w:val="24"/>
      <w:szCs w:val="24"/>
    </w:rPr>
  </w:style>
  <w:style w:type="character" w:styleId="884" w:customStyle="1">
    <w:name w:val="Heading 6 Char"/>
    <w:basedOn w:val="821"/>
    <w:uiPriority w:val="9"/>
    <w:qFormat/>
    <w:rPr>
      <w:rFonts w:ascii="Arial" w:hAnsi="Arial" w:eastAsia="Arial" w:cs="Arial"/>
      <w:b/>
      <w:bCs/>
      <w:sz w:val="22"/>
      <w:szCs w:val="22"/>
    </w:rPr>
  </w:style>
  <w:style w:type="character" w:styleId="885" w:customStyle="1">
    <w:name w:val="Heading 8 Char"/>
    <w:basedOn w:val="821"/>
    <w:uiPriority w:val="9"/>
    <w:qFormat/>
    <w:rPr>
      <w:rFonts w:ascii="Arial" w:hAnsi="Arial" w:eastAsia="Arial" w:cs="Arial"/>
      <w:i/>
      <w:iCs/>
      <w:sz w:val="22"/>
      <w:szCs w:val="22"/>
    </w:rPr>
  </w:style>
  <w:style w:type="character" w:styleId="886" w:customStyle="1">
    <w:name w:val="Heading 9 Char"/>
    <w:basedOn w:val="821"/>
    <w:uiPriority w:val="9"/>
    <w:qFormat/>
    <w:rPr>
      <w:rFonts w:ascii="Arial" w:hAnsi="Arial" w:eastAsia="Arial" w:cs="Arial"/>
      <w:i/>
      <w:iCs/>
      <w:sz w:val="21"/>
      <w:szCs w:val="21"/>
    </w:rPr>
  </w:style>
  <w:style w:type="paragraph" w:styleId="887">
    <w:name w:val="List Paragraph"/>
    <w:basedOn w:val="811"/>
    <w:uiPriority w:val="34"/>
    <w:qFormat/>
    <w:pPr>
      <w:contextualSpacing/>
      <w:ind w:left="720"/>
    </w:pPr>
  </w:style>
  <w:style w:type="paragraph" w:styleId="888">
    <w:name w:val="No Spacing"/>
    <w:uiPriority w:val="1"/>
    <w:qFormat/>
    <w:pPr>
      <w:spacing w:before="0" w:after="0" w:line="240" w:lineRule="auto"/>
    </w:pPr>
    <w:rPr>
      <w:rFonts w:hint="default" w:ascii="Times New Roman" w:hAnsi="Times New Roman" w:eastAsia="宋体" w:cs="Times New Roman"/>
    </w:rPr>
  </w:style>
  <w:style w:type="character" w:styleId="889" w:customStyle="1">
    <w:name w:val="Title Char"/>
    <w:basedOn w:val="821"/>
    <w:link w:val="858"/>
    <w:uiPriority w:val="10"/>
    <w:qFormat/>
    <w:rPr>
      <w:sz w:val="48"/>
      <w:szCs w:val="48"/>
    </w:rPr>
  </w:style>
  <w:style w:type="character" w:styleId="890" w:customStyle="1">
    <w:name w:val="Subtitle Char"/>
    <w:basedOn w:val="821"/>
    <w:link w:val="849"/>
    <w:uiPriority w:val="11"/>
    <w:qFormat/>
    <w:rPr>
      <w:sz w:val="24"/>
      <w:szCs w:val="24"/>
    </w:rPr>
  </w:style>
  <w:style w:type="paragraph" w:styleId="891">
    <w:name w:val="Quote"/>
    <w:basedOn w:val="811"/>
    <w:next w:val="811"/>
    <w:link w:val="892"/>
    <w:uiPriority w:val="29"/>
    <w:qFormat/>
    <w:pPr>
      <w:ind w:left="720" w:right="720"/>
    </w:pPr>
    <w:rPr>
      <w:i/>
    </w:rPr>
  </w:style>
  <w:style w:type="character" w:styleId="892" w:customStyle="1">
    <w:name w:val="Quote Char"/>
    <w:link w:val="891"/>
    <w:uiPriority w:val="29"/>
    <w:qFormat/>
    <w:rPr>
      <w:i/>
    </w:rPr>
  </w:style>
  <w:style w:type="paragraph" w:styleId="893">
    <w:name w:val="Intense Quote"/>
    <w:basedOn w:val="811"/>
    <w:next w:val="811"/>
    <w:link w:val="8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4" w:customStyle="1">
    <w:name w:val="Intense Quote Char"/>
    <w:link w:val="893"/>
    <w:uiPriority w:val="30"/>
    <w:qFormat/>
    <w:rPr>
      <w:i/>
    </w:rPr>
  </w:style>
  <w:style w:type="character" w:styleId="895" w:customStyle="1">
    <w:name w:val="Header Char"/>
    <w:basedOn w:val="821"/>
    <w:uiPriority w:val="99"/>
    <w:qFormat/>
  </w:style>
  <w:style w:type="character" w:styleId="896" w:customStyle="1">
    <w:name w:val="Footer Char"/>
    <w:basedOn w:val="821"/>
    <w:uiPriority w:val="99"/>
    <w:qFormat/>
  </w:style>
  <w:style w:type="character" w:styleId="897" w:customStyle="1">
    <w:name w:val="Caption Char"/>
    <w:uiPriority w:val="99"/>
    <w:qFormat/>
  </w:style>
  <w:style w:type="table" w:styleId="898" w:customStyle="1">
    <w:name w:val="Table Grid Light"/>
    <w:basedOn w:val="82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9" w:customStyle="1">
    <w:name w:val="Plain Table 1"/>
    <w:basedOn w:val="82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0" w:customStyle="1">
    <w:name w:val="Plain Table 2"/>
    <w:basedOn w:val="82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Plain Table 3"/>
    <w:basedOn w:val="8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2" w:customStyle="1">
    <w:name w:val="Plain Table 4"/>
    <w:basedOn w:val="8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3" w:customStyle="1">
    <w:name w:val="Plain Table 5"/>
    <w:basedOn w:val="8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4" w:customStyle="1">
    <w:name w:val="Grid Table 1 Light"/>
    <w:basedOn w:val="82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1"/>
    <w:basedOn w:val="82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2"/>
    <w:basedOn w:val="82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3"/>
    <w:basedOn w:val="82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4"/>
    <w:basedOn w:val="82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5"/>
    <w:basedOn w:val="82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6"/>
    <w:basedOn w:val="82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1" w:customStyle="1">
    <w:name w:val="Grid Table 2"/>
    <w:basedOn w:val="8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2" w:customStyle="1">
    <w:name w:val="Grid Table 2 - Accent 1"/>
    <w:basedOn w:val="82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3" w:customStyle="1">
    <w:name w:val="Grid Table 2 - Accent 2"/>
    <w:basedOn w:val="82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Grid Table 2 - Accent 3"/>
    <w:basedOn w:val="82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5" w:customStyle="1">
    <w:name w:val="Grid Table 2 - Accent 4"/>
    <w:basedOn w:val="82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Grid Table 2 - Accent 5"/>
    <w:basedOn w:val="82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7" w:customStyle="1">
    <w:name w:val="Grid Table 2 - Accent 6"/>
    <w:basedOn w:val="82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8" w:customStyle="1">
    <w:name w:val="Grid Table 3"/>
    <w:basedOn w:val="8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1"/>
    <w:basedOn w:val="82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2"/>
    <w:basedOn w:val="82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3"/>
    <w:basedOn w:val="82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4"/>
    <w:basedOn w:val="82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5"/>
    <w:basedOn w:val="82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6"/>
    <w:basedOn w:val="82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4"/>
    <w:basedOn w:val="82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6" w:customStyle="1">
    <w:name w:val="Grid Table 4 - Accent 1"/>
    <w:basedOn w:val="82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7" w:customStyle="1">
    <w:name w:val="Grid Table 4 - Accent 2"/>
    <w:basedOn w:val="82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8" w:customStyle="1">
    <w:name w:val="Grid Table 4 - Accent 3"/>
    <w:basedOn w:val="82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9" w:customStyle="1">
    <w:name w:val="Grid Table 4 - Accent 4"/>
    <w:basedOn w:val="82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0" w:customStyle="1">
    <w:name w:val="Grid Table 4 - Accent 5"/>
    <w:basedOn w:val="82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1" w:customStyle="1">
    <w:name w:val="Grid Table 4 - Accent 6"/>
    <w:basedOn w:val="82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2" w:customStyle="1">
    <w:name w:val="Grid Table 5 Dark"/>
    <w:basedOn w:val="8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3" w:customStyle="1">
    <w:name w:val="Grid Table 5 Dark- Accent 1"/>
    <w:basedOn w:val="8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4" w:customStyle="1">
    <w:name w:val="Grid Table 5 Dark - Accent 2"/>
    <w:basedOn w:val="8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5" w:customStyle="1">
    <w:name w:val="Grid Table 5 Dark - Accent 3"/>
    <w:basedOn w:val="8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6" w:customStyle="1">
    <w:name w:val="Grid Table 5 Dark- Accent 4"/>
    <w:basedOn w:val="8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7" w:customStyle="1">
    <w:name w:val="Grid Table 5 Dark - Accent 5"/>
    <w:basedOn w:val="8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8" w:customStyle="1">
    <w:name w:val="Grid Table 5 Dark - Accent 6"/>
    <w:basedOn w:val="8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9" w:customStyle="1">
    <w:name w:val="Grid Table 6 Colorful"/>
    <w:basedOn w:val="82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0" w:customStyle="1">
    <w:name w:val="Grid Table 6 Colorful - Accent 1"/>
    <w:basedOn w:val="82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1" w:customStyle="1">
    <w:name w:val="Grid Table 6 Colorful - Accent 2"/>
    <w:basedOn w:val="82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2" w:customStyle="1">
    <w:name w:val="Grid Table 6 Colorful - Accent 3"/>
    <w:basedOn w:val="82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43" w:customStyle="1">
    <w:name w:val="Grid Table 6 Colorful - Accent 4"/>
    <w:basedOn w:val="82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4" w:customStyle="1">
    <w:name w:val="Grid Table 6 Colorful - Accent 5"/>
    <w:basedOn w:val="82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5" w:customStyle="1">
    <w:name w:val="Grid Table 6 Colorful - Accent 6"/>
    <w:basedOn w:val="82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6" w:customStyle="1">
    <w:name w:val="Grid Table 7 Colorful"/>
    <w:basedOn w:val="82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7" w:customStyle="1">
    <w:name w:val="Grid Table 7 Colorful - Accent 1"/>
    <w:basedOn w:val="82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8" w:customStyle="1">
    <w:name w:val="Grid Table 7 Colorful - Accent 2"/>
    <w:basedOn w:val="82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9" w:customStyle="1">
    <w:name w:val="Grid Table 7 Colorful - Accent 3"/>
    <w:basedOn w:val="82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0" w:customStyle="1">
    <w:name w:val="Grid Table 7 Colorful - Accent 4"/>
    <w:basedOn w:val="82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1" w:customStyle="1">
    <w:name w:val="Grid Table 7 Colorful - Accent 5"/>
    <w:basedOn w:val="82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2" w:customStyle="1">
    <w:name w:val="Grid Table 7 Colorful - Accent 6"/>
    <w:basedOn w:val="82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3" w:customStyle="1">
    <w:name w:val="List Table 1 Light"/>
    <w:basedOn w:val="82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4" w:customStyle="1">
    <w:name w:val="List Table 1 Light - Accent 1"/>
    <w:basedOn w:val="82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5" w:customStyle="1">
    <w:name w:val="List Table 1 Light - Accent 2"/>
    <w:basedOn w:val="82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6" w:customStyle="1">
    <w:name w:val="List Table 1 Light - Accent 3"/>
    <w:basedOn w:val="82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7" w:customStyle="1">
    <w:name w:val="List Table 1 Light - Accent 4"/>
    <w:basedOn w:val="82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8" w:customStyle="1">
    <w:name w:val="List Table 1 Light - Accent 5"/>
    <w:basedOn w:val="82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9" w:customStyle="1">
    <w:name w:val="List Table 1 Light - Accent 6"/>
    <w:basedOn w:val="82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0" w:customStyle="1">
    <w:name w:val="List Table 2"/>
    <w:basedOn w:val="82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1" w:customStyle="1">
    <w:name w:val="List Table 2 - Accent 1"/>
    <w:basedOn w:val="82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2" w:customStyle="1">
    <w:name w:val="List Table 2 - Accent 2"/>
    <w:basedOn w:val="82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3" w:customStyle="1">
    <w:name w:val="List Table 2 - Accent 3"/>
    <w:basedOn w:val="82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4" w:customStyle="1">
    <w:name w:val="List Table 2 - Accent 4"/>
    <w:basedOn w:val="82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5" w:customStyle="1">
    <w:name w:val="List Table 2 - Accent 5"/>
    <w:basedOn w:val="82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6" w:customStyle="1">
    <w:name w:val="List Table 2 - Accent 6"/>
    <w:basedOn w:val="82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7" w:customStyle="1">
    <w:name w:val="List Table 3"/>
    <w:basedOn w:val="8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8" w:customStyle="1">
    <w:name w:val="List Table 3 - Accent 1"/>
    <w:basedOn w:val="82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9" w:customStyle="1">
    <w:name w:val="List Table 3 - Accent 2"/>
    <w:basedOn w:val="82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0" w:customStyle="1">
    <w:name w:val="List Table 3 - Accent 3"/>
    <w:basedOn w:val="82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1" w:customStyle="1">
    <w:name w:val="List Table 3 - Accent 4"/>
    <w:basedOn w:val="82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2" w:customStyle="1">
    <w:name w:val="List Table 3 - Accent 5"/>
    <w:basedOn w:val="82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3" w:customStyle="1">
    <w:name w:val="List Table 3 - Accent 6"/>
    <w:basedOn w:val="82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4" w:customStyle="1">
    <w:name w:val="List Table 4"/>
    <w:basedOn w:val="8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List Table 4 - Accent 1"/>
    <w:basedOn w:val="82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6" w:customStyle="1">
    <w:name w:val="List Table 4 - Accent 2"/>
    <w:basedOn w:val="82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7" w:customStyle="1">
    <w:name w:val="List Table 4 - Accent 3"/>
    <w:basedOn w:val="82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8" w:customStyle="1">
    <w:name w:val="List Table 4 - Accent 4"/>
    <w:basedOn w:val="82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9" w:customStyle="1">
    <w:name w:val="List Table 4 - Accent 5"/>
    <w:basedOn w:val="82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0" w:customStyle="1">
    <w:name w:val="List Table 4 - Accent 6"/>
    <w:basedOn w:val="82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1" w:customStyle="1">
    <w:name w:val="List Table 5 Dark"/>
    <w:basedOn w:val="82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1"/>
    <w:basedOn w:val="82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2"/>
    <w:basedOn w:val="82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3"/>
    <w:basedOn w:val="82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4"/>
    <w:basedOn w:val="82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5"/>
    <w:basedOn w:val="82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6"/>
    <w:basedOn w:val="82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6 Colorful"/>
    <w:basedOn w:val="82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9" w:customStyle="1">
    <w:name w:val="List Table 6 Colorful - Accent 1"/>
    <w:basedOn w:val="82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0" w:customStyle="1">
    <w:name w:val="List Table 6 Colorful - Accent 2"/>
    <w:basedOn w:val="82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1" w:customStyle="1">
    <w:name w:val="List Table 6 Colorful - Accent 3"/>
    <w:basedOn w:val="82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2" w:customStyle="1">
    <w:name w:val="List Table 6 Colorful - Accent 4"/>
    <w:basedOn w:val="82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3" w:customStyle="1">
    <w:name w:val="List Table 6 Colorful - Accent 5"/>
    <w:basedOn w:val="82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4" w:customStyle="1">
    <w:name w:val="List Table 6 Colorful - Accent 6"/>
    <w:basedOn w:val="82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5" w:customStyle="1">
    <w:name w:val="List Table 7 Colorful"/>
    <w:basedOn w:val="82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6" w:customStyle="1">
    <w:name w:val="List Table 7 Colorful - Accent 1"/>
    <w:basedOn w:val="82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7" w:customStyle="1">
    <w:name w:val="List Table 7 Colorful - Accent 2"/>
    <w:basedOn w:val="82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8" w:customStyle="1">
    <w:name w:val="List Table 7 Colorful - Accent 3"/>
    <w:basedOn w:val="82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9" w:customStyle="1">
    <w:name w:val="List Table 7 Colorful - Accent 4"/>
    <w:basedOn w:val="82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0" w:customStyle="1">
    <w:name w:val="List Table 7 Colorful - Accent 5"/>
    <w:basedOn w:val="82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1" w:customStyle="1">
    <w:name w:val="List Table 7 Colorful - Accent 6"/>
    <w:basedOn w:val="82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2" w:customStyle="1">
    <w:name w:val="Lined - Accent"/>
    <w:basedOn w:val="8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3" w:customStyle="1">
    <w:name w:val="Lined - Accent 1"/>
    <w:basedOn w:val="8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4" w:customStyle="1">
    <w:name w:val="Lined - Accent 2"/>
    <w:basedOn w:val="8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5" w:customStyle="1">
    <w:name w:val="Lined - Accent 3"/>
    <w:basedOn w:val="8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6" w:customStyle="1">
    <w:name w:val="Lined - Accent 4"/>
    <w:basedOn w:val="8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7" w:customStyle="1">
    <w:name w:val="Lined - Accent 5"/>
    <w:basedOn w:val="8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8" w:customStyle="1">
    <w:name w:val="Lined - Accent 6"/>
    <w:basedOn w:val="8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9" w:customStyle="1">
    <w:name w:val="Bordered &amp; Lined - Accent"/>
    <w:basedOn w:val="82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0" w:customStyle="1">
    <w:name w:val="Bordered &amp; Lined - Accent 1"/>
    <w:basedOn w:val="82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1" w:customStyle="1">
    <w:name w:val="Bordered &amp; Lined - Accent 2"/>
    <w:basedOn w:val="82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2" w:customStyle="1">
    <w:name w:val="Bordered &amp; Lined - Accent 3"/>
    <w:basedOn w:val="82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3" w:customStyle="1">
    <w:name w:val="Bordered &amp; Lined - Accent 4"/>
    <w:basedOn w:val="82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4" w:customStyle="1">
    <w:name w:val="Bordered &amp; Lined - Accent 5"/>
    <w:basedOn w:val="82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5" w:customStyle="1">
    <w:name w:val="Bordered &amp; Lined - Accent 6"/>
    <w:basedOn w:val="82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6" w:customStyle="1">
    <w:name w:val="Bordered"/>
    <w:basedOn w:val="82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7" w:customStyle="1">
    <w:name w:val="Bordered - Accent 1"/>
    <w:basedOn w:val="82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8" w:customStyle="1">
    <w:name w:val="Bordered - Accent 2"/>
    <w:basedOn w:val="82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9" w:customStyle="1">
    <w:name w:val="Bordered - Accent 3"/>
    <w:basedOn w:val="82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0" w:customStyle="1">
    <w:name w:val="Bordered - Accent 4"/>
    <w:basedOn w:val="82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1" w:customStyle="1">
    <w:name w:val="Bordered - Accent 5"/>
    <w:basedOn w:val="82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2" w:customStyle="1">
    <w:name w:val="Bordered - Accent 6"/>
    <w:basedOn w:val="82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3" w:customStyle="1">
    <w:name w:val="Footnote Text Char"/>
    <w:link w:val="851"/>
    <w:uiPriority w:val="99"/>
    <w:qFormat/>
    <w:rPr>
      <w:sz w:val="18"/>
    </w:rPr>
  </w:style>
  <w:style w:type="character" w:styleId="1024" w:customStyle="1">
    <w:name w:val="Endnote Text Char"/>
    <w:link w:val="843"/>
    <w:uiPriority w:val="99"/>
    <w:qFormat/>
    <w:rPr>
      <w:sz w:val="20"/>
    </w:rPr>
  </w:style>
  <w:style w:type="paragraph" w:styleId="1025" w:customStyle="1">
    <w:name w:val="TOC Heading"/>
    <w:uiPriority w:val="39"/>
    <w:unhideWhenUsed/>
    <w:qFormat/>
    <w:rPr>
      <w:rFonts w:hint="default" w:ascii="Times New Roman" w:hAnsi="Times New Roman" w:eastAsia="宋体" w:cs="Times New Roman"/>
    </w:rPr>
  </w:style>
  <w:style w:type="paragraph" w:styleId="1026" w:customStyle="1">
    <w:name w:val="正文（缩进）"/>
    <w:basedOn w:val="811"/>
    <w:next w:val="1027"/>
    <w:uiPriority w:val="0"/>
    <w:qFormat/>
    <w:pPr>
      <w:ind w:firstLine="480"/>
    </w:pPr>
  </w:style>
  <w:style w:type="paragraph" w:styleId="1027" w:customStyle="1">
    <w:name w:val="Char Char Char Char Char Char Char Char Char"/>
    <w:basedOn w:val="811"/>
    <w:next w:val="1028"/>
    <w:uiPriority w:val="99"/>
    <w:qFormat/>
    <w:pPr>
      <w:ind w:left="360" w:firstLine="5784"/>
    </w:pPr>
  </w:style>
  <w:style w:type="paragraph" w:styleId="1028" w:customStyle="1">
    <w:name w:val="正文文本 21"/>
    <w:basedOn w:val="811"/>
    <w:next w:val="1029"/>
    <w:uiPriority w:val="99"/>
    <w:qFormat/>
    <w:pPr>
      <w:ind w:left="720" w:firstLine="5680"/>
      <w:widowControl/>
    </w:pPr>
  </w:style>
  <w:style w:type="paragraph" w:styleId="1029" w:customStyle="1">
    <w:name w:val="默认段落字体 Para Char Char Char Char Char Char Char"/>
    <w:basedOn w:val="811"/>
    <w:next w:val="1030"/>
    <w:uiPriority w:val="99"/>
    <w:qFormat/>
    <w:pPr>
      <w:ind w:firstLine="200"/>
    </w:pPr>
    <w:rPr>
      <w:rFonts w:cs="Arial"/>
    </w:rPr>
  </w:style>
  <w:style w:type="paragraph" w:styleId="1030" w:customStyle="1">
    <w:name w:val="样式 首行缩进:  2 字符"/>
    <w:basedOn w:val="811"/>
    <w:next w:val="1031"/>
    <w:uiPriority w:val="99"/>
    <w:qFormat/>
    <w:pPr>
      <w:ind w:left="480" w:firstLine="5856"/>
      <w:spacing w:line="360" w:lineRule="auto"/>
    </w:pPr>
  </w:style>
  <w:style w:type="paragraph" w:styleId="1031" w:customStyle="1">
    <w:name w:val="样式 段后: 0.25 行"/>
    <w:basedOn w:val="811"/>
    <w:next w:val="1032"/>
    <w:uiPriority w:val="99"/>
    <w:qFormat/>
    <w:pPr>
      <w:ind w:left="420" w:firstLine="5796"/>
      <w:spacing w:line="300" w:lineRule="auto"/>
      <w:widowControl/>
    </w:pPr>
  </w:style>
  <w:style w:type="paragraph" w:styleId="1032" w:customStyle="1">
    <w:name w:val="正文 New New New New New New New New New New New New New New"/>
    <w:next w:val="855"/>
    <w:uiPriority w:val="99"/>
    <w:qFormat/>
    <w:pPr>
      <w:ind w:firstLine="2048"/>
      <w:jc w:val="both"/>
      <w:widowControl w:val="off"/>
    </w:pPr>
    <w:rPr>
      <w:rFonts w:hint="default" w:ascii="Calibri" w:hAnsi="Calibri" w:eastAsia="宋体" w:cs="Times New Roman"/>
      <w:lang w:val="en-US" w:eastAsia="zh-CN" w:bidi="ar-SA"/>
    </w:rPr>
  </w:style>
  <w:style w:type="character" w:styleId="1033" w:customStyle="1">
    <w:name w:val="标题 1 字符"/>
    <w:link w:val="812"/>
    <w:uiPriority w:val="9"/>
    <w:qFormat/>
    <w:rPr>
      <w:b/>
      <w:bCs/>
      <w:sz w:val="44"/>
      <w:szCs w:val="44"/>
    </w:rPr>
  </w:style>
  <w:style w:type="character" w:styleId="1034" w:customStyle="1">
    <w:name w:val="标题 2 字符"/>
    <w:link w:val="813"/>
    <w:uiPriority w:val="9"/>
    <w:qFormat/>
    <w:rPr>
      <w:rFonts w:ascii="Arial" w:hAnsi="Arial" w:eastAsia="宋体" w:cs="Times New Roman"/>
      <w:b/>
      <w:bCs/>
      <w:sz w:val="28"/>
      <w:szCs w:val="36"/>
    </w:rPr>
  </w:style>
  <w:style w:type="character" w:styleId="1035" w:customStyle="1">
    <w:name w:val="正文缩进 字符"/>
    <w:link w:val="823"/>
    <w:uiPriority w:val="0"/>
    <w:qFormat/>
  </w:style>
  <w:style w:type="character" w:styleId="1036" w:customStyle="1">
    <w:name w:val="标题 3 字符"/>
    <w:link w:val="814"/>
    <w:uiPriority w:val="0"/>
    <w:qFormat/>
    <w:rPr>
      <w:rFonts w:ascii="Arial" w:hAnsi="Arial" w:eastAsia="黑体" w:cs="Times New Roman"/>
      <w:b/>
      <w:bCs/>
      <w:sz w:val="30"/>
      <w:szCs w:val="32"/>
    </w:rPr>
  </w:style>
  <w:style w:type="character" w:styleId="1037" w:customStyle="1">
    <w:name w:val="标题 4 字符"/>
    <w:link w:val="815"/>
    <w:uiPriority w:val="0"/>
    <w:qFormat/>
    <w:rPr>
      <w:rFonts w:ascii="Arial" w:hAnsi="Arial" w:eastAsia="黑体" w:cs="Arial"/>
      <w:b/>
      <w:bCs/>
      <w:sz w:val="28"/>
      <w:szCs w:val="28"/>
    </w:rPr>
  </w:style>
  <w:style w:type="character" w:styleId="1038" w:customStyle="1">
    <w:name w:val="标题 5 字符1"/>
    <w:link w:val="816"/>
    <w:uiPriority w:val="0"/>
    <w:qFormat/>
    <w:rPr>
      <w:rFonts w:ascii="Calibri" w:hAnsi="Calibri" w:eastAsia="宋体" w:cs="Times New Roman"/>
      <w:b/>
      <w:bCs/>
      <w:sz w:val="28"/>
      <w:szCs w:val="28"/>
    </w:rPr>
  </w:style>
  <w:style w:type="character" w:styleId="1039" w:customStyle="1">
    <w:name w:val="标题 6 字符"/>
    <w:link w:val="817"/>
    <w:uiPriority w:val="0"/>
    <w:qFormat/>
    <w:rPr>
      <w:rFonts w:ascii="Cambria" w:hAnsi="Cambria" w:eastAsia="宋体" w:cs="Times New Roman"/>
      <w:b/>
      <w:bCs/>
      <w:sz w:val="24"/>
      <w:szCs w:val="24"/>
    </w:rPr>
  </w:style>
  <w:style w:type="character" w:styleId="1040" w:customStyle="1">
    <w:name w:val="标题 7 字符"/>
    <w:link w:val="818"/>
    <w:uiPriority w:val="0"/>
    <w:qFormat/>
    <w:rPr>
      <w:rFonts w:ascii="Times New Roman" w:hAnsi="Times New Roman" w:eastAsia="宋体" w:cs="Times New Roman"/>
      <w:b/>
      <w:bCs/>
      <w:sz w:val="24"/>
      <w:szCs w:val="24"/>
    </w:rPr>
  </w:style>
  <w:style w:type="character" w:styleId="1041" w:customStyle="1">
    <w:name w:val="标题 8 字符"/>
    <w:link w:val="819"/>
    <w:uiPriority w:val="0"/>
    <w:qFormat/>
    <w:rPr>
      <w:rFonts w:ascii="Cambria" w:hAnsi="Cambria" w:eastAsia="宋体" w:cs="Times New Roman"/>
      <w:sz w:val="24"/>
      <w:szCs w:val="24"/>
    </w:rPr>
  </w:style>
  <w:style w:type="character" w:styleId="1042" w:customStyle="1">
    <w:name w:val="标题 9 字符"/>
    <w:link w:val="820"/>
    <w:uiPriority w:val="0"/>
    <w:qFormat/>
    <w:rPr>
      <w:rFonts w:ascii="Cambria" w:hAnsi="Cambria" w:eastAsia="宋体" w:cs="Times New Roman"/>
      <w:sz w:val="20"/>
      <w:szCs w:val="21"/>
    </w:rPr>
  </w:style>
  <w:style w:type="character" w:styleId="1043" w:customStyle="1">
    <w:name w:val="文档结构图 字符"/>
    <w:link w:val="827"/>
    <w:uiPriority w:val="0"/>
    <w:qFormat/>
    <w:rPr>
      <w:rFonts w:ascii="宋体" w:hAnsi="Times New Roman"/>
      <w:sz w:val="18"/>
      <w:szCs w:val="18"/>
    </w:rPr>
  </w:style>
  <w:style w:type="character" w:styleId="1044" w:customStyle="1">
    <w:name w:val="批注文字 字符"/>
    <w:link w:val="828"/>
    <w:uiPriority w:val="99"/>
    <w:qFormat/>
    <w:rPr>
      <w:rFonts w:ascii="Times New Roman" w:hAnsi="Times New Roman" w:eastAsia="宋体" w:cs="Times New Roman"/>
      <w:szCs w:val="24"/>
    </w:rPr>
  </w:style>
  <w:style w:type="character" w:styleId="1045" w:customStyle="1">
    <w:name w:val="正文文本 3 字符"/>
    <w:link w:val="829"/>
    <w:uiPriority w:val="0"/>
    <w:qFormat/>
    <w:rPr>
      <w:rFonts w:ascii="宋体" w:hAnsi="Times New Roman"/>
      <w:sz w:val="24"/>
    </w:rPr>
  </w:style>
  <w:style w:type="character" w:styleId="1046" w:customStyle="1">
    <w:name w:val="正文文本 字符"/>
    <w:link w:val="830"/>
    <w:uiPriority w:val="0"/>
    <w:qFormat/>
    <w:rPr>
      <w:rFonts w:ascii="楷体_GB2312" w:hAnsi="Arial" w:eastAsia="楷体_GB2312" w:cs="Times New Roman"/>
      <w:sz w:val="28"/>
      <w:szCs w:val="28"/>
    </w:rPr>
  </w:style>
  <w:style w:type="character" w:styleId="1047" w:customStyle="1">
    <w:name w:val="正文文本缩进 字符"/>
    <w:link w:val="832"/>
    <w:uiPriority w:val="99"/>
    <w:qFormat/>
    <w:rPr>
      <w:rFonts w:ascii="Times New Roman" w:hAnsi="Times New Roman"/>
      <w:szCs w:val="24"/>
    </w:rPr>
  </w:style>
  <w:style w:type="character" w:styleId="1048" w:customStyle="1">
    <w:name w:val="纯文本 字符"/>
    <w:link w:val="839"/>
    <w:uiPriority w:val="0"/>
    <w:qFormat/>
    <w:rPr>
      <w:rFonts w:ascii="宋体" w:hAnsi="Courier New" w:eastAsia="宋体" w:cs="Times New Roman"/>
      <w:szCs w:val="21"/>
    </w:rPr>
  </w:style>
  <w:style w:type="character" w:styleId="1049" w:customStyle="1">
    <w:name w:val="正文文本缩进 2 字符"/>
    <w:link w:val="842"/>
    <w:uiPriority w:val="0"/>
    <w:qFormat/>
    <w:rPr>
      <w:rFonts w:ascii="楷体_GB2312" w:hAnsi="Times New Roman" w:eastAsia="楷体_GB2312"/>
      <w:b/>
      <w:bCs/>
      <w:sz w:val="28"/>
      <w:szCs w:val="24"/>
    </w:rPr>
  </w:style>
  <w:style w:type="character" w:styleId="1050" w:customStyle="1">
    <w:name w:val="批注框文本 字符"/>
    <w:link w:val="844"/>
    <w:uiPriority w:val="99"/>
    <w:qFormat/>
    <w:rPr>
      <w:sz w:val="18"/>
      <w:szCs w:val="18"/>
    </w:rPr>
  </w:style>
  <w:style w:type="character" w:styleId="1051" w:customStyle="1">
    <w:name w:val="页脚 字符"/>
    <w:link w:val="845"/>
    <w:uiPriority w:val="99"/>
    <w:qFormat/>
    <w:rPr>
      <w:rFonts w:ascii="Times New Roman" w:hAnsi="Times New Roman" w:eastAsia="宋体" w:cs="Times New Roman"/>
      <w:sz w:val="18"/>
      <w:szCs w:val="18"/>
    </w:rPr>
  </w:style>
  <w:style w:type="character" w:styleId="1052" w:customStyle="1">
    <w:name w:val="页眉 字符"/>
    <w:link w:val="846"/>
    <w:uiPriority w:val="99"/>
    <w:qFormat/>
    <w:rPr>
      <w:rFonts w:ascii="Times New Roman" w:hAnsi="Times New Roman" w:eastAsia="宋体" w:cs="Times New Roman"/>
      <w:sz w:val="18"/>
      <w:szCs w:val="18"/>
    </w:rPr>
  </w:style>
  <w:style w:type="character" w:styleId="1053" w:customStyle="1">
    <w:name w:val="批注主题 字符"/>
    <w:link w:val="859"/>
    <w:uiPriority w:val="99"/>
    <w:qFormat/>
    <w:rPr>
      <w:b/>
      <w:bCs/>
    </w:rPr>
  </w:style>
  <w:style w:type="character" w:styleId="1054" w:customStyle="1">
    <w:name w:val="正文文本首行缩进 2 字符"/>
    <w:link w:val="861"/>
    <w:uiPriority w:val="99"/>
    <w:qFormat/>
    <w:rPr>
      <w:szCs w:val="24"/>
    </w:rPr>
  </w:style>
  <w:style w:type="paragraph" w:styleId="1055" w:customStyle="1">
    <w:name w:val="正文1"/>
    <w:basedOn w:val="811"/>
    <w:next w:val="1056"/>
    <w:link w:val="1062"/>
    <w:uiPriority w:val="99"/>
    <w:qFormat/>
    <w:pPr>
      <w:ind w:firstLine="480"/>
      <w:spacing w:line="440" w:lineRule="exact"/>
    </w:pPr>
    <w:rPr>
      <w:rFonts w:ascii="微软雅黑" w:hAnsi="微软雅黑" w:eastAsia="微软雅黑"/>
      <w:sz w:val="24"/>
      <w:szCs w:val="20"/>
    </w:rPr>
  </w:style>
  <w:style w:type="paragraph" w:styleId="1056" w:customStyle="1">
    <w:name w:val="正文文本1"/>
    <w:basedOn w:val="1055"/>
    <w:next w:val="1057"/>
    <w:uiPriority w:val="0"/>
    <w:qFormat/>
    <w:pPr>
      <w:spacing w:after="120"/>
    </w:pPr>
    <w:rPr>
      <w:lang w:eastAsia="en-US"/>
    </w:rPr>
  </w:style>
  <w:style w:type="paragraph" w:styleId="1057" w:customStyle="1">
    <w:name w:val="一级条标题"/>
    <w:basedOn w:val="1058"/>
    <w:next w:val="106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8" w:customStyle="1">
    <w:name w:val="章标题"/>
    <w:next w:val="105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59" w:customStyle="1">
    <w:name w:val="正文11"/>
    <w:next w:val="106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60" w:customStyle="1">
    <w:name w:val="标题 31"/>
    <w:basedOn w:val="811"/>
    <w:next w:val="1059"/>
    <w:uiPriority w:val="0"/>
    <w:qFormat/>
    <w:pPr>
      <w:keepLines/>
      <w:keepNext/>
      <w:spacing w:before="260" w:after="260" w:line="416" w:lineRule="auto"/>
      <w:outlineLvl w:val="2"/>
    </w:pPr>
    <w:rPr>
      <w:b/>
      <w:bCs/>
      <w:sz w:val="32"/>
      <w:szCs w:val="32"/>
    </w:rPr>
  </w:style>
  <w:style w:type="paragraph" w:styleId="1061" w:customStyle="1">
    <w:name w:val="段"/>
    <w:next w:val="1059"/>
    <w:uiPriority w:val="0"/>
    <w:qFormat/>
    <w:pPr>
      <w:ind w:firstLine="420"/>
      <w:jc w:val="both"/>
      <w:tabs>
        <w:tab w:val="center" w:pos="4201" w:leader="none"/>
        <w:tab w:val="right" w:pos="9298" w:leader="dot"/>
      </w:tabs>
    </w:pPr>
    <w:rPr>
      <w:rFonts w:hint="default" w:ascii="宋体" w:hAnsi="Times New Roman" w:eastAsia="宋体" w:cs="Times New Roman"/>
      <w:lang w:val="en-US" w:eastAsia="zh-CN" w:bidi="ar-SA"/>
    </w:rPr>
  </w:style>
  <w:style w:type="character" w:styleId="1062" w:customStyle="1">
    <w:name w:val="正文1 Char Char"/>
    <w:link w:val="1055"/>
    <w:uiPriority w:val="99"/>
    <w:qFormat/>
    <w:rPr>
      <w:rFonts w:ascii="微软雅黑" w:hAnsi="微软雅黑" w:eastAsia="微软雅黑"/>
      <w:sz w:val="24"/>
    </w:rPr>
  </w:style>
  <w:style w:type="character" w:styleId="1063" w:customStyle="1">
    <w:name w:val="ca-161"/>
    <w:uiPriority w:val="0"/>
    <w:qFormat/>
    <w:rPr>
      <w:rFonts w:hint="eastAsia" w:ascii="宋体" w:hAnsi="宋体" w:eastAsia="宋体"/>
      <w:spacing w:val="0"/>
      <w:sz w:val="21"/>
      <w:szCs w:val="21"/>
    </w:rPr>
  </w:style>
  <w:style w:type="character" w:styleId="1064" w:customStyle="1">
    <w:name w:val="列出段落 Char"/>
    <w:link w:val="1065"/>
    <w:uiPriority w:val="0"/>
    <w:qFormat/>
    <w:rPr>
      <w:rFonts w:ascii="Calibri" w:hAnsi="Calibri" w:eastAsia="宋体" w:cs="Times New Roman"/>
    </w:rPr>
  </w:style>
  <w:style w:type="paragraph" w:styleId="1065" w:customStyle="1">
    <w:name w:val="列出段落1"/>
    <w:basedOn w:val="811"/>
    <w:link w:val="1064"/>
    <w:uiPriority w:val="0"/>
    <w:qFormat/>
    <w:pPr>
      <w:ind w:firstLine="200"/>
    </w:pPr>
    <w:rPr>
      <w:rFonts w:ascii="Calibri" w:hAnsi="Calibri"/>
      <w:sz w:val="20"/>
      <w:szCs w:val="20"/>
    </w:rPr>
  </w:style>
  <w:style w:type="character" w:styleId="1066" w:customStyle="1">
    <w:name w:val="表格文字 Char"/>
    <w:link w:val="1067"/>
    <w:uiPriority w:val="0"/>
    <w:qFormat/>
    <w:rPr>
      <w:szCs w:val="21"/>
    </w:rPr>
  </w:style>
  <w:style w:type="paragraph" w:styleId="1067" w:customStyle="1">
    <w:name w:val="表格文字"/>
    <w:basedOn w:val="811"/>
    <w:link w:val="1066"/>
    <w:uiPriority w:val="0"/>
    <w:qFormat/>
    <w:pPr>
      <w:jc w:val="left"/>
    </w:pPr>
    <w:rPr>
      <w:sz w:val="20"/>
      <w:szCs w:val="21"/>
    </w:rPr>
  </w:style>
  <w:style w:type="character" w:styleId="1068" w:customStyle="1">
    <w:name w:val="标题 5 字符"/>
    <w:uiPriority w:val="0"/>
    <w:semiHidden/>
    <w:qFormat/>
    <w:rPr>
      <w:rFonts w:ascii="Calibri" w:hAnsi="Calibri"/>
      <w:b/>
      <w:bCs/>
      <w:sz w:val="28"/>
      <w:szCs w:val="28"/>
    </w:rPr>
  </w:style>
  <w:style w:type="character" w:styleId="1069" w:customStyle="1">
    <w:name w:val="文档结构图 Char1"/>
    <w:uiPriority w:val="99"/>
    <w:semiHidden/>
    <w:qFormat/>
    <w:rPr>
      <w:rFonts w:ascii="宋体"/>
      <w:sz w:val="18"/>
      <w:szCs w:val="18"/>
    </w:rPr>
  </w:style>
  <w:style w:type="character" w:styleId="1070" w:customStyle="1">
    <w:name w:val="font201"/>
    <w:uiPriority w:val="0"/>
    <w:qFormat/>
    <w:rPr>
      <w:rFonts w:hint="default" w:ascii="Times New Roman" w:hAnsi="Times New Roman" w:cs="Times New Roman"/>
      <w:color w:val="000000"/>
      <w:sz w:val="20"/>
      <w:szCs w:val="20"/>
      <w:u w:val="none"/>
    </w:rPr>
  </w:style>
  <w:style w:type="character" w:styleId="1071" w:customStyle="1">
    <w:name w:val="_Style 86"/>
    <w:uiPriority w:val="19"/>
    <w:qFormat/>
    <w:rPr>
      <w:rFonts w:ascii="Times New Roman" w:hAnsi="Times New Roman"/>
      <w:i/>
      <w:iCs/>
      <w:color w:val="808080"/>
      <w:sz w:val="21"/>
      <w:szCs w:val="20"/>
    </w:rPr>
  </w:style>
  <w:style w:type="character" w:styleId="1072" w:customStyle="1">
    <w:name w:val="H2 Char"/>
    <w:uiPriority w:val="0"/>
    <w:qFormat/>
    <w:rPr>
      <w:rFonts w:ascii="Arial" w:hAnsi="Arial" w:eastAsia="黑体" w:cs="Times New Roman"/>
      <w:b/>
      <w:bCs/>
      <w:sz w:val="32"/>
      <w:szCs w:val="32"/>
    </w:rPr>
  </w:style>
  <w:style w:type="character" w:styleId="1073" w:customStyle="1">
    <w:name w:val="font41"/>
    <w:basedOn w:val="821"/>
    <w:uiPriority w:val="0"/>
    <w:qFormat/>
    <w:rPr>
      <w:rFonts w:hint="eastAsia" w:ascii="宋体" w:hAnsi="宋体" w:eastAsia="宋体"/>
      <w:color w:val="000000"/>
      <w:sz w:val="32"/>
      <w:szCs w:val="32"/>
      <w:u w:val="none"/>
    </w:rPr>
  </w:style>
  <w:style w:type="character" w:styleId="1074" w:customStyle="1">
    <w:name w:val="font191"/>
    <w:uiPriority w:val="0"/>
    <w:qFormat/>
    <w:rPr>
      <w:rFonts w:ascii="Wingdings 2" w:hAnsi="Wingdings 2" w:eastAsia="Wingdings 2" w:cs="Wingdings 2"/>
      <w:color w:val="000000"/>
      <w:sz w:val="20"/>
      <w:szCs w:val="20"/>
      <w:u w:val="none"/>
    </w:rPr>
  </w:style>
  <w:style w:type="character" w:styleId="1075" w:customStyle="1">
    <w:name w:val="font231"/>
    <w:uiPriority w:val="0"/>
    <w:qFormat/>
    <w:rPr>
      <w:rFonts w:hint="eastAsia" w:ascii="宋体" w:hAnsi="宋体" w:eastAsia="宋体" w:cs="宋体"/>
      <w:color w:val="000000"/>
      <w:sz w:val="20"/>
      <w:szCs w:val="20"/>
      <w:u w:val="none"/>
    </w:rPr>
  </w:style>
  <w:style w:type="character" w:styleId="1076" w:customStyle="1">
    <w:name w:val="font241"/>
    <w:uiPriority w:val="0"/>
    <w:qFormat/>
    <w:rPr>
      <w:rFonts w:hint="eastAsia" w:ascii="宋体" w:hAnsi="宋体" w:eastAsia="宋体" w:cs="宋体"/>
      <w:color w:val="000000"/>
      <w:sz w:val="20"/>
      <w:szCs w:val="20"/>
      <w:u w:val="none"/>
    </w:rPr>
  </w:style>
  <w:style w:type="character" w:styleId="1077" w:customStyle="1">
    <w:name w:val="Char Char9"/>
    <w:uiPriority w:val="0"/>
    <w:qFormat/>
    <w:rPr>
      <w:rFonts w:ascii="等线 Light" w:hAnsi="等线 Light" w:eastAsia="等线 Light" w:cs="Times New Roman"/>
      <w:b/>
      <w:bCs/>
      <w:sz w:val="28"/>
      <w:szCs w:val="28"/>
    </w:rPr>
  </w:style>
  <w:style w:type="character" w:styleId="1078" w:customStyle="1">
    <w:name w:val="Char Char10"/>
    <w:uiPriority w:val="0"/>
    <w:qFormat/>
    <w:rPr>
      <w:rFonts w:ascii="Arial" w:hAnsi="Arial" w:eastAsia="黑体" w:cs="Times New Roman"/>
      <w:b/>
      <w:bCs/>
      <w:sz w:val="30"/>
      <w:szCs w:val="32"/>
    </w:rPr>
  </w:style>
  <w:style w:type="character" w:styleId="1079" w:customStyle="1">
    <w:name w:val="表格样式居左 Char"/>
    <w:link w:val="1080"/>
    <w:uiPriority w:val="0"/>
    <w:qFormat/>
    <w:rPr>
      <w:rFonts w:eastAsia="仿宋_GB2312"/>
      <w:bCs/>
      <w:color w:val="000000"/>
      <w:sz w:val="21"/>
      <w:szCs w:val="44"/>
      <w:lang w:val="en-US" w:eastAsia="zh-CN" w:bidi="ar-SA"/>
    </w:rPr>
  </w:style>
  <w:style w:type="paragraph" w:styleId="1080" w:customStyle="1">
    <w:name w:val="表格样式居左"/>
    <w:link w:val="1079"/>
    <w:uiPriority w:val="0"/>
    <w:qFormat/>
    <w:pPr>
      <w:spacing w:line="360" w:lineRule="exact"/>
    </w:pPr>
    <w:rPr>
      <w:rFonts w:hint="default" w:ascii="Times New Roman" w:hAnsi="Times New Roman" w:eastAsia="仿宋_GB2312" w:cs="Times New Roman"/>
      <w:bCs/>
      <w:color w:val="000000"/>
      <w:sz w:val="21"/>
      <w:szCs w:val="44"/>
      <w:lang w:val="en-US" w:eastAsia="zh-CN" w:bidi="ar-SA"/>
    </w:rPr>
  </w:style>
  <w:style w:type="character" w:styleId="1081" w:customStyle="1">
    <w:name w:val="font101"/>
    <w:uiPriority w:val="0"/>
    <w:qFormat/>
    <w:rPr>
      <w:rFonts w:hint="eastAsia" w:ascii="宋体" w:hAnsi="宋体" w:eastAsia="宋体" w:cs="宋体"/>
      <w:b/>
      <w:color w:val="000000"/>
      <w:sz w:val="18"/>
      <w:szCs w:val="18"/>
      <w:u w:val="none"/>
    </w:rPr>
  </w:style>
  <w:style w:type="character" w:styleId="1082" w:customStyle="1">
    <w:name w:val="段落 Char1"/>
    <w:link w:val="1083"/>
    <w:uiPriority w:val="0"/>
    <w:qFormat/>
    <w:rPr>
      <w:rFonts w:eastAsia="仿宋_GB2312"/>
      <w:sz w:val="32"/>
      <w:szCs w:val="32"/>
      <w:lang w:val="en-US" w:eastAsia="zh-CN" w:bidi="ar-SA"/>
    </w:rPr>
  </w:style>
  <w:style w:type="paragraph" w:styleId="1083" w:customStyle="1">
    <w:name w:val="段落"/>
    <w:link w:val="1082"/>
    <w:uiPriority w:val="0"/>
    <w:qFormat/>
    <w:pPr>
      <w:ind w:firstLine="640"/>
      <w:jc w:val="both"/>
      <w:spacing w:before="120" w:after="120" w:line="360" w:lineRule="auto"/>
    </w:pPr>
    <w:rPr>
      <w:rFonts w:hint="default" w:ascii="Times New Roman" w:hAnsi="Times New Roman" w:eastAsia="仿宋_GB2312" w:cs="Times New Roman"/>
      <w:sz w:val="32"/>
      <w:szCs w:val="32"/>
      <w:lang w:val="en-US" w:eastAsia="zh-CN" w:bidi="ar-SA"/>
    </w:rPr>
  </w:style>
  <w:style w:type="character" w:styleId="1084" w:customStyle="1">
    <w:name w:val="font131"/>
    <w:uiPriority w:val="0"/>
    <w:qFormat/>
    <w:rPr>
      <w:rFonts w:ascii="Wingdings 2" w:hAnsi="Wingdings 2" w:eastAsia="Wingdings 2" w:cs="Wingdings 2"/>
      <w:color w:val="000000"/>
      <w:sz w:val="20"/>
      <w:szCs w:val="20"/>
      <w:u w:val="none"/>
    </w:rPr>
  </w:style>
  <w:style w:type="character" w:styleId="1085" w:customStyle="1">
    <w:name w:val="一级缩进 Char"/>
    <w:link w:val="1086"/>
    <w:uiPriority w:val="0"/>
    <w:qFormat/>
    <w:rPr>
      <w:rFonts w:eastAsia="仿宋_GB2312"/>
      <w:sz w:val="32"/>
      <w:szCs w:val="32"/>
      <w:lang w:val="en-US" w:eastAsia="zh-CN" w:bidi="ar-SA"/>
    </w:rPr>
  </w:style>
  <w:style w:type="paragraph" w:styleId="1086" w:customStyle="1">
    <w:name w:val="一级缩进"/>
    <w:link w:val="1085"/>
    <w:uiPriority w:val="0"/>
    <w:qFormat/>
    <w:pPr>
      <w:ind w:left="987"/>
      <w:jc w:val="both"/>
      <w:spacing w:before="120" w:after="120" w:line="360" w:lineRule="auto"/>
      <w:tabs>
        <w:tab w:val="left" w:pos="720" w:leader="none"/>
      </w:tabs>
    </w:pPr>
    <w:rPr>
      <w:rFonts w:hint="default" w:ascii="Times New Roman" w:hAnsi="Times New Roman" w:eastAsia="仿宋_GB2312" w:cs="Times New Roman"/>
      <w:sz w:val="32"/>
      <w:szCs w:val="32"/>
      <w:lang w:val="en-US" w:eastAsia="zh-CN" w:bidi="ar-SA"/>
    </w:rPr>
  </w:style>
  <w:style w:type="character" w:styleId="1087" w:customStyle="1">
    <w:name w:val="正文文本 3 Char1"/>
    <w:uiPriority w:val="99"/>
    <w:semiHidden/>
    <w:qFormat/>
    <w:rPr>
      <w:sz w:val="16"/>
      <w:szCs w:val="16"/>
    </w:rPr>
  </w:style>
  <w:style w:type="character" w:styleId="1088" w:customStyle="1">
    <w:name w:val="apple-style-span"/>
    <w:uiPriority w:val="0"/>
    <w:qFormat/>
  </w:style>
  <w:style w:type="character" w:styleId="1089" w:customStyle="1">
    <w:name w:val="批注框文本 Char1"/>
    <w:uiPriority w:val="99"/>
    <w:semiHidden/>
    <w:qFormat/>
    <w:rPr>
      <w:rFonts w:ascii="Times New Roman" w:hAnsi="Times New Roman"/>
      <w:sz w:val="18"/>
      <w:szCs w:val="18"/>
    </w:rPr>
  </w:style>
  <w:style w:type="character" w:styleId="1090" w:customStyle="1">
    <w:name w:val="font221"/>
    <w:uiPriority w:val="0"/>
    <w:qFormat/>
    <w:rPr>
      <w:rFonts w:hint="eastAsia" w:ascii="宋体" w:hAnsi="宋体" w:eastAsia="宋体" w:cs="宋体"/>
      <w:b/>
      <w:color w:val="000000"/>
      <w:sz w:val="20"/>
      <w:szCs w:val="20"/>
      <w:u w:val="none"/>
    </w:rPr>
  </w:style>
  <w:style w:type="character" w:styleId="1091" w:customStyle="1">
    <w:name w:val="font61"/>
    <w:uiPriority w:val="0"/>
    <w:qFormat/>
    <w:rPr>
      <w:rFonts w:hint="eastAsia" w:ascii="宋体" w:hAnsi="宋体" w:eastAsia="宋体" w:cs="宋体"/>
      <w:color w:val="000000"/>
      <w:sz w:val="20"/>
      <w:szCs w:val="20"/>
      <w:u w:val="none"/>
    </w:rPr>
  </w:style>
  <w:style w:type="character" w:styleId="1092" w:customStyle="1">
    <w:name w:val="top_title1"/>
    <w:uiPriority w:val="0"/>
    <w:qFormat/>
    <w:rPr>
      <w:b/>
      <w:bCs/>
      <w:color w:val="333333"/>
      <w:sz w:val="24"/>
      <w:szCs w:val="24"/>
    </w:rPr>
  </w:style>
  <w:style w:type="character" w:styleId="1093" w:customStyle="1">
    <w:name w:val="font81"/>
    <w:uiPriority w:val="0"/>
    <w:qFormat/>
    <w:rPr>
      <w:rFonts w:ascii="Symbol" w:hAnsi="Symbol" w:cs="Symbol"/>
      <w:color w:val="000000"/>
      <w:sz w:val="20"/>
      <w:szCs w:val="20"/>
      <w:u w:val="none"/>
    </w:rPr>
  </w:style>
  <w:style w:type="character" w:styleId="1094" w:customStyle="1">
    <w:name w:val="font141"/>
    <w:uiPriority w:val="0"/>
    <w:qFormat/>
    <w:rPr>
      <w:rFonts w:hint="eastAsia" w:ascii="宋体" w:hAnsi="宋体" w:eastAsia="宋体" w:cs="宋体"/>
      <w:color w:val="ff0000"/>
      <w:sz w:val="20"/>
      <w:szCs w:val="20"/>
      <w:u w:val="none"/>
      <w:vertAlign w:val="superscript"/>
    </w:rPr>
  </w:style>
  <w:style w:type="character" w:styleId="1095" w:customStyle="1">
    <w:name w:val="正文文本缩进 Char1"/>
    <w:uiPriority w:val="99"/>
    <w:semiHidden/>
    <w:qFormat/>
  </w:style>
  <w:style w:type="character" w:styleId="1096" w:customStyle="1">
    <w:name w:val="正文缩进 Char1"/>
    <w:uiPriority w:val="0"/>
    <w:qFormat/>
    <w:rPr>
      <w:rFonts w:ascii="Times New Roman" w:hAnsi="Times New Roman" w:eastAsia="宋体" w:cs="Times New Roman"/>
      <w:szCs w:val="20"/>
    </w:rPr>
  </w:style>
  <w:style w:type="character" w:styleId="1097" w:customStyle="1">
    <w:name w:val="font11"/>
    <w:uiPriority w:val="0"/>
    <w:qFormat/>
    <w:rPr>
      <w:rFonts w:hint="eastAsia" w:ascii="宋体" w:hAnsi="宋体" w:eastAsia="宋体" w:cs="宋体"/>
      <w:color w:val="000000"/>
      <w:sz w:val="20"/>
      <w:szCs w:val="20"/>
      <w:u w:val="none"/>
    </w:rPr>
  </w:style>
  <w:style w:type="character" w:styleId="1098" w:customStyle="1">
    <w:name w:val="表格样式居中 Char"/>
    <w:link w:val="1099"/>
    <w:uiPriority w:val="0"/>
    <w:qFormat/>
    <w:rPr>
      <w:rFonts w:ascii="宋体" w:hAnsi="宋体"/>
      <w:bCs/>
      <w:sz w:val="21"/>
      <w:szCs w:val="21"/>
      <w:lang w:val="zh-CN" w:eastAsia="zh-CN" w:bidi="ar-SA"/>
    </w:rPr>
  </w:style>
  <w:style w:type="paragraph" w:styleId="1099" w:customStyle="1">
    <w:name w:val="表格样式居中"/>
    <w:link w:val="1098"/>
    <w:uiPriority w:val="0"/>
    <w:qFormat/>
    <w:pPr>
      <w:jc w:val="center"/>
      <w:spacing w:line="360" w:lineRule="auto"/>
    </w:pPr>
    <w:rPr>
      <w:rFonts w:hint="default" w:ascii="宋体" w:hAnsi="宋体" w:eastAsia="宋体" w:cs="Times New Roman"/>
      <w:bCs/>
      <w:sz w:val="21"/>
      <w:szCs w:val="21"/>
      <w:lang w:val="zh-CN" w:eastAsia="zh-CN" w:bidi="ar-SA"/>
    </w:rPr>
  </w:style>
  <w:style w:type="character" w:styleId="1100" w:customStyle="1">
    <w:name w:val="正文文本缩进 2 Char1"/>
    <w:uiPriority w:val="99"/>
    <w:semiHidden/>
    <w:qFormat/>
  </w:style>
  <w:style w:type="character" w:styleId="1101" w:customStyle="1">
    <w:name w:val="font161"/>
    <w:uiPriority w:val="0"/>
    <w:qFormat/>
    <w:rPr>
      <w:rFonts w:hint="eastAsia" w:ascii="宋体" w:hAnsi="宋体" w:eastAsia="宋体" w:cs="宋体"/>
      <w:b/>
      <w:color w:val="ff0000"/>
      <w:sz w:val="20"/>
      <w:szCs w:val="20"/>
      <w:u w:val="none"/>
    </w:rPr>
  </w:style>
  <w:style w:type="character" w:styleId="1102" w:customStyle="1">
    <w:name w:val="批注主题 Char1"/>
    <w:uiPriority w:val="99"/>
    <w:semiHidden/>
    <w:qFormat/>
    <w:rPr>
      <w:rFonts w:ascii="Times New Roman" w:hAnsi="Times New Roman" w:eastAsia="宋体" w:cs="Times New Roman"/>
      <w:b/>
      <w:bCs/>
      <w:szCs w:val="24"/>
    </w:rPr>
  </w:style>
  <w:style w:type="character" w:styleId="1103" w:customStyle="1">
    <w:name w:val="font51"/>
    <w:uiPriority w:val="0"/>
    <w:qFormat/>
    <w:rPr>
      <w:rFonts w:hint="eastAsia" w:ascii="宋体" w:hAnsi="宋体" w:eastAsia="宋体" w:cs="宋体"/>
      <w:b/>
      <w:color w:val="000000"/>
      <w:sz w:val="20"/>
      <w:szCs w:val="20"/>
      <w:u w:val="none"/>
    </w:rPr>
  </w:style>
  <w:style w:type="character" w:styleId="1104" w:customStyle="1">
    <w:name w:val="font01"/>
    <w:basedOn w:val="821"/>
    <w:uiPriority w:val="0"/>
    <w:qFormat/>
    <w:rPr>
      <w:rFonts w:hint="eastAsia" w:ascii="宋体" w:hAnsi="宋体" w:eastAsia="宋体"/>
      <w:color w:val="000000"/>
      <w:sz w:val="24"/>
      <w:szCs w:val="24"/>
      <w:u w:val="none"/>
    </w:rPr>
  </w:style>
  <w:style w:type="character" w:styleId="1105" w:customStyle="1">
    <w:name w:val="批注文字 Char"/>
    <w:uiPriority w:val="99"/>
    <w:qFormat/>
    <w:rPr>
      <w:sz w:val="21"/>
      <w:szCs w:val="22"/>
    </w:rPr>
  </w:style>
  <w:style w:type="character" w:styleId="1106" w:customStyle="1">
    <w:name w:val="unnamed11"/>
    <w:uiPriority w:val="99"/>
    <w:qFormat/>
    <w:rPr>
      <w:rFonts w:hint="eastAsia" w:ascii="宋体" w:hAnsi="宋体" w:eastAsia="宋体"/>
      <w:sz w:val="21"/>
      <w:szCs w:val="21"/>
    </w:rPr>
  </w:style>
  <w:style w:type="character" w:styleId="1107" w:customStyle="1">
    <w:name w:val="font71"/>
    <w:uiPriority w:val="0"/>
    <w:qFormat/>
    <w:rPr>
      <w:rFonts w:hint="eastAsia" w:ascii="宋体" w:hAnsi="宋体" w:eastAsia="宋体" w:cs="宋体"/>
      <w:color w:val="000000"/>
      <w:sz w:val="20"/>
      <w:szCs w:val="20"/>
      <w:u w:val="none"/>
    </w:rPr>
  </w:style>
  <w:style w:type="character" w:styleId="1108" w:customStyle="1">
    <w:name w:val="Char Char8"/>
    <w:uiPriority w:val="0"/>
    <w:qFormat/>
    <w:rPr>
      <w:rFonts w:ascii="Calibri" w:hAnsi="Calibri" w:eastAsia="宋体" w:cs="Times New Roman"/>
      <w:b/>
      <w:bCs/>
      <w:sz w:val="28"/>
      <w:szCs w:val="28"/>
    </w:rPr>
  </w:style>
  <w:style w:type="character" w:styleId="1109" w:customStyle="1">
    <w:name w:val="Char Char11"/>
    <w:uiPriority w:val="0"/>
    <w:qFormat/>
    <w:rPr>
      <w:rFonts w:ascii="Arial" w:hAnsi="Arial" w:eastAsia="宋体" w:cs="Times New Roman"/>
      <w:b/>
      <w:bCs/>
      <w:sz w:val="28"/>
      <w:szCs w:val="36"/>
    </w:rPr>
  </w:style>
  <w:style w:type="character" w:styleId="1110" w:customStyle="1">
    <w:name w:val="Char Char12"/>
    <w:uiPriority w:val="0"/>
    <w:qFormat/>
    <w:rPr>
      <w:b/>
      <w:bCs/>
      <w:sz w:val="44"/>
      <w:szCs w:val="44"/>
    </w:rPr>
  </w:style>
  <w:style w:type="character" w:styleId="1111" w:customStyle="1">
    <w:name w:val="font111"/>
    <w:uiPriority w:val="0"/>
    <w:qFormat/>
    <w:rPr>
      <w:rFonts w:hint="eastAsia" w:ascii="宋体" w:hAnsi="宋体" w:eastAsia="宋体" w:cs="宋体"/>
      <w:color w:val="ff0000"/>
      <w:sz w:val="18"/>
      <w:szCs w:val="18"/>
      <w:u w:val="none"/>
    </w:rPr>
  </w:style>
  <w:style w:type="character" w:styleId="1112" w:customStyle="1">
    <w:name w:val="font21"/>
    <w:uiPriority w:val="0"/>
    <w:qFormat/>
    <w:rPr>
      <w:rFonts w:hint="eastAsia" w:ascii="仿宋_GB2312" w:hAnsi="Times New Roman" w:eastAsia="仿宋_GB2312" w:cs="仿宋_GB2312"/>
      <w:color w:val="000000"/>
      <w:sz w:val="22"/>
      <w:szCs w:val="22"/>
      <w:u w:val="none"/>
    </w:rPr>
  </w:style>
  <w:style w:type="character" w:styleId="1113" w:customStyle="1">
    <w:name w:val="无间隔 Char"/>
    <w:link w:val="1114"/>
    <w:uiPriority w:val="0"/>
    <w:qFormat/>
    <w:rPr>
      <w:sz w:val="21"/>
      <w:szCs w:val="22"/>
      <w:lang w:val="en-US" w:eastAsia="zh-CN" w:bidi="ar-SA"/>
    </w:rPr>
  </w:style>
  <w:style w:type="paragraph" w:styleId="1114" w:customStyle="1">
    <w:name w:val="msonospacing"/>
    <w:link w:val="1113"/>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15" w:customStyle="1">
    <w:name w:val="font211"/>
    <w:uiPriority w:val="0"/>
    <w:qFormat/>
    <w:rPr>
      <w:rFonts w:hint="eastAsia" w:ascii="宋体" w:hAnsi="宋体" w:eastAsia="宋体" w:cs="宋体"/>
      <w:color w:val="ff0000"/>
      <w:sz w:val="20"/>
      <w:szCs w:val="20"/>
      <w:u w:val="none"/>
      <w:vertAlign w:val="superscript"/>
    </w:rPr>
  </w:style>
  <w:style w:type="character" w:styleId="1116" w:customStyle="1">
    <w:name w:val="NormalCharacter"/>
    <w:uiPriority w:val="0"/>
    <w:qFormat/>
    <w:rPr>
      <w:sz w:val="21"/>
      <w:szCs w:val="22"/>
      <w:lang w:val="en-US" w:eastAsia="zh-CN" w:bidi="ar-SA"/>
    </w:rPr>
  </w:style>
  <w:style w:type="character" w:styleId="1117" w:customStyle="1">
    <w:name w:val="font171"/>
    <w:uiPriority w:val="0"/>
    <w:qFormat/>
    <w:rPr>
      <w:rFonts w:hint="eastAsia" w:ascii="宋体" w:hAnsi="宋体" w:eastAsia="宋体" w:cs="宋体"/>
      <w:color w:val="000000"/>
      <w:sz w:val="20"/>
      <w:szCs w:val="20"/>
      <w:u w:val="none"/>
    </w:rPr>
  </w:style>
  <w:style w:type="character" w:styleId="1118" w:customStyle="1">
    <w:name w:val="项目排列 Char"/>
    <w:link w:val="1119"/>
    <w:uiPriority w:val="0"/>
    <w:qFormat/>
    <w:rPr>
      <w:sz w:val="24"/>
      <w:szCs w:val="24"/>
    </w:rPr>
  </w:style>
  <w:style w:type="paragraph" w:styleId="1119" w:customStyle="1">
    <w:name w:val="项目排列"/>
    <w:basedOn w:val="811"/>
    <w:link w:val="1118"/>
    <w:uiPriority w:val="0"/>
    <w:qFormat/>
    <w:pPr>
      <w:numPr>
        <w:ilvl w:val="0"/>
        <w:numId w:val="4"/>
      </w:numPr>
      <w:spacing w:before="156" w:after="156" w:line="300" w:lineRule="auto"/>
      <w:tabs>
        <w:tab w:val="left" w:pos="900" w:leader="none"/>
      </w:tabs>
    </w:pPr>
    <w:rPr>
      <w:sz w:val="24"/>
      <w:szCs w:val="24"/>
    </w:rPr>
  </w:style>
  <w:style w:type="character" w:styleId="1120" w:customStyle="1">
    <w:name w:val="hover4"/>
    <w:uiPriority w:val="0"/>
    <w:qFormat/>
    <w:rPr>
      <w:color w:val="999999"/>
    </w:rPr>
  </w:style>
  <w:style w:type="character" w:styleId="1121" w:customStyle="1">
    <w:name w:val="font91"/>
    <w:uiPriority w:val="0"/>
    <w:qFormat/>
    <w:rPr>
      <w:rFonts w:hint="eastAsia" w:ascii="宋体" w:hAnsi="宋体" w:eastAsia="宋体" w:cs="宋体"/>
      <w:color w:val="000000"/>
      <w:sz w:val="16"/>
      <w:szCs w:val="16"/>
      <w:u w:val="none"/>
    </w:rPr>
  </w:style>
  <w:style w:type="paragraph" w:styleId="1122" w:customStyle="1">
    <w:name w:val="Char"/>
    <w:basedOn w:val="811"/>
    <w:uiPriority w:val="0"/>
    <w:qFormat/>
    <w:pPr>
      <w:ind w:left="1350" w:hanging="1350"/>
      <w:tabs>
        <w:tab w:val="left" w:pos="1350" w:leader="none"/>
      </w:tabs>
    </w:pPr>
    <w:rPr>
      <w:sz w:val="24"/>
      <w:szCs w:val="24"/>
    </w:rPr>
  </w:style>
  <w:style w:type="paragraph" w:styleId="1123" w:customStyle="1">
    <w:name w:val="正文 1.1.1"/>
    <w:basedOn w:val="811"/>
    <w:next w:val="811"/>
    <w:uiPriority w:val="0"/>
    <w:qFormat/>
    <w:pPr>
      <w:numPr>
        <w:ilvl w:val="2"/>
        <w:numId w:val="5"/>
      </w:numPr>
      <w:outlineLvl w:val="2"/>
    </w:pPr>
    <w:rPr>
      <w:rFonts w:hAnsi="宋体"/>
      <w:color w:val="ff0000"/>
    </w:rPr>
  </w:style>
  <w:style w:type="paragraph" w:styleId="1124" w:customStyle="1">
    <w:name w:val="Default Paragraph Font Para Char"/>
    <w:basedOn w:val="811"/>
    <w:uiPriority w:val="0"/>
    <w:qFormat/>
    <w:pPr>
      <w:jc w:val="left"/>
      <w:spacing w:before="156" w:after="160" w:line="240" w:lineRule="exact"/>
      <w:widowControl/>
    </w:pPr>
    <w:rPr>
      <w:rFonts w:ascii="Verdana" w:hAnsi="Verdana"/>
      <w:sz w:val="20"/>
      <w:szCs w:val="20"/>
      <w:lang w:eastAsia="en-US"/>
    </w:rPr>
  </w:style>
  <w:style w:type="paragraph" w:styleId="1125" w:customStyle="1">
    <w:name w:val="unnamed1"/>
    <w:basedOn w:val="811"/>
    <w:uiPriority w:val="0"/>
    <w:qFormat/>
    <w:pPr>
      <w:jc w:val="left"/>
      <w:spacing w:before="100" w:beforeAutospacing="1" w:after="100" w:afterAutospacing="1" w:line="288" w:lineRule="auto"/>
      <w:widowControl/>
    </w:pPr>
    <w:rPr>
      <w:rFonts w:hint="eastAsia" w:ascii="宋体" w:hAnsi="宋体"/>
      <w:szCs w:val="21"/>
    </w:rPr>
  </w:style>
  <w:style w:type="paragraph" w:styleId="1126" w:customStyle="1">
    <w:name w:val="正文缩进1"/>
    <w:basedOn w:val="811"/>
    <w:uiPriority w:val="0"/>
    <w:qFormat/>
    <w:pPr>
      <w:ind w:firstLine="420"/>
      <w:jc w:val="left"/>
      <w:spacing w:line="360" w:lineRule="auto"/>
      <w:widowControl/>
    </w:pPr>
    <w:rPr>
      <w:rFonts w:ascii="宋体"/>
      <w:sz w:val="20"/>
      <w:szCs w:val="20"/>
    </w:rPr>
  </w:style>
  <w:style w:type="paragraph" w:styleId="1127" w:customStyle="1">
    <w:name w:val="Char1"/>
    <w:basedOn w:val="811"/>
    <w:uiPriority w:val="0"/>
    <w:qFormat/>
    <w:rPr>
      <w:rFonts w:ascii="仿宋_GB2312" w:eastAsia="仿宋_GB2312"/>
      <w:b/>
      <w:sz w:val="32"/>
      <w:szCs w:val="32"/>
    </w:rPr>
  </w:style>
  <w:style w:type="paragraph" w:styleId="1128" w:customStyle="1">
    <w:name w:val="文档正文"/>
    <w:basedOn w:val="811"/>
    <w:uiPriority w:val="0"/>
    <w:qFormat/>
    <w:pPr>
      <w:ind w:firstLine="567"/>
      <w:spacing w:line="480" w:lineRule="atLeast"/>
    </w:pPr>
    <w:rPr>
      <w:rFonts w:ascii="仿宋_GB2312" w:eastAsia="仿宋_GB2312"/>
      <w:sz w:val="28"/>
      <w:szCs w:val="24"/>
    </w:rPr>
  </w:style>
  <w:style w:type="paragraph" w:styleId="1129" w:customStyle="1">
    <w:name w:val="二级目录"/>
    <w:next w:val="811"/>
    <w:uiPriority w:val="0"/>
    <w:qFormat/>
    <w:pPr>
      <w:numPr>
        <w:ilvl w:val="0"/>
        <w:numId w:val="6"/>
      </w:numPr>
      <w:outlineLvl w:val="1"/>
    </w:pPr>
    <w:rPr>
      <w:rFonts w:hint="default" w:ascii="Times New Roman" w:hAnsi="Times New Roman" w:eastAsia="宋体" w:cs="Times New Roman"/>
      <w:b/>
      <w:sz w:val="30"/>
      <w:szCs w:val="28"/>
      <w:lang w:val="en-US" w:eastAsia="zh-CN" w:bidi="ar-SA"/>
    </w:rPr>
  </w:style>
  <w:style w:type="paragraph" w:styleId="1130" w:customStyle="1">
    <w:name w:val="List Paragraph1"/>
    <w:basedOn w:val="811"/>
    <w:uiPriority w:val="0"/>
    <w:qFormat/>
    <w:pPr>
      <w:ind w:firstLine="420"/>
    </w:pPr>
    <w:rPr>
      <w:szCs w:val="20"/>
    </w:rPr>
  </w:style>
  <w:style w:type="paragraph" w:styleId="1131" w:customStyle="1">
    <w:name w:val="_Style 2"/>
    <w:basedOn w:val="811"/>
    <w:uiPriority w:val="34"/>
    <w:qFormat/>
    <w:pPr>
      <w:ind w:firstLine="420"/>
    </w:pPr>
    <w:rPr>
      <w:szCs w:val="24"/>
    </w:rPr>
  </w:style>
  <w:style w:type="paragraph" w:styleId="1132" w:customStyle="1">
    <w:name w:val="正文 A"/>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1133" w:customStyle="1">
    <w:name w:val="文档标题"/>
    <w:basedOn w:val="811"/>
    <w:uiPriority w:val="0"/>
    <w:qFormat/>
    <w:pPr>
      <w:jc w:val="center"/>
      <w:spacing w:before="312" w:after="312" w:line="300" w:lineRule="auto"/>
    </w:pPr>
    <w:rPr>
      <w:rFonts w:ascii="Arial" w:hAnsi="Arial" w:eastAsia="黑体" w:cs="Arial"/>
      <w:b/>
      <w:sz w:val="48"/>
      <w:szCs w:val="32"/>
    </w:rPr>
  </w:style>
  <w:style w:type="paragraph" w:styleId="1134" w:customStyle="1">
    <w:name w:val="Char1 Char Char Char Char Char Char"/>
    <w:basedOn w:val="811"/>
    <w:uiPriority w:val="0"/>
    <w:qFormat/>
    <w:rPr>
      <w:szCs w:val="24"/>
    </w:rPr>
  </w:style>
  <w:style w:type="paragraph" w:styleId="1135" w:customStyle="1">
    <w:name w:val="Char Char Char Char Char Char Char"/>
    <w:basedOn w:val="827"/>
    <w:uiPriority w:val="0"/>
    <w:qFormat/>
    <w:pPr>
      <w:shd w:val="clear" w:color="auto" w:fill="000080"/>
    </w:pPr>
    <w:rPr>
      <w:rFonts w:ascii="Times New Roman"/>
      <w:sz w:val="21"/>
      <w:szCs w:val="20"/>
    </w:rPr>
  </w:style>
  <w:style w:type="paragraph" w:styleId="1136" w:customStyle="1">
    <w:name w:val="无间隔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7" w:customStyle="1">
    <w:name w:val="列表段落1"/>
    <w:basedOn w:val="811"/>
    <w:uiPriority w:val="34"/>
    <w:qFormat/>
    <w:pPr>
      <w:ind w:left="720"/>
    </w:pPr>
    <w:rPr>
      <w:szCs w:val="21"/>
    </w:rPr>
  </w:style>
  <w:style w:type="paragraph" w:styleId="1138" w:customStyle="1">
    <w:name w:val="普通正文"/>
    <w:basedOn w:val="1059"/>
    <w:uiPriority w:val="0"/>
    <w:qFormat/>
    <w:pPr>
      <w:jc w:val="left"/>
      <w:spacing w:before="120" w:after="120" w:line="360" w:lineRule="auto"/>
    </w:pPr>
    <w:rPr>
      <w:rFonts w:ascii="Arial" w:hAnsi="Arial" w:eastAsia="宋体"/>
      <w:szCs w:val="24"/>
    </w:rPr>
  </w:style>
  <w:style w:type="paragraph" w:styleId="1139" w:customStyle="1">
    <w:name w:val="正文 1.1"/>
    <w:basedOn w:val="811"/>
    <w:next w:val="1123"/>
    <w:uiPriority w:val="0"/>
    <w:qFormat/>
    <w:pPr>
      <w:numPr>
        <w:ilvl w:val="1"/>
        <w:numId w:val="5"/>
      </w:numPr>
      <w:ind w:firstLine="550"/>
      <w:outlineLvl w:val="1"/>
    </w:pPr>
    <w:rPr>
      <w:rFonts w:ascii="仿宋" w:hAnsi="仿宋"/>
      <w:b/>
    </w:rPr>
  </w:style>
  <w:style w:type="paragraph" w:styleId="1140" w:customStyle="1">
    <w:name w:val="Table Paragraph"/>
    <w:basedOn w:val="811"/>
    <w:uiPriority w:val="1"/>
    <w:qFormat/>
    <w:rPr>
      <w:rFonts w:ascii="Calibri" w:hAnsi="Calibri"/>
      <w:lang w:eastAsia="en-US"/>
    </w:rPr>
  </w:style>
  <w:style w:type="paragraph" w:styleId="1141"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142" w:customStyle="1">
    <w:name w:val="Normal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3" w:customStyle="1">
    <w:name w:val="CD 正文"/>
    <w:basedOn w:val="811"/>
    <w:uiPriority w:val="0"/>
    <w:qFormat/>
    <w:pPr>
      <w:jc w:val="left"/>
    </w:pPr>
    <w:rPr>
      <w:rFonts w:ascii="Arial" w:hAnsi="Arial" w:eastAsia="微软雅黑" w:cs="Arial"/>
      <w:szCs w:val="21"/>
    </w:rPr>
  </w:style>
  <w:style w:type="paragraph" w:styleId="1144" w:customStyle="1">
    <w:name w:val="纯文本1"/>
    <w:uiPriority w:val="0"/>
    <w:qFormat/>
    <w:pPr>
      <w:spacing w:before="100" w:after="100"/>
      <w:framePr w:wrap="around" w:vAnchor="margin" w:hAnchor="text" w:yAlign="top"/>
    </w:pPr>
    <w:rPr>
      <w:rFonts w:hint="default" w:ascii="宋体" w:hAnsi="宋体" w:eastAsia="宋体" w:cs="宋体"/>
      <w:color w:val="000000"/>
      <w:sz w:val="24"/>
      <w:szCs w:val="24"/>
      <w:lang w:val="en-US" w:eastAsia="zh-CN" w:bidi="ar-SA"/>
    </w:rPr>
  </w:style>
  <w:style w:type="paragraph" w:styleId="1145" w:customStyle="1">
    <w:name w:val="Char2"/>
    <w:basedOn w:val="811"/>
    <w:uiPriority w:val="0"/>
    <w:qFormat/>
    <w:pPr>
      <w:ind w:firstLine="200"/>
      <w:tabs>
        <w:tab w:val="left" w:pos="360" w:leader="none"/>
      </w:tabs>
    </w:pPr>
    <w:rPr>
      <w:sz w:val="28"/>
      <w:szCs w:val="30"/>
    </w:rPr>
  </w:style>
  <w:style w:type="paragraph" w:styleId="1146" w:customStyle="1">
    <w:name w:val="FUNO正文"/>
    <w:uiPriority w:val="0"/>
    <w:qFormat/>
    <w:pPr>
      <w:ind w:firstLine="480"/>
      <w:jc w:val="both"/>
      <w:spacing w:line="360" w:lineRule="auto"/>
    </w:pPr>
    <w:rPr>
      <w:rFonts w:hint="default" w:ascii="宋体" w:hAnsi="宋体" w:eastAsia="宋体" w:cs="Times New Roman"/>
      <w:sz w:val="24"/>
      <w:szCs w:val="21"/>
      <w:lang w:val="en-US" w:eastAsia="zh-CN" w:bidi="ar-SA"/>
    </w:rPr>
  </w:style>
  <w:style w:type="paragraph" w:styleId="1147" w:customStyle="1">
    <w:name w:val="p0"/>
    <w:basedOn w:val="811"/>
    <w:uiPriority w:val="0"/>
    <w:qFormat/>
    <w:pPr>
      <w:widowControl/>
    </w:pPr>
    <w:rPr>
      <w:szCs w:val="21"/>
    </w:rPr>
  </w:style>
  <w:style w:type="paragraph" w:styleId="1148" w:customStyle="1">
    <w:name w:val="msonormal"/>
    <w:basedOn w:val="811"/>
    <w:uiPriority w:val="0"/>
    <w:qFormat/>
    <w:pPr>
      <w:jc w:val="left"/>
      <w:spacing w:before="100" w:beforeAutospacing="1" w:after="100" w:afterAutospacing="1"/>
      <w:widowControl/>
    </w:pPr>
    <w:rPr>
      <w:rFonts w:ascii="宋体" w:hAnsi="宋体" w:cs="宋体"/>
      <w:sz w:val="24"/>
      <w:szCs w:val="24"/>
    </w:rPr>
  </w:style>
  <w:style w:type="paragraph" w:styleId="1149" w:customStyle="1">
    <w:name w:val="font5"/>
    <w:basedOn w:val="811"/>
    <w:uiPriority w:val="0"/>
    <w:qFormat/>
    <w:pPr>
      <w:jc w:val="left"/>
      <w:spacing w:before="100" w:beforeAutospacing="1" w:after="100" w:afterAutospacing="1"/>
      <w:widowControl/>
    </w:pPr>
    <w:rPr>
      <w:rFonts w:ascii="宋体" w:hAnsi="宋体" w:cs="宋体"/>
      <w:sz w:val="18"/>
      <w:szCs w:val="18"/>
    </w:rPr>
  </w:style>
  <w:style w:type="paragraph" w:styleId="1150" w:customStyle="1">
    <w:name w:val="font6"/>
    <w:basedOn w:val="811"/>
    <w:uiPriority w:val="0"/>
    <w:qFormat/>
    <w:pPr>
      <w:jc w:val="left"/>
      <w:spacing w:before="100" w:beforeAutospacing="1" w:after="100" w:afterAutospacing="1"/>
      <w:widowControl/>
    </w:pPr>
    <w:rPr>
      <w:rFonts w:ascii="Calibri" w:hAnsi="Calibri" w:cs="Calibri"/>
      <w:sz w:val="18"/>
      <w:szCs w:val="18"/>
    </w:rPr>
  </w:style>
  <w:style w:type="paragraph" w:styleId="1151" w:customStyle="1">
    <w:name w:val="xl84"/>
    <w:basedOn w:val="811"/>
    <w:uiPriority w:val="0"/>
    <w:qFormat/>
    <w:pPr>
      <w:jc w:val="left"/>
      <w:spacing w:before="100" w:beforeAutospacing="1" w:after="100" w:afterAutospacing="1"/>
      <w:widowControl/>
    </w:pPr>
    <w:rPr>
      <w:rFonts w:ascii="宋体" w:hAnsi="宋体" w:cs="宋体"/>
      <w:color w:val="000000"/>
      <w:sz w:val="24"/>
      <w:szCs w:val="24"/>
    </w:rPr>
  </w:style>
  <w:style w:type="paragraph" w:styleId="1152" w:customStyle="1">
    <w:name w:val="xl85"/>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3" w:customStyle="1">
    <w:name w:val="xl86"/>
    <w:basedOn w:val="811"/>
    <w:uiPriority w:val="0"/>
    <w:qFormat/>
    <w:pPr>
      <w:jc w:val="left"/>
      <w:spacing w:before="100" w:beforeAutospacing="1" w:after="100" w:afterAutospacing="1"/>
      <w:widowControl/>
    </w:pPr>
    <w:rPr>
      <w:rFonts w:ascii="宋体" w:hAnsi="宋体" w:cs="宋体"/>
      <w:sz w:val="24"/>
      <w:szCs w:val="24"/>
    </w:rPr>
  </w:style>
  <w:style w:type="paragraph" w:styleId="1154" w:customStyle="1">
    <w:name w:val="xl87"/>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55" w:customStyle="1">
    <w:name w:val="xl88"/>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56" w:customStyle="1">
    <w:name w:val="xl89"/>
    <w:basedOn w:val="811"/>
    <w:uiPriority w:val="0"/>
    <w:qFormat/>
    <w:pPr>
      <w:jc w:val="left"/>
      <w:spacing w:before="100" w:beforeAutospacing="1" w:after="100" w:afterAutospacing="1"/>
      <w:widowControl/>
    </w:pPr>
    <w:rPr>
      <w:rFonts w:ascii="宋体" w:hAnsi="宋体" w:cs="宋体"/>
      <w:sz w:val="24"/>
      <w:szCs w:val="24"/>
    </w:rPr>
  </w:style>
  <w:style w:type="paragraph" w:styleId="1157" w:customStyle="1">
    <w:name w:val="xl90"/>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58" w:customStyle="1">
    <w:name w:val="xl91"/>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59" w:customStyle="1">
    <w:name w:val="xl92"/>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0" w:customStyle="1">
    <w:name w:val="xl93"/>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1" w:customStyle="1">
    <w:name w:val="xl94"/>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2" w:customStyle="1">
    <w:name w:val="xl95"/>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163" w:customStyle="1">
    <w:name w:val="xl96"/>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4" w:customStyle="1">
    <w:name w:val="xl97"/>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5" w:customStyle="1">
    <w:name w:val="xl98"/>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6" w:customStyle="1">
    <w:name w:val="xl99"/>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7" w:customStyle="1">
    <w:name w:val="xl100"/>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68" w:customStyle="1">
    <w:name w:val="xl101"/>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9" w:customStyle="1">
    <w:name w:val="xl102"/>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70" w:customStyle="1">
    <w:name w:val="xl103"/>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171" w:customStyle="1">
    <w:name w:val="xl104"/>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2" w:customStyle="1">
    <w:name w:val="xl105"/>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3" w:customStyle="1">
    <w:name w:val="xl106"/>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4" w:customStyle="1">
    <w:name w:val="xl107"/>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5" w:customStyle="1">
    <w:name w:val="xl108"/>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6" w:customStyle="1">
    <w:name w:val="xl109"/>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7" w:customStyle="1">
    <w:name w:val="xl110"/>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8" w:customStyle="1">
    <w:name w:val="xl111"/>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9" w:customStyle="1">
    <w:name w:val="xl112"/>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0" w:customStyle="1">
    <w:name w:val="xl113"/>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1" w:customStyle="1">
    <w:name w:val="xl115"/>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2" w:customStyle="1">
    <w:name w:val="xl116"/>
    <w:basedOn w:val="81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3" w:customStyle="1">
    <w:name w:val="xl117"/>
    <w:basedOn w:val="81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4" w:customStyle="1">
    <w:name w:val="xl118"/>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85" w:customStyle="1">
    <w:name w:val="xl119"/>
    <w:basedOn w:val="811"/>
    <w:uiPriority w:val="0"/>
    <w:qFormat/>
    <w:pPr>
      <w:jc w:val="center"/>
      <w:spacing w:before="100" w:beforeAutospacing="1" w:after="100" w:afterAutospacing="1"/>
      <w:widowControl/>
    </w:pPr>
    <w:rPr>
      <w:rFonts w:ascii="宋体" w:hAnsi="宋体" w:cs="宋体"/>
      <w:sz w:val="24"/>
      <w:szCs w:val="24"/>
    </w:rPr>
  </w:style>
  <w:style w:type="paragraph" w:styleId="1186" w:customStyle="1">
    <w:name w:val="xl120"/>
    <w:basedOn w:val="811"/>
    <w:uiPriority w:val="0"/>
    <w:qFormat/>
    <w:pPr>
      <w:jc w:val="center"/>
      <w:spacing w:before="100" w:beforeAutospacing="1" w:after="100" w:afterAutospacing="1"/>
      <w:widowControl/>
    </w:pPr>
    <w:rPr>
      <w:rFonts w:ascii="宋体" w:hAnsi="宋体" w:cs="宋体"/>
      <w:sz w:val="24"/>
      <w:szCs w:val="24"/>
    </w:rPr>
  </w:style>
  <w:style w:type="paragraph" w:styleId="1187" w:customStyle="1">
    <w:name w:val="xl121"/>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88" w:customStyle="1">
    <w:name w:val="xl122"/>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89" w:customStyle="1">
    <w:name w:val="xl123"/>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90" w:customStyle="1">
    <w:name w:val="xl124"/>
    <w:basedOn w:val="81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91" w:customStyle="1">
    <w:name w:val="xl125"/>
    <w:basedOn w:val="811"/>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192" w:customStyle="1">
    <w:name w:val="xl126"/>
    <w:basedOn w:val="81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93" w:customStyle="1">
    <w:name w:val="xl114"/>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94" w:customStyle="1">
    <w:name w:val="xl127"/>
    <w:basedOn w:val="81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95" w:customStyle="1">
    <w:name w:val="xl128"/>
    <w:basedOn w:val="811"/>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right w:val="single" w:color="auto" w:sz="4" w:space="0"/>
      </w:pBdr>
    </w:pPr>
    <w:rPr>
      <w:rFonts w:ascii="宋体" w:hAnsi="宋体" w:cs="宋体"/>
      <w:b/>
      <w:bCs/>
      <w:sz w:val="30"/>
      <w:szCs w:val="30"/>
    </w:rPr>
  </w:style>
  <w:style w:type="paragraph" w:styleId="1196" w:customStyle="1">
    <w:name w:val="xl129"/>
    <w:basedOn w:val="811"/>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pBdr>
    </w:pPr>
    <w:rPr>
      <w:rFonts w:ascii="宋体" w:hAnsi="宋体" w:cs="宋体"/>
      <w:sz w:val="24"/>
      <w:szCs w:val="24"/>
    </w:rPr>
  </w:style>
  <w:style w:type="paragraph" w:styleId="1197" w:customStyle="1">
    <w:name w:val="xl130"/>
    <w:basedOn w:val="811"/>
    <w:uiPriority w:val="0"/>
    <w:qFormat/>
    <w:pPr>
      <w:jc w:val="center"/>
      <w:spacing w:before="100" w:beforeAutospacing="1" w:after="100" w:afterAutospacing="1"/>
      <w:shd w:val="clear" w:color="000000" w:fill="d9e1f2"/>
      <w:widowControl/>
      <w:pBdr>
        <w:top w:val="single" w:color="auto" w:sz="4" w:space="0"/>
        <w:bottom w:val="single" w:color="auto" w:sz="4" w:space="0"/>
      </w:pBdr>
    </w:pPr>
    <w:rPr>
      <w:rFonts w:ascii="宋体" w:hAnsi="宋体" w:cs="宋体"/>
      <w:sz w:val="24"/>
      <w:szCs w:val="24"/>
    </w:rPr>
  </w:style>
  <w:style w:type="paragraph" w:styleId="1198" w:customStyle="1">
    <w:name w:val="xl131"/>
    <w:basedOn w:val="81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199" w:customStyle="1">
    <w:name w:val="xl132"/>
    <w:basedOn w:val="811"/>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200" w:customStyle="1">
    <w:name w:val="xl133"/>
    <w:basedOn w:val="81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201" w:customStyle="1">
    <w:name w:val="xl134"/>
    <w:basedOn w:val="81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202" w:customStyle="1">
    <w:name w:val="xl135"/>
    <w:basedOn w:val="811"/>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203" w:customStyle="1">
    <w:name w:val="xl136"/>
    <w:basedOn w:val="81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204" w:customStyle="1">
    <w:name w:val="xl137"/>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05" w:customStyle="1">
    <w:name w:val="_Style 227"/>
    <w:uiPriority w:val="99"/>
    <w:semiHidden/>
    <w:qFormat/>
    <w:rPr>
      <w:rFonts w:hint="default" w:ascii="等线" w:hAnsi="等线" w:eastAsia="等线" w:cs="Times New Roman"/>
      <w:sz w:val="21"/>
      <w:szCs w:val="22"/>
      <w:lang w:val="en-US" w:eastAsia="zh-CN" w:bidi="ar-SA"/>
    </w:rPr>
  </w:style>
  <w:style w:type="paragraph" w:styleId="1206" w:customStyle="1">
    <w:name w:val="正文_0"/>
    <w:next w:val="811"/>
    <w:uiPriority w:val="3"/>
    <w:qFormat/>
    <w:pPr>
      <w:jc w:val="both"/>
      <w:widowControl w:val="off"/>
    </w:pPr>
    <w:rPr>
      <w:rFonts w:hint="default" w:ascii="Calibri" w:hAnsi="Calibri" w:eastAsia="宋体" w:cs="Times New Roman"/>
      <w:sz w:val="21"/>
      <w:lang w:val="en-US" w:eastAsia="zh-CN" w:bidi="ar-SA"/>
    </w:rPr>
  </w:style>
  <w:style w:type="paragraph" w:styleId="1207" w:customStyle="1">
    <w:name w:val="Char Char Char Char Char Char Char1 Char"/>
    <w:basedOn w:val="811"/>
    <w:uiPriority w:val="0"/>
    <w:qFormat/>
    <w:rPr>
      <w:rFonts w:ascii="Tahoma" w:hAnsi="Tahoma"/>
      <w:sz w:val="24"/>
      <w:szCs w:val="24"/>
    </w:rPr>
  </w:style>
  <w:style w:type="paragraph" w:styleId="1208" w:customStyle="1">
    <w:name w:val="toc 1"/>
    <w:basedOn w:val="811"/>
    <w:next w:val="811"/>
    <w:uiPriority w:val="0"/>
    <w:qFormat/>
  </w:style>
  <w:style w:type="paragraph" w:styleId="1209" w:customStyle="1">
    <w:name w:val="标题 71"/>
    <w:basedOn w:val="811"/>
    <w:next w:val="811"/>
    <w:link w:val="1210"/>
    <w:uiPriority w:val="9"/>
    <w:unhideWhenUsed/>
    <w:qFormat/>
    <w:pPr>
      <w:keepLines/>
      <w:keepNext/>
      <w:spacing w:before="320" w:after="200"/>
      <w:outlineLvl w:val="6"/>
    </w:pPr>
    <w:rPr>
      <w:rFonts w:ascii="Arial" w:hAnsi="Arial" w:eastAsia="Arial"/>
      <w:b/>
      <w:bCs/>
      <w:i/>
      <w:iCs/>
      <w:sz w:val="22"/>
    </w:rPr>
  </w:style>
  <w:style w:type="character" w:styleId="1210" w:customStyle="1">
    <w:name w:val="Heading 7 Char"/>
    <w:link w:val="1209"/>
    <w:uiPriority w:val="9"/>
    <w:qFormat/>
    <w:rPr>
      <w:rFonts w:ascii="Arial" w:hAnsi="Arial" w:eastAsia="Arial" w:cs="Arial"/>
      <w:b/>
      <w:bCs/>
      <w:i/>
      <w:iCs/>
      <w:sz w:val="22"/>
      <w:szCs w:val="22"/>
    </w:rPr>
  </w:style>
  <w:style w:type="paragraph" w:styleId="1211" w:customStyle="1">
    <w:name w:val="正文文本缩进1"/>
    <w:basedOn w:val="811"/>
    <w:next w:val="811"/>
    <w:uiPriority w:val="99"/>
    <w:unhideWhenUsed/>
    <w:qFormat/>
    <w:pPr>
      <w:ind w:firstLine="540"/>
      <w:spacing w:line="400" w:lineRule="exact"/>
    </w:pPr>
    <w:rPr>
      <w:sz w:val="24"/>
    </w:rPr>
  </w:style>
  <w:style w:type="character" w:styleId="1212" w:customStyle="1">
    <w:name w:val="font31"/>
    <w:basedOn w:val="821"/>
    <w:uiPriority w:val="0"/>
    <w:qFormat/>
    <w:rPr>
      <w:rFonts w:hint="eastAsia" w:ascii="宋体" w:hAnsi="宋体" w:eastAsia="宋体" w:cs="宋体"/>
      <w:color w:val="000000"/>
      <w:sz w:val="24"/>
      <w:szCs w:val="24"/>
      <w:u w:val="none"/>
      <w:vertAlign w:val="superscript"/>
    </w:rPr>
  </w:style>
  <w:style w:type="paragraph" w:styleId="1213" w:customStyle="1">
    <w:name w:val="样式 宋体 加粗 居中"/>
    <w:basedOn w:val="811"/>
    <w:uiPriority w:val="0"/>
    <w:qFormat/>
    <w:pPr>
      <w:jc w:val="center"/>
    </w:pPr>
    <w:rPr>
      <w:rFonts w:ascii="宋体" w:hAnsi="宋体" w:cs="宋体"/>
      <w:b/>
      <w:bCs/>
      <w:sz w:val="32"/>
      <w:szCs w:val="20"/>
    </w:rPr>
  </w:style>
  <w:style w:type="paragraph" w:styleId="1214" w:customStyle="1">
    <w:name w:val="标题 41"/>
    <w:basedOn w:val="1215"/>
    <w:next w:val="1216"/>
    <w:uiPriority w:val="1"/>
    <w:qFormat/>
    <w:pPr>
      <w:keepLines/>
      <w:keepNext/>
      <w:spacing w:before="280" w:after="290" w:line="376" w:lineRule="auto"/>
      <w:outlineLvl w:val="3"/>
    </w:pPr>
    <w:rPr>
      <w:rFonts w:ascii="Arial" w:hAnsi="Arial" w:eastAsia="黑体"/>
      <w:b/>
      <w:bCs/>
      <w:sz w:val="28"/>
      <w:szCs w:val="28"/>
    </w:rPr>
  </w:style>
  <w:style w:type="paragraph" w:styleId="1215" w:customStyle="1">
    <w:name w:val="标题 311"/>
    <w:basedOn w:val="811"/>
    <w:next w:val="811"/>
    <w:uiPriority w:val="99"/>
    <w:qFormat/>
    <w:pPr>
      <w:jc w:val="left"/>
      <w:outlineLvl w:val="2"/>
    </w:pPr>
    <w:rPr>
      <w:sz w:val="24"/>
      <w:szCs w:val="24"/>
    </w:rPr>
  </w:style>
  <w:style w:type="paragraph" w:styleId="1216" w:customStyle="1">
    <w:name w:val="HTZH-正文格式"/>
    <w:basedOn w:val="811"/>
    <w:uiPriority w:val="0"/>
    <w:qFormat/>
    <w:pPr>
      <w:ind w:firstLine="560"/>
      <w:spacing w:line="360" w:lineRule="auto"/>
    </w:pPr>
    <w:rPr>
      <w:rFonts w:eastAsia="仿宋" w:cs="宋体"/>
      <w:sz w:val="28"/>
      <w:szCs w:val="20"/>
    </w:rPr>
  </w:style>
  <w:style w:type="paragraph" w:styleId="1217" w:customStyle="1">
    <w:name w:val="正文111"/>
    <w:next w:val="811"/>
    <w:uiPriority w:val="0"/>
    <w:qFormat/>
    <w:pPr>
      <w:jc w:val="both"/>
      <w:widowControl w:val="off"/>
    </w:pPr>
    <w:rPr>
      <w:rFonts w:ascii="Times New Roman" w:hAnsi="Times New Roman" w:eastAsia="宋体" w:cs="Times New Roman"/>
      <w:sz w:val="21"/>
      <w:szCs w:val="24"/>
      <w:lang w:val="en-US" w:eastAsia="zh-CN" w:bidi="ar-SA"/>
    </w:rPr>
  </w:style>
  <w:style w:type="paragraph" w:styleId="1218" w:customStyle="1">
    <w:name w:val="正文12"/>
    <w:next w:val="811"/>
    <w:uiPriority w:val="0"/>
    <w:qFormat/>
    <w:pPr>
      <w:jc w:val="both"/>
      <w:widowControl w:val="off"/>
    </w:pPr>
    <w:rPr>
      <w:rFonts w:ascii="Times New Roman" w:hAnsi="Times New Roman" w:eastAsia="宋体" w:cs="Times New Roman"/>
      <w:sz w:val="21"/>
      <w:szCs w:val="24"/>
      <w:lang w:val="en-US" w:eastAsia="zh-CN" w:bidi="ar-SA"/>
    </w:rPr>
  </w:style>
  <w:style w:type="numbering" w:styleId="12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陈志军</cp:lastModifiedBy>
  <cp:revision>23</cp:revision>
  <dcterms:created xsi:type="dcterms:W3CDTF">2023-03-02T15:44:00Z</dcterms:created>
  <dcterms:modified xsi:type="dcterms:W3CDTF">2026-10-23T06:32:20Z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74BE55CCA85D4C689A0B6C746C3A6A01_13</vt:lpwstr>
  </property>
  <property fmtid="{D5CDD505-2E9C-101B-9397-08002B2CF9AE}" pid="4" name="KSOTemplateDocerSaveRecord">
    <vt:lpwstr>eyJoZGlkIjoiNDRlZTk3Nzc1OTM3OGQ3ZDYzOGUxNmU0YzY4YWE2NjgiLCJ1c2VySWQiOiIzOTYwNjQ0MDUifQ==</vt:lpwstr>
  </property>
</Properties>
</file>