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rPr>
          <w:rFonts w:hint="eastAsia"/>
          <w:color w:val="auto"/>
          <w:highlight w:val="none"/>
        </w:rPr>
      </w:r>
      <w:r/>
    </w:p>
    <w:p>
      <w:pPr>
        <w:jc w:val="both"/>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JSZC-320000-SZWK-G2026-0365</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胸腹腔内窥镜⼿术控制系统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十一</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color="auto"/>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1"/>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pStyle w:val="907"/>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胸腹腔内窥镜⼿术控制系统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胸腹腔内窥镜⼿术控制系统</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11月23</w:t>
      </w:r>
      <w:r>
        <w:rPr>
          <w:rFonts w:hint="default" w:ascii="Times New Roman" w:hAnsi="Times New Roman" w:eastAsia="宋体" w:cs="Times New Roman"/>
          <w:color w:val="auto"/>
          <w:szCs w:val="21"/>
          <w:highlight w:val="none"/>
          <w:u w:val="single"/>
        </w:rPr>
        <w:t xml:space="preserve">日1</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JSZC-320000-SZWK-G2026-0365</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胸腹腔内窥镜⼿术控制系统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2000万元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1500万元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胸腹腔内窥镜⼿术控制系统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套。用于泌尿外科、妇科、普外科、胸外科等的腔镜手术。本项目</w:t>
      </w:r>
      <w:r>
        <w:rPr>
          <w:rFonts w:hint="eastAsia" w:ascii="宋体" w:hAnsi="宋体"/>
          <w:color w:val="auto"/>
          <w:highlight w:val="none"/>
          <w:lang w:val="en-US" w:eastAsia="zh-CN"/>
        </w:rPr>
        <w:t xml:space="preserve">不</w:t>
      </w:r>
      <w:r>
        <w:rPr>
          <w:rFonts w:hint="eastAsia" w:ascii="宋体" w:hAnsi="宋体"/>
          <w:color w:val="auto"/>
          <w:highlight w:val="none"/>
          <w:lang w:eastAsia="zh-CN"/>
        </w:rPr>
        <w:t xml:space="preserve">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w:t>
      </w:r>
      <w:r>
        <w:rPr>
          <w:rFonts w:hint="eastAsia" w:ascii="宋体" w:hAnsi="宋体"/>
          <w:color w:val="auto"/>
          <w:highlight w:val="none"/>
          <w:lang w:val="en-US" w:eastAsia="zh-CN"/>
        </w:rPr>
        <w:t xml:space="preserve">系统(包含医生控制台、患者手术平台、影像处理平台含内窥镜)</w:t>
      </w:r>
      <w:r>
        <w:rPr>
          <w:rFonts w:hint="eastAsia" w:ascii="宋体" w:hAnsi="宋体"/>
          <w:color w:val="auto"/>
          <w:highlight w:val="none"/>
          <w:lang w:eastAsia="zh-CN"/>
        </w:rPr>
        <w:t xml:space="preserve">提供不低于</w:t>
      </w:r>
      <w:r>
        <w:rPr>
          <w:rFonts w:hint="eastAsia" w:ascii="宋体" w:hAnsi="宋体"/>
          <w:color w:val="auto"/>
          <w:highlight w:val="none"/>
          <w:lang w:val="en-US" w:eastAsia="zh-CN"/>
        </w:rPr>
        <w:t xml:space="preserve">五</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30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ind w:firstLine="480"/>
        <w:rPr>
          <w:rFonts w:hint="eastAsia"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本项目的特定资格要求：</w:t>
      </w:r>
      <w:r/>
    </w:p>
    <w:p>
      <w:pPr>
        <w:ind w:firstLine="480"/>
        <w:rPr>
          <w:rFonts w:hint="eastAsia" w:ascii="宋体" w:hAnsi="宋体"/>
          <w:color w:val="auto"/>
          <w:highlight w:val="none"/>
          <w:lang w:eastAsia="zh-CN"/>
        </w:rPr>
      </w:pPr>
      <w:r>
        <w:rPr>
          <w:rFonts w:hint="eastAsia" w:ascii="宋体" w:hAnsi="宋体"/>
          <w:color w:val="auto"/>
          <w:highlight w:val="none"/>
        </w:rPr>
        <w:t xml:space="preserve">具有医疗器械经营资格</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05"/>
      <w:r/>
      <w:bookmarkStart w:id="1" w:name="_Toc28359082"/>
      <w:r/>
      <w:bookmarkStart w:id="2" w:name="_Toc35393793"/>
      <w:r/>
      <w:bookmarkStart w:id="3" w:name="_Toc35393624"/>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28359007"/>
      <w:r/>
      <w:bookmarkStart w:id="5" w:name="_Toc35393625"/>
      <w:r/>
      <w:bookmarkStart w:id="6" w:name="_Toc28359084"/>
      <w:r/>
      <w:bookmarkStart w:id="7" w:name="_Toc35393794"/>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23</w:t>
      </w:r>
      <w:r>
        <w:rPr>
          <w:rFonts w:hint="default" w:ascii="宋体" w:hAnsi="宋体"/>
          <w:color w:val="auto"/>
          <w:highlight w:val="none"/>
        </w:rPr>
        <w:t xml:space="preserve">日</w:t>
      </w:r>
      <w:r>
        <w:rPr>
          <w:rFonts w:hint="eastAsia" w:ascii="宋体" w:hAnsi="宋体"/>
          <w:color w:val="auto"/>
          <w:highlight w:val="none"/>
          <w:lang w:val="en-US" w:eastAsia="zh-CN"/>
        </w:rPr>
        <w:t xml:space="preserve">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23日13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lang w:val="en-US" w:eastAsia="zh-CN"/>
        </w:rPr>
      </w:pPr>
      <w:r>
        <w:rPr>
          <w:rFonts w:hint="eastAsia" w:ascii="宋体" w:hAnsi="宋体"/>
          <w:color w:val="auto"/>
          <w:highlight w:val="none"/>
          <w:lang w:val="en-US" w:eastAsia="zh-CN"/>
        </w:rPr>
        <w:t xml:space="preserve">3.地点：苏采云系统</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5</w:t>
      </w:r>
      <w:r>
        <w:rPr>
          <w:rFonts w:hint="default" w:ascii="宋体" w:hAnsi="宋体"/>
          <w:color w:val="auto"/>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1"/>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1.供应商须</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本公告有关信息同时在</w:t>
      </w:r>
      <w:r>
        <w:rPr>
          <w:rFonts w:hint="eastAsia" w:ascii="宋体" w:hAnsi="宋体"/>
          <w:color w:val="auto"/>
          <w:highlight w:val="none"/>
          <w:lang w:val="en-US" w:eastAsia="zh-CN"/>
        </w:rPr>
        <w:t xml:space="preserve">中国政府采购网、</w:t>
      </w:r>
      <w:r>
        <w:rPr>
          <w:rFonts w:hint="default" w:ascii="宋体" w:hAnsi="宋体"/>
          <w:color w:val="auto"/>
          <w:highlight w:val="none"/>
        </w:rPr>
        <w:t xml:space="preserve">江苏省政府采购网上发布，敬请留意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周小飞</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67972785</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联系人：周依雯、齐一豪</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李东</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项目联系人：周依雯、齐一豪</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李东</w:t>
      </w:r>
      <w:bookmarkStart w:id="15" w:name="_GoBack"/>
      <w:r/>
      <w:bookmarkEnd w:id="15"/>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32"/>
          <w:szCs w:val="32"/>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32"/>
          <w:szCs w:val="32"/>
          <w:highlight w:val="none"/>
        </w:rPr>
      </w:r>
      <w:r/>
    </w:p>
    <w:p>
      <w:pPr>
        <w:jc w:val="center"/>
        <w:spacing w:line="400" w:lineRule="exact"/>
        <w:rPr>
          <w:rFonts w:ascii="宋体" w:hAnsi="宋体"/>
          <w:b/>
          <w:bCs/>
          <w:color w:val="auto"/>
          <w:spacing w:val="20"/>
          <w:sz w:val="32"/>
          <w:szCs w:val="32"/>
          <w:highlight w:val="none"/>
        </w:rPr>
      </w:pPr>
      <w:r>
        <w:rPr>
          <w:rFonts w:hint="eastAsia" w:ascii="宋体" w:hAnsi="宋体"/>
          <w:b/>
          <w:bCs/>
          <w:color w:val="auto"/>
          <w:spacing w:val="20"/>
          <w:sz w:val="32"/>
          <w:szCs w:val="32"/>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JSZC-320000-SZWK-G2026-0365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胸腹腔内窥镜⼿术控制系统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0"/>
              <w:ind w:left="0"/>
              <w:jc w:val="both"/>
              <w:spacing w:after="0" w:line="400" w:lineRule="exact"/>
              <w:rPr>
                <w:rFonts w:ascii="宋体" w:cs="宋体"/>
                <w:color w:val="auto"/>
                <w:sz w:val="21"/>
                <w:szCs w:val="21"/>
                <w:highlight w:val="none"/>
                <w:lang w:val="zh-CN"/>
              </w:rPr>
            </w:pPr>
            <w:r>
              <w:rPr>
                <w:rFonts w:hint="eastAsia" w:ascii="宋体" w:hAnsi="宋体"/>
                <w:color w:val="auto"/>
                <w:sz w:val="21"/>
                <w:szCs w:val="21"/>
                <w:highlight w:val="none"/>
                <w:lang w:val="en-US" w:eastAsia="zh-CN"/>
              </w:rPr>
              <w:t xml:space="preserve">名称：</w:t>
            </w: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rFonts w:hint="eastAsia" w:ascii="宋体" w:hAnsi="宋体"/>
                <w:color w:val="auto"/>
                <w:sz w:val="21"/>
                <w:szCs w:val="21"/>
                <w:highlight w:val="none"/>
                <w:lang w:val="en-US" w:eastAsia="zh-CN"/>
              </w:rPr>
              <w:t xml:space="preserve">名称：</w:t>
            </w: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23</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23</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w:t>
            </w:r>
            <w:r>
              <w:rPr>
                <w:rFonts w:hint="eastAsia" w:cs="Times New Roman"/>
                <w:color w:val="auto"/>
                <w:sz w:val="21"/>
                <w:szCs w:val="21"/>
                <w:highlight w:val="none"/>
                <w:lang w:val="en-US" w:eastAsia="zh-CN"/>
              </w:rPr>
              <w:t xml:space="preserve">再减去贰仟伍佰元</w:t>
            </w:r>
            <w:r>
              <w:rPr>
                <w:rFonts w:hint="eastAsia" w:ascii="Times New Roman" w:hAnsi="Times New Roman" w:cs="Times New Roman"/>
                <w:color w:val="auto"/>
                <w:sz w:val="21"/>
                <w:szCs w:val="21"/>
                <w:highlight w:val="none"/>
                <w:lang w:val="en-US" w:eastAsia="zh-CN"/>
              </w:rPr>
              <w:t xml:space="preserve">收取代理费。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10</w:t>
            </w:r>
            <w:r>
              <w:rPr>
                <w:rFonts w:hint="eastAsia" w:ascii="Times New Roman" w:hAnsi="Times New Roman" w:cs="Times New Roman"/>
                <w:color w:val="auto"/>
                <w:sz w:val="21"/>
                <w:szCs w:val="21"/>
                <w:highlight w:val="none"/>
                <w:lang w:val="en-US" w:eastAsia="zh-CN"/>
              </w:rPr>
              <w:t xml:space="preserve">00万元~ </w:t>
            </w:r>
            <w:r>
              <w:rPr>
                <w:rFonts w:hint="eastAsia" w:cs="Times New Roman"/>
                <w:color w:val="auto"/>
                <w:sz w:val="21"/>
                <w:szCs w:val="21"/>
                <w:highlight w:val="none"/>
                <w:lang w:val="en-US" w:eastAsia="zh-CN"/>
              </w:rPr>
              <w:t xml:space="preserve">5</w:t>
            </w:r>
            <w:r>
              <w:rPr>
                <w:rFonts w:hint="eastAsia" w:ascii="Times New Roman" w:hAnsi="Times New Roman" w:cs="Times New Roman"/>
                <w:color w:val="auto"/>
                <w:sz w:val="21"/>
                <w:szCs w:val="21"/>
                <w:highlight w:val="none"/>
                <w:lang w:val="en-US" w:eastAsia="zh-CN"/>
              </w:rPr>
              <w:t xml:space="preserve">000万元（含）部分0.</w:t>
            </w:r>
            <w:r>
              <w:rPr>
                <w:rFonts w:hint="eastAsia" w:cs="Times New Roman"/>
                <w:color w:val="auto"/>
                <w:sz w:val="21"/>
                <w:szCs w:val="21"/>
                <w:highlight w:val="none"/>
                <w:lang w:val="en-US" w:eastAsia="zh-CN"/>
              </w:rPr>
              <w:t xml:space="preserve">35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行：工行苏州道前支行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0"/>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胸腹腔内窥镜⼿术控制系统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JSZC-320000-SZWK-G2026-0365</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胸腹腔内窥镜⼿术控制系统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color w:val="auto"/>
          <w:sz w:val="21"/>
          <w:szCs w:val="21"/>
          <w:highlight w:val="none"/>
          <w:lang w:eastAsia="zh-CN"/>
        </w:rPr>
        <w:t xml:space="preserve">自</w:t>
      </w:r>
      <w:r>
        <w:rPr>
          <w:rFonts w:hint="eastAsia" w:ascii="宋体" w:hAnsi="宋体"/>
          <w:color w:val="auto"/>
          <w:sz w:val="21"/>
          <w:szCs w:val="21"/>
          <w:highlight w:val="none"/>
          <w:lang w:val="en-US" w:eastAsia="zh-CN"/>
        </w:rPr>
        <w:t xml:space="preserve">招标</w:t>
      </w:r>
      <w:r>
        <w:rPr>
          <w:rFonts w:hint="default" w:ascii="宋体" w:hAnsi="宋体"/>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23</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w:t>
      </w:r>
      <w:r>
        <w:rPr>
          <w:rFonts w:hint="eastAsia" w:ascii="宋体" w:hAnsi="宋体" w:cs="Times New Roman"/>
          <w:color w:val="auto"/>
          <w:sz w:val="21"/>
          <w:szCs w:val="21"/>
          <w:highlight w:val="none"/>
          <w:lang w:val="en-US" w:eastAsia="zh-CN"/>
        </w:rPr>
        <w:t xml:space="preserve">标时间：2026年11月23日13：30（北京时间）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8、投标人远程解密地点：苏采云系统开标大厅（网上不见面开标）</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9、评标地点（投标人无须到场）：苏州市干将西路1296号1幢17层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w:t>
      </w:r>
      <w:r>
        <w:rPr>
          <w:rFonts w:hint="eastAsia" w:ascii="宋体" w:hAnsi="宋体"/>
          <w:color w:val="auto"/>
          <w:sz w:val="21"/>
          <w:szCs w:val="21"/>
          <w:highlight w:val="none"/>
          <w:lang w:val="en-US" w:eastAsia="zh-CN"/>
        </w:rPr>
        <w:t xml:space="preserve">5158848-8016</w:t>
      </w:r>
      <w:r>
        <w:rPr>
          <w:rFonts w:hint="eastAsia" w:ascii="宋体" w:hAnsi="宋体"/>
          <w:color w:val="auto"/>
          <w:sz w:val="21"/>
          <w:szCs w:val="21"/>
          <w:highlight w:val="none"/>
        </w:rPr>
        <w:t xml:space="preserve">，0512-65153553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周小飞</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67972785</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eastAsia="宋体"/>
          <w:b/>
          <w:bCs/>
          <w:color w:val="auto"/>
          <w:sz w:val="32"/>
          <w:szCs w:val="32"/>
          <w:highlight w:val="none"/>
        </w:rPr>
        <w:t xml:space="preserve">第</w:t>
      </w:r>
      <w:r>
        <w:rPr>
          <w:rFonts w:hint="eastAsia" w:ascii="宋体" w:hAnsi="宋体" w:eastAsia="宋体"/>
          <w:b/>
          <w:bCs/>
          <w:color w:val="auto"/>
          <w:sz w:val="32"/>
          <w:szCs w:val="32"/>
          <w:highlight w:val="none"/>
          <w:lang w:val="en-US" w:eastAsia="zh-CN"/>
        </w:rPr>
        <w:t xml:space="preserve">二</w:t>
      </w:r>
      <w:r>
        <w:rPr>
          <w:rFonts w:hint="eastAsia" w:ascii="宋体" w:hAnsi="宋体" w:eastAsia="宋体"/>
          <w:b/>
          <w:bCs/>
          <w:color w:val="auto"/>
          <w:sz w:val="32"/>
          <w:szCs w:val="32"/>
          <w:highlight w:val="none"/>
        </w:rPr>
        <w:t xml:space="preserve">章</w:t>
      </w:r>
      <w:r>
        <w:rPr>
          <w:rFonts w:hint="eastAsia" w:ascii="宋体" w:hAnsi="宋体" w:eastAsia="宋体"/>
          <w:b/>
          <w:bCs/>
          <w:color w:val="auto"/>
          <w:sz w:val="32"/>
          <w:szCs w:val="32"/>
          <w:highlight w:val="none"/>
          <w:lang w:val="en-US" w:eastAsia="zh-CN"/>
        </w:rPr>
        <w:t xml:space="preserve"> </w:t>
      </w:r>
      <w:r>
        <w:rPr>
          <w:rFonts w:hint="eastAsia" w:ascii="宋体" w:hAnsi="宋体" w:eastAsia="宋体"/>
          <w:b/>
          <w:bCs/>
          <w:color w:val="auto"/>
          <w:sz w:val="32"/>
          <w:szCs w:val="32"/>
          <w:highlight w:val="none"/>
        </w:rPr>
        <w:t xml:space="preserve">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0"/>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rFonts w:hint="eastAsia"/>
          <w:color w:val="auto"/>
          <w:sz w:val="21"/>
          <w:szCs w:val="21"/>
          <w:highlight w:val="none"/>
          <w:lang w:eastAsia="zh-CN"/>
        </w:rPr>
        <w:t xml:space="preserve">。</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具有医疗器械经营资格</w:t>
      </w:r>
      <w:r>
        <w:rPr>
          <w:rFonts w:hint="eastAsia"/>
          <w:color w:val="auto"/>
          <w:sz w:val="21"/>
          <w:szCs w:val="21"/>
          <w:highlight w:val="none"/>
          <w:lang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w:t>
      </w:r>
      <w:r>
        <w:rPr>
          <w:rFonts w:hint="eastAsia" w:ascii="宋体" w:hAnsi="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58"/>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59"/>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（姓名）系</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1"/>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0"/>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0"/>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0"/>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5"/>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5"/>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0"/>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0"/>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1"/>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1"/>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1"/>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1"/>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1"/>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1"/>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1"/>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1"/>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0"/>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0"/>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1"/>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hint="eastAsia" w:ascii="宋体" w:hAnsi="宋体"/>
          <w:color w:val="auto"/>
          <w:sz w:val="21"/>
          <w:szCs w:val="21"/>
          <w:highlight w:val="none"/>
          <w:lang w:val="en-US" w:eastAsia="zh-CN"/>
        </w:rPr>
        <w:t xml:space="preserve">                    </w:t>
      </w:r>
      <w:r>
        <w:rPr>
          <w:rFonts w:ascii="宋体" w:hAnsi="宋体"/>
          <w:color w:val="auto"/>
          <w:sz w:val="21"/>
          <w:szCs w:val="21"/>
          <w:highlight w:val="none"/>
          <w:lang w:val="zh-CN"/>
        </w:rPr>
        <w:t xml:space="preserve">投标人法定代表人签字：</w:t>
      </w:r>
      <w:r/>
    </w:p>
    <w:p>
      <w:pPr>
        <w:ind w:firstLine="378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4"/>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4"/>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3"/>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1"/>
        <w:rPr>
          <w:color w:val="auto"/>
          <w:sz w:val="21"/>
          <w:szCs w:val="21"/>
          <w:highlight w:val="none"/>
        </w:rPr>
      </w:pPr>
      <w:r>
        <w:rPr>
          <w:color w:val="auto"/>
          <w:sz w:val="21"/>
          <w:szCs w:val="21"/>
          <w:highlight w:val="none"/>
        </w:rPr>
      </w:r>
      <w:r/>
    </w:p>
    <w:p>
      <w:pPr>
        <w:pStyle w:val="881"/>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3"/>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3"/>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3"/>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ascii="宋体" w:hAnsi="宋体"/>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胸腹腔内窥镜⼿术控制系统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一、采购编号：JSZC-320000-SZWK-G2026-0365号</w:t>
      </w:r>
      <w:r/>
    </w:p>
    <w:p>
      <w:pPr>
        <w:ind w:firstLine="420"/>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二、采购项目名称：胸腹腔内窥镜⼿术控制系统</w:t>
      </w:r>
      <w:r/>
    </w:p>
    <w:p>
      <w:pPr>
        <w:ind w:firstLine="420"/>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三、预算金额：</w:t>
      </w:r>
      <w:r>
        <w:rPr>
          <w:rFonts w:hint="eastAsia" w:ascii="宋体" w:hAnsi="宋体"/>
          <w:color w:val="auto"/>
          <w:sz w:val="21"/>
          <w:szCs w:val="21"/>
          <w:highlight w:val="none"/>
          <w:lang w:val="en-US" w:eastAsia="zh-CN"/>
        </w:rPr>
        <w:t xml:space="preserve">2000万元</w:t>
      </w:r>
      <w:r/>
    </w:p>
    <w:p>
      <w:pPr>
        <w:ind w:firstLine="420"/>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eastAsia="zh-CN"/>
        </w:rPr>
        <w:t xml:space="preserve">最高限价：</w:t>
      </w:r>
      <w:r>
        <w:rPr>
          <w:rFonts w:hint="eastAsia" w:ascii="宋体" w:hAnsi="宋体"/>
          <w:color w:val="auto"/>
          <w:sz w:val="21"/>
          <w:szCs w:val="21"/>
          <w:highlight w:val="none"/>
          <w:lang w:val="en-US" w:eastAsia="zh-CN"/>
        </w:rPr>
        <w:t xml:space="preserve">1500万元</w:t>
      </w:r>
      <w:r/>
    </w:p>
    <w:p>
      <w:pPr>
        <w:numPr>
          <w:ilvl w:val="0"/>
          <w:numId w:val="2"/>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rPr>
          <w:rFonts w:hint="eastAsia" w:ascii="宋体" w:hAnsi="宋体"/>
          <w:color w:val="auto"/>
          <w:sz w:val="21"/>
          <w:szCs w:val="21"/>
          <w:highlight w:val="none"/>
          <w:lang w:val="en-US" w:eastAsia="zh-CN"/>
        </w:rPr>
        <w:t xml:space="preserve">胸腹腔内窥镜⼿术控制系统1套</w:t>
      </w:r>
      <w:r/>
    </w:p>
    <w:p>
      <w:pPr>
        <w:ind w:firstLine="432"/>
        <w:spacing w:line="420" w:lineRule="exact"/>
        <w:rPr>
          <w:rFonts w:hint="default"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（一）整体要求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olor w:val="auto"/>
          <w:sz w:val="21"/>
          <w:szCs w:val="21"/>
          <w:highlight w:val="none"/>
          <w:lang w:val="en-US" w:eastAsia="zh-CN"/>
        </w:rPr>
        <w:t xml:space="preserve">1、用于泌尿外科、妇科、普外科、胸外科等的腔镜手术（须提供注册证证明）。</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olor w:val="auto"/>
          <w:sz w:val="21"/>
          <w:szCs w:val="21"/>
          <w:highlight w:val="none"/>
          <w:lang w:val="en-US" w:eastAsia="zh-CN"/>
        </w:rPr>
        <w:t xml:space="preserve">2、整机（包含医生控制台、患者手术平台、影像处理平台）使用年限≥10年。</w:t>
      </w:r>
      <w:r/>
    </w:p>
    <w:p>
      <w:pPr>
        <w:ind w:firstLine="432"/>
        <w:spacing w:line="420" w:lineRule="exact"/>
        <w:rPr>
          <w:rFonts w:hint="default"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（二）技术参数及功能要求</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医生控制台</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主控制器</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.1.1主控制器数量≥2个，至少左右各一个。</w:t>
      </w:r>
      <w:r/>
    </w:p>
    <w:p>
      <w:pPr>
        <w:ind w:firstLine="432"/>
        <w:spacing w:line="42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1</w:t>
      </w:r>
      <w:r>
        <w:rPr>
          <w:rFonts w:hint="eastAsia" w:ascii="宋体" w:hAnsi="宋体"/>
          <w:b/>
          <w:bCs/>
          <w:color w:val="auto"/>
          <w:sz w:val="21"/>
          <w:szCs w:val="21"/>
          <w:highlight w:val="none"/>
          <w:lang w:eastAsia="zh-CN"/>
        </w:rPr>
        <w:t xml:space="preserve">.1.2</w:t>
      </w:r>
      <w:r>
        <w:rPr>
          <w:rFonts w:hint="eastAsia" w:ascii="宋体" w:hAnsi="宋体"/>
          <w:b/>
          <w:bCs/>
          <w:color w:val="auto"/>
          <w:sz w:val="21"/>
          <w:szCs w:val="21"/>
          <w:highlight w:val="none"/>
          <w:lang w:eastAsia="zh-CN"/>
        </w:rPr>
        <w:tab/>
      </w:r>
      <w:r>
        <w:rPr>
          <w:rFonts w:hint="eastAsia" w:ascii="宋体" w:hAnsi="宋体"/>
          <w:b/>
          <w:bCs/>
          <w:color w:val="auto"/>
          <w:sz w:val="21"/>
          <w:szCs w:val="21"/>
          <w:highlight w:val="none"/>
          <w:lang w:eastAsia="zh-CN"/>
        </w:rPr>
        <w:t xml:space="preserve">主控制器具备等比例缩放运动幅度功能，缩放比例至少包括1.5:1，2:1，3:1三种。</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.1.3主控制器上均有离合开关，单个控制器上数量≥2。</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其他控制功能</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.2.1可以手动将任意一个手动控制器分配到任意一个器械臂并与其关联。</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.2.2主从控制延迟时间≤100ms。</w:t>
      </w:r>
      <w:r/>
    </w:p>
    <w:p>
      <w:pPr>
        <w:ind w:firstLine="432"/>
        <w:spacing w:line="42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1</w:t>
      </w:r>
      <w:r>
        <w:rPr>
          <w:rFonts w:hint="eastAsia" w:ascii="宋体" w:hAnsi="宋体"/>
          <w:b/>
          <w:bCs/>
          <w:color w:val="auto"/>
          <w:sz w:val="21"/>
          <w:szCs w:val="21"/>
          <w:highlight w:val="none"/>
          <w:lang w:eastAsia="zh-CN"/>
        </w:rPr>
        <w:t xml:space="preserve">.2.3</w:t>
      </w:r>
      <w:r>
        <w:rPr>
          <w:rFonts w:hint="eastAsia" w:ascii="宋体" w:hAnsi="宋体"/>
          <w:b/>
          <w:bCs/>
          <w:color w:val="auto"/>
          <w:sz w:val="21"/>
          <w:szCs w:val="21"/>
          <w:highlight w:val="none"/>
          <w:lang w:eastAsia="zh-CN"/>
        </w:rPr>
        <w:tab/>
      </w:r>
      <w:r>
        <w:rPr>
          <w:rFonts w:hint="eastAsia" w:ascii="宋体" w:hAnsi="宋体"/>
          <w:b/>
          <w:bCs/>
          <w:color w:val="auto"/>
          <w:sz w:val="21"/>
          <w:szCs w:val="21"/>
          <w:highlight w:val="none"/>
          <w:lang w:eastAsia="zh-CN"/>
        </w:rPr>
        <w:t xml:space="preserve">具备图像数字化放大比例调节功能：图像数字变焦比例≥3种，最大放大倍数≥4倍。</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.2.4具备账号设置及管理功能，可个性化设置和存储医生账户及参数，账户数量≥10个。</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.2.5踏板组包括操控手柄离合踏板≥1、内窥镜控制踏板≥1、器械臂切换踏板≥1、能量激发踏板≥4。</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.2.6具备脚部悬停检测和状态提示功能。</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.2.7人体工学控制器≥4组8方向。至少包括立体监视器倾斜度调节，立体监视器高度调节，扶手高度调节，脚踏深浅调节。</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监视器</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.1分辨率≥1920×1080。</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.2具备裸眼直视三维高清视野。</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.3具备2D/3D图像切换按钮，可切换图像2D/3D显示。</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.4支持画中画模式，接入辅助影像，且与手术画面同屏显示。</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可支持接入≥2路，≥3种辅助影像信息输入（例如超声，心电图，CT，MR影像等）。</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.6具备器械移出术野画面指示功能，画面提示方位随器械移动方向实时移动。</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患者手术平台</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机械臂</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.1.1多臂集成一体式患者手术平台构型，具备吊杆式支持结构。</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.1.2机械臂数量≥4，且集成于同一患者手术平台，至少可控制一支内窥镜和三支手术工具。</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2.1.3</w:t>
      </w:r>
      <w:r>
        <w:rPr>
          <w:rFonts w:hint="eastAsia" w:ascii="宋体" w:hAnsi="宋体"/>
          <w:color w:val="auto"/>
          <w:sz w:val="21"/>
          <w:szCs w:val="21"/>
          <w:highlight w:val="none"/>
          <w:lang w:eastAsia="zh-CN"/>
        </w:rPr>
        <w:t xml:space="preserve">内窥镜可独</w:t>
      </w:r>
      <w:r>
        <w:rPr>
          <w:rFonts w:hint="eastAsia" w:ascii="宋体" w:hAnsi="宋体"/>
          <w:color w:val="auto"/>
          <w:sz w:val="21"/>
          <w:szCs w:val="21"/>
          <w:highlight w:val="none"/>
          <w:lang w:val="en-US" w:eastAsia="zh-CN"/>
        </w:rPr>
        <w:t xml:space="preserve">立</w:t>
      </w:r>
      <w:r>
        <w:rPr>
          <w:rFonts w:hint="eastAsia" w:ascii="宋体" w:hAnsi="宋体"/>
          <w:color w:val="auto"/>
          <w:sz w:val="21"/>
          <w:szCs w:val="21"/>
          <w:highlight w:val="none"/>
          <w:lang w:eastAsia="zh-CN"/>
        </w:rPr>
        <w:t xml:space="preserve">安装在任意一个机械臂上,每条机槭臂都可直接安装并识别内窥镜或者手术器械。</w:t>
      </w:r>
      <w:r/>
    </w:p>
    <w:p>
      <w:pPr>
        <w:ind w:firstLine="432"/>
        <w:spacing w:line="42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lang w:eastAsia="zh-CN"/>
        </w:rPr>
        <w:t xml:space="preserve">.1.</w:t>
      </w: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lang w:eastAsia="zh-CN"/>
        </w:rPr>
        <w:t xml:space="preserve">每条机械臂自由度≥12。</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每条机械臂上调整臂关节数量≥5个。</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具备碰撞检测功能，避免机械臂之间的碰撞。</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通过患者安全距离按钮可调节机械臂和患者之间的距离，避免机械臂与患者的碰撞。</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具备独立的吊杆位置操纵杆，可调节吊杆位置，包括旋转以及向左/右移动，伸展及收回吊杆等。</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eastAsia="zh-CN"/>
        </w:rPr>
        <w:t xml:space="preserve">患者手术平台吊杆伸缩无需手动调节,可通过电机驱动。</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eastAsia="zh-CN"/>
        </w:rPr>
        <w:t xml:space="preserve">具备震颤滤除功能。</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操控台/控制舵</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.2.1具备触摸屏控制面板。</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.2.2具备智能入位指导功能，可设置向导解剖位置≥5种(非术中摆位示意图)。</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.2.3触控屏界面显示≥3种患者手术平台基本位置(非术中摆位示意图)。</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影像系统</w:t>
      </w:r>
      <w:r/>
    </w:p>
    <w:p>
      <w:pPr>
        <w:ind w:firstLine="432"/>
        <w:spacing w:line="42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lang w:eastAsia="zh-CN"/>
        </w:rPr>
        <w:t xml:space="preserve">.1配置影像处理主系统，具备独立内窥镜图像处理器，可处理 3D 图像成像。</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支持15倍以上放大效果。</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.3</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配备液晶触摸显示器，提供与医生主控制台的同步图像显示，具备内窥镜状态显示功能。</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.4</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内窥镜系统</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.4.1内窥镜直径(最大插入宽度)≤10.5mm。</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.4.2内窥镜系统采用免调焦设计，具备自动白平衡、自定3D校准功能。</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.4.3内窥镜角度自动翻转方式≥2种。</w:t>
      </w:r>
      <w:r/>
    </w:p>
    <w:p>
      <w:pPr>
        <w:ind w:firstLine="432"/>
        <w:spacing w:line="42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lang w:eastAsia="zh-CN"/>
        </w:rPr>
        <w:t xml:space="preserve">.4.4</w:t>
      </w:r>
      <w:r>
        <w:rPr>
          <w:rFonts w:hint="eastAsia" w:ascii="宋体" w:hAnsi="宋体"/>
          <w:b/>
          <w:bCs/>
          <w:color w:val="auto"/>
          <w:sz w:val="21"/>
          <w:szCs w:val="21"/>
          <w:highlight w:val="none"/>
          <w:lang w:eastAsia="zh-CN"/>
        </w:rPr>
        <w:tab/>
      </w:r>
      <w:r>
        <w:rPr>
          <w:rFonts w:hint="eastAsia" w:ascii="宋体" w:hAnsi="宋体"/>
          <w:b/>
          <w:bCs/>
          <w:color w:val="auto"/>
          <w:sz w:val="21"/>
          <w:szCs w:val="21"/>
          <w:highlight w:val="none"/>
          <w:lang w:eastAsia="zh-CN"/>
        </w:rPr>
        <w:t xml:space="preserve">具备荧光显影功能。</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.4.5荧光切换方式≥3 种，包含医生控制台、影像处理平台、指压离合等。</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.4.6荧光模式≥3种。</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.4.7内窥镜视野范围≥80°</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手术器械</w:t>
      </w:r>
      <w:r/>
    </w:p>
    <w:p>
      <w:pPr>
        <w:ind w:firstLine="432"/>
        <w:spacing w:line="42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lang w:eastAsia="zh-CN"/>
        </w:rPr>
        <w:t xml:space="preserve">.1获得医疗器械注册证，并且直径（最大插入宽度）≤8.5mm的原厂机器人专用器械种类≥10种。</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专用器械使用次数≥10次。</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.3</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具备多自由度可转腕设计，支持狭小空间内精细操作。</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安全相关</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后备电源提供≥5分钟的后备电力，紧急情况时提供临时供电需求，具备电池指示灯。</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电气安全防护等级不低于CF 型。</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.3</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医生控制台探测传感器：操作人员头部离开时自动锁定。</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.4</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具备报警锁定功能，配备紧急制动开关。</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.5</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具备患者手术平台探测传感器，首个机械臂和鞘管对接时，自动锁定患者手术平台。</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.6</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具备一键系统启动/关闭功能，可一</w:t>
      </w:r>
      <w:r>
        <w:rPr>
          <w:rFonts w:hint="eastAsia" w:ascii="宋体" w:hAnsi="宋体"/>
          <w:color w:val="auto"/>
          <w:sz w:val="21"/>
          <w:szCs w:val="21"/>
          <w:highlight w:val="none"/>
          <w:lang w:val="en-US" w:eastAsia="zh-CN"/>
        </w:rPr>
        <w:t xml:space="preserve">键</w:t>
      </w:r>
      <w:r>
        <w:rPr>
          <w:rFonts w:hint="eastAsia" w:ascii="宋体" w:hAnsi="宋体"/>
          <w:color w:val="auto"/>
          <w:sz w:val="21"/>
          <w:szCs w:val="21"/>
          <w:highlight w:val="none"/>
          <w:lang w:eastAsia="zh-CN"/>
        </w:rPr>
        <w:t xml:space="preserve">启动/关闭接入系统的主控台、患者手术平台、影像处理平台等。</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其他</w:t>
      </w:r>
      <w:r/>
    </w:p>
    <w:p>
      <w:pPr>
        <w:ind w:firstLine="432"/>
        <w:spacing w:line="420" w:lineRule="exact"/>
        <w:rPr>
          <w:rFonts w:hint="eastAsia" w:ascii="宋体" w:hAnsi="宋体"/>
          <w:b/>
          <w:bCs/>
          <w:color w:val="auto"/>
          <w:sz w:val="21"/>
          <w:szCs w:val="21"/>
          <w:highlight w:val="none"/>
          <w:lang w:eastAsia="zh-CN"/>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ab/>
      </w:r>
      <w:r>
        <w:rPr>
          <w:rFonts w:hint="eastAsia" w:ascii="宋体" w:hAnsi="宋体"/>
          <w:color w:val="auto"/>
          <w:sz w:val="21"/>
          <w:szCs w:val="21"/>
          <w:highlight w:val="none"/>
          <w:lang w:eastAsia="zh-CN"/>
        </w:rPr>
        <w:t xml:space="preserve">提供中文操作界面。</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color w:val="auto"/>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整体</w:t>
      </w:r>
      <w:r>
        <w:rPr>
          <w:rFonts w:hint="eastAsia" w:ascii="宋体" w:hAnsi="宋体"/>
          <w:color w:val="auto"/>
          <w:sz w:val="21"/>
          <w:szCs w:val="21"/>
          <w:highlight w:val="none"/>
          <w:lang w:val="en-US" w:eastAsia="zh-CN"/>
        </w:rPr>
        <w:t xml:space="preserve">系统(包含医生控制台、患者手术平台、影像处理平台含内窥镜)</w:t>
      </w:r>
      <w:r>
        <w:rPr>
          <w:rFonts w:hint="eastAsia" w:ascii="宋体" w:hAnsi="宋体"/>
          <w:color w:val="auto"/>
          <w:sz w:val="21"/>
          <w:szCs w:val="21"/>
          <w:highlight w:val="none"/>
          <w:lang w:eastAsia="zh-CN"/>
        </w:rPr>
        <w:t xml:space="preserve">提供不低于</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lang w:eastAsia="zh-CN"/>
        </w:rPr>
        <w:t xml:space="preserve">年的原厂</w:t>
      </w:r>
      <w:r>
        <w:rPr>
          <w:rFonts w:hint="eastAsia" w:ascii="宋体" w:hAnsi="宋体"/>
          <w:color w:val="auto"/>
          <w:sz w:val="21"/>
          <w:szCs w:val="21"/>
          <w:highlight w:val="none"/>
        </w:rPr>
        <w:t xml:space="preserve">免费质保服务。接到维修通知后有专职的技术服务人员上门服务，保证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供货要求:生产日期距离验收日期≤使用年限的10%(最长1年)。</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w:t>
      </w:r>
      <w:r>
        <w:rPr>
          <w:rFonts w:hint="eastAsia"/>
          <w:color w:val="auto"/>
          <w:sz w:val="21"/>
          <w:szCs w:val="21"/>
          <w:highlight w:val="none"/>
          <w:lang w:val="en-US" w:eastAsia="zh-CN"/>
        </w:rPr>
        <w:t xml:space="preserve">方式</w:t>
      </w:r>
      <w:r>
        <w:rPr>
          <w:rFonts w:hint="eastAsia"/>
          <w:color w:val="auto"/>
          <w:sz w:val="21"/>
          <w:szCs w:val="21"/>
          <w:highlight w:val="none"/>
        </w:rPr>
        <w:t xml:space="preserve">：</w:t>
      </w:r>
      <w:r/>
    </w:p>
    <w:p>
      <w:pPr>
        <w:spacing w:line="400" w:lineRule="exact"/>
        <w:widowControl w:val="off"/>
        <w:rPr>
          <w:rFonts w:hint="eastAsia"/>
          <w:color w:val="auto"/>
          <w:sz w:val="21"/>
          <w:szCs w:val="21"/>
          <w:highlight w:val="none"/>
          <w:lang w:val="zh-CN"/>
        </w:rPr>
      </w:pPr>
      <w:r>
        <w:rPr>
          <w:rFonts w:hint="eastAsia"/>
          <w:color w:val="auto"/>
          <w:sz w:val="21"/>
          <w:szCs w:val="21"/>
          <w:highlight w:val="none"/>
          <w:lang w:val="zh-CN"/>
        </w:rPr>
        <w:t xml:space="preserve">乙方应在本合同订立当日，主动向甲方告知自身的中小企业规模类型。甲方将根据乙方告知的规模类型，对应执行以下两类付款方式中的一种：</w:t>
      </w:r>
      <w:r/>
    </w:p>
    <w:p>
      <w:pPr>
        <w:spacing w:line="400" w:lineRule="exact"/>
        <w:widowControl w:val="off"/>
        <w:rPr>
          <w:rFonts w:hint="eastAsia"/>
          <w:b/>
          <w:bCs/>
          <w:color w:val="auto"/>
          <w:sz w:val="21"/>
          <w:szCs w:val="21"/>
          <w:highlight w:val="none"/>
          <w:lang w:val="zh-CN"/>
        </w:rPr>
      </w:pPr>
      <w:r>
        <w:rPr>
          <w:rFonts w:hint="eastAsia"/>
          <w:b/>
          <w:bCs/>
          <w:color w:val="auto"/>
          <w:sz w:val="21"/>
          <w:szCs w:val="21"/>
          <w:highlight w:val="none"/>
          <w:lang w:val="zh-CN"/>
        </w:rPr>
        <w:t xml:space="preserve">口乙方为中小企业，本合同付款方式适用以下约定:</w:t>
      </w:r>
      <w:r/>
    </w:p>
    <w:p>
      <w:pPr>
        <w:spacing w:line="400" w:lineRule="exact"/>
        <w:widowControl w:val="off"/>
        <w:rPr>
          <w:rFonts w:hint="eastAsia"/>
          <w:color w:val="auto"/>
          <w:sz w:val="21"/>
          <w:szCs w:val="21"/>
          <w:highlight w:val="none"/>
          <w:lang w:val="zh-CN"/>
        </w:rPr>
      </w:pPr>
      <w:r>
        <w:rPr>
          <w:rFonts w:hint="eastAsia"/>
          <w:color w:val="auto"/>
          <w:sz w:val="21"/>
          <w:szCs w:val="21"/>
          <w:highlight w:val="none"/>
          <w:lang w:val="zh-CN"/>
        </w:rPr>
        <w:t xml:space="preserve">在采购合同签订生效后，乙方将全部合同货物送至甲方指定地点，甲方应在全部合同货物到达之日起 15日内完成全部货物的清点及验收，在甲乙双方共同签章出具《采购合同履行验收报告》且验收结论为合格之日起 60 日内，甲方向乙方支付本合同约定的全部款项。</w:t>
      </w:r>
      <w:r/>
    </w:p>
    <w:p>
      <w:pPr>
        <w:spacing w:line="400" w:lineRule="exact"/>
        <w:widowControl w:val="off"/>
        <w:rPr>
          <w:rFonts w:hint="eastAsia"/>
          <w:b/>
          <w:bCs/>
          <w:color w:val="auto"/>
          <w:sz w:val="21"/>
          <w:szCs w:val="21"/>
          <w:highlight w:val="none"/>
          <w:lang w:val="zh-CN"/>
        </w:rPr>
      </w:pPr>
      <w:r>
        <w:rPr>
          <w:rFonts w:hint="eastAsia"/>
          <w:b/>
          <w:bCs/>
          <w:color w:val="auto"/>
          <w:sz w:val="21"/>
          <w:szCs w:val="21"/>
          <w:highlight w:val="none"/>
          <w:lang w:val="zh-CN"/>
        </w:rPr>
        <w:t xml:space="preserve">口乙方非中小企业，本合同付款方式适用以下约定：</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在采购合同签订生效后，乙方将全部合同货物送至甲方指定地点，甲方应在全部合同货物到达之日起 15日内完成全部货物的清点及验收，在甲乙双方共同签章出具《采购合同履行验收报告》且验收结论为合格之日起 30 个工作日内，由甲方向乙方按合同总价支付 90%的货款，余款 10%在验收合格满一年，无质量问题，由甲方在 30 个工作日内向乙方一次性付清。</w:t>
      </w:r>
      <w:r/>
    </w:p>
    <w:p>
      <w:pPr>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color w:val="auto"/>
          <w:sz w:val="21"/>
          <w:szCs w:val="21"/>
          <w:highlight w:val="none"/>
          <w:u w:val="single"/>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0"/>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pStyle w:val="981"/>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2"/>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32"/>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56"/>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6"/>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6"/>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6"/>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6"/>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2"/>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22</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投标人必须如实响应技术参数要求，对所投产品进行应答，并在技术偏离表中逐条给予说明，评委参照产品技术参数要求进行打分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打“</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项参数</w:t>
      </w:r>
      <w:r>
        <w:rPr>
          <w:rFonts w:hint="eastAsia" w:ascii="宋体" w:hAnsi="宋体" w:eastAsia="宋体" w:cs="宋体"/>
          <w:color w:val="auto"/>
          <w:sz w:val="21"/>
          <w:szCs w:val="21"/>
          <w:highlight w:val="none"/>
          <w:lang w:val="zh-CN"/>
        </w:rPr>
        <w:t xml:space="preserve">为</w:t>
      </w:r>
      <w:r>
        <w:rPr>
          <w:rFonts w:hint="eastAsia" w:ascii="宋体" w:hAnsi="宋体" w:eastAsia="宋体" w:cs="宋体"/>
          <w:color w:val="auto"/>
          <w:sz w:val="21"/>
          <w:szCs w:val="21"/>
          <w:highlight w:val="none"/>
          <w:lang w:val="en-US" w:eastAsia="zh-CN"/>
        </w:rPr>
        <w:t xml:space="preserve">必须满足项，负偏离视为无效投标；打“▲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lang w:val="en-US" w:eastAsia="zh-CN"/>
        </w:rPr>
        <w:t xml:space="preserve">技术参数</w:t>
      </w:r>
      <w:r>
        <w:rPr>
          <w:rFonts w:hint="eastAsia" w:ascii="宋体" w:hAnsi="宋体" w:eastAsia="宋体" w:cs="宋体"/>
          <w:color w:val="auto"/>
          <w:sz w:val="21"/>
          <w:szCs w:val="21"/>
          <w:highlight w:val="none"/>
        </w:rPr>
        <w:t xml:space="preserve">若出现负偏离每项扣</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分，其他</w:t>
      </w:r>
      <w:r>
        <w:rPr>
          <w:rFonts w:hint="eastAsia" w:ascii="宋体" w:hAnsi="宋体" w:eastAsia="宋体" w:cs="宋体"/>
          <w:color w:val="auto"/>
          <w:sz w:val="21"/>
          <w:szCs w:val="21"/>
          <w:highlight w:val="none"/>
          <w:lang w:val="en-US" w:eastAsia="zh-CN"/>
        </w:rPr>
        <w:t xml:space="preserve">技术参数出现</w:t>
      </w:r>
      <w:r>
        <w:rPr>
          <w:rFonts w:hint="eastAsia" w:ascii="宋体" w:hAnsi="宋体" w:eastAsia="宋体" w:cs="宋体"/>
          <w:color w:val="auto"/>
          <w:sz w:val="21"/>
          <w:szCs w:val="21"/>
          <w:highlight w:val="none"/>
        </w:rPr>
        <w:t xml:space="preserve">负偏离</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每项扣 </w:t>
      </w:r>
      <w:r>
        <w:rPr>
          <w:rFonts w:hint="eastAsia" w:ascii="宋体" w:hAnsi="宋体" w:cs="宋体"/>
          <w:color w:val="auto"/>
          <w:sz w:val="21"/>
          <w:szCs w:val="21"/>
          <w:highlight w:val="none"/>
          <w:lang w:val="en-US" w:eastAsia="zh-CN"/>
        </w:rPr>
        <w:t xml:space="preserve">0.31</w:t>
      </w:r>
      <w:r>
        <w:rPr>
          <w:rFonts w:hint="eastAsia" w:ascii="宋体" w:hAnsi="宋体" w:eastAsia="宋体" w:cs="宋体"/>
          <w:color w:val="auto"/>
          <w:sz w:val="21"/>
          <w:szCs w:val="21"/>
          <w:highlight w:val="none"/>
        </w:rPr>
        <w:t xml:space="preserve"> 分，</w:t>
      </w:r>
      <w:r>
        <w:rPr>
          <w:rFonts w:hint="eastAsia" w:ascii="宋体" w:hAnsi="宋体" w:eastAsia="宋体" w:cs="宋体"/>
          <w:color w:val="auto"/>
          <w:sz w:val="21"/>
          <w:szCs w:val="21"/>
          <w:highlight w:val="none"/>
          <w:lang w:val="en-US" w:eastAsia="zh-CN"/>
        </w:rPr>
        <w:t xml:space="preserve">扣完为止。</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针对</w:t>
      </w:r>
      <w:r>
        <w:rPr>
          <w:rFonts w:hint="eastAsia" w:ascii="宋体" w:hAnsi="宋体" w:eastAsia="宋体" w:cs="宋体"/>
          <w:color w:val="auto"/>
          <w:sz w:val="21"/>
          <w:szCs w:val="21"/>
          <w:highlight w:val="none"/>
        </w:rPr>
        <w:t xml:space="preserve">带 “</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项技术参数</w:t>
      </w:r>
      <w:r>
        <w:rPr>
          <w:rFonts w:hint="eastAsia" w:ascii="宋体" w:hAnsi="宋体" w:eastAsia="宋体" w:cs="宋体"/>
          <w:color w:val="auto"/>
          <w:sz w:val="21"/>
          <w:szCs w:val="21"/>
          <w:highlight w:val="none"/>
        </w:rPr>
        <w:t xml:space="preserve">需在投标文件中提供以下任意一项证明材料:1.第三方</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机构出具的检测报告复印件2.</w:t>
      </w:r>
      <w:r>
        <w:rPr>
          <w:rFonts w:hint="eastAsia" w:ascii="宋体" w:hAnsi="宋体" w:eastAsia="宋体" w:cs="宋体"/>
          <w:color w:val="auto"/>
          <w:sz w:val="21"/>
          <w:szCs w:val="21"/>
          <w:highlight w:val="none"/>
          <w:lang w:val="en-US" w:eastAsia="zh-CN"/>
        </w:rPr>
        <w:t xml:space="preserve">医疗器械</w:t>
      </w:r>
      <w:r>
        <w:rPr>
          <w:rFonts w:hint="eastAsia" w:ascii="宋体" w:hAnsi="宋体" w:eastAsia="宋体" w:cs="宋体"/>
          <w:color w:val="auto"/>
          <w:sz w:val="21"/>
          <w:szCs w:val="21"/>
          <w:highlight w:val="none"/>
          <w:lang w:eastAsia="zh-CN"/>
        </w:rPr>
        <w:t xml:space="preserve">注册证</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经</w:t>
      </w:r>
      <w:r>
        <w:rPr>
          <w:rFonts w:hint="eastAsia" w:ascii="宋体" w:hAnsi="宋体" w:cs="宋体"/>
          <w:color w:val="auto"/>
          <w:sz w:val="21"/>
          <w:szCs w:val="21"/>
          <w:highlight w:val="none"/>
          <w:lang w:val="en-US" w:eastAsia="zh-CN"/>
        </w:rPr>
        <w:t xml:space="preserve">监管部门</w:t>
      </w:r>
      <w:r>
        <w:rPr>
          <w:rFonts w:hint="eastAsia" w:ascii="宋体" w:hAnsi="宋体" w:eastAsia="宋体" w:cs="宋体"/>
          <w:color w:val="auto"/>
          <w:sz w:val="21"/>
          <w:szCs w:val="21"/>
          <w:highlight w:val="none"/>
          <w:lang w:eastAsia="zh-CN"/>
        </w:rPr>
        <w:t xml:space="preserve">备案</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lang w:eastAsia="zh-CN"/>
        </w:rPr>
        <w:t xml:space="preserve">使用说明书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注：①证明资料如为外文须提供中文译本，否则评标委员会有权不予以认可。②各投标人在提供证明材料时需对所对应的技术参数进行醒目标注，以便评标委员会进行评审。)</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w:t>
      </w:r>
      <w:r>
        <w:rPr>
          <w:rFonts w:hint="eastAsia" w:ascii="宋体" w:hAnsi="宋体" w:eastAsia="宋体" w:cs="宋体"/>
          <w:b/>
          <w:bCs/>
          <w:color w:val="auto"/>
          <w:sz w:val="21"/>
          <w:szCs w:val="21"/>
          <w:highlight w:val="none"/>
          <w:lang w:val="en-US" w:eastAsia="zh-CN"/>
        </w:rPr>
        <w:t xml:space="preserve">安装调试等履约售后方案</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1、安装实施方案（6分）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设置合理明确的安装实施方案，以保障货物交付、安装、就位、验收等有效的项目管理，安装实施方案应包括</w:t>
      </w:r>
      <w:r>
        <w:rPr>
          <w:rFonts w:hint="eastAsia"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lang w:val="en-US" w:eastAsia="zh-CN"/>
        </w:rPr>
        <w:t xml:space="preserve">①项目实施计划与时间安排；②项目试运行调试、验收方案；③项目人员组成及职责安排。</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2、售后服务方案（6分）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售后服务方案包括</w:t>
      </w:r>
      <w:r>
        <w:rPr>
          <w:rFonts w:hint="eastAsia"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lang w:val="en-US" w:eastAsia="zh-CN"/>
        </w:rPr>
        <w:t xml:space="preserve">①服务机制、响应到达时间等内容；②服务流程、服务标准；③维保档案等情况。</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3、故障应急预案（6分）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故障应急预案应包括：①处理制度；②应急组织与职责；③故障应急处置程序及故障报告流程等。</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4、技术培训方案（6分）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投标人提供本项目的技术培训方案，包含：①培训需求分析、培训目标计划、②培训内容及方法计划、③负责培训人员情况、培训设备场地等情况介绍</w:t>
      </w:r>
      <w:r>
        <w:rPr>
          <w:rFonts w:hint="eastAsia" w:cs="Times New Roman"/>
          <w:color w:val="auto"/>
          <w:sz w:val="21"/>
          <w:szCs w:val="21"/>
          <w:highlight w:val="none"/>
          <w:lang w:val="en-US" w:eastAsia="zh-CN"/>
        </w:rPr>
        <w:t xml:space="preserve">。</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numPr>
          <w:ilvl w:val="0"/>
          <w:numId w:val="3"/>
        </w:numPr>
        <w:ind w:firstLine="420"/>
        <w:spacing w:line="400" w:lineRule="exact"/>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免费质保期满后维保方案（6分）</w:t>
      </w:r>
      <w:r/>
    </w:p>
    <w:p>
      <w:pPr>
        <w:numPr>
          <w:ilvl w:val="0"/>
          <w:numId w:val="0"/>
        </w:numPr>
        <w:ind w:firstLine="420"/>
        <w:spacing w:line="400" w:lineRule="exact"/>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免费质保期满后维保方案，包括：</w:t>
      </w:r>
      <w:r>
        <w:rPr>
          <w:rFonts w:hint="eastAsia" w:ascii="Times New Roman" w:hAnsi="Times New Roman" w:eastAsia="宋体" w:cs="Times New Roman"/>
          <w:color w:val="auto"/>
          <w:sz w:val="21"/>
          <w:szCs w:val="21"/>
          <w:highlight w:val="none"/>
          <w:lang w:val="en-US" w:eastAsia="zh-CN"/>
        </w:rPr>
        <w:t xml:space="preserve">①</w:t>
      </w:r>
      <w:r>
        <w:rPr>
          <w:rFonts w:hint="eastAsia" w:cs="Times New Roman"/>
          <w:color w:val="auto"/>
          <w:sz w:val="21"/>
          <w:szCs w:val="21"/>
          <w:highlight w:val="none"/>
          <w:lang w:val="en-US" w:eastAsia="zh-CN"/>
        </w:rPr>
        <w:t xml:space="preserve">维护及保养方案、实施机制</w:t>
      </w:r>
      <w:r>
        <w:rPr>
          <w:rFonts w:hint="eastAsia" w:ascii="Times New Roman" w:hAnsi="Times New Roman" w:eastAsia="宋体" w:cs="Times New Roman"/>
          <w:color w:val="auto"/>
          <w:sz w:val="21"/>
          <w:szCs w:val="21"/>
          <w:highlight w:val="none"/>
          <w:lang w:val="en-US" w:eastAsia="zh-CN"/>
        </w:rPr>
        <w:t xml:space="preserve">、②</w:t>
      </w:r>
      <w:r>
        <w:rPr>
          <w:rFonts w:hint="eastAsia" w:cs="Times New Roman"/>
          <w:color w:val="auto"/>
          <w:sz w:val="21"/>
          <w:szCs w:val="21"/>
          <w:highlight w:val="none"/>
          <w:lang w:val="en-US" w:eastAsia="zh-CN"/>
        </w:rPr>
        <w:t xml:space="preserve">核心部件及零配件供应保障机制</w:t>
      </w:r>
      <w:r>
        <w:rPr>
          <w:rFonts w:hint="eastAsia" w:ascii="Times New Roman" w:hAnsi="Times New Roman" w:eastAsia="宋体" w:cs="Times New Roman"/>
          <w:color w:val="auto"/>
          <w:sz w:val="21"/>
          <w:szCs w:val="21"/>
          <w:highlight w:val="none"/>
          <w:lang w:val="en-US" w:eastAsia="zh-CN"/>
        </w:rPr>
        <w:t xml:space="preserve">、③</w:t>
      </w:r>
      <w:r>
        <w:rPr>
          <w:rFonts w:hint="eastAsia" w:cs="Times New Roman"/>
          <w:color w:val="auto"/>
          <w:sz w:val="21"/>
          <w:szCs w:val="21"/>
          <w:highlight w:val="none"/>
          <w:lang w:val="en-US" w:eastAsia="zh-CN"/>
        </w:rPr>
        <w:t xml:space="preserve">维保期满后收费标准、核心部件及零配件收费标准等。</w:t>
      </w:r>
      <w:r/>
    </w:p>
    <w:p>
      <w:pPr>
        <w:numPr>
          <w:ilvl w:val="0"/>
          <w:numId w:val="0"/>
        </w:numPr>
        <w:ind w:firstLine="420"/>
        <w:spacing w:line="400" w:lineRule="exact"/>
        <w:rPr>
          <w:rFonts w:hint="default"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上述内容详尽、可行性高</w:t>
      </w:r>
      <w:r>
        <w:rPr>
          <w:rFonts w:hint="eastAsia" w:cs="Times New Roman"/>
          <w:color w:val="auto"/>
          <w:sz w:val="21"/>
          <w:szCs w:val="21"/>
          <w:highlight w:val="none"/>
          <w:lang w:val="en-US" w:eastAsia="zh-CN"/>
        </w:rPr>
        <w:t xml:space="preserve">且</w:t>
      </w:r>
      <w:r>
        <w:rPr>
          <w:rFonts w:hint="eastAsia" w:ascii="Times New Roman" w:hAnsi="Times New Roman" w:eastAsia="宋体" w:cs="Times New Roman"/>
          <w:color w:val="auto"/>
          <w:sz w:val="21"/>
          <w:szCs w:val="21"/>
          <w:highlight w:val="none"/>
          <w:lang w:val="en-US" w:eastAsia="zh-CN"/>
        </w:rPr>
        <w:t xml:space="preserve">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（四）专用手术耗材价格情况评价（10分）</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各投标人的专用手术耗材需取得《中华人民共和国医疗器械注册证》，在各投标人的专用手术器械耗材报价单中随机抽5-10个常用的耗材(各投标人抽取的耗材相同)，取其平均价，将平均价由低到高进行排序：</w:t>
      </w:r>
      <w:r/>
    </w:p>
    <w:p>
      <w:pPr>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第一名的得10分，第二名的得6分，第三名的得2分，其余不得分。</w:t>
      </w:r>
      <w:r/>
    </w:p>
    <w:p>
      <w:pPr>
        <w:ind w:firstLine="420"/>
        <w:spacing w:line="400" w:lineRule="exact"/>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（五）</w:t>
      </w:r>
      <w:r>
        <w:rPr>
          <w:rFonts w:hint="eastAsia" w:cs="Times New Roman"/>
          <w:b/>
          <w:bCs/>
          <w:color w:val="auto"/>
          <w:sz w:val="21"/>
          <w:szCs w:val="21"/>
          <w:highlight w:val="none"/>
          <w:lang w:val="en-US" w:eastAsia="zh-CN"/>
        </w:rPr>
        <w:t xml:space="preserve">免费质保期</w:t>
      </w:r>
      <w:r>
        <w:rPr>
          <w:rFonts w:hint="eastAsia" w:ascii="Times New Roman" w:hAnsi="Times New Roman" w:eastAsia="宋体" w:cs="Times New Roman"/>
          <w:b/>
          <w:bCs/>
          <w:color w:val="auto"/>
          <w:sz w:val="21"/>
          <w:szCs w:val="21"/>
          <w:highlight w:val="none"/>
          <w:lang w:val="en-US" w:eastAsia="zh-CN"/>
        </w:rPr>
        <w:t xml:space="preserve">情况评价（</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lang w:val="en-US" w:eastAsia="zh-CN"/>
        </w:rPr>
        <w:t xml:space="preserve">分）</w:t>
      </w:r>
      <w:r/>
    </w:p>
    <w:p>
      <w:pPr>
        <w:ind w:firstLine="420"/>
        <w:spacing w:line="400" w:lineRule="exact"/>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投标人承诺免费质保期在满足采购文件要求的基础上每增加一年得1分，最高得5分。</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六</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设备销售情况评价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3</w:t>
      </w:r>
      <w:r>
        <w:rPr>
          <w:rFonts w:hint="eastAsia"/>
          <w:b/>
          <w:bCs/>
          <w:color w:val="auto"/>
          <w:sz w:val="21"/>
          <w:szCs w:val="21"/>
          <w:highlight w:val="none"/>
          <w:lang w:eastAsia="zh-CN"/>
        </w:rPr>
        <w:t xml:space="preserve">分）</w:t>
      </w:r>
      <w:r/>
    </w:p>
    <w:p>
      <w:pPr>
        <w:ind w:firstLine="420"/>
        <w:spacing w:line="400" w:lineRule="exac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所投产品型号2023年1月1日（以合同签订日期为准）以来业绩情况比较：每提供一份业绩得1分，最高3分。（注：需提供完整合同复印件（必须提供），销售发票复印件或网上中标公告截图复印件（两者任选其一提供），否则不得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color w:val="auto"/>
          <w:highlight w:val="none"/>
        </w:rPr>
      </w:pPr>
      <w:r>
        <w:rPr>
          <w:rFonts w:hint="eastAsia" w:hAnsi="宋体"/>
          <w:color w:val="auto"/>
          <w:sz w:val="21"/>
          <w:szCs w:val="21"/>
          <w:highlight w:val="none"/>
        </w:rPr>
        <w:t xml:space="preserve">（全文完）</w:t>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79"/>
    <w:link w:val="870"/>
    <w:uiPriority w:val="9"/>
    <w:rPr>
      <w:rFonts w:ascii="Arial" w:hAnsi="Arial" w:eastAsia="Arial" w:cs="Arial"/>
      <w:sz w:val="40"/>
      <w:szCs w:val="40"/>
    </w:rPr>
  </w:style>
  <w:style w:type="character" w:styleId="711">
    <w:name w:val="Heading 2 Char"/>
    <w:basedOn w:val="879"/>
    <w:link w:val="871"/>
    <w:uiPriority w:val="9"/>
    <w:rPr>
      <w:rFonts w:ascii="Arial" w:hAnsi="Arial" w:eastAsia="Arial" w:cs="Arial"/>
      <w:sz w:val="34"/>
    </w:rPr>
  </w:style>
  <w:style w:type="character" w:styleId="712">
    <w:name w:val="Heading 3 Char"/>
    <w:basedOn w:val="879"/>
    <w:link w:val="872"/>
    <w:uiPriority w:val="9"/>
    <w:rPr>
      <w:rFonts w:ascii="Arial" w:hAnsi="Arial" w:eastAsia="Arial" w:cs="Arial"/>
      <w:sz w:val="30"/>
      <w:szCs w:val="30"/>
    </w:rPr>
  </w:style>
  <w:style w:type="character" w:styleId="713">
    <w:name w:val="Heading 4 Char"/>
    <w:basedOn w:val="879"/>
    <w:link w:val="873"/>
    <w:uiPriority w:val="9"/>
    <w:rPr>
      <w:rFonts w:ascii="Arial" w:hAnsi="Arial" w:eastAsia="Arial" w:cs="Arial"/>
      <w:b/>
      <w:bCs/>
      <w:sz w:val="26"/>
      <w:szCs w:val="26"/>
    </w:rPr>
  </w:style>
  <w:style w:type="character" w:styleId="714">
    <w:name w:val="Heading 5 Char"/>
    <w:basedOn w:val="879"/>
    <w:link w:val="874"/>
    <w:uiPriority w:val="9"/>
    <w:rPr>
      <w:rFonts w:ascii="Arial" w:hAnsi="Arial" w:eastAsia="Arial" w:cs="Arial"/>
      <w:b/>
      <w:bCs/>
      <w:sz w:val="24"/>
      <w:szCs w:val="24"/>
    </w:rPr>
  </w:style>
  <w:style w:type="character" w:styleId="715">
    <w:name w:val="Heading 6 Char"/>
    <w:basedOn w:val="879"/>
    <w:link w:val="875"/>
    <w:uiPriority w:val="9"/>
    <w:rPr>
      <w:rFonts w:ascii="Arial" w:hAnsi="Arial" w:eastAsia="Arial" w:cs="Arial"/>
      <w:b/>
      <w:bCs/>
      <w:sz w:val="22"/>
      <w:szCs w:val="22"/>
    </w:rPr>
  </w:style>
  <w:style w:type="character" w:styleId="716">
    <w:name w:val="Heading 7 Char"/>
    <w:basedOn w:val="879"/>
    <w:link w:val="876"/>
    <w:uiPriority w:val="9"/>
    <w:rPr>
      <w:rFonts w:ascii="Arial" w:hAnsi="Arial" w:eastAsia="Arial" w:cs="Arial"/>
      <w:b/>
      <w:bCs/>
      <w:i/>
      <w:iCs/>
      <w:sz w:val="22"/>
      <w:szCs w:val="22"/>
    </w:rPr>
  </w:style>
  <w:style w:type="character" w:styleId="717">
    <w:name w:val="Heading 8 Char"/>
    <w:basedOn w:val="879"/>
    <w:link w:val="877"/>
    <w:uiPriority w:val="9"/>
    <w:rPr>
      <w:rFonts w:ascii="Arial" w:hAnsi="Arial" w:eastAsia="Arial" w:cs="Arial"/>
      <w:i/>
      <w:iCs/>
      <w:sz w:val="22"/>
      <w:szCs w:val="22"/>
    </w:rPr>
  </w:style>
  <w:style w:type="character" w:styleId="718">
    <w:name w:val="Heading 9 Char"/>
    <w:basedOn w:val="879"/>
    <w:link w:val="878"/>
    <w:uiPriority w:val="9"/>
    <w:rPr>
      <w:rFonts w:ascii="Arial" w:hAnsi="Arial" w:eastAsia="Arial" w:cs="Arial"/>
      <w:i/>
      <w:iCs/>
      <w:sz w:val="21"/>
      <w:szCs w:val="21"/>
    </w:rPr>
  </w:style>
  <w:style w:type="character" w:styleId="719">
    <w:name w:val="Title Char"/>
    <w:basedOn w:val="879"/>
    <w:link w:val="904"/>
    <w:uiPriority w:val="10"/>
    <w:rPr>
      <w:sz w:val="48"/>
      <w:szCs w:val="48"/>
    </w:rPr>
  </w:style>
  <w:style w:type="character" w:styleId="720">
    <w:name w:val="Subtitle Char"/>
    <w:basedOn w:val="879"/>
    <w:link w:val="898"/>
    <w:uiPriority w:val="11"/>
    <w:rPr>
      <w:sz w:val="24"/>
      <w:szCs w:val="24"/>
    </w:rPr>
  </w:style>
  <w:style w:type="paragraph" w:styleId="721">
    <w:name w:val="Quote"/>
    <w:basedOn w:val="869"/>
    <w:next w:val="869"/>
    <w:link w:val="722"/>
    <w:uiPriority w:val="29"/>
    <w:qFormat/>
    <w:pPr>
      <w:ind w:left="720" w:right="720"/>
    </w:pPr>
    <w:rPr>
      <w:i/>
    </w:rPr>
  </w:style>
  <w:style w:type="character" w:styleId="722">
    <w:name w:val="Quote Char"/>
    <w:link w:val="721"/>
    <w:uiPriority w:val="29"/>
    <w:rPr>
      <w:i/>
    </w:rPr>
  </w:style>
  <w:style w:type="paragraph" w:styleId="723">
    <w:name w:val="Intense Quote"/>
    <w:basedOn w:val="869"/>
    <w:next w:val="869"/>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9"/>
    <w:link w:val="896"/>
    <w:uiPriority w:val="99"/>
  </w:style>
  <w:style w:type="character" w:styleId="726">
    <w:name w:val="Footer Char"/>
    <w:basedOn w:val="879"/>
    <w:link w:val="894"/>
    <w:uiPriority w:val="99"/>
  </w:style>
  <w:style w:type="paragraph" w:styleId="727">
    <w:name w:val="Caption"/>
    <w:basedOn w:val="869"/>
    <w:next w:val="869"/>
    <w:uiPriority w:val="35"/>
    <w:semiHidden/>
    <w:unhideWhenUsed/>
    <w:qFormat/>
    <w:pPr>
      <w:spacing w:line="276" w:lineRule="auto"/>
    </w:pPr>
    <w:rPr>
      <w:b/>
      <w:bCs/>
      <w:color w:val="4f81bd" w:themeColor="accent1"/>
      <w:sz w:val="18"/>
      <w:szCs w:val="18"/>
    </w:rPr>
  </w:style>
  <w:style w:type="character" w:styleId="728">
    <w:name w:val="Caption Char"/>
    <w:basedOn w:val="727"/>
    <w:link w:val="894"/>
    <w:uiPriority w:val="99"/>
  </w:style>
  <w:style w:type="table" w:styleId="72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character" w:styleId="855">
    <w:name w:val="footnote reference"/>
    <w:basedOn w:val="879"/>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9"/>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21"/>
    <w:uiPriority w:val="0"/>
    <w:qFormat/>
    <w:pPr>
      <w:jc w:val="both"/>
      <w:keepLines/>
      <w:keepNext/>
      <w:spacing w:before="340" w:after="330" w:line="576" w:lineRule="auto"/>
      <w:widowControl w:val="off"/>
      <w:outlineLvl w:val="0"/>
    </w:pPr>
    <w:rPr>
      <w:rFonts w:eastAsia="楷体_GB2312"/>
      <w:b/>
      <w:sz w:val="44"/>
      <w:szCs w:val="20"/>
    </w:rPr>
  </w:style>
  <w:style w:type="paragraph" w:styleId="871">
    <w:name w:val="Heading 2"/>
    <w:basedOn w:val="869"/>
    <w:next w:val="881"/>
    <w:link w:val="92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2">
    <w:name w:val="Heading 3"/>
    <w:basedOn w:val="869"/>
    <w:next w:val="869"/>
    <w:link w:val="923"/>
    <w:uiPriority w:val="0"/>
    <w:qFormat/>
    <w:pPr>
      <w:jc w:val="both"/>
      <w:keepLines/>
      <w:keepNext/>
      <w:spacing w:before="260" w:after="260" w:line="360" w:lineRule="auto"/>
      <w:widowControl w:val="off"/>
      <w:outlineLvl w:val="2"/>
    </w:pPr>
    <w:rPr>
      <w:rFonts w:ascii="Arial" w:hAnsi="宋体"/>
      <w:b/>
      <w:szCs w:val="20"/>
    </w:rPr>
  </w:style>
  <w:style w:type="paragraph" w:styleId="873">
    <w:name w:val="Heading 4"/>
    <w:basedOn w:val="869"/>
    <w:next w:val="869"/>
    <w:link w:val="924"/>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link w:val="925"/>
    <w:uiPriority w:val="0"/>
    <w:qFormat/>
    <w:pPr>
      <w:ind w:left="1008" w:hanging="432"/>
      <w:jc w:val="center"/>
      <w:keepNext/>
      <w:tabs>
        <w:tab w:val="left" w:pos="1008" w:leader="none"/>
      </w:tabs>
      <w:outlineLvl w:val="4"/>
    </w:pPr>
    <w:rPr>
      <w:rFonts w:ascii="Arial" w:hAnsi="Arial"/>
      <w:sz w:val="32"/>
      <w:szCs w:val="20"/>
    </w:rPr>
  </w:style>
  <w:style w:type="paragraph" w:styleId="875">
    <w:name w:val="Heading 6"/>
    <w:basedOn w:val="869"/>
    <w:next w:val="869"/>
    <w:link w:val="92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6">
    <w:name w:val="Heading 7"/>
    <w:basedOn w:val="869"/>
    <w:next w:val="869"/>
    <w:link w:val="927"/>
    <w:uiPriority w:val="0"/>
    <w:qFormat/>
    <w:pPr>
      <w:ind w:left="1296" w:hanging="1296"/>
      <w:jc w:val="both"/>
      <w:keepLines/>
      <w:keepNext/>
      <w:spacing w:before="240" w:after="64" w:line="320" w:lineRule="auto"/>
      <w:widowControl w:val="off"/>
      <w:outlineLvl w:val="6"/>
    </w:pPr>
    <w:rPr>
      <w:b/>
      <w:bCs/>
    </w:rPr>
  </w:style>
  <w:style w:type="paragraph" w:styleId="877">
    <w:name w:val="Heading 8"/>
    <w:basedOn w:val="869"/>
    <w:next w:val="869"/>
    <w:link w:val="928"/>
    <w:uiPriority w:val="0"/>
    <w:qFormat/>
    <w:pPr>
      <w:ind w:left="1440" w:hanging="1440"/>
      <w:jc w:val="both"/>
      <w:keepLines/>
      <w:keepNext/>
      <w:spacing w:before="240" w:after="64" w:line="320" w:lineRule="auto"/>
      <w:widowControl w:val="off"/>
      <w:outlineLvl w:val="7"/>
    </w:pPr>
    <w:rPr>
      <w:rFonts w:ascii="Cambria" w:hAnsi="Cambria"/>
    </w:rPr>
  </w:style>
  <w:style w:type="paragraph" w:styleId="878">
    <w:name w:val="Heading 9"/>
    <w:basedOn w:val="869"/>
    <w:next w:val="869"/>
    <w:link w:val="92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next w:val="869"/>
    <w:link w:val="920"/>
    <w:uiPriority w:val="0"/>
    <w:qFormat/>
    <w:pPr>
      <w:ind w:firstLine="420"/>
      <w:widowControl w:val="off"/>
    </w:pPr>
    <w:rPr>
      <w:rFonts w:eastAsia="楷体_GB2312" w:asciiTheme="minorHAnsi" w:hAnsiTheme="minorHAnsi" w:cstheme="minorBidi"/>
      <w:szCs w:val="22"/>
    </w:rPr>
  </w:style>
  <w:style w:type="paragraph" w:styleId="882">
    <w:name w:val="table of authorities"/>
    <w:basedOn w:val="869"/>
    <w:next w:val="869"/>
    <w:uiPriority w:val="99"/>
    <w:unhideWhenUsed/>
    <w:qFormat/>
    <w:pPr>
      <w:ind w:left="420"/>
    </w:pPr>
  </w:style>
  <w:style w:type="paragraph" w:styleId="883">
    <w:name w:val="List Bullet 4"/>
    <w:basedOn w:val="869"/>
    <w:uiPriority w:val="0"/>
    <w:qFormat/>
    <w:pPr>
      <w:ind w:left="1620" w:hanging="360"/>
      <w:jc w:val="both"/>
      <w:widowControl w:val="off"/>
      <w:tabs>
        <w:tab w:val="left" w:pos="1620" w:leader="none"/>
      </w:tabs>
    </w:pPr>
    <w:rPr>
      <w:sz w:val="21"/>
    </w:rPr>
  </w:style>
  <w:style w:type="paragraph" w:styleId="884">
    <w:name w:val="Document Map"/>
    <w:basedOn w:val="869"/>
    <w:link w:val="941"/>
    <w:uiPriority w:val="99"/>
    <w:qFormat/>
    <w:pPr>
      <w:shd w:val="clear" w:color="auto" w:fill="000080"/>
    </w:pPr>
    <w:rPr>
      <w:rFonts w:asciiTheme="minorHAnsi" w:hAnsiTheme="minorHAnsi" w:cstheme="minorBidi"/>
    </w:rPr>
  </w:style>
  <w:style w:type="paragraph" w:styleId="885">
    <w:name w:val="annotation text"/>
    <w:basedOn w:val="869"/>
    <w:link w:val="939"/>
    <w:uiPriority w:val="99"/>
    <w:unhideWhenUsed/>
    <w:qFormat/>
  </w:style>
  <w:style w:type="paragraph" w:styleId="886">
    <w:name w:val="Body Text"/>
    <w:basedOn w:val="869"/>
    <w:link w:val="945"/>
    <w:uiPriority w:val="0"/>
    <w:qFormat/>
    <w:pPr>
      <w:spacing w:after="120"/>
    </w:pPr>
    <w:rPr>
      <w:rFonts w:asciiTheme="minorHAnsi" w:hAnsiTheme="minorHAnsi" w:cstheme="minorBidi"/>
    </w:rPr>
  </w:style>
  <w:style w:type="paragraph" w:styleId="887">
    <w:name w:val="Body Text Indent"/>
    <w:basedOn w:val="869"/>
    <w:next w:val="869"/>
    <w:link w:val="978"/>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8">
    <w:name w:val="List 2"/>
    <w:basedOn w:val="869"/>
    <w:uiPriority w:val="99"/>
    <w:unhideWhenUsed/>
    <w:qFormat/>
    <w:pPr>
      <w:contextualSpacing/>
      <w:ind w:left="100" w:hanging="200"/>
      <w:jc w:val="both"/>
      <w:widowControl w:val="off"/>
    </w:pPr>
    <w:rPr>
      <w:sz w:val="21"/>
    </w:rPr>
  </w:style>
  <w:style w:type="paragraph" w:styleId="889">
    <w:name w:val="Block Text"/>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0">
    <w:name w:val="Plain Text"/>
    <w:basedOn w:val="869"/>
    <w:link w:val="974"/>
    <w:uiPriority w:val="99"/>
    <w:qFormat/>
    <w:pPr>
      <w:jc w:val="both"/>
      <w:widowControl w:val="off"/>
    </w:pPr>
    <w:rPr>
      <w:rFonts w:ascii="宋体" w:hAnsi="Courier New" w:cs="Courier New"/>
      <w:sz w:val="21"/>
      <w:szCs w:val="21"/>
    </w:rPr>
  </w:style>
  <w:style w:type="paragraph" w:styleId="891">
    <w:name w:val="Date"/>
    <w:basedOn w:val="869"/>
    <w:next w:val="869"/>
    <w:link w:val="916"/>
    <w:uiPriority w:val="0"/>
    <w:qFormat/>
    <w:rPr>
      <w:rFonts w:ascii="宋体" w:hAnsi="宋体" w:eastAsia="楷体_GB2312"/>
      <w:szCs w:val="20"/>
    </w:rPr>
  </w:style>
  <w:style w:type="paragraph" w:styleId="892">
    <w:name w:val="Body Text Indent 2"/>
    <w:basedOn w:val="869"/>
    <w:link w:val="936"/>
    <w:uiPriority w:val="0"/>
    <w:qFormat/>
    <w:pPr>
      <w:ind w:firstLine="460"/>
      <w:spacing w:line="360" w:lineRule="auto"/>
    </w:pPr>
    <w:rPr>
      <w:rFonts w:asciiTheme="minorHAnsi" w:hAnsiTheme="minorHAnsi" w:eastAsiaTheme="minorEastAsia" w:cstheme="minorBidi"/>
      <w:spacing w:val="20"/>
      <w:sz w:val="21"/>
    </w:rPr>
  </w:style>
  <w:style w:type="paragraph" w:styleId="893">
    <w:name w:val="Balloon Text"/>
    <w:basedOn w:val="869"/>
    <w:link w:val="949"/>
    <w:uiPriority w:val="99"/>
    <w:qFormat/>
    <w:rPr>
      <w:rFonts w:asciiTheme="minorHAnsi" w:hAnsiTheme="minorHAnsi" w:cstheme="minorBidi"/>
      <w:sz w:val="18"/>
      <w:szCs w:val="18"/>
    </w:rPr>
  </w:style>
  <w:style w:type="paragraph" w:styleId="894">
    <w:name w:val="Footer"/>
    <w:basedOn w:val="869"/>
    <w:link w:val="919"/>
    <w:uiPriority w:val="99"/>
    <w:unhideWhenUsed/>
    <w:qFormat/>
    <w:pPr>
      <w:tabs>
        <w:tab w:val="center" w:pos="4153" w:leader="none"/>
        <w:tab w:val="right" w:pos="8306" w:leader="none"/>
      </w:tabs>
    </w:pPr>
    <w:rPr>
      <w:sz w:val="18"/>
      <w:szCs w:val="18"/>
    </w:rPr>
  </w:style>
  <w:style w:type="paragraph" w:styleId="895">
    <w:name w:val="envelope return"/>
    <w:basedOn w:val="869"/>
    <w:uiPriority w:val="0"/>
    <w:unhideWhenUsed/>
    <w:qFormat/>
    <w:rPr>
      <w:rFonts w:ascii="Arial" w:hAnsi="Arial"/>
      <w:sz w:val="21"/>
    </w:rPr>
  </w:style>
  <w:style w:type="paragraph" w:styleId="896">
    <w:name w:val="Header"/>
    <w:basedOn w:val="869"/>
    <w:link w:val="91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0"/>
    <w:qFormat/>
    <w:pPr>
      <w:widowControl w:val="off"/>
    </w:pPr>
    <w:rPr>
      <w:rFonts w:eastAsia="楷体_GB2312"/>
      <w:szCs w:val="20"/>
    </w:rPr>
  </w:style>
  <w:style w:type="paragraph" w:styleId="898">
    <w:name w:val="Subtitle"/>
    <w:basedOn w:val="869"/>
    <w:next w:val="869"/>
    <w:link w:val="934"/>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9">
    <w:name w:val="footnote text"/>
    <w:basedOn w:val="869"/>
    <w:link w:val="957"/>
    <w:uiPriority w:val="99"/>
    <w:unhideWhenUsed/>
    <w:qFormat/>
    <w:pPr>
      <w:widowControl w:val="off"/>
    </w:pPr>
    <w:rPr>
      <w:rFonts w:asciiTheme="minorHAnsi" w:hAnsiTheme="minorHAnsi" w:eastAsiaTheme="minorEastAsia" w:cstheme="minorBidi"/>
      <w:sz w:val="18"/>
      <w:szCs w:val="18"/>
    </w:rPr>
  </w:style>
  <w:style w:type="paragraph" w:styleId="900">
    <w:name w:val="Body Text Indent 3"/>
    <w:basedOn w:val="869"/>
    <w:link w:val="917"/>
    <w:uiPriority w:val="0"/>
    <w:qFormat/>
    <w:pPr>
      <w:ind w:left="420"/>
      <w:spacing w:after="120"/>
    </w:pPr>
    <w:rPr>
      <w:sz w:val="16"/>
      <w:szCs w:val="16"/>
    </w:rPr>
  </w:style>
  <w:style w:type="paragraph" w:styleId="901">
    <w:name w:val="Body Text 2"/>
    <w:basedOn w:val="869"/>
    <w:link w:val="947"/>
    <w:uiPriority w:val="0"/>
    <w:qFormat/>
    <w:pPr>
      <w:spacing w:after="120" w:line="480" w:lineRule="auto"/>
    </w:pPr>
    <w:rPr>
      <w:rFonts w:asciiTheme="minorHAnsi" w:hAnsiTheme="minorHAnsi" w:eastAsiaTheme="minorEastAsia" w:cstheme="minorBidi"/>
    </w:rPr>
  </w:style>
  <w:style w:type="paragraph" w:styleId="902">
    <w:name w:val="HTML Preformatted"/>
    <w:basedOn w:val="869"/>
    <w:link w:val="1036"/>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3">
    <w:name w:val="Normal (Web)"/>
    <w:basedOn w:val="869"/>
    <w:uiPriority w:val="99"/>
    <w:qFormat/>
    <w:pPr>
      <w:spacing w:before="100" w:beforeAutospacing="1" w:after="100" w:afterAutospacing="1"/>
    </w:pPr>
    <w:rPr>
      <w:rFonts w:ascii="宋体" w:hAnsi="宋体" w:cs="宋体"/>
    </w:rPr>
  </w:style>
  <w:style w:type="paragraph" w:styleId="904">
    <w:name w:val="Title"/>
    <w:basedOn w:val="869"/>
    <w:next w:val="869"/>
    <w:link w:val="932"/>
    <w:uiPriority w:val="10"/>
    <w:qFormat/>
    <w:pPr>
      <w:jc w:val="center"/>
      <w:spacing w:before="240" w:after="60"/>
      <w:widowControl w:val="off"/>
      <w:outlineLvl w:val="0"/>
    </w:pPr>
    <w:rPr>
      <w:rFonts w:ascii="Cambria" w:hAnsi="Cambria" w:eastAsiaTheme="minorEastAsia"/>
      <w:b/>
      <w:bCs/>
      <w:sz w:val="32"/>
      <w:szCs w:val="32"/>
    </w:rPr>
  </w:style>
  <w:style w:type="paragraph" w:styleId="905">
    <w:name w:val="annotation subject"/>
    <w:basedOn w:val="885"/>
    <w:next w:val="885"/>
    <w:link w:val="938"/>
    <w:uiPriority w:val="99"/>
    <w:qFormat/>
    <w:rPr>
      <w:rFonts w:asciiTheme="minorHAnsi" w:hAnsiTheme="minorHAnsi" w:eastAsiaTheme="minorEastAsia" w:cstheme="minorBidi"/>
      <w:b/>
      <w:bCs/>
    </w:rPr>
  </w:style>
  <w:style w:type="paragraph" w:styleId="906">
    <w:name w:val="Body Text First Indent"/>
    <w:next w:val="869"/>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7">
    <w:name w:val="Body Text First Indent 2"/>
    <w:basedOn w:val="887"/>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8">
    <w:name w:val="Table Grid"/>
    <w:basedOn w:val="880"/>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uiPriority w:val="22"/>
    <w:qFormat/>
    <w:rPr>
      <w:b/>
      <w:bCs/>
    </w:rPr>
  </w:style>
  <w:style w:type="character" w:styleId="910">
    <w:name w:val="page number"/>
    <w:basedOn w:val="879"/>
    <w:uiPriority w:val="0"/>
    <w:qFormat/>
  </w:style>
  <w:style w:type="character" w:styleId="911">
    <w:name w:val="FollowedHyperlink"/>
    <w:uiPriority w:val="99"/>
    <w:qFormat/>
    <w:rPr>
      <w:color w:val="800080"/>
      <w:u w:val="single"/>
    </w:rPr>
  </w:style>
  <w:style w:type="character" w:styleId="912">
    <w:name w:val="Hyperlink"/>
    <w:uiPriority w:val="99"/>
    <w:qFormat/>
    <w:rPr>
      <w:color w:val="0000ff"/>
      <w:u w:val="single"/>
    </w:rPr>
  </w:style>
  <w:style w:type="character" w:styleId="913">
    <w:name w:val="annotation reference"/>
    <w:uiPriority w:val="0"/>
    <w:qFormat/>
    <w:rPr>
      <w:sz w:val="21"/>
      <w:szCs w:val="21"/>
    </w:rPr>
  </w:style>
  <w:style w:type="paragraph" w:styleId="914" w:customStyle="1">
    <w:name w:val="表格文字"/>
    <w:basedOn w:val="869"/>
    <w:uiPriority w:val="0"/>
    <w:qFormat/>
    <w:pPr>
      <w:spacing w:before="25" w:after="25"/>
    </w:pPr>
    <w:rPr>
      <w:bCs/>
      <w:spacing w:val="10"/>
      <w:szCs w:val="20"/>
    </w:rPr>
  </w:style>
  <w:style w:type="paragraph" w:styleId="915" w:customStyle="1">
    <w:name w:val="正文1"/>
    <w:basedOn w:val="869"/>
    <w:next w:val="869"/>
    <w:uiPriority w:val="0"/>
    <w:qFormat/>
    <w:pPr>
      <w:ind w:left="420" w:firstLine="527"/>
      <w:spacing w:before="120" w:line="360" w:lineRule="auto"/>
    </w:pPr>
    <w:rPr>
      <w:rFonts w:ascii="宋体" w:hAnsi="宋体"/>
    </w:rPr>
  </w:style>
  <w:style w:type="character" w:styleId="916" w:customStyle="1">
    <w:name w:val="日期 字符"/>
    <w:basedOn w:val="879"/>
    <w:link w:val="891"/>
    <w:uiPriority w:val="0"/>
    <w:qFormat/>
    <w:rPr>
      <w:rFonts w:ascii="宋体" w:hAnsi="宋体" w:eastAsia="楷体_GB2312" w:cs="Times New Roman"/>
      <w:sz w:val="24"/>
      <w:szCs w:val="20"/>
    </w:rPr>
  </w:style>
  <w:style w:type="character" w:styleId="917" w:customStyle="1">
    <w:name w:val="正文文本缩进 3 字符"/>
    <w:basedOn w:val="879"/>
    <w:link w:val="900"/>
    <w:uiPriority w:val="0"/>
    <w:qFormat/>
    <w:rPr>
      <w:rFonts w:ascii="Times New Roman" w:hAnsi="Times New Roman" w:eastAsia="宋体" w:cs="Times New Roman"/>
      <w:sz w:val="16"/>
      <w:szCs w:val="16"/>
    </w:rPr>
  </w:style>
  <w:style w:type="character" w:styleId="918" w:customStyle="1">
    <w:name w:val="页眉 字符"/>
    <w:basedOn w:val="879"/>
    <w:link w:val="896"/>
    <w:uiPriority w:val="0"/>
    <w:qFormat/>
    <w:rPr>
      <w:rFonts w:ascii="Times New Roman" w:hAnsi="Times New Roman" w:eastAsia="宋体" w:cs="Times New Roman"/>
      <w:sz w:val="18"/>
      <w:szCs w:val="18"/>
    </w:rPr>
  </w:style>
  <w:style w:type="character" w:styleId="919" w:customStyle="1">
    <w:name w:val="页脚 字符"/>
    <w:basedOn w:val="879"/>
    <w:link w:val="894"/>
    <w:uiPriority w:val="99"/>
    <w:qFormat/>
    <w:rPr>
      <w:rFonts w:ascii="Times New Roman" w:hAnsi="Times New Roman" w:eastAsia="宋体" w:cs="Times New Roman"/>
      <w:sz w:val="18"/>
      <w:szCs w:val="18"/>
    </w:rPr>
  </w:style>
  <w:style w:type="character" w:styleId="920" w:customStyle="1">
    <w:name w:val="正文缩进 字符"/>
    <w:link w:val="881"/>
    <w:uiPriority w:val="0"/>
    <w:qFormat/>
    <w:rPr>
      <w:rFonts w:eastAsia="楷体_GB2312"/>
      <w:sz w:val="24"/>
    </w:rPr>
  </w:style>
  <w:style w:type="character" w:styleId="921" w:customStyle="1">
    <w:name w:val="标题 1 字符"/>
    <w:basedOn w:val="879"/>
    <w:link w:val="870"/>
    <w:uiPriority w:val="0"/>
    <w:qFormat/>
    <w:rPr>
      <w:rFonts w:ascii="Times New Roman" w:hAnsi="Times New Roman" w:eastAsia="楷体_GB2312" w:cs="Times New Roman"/>
      <w:b/>
      <w:sz w:val="44"/>
      <w:szCs w:val="20"/>
    </w:rPr>
  </w:style>
  <w:style w:type="character" w:styleId="922" w:customStyle="1">
    <w:name w:val="标题 2 字符"/>
    <w:basedOn w:val="879"/>
    <w:link w:val="871"/>
    <w:uiPriority w:val="0"/>
    <w:qFormat/>
    <w:rPr>
      <w:rFonts w:ascii="Cambria" w:hAnsi="Cambria" w:eastAsia="宋体" w:cs="Times New Roman"/>
      <w:b/>
      <w:bCs/>
      <w:sz w:val="32"/>
      <w:szCs w:val="32"/>
    </w:rPr>
  </w:style>
  <w:style w:type="character" w:styleId="923" w:customStyle="1">
    <w:name w:val="标题 3 字符"/>
    <w:basedOn w:val="879"/>
    <w:link w:val="872"/>
    <w:uiPriority w:val="0"/>
    <w:qFormat/>
    <w:rPr>
      <w:rFonts w:ascii="Arial" w:hAnsi="宋体" w:eastAsia="宋体" w:cs="Times New Roman"/>
      <w:b/>
      <w:sz w:val="24"/>
      <w:szCs w:val="20"/>
    </w:rPr>
  </w:style>
  <w:style w:type="character" w:styleId="924" w:customStyle="1">
    <w:name w:val="标题 4 字符"/>
    <w:basedOn w:val="879"/>
    <w:link w:val="873"/>
    <w:uiPriority w:val="0"/>
    <w:qFormat/>
    <w:rPr>
      <w:rFonts w:ascii="Arial" w:hAnsi="Arial" w:eastAsia="黑体" w:cs="Times New Roman"/>
      <w:b/>
      <w:bCs/>
      <w:sz w:val="28"/>
      <w:szCs w:val="28"/>
    </w:rPr>
  </w:style>
  <w:style w:type="character" w:styleId="925" w:customStyle="1">
    <w:name w:val="标题 5 字符"/>
    <w:basedOn w:val="879"/>
    <w:link w:val="874"/>
    <w:uiPriority w:val="0"/>
    <w:qFormat/>
    <w:rPr>
      <w:rFonts w:ascii="Arial" w:hAnsi="Arial" w:eastAsia="宋体" w:cs="Times New Roman"/>
      <w:sz w:val="32"/>
      <w:szCs w:val="20"/>
      <w:lang w:val="en-US" w:eastAsia="zh-CN"/>
    </w:rPr>
  </w:style>
  <w:style w:type="character" w:styleId="926" w:customStyle="1">
    <w:name w:val="标题 6 字符"/>
    <w:basedOn w:val="879"/>
    <w:link w:val="875"/>
    <w:uiPriority w:val="0"/>
    <w:qFormat/>
    <w:rPr>
      <w:rFonts w:ascii="Cambria" w:hAnsi="Cambria" w:eastAsia="宋体" w:cs="Times New Roman"/>
      <w:b/>
      <w:bCs/>
      <w:sz w:val="24"/>
      <w:szCs w:val="24"/>
    </w:rPr>
  </w:style>
  <w:style w:type="character" w:styleId="927" w:customStyle="1">
    <w:name w:val="标题 7 字符"/>
    <w:basedOn w:val="879"/>
    <w:link w:val="876"/>
    <w:uiPriority w:val="0"/>
    <w:qFormat/>
    <w:rPr>
      <w:rFonts w:ascii="Times New Roman" w:hAnsi="Times New Roman" w:eastAsia="宋体" w:cs="Times New Roman"/>
      <w:b/>
      <w:bCs/>
      <w:sz w:val="24"/>
      <w:szCs w:val="24"/>
    </w:rPr>
  </w:style>
  <w:style w:type="character" w:styleId="928" w:customStyle="1">
    <w:name w:val="标题 8 字符"/>
    <w:basedOn w:val="879"/>
    <w:link w:val="877"/>
    <w:uiPriority w:val="0"/>
    <w:qFormat/>
    <w:rPr>
      <w:rFonts w:ascii="Cambria" w:hAnsi="Cambria" w:eastAsia="宋体" w:cs="Times New Roman"/>
      <w:sz w:val="24"/>
      <w:szCs w:val="24"/>
    </w:rPr>
  </w:style>
  <w:style w:type="character" w:styleId="929" w:customStyle="1">
    <w:name w:val="标题 9 字符"/>
    <w:basedOn w:val="879"/>
    <w:link w:val="878"/>
    <w:uiPriority w:val="0"/>
    <w:qFormat/>
    <w:rPr>
      <w:rFonts w:ascii="Cambria" w:hAnsi="Cambria" w:eastAsia="宋体" w:cs="Times New Roman"/>
      <w:szCs w:val="21"/>
    </w:rPr>
  </w:style>
  <w:style w:type="character" w:styleId="930" w:customStyle="1">
    <w:name w:val="常规 Char"/>
    <w:link w:val="931"/>
    <w:uiPriority w:val="0"/>
    <w:qFormat/>
    <w:rPr>
      <w:rFonts w:eastAsia="宋体"/>
      <w:szCs w:val="21"/>
    </w:rPr>
  </w:style>
  <w:style w:type="paragraph" w:styleId="931" w:customStyle="1">
    <w:name w:val="常规"/>
    <w:basedOn w:val="869"/>
    <w:link w:val="930"/>
    <w:uiPriority w:val="0"/>
    <w:qFormat/>
    <w:pPr>
      <w:ind w:left="1134"/>
      <w:jc w:val="both"/>
      <w:widowControl w:val="off"/>
    </w:pPr>
    <w:rPr>
      <w:rFonts w:asciiTheme="minorHAnsi" w:hAnsiTheme="minorHAnsi" w:cstheme="minorBidi"/>
      <w:sz w:val="21"/>
      <w:szCs w:val="21"/>
    </w:rPr>
  </w:style>
  <w:style w:type="character" w:styleId="932" w:customStyle="1">
    <w:name w:val="标题 字符"/>
    <w:link w:val="904"/>
    <w:uiPriority w:val="10"/>
    <w:qFormat/>
    <w:rPr>
      <w:rFonts w:ascii="Cambria" w:hAnsi="Cambria" w:cs="Times New Roman"/>
      <w:b/>
      <w:bCs/>
      <w:sz w:val="32"/>
      <w:szCs w:val="32"/>
    </w:rPr>
  </w:style>
  <w:style w:type="character" w:styleId="933" w:customStyle="1">
    <w:name w:val="标题 Char1"/>
    <w:basedOn w:val="879"/>
    <w:uiPriority w:val="10"/>
    <w:qFormat/>
    <w:rPr>
      <w:rFonts w:eastAsia="宋体" w:asciiTheme="majorHAnsi" w:hAnsiTheme="majorHAnsi" w:cstheme="majorBidi"/>
      <w:b/>
      <w:bCs/>
      <w:sz w:val="32"/>
      <w:szCs w:val="32"/>
    </w:rPr>
  </w:style>
  <w:style w:type="character" w:styleId="934" w:customStyle="1">
    <w:name w:val="副标题 字符"/>
    <w:link w:val="898"/>
    <w:uiPriority w:val="11"/>
    <w:qFormat/>
    <w:rPr>
      <w:rFonts w:ascii="Cambria" w:hAnsi="Cambria" w:cs="Times New Roman"/>
      <w:b/>
      <w:bCs/>
      <w:sz w:val="32"/>
      <w:szCs w:val="32"/>
    </w:rPr>
  </w:style>
  <w:style w:type="character" w:styleId="935" w:customStyle="1">
    <w:name w:val="副标题 Char1"/>
    <w:basedOn w:val="879"/>
    <w:uiPriority w:val="11"/>
    <w:qFormat/>
    <w:rPr>
      <w:rFonts w:eastAsia="宋体" w:asciiTheme="majorHAnsi" w:hAnsiTheme="majorHAnsi" w:cstheme="majorBidi"/>
      <w:b/>
      <w:bCs/>
      <w:sz w:val="32"/>
      <w:szCs w:val="32"/>
    </w:rPr>
  </w:style>
  <w:style w:type="character" w:styleId="936" w:customStyle="1">
    <w:name w:val="正文文本缩进 2 字符"/>
    <w:link w:val="892"/>
    <w:uiPriority w:val="0"/>
    <w:qFormat/>
    <w:rPr>
      <w:spacing w:val="20"/>
      <w:szCs w:val="24"/>
    </w:rPr>
  </w:style>
  <w:style w:type="character" w:styleId="937" w:customStyle="1">
    <w:name w:val="正文文本缩进 2 Char1"/>
    <w:basedOn w:val="879"/>
    <w:uiPriority w:val="99"/>
    <w:semiHidden/>
    <w:qFormat/>
    <w:rPr>
      <w:rFonts w:ascii="Times New Roman" w:hAnsi="Times New Roman" w:eastAsia="宋体" w:cs="Times New Roman"/>
      <w:sz w:val="24"/>
      <w:szCs w:val="24"/>
    </w:rPr>
  </w:style>
  <w:style w:type="character" w:styleId="938" w:customStyle="1">
    <w:name w:val="批注主题 字符"/>
    <w:link w:val="905"/>
    <w:uiPriority w:val="99"/>
    <w:qFormat/>
    <w:rPr>
      <w:b/>
      <w:bCs/>
      <w:sz w:val="24"/>
      <w:szCs w:val="24"/>
    </w:rPr>
  </w:style>
  <w:style w:type="character" w:styleId="939" w:customStyle="1">
    <w:name w:val="批注文字 字符"/>
    <w:basedOn w:val="879"/>
    <w:link w:val="885"/>
    <w:uiPriority w:val="99"/>
    <w:qFormat/>
    <w:rPr>
      <w:rFonts w:ascii="Times New Roman" w:hAnsi="Times New Roman" w:eastAsia="宋体" w:cs="Times New Roman"/>
      <w:sz w:val="24"/>
      <w:szCs w:val="24"/>
    </w:rPr>
  </w:style>
  <w:style w:type="character" w:styleId="940" w:customStyle="1">
    <w:name w:val="批注主题 Char1"/>
    <w:basedOn w:val="939"/>
    <w:uiPriority w:val="99"/>
    <w:semiHidden/>
    <w:qFormat/>
    <w:rPr>
      <w:rFonts w:ascii="Times New Roman" w:hAnsi="Times New Roman" w:eastAsia="宋体" w:cs="Times New Roman"/>
      <w:b/>
      <w:bCs/>
      <w:sz w:val="24"/>
      <w:szCs w:val="24"/>
    </w:rPr>
  </w:style>
  <w:style w:type="character" w:styleId="941" w:customStyle="1">
    <w:name w:val="文档结构图 字符"/>
    <w:link w:val="884"/>
    <w:uiPriority w:val="99"/>
    <w:qFormat/>
    <w:rPr>
      <w:rFonts w:eastAsia="宋体"/>
      <w:sz w:val="24"/>
      <w:szCs w:val="24"/>
      <w:shd w:val="clear" w:color="auto" w:fill="000080"/>
    </w:rPr>
  </w:style>
  <w:style w:type="character" w:styleId="942" w:customStyle="1">
    <w:name w:val="文档结构图 Char1"/>
    <w:basedOn w:val="879"/>
    <w:uiPriority w:val="99"/>
    <w:semiHidden/>
    <w:qFormat/>
    <w:rPr>
      <w:rFonts w:ascii="宋体" w:hAnsi="Times New Roman" w:eastAsia="宋体" w:cs="Times New Roman"/>
      <w:sz w:val="18"/>
      <w:szCs w:val="18"/>
    </w:rPr>
  </w:style>
  <w:style w:type="character" w:styleId="943" w:customStyle="1">
    <w:name w:val="列表段落 字符"/>
    <w:link w:val="944"/>
    <w:uiPriority w:val="0"/>
    <w:qFormat/>
    <w:rPr>
      <w:szCs w:val="24"/>
    </w:rPr>
  </w:style>
  <w:style w:type="paragraph" w:styleId="944">
    <w:name w:val="List Paragraph"/>
    <w:basedOn w:val="869"/>
    <w:link w:val="943"/>
    <w:uiPriority w:val="34"/>
    <w:qFormat/>
    <w:pPr>
      <w:ind w:firstLine="420"/>
      <w:jc w:val="both"/>
      <w:widowControl w:val="off"/>
    </w:pPr>
    <w:rPr>
      <w:rFonts w:asciiTheme="minorHAnsi" w:hAnsiTheme="minorHAnsi" w:eastAsiaTheme="minorEastAsia" w:cstheme="minorBidi"/>
      <w:sz w:val="21"/>
    </w:rPr>
  </w:style>
  <w:style w:type="character" w:styleId="945" w:customStyle="1">
    <w:name w:val="正文文本 字符"/>
    <w:link w:val="886"/>
    <w:uiPriority w:val="0"/>
    <w:qFormat/>
    <w:rPr>
      <w:rFonts w:eastAsia="宋体"/>
      <w:sz w:val="24"/>
      <w:szCs w:val="24"/>
    </w:rPr>
  </w:style>
  <w:style w:type="character" w:styleId="946" w:customStyle="1">
    <w:name w:val="正文文本 Char1"/>
    <w:basedOn w:val="879"/>
    <w:uiPriority w:val="99"/>
    <w:semiHidden/>
    <w:qFormat/>
    <w:rPr>
      <w:rFonts w:ascii="Times New Roman" w:hAnsi="Times New Roman" w:eastAsia="宋体" w:cs="Times New Roman"/>
      <w:sz w:val="24"/>
      <w:szCs w:val="24"/>
    </w:rPr>
  </w:style>
  <w:style w:type="character" w:styleId="947" w:customStyle="1">
    <w:name w:val="正文文本 2 字符"/>
    <w:link w:val="901"/>
    <w:uiPriority w:val="0"/>
    <w:qFormat/>
    <w:rPr>
      <w:sz w:val="24"/>
      <w:szCs w:val="24"/>
    </w:rPr>
  </w:style>
  <w:style w:type="character" w:styleId="948" w:customStyle="1">
    <w:name w:val="正文文本 2 Char1"/>
    <w:basedOn w:val="879"/>
    <w:uiPriority w:val="99"/>
    <w:semiHidden/>
    <w:qFormat/>
    <w:rPr>
      <w:rFonts w:ascii="Times New Roman" w:hAnsi="Times New Roman" w:eastAsia="宋体" w:cs="Times New Roman"/>
      <w:sz w:val="24"/>
      <w:szCs w:val="24"/>
    </w:rPr>
  </w:style>
  <w:style w:type="character" w:styleId="949" w:customStyle="1">
    <w:name w:val="批注框文本 字符"/>
    <w:link w:val="893"/>
    <w:uiPriority w:val="99"/>
    <w:qFormat/>
    <w:rPr>
      <w:rFonts w:eastAsia="宋体"/>
      <w:sz w:val="18"/>
      <w:szCs w:val="18"/>
    </w:rPr>
  </w:style>
  <w:style w:type="character" w:styleId="950" w:customStyle="1">
    <w:name w:val="批注框文本 Char1"/>
    <w:basedOn w:val="879"/>
    <w:uiPriority w:val="99"/>
    <w:semiHidden/>
    <w:qFormat/>
    <w:rPr>
      <w:rFonts w:ascii="Times New Roman" w:hAnsi="Times New Roman" w:eastAsia="宋体" w:cs="Times New Roman"/>
      <w:sz w:val="18"/>
      <w:szCs w:val="18"/>
    </w:rPr>
  </w:style>
  <w:style w:type="character" w:styleId="951" w:customStyle="1">
    <w:name w:val="DT T-Body Char"/>
    <w:link w:val="952"/>
    <w:uiPriority w:val="99"/>
    <w:qFormat/>
    <w:rPr>
      <w:rFonts w:ascii="Trebuchet MS" w:hAnsi="Trebuchet MS"/>
      <w:sz w:val="22"/>
      <w:lang w:val="en-GB" w:eastAsia="en-US"/>
    </w:rPr>
  </w:style>
  <w:style w:type="paragraph" w:styleId="952" w:customStyle="1">
    <w:name w:val="DT T-Body"/>
    <w:link w:val="951"/>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3" w:customStyle="1">
    <w:name w:val="正文首行缩进两字 Char"/>
    <w:link w:val="954"/>
    <w:uiPriority w:val="0"/>
    <w:qFormat/>
    <w:rPr>
      <w:sz w:val="24"/>
      <w:szCs w:val="24"/>
      <w:lang w:eastAsia="ar-SA"/>
    </w:rPr>
  </w:style>
  <w:style w:type="paragraph" w:styleId="954" w:customStyle="1">
    <w:name w:val="正文首行缩进两字"/>
    <w:link w:val="953"/>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5" w:customStyle="1">
    <w:name w:val="Plain Text Char"/>
    <w:link w:val="956"/>
    <w:uiPriority w:val="0"/>
    <w:qFormat/>
    <w:rPr>
      <w:rFonts w:ascii="宋体" w:hAnsi="Courier New" w:eastAsia="楷体_GB2312"/>
      <w:sz w:val="26"/>
    </w:rPr>
  </w:style>
  <w:style w:type="paragraph" w:styleId="956" w:customStyle="1">
    <w:name w:val="纯文本1"/>
    <w:basedOn w:val="869"/>
    <w:link w:val="955"/>
    <w:uiPriority w:val="0"/>
    <w:qFormat/>
    <w:pPr>
      <w:jc w:val="both"/>
      <w:widowControl w:val="off"/>
    </w:pPr>
    <w:rPr>
      <w:rFonts w:ascii="宋体" w:hAnsi="Courier New" w:eastAsia="楷体_GB2312" w:cstheme="minorBidi"/>
      <w:sz w:val="26"/>
      <w:szCs w:val="22"/>
    </w:rPr>
  </w:style>
  <w:style w:type="character" w:styleId="957" w:customStyle="1">
    <w:name w:val="脚注文本 字符"/>
    <w:link w:val="899"/>
    <w:uiPriority w:val="99"/>
    <w:qFormat/>
    <w:rPr>
      <w:sz w:val="18"/>
      <w:szCs w:val="18"/>
    </w:rPr>
  </w:style>
  <w:style w:type="character" w:styleId="958" w:customStyle="1">
    <w:name w:val="脚注文本 Char1"/>
    <w:basedOn w:val="879"/>
    <w:uiPriority w:val="99"/>
    <w:qFormat/>
    <w:rPr>
      <w:rFonts w:ascii="Times New Roman" w:hAnsi="Times New Roman" w:eastAsia="宋体" w:cs="Times New Roman"/>
      <w:sz w:val="18"/>
      <w:szCs w:val="18"/>
    </w:rPr>
  </w:style>
  <w:style w:type="character" w:styleId="959" w:customStyle="1">
    <w:name w:val="样式7 Char"/>
    <w:link w:val="960"/>
    <w:uiPriority w:val="0"/>
    <w:qFormat/>
    <w:rPr>
      <w:rFonts w:ascii="Cambria" w:hAnsi="Cambria" w:eastAsia="宋体" w:cs="Times New Roman"/>
      <w:b/>
      <w:bCs/>
      <w:sz w:val="28"/>
      <w:szCs w:val="28"/>
    </w:rPr>
  </w:style>
  <w:style w:type="paragraph" w:styleId="960" w:customStyle="1">
    <w:name w:val="样式7"/>
    <w:basedOn w:val="873"/>
    <w:link w:val="959"/>
    <w:uiPriority w:val="0"/>
    <w:qFormat/>
    <w:pPr>
      <w:ind w:left="3558" w:hanging="864"/>
      <w:jc w:val="both"/>
      <w:widowControl w:val="off"/>
    </w:pPr>
    <w:rPr>
      <w:rFonts w:ascii="Cambria" w:hAnsi="Cambria" w:eastAsia="宋体"/>
    </w:rPr>
  </w:style>
  <w:style w:type="character" w:styleId="961" w:customStyle="1">
    <w:name w:val="+正文 Char3"/>
    <w:link w:val="962"/>
    <w:uiPriority w:val="0"/>
    <w:qFormat/>
    <w:rPr>
      <w:sz w:val="24"/>
    </w:rPr>
  </w:style>
  <w:style w:type="paragraph" w:styleId="962" w:customStyle="1">
    <w:name w:val="+正文"/>
    <w:basedOn w:val="869"/>
    <w:link w:val="961"/>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3" w:customStyle="1">
    <w:name w:val="Item List Char"/>
    <w:link w:val="964"/>
    <w:uiPriority w:val="0"/>
    <w:qFormat/>
    <w:rPr>
      <w:rFonts w:eastAsia="宋体"/>
      <w:szCs w:val="24"/>
    </w:rPr>
  </w:style>
  <w:style w:type="paragraph" w:styleId="964" w:customStyle="1">
    <w:name w:val="Item List"/>
    <w:basedOn w:val="869"/>
    <w:link w:val="963"/>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5" w:customStyle="1">
    <w:name w:val="表格 Char Char"/>
    <w:link w:val="966"/>
    <w:uiPriority w:val="0"/>
    <w:qFormat/>
    <w:rPr>
      <w:rFonts w:ascii="宋体" w:hAnsi="宋体"/>
    </w:rPr>
  </w:style>
  <w:style w:type="paragraph" w:styleId="966" w:customStyle="1">
    <w:name w:val="表格"/>
    <w:basedOn w:val="869"/>
    <w:link w:val="965"/>
    <w:uiPriority w:val="0"/>
    <w:qFormat/>
    <w:pPr>
      <w:jc w:val="both"/>
      <w:widowControl w:val="off"/>
    </w:pPr>
    <w:rPr>
      <w:rFonts w:ascii="宋体" w:hAnsi="宋体" w:eastAsiaTheme="minorEastAsia" w:cstheme="minorBidi"/>
      <w:sz w:val="21"/>
      <w:szCs w:val="22"/>
    </w:rPr>
  </w:style>
  <w:style w:type="character" w:styleId="967" w:customStyle="1">
    <w:name w:val="访问过的超链接1"/>
    <w:uiPriority w:val="0"/>
    <w:qFormat/>
    <w:rPr>
      <w:color w:val="800080"/>
      <w:u w:val="single"/>
    </w:rPr>
  </w:style>
  <w:style w:type="character" w:styleId="968" w:customStyle="1">
    <w:name w:val="Char Char3"/>
    <w:uiPriority w:val="0"/>
    <w:qFormat/>
    <w:rPr>
      <w:rFonts w:eastAsia="宋体"/>
      <w:sz w:val="24"/>
      <w:szCs w:val="24"/>
      <w:lang w:val="en-US" w:eastAsia="zh-CN" w:bidi="ar-SA"/>
    </w:rPr>
  </w:style>
  <w:style w:type="character" w:styleId="969" w:customStyle="1">
    <w:name w:val="Char Char31"/>
    <w:uiPriority w:val="0"/>
    <w:qFormat/>
    <w:rPr>
      <w:rFonts w:eastAsia="宋体"/>
      <w:sz w:val="24"/>
      <w:szCs w:val="24"/>
      <w:lang w:val="en-US" w:eastAsia="zh-CN" w:bidi="ar-SA"/>
    </w:rPr>
  </w:style>
  <w:style w:type="character" w:styleId="970" w:customStyle="1">
    <w:name w:val="Table Text Char1"/>
    <w:link w:val="971"/>
    <w:uiPriority w:val="0"/>
    <w:qFormat/>
    <w:rPr>
      <w:rFonts w:ascii="Arial" w:hAnsi="Arial" w:cs="Arial"/>
      <w:sz w:val="18"/>
      <w:szCs w:val="18"/>
    </w:rPr>
  </w:style>
  <w:style w:type="paragraph" w:styleId="971" w:customStyle="1">
    <w:name w:val="Table Text"/>
    <w:link w:val="970"/>
    <w:uiPriority w:val="0"/>
    <w:qFormat/>
    <w:pPr>
      <w:spacing w:before="80" w:after="80"/>
    </w:pPr>
    <w:rPr>
      <w:rFonts w:ascii="Arial" w:hAnsi="Arial" w:cs="Arial" w:eastAsiaTheme="minorEastAsia"/>
      <w:sz w:val="18"/>
      <w:szCs w:val="18"/>
      <w:lang w:val="en-US" w:eastAsia="zh-CN" w:bidi="ar-SA"/>
    </w:rPr>
  </w:style>
  <w:style w:type="character" w:styleId="972" w:customStyle="1">
    <w:name w:val="Andy_正文 Char"/>
    <w:link w:val="973"/>
    <w:uiPriority w:val="0"/>
    <w:qFormat/>
    <w:rPr>
      <w:rFonts w:ascii="Calibri" w:hAnsi="Calibri"/>
      <w:sz w:val="24"/>
      <w:szCs w:val="24"/>
    </w:rPr>
  </w:style>
  <w:style w:type="paragraph" w:styleId="973" w:customStyle="1">
    <w:name w:val="Andy_正文"/>
    <w:basedOn w:val="869"/>
    <w:link w:val="972"/>
    <w:uiPriority w:val="0"/>
    <w:qFormat/>
    <w:pPr>
      <w:ind w:firstLine="480"/>
      <w:jc w:val="both"/>
      <w:spacing w:line="360" w:lineRule="auto"/>
      <w:widowControl w:val="off"/>
    </w:pPr>
    <w:rPr>
      <w:rFonts w:ascii="Calibri" w:hAnsi="Calibri" w:eastAsiaTheme="minorEastAsia" w:cstheme="minorBidi"/>
    </w:rPr>
  </w:style>
  <w:style w:type="character" w:styleId="974" w:customStyle="1">
    <w:name w:val="纯文本 字符"/>
    <w:link w:val="890"/>
    <w:uiPriority w:val="99"/>
    <w:qFormat/>
    <w:rPr>
      <w:rFonts w:ascii="宋体" w:hAnsi="Courier New" w:eastAsia="宋体" w:cs="Courier New"/>
      <w:szCs w:val="21"/>
    </w:rPr>
  </w:style>
  <w:style w:type="character" w:styleId="975" w:customStyle="1">
    <w:name w:val="纯文本 Char1"/>
    <w:basedOn w:val="879"/>
    <w:uiPriority w:val="99"/>
    <w:semiHidden/>
    <w:qFormat/>
    <w:rPr>
      <w:rFonts w:ascii="宋体" w:hAnsi="Courier New" w:eastAsia="宋体" w:cs="Courier New"/>
      <w:szCs w:val="21"/>
    </w:rPr>
  </w:style>
  <w:style w:type="character" w:styleId="976" w:customStyle="1">
    <w:name w:val="Figure Char"/>
    <w:link w:val="977"/>
    <w:uiPriority w:val="0"/>
    <w:qFormat/>
    <w:rPr>
      <w:rFonts w:eastAsia="宋体"/>
      <w:szCs w:val="24"/>
    </w:rPr>
  </w:style>
  <w:style w:type="paragraph" w:styleId="977" w:customStyle="1">
    <w:name w:val="Figure"/>
    <w:basedOn w:val="869"/>
    <w:next w:val="869"/>
    <w:link w:val="976"/>
    <w:uiPriority w:val="0"/>
    <w:qFormat/>
    <w:pPr>
      <w:jc w:val="center"/>
      <w:keepLines/>
      <w:keepNext/>
      <w:widowControl w:val="off"/>
    </w:pPr>
    <w:rPr>
      <w:rFonts w:asciiTheme="minorHAnsi" w:hAnsiTheme="minorHAnsi" w:cstheme="minorBidi"/>
      <w:sz w:val="21"/>
    </w:rPr>
  </w:style>
  <w:style w:type="character" w:styleId="978" w:customStyle="1">
    <w:name w:val="正文文本缩进 字符"/>
    <w:link w:val="887"/>
    <w:uiPriority w:val="0"/>
    <w:qFormat/>
    <w:rPr>
      <w:spacing w:val="20"/>
      <w:szCs w:val="24"/>
    </w:rPr>
  </w:style>
  <w:style w:type="character" w:styleId="979" w:customStyle="1">
    <w:name w:val="正文文本缩进 Char1"/>
    <w:basedOn w:val="879"/>
    <w:uiPriority w:val="99"/>
    <w:semiHidden/>
    <w:qFormat/>
    <w:rPr>
      <w:rFonts w:ascii="Times New Roman" w:hAnsi="Times New Roman" w:eastAsia="宋体" w:cs="Times New Roman"/>
      <w:sz w:val="24"/>
      <w:szCs w:val="24"/>
    </w:rPr>
  </w:style>
  <w:style w:type="paragraph" w:styleId="980"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2" w:customStyle="1">
    <w:name w:val="Char1"/>
    <w:basedOn w:val="869"/>
    <w:uiPriority w:val="0"/>
    <w:qFormat/>
    <w:pPr>
      <w:jc w:val="both"/>
      <w:widowControl w:val="off"/>
    </w:pPr>
    <w:rPr>
      <w:rFonts w:ascii="Tahoma" w:hAnsi="Tahoma"/>
      <w:szCs w:val="20"/>
    </w:rPr>
  </w:style>
  <w:style w:type="paragraph" w:styleId="983" w:customStyle="1">
    <w:name w:val="列表内容"/>
    <w:basedOn w:val="869"/>
    <w:next w:val="869"/>
    <w:uiPriority w:val="0"/>
    <w:qFormat/>
    <w:pPr>
      <w:ind w:left="840" w:hanging="420"/>
      <w:tabs>
        <w:tab w:val="left" w:pos="840" w:leader="none"/>
      </w:tabs>
    </w:pPr>
    <w:rPr>
      <w:sz w:val="18"/>
    </w:rPr>
  </w:style>
  <w:style w:type="paragraph" w:styleId="984" w:customStyle="1">
    <w:name w:val="表身（中）"/>
    <w:basedOn w:val="869"/>
    <w:uiPriority w:val="0"/>
    <w:qFormat/>
    <w:pPr>
      <w:jc w:val="center"/>
      <w:spacing w:line="300" w:lineRule="auto"/>
    </w:pPr>
    <w:rPr>
      <w:sz w:val="18"/>
      <w:szCs w:val="20"/>
    </w:rPr>
  </w:style>
  <w:style w:type="paragraph" w:styleId="985" w:customStyle="1">
    <w:name w:val="Char Char Char1 Char Char Char Char"/>
    <w:basedOn w:val="869"/>
    <w:uiPriority w:val="0"/>
    <w:qFormat/>
    <w:pPr>
      <w:spacing w:after="160" w:line="240" w:lineRule="exact"/>
    </w:pPr>
  </w:style>
  <w:style w:type="paragraph" w:styleId="986" w:customStyle="1">
    <w:name w:val="Char Char Char Char Char Char Char Char Char1 Char"/>
    <w:basedOn w:val="884"/>
    <w:uiPriority w:val="0"/>
    <w:qFormat/>
    <w:pPr>
      <w:jc w:val="both"/>
      <w:spacing w:line="360" w:lineRule="auto"/>
      <w:widowControl w:val="off"/>
    </w:pPr>
    <w:rPr>
      <w:rFonts w:ascii="Tahoma" w:hAnsi="Tahoma"/>
    </w:rPr>
  </w:style>
  <w:style w:type="paragraph" w:styleId="987" w:customStyle="1">
    <w:name w:val="Char"/>
    <w:basedOn w:val="884"/>
    <w:uiPriority w:val="0"/>
    <w:qFormat/>
    <w:pPr>
      <w:jc w:val="both"/>
      <w:spacing w:line="360" w:lineRule="auto"/>
      <w:widowControl w:val="off"/>
    </w:pPr>
    <w:rPr>
      <w:sz w:val="21"/>
    </w:rPr>
  </w:style>
  <w:style w:type="paragraph" w:styleId="988" w:customStyle="1">
    <w:name w:val="a1"/>
    <w:basedOn w:val="869"/>
    <w:uiPriority w:val="0"/>
    <w:qFormat/>
    <w:pPr>
      <w:spacing w:before="100" w:beforeAutospacing="1" w:after="100" w:afterAutospacing="1"/>
    </w:pPr>
    <w:rPr>
      <w:rFonts w:ascii="宋体" w:hAnsi="宋体" w:cs="宋体"/>
    </w:rPr>
  </w:style>
  <w:style w:type="paragraph" w:styleId="989" w:customStyle="1">
    <w:name w:val="H-TextFormat"/>
    <w:uiPriority w:val="0"/>
    <w:qFormat/>
    <w:rPr>
      <w:rFonts w:ascii="Arial" w:hAnsi="Arial" w:eastAsia="宋体" w:cs="Times New Roman"/>
      <w:sz w:val="22"/>
      <w:lang w:val="en-GB" w:eastAsia="en-US" w:bidi="ar-SA"/>
    </w:rPr>
  </w:style>
  <w:style w:type="paragraph" w:styleId="990" w:customStyle="1">
    <w:name w:val="1"/>
    <w:basedOn w:val="884"/>
    <w:uiPriority w:val="0"/>
    <w:qFormat/>
    <w:pPr>
      <w:spacing w:line="360" w:lineRule="auto"/>
    </w:pPr>
  </w:style>
  <w:style w:type="paragraph" w:styleId="991" w:customStyle="1">
    <w:name w:val="纯文本2"/>
    <w:basedOn w:val="869"/>
    <w:uiPriority w:val="0"/>
    <w:qFormat/>
    <w:pPr>
      <w:jc w:val="both"/>
      <w:widowControl w:val="off"/>
    </w:pPr>
    <w:rPr>
      <w:rFonts w:ascii="宋体" w:hAnsi="Courier New" w:eastAsia="楷体_GB2312"/>
      <w:sz w:val="26"/>
      <w:szCs w:val="20"/>
    </w:rPr>
  </w:style>
  <w:style w:type="paragraph" w:styleId="992" w:customStyle="1">
    <w:name w:val="Char Char Char Char Char Char Char Char Char1 Char11"/>
    <w:basedOn w:val="884"/>
    <w:uiPriority w:val="0"/>
    <w:qFormat/>
    <w:pPr>
      <w:jc w:val="both"/>
      <w:spacing w:line="360" w:lineRule="auto"/>
      <w:widowControl w:val="off"/>
    </w:pPr>
    <w:rPr>
      <w:rFonts w:ascii="Tahoma" w:hAnsi="Tahoma"/>
    </w:rPr>
  </w:style>
  <w:style w:type="paragraph" w:styleId="993" w:customStyle="1">
    <w:name w:val="Char21"/>
    <w:basedOn w:val="869"/>
    <w:uiPriority w:val="0"/>
    <w:qFormat/>
    <w:pPr>
      <w:jc w:val="both"/>
      <w:widowControl w:val="off"/>
    </w:pPr>
    <w:rPr>
      <w:rFonts w:ascii="Tahoma" w:hAnsi="Tahoma" w:cs="Tahoma"/>
    </w:rPr>
  </w:style>
  <w:style w:type="paragraph" w:styleId="994" w:customStyle="1">
    <w:name w:val="Char Char Char Char"/>
    <w:basedOn w:val="884"/>
    <w:uiPriority w:val="0"/>
    <w:qFormat/>
    <w:pPr>
      <w:jc w:val="both"/>
      <w:spacing w:line="360" w:lineRule="auto"/>
      <w:widowControl w:val="off"/>
    </w:pPr>
    <w:rPr>
      <w:szCs w:val="20"/>
    </w:rPr>
  </w:style>
  <w:style w:type="paragraph" w:styleId="995" w:customStyle="1">
    <w:name w:val="表格标题"/>
    <w:basedOn w:val="869"/>
    <w:uiPriority w:val="0"/>
    <w:qFormat/>
    <w:pPr>
      <w:jc w:val="center"/>
      <w:widowControl w:val="off"/>
    </w:pPr>
    <w:rPr>
      <w:rFonts w:ascii="宋体" w:hAnsi="宋体" w:cs="宋体"/>
      <w:b/>
      <w:bCs/>
      <w:color w:val="000000"/>
      <w:sz w:val="22"/>
      <w:szCs w:val="20"/>
    </w:rPr>
  </w:style>
  <w:style w:type="paragraph" w:styleId="996" w:customStyle="1">
    <w:name w:val="表格正文"/>
    <w:basedOn w:val="869"/>
    <w:uiPriority w:val="0"/>
    <w:qFormat/>
    <w:pPr>
      <w:widowControl w:val="off"/>
    </w:pPr>
    <w:rPr>
      <w:rFonts w:ascii="宋体" w:hAnsi="宋体" w:cs="宋体"/>
      <w:color w:val="000000"/>
      <w:sz w:val="22"/>
      <w:szCs w:val="20"/>
    </w:rPr>
  </w:style>
  <w:style w:type="paragraph" w:styleId="997" w:customStyle="1">
    <w:name w:val="p25"/>
    <w:basedOn w:val="869"/>
    <w:uiPriority w:val="0"/>
    <w:qFormat/>
    <w:rPr>
      <w:rFonts w:ascii="宋体" w:hAnsi="宋体" w:cs="宋体"/>
      <w:sz w:val="26"/>
      <w:szCs w:val="26"/>
    </w:rPr>
  </w:style>
  <w:style w:type="paragraph" w:styleId="998" w:customStyle="1">
    <w:name w:val="Char2"/>
    <w:basedOn w:val="884"/>
    <w:uiPriority w:val="0"/>
    <w:qFormat/>
    <w:pPr>
      <w:jc w:val="both"/>
      <w:spacing w:line="360" w:lineRule="auto"/>
      <w:widowControl w:val="off"/>
    </w:pPr>
    <w:rPr>
      <w:sz w:val="21"/>
    </w:rPr>
  </w:style>
  <w:style w:type="paragraph" w:styleId="999" w:customStyle="1">
    <w:name w:val="_Style 12"/>
    <w:basedOn w:val="884"/>
    <w:uiPriority w:val="0"/>
    <w:qFormat/>
    <w:pPr>
      <w:spacing w:line="360" w:lineRule="auto"/>
    </w:pPr>
  </w:style>
  <w:style w:type="paragraph" w:styleId="1000" w:customStyle="1">
    <w:name w:val="Char Char Char Char Char Char Char Char Char1 Char1"/>
    <w:basedOn w:val="884"/>
    <w:uiPriority w:val="0"/>
    <w:qFormat/>
    <w:pPr>
      <w:jc w:val="both"/>
      <w:spacing w:line="360" w:lineRule="auto"/>
      <w:widowControl w:val="off"/>
    </w:pPr>
    <w:rPr>
      <w:rFonts w:ascii="Tahoma" w:hAnsi="Tahoma"/>
    </w:rPr>
  </w:style>
  <w:style w:type="paragraph" w:styleId="1001" w:customStyle="1">
    <w:name w:val="Char Char Char1"/>
    <w:basedOn w:val="869"/>
    <w:uiPriority w:val="0"/>
    <w:qFormat/>
    <w:pPr>
      <w:ind w:left="795" w:hanging="360"/>
      <w:jc w:val="both"/>
      <w:widowControl w:val="off"/>
      <w:tabs>
        <w:tab w:val="left" w:pos="795" w:leader="none"/>
        <w:tab w:val="left" w:pos="840" w:leader="none"/>
      </w:tabs>
    </w:pPr>
    <w:rPr>
      <w:sz w:val="21"/>
      <w:szCs w:val="20"/>
    </w:rPr>
  </w:style>
  <w:style w:type="paragraph" w:styleId="1002" w:customStyle="1">
    <w:name w:val="a2"/>
    <w:basedOn w:val="869"/>
    <w:uiPriority w:val="0"/>
    <w:qFormat/>
    <w:pPr>
      <w:spacing w:before="100" w:beforeAutospacing="1" w:after="100" w:afterAutospacing="1"/>
    </w:pPr>
    <w:rPr>
      <w:rFonts w:ascii="宋体" w:hAnsi="宋体" w:cs="宋体"/>
    </w:rPr>
  </w:style>
  <w:style w:type="paragraph" w:styleId="1003" w:customStyle="1">
    <w:name w:val="Char Char Char"/>
    <w:basedOn w:val="869"/>
    <w:uiPriority w:val="0"/>
    <w:qFormat/>
    <w:pPr>
      <w:ind w:left="795" w:hanging="360"/>
      <w:jc w:val="both"/>
      <w:widowControl w:val="off"/>
      <w:tabs>
        <w:tab w:val="left" w:pos="795" w:leader="none"/>
      </w:tabs>
    </w:pPr>
  </w:style>
  <w:style w:type="paragraph" w:styleId="1004" w:customStyle="1">
    <w:name w:val="列出段落2"/>
    <w:basedOn w:val="869"/>
    <w:uiPriority w:val="0"/>
    <w:qFormat/>
    <w:pPr>
      <w:ind w:firstLine="420"/>
      <w:jc w:val="both"/>
      <w:widowControl w:val="off"/>
    </w:pPr>
    <w:rPr>
      <w:sz w:val="21"/>
      <w:szCs w:val="20"/>
    </w:rPr>
  </w:style>
  <w:style w:type="paragraph" w:styleId="1005"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1006" w:customStyle="1">
    <w:name w:val="xl33"/>
    <w:basedOn w:val="869"/>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CM37"/>
    <w:basedOn w:val="869"/>
    <w:next w:val="869"/>
    <w:uiPriority w:val="0"/>
    <w:qFormat/>
    <w:pPr>
      <w:spacing w:after="533"/>
      <w:widowControl w:val="off"/>
    </w:pPr>
    <w:rPr>
      <w:rFonts w:ascii="宋体"/>
    </w:rPr>
  </w:style>
  <w:style w:type="paragraph" w:styleId="1008" w:customStyle="1">
    <w:name w:val="MyPoints"/>
    <w:basedOn w:val="869"/>
    <w:uiPriority w:val="0"/>
    <w:qFormat/>
    <w:pPr>
      <w:ind w:left="936" w:hanging="360"/>
    </w:pPr>
    <w:rPr>
      <w:rFonts w:ascii="Century Gothic" w:hAnsi="Century Gothic"/>
      <w:sz w:val="20"/>
      <w:szCs w:val="20"/>
      <w:lang w:val="en-GB" w:eastAsia="en-US"/>
    </w:rPr>
  </w:style>
  <w:style w:type="paragraph" w:styleId="1009"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0" w:customStyle="1">
    <w:name w:val="p0"/>
    <w:basedOn w:val="869"/>
    <w:uiPriority w:val="0"/>
    <w:qFormat/>
    <w:pPr>
      <w:jc w:val="both"/>
    </w:pPr>
    <w:rPr>
      <w:sz w:val="21"/>
      <w:szCs w:val="21"/>
    </w:rPr>
  </w:style>
  <w:style w:type="paragraph" w:styleId="1011" w:customStyle="1">
    <w:name w:val="_Style 3"/>
    <w:basedOn w:val="869"/>
    <w:uiPriority w:val="0"/>
    <w:qFormat/>
    <w:pPr>
      <w:ind w:left="795" w:hanging="360"/>
      <w:jc w:val="both"/>
      <w:widowControl w:val="off"/>
      <w:tabs>
        <w:tab w:val="left" w:pos="540" w:leader="none"/>
      </w:tabs>
    </w:pPr>
  </w:style>
  <w:style w:type="paragraph" w:styleId="1012" w:customStyle="1">
    <w:name w:val="_Style 71"/>
    <w:basedOn w:val="869"/>
    <w:uiPriority w:val="0"/>
    <w:qFormat/>
    <w:pPr>
      <w:ind w:firstLine="420"/>
      <w:jc w:val="both"/>
      <w:widowControl w:val="off"/>
    </w:pPr>
    <w:rPr>
      <w:sz w:val="21"/>
    </w:rPr>
  </w:style>
  <w:style w:type="paragraph" w:styleId="1013"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4" w:customStyle="1">
    <w:name w:val="Char11"/>
    <w:basedOn w:val="869"/>
    <w:uiPriority w:val="0"/>
    <w:qFormat/>
    <w:pPr>
      <w:jc w:val="both"/>
      <w:widowControl w:val="off"/>
    </w:pPr>
    <w:rPr>
      <w:rFonts w:ascii="Tahoma" w:hAnsi="Tahoma"/>
      <w:szCs w:val="20"/>
    </w:rPr>
  </w:style>
  <w:style w:type="paragraph" w:styleId="1015" w:customStyle="1">
    <w:name w:val="列出段落1"/>
    <w:basedOn w:val="869"/>
    <w:uiPriority w:val="0"/>
    <w:qFormat/>
    <w:pPr>
      <w:ind w:firstLine="420"/>
      <w:jc w:val="both"/>
      <w:widowControl w:val="off"/>
    </w:pPr>
    <w:rPr>
      <w:rFonts w:ascii="Calibri" w:hAnsi="Calibri"/>
      <w:sz w:val="21"/>
      <w:szCs w:val="22"/>
    </w:rPr>
  </w:style>
  <w:style w:type="paragraph" w:styleId="1016" w:customStyle="1">
    <w:name w:val="Char Char Char1 Char Char Char Char1"/>
    <w:basedOn w:val="869"/>
    <w:uiPriority w:val="0"/>
    <w:qFormat/>
    <w:pPr>
      <w:spacing w:after="160" w:line="240" w:lineRule="exact"/>
    </w:pPr>
  </w:style>
  <w:style w:type="paragraph" w:styleId="1017" w:customStyle="1">
    <w:name w:val="样式 首行缩进:  1.48 厘米"/>
    <w:basedOn w:val="869"/>
    <w:uiPriority w:val="0"/>
    <w:qFormat/>
    <w:pPr>
      <w:ind w:firstLine="200"/>
      <w:jc w:val="both"/>
      <w:spacing w:line="288" w:lineRule="auto"/>
      <w:widowControl w:val="off"/>
    </w:pPr>
    <w:rPr>
      <w:rFonts w:ascii="宋体" w:cs="宋体"/>
      <w:color w:val="000000"/>
      <w:sz w:val="21"/>
      <w:szCs w:val="20"/>
      <w:lang w:val="zh-CN"/>
    </w:rPr>
  </w:style>
  <w:style w:type="paragraph" w:styleId="1018" w:customStyle="1">
    <w:name w:val="p17"/>
    <w:basedOn w:val="869"/>
    <w:uiPriority w:val="0"/>
    <w:qFormat/>
    <w:pPr>
      <w:ind w:firstLine="420"/>
    </w:pPr>
    <w:rPr>
      <w:rFonts w:ascii="宋体" w:hAnsi="宋体" w:cs="宋体"/>
    </w:rPr>
  </w:style>
  <w:style w:type="paragraph" w:styleId="1019" w:customStyle="1">
    <w:name w:val="NormalParagraphStyle"/>
    <w:basedOn w:val="869"/>
    <w:uiPriority w:val="0"/>
    <w:qFormat/>
    <w:pPr>
      <w:jc w:val="both"/>
      <w:spacing w:line="288" w:lineRule="auto"/>
      <w:widowControl w:val="off"/>
    </w:pPr>
    <w:rPr>
      <w:rFonts w:ascii="宋体" w:cs="宋体"/>
      <w:color w:val="000000"/>
      <w:lang w:val="zh-CN"/>
    </w:rPr>
  </w:style>
  <w:style w:type="paragraph" w:styleId="1020" w:customStyle="1">
    <w:name w:val="Item Step"/>
    <w:basedOn w:val="869"/>
    <w:uiPriority w:val="0"/>
    <w:qFormat/>
    <w:pPr>
      <w:ind w:left="1554" w:hanging="420"/>
      <w:tabs>
        <w:tab w:val="left" w:pos="1134" w:leader="none"/>
      </w:tabs>
    </w:pPr>
    <w:rPr>
      <w:sz w:val="21"/>
    </w:rPr>
  </w:style>
  <w:style w:type="paragraph" w:styleId="1021" w:customStyle="1">
    <w:name w:val="列出段落11"/>
    <w:basedOn w:val="869"/>
    <w:uiPriority w:val="34"/>
    <w:qFormat/>
    <w:pPr>
      <w:ind w:firstLine="420"/>
      <w:jc w:val="both"/>
      <w:widowControl w:val="off"/>
    </w:pPr>
    <w:rPr>
      <w:rFonts w:ascii="Calibri" w:hAnsi="Calibri"/>
      <w:sz w:val="21"/>
      <w:szCs w:val="22"/>
    </w:rPr>
  </w:style>
  <w:style w:type="paragraph" w:styleId="1022" w:customStyle="1">
    <w:name w:val="Char Char Char2"/>
    <w:basedOn w:val="869"/>
    <w:uiPriority w:val="0"/>
    <w:qFormat/>
    <w:pPr>
      <w:ind w:left="795" w:hanging="360"/>
      <w:jc w:val="both"/>
      <w:widowControl w:val="off"/>
      <w:tabs>
        <w:tab w:val="left" w:pos="795" w:leader="none"/>
      </w:tabs>
    </w:pPr>
  </w:style>
  <w:style w:type="paragraph" w:styleId="1023" w:customStyle="1">
    <w:name w:val="font5"/>
    <w:basedOn w:val="869"/>
    <w:uiPriority w:val="0"/>
    <w:qFormat/>
    <w:pPr>
      <w:spacing w:before="100" w:beforeAutospacing="1" w:after="100" w:afterAutospacing="1"/>
    </w:pPr>
    <w:rPr>
      <w:rFonts w:ascii="宋体" w:hAnsi="宋体" w:cs="宋体"/>
      <w:sz w:val="18"/>
      <w:szCs w:val="18"/>
    </w:rPr>
  </w:style>
  <w:style w:type="paragraph" w:styleId="1024" w:customStyle="1">
    <w:name w:val="xl63"/>
    <w:basedOn w:val="86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5" w:customStyle="1">
    <w:name w:val="xl64"/>
    <w:basedOn w:val="86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6" w:customStyle="1">
    <w:name w:val="xl65"/>
    <w:basedOn w:val="86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7" w:customStyle="1">
    <w:name w:val="xl66"/>
    <w:basedOn w:val="86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8" w:customStyle="1">
    <w:name w:val="xl67"/>
    <w:basedOn w:val="869"/>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9" w:customStyle="1">
    <w:name w:val="xl68"/>
    <w:basedOn w:val="869"/>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0" w:customStyle="1">
    <w:name w:val="xl69"/>
    <w:basedOn w:val="869"/>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1" w:customStyle="1">
    <w:name w:val="xl70"/>
    <w:basedOn w:val="869"/>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2" w:customStyle="1">
    <w:name w:val="纯文本3"/>
    <w:basedOn w:val="869"/>
    <w:uiPriority w:val="0"/>
    <w:qFormat/>
    <w:pPr>
      <w:jc w:val="both"/>
      <w:widowControl w:val="off"/>
    </w:pPr>
    <w:rPr>
      <w:rFonts w:ascii="宋体" w:hAnsi="Courier New" w:eastAsia="楷体_GB2312"/>
      <w:sz w:val="26"/>
      <w:szCs w:val="20"/>
    </w:rPr>
  </w:style>
  <w:style w:type="paragraph" w:styleId="103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4" w:customStyle="1">
    <w:name w:val="正文缩进 Char1"/>
    <w:uiPriority w:val="0"/>
    <w:qFormat/>
    <w:rPr>
      <w:rFonts w:eastAsia="宋体"/>
    </w:rPr>
  </w:style>
  <w:style w:type="character" w:styleId="1035" w:customStyle="1">
    <w:name w:val="font21"/>
    <w:basedOn w:val="879"/>
    <w:uiPriority w:val="0"/>
    <w:qFormat/>
    <w:rPr>
      <w:rFonts w:hint="eastAsia" w:ascii="宋体" w:hAnsi="宋体" w:eastAsia="宋体" w:cs="宋体"/>
      <w:color w:val="000000"/>
      <w:sz w:val="22"/>
      <w:szCs w:val="22"/>
      <w:u w:val="none"/>
    </w:rPr>
  </w:style>
  <w:style w:type="character" w:styleId="1036" w:customStyle="1">
    <w:name w:val="HTML 预设格式 字符"/>
    <w:basedOn w:val="879"/>
    <w:link w:val="902"/>
    <w:uiPriority w:val="99"/>
    <w:qFormat/>
    <w:rPr>
      <w:rFonts w:ascii="宋体" w:hAnsi="宋体" w:eastAsia="宋体" w:cs="宋体"/>
      <w:sz w:val="24"/>
      <w:szCs w:val="24"/>
    </w:rPr>
  </w:style>
  <w:style w:type="paragraph" w:styleId="1037">
    <w:name w:val="No Spacing"/>
    <w:basedOn w:val="869"/>
    <w:link w:val="1040"/>
    <w:uiPriority w:val="1"/>
    <w:qFormat/>
    <w:pPr>
      <w:jc w:val="both"/>
      <w:widowControl w:val="off"/>
    </w:pPr>
    <w:rPr>
      <w:rFonts w:asciiTheme="minorHAnsi" w:hAnsiTheme="minorHAnsi" w:eastAsiaTheme="minorEastAsia" w:cstheme="minorBidi"/>
      <w:sz w:val="21"/>
      <w:szCs w:val="22"/>
    </w:rPr>
  </w:style>
  <w:style w:type="paragraph" w:styleId="1038"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9" w:customStyle="1">
    <w:name w:val="List Paragraph1"/>
    <w:basedOn w:val="869"/>
    <w:uiPriority w:val="99"/>
    <w:qFormat/>
    <w:pPr>
      <w:ind w:firstLine="420"/>
      <w:jc w:val="both"/>
      <w:widowControl w:val="off"/>
    </w:pPr>
    <w:rPr>
      <w:sz w:val="21"/>
    </w:rPr>
  </w:style>
  <w:style w:type="character" w:styleId="1040" w:customStyle="1">
    <w:name w:val="无间隔 字符"/>
    <w:basedOn w:val="879"/>
    <w:link w:val="1037"/>
    <w:uiPriority w:val="1"/>
    <w:qFormat/>
  </w:style>
  <w:style w:type="paragraph" w:styleId="1041" w:customStyle="1">
    <w:name w:val="Table Paragraph"/>
    <w:basedOn w:val="869"/>
    <w:uiPriority w:val="1"/>
    <w:qFormat/>
    <w:pPr>
      <w:widowControl w:val="off"/>
    </w:pPr>
    <w:rPr>
      <w:rFonts w:ascii="微软雅黑" w:hAnsi="微软雅黑" w:eastAsia="微软雅黑" w:cs="微软雅黑"/>
      <w:sz w:val="22"/>
      <w:szCs w:val="22"/>
      <w:lang w:val="ro-RO" w:eastAsia="ro-RO" w:bidi="ro-RO"/>
    </w:rPr>
  </w:style>
  <w:style w:type="paragraph" w:styleId="1042" w:customStyle="1">
    <w:name w:val="纯文本4"/>
    <w:basedOn w:val="869"/>
    <w:uiPriority w:val="0"/>
    <w:qFormat/>
    <w:rPr>
      <w:rFonts w:ascii="宋体" w:hAnsi="Courier New" w:eastAsia="楷体_GB2312"/>
      <w:sz w:val="26"/>
      <w:szCs w:val="20"/>
    </w:rPr>
  </w:style>
  <w:style w:type="paragraph" w:styleId="1043" w:customStyle="1">
    <w:name w:val="Plain Text1"/>
    <w:basedOn w:val="869"/>
    <w:uiPriority w:val="0"/>
    <w:qFormat/>
    <w:rPr>
      <w:rFonts w:ascii="宋体" w:hAnsi="Courier New" w:eastAsia="楷体_GB2312"/>
      <w:sz w:val="26"/>
      <w:szCs w:val="20"/>
    </w:rPr>
  </w:style>
  <w:style w:type="paragraph" w:styleId="1044" w:customStyle="1">
    <w:name w:val="纯文本6"/>
    <w:basedOn w:val="869"/>
    <w:uiPriority w:val="0"/>
    <w:qFormat/>
    <w:rPr>
      <w:rFonts w:ascii="宋体" w:hAnsi="Courier New" w:eastAsia="楷体_GB2312"/>
      <w:sz w:val="26"/>
      <w:szCs w:val="20"/>
    </w:rPr>
  </w:style>
  <w:style w:type="paragraph" w:styleId="10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_Style 1"/>
    <w:basedOn w:val="869"/>
    <w:uiPriority w:val="0"/>
    <w:qFormat/>
    <w:rPr>
      <w:sz w:val="20"/>
      <w:szCs w:val="20"/>
    </w:rPr>
  </w:style>
  <w:style w:type="paragraph" w:styleId="1047" w:customStyle="1">
    <w:name w:val="列表段落1"/>
    <w:basedOn w:val="869"/>
    <w:uiPriority w:val="34"/>
    <w:qFormat/>
    <w:pPr>
      <w:ind w:firstLine="420"/>
    </w:pPr>
  </w:style>
  <w:style w:type="character" w:styleId="1048" w:customStyle="1">
    <w:name w:val="font31"/>
    <w:basedOn w:val="879"/>
    <w:uiPriority w:val="0"/>
    <w:qFormat/>
    <w:rPr>
      <w:rFonts w:hint="eastAsia" w:ascii="仿宋" w:hAnsi="仿宋" w:eastAsia="仿宋" w:cs="仿宋"/>
      <w:color w:val="ff0000"/>
      <w:sz w:val="24"/>
      <w:szCs w:val="24"/>
      <w:u w:val="none"/>
    </w:rPr>
  </w:style>
  <w:style w:type="character" w:styleId="1049" w:customStyle="1">
    <w:name w:val="font11"/>
    <w:basedOn w:val="879"/>
    <w:uiPriority w:val="0"/>
    <w:qFormat/>
    <w:rPr>
      <w:rFonts w:hint="eastAsia" w:ascii="仿宋" w:hAnsi="仿宋" w:eastAsia="仿宋" w:cs="仿宋"/>
      <w:color w:val="000000"/>
      <w:sz w:val="22"/>
      <w:szCs w:val="22"/>
      <w:u w:val="none"/>
    </w:rPr>
  </w:style>
  <w:style w:type="paragraph" w:styleId="1050" w:customStyle="1">
    <w:name w:val="Title2"/>
    <w:basedOn w:val="904"/>
    <w:uiPriority w:val="0"/>
    <w:qFormat/>
    <w:pPr>
      <w:ind w:left="720"/>
      <w:spacing w:before="60" w:after="120"/>
      <w:widowControl/>
      <w:outlineLvl w:val="9"/>
    </w:pPr>
    <w:rPr>
      <w:rFonts w:ascii="Arial" w:hAnsi="Arial" w:eastAsia="宋体"/>
      <w:bCs w:val="0"/>
      <w:szCs w:val="20"/>
      <w:lang w:eastAsia="en-US"/>
    </w:rPr>
  </w:style>
  <w:style w:type="paragraph" w:styleId="1051" w:customStyle="1">
    <w:name w:val="标题二、"/>
    <w:basedOn w:val="869"/>
    <w:uiPriority w:val="0"/>
    <w:qFormat/>
    <w:pPr>
      <w:ind w:firstLine="200"/>
      <w:spacing w:line="360" w:lineRule="auto"/>
      <w:outlineLvl w:val="2"/>
    </w:pPr>
    <w:rPr>
      <w:rFonts w:ascii="宋体" w:hAnsi="宋体"/>
      <w:b/>
      <w:szCs w:val="21"/>
    </w:rPr>
  </w:style>
  <w:style w:type="character" w:styleId="1052" w:customStyle="1">
    <w:name w:val="font01"/>
    <w:basedOn w:val="879"/>
    <w:uiPriority w:val="0"/>
    <w:qFormat/>
    <w:rPr>
      <w:rFonts w:hint="eastAsia" w:ascii="宋体" w:hAnsi="宋体" w:eastAsia="宋体" w:cs="宋体"/>
      <w:color w:val="000000"/>
      <w:sz w:val="24"/>
      <w:szCs w:val="24"/>
      <w:u w:val="none"/>
    </w:rPr>
  </w:style>
  <w:style w:type="character" w:styleId="1053" w:customStyle="1">
    <w:name w:val="font91"/>
    <w:basedOn w:val="879"/>
    <w:uiPriority w:val="0"/>
    <w:qFormat/>
    <w:rPr>
      <w:rFonts w:hint="default" w:ascii="Arial" w:hAnsi="Arial" w:cs="Arial"/>
      <w:color w:val="000000"/>
      <w:sz w:val="22"/>
      <w:szCs w:val="22"/>
      <w:u w:val="none"/>
    </w:rPr>
  </w:style>
  <w:style w:type="character" w:styleId="1054" w:customStyle="1">
    <w:name w:val="font101"/>
    <w:basedOn w:val="879"/>
    <w:uiPriority w:val="0"/>
    <w:qFormat/>
    <w:rPr>
      <w:rFonts w:hint="eastAsia" w:ascii="宋体" w:hAnsi="宋体" w:eastAsia="宋体" w:cs="宋体"/>
      <w:color w:val="000000"/>
      <w:sz w:val="24"/>
      <w:szCs w:val="24"/>
      <w:u w:val="none"/>
    </w:rPr>
  </w:style>
  <w:style w:type="character" w:styleId="1055" w:customStyle="1">
    <w:name w:val="font112"/>
    <w:basedOn w:val="879"/>
    <w:uiPriority w:val="0"/>
    <w:qFormat/>
    <w:rPr>
      <w:rFonts w:hint="default" w:ascii="Arial" w:hAnsi="Arial" w:cs="Arial"/>
      <w:color w:val="000000"/>
      <w:sz w:val="22"/>
      <w:szCs w:val="22"/>
      <w:u w:val="none"/>
    </w:rPr>
  </w:style>
  <w:style w:type="character" w:styleId="1056" w:customStyle="1">
    <w:name w:val="font51"/>
    <w:basedOn w:val="879"/>
    <w:uiPriority w:val="0"/>
    <w:qFormat/>
    <w:rPr>
      <w:rFonts w:hint="eastAsia" w:ascii="宋体" w:hAnsi="宋体" w:eastAsia="宋体" w:cs="宋体"/>
      <w:color w:val="000000"/>
      <w:sz w:val="22"/>
      <w:szCs w:val="22"/>
      <w:u w:val="none"/>
    </w:rPr>
  </w:style>
  <w:style w:type="paragraph" w:styleId="1057"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58" w:customStyle="1">
    <w:name w:val="段"/>
    <w:next w:val="869"/>
    <w:uiPriority w:val="0"/>
    <w:qFormat/>
    <w:pPr>
      <w:ind w:firstLine="200"/>
      <w:jc w:val="both"/>
    </w:pPr>
    <w:rPr>
      <w:rFonts w:ascii="宋体" w:hAnsi="Calibri" w:eastAsia="宋体" w:cs="Times New Roman"/>
      <w:sz w:val="21"/>
      <w:szCs w:val="22"/>
      <w:lang w:val="en-US" w:eastAsia="zh-CN" w:bidi="ar-SA"/>
    </w:rPr>
  </w:style>
  <w:style w:type="paragraph" w:styleId="1059" w:customStyle="1">
    <w:name w:val="首行缩进"/>
    <w:basedOn w:val="869"/>
    <w:uiPriority w:val="99"/>
    <w:qFormat/>
    <w:pPr>
      <w:ind w:firstLine="480"/>
    </w:pPr>
    <w:rPr>
      <w:szCs w:val="20"/>
      <w:lang w:val="zh-CN"/>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2026-11-02T08:55:40Z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62A71A81295148D899A523A163FBEA21_13</vt:lpwstr>
  </property>
  <property fmtid="{D5CDD505-2E9C-101B-9397-08002B2CF9AE}" pid="4" name="KSOTemplateDocerSaveRecord">
    <vt:lpwstr>eyJoZGlkIjoiN2Y5YmMzNTFmMGEzMzI3OTZjMzlmZTg5M2ZjMDhjNTYiLCJ1c2VySWQiOiIxMjE3NzU0MzE5In0=</vt:lpwstr>
  </property>
</Properties>
</file>