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6"/>
        <w:ind w:firstLine="0"/>
        <w:rPr>
          <w:rFonts w:hint="eastAsia" w:eastAsia="黑体"/>
          <w:b/>
          <w:bCs/>
          <w:sz w:val="84"/>
        </w:rPr>
      </w:pPr>
      <w:r>
        <w:rPr>
          <w:rFonts w:hint="eastAsia" w:eastAsia="黑体"/>
          <w:b/>
          <w:bCs/>
          <w:sz w:val="84"/>
        </w:rPr>
      </w:r>
      <w:r/>
    </w:p>
    <w:p>
      <w:pPr>
        <w:pStyle w:val="1046"/>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28"/>
          <w:szCs w:val="28"/>
        </w:rPr>
        <w:t xml:space="preserve">招　标　文　件</w:t>
      </w:r>
      <w:r/>
    </w:p>
    <w:p>
      <w:pPr>
        <w:pStyle w:val="1046"/>
        <w:ind w:firstLine="1960"/>
        <w:keepLines w:val="0"/>
        <w:keepNext w:val="0"/>
        <w:pageBreakBefore w:val="0"/>
        <w:spacing w:line="400" w:lineRule="exact"/>
        <w:widowControl w:val="off"/>
        <w:rPr>
          <w:rFonts w:hint="eastAsia"/>
          <w:b/>
          <w:bCs/>
          <w:sz w:val="28"/>
          <w:szCs w:val="28"/>
        </w:rPr>
      </w:pPr>
      <w:r>
        <w:rPr>
          <w:rFonts w:hint="eastAsia"/>
          <w:b/>
          <w:bCs/>
          <w:sz w:val="28"/>
          <w:szCs w:val="28"/>
        </w:rPr>
      </w:r>
      <w:r/>
    </w:p>
    <w:p>
      <w:pPr>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项目名称：江苏省人民医院临床试验全流程智能化系统</w:t>
      </w:r>
      <w:r/>
    </w:p>
    <w:p>
      <w:pPr>
        <w:ind w:firstLine="560"/>
        <w:jc w:val="left"/>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JSZC-320000-SCZX-G2026-0475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p>
    <w:p>
      <w:pPr>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pStyle w:val="1046"/>
        <w:ind w:firstLine="0"/>
        <w:spacing w:before="0" w:after="0"/>
        <w:rPr>
          <w:rFonts w:hint="eastAsia" w:ascii="宋体" w:hAnsi="宋体"/>
          <w:sz w:val="28"/>
          <w:szCs w:val="28"/>
        </w:rPr>
      </w:pPr>
      <w:r>
        <w:rPr>
          <w:rFonts w:hint="eastAsia" w:ascii="宋体" w:hAnsi="宋体"/>
          <w:sz w:val="28"/>
          <w:szCs w:val="28"/>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10</w:t>
      </w:r>
      <w:r>
        <w:rPr>
          <w:rFonts w:hint="eastAsia" w:ascii="方正黑体_GBK" w:hAnsi="方正黑体_GBK" w:eastAsia="方正黑体_GBK" w:cs="方正黑体_GBK"/>
          <w:b w:val="0"/>
          <w:bCs w:val="0"/>
          <w:color w:val="000000"/>
          <w:sz w:val="28"/>
          <w:szCs w:val="28"/>
        </w:rPr>
        <w:t xml:space="preserve">月</w:t>
      </w:r>
      <w:r/>
    </w:p>
    <w:p>
      <w:pPr>
        <w:pStyle w:val="1046"/>
        <w:ind w:firstLine="0"/>
        <w:rPr>
          <w:rFonts w:hint="eastAsia"/>
          <w:u w:val="single"/>
        </w:rPr>
      </w:pPr>
      <w:r>
        <w:rPr>
          <w:rFonts w:hint="eastAsia"/>
        </w:rPr>
        <w:t xml:space="preserve">                        </w:t>
      </w:r>
      <w:r/>
    </w:p>
    <w:p>
      <w:pPr>
        <w:pStyle w:val="1046"/>
        <w:ind w:firstLine="0"/>
        <w:jc w:val="center"/>
        <w:rPr>
          <w:rFonts w:hint="eastAsia"/>
        </w:rPr>
      </w:pPr>
      <w:r>
        <w:rPr>
          <w:rFonts w:hint="eastAsia"/>
        </w:rPr>
      </w:r>
      <w:r/>
    </w:p>
    <w:p>
      <w:pPr>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p>
    <w:p>
      <w:pPr>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20</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36</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45</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受江苏省人民医院的委托，江苏省政府采购中心就江苏省人民医院临床试验全流程智能化系统(JSZC-320000-SCZX-G2026-0475)项目进行公开招标采购，欢迎符合条件的供应商投标。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江苏省人民医院临床试验全流程智能化系统</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招标文件，并于2026</w:t>
      </w:r>
      <w:r>
        <w:rPr>
          <w:rFonts w:hint="eastAsia" w:ascii="方正仿宋_GBK" w:hAnsi="方正仿宋_GBK" w:eastAsia="方正仿宋_GBK" w:cs="方正仿宋_GBK"/>
          <w:bCs/>
          <w:color w:val="000000"/>
          <w:sz w:val="28"/>
          <w:szCs w:val="28"/>
          <w:u w:val="none"/>
        </w:rPr>
        <w:t xml:space="preserve">年10</w:t>
      </w:r>
      <w:r>
        <w:rPr>
          <w:rFonts w:hint="eastAsia" w:ascii="方正仿宋_GBK" w:hAnsi="方正仿宋_GBK" w:eastAsia="方正仿宋_GBK" w:cs="方正仿宋_GBK"/>
          <w:bCs/>
          <w:color w:val="000000"/>
          <w:sz w:val="28"/>
          <w:szCs w:val="28"/>
          <w:u w:val="none"/>
        </w:rPr>
        <w:t xml:space="preserve">月</w:t>
      </w:r>
      <w:r>
        <w:rPr>
          <w:rFonts w:hint="eastAsia" w:ascii="方正仿宋_GBK" w:hAnsi="方正仿宋_GBK" w:eastAsia="方正仿宋_GBK" w:cs="方正仿宋_GBK"/>
          <w:bCs/>
          <w:color w:val="000000"/>
          <w:sz w:val="28"/>
          <w:szCs w:val="28"/>
          <w:u w:val="none"/>
        </w:rPr>
        <w:t xml:space="preserve">30日</w:t>
      </w:r>
      <w:r>
        <w:rPr>
          <w:rFonts w:hint="eastAsia" w:ascii="方正仿宋_GBK" w:hAnsi="方正仿宋_GBK" w:eastAsia="方正仿宋_GBK" w:cs="方正仿宋_GBK"/>
          <w:color w:val="000000"/>
          <w:sz w:val="28"/>
          <w:szCs w:val="28"/>
          <w:u w:val="none"/>
          <w:lang w:val="en-US" w:eastAsia="zh-CN"/>
        </w:rPr>
        <w:t xml:space="preserve">9时</w:t>
      </w:r>
      <w:r>
        <w:rPr>
          <w:rFonts w:hint="eastAsia" w:ascii="方正仿宋_GBK" w:hAnsi="方正仿宋_GBK" w:eastAsia="方正仿宋_GBK" w:cs="方正仿宋_GBK"/>
          <w:bCs/>
          <w:sz w:val="28"/>
          <w:szCs w:val="28"/>
          <w:u w:val="none"/>
        </w:rPr>
        <w:t xml:space="preserve">30分</w:t>
      </w:r>
      <w:r>
        <w:rPr>
          <w:rFonts w:hint="eastAsia" w:ascii="方正仿宋_GBK" w:hAnsi="方正仿宋_GBK" w:eastAsia="方正仿宋_GBK" w:cs="方正仿宋_GBK"/>
          <w:bCs/>
          <w:sz w:val="28"/>
          <w:szCs w:val="28"/>
        </w:rPr>
        <w:t xml:space="preserve">（北京时间）前递交投标文件</w:t>
      </w:r>
      <w:r>
        <w:rPr>
          <w:rFonts w:hint="eastAsia" w:ascii="方正仿宋_GBK" w:hAnsi="方正仿宋_GBK" w:eastAsia="方正仿宋_GBK" w:cs="方正仿宋_GBK"/>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：JSZC-320000-SCZX-G2026-0475</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江苏省人民医院临床试验全流程智能化系统</w:t>
      </w:r>
      <w:bookmarkEnd w:id="11"/>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Style w:val="790"/>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290</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Style w:val="790"/>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p>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233" w:type="dxa"/>
            <w:vAlign w:val="top"/>
            <w:textDirection w:val="lrTb"/>
            <w:noWrap w:val="false"/>
          </w:tcPr>
          <w:p>
            <w:pPr>
              <w:jc w:val="center"/>
              <w:keepLines w:val="0"/>
              <w:pageBreakBefore w:val="0"/>
              <w:spacing w:line="400" w:lineRule="exact"/>
              <w:rPr>
                <w:rFonts w:ascii="方正仿宋_GBK" w:hAnsi="方正仿宋_GBK" w:eastAsia="宋体" w:cs="方正仿宋_GBK"/>
                <w:color w:val="000000"/>
                <w:sz w:val="28"/>
                <w:szCs w:val="28"/>
                <w:lang w:val="en-US" w:eastAsia="zh-CN"/>
              </w:rPr>
            </w:pPr>
            <w:r>
              <w:rPr>
                <w:rFonts w:hint="eastAsia"/>
                <w:sz w:val="28"/>
                <w:szCs w:val="28"/>
                <w:lang w:val="en-US" w:eastAsia="zh-CN"/>
              </w:rPr>
              <w:t xml:space="preserve">290</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28359080"/>
      <w:r/>
      <w:bookmarkStart w:id="13" w:name="_Toc38985264"/>
      <w:r/>
      <w:bookmarkStart w:id="14" w:name="_Toc35393622"/>
      <w:r/>
      <w:bookmarkStart w:id="15" w:name="_Toc35393791"/>
      <w:r/>
      <w:bookmarkStart w:id="16" w:name="_Toc28359003"/>
      <w:r>
        <w:rPr>
          <w:rFonts w:hint="eastAsia" w:ascii="方正仿宋_GBK" w:hAnsi="方正仿宋_GBK" w:eastAsia="方正仿宋_GBK" w:cs="方正仿宋_GBK"/>
          <w:color w:val="000000"/>
          <w:sz w:val="28"/>
          <w:szCs w:val="28"/>
        </w:rPr>
        <w:t xml:space="preserve">5.采购需求(简介)：采购</w:t>
      </w:r>
      <w:r>
        <w:rPr>
          <w:rFonts w:hint="eastAsia" w:ascii="方正仿宋_GBK" w:hAnsi="方正仿宋_GBK" w:eastAsia="方正仿宋_GBK" w:cs="方正仿宋_GBK"/>
          <w:color w:val="000000"/>
          <w:sz w:val="28"/>
          <w:szCs w:val="28"/>
          <w:lang w:val="en-US" w:eastAsia="zh-CN"/>
        </w:rPr>
        <w:t xml:space="preserve">1套</w:t>
      </w:r>
      <w:r>
        <w:rPr>
          <w:rFonts w:hint="eastAsia" w:ascii="方正仿宋_GBK" w:hAnsi="方正仿宋_GBK" w:eastAsia="方正仿宋_GBK" w:cs="方正仿宋_GBK"/>
          <w:color w:val="000000"/>
          <w:sz w:val="28"/>
          <w:szCs w:val="28"/>
        </w:rPr>
        <w:t xml:space="preserve">临床试验全流程智能化系统</w:t>
      </w:r>
      <w:r>
        <w:rPr>
          <w:rFonts w:hint="eastAsia" w:ascii="方正仿宋_GBK" w:hAnsi="方正仿宋_GBK" w:eastAsia="方正仿宋_GBK" w:cs="方正仿宋_GBK"/>
          <w:color w:val="000000"/>
          <w:sz w:val="28"/>
          <w:szCs w:val="28"/>
          <w:lang w:eastAsia="zh-CN"/>
        </w:rPr>
        <w:t xml:space="preserve">，建成一个深度集成院内各系统、覆盖项目全生命周期、具备智能监控与辅助决策能力的一体化平台，从而全面提升临床试验的管理质量与运行效率</w:t>
      </w:r>
      <w:r>
        <w:rPr>
          <w:rFonts w:hint="eastAsia" w:ascii="方正仿宋_GBK" w:hAnsi="方正仿宋_GBK" w:eastAsia="方正仿宋_GBK" w:cs="方正仿宋_GBK"/>
          <w:color w:val="000000"/>
          <w:sz w:val="28"/>
          <w:szCs w:val="28"/>
        </w:rPr>
        <w:t xml:space="preserve">（详细内容见本招标文件第四章）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6.合同履行期限：软件开发完成至维保期</w:t>
      </w:r>
      <w:r>
        <w:rPr>
          <w:rFonts w:hint="eastAsia" w:ascii="方正仿宋_GBK" w:hAnsi="方正仿宋_GBK" w:eastAsia="方正仿宋_GBK" w:cs="方正仿宋_GBK"/>
          <w:color w:val="000000"/>
          <w:sz w:val="28"/>
          <w:szCs w:val="28"/>
          <w:lang w:val="en-US" w:eastAsia="zh-CN"/>
        </w:rPr>
        <w:t xml:space="preserve">结束。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38985265"/>
      <w:r/>
      <w:bookmarkStart w:id="19" w:name="_Toc35393623"/>
      <w:r/>
      <w:bookmarkStart w:id="20" w:name="_Toc35393792"/>
      <w:r/>
      <w:bookmarkStart w:id="21" w:name="_Toc28359081"/>
      <w:r>
        <w:rPr>
          <w:rFonts w:hint="eastAsia" w:ascii="方正楷体_GBK" w:hAnsi="方正楷体_GBK" w:eastAsia="方正楷体_GBK" w:cs="方正楷体_GBK"/>
          <w:color w:val="000000"/>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lang w:eastAsia="zh-CN"/>
        </w:rPr>
        <w:t xml:space="preserve">。</w:t>
      </w:r>
      <w:r/>
    </w:p>
    <w:p>
      <w:pPr>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790"/>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790"/>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jc w:val="center"/>
              <w:keepLines w:val="0"/>
              <w:pageBreakBefore w:val="0"/>
              <w:spacing w:line="400" w:lineRule="exact"/>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无</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7"/>
      <w:r/>
      <w:bookmarkEnd w:id="18"/>
      <w:r/>
      <w:bookmarkEnd w:id="19"/>
      <w:r/>
      <w:bookmarkEnd w:id="20"/>
      <w:r/>
      <w:bookmarkEnd w:id="2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2" w:name="_Toc28359005"/>
      <w:r/>
      <w:bookmarkStart w:id="23" w:name="_Toc28359082"/>
      <w:r/>
      <w:bookmarkStart w:id="24" w:name="_Toc35393624"/>
      <w:r/>
      <w:bookmarkStart w:id="25" w:name="_Toc38985266"/>
      <w:r/>
      <w:bookmarkStart w:id="26" w:name="_Toc35393793"/>
      <w:r/>
      <w:bookmarkStart w:id="27" w:name="_Toc38985267"/>
      <w:r/>
      <w:bookmarkStart w:id="28" w:name="_Toc28359007"/>
      <w:r/>
      <w:bookmarkStart w:id="29" w:name="_Toc35393794"/>
      <w:r/>
      <w:bookmarkStart w:id="30" w:name="_Toc35393625"/>
      <w:r/>
      <w:bookmarkStart w:id="31" w:name="_Toc28359084"/>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lang w:val="en-US" w:eastAsia="zh-CN"/>
        </w:rPr>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color w:val="000000"/>
          <w:sz w:val="28"/>
          <w:szCs w:val="28"/>
          <w:u w:val="none"/>
        </w:rPr>
        <w:t xml:space="preserve">年10</w:t>
      </w:r>
      <w:r>
        <w:rPr>
          <w:rFonts w:hint="eastAsia" w:ascii="方正仿宋_GBK" w:hAnsi="方正仿宋_GBK" w:eastAsia="方正仿宋_GBK" w:cs="方正仿宋_GBK"/>
          <w:bCs/>
          <w:color w:val="000000"/>
          <w:sz w:val="28"/>
          <w:szCs w:val="28"/>
          <w:u w:val="none"/>
        </w:rPr>
        <w:t xml:space="preserve">月</w:t>
      </w:r>
      <w:r>
        <w:rPr>
          <w:rFonts w:hint="eastAsia" w:ascii="方正仿宋_GBK" w:hAnsi="方正仿宋_GBK" w:eastAsia="方正仿宋_GBK" w:cs="方正仿宋_GBK"/>
          <w:bCs/>
          <w:color w:val="000000"/>
          <w:sz w:val="28"/>
          <w:szCs w:val="28"/>
          <w:u w:val="none"/>
        </w:rPr>
        <w:t xml:space="preserve">30日</w:t>
      </w:r>
      <w:r>
        <w:rPr>
          <w:rFonts w:hint="eastAsia" w:ascii="方正仿宋_GBK" w:hAnsi="方正仿宋_GBK" w:eastAsia="方正仿宋_GBK" w:cs="方正仿宋_GBK"/>
          <w:color w:val="000000"/>
          <w:sz w:val="28"/>
          <w:szCs w:val="28"/>
          <w:u w:val="none"/>
          <w:lang w:val="en-US" w:eastAsia="zh-CN"/>
        </w:rPr>
        <w:t xml:space="preserve">9时</w:t>
      </w:r>
      <w:r>
        <w:rPr>
          <w:rFonts w:hint="eastAsia" w:ascii="方正仿宋_GBK" w:hAnsi="方正仿宋_GBK" w:eastAsia="方正仿宋_GBK" w:cs="方正仿宋_GBK"/>
          <w:bCs/>
          <w:sz w:val="28"/>
          <w:szCs w:val="28"/>
          <w:u w:val="none"/>
        </w:rPr>
        <w:t xml:space="preserve">30分</w:t>
      </w:r>
      <w:r/>
      <w:r>
        <w:rPr>
          <w:rFonts w:hint="eastAsia" w:ascii="Times New Roman" w:hAnsi="Times New Roman" w:eastAsia="方正仿宋_GBK" w:cs="Times New Roman"/>
          <w:color w:val="000000"/>
          <w:sz w:val="28"/>
          <w:szCs w:val="28"/>
          <w:lang w:val="en-US" w:eastAsia="zh-CN"/>
        </w:rPr>
      </w:r>
      <w:r>
        <w:rPr>
          <w:rFonts w:hint="eastAsia" w:ascii="方正仿宋_GBK" w:hAnsi="方正仿宋_GBK" w:eastAsia="方正仿宋_GBK" w:cs="方正仿宋_GBK"/>
          <w:bCs/>
          <w:color w:val="000000"/>
          <w:sz w:val="28"/>
          <w:szCs w:val="28"/>
          <w:u w:val="none"/>
        </w:rPr>
        <w:t xml:space="preserve">（北京时间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bookmarkEnd w:id="27"/>
      <w:r/>
      <w:bookmarkEnd w:id="28"/>
      <w:r/>
      <w:bookmarkEnd w:id="29"/>
      <w:r/>
      <w:bookmarkEnd w:id="30"/>
      <w:r/>
      <w:bookmarkEnd w:id="3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rPr>
        <w:t xml:space="preserve">五、公告期限</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End w:id="32"/>
      <w:r/>
      <w:bookmarkEnd w:id="33"/>
      <w:r/>
      <w:bookmarkEnd w:id="34"/>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28359085"/>
      <w:r/>
      <w:bookmarkStart w:id="36" w:name="_Toc28359008"/>
      <w:r/>
      <w:bookmarkStart w:id="37" w:name="_Toc38985269"/>
      <w:r/>
      <w:bookmarkStart w:id="38" w:name="_Toc35393796"/>
      <w:r/>
      <w:bookmarkStart w:id="39" w:name="_Toc35393627"/>
      <w:r>
        <w:rPr>
          <w:rFonts w:hint="eastAsia" w:ascii="方正黑体_GBK" w:hAnsi="方正黑体_GBK" w:eastAsia="方正黑体_GBK" w:cs="方正黑体_GBK"/>
          <w:color w:val="000000"/>
          <w:sz w:val="28"/>
          <w:szCs w:val="28"/>
        </w:rPr>
        <w:t xml:space="preserve">六、其他补充事宜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t xml:space="preserve">。</w:t>
      </w:r>
      <w:bookmarkEnd w:id="35"/>
      <w:r/>
      <w:bookmarkEnd w:id="36"/>
      <w:r/>
      <w:bookmarkEnd w:id="37"/>
      <w:r/>
      <w:bookmarkEnd w:id="38"/>
      <w:r/>
      <w:bookmarkEnd w:id="39"/>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江苏省人民医院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江苏省南京市广州路300号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凡老师、鲍老师</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025-68307032</w:t>
      </w:r>
      <w:r>
        <w:rPr>
          <w:rFonts w:hint="eastAsia" w:ascii="方正仿宋_GBK" w:hAnsi="方正仿宋_GBK" w:eastAsia="方正仿宋_GBK" w:cs="方正仿宋_GBK"/>
          <w:color w:val="000000"/>
          <w:sz w:val="28"/>
          <w:szCs w:val="28"/>
          <w:u w:val="single"/>
          <w:lang w:eastAsia="zh-CN"/>
        </w:rPr>
        <w:t xml:space="preserve">、</w:t>
      </w:r>
      <w:r>
        <w:rPr>
          <w:rFonts w:hint="eastAsia" w:ascii="方正仿宋_GBK" w:hAnsi="方正仿宋_GBK" w:eastAsia="方正仿宋_GBK" w:cs="方正仿宋_GBK"/>
          <w:color w:val="000000"/>
          <w:sz w:val="28"/>
          <w:szCs w:val="28"/>
          <w:u w:val="single"/>
        </w:rPr>
        <w:t xml:space="preserve">6830</w:t>
      </w:r>
      <w:r>
        <w:rPr>
          <w:rFonts w:hint="eastAsia" w:ascii="方正仿宋_GBK" w:hAnsi="方正仿宋_GBK" w:eastAsia="方正仿宋_GBK" w:cs="方正仿宋_GBK"/>
          <w:color w:val="000000"/>
          <w:sz w:val="28"/>
          <w:szCs w:val="28"/>
          <w:u w:val="single"/>
          <w:lang w:eastAsia="zh-CN"/>
        </w:rPr>
        <w:t xml:space="preserve">3584</w:t>
      </w:r>
      <w:bookmarkStart w:id="40" w:name="_Toc28359086"/>
      <w:r/>
      <w:bookmarkStart w:id="41" w:name="_Toc28359009"/>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南京市建邺区汉中门大街145号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王烨、张文怡 </w:t>
      </w:r>
      <w:r/>
    </w:p>
    <w:p>
      <w:pPr>
        <w:ind w:firstLine="560"/>
        <w:spacing w:line="40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025-83668550、83668505</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20823285"/>
      <w:r/>
      <w:bookmarkStart w:id="48" w:name="_Toc513029213"/>
      <w:r/>
      <w:bookmarkStart w:id="49" w:name="_Toc120614216"/>
      <w:r/>
      <w:bookmarkStart w:id="50" w:name="_Toc16938529"/>
      <w:r/>
      <w:bookmarkStart w:id="51" w:name="_Toc462564072"/>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
    </w:p>
    <w:p>
      <w:pPr>
        <w:pStyle w:val="963"/>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2" w:name="_Toc16938530"/>
      <w:r/>
      <w:bookmarkStart w:id="53" w:name="_Toc20823286"/>
      <w:r/>
      <w:bookmarkStart w:id="54" w:name="_Toc513029214"/>
      <w:r/>
      <w:bookmarkStart w:id="55" w:name="_Toc462564073"/>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2"/>
      <w:r/>
      <w:bookmarkEnd w:id="53"/>
      <w:r/>
      <w:bookmarkEnd w:id="54"/>
      <w:r/>
      <w:bookmarkEnd w:id="55"/>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6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6" w:name="_Toc16938531"/>
      <w:r/>
      <w:bookmarkStart w:id="57" w:name="_Toc513029215"/>
      <w:r/>
      <w:bookmarkStart w:id="58" w:name="_Toc462564074"/>
      <w:r/>
      <w:bookmarkStart w:id="59" w:name="_Toc20823287"/>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6"/>
      <w:r/>
      <w:bookmarkEnd w:id="57"/>
      <w:r/>
      <w:bookmarkEnd w:id="58"/>
      <w:r/>
      <w:bookmarkEnd w:id="59"/>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6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0" w:name="_Hlt26954838"/>
      <w:r/>
      <w:bookmarkEnd w:id="60"/>
      <w:r/>
      <w:bookmarkStart w:id="61" w:name="_Hlt26668975"/>
      <w:r/>
      <w:bookmarkEnd w:id="61"/>
      <w:r/>
      <w:bookmarkStart w:id="62" w:name="_Hlt26670360"/>
      <w:r/>
      <w:bookmarkEnd w:id="62"/>
      <w:r/>
      <w:bookmarkStart w:id="63" w:name="_Toc49090509"/>
      <w:r/>
      <w:bookmarkStart w:id="64" w:name="_Toc14577357"/>
      <w:r/>
      <w:bookmarkStart w:id="65" w:name="_Toc513029219"/>
      <w:r/>
      <w:bookmarkStart w:id="66" w:name="_Toc49090507"/>
      <w:r/>
      <w:bookmarkStart w:id="67" w:name="_Toc14577354"/>
      <w:r/>
      <w:bookmarkStart w:id="68" w:name="_Toc513029216"/>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3"/>
      <w:r/>
      <w:bookmarkEnd w:id="64"/>
      <w:r/>
      <w:bookmarkEnd w:id="65"/>
      <w:r/>
      <w:bookmarkEnd w:id="66"/>
      <w:r/>
      <w:bookmarkEnd w:id="67"/>
      <w:r/>
      <w:bookmarkEnd w:id="68"/>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6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69"/>
      <w:r/>
      <w:bookmarkStart w:id="71" w:name="_Hlt26670373"/>
      <w:r/>
      <w:bookmarkEnd w:id="71"/>
      <w:r>
        <w:rPr>
          <w:rFonts w:hint="eastAsia" w:ascii="方正仿宋_GBK" w:hAnsi="方正仿宋_GBK" w:eastAsia="方正仿宋_GBK" w:cs="方正仿宋_GBK"/>
          <w:b w:val="0"/>
          <w:bCs w:val="0"/>
          <w:sz w:val="28"/>
          <w:szCs w:val="28"/>
        </w:rPr>
        <w:t xml:space="preserve">表</w:t>
      </w:r>
      <w:bookmarkEnd w:id="70"/>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p>
    <w:p>
      <w:pPr>
        <w:pStyle w:val="96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4" w:name="_Hlt26670425"/>
      <w:r/>
      <w:bookmarkEnd w:id="74"/>
      <w:r/>
      <w:bookmarkStart w:id="75" w:name="_Hlt26954846"/>
      <w:r/>
      <w:bookmarkEnd w:id="75"/>
      <w:r/>
      <w:bookmarkStart w:id="76" w:name="_Hlt26670482"/>
      <w:r/>
      <w:bookmarkEnd w:id="76"/>
      <w:r/>
      <w:bookmarkStart w:id="77" w:name="_Hlt26954842"/>
      <w:r/>
      <w:bookmarkEnd w:id="77"/>
      <w:r/>
      <w:bookmarkStart w:id="78" w:name="_Hlt26954848"/>
      <w:r/>
      <w:bookmarkEnd w:id="78"/>
      <w:r/>
      <w:bookmarkStart w:id="79" w:name="_Hlt26670403"/>
      <w:r/>
      <w:bookmarkEnd w:id="79"/>
      <w:r/>
      <w:bookmarkStart w:id="80" w:name="_Hlt26954731"/>
      <w:r/>
      <w:bookmarkEnd w:id="80"/>
      <w:r/>
      <w:bookmarkStart w:id="81" w:name="_Hlt26670486"/>
      <w:r/>
      <w:bookmarkEnd w:id="81"/>
      <w:r/>
      <w:bookmarkStart w:id="82" w:name="_Hlt26954844"/>
      <w:r/>
      <w:bookmarkEnd w:id="82"/>
      <w:r/>
      <w:bookmarkStart w:id="83" w:name="_Hlt26668983"/>
      <w:r/>
      <w:bookmarkEnd w:id="83"/>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4" w:name="_Toc14577359"/>
      <w:r/>
      <w:bookmarkStart w:id="85"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6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bookmarkEnd w:id="84"/>
      <w:r/>
      <w:bookmarkEnd w:id="85"/>
      <w:r/>
      <w:r/>
    </w:p>
    <w:p>
      <w:pPr>
        <w:pStyle w:val="96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86" w:name="_Hlt26954734"/>
      <w:r/>
      <w:bookmarkEnd w:id="86"/>
      <w:r/>
      <w:bookmarkStart w:id="87" w:name="_Hlt26954850"/>
      <w:r/>
      <w:bookmarkEnd w:id="87"/>
      <w:r/>
      <w:bookmarkStart w:id="88" w:name="_Hlt26670489"/>
      <w:r/>
      <w:bookmarkEnd w:id="88"/>
      <w:r/>
      <w:bookmarkStart w:id="89" w:name="_Toc14577360"/>
      <w:r/>
      <w:bookmarkStart w:id="90"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89"/>
      <w:r/>
      <w:bookmarkEnd w:id="90"/>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6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1" w:name="_Hlt26954852"/>
      <w:r/>
      <w:bookmarkEnd w:id="91"/>
      <w:r/>
      <w:bookmarkStart w:id="92" w:name="_Hlt26954739"/>
      <w:r/>
      <w:bookmarkEnd w:id="92"/>
      <w:r/>
      <w:bookmarkStart w:id="93" w:name="_Toc20823296"/>
      <w:r/>
      <w:bookmarkStart w:id="94" w:name="_Toc513029224"/>
      <w:r/>
      <w:bookmarkStart w:id="95" w:name="_Toc120614217"/>
      <w:r/>
      <w:bookmarkStart w:id="96" w:name="_Toc16938540"/>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
    </w:p>
    <w:p>
      <w:pPr>
        <w:pStyle w:val="96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7" w:name="_Toc16938541"/>
      <w:r/>
      <w:bookmarkStart w:id="98" w:name="_Toc513029225"/>
      <w:r/>
      <w:bookmarkStart w:id="99" w:name="_Toc462564084"/>
      <w:r/>
      <w:bookmarkStart w:id="100" w:name="_Toc20823297"/>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7"/>
      <w:r/>
      <w:bookmarkEnd w:id="98"/>
      <w:r/>
      <w:bookmarkEnd w:id="99"/>
      <w:r/>
      <w:bookmarkEnd w:id="100"/>
      <w:r>
        <w:rPr>
          <w:rFonts w:hint="eastAsia" w:ascii="方正仿宋_GBK" w:hAnsi="方正仿宋_GBK" w:eastAsia="方正仿宋_GBK" w:cs="方正仿宋_GBK"/>
          <w:b w:val="0"/>
          <w:bCs w:val="0"/>
          <w:sz w:val="28"/>
          <w:szCs w:val="28"/>
        </w:rPr>
        <w:t xml:space="preserve">的递交</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7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16938542"/>
      <w:r/>
      <w:bookmarkStart w:id="102" w:name="_Toc513029226"/>
      <w:r/>
      <w:bookmarkStart w:id="103" w:name="_Toc20823298"/>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1"/>
      <w:r/>
      <w:bookmarkEnd w:id="102"/>
      <w:r/>
      <w:bookmarkEnd w:id="103"/>
      <w:r>
        <w:rPr>
          <w:rFonts w:hint="eastAsia" w:ascii="方正仿宋_GBK" w:hAnsi="方正仿宋_GBK" w:eastAsia="方正仿宋_GBK" w:cs="方正仿宋_GBK"/>
          <w:bCs/>
          <w:sz w:val="28"/>
          <w:szCs w:val="28"/>
          <w:lang w:val="en-US" w:eastAsia="zh-CN" w:bidi="ar-SA"/>
        </w:rPr>
        <w:t xml:space="preserve">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6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4" w:name="_Toc513029227"/>
      <w:r/>
      <w:bookmarkStart w:id="105" w:name="_Toc16938543"/>
      <w:r/>
      <w:bookmarkStart w:id="106" w:name="_Toc20823299"/>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4"/>
      <w:r/>
      <w:bookmarkEnd w:id="105"/>
      <w:r/>
      <w:bookmarkEnd w:id="106"/>
      <w:r>
        <w:rPr>
          <w:rFonts w:hint="eastAsia" w:ascii="方正仿宋_GBK" w:hAnsi="方正仿宋_GBK" w:eastAsia="方正仿宋_GBK" w:cs="方正仿宋_GBK"/>
          <w:b w:val="0"/>
          <w:bCs w:val="0"/>
          <w:sz w:val="28"/>
          <w:szCs w:val="28"/>
        </w:rPr>
        <w:t xml:space="preserve">的拒收</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6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7" w:name="_Toc20823300"/>
      <w:r/>
      <w:bookmarkStart w:id="108" w:name="_Toc513029228"/>
      <w:r/>
      <w:bookmarkStart w:id="109" w:name="_Toc16938544"/>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7"/>
      <w:r/>
      <w:bookmarkEnd w:id="108"/>
      <w:r/>
      <w:bookmarkEnd w:id="109"/>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0" w:name="_Toc513029229"/>
      <w:r/>
      <w:bookmarkStart w:id="111" w:name="_Toc120614218"/>
      <w:r/>
      <w:bookmarkStart w:id="112" w:name="_Toc20823301"/>
      <w:r/>
      <w:bookmarkStart w:id="113" w:name="_Toc16938545"/>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4" w:name="_Toc513029230"/>
      <w:r/>
      <w:bookmarkStart w:id="115" w:name="_Toc16938546"/>
      <w:r/>
      <w:bookmarkStart w:id="116"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4"/>
      <w:r/>
      <w:bookmarkEnd w:id="115"/>
      <w:r/>
      <w:bookmarkEnd w:id="116"/>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7" w:name="_Toc513029231"/>
      <w:r/>
      <w:bookmarkStart w:id="118" w:name="_Toc20823303"/>
      <w:r/>
      <w:bookmarkStart w:id="119" w:name="_Toc16938547"/>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w:t>
      </w:r>
      <w:r>
        <w:rPr>
          <w:rFonts w:hint="eastAsia" w:ascii="方正仿宋_GBK" w:hAnsi="方正仿宋_GBK" w:eastAsia="方正仿宋_GBK" w:cs="方正仿宋_GBK"/>
          <w:sz w:val="28"/>
          <w:szCs w:val="28"/>
          <w:lang w:val="en-US" w:eastAsia="zh-CN"/>
        </w:rPr>
        <w:t xml:space="preserve">候</w:t>
      </w:r>
      <w:r>
        <w:rPr>
          <w:rFonts w:hint="eastAsia" w:ascii="方正仿宋_GBK" w:hAnsi="方正仿宋_GBK" w:eastAsia="方正仿宋_GBK" w:cs="方正仿宋_GBK"/>
          <w:sz w:val="28"/>
          <w:szCs w:val="28"/>
        </w:rPr>
        <w:t xml:space="preserve">选人。</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bookmarkEnd w:id="117"/>
      <w:r/>
      <w:bookmarkEnd w:id="118"/>
      <w:r/>
      <w:bookmarkEnd w:id="119"/>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20" w:name="_Toc16938548"/>
      <w:r/>
      <w:bookmarkStart w:id="121" w:name="_Toc513029232"/>
      <w:r/>
      <w:bookmarkStart w:id="122" w:name="_Toc20823304"/>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0"/>
      <w:r/>
      <w:bookmarkEnd w:id="121"/>
      <w:r/>
      <w:bookmarkEnd w:id="122"/>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3" w:name="_Toc513029233"/>
      <w:r/>
      <w:bookmarkStart w:id="124" w:name="_Toc16938549"/>
      <w:r/>
      <w:bookmarkStart w:id="125" w:name="_Toc20823305"/>
      <w:r>
        <w:rPr>
          <w:rFonts w:hint="eastAsia" w:ascii="方正仿宋_GBK" w:hAnsi="方正仿宋_GBK" w:eastAsia="方正仿宋_GBK" w:cs="方正仿宋_GBK"/>
          <w:sz w:val="28"/>
          <w:szCs w:val="28"/>
          <w:lang w:val="en-US" w:eastAsia="zh-CN"/>
        </w:rPr>
        <w:t xml:space="preserve">24.对投标文件的初审</w:t>
      </w:r>
      <w:bookmarkEnd w:id="123"/>
      <w:r/>
      <w:bookmarkEnd w:id="124"/>
      <w:r/>
      <w:bookmarkEnd w:id="125"/>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6" w:name="_Toc16938550"/>
      <w:r/>
      <w:bookmarkStart w:id="127" w:name="_Toc513029234"/>
      <w:r/>
      <w:bookmarkStart w:id="128" w:name="_Toc20823306"/>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6"/>
      <w:r/>
      <w:bookmarkEnd w:id="127"/>
      <w:r/>
      <w:bookmarkEnd w:id="128"/>
      <w:r>
        <w:rPr>
          <w:rFonts w:hint="eastAsia" w:ascii="方正仿宋_GBK" w:hAnsi="方正仿宋_GBK" w:eastAsia="方正仿宋_GBK" w:cs="方正仿宋_GBK"/>
          <w:sz w:val="28"/>
          <w:szCs w:val="28"/>
          <w:lang w:val="en-US" w:eastAsia="zh-CN"/>
        </w:rPr>
        <w:t xml:space="preserve">.无效投标条款和废标条款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9" w:name="_Toc513029235"/>
      <w:r/>
      <w:bookmarkStart w:id="130" w:name="_Toc16938551"/>
      <w:r/>
      <w:bookmarkStart w:id="131" w:name="_Toc20823307"/>
      <w:r>
        <w:rPr>
          <w:rFonts w:hint="eastAsia" w:ascii="方正仿宋_GBK" w:hAnsi="方正仿宋_GBK" w:eastAsia="方正仿宋_GBK" w:cs="方正仿宋_GBK"/>
          <w:sz w:val="28"/>
          <w:szCs w:val="28"/>
          <w:lang w:val="en-US" w:eastAsia="zh-CN"/>
        </w:rPr>
        <w:t xml:space="preserve">25.1无效投标条款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p>
    <w:p>
      <w:pPr>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 其他法律、法规及本招标文件规定的属无效投标的情形。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 如专门面向中小微型企业采购的采购项目采购包，供应商未提供本项目所投采购包提供服务的人员均为依照《中华人民共和国劳动合同法》订立劳动合同的从业人员的书面声明的（书面声明格式见招标文件第六章附件14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3" w:name="_Toc513029238"/>
      <w:r/>
      <w:bookmarkStart w:id="134" w:name="_Toc16938554"/>
      <w:r/>
      <w:bookmarkStart w:id="135" w:name="_Toc20823310"/>
      <w:r>
        <w:rPr>
          <w:rFonts w:hint="eastAsia" w:ascii="方正仿宋_GBK" w:hAnsi="方正仿宋_GBK" w:eastAsia="方正仿宋_GBK" w:cs="方正仿宋_GBK"/>
          <w:sz w:val="28"/>
          <w:szCs w:val="28"/>
          <w:lang w:val="en-US" w:eastAsia="zh-CN"/>
        </w:rPr>
        <w:t xml:space="preserve">26</w:t>
      </w:r>
      <w:bookmarkEnd w:id="133"/>
      <w:r>
        <w:rPr>
          <w:rFonts w:hint="eastAsia" w:ascii="方正仿宋_GBK" w:hAnsi="方正仿宋_GBK" w:eastAsia="方正仿宋_GBK" w:cs="方正仿宋_GBK"/>
          <w:sz w:val="28"/>
          <w:szCs w:val="28"/>
          <w:lang w:val="en-US" w:eastAsia="zh-CN"/>
        </w:rPr>
        <w:t xml:space="preserve">.确定</w:t>
      </w:r>
      <w:bookmarkEnd w:id="134"/>
      <w:r/>
      <w:bookmarkEnd w:id="135"/>
      <w:r>
        <w:rPr>
          <w:rFonts w:hint="eastAsia" w:ascii="方正仿宋_GBK" w:hAnsi="方正仿宋_GBK" w:eastAsia="方正仿宋_GBK" w:cs="方正仿宋_GBK"/>
          <w:sz w:val="28"/>
          <w:szCs w:val="28"/>
          <w:lang w:val="en-US" w:eastAsia="zh-CN"/>
        </w:rPr>
        <w:t xml:space="preserve">中标单位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6"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6"/>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7" w:name="_Toc120614220"/>
      <w:r/>
      <w:bookmarkStart w:id="138" w:name="_Toc20823308"/>
      <w:r/>
      <w:bookmarkStart w:id="139" w:name="_Toc513029236"/>
      <w:r/>
      <w:bookmarkStart w:id="140" w:name="_Toc16938552"/>
      <w:r>
        <w:rPr>
          <w:rFonts w:hint="eastAsia" w:ascii="方正黑体_GBK" w:hAnsi="方正黑体_GBK" w:eastAsia="方正黑体_GBK" w:cs="方正黑体_GBK"/>
          <w:color w:val="000000"/>
          <w:sz w:val="28"/>
          <w:szCs w:val="28"/>
        </w:rPr>
        <w:t xml:space="preserve">七、授予合同</w:t>
      </w:r>
      <w:bookmarkEnd w:id="137"/>
      <w:r/>
      <w:bookmarkEnd w:id="138"/>
      <w:r/>
      <w:bookmarkEnd w:id="139"/>
      <w:r/>
      <w:bookmarkEnd w:id="140"/>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1" w:name="_Toc20823309"/>
      <w:r/>
      <w:bookmarkStart w:id="142" w:name="_Toc513029237"/>
      <w:r/>
      <w:bookmarkStart w:id="143" w:name="_Toc16938553"/>
      <w:r>
        <w:rPr>
          <w:rFonts w:hint="eastAsia" w:ascii="方正仿宋_GBK" w:hAnsi="方正仿宋_GBK" w:eastAsia="方正仿宋_GBK" w:cs="方正仿宋_GBK"/>
          <w:sz w:val="28"/>
          <w:szCs w:val="28"/>
          <w:lang w:val="en-US" w:eastAsia="zh-CN"/>
        </w:rPr>
        <w:t xml:space="preserve">29.签订合同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1"/>
      <w:r/>
      <w:bookmarkEnd w:id="142"/>
      <w:r/>
      <w:bookmarkEnd w:id="143"/>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4" w:name="_Toc513029242"/>
      <w:r/>
      <w:bookmarkStart w:id="145" w:name="_Toc479757207"/>
      <w:r/>
      <w:bookmarkStart w:id="146" w:name="_Toc120614221"/>
      <w:r/>
      <w:bookmarkStart w:id="147" w:name="_Toc16938558"/>
      <w:r/>
      <w:bookmarkStart w:id="148" w:name="_Toc20823314"/>
      <w:r>
        <w:rPr>
          <w:rFonts w:hint="eastAsia" w:ascii="方正仿宋_GBK" w:hAnsi="方正仿宋_GBK" w:eastAsia="方正仿宋_GBK" w:cs="方正仿宋_GBK"/>
          <w:sz w:val="28"/>
          <w:szCs w:val="28"/>
          <w:lang w:val="en-US" w:eastAsia="zh-CN"/>
        </w:rPr>
        <w:t xml:space="preserve">31.政府采购履约资金扶持政策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p>
    <w:p>
      <w:pPr>
        <w:pStyle w:val="961"/>
        <w:spacing w:line="400" w:lineRule="exact"/>
        <w:rPr>
          <w:rFonts w:hint="eastAsia" w:ascii="宋体" w:hAnsi="宋体"/>
          <w:bCs/>
          <w:sz w:val="24"/>
        </w:rPr>
      </w:pPr>
      <w:r>
        <w:rPr>
          <w:rFonts w:hint="eastAsia" w:ascii="宋体" w:hAnsi="宋体"/>
          <w:bCs/>
          <w:sz w:val="24"/>
        </w:rPr>
      </w:r>
      <w:r/>
    </w:p>
    <w:p>
      <w:pPr>
        <w:pStyle w:val="961"/>
        <w:spacing w:line="400" w:lineRule="exact"/>
        <w:rPr>
          <w:rFonts w:hint="eastAsia" w:ascii="宋体" w:hAnsi="宋体"/>
          <w:bCs/>
          <w:sz w:val="24"/>
        </w:rPr>
      </w:pPr>
      <w:r>
        <w:rPr>
          <w:rFonts w:hint="eastAsia" w:ascii="宋体" w:hAnsi="宋体"/>
          <w:bCs/>
          <w:sz w:val="24"/>
        </w:rPr>
      </w:r>
      <w:r/>
    </w:p>
    <w:p>
      <w:pPr>
        <w:pStyle w:val="961"/>
        <w:spacing w:line="400" w:lineRule="exact"/>
        <w:rPr>
          <w:rFonts w:hint="eastAsia" w:ascii="宋体" w:hAnsi="宋体"/>
          <w:bCs/>
          <w:sz w:val="24"/>
        </w:rPr>
      </w:pPr>
      <w:r>
        <w:rPr>
          <w:rFonts w:hint="eastAsia" w:ascii="宋体" w:hAnsi="宋体"/>
          <w:bCs/>
          <w:sz w:val="24"/>
        </w:rPr>
      </w:r>
      <w:r/>
    </w:p>
    <w:p>
      <w:pPr>
        <w:pStyle w:val="961"/>
        <w:spacing w:line="400" w:lineRule="exact"/>
        <w:rPr>
          <w:rFonts w:hint="eastAsia" w:ascii="宋体" w:hAnsi="宋体"/>
          <w:bCs/>
          <w:sz w:val="24"/>
        </w:rPr>
      </w:pPr>
      <w:r>
        <w:rPr>
          <w:rFonts w:hint="eastAsia" w:ascii="宋体" w:hAnsi="宋体"/>
          <w:bCs/>
          <w:sz w:val="24"/>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r/>
    </w:p>
    <w:p>
      <w:pPr>
        <w:pStyle w:val="989"/>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bookmarkStart w:id="149" w:name="_Toc513029243"/>
      <w:r/>
      <w:bookmarkStart w:id="150" w:name="_Toc16938559"/>
      <w:r/>
      <w:bookmarkStart w:id="151" w:name="_Toc20823315"/>
      <w:r>
        <w:rPr>
          <w:rFonts w:hint="eastAsia" w:ascii="方正黑体_GBK" w:hAnsi="方正黑体_GBK" w:eastAsia="方正黑体_GBK" w:cs="方正黑体_GBK"/>
          <w:b w:val="0"/>
          <w:bCs w:val="0"/>
          <w:spacing w:val="-20"/>
          <w:sz w:val="28"/>
          <w:szCs w:val="28"/>
        </w:rPr>
        <w:t xml:space="preserve">江苏省政府采购合同（服务）（合同编号）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乙方交纳人民币______元作为本合同的履约保证金。（合同金额的10%）</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sz w:val="28"/>
          <w:szCs w:val="28"/>
          <w:lang w:val="en-US" w:eastAsia="zh-CN"/>
        </w:rPr>
        <w:t xml:space="preserve">保函</w:t>
      </w:r>
      <w:r/>
    </w:p>
    <w:p>
      <w:pPr>
        <w:pStyle w:val="99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6.3 收取</w:t>
      </w:r>
      <w:r>
        <w:rPr>
          <w:rFonts w:hint="eastAsia" w:ascii="方正仿宋_GBK" w:hAnsi="方正仿宋_GBK" w:eastAsia="方正仿宋_GBK" w:cs="方正仿宋_GBK"/>
          <w:sz w:val="28"/>
          <w:szCs w:val="28"/>
        </w:rPr>
        <w:t xml:space="preserve">履约保证金</w:t>
      </w:r>
      <w:r>
        <w:rPr>
          <w:rFonts w:hint="eastAsia" w:ascii="方正仿宋_GBK" w:hAnsi="方正仿宋_GBK" w:eastAsia="方正仿宋_GBK" w:cs="方正仿宋_GBK"/>
          <w:sz w:val="28"/>
          <w:szCs w:val="28"/>
          <w:lang w:val="en-US" w:eastAsia="zh-CN"/>
        </w:rPr>
        <w:t xml:space="preserve">时间：合同签订后30个工作日内</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合同履行结束后，甲方应及时退还交纳的履约保证金。</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.1履约保证金退还方式：</w:t>
      </w:r>
      <w:r>
        <w:rPr>
          <w:rFonts w:hint="eastAsia" w:ascii="Times New Roman" w:hAnsi="Times New Roman" w:eastAsia="方正仿宋_GBK" w:cs="Times New Roman"/>
          <w:color w:val="000000"/>
          <w:sz w:val="28"/>
          <w:szCs w:val="28"/>
        </w:rPr>
        <w:t xml:space="preserve">按照相关规定和流程无息退还</w:t>
      </w:r>
      <w:r>
        <w:rPr>
          <w:rFonts w:hint="eastAsia" w:ascii="Times New Roman" w:hAnsi="Times New Roman" w:eastAsia="方正仿宋_GBK" w:cs="Times New Roman"/>
          <w:color w:val="000000"/>
          <w:sz w:val="28"/>
          <w:szCs w:val="28"/>
          <w:lang w:eastAsia="zh-CN"/>
        </w:rPr>
        <w:t xml:space="preserve">。</w:t>
      </w:r>
      <w:r/>
    </w:p>
    <w:p>
      <w:pPr>
        <w:pStyle w:val="99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.2履约保证金退还时间：</w:t>
      </w:r>
      <w:r>
        <w:rPr>
          <w:rFonts w:hint="eastAsia" w:ascii="Times New Roman" w:hAnsi="Times New Roman" w:eastAsia="方正仿宋_GBK" w:cs="Times New Roman"/>
          <w:color w:val="000000"/>
          <w:sz w:val="28"/>
          <w:szCs w:val="28"/>
          <w:lang w:val="en-US" w:eastAsia="zh-CN" w:bidi="ar-SA"/>
        </w:rPr>
        <w:t xml:space="preserve">软件验收满半年。</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.3履约保证金退还条件：</w:t>
      </w:r>
      <w:r>
        <w:rPr>
          <w:rFonts w:hint="eastAsia" w:ascii="Times New Roman" w:hAnsi="Times New Roman" w:eastAsia="方正仿宋_GBK" w:cs="Times New Roman"/>
          <w:color w:val="000000"/>
          <w:sz w:val="28"/>
          <w:szCs w:val="28"/>
        </w:rPr>
        <w:t xml:space="preserve">按合同要求履约</w:t>
      </w:r>
      <w:r>
        <w:rPr>
          <w:rFonts w:hint="eastAsia" w:ascii="Times New Roman" w:hAnsi="Times New Roman" w:eastAsia="方正仿宋_GBK" w:cs="Times New Roman"/>
          <w:color w:val="000000"/>
          <w:sz w:val="28"/>
          <w:szCs w:val="28"/>
          <w:lang w:eastAsia="zh-CN"/>
        </w:rPr>
        <w:t xml:space="preserve">。</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.4履约保证金不予退还的情形：</w:t>
      </w:r>
      <w:r>
        <w:rPr>
          <w:rFonts w:hint="eastAsia" w:ascii="Times New Roman" w:hAnsi="Times New Roman" w:eastAsia="方正仿宋_GBK" w:cs="Times New Roman"/>
          <w:color w:val="000000"/>
          <w:sz w:val="28"/>
          <w:szCs w:val="28"/>
        </w:rPr>
        <w:t xml:space="preserve">未按合同要求履约</w:t>
      </w:r>
      <w:r>
        <w:rPr>
          <w:rFonts w:hint="eastAsia" w:ascii="Times New Roman" w:hAnsi="Times New Roman" w:eastAsia="方正仿宋_GBK" w:cs="Times New Roman"/>
          <w:color w:val="000000"/>
          <w:sz w:val="28"/>
          <w:szCs w:val="28"/>
          <w:lang w:eastAsia="zh-CN"/>
        </w:rPr>
        <w:t xml:space="preserve">。</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w:t>
      </w:r>
      <w:r>
        <w:rPr>
          <w:rFonts w:hint="eastAsia" w:ascii="方正仿宋_GBK" w:hAnsi="方正仿宋_GBK" w:eastAsia="方正仿宋_GBK" w:cs="方正仿宋_GBK"/>
          <w:i w:val="0"/>
          <w:iCs w:val="0"/>
          <w:sz w:val="28"/>
          <w:szCs w:val="28"/>
          <w:u w:val="none"/>
        </w:rPr>
        <w:t xml:space="preserve">系统试运行阶段支付合同总金额的30%</w:t>
      </w:r>
      <w:r>
        <w:rPr>
          <w:rFonts w:hint="eastAsia" w:ascii="方正仿宋_GBK" w:hAnsi="方正仿宋_GBK" w:eastAsia="方正仿宋_GBK" w:cs="方正仿宋_GBK"/>
          <w:i w:val="0"/>
          <w:iCs w:val="0"/>
          <w:sz w:val="28"/>
          <w:szCs w:val="28"/>
          <w:u w:val="none"/>
          <w:lang w:eastAsia="zh-CN"/>
        </w:rPr>
        <w:t xml:space="preserve">。</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尾款支付时间：系统验收合格且稳定运行30个工作日后10个工作日内支付合同总金额的70%。</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p>
    <w:p>
      <w:pPr>
        <w:pStyle w:val="996"/>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99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996"/>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p>
    <w:p>
      <w:pPr>
        <w:pStyle w:val="996"/>
        <w:jc w:val="center"/>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996"/>
        <w:jc w:val="right"/>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996"/>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49"/>
      <w:r/>
      <w:bookmarkEnd w:id="150"/>
      <w:r/>
      <w:bookmarkEnd w:id="151"/>
      <w:r/>
      <w:bookmarkStart w:id="152" w:name="_Hlt16619369"/>
      <w:r/>
      <w:bookmarkEnd w:id="152"/>
      <w:r/>
      <w:bookmarkStart w:id="153" w:name="_Hlt16619350"/>
      <w:r/>
      <w:bookmarkStart w:id="154" w:name="_Toc120614244"/>
      <w:r/>
      <w:bookmarkStart w:id="155" w:name="_Toc16938590"/>
      <w:r/>
      <w:bookmarkStart w:id="156" w:name="_Toc20823346"/>
      <w:r/>
      <w:bookmarkStart w:id="157" w:name="_Toc462564139"/>
      <w:r/>
      <w:bookmarkStart w:id="158"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3"/>
      <w:r>
        <w:rPr>
          <w:rFonts w:hint="eastAsia" w:ascii="方正黑体_GBK" w:hAnsi="方正黑体_GBK" w:eastAsia="方正黑体_GBK" w:cs="方正黑体_GBK"/>
          <w:color w:val="000000"/>
          <w:sz w:val="28"/>
          <w:szCs w:val="28"/>
          <w:lang w:val="en-US" w:eastAsia="zh-CN" w:bidi="ar-SA"/>
        </w:rPr>
        <w:t xml:space="preserve">四章 采购需求</w:t>
      </w:r>
      <w:bookmarkEnd w:id="154"/>
      <w:r/>
      <w:bookmarkEnd w:id="155"/>
      <w:r/>
      <w:bookmarkEnd w:id="156"/>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59" w:name="_Toc26554093"/>
      <w:r/>
      <w:bookmarkStart w:id="160" w:name="_Toc49090575"/>
      <w:r>
        <w:rPr>
          <w:rFonts w:hint="eastAsia" w:ascii="方正黑体_GBK" w:hAnsi="方正黑体_GBK" w:eastAsia="方正黑体_GBK" w:cs="方正黑体_GBK"/>
          <w:b w:val="0"/>
          <w:bCs/>
          <w:sz w:val="28"/>
          <w:szCs w:val="28"/>
        </w:rPr>
        <w:t xml:space="preserve">一、采购标的清单</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998"/>
        <w:gridCol w:w="3491"/>
        <w:gridCol w:w="2438"/>
      </w:tblGrid>
      <w:tr>
        <w:trPr>
          <w:cantSplit/>
          <w:jc w:val="center"/>
          <w:trHeight w:val="701"/>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p>
        </w:tc>
        <w:tc>
          <w:tcPr>
            <w:tcW w:w="99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4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790" w:type="dxa"/>
            <w:vAlign w:val="top"/>
            <w:textDirection w:val="lrTb"/>
            <w:noWrap w:val="false"/>
          </w:tcPr>
          <w:p>
            <w:pPr>
              <w:jc w:val="center"/>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u w:val="none"/>
                <w:lang w:val="en-US" w:eastAsia="zh-CN" w:bidi="ar-SA"/>
              </w:rPr>
              <w:t xml:space="preserve">1</w:t>
            </w:r>
            <w:r/>
          </w:p>
        </w:tc>
        <w:tc>
          <w:tcPr>
            <w:tcW w:w="99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491" w:type="dxa"/>
            <w:vAlign w:val="top"/>
            <w:textDirection w:val="lrTb"/>
            <w:noWrap w:val="false"/>
          </w:tcPr>
          <w:p>
            <w:pPr>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Times New Roman" w:hAnsi="Times New Roman" w:eastAsia="方正仿宋_GBK" w:cs="Times New Roman"/>
                <w:color w:val="000000"/>
                <w:sz w:val="28"/>
                <w:szCs w:val="28"/>
                <w:u w:val="none"/>
                <w:lang w:val="en-US" w:eastAsia="zh-CN" w:bidi="ar-SA"/>
              </w:rPr>
              <w:t xml:space="preserve">江苏省人民医院临床试验全流程智能化系统</w:t>
            </w:r>
            <w:r/>
          </w:p>
        </w:tc>
        <w:tc>
          <w:tcPr>
            <w:tcW w:w="2438" w:type="dxa"/>
            <w:vAlign w:val="center"/>
            <w:textDirection w:val="lrTb"/>
            <w:noWrap w:val="false"/>
          </w:tcPr>
          <w:p>
            <w:pPr>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Times New Roman" w:hAnsi="Times New Roman" w:eastAsia="方正仿宋_GBK" w:cs="Times New Roman"/>
                <w:color w:val="000000"/>
                <w:sz w:val="28"/>
                <w:szCs w:val="28"/>
                <w:u w:val="none"/>
                <w:lang w:val="en-US" w:eastAsia="zh-CN" w:bidi="ar-SA"/>
              </w:rPr>
              <w:fldChar w:fldCharType="begin"/>
            </w:r>
            <w:r>
              <w:rPr>
                <w:rFonts w:hint="eastAsia" w:ascii="Times New Roman" w:hAnsi="Times New Roman" w:eastAsia="方正仿宋_GBK" w:cs="Times New Roman"/>
                <w:color w:val="000000"/>
                <w:sz w:val="28"/>
                <w:szCs w:val="28"/>
                <w:u w:val="none"/>
                <w:lang w:val="en-US" w:eastAsia="zh-CN" w:bidi="ar-SA"/>
              </w:rPr>
              <w:instrText xml:space="preserve"> HYPERLINK "https://baike.baidu.com/item/%E8%BD%AF%E4%BB%B6%E5%92%8C%E4%BF%A1%E6%81%AF%E6%8A%80%E6%9C%AF%E6%9C%8D%E5%8A%A1%E4%B8%9A/60200450?fromModule=lemma_inlink" \t "https://baike.baidu.com/item/%E4%B8%AD%E5%B0%8F%E4%BC%81%E4%B8%9A/_blank" </w:instrText>
            </w:r>
            <w:r>
              <w:rPr>
                <w:rFonts w:hint="eastAsia" w:ascii="Times New Roman" w:hAnsi="Times New Roman" w:eastAsia="方正仿宋_GBK" w:cs="Times New Roman"/>
                <w:color w:val="000000"/>
                <w:sz w:val="28"/>
                <w:szCs w:val="28"/>
                <w:u w:val="none"/>
                <w:lang w:val="en-US" w:eastAsia="zh-CN" w:bidi="ar-SA"/>
              </w:rPr>
              <w:fldChar w:fldCharType="separate"/>
            </w:r>
            <w:r>
              <w:rPr>
                <w:rFonts w:hint="eastAsia" w:ascii="Times New Roman" w:hAnsi="Times New Roman" w:eastAsia="方正仿宋_GBK" w:cs="Times New Roman"/>
                <w:color w:val="000000"/>
                <w:sz w:val="28"/>
                <w:szCs w:val="28"/>
                <w:u w:val="none"/>
                <w:lang w:val="en-US" w:eastAsia="zh-CN" w:bidi="ar-SA"/>
              </w:rPr>
              <w:t xml:space="preserve">软件和信息技术服务业</w:t>
            </w:r>
            <w:r>
              <w:rPr>
                <w:rFonts w:hint="eastAsia" w:ascii="Times New Roman" w:hAnsi="Times New Roman" w:eastAsia="方正仿宋_GBK" w:cs="Times New Roman"/>
                <w:color w:val="000000"/>
                <w:sz w:val="28"/>
                <w:szCs w:val="28"/>
                <w:u w:val="none"/>
                <w:lang w:val="en-US" w:eastAsia="zh-CN" w:bidi="ar-SA"/>
              </w:rPr>
              <w:fldChar w:fldCharType="end"/>
            </w:r>
            <w:r/>
          </w:p>
        </w:tc>
      </w:tr>
    </w:tbl>
    <w:p>
      <w:pPr>
        <w:pStyle w:val="996"/>
        <w:ind w:firstLine="560"/>
        <w:keepLines w:val="0"/>
        <w:keepNext w:val="0"/>
        <w:pageBreakBefore w:val="0"/>
        <w:spacing w:before="120" w:after="120" w:line="400" w:lineRule="exact"/>
        <w:widowControl w:val="off"/>
        <w:rPr>
          <w:rFonts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本项目不采购货物。</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p>
    <w:tbl>
      <w:tblPr>
        <w:tblStyle w:val="1073"/>
        <w:tblW w:w="0" w:type="auto"/>
        <w:tblInd w:w="-1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89"/>
        <w:gridCol w:w="1347"/>
        <w:gridCol w:w="6268"/>
      </w:tblGrid>
      <w:tr>
        <w:trPr>
          <w:trHeight w:val="280"/>
        </w:trPr>
        <w:tc>
          <w:tcPr>
            <w:tcW w:w="1189" w:type="dxa"/>
            <w:vAlign w:val="top"/>
            <w:textDirection w:val="lrTb"/>
            <w:noWrap/>
          </w:tcPr>
          <w:p>
            <w:pPr>
              <w:jc w:val="center"/>
              <w:widowControl/>
              <w:rPr>
                <w:rFonts w:ascii="宋体" w:hAnsi="宋体" w:cs="宋体"/>
                <w:b/>
                <w:bCs/>
                <w:sz w:val="22"/>
                <w:szCs w:val="22"/>
              </w:rPr>
            </w:pPr>
            <w:r>
              <w:rPr>
                <w:rFonts w:ascii="宋体" w:hAnsi="宋体" w:cs="宋体"/>
                <w:b/>
                <w:bCs/>
                <w:sz w:val="22"/>
                <w:szCs w:val="22"/>
              </w:rPr>
              <w:t xml:space="preserve">模块名称</w:t>
            </w:r>
            <w:r/>
          </w:p>
        </w:tc>
        <w:tc>
          <w:tcPr>
            <w:tcW w:w="1347" w:type="dxa"/>
            <w:vAlign w:val="top"/>
            <w:textDirection w:val="lrTb"/>
            <w:noWrap/>
          </w:tcPr>
          <w:p>
            <w:pPr>
              <w:jc w:val="center"/>
              <w:widowControl/>
              <w:rPr>
                <w:rFonts w:ascii="宋体" w:hAnsi="宋体" w:cs="宋体"/>
                <w:b/>
                <w:bCs/>
                <w:sz w:val="22"/>
                <w:szCs w:val="22"/>
              </w:rPr>
            </w:pPr>
            <w:r>
              <w:rPr>
                <w:rFonts w:ascii="宋体" w:hAnsi="宋体" w:cs="宋体"/>
                <w:b/>
                <w:bCs/>
                <w:sz w:val="22"/>
                <w:szCs w:val="22"/>
              </w:rPr>
              <w:t xml:space="preserve">功能点名称</w:t>
            </w:r>
            <w:r/>
          </w:p>
        </w:tc>
        <w:tc>
          <w:tcPr>
            <w:tcW w:w="6268" w:type="dxa"/>
            <w:vAlign w:val="top"/>
            <w:textDirection w:val="lrTb"/>
            <w:noWrap/>
          </w:tcPr>
          <w:p>
            <w:pPr>
              <w:jc w:val="center"/>
              <w:widowControl/>
              <w:rPr>
                <w:rFonts w:ascii="宋体" w:hAnsi="宋体" w:cs="宋体"/>
                <w:b/>
                <w:bCs/>
                <w:sz w:val="22"/>
                <w:szCs w:val="22"/>
              </w:rPr>
            </w:pPr>
            <w:r>
              <w:rPr>
                <w:rFonts w:ascii="宋体" w:hAnsi="宋体" w:cs="宋体"/>
                <w:b/>
                <w:bCs/>
                <w:sz w:val="22"/>
                <w:szCs w:val="22"/>
              </w:rPr>
              <w:t xml:space="preserve">功能描述</w:t>
            </w:r>
            <w:r/>
          </w:p>
        </w:tc>
      </w:tr>
      <w:tr>
        <w:trPr>
          <w:cantSplit/>
          <w:trHeight w:val="112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项目立项与项目综合管理</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项目类型识别与立项申请引导</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项目负责人填写研究目的、研究设计、研究对象、申办方、研究阶段和申请材料后，系统辅助判断项目类型，负责人可以人工确认或修正。系统根据项目类型和业务场景匹配申请表、必填字段、材料清单和审批流程。系统根据医院的实际管理要求，维护对应的项目基础信息内容。按组织、项目、中心和角色配置权限，记录申请、材料、审批、下载和状态变更。</w:t>
            </w:r>
            <w:r/>
          </w:p>
        </w:tc>
      </w:tr>
      <w:tr>
        <w:trPr>
          <w:cantSplit/>
          <w:trHeight w:val="112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立项材料</w:t>
            </w:r>
            <w:r>
              <w:rPr>
                <w:rFonts w:hint="eastAsia" w:ascii="宋体" w:hAnsi="宋体" w:cs="宋体"/>
                <w:color w:val="000000"/>
                <w:sz w:val="22"/>
                <w:szCs w:val="22"/>
                <w:lang w:val="en-US" w:eastAsia="zh-CN"/>
              </w:rPr>
              <w:t xml:space="preserve">智能</w:t>
            </w:r>
            <w:r>
              <w:rPr>
                <w:rFonts w:ascii="宋体" w:hAnsi="宋体" w:cs="宋体"/>
                <w:color w:val="000000"/>
                <w:sz w:val="22"/>
                <w:szCs w:val="22"/>
              </w:rPr>
              <w:t xml:space="preserve">匹配</w:t>
            </w:r>
            <w:r/>
          </w:p>
        </w:tc>
        <w:tc>
          <w:tcPr>
            <w:tcW w:w="6268" w:type="dxa"/>
            <w:vAlign w:val="top"/>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t xml:space="preserve">▲</w:t>
            </w:r>
            <w:r>
              <w:rPr>
                <w:rFonts w:ascii="宋体" w:hAnsi="宋体" w:cs="宋体"/>
                <w:color w:val="000000"/>
                <w:sz w:val="22"/>
                <w:szCs w:val="22"/>
              </w:rPr>
              <w:t xml:space="preserve">提交立项申请后，系统根据项目类型、阶段和医院规则生成必传、选传和补充材料清单。系统检查材料是否缺失、附件是否为空、内容是否完整、并核对研究团队资质、有效期和角色匹配情况</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提供同类项目类似功能的系统截图</w:t>
            </w:r>
            <w:r>
              <w:rPr>
                <w:rFonts w:hint="eastAsia" w:ascii="宋体" w:hAnsi="宋体" w:cs="宋体"/>
                <w:color w:val="000000"/>
                <w:sz w:val="22"/>
                <w:szCs w:val="22"/>
                <w:lang w:eastAsia="zh-CN"/>
              </w:rPr>
              <w:t xml:space="preserve">）</w:t>
            </w:r>
            <w:r>
              <w:rPr>
                <w:rFonts w:ascii="宋体" w:hAnsi="宋体" w:cs="宋体"/>
                <w:color w:val="000000"/>
                <w:sz w:val="22"/>
                <w:szCs w:val="22"/>
              </w:rPr>
              <w:t xml:space="preserve">。</w:t>
            </w:r>
            <w:r/>
          </w:p>
        </w:tc>
      </w:tr>
      <w:tr>
        <w:trPr>
          <w:cantSplit/>
          <w:trHeight w:val="638"/>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val="en-US" w:eastAsia="zh-CN"/>
              </w:rPr>
              <w:t xml:space="preserve">立项材料</w:t>
            </w:r>
            <w:r>
              <w:rPr>
                <w:rFonts w:ascii="宋体" w:hAnsi="宋体" w:cs="宋体"/>
                <w:color w:val="000000"/>
                <w:sz w:val="22"/>
                <w:szCs w:val="22"/>
              </w:rPr>
              <w:t xml:space="preserve">智能审查</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w:t>
            </w:r>
            <w:r>
              <w:rPr>
                <w:rFonts w:ascii="宋体" w:hAnsi="宋体" w:cs="宋体"/>
                <w:color w:val="000000"/>
                <w:sz w:val="22"/>
                <w:szCs w:val="22"/>
              </w:rPr>
              <w:t xml:space="preserve">系统支持对递交的材料进行智能化审核，系统发现材料问题并标注原文来源中</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提供同类项目类似功能的系统截图</w:t>
            </w:r>
            <w:r>
              <w:rPr>
                <w:rFonts w:hint="eastAsia" w:ascii="宋体" w:hAnsi="宋体" w:cs="宋体"/>
                <w:color w:val="000000"/>
                <w:sz w:val="22"/>
                <w:szCs w:val="22"/>
                <w:lang w:eastAsia="zh-CN"/>
              </w:rPr>
              <w:t xml:space="preserve">）</w:t>
            </w:r>
            <w:r>
              <w:rPr>
                <w:rFonts w:ascii="宋体" w:hAnsi="宋体" w:cs="宋体"/>
                <w:color w:val="000000"/>
                <w:sz w:val="22"/>
                <w:szCs w:val="22"/>
              </w:rPr>
              <w:t xml:space="preserve">。</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sz w:val="22"/>
                <w:szCs w:val="22"/>
              </w:rPr>
            </w:pPr>
            <w:r>
              <w:rPr>
                <w:rFonts w:ascii="宋体" w:hAnsi="宋体" w:cs="宋体"/>
                <w:sz w:val="22"/>
                <w:szCs w:val="22"/>
              </w:rPr>
              <w:t xml:space="preserve">智能启动会管理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支持启动会前置准入校验（如伦理、合同、人遗、款项、试验用物资入院等），具备条件智能识别与阻断拦截机制；支持在线预约申请（含时间、地点、人员及附件）及自定义审批流（支持同意、驳回修改）；支持线上记录启动会的整体情况；支持配置并上传授权分工表、培训记录、会议记录等会后材料。</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sz w:val="22"/>
                <w:szCs w:val="22"/>
              </w:rPr>
            </w:pPr>
            <w:r>
              <w:rPr>
                <w:rFonts w:ascii="宋体" w:hAnsi="宋体" w:cs="宋体"/>
                <w:sz w:val="22"/>
                <w:szCs w:val="22"/>
              </w:rPr>
              <w:t xml:space="preserve">安全事件管理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支持临床试验不良事件全流程闭环管控。涵盖院内AE发起、审核、跟踪和转归记录；支持院内AE转SAE以及SAE的独立上报，支持院外SAE/SUSAR/DSUR的院内通报，同时关联伦理委员会发起上报；持全院/全机构级多项目数据汇总导出，并提供发生率及多维度统计分析能力。</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sz w:val="22"/>
                <w:szCs w:val="22"/>
              </w:rPr>
            </w:pPr>
            <w:r>
              <w:rPr>
                <w:rFonts w:ascii="宋体" w:hAnsi="宋体" w:cs="宋体"/>
                <w:sz w:val="22"/>
                <w:szCs w:val="22"/>
              </w:rPr>
              <w:t xml:space="preserve">临床试验物资管理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支持申办方给各专业组物资（耗材、试剂盒、设备等）</w:t>
            </w:r>
            <w:r>
              <w:rPr>
                <w:rFonts w:hint="eastAsia" w:ascii="宋体" w:hAnsi="宋体" w:cs="宋体"/>
                <w:color w:val="000000"/>
                <w:sz w:val="22"/>
                <w:szCs w:val="22"/>
                <w:lang w:val="en-US" w:eastAsia="zh-CN"/>
              </w:rPr>
              <w:t xml:space="preserve">的</w:t>
            </w:r>
            <w:r>
              <w:rPr>
                <w:rFonts w:ascii="宋体" w:hAnsi="宋体" w:cs="宋体"/>
                <w:color w:val="000000"/>
                <w:sz w:val="22"/>
                <w:szCs w:val="22"/>
              </w:rPr>
              <w:t xml:space="preserve">全生命周期管理。支持按项目与专业组建立物资台账，涵盖申办方到货验收、专业组入库、领用审批、关联消耗、库存盘点、临期/低库存预警、损坏报废及结题退还申办方等功能；支持按批号/条码进行出入库全程溯源，提供多维度库存统计与明细台账导出。</w:t>
            </w:r>
            <w:r/>
          </w:p>
        </w:tc>
      </w:tr>
      <w:tr>
        <w:trPr>
          <w:cantSplit/>
          <w:trHeight w:val="56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审查流程智能追踪</w:t>
            </w:r>
            <w:r/>
          </w:p>
        </w:tc>
        <w:tc>
          <w:tcPr>
            <w:tcW w:w="6268" w:type="dxa"/>
            <w:vAlign w:val="top"/>
            <w:textDirection w:val="lrTb"/>
            <w:noWrap w:val="false"/>
          </w:tcPr>
          <w:p>
            <w:pPr>
              <w:jc w:val="left"/>
              <w:widowControl/>
              <w:rPr>
                <w:rFonts w:ascii="宋体" w:hAnsi="宋体" w:cs="宋体"/>
                <w:color w:val="000000"/>
                <w:sz w:val="22"/>
                <w:szCs w:val="22"/>
                <w:lang w:val="en-US"/>
              </w:rPr>
            </w:pPr>
            <w:r>
              <w:rPr>
                <w:rFonts w:hint="eastAsia" w:ascii="宋体" w:hAnsi="宋体" w:cs="宋体"/>
                <w:color w:val="000000"/>
                <w:sz w:val="22"/>
                <w:szCs w:val="22"/>
              </w:rPr>
              <w:t xml:space="preserve">▲</w:t>
            </w:r>
            <w:r>
              <w:rPr>
                <w:rFonts w:ascii="宋体" w:hAnsi="宋体" w:cs="宋体"/>
                <w:color w:val="000000"/>
                <w:sz w:val="22"/>
                <w:szCs w:val="22"/>
              </w:rPr>
              <w:t xml:space="preserve">支持机构秘书、PI、机构办主任等节点配置，支持顺序审批、会签和条件分支；能够展示提交、受理、审查、补充、审核和批准等节点、人员、时间和待办；提示问题位置、整改要求和补充材料，并提示各个流程节点的时间消耗</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提供同类项目类似功能的系统截图</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w:t>
            </w:r>
            <w:r/>
          </w:p>
        </w:tc>
      </w:tr>
      <w:tr>
        <w:trPr>
          <w:cantSplit/>
          <w:trHeight w:val="140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项目全周期管理与统计分析</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项目立项后，系统根据立项、伦理、合同、启动、执行和结题等节点识别项目阶段，并提示材料、资质、进度和流程。立项信息、批件、团队和附件可带入伦理、人遗、合同和启动模块，项目变更、暂停、中止和提前终止均形成状态记录。系统支持项目要素变更、暂停、中止和提前终止申请、审批及状态同步。项目负责人可通过看板查看项目总量、阶段分布、待办、逾期、风险和入组计划。管理人员可按机构、科室、专业组、研究者、PI、申办方和时间统计项目数量、审批周期、补充次数等指标，并按医院需要定制统计口径。</w:t>
            </w:r>
            <w:r/>
          </w:p>
        </w:tc>
      </w:tr>
      <w:tr>
        <w:trPr>
          <w:cantSplit/>
          <w:trHeight w:val="84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智能质控</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质控规则与任务管理</w:t>
            </w:r>
            <w:r/>
          </w:p>
        </w:tc>
        <w:tc>
          <w:tcPr>
            <w:tcW w:w="6268" w:type="dxa"/>
            <w:vAlign w:val="top"/>
            <w:textDirection w:val="lrTb"/>
            <w:noWrap w:val="false"/>
          </w:tcPr>
          <w:p>
            <w:pPr>
              <w:jc w:val="left"/>
              <w:widowControl/>
              <w:rPr>
                <w:rFonts w:hint="eastAsia" w:ascii="宋体" w:hAnsi="宋体" w:eastAsia="宋体" w:cs="宋体"/>
                <w:color w:val="000000"/>
                <w:sz w:val="22"/>
                <w:szCs w:val="22"/>
                <w:lang w:eastAsia="zh-CN"/>
              </w:rPr>
            </w:pPr>
            <w:r>
              <w:rPr>
                <w:rFonts w:ascii="宋体" w:hAnsi="宋体" w:cs="宋体"/>
                <w:color w:val="000000"/>
                <w:sz w:val="22"/>
                <w:szCs w:val="22"/>
              </w:rPr>
              <w:t xml:space="preserve">▲质控管理员分别维护GCP质控规则，设置适用项目类型、阶段、触发条件、风险等级和启动前/首例/中期/锁库/结题表单。系统根据项目进度、入组数量和触发条件自动生成质控任务，分派质控人员、期限和复核人，并记录任务状态。</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提供同类项目类似功能的系统截图</w:t>
            </w:r>
            <w:r>
              <w:rPr>
                <w:rFonts w:hint="eastAsia" w:ascii="宋体" w:hAnsi="宋体" w:cs="宋体"/>
                <w:color w:val="000000"/>
                <w:sz w:val="22"/>
                <w:szCs w:val="22"/>
                <w:lang w:eastAsia="zh-CN"/>
              </w:rPr>
              <w:t xml:space="preserve">）。</w:t>
            </w:r>
            <w:r/>
          </w:p>
        </w:tc>
      </w:tr>
      <w:tr>
        <w:trPr>
          <w:cantSplit/>
          <w:trHeight w:val="9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基于原始数据的过程质控</w:t>
            </w:r>
            <w:r/>
          </w:p>
        </w:tc>
        <w:tc>
          <w:tcPr>
            <w:tcW w:w="6268"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▲在项目进行过程中实时读取各项目的筛选、知情同意、入组、访视、用药、随访和AE/SAE等数据，根据项目中各受试者的入组进度以及相关质控规则完成智能质控。系统</w:t>
            </w:r>
            <w:r>
              <w:rPr>
                <w:rFonts w:hint="eastAsia" w:ascii="宋体" w:hAnsi="宋体" w:cs="宋体"/>
                <w:color w:val="000000"/>
                <w:sz w:val="22"/>
                <w:szCs w:val="22"/>
                <w:lang w:val="en-US" w:eastAsia="zh-CN"/>
              </w:rPr>
              <w:t xml:space="preserve">智能</w:t>
            </w:r>
            <w:r>
              <w:rPr>
                <w:rFonts w:ascii="宋体" w:hAnsi="宋体" w:cs="宋体"/>
                <w:color w:val="000000"/>
                <w:sz w:val="22"/>
                <w:szCs w:val="22"/>
              </w:rPr>
              <w:t xml:space="preserve">发现记录缺失、关键操作未记录、访视超窗和方案偏离等项目质控问题，并展示数据来源和规则依据</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提供同类项目类似功能的系统截图</w:t>
            </w:r>
            <w:r>
              <w:rPr>
                <w:rFonts w:hint="eastAsia" w:ascii="宋体" w:hAnsi="宋体" w:cs="宋体"/>
                <w:color w:val="000000"/>
                <w:sz w:val="22"/>
                <w:szCs w:val="22"/>
                <w:lang w:eastAsia="zh-CN"/>
              </w:rPr>
              <w:t xml:space="preserve">）</w:t>
            </w:r>
            <w:r>
              <w:rPr>
                <w:rFonts w:ascii="宋体" w:hAnsi="宋体" w:cs="宋体"/>
                <w:color w:val="000000"/>
                <w:sz w:val="22"/>
                <w:szCs w:val="22"/>
              </w:rPr>
              <w:t xml:space="preserve">。</w:t>
            </w:r>
            <w:r/>
          </w:p>
        </w:tc>
      </w:tr>
      <w:tr>
        <w:trPr>
          <w:cantSplit/>
          <w:trHeight w:val="9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质控规则维护</w:t>
            </w:r>
            <w:r/>
          </w:p>
        </w:tc>
        <w:tc>
          <w:tcPr>
            <w:tcW w:w="6268" w:type="dxa"/>
            <w:vAlign w:val="top"/>
            <w:textDirection w:val="lrTb"/>
            <w:noWrap w:val="false"/>
          </w:tcPr>
          <w:p>
            <w:pPr>
              <w:jc w:val="left"/>
              <w:widowControl/>
              <w:rPr>
                <w:rFonts w:hint="eastAsia" w:ascii="宋体" w:hAnsi="宋体" w:eastAsia="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支持维护与筛选和知情同意质控相关的所有规则，核查入排、知情同意版本、日期、人员和入组关系。支持维护与访视与方案偏离质控相关的所有规则，核查访视窗口、医嘱、检查、禁忌用药并识别漏项和超窗。支持维护与AE/SAE质控相关的所有规则，从检验、影像、病理、病程、护理和用药发现线索，核查报告和闭环时效。支持维护与病历文书质控相关的所有规则，识别记录不完整、不及时、关键操作未记录、疗效评价和合并用药缺失。</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质控问题整改闭环</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汇总实时、批量、专项和监察发现的问题，按类型和风险分类并生成整改任务。责任人收到问题位置、整改要求、期限和优先级后提交修订材料，质控人员可比较整改前后内容、退回补充或复核关闭，系统记录问题从发现到关闭的全过程。</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质控分析与报告审计</w:t>
            </w:r>
            <w:r/>
          </w:p>
        </w:tc>
        <w:tc>
          <w:tcPr>
            <w:tcW w:w="6268"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质控人员可选择项目和时间范围，系统汇总数据完整性、质疑、偏离、AE/SAE、预警和整改结果，形成项目质量状态、问题率、合格率和响应时效分析，并生成报告初稿。所有识别和分析结果支持人工复核、修改或驳回。受试者和临床数据按权限分级展示，规则、任务、问题、整改、报告和导出操作全部留痕</w:t>
            </w:r>
            <w:r>
              <w:rPr>
                <w:rFonts w:hint="eastAsia" w:ascii="宋体" w:hAnsi="宋体" w:cs="宋体"/>
                <w:color w:val="000000"/>
                <w:sz w:val="22"/>
                <w:szCs w:val="22"/>
              </w:rPr>
              <w:t xml:space="preserve">（提供同类项目类似功能的系统截图）</w:t>
            </w:r>
            <w:r>
              <w:rPr>
                <w:rFonts w:ascii="宋体" w:hAnsi="宋体" w:cs="宋体"/>
                <w:color w:val="000000"/>
                <w:sz w:val="22"/>
                <w:szCs w:val="22"/>
              </w:rPr>
              <w:t xml:space="preserve">。</w:t>
            </w:r>
            <w:r/>
          </w:p>
        </w:tc>
      </w:tr>
      <w:tr>
        <w:trPr>
          <w:cantSplit/>
          <w:trHeight w:val="112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人类遗传资源管理</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人遗事项识别与场景判断</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项目负责人填写研究目的、样本类型、采集、保藏、利用、合作和信息处理方式后，系统辅助判断是否涉及人类遗传资源，并区分采集、保藏、国际合作、对外提供等场景。相关人员可以人工确认判定结果。若判定为不涉及，系统生成说明、备案或申报待办，支持上传依据、审核并归入项目档案。立项通过后根据判定结果生成不涉及说明、备案或申报待办。</w:t>
            </w:r>
            <w:r/>
          </w:p>
        </w:tc>
      </w:tr>
      <w:tr>
        <w:trPr>
          <w:cantSplit/>
          <w:trHeight w:val="112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人遗申报材料与单位管理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项目涉及人类遗传资源时，系统根据事项、项目类型、牵头/参与单位和样本信息生成申报材料清单及流程节点。系统检查材料缺失、过期、漏签章、版本不一致和委托函缺失，并交叉核对申请、方案、伦理批件、协议、承诺书和委托函中的主体、样本和期限。管理员维护各单位责任范围、参与内容和联系人，系统同时校验委托函的单位名称、适用范围和有效期。</w:t>
            </w:r>
            <w:r/>
          </w:p>
        </w:tc>
      </w:tr>
      <w:tr>
        <w:trPr>
          <w:cantSplit/>
          <w:trHeight w:val="112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人遗审查、签章与批件管理</w:t>
            </w:r>
            <w:r/>
          </w:p>
        </w:tc>
        <w:tc>
          <w:tcPr>
            <w:tcW w:w="6268"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项目涉及人类遗传资源时，申报人员在线提交申报材料，系统按规定流程依次支持PI签批、机构审核、院内用印和文件回传。系统检查申请材料、伦理批件和签章文件是否齐全、有效且相互一致，并生成待整改问题清单。获得正式批件后，系统自动提取批件文号、批准期限、样本范围、合作单位和批准事项，形成项目人遗档案。在批件到期前60天、30天和7天向相关人员提醒延续或变更，并在项目启动前校验批件是否有效。</w:t>
            </w:r>
            <w:r>
              <w:rPr>
                <w:rFonts w:hint="eastAsia" w:ascii="宋体" w:hAnsi="宋体" w:cs="宋体"/>
                <w:color w:val="000000"/>
                <w:sz w:val="22"/>
                <w:szCs w:val="22"/>
              </w:rPr>
              <w:t xml:space="preserve">（提供同类项目类似功能的系统截图）</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人遗资料归档与状态审计</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将申请、批件、变更、延续和结题材料按项目归集，保留历史版本和关联关系。管理人员通过看板查看判定、申报、批件有效期、变更和结题状态，并按项目和时间统计。涉及样本和个人信息的内容按角色分级展示，系统记录判定、签章、批件、变更和结题操作。</w:t>
            </w:r>
            <w:r/>
          </w:p>
        </w:tc>
      </w:tr>
      <w:tr>
        <w:trPr>
          <w:cantSplit/>
          <w:trHeight w:val="84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伦理审查与管理</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伦理项目与审查类型管理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伦理秘书建立GCP伦理项目，维护项目、PI、申办方、中心和伦理状态，并选择初始、复审、修正案、年度/定期、安全性报告、方案违背、暂停/终止或结题等审查类型。系统根据伦理申请状态生成待受理、待审查、待开会、待签发、补充和逾期事项，形成伦理工作台。</w:t>
            </w:r>
            <w:r/>
          </w:p>
        </w:tc>
      </w:tr>
      <w:tr>
        <w:trPr>
          <w:cantSplit/>
          <w:trHeight w:val="9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伦理材料智能受理与一致性审查</w:t>
            </w:r>
            <w:r/>
          </w:p>
        </w:tc>
        <w:tc>
          <w:tcPr>
            <w:tcW w:w="6268"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▲伦理申请提交后，系统带入立项、方案、人遗、合同和项目档案材料，根据项目类型、审查类型和审查方式生成材料清单。系统检查文件缺失、空文件、过期、签章缺失和必传材料提交</w:t>
            </w:r>
            <w:r>
              <w:rPr>
                <w:rFonts w:hint="eastAsia" w:ascii="宋体" w:hAnsi="宋体" w:cs="宋体"/>
                <w:color w:val="000000"/>
                <w:sz w:val="22"/>
                <w:szCs w:val="22"/>
                <w:lang w:val="en-US" w:eastAsia="zh-CN"/>
              </w:rPr>
              <w:t xml:space="preserve">情况</w:t>
            </w:r>
            <w:r>
              <w:rPr>
                <w:rFonts w:ascii="宋体" w:hAnsi="宋体" w:cs="宋体"/>
                <w:color w:val="000000"/>
                <w:sz w:val="22"/>
                <w:szCs w:val="22"/>
              </w:rPr>
              <w:t xml:space="preserve">，并比对申请、方案、知情同意、招募、保险和立项材料中的主体、样本量、周期和版本。不同伦理文档可配置独立审查规则，智能助给出每条审查审查结论、原文出处和依据，伦理秘书确认后决定受理、补充或退回。</w:t>
            </w:r>
            <w:r>
              <w:rPr>
                <w:rFonts w:hint="eastAsia" w:ascii="宋体" w:hAnsi="宋体" w:cs="宋体"/>
                <w:color w:val="000000"/>
                <w:sz w:val="22"/>
                <w:szCs w:val="22"/>
              </w:rPr>
              <w:t xml:space="preserve">（提供同类项目类似功能的系统截图）</w:t>
            </w:r>
            <w:r/>
          </w:p>
        </w:tc>
      </w:tr>
      <w:tr>
        <w:trPr>
          <w:cantSplit/>
          <w:trHeight w:val="56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伦理委员与审查方式智能匹配</w:t>
            </w:r>
            <w:r/>
          </w:p>
        </w:tc>
        <w:tc>
          <w:tcPr>
            <w:tcW w:w="6268"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▲系统根据项目类型、专业方向、审查方式、委员工作量和回避关系后，系统辅助推荐快速审查、会议审查、紧急会议审查或备案，并推荐主审委员</w:t>
            </w:r>
            <w:r>
              <w:rPr>
                <w:rFonts w:hint="eastAsia" w:ascii="宋体" w:hAnsi="宋体" w:cs="宋体"/>
                <w:color w:val="000000"/>
                <w:sz w:val="22"/>
                <w:szCs w:val="22"/>
              </w:rPr>
              <w:t xml:space="preserve">（提供同类项目类似功能的系统截图）</w:t>
            </w:r>
            <w:r>
              <w:rPr>
                <w:rFonts w:ascii="宋体" w:hAnsi="宋体" w:cs="宋体"/>
                <w:color w:val="000000"/>
                <w:sz w:val="22"/>
                <w:szCs w:val="22"/>
              </w:rPr>
              <w:t xml:space="preserve">。</w:t>
            </w:r>
            <w:r/>
          </w:p>
        </w:tc>
      </w:tr>
      <w:tr>
        <w:trPr>
          <w:cantSplit/>
          <w:trHeight w:val="56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伦理会议与意见签发</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系统支持伦理会议的在线投票，投票时只能屏蔽需回避的成员，并完成投标统计、根据项目意见形成纪要初稿。委员确认后形成伦理决定、批件或通知书，并支持电子签名和各类文件归档。</w:t>
            </w:r>
            <w:r/>
          </w:p>
        </w:tc>
      </w:tr>
      <w:tr>
        <w:trPr>
          <w:cantSplit/>
          <w:trHeight w:val="28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伦理日常与费用管理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系统对批件、年度复审和跟踪审查期限进行提醒，系统支持维护伦理委员档案、单独管理伦理缴费情况</w:t>
            </w:r>
            <w:r/>
          </w:p>
        </w:tc>
      </w:tr>
      <w:tr>
        <w:trPr>
          <w:cantSplit/>
          <w:trHeight w:val="84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合同审查与履约管理</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合同项目与模板材料管理</w:t>
            </w:r>
            <w:r/>
          </w:p>
        </w:tc>
        <w:tc>
          <w:tcPr>
            <w:tcW w:w="6268" w:type="dxa"/>
            <w:vAlign w:val="top"/>
            <w:textDirection w:val="lrTb"/>
            <w:noWrap w:val="false"/>
          </w:tcPr>
          <w:p>
            <w:pPr>
              <w:jc w:val="left"/>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合同人员建立合同项目，维护合同类型、申办方、PI、合同金额和履约状态，并选择主协议、临床试验合同、CRC协议、合作协议、委托协议或补充协议等类型。系统根据项目类型和合同场景匹配模板、适用版本以及起草、审查、签署和归档所需材料。维护备案模板，支持新增、修改、启停、版本和适用范围管理。</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合同起草与条款智能审查</w:t>
            </w:r>
            <w:r/>
          </w:p>
        </w:tc>
        <w:tc>
          <w:tcPr>
            <w:tcW w:w="6268" w:type="dxa"/>
            <w:vAlign w:val="top"/>
            <w:textDirection w:val="lrTb"/>
            <w:noWrap w:val="false"/>
          </w:tcPr>
          <w:p>
            <w:pPr>
              <w:jc w:val="left"/>
              <w:widowControl/>
              <w:rPr>
                <w:rFonts w:hint="eastAsia" w:ascii="宋体" w:hAnsi="宋体" w:eastAsia="宋体" w:cs="宋体"/>
                <w:color w:val="000000"/>
                <w:sz w:val="22"/>
                <w:szCs w:val="22"/>
                <w:lang w:eastAsia="zh-CN"/>
              </w:rPr>
            </w:pPr>
            <w:r>
              <w:rPr>
                <w:rFonts w:ascii="宋体" w:hAnsi="宋体" w:cs="宋体"/>
                <w:color w:val="000000"/>
                <w:sz w:val="22"/>
                <w:szCs w:val="22"/>
              </w:rPr>
              <w:t xml:space="preserve">▲合同人员选择项目和合同类型后，系统调用适用模板并带入项目编号、名称、PI、申办方、中心和研究周期。系统按照审查规则智能审查和识别条款缺失、责任不清和合规风险。法务、财务和机构人员可确认风险清单并修改合同。系统确认后，将合同递交到医院合同会签系统完成线上签署</w:t>
            </w:r>
            <w:r>
              <w:rPr>
                <w:rFonts w:hint="eastAsia" w:ascii="宋体" w:hAnsi="宋体" w:cs="宋体"/>
                <w:color w:val="000000"/>
                <w:sz w:val="22"/>
                <w:szCs w:val="22"/>
              </w:rPr>
              <w:t xml:space="preserve">（提供同类项目类似功能的系统截图）</w:t>
            </w:r>
            <w:r>
              <w:rPr>
                <w:rFonts w:hint="eastAsia" w:ascii="宋体" w:hAnsi="宋体" w:cs="宋体"/>
                <w:color w:val="000000"/>
                <w:sz w:val="22"/>
                <w:szCs w:val="22"/>
                <w:lang w:eastAsia="zh-CN"/>
              </w:rPr>
              <w:t xml:space="preserve">。</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合同履约、变更与结题管理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将合同金额、到账、付款、余额和预算与项目关联，按首笔款、分期款、尾款及研究阶段节点提醒履约事项。系统将费用根据合同约定的比例完成预算费用的计算和划拨。结题时比对合同、到账、付款、支出和尾款，形成对账结果，并按项目和角色记录查看、编辑、下载、签署和导出操作。</w:t>
            </w:r>
            <w:r/>
          </w:p>
        </w:tc>
      </w:tr>
      <w:tr>
        <w:trPr>
          <w:cantSplit/>
          <w:trHeight w:val="56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经费管理与报销</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项目经费与付款计划管理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财务人员维护项目、合同、PI、申办方、周期和经费状态，录入首付款、过程款和尾款计划。收到付款后，系统与HRP系统进行对接，供财务核对和更新到账状态。</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预算池与免费申请单统计</w:t>
            </w:r>
            <w:r/>
          </w:p>
        </w:tc>
        <w:tc>
          <w:tcPr>
            <w:tcW w:w="6268"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财务人员将到账金额拆分到检查检验、受试者补贴、研究者劳务费等不同类型预算池。系统根据HIS/EMR中最新的收费字典、申请单字典，结合在临床试验系统中产生访视医嘱费用费用，按项目、受试者和执行科室等维度自动归集免费单费用，形成费用的报表。</w:t>
            </w:r>
            <w:r>
              <w:rPr>
                <w:rFonts w:hint="eastAsia" w:ascii="宋体" w:hAnsi="宋体" w:cs="宋体"/>
                <w:color w:val="000000"/>
                <w:sz w:val="22"/>
                <w:szCs w:val="22"/>
              </w:rPr>
              <w:t xml:space="preserve">（提供同类项目类似功能的系统截图）</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支出（受试者补贴/研究者劳务费等）与项目费用核算</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根据访视完成、脱落、退出和补贴标准计算实际受试者补贴。项目人员发起受试者补贴研究者劳务费等支出申请，系统核对项目、受试者、实际访视期记录、金额和附件。确认后形成付款依据。系统整合免费开单与补贴申请根据预算使用率、已产生费用和阶段提示不足或超支。</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经费结算与分析审计</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财务人员发起项目内转款、退费、发票和结题结算，系统根据到账、开票、费用和支出核算可退金额并识别发票信息。系统汇总合同、到账、预算、免费单、补贴、CRC、退费、发票和尾款，生成项目、承担科室和执行科室维度的费用报表。财务和管理人员按权限查看、申请、审核、支付和导出，所有操作均留痕。</w:t>
            </w:r>
            <w:r/>
          </w:p>
        </w:tc>
      </w:tr>
      <w:tr>
        <w:trPr>
          <w:cantSplit/>
          <w:trHeight w:val="142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临床试验访视全过程管理</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项目方案与访视计划配置</w:t>
            </w:r>
            <w:r/>
          </w:p>
        </w:tc>
        <w:tc>
          <w:tcPr>
            <w:tcW w:w="6268"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▲系统支持为临床试验项目配置多个研究方案</w:t>
            </w:r>
            <w:r>
              <w:rPr>
                <w:rFonts w:ascii="宋体" w:hAnsi="宋体" w:cs="宋体"/>
                <w:color w:val="000000"/>
                <w:sz w:val="22"/>
                <w:szCs w:val="22"/>
              </w:rPr>
              <w:t xml:space="preserve">，每个方案独立设置研究内容、访视周期及执行规则，实现不同研究路径并行管理。系统将访视任务映射至检验、检查、用药、样本采集、生命体征、量表评估及其他医院业务任务，并与医院医嘱编码、名称、执行科室、门诊或住院、收费单价等对应，支持组合多个医嘱形成套餐。系统按照筛选期、基线期、治疗期、随访期及结题期等阶段，拆解各访视期需要完成的访视窗口和研究任务，形成可执行的访视任务清单。维护临床试验方案的纳入与排除标准，确保受试者筛选符合研究方案要求。系统维护与试验项目相关的禁忌药物清单，记录禁止与试验药物同时使用的药品信息。</w:t>
            </w:r>
            <w:r>
              <w:rPr>
                <w:rFonts w:hint="eastAsia" w:ascii="宋体" w:hAnsi="宋体" w:cs="宋体"/>
                <w:color w:val="000000"/>
                <w:sz w:val="22"/>
                <w:szCs w:val="22"/>
              </w:rPr>
              <w:t xml:space="preserve">（提供同类项目类似功能的系统截图）</w:t>
            </w:r>
            <w:r/>
          </w:p>
        </w:tc>
      </w:tr>
      <w:tr>
        <w:trPr>
          <w:cantSplit/>
          <w:trHeight w:val="112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受试者登记、筛选与状态管理</w:t>
            </w:r>
            <w:r/>
          </w:p>
        </w:tc>
        <w:tc>
          <w:tcPr>
            <w:tcW w:w="6268" w:type="dxa"/>
            <w:vAlign w:val="top"/>
            <w:textDirection w:val="lrTb"/>
            <w:noWrap w:val="false"/>
          </w:tcPr>
          <w:p>
            <w:pPr>
              <w:jc w:val="left"/>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研究团队登记受试者基本信息并记录筛选、入组、完成、退出和剔除等状态。系统支持研究方案和研究阶段切换。以卡片形式展示当前用户授权访问的临床试验项目。系统通过门诊或住院编号从HIS或EMR检索并自动登记受试者已有信息。以列表形式展示受试者基本信息，支持新增、编辑和删除受试者记录。提供受试者招募进度统计，支持按访视阶段查询受试者分布情况。按照预设规则为符合入组条件的受试者自动分配唯一入组编号。</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就诊识别、访视匹配与任务生成</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患者就诊后，系统通过HIS、EMR同步识别患者当前在院状态，包括门诊、住院及就诊科室等信息，读取患者所属项目、方案版本和既往访视记录，判断当前访视期。系统根据访视计划生成本次需要完成的访视任务，访视任务可按需要推送至HIS/EMR医生工作站，由医生完成方式任务确认。</w:t>
            </w:r>
            <w:r/>
          </w:p>
        </w:tc>
      </w:tr>
      <w:tr>
        <w:trPr>
          <w:cantSplit/>
          <w:trHeight w:val="9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智能化试验医嘱管理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val="en-US" w:eastAsia="zh-CN"/>
              </w:rPr>
              <w:t xml:space="preserve">支持基于患者当前访视期和研究方案自动生成访视任务与待办，支持研究者完成各类访视医嘱、试验处方及计划外医嘱的开立与电子签名确认，再到医嘱提交同步至医院系统并自动化归集全流程执行结果的完整全过程</w:t>
            </w:r>
            <w:r>
              <w:rPr>
                <w:rFonts w:ascii="宋体" w:hAnsi="宋体" w:cs="宋体"/>
                <w:color w:val="000000"/>
                <w:sz w:val="22"/>
                <w:szCs w:val="22"/>
              </w:rPr>
              <w:t xml:space="preserve">。</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val="en-US" w:eastAsia="zh-CN"/>
              </w:rPr>
              <w:t xml:space="preserve">智能不良</w:t>
            </w:r>
            <w:r>
              <w:rPr>
                <w:rFonts w:ascii="宋体" w:hAnsi="宋体" w:cs="宋体"/>
                <w:color w:val="000000"/>
                <w:sz w:val="22"/>
                <w:szCs w:val="22"/>
              </w:rPr>
              <w:t xml:space="preserve">事件管理</w:t>
            </w:r>
            <w:r/>
          </w:p>
        </w:tc>
        <w:tc>
          <w:tcPr>
            <w:tcW w:w="6268"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系统根据方案规定、AE/SAE定义、异常结果、医嘱变化、病历描述及访视结果，辅助识别潜在AE/SAE线索，对潜在线索生成待判读任务，支持研究者确认、补充、修改或驳回，并维护事件描述、发生时间、严重程度、与研究药物相关</w:t>
            </w:r>
            <w:r>
              <w:rPr>
                <w:rFonts w:ascii="宋体" w:hAnsi="宋体" w:cs="宋体"/>
                <w:color w:val="000000"/>
                <w:sz w:val="22"/>
                <w:szCs w:val="22"/>
                <w:highlight w:val="none"/>
              </w:rPr>
              <w:t xml:space="preserve">性、处理措施、转归及报告状态。最终结论由授权研究人员确认。</w:t>
            </w:r>
            <w:r/>
          </w:p>
        </w:tc>
      </w:tr>
      <w:tr>
        <w:trPr>
          <w:cantSplit/>
          <w:trHeight w:val="323"/>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研究病历与痕迹追踪</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管理员维护临床试验研究病历模板，维护临床试验专用研究病历模板库，支持模板创建、修改及版本控制。研究人员按受试者和访视填写研究病历。系统支持电子签名、打印、归档和痕迹追踪，记录每次新增、修改、签名、打印和归档的人员、时间及前后内容。系统支持研究者对完成的研究病历进行电子签名。系统支持将完成电子签名的研究病历归档至临床试验文档管理系统。系统自动记录研究病历操作日志及内容修改历史，包括操作时间、人员和修改详情，形成完整审计追踪。</w:t>
            </w:r>
            <w:r/>
          </w:p>
        </w:tc>
      </w:tr>
      <w:tr>
        <w:trPr>
          <w:cantSplit/>
          <w:trHeight w:val="80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访视数据汇总与小结管理</w:t>
            </w:r>
            <w:r/>
          </w:p>
        </w:tc>
        <w:tc>
          <w:tcPr>
            <w:tcW w:w="6268" w:type="dxa"/>
            <w:vAlign w:val="top"/>
            <w:textDirection w:val="lrTb"/>
            <w:noWrap w:val="false"/>
          </w:tcPr>
          <w:p>
            <w:pPr>
              <w:jc w:val="left"/>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按照访视小结模板对已完成访视自动汇总访视医嘱、检查检验、研究用药、合并用药、生命体征、样本、不良事件、方案偏离、访视评价及相关病历记录。基于配置模板和已采集访视数据辅助生成访视小结初稿，客观呈现访视完成情况、结果、用药、症状体征、AE、方案偏离、研究者评价及后续计划，系统不得补充系统不存在的事实或结论。系统支持研究者查看、修改、补充、批注和确认访视小结。系统支持将形成的访视小结同步到医院电子病历系统</w:t>
            </w:r>
            <w:r>
              <w:rPr>
                <w:rFonts w:hint="eastAsia" w:ascii="宋体" w:hAnsi="宋体" w:cs="宋体"/>
                <w:color w:val="000000"/>
                <w:sz w:val="22"/>
                <w:szCs w:val="22"/>
                <w:lang w:eastAsia="zh-CN"/>
              </w:rPr>
              <w:t xml:space="preserve">。</w:t>
            </w:r>
            <w:r/>
          </w:p>
        </w:tc>
      </w:tr>
      <w:tr>
        <w:trPr>
          <w:cantSplit/>
          <w:trHeight w:val="56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临床试验样本管理</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样本准备与采样采集</w:t>
            </w:r>
            <w:r/>
          </w:p>
        </w:tc>
        <w:tc>
          <w:tcPr>
            <w:tcW w:w="6268"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▲系统支持在普通病房（非I期临床试验病房）中按访视期与采集点设定采样计划并生成唯一条码；系统支持与移动护理系统对接，实现扫码精准核对受试者与样本管信息并自动记录采集全流程。</w:t>
            </w:r>
            <w:r>
              <w:rPr>
                <w:rFonts w:hint="eastAsia" w:ascii="宋体" w:hAnsi="宋体" w:cs="宋体"/>
                <w:color w:val="000000"/>
                <w:sz w:val="22"/>
                <w:szCs w:val="22"/>
              </w:rPr>
              <w:t xml:space="preserve">（提供同类项目类似功能的系统截图）</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样本多级处理管理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支持按项目需求灵活配置在“机构样本处理中心”或“专业组科室”两级开展处理作业；支持在对应层级完成样本扫码接收，通过扫码批量记录离心参数（转速、时长、温度等），并支持扫码核对母子管信息以完成批量分样与数据留痕。</w:t>
            </w:r>
            <w:r/>
          </w:p>
        </w:tc>
      </w:tr>
      <w:tr>
        <w:trPr>
          <w:cantSplit/>
          <w:trHeight w:val="56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样本冻存管理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系统支持按项目需求在专业组暂存或机构中心长期冻存；支持扫码批量绑定样本与冰箱、冻存架、冻存盒及孔位信息，精准记录冻存时间、位置坐标及温区状态。</w:t>
            </w:r>
            <w:r/>
          </w:p>
        </w:tc>
      </w:tr>
      <w:tr>
        <w:trPr>
          <w:cantSplit/>
          <w:trHeight w:val="56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样本外送与物流跟踪</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系统支持专业组向机构中心内部流转以及向第三方中心实验室外送运送的全流程管理；支持扫码批量记录出库交接、物流运单及冷链状态，实现样本从采样、分级处理、冻存到物流签收的全链路闭环溯源。</w:t>
            </w:r>
            <w:r/>
          </w:p>
        </w:tc>
      </w:tr>
      <w:tr>
        <w:trPr>
          <w:cantSplit/>
          <w:trHeight w:val="56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临床试验中心药械管理</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药械与库房基础管理</w:t>
            </w:r>
            <w:r/>
          </w:p>
        </w:tc>
        <w:tc>
          <w:tcPr>
            <w:tcW w:w="6268" w:type="dxa"/>
            <w:vAlign w:val="top"/>
            <w:textDirection w:val="lrTb"/>
            <w:noWrap w:val="false"/>
          </w:tcPr>
          <w:p>
            <w:pPr>
              <w:jc w:val="left"/>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药械管理员维护试验药械名称、编号、规格、剂型、批号、有效期、剂量单位、途径和频次等，并建立中心库房、专业组库房、多院区库房和货柜位置。基础信息确认后，供入库、库存、发放、回收和退回流程调用。</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智能化试验药品管理</w:t>
            </w:r>
            <w:r/>
          </w:p>
        </w:tc>
        <w:tc>
          <w:tcPr>
            <w:tcW w:w="6268" w:type="dxa"/>
            <w:vAlign w:val="top"/>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highlight w:val="none"/>
              </w:rPr>
              <w:t xml:space="preserve">申办方人员预约送药械时段并提交入库申请，完成试验药械系统化入库，记录数量、批号、有效期、存放位置和入库人员。研究者开具试验药械专用处方后，药械管理人员根据处方核对受试者、药械、批号和数量，完成拣选和发放。受试者用后，药械管春日记录药品、空包装和剩余药械的回收及分类，并支持专业组库房与中心库房之间流转，按规范移交申办方。回收试验药械、药械空包装及剩余药械，并记录回收过程。</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药械记录查询与操作审计</w:t>
            </w:r>
            <w:r/>
          </w:p>
        </w:tc>
        <w:tc>
          <w:tcPr>
            <w:tcW w:w="6268" w:type="dxa"/>
            <w:vAlign w:val="top"/>
            <w:textDirection w:val="lrTb"/>
            <w:noWrap w:val="false"/>
          </w:tcPr>
          <w:p>
            <w:pPr>
              <w:jc w:val="left"/>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库房人员可按项目、药械、批号、受试者和时间查询入库、出库、转运、发放、回收、冻结、退回和销毁记录。系统生成库存表、接收登记表、发放回收登记表和退回登记表，记录每次操作的人员、时间、数量、处理结果和异常原因。</w:t>
            </w:r>
            <w:r/>
          </w:p>
        </w:tc>
      </w:tr>
      <w:tr>
        <w:trPr>
          <w:cantSplit/>
          <w:trHeight w:val="613"/>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受试者智能招募</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招募项目与筛选规则管理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招募人员建立GCP招募项目，系统根据伦理状态和项目状态判断是否具备发布条件。管理员从临床数据中心和科研数据中心按科室、病种建立专病队列，自定义字段并配置ICD、病理、治疗、既往用药和指标筛选规则。系统根据新增就诊、诊断、检验、影像、病理和用药数据更新队列。</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临床数据接入与入排条件智能筛选</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项目人员导入或确认方案中的年龄、诊断、病理、指标、治疗和时间条件，系统将复杂入排标准转换为可执行逻辑。系统从HIS、EMR、LIS、PACS、病理和数据中心读取符合权限的数据，批量筛选候选患者，并在初筛阶段仅展示必要的脱敏信息。</w:t>
            </w:r>
            <w:r/>
          </w:p>
        </w:tc>
      </w:tr>
      <w:tr>
        <w:trPr>
          <w:cantSplit/>
          <w:trHeight w:val="112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候选患者匹配与医生转介</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汇总候选患者的诊断、病程、治疗和关键指标，按入排条件计算匹配度，并结合就诊时间、复诊频次和数据活跃度进行排序。系统发现新检验检查数据满足条件时记录数据来源、触发时间和关联项目，并向医生或项目团队提醒。临床医生发现可能符合条件的患者后，可将患者初步信息和转介意见发送给PI，系统跟踪接收、评估、联系、筛选和入组状态。</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患者自助招募</w:t>
            </w:r>
            <w:r/>
          </w:p>
        </w:tc>
        <w:tc>
          <w:tcPr>
            <w:tcW w:w="6268"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患者可通过互联网医院、公众号或小程序检索项目，使用文字或语音回答完成初步自筛，系统展示推荐依据并明确结果不构成正式入排或入组结论。系统支持待评估、初步符合、不符合、有意向、已转介等标签和并记录相关选择的原因。</w:t>
            </w:r>
            <w:r>
              <w:rPr>
                <w:rFonts w:hint="eastAsia" w:ascii="宋体" w:hAnsi="宋体" w:cs="宋体"/>
                <w:color w:val="000000"/>
                <w:sz w:val="22"/>
                <w:szCs w:val="22"/>
              </w:rPr>
              <w:t xml:space="preserve">（提供同类项目类似功能的系统截图）</w:t>
            </w:r>
            <w:r/>
          </w:p>
        </w:tc>
      </w:tr>
      <w:tr>
        <w:trPr>
          <w:cantSplit/>
          <w:trHeight w:val="84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文件受控与电子归档</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项目文件中心与归集管理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文件管理员按项目建立文件目录和分类，项目人员上传文件后可在线预览。系统根据项目、文件类型、业务流程和关联对象自动归集立项、伦理、合同、监查和结题文件，形成统一项目文件中心。按文件类型和项目要求配置起草、审核、批准、签署和发布流程。按医院文件管理体系建立分类、目录、状态和权限。</w:t>
            </w:r>
            <w:r/>
          </w:p>
        </w:tc>
      </w:tr>
      <w:tr>
        <w:trPr>
          <w:cantSplit/>
          <w:trHeight w:val="140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受控申请、审批与分发使用管理</w:t>
            </w:r>
            <w:r/>
          </w:p>
        </w:tc>
        <w:tc>
          <w:tcPr>
            <w:tcW w:w="6268" w:type="dxa"/>
            <w:vAlign w:val="top"/>
            <w:textDirection w:val="lrTb"/>
            <w:noWrap w:val="false"/>
          </w:tcPr>
          <w:p>
            <w:pPr>
              <w:jc w:val="left"/>
              <w:widowControl/>
              <w:rPr>
                <w:rFonts w:ascii="宋体" w:hAnsi="宋体" w:cs="宋体"/>
                <w:color w:val="000000"/>
                <w:sz w:val="22"/>
                <w:szCs w:val="22"/>
                <w:highlight w:val="none"/>
              </w:rPr>
            </w:pPr>
            <w:r>
              <w:rPr>
                <w:rFonts w:ascii="宋体" w:hAnsi="宋体" w:cs="宋体"/>
                <w:color w:val="000000"/>
                <w:sz w:val="22"/>
                <w:szCs w:val="22"/>
              </w:rPr>
              <w:t xml:space="preserve">使用人员提交受控申请后，系统校验文件、版本、项目、申请数量、使用范围和申请人信息，并按权限发起审批。审批通过后，系统生成唯一编号、受控二维码，控制打印份数。二维码和文件编号规则可配置。受控文档打印时自带一定角度的立体防复印图形。打印后系统自动更新文件状态，包括未打印、已打印、已回收、已作废等状态。系统支持查看文件</w:t>
            </w:r>
            <w:r>
              <w:rPr>
                <w:rFonts w:ascii="宋体" w:hAnsi="宋体" w:cs="宋体"/>
                <w:color w:val="000000"/>
                <w:sz w:val="22"/>
                <w:szCs w:val="22"/>
                <w:highlight w:val="none"/>
              </w:rPr>
              <w:t xml:space="preserve">从申请、审批、打印、回收、作废到归档的完整闭环轨迹。</w:t>
            </w:r>
            <w:r/>
          </w:p>
        </w:tc>
      </w:tr>
      <w:tr>
        <w:trPr>
          <w:cantSplit/>
          <w:trHeight w:val="9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文件电子版本变更</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系统按审批更新文件启用/停用状态，保留草稿、审核稿、批准稿和历史版本，以及申请人、审批人和处理时间。</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电子归档、检索与下载打印控制</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文件完成审核或项目当前阶段结束后，系统将根据医院SOP建立的项目文件夹，按项目、文件类型、版本和状态执行电子归档。管理人员通过看板查看文件完整率、版本变更等情况。系统支持上传Word、Excel、PDF、图片等文件并在线预览，按权限控制下载和打印。</w:t>
            </w:r>
            <w:r/>
          </w:p>
        </w:tc>
      </w:tr>
      <w:tr>
        <w:trPr>
          <w:cantSplit/>
          <w:trHeight w:val="112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临床试验智能知识库</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知识库内容接入与智能解析</w:t>
            </w:r>
            <w:r/>
          </w:p>
        </w:tc>
        <w:tc>
          <w:tcPr>
            <w:tcW w:w="6268" w:type="dxa"/>
            <w:vAlign w:val="top"/>
            <w:textDirection w:val="lrTb"/>
            <w:noWrap w:val="false"/>
          </w:tcPr>
          <w:p>
            <w:pPr>
              <w:jc w:val="left"/>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管理员维护知识来源和目录，上传或批量导入法规政策、SOP、模板、案例和项目文件。系统通过OCR和文本解析识别标题、章节、条款、关键词、发布部门、日期、版本和有效期，形成可检索的结构化知识内容，并保留来源和版本关系。维护法规、指南、医院制度、SOP、项目文件、培训材料、历史案例、规则和模板等来源。系统支持Word、Excel、PDF上传，支持批量导入和目录归类。</w:t>
            </w:r>
            <w:r/>
          </w:p>
        </w:tc>
      </w:tr>
      <w:tr>
        <w:trPr>
          <w:cantSplit/>
          <w:trHeight w:val="635"/>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知识问答与智能推荐</w:t>
            </w:r>
            <w:r/>
          </w:p>
        </w:tc>
        <w:tc>
          <w:tcPr>
            <w:tcW w:w="6268" w:type="dxa"/>
            <w:vAlign w:val="top"/>
            <w:textDirection w:val="lrTb"/>
            <w:noWrap w:val="false"/>
          </w:tcPr>
          <w:p>
            <w:pPr>
              <w:jc w:val="left"/>
              <w:widowControl/>
              <w:rPr>
                <w:rFonts w:ascii="宋体" w:hAnsi="宋体" w:cs="宋体"/>
                <w:color w:val="000000"/>
                <w:sz w:val="22"/>
                <w:szCs w:val="22"/>
                <w:highlight w:val="none"/>
              </w:rPr>
            </w:pPr>
            <w:r>
              <w:rPr>
                <w:rFonts w:hint="eastAsia"/>
              </w:rPr>
              <w:t xml:space="preserve">研究人员输入自然语言问题或选择法规、SOP、模板、案例、日期和来源等条件后，系统进行语义检索和多条件组合检索，并按相关性和适用范围排序。检索结果展示匹配片段、来源文件、版本和有效期，用户可打开原文核对。用户提出研究管理问题后，系统从多个知识来源检索相关条款和案例，生成综合回答并标注引用依据。系统支持通过自然语言询问临床研究问题，基于授权知识内容提供辅助回答。</w:t>
            </w:r>
            <w:r/>
          </w:p>
        </w:tc>
      </w:tr>
      <w:tr>
        <w:trPr>
          <w:cantSplit/>
          <w:trHeight w:val="112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知识权限隔离与备份恢复</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管理员按组织、项目、角色和知识类型配置访问权限，项目知识与公共知识分区管理。系统对知识文件、元数据、版本、权限和审计日志进行备份，发生误删或系统故障时按恢复范围还原，并保留恢复记录。按机构、科室、空间、项目、角色和文件级配置查看、上传、审核、下载和引用权限。按项目权限隔离方案、合同、研究数据、监查报告和项目文件，禁止未授权跨项目检索。</w:t>
            </w:r>
            <w:r/>
          </w:p>
        </w:tc>
      </w:tr>
      <w:tr>
        <w:trPr>
          <w:cantSplit/>
          <w:trHeight w:val="140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临床试验电子数据采集和溯源（EDC&amp;E2E）</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研究项目与数据采集管理</w:t>
            </w:r>
            <w:r/>
          </w:p>
        </w:tc>
        <w:tc>
          <w:tcPr>
            <w:tcW w:w="6268" w:type="dxa"/>
            <w:vAlign w:val="top"/>
            <w:textDirection w:val="lrTb"/>
            <w:noWrap w:val="false"/>
          </w:tcPr>
          <w:p>
            <w:pPr>
              <w:jc w:val="left"/>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支持创建和维护研究者发起的干预性、观察性、回顾性及其他临床研究项目，支持维护项目名称、编号、研究类型、研究目的、阶段、中心、主要研究者、研究团队、周期、方案版本和数据管理要求。系统支持配置筛选期、基线期、治疗期、随访期和结题期等研究阶段。系统支持访视计划新增、修改、复制、停用管理。系统支持可视化配置电子数据采集表单。系统支持文本、数字、日期、时间、单选、多选、下拉、文件、图片、表格、量表和计算字段。将CRF、数据字段和研究任务关联至项目、受试者、访视期和研究事件。</w:t>
            </w:r>
            <w:r/>
          </w:p>
        </w:tc>
      </w:tr>
      <w:tr>
        <w:trPr>
          <w:cantSplit/>
          <w:trHeight w:val="140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EDC自动建库与表单生成</w:t>
            </w:r>
            <w:r/>
          </w:p>
        </w:tc>
        <w:tc>
          <w:tcPr>
            <w:tcW w:w="6268"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数据管理员确认研究方案、访视计划和CRF表单后，系统利用AI自动读取其中的访视期、检查项目、观察指标、字段类型和逻辑关系，自动生成对应的研究数据表、电子病例报告表以及表单关联关系。管理员可以在线预览和试填自动生成的表单，对字段名称、必填规则、选项、单位、范围和逻辑校验规则进行人工调整。系统在发布前检查表单是否存在重复字段、缺少访视关联或逻辑冲突。确认后，系统发布建库结果，供研究人员按受试者和访视期录入、审核和追溯数据。</w:t>
            </w:r>
            <w:r>
              <w:rPr>
                <w:rFonts w:hint="eastAsia" w:ascii="宋体" w:hAnsi="宋体" w:cs="宋体"/>
                <w:color w:val="000000"/>
                <w:sz w:val="22"/>
                <w:szCs w:val="22"/>
              </w:rPr>
              <w:t xml:space="preserve">（提供同类项目类似功能的系统截图）</w:t>
            </w:r>
            <w:r/>
          </w:p>
        </w:tc>
      </w:tr>
      <w:tr>
        <w:trPr>
          <w:cantSplit/>
          <w:trHeight w:val="140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受试者与多来源访视数据采集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支持筛选、登记、纳入、排除、入组、退出、失访和完成管理。系统按方案和访视计划展示待采集数据，自动生成访视表单和研究事件表单。系统记录计划访视时间、实际访视时间、访视状态、完成情况、数据录入人员和审核人员。采集临床试验电子病历、HIS、EMR、LIS、PACS、病理系统、检验设备、纸质资料和外部研究资料数据。系统记录来源系统、采集方式、采集时间、处理状态和审核状态。按项目、中心、受试者、访视、表单、来源和状态展示采集、审核、质疑、锁库和数据质量情况。</w:t>
            </w:r>
            <w:r/>
          </w:p>
        </w:tc>
      </w:tr>
      <w:tr>
        <w:trPr>
          <w:cantSplit/>
          <w:trHeight w:val="575"/>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资料识别、字段映射与自动填表</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用户上传或接入检查检验、病历、影像、病理和其他研究资料后，系统通过OCR和文本解析提取检查项目、结果、单位、日期、诊断、用药、症状和AE/SAE等研究要素。系统根据数据字典、CRF字段和访视任务进行映射，处理同义词、单位和日期格式差异，并将确认后的结果填入对应表单。系统支持生成项目表、受试者表、访视表、实验室数据表、检查数据表、用药数据表、AE/SAE数据表和其他研究数据表。</w:t>
            </w:r>
            <w:r/>
          </w:p>
        </w:tc>
      </w:tr>
      <w:tr>
        <w:trPr>
          <w:cantSplit/>
          <w:trHeight w:val="140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数据校验、质疑与源数据核查</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数据录入或接口同步后，系统按必填项、字段类型、格式、数值范围、日期范围、单位、数据字典和方案规则进行校验，识别缺失、矛盾、重复和超窗数据。数据管理员可发起质疑并指定责任人，研究人员回复或修改后由管理员复核关闭。系统配置字段名称、编码、数据类型、长度、精度、单位、取值范围、必填属性、默认值、数据字典和字段说明。系统记录问题位置、类型、描述、触发规则、相关数据、处理期限和责任人员。系统支持质疑提出、回复、修改、复核、关闭、重新打开和作废，记录处理过程、人员、时间和意见。</w:t>
            </w:r>
            <w:r/>
          </w:p>
        </w:tc>
      </w:tr>
      <w:tr>
        <w:trPr>
          <w:cantSplit/>
          <w:trHeight w:val="140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数据质量与锁库管理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汇总待采集、待审核、待质疑和待确认任务，对逾期、关键字段缺失和未完成核查事项提醒，并形成项目数据质量视图。锁库前系统检查关键数据采集、质疑关闭、重要字段确认、访视完成和必要文件归档情况。符合条件后支持锁库申请和审批，授权人员解锁时必须填写原因，锁库结果同步项目管理、质控、监查、文件归档和结题状态。按项目、受试者、访视、表单和字段统计完成情况，识别未完成采集、关键字段缺失、访视数据缺失、检查结果缺失和研究文件缺失。系统支持查看数据来源、修改记录、校验结果和待处理问题，并对数据确认或退回。</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数据导出与全过程审计追溯</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数据管理员根据方案、数据字典和项目要求选择数据范围，系统生成受试者、访视、实验室、影像、疗效、安全性、质疑和数据字典数据集，并支持CSV、PDF等格式导出。系统从项目配置、自动建库、表单生成、数据来源、OCR识别、自动填表、审核、质疑、核查、锁定、解锁到导出建立追溯链路。</w:t>
            </w:r>
            <w:r/>
          </w:p>
        </w:tc>
      </w:tr>
      <w:tr>
        <w:trPr>
          <w:cantSplit/>
          <w:trHeight w:val="120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远程监查与稽查</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远程监查授权与稽查审计</w:t>
            </w:r>
            <w:r/>
          </w:p>
        </w:tc>
        <w:tc>
          <w:tcPr>
            <w:tcW w:w="6268"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系统支持授权人员通过统一门户登录远程监查功能，查看本人有权限的项目和任务。展示已获授权项目、研究中心、监查状态、授权期限和最近监查时间。CRA可发起监查申请，填写目的、范围、时间、期限和所需数据。机构办公室审核监查申请，</w:t>
            </w:r>
            <w:r>
              <w:rPr>
                <w:rFonts w:ascii="宋体" w:hAnsi="宋体" w:cs="宋体"/>
                <w:color w:val="000000"/>
                <w:sz w:val="22"/>
                <w:szCs w:val="22"/>
              </w:rPr>
              <w:t xml:space="preserve">确认人员、项目、数据范围、期限和操作权限。系统支持授权起止时间、延期和到期控制，对过期授权自动限制访问。系统支持人脸识别、账号认证或医院认可方式确认CRA身份。对数据、文件和页面添加动态水印，记录监查人员、项目和时间。系统支持稽查申请、稽查目的、范围、时间、检查表及授权管理。系统关联保存稽查发现、数据依据、文件依据、访谈记录、整改材料和稽查意见。系统记录登录、身份识别、查看、下载、打印和退出，对异常时段、超范围访问和批量下载预警。授权到期或任务结束自动回收权限，记录申请、授权、访问、监查、整改和报告全过程。</w:t>
            </w:r>
            <w:r>
              <w:rPr>
                <w:rFonts w:hint="eastAsia" w:ascii="宋体" w:hAnsi="宋体" w:cs="宋体"/>
                <w:color w:val="000000"/>
                <w:sz w:val="22"/>
                <w:szCs w:val="22"/>
              </w:rPr>
              <w:t xml:space="preserve">（提供同类项目类似功能的系统截图）</w:t>
            </w:r>
            <w:r/>
          </w:p>
        </w:tc>
      </w:tr>
      <w:tr>
        <w:trPr>
          <w:cantSplit/>
          <w:trHeight w:val="619"/>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项目进度与安全远程监查</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监查员进入项目门户后，可按项目、中心、受试者和访视查看进度、招募和安全信息。系统汇总入组、访视、关键节点和安全事件，分析是否存在进度滞后、招募不足或安全风险，并将重点关注事项展示给监查员和项目管理人员。系统按项目、中心、受试者、数据类型、文件类型、药品和期限分级授权，分级查看立项、伦理、合同、启动、筛选、入组、访视、随访、暂停、终止和结题进度等信息。系统支持查看筛选、失败、转介、入组、退出和脱落数据，分析招募速度和质量。系统支持查看AE、SAE、SUSAR等安全信息的登记、报告、审核和关闭状态。</w:t>
            </w:r>
            <w:r/>
          </w:p>
        </w:tc>
      </w:tr>
      <w:tr>
        <w:trPr>
          <w:cantSplit/>
          <w:trHeight w:val="168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远程数据监查与SDV审核</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监查员选择项目、中心、受试者或访视后，系统展示临床数据接口结果、数据质疑和源数</w:t>
            </w:r>
            <w:r>
              <w:rPr>
                <w:rFonts w:ascii="宋体" w:hAnsi="宋体" w:cs="宋体"/>
                <w:color w:val="000000"/>
                <w:sz w:val="22"/>
                <w:szCs w:val="22"/>
              </w:rPr>
              <w:t xml:space="preserve">据关联信息。监查员可配置SDV范围，系统根据风险、数据重要性和异常情况推荐重点核查对象，支持Review审核、记录核查结论和提出问题。展示受试者脱敏信息、访视、数据采集、质疑、SDV、Review和签名进度。系统支持查看授权范围内各访视阶段CRF表单、访视记录和研究数据。对受试者身份和敏感临床信息按最小必要原则脱敏展示。在授权范围内查看就诊、诊断、医嘱、检查检验、病理、影像和病历信息。系统支持对接医院业务系统采集数据，并支持高拍仪影像数据提取和关联。对授权临床试验数据与原始医疗记录进行源数据核查并记录结果。</w:t>
            </w:r>
            <w:r/>
          </w:p>
        </w:tc>
      </w:tr>
      <w:tr>
        <w:trPr>
          <w:cantSplit/>
          <w:trHeight w:val="168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远程药品与文件监查</w:t>
            </w:r>
            <w:r/>
          </w:p>
        </w:tc>
        <w:tc>
          <w:tcPr>
            <w:tcW w:w="6268" w:type="dxa"/>
            <w:vAlign w:val="top"/>
            <w:textDirection w:val="lrTb"/>
            <w:noWrap w:val="false"/>
          </w:tcPr>
          <w:p>
            <w:pPr>
              <w:jc w:val="left"/>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监查员远程查看药品库存、出入库、发放和回收记录，系统核对账物一致性并提</w:t>
            </w:r>
            <w:r>
              <w:rPr>
                <w:rFonts w:ascii="宋体" w:hAnsi="宋体" w:cs="宋体"/>
                <w:color w:val="000000"/>
                <w:sz w:val="22"/>
                <w:szCs w:val="22"/>
              </w:rPr>
              <w:t xml:space="preserve">示异常。对于项目文件，系统检查版本、完整性、签署和适用状态，结合监查清单推荐重点文件和监查重点，处理结果可进入问题整改闭环。查看质疑内容、责任人、回复、关闭状态和处理时间。查看药品接收、验收、入库、库存、温湿度、发放、回收和销毁。系统根据用药计划、入组、库存、效期和温湿度辅助识别风险。比对入库、出库、发放、回收、退回、销毁和库存台账。查看立项、伦理、合同、方案、资质、培训、质控和结题文件。核查方案、知情同意、手册、CRF等文件的版本、签署和适用状态。识别文件缺失、签署不完整、过期、错误归档和必备文件未完成。</w:t>
            </w:r>
            <w:r/>
          </w:p>
        </w:tc>
      </w:tr>
      <w:tr>
        <w:trPr>
          <w:cantSplit/>
          <w:trHeight w:val="196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监查问题与整改闭环</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监查员记录发现的问题后，系统按问题类型和风险等级分类，识别问题并分派责任人。责任人提交整改后，监查员复核、退</w:t>
            </w:r>
            <w:r>
              <w:rPr>
                <w:rFonts w:ascii="宋体" w:hAnsi="宋体" w:cs="宋体"/>
                <w:color w:val="000000"/>
                <w:sz w:val="22"/>
                <w:szCs w:val="22"/>
              </w:rPr>
              <w:t xml:space="preserve">回或关闭。系统对逾期事项提醒，并基于监查发现、整改和复核结果生成报告初稿，支持审核、版本管理和归档。维护项目、专项和风险导向监查清单并支持按场景调用。系统记录问题、分类、依据、关联项目/受试者、严重程度、责任人和整改要求。系统支持问题分派、整改材料提交、复核、退回补充和关闭。对临近期限、逾期、重复和重大问题进行分级预警。系统根据项目、中心、问题类型、责任人和内容识别重复及系统性问题。系统支持报告审核、版本管理，并归档申请、授权、清单、问题、整改和最终报告。系统支持稽查报告、问题分派、整改、复核、关闭和归档。</w:t>
            </w:r>
            <w:r/>
          </w:p>
        </w:tc>
      </w:tr>
      <w:tr>
        <w:trPr>
          <w:cantSplit/>
          <w:trHeight w:val="84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移动端移动运维（手机端临研管理工具）</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移动端全流程办公与审批</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配套移动端工具，适配GCP全流程移动化办公，实现项目管理、审批核查、风险预警和日常运维移动化处理。同步PC端GCP核心业务数据，保障移动端与电脑端业务数据实时一致。系统支持GCP立项、伦理审查、变更、结题等场景移动审批。实时推送待办、逾期和预警消息，支持用户及时查看和处理相关事项。</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移动项目与受试者管理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研究人员在移动端选择项目后，可查看项目进度、审批状态、整改状态、受试者入组、随访计划和脱落情况。系统根据项目数据推送随访提醒和安全风险预警，并支持现场核查、监察和质控通知的查看与响应。系统支持实时查看GCP多中心受试者入组状态。系统支持查看受试者随访计划和相关随访安排。</w:t>
            </w:r>
            <w:r/>
          </w:p>
        </w:tc>
      </w:tr>
      <w:tr>
        <w:trPr>
          <w:cantSplit/>
          <w:trHeight w:val="56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移动文件与伦理会议管理</w:t>
            </w:r>
            <w:r/>
          </w:p>
        </w:tc>
        <w:tc>
          <w:tcPr>
            <w:tcW w:w="6268" w:type="dxa"/>
            <w:vAlign w:val="top"/>
            <w:textDirection w:val="lrTb"/>
            <w:noWrap w:val="false"/>
          </w:tcPr>
          <w:p>
            <w:pPr>
              <w:jc w:val="left"/>
              <w:widowControl/>
              <w:rPr>
                <w:rFonts w:hint="eastAsia" w:ascii="宋体" w:hAnsi="宋体" w:eastAsia="宋体" w:cs="宋体"/>
                <w:color w:val="000000"/>
                <w:sz w:val="22"/>
                <w:szCs w:val="22"/>
                <w:lang w:eastAsia="zh-CN"/>
              </w:rPr>
            </w:pPr>
            <w:r>
              <w:rPr>
                <w:rFonts w:ascii="宋体" w:hAnsi="宋体" w:cs="宋体"/>
                <w:color w:val="000000"/>
                <w:sz w:val="22"/>
                <w:szCs w:val="22"/>
              </w:rPr>
              <w:t xml:space="preserve">▲移动端用户在权限范围内在线预览和查阅受控文件，系统展示文件版本、受控状态和查阅轨迹。伦理委员可通过移动端进入指定会议，查看项目材料并完成会议投票，系统记录投票结果、时间和人员</w:t>
            </w:r>
            <w:r>
              <w:rPr>
                <w:rFonts w:hint="eastAsia" w:ascii="宋体" w:hAnsi="宋体" w:cs="宋体"/>
                <w:color w:val="000000"/>
                <w:sz w:val="22"/>
                <w:szCs w:val="22"/>
              </w:rPr>
              <w:t xml:space="preserve">（提供同类项目类似功能的系统截图）</w:t>
            </w:r>
            <w:r>
              <w:rPr>
                <w:rFonts w:ascii="宋体" w:hAnsi="宋体" w:cs="宋体"/>
                <w:color w:val="000000"/>
                <w:sz w:val="22"/>
                <w:szCs w:val="22"/>
              </w:rPr>
              <w:t xml:space="preserve">。</w:t>
            </w:r>
            <w:r/>
          </w:p>
        </w:tc>
      </w:tr>
      <w:tr>
        <w:trPr>
          <w:cantSplit/>
          <w:trHeight w:val="56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移动端安全与合规管理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管理员为用户绑定或解除移动设备，并设置账号安全校验策略。系统对移动端登录、审批、查阅和其他业务操作记录日志，对敏感数据进行脱敏展示，并保留设备、人员、时间和操作内容，满足移动端安全审计要求。</w:t>
            </w:r>
            <w:r/>
          </w:p>
        </w:tc>
      </w:tr>
      <w:tr>
        <w:trPr>
          <w:cantSplit/>
          <w:trHeight w:val="1120"/>
        </w:trPr>
        <w:tc>
          <w:tcPr>
            <w:tcW w:w="1189" w:type="dxa"/>
            <w:vAlign w:val="top"/>
            <w:vMerge w:val="restart"/>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t xml:space="preserve">统一组织与配置管理</w:t>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组织架构与科室管理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支持维护机构、科室及专业组等多层组织架构，可根据机构实际需求新增、编辑、删除组织层级及部门信息。系统支持维护科室基本信息、所属组织及科室负责人信息。系统支持维护和更新科室对应专业组负责人信息。系统支持维护机构认证的专业组信息，并设置专业组可承接的试验类型。系统支持维护机构可承接的试验类型、试验类型对应的分期类别及立项编号规则。</w:t>
            </w:r>
            <w:r/>
          </w:p>
        </w:tc>
      </w:tr>
      <w:tr>
        <w:trPr>
          <w:cantSplit/>
          <w:trHeight w:val="140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院内外研究人员档案管理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支</w:t>
            </w:r>
            <w:r>
              <w:rPr>
                <w:rFonts w:ascii="宋体" w:hAnsi="宋体" w:cs="宋体"/>
                <w:color w:val="000000"/>
                <w:sz w:val="22"/>
                <w:szCs w:val="22"/>
              </w:rPr>
              <w:t xml:space="preserve">持录入教育、培训、工作经历、临床试验经历和专业技能，上传、预览、更新和归档证明材料，并按医院模板导出研究者简历。系统支持管理机构办公室、伦理委员会、专业组等院内人员的基本信息、账号信息、简历信息及所属角色。系统支持管理申办方、CRO、SMO等院外组织，可维护组织分类及组织基本信息。建立PI及研究团队成员档案，支持维护个人基本信息、教育经历、培训经历、工作经历、临床试验项目经历及专业技能。系统支持</w:t>
            </w:r>
            <w:r>
              <w:rPr>
                <w:rFonts w:hint="eastAsia" w:ascii="宋体" w:hAnsi="宋体" w:cs="宋体"/>
                <w:color w:val="000000"/>
                <w:sz w:val="22"/>
                <w:szCs w:val="22"/>
                <w:lang w:val="en-US" w:eastAsia="zh-CN"/>
              </w:rPr>
              <w:t xml:space="preserve">接入</w:t>
            </w:r>
            <w:r>
              <w:rPr>
                <w:rFonts w:ascii="宋体" w:hAnsi="宋体" w:cs="宋体"/>
                <w:color w:val="000000"/>
                <w:sz w:val="22"/>
                <w:szCs w:val="22"/>
              </w:rPr>
              <w:t xml:space="preserve">医院的CA系统，完成院内人员的电子签名系统的接入</w:t>
            </w:r>
            <w:r/>
          </w:p>
        </w:tc>
      </w:tr>
      <w:tr>
        <w:trPr>
          <w:cantSplit/>
          <w:trHeight w:val="8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角色与业务权限配置</w:t>
            </w:r>
            <w:r/>
          </w:p>
        </w:tc>
        <w:tc>
          <w:tcPr>
            <w:tcW w:w="6268" w:type="dxa"/>
            <w:vAlign w:val="top"/>
            <w:textDirection w:val="lrTb"/>
            <w:noWrap w:val="false"/>
          </w:tcPr>
          <w:p>
            <w:pPr>
              <w:jc w:val="left"/>
              <w:widowControl/>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支持维护系统级角色和项目级角色，包括角色名称、角色菜单权限、按钮权限及角色用户绑定。系统支持根据机构管理需要新增和维护自定义角色。权限生效后，系统根据用户所属组织、参与项目和角色限制其可查看、可编辑、可审批和可导出范围。</w:t>
            </w:r>
            <w:r/>
          </w:p>
        </w:tc>
      </w:tr>
      <w:tr>
        <w:trPr>
          <w:cantSplit/>
          <w:trHeight w:val="140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t xml:space="preserve">用户账号与授权管理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支持对院外CRA、CRC用户注册信息进行审核，审核通过并授权后方可登录系统。系统支持对用户进行角色、组织、项目及业务权限授权。系统支持用户维护个人基本信息、账号信息、密码及个人简历信息。系统支持批量导入和导出院内、院外用户信息。系统支持具备权限的管理人员对用户账号密码进行重置。系统支持按照人员身份和授权结果开通用户账号。系统支持对用户账号进行冻结</w:t>
            </w:r>
            <w:r>
              <w:rPr>
                <w:rFonts w:hint="eastAsia" w:ascii="宋体" w:hAnsi="宋体" w:cs="宋体"/>
                <w:color w:val="000000"/>
                <w:sz w:val="22"/>
                <w:szCs w:val="22"/>
                <w:lang w:eastAsia="zh-CN"/>
              </w:rPr>
              <w:t xml:space="preserve">、</w:t>
            </w:r>
            <w:r>
              <w:rPr>
                <w:rFonts w:ascii="宋体" w:hAnsi="宋体" w:cs="宋体"/>
                <w:color w:val="000000"/>
                <w:sz w:val="22"/>
                <w:szCs w:val="22"/>
              </w:rPr>
              <w:t xml:space="preserve">停用</w:t>
            </w:r>
            <w:r>
              <w:rPr>
                <w:rFonts w:hint="eastAsia" w:ascii="宋体" w:hAnsi="宋体" w:cs="宋体"/>
                <w:color w:val="000000"/>
                <w:sz w:val="22"/>
                <w:szCs w:val="22"/>
                <w:lang w:val="en-US" w:eastAsia="zh-CN"/>
              </w:rPr>
              <w:t xml:space="preserve">或回收</w:t>
            </w:r>
            <w:r>
              <w:rPr>
                <w:rFonts w:ascii="宋体" w:hAnsi="宋体" w:cs="宋体"/>
                <w:color w:val="000000"/>
                <w:sz w:val="22"/>
                <w:szCs w:val="22"/>
              </w:rPr>
              <w:t xml:space="preserve">，并记录相关操作。系统记录账号开通、角色分配、权限调整、冻结、停用和权限回收等操作的操作人、操作时间和操作内容。</w:t>
            </w:r>
            <w:r/>
          </w:p>
        </w:tc>
      </w:tr>
      <w:tr>
        <w:trPr>
          <w:cantSplit/>
          <w:trHeight w:val="112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sz w:val="22"/>
                <w:szCs w:val="22"/>
              </w:rPr>
            </w:pPr>
            <w:r>
              <w:rPr>
                <w:rFonts w:ascii="宋体" w:hAnsi="宋体" w:cs="宋体"/>
                <w:sz w:val="22"/>
                <w:szCs w:val="22"/>
              </w:rPr>
              <w:t xml:space="preserve">培训管理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涵盖个人端培训与考试状态看板（含成绩与答案查看）；支持多媒体课件管理（音视频/文档）与课程体系维护（含学时记录）；具备完备的在线考核系统，支持题库维护（题型/难易度）、灵活组卷（固定/随机）、考试计划发布、自动判卷与成绩统计；培训完成并通过考试后自动发证，支持外部证书批量导入及有效期逾期提醒，以及证书自动导入用户个人简历</w:t>
            </w:r>
            <w:r/>
          </w:p>
        </w:tc>
      </w:tr>
      <w:tr>
        <w:trPr>
          <w:cantSplit/>
          <w:trHeight w:val="56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shd w:val="clear" w:color="auto" w:fill="auto"/>
            <w:tcW w:w="1347" w:type="dxa"/>
            <w:vAlign w:val="top"/>
            <w:textDirection w:val="lrTb"/>
            <w:noWrap w:val="false"/>
          </w:tcPr>
          <w:p>
            <w:pPr>
              <w:jc w:val="left"/>
              <w:widowControl/>
              <w:rPr>
                <w:rFonts w:hint="default" w:ascii="宋体" w:hAnsi="宋体" w:eastAsia="宋体" w:cs="宋体"/>
                <w:color w:val="000000"/>
                <w:sz w:val="22"/>
                <w:szCs w:val="22"/>
                <w:lang w:val="en-US" w:eastAsia="zh-CN" w:bidi="ar-SA"/>
              </w:rPr>
            </w:pPr>
            <w:r>
              <w:rPr>
                <w:rFonts w:ascii="宋体" w:hAnsi="宋体" w:cs="宋体"/>
                <w:color w:val="000000"/>
                <w:sz w:val="22"/>
                <w:szCs w:val="22"/>
              </w:rPr>
              <w:t xml:space="preserve">流程、表单与材料配置</w:t>
            </w:r>
            <w:r/>
          </w:p>
        </w:tc>
        <w:tc>
          <w:tcPr>
            <w:shd w:val="clear" w:color="auto" w:fill="auto"/>
            <w:tcW w:w="6268" w:type="dxa"/>
            <w:vAlign w:val="top"/>
            <w:textDirection w:val="lrTb"/>
            <w:noWrap w:val="false"/>
          </w:tcPr>
          <w:p>
            <w:pPr>
              <w:jc w:val="left"/>
              <w:widowControl/>
              <w:rPr>
                <w:rFonts w:hint="eastAsia" w:ascii="宋体" w:hAnsi="宋体" w:eastAsia="宋体" w:cs="宋体"/>
                <w:color w:val="000000"/>
                <w:sz w:val="22"/>
                <w:szCs w:val="22"/>
                <w:lang w:val="en-US" w:eastAsia="zh-CN" w:bidi="ar-SA"/>
              </w:rPr>
            </w:pPr>
            <w:r>
              <w:rPr>
                <w:rFonts w:ascii="宋体" w:hAnsi="宋体" w:cs="宋体"/>
                <w:color w:val="000000"/>
                <w:sz w:val="22"/>
                <w:szCs w:val="22"/>
              </w:rPr>
              <w:t xml:space="preserve">▲系统支持自定义配置咨询立项审批、伦理审查、合同审批、人遗办审批、启动会审批、质控检查审批、财务审批等业务流程，支持根据业务条件设置审批分支流程，支持通过流程图的方式快速完成流程设置</w:t>
            </w:r>
            <w:r>
              <w:rPr>
                <w:rFonts w:hint="eastAsia" w:ascii="宋体" w:hAnsi="宋体" w:cs="宋体"/>
                <w:color w:val="000000"/>
                <w:sz w:val="22"/>
                <w:szCs w:val="22"/>
                <w:lang w:eastAsia="zh-CN"/>
              </w:rPr>
              <w:t xml:space="preserve">，</w:t>
            </w:r>
            <w:r>
              <w:rPr>
                <w:rFonts w:ascii="宋体" w:hAnsi="宋体" w:cs="宋体"/>
                <w:color w:val="000000"/>
                <w:sz w:val="22"/>
                <w:szCs w:val="22"/>
              </w:rPr>
              <w:t xml:space="preserve">支持设置流程节点驳回指定节点、支持设置各节点的操作按钮以及操作按钮对应的跳转过程</w:t>
            </w:r>
            <w:r>
              <w:rPr>
                <w:rFonts w:hint="eastAsia" w:ascii="宋体" w:hAnsi="宋体" w:cs="宋体"/>
                <w:color w:val="000000"/>
                <w:sz w:val="22"/>
                <w:szCs w:val="22"/>
                <w:lang w:eastAsia="zh-CN"/>
              </w:rPr>
              <w:t xml:space="preserve">，</w:t>
            </w:r>
            <w:r>
              <w:rPr>
                <w:rFonts w:ascii="宋体" w:hAnsi="宋体" w:cs="宋体"/>
                <w:color w:val="000000"/>
                <w:sz w:val="22"/>
                <w:szCs w:val="22"/>
              </w:rPr>
              <w:t xml:space="preserve">支持设置各流程任务之间的依赖与强制完成关系</w:t>
            </w:r>
            <w:r>
              <w:rPr>
                <w:rFonts w:hint="eastAsia" w:ascii="宋体" w:hAnsi="宋体" w:cs="宋体"/>
                <w:color w:val="000000"/>
                <w:sz w:val="22"/>
                <w:szCs w:val="22"/>
              </w:rPr>
              <w:t xml:space="preserve">（提供同类项目类似功能的系统截图）</w:t>
            </w:r>
            <w:r>
              <w:rPr>
                <w:rFonts w:hint="eastAsia" w:ascii="宋体" w:hAnsi="宋体" w:cs="宋体"/>
                <w:color w:val="000000"/>
                <w:sz w:val="22"/>
                <w:szCs w:val="22"/>
                <w:lang w:eastAsia="zh-CN"/>
              </w:rPr>
              <w:t xml:space="preserve">。</w:t>
            </w:r>
            <w:r/>
          </w:p>
        </w:tc>
      </w:tr>
      <w:tr>
        <w:trPr>
          <w:cantSplit/>
          <w:trHeight w:val="224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shd w:val="clear" w:color="auto" w:fill="auto"/>
            <w:tcW w:w="1347" w:type="dxa"/>
            <w:vAlign w:val="top"/>
            <w:textDirection w:val="lrTb"/>
            <w:noWrap w:val="false"/>
          </w:tcPr>
          <w:p>
            <w:pPr>
              <w:jc w:val="left"/>
              <w:widowControl/>
              <w:rPr>
                <w:rFonts w:hint="default" w:ascii="宋体" w:hAnsi="宋体" w:eastAsia="宋体" w:cs="宋体"/>
                <w:color w:val="000000"/>
                <w:sz w:val="22"/>
                <w:szCs w:val="22"/>
                <w:lang w:val="en-US" w:eastAsia="zh-CN" w:bidi="ar-SA"/>
              </w:rPr>
            </w:pPr>
            <w:r>
              <w:rPr>
                <w:rFonts w:ascii="宋体" w:hAnsi="宋体" w:cs="宋体"/>
                <w:color w:val="000000"/>
                <w:sz w:val="22"/>
                <w:szCs w:val="22"/>
              </w:rPr>
              <w:t xml:space="preserve">工作量统计与系统配置审计</w:t>
            </w:r>
            <w:r/>
          </w:p>
        </w:tc>
        <w:tc>
          <w:tcPr>
            <w:shd w:val="clear" w:color="auto" w:fill="auto"/>
            <w:tcW w:w="6268" w:type="dxa"/>
            <w:vAlign w:val="top"/>
            <w:textDirection w:val="lrTb"/>
            <w:noWrap w:val="false"/>
          </w:tcPr>
          <w:p>
            <w:pPr>
              <w:jc w:val="left"/>
              <w:widowControl/>
              <w:rPr>
                <w:rFonts w:hint="eastAsia" w:ascii="宋体" w:hAnsi="宋体" w:eastAsia="宋体" w:cs="宋体"/>
                <w:color w:val="000000"/>
                <w:sz w:val="22"/>
                <w:szCs w:val="22"/>
                <w:lang w:val="en-US" w:eastAsia="zh-CN" w:bidi="ar-SA"/>
              </w:rPr>
            </w:pPr>
            <w:r>
              <w:rPr>
                <w:rFonts w:hint="eastAsia" w:ascii="宋体" w:hAnsi="宋体" w:cs="宋体"/>
                <w:color w:val="000000"/>
                <w:sz w:val="22"/>
                <w:szCs w:val="22"/>
                <w:lang w:eastAsia="zh-CN"/>
              </w:rPr>
              <w:t xml:space="preserve">△</w:t>
            </w:r>
            <w:r>
              <w:rPr>
                <w:rFonts w:ascii="宋体" w:hAnsi="宋体" w:cs="宋体"/>
                <w:color w:val="000000"/>
                <w:sz w:val="22"/>
                <w:szCs w:val="22"/>
              </w:rPr>
              <w:t xml:space="preserve">系统支持统计研究者承担的临床试验项目数量、受试者例数、负责项目经费额度及访视完成数量等工作量指标。系统支持基于人员工作量统计数据进行工作负荷分析，并生成可视化分析报表。系统支持维护系统业务功能菜单，提供菜单配置信息的导入和导出功能。系统支持维护合同经费预算类型，包括检查检验费、受试者补助、研究者劳务费、机构管理费和税费等。系统支持维护质控问题分类、问题严重程度及质控计划规则等质控基础信息。</w:t>
            </w:r>
            <w:r/>
          </w:p>
        </w:tc>
      </w:tr>
      <w:tr>
        <w:trPr>
          <w:cantSplit/>
          <w:trHeight w:val="1120"/>
        </w:trPr>
        <w:tc>
          <w:tcPr>
            <w:tcW w:w="1189" w:type="dxa"/>
            <w:vAlign w:val="top"/>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W w:w="1347" w:type="dxa"/>
            <w:vAlign w:val="top"/>
            <w:textDirection w:val="lrTb"/>
            <w:noWrap w:val="false"/>
          </w:tcPr>
          <w:p>
            <w:pPr>
              <w:jc w:val="left"/>
              <w:widowControl/>
              <w:rPr>
                <w:rFonts w:ascii="宋体" w:hAnsi="宋体" w:cs="宋体"/>
                <w:color w:val="000000"/>
                <w:sz w:val="22"/>
                <w:szCs w:val="22"/>
              </w:rPr>
            </w:pPr>
            <w:r>
              <w:rPr>
                <w:rFonts w:hint="eastAsia" w:ascii="宋体" w:hAnsi="宋体" w:eastAsia="宋体" w:cs="宋体"/>
                <w:b/>
                <w:bCs/>
                <w:lang w:bidi="ar"/>
              </w:rPr>
              <w:t xml:space="preserve">第三方对接管理</w:t>
            </w:r>
            <w:r/>
          </w:p>
        </w:tc>
        <w:tc>
          <w:tcPr>
            <w:tcW w:w="6268" w:type="dxa"/>
            <w:vAlign w:val="top"/>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eastAsia="zh-CN"/>
              </w:rPr>
              <w:t xml:space="preserve">△</w:t>
            </w:r>
            <w:r>
              <w:rPr>
                <w:rFonts w:hint="eastAsia"/>
              </w:rPr>
              <w:t xml:space="preserve">支持接口调度监控，详细记录每一个接口的访问频率、用时等情况，支持接口适配管理，提供接口注册到中台中进行使用，有条件实现对接第三方，以满足下述功能：支持与医院信息系统</w:t>
            </w:r>
            <w:r>
              <w:rPr>
                <w:rFonts w:hint="eastAsia"/>
                <w:lang w:val="en-US" w:eastAsia="zh-CN"/>
              </w:rPr>
              <w:t xml:space="preserve">IIH</w:t>
            </w:r>
            <w:r>
              <w:rPr>
                <w:rFonts w:hint="eastAsia"/>
              </w:rPr>
              <w:t xml:space="preserve">、LIS、</w:t>
            </w:r>
            <w:r>
              <w:rPr>
                <w:rFonts w:hint="eastAsia"/>
                <w:lang w:val="en-US" w:eastAsia="zh-CN"/>
              </w:rPr>
              <w:t xml:space="preserve">护理系统</w:t>
            </w:r>
            <w:r>
              <w:rPr>
                <w:rFonts w:hint="eastAsia"/>
              </w:rPr>
              <w:t xml:space="preserve">、HRP</w:t>
            </w:r>
            <w:r>
              <w:rPr>
                <w:rFonts w:hint="eastAsia"/>
                <w:lang w:eastAsia="zh-CN"/>
              </w:rPr>
              <w:t xml:space="preserve">、</w:t>
            </w:r>
            <w:r>
              <w:rPr>
                <w:rFonts w:hint="eastAsia"/>
                <w:lang w:val="en-US" w:eastAsia="zh-CN"/>
              </w:rPr>
              <w:t xml:space="preserve">CA签名</w:t>
            </w:r>
            <w:r>
              <w:rPr>
                <w:rFonts w:hint="eastAsia"/>
              </w:rPr>
              <w:t xml:space="preserve">等系统对接；采用Web Service或WebAPI方式进行接口数据交互；支持与院方集成平台对接接口管控和数据交互；支持短信平台接口，按照设定条件自动发送信息；提供标准集成接口实现</w:t>
            </w:r>
            <w:r>
              <w:rPr>
                <w:rFonts w:hint="eastAsia"/>
                <w:lang w:val="en-US" w:eastAsia="zh-CN"/>
              </w:rPr>
              <w:t xml:space="preserve">病房</w:t>
            </w:r>
            <w:r>
              <w:rPr>
                <w:rFonts w:hint="eastAsia"/>
              </w:rPr>
              <w:t xml:space="preserve">设备包括身份证读卡器、身高体重仪、血压计等物联网设备进行集成；具备与EDC数据管理系统实现无缝集成的接口；支持自动化任务管理，对于特定的数据接口执行和处理采用定时和预约等机制使用。</w:t>
            </w:r>
            <w:r/>
          </w:p>
        </w:tc>
      </w:tr>
    </w:tbl>
    <w:p>
      <w:pPr>
        <w:spacing w:line="520" w:lineRule="exact"/>
        <w:rPr>
          <w:rFonts w:hint="eastAsia" w:ascii="宋体" w:hAnsi="宋体"/>
          <w:b/>
          <w:sz w:val="24"/>
          <w:szCs w:val="24"/>
        </w:rPr>
        <w:outlineLvl w:val="1"/>
      </w:pPr>
      <w:r>
        <w:rPr>
          <w:rFonts w:hint="eastAsia" w:ascii="宋体" w:hAnsi="宋体"/>
          <w:b/>
          <w:sz w:val="24"/>
          <w:szCs w:val="24"/>
        </w:rPr>
        <w:t xml:space="preserve">项目升级与实施要求</w:t>
      </w:r>
      <w:r/>
    </w:p>
    <w:p>
      <w:pPr>
        <w:ind w:firstLine="480"/>
        <w:spacing w:line="520" w:lineRule="exact"/>
        <w:rPr>
          <w:rFonts w:hint="eastAsia" w:ascii="宋体" w:hAnsi="宋体"/>
          <w:sz w:val="24"/>
          <w:szCs w:val="24"/>
        </w:rPr>
      </w:pPr>
      <w:r>
        <w:rPr>
          <w:rFonts w:hint="eastAsia" w:ascii="宋体" w:hAnsi="宋体"/>
          <w:sz w:val="24"/>
          <w:szCs w:val="24"/>
        </w:rPr>
        <w:t xml:space="preserve">投标人应具有健全的项目管理制度和流程，以及合格的项目实施人员，对系统建设进行全过程质量管理，确保项目实施的顺利。</w:t>
      </w:r>
      <w:r/>
    </w:p>
    <w:p>
      <w:pPr>
        <w:ind w:firstLine="480"/>
        <w:spacing w:line="520" w:lineRule="exact"/>
        <w:rPr>
          <w:rFonts w:hint="eastAsia" w:ascii="宋体" w:hAnsi="宋体"/>
          <w:sz w:val="24"/>
          <w:szCs w:val="24"/>
        </w:rPr>
      </w:pPr>
      <w:r>
        <w:rPr>
          <w:rFonts w:hint="eastAsia" w:ascii="宋体" w:hAnsi="宋体"/>
          <w:sz w:val="24"/>
          <w:szCs w:val="24"/>
        </w:rPr>
        <w:t xml:space="preserve">项目实施周期：9个月。</w:t>
      </w:r>
      <w:r/>
    </w:p>
    <w:p>
      <w:pPr>
        <w:numPr>
          <w:ilvl w:val="0"/>
          <w:numId w:val="4"/>
        </w:numPr>
        <w:ind w:left="1004" w:hanging="720"/>
        <w:spacing w:line="520" w:lineRule="exact"/>
        <w:rPr>
          <w:rFonts w:hint="eastAsia" w:ascii="宋体" w:hAnsi="宋体"/>
          <w:b/>
          <w:bCs/>
          <w:sz w:val="24"/>
          <w:szCs w:val="24"/>
        </w:rPr>
        <w:outlineLvl w:val="1"/>
      </w:pPr>
      <w:r>
        <w:rPr>
          <w:rFonts w:hint="eastAsia" w:ascii="宋体" w:hAnsi="宋体"/>
          <w:b/>
          <w:bCs/>
          <w:sz w:val="24"/>
          <w:szCs w:val="24"/>
        </w:rPr>
        <w:t xml:space="preserve">软件开发方案要求</w:t>
      </w:r>
      <w:r/>
    </w:p>
    <w:p>
      <w:pPr>
        <w:ind w:firstLine="480"/>
        <w:spacing w:line="520" w:lineRule="exact"/>
        <w:rPr>
          <w:rFonts w:hint="eastAsia" w:ascii="宋体" w:hAnsi="宋体"/>
          <w:sz w:val="24"/>
          <w:szCs w:val="24"/>
        </w:rPr>
      </w:pPr>
      <w:r>
        <w:rPr>
          <w:rFonts w:hint="eastAsia" w:ascii="宋体" w:hAnsi="宋体"/>
          <w:sz w:val="24"/>
          <w:szCs w:val="24"/>
        </w:rPr>
        <w:t xml:space="preserve">投标人应根据项目的采购技术需求提供详细的软件开发方案，包括系统架构设计、开发模式、功能实现等。</w:t>
      </w:r>
      <w:r/>
    </w:p>
    <w:p>
      <w:pPr>
        <w:ind w:firstLine="480"/>
        <w:spacing w:line="52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ab/>
      </w:r>
      <w:r>
        <w:rPr>
          <w:rFonts w:hint="eastAsia" w:ascii="宋体" w:hAnsi="宋体"/>
          <w:sz w:val="24"/>
          <w:szCs w:val="24"/>
        </w:rPr>
        <w:t xml:space="preserve">系统架构设计：使用B/S架构进行设计，支持网内的联机事务处理，联机查询和统计分析处理；系统应按多层设计，分应用层、服务层、数据层三层及以上；支持应用与数据库分离部署,支持部署在虚拟机平台。</w:t>
      </w:r>
      <w:r/>
    </w:p>
    <w:p>
      <w:pPr>
        <w:ind w:firstLine="480"/>
        <w:spacing w:line="520" w:lineRule="exact"/>
        <w:rPr>
          <w:rFonts w:hint="eastAsia" w:ascii="宋体" w:hAnsi="宋体"/>
          <w:sz w:val="24"/>
          <w:szCs w:val="24"/>
        </w:rPr>
      </w:pPr>
      <w:r>
        <w:rPr>
          <w:rFonts w:hint="eastAsia" w:ascii="宋体" w:hAnsi="宋体"/>
          <w:sz w:val="24"/>
          <w:szCs w:val="24"/>
        </w:rPr>
        <w:t xml:space="preserve">2. 开发模式：系统采用低代码前后端分离设计架构，可根据 SOP 流程自定义组件模板库/流程设计/表单设计/报表设计模块化、组件式开发模式，系统按照平台模式设计可扩展支持临床试验业务相关的业务模块，无需对系统的底层基础进行修改，就能够根据用户需求，随时进行单个功能模块的修改、添加和升级可自定义个性化工作流程，满足对一项工作进行不同人员的多级审核需求，在每个审批步骤完成后可以自动修改相关的业务数据，可以判断也可以人工选择流程分支走向；</w:t>
      </w:r>
      <w:r/>
    </w:p>
    <w:p>
      <w:pPr>
        <w:ind w:firstLine="480"/>
        <w:spacing w:line="520" w:lineRule="exact"/>
        <w:rPr>
          <w:rFonts w:hint="eastAsia" w:ascii="宋体" w:hAnsi="宋体"/>
          <w:sz w:val="24"/>
          <w:szCs w:val="24"/>
        </w:rPr>
      </w:pPr>
      <w:r>
        <w:rPr>
          <w:rFonts w:hint="eastAsia" w:ascii="宋体" w:hAnsi="宋体"/>
          <w:sz w:val="24"/>
          <w:szCs w:val="24"/>
        </w:rPr>
        <w:t xml:space="preserve">3. 功能实现：根据项目建设要求，详细列出实现功能模块的实施路径。。</w:t>
      </w:r>
      <w:r/>
    </w:p>
    <w:p>
      <w:pPr>
        <w:ind w:firstLine="480"/>
        <w:spacing w:line="52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ab/>
      </w:r>
      <w:r>
        <w:rPr>
          <w:rFonts w:hint="eastAsia" w:ascii="宋体" w:hAnsi="宋体"/>
          <w:sz w:val="24"/>
          <w:szCs w:val="24"/>
        </w:rPr>
        <w:t xml:space="preserve">支持满足等保</w:t>
      </w:r>
      <w:r>
        <w:rPr>
          <w:rFonts w:hint="eastAsia" w:ascii="宋体" w:hAnsi="宋体"/>
          <w:sz w:val="24"/>
          <w:szCs w:val="24"/>
          <w:lang w:eastAsia="zh-CN"/>
        </w:rPr>
        <w:t xml:space="preserve">、</w:t>
      </w:r>
      <w:r>
        <w:rPr>
          <w:rFonts w:hint="eastAsia" w:ascii="宋体" w:hAnsi="宋体"/>
          <w:sz w:val="24"/>
          <w:szCs w:val="24"/>
        </w:rPr>
        <w:t xml:space="preserve">密评</w:t>
      </w:r>
      <w:r>
        <w:rPr>
          <w:rFonts w:hint="eastAsia" w:ascii="宋体" w:hAnsi="宋体"/>
          <w:sz w:val="24"/>
          <w:szCs w:val="24"/>
          <w:lang w:val="en-US" w:eastAsia="zh-CN"/>
        </w:rPr>
        <w:t xml:space="preserve">等信息安全管理以及国产化适配</w:t>
      </w:r>
      <w:r>
        <w:rPr>
          <w:rFonts w:hint="eastAsia" w:ascii="宋体" w:hAnsi="宋体"/>
          <w:sz w:val="24"/>
          <w:szCs w:val="24"/>
        </w:rPr>
        <w:t xml:space="preserve">要求。</w:t>
      </w:r>
      <w:r/>
    </w:p>
    <w:p>
      <w:pPr>
        <w:numPr>
          <w:ilvl w:val="0"/>
          <w:numId w:val="4"/>
        </w:numPr>
        <w:ind w:left="1004" w:hanging="720"/>
        <w:spacing w:line="520" w:lineRule="exact"/>
        <w:rPr>
          <w:rFonts w:hint="eastAsia" w:ascii="宋体" w:hAnsi="宋体"/>
          <w:b/>
          <w:bCs/>
          <w:sz w:val="24"/>
          <w:szCs w:val="24"/>
        </w:rPr>
        <w:outlineLvl w:val="1"/>
      </w:pPr>
      <w:r>
        <w:rPr>
          <w:rFonts w:hint="eastAsia" w:ascii="宋体" w:hAnsi="宋体"/>
          <w:b/>
          <w:bCs/>
          <w:sz w:val="24"/>
          <w:szCs w:val="24"/>
        </w:rPr>
        <w:t xml:space="preserve">项目进度管理方案要求</w:t>
      </w:r>
      <w:r/>
    </w:p>
    <w:p>
      <w:pPr>
        <w:ind w:firstLine="480"/>
        <w:spacing w:line="520" w:lineRule="exact"/>
        <w:rPr>
          <w:rFonts w:hint="eastAsia" w:ascii="宋体" w:hAnsi="宋体"/>
          <w:sz w:val="24"/>
          <w:szCs w:val="24"/>
        </w:rPr>
      </w:pPr>
      <w:r>
        <w:rPr>
          <w:rFonts w:hint="eastAsia" w:ascii="宋体" w:hAnsi="宋体"/>
          <w:sz w:val="24"/>
          <w:szCs w:val="24"/>
        </w:rPr>
        <w:t xml:space="preserve">为确保项目可以顺利地开展，投标人应详细阐述项目实施方案，包括进度安排、进度管理、测试、试运行、验收等。</w:t>
      </w:r>
      <w:r/>
    </w:p>
    <w:p>
      <w:pPr>
        <w:ind w:firstLine="480"/>
        <w:spacing w:line="520" w:lineRule="exact"/>
        <w:rPr>
          <w:rFonts w:hint="eastAsia" w:ascii="宋体" w:hAnsi="宋体"/>
          <w:sz w:val="24"/>
          <w:szCs w:val="24"/>
        </w:rPr>
      </w:pPr>
      <w:r>
        <w:rPr>
          <w:rFonts w:hint="eastAsia" w:ascii="宋体" w:hAnsi="宋体"/>
          <w:sz w:val="24"/>
          <w:szCs w:val="24"/>
        </w:rPr>
        <w:t xml:space="preserve">1. 进度安排：需要结合本项目的实际情况，制定项目实施计划，通过对每个环节的精准把控，确保项目可以平稳有序地推进。</w:t>
      </w:r>
      <w:r/>
    </w:p>
    <w:p>
      <w:pPr>
        <w:ind w:firstLine="480"/>
        <w:spacing w:line="520" w:lineRule="exact"/>
        <w:rPr>
          <w:rFonts w:hint="eastAsia" w:ascii="宋体" w:hAnsi="宋体"/>
          <w:sz w:val="24"/>
          <w:szCs w:val="24"/>
        </w:rPr>
      </w:pPr>
      <w:r>
        <w:rPr>
          <w:rFonts w:hint="eastAsia" w:ascii="宋体" w:hAnsi="宋体"/>
          <w:sz w:val="24"/>
          <w:szCs w:val="24"/>
        </w:rPr>
        <w:t xml:space="preserve">2.进度管理：投标人需建立完善的项目管理制度，包括组织分工、职责说明、例会制度、信息安全规章制度等，保证项目有序、有节奏地进行，在规定的时间内完成各项工作。</w:t>
      </w:r>
      <w:r/>
    </w:p>
    <w:p>
      <w:pPr>
        <w:ind w:firstLine="480"/>
        <w:spacing w:line="520" w:lineRule="exact"/>
        <w:rPr>
          <w:rFonts w:hint="eastAsia" w:ascii="宋体" w:hAnsi="宋体"/>
          <w:sz w:val="24"/>
          <w:szCs w:val="24"/>
        </w:rPr>
      </w:pPr>
      <w:r>
        <w:rPr>
          <w:rFonts w:hint="eastAsia" w:ascii="宋体" w:hAnsi="宋体"/>
          <w:sz w:val="24"/>
          <w:szCs w:val="24"/>
        </w:rPr>
        <w:t xml:space="preserve">3. 测试：为确保项目的软件质量，项目测试方案至关重要。投标人需详细阐述项目测试的具体要求，包括测试目标、测试方案、测试结果等。</w:t>
      </w:r>
      <w:r/>
    </w:p>
    <w:p>
      <w:pPr>
        <w:ind w:firstLine="480"/>
        <w:spacing w:line="520" w:lineRule="exact"/>
        <w:rPr>
          <w:rFonts w:hint="eastAsia" w:ascii="宋体" w:hAnsi="宋体"/>
          <w:sz w:val="24"/>
          <w:szCs w:val="24"/>
        </w:rPr>
      </w:pPr>
      <w:r>
        <w:rPr>
          <w:rFonts w:hint="eastAsia" w:ascii="宋体" w:hAnsi="宋体"/>
          <w:sz w:val="24"/>
          <w:szCs w:val="24"/>
        </w:rPr>
        <w:t xml:space="preserve">4. 试运行：本项目的试运行为期1个月。在试运行期间，投标人应制定完善的试运行方案，包括试运行目的、试运行准备、试运行结果输出等。</w:t>
      </w:r>
      <w:r/>
    </w:p>
    <w:p>
      <w:pPr>
        <w:ind w:firstLine="480"/>
        <w:spacing w:line="520" w:lineRule="exact"/>
        <w:rPr>
          <w:rFonts w:hint="eastAsia" w:ascii="宋体" w:hAnsi="宋体"/>
          <w:sz w:val="24"/>
          <w:szCs w:val="24"/>
        </w:rPr>
      </w:pPr>
      <w:r>
        <w:rPr>
          <w:rFonts w:hint="eastAsia" w:ascii="宋体" w:hAnsi="宋体"/>
          <w:sz w:val="24"/>
          <w:szCs w:val="24"/>
        </w:rPr>
        <w:t xml:space="preserve">5. 验收：软件项目验收是确认项目成果是否符合合同与需求规格的关键环节，投标人在编制验收方案时，应明确验收标准、验收指标、验收流程等，确保软件可稳定交付与使用。</w:t>
      </w:r>
      <w:r/>
    </w:p>
    <w:p>
      <w:pPr>
        <w:numPr>
          <w:ilvl w:val="0"/>
          <w:numId w:val="4"/>
        </w:numPr>
        <w:ind w:left="1004" w:hanging="720"/>
        <w:spacing w:line="520" w:lineRule="exact"/>
        <w:rPr>
          <w:rFonts w:hint="eastAsia" w:ascii="宋体" w:hAnsi="宋体"/>
          <w:b/>
          <w:bCs/>
          <w:sz w:val="24"/>
          <w:szCs w:val="24"/>
        </w:rPr>
        <w:outlineLvl w:val="1"/>
      </w:pPr>
      <w:r>
        <w:rPr>
          <w:rFonts w:hint="eastAsia" w:ascii="宋体" w:hAnsi="宋体"/>
          <w:b/>
          <w:bCs/>
          <w:sz w:val="24"/>
          <w:szCs w:val="24"/>
        </w:rPr>
        <w:t xml:space="preserve">项目质量管理方案要求</w:t>
      </w:r>
      <w:r/>
    </w:p>
    <w:p>
      <w:pPr>
        <w:ind w:firstLine="480"/>
        <w:spacing w:line="520" w:lineRule="exact"/>
        <w:rPr>
          <w:rFonts w:hint="eastAsia" w:ascii="宋体" w:hAnsi="宋体"/>
          <w:sz w:val="24"/>
          <w:szCs w:val="24"/>
        </w:rPr>
      </w:pPr>
      <w:r>
        <w:rPr>
          <w:rFonts w:ascii="宋体" w:hAnsi="宋体"/>
          <w:sz w:val="24"/>
          <w:szCs w:val="24"/>
        </w:rPr>
        <w:t xml:space="preserve">为确保项目的质量达到既定标准，</w:t>
      </w:r>
      <w:r>
        <w:rPr>
          <w:rFonts w:hint="eastAsia" w:ascii="宋体" w:hAnsi="宋体"/>
          <w:sz w:val="24"/>
          <w:szCs w:val="24"/>
        </w:rPr>
        <w:t xml:space="preserve">投标人应</w:t>
      </w:r>
      <w:r>
        <w:rPr>
          <w:rFonts w:ascii="宋体" w:hAnsi="宋体"/>
          <w:sz w:val="24"/>
          <w:szCs w:val="24"/>
        </w:rPr>
        <w:t xml:space="preserve">详细阐述项目质量管理方案，包括质量标准、质量管理体系以及风险管理</w:t>
      </w:r>
      <w:r>
        <w:rPr>
          <w:rFonts w:hint="eastAsia" w:ascii="宋体" w:hAnsi="宋体"/>
          <w:sz w:val="24"/>
          <w:szCs w:val="24"/>
        </w:rPr>
        <w:t xml:space="preserve">等</w:t>
      </w:r>
      <w:r>
        <w:rPr>
          <w:rFonts w:ascii="宋体" w:hAnsi="宋体"/>
          <w:sz w:val="24"/>
          <w:szCs w:val="24"/>
        </w:rPr>
        <w:t xml:space="preserve">。</w:t>
      </w:r>
      <w:r/>
    </w:p>
    <w:p>
      <w:pPr>
        <w:numPr>
          <w:ilvl w:val="0"/>
          <w:numId w:val="5"/>
        </w:numPr>
        <w:ind w:firstLine="480"/>
        <w:spacing w:line="520" w:lineRule="exact"/>
        <w:rPr>
          <w:rFonts w:hint="eastAsia" w:ascii="宋体" w:hAnsi="宋体"/>
          <w:sz w:val="24"/>
          <w:szCs w:val="24"/>
        </w:rPr>
      </w:pPr>
      <w:r>
        <w:rPr>
          <w:rFonts w:hint="eastAsia" w:ascii="宋体" w:hAnsi="宋体"/>
          <w:sz w:val="24"/>
          <w:szCs w:val="24"/>
        </w:rPr>
        <w:t xml:space="preserve">质量标准：项目需严格遵守国家及行业关于信息安全、软件开发等方面的相关法律法规、标准规范及最佳实践。</w:t>
      </w:r>
      <w:r/>
    </w:p>
    <w:p>
      <w:pPr>
        <w:numPr>
          <w:ilvl w:val="0"/>
          <w:numId w:val="5"/>
        </w:numPr>
        <w:ind w:firstLine="480"/>
        <w:spacing w:line="520" w:lineRule="exact"/>
        <w:rPr>
          <w:rFonts w:hint="eastAsia" w:ascii="宋体" w:hAnsi="宋体"/>
          <w:sz w:val="24"/>
          <w:szCs w:val="24"/>
        </w:rPr>
      </w:pPr>
      <w:r>
        <w:rPr>
          <w:rFonts w:hint="eastAsia" w:ascii="宋体" w:hAnsi="宋体"/>
          <w:sz w:val="24"/>
          <w:szCs w:val="24"/>
        </w:rPr>
        <w:t xml:space="preserve">质量管理体系：投标人需建立完善的质量管理体系，包括质量保证目标、质量控制、质量保证和质量改进等环节，确保项目全生命周期的质量管理。</w:t>
      </w:r>
      <w:r/>
    </w:p>
    <w:p>
      <w:pPr>
        <w:numPr>
          <w:ilvl w:val="0"/>
          <w:numId w:val="5"/>
        </w:numPr>
        <w:ind w:firstLine="480"/>
        <w:spacing w:line="520" w:lineRule="exact"/>
        <w:rPr>
          <w:rFonts w:hint="eastAsia" w:ascii="宋体" w:hAnsi="宋体"/>
          <w:sz w:val="24"/>
          <w:szCs w:val="24"/>
        </w:rPr>
      </w:pPr>
      <w:r>
        <w:rPr>
          <w:rFonts w:hint="eastAsia" w:ascii="宋体" w:hAnsi="宋体"/>
          <w:sz w:val="24"/>
          <w:szCs w:val="24"/>
        </w:rPr>
        <w:t xml:space="preserve">风险管理：需对项目可能面临的风险进行全面识别和评估，包括项目全过程中多个阶段可能会面临的潜在风险，准确地识别风险并制定风险预防措施，降低风险对项目的影响。</w:t>
      </w:r>
      <w:r/>
    </w:p>
    <w:p>
      <w:pPr>
        <w:numPr>
          <w:ilvl w:val="0"/>
          <w:numId w:val="4"/>
        </w:numPr>
        <w:ind w:left="1004" w:hanging="720"/>
        <w:spacing w:line="520" w:lineRule="exact"/>
        <w:rPr>
          <w:rFonts w:hint="eastAsia" w:ascii="宋体" w:hAnsi="宋体"/>
          <w:b/>
          <w:bCs/>
          <w:sz w:val="24"/>
          <w:szCs w:val="24"/>
        </w:rPr>
        <w:outlineLvl w:val="1"/>
      </w:pPr>
      <w:r>
        <w:rPr>
          <w:rFonts w:hint="eastAsia" w:ascii="宋体" w:hAnsi="宋体"/>
          <w:b/>
          <w:bCs/>
          <w:sz w:val="24"/>
          <w:szCs w:val="24"/>
        </w:rPr>
        <w:t xml:space="preserve">项目应急和安全服务方案要求</w:t>
      </w:r>
      <w:r/>
    </w:p>
    <w:p>
      <w:pPr>
        <w:ind w:firstLine="566"/>
        <w:spacing w:line="520" w:lineRule="exact"/>
        <w:rPr>
          <w:rFonts w:hint="eastAsia" w:ascii="宋体" w:hAnsi="宋体"/>
          <w:sz w:val="24"/>
          <w:szCs w:val="24"/>
        </w:rPr>
      </w:pPr>
      <w:r>
        <w:rPr>
          <w:rFonts w:hint="eastAsia" w:ascii="宋体" w:hAnsi="宋体"/>
          <w:sz w:val="24"/>
          <w:szCs w:val="24"/>
        </w:rPr>
        <w:t xml:space="preserve">结合本项目实际现场情况和安全服务需求，投标人应制定明确的应急管理方案和系统安全保障方案，确保快速解决安全问题，保障完全高效服务的目标。</w:t>
      </w:r>
      <w:r/>
    </w:p>
    <w:p>
      <w:pPr>
        <w:ind w:firstLine="566"/>
        <w:spacing w:line="520" w:lineRule="exact"/>
        <w:rPr>
          <w:rFonts w:hint="eastAsia" w:ascii="宋体" w:hAnsi="宋体"/>
          <w:sz w:val="24"/>
          <w:szCs w:val="24"/>
        </w:rPr>
      </w:pPr>
      <w:r>
        <w:rPr>
          <w:rFonts w:hint="eastAsia" w:ascii="宋体" w:hAnsi="宋体"/>
          <w:sz w:val="24"/>
          <w:szCs w:val="24"/>
        </w:rPr>
        <w:t xml:space="preserve">1. 应急管理方案：应急管理是一个系统工程，其核心要求包括：建立完善的责任体系和组织机构，提前制定预案并演练，对应急事件进行分类与分级，明确应急响应流程。</w:t>
      </w:r>
      <w:r/>
    </w:p>
    <w:p>
      <w:pPr>
        <w:ind w:firstLine="566"/>
        <w:spacing w:line="520" w:lineRule="exact"/>
        <w:rPr>
          <w:rFonts w:hint="eastAsia" w:ascii="宋体" w:hAnsi="宋体"/>
          <w:sz w:val="24"/>
          <w:szCs w:val="24"/>
        </w:rPr>
      </w:pPr>
      <w:r>
        <w:rPr>
          <w:rFonts w:hint="eastAsia" w:ascii="宋体" w:hAnsi="宋体"/>
          <w:sz w:val="24"/>
          <w:szCs w:val="24"/>
        </w:rPr>
        <w:t xml:space="preserve">2. 系统安全保障方案：信息系统安全管理要求包括物理安全、网络安全、主机安全、应用安全、数据安全，投标人应建立相应的安全管理制度，确保安全措施的有效施行。</w:t>
      </w:r>
      <w:r/>
    </w:p>
    <w:p>
      <w:pPr>
        <w:numPr>
          <w:ilvl w:val="0"/>
          <w:numId w:val="4"/>
        </w:numPr>
        <w:ind w:left="1004" w:hanging="720"/>
        <w:spacing w:line="520" w:lineRule="exact"/>
        <w:rPr>
          <w:rFonts w:hint="eastAsia" w:ascii="宋体" w:hAnsi="宋体"/>
          <w:b/>
          <w:bCs/>
          <w:sz w:val="24"/>
          <w:szCs w:val="24"/>
        </w:rPr>
        <w:outlineLvl w:val="1"/>
      </w:pPr>
      <w:r>
        <w:rPr>
          <w:rFonts w:hint="eastAsia" w:ascii="宋体" w:hAnsi="宋体"/>
          <w:b/>
          <w:bCs/>
          <w:sz w:val="24"/>
          <w:szCs w:val="24"/>
        </w:rPr>
        <w:t xml:space="preserve">项目培训方案要求</w:t>
      </w:r>
      <w:r/>
    </w:p>
    <w:p>
      <w:pPr>
        <w:ind w:firstLine="480"/>
        <w:spacing w:line="520" w:lineRule="exact"/>
        <w:rPr>
          <w:rFonts w:hint="eastAsia" w:ascii="宋体" w:hAnsi="宋体"/>
          <w:sz w:val="24"/>
          <w:szCs w:val="24"/>
        </w:rPr>
      </w:pPr>
      <w:r>
        <w:rPr>
          <w:rFonts w:ascii="宋体" w:hAnsi="宋体"/>
          <w:sz w:val="24"/>
          <w:szCs w:val="24"/>
        </w:rPr>
        <w:t xml:space="preserve">为确保项目的顺利实施与后续高效运维，项目培训管理方案的设计与实施至关重要。</w:t>
      </w:r>
      <w:r>
        <w:rPr>
          <w:rFonts w:hint="eastAsia" w:ascii="宋体" w:hAnsi="宋体"/>
          <w:sz w:val="24"/>
          <w:szCs w:val="24"/>
        </w:rPr>
        <w:t xml:space="preserve">投标人需</w:t>
      </w:r>
      <w:r>
        <w:rPr>
          <w:rFonts w:ascii="宋体" w:hAnsi="宋体"/>
          <w:sz w:val="24"/>
          <w:szCs w:val="24"/>
        </w:rPr>
        <w:t xml:space="preserve">详细阐述项目培训管理的具体要求，包括培训方案、培训内容、培训材料、培训计划等方面。</w:t>
      </w:r>
      <w:r/>
    </w:p>
    <w:p>
      <w:pPr>
        <w:numPr>
          <w:ilvl w:val="0"/>
          <w:numId w:val="6"/>
        </w:numPr>
        <w:ind w:firstLine="480"/>
        <w:spacing w:line="520" w:lineRule="exact"/>
        <w:rPr>
          <w:rFonts w:hint="eastAsia" w:ascii="宋体" w:hAnsi="宋体"/>
          <w:sz w:val="24"/>
          <w:szCs w:val="24"/>
        </w:rPr>
      </w:pPr>
      <w:r>
        <w:rPr>
          <w:rFonts w:ascii="宋体" w:hAnsi="宋体"/>
          <w:sz w:val="24"/>
          <w:szCs w:val="24"/>
        </w:rPr>
        <w:t xml:space="preserve">培训方案</w:t>
      </w:r>
      <w:r>
        <w:rPr>
          <w:rFonts w:hint="eastAsia" w:ascii="宋体" w:hAnsi="宋体"/>
          <w:sz w:val="24"/>
          <w:szCs w:val="24"/>
        </w:rPr>
        <w:t xml:space="preserve">：应提供完善的培训方案，培训方案包含培训目的、培训方式、培训内容等。系统的培训工作要在系统上线试运行前实施，并在培训实施前编制专门的培训材料。</w:t>
      </w:r>
      <w:r/>
    </w:p>
    <w:p>
      <w:pPr>
        <w:numPr>
          <w:ilvl w:val="0"/>
          <w:numId w:val="6"/>
        </w:numPr>
        <w:ind w:firstLine="480"/>
        <w:spacing w:line="520" w:lineRule="exact"/>
        <w:rPr>
          <w:rFonts w:hint="eastAsia" w:ascii="宋体" w:hAnsi="宋体"/>
          <w:sz w:val="24"/>
          <w:szCs w:val="24"/>
        </w:rPr>
      </w:pPr>
      <w:r>
        <w:rPr>
          <w:rFonts w:ascii="宋体" w:hAnsi="宋体"/>
          <w:sz w:val="24"/>
          <w:szCs w:val="24"/>
        </w:rPr>
        <w:t xml:space="preserve">培训内容</w:t>
      </w:r>
      <w:r>
        <w:rPr>
          <w:rFonts w:hint="eastAsia" w:ascii="宋体" w:hAnsi="宋体"/>
          <w:sz w:val="24"/>
          <w:szCs w:val="24"/>
        </w:rPr>
        <w:t xml:space="preserve">：对采购人系统计算机管理人员培训，重点培训为软件的安装、维护、调试、配置及使用技能；业务人员培训，重点对相应应用的操作、使用等。</w:t>
      </w:r>
      <w:r/>
    </w:p>
    <w:p>
      <w:pPr>
        <w:numPr>
          <w:ilvl w:val="0"/>
          <w:numId w:val="6"/>
        </w:numPr>
        <w:ind w:firstLine="480"/>
        <w:spacing w:line="520" w:lineRule="exact"/>
        <w:rPr>
          <w:rFonts w:hint="eastAsia" w:ascii="宋体" w:hAnsi="宋体"/>
          <w:sz w:val="24"/>
          <w:szCs w:val="24"/>
        </w:rPr>
      </w:pPr>
      <w:r>
        <w:rPr>
          <w:rFonts w:hint="eastAsia" w:ascii="宋体" w:hAnsi="宋体"/>
          <w:sz w:val="24"/>
          <w:szCs w:val="24"/>
        </w:rPr>
        <w:t xml:space="preserve">培训材料：投标人在采购人现场的培训，投标人必须无偿提供培训资料、讲稿的电子稿、培训用文字资料和讲义等相关用品，所有的资料必须是中文书写，同时允许采购人在单位内部使用。</w:t>
      </w:r>
      <w:r/>
    </w:p>
    <w:p>
      <w:pPr>
        <w:numPr>
          <w:ilvl w:val="0"/>
          <w:numId w:val="6"/>
        </w:numPr>
        <w:ind w:firstLine="480"/>
        <w:spacing w:line="520" w:lineRule="exact"/>
        <w:rPr>
          <w:rFonts w:hint="eastAsia" w:ascii="宋体" w:hAnsi="宋体"/>
          <w:sz w:val="24"/>
          <w:szCs w:val="24"/>
        </w:rPr>
      </w:pPr>
      <w:r>
        <w:rPr>
          <w:rFonts w:hint="eastAsia" w:ascii="宋体" w:hAnsi="宋体"/>
          <w:sz w:val="24"/>
          <w:szCs w:val="24"/>
        </w:rPr>
        <w:t xml:space="preserve">培训计划：培训工作贯穿于项目的整个过程，所有的培训需提前制定培训计划，明确培训内容、培训时间、培训方式等，提供培训所需的资料、文档，针对培训，还需要制定培训用的PPT讲演稿。</w:t>
      </w:r>
      <w:r/>
    </w:p>
    <w:p>
      <w:pPr>
        <w:numPr>
          <w:ilvl w:val="0"/>
          <w:numId w:val="4"/>
        </w:numPr>
        <w:ind w:left="1004" w:hanging="720"/>
        <w:spacing w:line="520" w:lineRule="exact"/>
        <w:rPr>
          <w:rFonts w:hint="eastAsia" w:ascii="宋体" w:hAnsi="宋体"/>
          <w:b/>
          <w:bCs/>
          <w:sz w:val="24"/>
          <w:szCs w:val="24"/>
        </w:rPr>
        <w:outlineLvl w:val="1"/>
      </w:pPr>
      <w:r>
        <w:rPr>
          <w:rFonts w:hint="eastAsia" w:ascii="宋体" w:hAnsi="宋体"/>
          <w:b/>
          <w:bCs/>
          <w:sz w:val="24"/>
          <w:szCs w:val="24"/>
        </w:rPr>
        <w:t xml:space="preserve">项目售后服务方案要求</w:t>
      </w:r>
      <w:r/>
    </w:p>
    <w:p>
      <w:pPr>
        <w:ind w:firstLine="480"/>
        <w:spacing w:line="520" w:lineRule="exact"/>
        <w:rPr>
          <w:rFonts w:hint="eastAsia" w:ascii="宋体" w:hAnsi="宋体"/>
          <w:sz w:val="24"/>
          <w:szCs w:val="24"/>
        </w:rPr>
      </w:pPr>
      <w:r>
        <w:rPr>
          <w:rFonts w:ascii="宋体" w:hAnsi="宋体"/>
          <w:sz w:val="24"/>
          <w:szCs w:val="24"/>
        </w:rPr>
        <w:t xml:space="preserve">为了保障项目的长期稳定运行，提供高效、专业的售后服务至关重要。</w:t>
      </w:r>
      <w:r>
        <w:rPr>
          <w:rFonts w:hint="eastAsia" w:ascii="宋体" w:hAnsi="宋体"/>
          <w:sz w:val="24"/>
          <w:szCs w:val="24"/>
        </w:rPr>
        <w:t xml:space="preserve">投标人需</w:t>
      </w:r>
      <w:r>
        <w:rPr>
          <w:rFonts w:ascii="宋体" w:hAnsi="宋体"/>
          <w:sz w:val="24"/>
          <w:szCs w:val="24"/>
        </w:rPr>
        <w:t xml:space="preserve">详细阐述项目售后管理方案的具体要求，包括</w:t>
      </w:r>
      <w:r>
        <w:rPr>
          <w:rFonts w:hint="eastAsia" w:ascii="宋体" w:hAnsi="宋体"/>
          <w:sz w:val="24"/>
          <w:szCs w:val="24"/>
        </w:rPr>
        <w:t xml:space="preserve">售后时间、售后要求、售后内容以及售后人员等</w:t>
      </w:r>
      <w:r>
        <w:rPr>
          <w:rFonts w:ascii="宋体" w:hAnsi="宋体"/>
          <w:sz w:val="24"/>
          <w:szCs w:val="24"/>
        </w:rPr>
        <w:t xml:space="preserve">。</w:t>
      </w:r>
      <w:r/>
    </w:p>
    <w:p>
      <w:pPr>
        <w:numPr>
          <w:ilvl w:val="0"/>
          <w:numId w:val="7"/>
        </w:numPr>
        <w:ind w:firstLine="480"/>
        <w:spacing w:line="520" w:lineRule="exact"/>
        <w:rPr>
          <w:rFonts w:hint="eastAsia" w:ascii="宋体" w:hAnsi="宋体"/>
          <w:sz w:val="24"/>
          <w:szCs w:val="24"/>
        </w:rPr>
      </w:pPr>
      <w:r>
        <w:rPr>
          <w:rFonts w:hint="eastAsia" w:ascii="宋体" w:hAnsi="宋体"/>
          <w:sz w:val="24"/>
          <w:szCs w:val="24"/>
          <w:highlight w:val="none"/>
        </w:rPr>
        <w:t xml:space="preserve">维保期：</w:t>
      </w:r>
      <w:r>
        <w:rPr>
          <w:rFonts w:hint="eastAsia" w:ascii="宋体" w:hAnsi="宋体"/>
          <w:sz w:val="24"/>
          <w:szCs w:val="24"/>
        </w:rPr>
        <w:t xml:space="preserve">报价中包含的自交货验收完毕之日起提供的维保期。</w:t>
      </w:r>
      <w:r/>
    </w:p>
    <w:p>
      <w:pPr>
        <w:numPr>
          <w:ilvl w:val="0"/>
          <w:numId w:val="7"/>
        </w:numPr>
        <w:ind w:firstLine="480"/>
        <w:spacing w:line="520" w:lineRule="exact"/>
        <w:rPr>
          <w:rFonts w:hint="eastAsia" w:ascii="宋体" w:hAnsi="宋体"/>
          <w:sz w:val="24"/>
          <w:szCs w:val="24"/>
        </w:rPr>
      </w:pPr>
      <w:r>
        <w:rPr>
          <w:rFonts w:hint="eastAsia" w:ascii="宋体" w:hAnsi="宋体"/>
          <w:sz w:val="24"/>
          <w:szCs w:val="24"/>
        </w:rPr>
        <w:t xml:space="preserve">售后要求：投标供应商须承诺，7*24小时立即响应，2小时内到现场，4小时内解决。</w:t>
      </w:r>
      <w:r/>
    </w:p>
    <w:p>
      <w:pPr>
        <w:numPr>
          <w:ilvl w:val="0"/>
          <w:numId w:val="7"/>
        </w:numPr>
        <w:ind w:firstLine="480"/>
        <w:spacing w:line="520" w:lineRule="exact"/>
        <w:rPr>
          <w:rFonts w:hint="eastAsia" w:ascii="宋体" w:hAnsi="宋体"/>
          <w:sz w:val="24"/>
          <w:szCs w:val="24"/>
        </w:rPr>
      </w:pPr>
      <w:r>
        <w:rPr>
          <w:rFonts w:hint="eastAsia" w:ascii="宋体" w:hAnsi="宋体"/>
          <w:sz w:val="24"/>
          <w:szCs w:val="24"/>
        </w:rPr>
        <w:t xml:space="preserve">售后内容：投标供应商须承诺提供该产品的技术培训、技术支持和维修巡检服务，并在投标文件中提供相应书面方案。</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、商务要求</w:t>
      </w:r>
      <w:r/>
    </w:p>
    <w:p>
      <w:pPr>
        <w:spacing w:line="520" w:lineRule="exact"/>
        <w:rPr>
          <w:rFonts w:hint="eastAsia" w:ascii="宋体" w:hAnsi="宋体"/>
          <w:b/>
          <w:bCs/>
          <w:color w:val="000000"/>
          <w:sz w:val="24"/>
          <w:szCs w:val="24"/>
        </w:rPr>
        <w:outlineLvl w:val="1"/>
      </w:pPr>
      <w:r>
        <w:rPr>
          <w:rFonts w:hint="eastAsia" w:ascii="宋体" w:hAnsi="宋体"/>
          <w:b/>
          <w:bCs/>
          <w:color w:val="000000"/>
          <w:sz w:val="24"/>
          <w:szCs w:val="24"/>
        </w:rPr>
        <w:t xml:space="preserve">（一）项目人员要求</w:t>
      </w:r>
      <w:r/>
    </w:p>
    <w:p>
      <w:pPr>
        <w:ind w:firstLine="480"/>
        <w:spacing w:line="520" w:lineRule="exact"/>
        <w:rPr>
          <w:rFonts w:hint="eastAsia" w:ascii="宋体" w:hAnsi="宋体"/>
          <w:sz w:val="24"/>
          <w:szCs w:val="24"/>
        </w:rPr>
      </w:pPr>
      <w:r>
        <w:rPr>
          <w:rFonts w:hint="eastAsia" w:ascii="宋体" w:hAnsi="宋体"/>
          <w:sz w:val="24"/>
          <w:szCs w:val="24"/>
        </w:rPr>
        <w:t xml:space="preserve">中标人应成立针对本项目的项目工作组：</w:t>
      </w:r>
      <w:r/>
    </w:p>
    <w:p>
      <w:pPr>
        <w:ind w:firstLine="480"/>
        <w:spacing w:line="520" w:lineRule="exact"/>
        <w:rPr>
          <w:rFonts w:hint="eastAsia" w:ascii="宋体" w:hAnsi="宋体"/>
          <w:color w:val="000000"/>
          <w:sz w:val="24"/>
          <w:szCs w:val="24"/>
        </w:rPr>
      </w:pPr>
      <w:r>
        <w:rPr>
          <w:rFonts w:hint="eastAsia" w:ascii="宋体" w:hAnsi="宋体"/>
          <w:b/>
          <w:bCs/>
          <w:color w:val="000000"/>
          <w:sz w:val="24"/>
          <w:szCs w:val="24"/>
        </w:rPr>
        <w:t xml:space="preserve">1、项目配备项目经理一名</w:t>
      </w:r>
      <w:r>
        <w:rPr>
          <w:rFonts w:hint="eastAsia" w:ascii="宋体" w:hAnsi="宋体"/>
          <w:color w:val="000000"/>
          <w:sz w:val="24"/>
          <w:szCs w:val="24"/>
        </w:rPr>
        <w:t xml:space="preserve">：需要项目经理具备具有人社部门颁布的信息项目管理工程师或系统架构设计师或系统规划与管理师高级证书，并具有与本项目类似的临床试验信息平台项目交付经验的。</w:t>
      </w:r>
      <w:r/>
    </w:p>
    <w:p>
      <w:pPr>
        <w:ind w:firstLine="480"/>
        <w:spacing w:line="520" w:lineRule="exact"/>
        <w:rPr>
          <w:rFonts w:hint="eastAsia" w:ascii="宋体" w:hAnsi="宋体" w:eastAsia="宋体"/>
          <w:color w:val="000000"/>
          <w:sz w:val="24"/>
          <w:szCs w:val="24"/>
          <w:lang w:eastAsia="zh-CN"/>
        </w:rPr>
      </w:pPr>
      <w:r>
        <w:rPr>
          <w:rFonts w:hint="eastAsia" w:ascii="宋体" w:hAnsi="宋体"/>
          <w:b/>
          <w:bCs/>
          <w:color w:val="000000"/>
          <w:sz w:val="24"/>
          <w:szCs w:val="24"/>
        </w:rPr>
        <w:t xml:space="preserve">2、项</w:t>
      </w:r>
      <w:r>
        <w:rPr>
          <w:rFonts w:hint="eastAsia" w:ascii="宋体" w:hAnsi="宋体"/>
          <w:b/>
          <w:bCs/>
          <w:color w:val="000000"/>
          <w:sz w:val="24"/>
          <w:szCs w:val="24"/>
          <w:highlight w:val="none"/>
        </w:rPr>
        <w:t xml:space="preserve">目配备项目实施工程师</w:t>
      </w:r>
      <w:r>
        <w:rPr>
          <w:rFonts w:hint="eastAsia" w:ascii="宋体" w:hAnsi="宋体"/>
          <w:b/>
          <w:bCs/>
          <w:color w:val="000000"/>
          <w:sz w:val="24"/>
          <w:szCs w:val="24"/>
          <w:highlight w:val="none"/>
          <w:lang w:val="en-US" w:eastAsia="zh-CN"/>
        </w:rPr>
        <w:t xml:space="preserve">至少</w:t>
      </w:r>
      <w:r>
        <w:rPr>
          <w:rFonts w:ascii="宋体" w:hAnsi="宋体"/>
          <w:b/>
          <w:bCs/>
          <w:color w:val="000000"/>
          <w:sz w:val="24"/>
          <w:szCs w:val="24"/>
          <w:highlight w:val="none"/>
          <w:lang w:val="en-US"/>
        </w:rPr>
        <w:t xml:space="preserve">三</w:t>
      </w:r>
      <w:r>
        <w:rPr>
          <w:rFonts w:hint="eastAsia" w:ascii="宋体" w:hAnsi="宋体"/>
          <w:b/>
          <w:bCs/>
          <w:color w:val="000000"/>
          <w:sz w:val="24"/>
          <w:szCs w:val="24"/>
          <w:highlight w:val="none"/>
        </w:rPr>
        <w:t xml:space="preserve">名</w:t>
      </w:r>
      <w:r>
        <w:rPr>
          <w:rFonts w:hint="eastAsia" w:ascii="宋体" w:hAnsi="宋体"/>
          <w:color w:val="000000"/>
          <w:sz w:val="24"/>
          <w:szCs w:val="24"/>
          <w:highlight w:val="none"/>
        </w:rPr>
        <w:t xml:space="preserve">：需要具备</w:t>
      </w:r>
      <w:r>
        <w:rPr>
          <w:rFonts w:hint="eastAsia" w:ascii="宋体" w:hAnsi="宋体" w:cs="宋体"/>
          <w:color w:val="000000"/>
          <w:sz w:val="24"/>
          <w:szCs w:val="24"/>
          <w:highlight w:val="none"/>
          <w:lang w:val="en-US" w:eastAsia="zh-CN"/>
        </w:rPr>
        <w:t xml:space="preserve">国家药品监督管理局高级研修学院组织发布的GCP培训证书</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需要</w:t>
      </w:r>
      <w:r>
        <w:rPr>
          <w:rFonts w:hint="eastAsia" w:ascii="宋体" w:hAnsi="宋体"/>
          <w:color w:val="000000"/>
          <w:sz w:val="24"/>
          <w:szCs w:val="24"/>
          <w:highlight w:val="none"/>
        </w:rPr>
        <w:t xml:space="preserve">具备相关项目实施</w:t>
      </w:r>
      <w:r>
        <w:rPr>
          <w:rFonts w:hint="eastAsia" w:ascii="宋体" w:hAnsi="宋体"/>
          <w:color w:val="000000"/>
          <w:sz w:val="24"/>
          <w:szCs w:val="24"/>
        </w:rPr>
        <w:t xml:space="preserve">经验</w:t>
      </w:r>
      <w:r>
        <w:rPr>
          <w:rFonts w:hint="eastAsia" w:ascii="宋体" w:hAnsi="宋体"/>
          <w:color w:val="000000"/>
          <w:sz w:val="24"/>
          <w:szCs w:val="24"/>
          <w:lang w:eastAsia="zh-CN"/>
        </w:rPr>
        <w:t xml:space="preserve">。</w:t>
      </w:r>
      <w:r/>
    </w:p>
    <w:p>
      <w:pPr>
        <w:spacing w:line="520" w:lineRule="exact"/>
        <w:rPr>
          <w:rFonts w:hint="eastAsia" w:ascii="宋体" w:hAnsi="宋体"/>
          <w:b/>
          <w:bCs/>
          <w:color w:val="000000"/>
          <w:sz w:val="24"/>
          <w:szCs w:val="24"/>
        </w:rPr>
        <w:outlineLvl w:val="1"/>
      </w:pPr>
      <w:r>
        <w:rPr>
          <w:rFonts w:hint="eastAsia" w:ascii="宋体" w:hAnsi="宋体"/>
          <w:b/>
          <w:bCs/>
          <w:color w:val="000000"/>
          <w:sz w:val="24"/>
          <w:szCs w:val="24"/>
        </w:rPr>
        <w:t xml:space="preserve">（二）公司实力</w:t>
      </w:r>
      <w:r/>
    </w:p>
    <w:p>
      <w:pPr>
        <w:ind w:firstLine="480"/>
        <w:spacing w:line="520" w:lineRule="exact"/>
        <w:rPr>
          <w:rFonts w:hint="eastAsia" w:ascii="宋体" w:hAnsi="宋体"/>
          <w:b/>
          <w:bCs/>
          <w:sz w:val="24"/>
          <w:szCs w:val="24"/>
        </w:rPr>
        <w:outlineLvl w:val="2"/>
      </w:pPr>
      <w:r>
        <w:rPr>
          <w:rFonts w:hint="eastAsia" w:ascii="宋体" w:hAnsi="宋体"/>
          <w:b/>
          <w:bCs/>
          <w:sz w:val="24"/>
          <w:szCs w:val="24"/>
        </w:rPr>
        <w:t xml:space="preserve">1、相关业绩要求</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供应商</w:t>
      </w:r>
      <w:r>
        <w:rPr>
          <w:rFonts w:hint="eastAsia" w:ascii="宋体" w:hAnsi="宋体"/>
          <w:color w:val="000000"/>
          <w:sz w:val="24"/>
          <w:szCs w:val="24"/>
          <w:lang w:val="en-US" w:eastAsia="zh-CN"/>
        </w:rPr>
        <w:t xml:space="preserve">具有</w:t>
      </w:r>
      <w:r>
        <w:rPr>
          <w:rFonts w:hint="eastAsia" w:ascii="宋体" w:hAnsi="宋体"/>
          <w:color w:val="000000"/>
          <w:sz w:val="24"/>
          <w:szCs w:val="24"/>
        </w:rPr>
        <w:t xml:space="preserve">其他自2023年1月1日（含）（以合同签订时间为准）以来同类信息系统业绩案例合同（合同中的相应功能内容应该涉及临床科研或人工智能或临床试验相关）。</w:t>
      </w:r>
      <w:r/>
    </w:p>
    <w:p>
      <w:pPr>
        <w:ind w:firstLine="480"/>
        <w:spacing w:line="520" w:lineRule="exact"/>
        <w:rPr>
          <w:rFonts w:hint="eastAsia" w:ascii="宋体" w:hAnsi="宋体"/>
          <w:b/>
          <w:bCs/>
          <w:color w:val="000000"/>
          <w:sz w:val="24"/>
          <w:szCs w:val="24"/>
        </w:rPr>
        <w:outlineLvl w:val="2"/>
      </w:pP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、企业能力</w:t>
      </w:r>
      <w:r/>
    </w:p>
    <w:p>
      <w:pPr>
        <w:ind w:firstLine="480"/>
        <w:spacing w:line="520" w:lineRule="exact"/>
        <w:rPr>
          <w:rFonts w:hint="eastAsia" w:ascii="宋体" w:hAnsi="宋体"/>
          <w:sz w:val="24"/>
          <w:szCs w:val="24"/>
        </w:rPr>
      </w:pPr>
      <w:r>
        <w:rPr>
          <w:rFonts w:hint="eastAsia" w:ascii="宋体" w:hAnsi="宋体"/>
          <w:sz w:val="24"/>
          <w:szCs w:val="24"/>
        </w:rPr>
        <w:t xml:space="preserve">投标人具有</w:t>
      </w:r>
      <w:r>
        <w:rPr>
          <w:rStyle w:val="1074"/>
          <w:rFonts w:ascii="Times New Roman" w:hAnsi="Times New Roman" w:eastAsia="宋体" w:cs="Times New Roman"/>
          <w:sz w:val="24"/>
          <w:szCs w:val="24"/>
        </w:rPr>
        <w:t xml:space="preserve">临床研究、 人工智能、 临床试验相关软件著作权证书</w:t>
      </w:r>
      <w:r>
        <w:rPr>
          <w:rFonts w:hint="eastAsia" w:ascii="宋体" w:hAnsi="宋体"/>
          <w:sz w:val="24"/>
          <w:szCs w:val="24"/>
        </w:rPr>
        <w:t xml:space="preserve">。</w:t>
      </w:r>
      <w:r/>
    </w:p>
    <w:p>
      <w:pPr>
        <w:spacing w:line="520" w:lineRule="exact"/>
        <w:rPr>
          <w:rFonts w:hint="eastAsia" w:ascii="宋体" w:hAnsi="宋体"/>
          <w:b/>
          <w:bCs/>
          <w:sz w:val="24"/>
          <w:szCs w:val="24"/>
        </w:rPr>
        <w:outlineLvl w:val="1"/>
      </w:pPr>
      <w:r>
        <w:rPr>
          <w:rFonts w:hint="eastAsia" w:ascii="宋体" w:hAnsi="宋体"/>
          <w:b/>
          <w:bCs/>
          <w:sz w:val="24"/>
          <w:szCs w:val="24"/>
        </w:rPr>
        <w:t xml:space="preserve">（三）付款方式</w:t>
      </w:r>
      <w:r/>
    </w:p>
    <w:p>
      <w:r>
        <w:rPr>
          <w:rFonts w:hint="eastAsia" w:ascii="宋体" w:hAnsi="宋体"/>
          <w:i/>
          <w:iCs/>
          <w:sz w:val="24"/>
          <w:szCs w:val="24"/>
          <w:u w:val="single"/>
        </w:rPr>
        <w:t xml:space="preserve">系统试运行阶段支付合同总金额的30%；系统验收合格且稳定运行30个工作日后10个工作日内支付合同总金额的70%。</w:t>
      </w:r>
      <w:r/>
    </w:p>
    <w:p>
      <w:pPr>
        <w:rPr>
          <w:rFonts w:hint="eastAsia"/>
          <w:lang w:eastAsia="zh-CN"/>
        </w:rPr>
      </w:pPr>
      <w:r>
        <w:rPr>
          <w:rFonts w:hint="eastAsia"/>
          <w:lang w:eastAsia="zh-CN"/>
        </w:rPr>
        <w:t xml:space="preserve">（</w:t>
      </w:r>
      <w:r>
        <w:rPr>
          <w:rFonts w:hint="eastAsia"/>
          <w:lang w:val="en-US" w:eastAsia="zh-CN"/>
        </w:rPr>
        <w:t xml:space="preserve">四</w:t>
      </w:r>
      <w:r>
        <w:rPr>
          <w:rFonts w:hint="eastAsia"/>
          <w:lang w:eastAsia="zh-CN"/>
        </w:rPr>
        <w:t xml:space="preserve">）履约保证金</w:t>
      </w:r>
      <w:r/>
    </w:p>
    <w:p>
      <w:pPr>
        <w:rPr>
          <w:rFonts w:hint="eastAsia"/>
          <w:lang w:eastAsia="zh-CN"/>
        </w:rPr>
      </w:pPr>
      <w:r>
        <w:rPr>
          <w:rFonts w:hint="eastAsia"/>
          <w:lang w:val="en-US" w:eastAsia="zh-CN"/>
        </w:rPr>
        <w:t xml:space="preserve">1、</w:t>
      </w:r>
      <w:r>
        <w:rPr>
          <w:rFonts w:hint="eastAsia"/>
          <w:lang w:eastAsia="zh-CN"/>
        </w:rPr>
        <w:t xml:space="preserve">乙方交纳人民币______元作为本合同的履约保证金。（合同金额的10%）</w:t>
      </w:r>
      <w:r/>
    </w:p>
    <w:p>
      <w:pPr>
        <w:rPr>
          <w:rFonts w:hint="eastAsia"/>
          <w:lang w:eastAsia="zh-CN"/>
        </w:rPr>
      </w:pPr>
      <w:r>
        <w:rPr>
          <w:rFonts w:hint="eastAsia"/>
          <w:lang w:val="en-US" w:eastAsia="zh-CN"/>
        </w:rPr>
        <w:t xml:space="preserve">2、</w:t>
      </w:r>
      <w:r>
        <w:rPr>
          <w:rFonts w:hint="eastAsia"/>
          <w:lang w:eastAsia="zh-CN"/>
        </w:rPr>
        <w:t xml:space="preserve">收取履约保证金形式：保函</w:t>
      </w:r>
      <w:r/>
    </w:p>
    <w:p>
      <w:pPr>
        <w:rPr>
          <w:rFonts w:hint="eastAsia"/>
          <w:lang w:eastAsia="zh-CN"/>
        </w:rPr>
      </w:pPr>
      <w:r>
        <w:rPr>
          <w:rFonts w:hint="eastAsia"/>
          <w:lang w:val="en-US" w:eastAsia="zh-CN"/>
        </w:rPr>
        <w:t xml:space="preserve">3、</w:t>
      </w:r>
      <w:r>
        <w:rPr>
          <w:rFonts w:hint="eastAsia"/>
          <w:lang w:eastAsia="zh-CN"/>
        </w:rPr>
        <w:t xml:space="preserve">收取履约保证金时间：合同签订后30个工作日内</w:t>
      </w:r>
      <w:r/>
    </w:p>
    <w:p>
      <w:pPr>
        <w:rPr>
          <w:rFonts w:hint="eastAsia"/>
          <w:lang w:eastAsia="zh-CN"/>
        </w:rPr>
      </w:pPr>
      <w:r>
        <w:rPr>
          <w:rFonts w:hint="eastAsia"/>
          <w:lang w:val="en-US" w:eastAsia="zh-CN"/>
        </w:rPr>
        <w:t xml:space="preserve">4、</w:t>
      </w:r>
      <w:r>
        <w:rPr>
          <w:rFonts w:hint="eastAsia"/>
          <w:lang w:eastAsia="zh-CN"/>
        </w:rPr>
        <w:t xml:space="preserve">合同履行结束后，甲方应及时退还交纳的履约保证金。</w:t>
      </w:r>
      <w:r/>
    </w:p>
    <w:p>
      <w:pPr>
        <w:rPr>
          <w:rFonts w:hint="eastAsia"/>
          <w:lang w:eastAsia="zh-CN"/>
        </w:rPr>
      </w:pPr>
      <w:r>
        <w:rPr>
          <w:rFonts w:hint="eastAsia"/>
          <w:lang w:val="en-US" w:eastAsia="zh-CN"/>
        </w:rPr>
        <w:t xml:space="preserve">4.1、</w:t>
      </w:r>
      <w:r>
        <w:rPr>
          <w:rFonts w:hint="eastAsia"/>
          <w:lang w:eastAsia="zh-CN"/>
        </w:rPr>
        <w:t xml:space="preserve">履约保证金退还方式：按照相关规定和流程无息退还</w:t>
      </w:r>
      <w:r/>
    </w:p>
    <w:p>
      <w:pPr>
        <w:rPr>
          <w:rFonts w:hint="eastAsia"/>
          <w:lang w:eastAsia="zh-CN"/>
        </w:rPr>
      </w:pPr>
      <w:r>
        <w:rPr>
          <w:rFonts w:hint="eastAsia"/>
          <w:lang w:val="en-US" w:eastAsia="zh-CN"/>
        </w:rPr>
        <w:t xml:space="preserve">4.2、</w:t>
      </w:r>
      <w:r>
        <w:rPr>
          <w:rFonts w:hint="eastAsia"/>
          <w:lang w:eastAsia="zh-CN"/>
        </w:rPr>
        <w:t xml:space="preserve">履约保证金退还时间：软件验收满半年</w:t>
      </w:r>
      <w:r/>
    </w:p>
    <w:p>
      <w:pPr>
        <w:rPr>
          <w:rFonts w:hint="eastAsia"/>
          <w:lang w:eastAsia="zh-CN"/>
        </w:rPr>
      </w:pPr>
      <w:r>
        <w:rPr>
          <w:rFonts w:hint="eastAsia"/>
          <w:lang w:val="en-US" w:eastAsia="zh-CN"/>
        </w:rPr>
        <w:t xml:space="preserve">4.3、</w:t>
      </w:r>
      <w:r>
        <w:rPr>
          <w:rFonts w:hint="eastAsia"/>
          <w:lang w:eastAsia="zh-CN"/>
        </w:rPr>
        <w:t xml:space="preserve">履约保证金退还条件：按合同要求履约</w:t>
      </w:r>
      <w:r/>
    </w:p>
    <w:p>
      <w:pPr>
        <w:rPr>
          <w:rFonts w:hint="eastAsia" w:eastAsia="宋体"/>
          <w:lang w:eastAsia="zh-CN"/>
        </w:rPr>
      </w:pPr>
      <w:r>
        <w:rPr>
          <w:rFonts w:hint="eastAsia"/>
          <w:lang w:val="en-US" w:eastAsia="zh-CN"/>
        </w:rPr>
        <w:t xml:space="preserve">4.4、</w:t>
      </w:r>
      <w:r>
        <w:rPr>
          <w:rFonts w:hint="eastAsia"/>
          <w:lang w:eastAsia="zh-CN"/>
        </w:rPr>
        <w:t xml:space="preserve">履约保证金不予退还的情形：未按合同要求履约</w:t>
      </w:r>
      <w:r/>
    </w:p>
    <w:p>
      <w:pPr>
        <w:spacing w:line="520" w:lineRule="exact"/>
        <w:rPr>
          <w:rFonts w:hint="eastAsia" w:ascii="宋体" w:hAnsi="宋体"/>
          <w:b/>
          <w:bCs/>
          <w:sz w:val="24"/>
          <w:szCs w:val="24"/>
        </w:rPr>
        <w:outlineLvl w:val="1"/>
      </w:pPr>
      <w:r>
        <w:rPr>
          <w:rFonts w:hint="eastAsia" w:ascii="宋体" w:hAnsi="宋体"/>
          <w:b/>
          <w:bCs/>
          <w:sz w:val="24"/>
          <w:szCs w:val="24"/>
        </w:rPr>
        <w:t xml:space="preserve">（</w:t>
      </w:r>
      <w:r>
        <w:rPr>
          <w:rFonts w:hint="eastAsia" w:ascii="宋体" w:hAnsi="宋体"/>
          <w:b/>
          <w:bCs/>
          <w:sz w:val="24"/>
          <w:szCs w:val="24"/>
          <w:lang w:val="en-US" w:eastAsia="zh-CN"/>
        </w:rPr>
        <w:t xml:space="preserve">五</w:t>
      </w:r>
      <w:r>
        <w:rPr>
          <w:rFonts w:hint="eastAsia" w:ascii="宋体" w:hAnsi="宋体"/>
          <w:b/>
          <w:bCs/>
          <w:sz w:val="24"/>
          <w:szCs w:val="24"/>
        </w:rPr>
        <w:t xml:space="preserve">）维保费用</w:t>
      </w:r>
      <w:r/>
    </w:p>
    <w:p>
      <w:pPr>
        <w:ind w:firstLine="482"/>
        <w:spacing w:line="520" w:lineRule="exact"/>
        <w:rPr>
          <w:rFonts w:hint="eastAsia" w:ascii="宋体" w:hAnsi="宋体"/>
          <w:b/>
          <w:bCs/>
          <w:sz w:val="24"/>
          <w:szCs w:val="24"/>
        </w:rPr>
        <w:outlineLvl w:val="2"/>
      </w:pPr>
      <w:r>
        <w:rPr>
          <w:rFonts w:hint="eastAsia" w:ascii="宋体" w:hAnsi="宋体"/>
          <w:b/>
          <w:bCs/>
          <w:sz w:val="24"/>
          <w:szCs w:val="24"/>
        </w:rPr>
        <w:t xml:space="preserve">1、维护期</w:t>
      </w:r>
      <w:r/>
    </w:p>
    <w:p>
      <w:pPr>
        <w:ind w:firstLine="480"/>
        <w:spacing w:line="520" w:lineRule="exact"/>
        <w:rPr>
          <w:rFonts w:hint="eastAsia" w:ascii="宋体" w:hAnsi="宋体"/>
          <w:i/>
          <w:iCs/>
          <w:sz w:val="24"/>
          <w:szCs w:val="24"/>
          <w:u w:val="single"/>
        </w:rPr>
      </w:pPr>
      <w:r>
        <w:rPr>
          <w:rFonts w:hint="eastAsia" w:ascii="宋体" w:hAnsi="宋体"/>
          <w:i/>
          <w:iCs/>
          <w:sz w:val="24"/>
          <w:szCs w:val="24"/>
          <w:u w:val="single"/>
        </w:rPr>
        <w:t xml:space="preserve">自项目最终验收合格之日起算，中标人须为所供软件提供两年及以上维护、技术支持与故障处理服务。投标文件中报价包含维护期内维保费，维护期间不另外收取任何费用。</w:t>
      </w:r>
      <w:r/>
    </w:p>
    <w:p>
      <w:pPr>
        <w:ind w:firstLine="482"/>
        <w:spacing w:line="520" w:lineRule="exact"/>
        <w:rPr>
          <w:rFonts w:hint="eastAsia" w:ascii="宋体" w:hAnsi="宋体"/>
          <w:b/>
          <w:bCs/>
          <w:sz w:val="24"/>
          <w:szCs w:val="24"/>
        </w:rPr>
        <w:outlineLvl w:val="2"/>
      </w:pPr>
      <w:r>
        <w:rPr>
          <w:rFonts w:hint="eastAsia" w:ascii="宋体" w:hAnsi="宋体"/>
          <w:b/>
          <w:bCs/>
          <w:sz w:val="24"/>
          <w:szCs w:val="24"/>
        </w:rPr>
        <w:t xml:space="preserve">2、后续维保费用</w:t>
      </w:r>
      <w:r/>
    </w:p>
    <w:p>
      <w:pPr>
        <w:ind w:firstLine="480"/>
        <w:spacing w:line="520" w:lineRule="exact"/>
        <w:rPr>
          <w:rFonts w:hint="eastAsia" w:ascii="宋体" w:hAnsi="宋体"/>
          <w:i/>
          <w:iCs/>
          <w:sz w:val="24"/>
          <w:szCs w:val="24"/>
          <w:u w:val="single"/>
        </w:rPr>
      </w:pPr>
      <w:r>
        <w:rPr>
          <w:rFonts w:hint="eastAsia" w:ascii="宋体" w:hAnsi="宋体"/>
          <w:i/>
          <w:iCs/>
          <w:sz w:val="24"/>
          <w:szCs w:val="24"/>
          <w:u w:val="single"/>
        </w:rPr>
        <w:t xml:space="preserve">维护期届</w:t>
      </w:r>
      <w:r>
        <w:rPr>
          <w:rFonts w:hint="eastAsia" w:ascii="宋体" w:hAnsi="宋体" w:eastAsia="宋体" w:cs="Times New Roman"/>
          <w:i/>
          <w:iCs/>
          <w:sz w:val="24"/>
          <w:szCs w:val="24"/>
          <w:u w:val="single"/>
        </w:rPr>
        <w:t xml:space="preserve">满后，如果继续由中标供应商维护</w:t>
      </w:r>
      <w:r>
        <w:rPr>
          <w:rFonts w:hint="eastAsia" w:ascii="宋体" w:hAnsi="宋体" w:eastAsia="宋体" w:cs="Times New Roman"/>
          <w:i/>
          <w:iCs/>
          <w:sz w:val="24"/>
          <w:szCs w:val="24"/>
          <w:u w:val="single"/>
          <w:lang w:eastAsia="zh-CN"/>
        </w:rPr>
        <w:t xml:space="preserve">，</w:t>
      </w:r>
      <w:r>
        <w:rPr>
          <w:rFonts w:hint="eastAsia" w:ascii="宋体" w:hAnsi="宋体" w:eastAsia="宋体" w:cs="Times New Roman"/>
          <w:i/>
          <w:iCs/>
          <w:sz w:val="24"/>
          <w:szCs w:val="24"/>
          <w:u w:val="single"/>
        </w:rPr>
        <w:t xml:space="preserve">年</w:t>
      </w:r>
      <w:r>
        <w:rPr>
          <w:rFonts w:hint="eastAsia" w:ascii="宋体" w:hAnsi="宋体"/>
          <w:i/>
          <w:iCs/>
          <w:sz w:val="24"/>
          <w:szCs w:val="24"/>
          <w:u w:val="single"/>
        </w:rPr>
        <w:t xml:space="preserve">度维保服务费率不得高于本项目中标金额的5%，具体服务标准由双方另行约定。</w:t>
      </w:r>
      <w:r/>
    </w:p>
    <w:p>
      <w:pPr>
        <w:ind w:firstLine="482"/>
        <w:spacing w:line="520" w:lineRule="exact"/>
        <w:rPr>
          <w:rFonts w:hint="eastAsia" w:ascii="宋体" w:hAnsi="宋体"/>
          <w:b/>
          <w:bCs/>
          <w:color w:val="000000"/>
          <w:sz w:val="24"/>
          <w:szCs w:val="24"/>
        </w:rPr>
        <w:outlineLvl w:val="1"/>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六</w:t>
      </w:r>
      <w:r>
        <w:rPr>
          <w:rFonts w:hint="eastAsia" w:ascii="宋体" w:hAnsi="宋体"/>
          <w:b/>
          <w:bCs/>
          <w:color w:val="000000"/>
          <w:sz w:val="24"/>
          <w:szCs w:val="24"/>
        </w:rPr>
        <w:t xml:space="preserve">）保密要求</w:t>
      </w:r>
      <w:r/>
    </w:p>
    <w:p>
      <w:pPr>
        <w:ind w:firstLine="480"/>
        <w:spacing w:line="520" w:lineRule="exact"/>
      </w:pPr>
      <w:r>
        <w:rPr>
          <w:rFonts w:hint="eastAsia" w:ascii="宋体" w:hAnsi="宋体"/>
          <w:i/>
          <w:iCs/>
          <w:sz w:val="24"/>
          <w:szCs w:val="24"/>
          <w:u w:val="single"/>
        </w:rPr>
        <w:t xml:space="preserve">投标供应商在参与本项目中，对于采购人披露和提供的所有信息应作为商业秘密对待并予以保护，未经采购人授权不得将任何信息泄漏给第三方，否则采购人有权追究供应商的责任。</w:t>
      </w:r>
      <w:r/>
    </w:p>
    <w:p>
      <w:pPr>
        <w:pStyle w:val="99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五</w:t>
      </w:r>
      <w:r>
        <w:rPr>
          <w:rFonts w:hint="eastAsia" w:ascii="方正黑体_GBK" w:hAnsi="方正黑体_GBK" w:eastAsia="方正黑体_GBK" w:cs="方正黑体_GBK"/>
          <w:b w:val="0"/>
          <w:bCs/>
          <w:sz w:val="28"/>
          <w:szCs w:val="28"/>
        </w:rPr>
        <w:t xml:space="preserve">、其他要求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1.项目属性:服务类项目。</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2</w:t>
      </w:r>
      <w:r>
        <w:rPr>
          <w:rFonts w:hint="eastAsia" w:ascii="方正仿宋_GBK" w:hAnsi="方正仿宋_GBK" w:eastAsia="方正仿宋_GBK" w:cs="方正仿宋_GBK"/>
          <w:bCs/>
          <w:sz w:val="28"/>
          <w:szCs w:val="28"/>
          <w:highlight w:val="none"/>
        </w:rPr>
        <w:t xml:space="preserve">.演示要求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演示方式 上传视频演示</w:t>
      </w:r>
      <w:r/>
    </w:p>
    <w:p>
      <w:pPr>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bCs/>
          <w:color w:val="000000"/>
          <w:sz w:val="28"/>
          <w:szCs w:val="28"/>
          <w:lang w:val="en-US" w:eastAsia="zh-CN"/>
        </w:rPr>
        <w:t xml:space="preserve">1.投标人需按照招标文件规定的演示内容制作演示视频文件，视频文件的格式为</w:t>
      </w:r>
      <w:r>
        <w:rPr>
          <w:rFonts w:hint="eastAsia" w:ascii="Times New Roman" w:hAnsi="Times New Roman" w:eastAsia="方正仿宋_GBK" w:cs="Times New Roman"/>
          <w:color w:val="000000"/>
          <w:sz w:val="28"/>
          <w:szCs w:val="28"/>
          <w:u w:val="none"/>
          <w:lang w:val="en-US" w:eastAsia="zh-CN" w:bidi="ar-SA"/>
        </w:rPr>
        <w:t xml:space="preserve">X.mp4</w:t>
      </w:r>
      <w:r>
        <w:rPr>
          <w:rFonts w:hint="eastAsia" w:ascii="方正仿宋_GBK" w:hAnsi="方正仿宋_GBK" w:eastAsia="方正仿宋_GBK" w:cs="方正仿宋_GBK"/>
          <w:bCs/>
          <w:color w:val="000000"/>
          <w:sz w:val="28"/>
          <w:szCs w:val="28"/>
          <w:lang w:val="en-US" w:eastAsia="zh-CN"/>
        </w:rPr>
        <w:t xml:space="preserve">或</w:t>
      </w:r>
      <w:r>
        <w:rPr>
          <w:rFonts w:hint="eastAsia" w:ascii="Times New Roman" w:hAnsi="Times New Roman" w:eastAsia="方正仿宋_GBK" w:cs="Times New Roman"/>
          <w:color w:val="000000"/>
          <w:sz w:val="28"/>
          <w:szCs w:val="28"/>
          <w:u w:val="none"/>
          <w:lang w:val="en-US" w:eastAsia="zh-CN" w:bidi="ar-SA"/>
        </w:rPr>
        <w:t xml:space="preserve">X.avi</w:t>
      </w:r>
      <w:r>
        <w:rPr>
          <w:rFonts w:hint="eastAsia" w:ascii="方正仿宋_GBK" w:hAnsi="方正仿宋_GBK" w:eastAsia="方正仿宋_GBK" w:cs="方正仿宋_GBK"/>
          <w:bCs/>
          <w:color w:val="000000"/>
          <w:sz w:val="28"/>
          <w:szCs w:val="28"/>
          <w:lang w:val="en-US" w:eastAsia="zh-CN"/>
        </w:rPr>
        <w:t xml:space="preserve">，投标人须将视频文件分段压缩为</w:t>
      </w:r>
      <w:r>
        <w:rPr>
          <w:rFonts w:hint="eastAsia" w:ascii="Times New Roman" w:hAnsi="Times New Roman" w:eastAsia="方正仿宋_GBK" w:cs="Times New Roman"/>
          <w:color w:val="000000"/>
          <w:sz w:val="28"/>
          <w:szCs w:val="28"/>
          <w:u w:val="none"/>
          <w:lang w:val="en-US" w:eastAsia="zh-CN" w:bidi="ar-SA"/>
        </w:rPr>
        <w:t xml:space="preserve">X.zip</w:t>
      </w:r>
      <w:r>
        <w:rPr>
          <w:rFonts w:hint="eastAsia" w:ascii="方正仿宋_GBK" w:hAnsi="方正仿宋_GBK" w:eastAsia="方正仿宋_GBK" w:cs="方正仿宋_GBK"/>
          <w:bCs/>
          <w:color w:val="000000"/>
          <w:sz w:val="28"/>
          <w:szCs w:val="28"/>
          <w:lang w:val="en-US" w:eastAsia="zh-CN"/>
        </w:rPr>
        <w:t xml:space="preserve">文件上传（单个文件不得大于</w:t>
      </w:r>
      <w:r>
        <w:rPr>
          <w:rFonts w:hint="eastAsia" w:ascii="Times New Roman" w:hAnsi="Times New Roman" w:eastAsia="方正仿宋_GBK" w:cs="Times New Roman"/>
          <w:color w:val="000000"/>
          <w:sz w:val="28"/>
          <w:szCs w:val="28"/>
          <w:u w:val="none"/>
          <w:lang w:val="en-US" w:eastAsia="zh-CN" w:bidi="ar-SA"/>
        </w:rPr>
        <w:t xml:space="preserve">50M</w:t>
      </w:r>
      <w:r>
        <w:rPr>
          <w:rFonts w:hint="eastAsia" w:ascii="方正仿宋_GBK" w:hAnsi="方正仿宋_GBK" w:eastAsia="方正仿宋_GBK" w:cs="方正仿宋_GBK"/>
          <w:bCs/>
          <w:color w:val="000000"/>
          <w:sz w:val="28"/>
          <w:szCs w:val="28"/>
          <w:lang w:val="en-US" w:eastAsia="zh-CN"/>
        </w:rPr>
        <w:t xml:space="preserve">，所有文件总共不得大于</w:t>
      </w:r>
      <w:r>
        <w:rPr>
          <w:rFonts w:hint="eastAsia" w:ascii="Times New Roman" w:hAnsi="Times New Roman" w:eastAsia="方正仿宋_GBK" w:cs="Times New Roman"/>
          <w:color w:val="000000"/>
          <w:sz w:val="28"/>
          <w:szCs w:val="28"/>
          <w:u w:val="none"/>
          <w:lang w:val="en-US" w:eastAsia="zh-CN" w:bidi="ar-SA"/>
        </w:rPr>
        <w:t xml:space="preserve">300M）</w:t>
      </w:r>
      <w:r>
        <w:rPr>
          <w:rFonts w:hint="eastAsia" w:ascii="方正仿宋_GBK" w:hAnsi="方正仿宋_GBK" w:eastAsia="方正仿宋_GBK" w:cs="方正仿宋_GBK"/>
          <w:bCs/>
          <w:color w:val="000000"/>
          <w:sz w:val="28"/>
          <w:szCs w:val="28"/>
          <w:lang w:val="en-US" w:eastAsia="zh-CN"/>
        </w:rPr>
        <w:t xml:space="preserve">。文件上传方式见《操作手册》规定，上传的演示视频将作为投标文件的组成部分，视频时长总计不超过1</w:t>
      </w:r>
      <w:r>
        <w:rPr>
          <w:rFonts w:hint="eastAsia" w:ascii="方正仿宋_GBK" w:hAnsi="方正仿宋_GBK" w:eastAsia="方正仿宋_GBK" w:cs="方正仿宋_GBK"/>
          <w:bCs/>
          <w:color w:val="000000"/>
          <w:sz w:val="28"/>
          <w:szCs w:val="28"/>
          <w:highlight w:val="none"/>
          <w:lang w:val="en-US" w:eastAsia="zh-CN"/>
        </w:rPr>
        <w:t xml:space="preserve">5分钟</w:t>
      </w:r>
      <w:r>
        <w:rPr>
          <w:rFonts w:hint="eastAsia" w:ascii="方正仿宋_GBK" w:hAnsi="方正仿宋_GBK" w:eastAsia="方正仿宋_GBK" w:cs="方正仿宋_GBK"/>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2.演示内容如下：</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受控申请、审批与分发使用管理：使用人员提交受控申请后，系统校验文件、版本、项目、申请数量、使用范围和申请人信息，并按权限发起审批。审批通过后，系统生成唯一编号、受控二维码，控制打印份数。二维码和文件编号规则可配置。受控文档打印时自带一定角度的立体防复印图形。打印后系统自动更新文件状态，包括未打印、已打印、已回收、已作废等状态。系统支持查看文件从申请、审批、打印、回收、作废到归档的完整闭环轨迹。</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（2）智能化试验医嘱管理： 支持基于患者当前访视期和研究方案自动生成访视任务与待办，支持研究者完成各类访视医嘱、试验处方及计划外医嘱的开立与电子签名确认，再到医嘱提交同步至医院系统并自动化归集全流程执行结果的完整全过程。</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智能化试验药品管理：申办方人员预约送药械时段并提交入库申请，完成试验药械系统化入库，记录数量、批号、有效期、存放位置和入库人员。研究者开具试验药械专用处方后，药械管理人员根据处方核对受试者、药械、批号和数量，完成拣选和发放。受试者用后，药械管春日记录药品、空包装和剩余药械的回收及分类，并支持专业组库房与中心库房之间流转，按规范移交申办方。回收试验药械、药械空包装及剩余药械，并记录回收过程。</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4）智能化不良事件管理：系统根据方案规定、AE/SAE定义、异常结果、医嘱变化、病历描述及访视结果，辅助识别潜在AE/SAE线索，对潜在线索生成待判读任务，支持研究者确认、补充、修改或驳回，并维护事件描述、发生时间、严重程度、与研究药物相关性、处理措施、转归及报告状态。最终结论由授权研究人员确认。 </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5）临床试验智能知识库：研究人员输入自然语言问题或选择法规、SOP、模板、案例、日期和来源等条件后，系统进行语义检索和多条件组合检索，并按相关性和适用范围排序。检索结果展示匹配片段、来源文件、版本和有效期，用户可打开原文核对。用户提出研究管理问题后，系统从多个知识来源检索相关条款和案例，生成综合回答并标注引用依据。系统支持通过自然语言询问临床研究问题，基于授权知识内容提供辅助回答。</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bookmarkStart w:id="161" w:name="_Toc120614281"/>
      <w:r/>
      <w:r/>
    </w:p>
    <w:p>
      <w:pPr>
        <w:pStyle w:val="960"/>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p>
    <w:tbl>
      <w:tblPr>
        <w:tblStyle w:val="790"/>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1046"/>
        <w:ind w:firstLine="560"/>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p>
    <w:p>
      <w:pPr>
        <w:pStyle w:val="104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p>
    <w:p>
      <w:pPr>
        <w:pStyle w:val="1046"/>
        <w:ind w:firstLine="720"/>
        <w:keepLines w:val="0"/>
        <w:keepNext w:val="0"/>
        <w:pageBreakBefore w:val="0"/>
        <w:spacing w:line="400" w:lineRule="exact"/>
        <w:widowControl w:val="off"/>
        <w:rPr>
          <w:rFonts w:hint="eastAsia" w:ascii="方正仿宋_GBK" w:hAnsi="方正仿宋_GBK" w:eastAsia="方正仿宋_GBK" w:cs="方正仿宋_GBK"/>
          <w:color w:val="000000"/>
          <w:sz w:val="36"/>
          <w:szCs w:val="36"/>
          <w:lang w:val="en-US" w:eastAsia="zh-CN" w:bidi="ar-SA"/>
        </w:rPr>
      </w:pPr>
      <w:r>
        <w:rPr>
          <w:rFonts w:hint="eastAsia" w:ascii="方正仿宋_GBK" w:hAnsi="方正仿宋_GBK" w:eastAsia="方正仿宋_GBK" w:cs="方正仿宋_GBK"/>
          <w:color w:val="000000"/>
          <w:sz w:val="36"/>
          <w:szCs w:val="36"/>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p>
    <w:p>
      <w:pPr>
        <w:pStyle w:val="1046"/>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p>
    <w:p>
      <w:pPr>
        <w:pStyle w:val="1046"/>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p>
    <w:p>
      <w:pPr>
        <w:pStyle w:val="1046"/>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p>
    <w:p>
      <w:pPr>
        <w:pStyle w:val="104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p>
    <w:p>
      <w:pPr>
        <w:pStyle w:val="104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4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p>
    <w:p>
      <w:pPr>
        <w:ind w:firstLine="560"/>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Style w:val="79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301"/>
        <w:gridCol w:w="703"/>
        <w:gridCol w:w="6949"/>
      </w:tblGrid>
      <w:tr>
        <w:trPr>
          <w:trHeight w:val="310"/>
        </w:trPr>
        <w:tc>
          <w:tcPr>
            <w:tcBorders>
              <w:top w:val="single" w:color="000000" w:sz="8" w:space="0"/>
              <w:left w:val="single" w:color="000000" w:sz="8" w:space="0"/>
              <w:bottom w:val="single" w:color="000000" w:sz="8" w:space="0"/>
              <w:right w:val="single" w:color="000000" w:sz="8" w:space="0"/>
            </w:tcBorders>
            <w:tcW w:w="1301" w:type="dxa"/>
            <w:vAlign w:val="center"/>
            <w:textDirection w:val="lrTb"/>
            <w:noWrap/>
          </w:tcPr>
          <w:p>
            <w:pPr>
              <w:widowControl/>
              <w:rPr>
                <w:rFonts w:ascii="宋体" w:hAnsi="宋体" w:cs="宋体"/>
                <w:b/>
                <w:bCs/>
                <w:color w:val="000000"/>
                <w:sz w:val="24"/>
                <w:szCs w:val="24"/>
              </w:rPr>
            </w:pPr>
            <w:r>
              <w:rPr>
                <w:rFonts w:ascii="宋体" w:hAnsi="宋体" w:cs="宋体"/>
                <w:b/>
                <w:bCs/>
                <w:color w:val="000000"/>
                <w:sz w:val="24"/>
                <w:szCs w:val="24"/>
              </w:rPr>
              <w:t xml:space="preserve">评分内容</w:t>
            </w:r>
            <w:r/>
          </w:p>
        </w:tc>
        <w:tc>
          <w:tcPr>
            <w:tcBorders>
              <w:top w:val="single" w:color="000000" w:sz="8" w:space="0"/>
              <w:left w:val="none" w:color="000000" w:sz="4" w:space="0"/>
              <w:bottom w:val="single" w:color="000000" w:sz="8" w:space="0"/>
              <w:right w:val="single" w:color="000000" w:sz="8" w:space="0"/>
            </w:tcBorders>
            <w:tcW w:w="703" w:type="dxa"/>
            <w:vAlign w:val="center"/>
            <w:textDirection w:val="lrTb"/>
            <w:noWrap/>
          </w:tcPr>
          <w:p>
            <w:pPr>
              <w:jc w:val="center"/>
              <w:widowControl/>
              <w:rPr>
                <w:rFonts w:ascii="宋体" w:hAnsi="宋体" w:cs="宋体"/>
                <w:b/>
                <w:bCs/>
                <w:color w:val="000000"/>
                <w:sz w:val="24"/>
                <w:szCs w:val="24"/>
              </w:rPr>
            </w:pPr>
            <w:r>
              <w:rPr>
                <w:rFonts w:ascii="宋体" w:hAnsi="宋体" w:cs="宋体"/>
                <w:b/>
                <w:bCs/>
                <w:color w:val="000000"/>
                <w:sz w:val="24"/>
                <w:szCs w:val="24"/>
              </w:rPr>
              <w:t xml:space="preserve">分值</w:t>
            </w:r>
            <w:r/>
          </w:p>
        </w:tc>
        <w:tc>
          <w:tcPr>
            <w:tcBorders>
              <w:top w:val="single" w:color="000000" w:sz="8" w:space="0"/>
              <w:left w:val="none" w:color="000000" w:sz="4" w:space="0"/>
              <w:bottom w:val="single" w:color="000000" w:sz="8" w:space="0"/>
              <w:right w:val="single" w:color="000000" w:sz="8" w:space="0"/>
            </w:tcBorders>
            <w:tcW w:w="6949" w:type="dxa"/>
            <w:vAlign w:val="center"/>
            <w:textDirection w:val="lrTb"/>
            <w:noWrap w:val="false"/>
          </w:tcPr>
          <w:p>
            <w:pPr>
              <w:jc w:val="center"/>
              <w:widowControl/>
              <w:rPr>
                <w:rFonts w:ascii="宋体" w:hAnsi="宋体" w:cs="宋体"/>
                <w:b/>
                <w:bCs/>
                <w:color w:val="000000"/>
                <w:sz w:val="24"/>
                <w:szCs w:val="24"/>
              </w:rPr>
            </w:pPr>
            <w:r>
              <w:rPr>
                <w:rFonts w:ascii="宋体" w:hAnsi="宋体" w:cs="宋体"/>
                <w:b/>
                <w:bCs/>
                <w:color w:val="000000"/>
                <w:sz w:val="24"/>
                <w:szCs w:val="24"/>
              </w:rPr>
              <w:t xml:space="preserve">评分标准</w:t>
            </w:r>
            <w:r/>
          </w:p>
        </w:tc>
      </w:tr>
      <w:tr>
        <w:trPr>
          <w:trHeight w:val="610"/>
        </w:trPr>
        <w:tc>
          <w:tcPr>
            <w:tcBorders>
              <w:top w:val="none" w:color="000000" w:sz="4" w:space="0"/>
              <w:left w:val="single" w:color="000000" w:sz="8" w:space="0"/>
              <w:bottom w:val="single" w:color="000000" w:sz="8" w:space="0"/>
              <w:right w:val="single" w:color="000000" w:sz="8" w:space="0"/>
            </w:tcBorders>
            <w:tcW w:w="1301" w:type="dxa"/>
            <w:vAlign w:val="center"/>
            <w:textDirection w:val="lrTb"/>
            <w:noWrap/>
          </w:tcPr>
          <w:p>
            <w:pP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ascii="宋体" w:hAnsi="宋体" w:cs="宋体"/>
                <w:b/>
                <w:bCs/>
                <w:color w:val="000000"/>
                <w:sz w:val="24"/>
                <w:szCs w:val="24"/>
                <w:highlight w:val="none"/>
              </w:rPr>
              <w:t xml:space="preserve">投标报价</w:t>
            </w:r>
            <w:r/>
          </w:p>
        </w:tc>
        <w:tc>
          <w:tcPr>
            <w:tcBorders>
              <w:top w:val="none" w:color="000000" w:sz="4" w:space="0"/>
              <w:left w:val="none" w:color="000000" w:sz="4" w:space="0"/>
              <w:bottom w:val="single" w:color="000000" w:sz="8" w:space="0"/>
              <w:right w:val="single" w:color="000000" w:sz="8" w:space="0"/>
            </w:tcBorders>
            <w:tcW w:w="703"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6949" w:type="dxa"/>
            <w:vAlign w:val="center"/>
            <w:textDirection w:val="lrTb"/>
            <w:noWrap w:val="false"/>
          </w:tcPr>
          <w:p>
            <w:pPr>
              <w:widowControl/>
              <w:rPr>
                <w:rFonts w:ascii="宋体" w:hAnsi="宋体" w:cs="宋体"/>
                <w:color w:val="000000"/>
                <w:sz w:val="24"/>
                <w:szCs w:val="24"/>
                <w:highlight w:val="none"/>
              </w:rPr>
            </w:pPr>
            <w:r>
              <w:rPr>
                <w:rFonts w:ascii="宋体" w:hAnsi="宋体" w:cs="宋体"/>
                <w:color w:val="000000"/>
                <w:sz w:val="24"/>
                <w:szCs w:val="24"/>
                <w:highlight w:val="none"/>
              </w:rPr>
              <w:t xml:space="preserve">价格分采用低价优先法计算，即满足招标文件要求且投标价格最低的投标报价为评标基准价，其价格分为满分。其他投标人的价格分统一按照下列公式计算：投标报价得分=(评标基准价／投标报价)×1</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（小数点保留两位）</w:t>
            </w:r>
            <w:r/>
          </w:p>
        </w:tc>
      </w:tr>
      <w:tr>
        <w:trPr>
          <w:cantSplit/>
          <w:trHeight w:val="600"/>
        </w:trPr>
        <w:tc>
          <w:tcPr>
            <w:tcBorders>
              <w:top w:val="none" w:color="000000" w:sz="4" w:space="0"/>
              <w:left w:val="single" w:color="000000" w:sz="8" w:space="0"/>
              <w:bottom w:val="single" w:color="000000" w:sz="8" w:space="0"/>
              <w:right w:val="single" w:color="000000" w:sz="8" w:space="0"/>
            </w:tcBorders>
            <w:tcW w:w="1301" w:type="dxa"/>
            <w:vAlign w:val="center"/>
            <w:vMerge w:val="restart"/>
            <w:textDirection w:val="lrTb"/>
            <w:noWrap/>
          </w:tcPr>
          <w:p>
            <w:pPr>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2、</w:t>
            </w:r>
            <w:r>
              <w:rPr>
                <w:rFonts w:ascii="宋体" w:hAnsi="宋体" w:cs="宋体"/>
                <w:b/>
                <w:bCs/>
                <w:color w:val="000000"/>
                <w:sz w:val="24"/>
                <w:szCs w:val="24"/>
              </w:rPr>
              <w:t xml:space="preserve">技术指标响应</w:t>
            </w:r>
            <w:r/>
          </w:p>
        </w:tc>
        <w:tc>
          <w:tcPr>
            <w:tcBorders>
              <w:top w:val="none" w:color="000000" w:sz="4" w:space="0"/>
              <w:left w:val="single" w:color="000000" w:sz="8" w:space="0"/>
              <w:bottom w:val="single" w:color="000000" w:sz="8" w:space="0"/>
              <w:right w:val="single" w:color="000000" w:sz="8" w:space="0"/>
            </w:tcBorders>
            <w:tcW w:w="703" w:type="dxa"/>
            <w:vAlign w:val="center"/>
            <w:vMerge w:val="restart"/>
            <w:textDirection w:val="lrTb"/>
            <w:noWrap/>
          </w:tcPr>
          <w:p>
            <w:pPr>
              <w:jc w:val="center"/>
              <w:widowControl/>
              <w:rPr>
                <w:rFonts w:ascii="宋体" w:hAnsi="宋体" w:eastAsia="宋体" w:cs="宋体"/>
                <w:color w:val="000000"/>
                <w:sz w:val="24"/>
                <w:szCs w:val="24"/>
                <w:lang w:val="en-US" w:eastAsia="zh-CN"/>
              </w:rPr>
            </w:pPr>
            <w:r>
              <w:rPr>
                <w:rFonts w:ascii="宋体" w:hAnsi="宋体" w:cs="宋体"/>
                <w:color w:val="000000"/>
                <w:sz w:val="24"/>
                <w:szCs w:val="24"/>
              </w:rPr>
              <w:t xml:space="preserve">2</w:t>
            </w:r>
            <w:r>
              <w:rPr>
                <w:rFonts w:hint="eastAsia" w:ascii="宋体" w:hAnsi="宋体" w:cs="宋体"/>
                <w:color w:val="000000"/>
                <w:sz w:val="24"/>
                <w:szCs w:val="24"/>
                <w:lang w:val="en-US" w:eastAsia="zh-CN"/>
              </w:rPr>
              <w:t xml:space="preserve">9</w:t>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投标人对招标文件第四章采购需求中“</w:t>
            </w:r>
            <w:r>
              <w:rPr>
                <w:rFonts w:hint="eastAsia" w:ascii="宋体" w:hAnsi="宋体" w:cs="宋体"/>
                <w:color w:val="000000"/>
                <w:sz w:val="24"/>
                <w:szCs w:val="24"/>
                <w:lang w:val="en-US" w:eastAsia="zh-CN"/>
              </w:rPr>
              <w:t xml:space="preserve">三</w:t>
            </w:r>
            <w:r>
              <w:rPr>
                <w:rFonts w:ascii="宋体" w:hAnsi="宋体" w:cs="宋体"/>
                <w:color w:val="000000"/>
                <w:sz w:val="24"/>
                <w:szCs w:val="24"/>
              </w:rPr>
              <w:t xml:space="preserve">、技术要求”</w:t>
            </w:r>
            <w:r>
              <w:rPr>
                <w:rFonts w:hint="eastAsia" w:ascii="宋体" w:hAnsi="宋体" w:cs="宋体"/>
                <w:color w:val="000000"/>
                <w:sz w:val="24"/>
                <w:szCs w:val="24"/>
                <w:lang w:val="en-US" w:eastAsia="zh-CN"/>
              </w:rPr>
              <w:t xml:space="preserve">表格</w:t>
            </w:r>
            <w:r>
              <w:rPr>
                <w:rFonts w:hint="eastAsia" w:ascii="宋体" w:hAnsi="宋体" w:cs="宋体"/>
                <w:color w:val="000000"/>
                <w:sz w:val="24"/>
                <w:szCs w:val="24"/>
              </w:rPr>
              <w:t xml:space="preserve">功能描述</w:t>
            </w:r>
            <w:r>
              <w:rPr>
                <w:rFonts w:ascii="宋体" w:hAnsi="宋体" w:cs="宋体"/>
                <w:color w:val="000000"/>
                <w:sz w:val="24"/>
                <w:szCs w:val="24"/>
              </w:rPr>
              <w:t xml:space="preserve">的响应进行评分，总分2</w:t>
            </w:r>
            <w:r>
              <w:rPr>
                <w:rFonts w:hint="eastAsia" w:ascii="宋体" w:hAnsi="宋体" w:cs="宋体"/>
                <w:color w:val="000000"/>
                <w:sz w:val="24"/>
                <w:szCs w:val="24"/>
                <w:lang w:val="en-US" w:eastAsia="zh-CN"/>
              </w:rPr>
              <w:t xml:space="preserve">9</w:t>
            </w:r>
            <w:r>
              <w:rPr>
                <w:rFonts w:ascii="宋体" w:hAnsi="宋体" w:cs="宋体"/>
                <w:color w:val="000000"/>
                <w:sz w:val="24"/>
                <w:szCs w:val="24"/>
              </w:rPr>
              <w:t xml:space="preserve">分。其中：标注“▲”（共计</w:t>
            </w:r>
            <w:r>
              <w:rPr>
                <w:rFonts w:hint="eastAsia" w:ascii="宋体" w:hAnsi="宋体" w:cs="宋体"/>
                <w:color w:val="000000"/>
                <w:sz w:val="24"/>
                <w:szCs w:val="24"/>
                <w:lang w:val="en-US" w:eastAsia="zh-CN"/>
              </w:rPr>
              <w:t xml:space="preserve">18</w:t>
            </w:r>
            <w:r>
              <w:rPr>
                <w:rFonts w:ascii="宋体" w:hAnsi="宋体" w:cs="宋体"/>
                <w:color w:val="000000"/>
                <w:sz w:val="24"/>
                <w:szCs w:val="24"/>
              </w:rPr>
              <w:t xml:space="preserve">项）的参数每有一项不满足的，扣</w:t>
            </w:r>
            <w:r>
              <w:rPr>
                <w:rFonts w:hint="eastAsia" w:ascii="宋体" w:hAnsi="宋体" w:cs="宋体"/>
                <w:color w:val="000000"/>
                <w:sz w:val="24"/>
                <w:szCs w:val="24"/>
                <w:lang w:val="en-US" w:eastAsia="zh-CN"/>
              </w:rPr>
              <w:t xml:space="preserve">1</w:t>
            </w:r>
            <w:r>
              <w:rPr>
                <w:rFonts w:ascii="宋体" w:hAnsi="宋体" w:cs="宋体"/>
                <w:color w:val="000000"/>
                <w:sz w:val="24"/>
                <w:szCs w:val="24"/>
              </w:rPr>
              <w:t xml:space="preserve">分；标注“</w:t>
            </w:r>
            <w:r>
              <w:rPr>
                <w:rFonts w:hint="eastAsia" w:ascii="宋体" w:hAnsi="宋体" w:eastAsia="宋体" w:cs="宋体"/>
                <w:color w:val="000000"/>
                <w:sz w:val="24"/>
                <w:szCs w:val="24"/>
              </w:rPr>
              <w:t xml:space="preserve">△</w:t>
            </w:r>
            <w:r>
              <w:rPr>
                <w:rFonts w:ascii="宋体" w:hAnsi="宋体" w:cs="宋体"/>
                <w:color w:val="000000"/>
                <w:sz w:val="24"/>
                <w:szCs w:val="24"/>
              </w:rPr>
              <w:t xml:space="preserve">”（共计</w:t>
            </w:r>
            <w:r>
              <w:rPr>
                <w:rFonts w:hint="eastAsia" w:ascii="宋体" w:hAnsi="宋体" w:cs="宋体"/>
                <w:color w:val="000000"/>
                <w:sz w:val="24"/>
                <w:szCs w:val="24"/>
                <w:lang w:val="en-US" w:eastAsia="zh-CN"/>
              </w:rPr>
              <w:t xml:space="preserve">55</w:t>
            </w:r>
            <w:r>
              <w:rPr>
                <w:rFonts w:ascii="宋体" w:hAnsi="宋体" w:cs="宋体"/>
                <w:color w:val="000000"/>
                <w:sz w:val="24"/>
                <w:szCs w:val="24"/>
              </w:rPr>
              <w:t xml:space="preserve">项）的参数每有一项不满足的，扣</w:t>
            </w:r>
            <w:r>
              <w:rPr>
                <w:rFonts w:hint="eastAsia" w:ascii="宋体" w:hAnsi="宋体" w:cs="宋体"/>
                <w:color w:val="000000"/>
                <w:sz w:val="24"/>
                <w:szCs w:val="24"/>
                <w:lang w:val="en-US" w:eastAsia="zh-CN"/>
              </w:rPr>
              <w:t xml:space="preserve">0.2</w:t>
            </w:r>
            <w:r>
              <w:rPr>
                <w:rFonts w:ascii="宋体" w:hAnsi="宋体" w:cs="宋体"/>
                <w:color w:val="000000"/>
                <w:sz w:val="24"/>
                <w:szCs w:val="24"/>
              </w:rPr>
              <w:t xml:space="preserve">分</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扣完本项得分为止。</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注：①以上“技术要求”响应情况均须在投标文件《技术要求响应及偏离表》中表述清楚，标注 “▲”的参数需</w:t>
            </w:r>
            <w:r>
              <w:rPr>
                <w:rFonts w:hint="eastAsia" w:ascii="宋体" w:hAnsi="宋体" w:cs="宋体"/>
                <w:color w:val="000000"/>
                <w:sz w:val="24"/>
                <w:szCs w:val="24"/>
              </w:rPr>
              <w:t xml:space="preserve">按照采购文件要求</w:t>
            </w:r>
            <w:r>
              <w:rPr>
                <w:rFonts w:ascii="宋体" w:hAnsi="宋体" w:cs="宋体"/>
                <w:color w:val="000000"/>
                <w:sz w:val="24"/>
                <w:szCs w:val="24"/>
              </w:rPr>
              <w:t xml:space="preserve">提供证明</w:t>
            </w:r>
            <w:r>
              <w:rPr>
                <w:rFonts w:hint="eastAsia" w:ascii="宋体" w:hAnsi="宋体" w:cs="宋体"/>
                <w:color w:val="000000"/>
                <w:sz w:val="24"/>
                <w:szCs w:val="24"/>
                <w:lang w:val="en-US" w:eastAsia="zh-CN"/>
              </w:rPr>
              <w:t xml:space="preserve">材料</w:t>
            </w:r>
            <w:r>
              <w:rPr>
                <w:rFonts w:ascii="宋体" w:hAnsi="宋体" w:cs="宋体"/>
                <w:color w:val="000000"/>
                <w:sz w:val="24"/>
                <w:szCs w:val="24"/>
              </w:rPr>
              <w:t xml:space="preserve">，</w:t>
            </w:r>
            <w:r>
              <w:rPr>
                <w:rFonts w:hint="eastAsia" w:ascii="宋体" w:hAnsi="宋体" w:cs="宋体"/>
                <w:color w:val="000000"/>
                <w:sz w:val="24"/>
                <w:szCs w:val="24"/>
                <w:lang w:val="en-US" w:eastAsia="zh-CN"/>
              </w:rPr>
              <w:t xml:space="preserve">证明材料不满足要求的</w:t>
            </w:r>
            <w:r>
              <w:rPr>
                <w:rFonts w:ascii="宋体" w:hAnsi="宋体" w:cs="宋体"/>
                <w:color w:val="000000"/>
                <w:sz w:val="24"/>
                <w:szCs w:val="24"/>
              </w:rPr>
              <w:t xml:space="preserve">则按不满足（负偏离）处理。</w:t>
            </w:r>
            <w:r/>
          </w:p>
        </w:tc>
      </w:tr>
      <w:tr>
        <w:trPr>
          <w:cantSplit/>
          <w:trHeight w:val="61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②《技术要求响应及偏离表》中的内容须是投标人投标产品的真实反映，投标人在投标时不得虚假响应和虚假承诺，</w:t>
            </w:r>
            <w:r>
              <w:rPr>
                <w:rFonts w:hint="eastAsia" w:ascii="宋体" w:hAnsi="宋体" w:cs="宋体"/>
                <w:color w:val="000000"/>
                <w:sz w:val="24"/>
                <w:szCs w:val="24"/>
              </w:rPr>
              <w:t xml:space="preserve">否则按照相关法律法规处理</w:t>
            </w:r>
            <w:r>
              <w:rPr>
                <w:rFonts w:ascii="宋体" w:hAnsi="宋体" w:cs="宋体"/>
                <w:color w:val="000000"/>
                <w:sz w:val="24"/>
                <w:szCs w:val="24"/>
              </w:rPr>
              <w:t xml:space="preserve">。</w:t>
            </w:r>
            <w:r/>
          </w:p>
        </w:tc>
      </w:tr>
      <w:tr>
        <w:trPr>
          <w:cantSplit/>
          <w:trHeight w:val="910"/>
        </w:trPr>
        <w:tc>
          <w:tcPr>
            <w:tcBorders>
              <w:top w:val="none" w:color="000000" w:sz="4" w:space="0"/>
              <w:left w:val="single" w:color="000000" w:sz="8" w:space="0"/>
              <w:bottom w:val="single" w:color="000000" w:sz="8" w:space="0"/>
              <w:right w:val="single" w:color="000000" w:sz="8" w:space="0"/>
            </w:tcBorders>
            <w:tcW w:w="1301" w:type="dxa"/>
            <w:vAlign w:val="center"/>
            <w:vMerge w:val="restart"/>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3、</w:t>
            </w:r>
            <w:r>
              <w:rPr>
                <w:rFonts w:ascii="宋体" w:hAnsi="宋体" w:cs="宋体"/>
                <w:b/>
                <w:bCs/>
                <w:color w:val="000000"/>
                <w:sz w:val="24"/>
                <w:szCs w:val="24"/>
              </w:rPr>
              <w:t xml:space="preserve">应用场景演示</w:t>
            </w:r>
            <w:r/>
          </w:p>
        </w:tc>
        <w:tc>
          <w:tcPr>
            <w:tcBorders>
              <w:top w:val="none" w:color="000000" w:sz="4" w:space="0"/>
              <w:left w:val="single" w:color="000000" w:sz="8" w:space="0"/>
              <w:bottom w:val="single" w:color="000000" w:sz="8" w:space="0"/>
              <w:right w:val="single" w:color="000000" w:sz="8" w:space="0"/>
            </w:tcBorders>
            <w:tcW w:w="703" w:type="dxa"/>
            <w:vAlign w:val="center"/>
            <w:vMerge w:val="restart"/>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10</w:t>
            </w:r>
            <w:r/>
          </w:p>
        </w:tc>
        <w:tc>
          <w:tcPr>
            <w:tcBorders>
              <w:top w:val="single" w:color="000000" w:sz="8" w:space="0"/>
              <w:left w:val="none" w:color="000000" w:sz="4" w:space="0"/>
              <w:bottom w:val="single" w:color="000000" w:sz="8"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投标人需按照招标文件规定的演示内容制作演示视频文件，视频文件的格式为*.mp4或*.avi，投标人须将视频文件分段压缩为*.zip文件上传（单个文件不得大于50M，所有文件总共不得大于300M）。视频时长总计不超过15分钟。每项功能能够完全满足招标要求得2分，</w:t>
            </w:r>
            <w:r>
              <w:rPr>
                <w:rFonts w:hint="eastAsia" w:ascii="宋体" w:hAnsi="宋体" w:cs="宋体"/>
                <w:color w:val="000000"/>
                <w:sz w:val="24"/>
                <w:szCs w:val="24"/>
                <w:lang w:val="en-US" w:eastAsia="zh-CN"/>
              </w:rPr>
              <w:t xml:space="preserve">未演示或演示</w:t>
            </w:r>
            <w:r>
              <w:rPr>
                <w:rFonts w:ascii="宋体" w:hAnsi="宋体" w:cs="宋体"/>
                <w:color w:val="000000"/>
                <w:sz w:val="24"/>
                <w:szCs w:val="24"/>
              </w:rPr>
              <w:t xml:space="preserve">不能完全满足则不得分，本项最高得10分。使用真实系统或系统原型演示的最高可得满分，使用ppt、动画等其他形式演示的得分乘以0.5。</w:t>
            </w:r>
            <w:r/>
          </w:p>
        </w:tc>
      </w:tr>
      <w:tr>
        <w:trPr>
          <w:cantSplit/>
          <w:trHeight w:val="9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949" w:type="dxa"/>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lang w:val="en-US" w:eastAsia="zh-CN"/>
              </w:rPr>
              <w:t xml:space="preserve">3.1</w:t>
            </w:r>
            <w:r>
              <w:rPr>
                <w:rFonts w:hint="default" w:ascii="宋体" w:hAnsi="宋体" w:eastAsia="宋体" w:cs="宋体"/>
                <w:b/>
                <w:bCs/>
                <w:color w:val="000000"/>
                <w:sz w:val="22"/>
                <w:szCs w:val="22"/>
                <w:lang w:val="en-US" w:eastAsia="zh-CN"/>
              </w:rPr>
              <w:t xml:space="preserve">受控申请、审批与分发使用管理：</w:t>
            </w:r>
            <w:r>
              <w:rPr>
                <w:rFonts w:hint="default" w:ascii="宋体" w:hAnsi="宋体" w:eastAsia="宋体" w:cs="宋体"/>
                <w:b w:val="0"/>
                <w:bCs w:val="0"/>
                <w:color w:val="000000"/>
                <w:sz w:val="22"/>
                <w:szCs w:val="22"/>
                <w:lang w:val="en-US" w:eastAsia="zh-CN"/>
              </w:rPr>
              <w:t xml:space="preserve">使用人员提交受控申请后，系统校验文件、版本、项目、申请数量、使用范围和申请人信息，并按权限发起审批。审批通过后，系统生成唯一编号、受控二维码，控制打印份数。二维码和文件编号规则可配置。受控文档打印时自带一定角度的立体防复印图形。打印后系统自动更新文件状态，包括未打印、已打印、已回收、已作废等状态。系统支持查看文件从申请、审批、打印、回收、作废到归档的完整闭环轨迹</w:t>
            </w:r>
            <w:r>
              <w:rPr>
                <w:rFonts w:ascii="宋体" w:hAnsi="宋体" w:cs="宋体"/>
                <w:b w:val="0"/>
                <w:bCs w:val="0"/>
                <w:color w:val="000000"/>
                <w:sz w:val="22"/>
                <w:szCs w:val="22"/>
              </w:rPr>
              <w:t xml:space="preserve">。</w:t>
            </w:r>
            <w:r>
              <w:rPr>
                <w:rFonts w:hint="eastAsia" w:ascii="宋体" w:hAnsi="宋体" w:cs="宋体"/>
                <w:b/>
                <w:bCs/>
                <w:color w:val="000000"/>
                <w:sz w:val="22"/>
                <w:szCs w:val="22"/>
                <w:lang w:eastAsia="zh-CN"/>
              </w:rPr>
              <w:t xml:space="preserve">（</w:t>
            </w:r>
            <w:r>
              <w:rPr>
                <w:rFonts w:hint="eastAsia" w:ascii="宋体" w:hAnsi="宋体" w:cs="宋体"/>
                <w:b/>
                <w:bCs/>
                <w:color w:val="000000"/>
                <w:sz w:val="22"/>
                <w:szCs w:val="22"/>
                <w:lang w:val="en-US" w:eastAsia="zh-CN"/>
              </w:rPr>
              <w:t xml:space="preserve">2分）</w:t>
            </w:r>
            <w:r/>
          </w:p>
        </w:tc>
      </w:tr>
      <w:tr>
        <w:trPr>
          <w:cantSplit/>
          <w:trHeight w:val="57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949" w:type="dxa"/>
            <w:vAlign w:val="center"/>
            <w:textDirection w:val="lrTb"/>
            <w:noWrap w:val="false"/>
          </w:tcPr>
          <w:p>
            <w:pPr>
              <w:widowControl/>
              <w:rPr>
                <w:rFonts w:ascii="宋体" w:hAnsi="宋体" w:cs="宋体"/>
                <w:b/>
                <w:bCs/>
                <w:color w:val="000000"/>
                <w:sz w:val="22"/>
                <w:szCs w:val="22"/>
              </w:rPr>
            </w:pPr>
            <w:r>
              <w:rPr>
                <w:rFonts w:hint="eastAsia" w:ascii="宋体" w:hAnsi="宋体" w:cs="宋体"/>
                <w:b/>
                <w:bCs/>
                <w:color w:val="000000"/>
                <w:sz w:val="22"/>
                <w:szCs w:val="22"/>
                <w:lang w:val="en-US" w:eastAsia="zh-CN"/>
              </w:rPr>
              <w:t xml:space="preserve">3.2</w:t>
            </w:r>
            <w:r>
              <w:rPr>
                <w:rFonts w:ascii="宋体" w:hAnsi="宋体" w:cs="宋体"/>
                <w:b/>
                <w:bCs/>
                <w:color w:val="000000"/>
                <w:sz w:val="22"/>
                <w:szCs w:val="22"/>
              </w:rPr>
              <w:t xml:space="preserve">智能化试验医嘱管理： </w:t>
            </w:r>
            <w:r>
              <w:rPr>
                <w:rFonts w:hint="eastAsia" w:ascii="宋体" w:hAnsi="宋体" w:cs="宋体"/>
                <w:b w:val="0"/>
                <w:bCs w:val="0"/>
                <w:color w:val="000000"/>
                <w:sz w:val="22"/>
                <w:szCs w:val="22"/>
              </w:rPr>
              <w:t xml:space="preserve">支持基于患者当前访视期和研究方案自动生成访视任务与待办，支持研究者完成各类访视医嘱、试验处方及计划外医嘱的开立与电子签名确认，再到医嘱提交同步至医院系统并自动化归集全流程执行结果的完整全过程</w:t>
            </w:r>
            <w:r>
              <w:rPr>
                <w:rFonts w:ascii="宋体" w:hAnsi="宋体" w:cs="宋体"/>
                <w:color w:val="000000"/>
                <w:sz w:val="22"/>
                <w:szCs w:val="22"/>
              </w:rPr>
              <w:t xml:space="preserve">。</w:t>
            </w:r>
            <w:r>
              <w:rPr>
                <w:rFonts w:hint="eastAsia" w:ascii="宋体" w:hAnsi="宋体" w:cs="宋体"/>
                <w:b/>
                <w:bCs/>
                <w:color w:val="000000"/>
                <w:sz w:val="22"/>
                <w:szCs w:val="22"/>
                <w:lang w:eastAsia="zh-CN"/>
              </w:rPr>
              <w:t xml:space="preserve">（</w:t>
            </w:r>
            <w:r>
              <w:rPr>
                <w:rFonts w:hint="eastAsia" w:ascii="宋体" w:hAnsi="宋体" w:cs="宋体"/>
                <w:b/>
                <w:bCs/>
                <w:color w:val="000000"/>
                <w:sz w:val="22"/>
                <w:szCs w:val="22"/>
                <w:lang w:val="en-US" w:eastAsia="zh-CN"/>
              </w:rPr>
              <w:t xml:space="preserve">2分）</w:t>
            </w:r>
            <w:r/>
          </w:p>
        </w:tc>
      </w:tr>
      <w:tr>
        <w:trPr>
          <w:cantSplit/>
          <w:trHeight w:val="57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949" w:type="dxa"/>
            <w:vAlign w:val="center"/>
            <w:textDirection w:val="lrTb"/>
            <w:noWrap w:val="false"/>
          </w:tcPr>
          <w:p>
            <w:pPr>
              <w:widowControl/>
              <w:rPr>
                <w:rFonts w:ascii="宋体" w:hAnsi="宋体" w:cs="宋体"/>
                <w:color w:val="000000"/>
                <w:sz w:val="22"/>
                <w:szCs w:val="22"/>
              </w:rPr>
            </w:pPr>
            <w:r>
              <w:rPr>
                <w:rFonts w:hint="eastAsia" w:ascii="宋体" w:hAnsi="宋体" w:cs="宋体"/>
                <w:b/>
                <w:bCs/>
                <w:color w:val="000000"/>
                <w:sz w:val="22"/>
                <w:szCs w:val="22"/>
                <w:lang w:val="en-US" w:eastAsia="zh-CN"/>
              </w:rPr>
              <w:t xml:space="preserve">3.3</w:t>
            </w:r>
            <w:r>
              <w:rPr>
                <w:rFonts w:ascii="宋体" w:hAnsi="宋体" w:cs="宋体"/>
                <w:b/>
                <w:bCs/>
                <w:color w:val="000000"/>
                <w:sz w:val="22"/>
                <w:szCs w:val="22"/>
              </w:rPr>
              <w:t xml:space="preserve">智能化试验药品管理：</w:t>
            </w:r>
            <w:r>
              <w:rPr>
                <w:rFonts w:hint="eastAsia" w:ascii="宋体" w:hAnsi="宋体" w:cs="宋体"/>
                <w:b w:val="0"/>
                <w:bCs w:val="0"/>
                <w:color w:val="000000"/>
                <w:sz w:val="22"/>
                <w:szCs w:val="22"/>
              </w:rPr>
              <w:t xml:space="preserve">申办方人员预约送药械时段并提交入库申请，完成试验药械系统化入库，记录数量、批号、有效期、存放位置和入库人员。研究者开具试验药械专用处方后，药械管理人员根据处方核对受试者、药械、批号和数量，完成拣选和发放。受试者用后，药械管春日记录药品、空包装和剩余药械的回收及分类，并支持专业组库房与中心库房之间流转，按规范移交申办方。回收试验药械、药械空包装及剩余药械，并记录回收过程</w:t>
            </w:r>
            <w:r>
              <w:rPr>
                <w:rFonts w:ascii="宋体" w:hAnsi="宋体" w:cs="宋体"/>
                <w:color w:val="000000"/>
                <w:sz w:val="22"/>
                <w:szCs w:val="22"/>
              </w:rPr>
              <w:t xml:space="preserve">。</w:t>
            </w:r>
            <w:r>
              <w:rPr>
                <w:rFonts w:hint="eastAsia" w:ascii="宋体" w:hAnsi="宋体" w:cs="宋体"/>
                <w:b/>
                <w:bCs/>
                <w:color w:val="000000"/>
                <w:sz w:val="22"/>
                <w:szCs w:val="22"/>
                <w:lang w:eastAsia="zh-CN"/>
              </w:rPr>
              <w:t xml:space="preserve">（</w:t>
            </w:r>
            <w:r>
              <w:rPr>
                <w:rFonts w:hint="eastAsia" w:ascii="宋体" w:hAnsi="宋体" w:cs="宋体"/>
                <w:b/>
                <w:bCs/>
                <w:color w:val="000000"/>
                <w:sz w:val="22"/>
                <w:szCs w:val="22"/>
                <w:lang w:val="en-US" w:eastAsia="zh-CN"/>
              </w:rPr>
              <w:t xml:space="preserve">2分）</w:t>
            </w:r>
            <w:r/>
          </w:p>
        </w:tc>
      </w:tr>
      <w:tr>
        <w:trPr>
          <w:cantSplit/>
          <w:trHeight w:val="57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949" w:type="dxa"/>
            <w:vAlign w:val="center"/>
            <w:textDirection w:val="lrTb"/>
            <w:noWrap w:val="false"/>
          </w:tcPr>
          <w:p>
            <w:pPr>
              <w:widowControl/>
              <w:rPr>
                <w:rFonts w:ascii="宋体" w:hAnsi="宋体" w:cs="宋体"/>
                <w:color w:val="000000"/>
                <w:sz w:val="22"/>
                <w:szCs w:val="22"/>
              </w:rPr>
            </w:pPr>
            <w:r>
              <w:rPr>
                <w:rFonts w:hint="eastAsia" w:ascii="宋体" w:hAnsi="宋体" w:cs="宋体"/>
                <w:b/>
                <w:bCs/>
                <w:color w:val="000000"/>
                <w:sz w:val="22"/>
                <w:szCs w:val="22"/>
                <w:lang w:val="en-US" w:eastAsia="zh-CN"/>
              </w:rPr>
              <w:t xml:space="preserve">3.4</w:t>
            </w:r>
            <w:r>
              <w:rPr>
                <w:rFonts w:ascii="宋体" w:hAnsi="宋体" w:cs="宋体"/>
                <w:b/>
                <w:bCs/>
                <w:color w:val="000000"/>
                <w:sz w:val="22"/>
                <w:szCs w:val="22"/>
              </w:rPr>
              <w:t xml:space="preserve">智能化不良事件管理：</w:t>
            </w:r>
            <w:r>
              <w:rPr>
                <w:rFonts w:hint="eastAsia" w:ascii="宋体" w:hAnsi="宋体" w:cs="宋体"/>
                <w:color w:val="000000"/>
                <w:sz w:val="22"/>
                <w:szCs w:val="22"/>
              </w:rPr>
              <w:t xml:space="preserve">系统根据方案规定、AE/SAE定义、异常结果、医嘱变化、病历描述及访视结果，辅助识别潜在AE/SAE线索，对潜在线索生成待判读任务，支持研究者确认、补充、修改或驳回，并维护事件描述、发生时间、严重程度、与研究药物相关性、处理措施、转归及报告状态。最终结论由授权研究人员确认</w:t>
            </w:r>
            <w:r>
              <w:rPr>
                <w:rFonts w:ascii="宋体" w:hAnsi="宋体" w:cs="宋体"/>
                <w:color w:val="000000"/>
                <w:sz w:val="22"/>
                <w:szCs w:val="22"/>
              </w:rPr>
              <w:t xml:space="preserve">。</w:t>
            </w:r>
            <w:r>
              <w:rPr>
                <w:rFonts w:hint="eastAsia" w:ascii="宋体" w:hAnsi="宋体" w:cs="宋体"/>
                <w:b/>
                <w:bCs/>
                <w:color w:val="000000"/>
                <w:sz w:val="22"/>
                <w:szCs w:val="22"/>
                <w:lang w:eastAsia="zh-CN"/>
              </w:rPr>
              <w:t xml:space="preserve">（</w:t>
            </w:r>
            <w:r>
              <w:rPr>
                <w:rFonts w:hint="eastAsia" w:ascii="宋体" w:hAnsi="宋体" w:cs="宋体"/>
                <w:b/>
                <w:bCs/>
                <w:color w:val="000000"/>
                <w:sz w:val="22"/>
                <w:szCs w:val="22"/>
                <w:lang w:val="en-US" w:eastAsia="zh-CN"/>
              </w:rPr>
              <w:t xml:space="preserve">2分）</w:t>
            </w:r>
            <w:r>
              <w:rPr>
                <w:rFonts w:ascii="宋体" w:hAnsi="宋体" w:cs="宋体"/>
                <w:color w:val="000000"/>
                <w:sz w:val="22"/>
                <w:szCs w:val="22"/>
              </w:rPr>
              <w:t xml:space="preserve"> </w:t>
            </w:r>
            <w:r/>
          </w:p>
        </w:tc>
      </w:tr>
      <w:tr>
        <w:trPr>
          <w:cantSplit/>
          <w:trHeight w:val="57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949" w:type="dxa"/>
            <w:vAlign w:val="center"/>
            <w:textDirection w:val="lrTb"/>
            <w:noWrap w:val="false"/>
          </w:tcPr>
          <w:p>
            <w:pPr>
              <w:widowControl/>
              <w:rPr>
                <w:rFonts w:ascii="宋体" w:hAnsi="宋体" w:cs="宋体"/>
                <w:color w:val="000000"/>
                <w:sz w:val="22"/>
                <w:szCs w:val="22"/>
              </w:rPr>
            </w:pPr>
            <w:r>
              <w:rPr>
                <w:rFonts w:hint="eastAsia" w:ascii="宋体" w:hAnsi="宋体" w:cs="宋体"/>
                <w:b/>
                <w:bCs/>
                <w:color w:val="000000"/>
                <w:sz w:val="22"/>
                <w:szCs w:val="22"/>
                <w:lang w:val="en-US" w:eastAsia="zh-CN"/>
              </w:rPr>
              <w:t xml:space="preserve">3.5</w:t>
            </w:r>
            <w:r>
              <w:rPr>
                <w:rFonts w:ascii="宋体" w:hAnsi="宋体" w:cs="宋体"/>
                <w:b/>
                <w:bCs/>
                <w:color w:val="000000"/>
                <w:sz w:val="22"/>
                <w:szCs w:val="22"/>
              </w:rPr>
              <w:t xml:space="preserve">临床试验智能知识库：</w:t>
            </w:r>
            <w:r>
              <w:rPr>
                <w:rFonts w:hint="eastAsia" w:ascii="宋体" w:hAnsi="宋体" w:cs="宋体"/>
                <w:color w:val="000000"/>
                <w:sz w:val="22"/>
                <w:szCs w:val="22"/>
              </w:rPr>
              <w:t xml:space="preserve">研究人员输入自然语言问题或选择法规、SOP、模板、案例、日期和来源等条件后，系统进行语义检索和多条件组合检索，并按相关性和适用范围排序。检索结果展示匹配片段、来源文件、版本和有效期，用户可打开原文核对。用户提出研究管理问题后，系统从多个知识来源检索相关条款和案例，生成综合回答并标注引用依据。系统支持通过自然语言询问临床研究问题，基于授权知识内容提供辅助回答</w:t>
            </w:r>
            <w:r>
              <w:rPr>
                <w:rFonts w:ascii="宋体" w:hAnsi="宋体" w:cs="宋体"/>
                <w:color w:val="000000"/>
                <w:sz w:val="22"/>
                <w:szCs w:val="22"/>
              </w:rPr>
              <w:t xml:space="preserve">。</w:t>
            </w:r>
            <w:r>
              <w:rPr>
                <w:rFonts w:hint="eastAsia" w:ascii="宋体" w:hAnsi="宋体" w:cs="宋体"/>
                <w:b/>
                <w:bCs/>
                <w:color w:val="000000"/>
                <w:sz w:val="22"/>
                <w:szCs w:val="22"/>
                <w:lang w:eastAsia="zh-CN"/>
              </w:rPr>
              <w:t xml:space="preserve">（</w:t>
            </w:r>
            <w:r>
              <w:rPr>
                <w:rFonts w:hint="eastAsia" w:ascii="宋体" w:hAnsi="宋体" w:cs="宋体"/>
                <w:b/>
                <w:bCs/>
                <w:color w:val="000000"/>
                <w:sz w:val="22"/>
                <w:szCs w:val="22"/>
                <w:lang w:val="en-US" w:eastAsia="zh-CN"/>
              </w:rPr>
              <w:t xml:space="preserve">2分）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restart"/>
            <w:textDirection w:val="lrTb"/>
            <w:noWrap/>
          </w:tcPr>
          <w:p>
            <w:pPr>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4、</w:t>
            </w:r>
            <w:r>
              <w:rPr>
                <w:rFonts w:ascii="宋体" w:hAnsi="宋体" w:cs="宋体"/>
                <w:b/>
                <w:bCs/>
                <w:color w:val="000000"/>
                <w:sz w:val="24"/>
                <w:szCs w:val="24"/>
              </w:rPr>
              <w:t xml:space="preserve">软件开发方案</w:t>
            </w:r>
            <w:r/>
          </w:p>
        </w:tc>
        <w:tc>
          <w:tcPr>
            <w:tcBorders>
              <w:top w:val="none" w:color="000000" w:sz="4" w:space="0"/>
              <w:left w:val="single" w:color="000000" w:sz="8" w:space="0"/>
              <w:bottom w:val="single" w:color="000000" w:sz="8" w:space="0"/>
              <w:right w:val="single" w:color="000000" w:sz="8" w:space="0"/>
            </w:tcBorders>
            <w:tcW w:w="703" w:type="dxa"/>
            <w:vAlign w:val="center"/>
            <w:vMerge w:val="restart"/>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4</w:t>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评委根据投标文件对招标文件第</w:t>
            </w:r>
            <w:r>
              <w:rPr>
                <w:rFonts w:hint="eastAsia" w:ascii="宋体" w:hAnsi="宋体" w:cs="宋体"/>
                <w:color w:val="000000"/>
                <w:sz w:val="24"/>
                <w:szCs w:val="24"/>
                <w:lang w:val="en-US" w:eastAsia="zh-CN"/>
              </w:rPr>
              <w:t xml:space="preserve">四</w:t>
            </w:r>
            <w:r>
              <w:rPr>
                <w:rFonts w:ascii="宋体" w:hAnsi="宋体" w:cs="宋体"/>
                <w:color w:val="000000"/>
                <w:sz w:val="24"/>
                <w:szCs w:val="24"/>
              </w:rPr>
              <w:t xml:space="preserve">章“项目升级与实施要求”中“软件开发方案要求”要求的响应情况进行评审</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（1）投标文件未符合“软件开发方案要求”中全部条款要求的，视为不符合招标文件，本项得0分。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（2）投标文件符合“软件开发方案要求”中全部条款要求的，视为符合招标文件，本项得2分。</w:t>
            </w:r>
            <w:r/>
          </w:p>
        </w:tc>
      </w:tr>
      <w:tr>
        <w:trPr>
          <w:cantSplit/>
          <w:trHeight w:val="61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（3）经评委认定，投标文件对“软件开发方案要求”中“开发模式”“功能实现”</w:t>
            </w:r>
            <w:r>
              <w:rPr>
                <w:rFonts w:hint="eastAsia" w:ascii="宋体" w:hAnsi="宋体" w:cs="宋体"/>
                <w:color w:val="000000"/>
                <w:sz w:val="24"/>
                <w:szCs w:val="24"/>
                <w:lang w:val="en-US" w:eastAsia="zh-CN"/>
              </w:rPr>
              <w:t xml:space="preserve">两</w:t>
            </w:r>
            <w:r>
              <w:rPr>
                <w:rFonts w:ascii="宋体" w:hAnsi="宋体" w:cs="宋体"/>
                <w:color w:val="000000"/>
                <w:sz w:val="24"/>
                <w:szCs w:val="24"/>
              </w:rPr>
              <w:t xml:space="preserve">项要求的响应内容全部优于招标文件要求的</w:t>
            </w:r>
            <w:r>
              <w:rPr>
                <w:rFonts w:hint="eastAsia" w:ascii="宋体" w:hAnsi="宋体" w:cs="宋体"/>
                <w:color w:val="000000"/>
                <w:sz w:val="24"/>
                <w:szCs w:val="24"/>
              </w:rPr>
              <w:t xml:space="preserve">（前提是投标文件对“软件开发方案要求”中除“开发模式”“功能实现”外其他要求响应内容符合招标文件要求）</w:t>
            </w:r>
            <w:r>
              <w:rPr>
                <w:rFonts w:ascii="宋体" w:hAnsi="宋体" w:cs="宋体"/>
                <w:color w:val="000000"/>
                <w:sz w:val="24"/>
                <w:szCs w:val="24"/>
              </w:rPr>
              <w:t xml:space="preserve">，本项得4分。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restart"/>
            <w:textDirection w:val="lrTb"/>
            <w:noWrap/>
          </w:tcPr>
          <w:p>
            <w:pPr>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5、</w:t>
            </w:r>
            <w:r>
              <w:rPr>
                <w:rFonts w:ascii="宋体" w:hAnsi="宋体" w:cs="宋体"/>
                <w:b/>
                <w:bCs/>
                <w:color w:val="000000"/>
                <w:sz w:val="24"/>
                <w:szCs w:val="24"/>
              </w:rPr>
              <w:t xml:space="preserve">项目进度管理方案</w:t>
            </w:r>
            <w:r/>
          </w:p>
        </w:tc>
        <w:tc>
          <w:tcPr>
            <w:tcBorders>
              <w:top w:val="none" w:color="000000" w:sz="4" w:space="0"/>
              <w:left w:val="single" w:color="000000" w:sz="8" w:space="0"/>
              <w:bottom w:val="single" w:color="000000" w:sz="8" w:space="0"/>
              <w:right w:val="single" w:color="000000" w:sz="8" w:space="0"/>
            </w:tcBorders>
            <w:tcW w:w="703" w:type="dxa"/>
            <w:vAlign w:val="center"/>
            <w:vMerge w:val="restart"/>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4</w:t>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评委根据投标文件对招标文件第</w:t>
            </w:r>
            <w:r>
              <w:rPr>
                <w:rFonts w:hint="eastAsia" w:ascii="宋体" w:hAnsi="宋体" w:cs="宋体"/>
                <w:color w:val="000000"/>
                <w:sz w:val="24"/>
                <w:szCs w:val="24"/>
                <w:lang w:val="en-US" w:eastAsia="zh-CN"/>
              </w:rPr>
              <w:t xml:space="preserve">四</w:t>
            </w:r>
            <w:r>
              <w:rPr>
                <w:rFonts w:ascii="宋体" w:hAnsi="宋体" w:cs="宋体"/>
                <w:color w:val="000000"/>
                <w:sz w:val="24"/>
                <w:szCs w:val="24"/>
              </w:rPr>
              <w:t xml:space="preserve">章“项目升级与实施要求”中“项目进度管理方案要求”要求的响应情况进行评审</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（1）投标文件未符合“项目进度管理方案要求”中全部条款要求的，视为不符合招标文件，本项得0分。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（2）投标文件符合“项目进度管理方案要求”中全部条款要求的，视为符合招标文件，本项得2分。</w:t>
            </w:r>
            <w:r/>
          </w:p>
        </w:tc>
      </w:tr>
      <w:tr>
        <w:trPr>
          <w:cantSplit/>
          <w:trHeight w:val="61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（3）经评委认定，投标文件对“项目进度管理方案要求”中“进度管理”“测试”</w:t>
            </w:r>
            <w:r>
              <w:rPr>
                <w:rFonts w:hint="eastAsia" w:ascii="宋体" w:hAnsi="宋体" w:cs="宋体"/>
                <w:color w:val="000000"/>
                <w:sz w:val="24"/>
                <w:szCs w:val="24"/>
                <w:lang w:val="en-US" w:eastAsia="zh-CN"/>
              </w:rPr>
              <w:t xml:space="preserve">两</w:t>
            </w:r>
            <w:r>
              <w:rPr>
                <w:rFonts w:ascii="宋体" w:hAnsi="宋体" w:cs="宋体"/>
                <w:color w:val="000000"/>
                <w:sz w:val="24"/>
                <w:szCs w:val="24"/>
              </w:rPr>
              <w:t xml:space="preserve">项要求的响应内容全部优于招标文件要求的</w:t>
            </w:r>
            <w:r>
              <w:rPr>
                <w:rFonts w:hint="eastAsia" w:ascii="宋体" w:hAnsi="宋体" w:cs="宋体"/>
                <w:color w:val="000000"/>
                <w:sz w:val="24"/>
                <w:szCs w:val="24"/>
              </w:rPr>
              <w:t xml:space="preserve">（前提是投标文件对“</w:t>
            </w:r>
            <w:r>
              <w:rPr>
                <w:rFonts w:ascii="宋体" w:hAnsi="宋体" w:cs="宋体"/>
                <w:color w:val="000000"/>
                <w:sz w:val="24"/>
                <w:szCs w:val="24"/>
              </w:rPr>
              <w:t xml:space="preserve">项目进度管理方案要求</w:t>
            </w:r>
            <w:r>
              <w:rPr>
                <w:rFonts w:hint="eastAsia" w:ascii="宋体" w:hAnsi="宋体" w:cs="宋体"/>
                <w:color w:val="000000"/>
                <w:sz w:val="24"/>
                <w:szCs w:val="24"/>
              </w:rPr>
              <w:t xml:space="preserve">”中除</w:t>
            </w:r>
            <w:r>
              <w:rPr>
                <w:rFonts w:ascii="宋体" w:hAnsi="宋体" w:cs="宋体"/>
                <w:color w:val="000000"/>
                <w:sz w:val="24"/>
                <w:szCs w:val="24"/>
              </w:rPr>
              <w:t xml:space="preserve">“进度管理”“测试”</w:t>
            </w:r>
            <w:r>
              <w:rPr>
                <w:rFonts w:hint="eastAsia" w:ascii="宋体" w:hAnsi="宋体" w:cs="宋体"/>
                <w:color w:val="000000"/>
                <w:sz w:val="24"/>
                <w:szCs w:val="24"/>
              </w:rPr>
              <w:t xml:space="preserve">外其他要求响应内容符合招标文件要求）</w:t>
            </w:r>
            <w:r>
              <w:rPr>
                <w:rFonts w:ascii="宋体" w:hAnsi="宋体" w:cs="宋体"/>
                <w:color w:val="000000"/>
                <w:sz w:val="24"/>
                <w:szCs w:val="24"/>
              </w:rPr>
              <w:t xml:space="preserve">，本项得4分。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restart"/>
            <w:textDirection w:val="lrTb"/>
            <w:noWrap/>
          </w:tcPr>
          <w:p>
            <w:pPr>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6、</w:t>
            </w:r>
            <w:r>
              <w:rPr>
                <w:rFonts w:ascii="宋体" w:hAnsi="宋体" w:cs="宋体"/>
                <w:b/>
                <w:bCs/>
                <w:color w:val="000000"/>
                <w:sz w:val="24"/>
                <w:szCs w:val="24"/>
              </w:rPr>
              <w:t xml:space="preserve">项目质量管理方案</w:t>
            </w:r>
            <w:r/>
          </w:p>
        </w:tc>
        <w:tc>
          <w:tcPr>
            <w:tcBorders>
              <w:top w:val="none" w:color="000000" w:sz="4" w:space="0"/>
              <w:left w:val="single" w:color="000000" w:sz="8" w:space="0"/>
              <w:bottom w:val="single" w:color="000000" w:sz="8" w:space="0"/>
              <w:right w:val="single" w:color="000000" w:sz="8" w:space="0"/>
            </w:tcBorders>
            <w:tcW w:w="703" w:type="dxa"/>
            <w:vAlign w:val="center"/>
            <w:vMerge w:val="restart"/>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4</w:t>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评委根据投标文件对招标文件第</w:t>
            </w:r>
            <w:r>
              <w:rPr>
                <w:rFonts w:hint="eastAsia" w:ascii="宋体" w:hAnsi="宋体" w:cs="宋体"/>
                <w:color w:val="000000"/>
                <w:sz w:val="24"/>
                <w:szCs w:val="24"/>
                <w:lang w:val="en-US" w:eastAsia="zh-CN"/>
              </w:rPr>
              <w:t xml:space="preserve">四</w:t>
            </w:r>
            <w:r>
              <w:rPr>
                <w:rFonts w:ascii="宋体" w:hAnsi="宋体" w:cs="宋体"/>
                <w:color w:val="000000"/>
                <w:sz w:val="24"/>
                <w:szCs w:val="24"/>
              </w:rPr>
              <w:t xml:space="preserve">章“项目升级与实施要求”中“项目质量管理方案要求”要求的响应情况进行评审</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（1）投标文件未符合“项目质量管理方案要求”中全部条款要求的，视为不符合招标文件，本项得0分。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（2）投标文件符合“项目质量管理方案要求”中全部条款要求的，视为符合招标文件，本项得2分。</w:t>
            </w:r>
            <w:r/>
          </w:p>
        </w:tc>
      </w:tr>
      <w:tr>
        <w:trPr>
          <w:cantSplit/>
          <w:trHeight w:val="61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（3）经评委认定，投标文件对“项目质量管理方案要求”中“质量管理体系”“风险管理”</w:t>
            </w:r>
            <w:r>
              <w:rPr>
                <w:rFonts w:hint="eastAsia" w:ascii="宋体" w:hAnsi="宋体" w:cs="宋体"/>
                <w:color w:val="000000"/>
                <w:sz w:val="24"/>
                <w:szCs w:val="24"/>
                <w:lang w:val="en-US" w:eastAsia="zh-CN"/>
              </w:rPr>
              <w:t xml:space="preserve">两</w:t>
            </w:r>
            <w:r>
              <w:rPr>
                <w:rFonts w:ascii="宋体" w:hAnsi="宋体" w:cs="宋体"/>
                <w:color w:val="000000"/>
                <w:sz w:val="24"/>
                <w:szCs w:val="24"/>
              </w:rPr>
              <w:t xml:space="preserve">项要求的响应内容全部优于招标文件要求的</w:t>
            </w:r>
            <w:r>
              <w:rPr>
                <w:rFonts w:hint="eastAsia" w:ascii="宋体" w:hAnsi="宋体" w:cs="宋体"/>
                <w:color w:val="000000"/>
                <w:sz w:val="24"/>
                <w:szCs w:val="24"/>
              </w:rPr>
              <w:t xml:space="preserve">（前提是投标文件对“</w:t>
            </w:r>
            <w:r>
              <w:rPr>
                <w:rFonts w:ascii="宋体" w:hAnsi="宋体" w:cs="宋体"/>
                <w:color w:val="000000"/>
                <w:sz w:val="24"/>
                <w:szCs w:val="24"/>
              </w:rPr>
              <w:t xml:space="preserve">项目质量管理方案要求</w:t>
            </w:r>
            <w:r>
              <w:rPr>
                <w:rFonts w:hint="eastAsia" w:ascii="宋体" w:hAnsi="宋体" w:cs="宋体"/>
                <w:color w:val="000000"/>
                <w:sz w:val="24"/>
                <w:szCs w:val="24"/>
              </w:rPr>
              <w:t xml:space="preserve">”中除</w:t>
            </w:r>
            <w:r>
              <w:rPr>
                <w:rFonts w:ascii="宋体" w:hAnsi="宋体" w:cs="宋体"/>
                <w:color w:val="000000"/>
                <w:sz w:val="24"/>
                <w:szCs w:val="24"/>
              </w:rPr>
              <w:t xml:space="preserve">“质量管理体系”“风险管理”</w:t>
            </w:r>
            <w:r>
              <w:rPr>
                <w:rFonts w:hint="eastAsia" w:ascii="宋体" w:hAnsi="宋体" w:cs="宋体"/>
                <w:color w:val="000000"/>
                <w:sz w:val="24"/>
                <w:szCs w:val="24"/>
              </w:rPr>
              <w:t xml:space="preserve">外其他要求响应内容符合招标文件要求）</w:t>
            </w:r>
            <w:r>
              <w:rPr>
                <w:rFonts w:ascii="宋体" w:hAnsi="宋体" w:cs="宋体"/>
                <w:color w:val="000000"/>
                <w:sz w:val="24"/>
                <w:szCs w:val="24"/>
              </w:rPr>
              <w:t xml:space="preserve">，本项得4分。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restart"/>
            <w:textDirection w:val="lrTb"/>
            <w:noWrap/>
          </w:tcPr>
          <w:p>
            <w:pPr>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7、</w:t>
            </w:r>
            <w:r>
              <w:rPr>
                <w:rFonts w:ascii="宋体" w:hAnsi="宋体" w:cs="宋体"/>
                <w:b/>
                <w:bCs/>
                <w:color w:val="000000"/>
                <w:sz w:val="24"/>
                <w:szCs w:val="24"/>
              </w:rPr>
              <w:t xml:space="preserve">项目应急和安全服务方案</w:t>
            </w:r>
            <w:r/>
          </w:p>
        </w:tc>
        <w:tc>
          <w:tcPr>
            <w:tcBorders>
              <w:top w:val="none" w:color="000000" w:sz="4" w:space="0"/>
              <w:left w:val="single" w:color="000000" w:sz="8" w:space="0"/>
              <w:bottom w:val="single" w:color="000000" w:sz="8" w:space="0"/>
              <w:right w:val="single" w:color="000000" w:sz="8" w:space="0"/>
            </w:tcBorders>
            <w:tcW w:w="703" w:type="dxa"/>
            <w:vAlign w:val="center"/>
            <w:vMerge w:val="restart"/>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4</w:t>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评委根据投标文件对招标文件第</w:t>
            </w:r>
            <w:r>
              <w:rPr>
                <w:rFonts w:hint="eastAsia" w:ascii="宋体" w:hAnsi="宋体" w:cs="宋体"/>
                <w:color w:val="000000"/>
                <w:sz w:val="24"/>
                <w:szCs w:val="24"/>
                <w:lang w:val="en-US" w:eastAsia="zh-CN"/>
              </w:rPr>
              <w:t xml:space="preserve">四</w:t>
            </w:r>
            <w:r>
              <w:rPr>
                <w:rFonts w:ascii="宋体" w:hAnsi="宋体" w:cs="宋体"/>
                <w:color w:val="000000"/>
                <w:sz w:val="24"/>
                <w:szCs w:val="24"/>
              </w:rPr>
              <w:t xml:space="preserve">章“项目升级与实施要求”中“项目应急和安全服务方案要求”要求的响应情况进行评审</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（1）投标文件未符合“项目应急和安全服务方案要求”中全部条款要求的，视为不符合招标文件，本项得0分。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（2）投标文件符合“项目应急和安全服务方案要求”中全部条款要求的，视为符合招标文件，本项得2分。</w:t>
            </w:r>
            <w:r/>
          </w:p>
        </w:tc>
      </w:tr>
      <w:tr>
        <w:trPr>
          <w:cantSplit/>
          <w:trHeight w:val="61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（3）经评委认定，投标文件对“项目应急和安全服务方案要求”中“应急管理方案”要求的响应内容全部优于招标文件要求的</w:t>
            </w:r>
            <w:r>
              <w:rPr>
                <w:rFonts w:hint="eastAsia" w:ascii="宋体" w:hAnsi="宋体" w:cs="宋体"/>
                <w:color w:val="000000"/>
                <w:sz w:val="24"/>
                <w:szCs w:val="24"/>
              </w:rPr>
              <w:t xml:space="preserve">（前提是投标文件对“</w:t>
            </w:r>
            <w:r>
              <w:rPr>
                <w:rFonts w:ascii="宋体" w:hAnsi="宋体" w:cs="宋体"/>
                <w:color w:val="000000"/>
                <w:sz w:val="24"/>
                <w:szCs w:val="24"/>
              </w:rPr>
              <w:t xml:space="preserve">项目应急和安全服务方案要求</w:t>
            </w:r>
            <w:r>
              <w:rPr>
                <w:rFonts w:hint="eastAsia" w:ascii="宋体" w:hAnsi="宋体" w:cs="宋体"/>
                <w:color w:val="000000"/>
                <w:sz w:val="24"/>
                <w:szCs w:val="24"/>
              </w:rPr>
              <w:t xml:space="preserve">”中除</w:t>
            </w:r>
            <w:r>
              <w:rPr>
                <w:rFonts w:ascii="宋体" w:hAnsi="宋体" w:cs="宋体"/>
                <w:color w:val="000000"/>
                <w:sz w:val="24"/>
                <w:szCs w:val="24"/>
              </w:rPr>
              <w:t xml:space="preserve">“应急管理方案”</w:t>
            </w:r>
            <w:r>
              <w:rPr>
                <w:rFonts w:hint="eastAsia" w:ascii="宋体" w:hAnsi="宋体" w:cs="宋体"/>
                <w:color w:val="000000"/>
                <w:sz w:val="24"/>
                <w:szCs w:val="24"/>
              </w:rPr>
              <w:t xml:space="preserve">外其他要求响应内容符合招标文件要求）</w:t>
            </w:r>
            <w:r>
              <w:rPr>
                <w:rFonts w:ascii="宋体" w:hAnsi="宋体" w:cs="宋体"/>
                <w:color w:val="000000"/>
                <w:sz w:val="24"/>
                <w:szCs w:val="24"/>
              </w:rPr>
              <w:t xml:space="preserve">，本项得4分。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restart"/>
            <w:textDirection w:val="lrTb"/>
            <w:noWrap/>
          </w:tcPr>
          <w:p>
            <w:pPr>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8、</w:t>
            </w:r>
            <w:r>
              <w:rPr>
                <w:rFonts w:ascii="宋体" w:hAnsi="宋体" w:cs="宋体"/>
                <w:b/>
                <w:bCs/>
                <w:color w:val="000000"/>
                <w:sz w:val="24"/>
                <w:szCs w:val="24"/>
              </w:rPr>
              <w:t xml:space="preserve">项目培训方案</w:t>
            </w:r>
            <w:r/>
          </w:p>
        </w:tc>
        <w:tc>
          <w:tcPr>
            <w:tcBorders>
              <w:top w:val="none" w:color="000000" w:sz="4" w:space="0"/>
              <w:left w:val="single" w:color="000000" w:sz="8" w:space="0"/>
              <w:bottom w:val="single" w:color="000000" w:sz="8" w:space="0"/>
              <w:right w:val="single" w:color="000000" w:sz="8" w:space="0"/>
            </w:tcBorders>
            <w:tcW w:w="703" w:type="dxa"/>
            <w:vAlign w:val="center"/>
            <w:vMerge w:val="restart"/>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4</w:t>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评委根据投标文件对招标文件第</w:t>
            </w:r>
            <w:r>
              <w:rPr>
                <w:rFonts w:hint="eastAsia" w:ascii="宋体" w:hAnsi="宋体" w:cs="宋体"/>
                <w:color w:val="000000"/>
                <w:sz w:val="24"/>
                <w:szCs w:val="24"/>
                <w:lang w:val="en-US" w:eastAsia="zh-CN"/>
              </w:rPr>
              <w:t xml:space="preserve">四</w:t>
            </w:r>
            <w:r>
              <w:rPr>
                <w:rFonts w:ascii="宋体" w:hAnsi="宋体" w:cs="宋体"/>
                <w:color w:val="000000"/>
                <w:sz w:val="24"/>
                <w:szCs w:val="24"/>
              </w:rPr>
              <w:t xml:space="preserve">章“项目升级与实施要求”中“项目培训方案要求”要求的响应情况进行评审</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（1）投标文件未符合“项目培训方案要求”中全部条款要求的，视为不符合招标文件，本项得0分。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（2）投标文件符合“项目培训方案要求”中全部条款要求的，视为符合招标文件，本项得2分。</w:t>
            </w:r>
            <w:r/>
          </w:p>
        </w:tc>
      </w:tr>
      <w:tr>
        <w:trPr>
          <w:cantSplit/>
          <w:trHeight w:val="61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（3）经评委认定，投标文件对“项目培训方案要求”中“培训方案”“培训内容”</w:t>
            </w:r>
            <w:r>
              <w:rPr>
                <w:rFonts w:hint="eastAsia" w:ascii="宋体" w:hAnsi="宋体" w:cs="宋体"/>
                <w:color w:val="000000"/>
                <w:sz w:val="24"/>
                <w:szCs w:val="24"/>
                <w:lang w:val="en-US" w:eastAsia="zh-CN"/>
              </w:rPr>
              <w:t xml:space="preserve">两</w:t>
            </w:r>
            <w:r>
              <w:rPr>
                <w:rFonts w:ascii="宋体" w:hAnsi="宋体" w:cs="宋体"/>
                <w:color w:val="000000"/>
                <w:sz w:val="24"/>
                <w:szCs w:val="24"/>
              </w:rPr>
              <w:t xml:space="preserve">项要求的响应内容全部优于招标文件要求的</w:t>
            </w:r>
            <w:r>
              <w:rPr>
                <w:rFonts w:hint="eastAsia" w:ascii="宋体" w:hAnsi="宋体" w:cs="宋体"/>
                <w:color w:val="000000"/>
                <w:sz w:val="24"/>
                <w:szCs w:val="24"/>
              </w:rPr>
              <w:t xml:space="preserve">（前提是投标文件对“</w:t>
            </w:r>
            <w:r>
              <w:rPr>
                <w:rFonts w:ascii="宋体" w:hAnsi="宋体" w:cs="宋体"/>
                <w:color w:val="000000"/>
                <w:sz w:val="24"/>
                <w:szCs w:val="24"/>
              </w:rPr>
              <w:t xml:space="preserve">项目培训方案要求</w:t>
            </w:r>
            <w:r>
              <w:rPr>
                <w:rFonts w:hint="eastAsia" w:ascii="宋体" w:hAnsi="宋体" w:cs="宋体"/>
                <w:color w:val="000000"/>
                <w:sz w:val="24"/>
                <w:szCs w:val="24"/>
              </w:rPr>
              <w:t xml:space="preserve">”中除</w:t>
            </w:r>
            <w:r>
              <w:rPr>
                <w:rFonts w:ascii="宋体" w:hAnsi="宋体" w:cs="宋体"/>
                <w:color w:val="000000"/>
                <w:sz w:val="24"/>
                <w:szCs w:val="24"/>
              </w:rPr>
              <w:t xml:space="preserve">“培训方案”“培训内容”</w:t>
            </w:r>
            <w:r>
              <w:rPr>
                <w:rFonts w:hint="eastAsia" w:ascii="宋体" w:hAnsi="宋体" w:cs="宋体"/>
                <w:color w:val="000000"/>
                <w:sz w:val="24"/>
                <w:szCs w:val="24"/>
              </w:rPr>
              <w:t xml:space="preserve">外其他要求响应内容符合招标文件要求）</w:t>
            </w:r>
            <w:r>
              <w:rPr>
                <w:rFonts w:ascii="宋体" w:hAnsi="宋体" w:cs="宋体"/>
                <w:color w:val="000000"/>
                <w:sz w:val="24"/>
                <w:szCs w:val="24"/>
              </w:rPr>
              <w:t xml:space="preserve">，本项得4分。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restart"/>
            <w:textDirection w:val="lrTb"/>
            <w:noWrap/>
          </w:tcPr>
          <w:p>
            <w:pPr>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9、</w:t>
            </w:r>
            <w:r>
              <w:rPr>
                <w:rFonts w:ascii="宋体" w:hAnsi="宋体" w:cs="宋体"/>
                <w:b/>
                <w:bCs/>
                <w:color w:val="000000"/>
                <w:sz w:val="24"/>
                <w:szCs w:val="24"/>
              </w:rPr>
              <w:t xml:space="preserve">项目售后服务方案</w:t>
            </w:r>
            <w:r/>
          </w:p>
        </w:tc>
        <w:tc>
          <w:tcPr>
            <w:tcBorders>
              <w:top w:val="none" w:color="000000" w:sz="4" w:space="0"/>
              <w:left w:val="single" w:color="000000" w:sz="8" w:space="0"/>
              <w:bottom w:val="single" w:color="000000" w:sz="8" w:space="0"/>
              <w:right w:val="single" w:color="000000" w:sz="8" w:space="0"/>
            </w:tcBorders>
            <w:tcW w:w="703" w:type="dxa"/>
            <w:vAlign w:val="center"/>
            <w:vMerge w:val="restart"/>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4</w:t>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评委根据投标文件对招标文件第</w:t>
            </w:r>
            <w:r>
              <w:rPr>
                <w:rFonts w:hint="eastAsia" w:ascii="宋体" w:hAnsi="宋体" w:cs="宋体"/>
                <w:color w:val="000000"/>
                <w:sz w:val="24"/>
                <w:szCs w:val="24"/>
                <w:lang w:val="en-US" w:eastAsia="zh-CN"/>
              </w:rPr>
              <w:t xml:space="preserve">四</w:t>
            </w:r>
            <w:r>
              <w:rPr>
                <w:rFonts w:ascii="宋体" w:hAnsi="宋体" w:cs="宋体"/>
                <w:color w:val="000000"/>
                <w:sz w:val="24"/>
                <w:szCs w:val="24"/>
              </w:rPr>
              <w:t xml:space="preserve">章“项目升级与实施要求”中“项目售后服务方案要求”要求的响应情况进行评审</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（1）投标文件未符合“项目售后服务方案要求”中全部条款要求的，视为不符合招标文件，本项得0分。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（2）投标文件符合“项目售后服务方案要求”中全部条款要求的，视为符合招标文件，本项得2分。</w:t>
            </w:r>
            <w:r/>
          </w:p>
        </w:tc>
      </w:tr>
      <w:tr>
        <w:trPr>
          <w:cantSplit/>
          <w:trHeight w:val="61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（3）经评委认定，投标文件对“项目售后服务方案要求”中“维保期”“</w:t>
            </w:r>
            <w:r>
              <w:rPr>
                <w:rFonts w:hint="eastAsia" w:ascii="宋体" w:hAnsi="宋体" w:cs="宋体"/>
                <w:color w:val="000000"/>
                <w:sz w:val="24"/>
                <w:szCs w:val="24"/>
                <w:lang w:val="en-US" w:eastAsia="zh-CN"/>
              </w:rPr>
              <w:t xml:space="preserve">售后要求</w:t>
            </w:r>
            <w:r>
              <w:rPr>
                <w:rFonts w:ascii="宋体" w:hAnsi="宋体" w:cs="宋体"/>
                <w:color w:val="000000"/>
                <w:sz w:val="24"/>
                <w:szCs w:val="24"/>
              </w:rPr>
              <w:t xml:space="preserve">”两项要求的响应内容全部优于招标文件要求的</w:t>
            </w:r>
            <w:r>
              <w:rPr>
                <w:rFonts w:hint="eastAsia" w:ascii="宋体" w:hAnsi="宋体" w:cs="宋体"/>
                <w:color w:val="000000"/>
                <w:sz w:val="24"/>
                <w:szCs w:val="24"/>
              </w:rPr>
              <w:t xml:space="preserve">（前提是投标文件对“</w:t>
            </w:r>
            <w:r>
              <w:rPr>
                <w:rFonts w:ascii="宋体" w:hAnsi="宋体" w:cs="宋体"/>
                <w:color w:val="000000"/>
                <w:sz w:val="24"/>
                <w:szCs w:val="24"/>
              </w:rPr>
              <w:t xml:space="preserve">项目售后服务方案要求</w:t>
            </w:r>
            <w:r>
              <w:rPr>
                <w:rFonts w:hint="eastAsia" w:ascii="宋体" w:hAnsi="宋体" w:cs="宋体"/>
                <w:color w:val="000000"/>
                <w:sz w:val="24"/>
                <w:szCs w:val="24"/>
              </w:rPr>
              <w:t xml:space="preserve">”中除</w:t>
            </w:r>
            <w:r>
              <w:rPr>
                <w:rFonts w:ascii="宋体" w:hAnsi="宋体" w:cs="宋体"/>
                <w:color w:val="000000"/>
                <w:sz w:val="24"/>
                <w:szCs w:val="24"/>
              </w:rPr>
              <w:t xml:space="preserve">“维保期”“</w:t>
            </w:r>
            <w:r>
              <w:rPr>
                <w:rFonts w:hint="eastAsia" w:ascii="宋体" w:hAnsi="宋体" w:cs="宋体"/>
                <w:color w:val="000000"/>
                <w:sz w:val="24"/>
                <w:szCs w:val="24"/>
                <w:lang w:val="en-US" w:eastAsia="zh-CN"/>
              </w:rPr>
              <w:t xml:space="preserve">售后要求</w:t>
            </w:r>
            <w:r>
              <w:rPr>
                <w:rFonts w:ascii="宋体" w:hAnsi="宋体" w:cs="宋体"/>
                <w:color w:val="000000"/>
                <w:sz w:val="24"/>
                <w:szCs w:val="24"/>
              </w:rPr>
              <w:t xml:space="preserve">”</w:t>
            </w:r>
            <w:r>
              <w:rPr>
                <w:rFonts w:hint="eastAsia" w:ascii="宋体" w:hAnsi="宋体" w:cs="宋体"/>
                <w:color w:val="000000"/>
                <w:sz w:val="24"/>
                <w:szCs w:val="24"/>
              </w:rPr>
              <w:t xml:space="preserve">外其他要求响应内容符合招标文件要求）</w:t>
            </w:r>
            <w:r>
              <w:rPr>
                <w:rFonts w:ascii="宋体" w:hAnsi="宋体" w:cs="宋体"/>
                <w:color w:val="000000"/>
                <w:sz w:val="24"/>
                <w:szCs w:val="24"/>
              </w:rPr>
              <w:t xml:space="preserve">，本项得4分。</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restart"/>
            <w:textDirection w:val="lrTb"/>
            <w:noWrap/>
          </w:tcPr>
          <w:p>
            <w:pPr>
              <w:jc w:val="left"/>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10、</w:t>
            </w:r>
            <w:r>
              <w:rPr>
                <w:rFonts w:ascii="宋体" w:hAnsi="宋体" w:cs="宋体"/>
                <w:b/>
                <w:bCs/>
                <w:color w:val="000000"/>
                <w:sz w:val="24"/>
                <w:szCs w:val="24"/>
              </w:rPr>
              <w:t xml:space="preserve">人员配备</w:t>
            </w:r>
            <w:r/>
          </w:p>
        </w:tc>
        <w:tc>
          <w:tcPr>
            <w:tcBorders>
              <w:top w:val="none" w:color="000000" w:sz="4" w:space="0"/>
              <w:left w:val="single" w:color="000000" w:sz="8" w:space="0"/>
              <w:bottom w:val="single" w:color="000000" w:sz="8" w:space="0"/>
              <w:right w:val="none" w:color="000000" w:sz="4" w:space="0"/>
            </w:tcBorders>
            <w:tcW w:w="703" w:type="dxa"/>
            <w:vAlign w:val="center"/>
            <w:vMerge w:val="restart"/>
            <w:textDirection w:val="lrTb"/>
            <w:noWrap/>
          </w:tcPr>
          <w:p>
            <w:pPr>
              <w:jc w:val="center"/>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tcBorders>
              <w:top w:val="single" w:color="000000" w:sz="8" w:space="0"/>
              <w:left w:val="single" w:color="000000" w:sz="8" w:space="0"/>
              <w:bottom w:val="none" w:color="000000" w:sz="4" w:space="0"/>
              <w:right w:val="single" w:color="000000" w:sz="8" w:space="0"/>
            </w:tcBorders>
            <w:tcW w:w="6949" w:type="dxa"/>
            <w:vAlign w:val="center"/>
            <w:textDirection w:val="lrTb"/>
            <w:noWrap w:val="false"/>
          </w:tcPr>
          <w:p>
            <w:pPr>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10.1</w:t>
            </w:r>
            <w:r>
              <w:rPr>
                <w:rFonts w:ascii="宋体" w:hAnsi="宋体" w:cs="宋体"/>
                <w:b/>
                <w:bCs/>
                <w:color w:val="000000"/>
                <w:sz w:val="24"/>
                <w:szCs w:val="24"/>
              </w:rPr>
              <w:t xml:space="preserve">项目经理</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限1名</w:t>
            </w:r>
            <w:r>
              <w:rPr>
                <w:rFonts w:hint="eastAsia" w:ascii="宋体" w:hAnsi="宋体" w:cs="宋体"/>
                <w:b/>
                <w:bCs/>
                <w:color w:val="000000"/>
                <w:sz w:val="24"/>
                <w:szCs w:val="24"/>
                <w:lang w:eastAsia="zh-CN"/>
              </w:rPr>
              <w:t xml:space="preserve">）</w:t>
            </w:r>
            <w:r>
              <w:rPr>
                <w:rFonts w:ascii="宋体" w:hAnsi="宋体" w:cs="宋体"/>
                <w:b/>
                <w:bCs/>
                <w:color w:val="000000"/>
                <w:sz w:val="24"/>
                <w:szCs w:val="24"/>
              </w:rPr>
              <w:t xml:space="preserve">证书</w:t>
            </w:r>
            <w:r/>
          </w:p>
        </w:tc>
      </w:tr>
      <w:tr>
        <w:trPr>
          <w:cantSplit/>
          <w:trHeight w:val="31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none" w:color="000000" w:sz="4"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6949" w:type="dxa"/>
            <w:vAlign w:val="center"/>
            <w:textDirection w:val="lrTb"/>
            <w:noWrap w:val="false"/>
          </w:tcPr>
          <w:p>
            <w:pPr>
              <w:numPr>
                <w:ilvl w:val="0"/>
                <w:numId w:val="8"/>
              </w:numPr>
              <w:widowControl/>
              <w:rPr>
                <w:rFonts w:ascii="宋体" w:hAnsi="宋体" w:cs="宋体"/>
                <w:color w:val="000000"/>
                <w:sz w:val="24"/>
                <w:szCs w:val="24"/>
              </w:rPr>
            </w:pPr>
            <w:r>
              <w:rPr>
                <w:rFonts w:ascii="宋体" w:hAnsi="宋体" w:cs="宋体"/>
                <w:color w:val="000000"/>
                <w:sz w:val="24"/>
                <w:szCs w:val="24"/>
              </w:rPr>
              <w:t xml:space="preserve">项目经理具有</w:t>
            </w:r>
            <w:r>
              <w:rPr>
                <w:rFonts w:hint="eastAsia" w:ascii="宋体" w:hAnsi="宋体" w:cs="宋体"/>
                <w:color w:val="000000"/>
                <w:sz w:val="24"/>
                <w:szCs w:val="24"/>
                <w:lang w:val="en-US" w:eastAsia="zh-CN"/>
              </w:rPr>
              <w:t xml:space="preserve">人社部门颁布的信息</w:t>
            </w:r>
            <w:r>
              <w:rPr>
                <w:rFonts w:ascii="宋体" w:hAnsi="宋体" w:cs="宋体"/>
                <w:color w:val="000000"/>
                <w:sz w:val="24"/>
                <w:szCs w:val="24"/>
              </w:rPr>
              <w:t xml:space="preserve">项目管理工程师</w:t>
            </w:r>
            <w:r>
              <w:rPr>
                <w:rFonts w:hint="eastAsia" w:ascii="宋体" w:hAnsi="宋体" w:cs="宋体"/>
                <w:color w:val="000000"/>
                <w:sz w:val="24"/>
                <w:szCs w:val="24"/>
                <w:lang w:val="en-US" w:eastAsia="zh-CN"/>
              </w:rPr>
              <w:t xml:space="preserve">或</w:t>
            </w:r>
            <w:r>
              <w:rPr>
                <w:rFonts w:hint="eastAsia" w:ascii="宋体" w:hAnsi="宋体" w:cs="宋体"/>
                <w:color w:val="000000"/>
                <w:sz w:val="24"/>
                <w:szCs w:val="24"/>
                <w:lang w:eastAsia="zh-CN"/>
              </w:rPr>
              <w:t xml:space="preserve">系统架构设计师</w:t>
            </w:r>
            <w:r>
              <w:rPr>
                <w:rFonts w:hint="eastAsia" w:ascii="宋体" w:hAnsi="宋体" w:cs="宋体"/>
                <w:color w:val="000000"/>
                <w:sz w:val="24"/>
                <w:szCs w:val="24"/>
                <w:lang w:val="en-US" w:eastAsia="zh-CN"/>
              </w:rPr>
              <w:t xml:space="preserve">或系统规划与管理师高级证书其中任意一个的得2分，</w:t>
            </w:r>
            <w:r>
              <w:rPr>
                <w:rFonts w:ascii="宋体" w:hAnsi="宋体" w:cs="宋体"/>
                <w:color w:val="000000"/>
                <w:sz w:val="24"/>
                <w:szCs w:val="24"/>
              </w:rPr>
              <w:t xml:space="preserve">本项最高得</w:t>
            </w:r>
            <w:r>
              <w:rPr>
                <w:rFonts w:hint="eastAsia" w:ascii="宋体" w:hAnsi="宋体" w:cs="宋体"/>
                <w:color w:val="000000"/>
                <w:sz w:val="24"/>
                <w:szCs w:val="24"/>
                <w:lang w:val="en-US" w:eastAsia="zh-CN"/>
              </w:rPr>
              <w:t xml:space="preserve">2</w:t>
            </w:r>
            <w:r>
              <w:rPr>
                <w:rFonts w:ascii="宋体" w:hAnsi="宋体" w:cs="宋体"/>
                <w:color w:val="000000"/>
                <w:sz w:val="24"/>
                <w:szCs w:val="24"/>
              </w:rPr>
              <w:t xml:space="preserve">分（提供证书扫描件或复印件并加盖投标人公章。）</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none" w:color="000000" w:sz="4"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8" w:space="0"/>
              <w:bottom w:val="none" w:color="000000" w:sz="4" w:space="0"/>
              <w:right w:val="single" w:color="000000" w:sz="8" w:space="0"/>
            </w:tcBorders>
            <w:tcW w:w="6949" w:type="dxa"/>
            <w:vAlign w:val="center"/>
            <w:textDirection w:val="lrTb"/>
            <w:noWrap w:val="false"/>
          </w:tcPr>
          <w:p>
            <w:pPr>
              <w:widowControl/>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 xml:space="preserve">10.2</w:t>
            </w:r>
            <w:r>
              <w:rPr>
                <w:rFonts w:ascii="宋体" w:hAnsi="宋体" w:cs="宋体"/>
                <w:b/>
                <w:bCs/>
                <w:color w:val="000000"/>
                <w:sz w:val="24"/>
                <w:szCs w:val="24"/>
              </w:rPr>
              <w:t xml:space="preserve">项目经理经验</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与10.1为同一人</w:t>
            </w:r>
            <w:r>
              <w:rPr>
                <w:rFonts w:hint="eastAsia" w:ascii="宋体" w:hAnsi="宋体" w:cs="宋体"/>
                <w:b/>
                <w:bCs/>
                <w:color w:val="000000"/>
                <w:sz w:val="24"/>
                <w:szCs w:val="24"/>
                <w:lang w:eastAsia="zh-CN"/>
              </w:rPr>
              <w:t xml:space="preserve">）</w:t>
            </w:r>
            <w:r/>
          </w:p>
        </w:tc>
      </w:tr>
      <w:tr>
        <w:trPr>
          <w:cantSplit/>
          <w:trHeight w:val="121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none" w:color="000000" w:sz="4"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1. 具有与本</w:t>
            </w:r>
            <w:r>
              <w:rPr>
                <w:rFonts w:ascii="宋体" w:hAnsi="宋体" w:cs="宋体"/>
                <w:color w:val="000000"/>
                <w:sz w:val="24"/>
                <w:szCs w:val="24"/>
                <w:highlight w:val="none"/>
              </w:rPr>
              <w:t xml:space="preserve">项目类似的临床试验信息平台项目交付经验的，每个参与项目得1分，最多得3分（提供验收报告或用户报告并能体现该人员的参与情况</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同一用户方不重复得分</w:t>
            </w:r>
            <w:r>
              <w:rPr>
                <w:rFonts w:ascii="宋体" w:hAnsi="宋体" w:cs="宋体"/>
                <w:color w:val="000000"/>
                <w:sz w:val="24"/>
                <w:szCs w:val="24"/>
                <w:highlight w:val="none"/>
              </w:rPr>
              <w:t xml:space="preserve">）</w:t>
            </w:r>
            <w:r>
              <w:rPr>
                <w:rFonts w:ascii="宋体" w:hAnsi="宋体" w:cs="宋体"/>
                <w:color w:val="000000"/>
                <w:sz w:val="24"/>
                <w:szCs w:val="24"/>
                <w:highlight w:val="none"/>
              </w:rPr>
              <w:br w:type="textWrapping" w:clear="all"/>
            </w:r>
            <w:r>
              <w:rPr>
                <w:rFonts w:hint="eastAsia" w:ascii="宋体" w:hAnsi="宋体" w:cs="宋体"/>
                <w:color w:val="000000"/>
                <w:sz w:val="24"/>
                <w:szCs w:val="24"/>
                <w:lang w:val="en-US" w:eastAsia="zh-CN"/>
              </w:rPr>
              <w:t xml:space="preserve">2</w:t>
            </w:r>
            <w:r>
              <w:rPr>
                <w:rFonts w:ascii="宋体" w:hAnsi="宋体" w:cs="宋体"/>
                <w:color w:val="000000"/>
                <w:sz w:val="24"/>
                <w:szCs w:val="24"/>
              </w:rPr>
              <w:t xml:space="preserve">. 提供投标人近半年以来为其缴纳任意</w:t>
            </w:r>
            <w:r>
              <w:rPr>
                <w:rFonts w:hint="eastAsia" w:ascii="宋体" w:hAnsi="宋体" w:cs="宋体"/>
                <w:color w:val="000000"/>
                <w:sz w:val="24"/>
                <w:szCs w:val="24"/>
                <w:lang w:val="en-US" w:eastAsia="zh-CN"/>
              </w:rPr>
              <w:t xml:space="preserve">1</w:t>
            </w:r>
            <w:r>
              <w:rPr>
                <w:rFonts w:ascii="宋体" w:hAnsi="宋体" w:cs="宋体"/>
                <w:color w:val="000000"/>
                <w:sz w:val="24"/>
                <w:szCs w:val="24"/>
              </w:rPr>
              <w:t xml:space="preserve">个月社保的证明材料</w:t>
            </w:r>
            <w:r/>
          </w:p>
        </w:tc>
      </w:tr>
      <w:tr>
        <w:trPr>
          <w:cantSplit/>
          <w:trHeight w:val="30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8" w:space="0"/>
              <w:right w:val="none" w:color="000000" w:sz="4"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8" w:space="0"/>
              <w:bottom w:val="none" w:color="000000" w:sz="4" w:space="0"/>
              <w:right w:val="single" w:color="000000" w:sz="8" w:space="0"/>
            </w:tcBorders>
            <w:tcW w:w="6949" w:type="dxa"/>
            <w:vAlign w:val="center"/>
            <w:textDirection w:val="lrTb"/>
            <w:noWrap w:val="false"/>
          </w:tcPr>
          <w:p>
            <w:pPr>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10.3</w:t>
            </w:r>
            <w:r>
              <w:rPr>
                <w:rFonts w:ascii="宋体" w:hAnsi="宋体" w:cs="宋体"/>
                <w:b/>
                <w:bCs/>
                <w:color w:val="000000"/>
                <w:sz w:val="24"/>
                <w:szCs w:val="24"/>
              </w:rPr>
              <w:t xml:space="preserve">项目实施人员</w:t>
            </w:r>
            <w:r/>
          </w:p>
        </w:tc>
      </w:tr>
      <w:tr>
        <w:trPr>
          <w:cantSplit/>
          <w:trHeight w:val="1210"/>
        </w:trPr>
        <w:tc>
          <w:tcPr>
            <w:tcBorders>
              <w:top w:val="none" w:color="000000" w:sz="4" w:space="0"/>
              <w:left w:val="single" w:color="000000" w:sz="8" w:space="0"/>
              <w:bottom w:val="single" w:color="000000" w:sz="8" w:space="0"/>
              <w:right w:val="single" w:color="000000" w:sz="8"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000000" w:sz="4" w:space="0"/>
              <w:left w:val="single" w:color="000000" w:sz="8" w:space="0"/>
              <w:bottom w:val="single" w:color="000000" w:sz="4" w:space="0"/>
              <w:right w:val="none" w:color="000000" w:sz="4"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8" w:space="0"/>
              <w:bottom w:val="single" w:color="000000" w:sz="4" w:space="0"/>
              <w:right w:val="single" w:color="000000" w:sz="8" w:space="0"/>
            </w:tcBorders>
            <w:tcW w:w="6949" w:type="dxa"/>
            <w:vAlign w:val="center"/>
            <w:textDirection w:val="lrTb"/>
            <w:noWrap w:val="false"/>
          </w:tcPr>
          <w:p>
            <w:pPr>
              <w:numPr>
                <w:ilvl w:val="0"/>
                <w:numId w:val="0"/>
              </w:numPr>
              <w:widowControl/>
              <w:rPr>
                <w:rFonts w:hint="eastAsia" w:ascii="宋体" w:hAnsi="宋体" w:cs="宋体"/>
                <w:color w:val="000000"/>
                <w:sz w:val="24"/>
                <w:szCs w:val="24"/>
                <w:lang w:val="en-US" w:eastAsia="zh-CN"/>
              </w:rPr>
            </w:pPr>
            <w:r>
              <w:rPr>
                <w:rFonts w:ascii="宋体" w:hAnsi="宋体" w:cs="宋体"/>
                <w:color w:val="000000"/>
                <w:sz w:val="24"/>
                <w:szCs w:val="24"/>
              </w:rPr>
              <w:t xml:space="preserve">项目组实施人员（项目经理除外）专业素质、技术能力、专业分布、经验等情况进行评价。</w:t>
            </w:r>
            <w:r>
              <w:rPr>
                <w:rFonts w:ascii="宋体" w:hAnsi="宋体" w:cs="宋体"/>
                <w:color w:val="000000"/>
                <w:sz w:val="24"/>
                <w:szCs w:val="24"/>
              </w:rPr>
              <w:br w:type="textWrapping" w:clear="all"/>
            </w:r>
            <w:r>
              <w:rPr>
                <w:rFonts w:ascii="宋体" w:hAnsi="宋体" w:cs="宋体"/>
                <w:color w:val="000000"/>
                <w:sz w:val="24"/>
                <w:szCs w:val="24"/>
              </w:rPr>
              <w:t xml:space="preserve">1.项目实施人员需具有</w:t>
            </w:r>
            <w:r>
              <w:rPr>
                <w:rFonts w:hint="eastAsia" w:ascii="宋体" w:hAnsi="宋体" w:cs="宋体"/>
                <w:color w:val="000000"/>
                <w:sz w:val="24"/>
                <w:szCs w:val="24"/>
                <w:lang w:val="en-US" w:eastAsia="zh-CN"/>
              </w:rPr>
              <w:t xml:space="preserve">信息化</w:t>
            </w:r>
            <w:r>
              <w:rPr>
                <w:rFonts w:ascii="宋体" w:hAnsi="宋体" w:cs="宋体"/>
                <w:color w:val="000000"/>
                <w:sz w:val="24"/>
                <w:szCs w:val="24"/>
              </w:rPr>
              <w:t xml:space="preserve">项目交付经验，每提供</w:t>
            </w:r>
            <w:r>
              <w:rPr>
                <w:rFonts w:hint="eastAsia" w:ascii="宋体" w:hAnsi="宋体" w:cs="宋体"/>
                <w:color w:val="000000"/>
                <w:sz w:val="24"/>
                <w:szCs w:val="24"/>
                <w:lang w:val="en-US" w:eastAsia="zh-CN"/>
              </w:rPr>
              <w:t xml:space="preserve">一份信息化项目</w:t>
            </w:r>
            <w:r>
              <w:rPr>
                <w:rFonts w:ascii="宋体" w:hAnsi="宋体" w:cs="宋体"/>
                <w:color w:val="000000"/>
                <w:sz w:val="24"/>
                <w:szCs w:val="24"/>
              </w:rPr>
              <w:t xml:space="preserve">验收报告或用户报告</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能体现相关人员的项目参与情况</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得1分，</w:t>
            </w:r>
            <w:r>
              <w:rPr>
                <w:rFonts w:hint="eastAsia" w:ascii="宋体" w:hAnsi="宋体" w:cs="宋体"/>
                <w:color w:val="000000"/>
                <w:sz w:val="24"/>
                <w:szCs w:val="24"/>
              </w:rPr>
              <w:t xml:space="preserve">同一个人不重复得分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本项最高得3分。</w:t>
            </w:r>
            <w:r/>
          </w:p>
          <w:p>
            <w:pPr>
              <w:numPr>
                <w:ilvl w:val="0"/>
                <w:numId w:val="9"/>
              </w:numPr>
              <w:widowControl/>
              <w:rPr>
                <w:rFonts w:ascii="宋体" w:hAnsi="宋体" w:cs="宋体"/>
                <w:color w:val="000000"/>
                <w:sz w:val="24"/>
                <w:szCs w:val="24"/>
              </w:rPr>
            </w:pPr>
            <w:r>
              <w:rPr>
                <w:rFonts w:ascii="宋体" w:hAnsi="宋体" w:cs="宋体"/>
                <w:color w:val="000000"/>
                <w:sz w:val="24"/>
                <w:szCs w:val="24"/>
              </w:rPr>
              <w:t xml:space="preserve">项目实施人员具备国家药品监督管理局</w:t>
            </w:r>
            <w:r>
              <w:rPr>
                <w:rFonts w:hint="eastAsia" w:ascii="宋体" w:hAnsi="宋体" w:cs="宋体"/>
                <w:color w:val="000000"/>
                <w:sz w:val="24"/>
                <w:szCs w:val="24"/>
              </w:rPr>
              <w:t xml:space="preserve">高级研修学院</w:t>
            </w:r>
            <w:r>
              <w:rPr>
                <w:rFonts w:hint="eastAsia" w:ascii="宋体" w:hAnsi="宋体" w:cs="宋体"/>
                <w:color w:val="000000"/>
                <w:sz w:val="24"/>
                <w:szCs w:val="24"/>
                <w:lang w:val="en-US" w:eastAsia="zh-CN"/>
              </w:rPr>
              <w:t xml:space="preserve">组织发布</w:t>
            </w:r>
            <w:r>
              <w:rPr>
                <w:rFonts w:ascii="宋体" w:hAnsi="宋体" w:cs="宋体"/>
                <w:color w:val="000000"/>
                <w:sz w:val="24"/>
                <w:szCs w:val="24"/>
              </w:rPr>
              <w:t xml:space="preserve">的GCP培训证书的</w:t>
            </w:r>
            <w:r>
              <w:rPr>
                <w:rFonts w:hint="eastAsia" w:ascii="宋体" w:hAnsi="宋体" w:cs="宋体"/>
                <w:color w:val="000000"/>
                <w:sz w:val="24"/>
                <w:szCs w:val="24"/>
                <w:lang w:val="en-US" w:eastAsia="zh-CN"/>
              </w:rPr>
              <w:t xml:space="preserve">每有一人</w:t>
            </w:r>
            <w:r>
              <w:rPr>
                <w:rFonts w:ascii="宋体" w:hAnsi="宋体" w:cs="宋体"/>
                <w:color w:val="000000"/>
                <w:sz w:val="24"/>
                <w:szCs w:val="24"/>
              </w:rPr>
              <w:t xml:space="preserve">得</w:t>
            </w:r>
            <w:r>
              <w:rPr>
                <w:rFonts w:hint="eastAsia" w:ascii="宋体" w:hAnsi="宋体" w:cs="宋体"/>
                <w:color w:val="000000"/>
                <w:sz w:val="24"/>
                <w:szCs w:val="24"/>
                <w:lang w:val="en-US" w:eastAsia="zh-CN"/>
              </w:rPr>
              <w:t xml:space="preserve">1</w:t>
            </w:r>
            <w:r>
              <w:rPr>
                <w:rFonts w:ascii="宋体" w:hAnsi="宋体" w:cs="宋体"/>
                <w:color w:val="000000"/>
                <w:sz w:val="24"/>
                <w:szCs w:val="24"/>
              </w:rPr>
              <w:t xml:space="preserve">分</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本项最高得</w:t>
            </w:r>
            <w:r>
              <w:rPr>
                <w:rFonts w:hint="eastAsia" w:ascii="宋体" w:hAnsi="宋体" w:cs="宋体"/>
                <w:color w:val="000000"/>
                <w:sz w:val="24"/>
                <w:szCs w:val="24"/>
                <w:lang w:val="en-US" w:eastAsia="zh-CN"/>
              </w:rPr>
              <w:t xml:space="preserve">3</w:t>
            </w:r>
            <w:r>
              <w:rPr>
                <w:rFonts w:ascii="宋体" w:hAnsi="宋体" w:cs="宋体"/>
                <w:color w:val="000000"/>
                <w:sz w:val="24"/>
                <w:szCs w:val="24"/>
              </w:rPr>
              <w:t xml:space="preserve">分（提供证书扫描件或复印件并加盖投标人公章。） </w:t>
            </w:r>
            <w:r/>
          </w:p>
          <w:p>
            <w:pPr>
              <w:numPr>
                <w:ilvl w:val="0"/>
                <w:numId w:val="9"/>
              </w:numPr>
              <w:widowControl/>
              <w:rPr>
                <w:rFonts w:ascii="宋体" w:hAnsi="宋体" w:cs="宋体"/>
                <w:color w:val="000000"/>
                <w:sz w:val="24"/>
                <w:szCs w:val="24"/>
              </w:rPr>
            </w:pPr>
            <w:r>
              <w:rPr>
                <w:rFonts w:ascii="宋体" w:hAnsi="宋体" w:cs="宋体"/>
                <w:color w:val="000000"/>
                <w:sz w:val="24"/>
                <w:szCs w:val="24"/>
              </w:rPr>
              <w:t xml:space="preserve">提供投标人近半年以来为其缴纳任意</w:t>
            </w:r>
            <w:r>
              <w:rPr>
                <w:rFonts w:hint="eastAsia" w:ascii="宋体" w:hAnsi="宋体" w:cs="宋体"/>
                <w:color w:val="000000"/>
                <w:sz w:val="24"/>
                <w:szCs w:val="24"/>
                <w:lang w:val="en-US" w:eastAsia="zh-CN"/>
              </w:rPr>
              <w:t xml:space="preserve">1</w:t>
            </w:r>
            <w:r>
              <w:rPr>
                <w:rFonts w:ascii="宋体" w:hAnsi="宋体" w:cs="宋体"/>
                <w:color w:val="000000"/>
                <w:sz w:val="24"/>
                <w:szCs w:val="24"/>
              </w:rPr>
              <w:t xml:space="preserve">个月社保的证明材料</w:t>
            </w:r>
            <w:r/>
          </w:p>
        </w:tc>
      </w:tr>
      <w:tr>
        <w:trPr>
          <w:cantSplit/>
          <w:trHeight w:val="300"/>
        </w:trPr>
        <w:tc>
          <w:tcPr>
            <w:tcBorders>
              <w:top w:val="none" w:color="000000" w:sz="4" w:space="0"/>
              <w:left w:val="single" w:color="000000" w:sz="8" w:space="0"/>
              <w:bottom w:val="none" w:color="000000" w:sz="4" w:space="0"/>
              <w:right w:val="single" w:color="000000" w:sz="4" w:space="0"/>
            </w:tcBorders>
            <w:tcW w:w="1301" w:type="dxa"/>
            <w:vAlign w:val="center"/>
            <w:vMerge w:val="restart"/>
            <w:textDirection w:val="lrTb"/>
            <w:noWrap/>
          </w:tcPr>
          <w:p>
            <w:pPr>
              <w:jc w:val="left"/>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11、</w:t>
            </w:r>
            <w:r>
              <w:rPr>
                <w:rFonts w:ascii="宋体" w:hAnsi="宋体" w:cs="宋体"/>
                <w:b/>
                <w:bCs/>
                <w:color w:val="000000"/>
                <w:sz w:val="24"/>
                <w:szCs w:val="24"/>
              </w:rPr>
              <w:t xml:space="preserve">业绩</w:t>
            </w:r>
            <w:r/>
          </w:p>
        </w:tc>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49" w:type="dxa"/>
            <w:vAlign w:val="center"/>
            <w:textDirection w:val="lrTb"/>
            <w:noWrap w:val="false"/>
          </w:tcPr>
          <w:p>
            <w:pPr>
              <w:widowControl/>
              <w:rPr>
                <w:rFonts w:ascii="宋体" w:hAnsi="宋体" w:cs="宋体"/>
                <w:b/>
                <w:bCs/>
                <w:color w:val="000000"/>
                <w:sz w:val="24"/>
                <w:szCs w:val="24"/>
                <w:lang w:val="en-US" w:eastAsia="zh-CN" w:bidi="ar-SA"/>
              </w:rPr>
            </w:pPr>
            <w:r>
              <w:rPr>
                <w:rFonts w:ascii="宋体" w:hAnsi="宋体" w:cs="宋体"/>
                <w:b/>
                <w:bCs/>
                <w:color w:val="000000"/>
                <w:sz w:val="24"/>
                <w:szCs w:val="24"/>
              </w:rPr>
              <w:t xml:space="preserve">同类业绩案例合同</w:t>
            </w:r>
            <w:r/>
          </w:p>
        </w:tc>
      </w:tr>
      <w:tr>
        <w:trPr>
          <w:cantSplit/>
          <w:trHeight w:val="1810"/>
        </w:trPr>
        <w:tc>
          <w:tcPr>
            <w:tcBorders>
              <w:top w:val="none" w:color="000000" w:sz="4" w:space="0"/>
              <w:left w:val="single" w:color="000000" w:sz="8" w:space="0"/>
              <w:bottom w:val="single" w:color="000000" w:sz="4" w:space="0"/>
              <w:right w:val="single" w:color="000000" w:sz="4"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49" w:type="dxa"/>
            <w:vAlign w:val="center"/>
            <w:textDirection w:val="lrTb"/>
            <w:noWrap w:val="false"/>
          </w:tcPr>
          <w:p>
            <w:pPr>
              <w:widowControl/>
              <w:rPr>
                <w:rFonts w:hint="eastAsia" w:ascii="宋体" w:hAnsi="宋体" w:eastAsia="宋体" w:cs="宋体"/>
                <w:color w:val="000000"/>
                <w:sz w:val="24"/>
                <w:szCs w:val="24"/>
                <w:lang w:val="en-US" w:eastAsia="zh-CN" w:bidi="ar-SA"/>
              </w:rPr>
            </w:pPr>
            <w:r>
              <w:rPr>
                <w:rFonts w:ascii="宋体" w:hAnsi="宋体" w:cs="宋体"/>
                <w:color w:val="000000"/>
                <w:sz w:val="24"/>
                <w:szCs w:val="24"/>
              </w:rPr>
              <w:t xml:space="preserve">供应商提供其他自2023年1月1日（含）</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以合同签订时间为准</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以来同类信息</w:t>
            </w:r>
            <w:r>
              <w:rPr>
                <w:rFonts w:hint="eastAsia" w:ascii="宋体" w:hAnsi="宋体" w:cs="宋体"/>
                <w:color w:val="000000"/>
                <w:sz w:val="24"/>
                <w:szCs w:val="24"/>
                <w:lang w:val="en-US" w:eastAsia="zh-CN"/>
              </w:rPr>
              <w:t xml:space="preserve">系统</w:t>
            </w:r>
            <w:r>
              <w:rPr>
                <w:rFonts w:ascii="宋体" w:hAnsi="宋体" w:cs="宋体"/>
                <w:color w:val="000000"/>
                <w:sz w:val="24"/>
                <w:szCs w:val="24"/>
              </w:rPr>
              <w:t xml:space="preserve">业绩案例合同</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合同中的相应功能内</w:t>
            </w:r>
            <w:r>
              <w:rPr>
                <w:rFonts w:ascii="宋体" w:hAnsi="宋体" w:cs="宋体"/>
                <w:color w:val="000000"/>
                <w:sz w:val="24"/>
                <w:szCs w:val="24"/>
                <w:highlight w:val="none"/>
              </w:rPr>
              <w:t xml:space="preserve">容应该涉及临床科研</w:t>
            </w:r>
            <w:r>
              <w:rPr>
                <w:rFonts w:hint="eastAsia" w:ascii="宋体" w:hAnsi="宋体" w:cs="宋体"/>
                <w:color w:val="000000"/>
                <w:sz w:val="24"/>
                <w:szCs w:val="24"/>
                <w:highlight w:val="none"/>
                <w:lang w:val="en-US" w:eastAsia="zh-CN"/>
              </w:rPr>
              <w:t xml:space="preserve">或</w:t>
            </w:r>
            <w:r>
              <w:rPr>
                <w:rFonts w:ascii="宋体" w:hAnsi="宋体" w:cs="宋体"/>
                <w:color w:val="000000"/>
                <w:sz w:val="24"/>
                <w:szCs w:val="24"/>
                <w:highlight w:val="none"/>
              </w:rPr>
              <w:t xml:space="preserve">人工智能或临床试验相关</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，每个合同案例得</w:t>
            </w:r>
            <w:r>
              <w:rPr>
                <w:rFonts w:hint="eastAsia" w:ascii="宋体" w:hAnsi="宋体" w:cs="宋体"/>
                <w:color w:val="000000"/>
                <w:sz w:val="24"/>
                <w:szCs w:val="24"/>
                <w:lang w:val="en-US" w:eastAsia="zh-CN"/>
              </w:rPr>
              <w:t xml:space="preserve">2</w:t>
            </w:r>
            <w:r>
              <w:rPr>
                <w:rFonts w:ascii="宋体" w:hAnsi="宋体" w:cs="宋体"/>
                <w:color w:val="000000"/>
                <w:sz w:val="24"/>
                <w:szCs w:val="24"/>
              </w:rPr>
              <w:t xml:space="preserve">分，本项最高得</w:t>
            </w:r>
            <w:r>
              <w:rPr>
                <w:rFonts w:hint="eastAsia" w:ascii="宋体" w:hAnsi="宋体" w:cs="宋体"/>
                <w:color w:val="000000"/>
                <w:sz w:val="24"/>
                <w:szCs w:val="24"/>
                <w:lang w:val="en-US" w:eastAsia="zh-CN"/>
              </w:rPr>
              <w:t xml:space="preserve">8</w:t>
            </w:r>
            <w:r>
              <w:rPr>
                <w:rFonts w:ascii="宋体" w:hAnsi="宋体" w:cs="宋体"/>
                <w:color w:val="000000"/>
                <w:sz w:val="24"/>
                <w:szCs w:val="24"/>
              </w:rPr>
              <w:t xml:space="preserve">分。</w:t>
            </w:r>
            <w:r>
              <w:rPr>
                <w:rFonts w:ascii="宋体" w:hAnsi="宋体" w:cs="宋体"/>
                <w:color w:val="000000"/>
                <w:sz w:val="24"/>
                <w:szCs w:val="24"/>
              </w:rPr>
              <w:br w:type="textWrapping" w:clear="all"/>
            </w:r>
            <w:r>
              <w:rPr>
                <w:rFonts w:ascii="宋体" w:hAnsi="宋体" w:cs="宋体"/>
                <w:color w:val="000000"/>
                <w:sz w:val="24"/>
                <w:szCs w:val="24"/>
              </w:rPr>
              <w:t xml:space="preserve">1. 需供有效合同</w:t>
            </w:r>
            <w:r>
              <w:rPr>
                <w:rFonts w:hint="eastAsia" w:ascii="宋体" w:hAnsi="宋体" w:cs="宋体"/>
                <w:color w:val="000000"/>
                <w:sz w:val="24"/>
                <w:szCs w:val="24"/>
                <w:lang w:val="en-US" w:eastAsia="zh-CN"/>
              </w:rPr>
              <w:t xml:space="preserve">复印件</w:t>
            </w:r>
            <w:r>
              <w:rPr>
                <w:rFonts w:ascii="宋体" w:hAnsi="宋体" w:cs="宋体"/>
                <w:color w:val="000000"/>
                <w:sz w:val="24"/>
                <w:szCs w:val="24"/>
              </w:rPr>
              <w:t xml:space="preserve">，合同页须清晰可见交付功能内容，供应商须同时提供同一项目的中标或成交通知书</w:t>
            </w:r>
            <w:r>
              <w:rPr>
                <w:rFonts w:hint="eastAsia" w:ascii="宋体" w:hAnsi="宋体" w:cs="宋体"/>
                <w:color w:val="000000"/>
                <w:sz w:val="24"/>
                <w:szCs w:val="24"/>
                <w:lang w:val="en-US" w:eastAsia="zh-CN"/>
              </w:rPr>
              <w:t xml:space="preserve">复印件</w:t>
            </w:r>
            <w:r>
              <w:rPr>
                <w:rFonts w:ascii="宋体" w:hAnsi="宋体" w:cs="宋体"/>
                <w:color w:val="000000"/>
                <w:sz w:val="24"/>
                <w:szCs w:val="24"/>
              </w:rPr>
              <w:t xml:space="preserve">及合同</w:t>
            </w:r>
            <w:r>
              <w:rPr>
                <w:rFonts w:hint="eastAsia" w:ascii="宋体" w:hAnsi="宋体" w:cs="宋体"/>
                <w:color w:val="000000"/>
                <w:sz w:val="24"/>
                <w:szCs w:val="24"/>
                <w:lang w:val="en-US" w:eastAsia="zh-CN"/>
              </w:rPr>
              <w:t xml:space="preserve">复印件</w:t>
            </w:r>
            <w:r/>
          </w:p>
        </w:tc>
      </w:tr>
      <w:tr>
        <w:trPr>
          <w:cantSplit/>
          <w:trHeight w:val="300"/>
        </w:trPr>
        <w:tc>
          <w:tcPr>
            <w:tcBorders>
              <w:top w:val="single" w:color="000000" w:sz="4" w:space="0"/>
              <w:left w:val="single" w:color="000000" w:sz="4" w:space="0"/>
              <w:bottom w:val="single" w:color="000000" w:sz="4" w:space="0"/>
              <w:right w:val="single" w:color="000000" w:sz="4" w:space="0"/>
            </w:tcBorders>
            <w:tcW w:w="1301" w:type="dxa"/>
            <w:vAlign w:val="center"/>
            <w:vMerge w:val="restart"/>
            <w:textDirection w:val="lrTb"/>
            <w:noWrap/>
          </w:tcPr>
          <w:p>
            <w:pPr>
              <w:jc w:val="left"/>
              <w:widowControl/>
              <w:rPr>
                <w:rFonts w:ascii="宋体" w:hAnsi="宋体" w:cs="宋体"/>
                <w:b/>
                <w:bCs/>
                <w:color w:val="000000"/>
                <w:sz w:val="24"/>
                <w:szCs w:val="24"/>
              </w:rPr>
            </w:pPr>
            <w:r>
              <w:rPr>
                <w:rFonts w:hint="eastAsia" w:ascii="宋体" w:hAnsi="宋体" w:cs="宋体"/>
                <w:b/>
                <w:bCs/>
                <w:color w:val="000000"/>
                <w:sz w:val="24"/>
                <w:szCs w:val="24"/>
                <w:lang w:val="en-US" w:eastAsia="zh-CN"/>
              </w:rPr>
              <w:t xml:space="preserve">12、</w:t>
            </w:r>
            <w:r>
              <w:rPr>
                <w:rFonts w:ascii="宋体" w:hAnsi="宋体" w:cs="宋体"/>
                <w:b/>
                <w:bCs/>
                <w:color w:val="000000"/>
                <w:sz w:val="24"/>
                <w:szCs w:val="24"/>
              </w:rPr>
              <w:t xml:space="preserve">企业能力</w:t>
            </w:r>
            <w:r/>
          </w:p>
        </w:tc>
        <w:tc>
          <w:tcPr>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949" w:type="dxa"/>
            <w:vAlign w:val="center"/>
            <w:textDirection w:val="lrTb"/>
            <w:noWrap w:val="false"/>
          </w:tcPr>
          <w:p>
            <w:pPr>
              <w:widowControl/>
              <w:rPr>
                <w:rFonts w:ascii="宋体" w:hAnsi="宋体" w:cs="宋体"/>
                <w:b/>
                <w:bCs/>
                <w:color w:val="000000"/>
                <w:sz w:val="24"/>
                <w:szCs w:val="24"/>
              </w:rPr>
            </w:pPr>
            <w:r>
              <w:rPr>
                <w:rFonts w:ascii="宋体" w:hAnsi="宋体" w:cs="宋体"/>
                <w:b/>
                <w:bCs/>
                <w:color w:val="000000"/>
                <w:sz w:val="24"/>
                <w:szCs w:val="24"/>
              </w:rPr>
              <w:t xml:space="preserve">软件著作权</w:t>
            </w:r>
            <w:r/>
          </w:p>
        </w:tc>
      </w:tr>
      <w:tr>
        <w:trPr>
          <w:cantSplit/>
          <w:trHeight w:val="310"/>
        </w:trPr>
        <w:tc>
          <w:tcPr>
            <w:tcBorders>
              <w:top w:val="single" w:color="000000" w:sz="4" w:space="0"/>
              <w:left w:val="single" w:color="000000" w:sz="4" w:space="0"/>
              <w:bottom w:val="single" w:color="000000" w:sz="4" w:space="0"/>
              <w:right w:val="single" w:color="000000" w:sz="4" w:space="0"/>
            </w:tcBorders>
            <w:tcW w:w="1301" w:type="dxa"/>
            <w:vAlign w:val="center"/>
            <w:vMerge w:val="continue"/>
            <w:textDirection w:val="lrTb"/>
            <w:noWrap w:val="false"/>
          </w:tcPr>
          <w:p>
            <w:pPr>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49" w:type="dxa"/>
            <w:vAlign w:val="center"/>
            <w:textDirection w:val="lrTb"/>
            <w:noWrap w:val="false"/>
          </w:tcPr>
          <w:p>
            <w:pPr>
              <w:widowControl/>
              <w:rPr>
                <w:rFonts w:ascii="宋体" w:hAnsi="宋体" w:cs="宋体"/>
                <w:color w:val="000000"/>
                <w:sz w:val="24"/>
                <w:szCs w:val="24"/>
              </w:rPr>
            </w:pPr>
            <w:r>
              <w:rPr>
                <w:rFonts w:ascii="宋体" w:hAnsi="宋体" w:cs="宋体"/>
                <w:color w:val="000000"/>
                <w:sz w:val="24"/>
                <w:szCs w:val="24"/>
              </w:rPr>
              <w:t xml:space="preserve">投标人每提供一</w:t>
            </w:r>
            <w:r>
              <w:rPr>
                <w:rFonts w:hint="eastAsia" w:ascii="宋体" w:hAnsi="宋体" w:cs="宋体"/>
                <w:color w:val="000000"/>
                <w:sz w:val="24"/>
                <w:szCs w:val="24"/>
                <w:lang w:val="en-US" w:eastAsia="zh-CN"/>
              </w:rPr>
              <w:t xml:space="preserve">类</w:t>
            </w:r>
            <w:r>
              <w:rPr>
                <w:rFonts w:ascii="宋体" w:hAnsi="宋体" w:cs="宋体"/>
                <w:color w:val="000000"/>
                <w:sz w:val="24"/>
                <w:szCs w:val="24"/>
              </w:rPr>
              <w:t xml:space="preserve">以下关键词（包括：临床研究</w:t>
            </w:r>
            <w:r>
              <w:rPr>
                <w:rFonts w:hint="eastAsia" w:ascii="宋体" w:hAnsi="宋体" w:cs="宋体"/>
                <w:color w:val="000000"/>
                <w:sz w:val="24"/>
                <w:szCs w:val="24"/>
                <w:lang w:val="en-US" w:eastAsia="zh-CN"/>
              </w:rPr>
              <w:t xml:space="preserve">或</w:t>
            </w:r>
            <w:r>
              <w:rPr>
                <w:rFonts w:ascii="宋体" w:hAnsi="宋体" w:cs="宋体"/>
                <w:color w:val="000000"/>
                <w:sz w:val="24"/>
                <w:szCs w:val="24"/>
              </w:rPr>
              <w:t xml:space="preserve">人工智能</w:t>
            </w:r>
            <w:r>
              <w:rPr>
                <w:rFonts w:hint="eastAsia" w:ascii="宋体" w:hAnsi="宋体" w:cs="宋体"/>
                <w:color w:val="000000"/>
                <w:sz w:val="24"/>
                <w:szCs w:val="24"/>
                <w:lang w:val="en-US" w:eastAsia="zh-CN"/>
              </w:rPr>
              <w:t xml:space="preserve">或   </w:t>
            </w:r>
            <w:r>
              <w:rPr>
                <w:rFonts w:ascii="宋体" w:hAnsi="宋体" w:cs="宋体"/>
                <w:color w:val="000000"/>
                <w:sz w:val="24"/>
                <w:szCs w:val="24"/>
              </w:rPr>
              <w:t xml:space="preserve">临床试验）的</w:t>
            </w:r>
            <w:r>
              <w:rPr>
                <w:rFonts w:hint="eastAsia" w:ascii="宋体" w:hAnsi="宋体" w:cs="宋体"/>
                <w:color w:val="000000"/>
                <w:sz w:val="24"/>
                <w:szCs w:val="24"/>
                <w:lang w:val="en-US" w:eastAsia="zh-CN"/>
              </w:rPr>
              <w:t xml:space="preserve">自有</w:t>
            </w:r>
            <w:r>
              <w:rPr>
                <w:rFonts w:ascii="宋体" w:hAnsi="宋体" w:cs="宋体"/>
                <w:color w:val="000000"/>
                <w:sz w:val="24"/>
                <w:szCs w:val="24"/>
              </w:rPr>
              <w:t xml:space="preserve">计算机软件著作权证书</w:t>
            </w:r>
            <w:r>
              <w:rPr>
                <w:rFonts w:hint="eastAsia" w:ascii="宋体" w:hAnsi="宋体" w:cs="宋体"/>
                <w:color w:val="000000"/>
                <w:sz w:val="24"/>
                <w:szCs w:val="24"/>
                <w:lang w:val="en-US" w:eastAsia="zh-CN"/>
              </w:rPr>
              <w:t xml:space="preserve">复印件</w:t>
            </w:r>
            <w:r>
              <w:rPr>
                <w:rFonts w:ascii="宋体" w:hAnsi="宋体" w:cs="宋体"/>
                <w:color w:val="000000"/>
                <w:sz w:val="24"/>
                <w:szCs w:val="24"/>
              </w:rPr>
              <w:t xml:space="preserve">得1分，最高分3分。</w:t>
            </w:r>
            <w:r>
              <w:rPr>
                <w:rFonts w:hint="eastAsia"/>
                <w:sz w:val="24"/>
                <w:szCs w:val="24"/>
              </w:rPr>
              <w:t xml:space="preserve">同一类不重复得分</w:t>
            </w:r>
            <w:r>
              <w:rPr>
                <w:rFonts w:hint="eastAsia"/>
                <w:sz w:val="24"/>
                <w:szCs w:val="24"/>
                <w:lang w:eastAsia="zh-CN"/>
              </w:rPr>
              <w:t xml:space="preserve">。</w:t>
            </w:r>
            <w:r/>
          </w:p>
          <w:p>
            <w:pPr>
              <w:widowControl/>
            </w:pPr>
            <w:r>
              <w:rPr>
                <w:rFonts w:hint="eastAsia" w:ascii="宋体" w:hAnsi="宋体" w:cs="宋体"/>
                <w:color w:val="000000"/>
                <w:sz w:val="24"/>
                <w:szCs w:val="24"/>
              </w:rPr>
              <w:t xml:space="preserve">（如投标文件中提供的著作权名称表述与招标文件描述的关键字样不完全一致，而该投标文件中能证明供应商拥有的软件著作权具有相同或相似功能和效果，且评标委员会认可的，视同符合要求。）</w:t>
            </w:r>
            <w:r/>
          </w:p>
        </w:tc>
      </w:tr>
    </w:tbl>
    <w:p>
      <w:pPr>
        <w:rPr>
          <w:rFonts w:hint="eastAsia"/>
        </w:rPr>
      </w:pPr>
      <w:r>
        <w:rPr>
          <w:rFonts w:hint="eastAsia"/>
        </w:rPr>
      </w:r>
      <w:r/>
    </w:p>
    <w:p>
      <w:pPr>
        <w:rPr>
          <w:rFonts w:hint="eastAsia"/>
        </w:rPr>
      </w:pPr>
      <w:r>
        <w:rPr>
          <w:rFonts w:hint="eastAsia"/>
        </w:rPr>
      </w:r>
      <w:r/>
    </w:p>
    <w:p>
      <w:pPr>
        <w:pStyle w:val="959"/>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59"/>
      <w:r/>
      <w:bookmarkEnd w:id="160"/>
      <w:r/>
      <w:bookmarkEnd w:id="161"/>
      <w:r>
        <w:rPr>
          <w:rFonts w:hint="eastAsia" w:ascii="方正黑体_GBK" w:hAnsi="方正黑体_GBK" w:eastAsia="方正黑体_GBK" w:cs="方正黑体_GBK"/>
          <w:color w:val="000000"/>
          <w:sz w:val="28"/>
          <w:szCs w:val="28"/>
        </w:rPr>
        <w:t xml:space="preserve">文件格式 </w:t>
      </w:r>
      <w:r/>
    </w:p>
    <w:p>
      <w:pPr>
        <w:jc w:val="center"/>
        <w:rPr>
          <w:rFonts w:hint="eastAsia" w:ascii="宋体" w:hAnsi="宋体"/>
          <w:b/>
          <w:sz w:val="28"/>
          <w:szCs w:val="28"/>
        </w:rPr>
      </w:pPr>
      <w:r/>
      <w:bookmarkStart w:id="162" w:name="_Hlt26955039"/>
      <w:r/>
      <w:bookmarkEnd w:id="162"/>
      <w:r/>
      <w:bookmarkStart w:id="163" w:name="_Hlt26671244"/>
      <w:r/>
      <w:bookmarkEnd w:id="163"/>
      <w:r/>
      <w:bookmarkStart w:id="164" w:name="_Toc26554094"/>
      <w:r/>
      <w:bookmarkStart w:id="165" w:name="_Toc120614282"/>
      <w:r/>
      <w:bookmarkStart w:id="166" w:name="_Toc49090576"/>
      <w:r/>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0"/>
        <w:rPr>
          <w:rFonts w:ascii="宋体" w:hAnsi="宋体"/>
          <w:b/>
          <w:bCs/>
          <w:sz w:val="32"/>
          <w:szCs w:val="32"/>
        </w:rPr>
      </w:pPr>
      <w:r>
        <w:rPr>
          <w:rFonts w:ascii="宋体" w:hAnsi="宋体"/>
          <w:b/>
          <w:sz w:val="36"/>
          <w:u w:val="single"/>
        </w:rPr>
        <w:br w:type="page" w:clear="all"/>
      </w:r>
      <w:r/>
    </w:p>
    <w:p>
      <w:pPr>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p>
    <w:p>
      <w:pPr>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提供服务的人员均为订立劳动合同的从业人员的书面声明</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eastAsia="方正仿宋_GBK" w:cs="Times New Roman"/>
          <w:color w:val="000000"/>
          <w:sz w:val="28"/>
          <w:szCs w:val="28"/>
          <w:u w:val="none"/>
          <w:lang w:val="en-US" w:eastAsia="zh-CN" w:bidi="ar-SA"/>
        </w:rPr>
        <w:t xml:space="preserve">14</w:t>
      </w:r>
      <w:r>
        <w:rPr>
          <w:rFonts w:hint="eastAsia" w:ascii="方正仿宋_GBK" w:hAnsi="方正仿宋_GBK" w:eastAsia="方正仿宋_GBK" w:cs="方正仿宋_GBK"/>
          <w:color w:val="000000"/>
          <w:sz w:val="28"/>
          <w:szCs w:val="28"/>
          <w:lang w:val="en-US" w:eastAsia="zh-CN" w:bidi="ar-SA"/>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p>
    <w:tbl>
      <w:tblPr>
        <w:tblStyle w:val="7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46"/>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p>
    <w:tbl>
      <w:tblPr>
        <w:tblStyle w:val="790"/>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p>
        </w:tc>
      </w:tr>
      <w:tr>
        <w:trPr>
          <w:cantSplit/>
          <w:trHeight w:val="757"/>
        </w:trPr>
        <w:tc>
          <w:tcPr>
            <w:gridSpan w:val="10"/>
            <w:tcW w:w="9861" w:type="dxa"/>
            <w:vAlign w:val="top"/>
            <w:textDirection w:val="lrTb"/>
            <w:noWrap w:val="false"/>
          </w:tcPr>
          <w:p>
            <w:pPr>
              <w:pStyle w:val="1020"/>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3.分项服务不需填写品牌、规格型号、制造商、产地。</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keepLines w:val="0"/>
        <w:keepNext w:val="0"/>
        <w:pageBreakBefore w:val="0"/>
        <w:spacing w:line="400" w:lineRule="exact"/>
        <w:rPr>
          <w:rFonts w:ascii="宋体" w:hAnsi="宋体"/>
          <w:sz w:val="28"/>
          <w:szCs w:val="28"/>
        </w:rPr>
      </w:pPr>
      <w:r>
        <w:rPr>
          <w:rFonts w:hint="eastAsia" w:ascii="宋体" w:hAnsi="宋体"/>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p>
    <w:p>
      <w:pPr>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p>
    <w:p>
      <w:pPr>
        <w:jc w:val="center"/>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p>
    <w:p>
      <w:pPr>
        <w:pStyle w:val="104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4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4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4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4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4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4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46"/>
        <w:ind w:left="420" w:firstLine="56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p>
    <w:p>
      <w:pPr>
        <w:pStyle w:val="1046"/>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bookmarkEnd w:id="164"/>
      <w:r/>
      <w:bookmarkEnd w:id="165"/>
      <w:r/>
      <w:bookmarkEnd w:id="166"/>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Start w:id="167"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60"/>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p>
    <w:p>
      <w:pPr>
        <w:pStyle w:val="1020"/>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3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3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102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102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p>
    <w:p>
      <w:pPr>
        <w:pStyle w:val="102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p>
    <w:p>
      <w:pPr>
        <w:pStyle w:val="102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20"/>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p>
    <w:p>
      <w:pPr>
        <w:pStyle w:val="1020"/>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p>
    <w:p>
      <w:pPr>
        <w:pStyle w:val="1020"/>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p>
    <w:p>
      <w:pPr>
        <w:pStyle w:val="102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p>
    <w:p>
      <w:pPr>
        <w:pStyle w:val="102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p>
    <w:p>
      <w:pPr>
        <w:pStyle w:val="102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p>
    <w:p>
      <w:pPr>
        <w:pStyle w:val="102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p>
    <w:p>
      <w:pPr>
        <w:pStyle w:val="102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p>
    <w:p>
      <w:pPr>
        <w:pStyle w:val="1020"/>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2"/>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p>
    <w:p>
      <w:pPr>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1072"/>
        <w:ind w:firstLine="562"/>
        <w:spacing w:before="30" w:beforeAutospacing="0" w:after="30" w:afterAutospacing="0" w:line="400" w:lineRule="exact"/>
        <w:rPr>
          <w:rFonts w:hint="eastAsia" w:ascii="方正黑体_GBK" w:hAnsi="方正黑体_GBK" w:eastAsia="方正黑体_GBK" w:cs="方正黑体_GBK"/>
          <w:b w:val="0"/>
          <w:bCs/>
          <w:sz w:val="28"/>
          <w:szCs w:val="28"/>
          <w:shd w:val="clear" w:color="auto" w:fill="ffffff"/>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14 </w:t>
      </w:r>
      <w:r>
        <w:rPr>
          <w:rFonts w:hint="eastAsia" w:ascii="方正黑体_GBK" w:hAnsi="方正黑体_GBK" w:eastAsia="方正黑体_GBK" w:cs="方正黑体_GBK"/>
          <w:b w:val="0"/>
          <w:bCs/>
          <w:sz w:val="28"/>
          <w:szCs w:val="28"/>
          <w:shd w:val="clear" w:color="auto" w:fill="ffffff"/>
        </w:rPr>
        <w:t xml:space="preserve">提供服务的人员均为订立劳动合同的从业人员的书面声明（采购包号：XX）</w:t>
      </w:r>
      <w:r/>
    </w:p>
    <w:p>
      <w:pPr>
        <w:pStyle w:val="107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本企业（本联合体，如项目采购包接受联合体参加的）参加江苏省政府采购中心组织的项目编号为JSZC-320000-SCZX-</w:t>
      </w:r>
      <w:r>
        <w:rPr>
          <w:rFonts w:hint="eastAsia" w:ascii="方正仿宋_GBK" w:hAnsi="方正仿宋_GBK" w:eastAsia="方正仿宋_GBK" w:cs="方正仿宋_GBK"/>
          <w:sz w:val="28"/>
          <w:szCs w:val="28"/>
          <w:shd w:val="clear" w:color="auto" w:fill="ffffff"/>
          <w:lang w:val="en-US" w:eastAsia="zh-CN"/>
        </w:rPr>
        <w:t xml:space="preserve">G</w:t>
      </w:r>
      <w:r>
        <w:rPr>
          <w:rFonts w:hint="eastAsia" w:ascii="方正仿宋_GBK" w:hAnsi="方正仿宋_GBK" w:eastAsia="方正仿宋_GBK" w:cs="方正仿宋_GBK"/>
          <w:sz w:val="28"/>
          <w:szCs w:val="28"/>
          <w:shd w:val="clear" w:color="auto" w:fill="ffffff"/>
        </w:rPr>
        <w:t xml:space="preserve">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pStyle w:val="107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本企业（联合体）对上述声明的真实性负责。如有虚假，将依法承担相应责任。</w:t>
      </w:r>
      <w:r/>
    </w:p>
    <w:p>
      <w:pPr>
        <w:pStyle w:val="107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107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注：如是专门面向中小微型企业采购的采购项目采购包，投标人（供应商）未提供该书面声明的，投标（响应）无效。</w:t>
      </w:r>
      <w:r/>
    </w:p>
    <w:p>
      <w:pPr>
        <w:pStyle w:val="107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r>
      <w:r/>
    </w:p>
    <w:p>
      <w:pPr>
        <w:pStyle w:val="1072"/>
        <w:jc w:val="center"/>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  公司（单位）名称（加盖CA电子公章）：　        </w:t>
      </w:r>
      <w:r/>
    </w:p>
    <w:p>
      <w:pPr>
        <w:pStyle w:val="1072"/>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日期：</w:t>
      </w:r>
      <w:r>
        <w:rPr>
          <w:rFonts w:hint="eastAsia" w:ascii="方正仿宋_GBK" w:hAnsi="方正仿宋_GBK" w:eastAsia="方正仿宋_GBK" w:cs="方正仿宋_GBK"/>
          <w:sz w:val="28"/>
          <w:szCs w:val="28"/>
        </w:rPr>
        <w:t xml:space="preserve">____年____月____日</w:t>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bookmarkEnd w:id="157"/>
      <w:r/>
      <w:bookmarkEnd w:id="158"/>
      <w:r/>
      <w:bookmarkEnd w:id="167"/>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质疑函范本</w:t>
      </w:r>
      <w:r/>
    </w:p>
    <w:p>
      <w:pPr>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keepLines w:val="0"/>
        <w:keepNext w:val="0"/>
        <w:pageBreakBefore w:val="0"/>
        <w:spacing w:line="400" w:lineRule="exact"/>
        <w:widowControl/>
        <w:rPr>
          <w:sz w:val="24"/>
          <w:szCs w:val="24"/>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bookmarkStart w:id="168" w:name="_GoBack"/>
      <w:r/>
      <w:bookmarkEnd w:id="168"/>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p>
  <w:p>
    <w:pPr>
      <w:pStyle w:val="10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p>
  <w:p>
    <w:pPr>
      <w:pStyle w:val="10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04"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upperLetter"/>
      <w:pStyle w:val="10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5"/>
      <w:isLgl w:val="false"/>
      <w:suff w:val="nothing"/>
      <w:lvlText w:val=""/>
      <w:lvlJc w:val="left"/>
      <w:pPr>
        <w:ind w:left="0" w:firstLine="0"/>
      </w:pPr>
      <w:rPr>
        <w:rFonts w:hint="eastAsia"/>
      </w:rPr>
    </w:lvl>
    <w:lvl w:ilvl="6">
      <w:start w:val="1"/>
      <w:numFmt w:val="decimal"/>
      <w:pStyle w:val="966"/>
      <w:isLgl w:val="false"/>
      <w:suff w:val="nothing"/>
      <w:lvlText w:val=""/>
      <w:lvlJc w:val="left"/>
      <w:pPr>
        <w:ind w:left="0" w:firstLine="0"/>
      </w:pPr>
      <w:rPr>
        <w:rFonts w:hint="eastAsia"/>
      </w:rPr>
    </w:lvl>
    <w:lvl w:ilvl="7">
      <w:start w:val="1"/>
      <w:numFmt w:val="decimal"/>
      <w:pStyle w:val="967"/>
      <w:isLgl w:val="false"/>
      <w:suff w:val="nothing"/>
      <w:lvlText w:val=""/>
      <w:lvlJc w:val="left"/>
      <w:pPr>
        <w:ind w:left="0" w:firstLine="0"/>
      </w:pPr>
      <w:rPr>
        <w:rFonts w:hint="eastAsia"/>
      </w:rPr>
    </w:lvl>
    <w:lvl w:ilvl="8">
      <w:start w:val="1"/>
      <w:numFmt w:val="decimal"/>
      <w:pStyle w:val="968"/>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pStyle w:val="10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link w:val="107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0">
    <w:name w:val="Heading 1"/>
    <w:basedOn w:val="779"/>
    <w:next w:val="779"/>
    <w:link w:val="812"/>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link w:val="813"/>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link w:val="814"/>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15"/>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16"/>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17"/>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19"/>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20"/>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right="0" w:firstLine="0"/>
      <w:spacing w:after="57"/>
    </w:pPr>
  </w:style>
  <w:style w:type="paragraph" w:styleId="792">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toc 5"/>
    <w:basedOn w:val="779"/>
    <w:next w:val="779"/>
    <w:uiPriority w:val="39"/>
    <w:unhideWhenUsed/>
    <w:qFormat/>
    <w:pPr>
      <w:ind w:left="1134" w:right="0" w:firstLine="0"/>
      <w:spacing w:after="57"/>
    </w:pPr>
  </w:style>
  <w:style w:type="paragraph" w:styleId="794">
    <w:name w:val="toc 3"/>
    <w:basedOn w:val="779"/>
    <w:next w:val="779"/>
    <w:uiPriority w:val="39"/>
    <w:unhideWhenUsed/>
    <w:qFormat/>
    <w:pPr>
      <w:ind w:left="567" w:right="0" w:firstLine="0"/>
      <w:spacing w:after="57"/>
    </w:pPr>
  </w:style>
  <w:style w:type="paragraph" w:styleId="795">
    <w:name w:val="toc 8"/>
    <w:basedOn w:val="779"/>
    <w:next w:val="779"/>
    <w:uiPriority w:val="39"/>
    <w:unhideWhenUsed/>
    <w:qFormat/>
    <w:pPr>
      <w:ind w:left="1984" w:right="0" w:firstLine="0"/>
      <w:spacing w:after="57"/>
    </w:pPr>
  </w:style>
  <w:style w:type="paragraph" w:styleId="796">
    <w:name w:val="endnote text"/>
    <w:basedOn w:val="779"/>
    <w:link w:val="957"/>
    <w:uiPriority w:val="99"/>
    <w:semiHidden/>
    <w:unhideWhenUsed/>
    <w:qFormat/>
    <w:pPr>
      <w:spacing w:after="0" w:line="240" w:lineRule="auto"/>
    </w:pPr>
    <w:rPr>
      <w:sz w:val="20"/>
    </w:rPr>
  </w:style>
  <w:style w:type="paragraph" w:styleId="797">
    <w:name w:val="Footer"/>
    <w:basedOn w:val="779"/>
    <w:link w:val="831"/>
    <w:uiPriority w:val="99"/>
    <w:unhideWhenUsed/>
    <w:qFormat/>
    <w:pPr>
      <w:spacing w:after="0" w:line="240" w:lineRule="auto"/>
      <w:tabs>
        <w:tab w:val="center" w:pos="7143" w:leader="none"/>
        <w:tab w:val="right" w:pos="14287" w:leader="none"/>
      </w:tabs>
    </w:pPr>
  </w:style>
  <w:style w:type="paragraph" w:styleId="798">
    <w:name w:val="Header"/>
    <w:basedOn w:val="779"/>
    <w:link w:val="829"/>
    <w:uiPriority w:val="99"/>
    <w:unhideWhenUsed/>
    <w:qFormat/>
    <w:pPr>
      <w:spacing w:after="0" w:line="240" w:lineRule="auto"/>
      <w:tabs>
        <w:tab w:val="center" w:pos="7143" w:leader="none"/>
        <w:tab w:val="right" w:pos="14287" w:leader="none"/>
      </w:tabs>
    </w:pPr>
  </w:style>
  <w:style w:type="paragraph" w:styleId="799">
    <w:name w:val="toc 1"/>
    <w:basedOn w:val="779"/>
    <w:next w:val="779"/>
    <w:uiPriority w:val="39"/>
    <w:unhideWhenUsed/>
    <w:qFormat/>
    <w:pPr>
      <w:ind w:left="0" w:right="0" w:firstLine="0"/>
      <w:spacing w:after="57"/>
    </w:pPr>
  </w:style>
  <w:style w:type="paragraph" w:styleId="800">
    <w:name w:val="toc 4"/>
    <w:basedOn w:val="779"/>
    <w:next w:val="779"/>
    <w:uiPriority w:val="39"/>
    <w:unhideWhenUsed/>
    <w:qFormat/>
    <w:pPr>
      <w:ind w:left="850" w:right="0" w:firstLine="0"/>
      <w:spacing w:after="57"/>
    </w:pPr>
  </w:style>
  <w:style w:type="paragraph" w:styleId="801">
    <w:name w:val="Subtitle"/>
    <w:basedOn w:val="779"/>
    <w:next w:val="779"/>
    <w:link w:val="824"/>
    <w:uiPriority w:val="11"/>
    <w:qFormat/>
    <w:pPr>
      <w:spacing w:before="200" w:after="200"/>
    </w:pPr>
    <w:rPr>
      <w:sz w:val="24"/>
      <w:szCs w:val="24"/>
    </w:rPr>
  </w:style>
  <w:style w:type="paragraph" w:styleId="802">
    <w:name w:val="footnote text"/>
    <w:basedOn w:val="779"/>
    <w:link w:val="956"/>
    <w:uiPriority w:val="99"/>
    <w:semiHidden/>
    <w:unhideWhenUsed/>
    <w:qFormat/>
    <w:pPr>
      <w:spacing w:after="40" w:line="240" w:lineRule="auto"/>
    </w:pPr>
    <w:rPr>
      <w:sz w:val="18"/>
    </w:rPr>
  </w:style>
  <w:style w:type="paragraph" w:styleId="803">
    <w:name w:val="toc 6"/>
    <w:basedOn w:val="779"/>
    <w:next w:val="779"/>
    <w:uiPriority w:val="39"/>
    <w:unhideWhenUsed/>
    <w:qFormat/>
    <w:pPr>
      <w:ind w:left="1417" w:right="0" w:firstLine="0"/>
      <w:spacing w:after="57"/>
    </w:pPr>
  </w:style>
  <w:style w:type="paragraph" w:styleId="804">
    <w:name w:val="table of figures"/>
    <w:basedOn w:val="779"/>
    <w:next w:val="779"/>
    <w:uiPriority w:val="99"/>
    <w:unhideWhenUsed/>
    <w:qFormat/>
    <w:pPr>
      <w:spacing w:after="0" w:afterAutospacing="0"/>
    </w:pPr>
  </w:style>
  <w:style w:type="paragraph" w:styleId="805">
    <w:name w:val="toc 2"/>
    <w:basedOn w:val="779"/>
    <w:next w:val="779"/>
    <w:uiPriority w:val="39"/>
    <w:unhideWhenUsed/>
    <w:qFormat/>
    <w:pPr>
      <w:ind w:left="283" w:right="0" w:firstLine="0"/>
      <w:spacing w:after="57"/>
    </w:pPr>
  </w:style>
  <w:style w:type="paragraph" w:styleId="806">
    <w:name w:val="toc 9"/>
    <w:basedOn w:val="779"/>
    <w:next w:val="779"/>
    <w:uiPriority w:val="39"/>
    <w:unhideWhenUsed/>
    <w:qFormat/>
    <w:pPr>
      <w:ind w:left="2268" w:right="0" w:firstLine="0"/>
      <w:spacing w:after="57"/>
    </w:pPr>
  </w:style>
  <w:style w:type="paragraph" w:styleId="807">
    <w:name w:val="Title"/>
    <w:basedOn w:val="779"/>
    <w:next w:val="779"/>
    <w:link w:val="823"/>
    <w:uiPriority w:val="10"/>
    <w:qFormat/>
    <w:pPr>
      <w:contextualSpacing/>
      <w:spacing w:before="300" w:after="200"/>
    </w:pPr>
    <w:rPr>
      <w:sz w:val="48"/>
      <w:szCs w:val="48"/>
    </w:r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character" w:styleId="812" w:customStyle="1">
    <w:name w:val="Heading 1 Char"/>
    <w:link w:val="780"/>
    <w:uiPriority w:val="9"/>
    <w:qFormat/>
    <w:rPr>
      <w:rFonts w:ascii="Arial" w:hAnsi="Arial" w:eastAsia="Arial" w:cs="Arial"/>
      <w:sz w:val="40"/>
      <w:szCs w:val="40"/>
    </w:rPr>
  </w:style>
  <w:style w:type="character" w:styleId="813" w:customStyle="1">
    <w:name w:val="Heading 2 Char"/>
    <w:link w:val="781"/>
    <w:uiPriority w:val="9"/>
    <w:qFormat/>
    <w:rPr>
      <w:rFonts w:ascii="Arial" w:hAnsi="Arial" w:eastAsia="Arial" w:cs="Arial"/>
      <w:sz w:val="34"/>
    </w:rPr>
  </w:style>
  <w:style w:type="character" w:styleId="814" w:customStyle="1">
    <w:name w:val="Heading 3 Char"/>
    <w:link w:val="782"/>
    <w:uiPriority w:val="9"/>
    <w:qFormat/>
    <w:rPr>
      <w:rFonts w:ascii="Arial" w:hAnsi="Arial" w:eastAsia="Arial" w:cs="Arial"/>
      <w:sz w:val="30"/>
      <w:szCs w:val="30"/>
    </w:rPr>
  </w:style>
  <w:style w:type="character" w:styleId="815" w:customStyle="1">
    <w:name w:val="Heading 4 Char"/>
    <w:link w:val="783"/>
    <w:uiPriority w:val="9"/>
    <w:qFormat/>
    <w:rPr>
      <w:rFonts w:ascii="Arial" w:hAnsi="Arial" w:eastAsia="Arial" w:cs="Arial"/>
      <w:b/>
      <w:bCs/>
      <w:sz w:val="26"/>
      <w:szCs w:val="26"/>
    </w:rPr>
  </w:style>
  <w:style w:type="character" w:styleId="816" w:customStyle="1">
    <w:name w:val="Heading 5 Char"/>
    <w:link w:val="784"/>
    <w:uiPriority w:val="9"/>
    <w:qFormat/>
    <w:rPr>
      <w:rFonts w:ascii="Arial" w:hAnsi="Arial" w:eastAsia="Arial" w:cs="Arial"/>
      <w:b/>
      <w:bCs/>
      <w:sz w:val="24"/>
      <w:szCs w:val="24"/>
    </w:rPr>
  </w:style>
  <w:style w:type="character" w:styleId="817" w:customStyle="1">
    <w:name w:val="Heading 6 Char"/>
    <w:link w:val="785"/>
    <w:uiPriority w:val="9"/>
    <w:qFormat/>
    <w:rPr>
      <w:rFonts w:ascii="Arial" w:hAnsi="Arial" w:eastAsia="Arial" w:cs="Arial"/>
      <w:b/>
      <w:bCs/>
      <w:sz w:val="22"/>
      <w:szCs w:val="22"/>
    </w:rPr>
  </w:style>
  <w:style w:type="character" w:styleId="818" w:customStyle="1">
    <w:name w:val="Heading 7 Char"/>
    <w:link w:val="786"/>
    <w:uiPriority w:val="9"/>
    <w:qFormat/>
    <w:rPr>
      <w:rFonts w:ascii="Arial" w:hAnsi="Arial" w:eastAsia="Arial" w:cs="Arial"/>
      <w:b/>
      <w:bCs/>
      <w:i/>
      <w:iCs/>
      <w:sz w:val="22"/>
      <w:szCs w:val="22"/>
    </w:rPr>
  </w:style>
  <w:style w:type="character" w:styleId="819" w:customStyle="1">
    <w:name w:val="Heading 8 Char"/>
    <w:link w:val="787"/>
    <w:uiPriority w:val="9"/>
    <w:qFormat/>
    <w:rPr>
      <w:rFonts w:ascii="Arial" w:hAnsi="Arial" w:eastAsia="Arial" w:cs="Arial"/>
      <w:i/>
      <w:iCs/>
      <w:sz w:val="22"/>
      <w:szCs w:val="22"/>
    </w:rPr>
  </w:style>
  <w:style w:type="character" w:styleId="820" w:customStyle="1">
    <w:name w:val="Heading 9 Char"/>
    <w:link w:val="788"/>
    <w:uiPriority w:val="9"/>
    <w:qFormat/>
    <w:rPr>
      <w:rFonts w:ascii="Arial" w:hAnsi="Arial" w:eastAsia="Arial" w:cs="Arial"/>
      <w:i/>
      <w:iCs/>
      <w:sz w:val="21"/>
      <w:szCs w:val="21"/>
    </w:rPr>
  </w:style>
  <w:style w:type="paragraph" w:styleId="821">
    <w:name w:val="List Paragraph"/>
    <w:basedOn w:val="779"/>
    <w:uiPriority w:val="34"/>
    <w:qFormat/>
    <w:pPr>
      <w:contextualSpacing/>
      <w:ind w:left="720"/>
    </w:pPr>
  </w:style>
  <w:style w:type="paragraph" w:styleId="822">
    <w:name w:val="No Spacing"/>
    <w:uiPriority w:val="1"/>
    <w:qFormat/>
    <w:pPr>
      <w:spacing w:before="0" w:after="0" w:line="240" w:lineRule="auto"/>
    </w:pPr>
    <w:rPr>
      <w:rFonts w:hint="default" w:ascii="Times New Roman" w:hAnsi="Times New Roman" w:eastAsia="宋体" w:cs="Times New Roman"/>
    </w:rPr>
  </w:style>
  <w:style w:type="character" w:styleId="823" w:customStyle="1">
    <w:name w:val="Title Char"/>
    <w:link w:val="807"/>
    <w:uiPriority w:val="10"/>
    <w:qFormat/>
    <w:rPr>
      <w:sz w:val="48"/>
      <w:szCs w:val="48"/>
    </w:rPr>
  </w:style>
  <w:style w:type="character" w:styleId="824" w:customStyle="1">
    <w:name w:val="Subtitle Char"/>
    <w:link w:val="801"/>
    <w:uiPriority w:val="11"/>
    <w:qFormat/>
    <w:rPr>
      <w:sz w:val="24"/>
      <w:szCs w:val="24"/>
    </w:rPr>
  </w:style>
  <w:style w:type="paragraph" w:styleId="825">
    <w:name w:val="Quote"/>
    <w:basedOn w:val="779"/>
    <w:next w:val="779"/>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79"/>
    <w:next w:val="779"/>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98"/>
    <w:uiPriority w:val="99"/>
    <w:qFormat/>
  </w:style>
  <w:style w:type="character" w:styleId="830" w:customStyle="1">
    <w:name w:val="Footer Char"/>
    <w:link w:val="797"/>
    <w:uiPriority w:val="99"/>
    <w:qFormat/>
  </w:style>
  <w:style w:type="character" w:styleId="831" w:customStyle="1">
    <w:name w:val="Caption Char"/>
    <w:link w:val="797"/>
    <w:uiPriority w:val="99"/>
    <w:qFormat/>
  </w:style>
  <w:style w:type="table" w:styleId="8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Footnote Text Char"/>
    <w:link w:val="802"/>
    <w:uiPriority w:val="99"/>
    <w:qFormat/>
    <w:rPr>
      <w:sz w:val="18"/>
    </w:rPr>
  </w:style>
  <w:style w:type="character" w:styleId="957" w:customStyle="1">
    <w:name w:val="Endnote Text Char"/>
    <w:link w:val="796"/>
    <w:uiPriority w:val="99"/>
    <w:qFormat/>
    <w:rPr>
      <w:sz w:val="20"/>
    </w:rPr>
  </w:style>
  <w:style w:type="paragraph" w:styleId="958" w:customStyle="1">
    <w:name w:val="TOC Heading"/>
    <w:uiPriority w:val="39"/>
    <w:unhideWhenUsed/>
    <w:qFormat/>
    <w:rPr>
      <w:rFonts w:hint="default" w:ascii="Times New Roman" w:hAnsi="Times New Roman" w:eastAsia="宋体" w:cs="Times New Roman"/>
    </w:rPr>
  </w:style>
  <w:style w:type="paragraph" w:styleId="959" w:customStyle="1">
    <w:name w:val="标题 11"/>
    <w:basedOn w:val="779"/>
    <w:next w:val="779"/>
    <w:link w:val="971"/>
    <w:uiPriority w:val="0"/>
    <w:qFormat/>
    <w:pPr>
      <w:jc w:val="center"/>
      <w:keepNext/>
      <w:outlineLvl w:val="0"/>
    </w:pPr>
    <w:rPr>
      <w:rFonts w:ascii="楷体_GB2312" w:eastAsia="楷体_GB2312"/>
      <w:sz w:val="28"/>
      <w:szCs w:val="28"/>
    </w:rPr>
  </w:style>
  <w:style w:type="paragraph" w:styleId="960" w:customStyle="1">
    <w:name w:val="标题 21"/>
    <w:basedOn w:val="779"/>
    <w:next w:val="961"/>
    <w:link w:val="97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1" w:customStyle="1">
    <w:name w:val="正文缩进1"/>
    <w:basedOn w:val="779"/>
    <w:link w:val="973"/>
    <w:uiPriority w:val="0"/>
    <w:qFormat/>
    <w:pPr>
      <w:ind w:firstLine="420"/>
    </w:pPr>
  </w:style>
  <w:style w:type="paragraph" w:styleId="962" w:customStyle="1">
    <w:name w:val="标题 31"/>
    <w:basedOn w:val="779"/>
    <w:next w:val="961"/>
    <w:link w:val="974"/>
    <w:uiPriority w:val="0"/>
    <w:qFormat/>
    <w:pPr>
      <w:keepLines/>
      <w:keepNext/>
      <w:spacing w:before="260" w:after="260" w:line="416" w:lineRule="auto"/>
      <w:outlineLvl w:val="2"/>
    </w:pPr>
    <w:rPr>
      <w:b/>
      <w:bCs/>
      <w:sz w:val="32"/>
      <w:szCs w:val="32"/>
    </w:rPr>
  </w:style>
  <w:style w:type="paragraph" w:styleId="963" w:customStyle="1">
    <w:name w:val="标题 41"/>
    <w:basedOn w:val="779"/>
    <w:next w:val="961"/>
    <w:link w:val="975"/>
    <w:uiPriority w:val="0"/>
    <w:qFormat/>
    <w:pPr>
      <w:keepLines/>
      <w:keepNext/>
      <w:spacing w:before="280" w:after="290" w:line="376" w:lineRule="auto"/>
      <w:outlineLvl w:val="3"/>
    </w:pPr>
    <w:rPr>
      <w:rFonts w:ascii="Arial" w:hAnsi="Arial" w:eastAsia="黑体" w:cs="Arial"/>
      <w:b/>
      <w:bCs/>
      <w:sz w:val="28"/>
      <w:szCs w:val="28"/>
    </w:rPr>
  </w:style>
  <w:style w:type="paragraph" w:styleId="964" w:customStyle="1">
    <w:name w:val="标题 51"/>
    <w:basedOn w:val="779"/>
    <w:next w:val="961"/>
    <w:link w:val="976"/>
    <w:uiPriority w:val="0"/>
    <w:qFormat/>
    <w:pPr>
      <w:keepNext/>
      <w:outlineLvl w:val="4"/>
    </w:pPr>
    <w:rPr>
      <w:rFonts w:ascii="宋体"/>
      <w:color w:val="000000"/>
      <w:sz w:val="28"/>
      <w:szCs w:val="28"/>
    </w:rPr>
  </w:style>
  <w:style w:type="paragraph" w:styleId="965" w:customStyle="1">
    <w:name w:val="标题 61"/>
    <w:basedOn w:val="779"/>
    <w:next w:val="779"/>
    <w:link w:val="97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6" w:customStyle="1">
    <w:name w:val="标题 71"/>
    <w:basedOn w:val="779"/>
    <w:next w:val="779"/>
    <w:link w:val="978"/>
    <w:uiPriority w:val="0"/>
    <w:qFormat/>
    <w:pPr>
      <w:numPr>
        <w:ilvl w:val="6"/>
        <w:numId w:val="1"/>
      </w:numPr>
      <w:keepLines/>
      <w:keepNext/>
      <w:spacing w:before="240" w:after="64" w:line="320" w:lineRule="auto"/>
      <w:outlineLvl w:val="6"/>
    </w:pPr>
    <w:rPr>
      <w:b/>
      <w:bCs/>
      <w:sz w:val="24"/>
      <w:szCs w:val="24"/>
    </w:rPr>
  </w:style>
  <w:style w:type="paragraph" w:styleId="967" w:customStyle="1">
    <w:name w:val="标题 81"/>
    <w:basedOn w:val="779"/>
    <w:next w:val="779"/>
    <w:link w:val="97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8" w:customStyle="1">
    <w:name w:val="标题 91"/>
    <w:basedOn w:val="779"/>
    <w:next w:val="779"/>
    <w:link w:val="980"/>
    <w:uiPriority w:val="0"/>
    <w:qFormat/>
    <w:pPr>
      <w:numPr>
        <w:ilvl w:val="8"/>
        <w:numId w:val="1"/>
      </w:numPr>
      <w:keepLines/>
      <w:keepNext/>
      <w:spacing w:before="240" w:after="64" w:line="320" w:lineRule="auto"/>
      <w:outlineLvl w:val="8"/>
    </w:pPr>
    <w:rPr>
      <w:rFonts w:ascii="Arial" w:hAnsi="Arial" w:eastAsia="黑体"/>
    </w:rPr>
  </w:style>
  <w:style w:type="character" w:styleId="969" w:customStyle="1">
    <w:name w:val="默认段落字体11"/>
    <w:link w:val="779"/>
    <w:uiPriority w:val="1"/>
    <w:unhideWhenUsed/>
    <w:qFormat/>
  </w:style>
  <w:style w:type="table" w:styleId="970" w:customStyle="1">
    <w:name w:val="普通表格1"/>
    <w:uiPriority w:val="99"/>
    <w:unhideWhenUsed/>
    <w:qFormat/>
    <w:tblPr/>
  </w:style>
  <w:style w:type="character" w:styleId="971" w:customStyle="1">
    <w:name w:val="标题 1 Char"/>
    <w:link w:val="959"/>
    <w:uiPriority w:val="0"/>
    <w:qFormat/>
    <w:rPr>
      <w:rFonts w:ascii="楷体_GB2312" w:hAnsi="Times New Roman" w:eastAsia="楷体_GB2312" w:cs="Times New Roman"/>
      <w:sz w:val="28"/>
      <w:szCs w:val="28"/>
    </w:rPr>
  </w:style>
  <w:style w:type="character" w:styleId="972" w:customStyle="1">
    <w:name w:val="标题 2 Char"/>
    <w:link w:val="960"/>
    <w:uiPriority w:val="0"/>
    <w:qFormat/>
    <w:rPr>
      <w:rFonts w:ascii="Arial" w:hAnsi="Arial" w:eastAsia="幼圆" w:cs="Arial"/>
      <w:b/>
      <w:bCs/>
      <w:sz w:val="44"/>
      <w:szCs w:val="44"/>
    </w:rPr>
  </w:style>
  <w:style w:type="character" w:styleId="973" w:customStyle="1">
    <w:name w:val="正文缩进 Char"/>
    <w:link w:val="961"/>
    <w:uiPriority w:val="0"/>
    <w:qFormat/>
    <w:rPr>
      <w:rFonts w:ascii="Times New Roman" w:hAnsi="Times New Roman" w:eastAsia="宋体" w:cs="Times New Roman"/>
      <w:szCs w:val="21"/>
    </w:rPr>
  </w:style>
  <w:style w:type="character" w:styleId="974" w:customStyle="1">
    <w:name w:val="标题 3 Char"/>
    <w:link w:val="962"/>
    <w:uiPriority w:val="0"/>
    <w:qFormat/>
    <w:rPr>
      <w:rFonts w:ascii="Times New Roman" w:hAnsi="Times New Roman" w:eastAsia="宋体" w:cs="Times New Roman"/>
      <w:b/>
      <w:bCs/>
      <w:sz w:val="32"/>
      <w:szCs w:val="32"/>
    </w:rPr>
  </w:style>
  <w:style w:type="character" w:styleId="975" w:customStyle="1">
    <w:name w:val="标题 4 Char"/>
    <w:link w:val="963"/>
    <w:uiPriority w:val="0"/>
    <w:qFormat/>
    <w:rPr>
      <w:rFonts w:ascii="Arial" w:hAnsi="Arial" w:eastAsia="黑体" w:cs="Arial"/>
      <w:b/>
      <w:bCs/>
      <w:sz w:val="28"/>
      <w:szCs w:val="28"/>
    </w:rPr>
  </w:style>
  <w:style w:type="character" w:styleId="976" w:customStyle="1">
    <w:name w:val="标题 5 Char"/>
    <w:link w:val="964"/>
    <w:uiPriority w:val="0"/>
    <w:qFormat/>
    <w:rPr>
      <w:rFonts w:ascii="宋体" w:hAnsi="Times New Roman" w:eastAsia="宋体" w:cs="Times New Roman"/>
      <w:color w:val="000000"/>
      <w:sz w:val="28"/>
      <w:szCs w:val="28"/>
    </w:rPr>
  </w:style>
  <w:style w:type="character" w:styleId="977" w:customStyle="1">
    <w:name w:val="标题 6 Char"/>
    <w:link w:val="965"/>
    <w:uiPriority w:val="0"/>
    <w:qFormat/>
    <w:rPr>
      <w:rFonts w:ascii="Arial" w:hAnsi="Arial" w:eastAsia="黑体" w:cs="Times New Roman"/>
      <w:b/>
      <w:bCs/>
      <w:sz w:val="24"/>
      <w:szCs w:val="24"/>
    </w:rPr>
  </w:style>
  <w:style w:type="character" w:styleId="978" w:customStyle="1">
    <w:name w:val="标题 7 Char"/>
    <w:link w:val="966"/>
    <w:uiPriority w:val="0"/>
    <w:qFormat/>
    <w:rPr>
      <w:rFonts w:ascii="Times New Roman" w:hAnsi="Times New Roman" w:eastAsia="宋体" w:cs="Times New Roman"/>
      <w:b/>
      <w:bCs/>
      <w:sz w:val="24"/>
      <w:szCs w:val="24"/>
    </w:rPr>
  </w:style>
  <w:style w:type="character" w:styleId="979" w:customStyle="1">
    <w:name w:val="标题 8 Char"/>
    <w:link w:val="967"/>
    <w:uiPriority w:val="0"/>
    <w:qFormat/>
    <w:rPr>
      <w:rFonts w:ascii="Arial" w:hAnsi="Arial" w:eastAsia="黑体" w:cs="Times New Roman"/>
      <w:sz w:val="24"/>
      <w:szCs w:val="24"/>
    </w:rPr>
  </w:style>
  <w:style w:type="character" w:styleId="980" w:customStyle="1">
    <w:name w:val="标题 9 Char"/>
    <w:link w:val="968"/>
    <w:uiPriority w:val="0"/>
    <w:qFormat/>
    <w:rPr>
      <w:rFonts w:ascii="Arial" w:hAnsi="Arial" w:eastAsia="黑体" w:cs="Times New Roman"/>
      <w:szCs w:val="21"/>
    </w:rPr>
  </w:style>
  <w:style w:type="paragraph" w:styleId="981" w:customStyle="1">
    <w:name w:val="列表 31"/>
    <w:basedOn w:val="779"/>
    <w:uiPriority w:val="0"/>
    <w:qFormat/>
    <w:pPr>
      <w:ind w:left="100" w:hanging="200"/>
    </w:pPr>
  </w:style>
  <w:style w:type="paragraph" w:styleId="982" w:customStyle="1">
    <w:name w:val="目录 71"/>
    <w:basedOn w:val="779"/>
    <w:next w:val="779"/>
    <w:uiPriority w:val="0"/>
    <w:semiHidden/>
    <w:qFormat/>
    <w:pPr>
      <w:ind w:left="1260"/>
      <w:jc w:val="left"/>
    </w:pPr>
  </w:style>
  <w:style w:type="paragraph" w:styleId="983" w:customStyle="1">
    <w:name w:val="文档结构图1"/>
    <w:basedOn w:val="779"/>
    <w:link w:val="984"/>
    <w:uiPriority w:val="0"/>
    <w:semiHidden/>
    <w:qFormat/>
    <w:pPr>
      <w:shd w:val="clear" w:color="auto" w:fill="000080"/>
    </w:pPr>
  </w:style>
  <w:style w:type="character" w:styleId="984" w:customStyle="1">
    <w:name w:val="文档结构图 Char"/>
    <w:link w:val="983"/>
    <w:uiPriority w:val="0"/>
    <w:semiHidden/>
    <w:qFormat/>
    <w:rPr>
      <w:rFonts w:ascii="Times New Roman" w:hAnsi="Times New Roman" w:eastAsia="宋体" w:cs="Times New Roman"/>
      <w:szCs w:val="21"/>
      <w:shd w:val="clear" w:color="auto" w:fill="000080"/>
    </w:rPr>
  </w:style>
  <w:style w:type="paragraph" w:styleId="985" w:customStyle="1">
    <w:name w:val="批注文字1"/>
    <w:basedOn w:val="779"/>
    <w:link w:val="986"/>
    <w:uiPriority w:val="0"/>
    <w:semiHidden/>
    <w:qFormat/>
    <w:pPr>
      <w:jc w:val="left"/>
    </w:pPr>
  </w:style>
  <w:style w:type="character" w:styleId="986" w:customStyle="1">
    <w:name w:val="批注文字 Char"/>
    <w:link w:val="985"/>
    <w:uiPriority w:val="0"/>
    <w:semiHidden/>
    <w:qFormat/>
    <w:rPr>
      <w:rFonts w:ascii="Times New Roman" w:hAnsi="Times New Roman" w:eastAsia="宋体" w:cs="Times New Roman"/>
      <w:szCs w:val="21"/>
    </w:rPr>
  </w:style>
  <w:style w:type="paragraph" w:styleId="987" w:customStyle="1">
    <w:name w:val="正文文本 31"/>
    <w:basedOn w:val="779"/>
    <w:link w:val="988"/>
    <w:uiPriority w:val="0"/>
    <w:qFormat/>
    <w:rPr>
      <w:rFonts w:ascii="仿宋_GB2312" w:hAnsi="Arial" w:eastAsia="仿宋_GB2312"/>
      <w:sz w:val="32"/>
      <w:szCs w:val="32"/>
    </w:rPr>
  </w:style>
  <w:style w:type="character" w:styleId="988" w:customStyle="1">
    <w:name w:val="正文文本 3 Char"/>
    <w:link w:val="987"/>
    <w:uiPriority w:val="0"/>
    <w:qFormat/>
    <w:rPr>
      <w:rFonts w:ascii="仿宋_GB2312" w:hAnsi="Arial" w:eastAsia="仿宋_GB2312" w:cs="Times New Roman"/>
      <w:sz w:val="32"/>
      <w:szCs w:val="32"/>
    </w:rPr>
  </w:style>
  <w:style w:type="paragraph" w:styleId="989" w:customStyle="1">
    <w:name w:val="正文文本1"/>
    <w:basedOn w:val="779"/>
    <w:link w:val="990"/>
    <w:uiPriority w:val="0"/>
    <w:qFormat/>
    <w:rPr>
      <w:rFonts w:ascii="楷体_GB2312" w:hAnsi="Arial" w:eastAsia="楷体_GB2312"/>
      <w:sz w:val="28"/>
      <w:szCs w:val="28"/>
    </w:rPr>
  </w:style>
  <w:style w:type="character" w:styleId="990" w:customStyle="1">
    <w:name w:val="正文文本 Char"/>
    <w:link w:val="989"/>
    <w:uiPriority w:val="0"/>
    <w:qFormat/>
    <w:rPr>
      <w:rFonts w:ascii="楷体_GB2312" w:hAnsi="Arial" w:eastAsia="楷体_GB2312" w:cs="Times New Roman"/>
      <w:sz w:val="28"/>
      <w:szCs w:val="28"/>
    </w:rPr>
  </w:style>
  <w:style w:type="paragraph" w:styleId="991" w:customStyle="1">
    <w:name w:val="正文文本缩进1"/>
    <w:basedOn w:val="779"/>
    <w:link w:val="992"/>
    <w:uiPriority w:val="0"/>
    <w:qFormat/>
    <w:pPr>
      <w:ind w:firstLine="645"/>
    </w:pPr>
    <w:rPr>
      <w:rFonts w:ascii="楷体_GB2312" w:eastAsia="楷体_GB2312"/>
      <w:sz w:val="32"/>
      <w:szCs w:val="32"/>
    </w:rPr>
  </w:style>
  <w:style w:type="character" w:styleId="992" w:customStyle="1">
    <w:name w:val="正文文本缩进 Char"/>
    <w:link w:val="991"/>
    <w:uiPriority w:val="0"/>
    <w:qFormat/>
    <w:rPr>
      <w:rFonts w:ascii="楷体_GB2312" w:hAnsi="Times New Roman" w:eastAsia="楷体_GB2312" w:cs="Times New Roman"/>
      <w:sz w:val="32"/>
      <w:szCs w:val="32"/>
    </w:rPr>
  </w:style>
  <w:style w:type="paragraph" w:styleId="993" w:customStyle="1">
    <w:name w:val="列表 21"/>
    <w:basedOn w:val="779"/>
    <w:uiPriority w:val="0"/>
    <w:qFormat/>
    <w:pPr>
      <w:ind w:left="100" w:hanging="200"/>
    </w:pPr>
  </w:style>
  <w:style w:type="paragraph" w:styleId="994" w:customStyle="1">
    <w:name w:val="目录 51"/>
    <w:basedOn w:val="779"/>
    <w:next w:val="779"/>
    <w:uiPriority w:val="0"/>
    <w:semiHidden/>
    <w:qFormat/>
    <w:pPr>
      <w:ind w:left="840"/>
      <w:jc w:val="left"/>
    </w:pPr>
  </w:style>
  <w:style w:type="paragraph" w:styleId="995" w:customStyle="1">
    <w:name w:val="目录 31"/>
    <w:basedOn w:val="779"/>
    <w:next w:val="779"/>
    <w:uiPriority w:val="0"/>
    <w:semiHidden/>
    <w:qFormat/>
    <w:pPr>
      <w:ind w:left="420"/>
      <w:jc w:val="left"/>
    </w:pPr>
    <w:rPr>
      <w:i/>
      <w:iCs/>
      <w:szCs w:val="24"/>
    </w:rPr>
  </w:style>
  <w:style w:type="paragraph" w:styleId="996" w:customStyle="1">
    <w:name w:val="纯文本1"/>
    <w:basedOn w:val="779"/>
    <w:link w:val="997"/>
    <w:uiPriority w:val="0"/>
    <w:qFormat/>
    <w:rPr>
      <w:rFonts w:ascii="宋体" w:hAnsi="Courier New" w:cs="Courier New"/>
    </w:rPr>
  </w:style>
  <w:style w:type="character" w:styleId="997" w:customStyle="1">
    <w:name w:val="纯文本 Char"/>
    <w:link w:val="996"/>
    <w:uiPriority w:val="0"/>
    <w:qFormat/>
    <w:rPr>
      <w:rFonts w:ascii="宋体" w:hAnsi="Courier New" w:eastAsia="宋体" w:cs="Courier New"/>
      <w:szCs w:val="21"/>
    </w:rPr>
  </w:style>
  <w:style w:type="paragraph" w:styleId="998" w:customStyle="1">
    <w:name w:val="目录 81"/>
    <w:basedOn w:val="779"/>
    <w:next w:val="779"/>
    <w:uiPriority w:val="0"/>
    <w:semiHidden/>
    <w:qFormat/>
    <w:pPr>
      <w:ind w:left="1470"/>
      <w:jc w:val="left"/>
    </w:pPr>
  </w:style>
  <w:style w:type="paragraph" w:styleId="999" w:customStyle="1">
    <w:name w:val="日期1"/>
    <w:basedOn w:val="779"/>
    <w:next w:val="779"/>
    <w:link w:val="1000"/>
    <w:uiPriority w:val="0"/>
    <w:qFormat/>
    <w:rPr>
      <w:sz w:val="24"/>
      <w:szCs w:val="24"/>
    </w:rPr>
  </w:style>
  <w:style w:type="character" w:styleId="1000" w:customStyle="1">
    <w:name w:val="日期 Char"/>
    <w:link w:val="999"/>
    <w:uiPriority w:val="0"/>
    <w:qFormat/>
    <w:rPr>
      <w:rFonts w:ascii="Times New Roman" w:hAnsi="Times New Roman" w:eastAsia="宋体" w:cs="Times New Roman"/>
      <w:sz w:val="24"/>
      <w:szCs w:val="24"/>
    </w:rPr>
  </w:style>
  <w:style w:type="paragraph" w:styleId="1001" w:customStyle="1">
    <w:name w:val="正文文本缩进 21"/>
    <w:basedOn w:val="779"/>
    <w:link w:val="1002"/>
    <w:uiPriority w:val="0"/>
    <w:qFormat/>
    <w:pPr>
      <w:ind w:left="630" w:firstLine="645"/>
    </w:pPr>
    <w:rPr>
      <w:rFonts w:ascii="Arial" w:hAnsi="Arial" w:eastAsia="仿宋_GB2312" w:cs="Arial"/>
      <w:sz w:val="32"/>
      <w:szCs w:val="32"/>
    </w:rPr>
  </w:style>
  <w:style w:type="character" w:styleId="1002" w:customStyle="1">
    <w:name w:val="正文文本缩进 2 Char"/>
    <w:link w:val="1001"/>
    <w:uiPriority w:val="0"/>
    <w:qFormat/>
    <w:rPr>
      <w:rFonts w:ascii="Arial" w:hAnsi="Arial" w:eastAsia="仿宋_GB2312" w:cs="Arial"/>
      <w:sz w:val="32"/>
      <w:szCs w:val="32"/>
    </w:rPr>
  </w:style>
  <w:style w:type="paragraph" w:styleId="1003" w:customStyle="1">
    <w:name w:val="批注框文本1"/>
    <w:basedOn w:val="779"/>
    <w:link w:val="1004"/>
    <w:uiPriority w:val="0"/>
    <w:semiHidden/>
    <w:qFormat/>
    <w:rPr>
      <w:sz w:val="18"/>
      <w:szCs w:val="18"/>
    </w:rPr>
  </w:style>
  <w:style w:type="character" w:styleId="1004" w:customStyle="1">
    <w:name w:val="批注框文本 Char"/>
    <w:link w:val="1003"/>
    <w:uiPriority w:val="0"/>
    <w:semiHidden/>
    <w:qFormat/>
    <w:rPr>
      <w:rFonts w:ascii="Times New Roman" w:hAnsi="Times New Roman" w:eastAsia="宋体" w:cs="Times New Roman"/>
      <w:sz w:val="18"/>
      <w:szCs w:val="18"/>
    </w:rPr>
  </w:style>
  <w:style w:type="paragraph" w:styleId="1005" w:customStyle="1">
    <w:name w:val="页脚1"/>
    <w:basedOn w:val="779"/>
    <w:link w:val="1006"/>
    <w:uiPriority w:val="99"/>
    <w:qFormat/>
    <w:pPr>
      <w:jc w:val="left"/>
      <w:tabs>
        <w:tab w:val="center" w:pos="4153" w:leader="none"/>
        <w:tab w:val="right" w:pos="8306" w:leader="none"/>
      </w:tabs>
    </w:pPr>
    <w:rPr>
      <w:sz w:val="18"/>
      <w:szCs w:val="18"/>
    </w:rPr>
  </w:style>
  <w:style w:type="character" w:styleId="1006" w:customStyle="1">
    <w:name w:val="页脚 Char"/>
    <w:link w:val="1005"/>
    <w:uiPriority w:val="99"/>
    <w:qFormat/>
    <w:rPr>
      <w:rFonts w:ascii="Times New Roman" w:hAnsi="Times New Roman" w:eastAsia="宋体" w:cs="Times New Roman"/>
      <w:sz w:val="18"/>
      <w:szCs w:val="18"/>
    </w:rPr>
  </w:style>
  <w:style w:type="paragraph" w:styleId="1007" w:customStyle="1">
    <w:name w:val="页眉1"/>
    <w:basedOn w:val="779"/>
    <w:link w:val="1008"/>
    <w:uiPriority w:val="0"/>
    <w:qFormat/>
    <w:pPr>
      <w:jc w:val="center"/>
      <w:tabs>
        <w:tab w:val="center" w:pos="4153" w:leader="none"/>
        <w:tab w:val="right" w:pos="8306" w:leader="none"/>
      </w:tabs>
      <w:pBdr>
        <w:bottom w:val="single" w:color="000000" w:sz="6" w:space="1"/>
      </w:pBdr>
    </w:pPr>
    <w:rPr>
      <w:sz w:val="18"/>
      <w:szCs w:val="18"/>
    </w:rPr>
  </w:style>
  <w:style w:type="character" w:styleId="1008" w:customStyle="1">
    <w:name w:val="页眉 Char"/>
    <w:link w:val="1007"/>
    <w:uiPriority w:val="0"/>
    <w:qFormat/>
    <w:rPr>
      <w:rFonts w:ascii="Times New Roman" w:hAnsi="Times New Roman" w:eastAsia="宋体" w:cs="Times New Roman"/>
      <w:sz w:val="18"/>
      <w:szCs w:val="18"/>
    </w:rPr>
  </w:style>
  <w:style w:type="paragraph" w:styleId="1009" w:customStyle="1">
    <w:name w:val="目录 11"/>
    <w:basedOn w:val="779"/>
    <w:next w:val="779"/>
    <w:uiPriority w:val="0"/>
    <w:semiHidden/>
    <w:qFormat/>
    <w:pPr>
      <w:jc w:val="left"/>
      <w:spacing w:before="120" w:after="120" w:line="400" w:lineRule="exact"/>
      <w:tabs>
        <w:tab w:val="right" w:pos="8720" w:leader="dot"/>
      </w:tabs>
    </w:pPr>
    <w:rPr>
      <w:rFonts w:ascii="宋体" w:hAnsi="宋体"/>
      <w:caps/>
      <w:sz w:val="24"/>
      <w:szCs w:val="24"/>
    </w:rPr>
  </w:style>
  <w:style w:type="paragraph" w:styleId="1010" w:customStyle="1">
    <w:name w:val="目录 41"/>
    <w:basedOn w:val="779"/>
    <w:next w:val="779"/>
    <w:uiPriority w:val="0"/>
    <w:semiHidden/>
    <w:qFormat/>
    <w:pPr>
      <w:ind w:left="630"/>
      <w:jc w:val="left"/>
    </w:pPr>
  </w:style>
  <w:style w:type="paragraph" w:styleId="1011" w:customStyle="1">
    <w:name w:val="列表1"/>
    <w:basedOn w:val="779"/>
    <w:uiPriority w:val="0"/>
    <w:qFormat/>
    <w:pPr>
      <w:ind w:left="200" w:hanging="200"/>
    </w:pPr>
  </w:style>
  <w:style w:type="paragraph" w:styleId="1012" w:customStyle="1">
    <w:name w:val="目录 61"/>
    <w:basedOn w:val="779"/>
    <w:next w:val="779"/>
    <w:uiPriority w:val="0"/>
    <w:semiHidden/>
    <w:qFormat/>
    <w:pPr>
      <w:ind w:left="1050"/>
      <w:jc w:val="left"/>
    </w:pPr>
  </w:style>
  <w:style w:type="paragraph" w:styleId="1013" w:customStyle="1">
    <w:name w:val="正文文本缩进 31"/>
    <w:basedOn w:val="779"/>
    <w:link w:val="1014"/>
    <w:uiPriority w:val="0"/>
    <w:qFormat/>
    <w:pPr>
      <w:ind w:left="645" w:firstLine="645"/>
    </w:pPr>
    <w:rPr>
      <w:rFonts w:ascii="Arial" w:hAnsi="Arial" w:eastAsia="仿宋_GB2312" w:cs="Arial"/>
      <w:color w:val="ffff00"/>
      <w:sz w:val="32"/>
      <w:szCs w:val="32"/>
    </w:rPr>
  </w:style>
  <w:style w:type="character" w:styleId="1014" w:customStyle="1">
    <w:name w:val="正文文本缩进 3 Char"/>
    <w:link w:val="1013"/>
    <w:uiPriority w:val="0"/>
    <w:qFormat/>
    <w:rPr>
      <w:rFonts w:ascii="Arial" w:hAnsi="Arial" w:eastAsia="仿宋_GB2312" w:cs="Arial"/>
      <w:color w:val="ffff00"/>
      <w:sz w:val="32"/>
      <w:szCs w:val="32"/>
    </w:rPr>
  </w:style>
  <w:style w:type="paragraph" w:styleId="1015" w:customStyle="1">
    <w:name w:val="图表目录1"/>
    <w:basedOn w:val="779"/>
    <w:next w:val="779"/>
    <w:uiPriority w:val="0"/>
    <w:semiHidden/>
    <w:qFormat/>
    <w:pPr>
      <w:ind w:left="840" w:hanging="420"/>
    </w:pPr>
  </w:style>
  <w:style w:type="paragraph" w:styleId="1016" w:customStyle="1">
    <w:name w:val="目录 21"/>
    <w:basedOn w:val="779"/>
    <w:next w:val="779"/>
    <w:uiPriority w:val="0"/>
    <w:semiHidden/>
    <w:qFormat/>
    <w:pPr>
      <w:ind w:left="210"/>
      <w:jc w:val="left"/>
    </w:pPr>
    <w:rPr>
      <w:smallCaps/>
      <w:szCs w:val="24"/>
    </w:rPr>
  </w:style>
  <w:style w:type="paragraph" w:styleId="1017" w:customStyle="1">
    <w:name w:val="目录 91"/>
    <w:basedOn w:val="779"/>
    <w:next w:val="779"/>
    <w:uiPriority w:val="0"/>
    <w:semiHidden/>
    <w:qFormat/>
    <w:pPr>
      <w:ind w:left="1680"/>
      <w:jc w:val="left"/>
    </w:pPr>
  </w:style>
  <w:style w:type="paragraph" w:styleId="1018" w:customStyle="1">
    <w:name w:val="正文文本 21"/>
    <w:basedOn w:val="779"/>
    <w:link w:val="1019"/>
    <w:uiPriority w:val="0"/>
    <w:qFormat/>
    <w:pPr>
      <w:jc w:val="center"/>
      <w:widowControl/>
    </w:pPr>
    <w:rPr>
      <w:rFonts w:ascii="楷体_GB2312" w:eastAsia="楷体_GB2312"/>
      <w:sz w:val="28"/>
      <w:szCs w:val="28"/>
    </w:rPr>
  </w:style>
  <w:style w:type="character" w:styleId="1019" w:customStyle="1">
    <w:name w:val="正文文本 2 Char"/>
    <w:link w:val="1018"/>
    <w:uiPriority w:val="0"/>
    <w:qFormat/>
    <w:rPr>
      <w:rFonts w:ascii="楷体_GB2312" w:hAnsi="Times New Roman" w:eastAsia="楷体_GB2312" w:cs="Times New Roman"/>
      <w:sz w:val="28"/>
      <w:szCs w:val="28"/>
    </w:rPr>
  </w:style>
  <w:style w:type="paragraph" w:styleId="1020" w:customStyle="1">
    <w:name w:val="普通(网站)11"/>
    <w:basedOn w:val="779"/>
    <w:uiPriority w:val="99"/>
    <w:qFormat/>
    <w:pPr>
      <w:jc w:val="left"/>
      <w:spacing w:before="100" w:beforeAutospacing="1" w:after="100" w:afterAutospacing="1"/>
      <w:widowControl/>
    </w:pPr>
    <w:rPr>
      <w:rFonts w:ascii="宋体" w:hAnsi="宋体" w:cs="宋体"/>
      <w:sz w:val="24"/>
      <w:szCs w:val="24"/>
    </w:rPr>
  </w:style>
  <w:style w:type="paragraph" w:styleId="1021" w:customStyle="1">
    <w:name w:val="索引 11"/>
    <w:basedOn w:val="779"/>
    <w:next w:val="779"/>
    <w:uiPriority w:val="0"/>
    <w:semiHidden/>
    <w:qFormat/>
    <w:pPr>
      <w:spacing w:line="240" w:lineRule="atLeast"/>
    </w:pPr>
    <w:rPr>
      <w:b/>
      <w:bCs/>
    </w:rPr>
  </w:style>
  <w:style w:type="paragraph" w:styleId="1022" w:customStyle="1">
    <w:name w:val="批注主题1"/>
    <w:basedOn w:val="985"/>
    <w:next w:val="985"/>
    <w:link w:val="1023"/>
    <w:uiPriority w:val="0"/>
    <w:semiHidden/>
    <w:qFormat/>
    <w:rPr>
      <w:b/>
      <w:bCs/>
    </w:rPr>
  </w:style>
  <w:style w:type="character" w:styleId="1023" w:customStyle="1">
    <w:name w:val="批注主题 Char"/>
    <w:link w:val="1022"/>
    <w:uiPriority w:val="0"/>
    <w:semiHidden/>
    <w:qFormat/>
    <w:rPr>
      <w:rFonts w:ascii="Times New Roman" w:hAnsi="Times New Roman" w:eastAsia="宋体" w:cs="Times New Roman"/>
      <w:b/>
      <w:bCs/>
      <w:szCs w:val="21"/>
    </w:rPr>
  </w:style>
  <w:style w:type="paragraph" w:styleId="1024" w:customStyle="1">
    <w:name w:val="正文首行缩进1"/>
    <w:basedOn w:val="779"/>
    <w:link w:val="1025"/>
    <w:uiPriority w:val="0"/>
    <w:qFormat/>
    <w:pPr>
      <w:ind w:firstLine="200"/>
      <w:spacing w:line="360" w:lineRule="auto"/>
    </w:pPr>
    <w:rPr>
      <w:rFonts w:ascii="仿宋_GB2312" w:eastAsia="仿宋_GB2312"/>
      <w:sz w:val="30"/>
      <w:szCs w:val="30"/>
    </w:rPr>
  </w:style>
  <w:style w:type="character" w:styleId="1025" w:customStyle="1">
    <w:name w:val="正文首行缩进 Char"/>
    <w:link w:val="1024"/>
    <w:uiPriority w:val="0"/>
    <w:qFormat/>
    <w:rPr>
      <w:rFonts w:ascii="仿宋_GB2312" w:hAnsi="Times New Roman" w:eastAsia="仿宋_GB2312" w:cs="Times New Roman"/>
      <w:sz w:val="30"/>
      <w:szCs w:val="30"/>
    </w:rPr>
  </w:style>
  <w:style w:type="paragraph" w:styleId="1026" w:customStyle="1">
    <w:name w:val="正文首行缩进 21"/>
    <w:basedOn w:val="991"/>
    <w:link w:val="1027"/>
    <w:uiPriority w:val="0"/>
    <w:qFormat/>
    <w:pPr>
      <w:ind w:firstLine="420"/>
      <w:spacing w:line="360" w:lineRule="auto"/>
    </w:pPr>
    <w:rPr>
      <w:rFonts w:ascii="宋体" w:hAnsi="宋体" w:eastAsia="宋体"/>
      <w:sz w:val="21"/>
      <w:szCs w:val="20"/>
    </w:rPr>
  </w:style>
  <w:style w:type="character" w:styleId="1027" w:customStyle="1">
    <w:name w:val="正文首行缩进 2 Char"/>
    <w:link w:val="1026"/>
    <w:uiPriority w:val="0"/>
    <w:qFormat/>
    <w:rPr>
      <w:rFonts w:ascii="宋体" w:hAnsi="宋体" w:eastAsia="宋体" w:cs="Times New Roman"/>
      <w:sz w:val="32"/>
      <w:szCs w:val="20"/>
    </w:rPr>
  </w:style>
  <w:style w:type="table" w:styleId="1028" w:customStyle="1">
    <w:name w:val="网格型1"/>
    <w:basedOn w:val="970"/>
    <w:uiPriority w:val="0"/>
    <w:qFormat/>
    <w:pPr>
      <w:jc w:val="both"/>
      <w:widowControl w:val="off"/>
    </w:pPr>
    <w:rPr>
      <w:rFonts w:ascii="Times New Roman" w:hAnsi="Times New Roman" w:eastAsia="宋体" w:cs="Times New Roman"/>
      <w:sz w:val="20"/>
      <w:szCs w:val="20"/>
    </w:rPr>
    <w:tblPr/>
  </w:style>
  <w:style w:type="character" w:styleId="1029" w:customStyle="1">
    <w:name w:val="要点1"/>
    <w:link w:val="779"/>
    <w:uiPriority w:val="0"/>
    <w:qFormat/>
    <w:rPr>
      <w:b/>
      <w:bCs/>
    </w:rPr>
  </w:style>
  <w:style w:type="character" w:styleId="1030" w:customStyle="1">
    <w:name w:val="页码1"/>
    <w:link w:val="779"/>
    <w:uiPriority w:val="0"/>
    <w:qFormat/>
  </w:style>
  <w:style w:type="character" w:styleId="1031" w:customStyle="1">
    <w:name w:val="已访问的超链接1"/>
    <w:link w:val="779"/>
    <w:uiPriority w:val="0"/>
    <w:qFormat/>
    <w:rPr>
      <w:color w:val="800080"/>
      <w:u w:val="single"/>
    </w:rPr>
  </w:style>
  <w:style w:type="character" w:styleId="1032" w:customStyle="1">
    <w:name w:val="强调1"/>
    <w:basedOn w:val="969"/>
    <w:link w:val="779"/>
    <w:uiPriority w:val="0"/>
    <w:qFormat/>
    <w:rPr>
      <w:i/>
    </w:rPr>
  </w:style>
  <w:style w:type="character" w:styleId="1033" w:customStyle="1">
    <w:name w:val="超链接1"/>
    <w:link w:val="779"/>
    <w:uiPriority w:val="0"/>
    <w:qFormat/>
    <w:rPr>
      <w:color w:val="0000ff"/>
      <w:u w:val="single"/>
    </w:rPr>
  </w:style>
  <w:style w:type="character" w:styleId="1034" w:customStyle="1">
    <w:name w:val="批注引用1"/>
    <w:link w:val="779"/>
    <w:uiPriority w:val="0"/>
    <w:semiHidden/>
    <w:qFormat/>
    <w:rPr>
      <w:sz w:val="21"/>
      <w:szCs w:val="21"/>
    </w:rPr>
  </w:style>
  <w:style w:type="paragraph" w:styleId="1035" w:customStyle="1">
    <w:name w:val="索引 41"/>
    <w:basedOn w:val="779"/>
    <w:next w:val="779"/>
    <w:uiPriority w:val="0"/>
    <w:qFormat/>
    <w:pPr>
      <w:ind w:left="600"/>
    </w:pPr>
    <w:rPr>
      <w:rFonts w:ascii="Calibri" w:hAnsi="Calibri"/>
    </w:rPr>
  </w:style>
  <w:style w:type="character" w:styleId="1036" w:customStyle="1">
    <w:name w:val="font5 Char"/>
    <w:link w:val="779"/>
    <w:uiPriority w:val="0"/>
    <w:qFormat/>
    <w:rPr>
      <w:rFonts w:ascii="宋体" w:hAnsi="宋体" w:eastAsia="宋体"/>
      <w:sz w:val="28"/>
      <w:szCs w:val="28"/>
      <w:lang w:val="en-US" w:eastAsia="zh-CN" w:bidi="ar-SA"/>
    </w:rPr>
  </w:style>
  <w:style w:type="character" w:styleId="1037" w:customStyle="1">
    <w:name w:val="二级目录 Char"/>
    <w:link w:val="1038"/>
    <w:uiPriority w:val="0"/>
    <w:qFormat/>
    <w:rPr>
      <w:b/>
      <w:sz w:val="30"/>
      <w:szCs w:val="28"/>
    </w:rPr>
  </w:style>
  <w:style w:type="paragraph" w:styleId="1038" w:customStyle="1">
    <w:name w:val="二级目录"/>
    <w:next w:val="779"/>
    <w:link w:val="103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9" w:customStyle="1">
    <w:name w:val="列出段落 Char"/>
    <w:link w:val="1040"/>
    <w:uiPriority w:val="0"/>
    <w:qFormat/>
    <w:rPr>
      <w:rFonts w:ascii="Calibri" w:hAnsi="Calibri"/>
      <w:sz w:val="24"/>
      <w:szCs w:val="24"/>
      <w:lang w:eastAsia="en-US" w:bidi="en-US"/>
    </w:rPr>
  </w:style>
  <w:style w:type="paragraph" w:styleId="1040" w:customStyle="1">
    <w:name w:val="列出段落1"/>
    <w:basedOn w:val="779"/>
    <w:link w:val="1039"/>
    <w:uiPriority w:val="0"/>
    <w:qFormat/>
    <w:pPr>
      <w:contextualSpacing/>
      <w:ind w:left="720"/>
      <w:jc w:val="left"/>
      <w:widowControl/>
    </w:pPr>
    <w:rPr>
      <w:rFonts w:ascii="Calibri" w:hAnsi="Calibri" w:eastAsia="宋体" w:cs="Times New Roman"/>
      <w:sz w:val="24"/>
      <w:szCs w:val="24"/>
      <w:lang w:eastAsia="en-US" w:bidi="en-US"/>
    </w:rPr>
  </w:style>
  <w:style w:type="paragraph" w:styleId="1041" w:customStyle="1">
    <w:name w:val="Body Text(ch)"/>
    <w:basedOn w:val="779"/>
    <w:next w:val="989"/>
    <w:uiPriority w:val="0"/>
    <w:qFormat/>
    <w:pPr>
      <w:spacing w:after="120"/>
    </w:pPr>
    <w:rPr>
      <w:rFonts w:ascii="宋体" w:hAnsi="Arial"/>
      <w:bCs/>
      <w:iCs/>
      <w:szCs w:val="24"/>
    </w:rPr>
  </w:style>
  <w:style w:type="paragraph" w:styleId="1042" w:customStyle="1">
    <w:name w:val="xl27"/>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6"/>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4" w:customStyle="1">
    <w:name w:val="Char"/>
    <w:basedOn w:val="779"/>
    <w:uiPriority w:val="0"/>
    <w:qFormat/>
    <w:pPr>
      <w:ind w:firstLine="200"/>
      <w:tabs>
        <w:tab w:val="left" w:pos="360" w:leader="none"/>
      </w:tabs>
    </w:pPr>
    <w:rPr>
      <w:sz w:val="28"/>
      <w:szCs w:val="30"/>
    </w:rPr>
  </w:style>
  <w:style w:type="paragraph" w:styleId="1045" w:customStyle="1">
    <w:name w:val=" Char"/>
    <w:basedOn w:val="983"/>
    <w:uiPriority w:val="0"/>
    <w:qFormat/>
    <w:rPr>
      <w:rFonts w:ascii="Tahoma" w:hAnsi="Tahoma"/>
      <w:sz w:val="24"/>
      <w:szCs w:val="24"/>
    </w:rPr>
  </w:style>
  <w:style w:type="paragraph" w:styleId="1046" w:customStyle="1">
    <w:name w:val="普通正文"/>
    <w:basedOn w:val="779"/>
    <w:uiPriority w:val="0"/>
    <w:qFormat/>
    <w:pPr>
      <w:ind w:firstLine="480"/>
      <w:jc w:val="left"/>
      <w:spacing w:before="120" w:after="120" w:line="360" w:lineRule="auto"/>
    </w:pPr>
    <w:rPr>
      <w:rFonts w:ascii="Arial" w:hAnsi="Arial"/>
      <w:sz w:val="24"/>
      <w:szCs w:val="24"/>
    </w:rPr>
  </w:style>
  <w:style w:type="paragraph" w:styleId="1047" w:customStyle="1">
    <w:name w:val="table_lines"/>
    <w:basedOn w:val="779"/>
    <w:uiPriority w:val="0"/>
    <w:qFormat/>
    <w:pPr>
      <w:jc w:val="left"/>
      <w:widowControl/>
    </w:pPr>
    <w:rPr>
      <w:sz w:val="20"/>
      <w:szCs w:val="20"/>
      <w:lang w:val="de-DE" w:eastAsia="de-DE"/>
    </w:rPr>
  </w:style>
  <w:style w:type="paragraph" w:styleId="104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9" w:customStyle="1">
    <w:name w:val="font7"/>
    <w:basedOn w:val="779"/>
    <w:uiPriority w:val="0"/>
    <w:qFormat/>
    <w:pPr>
      <w:jc w:val="left"/>
      <w:spacing w:before="100" w:beforeAutospacing="1" w:after="100" w:afterAutospacing="1"/>
      <w:widowControl/>
    </w:pPr>
    <w:rPr>
      <w:rFonts w:hint="eastAsia" w:ascii="宋体" w:hAnsi="宋体"/>
      <w:sz w:val="18"/>
      <w:szCs w:val="18"/>
    </w:rPr>
  </w:style>
  <w:style w:type="paragraph" w:styleId="1050" w:customStyle="1">
    <w:name w:val=" Char Char Char Char"/>
    <w:basedOn w:val="983"/>
    <w:uiPriority w:val="0"/>
    <w:qFormat/>
    <w:pPr>
      <w:spacing w:line="360" w:lineRule="auto"/>
    </w:pPr>
    <w:rPr>
      <w:rFonts w:ascii="Tahoma" w:hAnsi="Tahoma"/>
      <w:sz w:val="24"/>
      <w:szCs w:val="24"/>
    </w:rPr>
  </w:style>
  <w:style w:type="paragraph" w:styleId="1051" w:customStyle="1">
    <w:name w:val="列出段落"/>
    <w:basedOn w:val="779"/>
    <w:uiPriority w:val="0"/>
    <w:qFormat/>
    <w:pPr>
      <w:contextualSpacing/>
      <w:ind w:left="720"/>
      <w:jc w:val="left"/>
      <w:widowControl/>
    </w:pPr>
    <w:rPr>
      <w:rFonts w:ascii="Calibri" w:hAnsi="Calibri"/>
      <w:sz w:val="24"/>
      <w:szCs w:val="24"/>
      <w:lang w:eastAsia="en-US" w:bidi="en-US"/>
    </w:rPr>
  </w:style>
  <w:style w:type="paragraph" w:styleId="1052" w:customStyle="1">
    <w:name w:val="4"/>
    <w:basedOn w:val="779"/>
    <w:next w:val="1013"/>
    <w:uiPriority w:val="0"/>
    <w:qFormat/>
    <w:pPr>
      <w:ind w:firstLine="420"/>
      <w:spacing w:line="360" w:lineRule="auto"/>
    </w:pPr>
    <w:rPr>
      <w:color w:val="ff0000"/>
      <w:sz w:val="24"/>
      <w:szCs w:val="24"/>
    </w:rPr>
  </w:style>
  <w:style w:type="paragraph" w:styleId="1053" w:customStyle="1">
    <w:name w:val="普通 (Web)"/>
    <w:basedOn w:val="779"/>
    <w:uiPriority w:val="0"/>
    <w:qFormat/>
    <w:pPr>
      <w:jc w:val="left"/>
      <w:spacing w:before="100" w:beforeAutospacing="1" w:after="100" w:afterAutospacing="1"/>
      <w:widowControl/>
    </w:pPr>
    <w:rPr>
      <w:rFonts w:ascii="宋体" w:hAnsi="宋体"/>
      <w:sz w:val="24"/>
      <w:szCs w:val="24"/>
    </w:rPr>
  </w:style>
  <w:style w:type="paragraph" w:styleId="1054" w:customStyle="1">
    <w:name w:val=" Char Char Char Char Char Char Char Char Char Char"/>
    <w:basedOn w:val="779"/>
    <w:uiPriority w:val="0"/>
    <w:qFormat/>
    <w:pPr>
      <w:spacing w:line="360" w:lineRule="auto"/>
    </w:pPr>
    <w:rPr>
      <w:sz w:val="24"/>
      <w:szCs w:val="20"/>
    </w:rPr>
  </w:style>
  <w:style w:type="paragraph" w:styleId="1055" w:customStyle="1">
    <w:name w:val="样式1"/>
    <w:basedOn w:val="779"/>
    <w:uiPriority w:val="0"/>
    <w:qFormat/>
    <w:pPr>
      <w:numPr>
        <w:ilvl w:val="0"/>
        <w:numId w:val="3"/>
      </w:numPr>
    </w:pPr>
    <w:rPr>
      <w:rFonts w:ascii="宋体" w:hAnsi="宋体"/>
    </w:rPr>
  </w:style>
  <w:style w:type="paragraph" w:styleId="1056" w:customStyle="1">
    <w:name w:val="font6"/>
    <w:basedOn w:val="779"/>
    <w:uiPriority w:val="0"/>
    <w:qFormat/>
    <w:pPr>
      <w:jc w:val="left"/>
      <w:spacing w:before="100" w:beforeAutospacing="1" w:after="100" w:afterAutospacing="1"/>
      <w:widowControl/>
    </w:pPr>
    <w:rPr>
      <w:rFonts w:hint="eastAsia" w:ascii="宋体" w:hAnsi="宋体"/>
      <w:sz w:val="28"/>
      <w:szCs w:val="28"/>
      <w:u w:val="single"/>
    </w:rPr>
  </w:style>
  <w:style w:type="paragraph" w:styleId="1057" w:customStyle="1">
    <w:name w:val="xl25"/>
    <w:basedOn w:val="77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8" w:customStyle="1">
    <w:name w:val="图标"/>
    <w:basedOn w:val="779"/>
    <w:next w:val="77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9" w:customStyle="1">
    <w:name w:val="标题3"/>
    <w:basedOn w:val="779"/>
    <w:next w:val="779"/>
    <w:uiPriority w:val="0"/>
    <w:qFormat/>
    <w:pPr>
      <w:ind w:firstLine="624"/>
      <w:spacing w:line="590" w:lineRule="atLeast"/>
    </w:pPr>
    <w:rPr>
      <w:rFonts w:ascii="方正黑体_GBK" w:eastAsia="方正黑体_GBK"/>
      <w:sz w:val="32"/>
      <w:szCs w:val="32"/>
    </w:rPr>
  </w:style>
  <w:style w:type="paragraph" w:styleId="1060" w:customStyle="1">
    <w:name w:val="xl24"/>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customStyle="1">
    <w:name w:val="xl29"/>
    <w:basedOn w:val="77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2" w:customStyle="1">
    <w:name w:val="Char Char Char Char Char Char Char Char"/>
    <w:basedOn w:val="779"/>
    <w:uiPriority w:val="0"/>
    <w:qFormat/>
    <w:pPr>
      <w:jc w:val="left"/>
      <w:spacing w:after="160" w:line="240" w:lineRule="exact"/>
      <w:widowControl/>
    </w:pPr>
    <w:rPr>
      <w:rFonts w:ascii="Verdana" w:hAnsi="Verdana"/>
      <w:sz w:val="20"/>
      <w:szCs w:val="20"/>
      <w:lang w:eastAsia="en-US"/>
    </w:rPr>
  </w:style>
  <w:style w:type="paragraph" w:styleId="1063" w:customStyle="1">
    <w:name w:val="xl28"/>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4" w:customStyle="1">
    <w:name w:val=" Char Char Char Char Char Char Char Char"/>
    <w:basedOn w:val="779"/>
    <w:uiPriority w:val="0"/>
    <w:qFormat/>
    <w:pPr>
      <w:jc w:val="left"/>
      <w:spacing w:after="160" w:line="240" w:lineRule="exact"/>
      <w:widowControl/>
    </w:pPr>
    <w:rPr>
      <w:rFonts w:ascii="Verdana" w:hAnsi="Verdana"/>
      <w:sz w:val="20"/>
      <w:szCs w:val="20"/>
      <w:lang w:eastAsia="en-US"/>
    </w:rPr>
  </w:style>
  <w:style w:type="paragraph" w:styleId="1065" w:customStyle="1">
    <w:name w:val="xl30"/>
    <w:basedOn w:val="779"/>
    <w:uiPriority w:val="0"/>
    <w:qFormat/>
    <w:pPr>
      <w:jc w:val="center"/>
      <w:spacing w:before="100" w:beforeAutospacing="1" w:after="100" w:afterAutospacing="1"/>
      <w:widowControl/>
    </w:pPr>
    <w:rPr>
      <w:rFonts w:ascii="宋体" w:hAnsi="宋体"/>
      <w:b/>
      <w:bCs/>
      <w:sz w:val="36"/>
      <w:szCs w:val="36"/>
    </w:rPr>
  </w:style>
  <w:style w:type="paragraph" w:styleId="1066" w:customStyle="1">
    <w:name w:val="Char Char Char Char"/>
    <w:basedOn w:val="983"/>
    <w:uiPriority w:val="0"/>
    <w:qFormat/>
    <w:pPr>
      <w:spacing w:line="360" w:lineRule="auto"/>
    </w:pPr>
    <w:rPr>
      <w:rFonts w:ascii="Tahoma" w:hAnsi="Tahoma"/>
      <w:sz w:val="24"/>
      <w:szCs w:val="24"/>
    </w:rPr>
  </w:style>
  <w:style w:type="paragraph" w:styleId="1067" w:customStyle="1">
    <w:name w:val="table_1stline"/>
    <w:basedOn w:val="779"/>
    <w:uiPriority w:val="0"/>
    <w:qFormat/>
    <w:pPr>
      <w:jc w:val="left"/>
      <w:spacing w:before="120"/>
      <w:widowControl/>
    </w:pPr>
    <w:rPr>
      <w:bCs/>
      <w:sz w:val="20"/>
      <w:szCs w:val="20"/>
      <w:lang w:val="de-DE" w:eastAsia="de-DE"/>
    </w:rPr>
  </w:style>
  <w:style w:type="paragraph" w:styleId="1068" w:customStyle="1">
    <w:name w:val="font5"/>
    <w:basedOn w:val="779"/>
    <w:uiPriority w:val="0"/>
    <w:qFormat/>
    <w:pPr>
      <w:jc w:val="left"/>
      <w:spacing w:before="100" w:beforeAutospacing="1" w:after="100" w:afterAutospacing="1"/>
      <w:widowControl/>
    </w:pPr>
    <w:rPr>
      <w:rFonts w:hint="eastAsia" w:ascii="宋体" w:hAnsi="宋体"/>
      <w:sz w:val="28"/>
      <w:szCs w:val="28"/>
    </w:rPr>
  </w:style>
  <w:style w:type="paragraph" w:styleId="1069" w:customStyle="1">
    <w:name w:val="标题1"/>
    <w:basedOn w:val="779"/>
    <w:next w:val="77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2" w:customStyle="1">
    <w:name w:val="普通(网站)1"/>
    <w:basedOn w:val="779"/>
    <w:uiPriority w:val="99"/>
    <w:qFormat/>
    <w:pPr>
      <w:jc w:val="left"/>
      <w:spacing w:before="100" w:beforeAutospacing="1" w:after="100" w:afterAutospacing="1"/>
      <w:widowControl/>
    </w:pPr>
    <w:rPr>
      <w:rFonts w:ascii="宋体" w:hAnsi="宋体" w:eastAsia="宋体" w:cs="宋体"/>
      <w:sz w:val="24"/>
      <w:szCs w:val="24"/>
    </w:rPr>
  </w:style>
  <w:style w:type="table" w:styleId="1073" w:customStyle="1">
    <w:name w:val="Table Grid Light"/>
    <w:uiPriority w:val="59"/>
    <w:qFormat/>
    <w:tblPr/>
  </w:style>
  <w:style w:type="character" w:styleId="1074" w:customStyle="1">
    <w:name w:val="font21"/>
    <w:basedOn w:val="1075"/>
    <w:link w:val="779"/>
    <w:uiPriority w:val="0"/>
    <w:qFormat/>
    <w:rPr>
      <w:rFonts w:ascii="等线" w:hAnsi="等线" w:eastAsia="等线" w:cs="等线"/>
      <w:color w:val="000000"/>
      <w:sz w:val="22"/>
      <w:szCs w:val="22"/>
      <w:u w:val="none"/>
    </w:rPr>
  </w:style>
  <w:style w:type="character" w:styleId="1075" w:customStyle="1">
    <w:name w:val="默认段落字体1"/>
    <w:link w:val="779"/>
    <w:uiPriority w:val="1"/>
    <w:unhideWhenUsed/>
    <w:qFormat/>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9</cp:revision>
  <dcterms:created xsi:type="dcterms:W3CDTF">2023-03-16T02:16:00Z</dcterms:created>
  <dcterms:modified xsi:type="dcterms:W3CDTF">2026-10-09T02:10:48Z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eyJoZGlkIjoiZmVkMWJhMDkxMmFmM2Y1ZDY5MmEzMjk1YmZkOGRlODYiLCJ1c2VySWQiOiIxNTY4NDI5MjQ3In0=</vt:lpwstr>
  </property>
  <property fmtid="{D5CDD505-2E9C-101B-9397-08002B2CF9AE}" pid="3" name="KSOProductBuildVer">
    <vt:lpwstr>2052-12.1.0.16929</vt:lpwstr>
  </property>
  <property fmtid="{D5CDD505-2E9C-101B-9397-08002B2CF9AE}" pid="4" name="ICV">
    <vt:lpwstr>06000B5092EE49EEBF05BCAC9B966AD2_13</vt:lpwstr>
  </property>
</Properties>
</file>