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BB2F5">
      <w:pPr>
        <w:spacing w:before="120" w:after="120" w:line="360" w:lineRule="auto"/>
        <w:jc w:val="left"/>
        <w:rPr>
          <w:rFonts w:hint="eastAsia" w:ascii="宋体" w:hAnsi="宋体" w:eastAsia="宋体" w:cs="宋体"/>
          <w:b/>
          <w:bCs/>
          <w:color w:val="auto"/>
          <w:sz w:val="84"/>
          <w:szCs w:val="24"/>
          <w:highlight w:val="none"/>
        </w:rPr>
      </w:pPr>
    </w:p>
    <w:p w14:paraId="7EA32822">
      <w:pPr>
        <w:spacing w:before="120" w:after="120" w:line="360" w:lineRule="auto"/>
        <w:jc w:val="center"/>
        <w:rPr>
          <w:rFonts w:hint="eastAsia" w:ascii="宋体" w:hAnsi="宋体" w:eastAsia="宋体" w:cs="宋体"/>
          <w:b w:val="0"/>
          <w:bCs w:val="0"/>
          <w:color w:val="auto"/>
          <w:sz w:val="84"/>
          <w:szCs w:val="24"/>
          <w:highlight w:val="none"/>
        </w:rPr>
      </w:pPr>
      <w:r>
        <w:rPr>
          <w:rFonts w:hint="eastAsia" w:ascii="宋体" w:hAnsi="宋体" w:eastAsia="宋体" w:cs="宋体"/>
          <w:b w:val="0"/>
          <w:bCs w:val="0"/>
          <w:color w:val="auto"/>
          <w:sz w:val="84"/>
          <w:szCs w:val="24"/>
          <w:highlight w:val="none"/>
        </w:rPr>
        <w:t>竞争性磋商文件</w:t>
      </w:r>
    </w:p>
    <w:p w14:paraId="4E5703F6">
      <w:pPr>
        <w:spacing w:before="120" w:after="120" w:line="360" w:lineRule="auto"/>
        <w:ind w:left="1606" w:hanging="1600"/>
        <w:jc w:val="left"/>
        <w:rPr>
          <w:rFonts w:hint="eastAsia" w:ascii="宋体" w:hAnsi="宋体" w:eastAsia="宋体" w:cs="宋体"/>
          <w:b w:val="0"/>
          <w:bCs w:val="0"/>
          <w:color w:val="auto"/>
          <w:sz w:val="32"/>
          <w:szCs w:val="24"/>
          <w:highlight w:val="none"/>
        </w:rPr>
      </w:pPr>
    </w:p>
    <w:tbl>
      <w:tblPr>
        <w:tblStyle w:val="29"/>
        <w:tblpPr w:leftFromText="180" w:rightFromText="180" w:vertAnchor="text" w:horzAnchor="page" w:tblpX="1877" w:tblpY="508"/>
        <w:tblW w:w="8468" w:type="dxa"/>
        <w:tblInd w:w="-108" w:type="dxa"/>
        <w:tblLayout w:type="autofit"/>
        <w:tblCellMar>
          <w:top w:w="0" w:type="dxa"/>
          <w:left w:w="108" w:type="dxa"/>
          <w:bottom w:w="0" w:type="dxa"/>
          <w:right w:w="108" w:type="dxa"/>
        </w:tblCellMar>
      </w:tblPr>
      <w:tblGrid>
        <w:gridCol w:w="2560"/>
        <w:gridCol w:w="5908"/>
      </w:tblGrid>
      <w:tr w14:paraId="37879A16">
        <w:tblPrEx>
          <w:tblCellMar>
            <w:top w:w="0" w:type="dxa"/>
            <w:left w:w="108" w:type="dxa"/>
            <w:bottom w:w="0" w:type="dxa"/>
            <w:right w:w="108" w:type="dxa"/>
          </w:tblCellMar>
        </w:tblPrEx>
        <w:trPr>
          <w:trHeight w:val="593" w:hRule="atLeast"/>
        </w:trPr>
        <w:tc>
          <w:tcPr>
            <w:tcW w:w="2560" w:type="dxa"/>
            <w:tcBorders>
              <w:top w:val="nil"/>
              <w:left w:val="nil"/>
              <w:bottom w:val="nil"/>
              <w:right w:val="nil"/>
            </w:tcBorders>
            <w:noWrap w:val="0"/>
            <w:vAlign w:val="center"/>
          </w:tcPr>
          <w:p w14:paraId="238C9A25">
            <w:pP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2"/>
                <w:szCs w:val="24"/>
                <w:highlight w:val="none"/>
              </w:rPr>
              <w:t>项目名称：</w:t>
            </w:r>
          </w:p>
        </w:tc>
        <w:tc>
          <w:tcPr>
            <w:tcW w:w="5908" w:type="dxa"/>
            <w:tcBorders>
              <w:top w:val="nil"/>
              <w:left w:val="nil"/>
              <w:bottom w:val="nil"/>
              <w:right w:val="nil"/>
            </w:tcBorders>
            <w:noWrap w:val="0"/>
            <w:vAlign w:val="center"/>
          </w:tcPr>
          <w:p w14:paraId="42B18474">
            <w:pPr>
              <w:spacing w:line="500" w:lineRule="exact"/>
              <w:rPr>
                <w:rFonts w:hint="eastAsia" w:ascii="宋体" w:hAnsi="宋体" w:eastAsia="宋体" w:cs="宋体"/>
                <w:b w:val="0"/>
                <w:bCs w:val="0"/>
                <w:color w:val="auto"/>
                <w:sz w:val="36"/>
                <w:szCs w:val="36"/>
                <w:highlight w:val="none"/>
                <w:lang w:eastAsia="zh-CN"/>
              </w:rPr>
            </w:pPr>
            <w:r>
              <w:rPr>
                <w:rFonts w:hint="eastAsia" w:ascii="宋体" w:hAnsi="宋体" w:cs="宋体"/>
                <w:b w:val="0"/>
                <w:bCs w:val="0"/>
                <w:color w:val="auto"/>
                <w:sz w:val="36"/>
                <w:szCs w:val="36"/>
                <w:highlight w:val="none"/>
                <w:lang w:eastAsia="zh-CN"/>
              </w:rPr>
              <w:t>2026-2029年度泗阳县党政办公楼、行政服务中心、双子楼等集中办公区空调维护保养项目</w:t>
            </w:r>
          </w:p>
        </w:tc>
      </w:tr>
      <w:tr w14:paraId="17909A24">
        <w:tblPrEx>
          <w:tblCellMar>
            <w:top w:w="0" w:type="dxa"/>
            <w:left w:w="108" w:type="dxa"/>
            <w:bottom w:w="0" w:type="dxa"/>
            <w:right w:w="108" w:type="dxa"/>
          </w:tblCellMar>
        </w:tblPrEx>
        <w:trPr>
          <w:trHeight w:val="611" w:hRule="atLeast"/>
        </w:trPr>
        <w:tc>
          <w:tcPr>
            <w:tcW w:w="2560" w:type="dxa"/>
            <w:tcBorders>
              <w:top w:val="nil"/>
              <w:left w:val="nil"/>
              <w:bottom w:val="nil"/>
              <w:right w:val="nil"/>
            </w:tcBorders>
            <w:noWrap w:val="0"/>
            <w:vAlign w:val="center"/>
          </w:tcPr>
          <w:p w14:paraId="695734E8">
            <w:pP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2"/>
                <w:szCs w:val="24"/>
                <w:highlight w:val="none"/>
              </w:rPr>
              <w:t>项目编号：</w:t>
            </w:r>
          </w:p>
        </w:tc>
        <w:tc>
          <w:tcPr>
            <w:tcW w:w="5908" w:type="dxa"/>
            <w:tcBorders>
              <w:top w:val="nil"/>
              <w:left w:val="nil"/>
              <w:bottom w:val="nil"/>
              <w:right w:val="nil"/>
            </w:tcBorders>
            <w:noWrap w:val="0"/>
            <w:vAlign w:val="center"/>
          </w:tcPr>
          <w:p w14:paraId="250707DF">
            <w:pPr>
              <w:spacing w:line="500" w:lineRule="exact"/>
              <w:rPr>
                <w:rFonts w:hint="default" w:ascii="宋体" w:hAnsi="宋体" w:eastAsia="宋体" w:cs="宋体"/>
                <w:b w:val="0"/>
                <w:bCs w:val="0"/>
                <w:color w:val="auto"/>
                <w:sz w:val="36"/>
                <w:szCs w:val="36"/>
                <w:highlight w:val="none"/>
                <w:lang w:val="en-US" w:eastAsia="zh-CN"/>
              </w:rPr>
            </w:pPr>
            <w:r>
              <w:rPr>
                <w:rFonts w:hint="default" w:ascii="宋体" w:hAnsi="宋体" w:eastAsia="宋体" w:cs="宋体"/>
                <w:b w:val="0"/>
                <w:bCs w:val="0"/>
                <w:color w:val="auto"/>
                <w:sz w:val="36"/>
                <w:szCs w:val="36"/>
                <w:highlight w:val="none"/>
                <w:lang w:val="en-US" w:eastAsia="zh-CN"/>
              </w:rPr>
              <w:t>JSZC-321323-ZTZY-C2026-0008</w:t>
            </w:r>
          </w:p>
        </w:tc>
      </w:tr>
      <w:tr w14:paraId="697173BA">
        <w:tblPrEx>
          <w:tblCellMar>
            <w:top w:w="0" w:type="dxa"/>
            <w:left w:w="108" w:type="dxa"/>
            <w:bottom w:w="0" w:type="dxa"/>
            <w:right w:w="108" w:type="dxa"/>
          </w:tblCellMar>
        </w:tblPrEx>
        <w:trPr>
          <w:trHeight w:val="611" w:hRule="atLeast"/>
        </w:trPr>
        <w:tc>
          <w:tcPr>
            <w:tcW w:w="8468" w:type="dxa"/>
            <w:gridSpan w:val="2"/>
            <w:tcBorders>
              <w:top w:val="nil"/>
              <w:left w:val="nil"/>
              <w:bottom w:val="nil"/>
              <w:right w:val="nil"/>
            </w:tcBorders>
            <w:noWrap w:val="0"/>
            <w:vAlign w:val="center"/>
          </w:tcPr>
          <w:p w14:paraId="19C99252">
            <w:pPr>
              <w:spacing w:line="500" w:lineRule="exact"/>
              <w:jc w:val="center"/>
              <w:rPr>
                <w:rFonts w:hint="eastAsia" w:ascii="宋体" w:hAnsi="宋体" w:eastAsia="宋体" w:cs="宋体"/>
                <w:b w:val="0"/>
                <w:bCs w:val="0"/>
                <w:color w:val="auto"/>
                <w:sz w:val="32"/>
                <w:szCs w:val="24"/>
                <w:highlight w:val="none"/>
              </w:rPr>
            </w:pPr>
            <w:r>
              <w:rPr>
                <w:rFonts w:hint="eastAsia" w:ascii="宋体" w:hAnsi="宋体" w:eastAsia="宋体" w:cs="宋体"/>
                <w:b w:val="0"/>
                <w:bCs w:val="0"/>
                <w:color w:val="auto"/>
                <w:sz w:val="32"/>
                <w:szCs w:val="24"/>
                <w:highlight w:val="none"/>
              </w:rPr>
              <w:t>（</w:t>
            </w:r>
            <w:r>
              <w:rPr>
                <w:rFonts w:hint="eastAsia" w:ascii="宋体" w:hAnsi="宋体" w:eastAsia="宋体" w:cs="宋体"/>
                <w:b w:val="0"/>
                <w:bCs w:val="0"/>
                <w:color w:val="auto"/>
                <w:sz w:val="32"/>
                <w:szCs w:val="24"/>
                <w:highlight w:val="none"/>
                <w:u w:val="single"/>
              </w:rPr>
              <w:t>服务</w:t>
            </w:r>
            <w:r>
              <w:rPr>
                <w:rFonts w:hint="eastAsia" w:ascii="宋体" w:hAnsi="宋体" w:eastAsia="宋体" w:cs="宋体"/>
                <w:b w:val="0"/>
                <w:bCs w:val="0"/>
                <w:color w:val="auto"/>
                <w:sz w:val="32"/>
                <w:szCs w:val="24"/>
                <w:highlight w:val="none"/>
              </w:rPr>
              <w:t>类项目，</w:t>
            </w:r>
            <w:r>
              <w:rPr>
                <w:rFonts w:hint="eastAsia" w:ascii="宋体" w:hAnsi="宋体" w:eastAsia="宋体" w:cs="宋体"/>
                <w:b w:val="0"/>
                <w:bCs w:val="0"/>
                <w:color w:val="auto"/>
                <w:sz w:val="32"/>
                <w:szCs w:val="24"/>
                <w:highlight w:val="none"/>
                <w:u w:val="single"/>
              </w:rPr>
              <w:t>属于</w:t>
            </w:r>
            <w:r>
              <w:rPr>
                <w:rFonts w:hint="eastAsia" w:ascii="宋体" w:hAnsi="宋体" w:eastAsia="宋体" w:cs="宋体"/>
                <w:b w:val="0"/>
                <w:bCs w:val="0"/>
                <w:color w:val="auto"/>
                <w:sz w:val="32"/>
                <w:szCs w:val="24"/>
                <w:highlight w:val="none"/>
              </w:rPr>
              <w:t>专门面向中小企业）</w:t>
            </w:r>
          </w:p>
        </w:tc>
      </w:tr>
    </w:tbl>
    <w:p w14:paraId="1B88424C">
      <w:pPr>
        <w:pStyle w:val="184"/>
        <w:rPr>
          <w:rFonts w:hint="eastAsia" w:ascii="宋体" w:hAnsi="宋体" w:eastAsia="宋体" w:cs="宋体"/>
          <w:b w:val="0"/>
          <w:bCs w:val="0"/>
          <w:color w:val="auto"/>
          <w:highlight w:val="none"/>
        </w:rPr>
      </w:pPr>
    </w:p>
    <w:p w14:paraId="69EDE0E3">
      <w:pPr>
        <w:rPr>
          <w:rFonts w:hint="eastAsia" w:ascii="宋体" w:hAnsi="宋体" w:eastAsia="宋体" w:cs="宋体"/>
          <w:b w:val="0"/>
          <w:bCs w:val="0"/>
          <w:color w:val="auto"/>
          <w:highlight w:val="none"/>
        </w:rPr>
      </w:pPr>
    </w:p>
    <w:p w14:paraId="653805A3">
      <w:pPr>
        <w:spacing w:before="120" w:after="120" w:line="360" w:lineRule="auto"/>
        <w:ind w:firstLine="2240"/>
        <w:jc w:val="left"/>
        <w:rPr>
          <w:rFonts w:hint="eastAsia" w:ascii="宋体" w:hAnsi="宋体" w:eastAsia="宋体" w:cs="宋体"/>
          <w:b w:val="0"/>
          <w:bCs w:val="0"/>
          <w:color w:val="auto"/>
          <w:sz w:val="32"/>
          <w:szCs w:val="24"/>
          <w:highlight w:val="none"/>
        </w:rPr>
      </w:pPr>
    </w:p>
    <w:tbl>
      <w:tblPr>
        <w:tblStyle w:val="29"/>
        <w:tblW w:w="0" w:type="auto"/>
        <w:jc w:val="center"/>
        <w:tblLayout w:type="autofit"/>
        <w:tblCellMar>
          <w:top w:w="0" w:type="dxa"/>
          <w:left w:w="108" w:type="dxa"/>
          <w:bottom w:w="0" w:type="dxa"/>
          <w:right w:w="108" w:type="dxa"/>
        </w:tblCellMar>
      </w:tblPr>
      <w:tblGrid>
        <w:gridCol w:w="2693"/>
        <w:gridCol w:w="5408"/>
      </w:tblGrid>
      <w:tr w14:paraId="3409F094">
        <w:tblPrEx>
          <w:tblCellMar>
            <w:top w:w="0" w:type="dxa"/>
            <w:left w:w="108" w:type="dxa"/>
            <w:bottom w:w="0" w:type="dxa"/>
            <w:right w:w="108" w:type="dxa"/>
          </w:tblCellMar>
        </w:tblPrEx>
        <w:trPr>
          <w:jc w:val="center"/>
        </w:trPr>
        <w:tc>
          <w:tcPr>
            <w:tcW w:w="2693" w:type="dxa"/>
            <w:tcBorders>
              <w:top w:val="nil"/>
              <w:left w:val="nil"/>
              <w:bottom w:val="nil"/>
              <w:right w:val="nil"/>
            </w:tcBorders>
            <w:noWrap w:val="0"/>
            <w:vAlign w:val="center"/>
          </w:tcPr>
          <w:p w14:paraId="719C1430">
            <w:pP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2"/>
                <w:szCs w:val="24"/>
                <w:highlight w:val="none"/>
              </w:rPr>
              <w:t>采购人：</w:t>
            </w:r>
          </w:p>
        </w:tc>
        <w:tc>
          <w:tcPr>
            <w:tcW w:w="5408" w:type="dxa"/>
            <w:tcBorders>
              <w:top w:val="nil"/>
              <w:left w:val="nil"/>
              <w:bottom w:val="nil"/>
              <w:right w:val="nil"/>
            </w:tcBorders>
            <w:noWrap w:val="0"/>
            <w:vAlign w:val="center"/>
          </w:tcPr>
          <w:p w14:paraId="3A8CA55D">
            <w:pPr>
              <w:rPr>
                <w:rFonts w:hint="eastAsia" w:ascii="宋体" w:hAnsi="宋体" w:eastAsia="宋体" w:cs="宋体"/>
                <w:b w:val="0"/>
                <w:bCs w:val="0"/>
                <w:color w:val="auto"/>
                <w:sz w:val="36"/>
                <w:szCs w:val="36"/>
                <w:highlight w:val="none"/>
                <w:lang w:eastAsia="zh-CN"/>
              </w:rPr>
            </w:pPr>
            <w:r>
              <w:rPr>
                <w:rFonts w:hint="eastAsia" w:ascii="宋体" w:hAnsi="宋体" w:cs="宋体"/>
                <w:b w:val="0"/>
                <w:bCs w:val="0"/>
                <w:color w:val="auto"/>
                <w:sz w:val="32"/>
                <w:szCs w:val="24"/>
                <w:highlight w:val="none"/>
                <w:lang w:eastAsia="zh-CN"/>
              </w:rPr>
              <w:t>泗阳县机关事务管理中心</w:t>
            </w:r>
          </w:p>
        </w:tc>
      </w:tr>
      <w:tr w14:paraId="2B162B01">
        <w:tblPrEx>
          <w:tblCellMar>
            <w:top w:w="0" w:type="dxa"/>
            <w:left w:w="108" w:type="dxa"/>
            <w:bottom w:w="0" w:type="dxa"/>
            <w:right w:w="108" w:type="dxa"/>
          </w:tblCellMar>
        </w:tblPrEx>
        <w:trPr>
          <w:trHeight w:val="90" w:hRule="atLeast"/>
          <w:jc w:val="center"/>
        </w:trPr>
        <w:tc>
          <w:tcPr>
            <w:tcW w:w="2693" w:type="dxa"/>
            <w:tcBorders>
              <w:top w:val="nil"/>
              <w:left w:val="nil"/>
              <w:bottom w:val="nil"/>
              <w:right w:val="nil"/>
            </w:tcBorders>
            <w:noWrap w:val="0"/>
            <w:vAlign w:val="center"/>
          </w:tcPr>
          <w:p w14:paraId="7EA68161">
            <w:pP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2"/>
                <w:szCs w:val="24"/>
                <w:highlight w:val="none"/>
              </w:rPr>
              <w:t>采购代理机构：</w:t>
            </w:r>
            <w:r>
              <w:rPr>
                <w:rFonts w:hint="eastAsia" w:ascii="宋体" w:hAnsi="宋体" w:eastAsia="宋体" w:cs="宋体"/>
                <w:b w:val="0"/>
                <w:bCs w:val="0"/>
                <w:color w:val="auto"/>
                <w:sz w:val="36"/>
                <w:szCs w:val="36"/>
                <w:highlight w:val="none"/>
              </w:rPr>
              <w:t xml:space="preserve"> </w:t>
            </w:r>
          </w:p>
        </w:tc>
        <w:tc>
          <w:tcPr>
            <w:tcW w:w="5408" w:type="dxa"/>
            <w:tcBorders>
              <w:top w:val="nil"/>
              <w:left w:val="nil"/>
              <w:bottom w:val="nil"/>
              <w:right w:val="nil"/>
            </w:tcBorders>
            <w:noWrap w:val="0"/>
            <w:vAlign w:val="center"/>
          </w:tcPr>
          <w:p w14:paraId="0FE0C2B5">
            <w:pPr>
              <w:rPr>
                <w:rFonts w:hint="eastAsia" w:ascii="宋体" w:hAnsi="宋体" w:eastAsia="宋体" w:cs="宋体"/>
                <w:b w:val="0"/>
                <w:bCs w:val="0"/>
                <w:color w:val="auto"/>
                <w:sz w:val="36"/>
                <w:szCs w:val="36"/>
                <w:highlight w:val="none"/>
                <w:lang w:eastAsia="zh-CN"/>
              </w:rPr>
            </w:pPr>
            <w:r>
              <w:rPr>
                <w:rFonts w:hint="eastAsia" w:ascii="宋体" w:hAnsi="宋体" w:eastAsia="宋体" w:cs="宋体"/>
                <w:b w:val="0"/>
                <w:bCs w:val="0"/>
                <w:color w:val="auto"/>
                <w:sz w:val="32"/>
                <w:szCs w:val="24"/>
                <w:highlight w:val="none"/>
                <w:lang w:eastAsia="zh-CN"/>
              </w:rPr>
              <w:t>中天志远咨询有限公司</w:t>
            </w:r>
          </w:p>
        </w:tc>
      </w:tr>
      <w:tr w14:paraId="3B302619">
        <w:tblPrEx>
          <w:tblCellMar>
            <w:top w:w="0" w:type="dxa"/>
            <w:left w:w="108" w:type="dxa"/>
            <w:bottom w:w="0" w:type="dxa"/>
            <w:right w:w="108" w:type="dxa"/>
          </w:tblCellMar>
        </w:tblPrEx>
        <w:trPr>
          <w:jc w:val="center"/>
        </w:trPr>
        <w:tc>
          <w:tcPr>
            <w:tcW w:w="8101" w:type="dxa"/>
            <w:gridSpan w:val="2"/>
            <w:tcBorders>
              <w:top w:val="nil"/>
              <w:left w:val="nil"/>
              <w:bottom w:val="nil"/>
              <w:right w:val="nil"/>
            </w:tcBorders>
            <w:noWrap w:val="0"/>
            <w:vAlign w:val="center"/>
          </w:tcPr>
          <w:p w14:paraId="0F9F3060">
            <w:pPr>
              <w:jc w:val="center"/>
              <w:rPr>
                <w:rFonts w:hint="eastAsia" w:ascii="宋体" w:hAnsi="宋体" w:eastAsia="宋体" w:cs="宋体"/>
                <w:b w:val="0"/>
                <w:bCs w:val="0"/>
                <w:color w:val="auto"/>
                <w:sz w:val="36"/>
                <w:szCs w:val="36"/>
                <w:highlight w:val="none"/>
                <w:lang w:eastAsia="zh-CN"/>
              </w:rPr>
            </w:pPr>
            <w:r>
              <w:rPr>
                <w:rFonts w:hint="eastAsia" w:ascii="宋体" w:hAnsi="宋体" w:cs="宋体"/>
                <w:b w:val="0"/>
                <w:bCs w:val="0"/>
                <w:color w:val="auto"/>
                <w:sz w:val="32"/>
                <w:szCs w:val="24"/>
                <w:highlight w:val="none"/>
                <w:lang w:eastAsia="zh-CN"/>
              </w:rPr>
              <w:t>2026年10月</w:t>
            </w:r>
            <w:r>
              <w:rPr>
                <w:rFonts w:hint="eastAsia" w:ascii="宋体" w:hAnsi="宋体" w:cs="宋体"/>
                <w:b w:val="0"/>
                <w:bCs w:val="0"/>
                <w:color w:val="auto"/>
                <w:sz w:val="32"/>
                <w:szCs w:val="24"/>
                <w:highlight w:val="none"/>
                <w:lang w:val="en-US" w:eastAsia="zh-CN"/>
              </w:rPr>
              <w:t>22</w:t>
            </w:r>
            <w:r>
              <w:rPr>
                <w:rFonts w:hint="eastAsia" w:ascii="宋体" w:hAnsi="宋体" w:cs="宋体"/>
                <w:b w:val="0"/>
                <w:bCs w:val="0"/>
                <w:color w:val="auto"/>
                <w:sz w:val="32"/>
                <w:szCs w:val="24"/>
                <w:highlight w:val="none"/>
                <w:lang w:eastAsia="zh-CN"/>
              </w:rPr>
              <w:t>日</w:t>
            </w:r>
          </w:p>
        </w:tc>
      </w:tr>
    </w:tbl>
    <w:p w14:paraId="2DE3B167">
      <w:pPr>
        <w:spacing w:before="120" w:after="120" w:line="360" w:lineRule="auto"/>
        <w:ind w:firstLine="1470"/>
        <w:jc w:val="left"/>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Cs w:val="21"/>
          <w:highlight w:val="none"/>
        </w:rPr>
        <w:t xml:space="preserve">         </w:t>
      </w:r>
      <w:r>
        <w:rPr>
          <w:rFonts w:hint="eastAsia" w:ascii="宋体" w:hAnsi="宋体" w:eastAsia="宋体" w:cs="宋体"/>
          <w:b w:val="0"/>
          <w:bCs w:val="0"/>
          <w:color w:val="auto"/>
          <w:sz w:val="30"/>
          <w:szCs w:val="30"/>
          <w:highlight w:val="none"/>
        </w:rPr>
        <w:t xml:space="preserve">     </w:t>
      </w:r>
    </w:p>
    <w:p w14:paraId="65DE101A">
      <w:pPr>
        <w:spacing w:line="360" w:lineRule="auto"/>
        <w:jc w:val="left"/>
        <w:rPr>
          <w:rFonts w:hint="eastAsia" w:ascii="宋体" w:hAnsi="宋体" w:eastAsia="宋体" w:cs="宋体"/>
          <w:b w:val="0"/>
          <w:bCs w:val="0"/>
          <w:color w:val="auto"/>
          <w:sz w:val="24"/>
          <w:szCs w:val="24"/>
          <w:highlight w:val="none"/>
        </w:rPr>
      </w:pPr>
    </w:p>
    <w:p w14:paraId="1970D260">
      <w:pPr>
        <w:spacing w:line="360" w:lineRule="auto"/>
        <w:jc w:val="left"/>
        <w:rPr>
          <w:rFonts w:hint="eastAsia" w:ascii="宋体" w:hAnsi="宋体" w:eastAsia="宋体" w:cs="宋体"/>
          <w:color w:val="auto"/>
          <w:sz w:val="24"/>
          <w:szCs w:val="24"/>
          <w:highlight w:val="none"/>
        </w:rPr>
      </w:pPr>
    </w:p>
    <w:p w14:paraId="2B9D32EA">
      <w:pPr>
        <w:spacing w:line="360" w:lineRule="auto"/>
        <w:jc w:val="left"/>
        <w:rPr>
          <w:rFonts w:hint="eastAsia" w:ascii="宋体" w:hAnsi="宋体" w:eastAsia="宋体" w:cs="宋体"/>
          <w:color w:val="auto"/>
          <w:sz w:val="24"/>
          <w:szCs w:val="24"/>
          <w:highlight w:val="none"/>
        </w:rPr>
      </w:pPr>
    </w:p>
    <w:p w14:paraId="2A08A143">
      <w:pPr>
        <w:spacing w:line="360" w:lineRule="auto"/>
        <w:jc w:val="left"/>
        <w:rPr>
          <w:rFonts w:hint="eastAsia" w:ascii="宋体" w:hAnsi="宋体" w:eastAsia="宋体" w:cs="宋体"/>
          <w:color w:val="auto"/>
          <w:sz w:val="24"/>
          <w:szCs w:val="24"/>
          <w:highlight w:val="none"/>
        </w:rPr>
      </w:pPr>
    </w:p>
    <w:p w14:paraId="6D9A0ABD">
      <w:pPr>
        <w:spacing w:before="0" w:beforeLines="0" w:after="0" w:afterLines="0" w:line="240" w:lineRule="auto"/>
        <w:ind w:left="0" w:leftChars="0" w:right="0" w:rightChars="0" w:firstLine="0" w:firstLineChars="0"/>
        <w:jc w:val="center"/>
        <w:rPr>
          <w:rFonts w:ascii="宋体" w:hAnsi="宋体" w:eastAsia="宋体"/>
          <w:color w:val="auto"/>
          <w:sz w:val="21"/>
          <w:highlight w:val="none"/>
        </w:rPr>
        <w:sectPr>
          <w:headerReference r:id="rId3" w:type="default"/>
          <w:footerReference r:id="rId4" w:type="default"/>
          <w:pgSz w:w="11906" w:h="16838"/>
          <w:pgMar w:top="1418" w:right="1588" w:bottom="1418" w:left="1365" w:header="851" w:footer="907" w:gutter="0"/>
          <w:pgNumType w:start="1"/>
          <w:cols w:space="1701" w:num="1"/>
          <w:titlePg/>
          <w:docGrid w:linePitch="360" w:charSpace="0"/>
        </w:sectPr>
      </w:pPr>
    </w:p>
    <w:p w14:paraId="145D7055">
      <w:pPr>
        <w:spacing w:before="0" w:beforeLines="0" w:after="0" w:afterLines="0" w:line="240" w:lineRule="auto"/>
        <w:ind w:left="0" w:leftChars="0" w:right="0" w:rightChars="0" w:firstLine="0" w:firstLineChars="0"/>
        <w:jc w:val="center"/>
        <w:rPr>
          <w:color w:val="auto"/>
          <w:highlight w:val="none"/>
        </w:rPr>
      </w:pPr>
      <w:r>
        <w:rPr>
          <w:rFonts w:ascii="宋体" w:hAnsi="宋体" w:eastAsia="宋体"/>
          <w:color w:val="auto"/>
          <w:sz w:val="21"/>
          <w:highlight w:val="none"/>
        </w:rPr>
        <w:t>目录</w:t>
      </w:r>
    </w:p>
    <w:p w14:paraId="2861085B">
      <w:pPr>
        <w:pStyle w:val="20"/>
        <w:tabs>
          <w:tab w:val="right" w:leader="dot" w:pos="8953"/>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TOC \o "1-1" \h \u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_Toc4635 </w:instrText>
      </w:r>
      <w:r>
        <w:rPr>
          <w:rFonts w:hint="eastAsia" w:ascii="宋体" w:hAnsi="宋体" w:eastAsia="宋体" w:cs="宋体"/>
          <w:color w:val="auto"/>
          <w:szCs w:val="24"/>
          <w:highlight w:val="none"/>
        </w:rPr>
        <w:fldChar w:fldCharType="separate"/>
      </w:r>
      <w:r>
        <w:rPr>
          <w:rFonts w:hint="eastAsia"/>
          <w:bCs/>
          <w:color w:val="auto"/>
          <w:highlight w:val="none"/>
        </w:rPr>
        <w:t>第一章  磋商邀请</w:t>
      </w:r>
      <w:r>
        <w:rPr>
          <w:color w:val="auto"/>
          <w:highlight w:val="none"/>
        </w:rPr>
        <w:tab/>
      </w:r>
      <w:r>
        <w:rPr>
          <w:color w:val="auto"/>
          <w:highlight w:val="none"/>
        </w:rPr>
        <w:fldChar w:fldCharType="begin"/>
      </w:r>
      <w:r>
        <w:rPr>
          <w:color w:val="auto"/>
          <w:highlight w:val="none"/>
        </w:rPr>
        <w:instrText xml:space="preserve"> PAGEREF _Toc4635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color w:val="auto"/>
          <w:szCs w:val="24"/>
          <w:highlight w:val="none"/>
        </w:rPr>
        <w:fldChar w:fldCharType="end"/>
      </w:r>
    </w:p>
    <w:p w14:paraId="3A5D6232">
      <w:pPr>
        <w:pStyle w:val="20"/>
        <w:tabs>
          <w:tab w:val="right" w:leader="dot" w:pos="8953"/>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_Toc28718 </w:instrText>
      </w:r>
      <w:r>
        <w:rPr>
          <w:rFonts w:hint="eastAsia" w:ascii="宋体" w:hAnsi="宋体" w:eastAsia="宋体" w:cs="宋体"/>
          <w:color w:val="auto"/>
          <w:szCs w:val="24"/>
          <w:highlight w:val="none"/>
        </w:rPr>
        <w:fldChar w:fldCharType="separate"/>
      </w:r>
      <w:r>
        <w:rPr>
          <w:rFonts w:hint="eastAsia"/>
          <w:color w:val="auto"/>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_Toc28718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color w:val="auto"/>
          <w:szCs w:val="24"/>
          <w:highlight w:val="none"/>
        </w:rPr>
        <w:fldChar w:fldCharType="end"/>
      </w:r>
    </w:p>
    <w:p w14:paraId="025C8111">
      <w:pPr>
        <w:pStyle w:val="20"/>
        <w:tabs>
          <w:tab w:val="right" w:leader="dot" w:pos="8953"/>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_Toc12480 </w:instrText>
      </w:r>
      <w:r>
        <w:rPr>
          <w:rFonts w:hint="eastAsia" w:ascii="宋体" w:hAnsi="宋体" w:eastAsia="宋体" w:cs="宋体"/>
          <w:color w:val="auto"/>
          <w:szCs w:val="24"/>
          <w:highlight w:val="none"/>
        </w:rPr>
        <w:fldChar w:fldCharType="separate"/>
      </w:r>
      <w:r>
        <w:rPr>
          <w:rFonts w:hint="eastAsia"/>
          <w:color w:val="auto"/>
          <w:highlight w:val="none"/>
        </w:rPr>
        <w:t>第三章  合同文本</w:t>
      </w:r>
      <w:r>
        <w:rPr>
          <w:color w:val="auto"/>
          <w:highlight w:val="none"/>
        </w:rPr>
        <w:tab/>
      </w:r>
      <w:r>
        <w:rPr>
          <w:color w:val="auto"/>
          <w:highlight w:val="none"/>
        </w:rPr>
        <w:fldChar w:fldCharType="begin"/>
      </w:r>
      <w:r>
        <w:rPr>
          <w:color w:val="auto"/>
          <w:highlight w:val="none"/>
        </w:rPr>
        <w:instrText xml:space="preserve"> PAGEREF _Toc12480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color w:val="auto"/>
          <w:szCs w:val="24"/>
          <w:highlight w:val="none"/>
        </w:rPr>
        <w:fldChar w:fldCharType="end"/>
      </w:r>
    </w:p>
    <w:p w14:paraId="623C61E1">
      <w:pPr>
        <w:pStyle w:val="20"/>
        <w:tabs>
          <w:tab w:val="right" w:leader="dot" w:pos="8953"/>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_Toc29146 </w:instrText>
      </w:r>
      <w:r>
        <w:rPr>
          <w:rFonts w:hint="eastAsia" w:ascii="宋体" w:hAnsi="宋体" w:eastAsia="宋体" w:cs="宋体"/>
          <w:color w:val="auto"/>
          <w:szCs w:val="24"/>
          <w:highlight w:val="none"/>
        </w:rPr>
        <w:fldChar w:fldCharType="separate"/>
      </w:r>
      <w:r>
        <w:rPr>
          <w:rFonts w:hint="eastAsia"/>
          <w:color w:val="auto"/>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_Toc29146 \h </w:instrText>
      </w:r>
      <w:r>
        <w:rPr>
          <w:color w:val="auto"/>
          <w:highlight w:val="none"/>
        </w:rPr>
        <w:fldChar w:fldCharType="separate"/>
      </w:r>
      <w:r>
        <w:rPr>
          <w:color w:val="auto"/>
          <w:highlight w:val="none"/>
        </w:rPr>
        <w:t>26</w:t>
      </w:r>
      <w:r>
        <w:rPr>
          <w:color w:val="auto"/>
          <w:highlight w:val="none"/>
        </w:rPr>
        <w:fldChar w:fldCharType="end"/>
      </w:r>
      <w:r>
        <w:rPr>
          <w:rFonts w:hint="eastAsia" w:ascii="宋体" w:hAnsi="宋体" w:eastAsia="宋体" w:cs="宋体"/>
          <w:color w:val="auto"/>
          <w:szCs w:val="24"/>
          <w:highlight w:val="none"/>
        </w:rPr>
        <w:fldChar w:fldCharType="end"/>
      </w:r>
    </w:p>
    <w:p w14:paraId="6732436F">
      <w:pPr>
        <w:pStyle w:val="20"/>
        <w:tabs>
          <w:tab w:val="right" w:leader="dot" w:pos="8953"/>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_Toc11405 </w:instrText>
      </w:r>
      <w:r>
        <w:rPr>
          <w:rFonts w:hint="eastAsia" w:ascii="宋体" w:hAnsi="宋体" w:eastAsia="宋体" w:cs="宋体"/>
          <w:color w:val="auto"/>
          <w:szCs w:val="24"/>
          <w:highlight w:val="none"/>
        </w:rPr>
        <w:fldChar w:fldCharType="separate"/>
      </w:r>
      <w:r>
        <w:rPr>
          <w:rFonts w:hint="eastAsia"/>
          <w:color w:val="auto"/>
          <w:highlight w:val="none"/>
        </w:rPr>
        <w:t>第五章  评审方法与评审标准</w:t>
      </w:r>
      <w:r>
        <w:rPr>
          <w:color w:val="auto"/>
          <w:highlight w:val="none"/>
        </w:rPr>
        <w:tab/>
      </w:r>
      <w:bookmarkStart w:id="160" w:name="_GoBack"/>
      <w:bookmarkEnd w:id="160"/>
      <w:r>
        <w:rPr>
          <w:color w:val="auto"/>
          <w:highlight w:val="none"/>
        </w:rPr>
        <w:fldChar w:fldCharType="begin"/>
      </w:r>
      <w:r>
        <w:rPr>
          <w:color w:val="auto"/>
          <w:highlight w:val="none"/>
        </w:rPr>
        <w:instrText xml:space="preserve"> PAGEREF _Toc11405 \h </w:instrText>
      </w:r>
      <w:r>
        <w:rPr>
          <w:color w:val="auto"/>
          <w:highlight w:val="none"/>
        </w:rPr>
        <w:fldChar w:fldCharType="separate"/>
      </w:r>
      <w:r>
        <w:rPr>
          <w:color w:val="auto"/>
          <w:highlight w:val="none"/>
        </w:rPr>
        <w:t>30</w:t>
      </w:r>
      <w:r>
        <w:rPr>
          <w:color w:val="auto"/>
          <w:highlight w:val="none"/>
        </w:rPr>
        <w:fldChar w:fldCharType="end"/>
      </w:r>
      <w:r>
        <w:rPr>
          <w:rFonts w:hint="eastAsia" w:ascii="宋体" w:hAnsi="宋体" w:eastAsia="宋体" w:cs="宋体"/>
          <w:color w:val="auto"/>
          <w:szCs w:val="24"/>
          <w:highlight w:val="none"/>
        </w:rPr>
        <w:fldChar w:fldCharType="end"/>
      </w:r>
    </w:p>
    <w:p w14:paraId="2378E378">
      <w:pPr>
        <w:pStyle w:val="20"/>
        <w:tabs>
          <w:tab w:val="right" w:leader="dot" w:pos="8953"/>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_Toc12059 </w:instrText>
      </w:r>
      <w:r>
        <w:rPr>
          <w:rFonts w:hint="eastAsia" w:ascii="宋体" w:hAnsi="宋体" w:eastAsia="宋体" w:cs="宋体"/>
          <w:color w:val="auto"/>
          <w:szCs w:val="24"/>
          <w:highlight w:val="none"/>
        </w:rPr>
        <w:fldChar w:fldCharType="separate"/>
      </w:r>
      <w:r>
        <w:rPr>
          <w:rFonts w:hint="eastAsia"/>
          <w:color w:val="auto"/>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_Toc12059 \h </w:instrText>
      </w:r>
      <w:r>
        <w:rPr>
          <w:color w:val="auto"/>
          <w:highlight w:val="none"/>
        </w:rPr>
        <w:fldChar w:fldCharType="separate"/>
      </w:r>
      <w:r>
        <w:rPr>
          <w:color w:val="auto"/>
          <w:highlight w:val="none"/>
        </w:rPr>
        <w:t>33</w:t>
      </w:r>
      <w:r>
        <w:rPr>
          <w:color w:val="auto"/>
          <w:highlight w:val="none"/>
        </w:rPr>
        <w:fldChar w:fldCharType="end"/>
      </w:r>
      <w:r>
        <w:rPr>
          <w:rFonts w:hint="eastAsia" w:ascii="宋体" w:hAnsi="宋体" w:eastAsia="宋体" w:cs="宋体"/>
          <w:color w:val="auto"/>
          <w:szCs w:val="24"/>
          <w:highlight w:val="none"/>
        </w:rPr>
        <w:fldChar w:fldCharType="end"/>
      </w:r>
    </w:p>
    <w:p w14:paraId="10A0A8FD">
      <w:pPr>
        <w:pStyle w:val="20"/>
        <w:tabs>
          <w:tab w:val="right" w:leader="dot" w:pos="8953"/>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_Toc18800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szCs w:val="32"/>
          <w:highlight w:val="none"/>
        </w:rPr>
        <w:t>质疑函范本</w:t>
      </w:r>
      <w:r>
        <w:rPr>
          <w:color w:val="auto"/>
          <w:highlight w:val="none"/>
        </w:rPr>
        <w:tab/>
      </w:r>
      <w:r>
        <w:rPr>
          <w:color w:val="auto"/>
          <w:highlight w:val="none"/>
        </w:rPr>
        <w:fldChar w:fldCharType="begin"/>
      </w:r>
      <w:r>
        <w:rPr>
          <w:color w:val="auto"/>
          <w:highlight w:val="none"/>
        </w:rPr>
        <w:instrText xml:space="preserve"> PAGEREF _Toc18800 \h </w:instrText>
      </w:r>
      <w:r>
        <w:rPr>
          <w:color w:val="auto"/>
          <w:highlight w:val="none"/>
        </w:rPr>
        <w:fldChar w:fldCharType="separate"/>
      </w:r>
      <w:r>
        <w:rPr>
          <w:color w:val="auto"/>
          <w:highlight w:val="none"/>
        </w:rPr>
        <w:t>46</w:t>
      </w:r>
      <w:r>
        <w:rPr>
          <w:color w:val="auto"/>
          <w:highlight w:val="none"/>
        </w:rPr>
        <w:fldChar w:fldCharType="end"/>
      </w:r>
      <w:r>
        <w:rPr>
          <w:rFonts w:hint="eastAsia" w:ascii="宋体" w:hAnsi="宋体" w:eastAsia="宋体" w:cs="宋体"/>
          <w:color w:val="auto"/>
          <w:szCs w:val="24"/>
          <w:highlight w:val="none"/>
        </w:rPr>
        <w:fldChar w:fldCharType="end"/>
      </w:r>
    </w:p>
    <w:p w14:paraId="48F7883B">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end"/>
      </w:r>
    </w:p>
    <w:p w14:paraId="578878BD">
      <w:pPr>
        <w:spacing w:line="360" w:lineRule="auto"/>
        <w:jc w:val="left"/>
        <w:rPr>
          <w:rFonts w:hint="eastAsia" w:ascii="宋体" w:hAnsi="宋体" w:eastAsia="宋体" w:cs="宋体"/>
          <w:color w:val="auto"/>
          <w:szCs w:val="24"/>
          <w:highlight w:val="none"/>
        </w:rPr>
      </w:pPr>
    </w:p>
    <w:p w14:paraId="68039D23">
      <w:pPr>
        <w:spacing w:line="360" w:lineRule="auto"/>
        <w:jc w:val="left"/>
        <w:rPr>
          <w:rFonts w:hint="eastAsia" w:ascii="宋体" w:hAnsi="宋体" w:eastAsia="宋体" w:cs="宋体"/>
          <w:color w:val="auto"/>
          <w:szCs w:val="24"/>
          <w:highlight w:val="none"/>
        </w:rPr>
      </w:pPr>
    </w:p>
    <w:p w14:paraId="7A377B08">
      <w:pPr>
        <w:spacing w:line="500" w:lineRule="exact"/>
        <w:ind w:firstLine="480"/>
        <w:rPr>
          <w:rFonts w:hint="eastAsia" w:ascii="宋体" w:hAnsi="宋体" w:eastAsia="宋体" w:cs="宋体"/>
          <w:color w:val="auto"/>
          <w:sz w:val="24"/>
          <w:szCs w:val="24"/>
          <w:highlight w:val="none"/>
        </w:rPr>
      </w:pPr>
      <w:bookmarkStart w:id="0" w:name="_Toc20823272"/>
      <w:bookmarkStart w:id="1" w:name="_Toc523127445"/>
      <w:bookmarkStart w:id="2" w:name="_Toc479757206"/>
      <w:bookmarkStart w:id="3" w:name="_Toc513029200"/>
      <w:bookmarkStart w:id="4" w:name="_Toc16938516"/>
    </w:p>
    <w:p w14:paraId="5FECB76A">
      <w:pPr>
        <w:spacing w:line="500" w:lineRule="exact"/>
        <w:ind w:firstLine="480"/>
        <w:rPr>
          <w:rFonts w:hint="eastAsia" w:ascii="宋体" w:hAnsi="宋体" w:eastAsia="宋体" w:cs="宋体"/>
          <w:color w:val="auto"/>
          <w:sz w:val="24"/>
          <w:szCs w:val="24"/>
          <w:highlight w:val="none"/>
        </w:rPr>
      </w:pPr>
    </w:p>
    <w:p w14:paraId="3399E3C7">
      <w:pPr>
        <w:spacing w:line="500" w:lineRule="exact"/>
        <w:ind w:firstLine="480"/>
        <w:rPr>
          <w:rFonts w:hint="eastAsia" w:ascii="宋体" w:hAnsi="宋体" w:eastAsia="宋体" w:cs="宋体"/>
          <w:color w:val="auto"/>
          <w:sz w:val="24"/>
          <w:szCs w:val="24"/>
          <w:highlight w:val="none"/>
        </w:rPr>
      </w:pPr>
    </w:p>
    <w:p w14:paraId="2818455B">
      <w:pPr>
        <w:spacing w:line="500" w:lineRule="exact"/>
        <w:ind w:firstLine="480"/>
        <w:rPr>
          <w:rFonts w:hint="eastAsia" w:ascii="宋体" w:hAnsi="宋体" w:eastAsia="宋体" w:cs="宋体"/>
          <w:color w:val="auto"/>
          <w:sz w:val="24"/>
          <w:szCs w:val="24"/>
          <w:highlight w:val="none"/>
        </w:rPr>
      </w:pPr>
    </w:p>
    <w:p w14:paraId="16EB65CC">
      <w:pPr>
        <w:spacing w:line="500" w:lineRule="exact"/>
        <w:ind w:firstLine="480"/>
        <w:rPr>
          <w:rFonts w:hint="eastAsia" w:ascii="宋体" w:hAnsi="宋体" w:eastAsia="宋体" w:cs="宋体"/>
          <w:color w:val="auto"/>
          <w:sz w:val="24"/>
          <w:szCs w:val="24"/>
          <w:highlight w:val="none"/>
        </w:rPr>
      </w:pPr>
    </w:p>
    <w:p w14:paraId="13731D69">
      <w:pPr>
        <w:spacing w:line="500" w:lineRule="exact"/>
        <w:ind w:firstLine="480"/>
        <w:rPr>
          <w:rFonts w:hint="eastAsia" w:ascii="宋体" w:hAnsi="宋体" w:eastAsia="宋体" w:cs="宋体"/>
          <w:color w:val="auto"/>
          <w:sz w:val="24"/>
          <w:szCs w:val="24"/>
          <w:highlight w:val="none"/>
        </w:rPr>
      </w:pPr>
    </w:p>
    <w:p w14:paraId="5DDDFD99">
      <w:pPr>
        <w:spacing w:line="500" w:lineRule="exact"/>
        <w:ind w:firstLine="480"/>
        <w:rPr>
          <w:rFonts w:hint="eastAsia" w:ascii="宋体" w:hAnsi="宋体" w:eastAsia="宋体" w:cs="宋体"/>
          <w:color w:val="auto"/>
          <w:sz w:val="24"/>
          <w:szCs w:val="24"/>
          <w:highlight w:val="none"/>
        </w:rPr>
      </w:pPr>
    </w:p>
    <w:p w14:paraId="21E2B076">
      <w:pPr>
        <w:spacing w:line="500" w:lineRule="exact"/>
        <w:ind w:firstLine="480"/>
        <w:rPr>
          <w:rFonts w:hint="eastAsia" w:ascii="宋体" w:hAnsi="宋体" w:eastAsia="宋体" w:cs="宋体"/>
          <w:color w:val="auto"/>
          <w:sz w:val="24"/>
          <w:szCs w:val="24"/>
          <w:highlight w:val="none"/>
        </w:rPr>
      </w:pPr>
    </w:p>
    <w:p w14:paraId="4C5BA188">
      <w:pPr>
        <w:spacing w:line="500" w:lineRule="exact"/>
        <w:ind w:firstLine="480"/>
        <w:rPr>
          <w:rFonts w:hint="eastAsia" w:ascii="宋体" w:hAnsi="宋体" w:eastAsia="宋体" w:cs="宋体"/>
          <w:color w:val="auto"/>
          <w:sz w:val="24"/>
          <w:szCs w:val="24"/>
          <w:highlight w:val="none"/>
        </w:rPr>
      </w:pPr>
    </w:p>
    <w:p w14:paraId="71081D90">
      <w:pPr>
        <w:spacing w:line="500" w:lineRule="exact"/>
        <w:ind w:firstLine="480"/>
        <w:rPr>
          <w:rFonts w:hint="eastAsia" w:ascii="宋体" w:hAnsi="宋体" w:eastAsia="宋体" w:cs="宋体"/>
          <w:color w:val="auto"/>
          <w:sz w:val="24"/>
          <w:szCs w:val="24"/>
          <w:highlight w:val="none"/>
        </w:rPr>
      </w:pPr>
    </w:p>
    <w:p w14:paraId="355FA56C">
      <w:pPr>
        <w:spacing w:line="500" w:lineRule="exact"/>
        <w:ind w:firstLine="480"/>
        <w:rPr>
          <w:rFonts w:hint="eastAsia" w:ascii="宋体" w:hAnsi="宋体" w:eastAsia="宋体" w:cs="宋体"/>
          <w:color w:val="auto"/>
          <w:sz w:val="24"/>
          <w:szCs w:val="24"/>
          <w:highlight w:val="none"/>
        </w:rPr>
      </w:pPr>
    </w:p>
    <w:p w14:paraId="3A997564">
      <w:pPr>
        <w:spacing w:line="500" w:lineRule="exact"/>
        <w:ind w:firstLine="480"/>
        <w:rPr>
          <w:rFonts w:hint="eastAsia" w:ascii="宋体" w:hAnsi="宋体" w:eastAsia="宋体" w:cs="宋体"/>
          <w:color w:val="auto"/>
          <w:sz w:val="24"/>
          <w:szCs w:val="24"/>
          <w:highlight w:val="none"/>
        </w:rPr>
      </w:pPr>
    </w:p>
    <w:p w14:paraId="13D26E0E">
      <w:pPr>
        <w:spacing w:line="500" w:lineRule="exact"/>
        <w:ind w:firstLine="480"/>
        <w:rPr>
          <w:rFonts w:hint="eastAsia" w:ascii="宋体" w:hAnsi="宋体" w:eastAsia="宋体" w:cs="宋体"/>
          <w:color w:val="auto"/>
          <w:sz w:val="24"/>
          <w:szCs w:val="24"/>
          <w:highlight w:val="none"/>
        </w:rPr>
      </w:pPr>
    </w:p>
    <w:p w14:paraId="6E551039">
      <w:pPr>
        <w:spacing w:line="500" w:lineRule="exact"/>
        <w:ind w:firstLine="480"/>
        <w:rPr>
          <w:rFonts w:hint="eastAsia" w:ascii="宋体" w:hAnsi="宋体" w:eastAsia="宋体" w:cs="宋体"/>
          <w:color w:val="auto"/>
          <w:sz w:val="24"/>
          <w:szCs w:val="24"/>
          <w:highlight w:val="none"/>
        </w:rPr>
      </w:pPr>
    </w:p>
    <w:p w14:paraId="18A1798C">
      <w:pPr>
        <w:spacing w:line="500" w:lineRule="exact"/>
        <w:ind w:firstLine="480"/>
        <w:rPr>
          <w:rFonts w:hint="eastAsia" w:ascii="宋体" w:hAnsi="宋体" w:eastAsia="宋体" w:cs="宋体"/>
          <w:color w:val="auto"/>
          <w:sz w:val="24"/>
          <w:szCs w:val="24"/>
          <w:highlight w:val="none"/>
        </w:rPr>
      </w:pPr>
    </w:p>
    <w:p w14:paraId="0E239DC0">
      <w:pPr>
        <w:spacing w:line="500" w:lineRule="exact"/>
        <w:ind w:firstLine="480"/>
        <w:rPr>
          <w:rFonts w:hint="eastAsia" w:ascii="宋体" w:hAnsi="宋体" w:eastAsia="宋体" w:cs="宋体"/>
          <w:color w:val="auto"/>
          <w:sz w:val="24"/>
          <w:szCs w:val="24"/>
          <w:highlight w:val="none"/>
        </w:rPr>
      </w:pPr>
    </w:p>
    <w:p w14:paraId="66180CE8">
      <w:pPr>
        <w:spacing w:line="500" w:lineRule="exact"/>
        <w:ind w:firstLine="480"/>
        <w:rPr>
          <w:rFonts w:hint="eastAsia" w:ascii="宋体" w:hAnsi="宋体" w:eastAsia="宋体" w:cs="宋体"/>
          <w:color w:val="auto"/>
          <w:sz w:val="24"/>
          <w:szCs w:val="24"/>
          <w:highlight w:val="none"/>
        </w:rPr>
      </w:pPr>
    </w:p>
    <w:p w14:paraId="4BBAEBEB">
      <w:pPr>
        <w:spacing w:line="500" w:lineRule="exact"/>
        <w:ind w:firstLine="480"/>
        <w:rPr>
          <w:rFonts w:hint="eastAsia" w:ascii="宋体" w:hAnsi="宋体" w:eastAsia="宋体" w:cs="宋体"/>
          <w:color w:val="auto"/>
          <w:sz w:val="24"/>
          <w:szCs w:val="24"/>
          <w:highlight w:val="none"/>
        </w:rPr>
      </w:pPr>
    </w:p>
    <w:p w14:paraId="4CBFFD0F">
      <w:pPr>
        <w:spacing w:line="500" w:lineRule="exact"/>
        <w:ind w:firstLine="480"/>
        <w:rPr>
          <w:rFonts w:hint="eastAsia" w:ascii="宋体" w:hAnsi="宋体" w:eastAsia="宋体" w:cs="宋体"/>
          <w:color w:val="auto"/>
          <w:sz w:val="24"/>
          <w:szCs w:val="24"/>
          <w:highlight w:val="none"/>
        </w:rPr>
      </w:pPr>
    </w:p>
    <w:p w14:paraId="1DA62892">
      <w:pPr>
        <w:spacing w:line="500" w:lineRule="exact"/>
        <w:ind w:firstLine="480"/>
        <w:rPr>
          <w:rFonts w:hint="eastAsia" w:ascii="宋体" w:hAnsi="宋体" w:eastAsia="宋体" w:cs="宋体"/>
          <w:color w:val="auto"/>
          <w:sz w:val="24"/>
          <w:szCs w:val="24"/>
          <w:highlight w:val="none"/>
        </w:rPr>
      </w:pPr>
    </w:p>
    <w:p w14:paraId="2BE2D7CB">
      <w:pPr>
        <w:spacing w:line="500" w:lineRule="exact"/>
        <w:ind w:firstLine="480"/>
        <w:rPr>
          <w:rFonts w:hint="eastAsia" w:ascii="宋体" w:hAnsi="宋体" w:eastAsia="宋体" w:cs="宋体"/>
          <w:color w:val="auto"/>
          <w:sz w:val="24"/>
          <w:szCs w:val="24"/>
          <w:highlight w:val="none"/>
        </w:rPr>
      </w:pPr>
    </w:p>
    <w:p w14:paraId="03DF247F">
      <w:pPr>
        <w:pStyle w:val="2"/>
        <w:bidi w:val="0"/>
        <w:jc w:val="center"/>
        <w:rPr>
          <w:rFonts w:hint="eastAsia"/>
          <w:b/>
          <w:bCs/>
          <w:color w:val="auto"/>
          <w:highlight w:val="none"/>
        </w:rPr>
      </w:pPr>
      <w:bookmarkStart w:id="5" w:name="_Toc4635"/>
      <w:r>
        <w:rPr>
          <w:rFonts w:hint="eastAsia"/>
          <w:b/>
          <w:bCs/>
          <w:color w:val="auto"/>
          <w:highlight w:val="none"/>
        </w:rPr>
        <w:t>第一章  磋商邀请</w:t>
      </w:r>
      <w:bookmarkEnd w:id="5"/>
    </w:p>
    <w:p w14:paraId="1F374361">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lang w:eastAsia="zh-CN"/>
        </w:rPr>
        <w:t>泗阳县机关事务管理中心</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中天志远咨询有限公司</w:t>
      </w:r>
      <w:r>
        <w:rPr>
          <w:rFonts w:hint="eastAsia" w:ascii="宋体" w:hAnsi="宋体" w:eastAsia="宋体" w:cs="宋体"/>
          <w:color w:val="auto"/>
          <w:sz w:val="24"/>
          <w:szCs w:val="24"/>
          <w:highlight w:val="none"/>
        </w:rPr>
        <w:t>就</w:t>
      </w:r>
      <w:r>
        <w:rPr>
          <w:rFonts w:hint="eastAsia" w:ascii="宋体" w:hAnsi="宋体" w:cs="宋体"/>
          <w:color w:val="auto"/>
          <w:sz w:val="24"/>
          <w:szCs w:val="24"/>
          <w:highlight w:val="none"/>
          <w:lang w:eastAsia="zh-CN"/>
        </w:rPr>
        <w:t>2026-2029年度泗阳县党政办公楼、行政服务中心、双子楼等集中办公区空调维护保养项目</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JSZC-321323-ZTZY-C2026-0008</w:t>
      </w:r>
      <w:r>
        <w:rPr>
          <w:rFonts w:hint="eastAsia" w:ascii="宋体" w:hAnsi="宋体" w:eastAsia="宋体" w:cs="宋体"/>
          <w:color w:val="auto"/>
          <w:sz w:val="24"/>
          <w:szCs w:val="24"/>
          <w:highlight w:val="none"/>
        </w:rPr>
        <w:t>)项目进行竞争性磋商采购，欢迎符合条件的供应商参加磋商。</w:t>
      </w:r>
    </w:p>
    <w:p w14:paraId="63E57283">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07BC19B0">
      <w:pPr>
        <w:spacing w:line="5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2026-2029年度泗阳县党政办公楼、行政服务中心、双子楼等集中办公区空调维护保养项目</w:t>
      </w:r>
      <w:r>
        <w:rPr>
          <w:rFonts w:hint="eastAsia" w:ascii="宋体" w:hAnsi="宋体" w:eastAsia="宋体" w:cs="宋体"/>
          <w:color w:val="auto"/>
          <w:sz w:val="24"/>
          <w:szCs w:val="24"/>
          <w:highlight w:val="none"/>
        </w:rPr>
        <w:t>竞争性磋商项目的潜在供应商可在“宿迁市政府采购网”自行免费下载磋商文件，并于202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11月2</w:t>
      </w:r>
      <w:r>
        <w:rPr>
          <w:rFonts w:hint="eastAsia" w:ascii="宋体" w:hAnsi="宋体" w:eastAsia="宋体" w:cs="宋体"/>
          <w:color w:val="auto"/>
          <w:sz w:val="24"/>
          <w:szCs w:val="24"/>
          <w:highlight w:val="none"/>
          <w:lang w:val="en-US" w:eastAsia="zh-CN"/>
        </w:rPr>
        <w:t>日9</w:t>
      </w:r>
      <w:r>
        <w:rPr>
          <w:rFonts w:hint="eastAsia" w:ascii="宋体" w:hAnsi="宋体" w:eastAsia="宋体" w:cs="宋体"/>
          <w:color w:val="auto"/>
          <w:sz w:val="24"/>
          <w:szCs w:val="24"/>
          <w:highlight w:val="none"/>
        </w:rPr>
        <w:t>点</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分（北京时间）前递交响应文件。</w:t>
      </w:r>
    </w:p>
    <w:p w14:paraId="40186E81">
      <w:pPr>
        <w:keepNext/>
        <w:keepLines/>
        <w:spacing w:before="145" w:after="145" w:line="360" w:lineRule="auto"/>
        <w:ind w:firstLine="498"/>
        <w:outlineLvl w:val="1"/>
        <w:rPr>
          <w:rFonts w:hint="eastAsia" w:ascii="宋体" w:hAnsi="宋体" w:eastAsia="宋体" w:cs="宋体"/>
          <w:b/>
          <w:bCs/>
          <w:color w:val="auto"/>
          <w:sz w:val="32"/>
          <w:szCs w:val="32"/>
          <w:highlight w:val="none"/>
        </w:rPr>
      </w:pPr>
      <w:bookmarkStart w:id="6" w:name="_Toc22676"/>
      <w:bookmarkStart w:id="7" w:name="_Toc38985263"/>
      <w:bookmarkStart w:id="8" w:name="_Toc35393790"/>
      <w:bookmarkStart w:id="9" w:name="_Toc28359002"/>
      <w:bookmarkStart w:id="10" w:name="_Toc28359079"/>
      <w:bookmarkStart w:id="11" w:name="_Toc35393621"/>
      <w:bookmarkStart w:id="12" w:name="_Hlk24379207"/>
      <w:r>
        <w:rPr>
          <w:rFonts w:hint="eastAsia" w:ascii="宋体" w:hAnsi="宋体" w:eastAsia="宋体" w:cs="宋体"/>
          <w:b/>
          <w:bCs/>
          <w:color w:val="auto"/>
          <w:sz w:val="32"/>
          <w:szCs w:val="32"/>
          <w:highlight w:val="none"/>
        </w:rPr>
        <w:t>一、项目基本情况</w:t>
      </w:r>
      <w:bookmarkEnd w:id="6"/>
      <w:bookmarkEnd w:id="7"/>
      <w:bookmarkEnd w:id="8"/>
      <w:bookmarkEnd w:id="9"/>
      <w:bookmarkEnd w:id="10"/>
      <w:bookmarkEnd w:id="11"/>
    </w:p>
    <w:p w14:paraId="0AFB45BC">
      <w:pPr>
        <w:keepNext w:val="0"/>
        <w:keepLines w:val="0"/>
        <w:pageBreakBefore w:val="0"/>
        <w:widowControl w:val="0"/>
        <w:spacing w:line="460" w:lineRule="exact"/>
        <w:ind w:firstLine="48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eastAsia="zh-CN"/>
        </w:rPr>
        <w:t>JSZC-321323-ZTZY-C2026-0008</w:t>
      </w:r>
    </w:p>
    <w:p w14:paraId="09AB653D">
      <w:pPr>
        <w:keepNext w:val="0"/>
        <w:keepLines w:val="0"/>
        <w:pageBreakBefore w:val="0"/>
        <w:widowControl w:val="0"/>
        <w:spacing w:line="460" w:lineRule="exact"/>
        <w:ind w:firstLine="480"/>
        <w:rPr>
          <w:rFonts w:hint="eastAsia" w:ascii="宋体" w:hAnsi="宋体" w:eastAsia="宋体" w:cs="宋体"/>
          <w:color w:val="auto"/>
          <w:sz w:val="22"/>
          <w:szCs w:val="22"/>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2"/>
          <w:szCs w:val="22"/>
          <w:highlight w:val="none"/>
        </w:rPr>
        <w:t>：</w:t>
      </w:r>
      <w:bookmarkEnd w:id="12"/>
      <w:r>
        <w:rPr>
          <w:rFonts w:hint="eastAsia" w:ascii="宋体" w:hAnsi="宋体" w:cs="宋体"/>
          <w:color w:val="auto"/>
          <w:sz w:val="22"/>
          <w:szCs w:val="22"/>
          <w:highlight w:val="none"/>
          <w:lang w:eastAsia="zh-CN"/>
        </w:rPr>
        <w:t>2026-2029年度泗阳县党政办公楼、行政服务中心、双子楼等集中办公区空调维护保养项目</w:t>
      </w:r>
    </w:p>
    <w:p w14:paraId="22861F1F">
      <w:pPr>
        <w:keepNext w:val="0"/>
        <w:keepLines w:val="0"/>
        <w:pageBreakBefore w:val="0"/>
        <w:widowControl w:val="0"/>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3.预算金额：</w:t>
      </w:r>
      <w:r>
        <w:rPr>
          <w:rFonts w:hint="eastAsia" w:ascii="宋体" w:hAnsi="宋体" w:cs="宋体"/>
          <w:color w:val="auto"/>
          <w:sz w:val="24"/>
          <w:szCs w:val="24"/>
          <w:highlight w:val="none"/>
          <w:lang w:val="en-US" w:eastAsia="zh-CN"/>
        </w:rPr>
        <w:t>190万元</w:t>
      </w:r>
    </w:p>
    <w:p w14:paraId="1F211CC2">
      <w:pPr>
        <w:keepNext w:val="0"/>
        <w:keepLines w:val="0"/>
        <w:pageBreakBefore w:val="0"/>
        <w:widowControl w:val="0"/>
        <w:spacing w:line="460" w:lineRule="exact"/>
        <w:ind w:firstLine="482"/>
        <w:rPr>
          <w:rFonts w:hint="eastAsia" w:ascii="宋体" w:hAnsi="宋体" w:eastAsia="宋体" w:cs="宋体"/>
          <w:b/>
          <w:bCs/>
          <w:color w:val="auto"/>
          <w:sz w:val="24"/>
          <w:szCs w:val="24"/>
          <w:highlight w:val="none"/>
          <w:u w:val="none"/>
          <w:lang w:eastAsia="zh-CN"/>
        </w:rPr>
      </w:pPr>
      <w:r>
        <w:rPr>
          <w:rFonts w:hint="eastAsia" w:ascii="宋体" w:hAnsi="宋体" w:eastAsia="宋体" w:cs="宋体"/>
          <w:b/>
          <w:bCs/>
          <w:color w:val="auto"/>
          <w:sz w:val="24"/>
          <w:szCs w:val="24"/>
          <w:highlight w:val="none"/>
          <w:u w:val="none"/>
        </w:rPr>
        <w:t>4.本项目设定最高限价，</w:t>
      </w:r>
      <w:r>
        <w:rPr>
          <w:rFonts w:hint="eastAsia" w:ascii="宋体" w:hAnsi="宋体" w:eastAsia="宋体" w:cs="宋体"/>
          <w:b/>
          <w:bCs/>
          <w:color w:val="auto"/>
          <w:sz w:val="24"/>
          <w:szCs w:val="24"/>
          <w:highlight w:val="none"/>
          <w:u w:val="none"/>
          <w:lang w:eastAsia="zh-CN"/>
        </w:rPr>
        <w:t>最高限价为</w:t>
      </w:r>
      <w:r>
        <w:rPr>
          <w:rFonts w:hint="eastAsia" w:ascii="宋体" w:hAnsi="宋体" w:cs="宋体"/>
          <w:b/>
          <w:bCs/>
          <w:color w:val="auto"/>
          <w:sz w:val="24"/>
          <w:szCs w:val="24"/>
          <w:highlight w:val="none"/>
          <w:u w:val="none"/>
          <w:lang w:val="en-US" w:eastAsia="zh-CN"/>
        </w:rPr>
        <w:t>190万元</w:t>
      </w:r>
      <w:r>
        <w:rPr>
          <w:rFonts w:hint="eastAsia" w:ascii="宋体" w:hAnsi="宋体" w:eastAsia="宋体" w:cs="宋体"/>
          <w:b/>
          <w:bCs/>
          <w:color w:val="auto"/>
          <w:sz w:val="24"/>
          <w:szCs w:val="24"/>
          <w:highlight w:val="none"/>
          <w:u w:val="none"/>
          <w:lang w:eastAsia="zh-CN"/>
        </w:rPr>
        <w:t>。</w:t>
      </w:r>
    </w:p>
    <w:p w14:paraId="67F12E44">
      <w:pPr>
        <w:keepNext w:val="0"/>
        <w:keepLines w:val="0"/>
        <w:pageBreakBefore w:val="0"/>
        <w:widowControl w:val="0"/>
        <w:spacing w:line="460" w:lineRule="exact"/>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5.采购需求（简介）：</w:t>
      </w:r>
      <w:r>
        <w:rPr>
          <w:rFonts w:hint="eastAsia" w:ascii="宋体" w:hAnsi="宋体" w:eastAsia="宋体" w:cs="宋体"/>
          <w:color w:val="auto"/>
          <w:sz w:val="24"/>
          <w:szCs w:val="24"/>
          <w:highlight w:val="none"/>
          <w:lang w:val="en-US" w:eastAsia="zh-CN"/>
        </w:rPr>
        <w:t>泗阳县党政办公楼、行政服务中心、双子楼等集中办公区空调维护保养，具数量体详见</w:t>
      </w:r>
      <w:r>
        <w:rPr>
          <w:rFonts w:hint="eastAsia" w:ascii="宋体" w:hAnsi="宋体" w:cs="宋体"/>
          <w:color w:val="auto"/>
          <w:sz w:val="24"/>
          <w:szCs w:val="24"/>
          <w:highlight w:val="none"/>
          <w:lang w:val="en-US" w:eastAsia="zh-CN"/>
        </w:rPr>
        <w:t>采购需求</w:t>
      </w:r>
      <w:r>
        <w:rPr>
          <w:rFonts w:hint="eastAsia" w:ascii="宋体" w:hAnsi="宋体" w:eastAsia="宋体" w:cs="宋体"/>
          <w:color w:val="auto"/>
          <w:sz w:val="24"/>
          <w:szCs w:val="24"/>
          <w:highlight w:val="none"/>
          <w:lang w:val="en-US" w:eastAsia="zh-CN"/>
        </w:rPr>
        <w:t xml:space="preserve">。 </w:t>
      </w:r>
    </w:p>
    <w:p w14:paraId="3797894D">
      <w:pPr>
        <w:keepNext w:val="0"/>
        <w:keepLines w:val="0"/>
        <w:pageBreakBefore w:val="0"/>
        <w:widowControl w:val="0"/>
        <w:spacing w:line="460" w:lineRule="exact"/>
        <w:ind w:firstLine="480"/>
        <w:rPr>
          <w:rFonts w:hint="eastAsia" w:ascii="Times New Roman" w:hAnsi="Times New Roman" w:eastAsia="宋体" w:cs="Times New Roman"/>
          <w:color w:val="auto"/>
          <w:sz w:val="24"/>
          <w:szCs w:val="24"/>
          <w:highlight w:val="none"/>
          <w:lang w:val="zh-TW" w:eastAsia="zh-TW"/>
        </w:rPr>
      </w:pPr>
      <w:r>
        <w:rPr>
          <w:rFonts w:hint="eastAsia" w:ascii="宋体" w:hAnsi="宋体" w:eastAsia="宋体" w:cs="宋体"/>
          <w:color w:val="auto"/>
          <w:sz w:val="24"/>
          <w:szCs w:val="24"/>
          <w:highlight w:val="none"/>
        </w:rPr>
        <w:t>6.合同履行期限</w:t>
      </w:r>
      <w:r>
        <w:rPr>
          <w:rFonts w:hint="eastAsia" w:ascii="Times New Roman" w:hAnsi="Times New Roman" w:eastAsia="宋体" w:cs="Times New Roman"/>
          <w:color w:val="auto"/>
          <w:sz w:val="24"/>
          <w:szCs w:val="24"/>
          <w:highlight w:val="none"/>
          <w:lang w:val="en-US" w:eastAsia="zh-CN"/>
        </w:rPr>
        <w:t>：3年</w:t>
      </w:r>
      <w:r>
        <w:rPr>
          <w:rFonts w:hint="eastAsia" w:ascii="Times New Roman" w:hAnsi="Times New Roman" w:cs="Times New Roman"/>
          <w:color w:val="auto"/>
          <w:sz w:val="24"/>
          <w:szCs w:val="24"/>
          <w:highlight w:val="none"/>
          <w:lang w:val="en-US" w:eastAsia="zh-CN"/>
        </w:rPr>
        <w:t>。</w:t>
      </w:r>
    </w:p>
    <w:p w14:paraId="131240C2">
      <w:pPr>
        <w:keepNext w:val="0"/>
        <w:keepLines w:val="0"/>
        <w:pageBreakBefore w:val="0"/>
        <w:widowControl w:val="0"/>
        <w:spacing w:line="46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7.本项目</w:t>
      </w:r>
      <w:r>
        <w:rPr>
          <w:rFonts w:hint="eastAsia" w:ascii="宋体" w:hAnsi="宋体" w:eastAsia="宋体" w:cs="宋体"/>
          <w:color w:val="auto"/>
          <w:sz w:val="24"/>
          <w:szCs w:val="24"/>
          <w:highlight w:val="none"/>
          <w:u w:val="none"/>
        </w:rPr>
        <w:t>不接受</w:t>
      </w:r>
      <w:r>
        <w:rPr>
          <w:rFonts w:hint="eastAsia" w:ascii="宋体" w:hAnsi="宋体" w:eastAsia="宋体" w:cs="宋体"/>
          <w:color w:val="auto"/>
          <w:sz w:val="24"/>
          <w:szCs w:val="24"/>
          <w:highlight w:val="none"/>
        </w:rPr>
        <w:t>联合体参与磋商。</w:t>
      </w:r>
    </w:p>
    <w:p w14:paraId="52770DCF">
      <w:pPr>
        <w:keepNext/>
        <w:keepLines/>
        <w:spacing w:before="145" w:after="145" w:line="360" w:lineRule="auto"/>
        <w:ind w:firstLine="498"/>
        <w:outlineLvl w:val="1"/>
        <w:rPr>
          <w:rFonts w:hint="eastAsia" w:ascii="宋体" w:hAnsi="宋体" w:eastAsia="宋体" w:cs="宋体"/>
          <w:b/>
          <w:bCs/>
          <w:color w:val="auto"/>
          <w:sz w:val="32"/>
          <w:szCs w:val="32"/>
          <w:highlight w:val="none"/>
        </w:rPr>
      </w:pPr>
      <w:bookmarkStart w:id="13" w:name="_Toc23816"/>
      <w:bookmarkStart w:id="14" w:name="_Toc28359080"/>
      <w:bookmarkStart w:id="15" w:name="_Toc35393622"/>
      <w:bookmarkStart w:id="16" w:name="_Toc28359003"/>
      <w:bookmarkStart w:id="17" w:name="_Toc38985264"/>
      <w:bookmarkStart w:id="18" w:name="_Toc35393791"/>
      <w:r>
        <w:rPr>
          <w:rFonts w:hint="eastAsia" w:ascii="宋体" w:hAnsi="宋体" w:eastAsia="宋体" w:cs="宋体"/>
          <w:b/>
          <w:bCs/>
          <w:color w:val="auto"/>
          <w:sz w:val="32"/>
          <w:szCs w:val="32"/>
          <w:highlight w:val="none"/>
        </w:rPr>
        <w:t>二、申请人的资格要求</w:t>
      </w:r>
      <w:bookmarkEnd w:id="13"/>
      <w:bookmarkEnd w:id="14"/>
      <w:bookmarkEnd w:id="15"/>
      <w:bookmarkEnd w:id="16"/>
      <w:bookmarkEnd w:id="17"/>
      <w:bookmarkEnd w:id="18"/>
    </w:p>
    <w:p w14:paraId="75B69D66">
      <w:pPr>
        <w:spacing w:line="360" w:lineRule="auto"/>
        <w:ind w:firstLine="540"/>
        <w:rPr>
          <w:rFonts w:hint="eastAsia" w:ascii="宋体" w:hAnsi="宋体" w:eastAsia="宋体" w:cs="宋体"/>
          <w:color w:val="auto"/>
          <w:sz w:val="24"/>
          <w:szCs w:val="28"/>
          <w:highlight w:val="none"/>
        </w:rPr>
      </w:pPr>
      <w:bookmarkStart w:id="19" w:name="_Toc28359081"/>
      <w:bookmarkStart w:id="20" w:name="_Toc35393623"/>
      <w:bookmarkStart w:id="21" w:name="_Toc35393792"/>
      <w:bookmarkStart w:id="22" w:name="_Toc38985265"/>
      <w:bookmarkStart w:id="23" w:name="_Toc28359004"/>
      <w:r>
        <w:rPr>
          <w:rFonts w:hint="eastAsia" w:ascii="宋体" w:hAnsi="宋体" w:eastAsia="宋体" w:cs="宋体"/>
          <w:color w:val="auto"/>
          <w:sz w:val="24"/>
          <w:szCs w:val="28"/>
          <w:highlight w:val="none"/>
        </w:rPr>
        <w:t>（一）通用资格要求</w:t>
      </w:r>
    </w:p>
    <w:p w14:paraId="6D0173C7">
      <w:pPr>
        <w:spacing w:line="360" w:lineRule="auto"/>
        <w:ind w:firstLine="54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1.具备《中华人民共和国政府采购法》第二十二条第一款规定的6项条件（按要求提供声明及信用承诺）；</w:t>
      </w:r>
    </w:p>
    <w:p w14:paraId="601A07BA">
      <w:pPr>
        <w:spacing w:line="360" w:lineRule="auto"/>
        <w:ind w:firstLine="54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2.信用信息。信用信息查询渠道：“信用中国”网（www.creditchina.gov.cn）、“中国政府采购”网（www.ccgp.gov.cn）、江苏政府采购网（www.ccgp-jiangsu.gov.cn）。    </w:t>
      </w:r>
    </w:p>
    <w:p w14:paraId="6A7AF1C5">
      <w:pPr>
        <w:spacing w:line="360" w:lineRule="auto"/>
        <w:ind w:firstLine="54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6D4BE95C">
      <w:pPr>
        <w:spacing w:line="360" w:lineRule="auto"/>
        <w:ind w:firstLine="54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p>
    <w:p w14:paraId="56788722">
      <w:pPr>
        <w:spacing w:line="360" w:lineRule="auto"/>
        <w:ind w:firstLine="540"/>
        <w:rPr>
          <w:color w:val="auto"/>
          <w:highlight w:val="none"/>
        </w:rPr>
      </w:pPr>
      <w:r>
        <w:rPr>
          <w:rFonts w:hint="eastAsia" w:ascii="宋体" w:hAnsi="宋体" w:eastAsia="宋体" w:cs="宋体"/>
          <w:color w:val="auto"/>
          <w:sz w:val="24"/>
          <w:szCs w:val="28"/>
          <w:highlight w:val="none"/>
        </w:rPr>
        <w:t>（二）本项目的特定资格要求</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lang w:val="en-US" w:eastAsia="zh-CN"/>
        </w:rPr>
        <w:t>/</w:t>
      </w:r>
      <w:r>
        <w:rPr>
          <w:rFonts w:ascii="宋体" w:hAnsi="宋体" w:eastAsia="宋体" w:cs="宋体"/>
          <w:color w:val="auto"/>
          <w:sz w:val="24"/>
          <w:highlight w:val="none"/>
        </w:rPr>
        <w:t>。</w:t>
      </w:r>
      <w:bookmarkStart w:id="24" w:name="_Toc17381"/>
    </w:p>
    <w:p w14:paraId="5F0C4DBF">
      <w:pPr>
        <w:keepNext/>
        <w:keepLines/>
        <w:spacing w:before="145" w:after="145" w:line="360" w:lineRule="auto"/>
        <w:ind w:firstLine="498"/>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三、获取</w:t>
      </w:r>
      <w:bookmarkEnd w:id="19"/>
      <w:bookmarkEnd w:id="20"/>
      <w:bookmarkEnd w:id="21"/>
      <w:bookmarkEnd w:id="22"/>
      <w:bookmarkEnd w:id="23"/>
      <w:r>
        <w:rPr>
          <w:rFonts w:hint="eastAsia" w:ascii="宋体" w:hAnsi="宋体" w:eastAsia="宋体" w:cs="宋体"/>
          <w:b/>
          <w:bCs/>
          <w:color w:val="auto"/>
          <w:sz w:val="32"/>
          <w:szCs w:val="32"/>
          <w:highlight w:val="none"/>
        </w:rPr>
        <w:t>磋商文件</w:t>
      </w:r>
      <w:bookmarkEnd w:id="24"/>
    </w:p>
    <w:p w14:paraId="0676516C">
      <w:pPr>
        <w:spacing w:line="500" w:lineRule="exact"/>
        <w:ind w:firstLine="480"/>
        <w:rPr>
          <w:rFonts w:hint="eastAsia" w:ascii="宋体" w:hAnsi="宋体" w:eastAsia="宋体" w:cs="宋体"/>
          <w:bCs/>
          <w:color w:val="auto"/>
          <w:sz w:val="24"/>
          <w:szCs w:val="24"/>
          <w:highlight w:val="none"/>
        </w:rPr>
      </w:pPr>
      <w:bookmarkStart w:id="25" w:name="_Toc28359082"/>
      <w:bookmarkStart w:id="26" w:name="_Toc28359005"/>
      <w:bookmarkStart w:id="27" w:name="_Toc35393624"/>
      <w:bookmarkStart w:id="28" w:name="_Toc35393793"/>
      <w:bookmarkStart w:id="29" w:name="_Toc38985266"/>
      <w:r>
        <w:rPr>
          <w:rFonts w:hint="eastAsia" w:ascii="宋体" w:hAnsi="宋体" w:eastAsia="宋体" w:cs="宋体"/>
          <w:color w:val="auto"/>
          <w:sz w:val="24"/>
          <w:szCs w:val="24"/>
          <w:highlight w:val="none"/>
        </w:rPr>
        <w:t>1.时间：自磋商文件公告发布之日起5个工作日</w:t>
      </w:r>
      <w:r>
        <w:rPr>
          <w:rFonts w:hint="eastAsia" w:ascii="宋体" w:hAnsi="宋体" w:eastAsia="宋体" w:cs="宋体"/>
          <w:bCs/>
          <w:color w:val="auto"/>
          <w:sz w:val="24"/>
          <w:szCs w:val="24"/>
          <w:highlight w:val="none"/>
        </w:rPr>
        <w:t>。</w:t>
      </w:r>
    </w:p>
    <w:p w14:paraId="70278D4F">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0946C5D6">
      <w:pPr>
        <w:spacing w:line="360" w:lineRule="auto"/>
        <w:ind w:firstLine="540"/>
        <w:rPr>
          <w:rFonts w:hint="eastAsia" w:ascii="宋体" w:hAnsi="宋体" w:eastAsia="宋体" w:cs="宋体"/>
          <w:color w:val="auto"/>
          <w:sz w:val="24"/>
          <w:szCs w:val="24"/>
          <w:highlight w:val="none"/>
          <w:u w:val="single"/>
        </w:rPr>
      </w:pPr>
      <w:bookmarkStart w:id="30" w:name="EB0c44ff4da61f4af989d119fe214be450"/>
      <w:r>
        <w:rPr>
          <w:rFonts w:hint="eastAsia" w:ascii="宋体" w:hAnsi="宋体" w:eastAsia="宋体" w:cs="宋体"/>
          <w:color w:val="auto"/>
          <w:sz w:val="24"/>
          <w:szCs w:val="28"/>
          <w:highlight w:val="none"/>
        </w:rPr>
        <w:t>3.本项目共分一个包。供应商参与多个包磋商的，应按包分别获取磋商文件。供应商未按要求获取竞争性磋商文件导致无法磋商的，后果自负（其响应文件不予接受）。</w:t>
      </w:r>
      <w:bookmarkEnd w:id="30"/>
    </w:p>
    <w:p w14:paraId="4FEFDA9B">
      <w:pPr>
        <w:keepNext/>
        <w:keepLines/>
        <w:spacing w:before="145" w:after="145" w:line="360" w:lineRule="auto"/>
        <w:ind w:firstLine="498"/>
        <w:outlineLvl w:val="1"/>
        <w:rPr>
          <w:rFonts w:hint="eastAsia" w:ascii="宋体" w:hAnsi="宋体" w:eastAsia="宋体" w:cs="宋体"/>
          <w:b/>
          <w:bCs/>
          <w:color w:val="auto"/>
          <w:sz w:val="32"/>
          <w:szCs w:val="32"/>
          <w:highlight w:val="none"/>
        </w:rPr>
      </w:pPr>
      <w:bookmarkStart w:id="31" w:name="_Toc23507"/>
      <w:r>
        <w:rPr>
          <w:rFonts w:hint="eastAsia" w:ascii="宋体" w:hAnsi="宋体" w:eastAsia="宋体" w:cs="宋体"/>
          <w:b/>
          <w:bCs/>
          <w:color w:val="auto"/>
          <w:sz w:val="32"/>
          <w:szCs w:val="32"/>
          <w:highlight w:val="none"/>
        </w:rPr>
        <w:t>四、提交</w:t>
      </w:r>
      <w:bookmarkEnd w:id="25"/>
      <w:bookmarkEnd w:id="26"/>
      <w:r>
        <w:rPr>
          <w:rFonts w:hint="eastAsia" w:ascii="宋体" w:hAnsi="宋体" w:eastAsia="宋体" w:cs="宋体"/>
          <w:b/>
          <w:bCs/>
          <w:color w:val="auto"/>
          <w:sz w:val="32"/>
          <w:szCs w:val="32"/>
          <w:highlight w:val="none"/>
        </w:rPr>
        <w:t>响应文件截止时间</w:t>
      </w:r>
      <w:bookmarkEnd w:id="27"/>
      <w:bookmarkEnd w:id="28"/>
      <w:bookmarkEnd w:id="29"/>
      <w:bookmarkEnd w:id="31"/>
    </w:p>
    <w:p w14:paraId="53DE6D7D">
      <w:pPr>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1.提交响应文件截止时间、磋商时间：</w:t>
      </w:r>
      <w:r>
        <w:rPr>
          <w:rFonts w:hint="eastAsia" w:ascii="宋体" w:hAnsi="宋体" w:eastAsia="宋体" w:cs="宋体"/>
          <w:bCs/>
          <w:color w:val="auto"/>
          <w:sz w:val="24"/>
          <w:szCs w:val="24"/>
          <w:highlight w:val="none"/>
          <w:u w:val="none"/>
        </w:rPr>
        <w:t>202</w:t>
      </w:r>
      <w:r>
        <w:rPr>
          <w:rFonts w:hint="eastAsia" w:ascii="宋体" w:hAnsi="宋体" w:cs="宋体"/>
          <w:bCs/>
          <w:color w:val="auto"/>
          <w:sz w:val="24"/>
          <w:szCs w:val="24"/>
          <w:highlight w:val="none"/>
          <w:u w:val="none"/>
          <w:lang w:val="en-US" w:eastAsia="zh-CN"/>
        </w:rPr>
        <w:t>6</w:t>
      </w:r>
      <w:r>
        <w:rPr>
          <w:rFonts w:hint="eastAsia" w:ascii="宋体" w:hAnsi="宋体" w:eastAsia="宋体" w:cs="宋体"/>
          <w:bCs/>
          <w:color w:val="auto"/>
          <w:sz w:val="24"/>
          <w:szCs w:val="24"/>
          <w:highlight w:val="none"/>
          <w:u w:val="none"/>
        </w:rPr>
        <w:t>年</w:t>
      </w:r>
      <w:r>
        <w:rPr>
          <w:rFonts w:hint="eastAsia" w:ascii="宋体" w:hAnsi="宋体" w:cs="宋体"/>
          <w:bCs/>
          <w:color w:val="auto"/>
          <w:sz w:val="24"/>
          <w:szCs w:val="24"/>
          <w:highlight w:val="none"/>
          <w:u w:val="none"/>
          <w:lang w:val="en-US" w:eastAsia="zh-CN"/>
        </w:rPr>
        <w:t>11月2</w:t>
      </w:r>
      <w:r>
        <w:rPr>
          <w:rFonts w:hint="eastAsia" w:ascii="宋体" w:hAnsi="宋体" w:eastAsia="宋体" w:cs="宋体"/>
          <w:bCs/>
          <w:color w:val="auto"/>
          <w:sz w:val="24"/>
          <w:szCs w:val="24"/>
          <w:highlight w:val="none"/>
          <w:u w:val="none"/>
          <w:lang w:val="en-US" w:eastAsia="zh-CN"/>
        </w:rPr>
        <w:t>日9</w:t>
      </w:r>
      <w:r>
        <w:rPr>
          <w:rFonts w:hint="eastAsia" w:ascii="宋体" w:hAnsi="宋体" w:eastAsia="宋体" w:cs="宋体"/>
          <w:bCs/>
          <w:color w:val="auto"/>
          <w:sz w:val="24"/>
          <w:szCs w:val="24"/>
          <w:highlight w:val="none"/>
          <w:u w:val="none"/>
        </w:rPr>
        <w:t>点</w:t>
      </w:r>
      <w:r>
        <w:rPr>
          <w:rFonts w:hint="eastAsia" w:ascii="宋体" w:hAnsi="宋体" w:cs="宋体"/>
          <w:bCs/>
          <w:color w:val="auto"/>
          <w:sz w:val="24"/>
          <w:szCs w:val="24"/>
          <w:highlight w:val="none"/>
          <w:u w:val="none"/>
          <w:lang w:val="en-US" w:eastAsia="zh-CN"/>
        </w:rPr>
        <w:t>0</w:t>
      </w:r>
      <w:r>
        <w:rPr>
          <w:rFonts w:hint="eastAsia" w:ascii="宋体" w:hAnsi="宋体" w:eastAsia="宋体" w:cs="宋体"/>
          <w:bCs/>
          <w:color w:val="auto"/>
          <w:sz w:val="24"/>
          <w:szCs w:val="24"/>
          <w:highlight w:val="none"/>
          <w:u w:val="none"/>
          <w:lang w:val="en-US" w:eastAsia="zh-CN"/>
        </w:rPr>
        <w:t>0</w:t>
      </w:r>
      <w:r>
        <w:rPr>
          <w:rFonts w:hint="eastAsia" w:ascii="宋体" w:hAnsi="宋体" w:eastAsia="宋体" w:cs="宋体"/>
          <w:bCs/>
          <w:color w:val="auto"/>
          <w:sz w:val="24"/>
          <w:szCs w:val="24"/>
          <w:highlight w:val="none"/>
          <w:u w:val="none"/>
        </w:rPr>
        <w:t>分</w:t>
      </w:r>
      <w:r>
        <w:rPr>
          <w:rFonts w:hint="eastAsia" w:ascii="宋体" w:hAnsi="宋体" w:eastAsia="宋体" w:cs="宋体"/>
          <w:bCs/>
          <w:color w:val="auto"/>
          <w:sz w:val="24"/>
          <w:szCs w:val="24"/>
          <w:highlight w:val="none"/>
        </w:rPr>
        <w:t>（北京时间）。</w:t>
      </w:r>
    </w:p>
    <w:p w14:paraId="680FCA35">
      <w:pPr>
        <w:spacing w:line="360" w:lineRule="auto"/>
        <w:ind w:firstLine="54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2.地点：“苏采云”政府采购交易系统网上开标大厅。</w:t>
      </w:r>
    </w:p>
    <w:p w14:paraId="40E5E05E">
      <w:pPr>
        <w:keepNext/>
        <w:keepLines/>
        <w:spacing w:before="145" w:after="145" w:line="360" w:lineRule="auto"/>
        <w:ind w:firstLine="498"/>
        <w:outlineLvl w:val="1"/>
        <w:rPr>
          <w:rFonts w:hint="eastAsia" w:ascii="宋体" w:hAnsi="宋体" w:eastAsia="宋体" w:cs="宋体"/>
          <w:b/>
          <w:bCs/>
          <w:color w:val="auto"/>
          <w:sz w:val="32"/>
          <w:szCs w:val="32"/>
          <w:highlight w:val="none"/>
        </w:rPr>
      </w:pPr>
      <w:bookmarkStart w:id="32" w:name="_Toc28359007"/>
      <w:bookmarkStart w:id="33" w:name="_Toc35393794"/>
      <w:bookmarkStart w:id="34" w:name="_Toc29413"/>
      <w:bookmarkStart w:id="35" w:name="_Toc28359084"/>
      <w:bookmarkStart w:id="36" w:name="_Toc35393625"/>
      <w:bookmarkStart w:id="37" w:name="_Toc38985267"/>
      <w:r>
        <w:rPr>
          <w:rFonts w:hint="eastAsia" w:ascii="宋体" w:hAnsi="宋体" w:eastAsia="宋体" w:cs="宋体"/>
          <w:b/>
          <w:bCs/>
          <w:color w:val="auto"/>
          <w:sz w:val="32"/>
          <w:szCs w:val="32"/>
          <w:highlight w:val="none"/>
        </w:rPr>
        <w:t>五、公告期限</w:t>
      </w:r>
      <w:bookmarkEnd w:id="32"/>
      <w:bookmarkEnd w:id="33"/>
      <w:bookmarkEnd w:id="34"/>
      <w:bookmarkEnd w:id="35"/>
      <w:bookmarkEnd w:id="36"/>
      <w:bookmarkEnd w:id="37"/>
    </w:p>
    <w:p w14:paraId="5D9F8734">
      <w:pPr>
        <w:spacing w:line="360" w:lineRule="auto"/>
        <w:ind w:firstLine="540"/>
        <w:rPr>
          <w:rFonts w:hint="eastAsia" w:ascii="宋体" w:hAnsi="宋体" w:eastAsia="宋体" w:cs="宋体"/>
          <w:color w:val="auto"/>
          <w:sz w:val="24"/>
          <w:szCs w:val="28"/>
          <w:highlight w:val="none"/>
        </w:rPr>
      </w:pPr>
      <w:bookmarkStart w:id="38" w:name="_Toc38985268"/>
      <w:bookmarkStart w:id="39" w:name="_Toc35393626"/>
      <w:bookmarkStart w:id="40" w:name="_Toc35393795"/>
      <w:r>
        <w:rPr>
          <w:rFonts w:hint="eastAsia" w:ascii="宋体" w:hAnsi="宋体" w:eastAsia="宋体" w:cs="宋体"/>
          <w:color w:val="auto"/>
          <w:sz w:val="24"/>
          <w:szCs w:val="28"/>
          <w:highlight w:val="none"/>
        </w:rPr>
        <w:t>磋商公告及磋商文件公告期限为自本公告发布之日起</w:t>
      </w:r>
      <w:r>
        <w:rPr>
          <w:rFonts w:hint="eastAsia" w:ascii="宋体" w:hAnsi="宋体" w:cs="宋体"/>
          <w:color w:val="auto"/>
          <w:sz w:val="24"/>
          <w:szCs w:val="28"/>
          <w:highlight w:val="none"/>
          <w:lang w:val="en-US" w:eastAsia="zh-CN"/>
        </w:rPr>
        <w:t>5</w:t>
      </w:r>
      <w:r>
        <w:rPr>
          <w:rFonts w:hint="eastAsia" w:ascii="宋体" w:hAnsi="宋体" w:eastAsia="宋体" w:cs="宋体"/>
          <w:color w:val="auto"/>
          <w:sz w:val="24"/>
          <w:szCs w:val="28"/>
          <w:highlight w:val="none"/>
        </w:rPr>
        <w:t>个工作日。采购公告发布媒体：宿迁市政府采购网、宿迁市公共资源交易平台、江苏省财政部门指定的媒体。</w:t>
      </w:r>
    </w:p>
    <w:p w14:paraId="6775B60E">
      <w:pPr>
        <w:keepNext/>
        <w:keepLines/>
        <w:spacing w:before="145" w:after="145" w:line="360" w:lineRule="auto"/>
        <w:ind w:firstLine="498"/>
        <w:outlineLvl w:val="1"/>
        <w:rPr>
          <w:rFonts w:hint="eastAsia" w:ascii="宋体" w:hAnsi="宋体" w:eastAsia="宋体" w:cs="宋体"/>
          <w:b/>
          <w:bCs/>
          <w:color w:val="auto"/>
          <w:sz w:val="32"/>
          <w:szCs w:val="32"/>
          <w:highlight w:val="none"/>
        </w:rPr>
      </w:pPr>
      <w:bookmarkStart w:id="41" w:name="_Toc969"/>
      <w:r>
        <w:rPr>
          <w:rFonts w:hint="eastAsia" w:ascii="宋体" w:hAnsi="宋体" w:eastAsia="宋体" w:cs="宋体"/>
          <w:b/>
          <w:bCs/>
          <w:color w:val="auto"/>
          <w:sz w:val="32"/>
          <w:szCs w:val="32"/>
          <w:highlight w:val="none"/>
        </w:rPr>
        <w:t>六、其他补充事宜</w:t>
      </w:r>
      <w:bookmarkEnd w:id="38"/>
      <w:bookmarkEnd w:id="39"/>
      <w:bookmarkEnd w:id="40"/>
      <w:bookmarkEnd w:id="41"/>
    </w:p>
    <w:p w14:paraId="611A2A03">
      <w:pPr>
        <w:spacing w:line="500" w:lineRule="exact"/>
        <w:ind w:firstLine="480"/>
        <w:rPr>
          <w:rFonts w:hint="eastAsia" w:ascii="宋体" w:hAnsi="宋体" w:eastAsia="宋体" w:cs="宋体"/>
          <w:color w:val="auto"/>
          <w:sz w:val="24"/>
          <w:highlight w:val="none"/>
        </w:rPr>
      </w:pPr>
      <w:bookmarkStart w:id="42" w:name="EB64e1f522fd8c43fcb4d3ba471386b3e7"/>
      <w:r>
        <w:rPr>
          <w:rFonts w:hint="eastAsia" w:ascii="宋体" w:hAnsi="宋体" w:eastAsia="宋体" w:cs="宋体"/>
          <w:color w:val="auto"/>
          <w:sz w:val="24"/>
          <w:highlight w:val="none"/>
        </w:rPr>
        <w:t>1.财政部门监督电话：</w:t>
      </w:r>
      <w:r>
        <w:rPr>
          <w:rFonts w:hint="eastAsia" w:ascii="宋体" w:hAnsi="宋体" w:eastAsia="宋体" w:cs="宋体"/>
          <w:color w:val="auto"/>
          <w:sz w:val="24"/>
          <w:highlight w:val="none"/>
          <w:lang w:eastAsia="zh-CN"/>
        </w:rPr>
        <w:t>0527-85229058</w:t>
      </w:r>
      <w:r>
        <w:rPr>
          <w:rFonts w:hint="eastAsia" w:ascii="宋体" w:hAnsi="宋体" w:eastAsia="宋体" w:cs="宋体"/>
          <w:color w:val="auto"/>
          <w:sz w:val="24"/>
          <w:highlight w:val="none"/>
        </w:rPr>
        <w:t>。</w:t>
      </w:r>
    </w:p>
    <w:p w14:paraId="280E1263">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2.“CA”数字证书办理：“苏采云”系统目前仅支持“苏采云”系统下的政务CA。省内各地区办理的“苏采云”系统下的政务CA全省通用。宿迁地区CA数字证书办理联系方式：18762803891。</w:t>
      </w:r>
    </w:p>
    <w:p w14:paraId="16A6A13F">
      <w:pPr>
        <w:pStyle w:val="303"/>
        <w:ind w:firstLine="480"/>
        <w:rPr>
          <w:rFonts w:hint="eastAsia"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lang w:val="en-US"/>
        </w:rPr>
        <w:t>3.宿迁地区“苏采云”技术支持客服电话：0527-84225125、0519-86722806。</w:t>
      </w:r>
    </w:p>
    <w:p w14:paraId="077A15CE">
      <w:pPr>
        <w:pStyle w:val="303"/>
        <w:ind w:firstLine="480"/>
        <w:rPr>
          <w:rFonts w:hint="eastAsia"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lang w:val="en-US"/>
        </w:rPr>
        <w:t>4.如果供应商通过苏采云系统参与政府采购项目，相关操作手册详见链接：</w:t>
      </w:r>
      <w:r>
        <w:rPr>
          <w:rFonts w:hint="eastAsia" w:ascii="宋体" w:hAnsi="宋体" w:eastAsia="宋体" w:cs="宋体"/>
          <w:color w:val="auto"/>
          <w:spacing w:val="-6"/>
          <w:sz w:val="24"/>
          <w:szCs w:val="21"/>
          <w:highlight w:val="none"/>
          <w:lang w:val="en-US"/>
        </w:rPr>
        <w:t>http://www.ccgp-jiangsu.gov.cn/jiangsu/zlxz/ee/ee3a4bc5a3454aa2b0d9312230633ce9.html。</w:t>
      </w:r>
      <w:bookmarkEnd w:id="42"/>
    </w:p>
    <w:p w14:paraId="2C7350A4">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5.现场勘察及答疑：本项目不组织集中勘察及答疑，供应商如对采购需求有疑问，请咨询采购单位联系人。</w:t>
      </w:r>
    </w:p>
    <w:p w14:paraId="2C827DB1">
      <w:pPr>
        <w:keepNext/>
        <w:keepLines/>
        <w:spacing w:before="145" w:after="145" w:line="360" w:lineRule="auto"/>
        <w:ind w:firstLine="498"/>
        <w:outlineLvl w:val="1"/>
        <w:rPr>
          <w:rFonts w:hint="eastAsia" w:ascii="宋体" w:hAnsi="宋体" w:eastAsia="宋体" w:cs="宋体"/>
          <w:b/>
          <w:bCs/>
          <w:color w:val="auto"/>
          <w:sz w:val="32"/>
          <w:szCs w:val="32"/>
          <w:highlight w:val="none"/>
        </w:rPr>
      </w:pPr>
      <w:bookmarkStart w:id="43" w:name="_Toc35393796"/>
      <w:bookmarkStart w:id="44" w:name="_Toc35393627"/>
      <w:bookmarkStart w:id="45" w:name="_Toc28359085"/>
      <w:bookmarkStart w:id="46" w:name="_Toc28359008"/>
      <w:bookmarkStart w:id="47" w:name="_Toc38985269"/>
      <w:bookmarkStart w:id="48" w:name="_Toc14018"/>
      <w:r>
        <w:rPr>
          <w:rFonts w:hint="eastAsia" w:ascii="宋体" w:hAnsi="宋体" w:eastAsia="宋体" w:cs="宋体"/>
          <w:b/>
          <w:bCs/>
          <w:color w:val="auto"/>
          <w:sz w:val="32"/>
          <w:szCs w:val="32"/>
          <w:highlight w:val="none"/>
        </w:rPr>
        <w:t>七、本次磋商联系方式</w:t>
      </w:r>
      <w:bookmarkEnd w:id="43"/>
      <w:bookmarkEnd w:id="44"/>
      <w:bookmarkEnd w:id="45"/>
      <w:bookmarkEnd w:id="46"/>
      <w:bookmarkEnd w:id="47"/>
      <w:bookmarkEnd w:id="48"/>
    </w:p>
    <w:p w14:paraId="46C7D467">
      <w:pPr>
        <w:widowControl/>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1.采购人信息</w:t>
      </w:r>
    </w:p>
    <w:p w14:paraId="01A6C40F">
      <w:pPr>
        <w:spacing w:line="560" w:lineRule="exact"/>
        <w:ind w:left="479" w:firstLine="180"/>
        <w:jc w:val="left"/>
        <w:rPr>
          <w:rFonts w:hint="eastAsia" w:ascii="宋体" w:hAnsi="宋体"/>
          <w:color w:val="auto"/>
          <w:sz w:val="24"/>
          <w:szCs w:val="24"/>
          <w:highlight w:val="none"/>
        </w:rPr>
      </w:pPr>
      <w:bookmarkStart w:id="49" w:name="_Toc28359009"/>
      <w:bookmarkStart w:id="50" w:name="_Toc28359086"/>
      <w:r>
        <w:rPr>
          <w:rFonts w:hint="eastAsia" w:ascii="宋体" w:hAnsi="宋体"/>
          <w:color w:val="auto"/>
          <w:sz w:val="24"/>
          <w:szCs w:val="24"/>
          <w:highlight w:val="none"/>
        </w:rPr>
        <w:t>名称：</w:t>
      </w:r>
      <w:bookmarkStart w:id="51" w:name="EB1362ee37e1304d719f896e4bf97cdd63"/>
      <w:r>
        <w:rPr>
          <w:rFonts w:hint="eastAsia" w:ascii="宋体" w:hAnsi="宋体"/>
          <w:color w:val="auto"/>
          <w:sz w:val="24"/>
          <w:szCs w:val="24"/>
          <w:highlight w:val="none"/>
        </w:rPr>
        <w:t>泗阳县机关事务管理中心</w:t>
      </w:r>
      <w:bookmarkEnd w:id="51"/>
    </w:p>
    <w:p w14:paraId="7C154ECE">
      <w:pPr>
        <w:spacing w:line="560" w:lineRule="exact"/>
        <w:ind w:left="479" w:firstLine="180"/>
        <w:jc w:val="left"/>
        <w:rPr>
          <w:rFonts w:hint="eastAsia" w:ascii="宋体" w:hAnsi="宋体"/>
          <w:color w:val="auto"/>
          <w:sz w:val="24"/>
          <w:szCs w:val="24"/>
          <w:highlight w:val="none"/>
        </w:rPr>
      </w:pPr>
      <w:r>
        <w:rPr>
          <w:rFonts w:hint="eastAsia" w:ascii="宋体" w:hAnsi="宋体"/>
          <w:color w:val="auto"/>
          <w:sz w:val="24"/>
          <w:szCs w:val="24"/>
          <w:highlight w:val="none"/>
        </w:rPr>
        <w:t>地址：</w:t>
      </w:r>
      <w:bookmarkStart w:id="52" w:name="EB56584df6d7a94fbba4fdfdc5b0e454cb"/>
      <w:r>
        <w:rPr>
          <w:rFonts w:hint="eastAsia" w:ascii="宋体" w:hAnsi="宋体"/>
          <w:color w:val="auto"/>
          <w:sz w:val="24"/>
          <w:szCs w:val="24"/>
          <w:highlight w:val="none"/>
        </w:rPr>
        <w:t>泗阳县人民政府办公大楼</w:t>
      </w:r>
      <w:bookmarkEnd w:id="52"/>
    </w:p>
    <w:p w14:paraId="19CB9F6E">
      <w:pPr>
        <w:spacing w:line="560" w:lineRule="exact"/>
        <w:ind w:left="479" w:firstLine="180"/>
        <w:jc w:val="left"/>
        <w:rPr>
          <w:rFonts w:ascii="宋体" w:hAnsi="宋体"/>
          <w:color w:val="auto"/>
          <w:sz w:val="24"/>
          <w:szCs w:val="24"/>
          <w:highlight w:val="none"/>
        </w:rPr>
      </w:pPr>
      <w:r>
        <w:rPr>
          <w:rFonts w:hint="eastAsia" w:ascii="宋体" w:hAnsi="宋体"/>
          <w:color w:val="auto"/>
          <w:sz w:val="24"/>
          <w:szCs w:val="24"/>
          <w:highlight w:val="none"/>
        </w:rPr>
        <w:t>联系方式：</w:t>
      </w:r>
      <w:bookmarkStart w:id="53" w:name="EB4c7135abe8d94c059173fcfc77fa7371"/>
      <w:r>
        <w:rPr>
          <w:rFonts w:hint="eastAsia" w:ascii="宋体" w:hAnsi="宋体"/>
          <w:color w:val="auto"/>
          <w:sz w:val="24"/>
          <w:szCs w:val="24"/>
          <w:highlight w:val="none"/>
        </w:rPr>
        <w:t xml:space="preserve">张治国  </w:t>
      </w:r>
      <w:bookmarkEnd w:id="53"/>
      <w:r>
        <w:rPr>
          <w:rFonts w:hint="eastAsia" w:ascii="宋体" w:hAnsi="宋体"/>
          <w:color w:val="auto"/>
          <w:sz w:val="24"/>
          <w:szCs w:val="24"/>
          <w:highlight w:val="none"/>
        </w:rPr>
        <w:t xml:space="preserve"> </w:t>
      </w:r>
    </w:p>
    <w:p w14:paraId="4F2D583E">
      <w:pPr>
        <w:widowControl/>
        <w:spacing w:line="560" w:lineRule="exact"/>
        <w:ind w:firstLine="720"/>
        <w:jc w:val="left"/>
        <w:rPr>
          <w:rFonts w:ascii="宋体" w:hAnsi="宋体"/>
          <w:color w:val="auto"/>
          <w:sz w:val="24"/>
          <w:szCs w:val="24"/>
          <w:highlight w:val="none"/>
        </w:rPr>
      </w:pPr>
      <w:r>
        <w:rPr>
          <w:rFonts w:hint="eastAsia" w:ascii="宋体" w:hAnsi="宋体"/>
          <w:color w:val="auto"/>
          <w:sz w:val="24"/>
          <w:szCs w:val="24"/>
          <w:highlight w:val="none"/>
        </w:rPr>
        <w:t>联系方式：</w:t>
      </w:r>
      <w:r>
        <w:rPr>
          <w:rFonts w:hint="eastAsia" w:ascii="宋体" w:hAnsi="宋体"/>
          <w:color w:val="auto"/>
          <w:sz w:val="24"/>
          <w:szCs w:val="24"/>
          <w:highlight w:val="none"/>
          <w:lang w:eastAsia="zh-CN"/>
        </w:rPr>
        <w:t xml:space="preserve">13815749118 </w:t>
      </w:r>
      <w:r>
        <w:rPr>
          <w:rFonts w:ascii="宋体" w:hAnsi="宋体"/>
          <w:color w:val="auto"/>
          <w:sz w:val="24"/>
          <w:szCs w:val="24"/>
          <w:highlight w:val="none"/>
        </w:rPr>
        <w:t xml:space="preserve"> </w:t>
      </w:r>
    </w:p>
    <w:p w14:paraId="6DBB401C">
      <w:pPr>
        <w:widowControl/>
        <w:ind w:firstLine="560"/>
        <w:jc w:val="left"/>
        <w:rPr>
          <w:rFonts w:hint="eastAsia" w:ascii="宋体" w:hAnsi="宋体" w:eastAsia="宋体" w:cs="宋体"/>
          <w:color w:val="auto"/>
          <w:sz w:val="28"/>
          <w:szCs w:val="28"/>
          <w:highlight w:val="none"/>
        </w:rPr>
      </w:pPr>
    </w:p>
    <w:p w14:paraId="4324E26D">
      <w:pPr>
        <w:spacing w:line="560" w:lineRule="exact"/>
        <w:ind w:left="479" w:firstLine="180"/>
        <w:jc w:val="left"/>
        <w:rPr>
          <w:rFonts w:hint="eastAsia" w:ascii="宋体" w:hAnsi="宋体" w:eastAsia="宋体" w:cs="Times New Roman"/>
          <w:color w:val="auto"/>
          <w:sz w:val="24"/>
          <w:szCs w:val="24"/>
          <w:highlight w:val="none"/>
        </w:rPr>
      </w:pPr>
      <w:r>
        <w:rPr>
          <w:rFonts w:hint="eastAsia" w:ascii="宋体" w:hAnsi="宋体" w:eastAsia="宋体" w:cs="宋体"/>
          <w:color w:val="auto"/>
          <w:sz w:val="28"/>
          <w:szCs w:val="28"/>
          <w:highlight w:val="none"/>
        </w:rPr>
        <w:t>2.</w:t>
      </w:r>
      <w:r>
        <w:rPr>
          <w:rFonts w:hint="eastAsia" w:ascii="宋体" w:hAnsi="宋体" w:eastAsia="宋体" w:cs="Times New Roman"/>
          <w:color w:val="auto"/>
          <w:sz w:val="24"/>
          <w:szCs w:val="24"/>
          <w:highlight w:val="none"/>
        </w:rPr>
        <w:t>采购代理机构信息</w:t>
      </w:r>
      <w:bookmarkEnd w:id="49"/>
      <w:bookmarkEnd w:id="50"/>
    </w:p>
    <w:p w14:paraId="32CCDCF4">
      <w:pPr>
        <w:spacing w:line="560" w:lineRule="exact"/>
        <w:ind w:left="479" w:firstLine="180"/>
        <w:jc w:val="left"/>
        <w:rPr>
          <w:rFonts w:hint="eastAsia" w:ascii="宋体" w:hAnsi="宋体" w:eastAsia="宋体" w:cs="Times New Roman"/>
          <w:color w:val="auto"/>
          <w:sz w:val="24"/>
          <w:szCs w:val="24"/>
          <w:highlight w:val="none"/>
          <w:lang w:eastAsia="zh-CN"/>
        </w:rPr>
      </w:pPr>
      <w:bookmarkStart w:id="54" w:name="_Toc28359087"/>
      <w:bookmarkStart w:id="55" w:name="_Toc28359010"/>
      <w:r>
        <w:rPr>
          <w:rFonts w:hint="eastAsia" w:ascii="宋体" w:hAnsi="宋体" w:eastAsia="宋体" w:cs="Times New Roman"/>
          <w:color w:val="auto"/>
          <w:sz w:val="24"/>
          <w:szCs w:val="24"/>
          <w:highlight w:val="none"/>
        </w:rPr>
        <w:t>名称：</w:t>
      </w:r>
      <w:r>
        <w:rPr>
          <w:rFonts w:hint="eastAsia" w:ascii="宋体" w:hAnsi="宋体" w:eastAsia="宋体" w:cs="Times New Roman"/>
          <w:color w:val="auto"/>
          <w:sz w:val="24"/>
          <w:szCs w:val="24"/>
          <w:highlight w:val="none"/>
          <w:lang w:eastAsia="zh-CN"/>
        </w:rPr>
        <w:t>中天志远咨询有限公司</w:t>
      </w:r>
    </w:p>
    <w:p w14:paraId="55E50D14">
      <w:pPr>
        <w:spacing w:line="560" w:lineRule="exact"/>
        <w:ind w:left="479" w:firstLine="180"/>
        <w:jc w:val="lef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地址：</w:t>
      </w:r>
      <w:r>
        <w:rPr>
          <w:rFonts w:hint="eastAsia" w:ascii="宋体" w:hAnsi="宋体" w:eastAsia="宋体" w:cs="Times New Roman"/>
          <w:color w:val="auto"/>
          <w:sz w:val="24"/>
          <w:szCs w:val="24"/>
          <w:highlight w:val="none"/>
          <w:lang w:eastAsia="zh-CN"/>
        </w:rPr>
        <w:t>泗阳县众兴街道繁荣中路</w:t>
      </w:r>
      <w:r>
        <w:rPr>
          <w:rFonts w:hint="eastAsia" w:ascii="宋体" w:hAnsi="宋体" w:eastAsia="宋体" w:cs="Times New Roman"/>
          <w:color w:val="auto"/>
          <w:sz w:val="24"/>
          <w:szCs w:val="24"/>
          <w:highlight w:val="none"/>
          <w:lang w:val="en-US" w:eastAsia="zh-CN"/>
        </w:rPr>
        <w:t>579号</w:t>
      </w:r>
      <w:r>
        <w:rPr>
          <w:rFonts w:hint="eastAsia" w:ascii="宋体" w:hAnsi="宋体" w:eastAsia="宋体" w:cs="Times New Roman"/>
          <w:color w:val="auto"/>
          <w:sz w:val="24"/>
          <w:szCs w:val="24"/>
          <w:highlight w:val="none"/>
          <w:lang w:eastAsia="zh-CN"/>
        </w:rPr>
        <w:t>（政务服务中心西门对面）</w:t>
      </w:r>
    </w:p>
    <w:p w14:paraId="3465C7B5">
      <w:pPr>
        <w:spacing w:line="560" w:lineRule="exact"/>
        <w:ind w:left="479" w:firstLine="180"/>
        <w:jc w:val="lef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联系人：</w:t>
      </w:r>
      <w:r>
        <w:rPr>
          <w:rFonts w:hint="eastAsia" w:ascii="宋体" w:hAnsi="宋体" w:eastAsia="宋体" w:cs="Times New Roman"/>
          <w:color w:val="auto"/>
          <w:sz w:val="24"/>
          <w:szCs w:val="24"/>
          <w:highlight w:val="none"/>
          <w:lang w:eastAsia="zh-CN"/>
        </w:rPr>
        <w:t>吴美霞</w:t>
      </w:r>
    </w:p>
    <w:p w14:paraId="7BE94B4D">
      <w:pPr>
        <w:spacing w:line="560" w:lineRule="exact"/>
        <w:ind w:left="479" w:firstLine="1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联系方式：</w:t>
      </w:r>
      <w:r>
        <w:rPr>
          <w:rFonts w:hint="eastAsia" w:ascii="宋体" w:hAnsi="宋体" w:eastAsia="宋体" w:cs="Times New Roman"/>
          <w:color w:val="auto"/>
          <w:sz w:val="24"/>
          <w:szCs w:val="24"/>
          <w:highlight w:val="none"/>
          <w:lang w:eastAsia="zh-CN"/>
        </w:rPr>
        <w:t>13951393023</w:t>
      </w:r>
      <w:r>
        <w:rPr>
          <w:rFonts w:hint="eastAsia" w:ascii="宋体" w:hAnsi="宋体" w:eastAsia="宋体" w:cs="Times New Roman"/>
          <w:color w:val="auto"/>
          <w:sz w:val="24"/>
          <w:szCs w:val="24"/>
          <w:highlight w:val="none"/>
          <w:lang w:val="en-US" w:eastAsia="zh-CN"/>
        </w:rPr>
        <w:t xml:space="preserve">   </w:t>
      </w:r>
      <w:bookmarkEnd w:id="54"/>
      <w:bookmarkEnd w:id="55"/>
    </w:p>
    <w:p w14:paraId="008B54CE">
      <w:pPr>
        <w:keepNext/>
        <w:keepLines/>
        <w:spacing w:before="145" w:after="145" w:line="360" w:lineRule="auto"/>
        <w:ind w:firstLine="498"/>
        <w:outlineLvl w:val="1"/>
        <w:rPr>
          <w:rFonts w:hint="eastAsia" w:ascii="宋体" w:hAnsi="宋体" w:eastAsia="宋体" w:cs="宋体"/>
          <w:b/>
          <w:bCs/>
          <w:color w:val="auto"/>
          <w:sz w:val="32"/>
          <w:szCs w:val="32"/>
          <w:highlight w:val="none"/>
        </w:rPr>
      </w:pPr>
      <w:bookmarkStart w:id="56" w:name="_Toc29977"/>
      <w:r>
        <w:rPr>
          <w:rFonts w:hint="eastAsia" w:ascii="宋体" w:hAnsi="宋体" w:eastAsia="宋体" w:cs="宋体"/>
          <w:b/>
          <w:bCs/>
          <w:color w:val="auto"/>
          <w:sz w:val="32"/>
          <w:szCs w:val="32"/>
          <w:highlight w:val="none"/>
        </w:rPr>
        <w:t>八、其他</w:t>
      </w:r>
      <w:bookmarkEnd w:id="56"/>
    </w:p>
    <w:p w14:paraId="2F251FC0">
      <w:pPr>
        <w:tabs>
          <w:tab w:val="left" w:pos="900"/>
        </w:tabs>
        <w:spacing w:line="5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1.有关本次采购的事项若存在变动或修改，敬请及时关注“宿迁市政府采购网”等平台更正公告。</w:t>
      </w:r>
    </w:p>
    <w:p w14:paraId="0358DA9E">
      <w:pPr>
        <w:tabs>
          <w:tab w:val="left" w:pos="900"/>
        </w:tabs>
        <w:spacing w:line="5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2.本次磋商不收取磋商保证金。</w:t>
      </w:r>
    </w:p>
    <w:p w14:paraId="127C1345">
      <w:pPr>
        <w:ind w:right="840"/>
        <w:rPr>
          <w:rFonts w:hint="eastAsia" w:ascii="宋体" w:hAnsi="宋体" w:eastAsia="宋体" w:cs="宋体"/>
          <w:color w:val="auto"/>
          <w:sz w:val="24"/>
          <w:szCs w:val="24"/>
          <w:highlight w:val="none"/>
        </w:rPr>
      </w:pPr>
    </w:p>
    <w:p w14:paraId="761720E2">
      <w:pPr>
        <w:pStyle w:val="2"/>
        <w:bidi w:val="0"/>
        <w:jc w:val="center"/>
        <w:rPr>
          <w:rFonts w:ascii="Times New Roman" w:hAnsi="Times New Roman" w:eastAsia="黑体"/>
          <w:color w:val="auto"/>
          <w:highlight w:val="none"/>
        </w:rPr>
      </w:pPr>
      <w:bookmarkStart w:id="57" w:name="_Toc120614211"/>
      <w:r>
        <w:rPr>
          <w:rFonts w:hint="eastAsia" w:ascii="宋体" w:hAnsi="宋体" w:eastAsia="宋体" w:cs="宋体"/>
          <w:b/>
          <w:bCs/>
          <w:color w:val="auto"/>
          <w:szCs w:val="44"/>
          <w:highlight w:val="none"/>
        </w:rPr>
        <w:br w:type="page" w:clear="all"/>
      </w:r>
      <w:bookmarkEnd w:id="0"/>
      <w:bookmarkEnd w:id="1"/>
      <w:bookmarkEnd w:id="2"/>
      <w:bookmarkEnd w:id="3"/>
      <w:bookmarkEnd w:id="4"/>
      <w:bookmarkEnd w:id="57"/>
      <w:bookmarkStart w:id="58" w:name="_Toc3297"/>
      <w:bookmarkStart w:id="59" w:name="_Toc706"/>
      <w:bookmarkStart w:id="60" w:name="_Toc28718"/>
      <w:bookmarkStart w:id="61" w:name="_Toc11816"/>
      <w:bookmarkStart w:id="62" w:name="_Toc19702"/>
      <w:bookmarkStart w:id="63" w:name="_Toc513029242"/>
      <w:bookmarkStart w:id="64" w:name="_Toc479757207"/>
      <w:bookmarkStart w:id="65" w:name="_Toc120614221"/>
      <w:bookmarkStart w:id="66" w:name="_Toc16938558"/>
      <w:bookmarkStart w:id="67" w:name="_Toc20823314"/>
      <w:bookmarkStart w:id="68" w:name="_Toc20610"/>
      <w:bookmarkStart w:id="69" w:name="_Toc5884"/>
      <w:r>
        <w:rPr>
          <w:rFonts w:hint="eastAsia"/>
          <w:color w:val="auto"/>
          <w:highlight w:val="none"/>
        </w:rPr>
        <w:t>第二章  供应商须知</w:t>
      </w:r>
      <w:bookmarkEnd w:id="58"/>
      <w:bookmarkEnd w:id="59"/>
      <w:bookmarkEnd w:id="60"/>
      <w:bookmarkEnd w:id="61"/>
      <w:bookmarkEnd w:id="62"/>
      <w:bookmarkStart w:id="70" w:name="EB154f34bfcea5417199f8cf429c255bfe"/>
      <w:bookmarkEnd w:id="70"/>
      <w:bookmarkStart w:id="71" w:name="EBa8c69c4726824205bbf6fbe49f912e2d"/>
      <w:bookmarkEnd w:id="71"/>
    </w:p>
    <w:p w14:paraId="2DE48983">
      <w:pPr>
        <w:pStyle w:val="343"/>
        <w:spacing w:before="0" w:line="520" w:lineRule="exact"/>
        <w:rPr>
          <w:rFonts w:eastAsia="宋体"/>
          <w:b/>
          <w:bCs/>
          <w:color w:val="auto"/>
          <w:sz w:val="32"/>
          <w:highlight w:val="none"/>
        </w:rPr>
      </w:pPr>
      <w:bookmarkStart w:id="72" w:name="_Toc141869961"/>
      <w:r>
        <w:rPr>
          <w:rFonts w:hint="eastAsia" w:eastAsia="宋体"/>
          <w:b/>
          <w:bCs/>
          <w:color w:val="auto"/>
          <w:sz w:val="32"/>
          <w:highlight w:val="none"/>
        </w:rPr>
        <w:t>供应商须知前附表：</w:t>
      </w:r>
      <w:bookmarkEnd w:id="72"/>
    </w:p>
    <w:tbl>
      <w:tblPr>
        <w:tblStyle w:val="2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253E9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noWrap w:val="0"/>
            <w:vAlign w:val="center"/>
          </w:tcPr>
          <w:p w14:paraId="5F03B261">
            <w:pPr>
              <w:jc w:val="center"/>
              <w:rPr>
                <w:rFonts w:hint="eastAsia" w:ascii="仿宋_GB2312" w:hAnsi="仿宋" w:cs="Times New Roman"/>
                <w:b/>
                <w:color w:val="auto"/>
                <w:sz w:val="24"/>
                <w:szCs w:val="24"/>
                <w:highlight w:val="none"/>
              </w:rPr>
            </w:pPr>
            <w:r>
              <w:rPr>
                <w:rFonts w:hint="eastAsia" w:ascii="仿宋_GB2312" w:hAnsi="仿宋" w:cs="Times New Roman"/>
                <w:b/>
                <w:color w:val="auto"/>
                <w:sz w:val="24"/>
                <w:szCs w:val="24"/>
                <w:highlight w:val="none"/>
              </w:rPr>
              <w:t>序号</w:t>
            </w:r>
          </w:p>
        </w:tc>
        <w:tc>
          <w:tcPr>
            <w:tcW w:w="1984" w:type="dxa"/>
            <w:noWrap w:val="0"/>
            <w:vAlign w:val="center"/>
          </w:tcPr>
          <w:p w14:paraId="0BDF444F">
            <w:pPr>
              <w:jc w:val="center"/>
              <w:rPr>
                <w:rFonts w:hint="eastAsia" w:ascii="仿宋_GB2312" w:hAnsi="仿宋" w:cs="Times New Roman"/>
                <w:b/>
                <w:color w:val="auto"/>
                <w:sz w:val="24"/>
                <w:szCs w:val="24"/>
                <w:highlight w:val="none"/>
              </w:rPr>
            </w:pPr>
            <w:r>
              <w:rPr>
                <w:rFonts w:hint="eastAsia" w:ascii="仿宋_GB2312" w:hAnsi="仿宋" w:cs="Times New Roman"/>
                <w:b/>
                <w:color w:val="auto"/>
                <w:sz w:val="24"/>
                <w:szCs w:val="24"/>
                <w:highlight w:val="none"/>
              </w:rPr>
              <w:t>内容</w:t>
            </w:r>
          </w:p>
        </w:tc>
        <w:tc>
          <w:tcPr>
            <w:tcW w:w="5975" w:type="dxa"/>
            <w:noWrap w:val="0"/>
            <w:vAlign w:val="center"/>
          </w:tcPr>
          <w:p w14:paraId="75E7A93B">
            <w:pPr>
              <w:jc w:val="center"/>
              <w:rPr>
                <w:rFonts w:hint="eastAsia" w:ascii="仿宋_GB2312" w:hAnsi="仿宋" w:cs="Times New Roman"/>
                <w:b/>
                <w:color w:val="auto"/>
                <w:sz w:val="24"/>
                <w:szCs w:val="24"/>
                <w:highlight w:val="none"/>
              </w:rPr>
            </w:pPr>
            <w:r>
              <w:rPr>
                <w:rFonts w:hint="eastAsia" w:ascii="仿宋_GB2312" w:hAnsi="仿宋" w:cs="Times New Roman"/>
                <w:b/>
                <w:color w:val="auto"/>
                <w:sz w:val="24"/>
                <w:szCs w:val="24"/>
                <w:highlight w:val="none"/>
              </w:rPr>
              <w:t>说明及要求</w:t>
            </w:r>
          </w:p>
        </w:tc>
      </w:tr>
      <w:tr w14:paraId="56382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B969E7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1984" w:type="dxa"/>
            <w:noWrap w:val="0"/>
            <w:vAlign w:val="center"/>
          </w:tcPr>
          <w:p w14:paraId="0B93D74B">
            <w:pPr>
              <w:spacing w:line="360" w:lineRule="exact"/>
              <w:jc w:val="center"/>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项目类别</w:t>
            </w:r>
            <w:r>
              <w:rPr>
                <w:rFonts w:hint="eastAsia" w:ascii="Times New Roman" w:hAnsi="Times New Roman" w:cs="仿宋"/>
                <w:color w:val="auto"/>
                <w:sz w:val="24"/>
                <w:szCs w:val="24"/>
                <w:highlight w:val="none"/>
                <w:lang w:val="en-US" w:eastAsia="zh-CN"/>
              </w:rPr>
              <w:t>及</w:t>
            </w:r>
            <w:r>
              <w:rPr>
                <w:rFonts w:ascii="宋体" w:hAnsi="宋体"/>
                <w:color w:val="auto"/>
                <w:sz w:val="24"/>
                <w:szCs w:val="24"/>
                <w:highlight w:val="none"/>
              </w:rPr>
              <w:t>所属行业</w:t>
            </w:r>
          </w:p>
        </w:tc>
        <w:tc>
          <w:tcPr>
            <w:tcW w:w="5975" w:type="dxa"/>
            <w:noWrap w:val="0"/>
            <w:vAlign w:val="center"/>
          </w:tcPr>
          <w:p w14:paraId="7E426A9E">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rPr>
              <w:t>1.</w:t>
            </w:r>
            <w:r>
              <w:rPr>
                <w:rFonts w:hint="eastAsia" w:ascii="Times New Roman" w:hAnsi="Times New Roman" w:cs="仿宋"/>
                <w:color w:val="auto"/>
                <w:sz w:val="24"/>
                <w:szCs w:val="24"/>
                <w:highlight w:val="none"/>
              </w:rPr>
              <w:t>本项目</w:t>
            </w:r>
            <w:bookmarkStart w:id="73" w:name="EB9a5853ee094f4f0ea6ec3169265f6f2c"/>
            <w:r>
              <w:rPr>
                <w:rFonts w:hint="eastAsia" w:ascii="Times New Roman" w:hAnsi="Times New Roman" w:cs="仿宋"/>
                <w:color w:val="auto"/>
                <w:sz w:val="24"/>
                <w:szCs w:val="24"/>
                <w:highlight w:val="none"/>
              </w:rPr>
              <w:t>属性按以下第</w:t>
            </w:r>
            <w:r>
              <w:rPr>
                <w:rFonts w:hint="eastAsia" w:ascii="Times New Roman" w:hAnsi="Times New Roman" w:cs="仿宋"/>
                <w:b/>
                <w:bCs/>
                <w:color w:val="auto"/>
                <w:sz w:val="24"/>
                <w:highlight w:val="none"/>
                <w:u w:val="single"/>
              </w:rPr>
              <w:t xml:space="preserve">2 </w:t>
            </w:r>
            <w:r>
              <w:rPr>
                <w:rFonts w:hint="eastAsia" w:ascii="Times New Roman" w:hAnsi="Times New Roman" w:cs="仿宋"/>
                <w:color w:val="auto"/>
                <w:sz w:val="24"/>
                <w:szCs w:val="24"/>
                <w:highlight w:val="none"/>
              </w:rPr>
              <w:t>种确定：</w:t>
            </w:r>
          </w:p>
          <w:bookmarkEnd w:id="73"/>
          <w:p w14:paraId="3C90D088">
            <w:pPr>
              <w:numPr>
                <w:ilvl w:val="0"/>
                <w:numId w:val="0"/>
              </w:numPr>
              <w:spacing w:line="36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货物</w:t>
            </w:r>
            <w:bookmarkStart w:id="74" w:name="EBd5c6c026f9674c39b21b31ecd0c1e7fa"/>
            <w:r>
              <w:rPr>
                <w:rFonts w:hint="eastAsia" w:ascii="Times New Roman" w:hAnsi="Times New Roman" w:cs="仿宋"/>
                <w:color w:val="auto"/>
                <w:sz w:val="24"/>
                <w:szCs w:val="24"/>
                <w:highlight w:val="none"/>
              </w:rPr>
              <w:t>采购；2.</w:t>
            </w:r>
            <w:bookmarkEnd w:id="74"/>
            <w:r>
              <w:rPr>
                <w:rFonts w:hint="eastAsia" w:ascii="Times New Roman" w:hAnsi="Times New Roman" w:cs="仿宋"/>
                <w:color w:val="auto"/>
                <w:sz w:val="24"/>
                <w:szCs w:val="24"/>
                <w:highlight w:val="none"/>
              </w:rPr>
              <w:t>服务</w:t>
            </w:r>
            <w:bookmarkStart w:id="75" w:name="EBf7d2a4f44ecb4166a93ea852e73be69f"/>
            <w:r>
              <w:rPr>
                <w:rFonts w:hint="eastAsia" w:ascii="Times New Roman" w:hAnsi="Times New Roman" w:cs="仿宋"/>
                <w:color w:val="auto"/>
                <w:sz w:val="24"/>
                <w:szCs w:val="24"/>
                <w:highlight w:val="none"/>
              </w:rPr>
              <w:t>采购；3.</w:t>
            </w:r>
            <w:bookmarkEnd w:id="75"/>
            <w:r>
              <w:rPr>
                <w:rFonts w:hint="eastAsia" w:ascii="Times New Roman" w:hAnsi="Times New Roman" w:cs="仿宋"/>
                <w:color w:val="auto"/>
                <w:sz w:val="24"/>
                <w:szCs w:val="24"/>
                <w:highlight w:val="none"/>
              </w:rPr>
              <w:t>工程采购。</w:t>
            </w:r>
          </w:p>
          <w:p w14:paraId="116EF1C5">
            <w:pPr>
              <w:numPr>
                <w:ilvl w:val="0"/>
                <w:numId w:val="0"/>
              </w:numPr>
              <w:spacing w:line="360" w:lineRule="exact"/>
              <w:jc w:val="lef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2.</w:t>
            </w:r>
            <w:r>
              <w:rPr>
                <w:rFonts w:hint="eastAsia" w:ascii="宋体" w:hAnsi="宋体"/>
                <w:color w:val="auto"/>
                <w:sz w:val="24"/>
                <w:szCs w:val="24"/>
                <w:highlight w:val="none"/>
              </w:rPr>
              <w:t>对应中</w:t>
            </w:r>
            <w:r>
              <w:rPr>
                <w:rFonts w:ascii="宋体" w:hAnsi="宋体"/>
                <w:color w:val="auto"/>
                <w:sz w:val="24"/>
                <w:szCs w:val="24"/>
                <w:highlight w:val="none"/>
              </w:rPr>
              <w:t>小企业划分标准所属行业</w:t>
            </w:r>
            <w:r>
              <w:rPr>
                <w:rFonts w:hint="eastAsia" w:ascii="宋体" w:hAnsi="宋体"/>
                <w:color w:val="auto"/>
                <w:sz w:val="24"/>
                <w:szCs w:val="24"/>
                <w:highlight w:val="none"/>
                <w:lang w:eastAsia="zh-CN"/>
              </w:rPr>
              <w:t>：其他未列明行业。</w:t>
            </w:r>
          </w:p>
        </w:tc>
      </w:tr>
      <w:tr w14:paraId="7199E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1EF80E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1984" w:type="dxa"/>
            <w:noWrap w:val="0"/>
            <w:vAlign w:val="center"/>
          </w:tcPr>
          <w:p w14:paraId="1B94CB35">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响应有效期</w:t>
            </w:r>
          </w:p>
        </w:tc>
        <w:tc>
          <w:tcPr>
            <w:tcW w:w="5975" w:type="dxa"/>
            <w:noWrap w:val="0"/>
            <w:vAlign w:val="center"/>
          </w:tcPr>
          <w:p w14:paraId="575EF11F">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90日（从提交响应文件截止之日起算）</w:t>
            </w:r>
          </w:p>
        </w:tc>
      </w:tr>
      <w:tr w14:paraId="5B808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310ED937">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1984" w:type="dxa"/>
            <w:noWrap w:val="0"/>
            <w:vAlign w:val="center"/>
          </w:tcPr>
          <w:p w14:paraId="0040E622">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响应文件份数</w:t>
            </w:r>
          </w:p>
        </w:tc>
        <w:tc>
          <w:tcPr>
            <w:tcW w:w="5975" w:type="dxa"/>
            <w:noWrap w:val="0"/>
            <w:vAlign w:val="center"/>
          </w:tcPr>
          <w:p w14:paraId="0579C609">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提交加密电子响应文件1份。</w:t>
            </w:r>
          </w:p>
        </w:tc>
      </w:tr>
      <w:tr w14:paraId="72B85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206C07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1984" w:type="dxa"/>
            <w:noWrap w:val="0"/>
            <w:vAlign w:val="center"/>
          </w:tcPr>
          <w:p w14:paraId="610078FE">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5975" w:type="dxa"/>
            <w:noWrap w:val="0"/>
            <w:vAlign w:val="center"/>
          </w:tcPr>
          <w:p w14:paraId="6ABC9889">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b/>
                <w:bCs/>
                <w:color w:val="auto"/>
                <w:sz w:val="24"/>
                <w:highlight w:val="none"/>
                <w:u w:val="single"/>
              </w:rPr>
              <w:t>2</w:t>
            </w:r>
            <w:r>
              <w:rPr>
                <w:rFonts w:hint="eastAsia" w:ascii="Times New Roman" w:hAnsi="Times New Roman" w:cs="仿宋"/>
                <w:color w:val="auto"/>
                <w:sz w:val="24"/>
                <w:szCs w:val="24"/>
                <w:highlight w:val="none"/>
              </w:rPr>
              <w:t>种方式确定：</w:t>
            </w:r>
          </w:p>
          <w:p w14:paraId="3C2D7752">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bookmarkStart w:id="76" w:name="OLE_LINK8"/>
            <w:r>
              <w:rPr>
                <w:rFonts w:hint="eastAsia" w:ascii="Times New Roman" w:hAnsi="Times New Roman" w:cs="仿宋"/>
                <w:color w:val="auto"/>
                <w:sz w:val="24"/>
                <w:highlight w:val="none"/>
              </w:rPr>
              <w:t>应当符合《政</w:t>
            </w:r>
            <w:bookmarkStart w:id="77" w:name="OLE_LINK1"/>
            <w:r>
              <w:rPr>
                <w:rFonts w:hint="eastAsia" w:ascii="Times New Roman" w:hAnsi="Times New Roman" w:cs="仿宋"/>
                <w:color w:val="auto"/>
                <w:sz w:val="24"/>
                <w:highlight w:val="none"/>
              </w:rPr>
              <w:t>府采购进口产品管理办法</w:t>
            </w:r>
            <w:bookmarkEnd w:id="77"/>
            <w:r>
              <w:rPr>
                <w:rFonts w:hint="eastAsia" w:ascii="Times New Roman" w:hAnsi="Times New Roman" w:cs="仿宋"/>
                <w:color w:val="auto"/>
                <w:sz w:val="24"/>
                <w:highlight w:val="none"/>
              </w:rPr>
              <w:t>》（财库〔2007〕119号）《关于政府采购进口产品管理有关问题的通知》（财办库〔2008〕248号）等相关规定</w:t>
            </w:r>
            <w:r>
              <w:rPr>
                <w:rFonts w:hint="eastAsia" w:ascii="Times New Roman" w:hAnsi="Times New Roman" w:cs="仿宋"/>
                <w:color w:val="auto"/>
                <w:sz w:val="24"/>
                <w:szCs w:val="24"/>
                <w:highlight w:val="none"/>
              </w:rPr>
              <w:t>；</w:t>
            </w:r>
            <w:bookmarkEnd w:id="76"/>
          </w:p>
          <w:p w14:paraId="53189A4B">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不接受进口产品。</w:t>
            </w:r>
          </w:p>
        </w:tc>
      </w:tr>
      <w:tr w14:paraId="0261E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050C832">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1984" w:type="dxa"/>
            <w:noWrap w:val="0"/>
            <w:vAlign w:val="center"/>
          </w:tcPr>
          <w:p w14:paraId="7D4A5CBA">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评审方法</w:t>
            </w:r>
          </w:p>
        </w:tc>
        <w:tc>
          <w:tcPr>
            <w:tcW w:w="5975" w:type="dxa"/>
            <w:noWrap w:val="0"/>
            <w:vAlign w:val="center"/>
          </w:tcPr>
          <w:p w14:paraId="4A5591A3">
            <w:pPr>
              <w:widowControl w:val="0"/>
              <w:spacing w:line="360" w:lineRule="exact"/>
              <w:jc w:val="left"/>
              <w:rPr>
                <w:rFonts w:hint="default" w:ascii="Times New Roman" w:hAnsi="Times New Roman" w:eastAsia="宋体" w:cs="仿宋"/>
                <w:color w:val="auto"/>
                <w:sz w:val="24"/>
                <w:szCs w:val="20"/>
                <w:highlight w:val="none"/>
                <w:lang w:val="en-US" w:eastAsia="zh-CN" w:bidi="ar-SA"/>
              </w:rPr>
            </w:pPr>
            <w:r>
              <w:rPr>
                <w:rFonts w:hint="eastAsia" w:ascii="Times New Roman" w:hAnsi="Times New Roman" w:eastAsia="宋体" w:cs="仿宋"/>
                <w:color w:val="auto"/>
                <w:sz w:val="24"/>
                <w:szCs w:val="24"/>
                <w:highlight w:val="none"/>
                <w:lang w:val="en-US" w:eastAsia="zh-CN" w:bidi="ar-SA"/>
              </w:rPr>
              <w:t>综合评分法。具体细则详见磋商文件评审方法和评审标准部分。</w:t>
            </w:r>
          </w:p>
        </w:tc>
      </w:tr>
      <w:tr w14:paraId="779FD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2AA556CC">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1984" w:type="dxa"/>
            <w:noWrap w:val="0"/>
            <w:vAlign w:val="center"/>
          </w:tcPr>
          <w:p w14:paraId="05EFB4A6">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确定成交人</w:t>
            </w:r>
          </w:p>
        </w:tc>
        <w:tc>
          <w:tcPr>
            <w:tcW w:w="5975" w:type="dxa"/>
            <w:noWrap w:val="0"/>
            <w:vAlign w:val="center"/>
          </w:tcPr>
          <w:p w14:paraId="72211E7C">
            <w:pPr>
              <w:widowControl/>
              <w:spacing w:line="36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采购人按照规定在磋商小组推荐的中标候选人中确定成交人。</w:t>
            </w:r>
          </w:p>
        </w:tc>
      </w:tr>
      <w:tr w14:paraId="6BD00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D5AAC5B">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1984" w:type="dxa"/>
            <w:noWrap w:val="0"/>
            <w:vAlign w:val="center"/>
          </w:tcPr>
          <w:p w14:paraId="4DFD68BA">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5975" w:type="dxa"/>
            <w:noWrap w:val="0"/>
            <w:vAlign w:val="center"/>
          </w:tcPr>
          <w:p w14:paraId="1391FFFF">
            <w:pPr>
              <w:widowControl/>
              <w:spacing w:line="360" w:lineRule="exact"/>
              <w:jc w:val="left"/>
              <w:rPr>
                <w:rFonts w:ascii="Times New Roman" w:hAnsi="Times New Roman" w:cs="仿宋"/>
                <w:color w:val="auto"/>
                <w:sz w:val="24"/>
                <w:szCs w:val="24"/>
                <w:highlight w:val="none"/>
              </w:rPr>
            </w:pPr>
            <w:bookmarkStart w:id="78" w:name="EBebac1462c5d9459fbda8a75065c2455d"/>
            <w:r>
              <w:rPr>
                <w:rFonts w:hint="eastAsia" w:ascii="Times New Roman" w:hAnsi="Times New Roman" w:cs="仿宋"/>
                <w:color w:val="auto"/>
                <w:sz w:val="24"/>
                <w:szCs w:val="24"/>
                <w:highlight w:val="none"/>
              </w:rPr>
              <w:t>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ascii="Times New Roman" w:hAnsi="Times New Roman" w:cs="仿宋"/>
                <w:b/>
                <w:bCs/>
                <w:color w:val="auto"/>
                <w:sz w:val="24"/>
                <w:highlight w:val="none"/>
                <w:u w:val="single"/>
              </w:rPr>
              <w:t>2</w:t>
            </w:r>
            <w:r>
              <w:rPr>
                <w:rFonts w:hint="eastAsia" w:ascii="Times New Roman" w:hAnsi="Times New Roman" w:cs="仿宋"/>
                <w:color w:val="auto"/>
                <w:sz w:val="24"/>
                <w:szCs w:val="24"/>
                <w:highlight w:val="none"/>
              </w:rPr>
              <w:t>种方式确定：</w:t>
            </w:r>
          </w:p>
          <w:p w14:paraId="029A154B">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78"/>
            <w:r>
              <w:rPr>
                <w:rFonts w:hint="eastAsia" w:ascii="Times New Roman" w:hAnsi="Times New Roman" w:cs="仿宋"/>
                <w:color w:val="auto"/>
                <w:sz w:val="24"/>
                <w:szCs w:val="24"/>
                <w:highlight w:val="none"/>
              </w:rPr>
              <w:t>允许分包，</w:t>
            </w:r>
            <w:bookmarkStart w:id="79"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79"/>
            <w:r>
              <w:rPr>
                <w:rFonts w:hint="eastAsia" w:ascii="Times New Roman" w:hAnsi="Times New Roman" w:cs="仿宋"/>
                <w:color w:val="auto"/>
                <w:sz w:val="24"/>
                <w:szCs w:val="24"/>
                <w:highlight w:val="none"/>
              </w:rPr>
              <w:t>无</w:t>
            </w:r>
          </w:p>
          <w:p w14:paraId="073384B2">
            <w:pPr>
              <w:widowControl/>
              <w:spacing w:line="360" w:lineRule="exact"/>
              <w:jc w:val="left"/>
              <w:rPr>
                <w:rFonts w:ascii="Times New Roman" w:hAnsi="Times New Roman" w:cs="仿宋"/>
                <w:color w:val="auto"/>
                <w:sz w:val="24"/>
                <w:highlight w:val="none"/>
              </w:rPr>
            </w:pPr>
            <w:r>
              <w:rPr>
                <w:rFonts w:hint="eastAsia" w:ascii="Times New Roman" w:hAnsi="Times New Roman" w:cs="仿宋"/>
                <w:color w:val="auto"/>
                <w:sz w:val="24"/>
                <w:szCs w:val="24"/>
                <w:highlight w:val="none"/>
              </w:rPr>
              <w:t>2.不允许分包。</w:t>
            </w:r>
          </w:p>
        </w:tc>
      </w:tr>
      <w:tr w14:paraId="73F29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F0FA92C">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8</w:t>
            </w:r>
          </w:p>
        </w:tc>
        <w:tc>
          <w:tcPr>
            <w:tcW w:w="1984" w:type="dxa"/>
            <w:noWrap w:val="0"/>
            <w:vAlign w:val="center"/>
          </w:tcPr>
          <w:p w14:paraId="5883B5CD">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代理费用收取方式及标准</w:t>
            </w:r>
          </w:p>
        </w:tc>
        <w:tc>
          <w:tcPr>
            <w:tcW w:w="5975" w:type="dxa"/>
            <w:noWrap w:val="0"/>
            <w:vAlign w:val="center"/>
          </w:tcPr>
          <w:p w14:paraId="7DCE46A7">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中标人支付，具体方式及标准为：人民币10000元收取。支付方式可以通过转账或数字人民币等方式。供应商应将综合考虑在报价中，采购人将不在另行支付。</w:t>
            </w:r>
          </w:p>
        </w:tc>
      </w:tr>
      <w:tr w14:paraId="6A7A8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noWrap w:val="0"/>
            <w:vAlign w:val="center"/>
          </w:tcPr>
          <w:p w14:paraId="46FC63CE">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9</w:t>
            </w:r>
          </w:p>
        </w:tc>
        <w:tc>
          <w:tcPr>
            <w:tcW w:w="1984" w:type="dxa"/>
            <w:noWrap w:val="0"/>
            <w:vAlign w:val="center"/>
          </w:tcPr>
          <w:p w14:paraId="0C13AD94">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p>
        </w:tc>
        <w:tc>
          <w:tcPr>
            <w:tcW w:w="5975" w:type="dxa"/>
            <w:noWrap w:val="0"/>
            <w:vAlign w:val="center"/>
          </w:tcPr>
          <w:p w14:paraId="0BC94134">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无</w:t>
            </w:r>
          </w:p>
        </w:tc>
      </w:tr>
    </w:tbl>
    <w:p w14:paraId="386B064D">
      <w:pPr>
        <w:rPr>
          <w:rFonts w:hint="eastAsia" w:ascii="仿宋" w:hAnsi="仿宋" w:eastAsia="仿宋" w:cs="仿宋"/>
          <w:color w:val="auto"/>
          <w:highlight w:val="none"/>
        </w:rPr>
      </w:pPr>
      <w:bookmarkStart w:id="80" w:name="EBc9d8a0a6c333409599b28034cbc893d2"/>
      <w:bookmarkEnd w:id="80"/>
      <w:bookmarkStart w:id="81" w:name="_Toc141869962"/>
    </w:p>
    <w:p w14:paraId="6358BBBE">
      <w:pPr>
        <w:rPr>
          <w:rFonts w:hint="eastAsia" w:ascii="仿宋" w:hAnsi="仿宋" w:eastAsia="仿宋" w:cs="仿宋"/>
          <w:color w:val="auto"/>
          <w:highlight w:val="none"/>
        </w:rPr>
      </w:pPr>
    </w:p>
    <w:p w14:paraId="199593C6">
      <w:pPr>
        <w:rPr>
          <w:rFonts w:hint="eastAsia" w:ascii="仿宋" w:hAnsi="仿宋" w:eastAsia="仿宋" w:cs="仿宋"/>
          <w:color w:val="auto"/>
          <w:highlight w:val="none"/>
        </w:rPr>
      </w:pPr>
    </w:p>
    <w:p w14:paraId="3C581C37">
      <w:pPr>
        <w:rPr>
          <w:rFonts w:hint="eastAsia" w:ascii="仿宋" w:hAnsi="仿宋" w:eastAsia="仿宋" w:cs="仿宋"/>
          <w:color w:val="auto"/>
          <w:highlight w:val="none"/>
        </w:rPr>
      </w:pPr>
    </w:p>
    <w:p w14:paraId="3ACF9053">
      <w:pPr>
        <w:rPr>
          <w:rFonts w:hint="eastAsia" w:ascii="仿宋" w:hAnsi="仿宋" w:eastAsia="仿宋" w:cs="仿宋"/>
          <w:color w:val="auto"/>
          <w:highlight w:val="none"/>
        </w:rPr>
      </w:pPr>
    </w:p>
    <w:p w14:paraId="47B0389D">
      <w:pPr>
        <w:rPr>
          <w:rFonts w:hint="eastAsia" w:ascii="仿宋" w:hAnsi="仿宋" w:eastAsia="仿宋" w:cs="仿宋"/>
          <w:color w:val="auto"/>
          <w:highlight w:val="none"/>
        </w:rPr>
      </w:pPr>
    </w:p>
    <w:p w14:paraId="64DF8AE9">
      <w:pPr>
        <w:pStyle w:val="343"/>
        <w:spacing w:before="0" w:after="0" w:line="520" w:lineRule="exact"/>
        <w:ind w:firstLine="320"/>
        <w:rPr>
          <w:rFonts w:hint="eastAsia" w:ascii="黑体" w:hAnsi="黑体" w:eastAsia="黑体" w:cs="黑体"/>
          <w:color w:val="auto"/>
          <w:sz w:val="32"/>
          <w:highlight w:val="none"/>
        </w:rPr>
      </w:pPr>
      <w:r>
        <w:rPr>
          <w:rFonts w:hint="eastAsia" w:ascii="黑体" w:hAnsi="黑体" w:eastAsia="黑体" w:cs="黑体"/>
          <w:color w:val="auto"/>
          <w:sz w:val="32"/>
          <w:highlight w:val="none"/>
        </w:rPr>
        <w:t>一、总 则</w:t>
      </w:r>
      <w:bookmarkEnd w:id="81"/>
    </w:p>
    <w:p w14:paraId="223B9389">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1、采购方式</w:t>
      </w:r>
    </w:p>
    <w:p w14:paraId="11FB85B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本次采购采取竞争性磋商方式。</w:t>
      </w:r>
    </w:p>
    <w:p w14:paraId="3B1B273A">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2、合格的供应商</w:t>
      </w:r>
    </w:p>
    <w:p w14:paraId="32FF819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2.1合格的供应商必须符合磋商文件第一章《磋商邀请》第二条及供应商须知前附表相关规定，且具备完成本项目的能力，成交后不允许转包。</w:t>
      </w:r>
    </w:p>
    <w:p w14:paraId="3C2F0D9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14:paraId="3E752B54">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3、适用法律和标准</w:t>
      </w:r>
    </w:p>
    <w:p w14:paraId="378C7AB4">
      <w:pPr>
        <w:spacing w:line="480" w:lineRule="exact"/>
        <w:ind w:firstLine="482"/>
        <w:rPr>
          <w:rFonts w:hint="eastAsia" w:ascii="Times New Roman" w:hAnsi="Times New Roman" w:cs="仿宋"/>
          <w:b w:val="0"/>
          <w:bCs/>
          <w:color w:val="auto"/>
          <w:sz w:val="24"/>
          <w:highlight w:val="none"/>
        </w:rPr>
      </w:pPr>
      <w:r>
        <w:rPr>
          <w:rFonts w:hint="eastAsia" w:ascii="Times New Roman" w:hAnsi="Times New Roman" w:cs="仿宋"/>
          <w:b w:val="0"/>
          <w:bCs/>
          <w:color w:val="auto"/>
          <w:sz w:val="24"/>
          <w:highlight w:val="none"/>
        </w:rPr>
        <w:t>3.1本次磋商及由磋商产生的合同受中华人民共和国的相关法律、法规制约和保护。</w:t>
      </w:r>
    </w:p>
    <w:p w14:paraId="5DBCCEF0">
      <w:pPr>
        <w:spacing w:line="480" w:lineRule="exact"/>
        <w:ind w:firstLine="482"/>
        <w:rPr>
          <w:rFonts w:hint="eastAsia" w:ascii="Times New Roman" w:hAnsi="Times New Roman" w:cs="仿宋"/>
          <w:color w:val="auto"/>
          <w:sz w:val="24"/>
          <w:highlight w:val="none"/>
        </w:rPr>
      </w:pPr>
      <w:r>
        <w:rPr>
          <w:rFonts w:hint="eastAsia" w:ascii="Times New Roman" w:hAnsi="Times New Roman" w:cs="仿宋"/>
          <w:b w:val="0"/>
          <w:bCs/>
          <w:color w:val="auto"/>
          <w:sz w:val="24"/>
          <w:highlight w:val="none"/>
        </w:rPr>
        <w:t>3.2 在本项目政府采购活</w:t>
      </w:r>
      <w:r>
        <w:rPr>
          <w:rFonts w:hint="eastAsia" w:ascii="Times New Roman" w:hAnsi="Times New Roman" w:cs="仿宋"/>
          <w:color w:val="auto"/>
          <w:sz w:val="24"/>
          <w:highlight w:val="none"/>
        </w:rPr>
        <w:t>动过程中，如果所执行的标准有更新的，按照最新标准执行。</w:t>
      </w:r>
    </w:p>
    <w:p w14:paraId="5D3452C2">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4、费用</w:t>
      </w:r>
    </w:p>
    <w:p w14:paraId="74E5729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供应商应自行承担所有参加磋商活动有关的费用。</w:t>
      </w:r>
    </w:p>
    <w:p w14:paraId="2D9EDA56">
      <w:pPr>
        <w:pStyle w:val="343"/>
        <w:spacing w:before="0" w:after="0" w:line="520" w:lineRule="exact"/>
        <w:ind w:firstLine="320"/>
        <w:rPr>
          <w:rFonts w:hint="eastAsia" w:ascii="黑体" w:hAnsi="黑体" w:eastAsia="黑体" w:cs="黑体"/>
          <w:color w:val="auto"/>
          <w:sz w:val="32"/>
          <w:highlight w:val="none"/>
        </w:rPr>
      </w:pPr>
      <w:bookmarkStart w:id="82" w:name="_Toc141869963"/>
      <w:r>
        <w:rPr>
          <w:rFonts w:hint="eastAsia" w:ascii="黑体" w:hAnsi="黑体" w:eastAsia="黑体" w:cs="黑体"/>
          <w:color w:val="auto"/>
          <w:sz w:val="32"/>
          <w:highlight w:val="none"/>
        </w:rPr>
        <w:t>二、竞争性磋商文件</w:t>
      </w:r>
      <w:bookmarkEnd w:id="82"/>
    </w:p>
    <w:p w14:paraId="58152A93">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5、磋商文件构成</w:t>
      </w:r>
    </w:p>
    <w:p w14:paraId="40647B2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5.1磋商文件由以下部分组成：</w:t>
      </w:r>
    </w:p>
    <w:p w14:paraId="57E0127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第一章：磋商邀请；</w:t>
      </w:r>
    </w:p>
    <w:p w14:paraId="0CAEF35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第二章：供应商须知；</w:t>
      </w:r>
    </w:p>
    <w:p w14:paraId="238B651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第三章：评审方法与评审标准；</w:t>
      </w:r>
    </w:p>
    <w:p w14:paraId="006D10E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14:paraId="327BADB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14:paraId="6A3D9F2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第六章：响应文件格式。</w:t>
      </w:r>
    </w:p>
    <w:p w14:paraId="00A715E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请仔细检查磋商文件是否齐全，如有缺漏请立即与代理机构联系解决。</w:t>
      </w:r>
    </w:p>
    <w:p w14:paraId="00B493F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5.2供应商应认真阅读磋商文件中所有的事项、格式、条款和规范等要求。按磋商文件要求和规定编制响应文件。</w:t>
      </w:r>
    </w:p>
    <w:p w14:paraId="3B94887A">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6、政府采购政策</w:t>
      </w:r>
    </w:p>
    <w:p w14:paraId="41A237E6">
      <w:pPr>
        <w:spacing w:line="480" w:lineRule="exact"/>
        <w:ind w:firstLine="482"/>
        <w:rPr>
          <w:rFonts w:ascii="Times New Roman" w:hAnsi="Times New Roman" w:cs="仿宋"/>
          <w:b/>
          <w:color w:val="auto"/>
          <w:sz w:val="24"/>
          <w:highlight w:val="none"/>
          <w:u w:val="single"/>
        </w:rPr>
      </w:pPr>
      <w:r>
        <w:rPr>
          <w:rFonts w:hint="eastAsia" w:ascii="Times New Roman" w:hAnsi="Times New Roman" w:cs="仿宋"/>
          <w:b/>
          <w:bCs/>
          <w:color w:val="auto"/>
          <w:sz w:val="24"/>
          <w:highlight w:val="none"/>
        </w:rPr>
        <w:t>本项目落实的政府采购政策对应序号为</w:t>
      </w:r>
      <w:r>
        <w:rPr>
          <w:rFonts w:hint="eastAsia" w:ascii="Times New Roman" w:hAnsi="Times New Roman" w:cs="仿宋"/>
          <w:b/>
          <w:bCs/>
          <w:color w:val="auto"/>
          <w:sz w:val="24"/>
          <w:highlight w:val="none"/>
          <w:u w:val="single"/>
        </w:rPr>
        <w:t xml:space="preserve">   6.1     </w:t>
      </w:r>
    </w:p>
    <w:p w14:paraId="5E1970C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6.1中小企业政策</w:t>
      </w:r>
    </w:p>
    <w:p w14:paraId="681F55B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本项目按以下第</w:t>
      </w:r>
      <w:r>
        <w:rPr>
          <w:rFonts w:hint="eastAsia" w:ascii="Times New Roman" w:hAnsi="Times New Roman" w:cs="仿宋"/>
          <w:b/>
          <w:bCs/>
          <w:color w:val="auto"/>
          <w:sz w:val="24"/>
          <w:highlight w:val="none"/>
          <w:u w:val="single"/>
        </w:rPr>
        <w:t>（</w:t>
      </w:r>
      <w:r>
        <w:rPr>
          <w:rFonts w:hint="eastAsia" w:ascii="Times New Roman" w:hAnsi="Times New Roman" w:cs="仿宋"/>
          <w:b/>
          <w:bCs/>
          <w:color w:val="auto"/>
          <w:sz w:val="24"/>
          <w:highlight w:val="none"/>
          <w:u w:val="single"/>
          <w:lang w:val="en-US" w:eastAsia="zh-CN"/>
        </w:rPr>
        <w:t>1</w:t>
      </w:r>
      <w:r>
        <w:rPr>
          <w:rFonts w:hint="eastAsia" w:ascii="Times New Roman" w:hAnsi="Times New Roman" w:cs="仿宋"/>
          <w:b/>
          <w:bCs/>
          <w:color w:val="auto"/>
          <w:sz w:val="24"/>
          <w:highlight w:val="none"/>
          <w:u w:val="single"/>
        </w:rPr>
        <w:t>）</w:t>
      </w:r>
      <w:r>
        <w:rPr>
          <w:rFonts w:hint="eastAsia" w:ascii="Times New Roman" w:hAnsi="Times New Roman" w:cs="仿宋"/>
          <w:color w:val="auto"/>
          <w:sz w:val="24"/>
          <w:highlight w:val="none"/>
        </w:rPr>
        <w:t>种政策确定本项目落实的中小企业政策：</w:t>
      </w:r>
    </w:p>
    <w:p w14:paraId="288BAA5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（1）本项目专门面向中小企业（含监狱与戒毒企业、残疾人福利企业）采购。</w:t>
      </w:r>
    </w:p>
    <w:p w14:paraId="253BEA3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（2）对符合规定情形的小微企业报价给予</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15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扣除，用扣除后的价格参加评审。</w:t>
      </w:r>
    </w:p>
    <w:p w14:paraId="204DBA3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在服务采购项目中，服务由中小企业承接，即提供服务的人员为中小企业依照《中华人民共和国劳动合同法》订立劳动合同的从业人员。</w:t>
      </w:r>
    </w:p>
    <w:p w14:paraId="71AD0731">
      <w:pPr>
        <w:spacing w:line="480" w:lineRule="exact"/>
        <w:ind w:firstLine="480"/>
        <w:rPr>
          <w:rFonts w:ascii="Times New Roman" w:hAnsi="Times New Roman" w:cs="仿宋"/>
          <w:color w:val="auto"/>
          <w:sz w:val="24"/>
          <w:highlight w:val="none"/>
        </w:rPr>
      </w:pPr>
      <w:r>
        <w:rPr>
          <w:rFonts w:hint="eastAsia" w:ascii="Times New Roman" w:hAnsi="Times New Roman" w:cs="仿宋_GB2312"/>
          <w:color w:val="auto"/>
          <w:sz w:val="24"/>
          <w:highlight w:val="none"/>
        </w:rPr>
        <w:t>在货物采购项目中，货物由中小企业制造，即货物由中小企业生产且使用该中小企业商号或者注册商标。</w:t>
      </w:r>
    </w:p>
    <w:p w14:paraId="6D2644E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注：①参加磋商的中小企业，应当按照《政府采购促进中小企业发展管理办法》（财库〔2020〕46号）规定，出具《中小企业声明函》，中小企业划型依据《关于印发中小企业划型标准规定的通知》（工信部联企业〔2011〕300号）。</w:t>
      </w:r>
    </w:p>
    <w:p w14:paraId="0B0DF6A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127F0A4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58BA6A5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5</w:t>
      </w:r>
      <w:r>
        <w:rPr>
          <w:rFonts w:hint="eastAsia" w:ascii="Times New Roman" w:hAnsi="Times New Roman" w:cs="仿宋"/>
          <w:color w:val="auto"/>
          <w:sz w:val="24"/>
          <w:highlight w:val="none"/>
        </w:rPr>
        <w:t>%（工程项目为</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%）的扣除，用扣除后的价格参加评审。（是否接受联合体以“项目基本情况”相关内容为准，是否允许大中型企业向一家或者多家小微企业分包以“供应商须知前附表”、“采购需求”相关内容为准。）</w:t>
      </w:r>
    </w:p>
    <w:p w14:paraId="214DCE4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⑤联合体各方均为小型、微型企业（残疾人福利单位、监狱企业）的，联合体享受15%价格扣除，用扣除后的价格参与评审。</w:t>
      </w:r>
    </w:p>
    <w:p w14:paraId="3E35593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6.2采购本国产品的支持政策</w:t>
      </w:r>
    </w:p>
    <w:p w14:paraId="4A58D59B">
      <w:pPr>
        <w:spacing w:line="480" w:lineRule="exact"/>
        <w:ind w:firstLine="480"/>
        <w:rPr>
          <w:rFonts w:hint="eastAsia" w:ascii="宋体" w:hAnsi="宋体" w:cs="Times New Roman"/>
          <w:bCs/>
          <w:color w:val="auto"/>
          <w:sz w:val="24"/>
          <w:szCs w:val="24"/>
          <w:highlight w:val="none"/>
        </w:rPr>
      </w:pPr>
      <w:r>
        <w:rPr>
          <w:rFonts w:hint="eastAsia" w:ascii="Times New Roman" w:hAnsi="Times New Roman" w:cs="仿宋"/>
          <w:color w:val="auto"/>
          <w:sz w:val="24"/>
          <w:highlight w:val="none"/>
        </w:rPr>
        <w:t xml:space="preserve">6.2.1 </w:t>
      </w:r>
      <w:r>
        <w:rPr>
          <w:rFonts w:hint="eastAsia" w:ascii="宋体" w:hAnsi="宋体" w:cs="Times New Roman"/>
          <w:bCs/>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CC5B268">
      <w:pPr>
        <w:spacing w:line="480" w:lineRule="exact"/>
        <w:ind w:firstLine="480"/>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9EB92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6.2.2本项目政府采购活动中既有本国产品又有非本国产品参与竞争的，依法对本国产品给予价格评审优惠，对本国产品的报价给予</w:t>
      </w:r>
      <w:r>
        <w:rPr>
          <w:rFonts w:hint="eastAsia" w:ascii="Times New Roman" w:hAnsi="Times New Roman" w:cs="仿宋"/>
          <w:b/>
          <w:bCs/>
          <w:color w:val="auto"/>
          <w:sz w:val="24"/>
          <w:highlight w:val="none"/>
          <w:u w:val="single"/>
        </w:rPr>
        <w:t>20%</w:t>
      </w:r>
      <w:r>
        <w:rPr>
          <w:rFonts w:hint="eastAsia" w:ascii="Times New Roman" w:hAnsi="Times New Roman" w:cs="仿宋"/>
          <w:color w:val="auto"/>
          <w:sz w:val="24"/>
          <w:highlight w:val="none"/>
        </w:rPr>
        <w:t>的价格扣除，用扣除后的价格参与评审。</w:t>
      </w:r>
    </w:p>
    <w:p w14:paraId="61EC17D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color w:val="auto"/>
          <w:sz w:val="24"/>
          <w:highlight w:val="none"/>
        </w:rPr>
        <w:t>80%以上</w:t>
      </w:r>
      <w:r>
        <w:rPr>
          <w:rFonts w:hint="eastAsia" w:ascii="Times New Roman" w:hAnsi="Times New Roman" w:cs="仿宋"/>
          <w:color w:val="auto"/>
          <w:sz w:val="24"/>
          <w:highlight w:val="none"/>
        </w:rPr>
        <w:t>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5F978F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6.2.4 供应商需按照磋商文件的要求提供《关于符合本国产品标准的声明函》，如不提供将不享受本国产品价格评审优惠。</w:t>
      </w:r>
    </w:p>
    <w:p w14:paraId="5750AA4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507A488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p>
    <w:p w14:paraId="266FE47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6.3节能产品、环境标志产品</w:t>
      </w:r>
    </w:p>
    <w:p w14:paraId="1726F35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7613EB9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6.3.1拟采购的产品属于政府强制采购的节能产品品目清单范围的，供应商须提供国家确定的认证机构出具的、处于有效期之内的节能产品认证证书，否则其响应文件按无效标处理。</w:t>
      </w:r>
    </w:p>
    <w:p w14:paraId="30117EB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6.3.2拟采购的产品属于优先采购的节能产品、环境标志产品品目清单范围的，对提供有效节能产品、环境标志产品认证证书的供应商加分。</w:t>
      </w:r>
    </w:p>
    <w:p w14:paraId="6040B8A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6.4政府采购需求标准</w:t>
      </w:r>
    </w:p>
    <w:p w14:paraId="3206EB8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6.4.1商品包装、快递包装政府采购需求标准（试行）</w:t>
      </w:r>
    </w:p>
    <w:p w14:paraId="66943B7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按照财政部印发的《商品包装政府采购需求标准（试行）》《快递包装政府采购需求标准（试行）》要求执行，本项目商品包装和快递包装的具体需求详见第四章采购需求。</w:t>
      </w:r>
    </w:p>
    <w:p w14:paraId="0E1063A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6.4.2绿色数据中心政府采购需求标准（试行）</w:t>
      </w:r>
    </w:p>
    <w:p w14:paraId="6DA23CF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生态环境部 工业和信息化部关于印发《绿色数据中心政府采购需求标准（试行）》的通知）要求执行，本项目绿色数据中心的具体需求详见第四章采购需求。</w:t>
      </w:r>
    </w:p>
    <w:p w14:paraId="6B3F62D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6.4.3绿色建材政府采购需求标准</w:t>
      </w:r>
    </w:p>
    <w:p w14:paraId="40BF40B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4583EFC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7EFC999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7、磋商文件的澄清或修改</w:t>
      </w:r>
    </w:p>
    <w:p w14:paraId="16059AD5">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p>
    <w:p w14:paraId="314DFA5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7.2磋商文件的澄清或者修改将在原公告媒体上发布更正公告，澄清、修改文件均作为磋商文件的组成部分，并对供应商具有约束力。</w:t>
      </w:r>
    </w:p>
    <w:p w14:paraId="296261C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7.3供应商应及时登录“苏采云”系统获取、查看澄清答疑文件（修改后磋商文件），否则造成的相关责任由供应商承担。</w:t>
      </w:r>
    </w:p>
    <w:p w14:paraId="75CF79DD">
      <w:pPr>
        <w:pStyle w:val="343"/>
        <w:spacing w:before="0" w:after="0" w:line="520" w:lineRule="exact"/>
        <w:ind w:firstLine="320"/>
        <w:rPr>
          <w:rFonts w:hint="eastAsia" w:ascii="黑体" w:hAnsi="黑体" w:eastAsia="黑体" w:cs="黑体"/>
          <w:color w:val="auto"/>
          <w:sz w:val="32"/>
          <w:highlight w:val="none"/>
        </w:rPr>
      </w:pPr>
      <w:bookmarkStart w:id="83" w:name="_Toc141869964"/>
      <w:r>
        <w:rPr>
          <w:rFonts w:hint="eastAsia" w:ascii="黑体" w:hAnsi="黑体" w:eastAsia="黑体" w:cs="黑体"/>
          <w:color w:val="auto"/>
          <w:sz w:val="32"/>
          <w:highlight w:val="none"/>
        </w:rPr>
        <w:t>三、响应文件的编制</w:t>
      </w:r>
      <w:bookmarkEnd w:id="83"/>
    </w:p>
    <w:p w14:paraId="2FD84F1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8、响应文件的编制要求</w:t>
      </w:r>
    </w:p>
    <w:p w14:paraId="23B69F1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8.1供应商应仔细阅读“磋商文件”的所有内容，保证所提供的全部资料的真实性、完整性及有效性，以使其响应对“磋商文件”作出实质性响应。</w:t>
      </w:r>
    </w:p>
    <w:p w14:paraId="2372A66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8.2响应文件要求加盖电子签章之处，应按要求加盖供应商数字证书的电子签章。</w:t>
      </w:r>
    </w:p>
    <w:p w14:paraId="51D4875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p>
    <w:p w14:paraId="67930907">
      <w:pPr>
        <w:spacing w:line="480" w:lineRule="exact"/>
        <w:ind w:firstLine="482"/>
        <w:rPr>
          <w:rFonts w:ascii="Times New Roman" w:hAnsi="Times New Roman" w:cs="Times New Roman"/>
          <w:b/>
          <w:color w:val="auto"/>
          <w:sz w:val="24"/>
          <w:highlight w:val="none"/>
        </w:rPr>
      </w:pPr>
      <w:r>
        <w:rPr>
          <w:rFonts w:ascii="Times New Roman" w:hAnsi="Times New Roman" w:cs="Times New Roman"/>
          <w:b/>
          <w:color w:val="auto"/>
          <w:sz w:val="24"/>
          <w:highlight w:val="none"/>
        </w:rPr>
        <w:t>9、响应文件构成</w:t>
      </w:r>
    </w:p>
    <w:p w14:paraId="4F78D28C">
      <w:pPr>
        <w:spacing w:line="480" w:lineRule="exact"/>
        <w:ind w:firstLine="482"/>
        <w:rPr>
          <w:rFonts w:ascii="Times New Roman" w:hAnsi="Times New Roman" w:cs="Times New Roman"/>
          <w:b/>
          <w:color w:val="auto"/>
          <w:sz w:val="24"/>
          <w:highlight w:val="none"/>
        </w:rPr>
      </w:pPr>
      <w:bookmarkStart w:id="84" w:name="EBd2e6df6607b447c7a4370e6531238d19"/>
      <w:r>
        <w:rPr>
          <w:rFonts w:ascii="Times New Roman" w:hAnsi="Times New Roman" w:cs="Times New Roman"/>
          <w:color w:val="auto"/>
          <w:sz w:val="24"/>
          <w:szCs w:val="21"/>
          <w:highlight w:val="none"/>
        </w:rPr>
        <w:t>9.1响应文件包括磋商</w:t>
      </w:r>
      <w:r>
        <w:rPr>
          <w:rFonts w:hint="eastAsia" w:ascii="Times New Roman" w:hAnsi="Times New Roman" w:cs="Times New Roman"/>
          <w:color w:val="auto"/>
          <w:sz w:val="24"/>
          <w:szCs w:val="21"/>
          <w:highlight w:val="none"/>
        </w:rPr>
        <w:t>申请</w:t>
      </w:r>
      <w:r>
        <w:rPr>
          <w:rFonts w:ascii="Times New Roman" w:hAnsi="Times New Roman" w:cs="Times New Roman"/>
          <w:color w:val="auto"/>
          <w:sz w:val="24"/>
          <w:szCs w:val="21"/>
          <w:highlight w:val="none"/>
        </w:rPr>
        <w:t>函</w:t>
      </w:r>
      <w:r>
        <w:rPr>
          <w:rFonts w:hint="eastAsia" w:ascii="Times New Roman" w:hAnsi="Times New Roman" w:cs="Times New Roman"/>
          <w:color w:val="auto"/>
          <w:sz w:val="24"/>
          <w:szCs w:val="21"/>
          <w:highlight w:val="none"/>
        </w:rPr>
        <w:t>、</w:t>
      </w:r>
      <w:r>
        <w:rPr>
          <w:rFonts w:ascii="Times New Roman" w:hAnsi="Times New Roman" w:cs="Times New Roman"/>
          <w:color w:val="auto"/>
          <w:sz w:val="24"/>
          <w:szCs w:val="21"/>
          <w:highlight w:val="none"/>
        </w:rPr>
        <w:t>资格证明文件、分项报价表、响应及偏离表、其他证明文件等部分。</w:t>
      </w:r>
      <w:r>
        <w:rPr>
          <w:rFonts w:ascii="Times New Roman" w:hAnsi="Times New Roman" w:cs="Times New Roman"/>
          <w:color w:val="auto"/>
          <w:sz w:val="24"/>
          <w:highlight w:val="none"/>
        </w:rPr>
        <w:t>响应文件构成资料为非中文时应提供中文译版。</w:t>
      </w:r>
    </w:p>
    <w:p w14:paraId="3A58E374">
      <w:pPr>
        <w:spacing w:line="480" w:lineRule="exact"/>
        <w:ind w:firstLine="482"/>
        <w:rPr>
          <w:rFonts w:ascii="Times New Roman" w:hAnsi="Times New Roman" w:cs="Times New Roman"/>
          <w:b/>
          <w:color w:val="auto"/>
          <w:sz w:val="24"/>
          <w:highlight w:val="none"/>
        </w:rPr>
      </w:pPr>
      <w:r>
        <w:rPr>
          <w:rFonts w:ascii="Times New Roman" w:hAnsi="Times New Roman" w:cs="Times New Roman"/>
          <w:b/>
          <w:color w:val="auto"/>
          <w:sz w:val="24"/>
          <w:highlight w:val="none"/>
        </w:rPr>
        <w:t>9.2磋商文件要求提供证书证件等原件电子件的，供应商提供的电子件应是对证书证件等原件通过扫描、拍照等方式进行数字化的可被</w:t>
      </w:r>
      <w:r>
        <w:rPr>
          <w:rFonts w:ascii="Times New Roman" w:hAnsi="Times New Roman" w:cs="Times New Roman"/>
          <w:b/>
          <w:bCs/>
          <w:color w:val="auto"/>
          <w:sz w:val="24"/>
          <w:highlight w:val="none"/>
        </w:rPr>
        <w:t>“苏采云”</w:t>
      </w:r>
      <w:r>
        <w:rPr>
          <w:rFonts w:ascii="Times New Roman" w:hAnsi="Times New Roman" w:cs="Times New Roman"/>
          <w:b/>
          <w:color w:val="auto"/>
          <w:sz w:val="24"/>
          <w:highlight w:val="none"/>
        </w:rPr>
        <w:t>系统识别的数字文件，否则磋商小组可以视其未提供。无论何种原因，即使供应商磋商时携带了证书证明资料的原件，但电子响应文件中未包含相关资料电子件的，磋商小组可以视同其未提供。</w:t>
      </w:r>
      <w:bookmarkEnd w:id="84"/>
    </w:p>
    <w:p w14:paraId="00656162">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10、响应文件的报价</w:t>
      </w:r>
    </w:p>
    <w:p w14:paraId="5640AC5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10.1分次报价，供应商响应文件中的报价作为第一次报价，不公开；以最后报价作为价格分计算。</w:t>
      </w:r>
    </w:p>
    <w:p w14:paraId="7BA59E2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10.2报价注意事项：报价一律以人民币计算，以元为单位标注，最多保留至小数点后四位，磋商文件有规定的按磋商文件执行。</w:t>
      </w:r>
    </w:p>
    <w:p w14:paraId="3222CC3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11、磋商保证金</w:t>
      </w:r>
    </w:p>
    <w:p w14:paraId="776C12D6">
      <w:pPr>
        <w:spacing w:line="480" w:lineRule="exact"/>
        <w:ind w:firstLine="480"/>
        <w:rPr>
          <w:rFonts w:ascii="Times New Roman" w:hAnsi="Times New Roman" w:cs="仿宋"/>
          <w:color w:val="auto"/>
          <w:sz w:val="24"/>
          <w:highlight w:val="none"/>
        </w:rPr>
      </w:pPr>
      <w:bookmarkStart w:id="85" w:name="EB2c6535ca97b046d89f956e109e785ae2"/>
      <w:r>
        <w:rPr>
          <w:rFonts w:hint="eastAsia" w:ascii="Times New Roman" w:hAnsi="Times New Roman" w:cs="仿宋"/>
          <w:color w:val="auto"/>
          <w:sz w:val="24"/>
          <w:highlight w:val="none"/>
        </w:rPr>
        <w:t>本项目不收取磋商保证金。</w:t>
      </w:r>
      <w:bookmarkEnd w:id="85"/>
    </w:p>
    <w:p w14:paraId="1C658C10">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12、响应有效期</w:t>
      </w:r>
    </w:p>
    <w:p w14:paraId="58FA08CA">
      <w:pPr>
        <w:spacing w:line="480" w:lineRule="exact"/>
        <w:ind w:firstLine="480"/>
        <w:rPr>
          <w:rFonts w:ascii="Times New Roman" w:hAnsi="Times New Roman" w:cs="仿宋"/>
          <w:color w:val="auto"/>
          <w:sz w:val="24"/>
          <w:highlight w:val="none"/>
        </w:rPr>
      </w:pPr>
      <w:bookmarkStart w:id="86" w:name="_Toc141869965"/>
      <w:r>
        <w:rPr>
          <w:rFonts w:hint="eastAsia" w:ascii="Times New Roman" w:hAnsi="Times New Roman" w:cs="仿宋"/>
          <w:color w:val="auto"/>
          <w:sz w:val="24"/>
          <w:highlight w:val="none"/>
        </w:rPr>
        <w:t>12.1在供应商须知前附表规定的响应有效期内，响应有效期从提交响应文件的截止之日起算。响应有效期比规定短的将被视为未实质性响应磋商文件。</w:t>
      </w:r>
    </w:p>
    <w:p w14:paraId="3EC51A8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12.2</w:t>
      </w:r>
      <w:r>
        <w:rPr>
          <w:rFonts w:hint="eastAsia" w:ascii="宋体" w:hAnsi="宋体" w:cs="Times New Roman"/>
          <w:bCs/>
          <w:color w:val="auto"/>
          <w:sz w:val="24"/>
          <w:szCs w:val="21"/>
          <w:highlight w:val="non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cs="Times New Roman"/>
          <w:color w:val="auto"/>
          <w:sz w:val="24"/>
          <w:szCs w:val="24"/>
          <w:highlight w:val="none"/>
        </w:rPr>
        <w:t>受磋商有效期约束的所有权利与义务均延长至新的有效期</w:t>
      </w:r>
      <w:r>
        <w:rPr>
          <w:rFonts w:hint="eastAsia" w:ascii="宋体" w:hAnsi="宋体" w:cs="Times New Roman"/>
          <w:bCs/>
          <w:color w:val="auto"/>
          <w:sz w:val="24"/>
          <w:szCs w:val="21"/>
          <w:highlight w:val="none"/>
        </w:rPr>
        <w:t>。</w:t>
      </w:r>
    </w:p>
    <w:p w14:paraId="406EF91B">
      <w:pPr>
        <w:pStyle w:val="343"/>
        <w:spacing w:before="0" w:after="0" w:line="520" w:lineRule="exact"/>
        <w:ind w:firstLine="320"/>
        <w:rPr>
          <w:rFonts w:hint="eastAsia" w:ascii="黑体" w:hAnsi="黑体" w:eastAsia="黑体" w:cs="黑体"/>
          <w:color w:val="auto"/>
          <w:sz w:val="32"/>
          <w:highlight w:val="none"/>
        </w:rPr>
      </w:pPr>
      <w:r>
        <w:rPr>
          <w:rFonts w:hint="eastAsia" w:ascii="黑体" w:hAnsi="黑体" w:eastAsia="黑体" w:cs="黑体"/>
          <w:color w:val="auto"/>
          <w:sz w:val="32"/>
          <w:highlight w:val="none"/>
        </w:rPr>
        <w:t>四、响应文件的提交</w:t>
      </w:r>
      <w:bookmarkEnd w:id="86"/>
    </w:p>
    <w:p w14:paraId="470E44EC">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13、响应文件的提交</w:t>
      </w:r>
    </w:p>
    <w:p w14:paraId="1E9C2EBC">
      <w:pPr>
        <w:widowControl/>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13.1供应商应在磋商文件规定的响应截止时间前提交响应文件。供应商应将电子响应文件上传至“苏采云”系统对应的采购包中。除磋商文件另有规定外，供应商所提交的响应文件不予退还。</w:t>
      </w:r>
    </w:p>
    <w:p w14:paraId="4A88914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13.2响应文件的修改或撤回：在响应截止时间前，供应商可以撤回或重新提交响应文件。响应文件以最终完成上传的为准。</w:t>
      </w:r>
    </w:p>
    <w:p w14:paraId="7D99340A">
      <w:pPr>
        <w:spacing w:line="480" w:lineRule="exact"/>
        <w:ind w:right="105" w:firstLine="480"/>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13.3采购人、采购代理机构可以通过修改磋商文件酌情延长响应文件接收截止日期，在此情况下，供应商的所有权利和义务以及供应商受制约的截止日期均应以延长后新的截止日期为准。</w:t>
      </w:r>
    </w:p>
    <w:p w14:paraId="54FABDED">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14、响应文件被拒绝接收的情形</w:t>
      </w:r>
    </w:p>
    <w:p w14:paraId="166AF300">
      <w:pPr>
        <w:spacing w:line="480" w:lineRule="exact"/>
        <w:ind w:right="105" w:firstLine="480"/>
        <w:rPr>
          <w:rFonts w:ascii="Times New Roman" w:hAnsi="Times New Roman" w:cs="仿宋"/>
          <w:color w:val="auto"/>
          <w:sz w:val="24"/>
          <w:highlight w:val="none"/>
        </w:rPr>
      </w:pPr>
      <w:r>
        <w:rPr>
          <w:rFonts w:hint="eastAsia" w:ascii="Times New Roman" w:hAnsi="Times New Roman" w:cs="仿宋"/>
          <w:color w:val="auto"/>
          <w:sz w:val="24"/>
          <w:highlight w:val="none"/>
        </w:rPr>
        <w:t>在磋商文件规定的响应截止时间后上传的响应文件。</w:t>
      </w:r>
    </w:p>
    <w:p w14:paraId="6AC9CF72">
      <w:pPr>
        <w:pStyle w:val="343"/>
        <w:spacing w:before="0" w:after="0" w:line="520" w:lineRule="exact"/>
        <w:ind w:firstLine="320"/>
        <w:rPr>
          <w:rFonts w:hint="eastAsia" w:ascii="黑体" w:hAnsi="黑体" w:eastAsia="黑体" w:cs="黑体"/>
          <w:color w:val="auto"/>
          <w:sz w:val="32"/>
          <w:highlight w:val="none"/>
        </w:rPr>
      </w:pPr>
      <w:bookmarkStart w:id="87" w:name="_Toc141869967"/>
      <w:r>
        <w:rPr>
          <w:rFonts w:hint="eastAsia" w:ascii="黑体" w:hAnsi="黑体" w:eastAsia="黑体" w:cs="黑体"/>
          <w:color w:val="auto"/>
          <w:sz w:val="32"/>
          <w:highlight w:val="none"/>
        </w:rPr>
        <w:t>五、磋商程序及最后报价</w:t>
      </w:r>
      <w:bookmarkEnd w:id="87"/>
    </w:p>
    <w:p w14:paraId="71FDB3FC">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15、磋商会议</w:t>
      </w:r>
    </w:p>
    <w:p w14:paraId="60C5E01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15.1采购代理机构按磋商文件规定的时间、地点组织磋商。供应商应当按照规定，在“苏采云”系统规定的时间内对磋商响应文件进行解密。</w:t>
      </w:r>
    </w:p>
    <w:p w14:paraId="335A7707">
      <w:pPr>
        <w:spacing w:line="480" w:lineRule="exact"/>
        <w:ind w:firstLine="480"/>
        <w:rPr>
          <w:rFonts w:ascii="Times New Roman" w:hAnsi="Times New Roman" w:cs="仿宋"/>
          <w:color w:val="auto"/>
          <w:sz w:val="24"/>
          <w:highlight w:val="none"/>
        </w:rPr>
      </w:pPr>
      <w:r>
        <w:rPr>
          <w:rFonts w:hint="eastAsia" w:ascii="Times New Roman" w:hAnsi="Times New Roman" w:cs="仿宋"/>
          <w:b/>
          <w:color w:val="auto"/>
          <w:sz w:val="24"/>
          <w:highlight w:val="none"/>
        </w:rPr>
        <w:t>15.2供应商用于解密的CA证书应为该响应文件生成加密、上传的同一把CA证书。供应商应登录“苏采云”系统进入“开标大厅”，在系统约定时间内使用CA证书解密，未在成功解密的，视为其放弃磋商。</w:t>
      </w:r>
    </w:p>
    <w:p w14:paraId="6A1158A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15.3供应商在磋商全过程中应保持通讯畅通，及时登录</w:t>
      </w:r>
      <w:r>
        <w:rPr>
          <w:rFonts w:hint="eastAsia" w:ascii="Times New Roman" w:hAnsi="Times New Roman" w:cs="仿宋"/>
          <w:b/>
          <w:bCs/>
          <w:color w:val="auto"/>
          <w:sz w:val="24"/>
          <w:highlight w:val="none"/>
        </w:rPr>
        <w:t>“苏采云”系统</w:t>
      </w:r>
      <w:r>
        <w:rPr>
          <w:rFonts w:hint="eastAsia" w:ascii="Times New Roman" w:hAnsi="Times New Roman" w:cs="仿宋"/>
          <w:color w:val="auto"/>
          <w:sz w:val="24"/>
          <w:highlight w:val="none"/>
        </w:rPr>
        <w:t>查阅、答复相关信息。</w:t>
      </w:r>
    </w:p>
    <w:p w14:paraId="1EA92F22">
      <w:pPr>
        <w:spacing w:line="480" w:lineRule="exact"/>
        <w:ind w:firstLine="480"/>
        <w:rPr>
          <w:rFonts w:ascii="Times New Roman" w:hAnsi="Times New Roman" w:cs="仿宋"/>
          <w:color w:val="auto"/>
          <w:sz w:val="24"/>
          <w:highlight w:val="none"/>
        </w:rPr>
      </w:pPr>
      <w:r>
        <w:rPr>
          <w:rFonts w:hint="eastAsia" w:ascii="Times New Roman" w:hAnsi="Times New Roman" w:cs="仿宋"/>
          <w:b/>
          <w:color w:val="auto"/>
          <w:sz w:val="24"/>
          <w:highlight w:val="none"/>
        </w:rPr>
        <w:t>16、磋商小组</w:t>
      </w:r>
      <w:bookmarkStart w:id="88" w:name="OLE_LINK3"/>
    </w:p>
    <w:p w14:paraId="67B15038">
      <w:pPr>
        <w:spacing w:line="480" w:lineRule="exact"/>
        <w:ind w:firstLine="482"/>
        <w:rPr>
          <w:rFonts w:ascii="Times New Roman" w:hAnsi="Times New Roman" w:cs="仿宋"/>
          <w:b/>
          <w:color w:val="auto"/>
          <w:sz w:val="24"/>
          <w:highlight w:val="none"/>
        </w:rPr>
      </w:pPr>
      <w:r>
        <w:rPr>
          <w:rFonts w:hint="eastAsia" w:ascii="宋体" w:hAnsi="宋体" w:cs="Times New Roman"/>
          <w:color w:val="auto"/>
          <w:sz w:val="24"/>
          <w:szCs w:val="24"/>
          <w:highlight w:val="none"/>
        </w:rPr>
        <w:t>磋商小组由采购人代表和评审专家组成，且人员构成符合政府采购有关规定。</w:t>
      </w:r>
      <w:bookmarkEnd w:id="88"/>
      <w:r>
        <w:rPr>
          <w:rFonts w:hint="eastAsia" w:ascii="Times New Roman" w:hAnsi="Times New Roman" w:cs="仿宋"/>
          <w:color w:val="auto"/>
          <w:sz w:val="24"/>
          <w:highlight w:val="none"/>
        </w:rPr>
        <w:t>磋商小组负责具体评审事务，按客观、公正、审慎的原则独立履行相关职责。</w:t>
      </w:r>
    </w:p>
    <w:p w14:paraId="1BEDA169">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17、磋商程序</w:t>
      </w:r>
    </w:p>
    <w:p w14:paraId="19987093">
      <w:pPr>
        <w:spacing w:line="460" w:lineRule="exact"/>
        <w:ind w:firstLine="480"/>
        <w:rPr>
          <w:rFonts w:ascii="Times New Roman" w:hAnsi="Times New Roman" w:cs="Times New Roman"/>
          <w:bCs/>
          <w:color w:val="auto"/>
          <w:sz w:val="24"/>
          <w:szCs w:val="21"/>
          <w:highlight w:val="none"/>
        </w:rPr>
      </w:pPr>
      <w:r>
        <w:rPr>
          <w:rFonts w:hint="eastAsia" w:ascii="Times New Roman" w:hAnsi="Times New Roman" w:cs="Times New Roman"/>
          <w:bCs/>
          <w:color w:val="auto"/>
          <w:sz w:val="24"/>
          <w:szCs w:val="21"/>
          <w:highlight w:val="none"/>
        </w:rPr>
        <w:t>17.1资格审查</w:t>
      </w:r>
    </w:p>
    <w:p w14:paraId="006F37EC">
      <w:pPr>
        <w:spacing w:line="460" w:lineRule="exact"/>
        <w:ind w:firstLine="480"/>
        <w:rPr>
          <w:rFonts w:ascii="Times New Roman" w:hAnsi="Times New Roman" w:cs="Times New Roman"/>
          <w:bCs/>
          <w:color w:val="auto"/>
          <w:sz w:val="24"/>
          <w:szCs w:val="21"/>
          <w:highlight w:val="none"/>
        </w:rPr>
      </w:pPr>
      <w:r>
        <w:rPr>
          <w:rFonts w:hint="eastAsia" w:ascii="Times New Roman" w:hAnsi="Times New Roman" w:cs="Times New Roman"/>
          <w:bCs/>
          <w:color w:val="auto"/>
          <w:sz w:val="24"/>
          <w:szCs w:val="21"/>
          <w:highlight w:val="none"/>
        </w:rPr>
        <w:t>由磋商小组依据法律法规和磋商文件的规定，对响应文件中的资格证明文件进行审查，以确定供应商是否具备参加磋商的资格。</w:t>
      </w:r>
    </w:p>
    <w:p w14:paraId="1581F3C9">
      <w:pPr>
        <w:spacing w:line="46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信用信息查询：磋商小组查询供应商的信用信息，以确定供应商是否具备磋商资格。查询结果留存并归档。</w:t>
      </w:r>
    </w:p>
    <w:p w14:paraId="19829B2B">
      <w:pPr>
        <w:spacing w:line="480" w:lineRule="exact"/>
        <w:ind w:firstLine="480"/>
        <w:rPr>
          <w:rFonts w:ascii="Times New Roman" w:hAnsi="Times New Roman" w:cs="Times New Roman"/>
          <w:bCs/>
          <w:color w:val="auto"/>
          <w:sz w:val="24"/>
          <w:szCs w:val="21"/>
          <w:highlight w:val="none"/>
        </w:rPr>
      </w:pPr>
      <w:r>
        <w:rPr>
          <w:rFonts w:hint="eastAsia" w:ascii="Times New Roman" w:hAnsi="Times New Roman" w:cs="Times New Roman"/>
          <w:bCs/>
          <w:color w:val="auto"/>
          <w:sz w:val="24"/>
          <w:szCs w:val="21"/>
          <w:highlight w:val="none"/>
        </w:rPr>
        <w:t>17.2符合性审查</w:t>
      </w:r>
    </w:p>
    <w:p w14:paraId="196E11DD">
      <w:pPr>
        <w:spacing w:line="480" w:lineRule="exact"/>
        <w:ind w:firstLine="480"/>
        <w:rPr>
          <w:rFonts w:ascii="Times New Roman" w:hAnsi="Times New Roman" w:cs="仿宋"/>
          <w:color w:val="auto"/>
          <w:sz w:val="24"/>
          <w:highlight w:val="none"/>
        </w:rPr>
      </w:pPr>
      <w:r>
        <w:rPr>
          <w:rFonts w:hint="eastAsia" w:ascii="Times New Roman" w:hAnsi="Times New Roman" w:cs="Times New Roman"/>
          <w:bCs/>
          <w:color w:val="auto"/>
          <w:sz w:val="24"/>
          <w:szCs w:val="21"/>
          <w:highlight w:val="none"/>
        </w:rPr>
        <w:t>依据磋商文件的规定，由磋商小组从响应文件的有效性、完整性和对磋商文件的响应程度进行审查，以确定是否对磋商文件的实质性要求作出响应。</w:t>
      </w:r>
      <w:r>
        <w:rPr>
          <w:rFonts w:hint="eastAsia" w:ascii="Times New Roman" w:hAnsi="Times New Roman" w:cs="Times New Roman"/>
          <w:color w:val="auto"/>
          <w:sz w:val="24"/>
          <w:szCs w:val="24"/>
          <w:highlight w:val="none"/>
        </w:rPr>
        <w:t>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4D2F75CE">
      <w:pPr>
        <w:spacing w:line="480" w:lineRule="exact"/>
        <w:ind w:firstLine="480"/>
        <w:rPr>
          <w:rFonts w:ascii="Times New Roman" w:hAnsi="Times New Roman" w:cs="Times New Roman"/>
          <w:color w:val="auto"/>
          <w:sz w:val="24"/>
          <w:szCs w:val="24"/>
          <w:highlight w:val="none"/>
        </w:rPr>
      </w:pPr>
      <w:r>
        <w:rPr>
          <w:rFonts w:hint="eastAsia" w:ascii="Times New Roman" w:hAnsi="Times New Roman" w:cs="Times New Roman"/>
          <w:bCs/>
          <w:color w:val="auto"/>
          <w:sz w:val="24"/>
          <w:szCs w:val="21"/>
          <w:highlight w:val="none"/>
        </w:rPr>
        <w:t>17.3未通过资格审查或符合性审查的供应商，磋商小组将在</w:t>
      </w:r>
      <w:r>
        <w:rPr>
          <w:rFonts w:hint="eastAsia" w:ascii="Times New Roman" w:hAnsi="Times New Roman" w:cs="Times New Roman"/>
          <w:color w:val="auto"/>
          <w:sz w:val="24"/>
          <w:szCs w:val="24"/>
          <w:highlight w:val="none"/>
        </w:rPr>
        <w:t>“苏采云”系统</w:t>
      </w:r>
      <w:r>
        <w:rPr>
          <w:rFonts w:hint="eastAsia" w:ascii="Times New Roman" w:hAnsi="Times New Roman" w:cs="Times New Roman"/>
          <w:bCs/>
          <w:color w:val="auto"/>
          <w:sz w:val="24"/>
          <w:szCs w:val="21"/>
          <w:highlight w:val="none"/>
        </w:rPr>
        <w:t>中告知未通过资格审查或符合性审查的原因。评审结束后，磋商小组将不再告知未通过资格审查或符合性审查的原因。</w:t>
      </w:r>
    </w:p>
    <w:p w14:paraId="178F050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17.4磋商小组认定响应文件的响应性，仅根据响应文件本身的内容，而不寻求外部的证据。对于未实质性响应的响应文件，供应商不能通过修正或撤销不符之处，而使其成为实质性响应。</w:t>
      </w:r>
    </w:p>
    <w:p w14:paraId="0B400FF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17.5相同品牌产品响应</w:t>
      </w:r>
    </w:p>
    <w:p w14:paraId="4E06284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483DF134">
      <w:pPr>
        <w:spacing w:line="480" w:lineRule="exact"/>
        <w:ind w:firstLine="480"/>
        <w:rPr>
          <w:rFonts w:ascii="Times New Roman" w:hAnsi="Times New Roman" w:cs="仿宋"/>
          <w:color w:val="auto"/>
          <w:sz w:val="24"/>
          <w:highlight w:val="none"/>
        </w:rPr>
      </w:pPr>
      <w:r>
        <w:rPr>
          <w:rFonts w:hint="eastAsia" w:ascii="Times New Roman" w:hAnsi="Times New Roman" w:cs="Times New Roman"/>
          <w:bCs/>
          <w:color w:val="auto"/>
          <w:sz w:val="24"/>
          <w:szCs w:val="21"/>
          <w:highlight w:val="none"/>
        </w:rPr>
        <w:t>17.6磋商</w:t>
      </w:r>
    </w:p>
    <w:p w14:paraId="4F92CDA4">
      <w:pPr>
        <w:spacing w:line="480" w:lineRule="exact"/>
        <w:ind w:firstLine="480"/>
        <w:rPr>
          <w:rFonts w:ascii="Times New Roman" w:hAnsi="Times New Roman" w:cs="仿宋"/>
          <w:color w:val="auto"/>
          <w:sz w:val="24"/>
          <w:highlight w:val="none"/>
        </w:rPr>
      </w:pPr>
      <w:r>
        <w:rPr>
          <w:rFonts w:hint="eastAsia" w:ascii="Times New Roman" w:hAnsi="Times New Roman" w:cs="Times New Roman"/>
          <w:bCs/>
          <w:color w:val="auto"/>
          <w:sz w:val="24"/>
          <w:szCs w:val="21"/>
          <w:highlight w:val="non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14341C6">
      <w:pPr>
        <w:spacing w:line="480" w:lineRule="exact"/>
        <w:ind w:firstLine="480"/>
        <w:rPr>
          <w:rFonts w:ascii="Times New Roman" w:hAnsi="Times New Roman" w:cs="仿宋"/>
          <w:color w:val="auto"/>
          <w:sz w:val="24"/>
          <w:highlight w:val="none"/>
        </w:rPr>
      </w:pPr>
      <w:r>
        <w:rPr>
          <w:rFonts w:hint="eastAsia" w:ascii="Times New Roman" w:hAnsi="Times New Roman" w:cs="Times New Roman"/>
          <w:bCs/>
          <w:color w:val="auto"/>
          <w:sz w:val="24"/>
          <w:szCs w:val="21"/>
          <w:highlight w:val="non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FBCB245">
      <w:pPr>
        <w:spacing w:line="480" w:lineRule="exact"/>
        <w:ind w:firstLine="480"/>
        <w:rPr>
          <w:rFonts w:ascii="Times New Roman" w:hAnsi="Times New Roman" w:cs="仿宋"/>
          <w:color w:val="auto"/>
          <w:sz w:val="24"/>
          <w:highlight w:val="none"/>
        </w:rPr>
      </w:pPr>
      <w:r>
        <w:rPr>
          <w:rFonts w:hint="eastAsia" w:ascii="Times New Roman" w:hAnsi="Times New Roman" w:cs="Times New Roman"/>
          <w:bCs/>
          <w:color w:val="auto"/>
          <w:sz w:val="24"/>
          <w:szCs w:val="21"/>
          <w:highlight w:val="none"/>
        </w:rPr>
        <w:t>17.7有关问题的澄清</w:t>
      </w:r>
    </w:p>
    <w:p w14:paraId="72F31E7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27753483">
      <w:pPr>
        <w:tabs>
          <w:tab w:val="left" w:pos="900"/>
        </w:tabs>
        <w:spacing w:line="480" w:lineRule="exact"/>
        <w:ind w:firstLine="480"/>
        <w:rPr>
          <w:rFonts w:ascii="Times New Roman" w:hAnsi="Times New Roman" w:cs="Times New Roman"/>
          <w:color w:val="auto"/>
          <w:sz w:val="24"/>
          <w:szCs w:val="24"/>
          <w:highlight w:val="none"/>
        </w:rPr>
      </w:pPr>
      <w:r>
        <w:rPr>
          <w:rFonts w:hint="eastAsia" w:ascii="Times New Roman" w:hAnsi="Times New Roman" w:cs="Times New Roman"/>
          <w:bCs/>
          <w:color w:val="auto"/>
          <w:sz w:val="24"/>
          <w:szCs w:val="21"/>
          <w:highlight w:val="none"/>
        </w:rPr>
        <w:t>17.8最后报价</w:t>
      </w:r>
    </w:p>
    <w:p w14:paraId="616E094F">
      <w:pPr>
        <w:tabs>
          <w:tab w:val="left" w:pos="900"/>
        </w:tabs>
        <w:spacing w:line="480" w:lineRule="exact"/>
        <w:ind w:firstLine="480"/>
        <w:rPr>
          <w:rFonts w:ascii="Times New Roman" w:hAnsi="Times New Roman" w:cs="Times New Roman"/>
          <w:color w:val="auto"/>
          <w:sz w:val="24"/>
          <w:szCs w:val="24"/>
          <w:highlight w:val="none"/>
        </w:rPr>
      </w:pPr>
      <w:r>
        <w:rPr>
          <w:rFonts w:hint="eastAsia" w:ascii="Times New Roman" w:hAnsi="Times New Roman" w:cs="仿宋"/>
          <w:color w:val="auto"/>
          <w:sz w:val="24"/>
          <w:highlight w:val="non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89" w:name="EB7c676092b0b54336b4f7c76350bf2f81"/>
    </w:p>
    <w:p w14:paraId="48C8A77B">
      <w:pPr>
        <w:tabs>
          <w:tab w:val="left" w:pos="900"/>
        </w:tabs>
        <w:spacing w:line="480" w:lineRule="exact"/>
        <w:ind w:firstLine="482"/>
        <w:rPr>
          <w:rFonts w:ascii="Times New Roman" w:hAnsi="Times New Roman" w:cs="Times New Roman"/>
          <w:color w:val="auto"/>
          <w:sz w:val="24"/>
          <w:szCs w:val="24"/>
          <w:highlight w:val="none"/>
        </w:rPr>
      </w:pPr>
      <w:r>
        <w:rPr>
          <w:rFonts w:hint="eastAsia" w:ascii="Times New Roman" w:hAnsi="Times New Roman" w:cs="仿宋"/>
          <w:b/>
          <w:color w:val="auto"/>
          <w:sz w:val="24"/>
          <w:highlight w:val="non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6535A241">
      <w:pPr>
        <w:tabs>
          <w:tab w:val="left" w:pos="900"/>
        </w:tabs>
        <w:spacing w:line="480" w:lineRule="exact"/>
        <w:ind w:firstLine="480"/>
        <w:rPr>
          <w:rFonts w:ascii="Times New Roman" w:hAnsi="Times New Roman" w:cs="Times New Roman"/>
          <w:color w:val="auto"/>
          <w:sz w:val="24"/>
          <w:szCs w:val="24"/>
          <w:highlight w:val="none"/>
        </w:rPr>
      </w:pPr>
      <w:r>
        <w:rPr>
          <w:rFonts w:hint="eastAsia" w:ascii="Times New Roman" w:hAnsi="Times New Roman" w:cs="仿宋"/>
          <w:color w:val="auto"/>
          <w:sz w:val="24"/>
          <w:highlight w:val="non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89"/>
    </w:p>
    <w:p w14:paraId="77C2A0D5">
      <w:pPr>
        <w:tabs>
          <w:tab w:val="left" w:pos="900"/>
        </w:tabs>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17.8.4磋商报价表中大、小写应一致，如出现不一致情况的，以大写为准。磋商报价表内容与分项报价表内容应一致。如出现不一致情况，以磋商报价表内容为准，修正分项报价表。</w:t>
      </w:r>
    </w:p>
    <w:p w14:paraId="3F3615AD">
      <w:pPr>
        <w:tabs>
          <w:tab w:val="left" w:pos="900"/>
        </w:tabs>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17.8.5项目评审中，不得去掉最后报价中的最高报价和最低报价。</w:t>
      </w:r>
    </w:p>
    <w:p w14:paraId="71B4F719">
      <w:pPr>
        <w:tabs>
          <w:tab w:val="left" w:pos="900"/>
        </w:tabs>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17.8.6符合《政府采购竞争性磋商采购方式</w:t>
      </w:r>
      <w:r>
        <w:rPr>
          <w:rFonts w:hint="eastAsia" w:ascii="Times New Roman" w:hAnsi="Times New Roman" w:cs="仿宋"/>
          <w:color w:val="auto"/>
          <w:sz w:val="24"/>
          <w:highlight w:val="none"/>
          <w:lang w:val="en-US" w:eastAsia="zh-CN"/>
        </w:rPr>
        <w:t>管</w:t>
      </w:r>
      <w:r>
        <w:rPr>
          <w:rFonts w:hint="eastAsia" w:ascii="Times New Roman" w:hAnsi="Times New Roman" w:cs="仿宋"/>
          <w:color w:val="auto"/>
          <w:sz w:val="24"/>
          <w:highlight w:val="none"/>
        </w:rPr>
        <w:t>理暂行办法》第三条第一款第四项及《财政部关于竞争性磋商采购方式管理暂行办法有关问题的补充通知》（财库</w:t>
      </w:r>
      <w:r>
        <w:rPr>
          <w:rFonts w:hint="eastAsia" w:ascii="Times New Roman" w:hAnsi="Times New Roman" w:cs="仿宋"/>
          <w:color w:val="auto"/>
          <w:sz w:val="24"/>
          <w:highlight w:val="none"/>
          <w:lang w:eastAsia="zh-CN"/>
        </w:rPr>
        <w:t>〔2015〕124号</w:t>
      </w:r>
      <w:r>
        <w:rPr>
          <w:rFonts w:hint="eastAsia" w:ascii="Times New Roman" w:hAnsi="Times New Roman" w:cs="仿宋"/>
          <w:color w:val="auto"/>
          <w:sz w:val="24"/>
          <w:highlight w:val="none"/>
        </w:rPr>
        <w:t>）规定情形的，提交最后报价的供应商可以为2家。</w:t>
      </w:r>
    </w:p>
    <w:p w14:paraId="7B677010">
      <w:pPr>
        <w:spacing w:line="480" w:lineRule="exact"/>
        <w:ind w:firstLine="480"/>
        <w:rPr>
          <w:rFonts w:hint="eastAsia" w:ascii="Times New Roman" w:hAnsi="Times New Roman" w:cs="Times New Roman"/>
          <w:color w:val="auto"/>
          <w:sz w:val="24"/>
          <w:szCs w:val="24"/>
          <w:highlight w:val="none"/>
        </w:rPr>
      </w:pPr>
      <w:bookmarkStart w:id="90" w:name="_Hlk204074773"/>
      <w:r>
        <w:rPr>
          <w:rFonts w:hint="eastAsia" w:ascii="Times New Roman" w:hAnsi="Times New Roman" w:cs="Times New Roman"/>
          <w:color w:val="auto"/>
          <w:sz w:val="24"/>
          <w:szCs w:val="24"/>
          <w:highlight w:val="none"/>
        </w:rPr>
        <w:t>17.9 异常低价响应审查</w:t>
      </w:r>
    </w:p>
    <w:p w14:paraId="12EDE74C">
      <w:pPr>
        <w:spacing w:line="480" w:lineRule="exact"/>
        <w:ind w:firstLine="48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17.9.1评审过程中出现下列情形之一的，评审委员会应当启动异常低价响应审查程序：</w:t>
      </w:r>
    </w:p>
    <w:p w14:paraId="588AECFA">
      <w:pPr>
        <w:spacing w:line="480" w:lineRule="exact"/>
        <w:ind w:firstLine="48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（1）响应报价低于全部通过符合性审查供应商响应报价平均值50%的，即响应报价&lt;全部通过符合性审查供应商响应报价平均值×50%；</w:t>
      </w:r>
    </w:p>
    <w:p w14:paraId="6D5CED91">
      <w:pPr>
        <w:spacing w:line="480" w:lineRule="exact"/>
        <w:ind w:firstLine="48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（2）响应报价低于通过符合性审查的次低报价供应商响应报价50%的，即响应报价&lt;通过符合性审查的次低报价供应商响应报价×50%；</w:t>
      </w:r>
    </w:p>
    <w:p w14:paraId="0E0779B4">
      <w:pPr>
        <w:spacing w:line="480" w:lineRule="exact"/>
        <w:ind w:firstLine="48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（3）响应报价低于采购项目最高限价45%的，即响应报价&lt;采购项目最高限价×45%；</w:t>
      </w:r>
    </w:p>
    <w:p w14:paraId="62BB7F89">
      <w:pPr>
        <w:spacing w:line="480" w:lineRule="exact"/>
        <w:ind w:firstLine="48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（4）评审委员会基于专业判断，认为供应商报价过低，有可能影响产品质量或者不能诚信履约的其他情形。</w:t>
      </w:r>
    </w:p>
    <w:p w14:paraId="7A8BAAB1">
      <w:pPr>
        <w:spacing w:line="480" w:lineRule="exact"/>
        <w:ind w:firstLine="48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5896DDAA">
      <w:pPr>
        <w:spacing w:line="480" w:lineRule="exact"/>
        <w:ind w:firstLine="480"/>
        <w:rPr>
          <w:rFonts w:hint="eastAsia" w:ascii="Times New Roman" w:hAnsi="Times New Roman" w:cs="仿宋"/>
          <w:color w:val="auto"/>
          <w:sz w:val="24"/>
          <w:highlight w:val="none"/>
        </w:rPr>
      </w:pPr>
      <w:r>
        <w:rPr>
          <w:rFonts w:hint="eastAsia" w:ascii="Times New Roman" w:hAnsi="Times New Roman" w:cs="Times New Roman"/>
          <w:color w:val="auto"/>
          <w:sz w:val="24"/>
          <w:szCs w:val="24"/>
          <w:highlight w:val="none"/>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90"/>
    </w:p>
    <w:p w14:paraId="6E65D40D">
      <w:pPr>
        <w:tabs>
          <w:tab w:val="left" w:pos="900"/>
        </w:tabs>
        <w:spacing w:line="480" w:lineRule="exact"/>
        <w:ind w:firstLine="480"/>
        <w:rPr>
          <w:rFonts w:ascii="Times New Roman" w:hAnsi="Times New Roman" w:cs="Times New Roman"/>
          <w:color w:val="auto"/>
          <w:sz w:val="24"/>
          <w:szCs w:val="24"/>
          <w:highlight w:val="none"/>
        </w:rPr>
      </w:pPr>
      <w:bookmarkStart w:id="91" w:name="_Toc141869966"/>
      <w:r>
        <w:rPr>
          <w:rFonts w:hint="eastAsia" w:ascii="Times New Roman" w:hAnsi="Times New Roman" w:cs="Times New Roman"/>
          <w:bCs/>
          <w:color w:val="auto"/>
          <w:sz w:val="24"/>
          <w:szCs w:val="21"/>
          <w:highlight w:val="none"/>
        </w:rPr>
        <w:t>17.10推荐成交候选供应商</w:t>
      </w:r>
    </w:p>
    <w:p w14:paraId="010047C6">
      <w:pPr>
        <w:tabs>
          <w:tab w:val="left" w:pos="900"/>
        </w:tabs>
        <w:spacing w:after="120" w:line="480" w:lineRule="exact"/>
        <w:ind w:firstLine="478"/>
        <w:rPr>
          <w:rFonts w:ascii="Times New Roman" w:hAnsi="Times New Roman" w:cs="仿宋"/>
          <w:color w:val="auto"/>
          <w:sz w:val="24"/>
          <w:highlight w:val="none"/>
        </w:rPr>
      </w:pPr>
      <w:bookmarkStart w:id="92" w:name="OLE_LINK5"/>
      <w:r>
        <w:rPr>
          <w:rFonts w:hint="eastAsia" w:ascii="Times New Roman" w:hAnsi="Times New Roman" w:cs="仿宋"/>
          <w:color w:val="auto"/>
          <w:sz w:val="24"/>
          <w:highlight w:val="none"/>
        </w:rPr>
        <w:t>磋商小组根据综合评分情况，按照评审得分由高到低顺序推荐3名成交候选供应商，并编写评审报告</w:t>
      </w:r>
      <w:bookmarkEnd w:id="92"/>
      <w:r>
        <w:rPr>
          <w:rFonts w:hint="eastAsia" w:ascii="Times New Roman" w:hAnsi="Times New Roman" w:cs="仿宋"/>
          <w:color w:val="auto"/>
          <w:sz w:val="24"/>
          <w:highlight w:val="none"/>
        </w:rPr>
        <w:t>。符合本磋商文件17.8.6情形的，可以推荐2名成交候选供应商。评审得分相同的，按照最后报价由低到高的顺序推荐。评审得分且最后报价相同的，按照技术指标优劣顺序推荐。</w:t>
      </w:r>
    </w:p>
    <w:p w14:paraId="38F8F20F">
      <w:pPr>
        <w:pStyle w:val="343"/>
        <w:spacing w:before="0" w:after="0" w:line="520" w:lineRule="exact"/>
        <w:ind w:firstLine="320"/>
        <w:rPr>
          <w:rFonts w:hint="eastAsia" w:ascii="黑体" w:hAnsi="黑体" w:eastAsia="黑体" w:cs="黑体"/>
          <w:color w:val="auto"/>
          <w:sz w:val="32"/>
          <w:highlight w:val="none"/>
        </w:rPr>
      </w:pPr>
      <w:r>
        <w:rPr>
          <w:rFonts w:hint="eastAsia" w:ascii="黑体" w:hAnsi="黑体" w:eastAsia="黑体" w:cs="黑体"/>
          <w:color w:val="auto"/>
          <w:sz w:val="32"/>
          <w:highlight w:val="none"/>
        </w:rPr>
        <w:t>六、无效响应、采购活动终止、</w:t>
      </w:r>
      <w:bookmarkEnd w:id="91"/>
      <w:r>
        <w:rPr>
          <w:rFonts w:hint="eastAsia" w:ascii="黑体" w:hAnsi="黑体" w:eastAsia="黑体" w:cs="黑体"/>
          <w:color w:val="auto"/>
          <w:sz w:val="32"/>
          <w:highlight w:val="none"/>
        </w:rPr>
        <w:t>恶意串通及取消成交候选资格情形</w:t>
      </w:r>
    </w:p>
    <w:p w14:paraId="16709882">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18、无效响应情形</w:t>
      </w:r>
    </w:p>
    <w:p w14:paraId="6D86AA2E">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18.1供应商同一采购包提交两个以上（含两个）不同的响应文件或者最后报价的。</w:t>
      </w:r>
    </w:p>
    <w:p w14:paraId="1E6A735C">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18.2供应商不符合磋商文件规定资格要求的或响应文件未按规定提交资质证件的。</w:t>
      </w:r>
    </w:p>
    <w:p w14:paraId="73A1716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18.3供应商的报价超过了采购预算或最高限价的。</w:t>
      </w:r>
    </w:p>
    <w:p w14:paraId="06B74F0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18.4响应文件未通过符合性审查的。</w:t>
      </w:r>
    </w:p>
    <w:p w14:paraId="547F8EE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18.5响应文件出现重大偏离，不符合磋商文件中规定的实质性要求的（★部分为实质性要求）。</w:t>
      </w:r>
    </w:p>
    <w:p w14:paraId="5FA1896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18.6响应文件未按照磋商文件要求加盖CA电子公章的。</w:t>
      </w:r>
    </w:p>
    <w:p w14:paraId="234294BB">
      <w:pPr>
        <w:spacing w:line="480" w:lineRule="exact"/>
        <w:ind w:firstLine="480"/>
        <w:rPr>
          <w:rFonts w:hint="eastAsia" w:ascii="Times New Roman" w:hAnsi="Times New Roman" w:cs="仿宋"/>
          <w:color w:val="auto"/>
          <w:sz w:val="24"/>
          <w:highlight w:val="none"/>
        </w:rPr>
      </w:pPr>
      <w:bookmarkStart w:id="93" w:name="_Hlk204074427"/>
      <w:r>
        <w:rPr>
          <w:rFonts w:hint="eastAsia" w:ascii="Times New Roman" w:hAnsi="Times New Roman" w:cs="仿宋"/>
          <w:color w:val="auto"/>
          <w:sz w:val="24"/>
          <w:highlight w:val="none"/>
        </w:rPr>
        <w:t>18.7磋商小组启动异常低价响应审查后，供应商不提供书面说明、证明材料，或者磋商小组认为供应商提供的书面说明、证明材料不能证明其最后报价合理性的。</w:t>
      </w:r>
      <w:bookmarkEnd w:id="93"/>
    </w:p>
    <w:p w14:paraId="0A3D96DC">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18.8响应文件含有采购人不能接受的附加条件的。</w:t>
      </w:r>
    </w:p>
    <w:p w14:paraId="628BF518">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18.9供应商有本磋商文件规定的恶意串通情形的。</w:t>
      </w:r>
    </w:p>
    <w:p w14:paraId="073391C1">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18.10法律、法规规定的</w:t>
      </w:r>
      <w:r>
        <w:rPr>
          <w:rFonts w:hint="eastAsia" w:ascii="Times New Roman" w:hAnsi="Times New Roman" w:cs="仿宋"/>
          <w:color w:val="auto"/>
          <w:sz w:val="24"/>
          <w:highlight w:val="none"/>
          <w:lang w:eastAsia="zh-CN"/>
        </w:rPr>
        <w:t>其他情况</w:t>
      </w:r>
      <w:r>
        <w:rPr>
          <w:rFonts w:hint="eastAsia" w:ascii="Times New Roman" w:hAnsi="Times New Roman" w:cs="仿宋"/>
          <w:color w:val="auto"/>
          <w:sz w:val="24"/>
          <w:highlight w:val="none"/>
        </w:rPr>
        <w:t>。</w:t>
      </w:r>
    </w:p>
    <w:p w14:paraId="122F6D4D">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19、采购活动终止情形</w:t>
      </w:r>
    </w:p>
    <w:p w14:paraId="66E3FA69">
      <w:pPr>
        <w:spacing w:line="480" w:lineRule="exact"/>
        <w:ind w:firstLine="482"/>
        <w:rPr>
          <w:rFonts w:ascii="Times New Roman" w:hAnsi="Times New Roman" w:cs="仿宋"/>
          <w:bCs/>
          <w:color w:val="auto"/>
          <w:sz w:val="24"/>
          <w:highlight w:val="none"/>
        </w:rPr>
      </w:pPr>
      <w:r>
        <w:rPr>
          <w:rFonts w:hint="eastAsia" w:ascii="Times New Roman" w:hAnsi="Times New Roman" w:cs="仿宋"/>
          <w:bCs/>
          <w:color w:val="auto"/>
          <w:sz w:val="24"/>
          <w:highlight w:val="none"/>
        </w:rPr>
        <w:t>19.1因情况变化，不再符合规定的竞争性磋商采购方式适用情形的；</w:t>
      </w:r>
    </w:p>
    <w:p w14:paraId="7090EDF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19.2符合专业条件的供应商或者对磋商文件作实质响应的供应商不足3家的（符合17.8.6情形除外）。</w:t>
      </w:r>
    </w:p>
    <w:p w14:paraId="3C36A28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19.3出现影响采购公正的违法、违规行为的。</w:t>
      </w:r>
    </w:p>
    <w:p w14:paraId="6B08698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19.4因重大变故，采购任务取消的。</w:t>
      </w:r>
    </w:p>
    <w:p w14:paraId="548F929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19.5磋商小组认定磋商文件存在歧义、重大缺陷导致评审工作无法进行。</w:t>
      </w:r>
    </w:p>
    <w:p w14:paraId="1AA01A2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19.6在苏采云系统规定时间内成功解密电子响应文件的供应商不足3家的。</w:t>
      </w:r>
    </w:p>
    <w:p w14:paraId="5B82A441">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20、恶意串通情形</w:t>
      </w:r>
    </w:p>
    <w:p w14:paraId="51B0A90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20.1供应商直接或间接从采购人或采购代理机构处获得其他供应商的相关情况并修改其响应文件；</w:t>
      </w:r>
    </w:p>
    <w:p w14:paraId="30ACF43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20.2供应商接受采购人或采购代理机构授意撤换、修改响应文件；</w:t>
      </w:r>
    </w:p>
    <w:p w14:paraId="3A7D9AC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20.3供应商之间协商报价、技术方案等响应文件实质性内容；</w:t>
      </w:r>
    </w:p>
    <w:p w14:paraId="55A33A4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20.4属于同一集团、协会、商会等组织成员的供应商按照该组织要求协同参与政府采购活动的；</w:t>
      </w:r>
    </w:p>
    <w:p w14:paraId="01CC754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20.5不同供应商的电子响应文件由同一台电子设备编制、打包、加密或者上传；</w:t>
      </w:r>
    </w:p>
    <w:p w14:paraId="6C251C9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20.6供应商之间事先约定由某一特定供应商成交；</w:t>
      </w:r>
    </w:p>
    <w:p w14:paraId="4D9B60F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20.7供应商之间商定部分供应商放弃参加政府采购活动或者放弃成交；</w:t>
      </w:r>
    </w:p>
    <w:p w14:paraId="160775FC">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20.8供应商与采购人或采购代理机构之间、供应商相互之间为谋求特定供应商成交或者排斥其他供应商的其他串通行为。</w:t>
      </w:r>
    </w:p>
    <w:p w14:paraId="01DAE20A">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21、</w:t>
      </w:r>
      <w:bookmarkStart w:id="94" w:name="OLE_LINK2"/>
      <w:r>
        <w:rPr>
          <w:rFonts w:hint="eastAsia" w:ascii="Times New Roman" w:hAnsi="Times New Roman" w:cs="仿宋"/>
          <w:b/>
          <w:color w:val="auto"/>
          <w:sz w:val="24"/>
          <w:highlight w:val="none"/>
        </w:rPr>
        <w:t>取消成交（候选）供应商资格</w:t>
      </w:r>
      <w:bookmarkEnd w:id="94"/>
      <w:r>
        <w:rPr>
          <w:rFonts w:hint="eastAsia" w:ascii="Times New Roman" w:hAnsi="Times New Roman" w:cs="仿宋"/>
          <w:b/>
          <w:color w:val="auto"/>
          <w:sz w:val="24"/>
          <w:highlight w:val="none"/>
        </w:rPr>
        <w:t>条款</w:t>
      </w:r>
    </w:p>
    <w:p w14:paraId="6A3A228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21.1提供虚假材料谋取成交的；</w:t>
      </w:r>
    </w:p>
    <w:p w14:paraId="0317A99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21.2采取不正当手段诋毁、排挤其他供应商的；</w:t>
      </w:r>
    </w:p>
    <w:p w14:paraId="0106102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21.3与采购人、其他供应商或者采购代理机构恶意串通的；</w:t>
      </w:r>
    </w:p>
    <w:p w14:paraId="465A9CA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21.4向采购人、采购代理机构行贿或者提供其他不正当利益的；</w:t>
      </w:r>
    </w:p>
    <w:p w14:paraId="506FCBB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21.5未在规定时间内与采购人签订采购合同的；</w:t>
      </w:r>
    </w:p>
    <w:p w14:paraId="56D02F5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21.6法律、法规规定的</w:t>
      </w:r>
      <w:r>
        <w:rPr>
          <w:rFonts w:hint="eastAsia" w:ascii="Times New Roman" w:hAnsi="Times New Roman" w:cs="仿宋"/>
          <w:color w:val="auto"/>
          <w:sz w:val="24"/>
          <w:highlight w:val="none"/>
          <w:lang w:eastAsia="zh-CN"/>
        </w:rPr>
        <w:t>其他情况</w:t>
      </w:r>
      <w:r>
        <w:rPr>
          <w:rFonts w:hint="eastAsia" w:ascii="Times New Roman" w:hAnsi="Times New Roman" w:cs="仿宋"/>
          <w:color w:val="auto"/>
          <w:sz w:val="24"/>
          <w:highlight w:val="none"/>
        </w:rPr>
        <w:t>。</w:t>
      </w:r>
    </w:p>
    <w:p w14:paraId="72BD768C">
      <w:pPr>
        <w:pStyle w:val="343"/>
        <w:spacing w:before="0" w:after="0" w:line="520" w:lineRule="exact"/>
        <w:ind w:firstLine="320"/>
        <w:rPr>
          <w:rFonts w:hint="eastAsia" w:ascii="黑体" w:hAnsi="黑体" w:eastAsia="黑体" w:cs="黑体"/>
          <w:color w:val="auto"/>
          <w:sz w:val="32"/>
          <w:highlight w:val="none"/>
        </w:rPr>
      </w:pPr>
      <w:bookmarkStart w:id="95" w:name="_Toc141869968"/>
      <w:r>
        <w:rPr>
          <w:rFonts w:hint="eastAsia" w:ascii="黑体" w:hAnsi="黑体" w:eastAsia="黑体" w:cs="黑体"/>
          <w:color w:val="auto"/>
          <w:sz w:val="32"/>
          <w:highlight w:val="none"/>
        </w:rPr>
        <w:t>七、成交及合同签订</w:t>
      </w:r>
      <w:bookmarkEnd w:id="95"/>
    </w:p>
    <w:p w14:paraId="19A27E91">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22、确定成交供应商</w:t>
      </w:r>
    </w:p>
    <w:p w14:paraId="7B1CEC8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22.1采购人应当在收到评审报告后5个工作日内，从评审报告提出的成交候选供应商中，按照排序由高到低的原则确定成交供应商。</w:t>
      </w:r>
    </w:p>
    <w:p w14:paraId="4EED496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22.2在成交供应商确定后2个工作日内，采购人或采购代理机构将在财政部门指定信息媒体上发布成交结果公告，公告期限为1个工作日。</w:t>
      </w:r>
    </w:p>
    <w:p w14:paraId="1F23D3F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22.3采购人确定正被列为失信被执行人的供应商为成交人的，成交结果无效。</w:t>
      </w:r>
    </w:p>
    <w:p w14:paraId="2E71ED3B">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23、成交通知书</w:t>
      </w:r>
    </w:p>
    <w:p w14:paraId="17306D42">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23.1在公告成交结果的同时，采购代理机构向成交供应商发出成交通知书。成交供应商使用CA数字证书登录“苏采云”系统及时下载成交通知书。</w:t>
      </w:r>
    </w:p>
    <w:p w14:paraId="186BEBE6">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23.2</w:t>
      </w:r>
      <w:r>
        <w:rPr>
          <w:rFonts w:hint="eastAsia" w:ascii="宋体" w:hAnsi="宋体" w:cs="Times New Roman"/>
          <w:color w:val="auto"/>
          <w:sz w:val="24"/>
          <w:szCs w:val="24"/>
          <w:highlight w:val="none"/>
        </w:rPr>
        <w:t>成交通知书发出后，采购人改变成交结果的或者成交供应商放弃成交项目的，应当依法承担法律责任。</w:t>
      </w:r>
    </w:p>
    <w:p w14:paraId="5CBDD240">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24、签订和公告合同</w:t>
      </w:r>
    </w:p>
    <w:p w14:paraId="01586F7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24.1采购人与成交供应商应当在成交通知书发出之日起30日内，</w:t>
      </w:r>
      <w:r>
        <w:rPr>
          <w:rFonts w:hint="eastAsia" w:ascii="宋体" w:hAnsi="宋体" w:cs="Times New Roman"/>
          <w:color w:val="auto"/>
          <w:sz w:val="24"/>
          <w:szCs w:val="24"/>
          <w:highlight w:val="none"/>
        </w:rPr>
        <w:t>按照磋商文件确定的事项与采购人签订政府采购合同。</w:t>
      </w:r>
      <w:r>
        <w:rPr>
          <w:rFonts w:hint="eastAsia" w:ascii="Times New Roman" w:hAnsi="Times New Roman" w:cs="仿宋"/>
          <w:color w:val="auto"/>
          <w:sz w:val="24"/>
          <w:highlight w:val="none"/>
        </w:rPr>
        <w:t>竞争性磋商文件、成交供应商的响应文件以及磋商过程中有关澄清文件均作为合同附件。</w:t>
      </w:r>
    </w:p>
    <w:p w14:paraId="4E2F49D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C7400E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24.3采购人在自合同签订之日起2个工作日内，将合同在指定的媒体上公告。</w:t>
      </w:r>
    </w:p>
    <w:p w14:paraId="295308F0">
      <w:pPr>
        <w:spacing w:line="480" w:lineRule="exact"/>
        <w:ind w:firstLine="482"/>
        <w:rPr>
          <w:rFonts w:ascii="Times New Roman" w:hAnsi="Times New Roman" w:cs="仿宋"/>
          <w:b/>
          <w:color w:val="auto"/>
          <w:sz w:val="24"/>
          <w:highlight w:val="none"/>
        </w:rPr>
      </w:pPr>
      <w:bookmarkStart w:id="96" w:name="_Toc141869969"/>
      <w:r>
        <w:rPr>
          <w:rFonts w:hint="eastAsia" w:ascii="Times New Roman" w:hAnsi="Times New Roman" w:cs="仿宋"/>
          <w:b/>
          <w:color w:val="auto"/>
          <w:sz w:val="24"/>
          <w:highlight w:val="none"/>
        </w:rPr>
        <w:t>25、履约保证金</w:t>
      </w:r>
    </w:p>
    <w:p w14:paraId="2A3623C3">
      <w:pPr>
        <w:spacing w:line="480" w:lineRule="exact"/>
        <w:ind w:firstLine="480"/>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（1）</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14:paraId="1630F5B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（1）本项目不收取履约保证金。</w:t>
      </w:r>
    </w:p>
    <w:p w14:paraId="24C6C88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（2）本项目收取履约保证金。</w:t>
      </w:r>
    </w:p>
    <w:p w14:paraId="3B2F808E">
      <w:pPr>
        <w:spacing w:line="480" w:lineRule="exact"/>
        <w:ind w:firstLine="482"/>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26、线上融资</w:t>
      </w:r>
    </w:p>
    <w:p w14:paraId="073074C9">
      <w:pPr>
        <w:spacing w:line="480" w:lineRule="exact"/>
        <w:ind w:firstLine="480"/>
        <w:rPr>
          <w:rFonts w:ascii="Times New Roman" w:hAnsi="Times New Roman" w:cs="仿宋"/>
          <w:b/>
          <w:bCs/>
          <w:color w:val="auto"/>
          <w:sz w:val="24"/>
          <w:szCs w:val="24"/>
          <w:highlight w:val="none"/>
        </w:rPr>
      </w:pPr>
      <w:r>
        <w:rPr>
          <w:rFonts w:hint="eastAsia" w:ascii="宋体" w:hAnsi="宋体" w:cs="Times New Roman"/>
          <w:bCs/>
          <w:color w:val="auto"/>
          <w:sz w:val="24"/>
          <w:szCs w:val="24"/>
          <w:highlight w:val="none"/>
        </w:rPr>
        <w:t>成交供应商可凭政府采购合同办理融资贷款，详情见江苏政府采购网“政采贷”专栏。</w:t>
      </w:r>
    </w:p>
    <w:p w14:paraId="287FDCF8">
      <w:pPr>
        <w:spacing w:line="480" w:lineRule="exact"/>
        <w:ind w:firstLine="482"/>
        <w:rPr>
          <w:rFonts w:ascii="Times New Roman" w:hAnsi="Times New Roman" w:cs="仿宋"/>
          <w:color w:val="auto"/>
          <w:sz w:val="24"/>
          <w:highlight w:val="none"/>
        </w:rPr>
      </w:pPr>
      <w:r>
        <w:rPr>
          <w:rFonts w:hint="eastAsia" w:ascii="Times New Roman" w:hAnsi="Times New Roman" w:cs="仿宋"/>
          <w:b/>
          <w:color w:val="auto"/>
          <w:sz w:val="24"/>
          <w:highlight w:val="none"/>
        </w:rPr>
        <w:t>27、合同履行</w:t>
      </w:r>
    </w:p>
    <w:p w14:paraId="1C65B0B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27.1政府采购合同订立后，合同各方不得擅自变更、中止或者终止合同。</w:t>
      </w:r>
    </w:p>
    <w:p w14:paraId="0BF3F89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96"/>
    </w:p>
    <w:p w14:paraId="5A524426">
      <w:pPr>
        <w:pStyle w:val="343"/>
        <w:spacing w:before="0" w:after="0" w:line="520" w:lineRule="exact"/>
        <w:ind w:firstLine="320"/>
        <w:rPr>
          <w:rFonts w:hint="eastAsia" w:ascii="黑体" w:hAnsi="黑体" w:eastAsia="黑体" w:cs="黑体"/>
          <w:color w:val="auto"/>
          <w:sz w:val="32"/>
          <w:highlight w:val="none"/>
        </w:rPr>
      </w:pPr>
      <w:bookmarkStart w:id="97" w:name="_Toc141869970"/>
      <w:r>
        <w:rPr>
          <w:rFonts w:hint="eastAsia" w:ascii="黑体" w:hAnsi="黑体" w:eastAsia="黑体" w:cs="黑体"/>
          <w:color w:val="auto"/>
          <w:sz w:val="32"/>
          <w:highlight w:val="none"/>
        </w:rPr>
        <w:t>八、质疑与投诉</w:t>
      </w:r>
      <w:bookmarkEnd w:id="97"/>
    </w:p>
    <w:p w14:paraId="77FBE111">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28、质疑</w:t>
      </w:r>
    </w:p>
    <w:p w14:paraId="1C79923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28.1供应商认为采购文件、采购过程和成交结果使自己的权益受到损害的，可以在知道或者应知其权益受到损害之日起七个工作日内，</w:t>
      </w:r>
      <w:r>
        <w:rPr>
          <w:rFonts w:hint="eastAsia" w:ascii="Times New Roman" w:hAnsi="Times New Roman" w:cs="仿宋"/>
          <w:b/>
          <w:bCs/>
          <w:color w:val="auto"/>
          <w:sz w:val="24"/>
          <w:highlight w:val="none"/>
        </w:rPr>
        <w:t>通过 CA 数字证书登录“苏采云”系统，从“项目质疑申请”模块向采购人提出质疑。</w:t>
      </w:r>
      <w:r>
        <w:rPr>
          <w:rFonts w:hint="eastAsia" w:ascii="Times New Roman" w:hAnsi="Times New Roman" w:cs="仿宋"/>
          <w:color w:val="auto"/>
          <w:sz w:val="24"/>
          <w:highlight w:val="none"/>
        </w:rPr>
        <w:t>质疑联系部门、联系电话、通讯地址详见采购公告。</w:t>
      </w:r>
    </w:p>
    <w:p w14:paraId="4795885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28.2供应商应知其权益受到损害之日，是指：</w:t>
      </w:r>
    </w:p>
    <w:p w14:paraId="6DB9B54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（1）对本项目采购文件提出质疑的，为获取采购文件之日或者采购文件公告期限届满之日；</w:t>
      </w:r>
    </w:p>
    <w:p w14:paraId="158C3D0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（2）对本项目采购过程提出质疑的，为各采购程序环节结束之日；</w:t>
      </w:r>
    </w:p>
    <w:p w14:paraId="0A1D719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（3）对本项目中标或者成交结果提出质疑的，为中标或者成交结果公告期限届满之日。</w:t>
      </w:r>
    </w:p>
    <w:p w14:paraId="18DCFD8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28.3 质疑供应商应当是参与所质疑项目采购活动的供应商。潜在供应商已依法获取其可质疑的采购文件的，方可对该文件提出质疑。供应商在法定质疑期内应一次性提出针对同一采购程序环节的质疑。</w:t>
      </w:r>
    </w:p>
    <w:p w14:paraId="10E9F7C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28.4供应商提出质疑应当提交质疑函和必要的证明材料。质疑函的必备内容：</w:t>
      </w:r>
    </w:p>
    <w:p w14:paraId="0D9ACAD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（1）供应商的姓名或者名称、地址、邮编、联系人及联系电话；</w:t>
      </w:r>
    </w:p>
    <w:p w14:paraId="3B8E2B4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（2）质疑项目的名称、编号；</w:t>
      </w:r>
    </w:p>
    <w:p w14:paraId="58FB334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（3）获取采购文件的时间；</w:t>
      </w:r>
    </w:p>
    <w:p w14:paraId="6B5E3E7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（4）具体、明确的质疑事项和质疑事项相关的请求；</w:t>
      </w:r>
    </w:p>
    <w:p w14:paraId="2CB3BA0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（5）事实依据；</w:t>
      </w:r>
    </w:p>
    <w:p w14:paraId="5E9CBBA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（6）必要的法律依据；</w:t>
      </w:r>
    </w:p>
    <w:p w14:paraId="23B4A1F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（7）提出质疑的日期；</w:t>
      </w:r>
    </w:p>
    <w:p w14:paraId="3A52DBA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（8）供应商为自然人的，由本人签字；供应商为法人或者其他组织的，应当由法定代表人、主要负责人，或者其授权代表签字或者盖章，并盖公章。</w:t>
      </w:r>
    </w:p>
    <w:p w14:paraId="3EE29DC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456464E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28.5采购人、采购代理机构在收到质疑函后7个工作日内作出答复，并以书面形式通知质疑供应商和其他有关供应商，但质疑答复的内容不涉及商业秘密。</w:t>
      </w:r>
    </w:p>
    <w:p w14:paraId="2A860AB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29、投诉</w:t>
      </w:r>
    </w:p>
    <w:p w14:paraId="3C769879">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质疑供应商对采购人、采购代理机构的答复不满意，或者采购人、采购代理机构未在规定时间内作出答复的，可以在答复期满后15个工作日内向同级财政部门提起投诉。</w:t>
      </w:r>
    </w:p>
    <w:p w14:paraId="430B4288">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p>
    <w:p w14:paraId="396D9723">
      <w:pPr>
        <w:pStyle w:val="2"/>
        <w:bidi w:val="0"/>
        <w:jc w:val="center"/>
        <w:rPr>
          <w:rFonts w:hint="eastAsia"/>
          <w:color w:val="auto"/>
          <w:highlight w:val="none"/>
        </w:rPr>
      </w:pPr>
      <w:bookmarkStart w:id="98" w:name="_Toc6208"/>
      <w:bookmarkStart w:id="99" w:name="_Toc12480"/>
      <w:r>
        <w:rPr>
          <w:rFonts w:hint="eastAsia"/>
          <w:color w:val="auto"/>
          <w:highlight w:val="none"/>
        </w:rPr>
        <w:t>第三章  合同</w:t>
      </w:r>
      <w:bookmarkEnd w:id="63"/>
      <w:bookmarkEnd w:id="64"/>
      <w:bookmarkEnd w:id="65"/>
      <w:bookmarkEnd w:id="66"/>
      <w:bookmarkEnd w:id="67"/>
      <w:r>
        <w:rPr>
          <w:rFonts w:hint="eastAsia"/>
          <w:color w:val="auto"/>
          <w:highlight w:val="none"/>
        </w:rPr>
        <w:t>文本</w:t>
      </w:r>
      <w:bookmarkEnd w:id="68"/>
      <w:bookmarkEnd w:id="69"/>
      <w:bookmarkEnd w:id="98"/>
      <w:bookmarkEnd w:id="99"/>
    </w:p>
    <w:p w14:paraId="623CFB2F">
      <w:pPr>
        <w:pStyle w:val="315"/>
        <w:ind w:firstLine="1320"/>
        <w:rPr>
          <w:rFonts w:hint="eastAsia"/>
          <w:color w:val="auto"/>
          <w:sz w:val="44"/>
          <w:szCs w:val="44"/>
          <w:highlight w:val="none"/>
        </w:rPr>
      </w:pPr>
      <w:bookmarkStart w:id="100" w:name="_Hlt16619350"/>
      <w:bookmarkStart w:id="101" w:name="_Toc16938590"/>
      <w:bookmarkStart w:id="102" w:name="_Toc4449"/>
      <w:bookmarkStart w:id="103" w:name="_Toc120614244"/>
      <w:bookmarkStart w:id="104" w:name="_Toc9401"/>
      <w:bookmarkStart w:id="105" w:name="_Toc20823346"/>
      <w:bookmarkStart w:id="106" w:name="_Toc479757211"/>
      <w:bookmarkStart w:id="107" w:name="_Toc462564139"/>
    </w:p>
    <w:p w14:paraId="2B2DE993">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甲方：</w:t>
      </w:r>
      <w:r>
        <w:rPr>
          <w:rStyle w:val="31"/>
          <w:rFonts w:hint="eastAsia" w:ascii="仿宋" w:hAnsi="仿宋" w:eastAsia="仿宋" w:cs="Times New Roman"/>
          <w:color w:val="auto"/>
          <w:kern w:val="2"/>
          <w:sz w:val="28"/>
          <w:szCs w:val="28"/>
          <w:highlight w:val="none"/>
          <w:u w:val="single"/>
          <w:lang w:val="en-US" w:eastAsia="zh-CN" w:bidi="ar-SA"/>
        </w:rPr>
        <w:t>泗阳</w:t>
      </w:r>
      <w:r>
        <w:rPr>
          <w:rStyle w:val="31"/>
          <w:rFonts w:ascii="仿宋" w:hAnsi="仿宋" w:eastAsia="仿宋" w:cs="Times New Roman"/>
          <w:color w:val="auto"/>
          <w:kern w:val="2"/>
          <w:sz w:val="28"/>
          <w:szCs w:val="28"/>
          <w:highlight w:val="none"/>
          <w:u w:val="single"/>
          <w:lang w:val="en-US" w:eastAsia="zh-CN" w:bidi="ar-SA"/>
        </w:rPr>
        <w:t>县机关事务管理中心</w:t>
      </w:r>
      <w:r>
        <w:rPr>
          <w:rStyle w:val="31"/>
          <w:rFonts w:ascii="仿宋" w:hAnsi="仿宋" w:eastAsia="仿宋" w:cs="Times New Roman"/>
          <w:color w:val="auto"/>
          <w:kern w:val="2"/>
          <w:sz w:val="28"/>
          <w:szCs w:val="28"/>
          <w:highlight w:val="none"/>
          <w:lang w:val="en-US" w:eastAsia="zh-CN" w:bidi="ar-SA"/>
        </w:rPr>
        <w:t>（以下简称甲方）</w:t>
      </w:r>
    </w:p>
    <w:p w14:paraId="75280084">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乙方：</w:t>
      </w:r>
      <w:r>
        <w:rPr>
          <w:rStyle w:val="31"/>
          <w:rFonts w:hint="eastAsia"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lang w:val="en-US" w:eastAsia="zh-CN" w:bidi="ar-SA"/>
        </w:rPr>
        <w:t>（以下简称乙方）</w:t>
      </w:r>
    </w:p>
    <w:p w14:paraId="649710C2">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为了做好2026-2029年度泗阳县党政办公楼、行政服务中心、双子楼等集中办公区空调维护保养项目工作，确保系统安全正常运行，根据《中华人民共和国民法典（第三编合同）》等法律法规规定，经公开招标，现甲、乙双方自愿就2026-2029年度泗阳县党政办公楼、行政服务中心、双子楼等集中办公区空调维护保养项目达成如下协议：</w:t>
      </w:r>
    </w:p>
    <w:p w14:paraId="4E0553C9">
      <w:pPr>
        <w:widowControl w:val="0"/>
        <w:bidi w:val="0"/>
        <w:spacing w:line="360" w:lineRule="auto"/>
        <w:ind w:firstLine="562" w:firstLineChars="200"/>
        <w:jc w:val="both"/>
        <w:rPr>
          <w:rStyle w:val="31"/>
          <w:rFonts w:ascii="黑体" w:hAnsi="黑体" w:eastAsia="黑体" w:cs="Times New Roman"/>
          <w:b/>
          <w:color w:val="auto"/>
          <w:kern w:val="2"/>
          <w:sz w:val="28"/>
          <w:szCs w:val="28"/>
          <w:highlight w:val="none"/>
          <w:lang w:val="en-US" w:eastAsia="zh-CN" w:bidi="ar-SA"/>
        </w:rPr>
      </w:pPr>
      <w:r>
        <w:rPr>
          <w:rStyle w:val="31"/>
          <w:rFonts w:hint="eastAsia" w:ascii="黑体" w:hAnsi="黑体" w:eastAsia="黑体" w:cs="Times New Roman"/>
          <w:b/>
          <w:color w:val="auto"/>
          <w:kern w:val="2"/>
          <w:sz w:val="28"/>
          <w:szCs w:val="28"/>
          <w:highlight w:val="none"/>
          <w:lang w:val="en-US" w:eastAsia="zh-CN" w:bidi="ar-SA"/>
        </w:rPr>
        <w:t>一、项目内容</w:t>
      </w:r>
    </w:p>
    <w:p w14:paraId="215BB959">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1.维保项目：</w:t>
      </w:r>
    </w:p>
    <w:p w14:paraId="02B6C1AF">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泗阳县党政办公楼、行政服务中心、双子楼等集中办公区空调维护保养，具数量体详见空调维保明细。</w:t>
      </w:r>
    </w:p>
    <w:p w14:paraId="3645DF6C">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2.维保内容：</w:t>
      </w:r>
    </w:p>
    <w:p w14:paraId="21F5BD2B">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乙方全面负责维保项目范围内的空调系统的维修、保养和运行维护工作，保证甲方空调使用效果。乙方应按照双方约定的内容，根据中央空调原有安装配置情况以及实际现状，制定细致的维保方案，实施全方位维修保养，定期开展空调系统巡检、维护工作，对空调运行中的故障进行维修，保证空调正常运行。乙方承担维保项目范围内空调系统维修、保养所产生的材料费、人工费等一切费用。</w:t>
      </w:r>
    </w:p>
    <w:p w14:paraId="2FFD2958">
      <w:pPr>
        <w:widowControl w:val="0"/>
        <w:bidi w:val="0"/>
        <w:spacing w:line="360" w:lineRule="auto"/>
        <w:ind w:left="315" w:leftChars="150" w:firstLine="140" w:firstLineChars="5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3.维保期限：本合同维保期为三年，自</w:t>
      </w:r>
      <w:r>
        <w:rPr>
          <w:rStyle w:val="31"/>
          <w:rFonts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lang w:val="en-US" w:eastAsia="zh-CN" w:bidi="ar-SA"/>
        </w:rPr>
        <w:t>年</w:t>
      </w:r>
      <w:r>
        <w:rPr>
          <w:rStyle w:val="31"/>
          <w:rFonts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lang w:val="en-US" w:eastAsia="zh-CN" w:bidi="ar-SA"/>
        </w:rPr>
        <w:t>月</w:t>
      </w:r>
      <w:r>
        <w:rPr>
          <w:rStyle w:val="31"/>
          <w:rFonts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lang w:val="en-US" w:eastAsia="zh-CN" w:bidi="ar-SA"/>
        </w:rPr>
        <w:t>日始至</w:t>
      </w:r>
      <w:r>
        <w:rPr>
          <w:rStyle w:val="31"/>
          <w:rFonts w:ascii="仿宋" w:hAnsi="仿宋" w:eastAsia="仿宋" w:cs="Times New Roman"/>
          <w:color w:val="auto"/>
          <w:kern w:val="2"/>
          <w:sz w:val="28"/>
          <w:szCs w:val="28"/>
          <w:highlight w:val="none"/>
          <w:u w:val="single"/>
          <w:lang w:val="en-US" w:eastAsia="zh-CN" w:bidi="ar-SA"/>
        </w:rPr>
        <w:t xml:space="preserve">   </w:t>
      </w:r>
      <w:r>
        <w:rPr>
          <w:rStyle w:val="31"/>
          <w:rFonts w:hint="eastAsia" w:ascii="仿宋" w:hAnsi="仿宋" w:eastAsia="仿宋" w:cs="Times New Roman"/>
          <w:color w:val="auto"/>
          <w:kern w:val="2"/>
          <w:sz w:val="28"/>
          <w:szCs w:val="28"/>
          <w:highlight w:val="none"/>
          <w:lang w:val="en-US" w:eastAsia="zh-CN" w:bidi="ar-SA"/>
        </w:rPr>
        <w:t>年</w:t>
      </w:r>
      <w:r>
        <w:rPr>
          <w:rStyle w:val="31"/>
          <w:rFonts w:ascii="仿宋" w:hAnsi="仿宋" w:eastAsia="仿宋" w:cs="Times New Roman"/>
          <w:color w:val="auto"/>
          <w:kern w:val="2"/>
          <w:sz w:val="28"/>
          <w:szCs w:val="28"/>
          <w:highlight w:val="none"/>
          <w:lang w:val="en-US" w:eastAsia="zh-CN" w:bidi="ar-SA"/>
        </w:rPr>
        <w:t xml:space="preserve"> </w:t>
      </w:r>
      <w:r>
        <w:rPr>
          <w:rStyle w:val="31"/>
          <w:rFonts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lang w:val="en-US" w:eastAsia="zh-CN" w:bidi="ar-SA"/>
        </w:rPr>
        <w:t>月</w:t>
      </w:r>
      <w:r>
        <w:rPr>
          <w:rStyle w:val="31"/>
          <w:rFonts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lang w:val="en-US" w:eastAsia="zh-CN" w:bidi="ar-SA"/>
        </w:rPr>
        <w:t>日止。</w:t>
      </w:r>
    </w:p>
    <w:p w14:paraId="185FDA30">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4.维保地点：泗阳县党政办公楼和行政服务中心大楼。</w:t>
      </w:r>
    </w:p>
    <w:p w14:paraId="0471EDC0">
      <w:pPr>
        <w:widowControl w:val="0"/>
        <w:bidi w:val="0"/>
        <w:spacing w:line="360" w:lineRule="auto"/>
        <w:ind w:firstLine="562" w:firstLineChars="200"/>
        <w:jc w:val="both"/>
        <w:rPr>
          <w:rStyle w:val="31"/>
          <w:rFonts w:ascii="仿宋" w:hAnsi="仿宋" w:eastAsia="仿宋" w:cs="Times New Roman"/>
          <w:b/>
          <w:color w:val="auto"/>
          <w:kern w:val="2"/>
          <w:sz w:val="28"/>
          <w:szCs w:val="28"/>
          <w:highlight w:val="none"/>
          <w:lang w:val="en-US" w:eastAsia="zh-CN" w:bidi="ar-SA"/>
        </w:rPr>
      </w:pPr>
      <w:r>
        <w:rPr>
          <w:rStyle w:val="31"/>
          <w:rFonts w:hint="eastAsia" w:ascii="仿宋" w:hAnsi="仿宋" w:eastAsia="仿宋" w:cs="Times New Roman"/>
          <w:b/>
          <w:color w:val="auto"/>
          <w:kern w:val="2"/>
          <w:sz w:val="28"/>
          <w:szCs w:val="28"/>
          <w:highlight w:val="none"/>
          <w:lang w:val="en-US" w:eastAsia="zh-CN" w:bidi="ar-SA"/>
        </w:rPr>
        <w:t>二、维保费用及付款方式：</w:t>
      </w:r>
    </w:p>
    <w:p w14:paraId="0DE94461">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1.维保费用：</w:t>
      </w:r>
    </w:p>
    <w:p w14:paraId="02ABEED0">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三年维保费共计为人民币</w:t>
      </w:r>
      <w:r>
        <w:rPr>
          <w:rStyle w:val="31"/>
          <w:rFonts w:hint="eastAsia"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lang w:val="en-US" w:eastAsia="zh-CN" w:bidi="ar-SA"/>
        </w:rPr>
        <w:t>。</w:t>
      </w:r>
    </w:p>
    <w:p w14:paraId="2076717A">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2.付款方式：</w:t>
      </w:r>
    </w:p>
    <w:p w14:paraId="18283903">
      <w:pPr>
        <w:widowControl w:val="0"/>
        <w:bidi w:val="0"/>
        <w:spacing w:line="500" w:lineRule="exact"/>
        <w:ind w:firstLine="480" w:firstLineChars="200"/>
        <w:jc w:val="both"/>
        <w:rPr>
          <w:rStyle w:val="31"/>
          <w:rFonts w:ascii="仿宋_GB2312" w:hAnsi="仿宋_GB2312" w:eastAsia="仿宋_GB2312" w:cs="仿宋_GB2312"/>
          <w:color w:val="auto"/>
          <w:kern w:val="2"/>
          <w:sz w:val="24"/>
          <w:szCs w:val="22"/>
          <w:highlight w:val="none"/>
          <w:lang w:val="en-US" w:eastAsia="zh-CN" w:bidi="ar-SA"/>
        </w:rPr>
      </w:pPr>
      <w:r>
        <w:rPr>
          <w:rStyle w:val="31"/>
          <w:rFonts w:ascii="仿宋_GB2312" w:hAnsi="仿宋_GB2312" w:eastAsia="仿宋_GB2312" w:cs="仿宋_GB2312"/>
          <w:color w:val="auto"/>
          <w:kern w:val="2"/>
          <w:sz w:val="24"/>
          <w:szCs w:val="22"/>
          <w:highlight w:val="none"/>
          <w:lang w:val="en-US" w:eastAsia="zh-CN" w:bidi="ar-SA"/>
        </w:rPr>
        <w:t>合同签订且收到供应商发票后15日内支付合同价款的 10%作为预付款，每季度</w:t>
      </w:r>
      <w:r>
        <w:rPr>
          <w:rStyle w:val="31"/>
          <w:rFonts w:hint="eastAsia" w:ascii="仿宋_GB2312" w:hAnsi="仿宋_GB2312" w:eastAsia="仿宋_GB2312" w:cs="仿宋_GB2312"/>
          <w:color w:val="auto"/>
          <w:kern w:val="2"/>
          <w:sz w:val="24"/>
          <w:szCs w:val="22"/>
          <w:highlight w:val="none"/>
          <w:lang w:val="en-US" w:eastAsia="zh-CN" w:bidi="ar-SA"/>
        </w:rPr>
        <w:t>1</w:t>
      </w:r>
      <w:r>
        <w:rPr>
          <w:rStyle w:val="31"/>
          <w:rFonts w:ascii="仿宋_GB2312" w:hAnsi="仿宋_GB2312" w:eastAsia="仿宋_GB2312" w:cs="仿宋_GB2312"/>
          <w:color w:val="auto"/>
          <w:kern w:val="2"/>
          <w:sz w:val="24"/>
          <w:szCs w:val="22"/>
          <w:highlight w:val="none"/>
          <w:lang w:val="en-US" w:eastAsia="zh-CN" w:bidi="ar-SA"/>
        </w:rPr>
        <w:t>5 号前，供应商提供季度书面维保记录单等，经考核无误且收到供应商发票后，剩余款项按季度平均付款。</w:t>
      </w:r>
    </w:p>
    <w:p w14:paraId="249D62BA">
      <w:pPr>
        <w:widowControl w:val="0"/>
        <w:bidi w:val="0"/>
        <w:spacing w:line="500" w:lineRule="exact"/>
        <w:ind w:firstLine="482" w:firstLineChars="200"/>
        <w:jc w:val="both"/>
        <w:rPr>
          <w:rStyle w:val="31"/>
          <w:rFonts w:hint="eastAsia" w:ascii="仿宋_GB2312" w:hAnsi="仿宋_GB2312" w:eastAsia="仿宋_GB2312" w:cs="仿宋_GB2312"/>
          <w:b/>
          <w:color w:val="auto"/>
          <w:kern w:val="2"/>
          <w:sz w:val="24"/>
          <w:szCs w:val="22"/>
          <w:highlight w:val="none"/>
          <w:lang w:val="en-US" w:eastAsia="zh-CN" w:bidi="ar-SA"/>
        </w:rPr>
      </w:pPr>
      <w:r>
        <w:rPr>
          <w:rStyle w:val="31"/>
          <w:rFonts w:hint="eastAsia" w:ascii="仿宋_GB2312" w:hAnsi="仿宋_GB2312" w:eastAsia="仿宋_GB2312" w:cs="仿宋_GB2312"/>
          <w:b/>
          <w:color w:val="auto"/>
          <w:kern w:val="2"/>
          <w:sz w:val="24"/>
          <w:szCs w:val="22"/>
          <w:highlight w:val="none"/>
          <w:lang w:val="en-US" w:eastAsia="zh-CN" w:bidi="ar-SA"/>
        </w:rPr>
        <w:t>注：在签订合同时，中标人明确表示无需预付款或者主动要求降低预付款比例的金额，采购人可不适用预付款规定。</w:t>
      </w:r>
    </w:p>
    <w:p w14:paraId="46DB27EB">
      <w:pPr>
        <w:widowControl w:val="0"/>
        <w:bidi w:val="0"/>
        <w:spacing w:line="360" w:lineRule="auto"/>
        <w:ind w:firstLine="562" w:firstLineChars="200"/>
        <w:jc w:val="both"/>
        <w:rPr>
          <w:rStyle w:val="31"/>
          <w:rFonts w:ascii="仿宋" w:hAnsi="仿宋" w:eastAsia="仿宋" w:cs="Times New Roman"/>
          <w:b/>
          <w:color w:val="auto"/>
          <w:kern w:val="2"/>
          <w:sz w:val="28"/>
          <w:szCs w:val="28"/>
          <w:highlight w:val="none"/>
          <w:lang w:val="en-US" w:eastAsia="zh-CN" w:bidi="ar-SA"/>
        </w:rPr>
      </w:pPr>
      <w:r>
        <w:rPr>
          <w:rStyle w:val="31"/>
          <w:rFonts w:hint="eastAsia" w:ascii="仿宋" w:hAnsi="仿宋" w:eastAsia="仿宋" w:cs="Times New Roman"/>
          <w:b/>
          <w:color w:val="auto"/>
          <w:kern w:val="2"/>
          <w:sz w:val="28"/>
          <w:szCs w:val="28"/>
          <w:highlight w:val="none"/>
          <w:lang w:val="en-US" w:eastAsia="zh-CN" w:bidi="ar-SA"/>
        </w:rPr>
        <w:t>三、维保服务标准</w:t>
      </w:r>
    </w:p>
    <w:p w14:paraId="74A6AC09">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（一）常规维保计划：</w:t>
      </w:r>
    </w:p>
    <w:p w14:paraId="48653665">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1.年度全面检验：乙方每年分两次对项目范围内的空调系统进行全面</w:t>
      </w:r>
      <w:r>
        <w:rPr>
          <w:rStyle w:val="31"/>
          <w:rFonts w:hint="eastAsia" w:ascii="仿宋" w:hAnsi="仿宋" w:eastAsia="仿宋" w:cs="Times New Roman"/>
          <w:color w:val="auto"/>
          <w:kern w:val="2"/>
          <w:sz w:val="28"/>
          <w:szCs w:val="28"/>
          <w:highlight w:val="none"/>
          <w:lang w:val="en-US" w:eastAsia="zh-CN" w:bidi="ar-SA"/>
        </w:rPr>
        <w:t>检验，其中夏季开机前全面检验于</w:t>
      </w:r>
      <w:r>
        <w:rPr>
          <w:rStyle w:val="31"/>
          <w:rFonts w:ascii="仿宋" w:hAnsi="仿宋" w:eastAsia="仿宋" w:cs="Times New Roman"/>
          <w:color w:val="auto"/>
          <w:kern w:val="2"/>
          <w:sz w:val="28"/>
          <w:szCs w:val="28"/>
          <w:highlight w:val="none"/>
          <w:lang w:val="en-US" w:eastAsia="zh-CN" w:bidi="ar-SA"/>
        </w:rPr>
        <w:t>4月20日-30日完成，冬季开机前全</w:t>
      </w:r>
      <w:r>
        <w:rPr>
          <w:rStyle w:val="31"/>
          <w:rFonts w:hint="eastAsia" w:ascii="仿宋" w:hAnsi="仿宋" w:eastAsia="仿宋" w:cs="Times New Roman"/>
          <w:color w:val="auto"/>
          <w:kern w:val="2"/>
          <w:sz w:val="28"/>
          <w:szCs w:val="28"/>
          <w:highlight w:val="none"/>
          <w:lang w:val="en-US" w:eastAsia="zh-CN" w:bidi="ar-SA"/>
        </w:rPr>
        <w:t>面检验于</w:t>
      </w:r>
      <w:r>
        <w:rPr>
          <w:rStyle w:val="31"/>
          <w:rFonts w:ascii="仿宋" w:hAnsi="仿宋" w:eastAsia="仿宋" w:cs="Times New Roman"/>
          <w:color w:val="auto"/>
          <w:kern w:val="2"/>
          <w:sz w:val="28"/>
          <w:szCs w:val="28"/>
          <w:highlight w:val="none"/>
          <w:lang w:val="en-US" w:eastAsia="zh-CN" w:bidi="ar-SA"/>
        </w:rPr>
        <w:t>10月20日-30日完成。检验的内容和标准应符合品牌的维护和</w:t>
      </w:r>
      <w:r>
        <w:rPr>
          <w:rStyle w:val="31"/>
          <w:rFonts w:hint="eastAsia" w:ascii="仿宋" w:hAnsi="仿宋" w:eastAsia="仿宋" w:cs="Times New Roman"/>
          <w:color w:val="auto"/>
          <w:kern w:val="2"/>
          <w:sz w:val="28"/>
          <w:szCs w:val="28"/>
          <w:highlight w:val="none"/>
          <w:lang w:val="en-US" w:eastAsia="zh-CN" w:bidi="ar-SA"/>
        </w:rPr>
        <w:t>保养手册的要求。</w:t>
      </w:r>
    </w:p>
    <w:p w14:paraId="133062D4">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2.月度检验检测：乙方每月5日对项目范围内的空调系统进行检验检</w:t>
      </w:r>
      <w:r>
        <w:rPr>
          <w:rStyle w:val="31"/>
          <w:rFonts w:hint="eastAsia" w:ascii="仿宋" w:hAnsi="仿宋" w:eastAsia="仿宋" w:cs="Times New Roman"/>
          <w:color w:val="auto"/>
          <w:kern w:val="2"/>
          <w:sz w:val="28"/>
          <w:szCs w:val="28"/>
          <w:highlight w:val="none"/>
          <w:lang w:val="en-US" w:eastAsia="zh-CN" w:bidi="ar-SA"/>
        </w:rPr>
        <w:t>测，检验检测内容和标准应符合相应品牌空调系统维护保养手册的要求，确保空调运行状态良好。</w:t>
      </w:r>
    </w:p>
    <w:p w14:paraId="10E026B0">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3.重要节点空调保障：泗阳县</w:t>
      </w:r>
      <w:r>
        <w:rPr>
          <w:rStyle w:val="31"/>
          <w:rFonts w:hint="eastAsia" w:ascii="仿宋" w:hAnsi="仿宋" w:eastAsia="仿宋" w:cs="Times New Roman"/>
          <w:color w:val="auto"/>
          <w:kern w:val="2"/>
          <w:sz w:val="28"/>
          <w:szCs w:val="28"/>
          <w:highlight w:val="none"/>
          <w:lang w:val="en-US" w:eastAsia="zh-CN" w:bidi="ar-SA"/>
        </w:rPr>
        <w:t>党政办公楼、行政服务中心、双子楼</w:t>
      </w:r>
      <w:r>
        <w:rPr>
          <w:rStyle w:val="31"/>
          <w:rFonts w:ascii="仿宋" w:hAnsi="仿宋" w:eastAsia="仿宋" w:cs="Times New Roman"/>
          <w:color w:val="auto"/>
          <w:kern w:val="2"/>
          <w:sz w:val="28"/>
          <w:szCs w:val="28"/>
          <w:highlight w:val="none"/>
          <w:lang w:val="en-US" w:eastAsia="zh-CN" w:bidi="ar-SA"/>
        </w:rPr>
        <w:t>重要会场有</w:t>
      </w:r>
      <w:r>
        <w:rPr>
          <w:rStyle w:val="31"/>
          <w:rFonts w:hint="eastAsia" w:ascii="仿宋" w:hAnsi="仿宋" w:eastAsia="仿宋" w:cs="Times New Roman"/>
          <w:color w:val="auto"/>
          <w:kern w:val="2"/>
          <w:sz w:val="28"/>
          <w:szCs w:val="28"/>
          <w:highlight w:val="none"/>
          <w:lang w:val="en-US" w:eastAsia="zh-CN" w:bidi="ar-SA"/>
        </w:rPr>
        <w:t>重要活动安排时，乙方应根据甲方要求，提前做好项目范围内空调系统的检验检测和维护保养工作，以确保设备的正常安全运行。</w:t>
      </w:r>
    </w:p>
    <w:p w14:paraId="09D3771E">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（二）常规保养及巡检内容（每次常规保养和巡检包含且不限于以下项目）</w:t>
      </w:r>
    </w:p>
    <w:p w14:paraId="4305298E">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1.清洗室外机冷凝器，改善空调室外换热效果。</w:t>
      </w:r>
    </w:p>
    <w:p w14:paraId="0CB5A47D">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2.测量电流电压，确认电源及电线的安全性能。</w:t>
      </w:r>
    </w:p>
    <w:p w14:paraId="06EBE8DD">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3.测量系统压力，确保压力达标。</w:t>
      </w:r>
    </w:p>
    <w:p w14:paraId="51107157">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4.检查各接线端子排，确认是否松动。</w:t>
      </w:r>
    </w:p>
    <w:p w14:paraId="7CC7FAE1">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5.对室内蒸发器进行吹污，确保空气清新，健康。</w:t>
      </w:r>
    </w:p>
    <w:p w14:paraId="24E9E92F">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6.制冷季检查排水，检查保温情况。</w:t>
      </w:r>
    </w:p>
    <w:p w14:paraId="2EEC55CD">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7.单台室内机试运转测试和多台室内机同时运转测试。</w:t>
      </w:r>
    </w:p>
    <w:p w14:paraId="61AA27C9">
      <w:pPr>
        <w:widowControl w:val="0"/>
        <w:bidi w:val="0"/>
        <w:spacing w:line="360" w:lineRule="auto"/>
        <w:ind w:firstLine="420" w:firstLineChars="15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（三）维保工作要求</w:t>
      </w:r>
    </w:p>
    <w:p w14:paraId="46ADAB6B">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1.乙方应严格按照双方约定做好项目范围内空调系统的维护保养工</w:t>
      </w:r>
      <w:r>
        <w:rPr>
          <w:rStyle w:val="31"/>
          <w:rFonts w:hint="eastAsia" w:ascii="仿宋" w:hAnsi="仿宋" w:eastAsia="仿宋" w:cs="Times New Roman"/>
          <w:color w:val="auto"/>
          <w:kern w:val="2"/>
          <w:sz w:val="28"/>
          <w:szCs w:val="28"/>
          <w:highlight w:val="none"/>
          <w:lang w:val="en-US" w:eastAsia="zh-CN" w:bidi="ar-SA"/>
        </w:rPr>
        <w:t>作，每次维修、保养要对设备的运行参数、维保内容、更换材料内容等详细记录，形成书面维保记录单一式两份，经双方签字确认后各存一份归档。</w:t>
      </w:r>
    </w:p>
    <w:p w14:paraId="2D15EB6D">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2.在每年的空调运行期间，乙方保证有足够的常用备件更换，所用配</w:t>
      </w:r>
      <w:r>
        <w:rPr>
          <w:rStyle w:val="31"/>
          <w:rFonts w:hint="eastAsia" w:ascii="仿宋" w:hAnsi="仿宋" w:eastAsia="仿宋" w:cs="Times New Roman"/>
          <w:color w:val="auto"/>
          <w:kern w:val="2"/>
          <w:sz w:val="28"/>
          <w:szCs w:val="28"/>
          <w:highlight w:val="none"/>
          <w:lang w:val="en-US" w:eastAsia="zh-CN" w:bidi="ar-SA"/>
        </w:rPr>
        <w:t>件必须是相应品牌的正宗原厂配件，以保证空调系统随时修复，保障甲方设备的正常使用。</w:t>
      </w:r>
    </w:p>
    <w:p w14:paraId="36E3D0C9">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3.维修和大修必须严格执行相关品牌空调的相关条款。</w:t>
      </w:r>
    </w:p>
    <w:p w14:paraId="0E01C370">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4.维修人员必须是经过中央空调</w:t>
      </w:r>
      <w:r>
        <w:rPr>
          <w:rStyle w:val="31"/>
          <w:rFonts w:hint="eastAsia" w:ascii="仿宋" w:hAnsi="仿宋" w:eastAsia="仿宋" w:cs="Times New Roman"/>
          <w:color w:val="auto"/>
          <w:kern w:val="2"/>
          <w:sz w:val="28"/>
          <w:szCs w:val="28"/>
          <w:highlight w:val="none"/>
          <w:lang w:val="en-US" w:eastAsia="zh-CN" w:bidi="ar-SA"/>
        </w:rPr>
        <w:t>等</w:t>
      </w:r>
      <w:r>
        <w:rPr>
          <w:rStyle w:val="31"/>
          <w:rFonts w:ascii="仿宋" w:hAnsi="仿宋" w:eastAsia="仿宋" w:cs="Times New Roman"/>
          <w:color w:val="auto"/>
          <w:kern w:val="2"/>
          <w:sz w:val="28"/>
          <w:szCs w:val="28"/>
          <w:highlight w:val="none"/>
          <w:lang w:val="en-US" w:eastAsia="zh-CN" w:bidi="ar-SA"/>
        </w:rPr>
        <w:t>维保培训的，经</w:t>
      </w:r>
      <w:r>
        <w:rPr>
          <w:rStyle w:val="31"/>
          <w:rFonts w:hint="eastAsia" w:ascii="仿宋" w:hAnsi="仿宋" w:eastAsia="仿宋" w:cs="Times New Roman"/>
          <w:color w:val="auto"/>
          <w:kern w:val="2"/>
          <w:sz w:val="28"/>
          <w:szCs w:val="28"/>
          <w:highlight w:val="none"/>
          <w:lang w:val="en-US" w:eastAsia="zh-CN" w:bidi="ar-SA"/>
        </w:rPr>
        <w:t>验丰富的，持有上岗证的专业技术骨干。乙方维保人员不能胜任或不尽责的，甲方有权提出更换维保人员要求，乙方接到甲方更换维保人员通知后应及时更换相关人员。</w:t>
      </w:r>
    </w:p>
    <w:p w14:paraId="6C2DFA8C">
      <w:pPr>
        <w:widowControl w:val="0"/>
        <w:bidi w:val="0"/>
        <w:spacing w:line="580" w:lineRule="exact"/>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5.乙方应保证</w:t>
      </w:r>
      <w:r>
        <w:rPr>
          <w:rStyle w:val="31"/>
          <w:rFonts w:hint="eastAsia" w:ascii="仿宋" w:hAnsi="仿宋" w:eastAsia="仿宋" w:cs="Times New Roman"/>
          <w:color w:val="auto"/>
          <w:kern w:val="2"/>
          <w:sz w:val="28"/>
          <w:szCs w:val="28"/>
          <w:highlight w:val="none"/>
          <w:lang w:val="en-US" w:eastAsia="zh-CN" w:bidi="ar-SA"/>
        </w:rPr>
        <w:t>按投标文件中承诺的项目组成员配备</w:t>
      </w:r>
      <w:r>
        <w:rPr>
          <w:rStyle w:val="31"/>
          <w:rFonts w:ascii="仿宋" w:hAnsi="仿宋" w:eastAsia="仿宋" w:cs="Times New Roman"/>
          <w:color w:val="auto"/>
          <w:kern w:val="2"/>
          <w:sz w:val="28"/>
          <w:szCs w:val="28"/>
          <w:highlight w:val="none"/>
          <w:lang w:val="en-US" w:eastAsia="zh-CN" w:bidi="ar-SA"/>
        </w:rPr>
        <w:t>4名驻点人员</w:t>
      </w:r>
      <w:r>
        <w:rPr>
          <w:rStyle w:val="31"/>
          <w:rFonts w:hint="eastAsia" w:ascii="仿宋" w:hAnsi="仿宋" w:eastAsia="仿宋" w:cs="Times New Roman"/>
          <w:color w:val="auto"/>
          <w:kern w:val="2"/>
          <w:sz w:val="28"/>
          <w:szCs w:val="28"/>
          <w:highlight w:val="none"/>
          <w:lang w:val="en-US" w:eastAsia="zh-CN" w:bidi="ar-SA"/>
        </w:rPr>
        <w:t>，在服务期间，需提供驻场服务，随时为该项目服务（包含节假日）。驻场人员必须接受甲方打卡考核（每天不少于四次打卡），遇到重要会议活动，必须安排不少于2名专业技术人员保障会场空调正常安全使用。正常上班期间，驻点维保人员外出的需严格履行请假手续，经甲方批准后方可外出。</w:t>
      </w:r>
    </w:p>
    <w:p w14:paraId="7ED34671">
      <w:pPr>
        <w:widowControl w:val="0"/>
        <w:bidi w:val="0"/>
        <w:spacing w:line="580" w:lineRule="exact"/>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6.驻场人员，未经采购人书面同意不得更换，否则视为重大违约，采购人有权解除合同，并处罚2000元/每人每天，并由投标人全部承担因此造成的一切损失。（要确保不少于6人的专业技术团队，中标后要将每位技术人员的身份证、专业技术证书复印件及个人工作简历等材料报招标人备案，由招标人对项目组成员进行审核，证件核验，每缺少或派驻人员不符合招标要求的、提供虚假材料的罚款1万元/每人每天，具体处罚天数和处罚数额计算以整改到位为截止）。</w:t>
      </w:r>
    </w:p>
    <w:p w14:paraId="79806F16">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7</w:t>
      </w:r>
      <w:r>
        <w:rPr>
          <w:rStyle w:val="31"/>
          <w:rFonts w:ascii="仿宋" w:hAnsi="仿宋" w:eastAsia="仿宋" w:cs="Times New Roman"/>
          <w:color w:val="auto"/>
          <w:kern w:val="2"/>
          <w:sz w:val="28"/>
          <w:szCs w:val="28"/>
          <w:highlight w:val="none"/>
          <w:lang w:val="en-US" w:eastAsia="zh-CN" w:bidi="ar-SA"/>
        </w:rPr>
        <w:t>.驻点维保人员应保证全天候24小时通讯畅通（含下班期间和节假</w:t>
      </w:r>
      <w:r>
        <w:rPr>
          <w:rStyle w:val="31"/>
          <w:rFonts w:hint="eastAsia" w:ascii="仿宋" w:hAnsi="仿宋" w:eastAsia="仿宋" w:cs="Times New Roman"/>
          <w:color w:val="auto"/>
          <w:kern w:val="2"/>
          <w:sz w:val="28"/>
          <w:szCs w:val="28"/>
          <w:highlight w:val="none"/>
          <w:lang w:val="en-US" w:eastAsia="zh-CN" w:bidi="ar-SA"/>
        </w:rPr>
        <w:t>日），随叫随到。非正常上班期间，乙方驻点人员接到甲方通知后到达项目现场时间不得超过半小时。</w:t>
      </w:r>
    </w:p>
    <w:p w14:paraId="1EE2A587">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8</w:t>
      </w:r>
      <w:r>
        <w:rPr>
          <w:rStyle w:val="31"/>
          <w:rFonts w:ascii="仿宋" w:hAnsi="仿宋" w:eastAsia="仿宋" w:cs="Times New Roman"/>
          <w:color w:val="auto"/>
          <w:kern w:val="2"/>
          <w:sz w:val="28"/>
          <w:szCs w:val="28"/>
          <w:highlight w:val="none"/>
          <w:lang w:val="en-US" w:eastAsia="zh-CN" w:bidi="ar-SA"/>
        </w:rPr>
        <w:t>.甲乙双方应指派专人负责衔接。每次维修、保养时，甲方衔接人应</w:t>
      </w:r>
      <w:r>
        <w:rPr>
          <w:rStyle w:val="31"/>
          <w:rFonts w:hint="eastAsia" w:ascii="仿宋" w:hAnsi="仿宋" w:eastAsia="仿宋" w:cs="Times New Roman"/>
          <w:color w:val="auto"/>
          <w:kern w:val="2"/>
          <w:sz w:val="28"/>
          <w:szCs w:val="28"/>
          <w:highlight w:val="none"/>
          <w:lang w:val="en-US" w:eastAsia="zh-CN" w:bidi="ar-SA"/>
        </w:rPr>
        <w:t>为乙方人员的施工提供便利，乙方衔接人应提前将维修、保养工作安排告知甲方衔接人，并接受甲方人员的监督管理。双方衔接人员安排如下：</w:t>
      </w:r>
    </w:p>
    <w:p w14:paraId="347AEBC2">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甲方联系人为：</w:t>
      </w:r>
      <w:r>
        <w:rPr>
          <w:rStyle w:val="31"/>
          <w:rFonts w:hint="eastAsia"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lang w:val="en-US" w:eastAsia="zh-CN" w:bidi="ar-SA"/>
        </w:rPr>
        <w:t>，</w:t>
      </w:r>
    </w:p>
    <w:p w14:paraId="2BD6A6BA">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乙方联系人</w:t>
      </w:r>
      <w:r>
        <w:rPr>
          <w:rStyle w:val="31"/>
          <w:rFonts w:hint="eastAsia" w:ascii="仿宋" w:hAnsi="仿宋" w:eastAsia="仿宋" w:cs="Times New Roman"/>
          <w:color w:val="auto"/>
          <w:kern w:val="2"/>
          <w:sz w:val="28"/>
          <w:szCs w:val="28"/>
          <w:highlight w:val="none"/>
          <w:lang w:val="en-US" w:eastAsia="zh-CN" w:bidi="ar-SA"/>
        </w:rPr>
        <w:t>为：</w:t>
      </w:r>
      <w:r>
        <w:rPr>
          <w:rStyle w:val="31"/>
          <w:rFonts w:hint="eastAsia" w:ascii="仿宋" w:hAnsi="仿宋" w:eastAsia="仿宋" w:cs="Times New Roman"/>
          <w:color w:val="auto"/>
          <w:kern w:val="2"/>
          <w:sz w:val="28"/>
          <w:szCs w:val="28"/>
          <w:highlight w:val="none"/>
          <w:u w:val="single"/>
          <w:lang w:val="en-US" w:eastAsia="zh-CN" w:bidi="ar-SA"/>
        </w:rPr>
        <w:t xml:space="preserve">                   </w:t>
      </w:r>
      <w:r>
        <w:rPr>
          <w:rStyle w:val="31"/>
          <w:rFonts w:ascii="仿宋" w:hAnsi="仿宋" w:eastAsia="仿宋" w:cs="Times New Roman"/>
          <w:color w:val="auto"/>
          <w:kern w:val="2"/>
          <w:sz w:val="28"/>
          <w:szCs w:val="28"/>
          <w:highlight w:val="none"/>
          <w:lang w:val="en-US" w:eastAsia="zh-CN" w:bidi="ar-SA"/>
        </w:rPr>
        <w:t>；</w:t>
      </w:r>
    </w:p>
    <w:p w14:paraId="47F1D7E7">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9</w:t>
      </w:r>
      <w:r>
        <w:rPr>
          <w:rStyle w:val="31"/>
          <w:rFonts w:ascii="仿宋" w:hAnsi="仿宋" w:eastAsia="仿宋" w:cs="Times New Roman"/>
          <w:color w:val="auto"/>
          <w:kern w:val="2"/>
          <w:sz w:val="28"/>
          <w:szCs w:val="28"/>
          <w:highlight w:val="none"/>
          <w:lang w:val="en-US" w:eastAsia="zh-CN" w:bidi="ar-SA"/>
        </w:rPr>
        <w:t>.乙方应保证一般故障在 2-３小时内排除到位，重大故障要形成书</w:t>
      </w:r>
      <w:r>
        <w:rPr>
          <w:rStyle w:val="31"/>
          <w:rFonts w:hint="eastAsia" w:ascii="仿宋" w:hAnsi="仿宋" w:eastAsia="仿宋" w:cs="Times New Roman"/>
          <w:color w:val="auto"/>
          <w:kern w:val="2"/>
          <w:sz w:val="28"/>
          <w:szCs w:val="28"/>
          <w:highlight w:val="none"/>
          <w:lang w:val="en-US" w:eastAsia="zh-CN" w:bidi="ar-SA"/>
        </w:rPr>
        <w:t>面说明报甲方认可后，在</w:t>
      </w:r>
      <w:r>
        <w:rPr>
          <w:rStyle w:val="31"/>
          <w:rFonts w:ascii="仿宋" w:hAnsi="仿宋" w:eastAsia="仿宋" w:cs="Times New Roman"/>
          <w:color w:val="auto"/>
          <w:kern w:val="2"/>
          <w:sz w:val="28"/>
          <w:szCs w:val="28"/>
          <w:highlight w:val="none"/>
          <w:lang w:val="en-US" w:eastAsia="zh-CN" w:bidi="ar-SA"/>
        </w:rPr>
        <w:t xml:space="preserve"> 2-3 天内维修好。</w:t>
      </w:r>
    </w:p>
    <w:p w14:paraId="01C182B5">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10</w:t>
      </w:r>
      <w:r>
        <w:rPr>
          <w:rStyle w:val="31"/>
          <w:rFonts w:ascii="仿宋" w:hAnsi="仿宋" w:eastAsia="仿宋" w:cs="Times New Roman"/>
          <w:color w:val="auto"/>
          <w:kern w:val="2"/>
          <w:sz w:val="28"/>
          <w:szCs w:val="28"/>
          <w:highlight w:val="none"/>
          <w:lang w:val="en-US" w:eastAsia="zh-CN" w:bidi="ar-SA"/>
        </w:rPr>
        <w:t>.合同期满时，甲乙双方共同对维保范围内空调机组进行检测，乙方</w:t>
      </w:r>
      <w:r>
        <w:rPr>
          <w:rStyle w:val="31"/>
          <w:rFonts w:hint="eastAsia" w:ascii="仿宋" w:hAnsi="仿宋" w:eastAsia="仿宋" w:cs="Times New Roman"/>
          <w:color w:val="auto"/>
          <w:kern w:val="2"/>
          <w:sz w:val="28"/>
          <w:szCs w:val="28"/>
          <w:highlight w:val="none"/>
          <w:lang w:val="en-US" w:eastAsia="zh-CN" w:bidi="ar-SA"/>
        </w:rPr>
        <w:t>应保证维保期结束后交付甲方的空调机组正常运行无故障。</w:t>
      </w:r>
    </w:p>
    <w:p w14:paraId="168B59F6">
      <w:pPr>
        <w:widowControl w:val="0"/>
        <w:bidi w:val="0"/>
        <w:spacing w:line="360" w:lineRule="auto"/>
        <w:ind w:firstLine="562" w:firstLineChars="200"/>
        <w:jc w:val="both"/>
        <w:rPr>
          <w:rStyle w:val="31"/>
          <w:rFonts w:ascii="仿宋" w:hAnsi="仿宋" w:eastAsia="仿宋" w:cs="Times New Roman"/>
          <w:b/>
          <w:color w:val="auto"/>
          <w:kern w:val="2"/>
          <w:sz w:val="28"/>
          <w:szCs w:val="28"/>
          <w:highlight w:val="none"/>
          <w:lang w:val="en-US" w:eastAsia="zh-CN" w:bidi="ar-SA"/>
        </w:rPr>
      </w:pPr>
      <w:r>
        <w:rPr>
          <w:rStyle w:val="31"/>
          <w:rFonts w:hint="eastAsia" w:ascii="仿宋" w:hAnsi="仿宋" w:eastAsia="仿宋" w:cs="Times New Roman"/>
          <w:b/>
          <w:color w:val="auto"/>
          <w:kern w:val="2"/>
          <w:sz w:val="28"/>
          <w:szCs w:val="28"/>
          <w:highlight w:val="none"/>
          <w:lang w:val="en-US" w:eastAsia="zh-CN" w:bidi="ar-SA"/>
        </w:rPr>
        <w:t>四、服务说明</w:t>
      </w:r>
    </w:p>
    <w:p w14:paraId="471DC94B">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1.水灾、地震、雷击等自然灾害为不可抗力。由于不可抗力的原因造</w:t>
      </w:r>
      <w:r>
        <w:rPr>
          <w:rStyle w:val="31"/>
          <w:rFonts w:hint="eastAsia" w:ascii="仿宋" w:hAnsi="仿宋" w:eastAsia="仿宋" w:cs="Times New Roman"/>
          <w:color w:val="auto"/>
          <w:kern w:val="2"/>
          <w:sz w:val="28"/>
          <w:szCs w:val="28"/>
          <w:highlight w:val="none"/>
          <w:lang w:val="en-US" w:eastAsia="zh-CN" w:bidi="ar-SA"/>
        </w:rPr>
        <w:t>成的零部件及空调系统损坏，乙方将不承担责任，但乙方应立即通知甲方，不可抗力发生后</w:t>
      </w:r>
      <w:r>
        <w:rPr>
          <w:rStyle w:val="31"/>
          <w:rFonts w:ascii="仿宋" w:hAnsi="仿宋" w:eastAsia="仿宋" w:cs="Times New Roman"/>
          <w:color w:val="auto"/>
          <w:kern w:val="2"/>
          <w:sz w:val="28"/>
          <w:szCs w:val="28"/>
          <w:highlight w:val="none"/>
          <w:lang w:val="en-US" w:eastAsia="zh-CN" w:bidi="ar-SA"/>
        </w:rPr>
        <w:t>15天内乙方应向甲方出具事故证明书以书面形式通知甲</w:t>
      </w:r>
      <w:r>
        <w:rPr>
          <w:rStyle w:val="31"/>
          <w:rFonts w:hint="eastAsia" w:ascii="仿宋" w:hAnsi="仿宋" w:eastAsia="仿宋" w:cs="Times New Roman"/>
          <w:color w:val="auto"/>
          <w:kern w:val="2"/>
          <w:sz w:val="28"/>
          <w:szCs w:val="28"/>
          <w:highlight w:val="none"/>
          <w:lang w:val="en-US" w:eastAsia="zh-CN" w:bidi="ar-SA"/>
        </w:rPr>
        <w:t>方。</w:t>
      </w:r>
    </w:p>
    <w:p w14:paraId="4E816126">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2.在上述情况下，乙方仍应采取必要措施修复故障，但相关材料费用</w:t>
      </w:r>
      <w:r>
        <w:rPr>
          <w:rStyle w:val="31"/>
          <w:rFonts w:hint="eastAsia" w:ascii="仿宋" w:hAnsi="仿宋" w:eastAsia="仿宋" w:cs="Times New Roman"/>
          <w:color w:val="auto"/>
          <w:kern w:val="2"/>
          <w:sz w:val="28"/>
          <w:szCs w:val="28"/>
          <w:highlight w:val="none"/>
          <w:lang w:val="en-US" w:eastAsia="zh-CN" w:bidi="ar-SA"/>
        </w:rPr>
        <w:t>由甲方承担。</w:t>
      </w:r>
    </w:p>
    <w:p w14:paraId="74F1A7CF">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3.由于非人为或非不可抗拒事故原因造成的故障，乙方不再收取任何</w:t>
      </w:r>
      <w:r>
        <w:rPr>
          <w:rStyle w:val="31"/>
          <w:rFonts w:hint="eastAsia" w:ascii="仿宋" w:hAnsi="仿宋" w:eastAsia="仿宋" w:cs="Times New Roman"/>
          <w:color w:val="auto"/>
          <w:kern w:val="2"/>
          <w:sz w:val="28"/>
          <w:szCs w:val="28"/>
          <w:highlight w:val="none"/>
          <w:lang w:val="en-US" w:eastAsia="zh-CN" w:bidi="ar-SA"/>
        </w:rPr>
        <w:t>形式的维修费、人工费及备件费。</w:t>
      </w:r>
    </w:p>
    <w:p w14:paraId="750BB528">
      <w:pPr>
        <w:widowControl w:val="0"/>
        <w:bidi w:val="0"/>
        <w:spacing w:line="360" w:lineRule="auto"/>
        <w:ind w:firstLine="562" w:firstLineChars="200"/>
        <w:jc w:val="both"/>
        <w:rPr>
          <w:rStyle w:val="31"/>
          <w:rFonts w:ascii="仿宋" w:hAnsi="仿宋" w:eastAsia="仿宋" w:cs="Times New Roman"/>
          <w:b/>
          <w:color w:val="auto"/>
          <w:kern w:val="2"/>
          <w:sz w:val="28"/>
          <w:szCs w:val="28"/>
          <w:highlight w:val="none"/>
          <w:lang w:val="en-US" w:eastAsia="zh-CN" w:bidi="ar-SA"/>
        </w:rPr>
      </w:pPr>
      <w:r>
        <w:rPr>
          <w:rStyle w:val="31"/>
          <w:rFonts w:hint="eastAsia" w:ascii="仿宋" w:hAnsi="仿宋" w:eastAsia="仿宋" w:cs="Times New Roman"/>
          <w:b/>
          <w:color w:val="auto"/>
          <w:kern w:val="2"/>
          <w:sz w:val="28"/>
          <w:szCs w:val="28"/>
          <w:highlight w:val="none"/>
          <w:lang w:val="en-US" w:eastAsia="zh-CN" w:bidi="ar-SA"/>
        </w:rPr>
        <w:t>五、违约责任</w:t>
      </w:r>
    </w:p>
    <w:p w14:paraId="7FA4D8D9">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1.甲方必须严格按时按合同约定向乙方支付维保费，如果甲方不能按</w:t>
      </w:r>
      <w:r>
        <w:rPr>
          <w:rStyle w:val="31"/>
          <w:rFonts w:hint="eastAsia" w:ascii="仿宋" w:hAnsi="仿宋" w:eastAsia="仿宋" w:cs="Times New Roman"/>
          <w:color w:val="auto"/>
          <w:kern w:val="2"/>
          <w:sz w:val="28"/>
          <w:szCs w:val="28"/>
          <w:highlight w:val="none"/>
          <w:lang w:val="en-US" w:eastAsia="zh-CN" w:bidi="ar-SA"/>
        </w:rPr>
        <w:t>时履行付款约定，乙方有权终止服务，并有权追述甲方应付的款项及有关给乙方造成的一切损失。</w:t>
      </w:r>
    </w:p>
    <w:p w14:paraId="16FA1D5D">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2.乙方驻点人员必须严格接受甲方考勤和在岗管理，有下列情形之一</w:t>
      </w:r>
      <w:r>
        <w:rPr>
          <w:rStyle w:val="31"/>
          <w:rFonts w:hint="eastAsia" w:ascii="仿宋" w:hAnsi="仿宋" w:eastAsia="仿宋" w:cs="Times New Roman"/>
          <w:color w:val="auto"/>
          <w:kern w:val="2"/>
          <w:sz w:val="28"/>
          <w:szCs w:val="28"/>
          <w:highlight w:val="none"/>
          <w:lang w:val="en-US" w:eastAsia="zh-CN" w:bidi="ar-SA"/>
        </w:rPr>
        <w:t>的，每次罚款</w:t>
      </w:r>
      <w:r>
        <w:rPr>
          <w:rStyle w:val="31"/>
          <w:rFonts w:ascii="仿宋" w:hAnsi="仿宋" w:eastAsia="仿宋" w:cs="Times New Roman"/>
          <w:color w:val="auto"/>
          <w:kern w:val="2"/>
          <w:sz w:val="28"/>
          <w:szCs w:val="28"/>
          <w:highlight w:val="none"/>
          <w:lang w:val="en-US" w:eastAsia="zh-CN" w:bidi="ar-SA"/>
        </w:rPr>
        <w:t>500元，情节严重的，甲方有权提出更换驻点人员。</w:t>
      </w:r>
    </w:p>
    <w:p w14:paraId="78791790">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w:t>
      </w:r>
      <w:r>
        <w:rPr>
          <w:rStyle w:val="31"/>
          <w:rFonts w:ascii="仿宋" w:hAnsi="仿宋" w:eastAsia="仿宋" w:cs="Times New Roman"/>
          <w:color w:val="auto"/>
          <w:kern w:val="2"/>
          <w:sz w:val="28"/>
          <w:szCs w:val="28"/>
          <w:highlight w:val="none"/>
          <w:lang w:val="en-US" w:eastAsia="zh-CN" w:bidi="ar-SA"/>
        </w:rPr>
        <w:t>1）不接受甲方考勤点名的，或迟到早退的。</w:t>
      </w:r>
    </w:p>
    <w:p w14:paraId="6A9CD53E">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w:t>
      </w:r>
      <w:r>
        <w:rPr>
          <w:rStyle w:val="31"/>
          <w:rFonts w:ascii="仿宋" w:hAnsi="仿宋" w:eastAsia="仿宋" w:cs="Times New Roman"/>
          <w:color w:val="auto"/>
          <w:kern w:val="2"/>
          <w:sz w:val="28"/>
          <w:szCs w:val="28"/>
          <w:highlight w:val="none"/>
          <w:lang w:val="en-US" w:eastAsia="zh-CN" w:bidi="ar-SA"/>
        </w:rPr>
        <w:t>2）未经甲方批准擅自离岗的。</w:t>
      </w:r>
    </w:p>
    <w:p w14:paraId="559ED7AE">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w:t>
      </w:r>
      <w:r>
        <w:rPr>
          <w:rStyle w:val="31"/>
          <w:rFonts w:ascii="仿宋" w:hAnsi="仿宋" w:eastAsia="仿宋" w:cs="Times New Roman"/>
          <w:color w:val="auto"/>
          <w:kern w:val="2"/>
          <w:sz w:val="28"/>
          <w:szCs w:val="28"/>
          <w:highlight w:val="none"/>
          <w:lang w:val="en-US" w:eastAsia="zh-CN" w:bidi="ar-SA"/>
        </w:rPr>
        <w:t>3）接到甲方维保通知不能按照合同约定时间及时到场的。</w:t>
      </w:r>
    </w:p>
    <w:p w14:paraId="39F71E76">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3.因乙方驻点人员不到岗、拖延、不接电话等原因导致不能正常修复</w:t>
      </w:r>
      <w:r>
        <w:rPr>
          <w:rStyle w:val="31"/>
          <w:rFonts w:hint="eastAsia" w:ascii="仿宋" w:hAnsi="仿宋" w:eastAsia="仿宋" w:cs="Times New Roman"/>
          <w:color w:val="auto"/>
          <w:kern w:val="2"/>
          <w:sz w:val="28"/>
          <w:szCs w:val="28"/>
          <w:highlight w:val="none"/>
          <w:lang w:val="en-US" w:eastAsia="zh-CN" w:bidi="ar-SA"/>
        </w:rPr>
        <w:t>机器，给甲方造成影响的，甲方有权委托第三方进行维修，因此产生的费用由乙方承担。</w:t>
      </w:r>
    </w:p>
    <w:p w14:paraId="7031333E">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4.空调维保期满时，乙方应保证维保范围内的空调机组正常运行无故</w:t>
      </w:r>
      <w:r>
        <w:rPr>
          <w:rStyle w:val="31"/>
          <w:rFonts w:hint="eastAsia" w:ascii="仿宋" w:hAnsi="仿宋" w:eastAsia="仿宋" w:cs="Times New Roman"/>
          <w:color w:val="auto"/>
          <w:kern w:val="2"/>
          <w:sz w:val="28"/>
          <w:szCs w:val="28"/>
          <w:highlight w:val="none"/>
          <w:lang w:val="en-US" w:eastAsia="zh-CN" w:bidi="ar-SA"/>
        </w:rPr>
        <w:t>障。经甲乙双方检测有故障的机组，乙方应继续维修直至正常运行。因乙方未尽义务或拖延维修的，甲方有权委托第三方维修，因此产生的费用由乙方负责。</w:t>
      </w:r>
    </w:p>
    <w:p w14:paraId="10C9BEE2">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5.乙方有下列违约情况之一，并在收到甲方发出的“乙方违约通知书”</w:t>
      </w:r>
      <w:r>
        <w:rPr>
          <w:rStyle w:val="31"/>
          <w:rFonts w:hint="eastAsia" w:ascii="仿宋" w:hAnsi="仿宋" w:eastAsia="仿宋" w:cs="Times New Roman"/>
          <w:color w:val="auto"/>
          <w:kern w:val="2"/>
          <w:sz w:val="28"/>
          <w:szCs w:val="28"/>
          <w:highlight w:val="none"/>
          <w:lang w:val="en-US" w:eastAsia="zh-CN" w:bidi="ar-SA"/>
        </w:rPr>
        <w:t>的当日或经甲方书面认可延长的时间内未能纠正过失，甲方有权单方终止部分或全部合同，在这种情况下，并不影响甲方向乙方提出索赔。</w:t>
      </w:r>
    </w:p>
    <w:p w14:paraId="24FF4FFE">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w:t>
      </w:r>
      <w:r>
        <w:rPr>
          <w:rStyle w:val="31"/>
          <w:rFonts w:ascii="仿宋" w:hAnsi="仿宋" w:eastAsia="仿宋" w:cs="Times New Roman"/>
          <w:color w:val="auto"/>
          <w:kern w:val="2"/>
          <w:sz w:val="28"/>
          <w:szCs w:val="28"/>
          <w:highlight w:val="none"/>
          <w:lang w:val="en-US" w:eastAsia="zh-CN" w:bidi="ar-SA"/>
        </w:rPr>
        <w:t>1）除人力不可抗拒因素及甲方原因外（如用电不当等），乙方不能</w:t>
      </w:r>
      <w:r>
        <w:rPr>
          <w:rStyle w:val="31"/>
          <w:rFonts w:hint="eastAsia" w:ascii="仿宋" w:hAnsi="仿宋" w:eastAsia="仿宋" w:cs="Times New Roman"/>
          <w:color w:val="auto"/>
          <w:kern w:val="2"/>
          <w:sz w:val="28"/>
          <w:szCs w:val="28"/>
          <w:highlight w:val="none"/>
          <w:lang w:val="en-US" w:eastAsia="zh-CN" w:bidi="ar-SA"/>
        </w:rPr>
        <w:t>按期进行维保服务，或因运输及维修中设备缺损需要更换而影响实际使用时，乙方必须向甲方支付延期交货或延期使用的违约金，具体标准按合同总价每日千分之一计算。</w:t>
      </w:r>
    </w:p>
    <w:p w14:paraId="6235A045">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w:t>
      </w:r>
      <w:r>
        <w:rPr>
          <w:rStyle w:val="31"/>
          <w:rFonts w:ascii="仿宋" w:hAnsi="仿宋" w:eastAsia="仿宋" w:cs="Times New Roman"/>
          <w:color w:val="auto"/>
          <w:kern w:val="2"/>
          <w:sz w:val="28"/>
          <w:szCs w:val="28"/>
          <w:highlight w:val="none"/>
          <w:lang w:val="en-US" w:eastAsia="zh-CN" w:bidi="ar-SA"/>
        </w:rPr>
        <w:t>2）遇到重大故障，如果未能按预定时间维修好，而影响空调的正</w:t>
      </w:r>
      <w:r>
        <w:rPr>
          <w:rStyle w:val="31"/>
          <w:rFonts w:hint="eastAsia" w:ascii="仿宋" w:hAnsi="仿宋" w:eastAsia="仿宋" w:cs="Times New Roman"/>
          <w:color w:val="auto"/>
          <w:kern w:val="2"/>
          <w:sz w:val="28"/>
          <w:szCs w:val="28"/>
          <w:highlight w:val="none"/>
          <w:lang w:val="en-US" w:eastAsia="zh-CN" w:bidi="ar-SA"/>
        </w:rPr>
        <w:t>常使用，每延迟一天将处以</w:t>
      </w:r>
      <w:r>
        <w:rPr>
          <w:rStyle w:val="31"/>
          <w:rFonts w:ascii="仿宋" w:hAnsi="仿宋" w:eastAsia="仿宋" w:cs="Times New Roman"/>
          <w:color w:val="auto"/>
          <w:kern w:val="2"/>
          <w:sz w:val="28"/>
          <w:szCs w:val="28"/>
          <w:highlight w:val="none"/>
          <w:lang w:val="en-US" w:eastAsia="zh-CN" w:bidi="ar-SA"/>
        </w:rPr>
        <w:t>1000元的罚款。延期维保时间超过15天或维保</w:t>
      </w:r>
      <w:r>
        <w:rPr>
          <w:rStyle w:val="31"/>
          <w:rFonts w:hint="eastAsia" w:ascii="仿宋" w:hAnsi="仿宋" w:eastAsia="仿宋" w:cs="Times New Roman"/>
          <w:color w:val="auto"/>
          <w:kern w:val="2"/>
          <w:sz w:val="28"/>
          <w:szCs w:val="28"/>
          <w:highlight w:val="none"/>
          <w:lang w:val="en-US" w:eastAsia="zh-CN" w:bidi="ar-SA"/>
        </w:rPr>
        <w:t>不合格从而影响甲方按期正常使用的视为乙方严重违约，甲方有权立即终止合同，乙方仍需向甲方支付全部延期违约金，并赔偿甲方相关损失，返</w:t>
      </w:r>
    </w:p>
    <w:p w14:paraId="1CF19720">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还甲方已支付的合同款。</w:t>
      </w:r>
    </w:p>
    <w:p w14:paraId="6EC64DF2">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w:t>
      </w:r>
      <w:r>
        <w:rPr>
          <w:rStyle w:val="31"/>
          <w:rFonts w:ascii="仿宋" w:hAnsi="仿宋" w:eastAsia="仿宋" w:cs="Times New Roman"/>
          <w:color w:val="auto"/>
          <w:kern w:val="2"/>
          <w:sz w:val="28"/>
          <w:szCs w:val="28"/>
          <w:highlight w:val="none"/>
          <w:lang w:val="en-US" w:eastAsia="zh-CN" w:bidi="ar-SA"/>
        </w:rPr>
        <w:t>3）乙方因违反合同及招标采购文件其他应尽义务的，甲方有权根</w:t>
      </w:r>
      <w:r>
        <w:rPr>
          <w:rStyle w:val="31"/>
          <w:rFonts w:hint="eastAsia" w:ascii="仿宋" w:hAnsi="仿宋" w:eastAsia="仿宋" w:cs="Times New Roman"/>
          <w:color w:val="auto"/>
          <w:kern w:val="2"/>
          <w:sz w:val="28"/>
          <w:szCs w:val="28"/>
          <w:highlight w:val="none"/>
          <w:lang w:val="en-US" w:eastAsia="zh-CN" w:bidi="ar-SA"/>
        </w:rPr>
        <w:t>据乙方违约程度要求乙方支付相当于合同总价款</w:t>
      </w:r>
      <w:r>
        <w:rPr>
          <w:rStyle w:val="31"/>
          <w:rFonts w:ascii="仿宋" w:hAnsi="仿宋" w:eastAsia="仿宋" w:cs="Times New Roman"/>
          <w:color w:val="auto"/>
          <w:kern w:val="2"/>
          <w:sz w:val="28"/>
          <w:szCs w:val="28"/>
          <w:highlight w:val="none"/>
          <w:lang w:val="en-US" w:eastAsia="zh-CN" w:bidi="ar-SA"/>
        </w:rPr>
        <w:t>1%的违约金。因违约给甲</w:t>
      </w:r>
      <w:r>
        <w:rPr>
          <w:rStyle w:val="31"/>
          <w:rFonts w:hint="eastAsia" w:ascii="仿宋" w:hAnsi="仿宋" w:eastAsia="仿宋" w:cs="Times New Roman"/>
          <w:color w:val="auto"/>
          <w:kern w:val="2"/>
          <w:sz w:val="28"/>
          <w:szCs w:val="28"/>
          <w:highlight w:val="none"/>
          <w:lang w:val="en-US" w:eastAsia="zh-CN" w:bidi="ar-SA"/>
        </w:rPr>
        <w:t>方造成损失的，由乙方负责赔偿。</w:t>
      </w:r>
    </w:p>
    <w:p w14:paraId="4BCAEFC7">
      <w:pPr>
        <w:widowControl w:val="0"/>
        <w:bidi w:val="0"/>
        <w:spacing w:line="500" w:lineRule="exact"/>
        <w:ind w:firstLine="482" w:firstLineChars="200"/>
        <w:jc w:val="both"/>
        <w:rPr>
          <w:rStyle w:val="31"/>
          <w:rFonts w:hint="eastAsia" w:ascii="仿宋" w:hAnsi="仿宋" w:eastAsia="仿宋" w:cs="Times New Roman"/>
          <w:b/>
          <w:color w:val="auto"/>
          <w:kern w:val="2"/>
          <w:sz w:val="28"/>
          <w:szCs w:val="28"/>
          <w:highlight w:val="none"/>
          <w:lang w:val="en-US" w:eastAsia="zh-CN" w:bidi="ar-SA"/>
        </w:rPr>
      </w:pPr>
      <w:r>
        <w:rPr>
          <w:rStyle w:val="31"/>
          <w:rFonts w:hint="eastAsia" w:ascii="宋体" w:hAnsi="宋体" w:eastAsia="宋体" w:cs="Times New Roman"/>
          <w:b/>
          <w:color w:val="auto"/>
          <w:kern w:val="2"/>
          <w:sz w:val="24"/>
          <w:szCs w:val="22"/>
          <w:highlight w:val="none"/>
          <w:lang w:val="en-US" w:eastAsia="zh-CN" w:bidi="ar-SA"/>
        </w:rPr>
        <w:t>六、履约保证金</w:t>
      </w:r>
      <w:r>
        <w:rPr>
          <w:rStyle w:val="31"/>
          <w:rFonts w:hint="eastAsia" w:ascii="宋体" w:hAnsi="宋体" w:cs="Times New Roman"/>
          <w:b/>
          <w:color w:val="auto"/>
          <w:kern w:val="2"/>
          <w:sz w:val="24"/>
          <w:szCs w:val="22"/>
          <w:highlight w:val="none"/>
          <w:lang w:val="en-US" w:eastAsia="zh-CN" w:bidi="ar-SA"/>
        </w:rPr>
        <w:t>：</w:t>
      </w:r>
      <w:r>
        <w:rPr>
          <w:rStyle w:val="31"/>
          <w:rFonts w:hint="eastAsia" w:ascii="仿宋" w:hAnsi="仿宋" w:eastAsia="仿宋" w:cs="Times New Roman"/>
          <w:b/>
          <w:color w:val="auto"/>
          <w:kern w:val="2"/>
          <w:sz w:val="28"/>
          <w:szCs w:val="28"/>
          <w:highlight w:val="none"/>
          <w:lang w:val="en-US" w:eastAsia="zh-CN" w:bidi="ar-SA"/>
        </w:rPr>
        <w:t>不收取</w:t>
      </w:r>
    </w:p>
    <w:p w14:paraId="37C7E862">
      <w:pPr>
        <w:widowControl w:val="0"/>
        <w:bidi w:val="0"/>
        <w:spacing w:line="360" w:lineRule="auto"/>
        <w:ind w:firstLine="562" w:firstLineChars="200"/>
        <w:jc w:val="both"/>
        <w:rPr>
          <w:rStyle w:val="31"/>
          <w:rFonts w:ascii="仿宋" w:hAnsi="仿宋" w:eastAsia="仿宋" w:cs="Times New Roman"/>
          <w:b/>
          <w:color w:val="auto"/>
          <w:kern w:val="2"/>
          <w:sz w:val="28"/>
          <w:szCs w:val="28"/>
          <w:highlight w:val="none"/>
          <w:lang w:val="en-US" w:eastAsia="zh-CN" w:bidi="ar-SA"/>
        </w:rPr>
      </w:pPr>
      <w:r>
        <w:rPr>
          <w:rStyle w:val="31"/>
          <w:rFonts w:hint="eastAsia" w:ascii="仿宋" w:hAnsi="仿宋" w:eastAsia="仿宋" w:cs="Times New Roman"/>
          <w:b/>
          <w:color w:val="auto"/>
          <w:kern w:val="2"/>
          <w:sz w:val="28"/>
          <w:szCs w:val="28"/>
          <w:highlight w:val="none"/>
          <w:lang w:val="en-US" w:eastAsia="zh-CN" w:bidi="ar-SA"/>
        </w:rPr>
        <w:t>七、特别条款</w:t>
      </w:r>
    </w:p>
    <w:p w14:paraId="48151940">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1.双方签约人为各自法定代表人或被授权代表。</w:t>
      </w:r>
    </w:p>
    <w:p w14:paraId="7BAF0668">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2.本合同系指本文件及其附件中的所有部分；其中投标文件、报价、</w:t>
      </w:r>
      <w:r>
        <w:rPr>
          <w:rStyle w:val="31"/>
          <w:rFonts w:hint="eastAsia" w:ascii="仿宋" w:hAnsi="仿宋" w:eastAsia="仿宋" w:cs="Times New Roman"/>
          <w:color w:val="auto"/>
          <w:kern w:val="2"/>
          <w:sz w:val="28"/>
          <w:szCs w:val="28"/>
          <w:highlight w:val="none"/>
          <w:lang w:val="en-US" w:eastAsia="zh-CN" w:bidi="ar-SA"/>
        </w:rPr>
        <w:t>中标单位在投标过程中的澄清、承诺等为本合同不可缺少的必要组成部分。</w:t>
      </w:r>
    </w:p>
    <w:p w14:paraId="3F235C17">
      <w:pPr>
        <w:widowControl w:val="0"/>
        <w:bidi w:val="0"/>
        <w:spacing w:line="360" w:lineRule="auto"/>
        <w:ind w:firstLine="560" w:firstLineChars="200"/>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3.本合同一式肆份，甲乙双方各执贰份，各份具有同等法律效力。</w:t>
      </w:r>
    </w:p>
    <w:p w14:paraId="2F76CAC0">
      <w:pPr>
        <w:widowControl w:val="0"/>
        <w:bidi w:val="0"/>
        <w:spacing w:line="360" w:lineRule="auto"/>
        <w:ind w:firstLine="562" w:firstLineChars="200"/>
        <w:jc w:val="both"/>
        <w:rPr>
          <w:rStyle w:val="31"/>
          <w:rFonts w:ascii="仿宋" w:hAnsi="仿宋" w:eastAsia="仿宋" w:cs="Times New Roman"/>
          <w:b/>
          <w:color w:val="auto"/>
          <w:kern w:val="2"/>
          <w:sz w:val="28"/>
          <w:szCs w:val="28"/>
          <w:highlight w:val="none"/>
          <w:lang w:val="en-US" w:eastAsia="zh-CN" w:bidi="ar-SA"/>
        </w:rPr>
      </w:pPr>
      <w:r>
        <w:rPr>
          <w:rStyle w:val="31"/>
          <w:rFonts w:hint="eastAsia" w:ascii="仿宋" w:hAnsi="仿宋" w:eastAsia="仿宋" w:cs="Times New Roman"/>
          <w:b/>
          <w:color w:val="auto"/>
          <w:kern w:val="2"/>
          <w:sz w:val="28"/>
          <w:szCs w:val="28"/>
          <w:highlight w:val="none"/>
          <w:lang w:val="en-US" w:eastAsia="zh-CN" w:bidi="ar-SA"/>
        </w:rPr>
        <w:t>八、若在履行本合同的过程中产生任何争议，双方应协商解决，协商不成，依法向人民法院起诉。</w:t>
      </w:r>
    </w:p>
    <w:p w14:paraId="6D6C5921">
      <w:pPr>
        <w:widowControl w:val="0"/>
        <w:bidi w:val="0"/>
        <w:spacing w:line="360" w:lineRule="auto"/>
        <w:ind w:firstLine="562" w:firstLineChars="200"/>
        <w:jc w:val="both"/>
        <w:rPr>
          <w:rStyle w:val="31"/>
          <w:rFonts w:ascii="仿宋" w:hAnsi="仿宋" w:eastAsia="仿宋" w:cs="Times New Roman"/>
          <w:b/>
          <w:color w:val="auto"/>
          <w:kern w:val="2"/>
          <w:sz w:val="28"/>
          <w:szCs w:val="28"/>
          <w:highlight w:val="none"/>
          <w:lang w:val="en-US" w:eastAsia="zh-CN" w:bidi="ar-SA"/>
        </w:rPr>
      </w:pPr>
      <w:r>
        <w:rPr>
          <w:rStyle w:val="31"/>
          <w:rFonts w:hint="eastAsia" w:ascii="仿宋" w:hAnsi="仿宋" w:eastAsia="仿宋" w:cs="Times New Roman"/>
          <w:b/>
          <w:color w:val="auto"/>
          <w:kern w:val="2"/>
          <w:sz w:val="28"/>
          <w:szCs w:val="28"/>
          <w:highlight w:val="none"/>
          <w:lang w:val="en-US" w:eastAsia="zh-CN" w:bidi="ar-SA"/>
        </w:rPr>
        <w:t>九、本合同自双方签字之日起生效。</w:t>
      </w:r>
    </w:p>
    <w:p w14:paraId="1CED6DA1">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甲方：（公章）泗阳</w:t>
      </w:r>
      <w:r>
        <w:rPr>
          <w:rStyle w:val="31"/>
          <w:rFonts w:ascii="仿宋" w:hAnsi="仿宋" w:eastAsia="仿宋" w:cs="Times New Roman"/>
          <w:color w:val="auto"/>
          <w:kern w:val="2"/>
          <w:sz w:val="28"/>
          <w:szCs w:val="28"/>
          <w:highlight w:val="none"/>
          <w:lang w:val="en-US" w:eastAsia="zh-CN" w:bidi="ar-SA"/>
        </w:rPr>
        <w:t>县机关事务管理中心</w:t>
      </w:r>
    </w:p>
    <w:p w14:paraId="488FA992">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法定代表人：</w:t>
      </w:r>
    </w:p>
    <w:p w14:paraId="5B513C39">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hint="eastAsia" w:ascii="仿宋" w:hAnsi="仿宋" w:eastAsia="仿宋" w:cs="Times New Roman"/>
          <w:color w:val="auto"/>
          <w:kern w:val="2"/>
          <w:sz w:val="28"/>
          <w:szCs w:val="28"/>
          <w:highlight w:val="none"/>
          <w:lang w:val="en-US" w:eastAsia="zh-CN" w:bidi="ar-SA"/>
        </w:rPr>
        <w:t>日      期</w:t>
      </w:r>
      <w:r>
        <w:rPr>
          <w:rStyle w:val="31"/>
          <w:rFonts w:ascii="仿宋" w:hAnsi="仿宋" w:eastAsia="仿宋" w:cs="Times New Roman"/>
          <w:color w:val="auto"/>
          <w:kern w:val="2"/>
          <w:sz w:val="28"/>
          <w:szCs w:val="28"/>
          <w:highlight w:val="none"/>
          <w:lang w:val="en-US" w:eastAsia="zh-CN" w:bidi="ar-SA"/>
        </w:rPr>
        <w:t>：</w:t>
      </w:r>
    </w:p>
    <w:p w14:paraId="3DA0D0E3">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p>
    <w:p w14:paraId="2A38E0F2">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乙方：（公章）</w:t>
      </w:r>
      <w:r>
        <w:rPr>
          <w:rStyle w:val="31"/>
          <w:rFonts w:hint="eastAsia" w:ascii="仿宋" w:hAnsi="仿宋" w:eastAsia="仿宋" w:cs="Times New Roman"/>
          <w:color w:val="auto"/>
          <w:kern w:val="2"/>
          <w:sz w:val="28"/>
          <w:szCs w:val="28"/>
          <w:highlight w:val="none"/>
          <w:lang w:val="en-US" w:eastAsia="zh-CN" w:bidi="ar-SA"/>
        </w:rPr>
        <w:t xml:space="preserve">                                  </w:t>
      </w:r>
    </w:p>
    <w:p w14:paraId="00CEB7DC">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法定代表人：</w:t>
      </w:r>
    </w:p>
    <w:p w14:paraId="26109637">
      <w:pPr>
        <w:widowControl w:val="0"/>
        <w:bidi w:val="0"/>
        <w:spacing w:line="360" w:lineRule="auto"/>
        <w:jc w:val="both"/>
        <w:rPr>
          <w:rStyle w:val="31"/>
          <w:rFonts w:ascii="仿宋" w:hAnsi="仿宋" w:eastAsia="仿宋" w:cs="Times New Roman"/>
          <w:color w:val="auto"/>
          <w:kern w:val="2"/>
          <w:sz w:val="28"/>
          <w:szCs w:val="28"/>
          <w:highlight w:val="none"/>
          <w:lang w:val="en-US" w:eastAsia="zh-CN" w:bidi="ar-SA"/>
        </w:rPr>
      </w:pPr>
      <w:r>
        <w:rPr>
          <w:rStyle w:val="31"/>
          <w:rFonts w:ascii="仿宋" w:hAnsi="仿宋" w:eastAsia="仿宋" w:cs="Times New Roman"/>
          <w:color w:val="auto"/>
          <w:kern w:val="2"/>
          <w:sz w:val="28"/>
          <w:szCs w:val="28"/>
          <w:highlight w:val="none"/>
          <w:lang w:val="en-US" w:eastAsia="zh-CN" w:bidi="ar-SA"/>
        </w:rPr>
        <w:t>日期：</w:t>
      </w:r>
    </w:p>
    <w:p w14:paraId="179347B7">
      <w:pPr>
        <w:pStyle w:val="323"/>
        <w:rPr>
          <w:rFonts w:hint="eastAsia"/>
          <w:color w:val="auto"/>
          <w:highlight w:val="none"/>
        </w:rPr>
      </w:pPr>
    </w:p>
    <w:p w14:paraId="26B7DEE3">
      <w:pPr>
        <w:spacing w:before="120" w:after="120" w:line="0" w:lineRule="atLeast"/>
        <w:jc w:val="center"/>
        <w:outlineLvl w:val="0"/>
        <w:rPr>
          <w:rFonts w:hint="eastAsia" w:ascii="宋体" w:hAnsi="宋体" w:eastAsia="宋体" w:cs="宋体"/>
          <w:bCs/>
          <w:color w:val="auto"/>
          <w:sz w:val="44"/>
          <w:szCs w:val="21"/>
          <w:highlight w:val="none"/>
        </w:rPr>
      </w:pPr>
    </w:p>
    <w:p w14:paraId="08A21930">
      <w:pPr>
        <w:pStyle w:val="2"/>
        <w:bidi w:val="0"/>
        <w:jc w:val="center"/>
        <w:rPr>
          <w:rFonts w:hint="eastAsia"/>
          <w:color w:val="auto"/>
          <w:highlight w:val="none"/>
        </w:rPr>
      </w:pPr>
      <w:bookmarkStart w:id="108" w:name="_Toc30695"/>
      <w:bookmarkStart w:id="109" w:name="_Toc29146"/>
      <w:r>
        <w:rPr>
          <w:rFonts w:hint="eastAsia"/>
          <w:color w:val="auto"/>
          <w:highlight w:val="none"/>
        </w:rPr>
        <w:t>第</w:t>
      </w:r>
      <w:bookmarkEnd w:id="100"/>
      <w:r>
        <w:rPr>
          <w:rFonts w:hint="eastAsia"/>
          <w:color w:val="auto"/>
          <w:highlight w:val="none"/>
        </w:rPr>
        <w:t>四章 采购需求</w:t>
      </w:r>
      <w:bookmarkEnd w:id="101"/>
      <w:bookmarkEnd w:id="102"/>
      <w:bookmarkEnd w:id="103"/>
      <w:bookmarkEnd w:id="104"/>
      <w:bookmarkEnd w:id="105"/>
      <w:bookmarkEnd w:id="108"/>
      <w:bookmarkEnd w:id="109"/>
      <w:bookmarkStart w:id="110" w:name="_Toc49090575"/>
      <w:bookmarkStart w:id="111" w:name="_Toc26554093"/>
    </w:p>
    <w:p w14:paraId="719DEE22">
      <w:pPr>
        <w:widowControl w:val="0"/>
        <w:bidi w:val="0"/>
        <w:spacing w:line="500" w:lineRule="exact"/>
        <w:ind w:firstLine="482" w:firstLineChars="200"/>
        <w:jc w:val="both"/>
        <w:rPr>
          <w:rStyle w:val="31"/>
          <w:rFonts w:hint="eastAsia" w:ascii="仿宋" w:hAnsi="仿宋" w:eastAsia="仿宋" w:cs="仿宋"/>
          <w:b/>
          <w:color w:val="auto"/>
          <w:kern w:val="2"/>
          <w:sz w:val="24"/>
          <w:szCs w:val="24"/>
          <w:highlight w:val="none"/>
          <w:lang w:val="en-US" w:eastAsia="zh-CN" w:bidi="ar-SA"/>
        </w:rPr>
      </w:pPr>
      <w:bookmarkStart w:id="112" w:name="_Toc28962"/>
      <w:bookmarkStart w:id="113" w:name="_Toc32054"/>
      <w:bookmarkStart w:id="114" w:name="_Toc120614281"/>
      <w:r>
        <w:rPr>
          <w:rStyle w:val="31"/>
          <w:rFonts w:hint="eastAsia" w:ascii="仿宋" w:hAnsi="仿宋" w:eastAsia="仿宋" w:cs="仿宋"/>
          <w:b/>
          <w:color w:val="auto"/>
          <w:kern w:val="2"/>
          <w:sz w:val="24"/>
          <w:szCs w:val="24"/>
          <w:highlight w:val="none"/>
          <w:lang w:val="en-US" w:eastAsia="zh-CN" w:bidi="ar-SA"/>
        </w:rPr>
        <w:t>一、项目概况</w:t>
      </w:r>
    </w:p>
    <w:p w14:paraId="6C3FBAC1">
      <w:pPr>
        <w:widowControl w:val="0"/>
        <w:bidi w:val="0"/>
        <w:spacing w:line="500" w:lineRule="exact"/>
        <w:ind w:firstLine="480" w:firstLineChars="200"/>
        <w:jc w:val="both"/>
        <w:rPr>
          <w:rStyle w:val="31"/>
          <w:rFonts w:hint="default" w:ascii="仿宋" w:hAnsi="仿宋" w:eastAsia="仿宋" w:cs="仿宋"/>
          <w:color w:val="auto"/>
          <w:kern w:val="2"/>
          <w:sz w:val="24"/>
          <w:szCs w:val="24"/>
          <w:highlight w:val="none"/>
          <w:lang w:val="en-US" w:eastAsia="zh-CN" w:bidi="ar-SA"/>
        </w:rPr>
      </w:pPr>
      <w:r>
        <w:rPr>
          <w:rStyle w:val="31"/>
          <w:rFonts w:hint="default" w:ascii="仿宋" w:hAnsi="仿宋" w:eastAsia="仿宋" w:cs="仿宋"/>
          <w:color w:val="auto"/>
          <w:kern w:val="2"/>
          <w:sz w:val="24"/>
          <w:szCs w:val="24"/>
          <w:highlight w:val="none"/>
          <w:lang w:val="en-US" w:eastAsia="zh-CN" w:bidi="ar-SA"/>
        </w:rPr>
        <w:t>泗阳县党政办公楼、行政服务中心、双子楼等集中办公区空调维护保养</w:t>
      </w:r>
      <w:r>
        <w:rPr>
          <w:rStyle w:val="31"/>
          <w:rFonts w:hint="eastAsia" w:ascii="仿宋" w:hAnsi="仿宋" w:eastAsia="仿宋" w:cs="仿宋"/>
          <w:color w:val="auto"/>
          <w:kern w:val="2"/>
          <w:sz w:val="24"/>
          <w:szCs w:val="24"/>
          <w:highlight w:val="none"/>
          <w:lang w:val="en-US" w:eastAsia="zh-CN" w:bidi="ar-SA"/>
        </w:rPr>
        <w:t xml:space="preserve">，具数量体详见空调维保明细。 </w:t>
      </w:r>
    </w:p>
    <w:p w14:paraId="2CB35F63">
      <w:pPr>
        <w:widowControl w:val="0"/>
        <w:bidi w:val="0"/>
        <w:spacing w:line="500" w:lineRule="exact"/>
        <w:ind w:firstLine="482" w:firstLineChars="200"/>
        <w:jc w:val="both"/>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b/>
          <w:color w:val="auto"/>
          <w:kern w:val="2"/>
          <w:sz w:val="24"/>
          <w:szCs w:val="24"/>
          <w:highlight w:val="none"/>
          <w:lang w:val="en-US" w:eastAsia="zh-CN" w:bidi="ar-SA"/>
        </w:rPr>
        <w:t>二、维保期限：</w:t>
      </w:r>
      <w:r>
        <w:rPr>
          <w:rStyle w:val="31"/>
          <w:rFonts w:hint="eastAsia" w:ascii="仿宋" w:hAnsi="仿宋" w:eastAsia="仿宋" w:cs="仿宋"/>
          <w:color w:val="auto"/>
          <w:kern w:val="2"/>
          <w:sz w:val="24"/>
          <w:szCs w:val="24"/>
          <w:highlight w:val="none"/>
          <w:lang w:val="en-US" w:eastAsia="zh-CN" w:bidi="ar-SA"/>
        </w:rPr>
        <w:t>三年；</w:t>
      </w:r>
    </w:p>
    <w:p w14:paraId="34D497FD">
      <w:pPr>
        <w:widowControl w:val="0"/>
        <w:bidi w:val="0"/>
        <w:spacing w:line="500" w:lineRule="exact"/>
        <w:ind w:firstLine="482" w:firstLineChars="200"/>
        <w:jc w:val="both"/>
        <w:rPr>
          <w:rStyle w:val="31"/>
          <w:rFonts w:hint="eastAsia" w:ascii="仿宋" w:hAnsi="仿宋" w:eastAsia="仿宋" w:cs="仿宋"/>
          <w:b/>
          <w:color w:val="auto"/>
          <w:kern w:val="2"/>
          <w:sz w:val="24"/>
          <w:szCs w:val="24"/>
          <w:highlight w:val="none"/>
          <w:lang w:val="en-US" w:eastAsia="zh-CN" w:bidi="ar-SA"/>
        </w:rPr>
      </w:pPr>
      <w:r>
        <w:rPr>
          <w:rStyle w:val="31"/>
          <w:rFonts w:hint="eastAsia" w:ascii="仿宋" w:hAnsi="仿宋" w:eastAsia="仿宋" w:cs="仿宋"/>
          <w:b/>
          <w:color w:val="auto"/>
          <w:kern w:val="2"/>
          <w:sz w:val="24"/>
          <w:szCs w:val="24"/>
          <w:highlight w:val="none"/>
          <w:lang w:val="en-US" w:eastAsia="zh-CN" w:bidi="ar-SA"/>
        </w:rPr>
        <w:t>三、付款方式：</w:t>
      </w:r>
      <w:r>
        <w:rPr>
          <w:rStyle w:val="31"/>
          <w:rFonts w:hint="eastAsia" w:ascii="仿宋" w:hAnsi="仿宋" w:eastAsia="仿宋" w:cs="仿宋"/>
          <w:color w:val="auto"/>
          <w:kern w:val="2"/>
          <w:sz w:val="24"/>
          <w:szCs w:val="24"/>
          <w:highlight w:val="none"/>
          <w:lang w:val="en-US" w:eastAsia="zh-CN" w:bidi="ar-SA"/>
        </w:rPr>
        <w:t xml:space="preserve">合同签订且收到供应商发票后15日内支付合同价款的 10%作为预付款，每季度初 </w:t>
      </w:r>
      <w:r>
        <w:rPr>
          <w:rStyle w:val="31"/>
          <w:rFonts w:ascii="仿宋" w:hAnsi="仿宋" w:eastAsia="仿宋" w:cs="仿宋"/>
          <w:color w:val="auto"/>
          <w:kern w:val="2"/>
          <w:sz w:val="24"/>
          <w:szCs w:val="24"/>
          <w:highlight w:val="none"/>
          <w:lang w:val="en-US" w:eastAsia="zh-CN" w:bidi="ar-SA"/>
        </w:rPr>
        <w:t>1</w:t>
      </w:r>
      <w:r>
        <w:rPr>
          <w:rStyle w:val="31"/>
          <w:rFonts w:hint="eastAsia" w:ascii="仿宋" w:hAnsi="仿宋" w:eastAsia="仿宋" w:cs="仿宋"/>
          <w:color w:val="auto"/>
          <w:kern w:val="2"/>
          <w:sz w:val="24"/>
          <w:szCs w:val="24"/>
          <w:highlight w:val="none"/>
          <w:lang w:val="en-US" w:eastAsia="zh-CN" w:bidi="ar-SA"/>
        </w:rPr>
        <w:t>5 号前，供应商提供季度书面维保记录单等，经考核无误且收到供应商发票后，剩余款项按季度平均付款。</w:t>
      </w:r>
    </w:p>
    <w:p w14:paraId="196F2379">
      <w:pPr>
        <w:widowControl w:val="0"/>
        <w:bidi w:val="0"/>
        <w:spacing w:line="500" w:lineRule="exact"/>
        <w:ind w:firstLine="480" w:firstLineChars="200"/>
        <w:jc w:val="both"/>
        <w:rPr>
          <w:rStyle w:val="31"/>
          <w:rFonts w:hint="eastAsia" w:ascii="仿宋" w:hAnsi="仿宋" w:eastAsia="仿宋" w:cs="仿宋"/>
          <w:color w:val="auto"/>
          <w:kern w:val="2"/>
          <w:sz w:val="24"/>
          <w:szCs w:val="24"/>
          <w:highlight w:val="none"/>
          <w:lang w:val="en-US" w:eastAsia="zh-CN" w:bidi="ar-SA"/>
        </w:rPr>
      </w:pPr>
      <w:bookmarkStart w:id="115" w:name="_Hlk143003106"/>
      <w:r>
        <w:rPr>
          <w:rStyle w:val="31"/>
          <w:rFonts w:hint="eastAsia" w:ascii="仿宋" w:hAnsi="仿宋" w:eastAsia="仿宋" w:cs="仿宋"/>
          <w:color w:val="auto"/>
          <w:kern w:val="2"/>
          <w:sz w:val="24"/>
          <w:szCs w:val="24"/>
          <w:highlight w:val="none"/>
          <w:lang w:val="en-US" w:eastAsia="zh-CN" w:bidi="ar-SA"/>
        </w:rPr>
        <w:t>注：在签订合同时，中标人明确表示无需预付款或者主动要求降低预付款比例的金额，采购人可不适用预付款规定。</w:t>
      </w:r>
    </w:p>
    <w:bookmarkEnd w:id="115"/>
    <w:p w14:paraId="520ECFDA">
      <w:pPr>
        <w:widowControl w:val="0"/>
        <w:bidi w:val="0"/>
        <w:spacing w:line="500" w:lineRule="exact"/>
        <w:ind w:firstLine="482" w:firstLineChars="200"/>
        <w:jc w:val="both"/>
        <w:rPr>
          <w:rStyle w:val="31"/>
          <w:rFonts w:hint="eastAsia" w:ascii="仿宋" w:hAnsi="仿宋" w:eastAsia="仿宋" w:cs="仿宋"/>
          <w:b/>
          <w:color w:val="auto"/>
          <w:kern w:val="2"/>
          <w:sz w:val="24"/>
          <w:szCs w:val="24"/>
          <w:highlight w:val="none"/>
          <w:lang w:val="en-US" w:eastAsia="zh-CN" w:bidi="ar-SA"/>
        </w:rPr>
      </w:pPr>
      <w:r>
        <w:rPr>
          <w:rStyle w:val="31"/>
          <w:rFonts w:hint="eastAsia" w:ascii="仿宋" w:hAnsi="仿宋" w:eastAsia="仿宋" w:cs="仿宋"/>
          <w:b/>
          <w:color w:val="auto"/>
          <w:kern w:val="2"/>
          <w:sz w:val="24"/>
          <w:szCs w:val="24"/>
          <w:highlight w:val="none"/>
          <w:lang w:val="en-US" w:eastAsia="zh-CN" w:bidi="ar-SA"/>
        </w:rPr>
        <w:t xml:space="preserve">四、空调维保明细 </w:t>
      </w:r>
    </w:p>
    <w:tbl>
      <w:tblPr>
        <w:tblStyle w:val="2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4"/>
        <w:gridCol w:w="1650"/>
        <w:gridCol w:w="1005"/>
        <w:gridCol w:w="2000"/>
        <w:gridCol w:w="658"/>
        <w:gridCol w:w="1003"/>
        <w:gridCol w:w="2073"/>
      </w:tblGrid>
      <w:tr w14:paraId="7FAE3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22" w:type="pct"/>
            <w:tcBorders>
              <w:top w:val="single" w:color="000000" w:sz="8" w:space="0"/>
              <w:left w:val="single" w:color="000000" w:sz="8" w:space="0"/>
              <w:bottom w:val="nil"/>
              <w:right w:val="single" w:color="000000" w:sz="8" w:space="0"/>
            </w:tcBorders>
            <w:noWrap w:val="0"/>
            <w:vAlign w:val="center"/>
          </w:tcPr>
          <w:p w14:paraId="7B9CAB3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900" w:type="pct"/>
            <w:tcBorders>
              <w:top w:val="single" w:color="000000" w:sz="8" w:space="0"/>
              <w:left w:val="single" w:color="000000" w:sz="8" w:space="0"/>
              <w:bottom w:val="single" w:color="000000" w:sz="8" w:space="0"/>
              <w:right w:val="single" w:color="000000" w:sz="8" w:space="0"/>
            </w:tcBorders>
            <w:noWrap w:val="0"/>
            <w:vAlign w:val="top"/>
          </w:tcPr>
          <w:p w14:paraId="4431B496">
            <w:pPr>
              <w:keepNext w:val="0"/>
              <w:keepLines w:val="0"/>
              <w:widowControl/>
              <w:suppressLineNumbers w:val="0"/>
              <w:jc w:val="left"/>
              <w:textAlignment w:val="top"/>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地点</w:t>
            </w:r>
          </w:p>
        </w:tc>
        <w:tc>
          <w:tcPr>
            <w:tcW w:w="1639" w:type="pct"/>
            <w:gridSpan w:val="2"/>
            <w:tcBorders>
              <w:top w:val="single" w:color="000000" w:sz="8" w:space="0"/>
              <w:left w:val="single" w:color="000000" w:sz="8" w:space="0"/>
              <w:bottom w:val="single" w:color="000000" w:sz="8" w:space="0"/>
              <w:right w:val="single" w:color="000000" w:sz="8" w:space="0"/>
            </w:tcBorders>
            <w:noWrap w:val="0"/>
            <w:vAlign w:val="top"/>
          </w:tcPr>
          <w:p w14:paraId="1A0EB121">
            <w:pPr>
              <w:keepNext w:val="0"/>
              <w:keepLines w:val="0"/>
              <w:widowControl/>
              <w:suppressLineNumbers w:val="0"/>
              <w:jc w:val="center"/>
              <w:textAlignment w:val="top"/>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359" w:type="pct"/>
            <w:tcBorders>
              <w:top w:val="single" w:color="000000" w:sz="8" w:space="0"/>
              <w:left w:val="single" w:color="000000" w:sz="8" w:space="0"/>
              <w:bottom w:val="single" w:color="000000" w:sz="8" w:space="0"/>
              <w:right w:val="single" w:color="000000" w:sz="8" w:space="0"/>
            </w:tcBorders>
            <w:noWrap w:val="0"/>
            <w:vAlign w:val="top"/>
          </w:tcPr>
          <w:p w14:paraId="119A8241">
            <w:pPr>
              <w:keepNext w:val="0"/>
              <w:keepLines w:val="0"/>
              <w:widowControl/>
              <w:suppressLineNumbers w:val="0"/>
              <w:jc w:val="left"/>
              <w:textAlignment w:val="top"/>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547" w:type="pct"/>
            <w:tcBorders>
              <w:top w:val="single" w:color="000000" w:sz="8" w:space="0"/>
              <w:left w:val="single" w:color="000000" w:sz="8" w:space="0"/>
              <w:bottom w:val="single" w:color="000000" w:sz="8" w:space="0"/>
              <w:right w:val="single" w:color="000000" w:sz="8" w:space="0"/>
            </w:tcBorders>
            <w:noWrap w:val="0"/>
            <w:vAlign w:val="top"/>
          </w:tcPr>
          <w:p w14:paraId="1FB0A693">
            <w:pPr>
              <w:keepNext w:val="0"/>
              <w:keepLines w:val="0"/>
              <w:widowControl/>
              <w:suppressLineNumbers w:val="0"/>
              <w:jc w:val="center"/>
              <w:textAlignment w:val="top"/>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131" w:type="pct"/>
            <w:tcBorders>
              <w:top w:val="single" w:color="000000" w:sz="8" w:space="0"/>
              <w:left w:val="single" w:color="000000" w:sz="8" w:space="0"/>
              <w:bottom w:val="single" w:color="000000" w:sz="8" w:space="0"/>
              <w:right w:val="single" w:color="000000" w:sz="8" w:space="0"/>
            </w:tcBorders>
            <w:noWrap w:val="0"/>
            <w:vAlign w:val="top"/>
          </w:tcPr>
          <w:p w14:paraId="3393A048">
            <w:pPr>
              <w:keepNext w:val="0"/>
              <w:keepLines w:val="0"/>
              <w:widowControl/>
              <w:suppressLineNumbers w:val="0"/>
              <w:jc w:val="center"/>
              <w:textAlignment w:val="top"/>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66AF9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restart"/>
            <w:tcBorders>
              <w:top w:val="single" w:color="000000" w:sz="4" w:space="0"/>
              <w:left w:val="single" w:color="000000" w:sz="4" w:space="0"/>
              <w:right w:val="single" w:color="000000" w:sz="4" w:space="0"/>
            </w:tcBorders>
            <w:noWrap/>
            <w:vAlign w:val="center"/>
          </w:tcPr>
          <w:p w14:paraId="21DFF8AF">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rPr>
            </w:pPr>
            <w:r>
              <w:rPr>
                <w:rFonts w:hint="eastAsia" w:ascii="宋体" w:hAnsi="宋体" w:cs="宋体"/>
                <w:i w:val="0"/>
                <w:iCs w:val="0"/>
                <w:color w:val="auto"/>
                <w:kern w:val="2"/>
                <w:sz w:val="22"/>
                <w:szCs w:val="22"/>
                <w:highlight w:val="none"/>
                <w:u w:val="none"/>
                <w:lang w:val="en-US" w:eastAsia="zh-CN"/>
              </w:rPr>
              <w:t>1</w:t>
            </w:r>
          </w:p>
        </w:tc>
        <w:tc>
          <w:tcPr>
            <w:tcW w:w="900" w:type="pct"/>
            <w:vMerge w:val="restart"/>
            <w:tcBorders>
              <w:top w:val="nil"/>
              <w:left w:val="nil"/>
              <w:bottom w:val="single" w:color="000000" w:sz="8" w:space="0"/>
              <w:right w:val="single" w:color="000000" w:sz="8" w:space="0"/>
            </w:tcBorders>
            <w:noWrap w:val="0"/>
            <w:vAlign w:val="center"/>
          </w:tcPr>
          <w:p w14:paraId="205AEF7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县政府办公大楼</w:t>
            </w:r>
          </w:p>
        </w:tc>
        <w:tc>
          <w:tcPr>
            <w:tcW w:w="1639" w:type="pct"/>
            <w:gridSpan w:val="2"/>
            <w:tcBorders>
              <w:top w:val="nil"/>
              <w:left w:val="single" w:color="000000" w:sz="8" w:space="0"/>
              <w:bottom w:val="single" w:color="000000" w:sz="8" w:space="0"/>
              <w:right w:val="single" w:color="000000" w:sz="8" w:space="0"/>
            </w:tcBorders>
            <w:noWrap w:val="0"/>
            <w:vAlign w:val="top"/>
          </w:tcPr>
          <w:p w14:paraId="3EF1EC8D">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海尔中央空调室外机</w:t>
            </w:r>
          </w:p>
        </w:tc>
        <w:tc>
          <w:tcPr>
            <w:tcW w:w="359" w:type="pct"/>
            <w:tcBorders>
              <w:top w:val="nil"/>
              <w:left w:val="single" w:color="000000" w:sz="8" w:space="0"/>
              <w:bottom w:val="single" w:color="000000" w:sz="8" w:space="0"/>
              <w:right w:val="single" w:color="000000" w:sz="8" w:space="0"/>
            </w:tcBorders>
            <w:noWrap w:val="0"/>
            <w:vAlign w:val="top"/>
          </w:tcPr>
          <w:p w14:paraId="2FFA81D6">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547" w:type="pct"/>
            <w:tcBorders>
              <w:top w:val="nil"/>
              <w:left w:val="single" w:color="000000" w:sz="8" w:space="0"/>
              <w:bottom w:val="single" w:color="000000" w:sz="8" w:space="0"/>
              <w:right w:val="single" w:color="000000" w:sz="8" w:space="0"/>
            </w:tcBorders>
            <w:noWrap w:val="0"/>
            <w:vAlign w:val="top"/>
          </w:tcPr>
          <w:p w14:paraId="047BCD1B">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590AEB71">
            <w:pPr>
              <w:jc w:val="left"/>
              <w:rPr>
                <w:rFonts w:hint="default" w:ascii="Times New Roman" w:hAnsi="Times New Roman" w:eastAsia="宋体" w:cs="Times New Roman"/>
                <w:i w:val="0"/>
                <w:iCs w:val="0"/>
                <w:color w:val="auto"/>
                <w:kern w:val="2"/>
                <w:sz w:val="24"/>
                <w:szCs w:val="24"/>
                <w:highlight w:val="none"/>
                <w:u w:val="none"/>
              </w:rPr>
            </w:pPr>
          </w:p>
        </w:tc>
      </w:tr>
      <w:tr w14:paraId="609FA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18A342D7">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6A03A6A9">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57FC6EC6">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海尔中央空调室内机</w:t>
            </w:r>
          </w:p>
        </w:tc>
        <w:tc>
          <w:tcPr>
            <w:tcW w:w="359" w:type="pct"/>
            <w:tcBorders>
              <w:top w:val="nil"/>
              <w:left w:val="single" w:color="000000" w:sz="8" w:space="0"/>
              <w:bottom w:val="single" w:color="000000" w:sz="8" w:space="0"/>
              <w:right w:val="single" w:color="000000" w:sz="8" w:space="0"/>
            </w:tcBorders>
            <w:noWrap w:val="0"/>
            <w:vAlign w:val="top"/>
          </w:tcPr>
          <w:p w14:paraId="13306D34">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547" w:type="pct"/>
            <w:tcBorders>
              <w:top w:val="nil"/>
              <w:left w:val="single" w:color="000000" w:sz="8" w:space="0"/>
              <w:bottom w:val="single" w:color="000000" w:sz="8" w:space="0"/>
              <w:right w:val="single" w:color="000000" w:sz="8" w:space="0"/>
            </w:tcBorders>
            <w:noWrap w:val="0"/>
            <w:vAlign w:val="top"/>
          </w:tcPr>
          <w:p w14:paraId="36BB3744">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6A00617C">
            <w:pPr>
              <w:jc w:val="left"/>
              <w:rPr>
                <w:rFonts w:hint="default" w:ascii="Times New Roman" w:hAnsi="Times New Roman" w:eastAsia="宋体" w:cs="Times New Roman"/>
                <w:i w:val="0"/>
                <w:iCs w:val="0"/>
                <w:color w:val="auto"/>
                <w:kern w:val="2"/>
                <w:sz w:val="24"/>
                <w:szCs w:val="24"/>
                <w:highlight w:val="none"/>
                <w:u w:val="none"/>
              </w:rPr>
            </w:pPr>
          </w:p>
        </w:tc>
      </w:tr>
      <w:tr w14:paraId="09026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623031D7">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0C972636">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358370D2">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格力中央空调室外机</w:t>
            </w:r>
          </w:p>
        </w:tc>
        <w:tc>
          <w:tcPr>
            <w:tcW w:w="359" w:type="pct"/>
            <w:tcBorders>
              <w:top w:val="nil"/>
              <w:left w:val="single" w:color="000000" w:sz="8" w:space="0"/>
              <w:bottom w:val="single" w:color="000000" w:sz="8" w:space="0"/>
              <w:right w:val="single" w:color="000000" w:sz="8" w:space="0"/>
            </w:tcBorders>
            <w:noWrap w:val="0"/>
            <w:vAlign w:val="top"/>
          </w:tcPr>
          <w:p w14:paraId="3A276D9A">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547" w:type="pct"/>
            <w:tcBorders>
              <w:top w:val="nil"/>
              <w:left w:val="single" w:color="000000" w:sz="8" w:space="0"/>
              <w:bottom w:val="single" w:color="000000" w:sz="8" w:space="0"/>
              <w:right w:val="single" w:color="000000" w:sz="8" w:space="0"/>
            </w:tcBorders>
            <w:noWrap w:val="0"/>
            <w:vAlign w:val="top"/>
          </w:tcPr>
          <w:p w14:paraId="4DC3143A">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3F804CA7">
            <w:pPr>
              <w:jc w:val="left"/>
              <w:rPr>
                <w:rFonts w:hint="default" w:ascii="Times New Roman" w:hAnsi="Times New Roman" w:eastAsia="宋体" w:cs="Times New Roman"/>
                <w:i w:val="0"/>
                <w:iCs w:val="0"/>
                <w:color w:val="auto"/>
                <w:kern w:val="2"/>
                <w:sz w:val="24"/>
                <w:szCs w:val="24"/>
                <w:highlight w:val="none"/>
                <w:u w:val="none"/>
              </w:rPr>
            </w:pPr>
          </w:p>
        </w:tc>
      </w:tr>
      <w:tr w14:paraId="47C5A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4271E24D">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3335F82E">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5A1E48B6">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格力中央空调室内机</w:t>
            </w:r>
          </w:p>
        </w:tc>
        <w:tc>
          <w:tcPr>
            <w:tcW w:w="359" w:type="pct"/>
            <w:tcBorders>
              <w:top w:val="nil"/>
              <w:left w:val="single" w:color="000000" w:sz="8" w:space="0"/>
              <w:bottom w:val="single" w:color="000000" w:sz="8" w:space="0"/>
              <w:right w:val="single" w:color="000000" w:sz="8" w:space="0"/>
            </w:tcBorders>
            <w:noWrap w:val="0"/>
            <w:vAlign w:val="top"/>
          </w:tcPr>
          <w:p w14:paraId="0308CA30">
            <w:pPr>
              <w:keepNext w:val="0"/>
              <w:keepLines w:val="0"/>
              <w:widowControl/>
              <w:suppressLineNumbers w:val="0"/>
              <w:jc w:val="left"/>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w:t>
            </w:r>
          </w:p>
        </w:tc>
        <w:tc>
          <w:tcPr>
            <w:tcW w:w="547" w:type="pct"/>
            <w:tcBorders>
              <w:top w:val="nil"/>
              <w:left w:val="single" w:color="000000" w:sz="8" w:space="0"/>
              <w:bottom w:val="single" w:color="000000" w:sz="8" w:space="0"/>
              <w:right w:val="single" w:color="000000" w:sz="8" w:space="0"/>
            </w:tcBorders>
            <w:noWrap w:val="0"/>
            <w:vAlign w:val="top"/>
          </w:tcPr>
          <w:p w14:paraId="58342607">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67C9AD5B">
            <w:pPr>
              <w:jc w:val="left"/>
              <w:rPr>
                <w:rFonts w:hint="default" w:ascii="Times New Roman" w:hAnsi="Times New Roman" w:eastAsia="宋体" w:cs="Times New Roman"/>
                <w:i w:val="0"/>
                <w:iCs w:val="0"/>
                <w:color w:val="auto"/>
                <w:kern w:val="2"/>
                <w:sz w:val="24"/>
                <w:szCs w:val="24"/>
                <w:highlight w:val="none"/>
                <w:u w:val="none"/>
              </w:rPr>
            </w:pPr>
          </w:p>
        </w:tc>
      </w:tr>
      <w:tr w14:paraId="6C99E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7A213A1E">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056A2ED9">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6ACD1CDB">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美的空调室外机</w:t>
            </w:r>
          </w:p>
        </w:tc>
        <w:tc>
          <w:tcPr>
            <w:tcW w:w="359" w:type="pct"/>
            <w:tcBorders>
              <w:top w:val="nil"/>
              <w:left w:val="single" w:color="000000" w:sz="8" w:space="0"/>
              <w:bottom w:val="single" w:color="000000" w:sz="8" w:space="0"/>
              <w:right w:val="single" w:color="000000" w:sz="8" w:space="0"/>
            </w:tcBorders>
            <w:noWrap w:val="0"/>
            <w:vAlign w:val="top"/>
          </w:tcPr>
          <w:p w14:paraId="13D1DE2A">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547" w:type="pct"/>
            <w:tcBorders>
              <w:top w:val="nil"/>
              <w:left w:val="single" w:color="000000" w:sz="8" w:space="0"/>
              <w:bottom w:val="single" w:color="000000" w:sz="8" w:space="0"/>
              <w:right w:val="single" w:color="000000" w:sz="8" w:space="0"/>
            </w:tcBorders>
            <w:noWrap w:val="0"/>
            <w:vAlign w:val="top"/>
          </w:tcPr>
          <w:p w14:paraId="6D905DF8">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61F9A31E">
            <w:pPr>
              <w:jc w:val="left"/>
              <w:rPr>
                <w:rFonts w:hint="default" w:ascii="Times New Roman" w:hAnsi="Times New Roman" w:eastAsia="宋体" w:cs="Times New Roman"/>
                <w:i w:val="0"/>
                <w:iCs w:val="0"/>
                <w:color w:val="auto"/>
                <w:kern w:val="2"/>
                <w:sz w:val="24"/>
                <w:szCs w:val="24"/>
                <w:highlight w:val="none"/>
                <w:u w:val="none"/>
              </w:rPr>
            </w:pPr>
          </w:p>
        </w:tc>
      </w:tr>
      <w:tr w14:paraId="078D4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61DBB40F">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0A1658A1">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0F2347BD">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格力空调室外机</w:t>
            </w:r>
          </w:p>
        </w:tc>
        <w:tc>
          <w:tcPr>
            <w:tcW w:w="359" w:type="pct"/>
            <w:tcBorders>
              <w:top w:val="nil"/>
              <w:left w:val="single" w:color="000000" w:sz="8" w:space="0"/>
              <w:bottom w:val="single" w:color="000000" w:sz="8" w:space="0"/>
              <w:right w:val="single" w:color="000000" w:sz="8" w:space="0"/>
            </w:tcBorders>
            <w:noWrap w:val="0"/>
            <w:vAlign w:val="top"/>
          </w:tcPr>
          <w:p w14:paraId="5C86953C">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547" w:type="pct"/>
            <w:tcBorders>
              <w:top w:val="nil"/>
              <w:left w:val="single" w:color="000000" w:sz="8" w:space="0"/>
              <w:bottom w:val="single" w:color="000000" w:sz="8" w:space="0"/>
              <w:right w:val="single" w:color="000000" w:sz="8" w:space="0"/>
            </w:tcBorders>
            <w:noWrap w:val="0"/>
            <w:vAlign w:val="top"/>
          </w:tcPr>
          <w:p w14:paraId="188308D4">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7567CBD1">
            <w:pPr>
              <w:jc w:val="left"/>
              <w:rPr>
                <w:rFonts w:hint="default" w:ascii="Times New Roman" w:hAnsi="Times New Roman" w:eastAsia="宋体" w:cs="Times New Roman"/>
                <w:i w:val="0"/>
                <w:iCs w:val="0"/>
                <w:color w:val="auto"/>
                <w:kern w:val="2"/>
                <w:sz w:val="24"/>
                <w:szCs w:val="24"/>
                <w:highlight w:val="none"/>
                <w:u w:val="none"/>
              </w:rPr>
            </w:pPr>
          </w:p>
        </w:tc>
      </w:tr>
      <w:tr w14:paraId="7DE21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0CCA841D">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1A652A1C">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7359A1AA">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大金中央空调室外机</w:t>
            </w:r>
          </w:p>
        </w:tc>
        <w:tc>
          <w:tcPr>
            <w:tcW w:w="359" w:type="pct"/>
            <w:tcBorders>
              <w:top w:val="nil"/>
              <w:left w:val="single" w:color="000000" w:sz="8" w:space="0"/>
              <w:bottom w:val="single" w:color="000000" w:sz="8" w:space="0"/>
              <w:right w:val="single" w:color="000000" w:sz="8" w:space="0"/>
            </w:tcBorders>
            <w:noWrap w:val="0"/>
            <w:vAlign w:val="top"/>
          </w:tcPr>
          <w:p w14:paraId="05F38517">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547" w:type="pct"/>
            <w:tcBorders>
              <w:top w:val="nil"/>
              <w:left w:val="single" w:color="000000" w:sz="8" w:space="0"/>
              <w:bottom w:val="single" w:color="000000" w:sz="8" w:space="0"/>
              <w:right w:val="single" w:color="000000" w:sz="8" w:space="0"/>
            </w:tcBorders>
            <w:noWrap w:val="0"/>
            <w:vAlign w:val="top"/>
          </w:tcPr>
          <w:p w14:paraId="31344DF2">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2B5654BD">
            <w:pPr>
              <w:jc w:val="left"/>
              <w:rPr>
                <w:rFonts w:hint="default" w:ascii="Times New Roman" w:hAnsi="Times New Roman" w:eastAsia="宋体" w:cs="Times New Roman"/>
                <w:i w:val="0"/>
                <w:iCs w:val="0"/>
                <w:color w:val="auto"/>
                <w:kern w:val="2"/>
                <w:sz w:val="24"/>
                <w:szCs w:val="24"/>
                <w:highlight w:val="none"/>
                <w:u w:val="none"/>
              </w:rPr>
            </w:pPr>
          </w:p>
        </w:tc>
      </w:tr>
      <w:tr w14:paraId="02BB3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38EA338E">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3AB37FBD">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7554C2B5">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大金中央空调室内机</w:t>
            </w:r>
          </w:p>
        </w:tc>
        <w:tc>
          <w:tcPr>
            <w:tcW w:w="359" w:type="pct"/>
            <w:tcBorders>
              <w:top w:val="nil"/>
              <w:left w:val="single" w:color="000000" w:sz="8" w:space="0"/>
              <w:bottom w:val="single" w:color="000000" w:sz="8" w:space="0"/>
              <w:right w:val="single" w:color="000000" w:sz="8" w:space="0"/>
            </w:tcBorders>
            <w:noWrap w:val="0"/>
            <w:vAlign w:val="top"/>
          </w:tcPr>
          <w:p w14:paraId="73B1DDBE">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170</w:t>
            </w:r>
          </w:p>
        </w:tc>
        <w:tc>
          <w:tcPr>
            <w:tcW w:w="547" w:type="pct"/>
            <w:tcBorders>
              <w:top w:val="nil"/>
              <w:left w:val="single" w:color="000000" w:sz="8" w:space="0"/>
              <w:bottom w:val="single" w:color="000000" w:sz="8" w:space="0"/>
              <w:right w:val="single" w:color="000000" w:sz="8" w:space="0"/>
            </w:tcBorders>
            <w:noWrap w:val="0"/>
            <w:vAlign w:val="top"/>
          </w:tcPr>
          <w:p w14:paraId="7619F407">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459C16C9">
            <w:pPr>
              <w:jc w:val="left"/>
              <w:rPr>
                <w:rFonts w:hint="default" w:ascii="Times New Roman" w:hAnsi="Times New Roman" w:eastAsia="宋体" w:cs="Times New Roman"/>
                <w:i w:val="0"/>
                <w:iCs w:val="0"/>
                <w:color w:val="auto"/>
                <w:kern w:val="2"/>
                <w:sz w:val="24"/>
                <w:szCs w:val="24"/>
                <w:highlight w:val="none"/>
                <w:u w:val="none"/>
              </w:rPr>
            </w:pPr>
          </w:p>
        </w:tc>
      </w:tr>
      <w:tr w14:paraId="408B5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6E87AD80">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22725683">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6B132311">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日立空调室外机</w:t>
            </w:r>
          </w:p>
        </w:tc>
        <w:tc>
          <w:tcPr>
            <w:tcW w:w="359" w:type="pct"/>
            <w:tcBorders>
              <w:top w:val="nil"/>
              <w:left w:val="single" w:color="000000" w:sz="8" w:space="0"/>
              <w:bottom w:val="single" w:color="000000" w:sz="8" w:space="0"/>
              <w:right w:val="single" w:color="000000" w:sz="8" w:space="0"/>
            </w:tcBorders>
            <w:noWrap w:val="0"/>
            <w:vAlign w:val="top"/>
          </w:tcPr>
          <w:p w14:paraId="7ED81A3F">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47" w:type="pct"/>
            <w:tcBorders>
              <w:top w:val="nil"/>
              <w:left w:val="single" w:color="000000" w:sz="8" w:space="0"/>
              <w:bottom w:val="single" w:color="000000" w:sz="8" w:space="0"/>
              <w:right w:val="single" w:color="000000" w:sz="8" w:space="0"/>
            </w:tcBorders>
            <w:noWrap w:val="0"/>
            <w:vAlign w:val="top"/>
          </w:tcPr>
          <w:p w14:paraId="7EB9D53B">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5F0A00A9">
            <w:pPr>
              <w:jc w:val="left"/>
              <w:rPr>
                <w:rFonts w:hint="default" w:ascii="Times New Roman" w:hAnsi="Times New Roman" w:eastAsia="宋体" w:cs="Times New Roman"/>
                <w:i w:val="0"/>
                <w:iCs w:val="0"/>
                <w:color w:val="auto"/>
                <w:kern w:val="2"/>
                <w:sz w:val="24"/>
                <w:szCs w:val="24"/>
                <w:highlight w:val="none"/>
                <w:u w:val="none"/>
              </w:rPr>
            </w:pPr>
          </w:p>
        </w:tc>
      </w:tr>
      <w:tr w14:paraId="4F802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4B27F14A">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625843AF">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638DFCF4">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奥克斯空调室外机</w:t>
            </w:r>
          </w:p>
        </w:tc>
        <w:tc>
          <w:tcPr>
            <w:tcW w:w="359" w:type="pct"/>
            <w:tcBorders>
              <w:top w:val="nil"/>
              <w:left w:val="single" w:color="000000" w:sz="8" w:space="0"/>
              <w:bottom w:val="single" w:color="000000" w:sz="8" w:space="0"/>
              <w:right w:val="single" w:color="000000" w:sz="8" w:space="0"/>
            </w:tcBorders>
            <w:noWrap w:val="0"/>
            <w:vAlign w:val="top"/>
          </w:tcPr>
          <w:p w14:paraId="270D9EFC">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47" w:type="pct"/>
            <w:tcBorders>
              <w:top w:val="nil"/>
              <w:left w:val="single" w:color="000000" w:sz="8" w:space="0"/>
              <w:bottom w:val="single" w:color="000000" w:sz="8" w:space="0"/>
              <w:right w:val="single" w:color="000000" w:sz="8" w:space="0"/>
            </w:tcBorders>
            <w:noWrap w:val="0"/>
            <w:vAlign w:val="top"/>
          </w:tcPr>
          <w:p w14:paraId="137A00DD">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0550ACF8">
            <w:pPr>
              <w:jc w:val="left"/>
              <w:rPr>
                <w:rFonts w:hint="default" w:ascii="Times New Roman" w:hAnsi="Times New Roman" w:eastAsia="宋体" w:cs="Times New Roman"/>
                <w:i w:val="0"/>
                <w:iCs w:val="0"/>
                <w:color w:val="auto"/>
                <w:kern w:val="2"/>
                <w:sz w:val="24"/>
                <w:szCs w:val="24"/>
                <w:highlight w:val="none"/>
                <w:u w:val="none"/>
              </w:rPr>
            </w:pPr>
          </w:p>
        </w:tc>
      </w:tr>
      <w:tr w14:paraId="66EF9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2387ED42">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075EC323">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63B0E956">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格力柜机</w:t>
            </w:r>
          </w:p>
        </w:tc>
        <w:tc>
          <w:tcPr>
            <w:tcW w:w="359" w:type="pct"/>
            <w:tcBorders>
              <w:top w:val="nil"/>
              <w:left w:val="single" w:color="000000" w:sz="8" w:space="0"/>
              <w:bottom w:val="single" w:color="000000" w:sz="8" w:space="0"/>
              <w:right w:val="single" w:color="000000" w:sz="8" w:space="0"/>
            </w:tcBorders>
            <w:noWrap w:val="0"/>
            <w:vAlign w:val="top"/>
          </w:tcPr>
          <w:p w14:paraId="40131E8B">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47" w:type="pct"/>
            <w:tcBorders>
              <w:top w:val="nil"/>
              <w:left w:val="single" w:color="000000" w:sz="8" w:space="0"/>
              <w:bottom w:val="single" w:color="000000" w:sz="8" w:space="0"/>
              <w:right w:val="single" w:color="000000" w:sz="8" w:space="0"/>
            </w:tcBorders>
            <w:noWrap w:val="0"/>
            <w:vAlign w:val="top"/>
          </w:tcPr>
          <w:p w14:paraId="1B6542AF">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ign w:val="center"/>
          </w:tcPr>
          <w:p w14:paraId="41D964F0">
            <w:pPr>
              <w:rPr>
                <w:rFonts w:hint="eastAsia" w:ascii="宋体" w:hAnsi="宋体" w:eastAsia="宋体" w:cs="宋体"/>
                <w:i w:val="0"/>
                <w:iCs w:val="0"/>
                <w:color w:val="auto"/>
                <w:kern w:val="2"/>
                <w:sz w:val="22"/>
                <w:szCs w:val="22"/>
                <w:highlight w:val="none"/>
                <w:u w:val="none"/>
              </w:rPr>
            </w:pPr>
          </w:p>
        </w:tc>
      </w:tr>
      <w:tr w14:paraId="01A1C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22" w:type="pct"/>
            <w:vMerge w:val="continue"/>
            <w:tcBorders>
              <w:left w:val="single" w:color="000000" w:sz="4" w:space="0"/>
              <w:bottom w:val="single" w:color="000000" w:sz="4" w:space="0"/>
              <w:right w:val="single" w:color="000000" w:sz="4" w:space="0"/>
            </w:tcBorders>
            <w:noWrap/>
            <w:vAlign w:val="center"/>
          </w:tcPr>
          <w:p w14:paraId="1AE4F9EB">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7A044F67">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4B5FEFDF">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活动中心空调室外机</w:t>
            </w:r>
          </w:p>
        </w:tc>
        <w:tc>
          <w:tcPr>
            <w:tcW w:w="359" w:type="pct"/>
            <w:tcBorders>
              <w:top w:val="nil"/>
              <w:left w:val="single" w:color="000000" w:sz="8" w:space="0"/>
              <w:bottom w:val="single" w:color="000000" w:sz="8" w:space="0"/>
              <w:right w:val="single" w:color="000000" w:sz="8" w:space="0"/>
            </w:tcBorders>
            <w:noWrap w:val="0"/>
            <w:vAlign w:val="top"/>
          </w:tcPr>
          <w:p w14:paraId="52A8FADA">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547" w:type="pct"/>
            <w:tcBorders>
              <w:top w:val="nil"/>
              <w:left w:val="single" w:color="000000" w:sz="8" w:space="0"/>
              <w:bottom w:val="single" w:color="000000" w:sz="8" w:space="0"/>
              <w:right w:val="single" w:color="000000" w:sz="8" w:space="0"/>
            </w:tcBorders>
            <w:noWrap w:val="0"/>
            <w:vAlign w:val="top"/>
          </w:tcPr>
          <w:p w14:paraId="225089CE">
            <w:pPr>
              <w:keepNext w:val="0"/>
              <w:keepLines w:val="0"/>
              <w:widowControl/>
              <w:suppressLineNumbers w:val="0"/>
              <w:jc w:val="left"/>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50211314">
            <w:pPr>
              <w:keepNext w:val="0"/>
              <w:keepLines w:val="0"/>
              <w:widowControl/>
              <w:suppressLineNumbers w:val="0"/>
              <w:jc w:val="left"/>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美的空调室外机 8 台、格力空调室外机 1 台</w:t>
            </w:r>
          </w:p>
        </w:tc>
      </w:tr>
      <w:tr w14:paraId="3AD9E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restart"/>
            <w:tcBorders>
              <w:top w:val="single" w:color="000000" w:sz="4" w:space="0"/>
              <w:left w:val="single" w:color="000000" w:sz="4" w:space="0"/>
              <w:right w:val="single" w:color="000000" w:sz="4" w:space="0"/>
            </w:tcBorders>
            <w:noWrap/>
            <w:vAlign w:val="center"/>
          </w:tcPr>
          <w:p w14:paraId="5EC40F72">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2</w:t>
            </w:r>
          </w:p>
        </w:tc>
        <w:tc>
          <w:tcPr>
            <w:tcW w:w="900" w:type="pct"/>
            <w:vMerge w:val="restart"/>
            <w:tcBorders>
              <w:top w:val="nil"/>
              <w:left w:val="nil"/>
              <w:bottom w:val="single" w:color="000000" w:sz="8" w:space="0"/>
              <w:right w:val="single" w:color="000000" w:sz="8" w:space="0"/>
            </w:tcBorders>
            <w:noWrap w:val="0"/>
            <w:vAlign w:val="center"/>
          </w:tcPr>
          <w:p w14:paraId="02E710A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行政服务中心</w:t>
            </w:r>
          </w:p>
        </w:tc>
        <w:tc>
          <w:tcPr>
            <w:tcW w:w="1639" w:type="pct"/>
            <w:gridSpan w:val="2"/>
            <w:tcBorders>
              <w:top w:val="nil"/>
              <w:left w:val="single" w:color="000000" w:sz="8" w:space="0"/>
              <w:bottom w:val="single" w:color="000000" w:sz="8" w:space="0"/>
              <w:right w:val="single" w:color="000000" w:sz="8" w:space="0"/>
            </w:tcBorders>
            <w:noWrap w:val="0"/>
            <w:vAlign w:val="top"/>
          </w:tcPr>
          <w:p w14:paraId="52CD4B34">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大金空调室外主机</w:t>
            </w:r>
          </w:p>
        </w:tc>
        <w:tc>
          <w:tcPr>
            <w:tcW w:w="359" w:type="pct"/>
            <w:tcBorders>
              <w:top w:val="nil"/>
              <w:left w:val="single" w:color="000000" w:sz="8" w:space="0"/>
              <w:bottom w:val="single" w:color="000000" w:sz="8" w:space="0"/>
              <w:right w:val="single" w:color="000000" w:sz="8" w:space="0"/>
            </w:tcBorders>
            <w:noWrap w:val="0"/>
            <w:vAlign w:val="top"/>
          </w:tcPr>
          <w:p w14:paraId="7956F129">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93</w:t>
            </w:r>
          </w:p>
        </w:tc>
        <w:tc>
          <w:tcPr>
            <w:tcW w:w="547" w:type="pct"/>
            <w:tcBorders>
              <w:top w:val="nil"/>
              <w:left w:val="single" w:color="000000" w:sz="8" w:space="0"/>
              <w:bottom w:val="single" w:color="000000" w:sz="8" w:space="0"/>
              <w:right w:val="single" w:color="000000" w:sz="8" w:space="0"/>
            </w:tcBorders>
            <w:noWrap w:val="0"/>
            <w:vAlign w:val="top"/>
          </w:tcPr>
          <w:p w14:paraId="43D0AA86">
            <w:pPr>
              <w:keepNext w:val="0"/>
              <w:keepLines w:val="0"/>
              <w:widowControl/>
              <w:suppressLineNumbers w:val="0"/>
              <w:jc w:val="left"/>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375E4604">
            <w:pPr>
              <w:jc w:val="left"/>
              <w:rPr>
                <w:rFonts w:hint="default" w:ascii="Times New Roman" w:hAnsi="Times New Roman" w:eastAsia="宋体" w:cs="Times New Roman"/>
                <w:i w:val="0"/>
                <w:iCs w:val="0"/>
                <w:color w:val="auto"/>
                <w:kern w:val="2"/>
                <w:sz w:val="22"/>
                <w:szCs w:val="22"/>
                <w:highlight w:val="none"/>
                <w:u w:val="none"/>
              </w:rPr>
            </w:pPr>
          </w:p>
        </w:tc>
      </w:tr>
      <w:tr w14:paraId="18933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4E2F60F6">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5F7E8D80">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66BE37D7">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大金空调室内机</w:t>
            </w:r>
          </w:p>
        </w:tc>
        <w:tc>
          <w:tcPr>
            <w:tcW w:w="359" w:type="pct"/>
            <w:tcBorders>
              <w:top w:val="nil"/>
              <w:left w:val="single" w:color="000000" w:sz="8" w:space="0"/>
              <w:bottom w:val="single" w:color="000000" w:sz="8" w:space="0"/>
              <w:right w:val="single" w:color="000000" w:sz="8" w:space="0"/>
            </w:tcBorders>
            <w:noWrap w:val="0"/>
            <w:vAlign w:val="top"/>
          </w:tcPr>
          <w:p w14:paraId="291845C7">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445</w:t>
            </w:r>
          </w:p>
        </w:tc>
        <w:tc>
          <w:tcPr>
            <w:tcW w:w="547" w:type="pct"/>
            <w:tcBorders>
              <w:top w:val="nil"/>
              <w:left w:val="single" w:color="000000" w:sz="8" w:space="0"/>
              <w:bottom w:val="single" w:color="000000" w:sz="8" w:space="0"/>
              <w:right w:val="single" w:color="000000" w:sz="8" w:space="0"/>
            </w:tcBorders>
            <w:noWrap w:val="0"/>
            <w:vAlign w:val="top"/>
          </w:tcPr>
          <w:p w14:paraId="298CFA4F">
            <w:pPr>
              <w:keepNext w:val="0"/>
              <w:keepLines w:val="0"/>
              <w:widowControl/>
              <w:suppressLineNumbers w:val="0"/>
              <w:jc w:val="left"/>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4FD4F2B7">
            <w:pPr>
              <w:jc w:val="left"/>
              <w:rPr>
                <w:rFonts w:hint="default" w:ascii="Times New Roman" w:hAnsi="Times New Roman" w:eastAsia="宋体" w:cs="Times New Roman"/>
                <w:i w:val="0"/>
                <w:iCs w:val="0"/>
                <w:color w:val="auto"/>
                <w:kern w:val="2"/>
                <w:sz w:val="22"/>
                <w:szCs w:val="22"/>
                <w:highlight w:val="none"/>
                <w:u w:val="none"/>
              </w:rPr>
            </w:pPr>
          </w:p>
        </w:tc>
      </w:tr>
      <w:tr w14:paraId="0923C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right w:val="single" w:color="000000" w:sz="4" w:space="0"/>
            </w:tcBorders>
            <w:noWrap/>
            <w:vAlign w:val="center"/>
          </w:tcPr>
          <w:p w14:paraId="09D1A236">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29AF4AAB">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1F975C82">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格力柜机</w:t>
            </w:r>
          </w:p>
        </w:tc>
        <w:tc>
          <w:tcPr>
            <w:tcW w:w="359" w:type="pct"/>
            <w:tcBorders>
              <w:top w:val="nil"/>
              <w:left w:val="single" w:color="000000" w:sz="8" w:space="0"/>
              <w:bottom w:val="single" w:color="000000" w:sz="8" w:space="0"/>
              <w:right w:val="single" w:color="000000" w:sz="8" w:space="0"/>
            </w:tcBorders>
            <w:noWrap w:val="0"/>
            <w:vAlign w:val="top"/>
          </w:tcPr>
          <w:p w14:paraId="193384CE">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547" w:type="pct"/>
            <w:tcBorders>
              <w:top w:val="nil"/>
              <w:left w:val="single" w:color="000000" w:sz="8" w:space="0"/>
              <w:bottom w:val="single" w:color="000000" w:sz="8" w:space="0"/>
              <w:right w:val="single" w:color="000000" w:sz="8" w:space="0"/>
            </w:tcBorders>
            <w:noWrap w:val="0"/>
            <w:vAlign w:val="top"/>
          </w:tcPr>
          <w:p w14:paraId="44EC65CA">
            <w:pPr>
              <w:keepNext w:val="0"/>
              <w:keepLines w:val="0"/>
              <w:widowControl/>
              <w:suppressLineNumbers w:val="0"/>
              <w:jc w:val="left"/>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3B11AD43">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电梯机房</w:t>
            </w:r>
          </w:p>
        </w:tc>
      </w:tr>
      <w:tr w14:paraId="5F143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2" w:type="pct"/>
            <w:vMerge w:val="continue"/>
            <w:tcBorders>
              <w:left w:val="single" w:color="000000" w:sz="4" w:space="0"/>
              <w:bottom w:val="single" w:color="000000" w:sz="4" w:space="0"/>
              <w:right w:val="single" w:color="000000" w:sz="4" w:space="0"/>
            </w:tcBorders>
            <w:noWrap/>
            <w:vAlign w:val="center"/>
          </w:tcPr>
          <w:p w14:paraId="0EE979E6">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rPr>
            </w:pPr>
          </w:p>
        </w:tc>
        <w:tc>
          <w:tcPr>
            <w:tcW w:w="900" w:type="pct"/>
            <w:vMerge w:val="continue"/>
            <w:tcBorders>
              <w:top w:val="nil"/>
              <w:left w:val="nil"/>
              <w:bottom w:val="single" w:color="000000" w:sz="8" w:space="0"/>
              <w:right w:val="single" w:color="000000" w:sz="8" w:space="0"/>
            </w:tcBorders>
            <w:noWrap w:val="0"/>
            <w:vAlign w:val="center"/>
          </w:tcPr>
          <w:p w14:paraId="675FED88">
            <w:pPr>
              <w:jc w:val="center"/>
              <w:rPr>
                <w:rFonts w:hint="eastAsia" w:ascii="宋体" w:hAnsi="宋体" w:eastAsia="宋体" w:cs="宋体"/>
                <w:i w:val="0"/>
                <w:iCs w:val="0"/>
                <w:color w:val="auto"/>
                <w:kern w:val="2"/>
                <w:sz w:val="24"/>
                <w:szCs w:val="24"/>
                <w:highlight w:val="none"/>
                <w:u w:val="none"/>
              </w:rPr>
            </w:pPr>
          </w:p>
        </w:tc>
        <w:tc>
          <w:tcPr>
            <w:tcW w:w="1639" w:type="pct"/>
            <w:gridSpan w:val="2"/>
            <w:tcBorders>
              <w:top w:val="nil"/>
              <w:left w:val="single" w:color="000000" w:sz="8" w:space="0"/>
              <w:bottom w:val="single" w:color="000000" w:sz="8" w:space="0"/>
              <w:right w:val="single" w:color="000000" w:sz="8" w:space="0"/>
            </w:tcBorders>
            <w:noWrap w:val="0"/>
            <w:vAlign w:val="top"/>
          </w:tcPr>
          <w:p w14:paraId="68CB0945">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美的柜机</w:t>
            </w:r>
          </w:p>
        </w:tc>
        <w:tc>
          <w:tcPr>
            <w:tcW w:w="359" w:type="pct"/>
            <w:tcBorders>
              <w:top w:val="nil"/>
              <w:left w:val="single" w:color="000000" w:sz="8" w:space="0"/>
              <w:bottom w:val="single" w:color="000000" w:sz="8" w:space="0"/>
              <w:right w:val="single" w:color="000000" w:sz="8" w:space="0"/>
            </w:tcBorders>
            <w:noWrap w:val="0"/>
            <w:vAlign w:val="top"/>
          </w:tcPr>
          <w:p w14:paraId="5F577836">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47" w:type="pct"/>
            <w:tcBorders>
              <w:top w:val="nil"/>
              <w:left w:val="single" w:color="000000" w:sz="8" w:space="0"/>
              <w:bottom w:val="single" w:color="000000" w:sz="8" w:space="0"/>
              <w:right w:val="single" w:color="000000" w:sz="8" w:space="0"/>
            </w:tcBorders>
            <w:noWrap w:val="0"/>
            <w:vAlign w:val="top"/>
          </w:tcPr>
          <w:p w14:paraId="4F3A5C98">
            <w:pPr>
              <w:keepNext w:val="0"/>
              <w:keepLines w:val="0"/>
              <w:widowControl/>
              <w:suppressLineNumbers w:val="0"/>
              <w:jc w:val="left"/>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single" w:color="000000" w:sz="8" w:space="0"/>
              <w:bottom w:val="single" w:color="000000" w:sz="8" w:space="0"/>
              <w:right w:val="single" w:color="000000" w:sz="8" w:space="0"/>
            </w:tcBorders>
            <w:noWrap w:val="0"/>
            <w:vAlign w:val="top"/>
          </w:tcPr>
          <w:p w14:paraId="79255A68">
            <w:pPr>
              <w:keepNext w:val="0"/>
              <w:keepLines w:val="0"/>
              <w:widowControl/>
              <w:suppressLineNumbers w:val="0"/>
              <w:jc w:val="center"/>
              <w:textAlignment w:val="top"/>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水电值班室</w:t>
            </w:r>
          </w:p>
        </w:tc>
      </w:tr>
      <w:tr w14:paraId="78D8A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22" w:type="pct"/>
            <w:vMerge w:val="restart"/>
            <w:tcBorders>
              <w:top w:val="nil"/>
              <w:left w:val="single" w:color="000000" w:sz="8" w:space="0"/>
              <w:right w:val="single" w:color="000000" w:sz="8" w:space="0"/>
            </w:tcBorders>
            <w:noWrap w:val="0"/>
            <w:vAlign w:val="center"/>
          </w:tcPr>
          <w:p w14:paraId="1256879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cs="宋体"/>
                <w:i w:val="0"/>
                <w:iCs w:val="0"/>
                <w:color w:val="auto"/>
                <w:kern w:val="2"/>
                <w:sz w:val="24"/>
                <w:szCs w:val="24"/>
                <w:highlight w:val="none"/>
                <w:u w:val="none"/>
                <w:lang w:val="en-US" w:eastAsia="zh-CN"/>
              </w:rPr>
              <w:t>3</w:t>
            </w:r>
          </w:p>
        </w:tc>
        <w:tc>
          <w:tcPr>
            <w:tcW w:w="900" w:type="pct"/>
            <w:vMerge w:val="restart"/>
            <w:tcBorders>
              <w:top w:val="nil"/>
              <w:left w:val="nil"/>
              <w:right w:val="single" w:color="000000" w:sz="8" w:space="0"/>
            </w:tcBorders>
            <w:noWrap w:val="0"/>
            <w:vAlign w:val="center"/>
          </w:tcPr>
          <w:p w14:paraId="546FCD1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双子楼</w:t>
            </w:r>
          </w:p>
        </w:tc>
        <w:tc>
          <w:tcPr>
            <w:tcW w:w="548" w:type="pct"/>
            <w:vMerge w:val="restart"/>
            <w:tcBorders>
              <w:top w:val="nil"/>
              <w:left w:val="nil"/>
              <w:right w:val="single" w:color="auto" w:sz="4" w:space="0"/>
            </w:tcBorders>
            <w:noWrap w:val="0"/>
            <w:vAlign w:val="center"/>
          </w:tcPr>
          <w:p w14:paraId="13A116A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多联机</w:t>
            </w:r>
          </w:p>
        </w:tc>
        <w:tc>
          <w:tcPr>
            <w:tcW w:w="1091" w:type="pct"/>
            <w:tcBorders>
              <w:top w:val="nil"/>
              <w:left w:val="single" w:color="auto" w:sz="4" w:space="0"/>
              <w:bottom w:val="single" w:color="000000" w:sz="8" w:space="0"/>
              <w:right w:val="single" w:color="000000" w:sz="8" w:space="0"/>
            </w:tcBorders>
            <w:noWrap w:val="0"/>
            <w:vAlign w:val="center"/>
          </w:tcPr>
          <w:p w14:paraId="75E2098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大金室外机</w:t>
            </w:r>
          </w:p>
        </w:tc>
        <w:tc>
          <w:tcPr>
            <w:tcW w:w="359" w:type="pct"/>
            <w:tcBorders>
              <w:top w:val="nil"/>
              <w:left w:val="nil"/>
              <w:bottom w:val="single" w:color="000000" w:sz="8" w:space="0"/>
              <w:right w:val="single" w:color="000000" w:sz="8" w:space="0"/>
            </w:tcBorders>
            <w:noWrap w:val="0"/>
            <w:vAlign w:val="center"/>
          </w:tcPr>
          <w:p w14:paraId="6458E53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98</w:t>
            </w:r>
          </w:p>
        </w:tc>
        <w:tc>
          <w:tcPr>
            <w:tcW w:w="547" w:type="pct"/>
            <w:tcBorders>
              <w:top w:val="nil"/>
              <w:left w:val="nil"/>
              <w:bottom w:val="single" w:color="000000" w:sz="8" w:space="0"/>
              <w:right w:val="single" w:color="000000" w:sz="8" w:space="0"/>
            </w:tcBorders>
            <w:noWrap w:val="0"/>
            <w:vAlign w:val="center"/>
          </w:tcPr>
          <w:p w14:paraId="164A498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131" w:type="pct"/>
            <w:tcBorders>
              <w:top w:val="nil"/>
              <w:left w:val="nil"/>
              <w:bottom w:val="single" w:color="000000" w:sz="8" w:space="0"/>
              <w:right w:val="single" w:color="000000" w:sz="8" w:space="0"/>
            </w:tcBorders>
            <w:noWrap w:val="0"/>
            <w:vAlign w:val="center"/>
          </w:tcPr>
          <w:p w14:paraId="434D956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三层室外机房、5、8、10、13、14、16层西楼主楼CA01、CA14东主楼BA16、BA01空调室外机房等</w:t>
            </w:r>
          </w:p>
        </w:tc>
      </w:tr>
      <w:tr w14:paraId="3EFEC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2" w:type="pct"/>
            <w:vMerge w:val="continue"/>
            <w:tcBorders>
              <w:left w:val="single" w:color="000000" w:sz="8" w:space="0"/>
              <w:right w:val="single" w:color="000000" w:sz="8" w:space="0"/>
            </w:tcBorders>
            <w:noWrap w:val="0"/>
            <w:vAlign w:val="center"/>
          </w:tcPr>
          <w:p w14:paraId="7F6A8113">
            <w:pPr>
              <w:jc w:val="center"/>
              <w:rPr>
                <w:rFonts w:hint="eastAsia" w:ascii="宋体" w:hAnsi="宋体" w:eastAsia="宋体" w:cs="宋体"/>
                <w:i w:val="0"/>
                <w:iCs w:val="0"/>
                <w:color w:val="auto"/>
                <w:kern w:val="2"/>
                <w:sz w:val="24"/>
                <w:szCs w:val="24"/>
                <w:highlight w:val="none"/>
                <w:u w:val="none"/>
              </w:rPr>
            </w:pPr>
          </w:p>
        </w:tc>
        <w:tc>
          <w:tcPr>
            <w:tcW w:w="900" w:type="pct"/>
            <w:vMerge w:val="continue"/>
            <w:tcBorders>
              <w:left w:val="nil"/>
              <w:right w:val="single" w:color="000000" w:sz="8" w:space="0"/>
            </w:tcBorders>
            <w:noWrap w:val="0"/>
            <w:vAlign w:val="center"/>
          </w:tcPr>
          <w:p w14:paraId="572B7D91">
            <w:pPr>
              <w:jc w:val="center"/>
              <w:rPr>
                <w:rFonts w:hint="eastAsia" w:ascii="宋体" w:hAnsi="宋体" w:eastAsia="宋体" w:cs="宋体"/>
                <w:i w:val="0"/>
                <w:iCs w:val="0"/>
                <w:color w:val="auto"/>
                <w:kern w:val="2"/>
                <w:sz w:val="24"/>
                <w:szCs w:val="24"/>
                <w:highlight w:val="none"/>
                <w:u w:val="none"/>
              </w:rPr>
            </w:pPr>
          </w:p>
        </w:tc>
        <w:tc>
          <w:tcPr>
            <w:tcW w:w="548" w:type="pct"/>
            <w:vMerge w:val="continue"/>
            <w:tcBorders>
              <w:left w:val="nil"/>
              <w:bottom w:val="single" w:color="000000" w:sz="8" w:space="0"/>
              <w:right w:val="single" w:color="auto" w:sz="4" w:space="0"/>
            </w:tcBorders>
            <w:noWrap w:val="0"/>
            <w:vAlign w:val="center"/>
          </w:tcPr>
          <w:p w14:paraId="319E6F8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1091" w:type="pct"/>
            <w:tcBorders>
              <w:top w:val="nil"/>
              <w:left w:val="single" w:color="auto" w:sz="4" w:space="0"/>
              <w:bottom w:val="single" w:color="000000" w:sz="8" w:space="0"/>
              <w:right w:val="single" w:color="000000" w:sz="8" w:space="0"/>
            </w:tcBorders>
            <w:noWrap w:val="0"/>
            <w:vAlign w:val="center"/>
          </w:tcPr>
          <w:p w14:paraId="30A2442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大金室内机</w:t>
            </w:r>
          </w:p>
        </w:tc>
        <w:tc>
          <w:tcPr>
            <w:tcW w:w="359" w:type="pct"/>
            <w:tcBorders>
              <w:top w:val="nil"/>
              <w:left w:val="nil"/>
              <w:bottom w:val="single" w:color="000000" w:sz="8" w:space="0"/>
              <w:right w:val="single" w:color="000000" w:sz="8" w:space="0"/>
            </w:tcBorders>
            <w:noWrap w:val="0"/>
            <w:vAlign w:val="center"/>
          </w:tcPr>
          <w:p w14:paraId="1552815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1072</w:t>
            </w:r>
          </w:p>
        </w:tc>
        <w:tc>
          <w:tcPr>
            <w:tcW w:w="547" w:type="pct"/>
            <w:tcBorders>
              <w:top w:val="nil"/>
              <w:left w:val="nil"/>
              <w:bottom w:val="single" w:color="000000" w:sz="8" w:space="0"/>
              <w:right w:val="single" w:color="000000" w:sz="8" w:space="0"/>
            </w:tcBorders>
            <w:noWrap w:val="0"/>
            <w:vAlign w:val="center"/>
          </w:tcPr>
          <w:p w14:paraId="1EFAC65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nil"/>
              <w:bottom w:val="single" w:color="000000" w:sz="8" w:space="0"/>
              <w:right w:val="single" w:color="000000" w:sz="8" w:space="0"/>
            </w:tcBorders>
            <w:noWrap w:val="0"/>
            <w:vAlign w:val="center"/>
          </w:tcPr>
          <w:p w14:paraId="55999BA5">
            <w:pPr>
              <w:jc w:val="center"/>
              <w:rPr>
                <w:rFonts w:hint="eastAsia" w:ascii="宋体" w:hAnsi="宋体" w:eastAsia="宋体" w:cs="宋体"/>
                <w:i w:val="0"/>
                <w:iCs w:val="0"/>
                <w:color w:val="auto"/>
                <w:kern w:val="2"/>
                <w:sz w:val="24"/>
                <w:szCs w:val="24"/>
                <w:highlight w:val="none"/>
                <w:u w:val="none"/>
              </w:rPr>
            </w:pPr>
          </w:p>
        </w:tc>
      </w:tr>
      <w:tr w14:paraId="2BE59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2" w:type="pct"/>
            <w:vMerge w:val="continue"/>
            <w:tcBorders>
              <w:left w:val="single" w:color="000000" w:sz="8" w:space="0"/>
              <w:right w:val="single" w:color="000000" w:sz="8" w:space="0"/>
            </w:tcBorders>
            <w:noWrap w:val="0"/>
            <w:vAlign w:val="center"/>
          </w:tcPr>
          <w:p w14:paraId="79578A6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900" w:type="pct"/>
            <w:vMerge w:val="continue"/>
            <w:tcBorders>
              <w:left w:val="nil"/>
              <w:right w:val="single" w:color="000000" w:sz="8" w:space="0"/>
            </w:tcBorders>
            <w:noWrap w:val="0"/>
            <w:vAlign w:val="center"/>
          </w:tcPr>
          <w:p w14:paraId="21734F6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548" w:type="pct"/>
            <w:tcBorders>
              <w:top w:val="nil"/>
              <w:left w:val="nil"/>
              <w:bottom w:val="single" w:color="000000" w:sz="8" w:space="0"/>
              <w:right w:val="single" w:color="auto" w:sz="4" w:space="0"/>
            </w:tcBorders>
            <w:noWrap w:val="0"/>
            <w:vAlign w:val="center"/>
          </w:tcPr>
          <w:p w14:paraId="4B6C023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空调器</w:t>
            </w:r>
          </w:p>
        </w:tc>
        <w:tc>
          <w:tcPr>
            <w:tcW w:w="1091" w:type="pct"/>
            <w:tcBorders>
              <w:top w:val="nil"/>
              <w:left w:val="single" w:color="auto" w:sz="4" w:space="0"/>
              <w:bottom w:val="single" w:color="000000" w:sz="8" w:space="0"/>
              <w:right w:val="single" w:color="000000" w:sz="8" w:space="0"/>
            </w:tcBorders>
            <w:noWrap w:val="0"/>
            <w:vAlign w:val="center"/>
          </w:tcPr>
          <w:p w14:paraId="1AE5241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立式</w:t>
            </w:r>
          </w:p>
        </w:tc>
        <w:tc>
          <w:tcPr>
            <w:tcW w:w="359" w:type="pct"/>
            <w:tcBorders>
              <w:top w:val="nil"/>
              <w:left w:val="nil"/>
              <w:bottom w:val="single" w:color="000000" w:sz="8" w:space="0"/>
              <w:right w:val="single" w:color="000000" w:sz="8" w:space="0"/>
            </w:tcBorders>
            <w:noWrap w:val="0"/>
            <w:vAlign w:val="center"/>
          </w:tcPr>
          <w:p w14:paraId="1F92933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547" w:type="pct"/>
            <w:tcBorders>
              <w:top w:val="nil"/>
              <w:left w:val="nil"/>
              <w:bottom w:val="single" w:color="000000" w:sz="8" w:space="0"/>
              <w:right w:val="single" w:color="000000" w:sz="8" w:space="0"/>
            </w:tcBorders>
            <w:noWrap w:val="0"/>
            <w:vAlign w:val="center"/>
          </w:tcPr>
          <w:p w14:paraId="2C7ADBD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nil"/>
              <w:bottom w:val="single" w:color="000000" w:sz="8" w:space="0"/>
              <w:right w:val="single" w:color="000000" w:sz="8" w:space="0"/>
            </w:tcBorders>
            <w:noWrap w:val="0"/>
            <w:vAlign w:val="center"/>
          </w:tcPr>
          <w:p w14:paraId="081C3E0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中庭东空调机房</w:t>
            </w:r>
          </w:p>
        </w:tc>
      </w:tr>
      <w:tr w14:paraId="5E918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2" w:type="pct"/>
            <w:vMerge w:val="continue"/>
            <w:tcBorders>
              <w:left w:val="single" w:color="000000" w:sz="8" w:space="0"/>
              <w:right w:val="single" w:color="000000" w:sz="8" w:space="0"/>
            </w:tcBorders>
            <w:noWrap w:val="0"/>
            <w:vAlign w:val="center"/>
          </w:tcPr>
          <w:p w14:paraId="19C9DEC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900" w:type="pct"/>
            <w:vMerge w:val="continue"/>
            <w:tcBorders>
              <w:left w:val="nil"/>
              <w:right w:val="single" w:color="000000" w:sz="8" w:space="0"/>
            </w:tcBorders>
            <w:noWrap w:val="0"/>
            <w:vAlign w:val="center"/>
          </w:tcPr>
          <w:p w14:paraId="71AEF46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548" w:type="pct"/>
            <w:vMerge w:val="restart"/>
            <w:tcBorders>
              <w:top w:val="nil"/>
              <w:left w:val="nil"/>
              <w:right w:val="single" w:color="auto" w:sz="4" w:space="0"/>
            </w:tcBorders>
            <w:noWrap w:val="0"/>
            <w:vAlign w:val="center"/>
          </w:tcPr>
          <w:p w14:paraId="4B4F3EC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中央空调</w:t>
            </w:r>
          </w:p>
        </w:tc>
        <w:tc>
          <w:tcPr>
            <w:tcW w:w="1091" w:type="pct"/>
            <w:tcBorders>
              <w:top w:val="nil"/>
              <w:left w:val="single" w:color="auto" w:sz="4" w:space="0"/>
              <w:bottom w:val="single" w:color="000000" w:sz="8" w:space="0"/>
              <w:right w:val="single" w:color="000000" w:sz="8" w:space="0"/>
            </w:tcBorders>
            <w:noWrap w:val="0"/>
            <w:vAlign w:val="center"/>
          </w:tcPr>
          <w:p w14:paraId="1FBDD8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特灵风冷模块式室外机组</w:t>
            </w:r>
          </w:p>
        </w:tc>
        <w:tc>
          <w:tcPr>
            <w:tcW w:w="359" w:type="pct"/>
            <w:tcBorders>
              <w:top w:val="nil"/>
              <w:left w:val="nil"/>
              <w:bottom w:val="single" w:color="000000" w:sz="8" w:space="0"/>
              <w:right w:val="single" w:color="000000" w:sz="8" w:space="0"/>
            </w:tcBorders>
            <w:noWrap w:val="0"/>
            <w:vAlign w:val="center"/>
          </w:tcPr>
          <w:p w14:paraId="457538F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547" w:type="pct"/>
            <w:tcBorders>
              <w:top w:val="nil"/>
              <w:left w:val="nil"/>
              <w:bottom w:val="single" w:color="000000" w:sz="8" w:space="0"/>
              <w:right w:val="single" w:color="000000" w:sz="8" w:space="0"/>
            </w:tcBorders>
            <w:noWrap w:val="0"/>
            <w:vAlign w:val="center"/>
          </w:tcPr>
          <w:p w14:paraId="74E579F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nil"/>
              <w:bottom w:val="single" w:color="000000" w:sz="8" w:space="0"/>
              <w:right w:val="single" w:color="000000" w:sz="8" w:space="0"/>
            </w:tcBorders>
            <w:noWrap w:val="0"/>
            <w:vAlign w:val="center"/>
          </w:tcPr>
          <w:p w14:paraId="114D0F78">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四楼屋顶西北、东南</w:t>
            </w:r>
          </w:p>
        </w:tc>
      </w:tr>
      <w:tr w14:paraId="741F9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2" w:type="pct"/>
            <w:vMerge w:val="continue"/>
            <w:tcBorders>
              <w:left w:val="single" w:color="000000" w:sz="8" w:space="0"/>
              <w:right w:val="single" w:color="000000" w:sz="8" w:space="0"/>
            </w:tcBorders>
            <w:noWrap w:val="0"/>
            <w:vAlign w:val="center"/>
          </w:tcPr>
          <w:p w14:paraId="4CD30A00">
            <w:pPr>
              <w:jc w:val="center"/>
              <w:rPr>
                <w:rFonts w:hint="eastAsia" w:ascii="宋体" w:hAnsi="宋体" w:eastAsia="宋体" w:cs="宋体"/>
                <w:i w:val="0"/>
                <w:iCs w:val="0"/>
                <w:color w:val="auto"/>
                <w:kern w:val="2"/>
                <w:sz w:val="24"/>
                <w:szCs w:val="24"/>
                <w:highlight w:val="none"/>
                <w:u w:val="none"/>
              </w:rPr>
            </w:pPr>
          </w:p>
        </w:tc>
        <w:tc>
          <w:tcPr>
            <w:tcW w:w="900" w:type="pct"/>
            <w:vMerge w:val="continue"/>
            <w:tcBorders>
              <w:left w:val="nil"/>
              <w:right w:val="single" w:color="000000" w:sz="8" w:space="0"/>
            </w:tcBorders>
            <w:noWrap w:val="0"/>
            <w:vAlign w:val="center"/>
          </w:tcPr>
          <w:p w14:paraId="0B8B5F27">
            <w:pPr>
              <w:jc w:val="center"/>
              <w:rPr>
                <w:rFonts w:hint="eastAsia" w:ascii="宋体" w:hAnsi="宋体" w:eastAsia="宋体" w:cs="宋体"/>
                <w:i w:val="0"/>
                <w:iCs w:val="0"/>
                <w:color w:val="auto"/>
                <w:kern w:val="2"/>
                <w:sz w:val="24"/>
                <w:szCs w:val="24"/>
                <w:highlight w:val="none"/>
                <w:u w:val="none"/>
              </w:rPr>
            </w:pPr>
          </w:p>
        </w:tc>
        <w:tc>
          <w:tcPr>
            <w:tcW w:w="548" w:type="pct"/>
            <w:vMerge w:val="continue"/>
            <w:tcBorders>
              <w:left w:val="nil"/>
              <w:bottom w:val="single" w:color="000000" w:sz="8" w:space="0"/>
              <w:right w:val="single" w:color="auto" w:sz="4" w:space="0"/>
            </w:tcBorders>
            <w:noWrap w:val="0"/>
            <w:vAlign w:val="center"/>
          </w:tcPr>
          <w:p w14:paraId="0EE8A8F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1091" w:type="pct"/>
            <w:tcBorders>
              <w:top w:val="nil"/>
              <w:left w:val="single" w:color="auto" w:sz="4" w:space="0"/>
              <w:bottom w:val="single" w:color="000000" w:sz="8" w:space="0"/>
              <w:right w:val="single" w:color="000000" w:sz="8" w:space="0"/>
            </w:tcBorders>
            <w:noWrap w:val="0"/>
            <w:vAlign w:val="center"/>
          </w:tcPr>
          <w:p w14:paraId="364842E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末端（室内机组）</w:t>
            </w:r>
          </w:p>
        </w:tc>
        <w:tc>
          <w:tcPr>
            <w:tcW w:w="359" w:type="pct"/>
            <w:tcBorders>
              <w:top w:val="nil"/>
              <w:left w:val="nil"/>
              <w:bottom w:val="single" w:color="000000" w:sz="8" w:space="0"/>
              <w:right w:val="single" w:color="000000" w:sz="8" w:space="0"/>
            </w:tcBorders>
            <w:noWrap w:val="0"/>
            <w:vAlign w:val="center"/>
          </w:tcPr>
          <w:p w14:paraId="0E6685F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47" w:type="pct"/>
            <w:tcBorders>
              <w:top w:val="nil"/>
              <w:left w:val="nil"/>
              <w:bottom w:val="single" w:color="000000" w:sz="8" w:space="0"/>
              <w:right w:val="single" w:color="000000" w:sz="8" w:space="0"/>
            </w:tcBorders>
            <w:noWrap w:val="0"/>
            <w:vAlign w:val="center"/>
          </w:tcPr>
          <w:p w14:paraId="5954385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131" w:type="pct"/>
            <w:tcBorders>
              <w:top w:val="nil"/>
              <w:left w:val="nil"/>
              <w:bottom w:val="single" w:color="000000" w:sz="8" w:space="0"/>
              <w:right w:val="single" w:color="000000" w:sz="8" w:space="0"/>
            </w:tcBorders>
            <w:noWrap w:val="0"/>
            <w:vAlign w:val="center"/>
          </w:tcPr>
          <w:p w14:paraId="3F78429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含管路、空调箱风机盘管等</w:t>
            </w:r>
          </w:p>
        </w:tc>
      </w:tr>
      <w:tr w14:paraId="68EB0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2" w:type="pct"/>
            <w:vMerge w:val="continue"/>
            <w:tcBorders>
              <w:left w:val="single" w:color="000000" w:sz="8" w:space="0"/>
              <w:right w:val="single" w:color="000000" w:sz="8" w:space="0"/>
            </w:tcBorders>
            <w:noWrap w:val="0"/>
            <w:vAlign w:val="center"/>
          </w:tcPr>
          <w:p w14:paraId="584B0D7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900" w:type="pct"/>
            <w:vMerge w:val="continue"/>
            <w:tcBorders>
              <w:left w:val="nil"/>
              <w:right w:val="single" w:color="000000" w:sz="8" w:space="0"/>
            </w:tcBorders>
            <w:noWrap w:val="0"/>
            <w:vAlign w:val="center"/>
          </w:tcPr>
          <w:p w14:paraId="0410331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548" w:type="pct"/>
            <w:tcBorders>
              <w:top w:val="nil"/>
              <w:left w:val="nil"/>
              <w:bottom w:val="single" w:color="000000" w:sz="8" w:space="0"/>
              <w:right w:val="single" w:color="auto" w:sz="4" w:space="0"/>
            </w:tcBorders>
            <w:noWrap w:val="0"/>
            <w:vAlign w:val="center"/>
          </w:tcPr>
          <w:p w14:paraId="16F3A1D8">
            <w:pPr>
              <w:jc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全热交换器</w:t>
            </w:r>
          </w:p>
        </w:tc>
        <w:tc>
          <w:tcPr>
            <w:tcW w:w="1091" w:type="pct"/>
            <w:tcBorders>
              <w:top w:val="nil"/>
              <w:left w:val="single" w:color="auto" w:sz="4" w:space="0"/>
              <w:bottom w:val="single" w:color="000000" w:sz="8" w:space="0"/>
              <w:right w:val="single" w:color="000000" w:sz="8" w:space="0"/>
            </w:tcBorders>
            <w:noWrap w:val="0"/>
            <w:vAlign w:val="center"/>
          </w:tcPr>
          <w:p w14:paraId="6C395538">
            <w:pPr>
              <w:jc w:val="center"/>
              <w:rPr>
                <w:rFonts w:hint="eastAsia" w:ascii="宋体" w:hAnsi="宋体" w:eastAsia="宋体" w:cs="宋体"/>
                <w:i w:val="0"/>
                <w:iCs w:val="0"/>
                <w:color w:val="auto"/>
                <w:kern w:val="2"/>
                <w:sz w:val="24"/>
                <w:szCs w:val="24"/>
                <w:highlight w:val="none"/>
                <w:u w:val="none"/>
              </w:rPr>
            </w:pPr>
          </w:p>
        </w:tc>
        <w:tc>
          <w:tcPr>
            <w:tcW w:w="359" w:type="pct"/>
            <w:tcBorders>
              <w:top w:val="nil"/>
              <w:left w:val="nil"/>
              <w:bottom w:val="single" w:color="000000" w:sz="8" w:space="0"/>
              <w:right w:val="single" w:color="000000" w:sz="8" w:space="0"/>
            </w:tcBorders>
            <w:noWrap w:val="0"/>
            <w:vAlign w:val="center"/>
          </w:tcPr>
          <w:p w14:paraId="68332C6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547" w:type="pct"/>
            <w:tcBorders>
              <w:top w:val="nil"/>
              <w:left w:val="nil"/>
              <w:bottom w:val="single" w:color="000000" w:sz="8" w:space="0"/>
              <w:right w:val="single" w:color="000000" w:sz="8" w:space="0"/>
            </w:tcBorders>
            <w:noWrap w:val="0"/>
            <w:vAlign w:val="center"/>
          </w:tcPr>
          <w:p w14:paraId="087E184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nil"/>
              <w:bottom w:val="single" w:color="000000" w:sz="8" w:space="0"/>
              <w:right w:val="single" w:color="000000" w:sz="8" w:space="0"/>
            </w:tcBorders>
            <w:noWrap w:val="0"/>
            <w:vAlign w:val="center"/>
          </w:tcPr>
          <w:p w14:paraId="4A47259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中庭东、西空调机房</w:t>
            </w:r>
          </w:p>
        </w:tc>
      </w:tr>
      <w:tr w14:paraId="7C851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422" w:type="pct"/>
            <w:vMerge w:val="continue"/>
            <w:tcBorders>
              <w:left w:val="single" w:color="000000" w:sz="8" w:space="0"/>
              <w:right w:val="single" w:color="000000" w:sz="8" w:space="0"/>
            </w:tcBorders>
            <w:noWrap w:val="0"/>
            <w:vAlign w:val="center"/>
          </w:tcPr>
          <w:p w14:paraId="7C5FC96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900" w:type="pct"/>
            <w:vMerge w:val="continue"/>
            <w:tcBorders>
              <w:left w:val="nil"/>
              <w:right w:val="single" w:color="000000" w:sz="8" w:space="0"/>
            </w:tcBorders>
            <w:noWrap w:val="0"/>
            <w:vAlign w:val="center"/>
          </w:tcPr>
          <w:p w14:paraId="5B3607F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548" w:type="pct"/>
            <w:vMerge w:val="restart"/>
            <w:tcBorders>
              <w:top w:val="nil"/>
              <w:left w:val="nil"/>
              <w:right w:val="single" w:color="auto" w:sz="4" w:space="0"/>
            </w:tcBorders>
            <w:noWrap w:val="0"/>
            <w:vAlign w:val="center"/>
          </w:tcPr>
          <w:p w14:paraId="5BD05A3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新风机</w:t>
            </w:r>
          </w:p>
        </w:tc>
        <w:tc>
          <w:tcPr>
            <w:tcW w:w="1091" w:type="pct"/>
            <w:tcBorders>
              <w:top w:val="nil"/>
              <w:left w:val="single" w:color="auto" w:sz="4" w:space="0"/>
              <w:bottom w:val="single" w:color="000000" w:sz="8" w:space="0"/>
              <w:right w:val="single" w:color="000000" w:sz="8" w:space="0"/>
            </w:tcBorders>
            <w:noWrap w:val="0"/>
            <w:vAlign w:val="center"/>
          </w:tcPr>
          <w:p w14:paraId="0D6E3AA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盾安风冷热泵型室外机</w:t>
            </w:r>
          </w:p>
        </w:tc>
        <w:tc>
          <w:tcPr>
            <w:tcW w:w="359" w:type="pct"/>
            <w:tcBorders>
              <w:top w:val="nil"/>
              <w:left w:val="nil"/>
              <w:bottom w:val="single" w:color="000000" w:sz="8" w:space="0"/>
              <w:right w:val="single" w:color="000000" w:sz="8" w:space="0"/>
            </w:tcBorders>
            <w:noWrap w:val="0"/>
            <w:vAlign w:val="center"/>
          </w:tcPr>
          <w:p w14:paraId="0FB6A08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90</w:t>
            </w:r>
          </w:p>
        </w:tc>
        <w:tc>
          <w:tcPr>
            <w:tcW w:w="547" w:type="pct"/>
            <w:tcBorders>
              <w:top w:val="nil"/>
              <w:left w:val="nil"/>
              <w:bottom w:val="single" w:color="000000" w:sz="8" w:space="0"/>
              <w:right w:val="single" w:color="000000" w:sz="8" w:space="0"/>
            </w:tcBorders>
            <w:noWrap w:val="0"/>
            <w:vAlign w:val="center"/>
          </w:tcPr>
          <w:p w14:paraId="3309908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31" w:type="pct"/>
            <w:tcBorders>
              <w:top w:val="nil"/>
              <w:left w:val="nil"/>
              <w:bottom w:val="single" w:color="000000" w:sz="8" w:space="0"/>
              <w:right w:val="single" w:color="000000" w:sz="8" w:space="0"/>
            </w:tcBorders>
            <w:noWrap w:val="0"/>
            <w:vAlign w:val="center"/>
          </w:tcPr>
          <w:p w14:paraId="6313B34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东西主楼新风机房、一层西北卫生间南走道、一层中庭西北、三层中庭北走道西等</w:t>
            </w:r>
          </w:p>
        </w:tc>
      </w:tr>
      <w:tr w14:paraId="3B8C1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422" w:type="pct"/>
            <w:vMerge w:val="continue"/>
            <w:tcBorders>
              <w:left w:val="single" w:color="000000" w:sz="8" w:space="0"/>
              <w:right w:val="single" w:color="000000" w:sz="8" w:space="0"/>
            </w:tcBorders>
            <w:noWrap w:val="0"/>
            <w:vAlign w:val="center"/>
          </w:tcPr>
          <w:p w14:paraId="480608B4">
            <w:pPr>
              <w:jc w:val="center"/>
              <w:rPr>
                <w:rFonts w:hint="eastAsia" w:ascii="宋体" w:hAnsi="宋体" w:eastAsia="宋体" w:cs="宋体"/>
                <w:i w:val="0"/>
                <w:iCs w:val="0"/>
                <w:color w:val="auto"/>
                <w:kern w:val="2"/>
                <w:sz w:val="24"/>
                <w:szCs w:val="24"/>
                <w:highlight w:val="none"/>
                <w:u w:val="none"/>
              </w:rPr>
            </w:pPr>
          </w:p>
        </w:tc>
        <w:tc>
          <w:tcPr>
            <w:tcW w:w="900" w:type="pct"/>
            <w:vMerge w:val="continue"/>
            <w:tcBorders>
              <w:left w:val="nil"/>
              <w:right w:val="single" w:color="000000" w:sz="8" w:space="0"/>
            </w:tcBorders>
            <w:noWrap w:val="0"/>
            <w:vAlign w:val="center"/>
          </w:tcPr>
          <w:p w14:paraId="292143C1">
            <w:pPr>
              <w:jc w:val="center"/>
              <w:rPr>
                <w:rFonts w:hint="eastAsia" w:ascii="宋体" w:hAnsi="宋体" w:eastAsia="宋体" w:cs="宋体"/>
                <w:i w:val="0"/>
                <w:iCs w:val="0"/>
                <w:color w:val="auto"/>
                <w:kern w:val="2"/>
                <w:sz w:val="24"/>
                <w:szCs w:val="24"/>
                <w:highlight w:val="none"/>
                <w:u w:val="none"/>
              </w:rPr>
            </w:pPr>
          </w:p>
        </w:tc>
        <w:tc>
          <w:tcPr>
            <w:tcW w:w="548" w:type="pct"/>
            <w:vMerge w:val="continue"/>
            <w:tcBorders>
              <w:left w:val="nil"/>
              <w:bottom w:val="single" w:color="000000" w:sz="8" w:space="0"/>
              <w:right w:val="single" w:color="auto" w:sz="4" w:space="0"/>
            </w:tcBorders>
            <w:noWrap w:val="0"/>
            <w:vAlign w:val="center"/>
          </w:tcPr>
          <w:p w14:paraId="7358FB2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1091" w:type="pct"/>
            <w:tcBorders>
              <w:top w:val="nil"/>
              <w:left w:val="single" w:color="auto" w:sz="4" w:space="0"/>
              <w:bottom w:val="single" w:color="000000" w:sz="8" w:space="0"/>
              <w:right w:val="single" w:color="000000" w:sz="8" w:space="0"/>
            </w:tcBorders>
            <w:noWrap w:val="0"/>
            <w:vAlign w:val="center"/>
          </w:tcPr>
          <w:p w14:paraId="302C8C3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末端（室内吊顶式组合式空调机箱）</w:t>
            </w:r>
          </w:p>
        </w:tc>
        <w:tc>
          <w:tcPr>
            <w:tcW w:w="359" w:type="pct"/>
            <w:tcBorders>
              <w:top w:val="nil"/>
              <w:left w:val="nil"/>
              <w:bottom w:val="single" w:color="000000" w:sz="8" w:space="0"/>
              <w:right w:val="single" w:color="000000" w:sz="8" w:space="0"/>
            </w:tcBorders>
            <w:noWrap w:val="0"/>
            <w:vAlign w:val="center"/>
          </w:tcPr>
          <w:p w14:paraId="490841A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47" w:type="pct"/>
            <w:tcBorders>
              <w:top w:val="nil"/>
              <w:left w:val="nil"/>
              <w:bottom w:val="single" w:color="000000" w:sz="8" w:space="0"/>
              <w:right w:val="single" w:color="000000" w:sz="8" w:space="0"/>
            </w:tcBorders>
            <w:noWrap w:val="0"/>
            <w:vAlign w:val="center"/>
          </w:tcPr>
          <w:p w14:paraId="2150F81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131" w:type="pct"/>
            <w:tcBorders>
              <w:top w:val="nil"/>
              <w:left w:val="nil"/>
              <w:bottom w:val="single" w:color="000000" w:sz="8" w:space="0"/>
              <w:right w:val="single" w:color="000000" w:sz="8" w:space="0"/>
            </w:tcBorders>
            <w:noWrap w:val="0"/>
            <w:vAlign w:val="center"/>
          </w:tcPr>
          <w:p w14:paraId="7B3968C8">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含管路、空调箱及每年过滤器更换</w:t>
            </w:r>
          </w:p>
        </w:tc>
      </w:tr>
      <w:tr w14:paraId="471A2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22" w:type="pct"/>
            <w:vMerge w:val="continue"/>
            <w:tcBorders>
              <w:left w:val="single" w:color="000000" w:sz="8" w:space="0"/>
              <w:right w:val="single" w:color="000000" w:sz="8" w:space="0"/>
            </w:tcBorders>
            <w:noWrap w:val="0"/>
            <w:vAlign w:val="center"/>
          </w:tcPr>
          <w:p w14:paraId="4507D3C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900" w:type="pct"/>
            <w:vMerge w:val="continue"/>
            <w:tcBorders>
              <w:left w:val="nil"/>
              <w:right w:val="single" w:color="000000" w:sz="8" w:space="0"/>
            </w:tcBorders>
            <w:noWrap w:val="0"/>
            <w:vAlign w:val="center"/>
          </w:tcPr>
          <w:p w14:paraId="2062827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548" w:type="pct"/>
            <w:tcBorders>
              <w:top w:val="nil"/>
              <w:left w:val="nil"/>
              <w:bottom w:val="single" w:color="000000" w:sz="8" w:space="0"/>
              <w:right w:val="single" w:color="auto" w:sz="4" w:space="0"/>
            </w:tcBorders>
            <w:noWrap w:val="0"/>
            <w:vAlign w:val="center"/>
          </w:tcPr>
          <w:p w14:paraId="73DC4D8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故障恢复</w:t>
            </w:r>
          </w:p>
        </w:tc>
        <w:tc>
          <w:tcPr>
            <w:tcW w:w="1091" w:type="pct"/>
            <w:tcBorders>
              <w:top w:val="nil"/>
              <w:left w:val="single" w:color="auto" w:sz="4" w:space="0"/>
              <w:bottom w:val="single" w:color="000000" w:sz="8" w:space="0"/>
              <w:right w:val="single" w:color="000000" w:sz="8" w:space="0"/>
            </w:tcBorders>
            <w:noWrap w:val="0"/>
            <w:vAlign w:val="center"/>
          </w:tcPr>
          <w:p w14:paraId="1D708B2D">
            <w:pPr>
              <w:jc w:val="center"/>
              <w:rPr>
                <w:rFonts w:hint="eastAsia" w:ascii="宋体" w:hAnsi="宋体" w:eastAsia="宋体" w:cs="宋体"/>
                <w:i w:val="0"/>
                <w:iCs w:val="0"/>
                <w:color w:val="auto"/>
                <w:kern w:val="2"/>
                <w:sz w:val="24"/>
                <w:szCs w:val="24"/>
                <w:highlight w:val="none"/>
                <w:u w:val="none"/>
              </w:rPr>
            </w:pPr>
          </w:p>
        </w:tc>
        <w:tc>
          <w:tcPr>
            <w:tcW w:w="359" w:type="pct"/>
            <w:tcBorders>
              <w:top w:val="nil"/>
              <w:left w:val="nil"/>
              <w:bottom w:val="single" w:color="000000" w:sz="8" w:space="0"/>
              <w:right w:val="single" w:color="000000" w:sz="8" w:space="0"/>
            </w:tcBorders>
            <w:noWrap w:val="0"/>
            <w:vAlign w:val="center"/>
          </w:tcPr>
          <w:p w14:paraId="59AF2E3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547" w:type="pct"/>
            <w:tcBorders>
              <w:top w:val="nil"/>
              <w:left w:val="nil"/>
              <w:bottom w:val="single" w:color="000000" w:sz="8" w:space="0"/>
              <w:right w:val="single" w:color="000000" w:sz="8" w:space="0"/>
            </w:tcBorders>
            <w:noWrap w:val="0"/>
            <w:vAlign w:val="center"/>
          </w:tcPr>
          <w:p w14:paraId="123D16B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131" w:type="pct"/>
            <w:tcBorders>
              <w:top w:val="nil"/>
              <w:left w:val="nil"/>
              <w:bottom w:val="single" w:color="000000" w:sz="8" w:space="0"/>
              <w:right w:val="single" w:color="000000" w:sz="8" w:space="0"/>
            </w:tcBorders>
            <w:noWrap w:val="0"/>
            <w:vAlign w:val="center"/>
          </w:tcPr>
          <w:p w14:paraId="713FCC9F">
            <w:pPr>
              <w:jc w:val="center"/>
              <w:rPr>
                <w:rFonts w:hint="eastAsia" w:ascii="宋体" w:hAnsi="宋体" w:eastAsia="宋体" w:cs="宋体"/>
                <w:i w:val="0"/>
                <w:iCs w:val="0"/>
                <w:color w:val="auto"/>
                <w:kern w:val="2"/>
                <w:sz w:val="24"/>
                <w:szCs w:val="24"/>
                <w:highlight w:val="none"/>
                <w:u w:val="none"/>
              </w:rPr>
            </w:pPr>
          </w:p>
        </w:tc>
      </w:tr>
      <w:tr w14:paraId="20554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22" w:type="pct"/>
            <w:vMerge w:val="continue"/>
            <w:tcBorders>
              <w:left w:val="single" w:color="000000" w:sz="8" w:space="0"/>
              <w:bottom w:val="single" w:color="000000" w:sz="8" w:space="0"/>
              <w:right w:val="single" w:color="000000" w:sz="8" w:space="0"/>
            </w:tcBorders>
            <w:noWrap w:val="0"/>
            <w:vAlign w:val="center"/>
          </w:tcPr>
          <w:p w14:paraId="6462DF8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900" w:type="pct"/>
            <w:vMerge w:val="continue"/>
            <w:tcBorders>
              <w:left w:val="nil"/>
              <w:bottom w:val="single" w:color="000000" w:sz="8" w:space="0"/>
              <w:right w:val="single" w:color="000000" w:sz="8" w:space="0"/>
            </w:tcBorders>
            <w:noWrap w:val="0"/>
            <w:vAlign w:val="center"/>
          </w:tcPr>
          <w:p w14:paraId="1F8DE93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p>
        </w:tc>
        <w:tc>
          <w:tcPr>
            <w:tcW w:w="548" w:type="pct"/>
            <w:tcBorders>
              <w:top w:val="nil"/>
              <w:left w:val="nil"/>
              <w:bottom w:val="single" w:color="000000" w:sz="8" w:space="0"/>
              <w:right w:val="single" w:color="auto" w:sz="4" w:space="0"/>
            </w:tcBorders>
            <w:noWrap w:val="0"/>
            <w:vAlign w:val="center"/>
          </w:tcPr>
          <w:p w14:paraId="68A4159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水系统</w:t>
            </w:r>
          </w:p>
        </w:tc>
        <w:tc>
          <w:tcPr>
            <w:tcW w:w="1091" w:type="pct"/>
            <w:tcBorders>
              <w:top w:val="nil"/>
              <w:left w:val="single" w:color="auto" w:sz="4" w:space="0"/>
              <w:bottom w:val="single" w:color="000000" w:sz="8" w:space="0"/>
              <w:right w:val="single" w:color="000000" w:sz="8" w:space="0"/>
            </w:tcBorders>
            <w:noWrap w:val="0"/>
            <w:vAlign w:val="center"/>
          </w:tcPr>
          <w:p w14:paraId="300E06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水质处理</w:t>
            </w:r>
          </w:p>
        </w:tc>
        <w:tc>
          <w:tcPr>
            <w:tcW w:w="359" w:type="pct"/>
            <w:tcBorders>
              <w:top w:val="nil"/>
              <w:left w:val="nil"/>
              <w:bottom w:val="single" w:color="000000" w:sz="8" w:space="0"/>
              <w:right w:val="single" w:color="000000" w:sz="8" w:space="0"/>
            </w:tcBorders>
            <w:noWrap w:val="0"/>
            <w:vAlign w:val="center"/>
          </w:tcPr>
          <w:p w14:paraId="22397A3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47" w:type="pct"/>
            <w:tcBorders>
              <w:top w:val="nil"/>
              <w:left w:val="nil"/>
              <w:bottom w:val="single" w:color="000000" w:sz="8" w:space="0"/>
              <w:right w:val="single" w:color="000000" w:sz="8" w:space="0"/>
            </w:tcBorders>
            <w:noWrap w:val="0"/>
            <w:vAlign w:val="center"/>
          </w:tcPr>
          <w:p w14:paraId="3D579EE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31" w:type="pct"/>
            <w:tcBorders>
              <w:top w:val="nil"/>
              <w:left w:val="nil"/>
              <w:bottom w:val="single" w:color="000000" w:sz="8" w:space="0"/>
              <w:right w:val="single" w:color="000000" w:sz="8" w:space="0"/>
            </w:tcBorders>
            <w:noWrap/>
            <w:vAlign w:val="center"/>
          </w:tcPr>
          <w:p w14:paraId="4289CF48">
            <w:pPr>
              <w:rPr>
                <w:rFonts w:hint="eastAsia" w:ascii="宋体" w:hAnsi="宋体" w:eastAsia="宋体" w:cs="宋体"/>
                <w:i w:val="0"/>
                <w:iCs w:val="0"/>
                <w:color w:val="auto"/>
                <w:kern w:val="2"/>
                <w:sz w:val="22"/>
                <w:szCs w:val="22"/>
                <w:highlight w:val="none"/>
                <w:u w:val="none"/>
              </w:rPr>
            </w:pPr>
          </w:p>
        </w:tc>
      </w:tr>
    </w:tbl>
    <w:p w14:paraId="6DBB1D8A">
      <w:pPr>
        <w:widowControl w:val="0"/>
        <w:bidi w:val="0"/>
        <w:jc w:val="both"/>
        <w:rPr>
          <w:rStyle w:val="31"/>
          <w:rFonts w:hint="eastAsia" w:ascii="仿宋" w:hAnsi="仿宋" w:eastAsia="仿宋" w:cs="仿宋"/>
          <w:vanish/>
          <w:color w:val="auto"/>
          <w:kern w:val="2"/>
          <w:sz w:val="24"/>
          <w:szCs w:val="24"/>
          <w:highlight w:val="none"/>
          <w:lang w:val="en-US" w:eastAsia="zh-CN" w:bidi="ar-SA"/>
        </w:rPr>
      </w:pPr>
    </w:p>
    <w:p w14:paraId="582BE477">
      <w:pPr>
        <w:widowControl w:val="0"/>
        <w:bidi w:val="0"/>
        <w:spacing w:before="275" w:line="220" w:lineRule="auto"/>
        <w:jc w:val="both"/>
        <w:rPr>
          <w:rStyle w:val="31"/>
          <w:rFonts w:hint="eastAsia" w:ascii="仿宋" w:hAnsi="仿宋" w:eastAsia="仿宋" w:cs="仿宋"/>
          <w:b/>
          <w:color w:val="auto"/>
          <w:kern w:val="2"/>
          <w:sz w:val="24"/>
          <w:szCs w:val="24"/>
          <w:highlight w:val="none"/>
          <w:lang w:val="en-US" w:eastAsia="zh-CN" w:bidi="ar-SA"/>
        </w:rPr>
      </w:pPr>
      <w:r>
        <w:rPr>
          <w:rStyle w:val="31"/>
          <w:rFonts w:hint="eastAsia" w:ascii="仿宋" w:hAnsi="仿宋" w:eastAsia="仿宋" w:cs="仿宋"/>
          <w:b/>
          <w:color w:val="auto"/>
          <w:spacing w:val="-1"/>
          <w:kern w:val="2"/>
          <w:sz w:val="24"/>
          <w:szCs w:val="24"/>
          <w:highlight w:val="none"/>
          <w:lang w:val="en-US" w:eastAsia="zh-CN" w:bidi="ar-SA"/>
        </w:rPr>
        <w:t>五、招标项目服务需求</w:t>
      </w:r>
    </w:p>
    <w:tbl>
      <w:tblPr>
        <w:tblStyle w:val="29"/>
        <w:tblpPr w:leftFromText="180" w:rightFromText="180" w:vertAnchor="text" w:horzAnchor="page" w:tblpX="1418" w:tblpY="659"/>
        <w:tblOverlap w:val="never"/>
        <w:tblW w:w="92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9"/>
        <w:gridCol w:w="8016"/>
      </w:tblGrid>
      <w:tr w14:paraId="20FFDC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1229" w:type="dxa"/>
            <w:noWrap w:val="0"/>
            <w:vAlign w:val="top"/>
          </w:tcPr>
          <w:p w14:paraId="7625E24C">
            <w:pPr>
              <w:pStyle w:val="339"/>
              <w:keepNext w:val="0"/>
              <w:keepLines w:val="0"/>
              <w:pageBreakBefore w:val="0"/>
              <w:widowControl w:val="0"/>
              <w:kinsoku/>
              <w:wordWrap/>
              <w:overflowPunct/>
              <w:topLinePunct w:val="0"/>
              <w:autoSpaceDE/>
              <w:autoSpaceDN/>
              <w:bidi w:val="0"/>
              <w:adjustRightInd/>
              <w:snapToGrid/>
              <w:spacing w:line="380" w:lineRule="exact"/>
              <w:jc w:val="center"/>
              <w:textAlignment w:val="auto"/>
              <w:rPr>
                <w:rStyle w:val="31"/>
                <w:rFonts w:hint="eastAsia" w:ascii="仿宋" w:hAnsi="仿宋" w:eastAsia="仿宋" w:cs="仿宋"/>
                <w:b/>
                <w:bCs/>
                <w:color w:val="auto"/>
                <w:kern w:val="2"/>
                <w:sz w:val="24"/>
                <w:szCs w:val="24"/>
                <w:highlight w:val="none"/>
                <w:lang w:val="en-US" w:eastAsia="zh-CN" w:bidi="ar-SA"/>
              </w:rPr>
            </w:pPr>
            <w:r>
              <w:rPr>
                <w:rStyle w:val="31"/>
                <w:rFonts w:hint="eastAsia" w:ascii="仿宋" w:hAnsi="仿宋" w:eastAsia="仿宋" w:cs="仿宋"/>
                <w:b/>
                <w:bCs/>
                <w:color w:val="auto"/>
                <w:kern w:val="2"/>
                <w:sz w:val="24"/>
                <w:szCs w:val="24"/>
                <w:highlight w:val="none"/>
                <w:lang w:val="en-US" w:eastAsia="zh-CN" w:bidi="ar-SA"/>
              </w:rPr>
              <w:t>名称</w:t>
            </w:r>
          </w:p>
        </w:tc>
        <w:tc>
          <w:tcPr>
            <w:tcW w:w="8016" w:type="dxa"/>
            <w:noWrap w:val="0"/>
            <w:vAlign w:val="top"/>
          </w:tcPr>
          <w:p w14:paraId="09CDB711">
            <w:pPr>
              <w:pStyle w:val="339"/>
              <w:keepNext w:val="0"/>
              <w:keepLines w:val="0"/>
              <w:pageBreakBefore w:val="0"/>
              <w:widowControl w:val="0"/>
              <w:kinsoku/>
              <w:wordWrap/>
              <w:overflowPunct/>
              <w:topLinePunct w:val="0"/>
              <w:autoSpaceDE/>
              <w:autoSpaceDN/>
              <w:bidi w:val="0"/>
              <w:adjustRightInd/>
              <w:snapToGrid/>
              <w:spacing w:line="380" w:lineRule="exact"/>
              <w:jc w:val="center"/>
              <w:textAlignment w:val="auto"/>
              <w:rPr>
                <w:rStyle w:val="31"/>
                <w:rFonts w:hint="eastAsia" w:ascii="仿宋" w:hAnsi="仿宋" w:eastAsia="仿宋" w:cs="仿宋"/>
                <w:b/>
                <w:bCs/>
                <w:color w:val="auto"/>
                <w:kern w:val="2"/>
                <w:sz w:val="24"/>
                <w:szCs w:val="24"/>
                <w:highlight w:val="none"/>
                <w:lang w:val="en-US" w:eastAsia="zh-CN" w:bidi="ar-SA"/>
              </w:rPr>
            </w:pPr>
            <w:r>
              <w:rPr>
                <w:rStyle w:val="31"/>
                <w:rFonts w:hint="eastAsia" w:ascii="仿宋" w:hAnsi="仿宋" w:eastAsia="仿宋" w:cs="仿宋"/>
                <w:b/>
                <w:bCs/>
                <w:color w:val="auto"/>
                <w:kern w:val="2"/>
                <w:sz w:val="24"/>
                <w:szCs w:val="24"/>
                <w:highlight w:val="none"/>
                <w:lang w:val="en-US" w:eastAsia="zh-CN" w:bidi="ar-SA"/>
              </w:rPr>
              <w:t>服务需求内容</w:t>
            </w:r>
          </w:p>
        </w:tc>
      </w:tr>
      <w:tr w14:paraId="731E5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1" w:hRule="atLeast"/>
        </w:trPr>
        <w:tc>
          <w:tcPr>
            <w:tcW w:w="1229" w:type="dxa"/>
            <w:noWrap w:val="0"/>
            <w:vAlign w:val="top"/>
          </w:tcPr>
          <w:p w14:paraId="3B78C696">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7E0B40CA">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b/>
                <w:bCs/>
                <w:color w:val="auto"/>
                <w:kern w:val="2"/>
                <w:sz w:val="24"/>
                <w:szCs w:val="24"/>
                <w:highlight w:val="none"/>
                <w:lang w:val="en-US" w:eastAsia="zh-CN" w:bidi="ar-SA"/>
              </w:rPr>
              <w:t>报价范围</w:t>
            </w:r>
          </w:p>
        </w:tc>
        <w:tc>
          <w:tcPr>
            <w:tcW w:w="8016" w:type="dxa"/>
            <w:noWrap w:val="0"/>
            <w:vAlign w:val="top"/>
          </w:tcPr>
          <w:p w14:paraId="29829139">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1、所有机组在维保期内产生的所有维修配件和材料都包含在报价之中。</w:t>
            </w:r>
          </w:p>
          <w:p w14:paraId="40F010AC">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2、总费用应包含所有的维修配件和材料的同时，也包含人工费、保险费、</w:t>
            </w:r>
          </w:p>
          <w:p w14:paraId="61C5DF1F">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交通运输费、企业管理费、税金等一切费用。</w:t>
            </w:r>
          </w:p>
        </w:tc>
      </w:tr>
      <w:tr w14:paraId="02715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229" w:type="dxa"/>
            <w:noWrap w:val="0"/>
            <w:vAlign w:val="top"/>
          </w:tcPr>
          <w:p w14:paraId="75DD11AD">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4121711D">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6C235383">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b/>
                <w:bCs/>
                <w:color w:val="auto"/>
                <w:kern w:val="2"/>
                <w:sz w:val="24"/>
                <w:szCs w:val="24"/>
                <w:highlight w:val="none"/>
                <w:lang w:val="en-US" w:eastAsia="zh-CN" w:bidi="ar-SA"/>
              </w:rPr>
              <w:t>保养内容</w:t>
            </w:r>
          </w:p>
        </w:tc>
        <w:tc>
          <w:tcPr>
            <w:tcW w:w="8016" w:type="dxa"/>
            <w:noWrap w:val="0"/>
            <w:vAlign w:val="top"/>
          </w:tcPr>
          <w:p w14:paraId="5610C59E">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1、清洗室外机冷凝器，改善空调室外换热效果。</w:t>
            </w:r>
          </w:p>
          <w:p w14:paraId="4A1ED02E">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2、测量电流电压，确认电源电线的安全性能。</w:t>
            </w:r>
          </w:p>
          <w:p w14:paraId="40D0A01D">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3、测量系统压力，确保压力达标。</w:t>
            </w:r>
          </w:p>
          <w:p w14:paraId="0D57CB0C">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4、检查各接线端子排，确认是否松动。</w:t>
            </w:r>
          </w:p>
          <w:p w14:paraId="7264F7C0">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5、对室内蒸发器进行吹污，确保空气清新，健康。</w:t>
            </w:r>
          </w:p>
          <w:p w14:paraId="66A2502B">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6、制冷季检查排水，检查保温情况。</w:t>
            </w:r>
          </w:p>
          <w:p w14:paraId="6153830B">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7、单台室内机试运转测试和多台室内机同时运转测试。</w:t>
            </w:r>
          </w:p>
          <w:p w14:paraId="79FB33F1">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8、记录所有数据并归档。</w:t>
            </w:r>
          </w:p>
          <w:p w14:paraId="5AB7A9BD">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9、在维修期间，乙方保证有足够的常用备件更换，以免影响甲方设备的正</w:t>
            </w:r>
          </w:p>
          <w:p w14:paraId="388A70FB">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常使用。</w:t>
            </w:r>
          </w:p>
        </w:tc>
      </w:tr>
      <w:tr w14:paraId="2220EB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8" w:hRule="atLeast"/>
        </w:trPr>
        <w:tc>
          <w:tcPr>
            <w:tcW w:w="1229" w:type="dxa"/>
            <w:tcBorders>
              <w:bottom w:val="single" w:color="auto" w:sz="4" w:space="0"/>
            </w:tcBorders>
            <w:noWrap w:val="0"/>
            <w:vAlign w:val="top"/>
          </w:tcPr>
          <w:p w14:paraId="459B9CE8">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525289B8">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39293320">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409D20EE">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5F6AAF10">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57E5690C">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b/>
                <w:bCs/>
                <w:color w:val="auto"/>
                <w:kern w:val="2"/>
                <w:sz w:val="24"/>
                <w:szCs w:val="24"/>
                <w:highlight w:val="none"/>
                <w:lang w:val="en-US" w:eastAsia="zh-CN" w:bidi="ar-SA"/>
              </w:rPr>
              <w:t>服务需求</w:t>
            </w:r>
          </w:p>
        </w:tc>
        <w:tc>
          <w:tcPr>
            <w:tcW w:w="8016" w:type="dxa"/>
            <w:tcBorders>
              <w:bottom w:val="single" w:color="auto" w:sz="4" w:space="0"/>
            </w:tcBorders>
            <w:noWrap w:val="0"/>
            <w:vAlign w:val="top"/>
          </w:tcPr>
          <w:p w14:paraId="706818B6">
            <w:pPr>
              <w:pStyle w:val="339"/>
              <w:keepNext w:val="0"/>
              <w:keepLines w:val="0"/>
              <w:pageBreakBefore w:val="0"/>
              <w:widowControl w:val="0"/>
              <w:numPr>
                <w:ilvl w:val="0"/>
                <w:numId w:val="4"/>
              </w:numPr>
              <w:kinsoku/>
              <w:wordWrap/>
              <w:overflowPunct/>
              <w:topLinePunct w:val="0"/>
              <w:autoSpaceDE/>
              <w:autoSpaceDN/>
              <w:bidi w:val="0"/>
              <w:adjustRightInd/>
              <w:snapToGrid/>
              <w:spacing w:line="380" w:lineRule="exact"/>
              <w:textAlignment w:val="auto"/>
              <w:rPr>
                <w:rStyle w:val="31"/>
                <w:rFonts w:hint="eastAsia" w:ascii="仿宋" w:hAnsi="仿宋" w:eastAsia="仿宋" w:cs="仿宋"/>
                <w:b/>
                <w:color w:val="auto"/>
                <w:kern w:val="2"/>
                <w:sz w:val="24"/>
                <w:szCs w:val="24"/>
                <w:highlight w:val="none"/>
                <w:lang w:val="en-US" w:eastAsia="zh-CN" w:bidi="ar-SA"/>
              </w:rPr>
            </w:pPr>
            <w:r>
              <w:rPr>
                <w:rStyle w:val="31"/>
                <w:rFonts w:hint="eastAsia" w:ascii="宋体" w:hAnsi="宋体" w:eastAsia="宋体" w:cs="宋体"/>
                <w:b/>
                <w:bCs/>
                <w:color w:val="auto"/>
                <w:spacing w:val="-2"/>
                <w:kern w:val="2"/>
                <w:sz w:val="24"/>
                <w:szCs w:val="24"/>
                <w:highlight w:val="none"/>
                <w:lang w:val="en-US" w:eastAsia="zh-CN" w:bidi="ar-SA"/>
              </w:rPr>
              <w:t>★</w:t>
            </w:r>
            <w:r>
              <w:rPr>
                <w:rStyle w:val="31"/>
                <w:rFonts w:hint="eastAsia" w:ascii="仿宋" w:hAnsi="仿宋" w:eastAsia="仿宋" w:cs="仿宋"/>
                <w:b/>
                <w:color w:val="auto"/>
                <w:kern w:val="2"/>
                <w:sz w:val="24"/>
                <w:szCs w:val="24"/>
                <w:highlight w:val="none"/>
                <w:lang w:val="en-US" w:eastAsia="zh-CN" w:bidi="ar-SA"/>
              </w:rPr>
              <w:t>项目负责人：其中项目负责人1人，负责协调管理工作。学历要求：大专及以上，须提供相应学历证书。</w:t>
            </w:r>
          </w:p>
          <w:p w14:paraId="295B496F">
            <w:pPr>
              <w:pStyle w:val="339"/>
              <w:keepNext w:val="0"/>
              <w:keepLines w:val="0"/>
              <w:pageBreakBefore w:val="0"/>
              <w:widowControl w:val="0"/>
              <w:numPr>
                <w:ilvl w:val="0"/>
                <w:numId w:val="4"/>
              </w:numPr>
              <w:kinsoku/>
              <w:wordWrap/>
              <w:overflowPunct/>
              <w:topLinePunct w:val="0"/>
              <w:autoSpaceDE/>
              <w:autoSpaceDN/>
              <w:bidi w:val="0"/>
              <w:adjustRightInd/>
              <w:snapToGrid/>
              <w:spacing w:line="380" w:lineRule="exact"/>
              <w:textAlignment w:val="auto"/>
              <w:rPr>
                <w:rStyle w:val="31"/>
                <w:rFonts w:hint="eastAsia" w:ascii="仿宋" w:hAnsi="仿宋" w:eastAsia="仿宋" w:cs="仿宋"/>
                <w:b/>
                <w:color w:val="auto"/>
                <w:kern w:val="2"/>
                <w:sz w:val="24"/>
                <w:szCs w:val="24"/>
                <w:highlight w:val="none"/>
                <w:lang w:val="en-US" w:eastAsia="zh-CN" w:bidi="ar-SA"/>
              </w:rPr>
            </w:pPr>
            <w:r>
              <w:rPr>
                <w:rStyle w:val="31"/>
                <w:rFonts w:hint="eastAsia" w:ascii="宋体" w:hAnsi="宋体" w:cs="宋体"/>
                <w:b/>
                <w:bCs/>
                <w:color w:val="auto"/>
                <w:spacing w:val="-2"/>
                <w:kern w:val="2"/>
                <w:sz w:val="24"/>
                <w:szCs w:val="24"/>
                <w:highlight w:val="none"/>
                <w:lang w:val="en-US" w:eastAsia="zh-CN" w:bidi="ar-SA"/>
              </w:rPr>
              <w:t>★</w:t>
            </w:r>
            <w:r>
              <w:rPr>
                <w:rStyle w:val="31"/>
                <w:rFonts w:hint="eastAsia" w:ascii="仿宋" w:hAnsi="仿宋" w:eastAsia="仿宋" w:cs="仿宋"/>
                <w:b/>
                <w:color w:val="auto"/>
                <w:kern w:val="2"/>
                <w:sz w:val="24"/>
                <w:szCs w:val="24"/>
                <w:highlight w:val="none"/>
                <w:lang w:val="en-US" w:eastAsia="zh-CN" w:bidi="ar-SA"/>
              </w:rPr>
              <w:t>项目组成员配备不少于5人（不含项目负责人），且具有制冷空调作业专业技术资格证书。在服务期间，需提供驻场服务，随时为该项目服务（包含节假日）。投标单位提供的项目组成员中标后必须全员驻场。</w:t>
            </w:r>
          </w:p>
          <w:p w14:paraId="4A04AF07">
            <w:pPr>
              <w:pStyle w:val="339"/>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rPr>
                <w:rStyle w:val="31"/>
                <w:rFonts w:hint="eastAsia" w:ascii="仿宋" w:hAnsi="仿宋" w:eastAsia="仿宋" w:cs="仿宋"/>
                <w:b/>
                <w:color w:val="auto"/>
                <w:kern w:val="2"/>
                <w:sz w:val="24"/>
                <w:szCs w:val="24"/>
                <w:highlight w:val="none"/>
                <w:lang w:val="en-US" w:eastAsia="zh-CN" w:bidi="ar-SA"/>
              </w:rPr>
            </w:pPr>
            <w:r>
              <w:rPr>
                <w:rStyle w:val="31"/>
                <w:rFonts w:hint="eastAsia" w:ascii="仿宋" w:hAnsi="仿宋" w:eastAsia="仿宋" w:cs="仿宋"/>
                <w:b/>
                <w:color w:val="auto"/>
                <w:kern w:val="2"/>
                <w:sz w:val="24"/>
                <w:szCs w:val="24"/>
                <w:highlight w:val="none"/>
                <w:lang w:val="en-US" w:eastAsia="zh-CN" w:bidi="ar-SA"/>
              </w:rPr>
              <w:t>注：1、项目组负责人及项目组成员必须提供投标截止前近三个月内任意一个月供应商为其缴纳的社保证明</w:t>
            </w:r>
            <w:r>
              <w:rPr>
                <w:rStyle w:val="31"/>
                <w:rFonts w:hint="eastAsia" w:ascii="仿宋" w:hAnsi="仿宋" w:eastAsia="仿宋" w:cs="仿宋"/>
                <w:b/>
                <w:color w:val="auto"/>
                <w:kern w:val="2"/>
                <w:sz w:val="24"/>
                <w:szCs w:val="24"/>
                <w:highlight w:val="none"/>
                <w:rtl w:val="0"/>
                <w:lang w:val="en-US" w:eastAsia="zh-CN" w:bidi="ar-SA"/>
              </w:rPr>
              <w:t>，并将社保证明材料及相关证书上传至投标文件中</w:t>
            </w:r>
            <w:r>
              <w:rPr>
                <w:rStyle w:val="31"/>
                <w:rFonts w:hint="eastAsia" w:ascii="仿宋" w:hAnsi="仿宋" w:eastAsia="仿宋" w:cs="仿宋"/>
                <w:b/>
                <w:color w:val="auto"/>
                <w:kern w:val="2"/>
                <w:sz w:val="24"/>
                <w:szCs w:val="24"/>
                <w:highlight w:val="none"/>
                <w:lang w:val="en-US" w:eastAsia="zh-CN" w:bidi="ar-SA"/>
              </w:rPr>
              <w:t>。</w:t>
            </w:r>
          </w:p>
          <w:p w14:paraId="0F80B6DE">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b/>
                <w:color w:val="auto"/>
                <w:kern w:val="2"/>
                <w:sz w:val="24"/>
                <w:szCs w:val="24"/>
                <w:highlight w:val="none"/>
                <w:lang w:val="en-US" w:eastAsia="zh-CN" w:bidi="ar-SA"/>
              </w:rPr>
            </w:pPr>
            <w:r>
              <w:rPr>
                <w:rStyle w:val="31"/>
                <w:rFonts w:hint="eastAsia" w:ascii="宋体" w:hAnsi="宋体" w:cs="宋体"/>
                <w:b/>
                <w:bCs/>
                <w:color w:val="auto"/>
                <w:spacing w:val="-2"/>
                <w:kern w:val="2"/>
                <w:sz w:val="24"/>
                <w:szCs w:val="24"/>
                <w:highlight w:val="none"/>
                <w:lang w:val="en-US" w:eastAsia="zh-CN" w:bidi="ar-SA"/>
              </w:rPr>
              <w:t>2、★</w:t>
            </w:r>
            <w:r>
              <w:rPr>
                <w:rStyle w:val="31"/>
                <w:rFonts w:hint="eastAsia" w:ascii="宋体" w:hAnsi="宋体" w:cs="宋体"/>
                <w:b/>
                <w:bCs/>
                <w:color w:val="auto"/>
                <w:spacing w:val="-3"/>
                <w:kern w:val="2"/>
                <w:sz w:val="24"/>
                <w:szCs w:val="24"/>
                <w:highlight w:val="none"/>
                <w:lang w:val="en-US" w:eastAsia="zh-CN" w:bidi="ar-SA"/>
              </w:rPr>
              <w:t>投标人必须响应，否则视为无效投标。</w:t>
            </w:r>
          </w:p>
          <w:p w14:paraId="11481550">
            <w:pPr>
              <w:pStyle w:val="339"/>
              <w:keepNext w:val="0"/>
              <w:keepLines w:val="0"/>
              <w:pageBreakBefore w:val="0"/>
              <w:widowControl w:val="0"/>
              <w:numPr>
                <w:ilvl w:val="0"/>
                <w:numId w:val="4"/>
              </w:numPr>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紧急情况全天候随叫随到，夜间遇紧急情况必须在甲方报修后1小时内到岗服务。</w:t>
            </w:r>
          </w:p>
          <w:p w14:paraId="2ACBE15D">
            <w:pPr>
              <w:pStyle w:val="339"/>
              <w:keepNext w:val="0"/>
              <w:keepLines w:val="0"/>
              <w:pageBreakBefore w:val="0"/>
              <w:widowControl w:val="0"/>
              <w:numPr>
                <w:ilvl w:val="0"/>
                <w:numId w:val="4"/>
              </w:numPr>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一般性故障 2-3 小时内排除，重大故障 2-3 天内维修好，维修期间确保其余机器正常工作。</w:t>
            </w:r>
          </w:p>
          <w:p w14:paraId="3CDF0F1A">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4.维修配件必须是相应品牌的正宗原厂配件，不按要求使用配件的， 视为违约并承担相应违约责任，因使用非相应品牌原厂配件给招标方造成损失的，投标人应负责赔偿。</w:t>
            </w:r>
          </w:p>
          <w:p w14:paraId="18BED6F7">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5.及时上报机组存在的故障隐患，及时制定方案配合甲方人员消除隐患。</w:t>
            </w:r>
          </w:p>
        </w:tc>
      </w:tr>
      <w:tr w14:paraId="0533A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1229" w:type="dxa"/>
            <w:tcBorders>
              <w:top w:val="single" w:color="auto" w:sz="4" w:space="0"/>
            </w:tcBorders>
            <w:noWrap w:val="0"/>
            <w:vAlign w:val="top"/>
          </w:tcPr>
          <w:p w14:paraId="0D105F38">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6E891914">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b/>
                <w:bCs/>
                <w:color w:val="auto"/>
                <w:kern w:val="2"/>
                <w:sz w:val="24"/>
                <w:szCs w:val="24"/>
                <w:highlight w:val="none"/>
                <w:lang w:val="en-US" w:eastAsia="zh-CN" w:bidi="ar-SA"/>
              </w:rPr>
            </w:pPr>
            <w:r>
              <w:rPr>
                <w:rStyle w:val="31"/>
                <w:rFonts w:hint="eastAsia" w:ascii="仿宋" w:hAnsi="仿宋" w:eastAsia="仿宋" w:cs="仿宋"/>
                <w:b/>
                <w:bCs/>
                <w:color w:val="auto"/>
                <w:kern w:val="2"/>
                <w:sz w:val="24"/>
                <w:szCs w:val="24"/>
                <w:highlight w:val="none"/>
                <w:lang w:val="en-US" w:eastAsia="zh-CN" w:bidi="ar-SA"/>
              </w:rPr>
              <w:t>考核措施</w:t>
            </w:r>
          </w:p>
        </w:tc>
        <w:tc>
          <w:tcPr>
            <w:tcW w:w="8016" w:type="dxa"/>
            <w:tcBorders>
              <w:top w:val="single" w:color="auto" w:sz="4" w:space="0"/>
            </w:tcBorders>
            <w:noWrap w:val="0"/>
            <w:vAlign w:val="top"/>
          </w:tcPr>
          <w:p w14:paraId="18940AE9">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人员考核措施：投标文件中配备的相关人员必须是后期驻场人员，</w:t>
            </w:r>
            <w:r>
              <w:rPr>
                <w:rStyle w:val="31"/>
                <w:rFonts w:hint="eastAsia" w:ascii="仿宋" w:hAnsi="仿宋" w:eastAsia="仿宋" w:cs="仿宋"/>
                <w:b/>
                <w:color w:val="auto"/>
                <w:kern w:val="2"/>
                <w:sz w:val="24"/>
                <w:szCs w:val="24"/>
                <w:highlight w:val="none"/>
                <w:lang w:val="en-US" w:eastAsia="zh-CN" w:bidi="ar-SA"/>
              </w:rPr>
              <w:t>驻场人员必须接受甲方每天不少于四次打卡考核。</w:t>
            </w:r>
            <w:r>
              <w:rPr>
                <w:rStyle w:val="31"/>
                <w:rFonts w:hint="eastAsia" w:ascii="仿宋" w:hAnsi="仿宋" w:eastAsia="仿宋" w:cs="仿宋"/>
                <w:color w:val="auto"/>
                <w:kern w:val="2"/>
                <w:sz w:val="24"/>
                <w:szCs w:val="24"/>
                <w:highlight w:val="none"/>
                <w:lang w:val="en-US" w:eastAsia="zh-CN" w:bidi="ar-SA"/>
              </w:rPr>
              <w:t>未经采购人书面同意不得更换，否则视为重大违约，采购人有权解除合同，并处罚2000元/每人每天，并由投标人全部承担因此造成的一切损失。（要确保不少于6人的专业技术团队，中标后要将每位技术人员的身份证、专业技术证书复印件及个人工作简历等材料报招标人备案，由招标人对项目组成员进行审核，证件核验，每缺少或派驻人员不符合招标要求的、提供虚假材料的罚款1万元/每人每天，具体处罚天数和处罚数额计算以整改到位为截止）。</w:t>
            </w:r>
          </w:p>
        </w:tc>
      </w:tr>
      <w:tr w14:paraId="158C3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3" w:hRule="atLeast"/>
        </w:trPr>
        <w:tc>
          <w:tcPr>
            <w:tcW w:w="1229" w:type="dxa"/>
            <w:noWrap w:val="0"/>
            <w:vAlign w:val="top"/>
          </w:tcPr>
          <w:p w14:paraId="45602AB2">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7A61DAE9">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b/>
                <w:bCs/>
                <w:color w:val="auto"/>
                <w:kern w:val="2"/>
                <w:sz w:val="24"/>
                <w:szCs w:val="24"/>
                <w:highlight w:val="none"/>
                <w:lang w:val="en-US" w:eastAsia="zh-CN" w:bidi="ar-SA"/>
              </w:rPr>
            </w:pPr>
          </w:p>
          <w:p w14:paraId="725C42FD">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b/>
                <w:bCs/>
                <w:color w:val="auto"/>
                <w:kern w:val="2"/>
                <w:sz w:val="24"/>
                <w:szCs w:val="24"/>
                <w:highlight w:val="none"/>
                <w:lang w:val="en-US" w:eastAsia="zh-CN" w:bidi="ar-SA"/>
              </w:rPr>
              <w:t>其他事项</w:t>
            </w:r>
          </w:p>
        </w:tc>
        <w:tc>
          <w:tcPr>
            <w:tcW w:w="8016" w:type="dxa"/>
            <w:noWrap w:val="0"/>
            <w:vAlign w:val="top"/>
          </w:tcPr>
          <w:p w14:paraId="365A2C43">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1.乙方必须严格按合同规定对空调进行规范化的维修和保养。</w:t>
            </w:r>
          </w:p>
          <w:p w14:paraId="4769E7B2">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2.在冷暖季节转换前，要对所有空调进行一次全面的清洗和保养，并对空</w:t>
            </w:r>
          </w:p>
          <w:p w14:paraId="099C4D4E">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调机组做好冷暖转换的机组调试工作。</w:t>
            </w:r>
          </w:p>
          <w:p w14:paraId="2535D419">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3.遇到重大故障，如果未能按预定时间维修好，而影响空调的正常使用， 每延迟一天将处以 1000 元的罚款。如果按照预定的维修期限超过 15 天还没有维修好，并给甲方造成了较大影响，甲方有权终止合同，造成的有关法律责任由乙方承担。</w:t>
            </w:r>
          </w:p>
        </w:tc>
      </w:tr>
      <w:tr w14:paraId="0805AF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4" w:hRule="atLeast"/>
        </w:trPr>
        <w:tc>
          <w:tcPr>
            <w:tcW w:w="1229" w:type="dxa"/>
            <w:noWrap w:val="0"/>
            <w:vAlign w:val="top"/>
          </w:tcPr>
          <w:p w14:paraId="379718B4">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p>
          <w:p w14:paraId="2F77D1CC">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b/>
                <w:bCs/>
                <w:color w:val="auto"/>
                <w:kern w:val="2"/>
                <w:sz w:val="24"/>
                <w:szCs w:val="24"/>
                <w:highlight w:val="none"/>
                <w:lang w:val="en-US" w:eastAsia="zh-CN" w:bidi="ar-SA"/>
              </w:rPr>
              <w:t>特别说明</w:t>
            </w:r>
          </w:p>
        </w:tc>
        <w:tc>
          <w:tcPr>
            <w:tcW w:w="8016" w:type="dxa"/>
            <w:noWrap w:val="0"/>
            <w:vAlign w:val="top"/>
          </w:tcPr>
          <w:p w14:paraId="0E55C641">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1.不论任何机组出现故障后，绝不允许整个机组停止工作，而影响办公区域的空调使用。</w:t>
            </w:r>
          </w:p>
          <w:p w14:paraId="59EBB9EE">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color w:val="auto"/>
                <w:kern w:val="2"/>
                <w:sz w:val="24"/>
                <w:szCs w:val="24"/>
                <w:highlight w:val="none"/>
                <w:lang w:val="en-US" w:eastAsia="zh-CN" w:bidi="ar-SA"/>
              </w:rPr>
            </w:pPr>
            <w:r>
              <w:rPr>
                <w:rStyle w:val="31"/>
                <w:rFonts w:hint="eastAsia" w:ascii="仿宋" w:hAnsi="仿宋" w:eastAsia="仿宋" w:cs="仿宋"/>
                <w:color w:val="auto"/>
                <w:kern w:val="2"/>
                <w:sz w:val="24"/>
                <w:szCs w:val="24"/>
                <w:highlight w:val="none"/>
                <w:lang w:val="en-US" w:eastAsia="zh-CN" w:bidi="ar-SA"/>
              </w:rPr>
              <w:t>2.如果发生此类故障，维修单位不能及时解决，甲方有权解除合同和另聘其他单位进行维修，维保单位要承担其维修费用，并处以 2-5 万元的罚款。</w:t>
            </w:r>
          </w:p>
        </w:tc>
      </w:tr>
      <w:tr w14:paraId="4101A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8" w:hRule="atLeast"/>
        </w:trPr>
        <w:tc>
          <w:tcPr>
            <w:tcW w:w="1229" w:type="dxa"/>
            <w:noWrap w:val="0"/>
            <w:vAlign w:val="top"/>
          </w:tcPr>
          <w:p w14:paraId="172D87D2">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ascii="Times New Roman" w:hAnsi="Times New Roman" w:eastAsia="仿宋"/>
                <w:b/>
                <w:bCs/>
                <w:color w:val="auto"/>
                <w:kern w:val="2"/>
                <w:sz w:val="24"/>
                <w:szCs w:val="24"/>
                <w:highlight w:val="none"/>
                <w:lang w:val="en-US" w:eastAsia="zh-CN" w:bidi="ar-SA"/>
              </w:rPr>
            </w:pPr>
          </w:p>
          <w:p w14:paraId="6954FC91">
            <w:pPr>
              <w:pStyle w:val="339"/>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仿宋" w:hAnsi="仿宋" w:eastAsia="仿宋" w:cs="仿宋"/>
                <w:b/>
                <w:bCs/>
                <w:color w:val="auto"/>
                <w:kern w:val="2"/>
                <w:sz w:val="24"/>
                <w:szCs w:val="24"/>
                <w:highlight w:val="none"/>
                <w:lang w:val="en-US" w:eastAsia="zh-CN" w:bidi="ar-SA"/>
              </w:rPr>
            </w:pPr>
            <w:r>
              <w:rPr>
                <w:rStyle w:val="31"/>
                <w:rFonts w:ascii="Times New Roman" w:hAnsi="Times New Roman" w:eastAsia="仿宋"/>
                <w:b/>
                <w:bCs/>
                <w:color w:val="auto"/>
                <w:kern w:val="2"/>
                <w:sz w:val="24"/>
                <w:szCs w:val="24"/>
                <w:highlight w:val="none"/>
                <w:lang w:val="en-US" w:eastAsia="zh-CN" w:bidi="ar-SA"/>
              </w:rPr>
              <w:t>验收标准</w:t>
            </w:r>
          </w:p>
        </w:tc>
        <w:tc>
          <w:tcPr>
            <w:tcW w:w="8016" w:type="dxa"/>
            <w:noWrap w:val="0"/>
            <w:vAlign w:val="top"/>
          </w:tcPr>
          <w:p w14:paraId="27B22CE3">
            <w:pPr>
              <w:pStyle w:val="340"/>
              <w:keepNext w:val="0"/>
              <w:keepLines w:val="0"/>
              <w:pageBreakBefore w:val="0"/>
              <w:widowControl w:val="0"/>
              <w:kinsoku/>
              <w:wordWrap/>
              <w:overflowPunct/>
              <w:topLinePunct w:val="0"/>
              <w:autoSpaceDE/>
              <w:autoSpaceDN/>
              <w:bidi w:val="0"/>
              <w:adjustRightInd/>
              <w:snapToGrid/>
              <w:spacing w:line="380" w:lineRule="exact"/>
              <w:textAlignment w:val="auto"/>
              <w:rPr>
                <w:rStyle w:val="31"/>
                <w:rFonts w:hint="eastAsia" w:ascii="Times New Roman" w:eastAsia="仿宋"/>
                <w:bCs/>
                <w:color w:val="auto"/>
                <w:kern w:val="2"/>
                <w:sz w:val="24"/>
                <w:szCs w:val="24"/>
                <w:highlight w:val="none"/>
                <w:lang w:val="en-US" w:eastAsia="zh-CN" w:bidi="ar-SA"/>
              </w:rPr>
            </w:pPr>
            <w:r>
              <w:rPr>
                <w:rStyle w:val="31"/>
                <w:rFonts w:ascii="Times New Roman" w:hAnsi="Calibri" w:eastAsia="仿宋"/>
                <w:bCs/>
                <w:color w:val="auto"/>
                <w:kern w:val="2"/>
                <w:sz w:val="24"/>
                <w:szCs w:val="24"/>
                <w:highlight w:val="none"/>
                <w:lang w:val="en-US" w:eastAsia="zh-CN" w:bidi="ar-SA"/>
              </w:rPr>
              <w:t>验收依据为本项目招标文件采购需求</w:t>
            </w:r>
            <w:r>
              <w:rPr>
                <w:rStyle w:val="31"/>
                <w:rFonts w:hint="eastAsia" w:ascii="Times New Roman" w:hAnsi="Calibri" w:eastAsia="仿宋"/>
                <w:bCs/>
                <w:color w:val="auto"/>
                <w:kern w:val="2"/>
                <w:sz w:val="24"/>
                <w:szCs w:val="24"/>
                <w:highlight w:val="none"/>
                <w:lang w:val="en-US" w:eastAsia="zh-CN" w:bidi="ar-SA"/>
              </w:rPr>
              <w:t>和</w:t>
            </w:r>
            <w:r>
              <w:rPr>
                <w:rStyle w:val="31"/>
                <w:rFonts w:ascii="Times New Roman" w:hAnsi="Calibri" w:eastAsia="仿宋"/>
                <w:bCs/>
                <w:color w:val="auto"/>
                <w:kern w:val="2"/>
                <w:sz w:val="24"/>
                <w:szCs w:val="24"/>
                <w:highlight w:val="none"/>
                <w:lang w:val="en-US" w:eastAsia="zh-CN" w:bidi="ar-SA"/>
              </w:rPr>
              <w:t>投标</w:t>
            </w:r>
            <w:r>
              <w:rPr>
                <w:rStyle w:val="31"/>
                <w:rFonts w:hint="eastAsia" w:ascii="Times New Roman" w:hAnsi="Calibri" w:eastAsia="仿宋"/>
                <w:bCs/>
                <w:color w:val="auto"/>
                <w:kern w:val="2"/>
                <w:sz w:val="24"/>
                <w:szCs w:val="24"/>
                <w:highlight w:val="none"/>
                <w:lang w:val="en-US" w:eastAsia="zh-CN" w:bidi="ar-SA"/>
              </w:rPr>
              <w:t>人</w:t>
            </w:r>
            <w:r>
              <w:rPr>
                <w:rStyle w:val="31"/>
                <w:rFonts w:ascii="Times New Roman" w:hAnsi="Calibri" w:eastAsia="仿宋"/>
                <w:bCs/>
                <w:color w:val="auto"/>
                <w:kern w:val="2"/>
                <w:sz w:val="24"/>
                <w:szCs w:val="24"/>
                <w:highlight w:val="none"/>
                <w:lang w:val="en-US" w:eastAsia="zh-CN" w:bidi="ar-SA"/>
              </w:rPr>
              <w:t>投标文件中</w:t>
            </w:r>
            <w:r>
              <w:rPr>
                <w:rStyle w:val="31"/>
                <w:rFonts w:hint="eastAsia" w:ascii="Times New Roman" w:hAnsi="Calibri" w:eastAsia="仿宋"/>
                <w:bCs/>
                <w:color w:val="auto"/>
                <w:kern w:val="2"/>
                <w:sz w:val="24"/>
                <w:szCs w:val="24"/>
                <w:highlight w:val="none"/>
                <w:lang w:val="en-US" w:eastAsia="zh-CN" w:bidi="ar-SA"/>
              </w:rPr>
              <w:t>对</w:t>
            </w:r>
            <w:r>
              <w:rPr>
                <w:rStyle w:val="31"/>
                <w:rFonts w:ascii="Times New Roman" w:hAnsi="Calibri" w:eastAsia="仿宋"/>
                <w:bCs/>
                <w:color w:val="auto"/>
                <w:kern w:val="2"/>
                <w:sz w:val="24"/>
                <w:szCs w:val="24"/>
                <w:highlight w:val="none"/>
                <w:lang w:val="en-US" w:eastAsia="zh-CN" w:bidi="ar-SA"/>
              </w:rPr>
              <w:t>技术、服务</w:t>
            </w:r>
            <w:r>
              <w:rPr>
                <w:rStyle w:val="31"/>
                <w:rFonts w:hint="eastAsia" w:ascii="Times New Roman" w:hAnsi="Calibri" w:eastAsia="仿宋"/>
                <w:bCs/>
                <w:color w:val="auto"/>
                <w:kern w:val="2"/>
                <w:sz w:val="24"/>
                <w:szCs w:val="24"/>
                <w:highlight w:val="none"/>
                <w:lang w:val="en-US" w:eastAsia="zh-CN" w:bidi="ar-SA"/>
              </w:rPr>
              <w:t>、安全、保障</w:t>
            </w:r>
            <w:r>
              <w:rPr>
                <w:rStyle w:val="31"/>
                <w:rFonts w:ascii="Times New Roman" w:hAnsi="Calibri" w:eastAsia="仿宋"/>
                <w:bCs/>
                <w:color w:val="auto"/>
                <w:kern w:val="2"/>
                <w:sz w:val="24"/>
                <w:szCs w:val="24"/>
                <w:highlight w:val="none"/>
                <w:lang w:val="en-US" w:eastAsia="zh-CN" w:bidi="ar-SA"/>
              </w:rPr>
              <w:t>等</w:t>
            </w:r>
            <w:r>
              <w:rPr>
                <w:rStyle w:val="31"/>
                <w:rFonts w:hint="eastAsia" w:ascii="Times New Roman" w:hAnsi="Calibri" w:eastAsia="仿宋"/>
                <w:bCs/>
                <w:color w:val="auto"/>
                <w:kern w:val="2"/>
                <w:sz w:val="24"/>
                <w:szCs w:val="24"/>
                <w:highlight w:val="none"/>
                <w:lang w:val="en-US" w:eastAsia="zh-CN" w:bidi="ar-SA"/>
              </w:rPr>
              <w:t>方面承诺，</w:t>
            </w:r>
            <w:r>
              <w:rPr>
                <w:rStyle w:val="31"/>
                <w:rFonts w:ascii="Times New Roman" w:hAnsi="Calibri" w:eastAsia="仿宋"/>
                <w:bCs/>
                <w:color w:val="auto"/>
                <w:kern w:val="2"/>
                <w:sz w:val="24"/>
                <w:szCs w:val="24"/>
                <w:highlight w:val="none"/>
                <w:lang w:val="en-US" w:eastAsia="zh-CN" w:bidi="ar-SA"/>
              </w:rPr>
              <w:t>如果有</w:t>
            </w:r>
            <w:r>
              <w:rPr>
                <w:rStyle w:val="31"/>
                <w:rFonts w:hint="eastAsia" w:ascii="Times New Roman" w:hAnsi="Calibri" w:eastAsia="仿宋"/>
                <w:bCs/>
                <w:color w:val="auto"/>
                <w:kern w:val="2"/>
                <w:sz w:val="24"/>
                <w:szCs w:val="24"/>
                <w:highlight w:val="none"/>
                <w:lang w:val="en-US" w:eastAsia="zh-CN" w:bidi="ar-SA"/>
              </w:rPr>
              <w:t>任何</w:t>
            </w:r>
            <w:r>
              <w:rPr>
                <w:rStyle w:val="31"/>
                <w:rFonts w:ascii="Times New Roman" w:hAnsi="Calibri" w:eastAsia="仿宋"/>
                <w:bCs/>
                <w:color w:val="auto"/>
                <w:kern w:val="2"/>
                <w:sz w:val="24"/>
                <w:szCs w:val="24"/>
                <w:highlight w:val="none"/>
                <w:lang w:val="en-US" w:eastAsia="zh-CN" w:bidi="ar-SA"/>
              </w:rPr>
              <w:t>异议的</w:t>
            </w:r>
            <w:r>
              <w:rPr>
                <w:rStyle w:val="31"/>
                <w:rFonts w:hint="eastAsia" w:ascii="Times New Roman" w:hAnsi="Calibri" w:eastAsia="仿宋"/>
                <w:bCs/>
                <w:color w:val="auto"/>
                <w:kern w:val="2"/>
                <w:sz w:val="24"/>
                <w:szCs w:val="24"/>
                <w:highlight w:val="none"/>
                <w:lang w:val="en-US" w:eastAsia="zh-CN" w:bidi="ar-SA"/>
              </w:rPr>
              <w:t>，</w:t>
            </w:r>
            <w:r>
              <w:rPr>
                <w:rStyle w:val="31"/>
                <w:rFonts w:ascii="Times New Roman" w:hAnsi="Calibri" w:eastAsia="仿宋"/>
                <w:bCs/>
                <w:color w:val="auto"/>
                <w:kern w:val="2"/>
                <w:sz w:val="24"/>
                <w:szCs w:val="24"/>
                <w:highlight w:val="none"/>
                <w:lang w:val="en-US" w:eastAsia="zh-CN" w:bidi="ar-SA"/>
              </w:rPr>
              <w:t>均以本项目的招标文件和合同表述为准。</w:t>
            </w:r>
          </w:p>
        </w:tc>
      </w:tr>
    </w:tbl>
    <w:p w14:paraId="75518617">
      <w:pPr>
        <w:widowControl w:val="0"/>
        <w:bidi w:val="0"/>
        <w:spacing w:before="43" w:line="259" w:lineRule="auto"/>
        <w:ind w:left="9" w:firstLine="8"/>
        <w:jc w:val="left"/>
        <w:rPr>
          <w:rStyle w:val="31"/>
          <w:rFonts w:hint="eastAsia" w:ascii="Times New Roman" w:hAnsi="Times New Roman" w:eastAsia="仿宋" w:cs="Times New Roman"/>
          <w:b/>
          <w:color w:val="auto"/>
          <w:kern w:val="2"/>
          <w:sz w:val="24"/>
          <w:szCs w:val="24"/>
          <w:highlight w:val="none"/>
          <w:lang w:val="en-US" w:eastAsia="zh-CN" w:bidi="ar-SA"/>
        </w:rPr>
      </w:pPr>
    </w:p>
    <w:p w14:paraId="22BAD8F6">
      <w:pPr>
        <w:widowControl w:val="0"/>
        <w:bidi w:val="0"/>
        <w:spacing w:before="43" w:line="259" w:lineRule="auto"/>
        <w:ind w:left="9" w:firstLine="8"/>
        <w:jc w:val="left"/>
        <w:rPr>
          <w:rStyle w:val="31"/>
          <w:rFonts w:ascii="Times New Roman" w:hAnsi="Times New Roman" w:eastAsia="仿宋" w:cs="Times New Roman"/>
          <w:b/>
          <w:color w:val="auto"/>
          <w:kern w:val="2"/>
          <w:sz w:val="24"/>
          <w:szCs w:val="24"/>
          <w:highlight w:val="none"/>
          <w:lang w:val="en-US" w:eastAsia="zh-CN" w:bidi="ar-SA"/>
        </w:rPr>
      </w:pPr>
      <w:r>
        <w:rPr>
          <w:rStyle w:val="31"/>
          <w:rFonts w:hint="eastAsia" w:ascii="Times New Roman" w:hAnsi="Times New Roman" w:eastAsia="仿宋" w:cs="Times New Roman"/>
          <w:b/>
          <w:color w:val="auto"/>
          <w:kern w:val="2"/>
          <w:sz w:val="24"/>
          <w:szCs w:val="24"/>
          <w:highlight w:val="none"/>
          <w:lang w:val="en-US" w:eastAsia="zh-CN" w:bidi="ar-SA"/>
        </w:rPr>
        <w:t>六、项目实施计划</w:t>
      </w:r>
    </w:p>
    <w:p w14:paraId="0E80883C">
      <w:pPr>
        <w:widowControl w:val="0"/>
        <w:bidi w:val="0"/>
        <w:spacing w:before="43" w:line="259" w:lineRule="auto"/>
        <w:ind w:left="9" w:firstLine="8"/>
        <w:jc w:val="left"/>
        <w:rPr>
          <w:rStyle w:val="31"/>
          <w:rFonts w:hint="eastAsia" w:ascii="Times New Roman" w:hAnsi="Times New Roman" w:eastAsia="仿宋" w:cs="Times New Roman"/>
          <w:bCs/>
          <w:color w:val="auto"/>
          <w:kern w:val="2"/>
          <w:sz w:val="24"/>
          <w:szCs w:val="24"/>
          <w:highlight w:val="none"/>
          <w:lang w:val="en-US" w:eastAsia="zh-CN" w:bidi="ar-SA"/>
        </w:rPr>
      </w:pPr>
      <w:r>
        <w:rPr>
          <w:rStyle w:val="31"/>
          <w:rFonts w:hint="eastAsia" w:ascii="Times New Roman" w:hAnsi="Times New Roman" w:eastAsia="仿宋" w:cs="Times New Roman"/>
          <w:bCs/>
          <w:color w:val="auto"/>
          <w:kern w:val="2"/>
          <w:sz w:val="24"/>
          <w:szCs w:val="24"/>
          <w:highlight w:val="none"/>
          <w:lang w:val="en-US" w:eastAsia="zh-CN" w:bidi="ar-SA"/>
        </w:rPr>
        <w:t>针对本次采购需求的项目投标人编制项目实施计划，内容至少包含但不限于：</w:t>
      </w:r>
      <w:r>
        <w:rPr>
          <w:rStyle w:val="31"/>
          <w:rFonts w:ascii="Times New Roman" w:hAnsi="Times New Roman" w:eastAsia="仿宋" w:cs="Times New Roman"/>
          <w:bCs/>
          <w:color w:val="auto"/>
          <w:kern w:val="2"/>
          <w:sz w:val="24"/>
          <w:szCs w:val="24"/>
          <w:highlight w:val="none"/>
          <w:lang w:val="en-US" w:eastAsia="zh-CN" w:bidi="ar-SA"/>
        </w:rPr>
        <w:t>1、维保方案</w:t>
      </w:r>
      <w:r>
        <w:rPr>
          <w:rStyle w:val="31"/>
          <w:rFonts w:hint="eastAsia" w:ascii="Times New Roman" w:hAnsi="Times New Roman" w:eastAsia="仿宋" w:cs="Times New Roman"/>
          <w:bCs/>
          <w:color w:val="auto"/>
          <w:kern w:val="2"/>
          <w:sz w:val="24"/>
          <w:szCs w:val="24"/>
          <w:highlight w:val="none"/>
          <w:lang w:val="en-US" w:eastAsia="zh-CN" w:bidi="ar-SA"/>
        </w:rPr>
        <w:t>；2、</w:t>
      </w:r>
      <w:r>
        <w:rPr>
          <w:rStyle w:val="31"/>
          <w:rFonts w:ascii="Times New Roman" w:hAnsi="Times New Roman" w:eastAsia="仿宋" w:cs="Times New Roman"/>
          <w:bCs/>
          <w:color w:val="auto"/>
          <w:kern w:val="2"/>
          <w:sz w:val="24"/>
          <w:szCs w:val="24"/>
          <w:highlight w:val="none"/>
          <w:lang w:val="en-US" w:eastAsia="zh-CN" w:bidi="ar-SA"/>
        </w:rPr>
        <w:t>维保服务</w:t>
      </w:r>
      <w:r>
        <w:rPr>
          <w:rStyle w:val="31"/>
          <w:rFonts w:hint="eastAsia" w:ascii="Times New Roman" w:hAnsi="Times New Roman" w:eastAsia="仿宋" w:cs="Times New Roman"/>
          <w:bCs/>
          <w:color w:val="auto"/>
          <w:kern w:val="2"/>
          <w:sz w:val="24"/>
          <w:szCs w:val="24"/>
          <w:highlight w:val="none"/>
          <w:lang w:val="en-US" w:eastAsia="zh-CN" w:bidi="ar-SA"/>
        </w:rPr>
        <w:t>方案；3、</w:t>
      </w:r>
      <w:r>
        <w:rPr>
          <w:rFonts w:hint="default" w:ascii="Calibri" w:hAnsi="Calibri"/>
          <w:color w:val="auto"/>
          <w:kern w:val="2"/>
          <w:sz w:val="21"/>
          <w:szCs w:val="22"/>
          <w:highlight w:val="none"/>
          <w:rtl w:val="0"/>
          <w:lang w:val="en-US" w:eastAsia="zh-CN" w:bidi="ar-SA"/>
        </w:rPr>
        <w:t>维保所需</w:t>
      </w:r>
      <w:r>
        <w:rPr>
          <w:rFonts w:hint="eastAsia" w:ascii="Times New Roman" w:eastAsia="宋体"/>
          <w:color w:val="auto"/>
          <w:kern w:val="2"/>
          <w:sz w:val="21"/>
          <w:szCs w:val="22"/>
          <w:highlight w:val="none"/>
          <w:rtl w:val="0"/>
          <w:lang w:val="en-US" w:eastAsia="zh-CN" w:bidi="ar-SA"/>
        </w:rPr>
        <w:t>设备等</w:t>
      </w:r>
      <w:r>
        <w:rPr>
          <w:rStyle w:val="31"/>
          <w:rFonts w:hint="eastAsia" w:ascii="Times New Roman" w:hAnsi="Times New Roman" w:eastAsia="仿宋" w:cs="Times New Roman"/>
          <w:bCs/>
          <w:color w:val="auto"/>
          <w:kern w:val="2"/>
          <w:sz w:val="24"/>
          <w:szCs w:val="24"/>
          <w:highlight w:val="none"/>
          <w:lang w:val="en-US" w:eastAsia="zh-CN" w:bidi="ar-SA"/>
        </w:rPr>
        <w:t>：</w:t>
      </w:r>
      <w:r>
        <w:rPr>
          <w:rStyle w:val="31"/>
          <w:rFonts w:ascii="Times New Roman" w:hAnsi="Times New Roman" w:eastAsia="仿宋" w:cs="Times New Roman"/>
          <w:bCs/>
          <w:color w:val="auto"/>
          <w:kern w:val="2"/>
          <w:sz w:val="24"/>
          <w:szCs w:val="24"/>
          <w:highlight w:val="none"/>
          <w:lang w:val="en-US" w:eastAsia="zh-CN" w:bidi="ar-SA"/>
        </w:rPr>
        <w:t xml:space="preserve"> </w:t>
      </w:r>
      <w:r>
        <w:rPr>
          <w:rStyle w:val="31"/>
          <w:rFonts w:hint="eastAsia" w:ascii="Times New Roman" w:hAnsi="Times New Roman" w:eastAsia="仿宋" w:cs="Times New Roman"/>
          <w:bCs/>
          <w:color w:val="auto"/>
          <w:kern w:val="2"/>
          <w:sz w:val="24"/>
          <w:szCs w:val="24"/>
          <w:highlight w:val="none"/>
          <w:lang w:val="en-US" w:eastAsia="zh-CN" w:bidi="ar-SA"/>
        </w:rPr>
        <w:t>①</w:t>
      </w:r>
      <w:r>
        <w:rPr>
          <w:rStyle w:val="31"/>
          <w:rFonts w:ascii="Times New Roman" w:hAnsi="Times New Roman" w:eastAsia="仿宋" w:cs="Times New Roman"/>
          <w:bCs/>
          <w:color w:val="auto"/>
          <w:kern w:val="2"/>
          <w:sz w:val="24"/>
          <w:szCs w:val="24"/>
          <w:highlight w:val="none"/>
          <w:lang w:val="en-US" w:eastAsia="zh-CN" w:bidi="ar-SA"/>
        </w:rPr>
        <w:t>设备工具清单</w:t>
      </w:r>
      <w:r>
        <w:rPr>
          <w:rStyle w:val="31"/>
          <w:rFonts w:hint="eastAsia" w:ascii="Times New Roman" w:hAnsi="Times New Roman" w:eastAsia="仿宋" w:cs="Times New Roman"/>
          <w:bCs/>
          <w:color w:val="auto"/>
          <w:kern w:val="2"/>
          <w:sz w:val="24"/>
          <w:szCs w:val="24"/>
          <w:highlight w:val="none"/>
          <w:lang w:val="en-US" w:eastAsia="zh-CN" w:bidi="ar-SA"/>
        </w:rPr>
        <w:t>、</w:t>
      </w:r>
      <w:r>
        <w:rPr>
          <w:rStyle w:val="31"/>
          <w:rFonts w:ascii="Times New Roman" w:hAnsi="Times New Roman" w:eastAsia="仿宋" w:cs="Times New Roman"/>
          <w:bCs/>
          <w:color w:val="auto"/>
          <w:kern w:val="2"/>
          <w:sz w:val="24"/>
          <w:szCs w:val="24"/>
          <w:highlight w:val="none"/>
          <w:lang w:val="en-US" w:eastAsia="zh-CN" w:bidi="ar-SA"/>
        </w:rPr>
        <w:t xml:space="preserve"> </w:t>
      </w:r>
      <w:r>
        <w:rPr>
          <w:rStyle w:val="31"/>
          <w:rFonts w:hint="eastAsia" w:ascii="Times New Roman" w:hAnsi="Times New Roman" w:eastAsia="仿宋" w:cs="Times New Roman"/>
          <w:bCs/>
          <w:color w:val="auto"/>
          <w:kern w:val="2"/>
          <w:sz w:val="24"/>
          <w:szCs w:val="24"/>
          <w:highlight w:val="none"/>
          <w:lang w:val="en-US" w:eastAsia="zh-CN" w:bidi="ar-SA"/>
        </w:rPr>
        <w:t>②</w:t>
      </w:r>
      <w:r>
        <w:rPr>
          <w:rStyle w:val="31"/>
          <w:rFonts w:ascii="Times New Roman" w:hAnsi="Times New Roman" w:eastAsia="仿宋" w:cs="Times New Roman"/>
          <w:bCs/>
          <w:color w:val="auto"/>
          <w:kern w:val="2"/>
          <w:sz w:val="24"/>
          <w:szCs w:val="24"/>
          <w:highlight w:val="none"/>
          <w:lang w:val="en-US" w:eastAsia="zh-CN" w:bidi="ar-SA"/>
        </w:rPr>
        <w:t>配件库清单</w:t>
      </w:r>
      <w:r>
        <w:rPr>
          <w:rStyle w:val="31"/>
          <w:rFonts w:hint="eastAsia" w:ascii="Times New Roman" w:hAnsi="Times New Roman" w:eastAsia="仿宋" w:cs="Times New Roman"/>
          <w:bCs/>
          <w:color w:val="auto"/>
          <w:kern w:val="2"/>
          <w:sz w:val="24"/>
          <w:szCs w:val="24"/>
          <w:highlight w:val="none"/>
          <w:lang w:val="en-US" w:eastAsia="zh-CN" w:bidi="ar-SA"/>
        </w:rPr>
        <w:t>、</w:t>
      </w:r>
      <w:r>
        <w:rPr>
          <w:rStyle w:val="31"/>
          <w:rFonts w:ascii="Times New Roman" w:hAnsi="Times New Roman" w:eastAsia="仿宋" w:cs="Times New Roman"/>
          <w:bCs/>
          <w:color w:val="auto"/>
          <w:kern w:val="2"/>
          <w:sz w:val="24"/>
          <w:szCs w:val="24"/>
          <w:highlight w:val="none"/>
          <w:lang w:val="en-US" w:eastAsia="zh-CN" w:bidi="ar-SA"/>
        </w:rPr>
        <w:t xml:space="preserve"> </w:t>
      </w:r>
      <w:r>
        <w:rPr>
          <w:rStyle w:val="31"/>
          <w:rFonts w:hint="eastAsia" w:ascii="Times New Roman" w:hAnsi="Times New Roman" w:eastAsia="仿宋" w:cs="Times New Roman"/>
          <w:bCs/>
          <w:color w:val="auto"/>
          <w:kern w:val="2"/>
          <w:sz w:val="24"/>
          <w:szCs w:val="24"/>
          <w:highlight w:val="none"/>
          <w:lang w:val="en-US" w:eastAsia="zh-CN" w:bidi="ar-SA"/>
        </w:rPr>
        <w:t>③</w:t>
      </w:r>
      <w:r>
        <w:rPr>
          <w:rStyle w:val="31"/>
          <w:rFonts w:ascii="Times New Roman" w:hAnsi="Times New Roman" w:eastAsia="仿宋" w:cs="Times New Roman"/>
          <w:bCs/>
          <w:color w:val="auto"/>
          <w:kern w:val="2"/>
          <w:sz w:val="24"/>
          <w:szCs w:val="24"/>
          <w:highlight w:val="none"/>
          <w:lang w:val="en-US" w:eastAsia="zh-CN" w:bidi="ar-SA"/>
        </w:rPr>
        <w:t xml:space="preserve">维修工程车辆比较 </w:t>
      </w:r>
      <w:r>
        <w:rPr>
          <w:rStyle w:val="31"/>
          <w:rFonts w:hint="eastAsia" w:ascii="Times New Roman" w:hAnsi="Times New Roman" w:eastAsia="仿宋" w:cs="Times New Roman"/>
          <w:bCs/>
          <w:color w:val="auto"/>
          <w:kern w:val="2"/>
          <w:sz w:val="24"/>
          <w:szCs w:val="24"/>
          <w:highlight w:val="none"/>
          <w:lang w:val="en-US" w:eastAsia="zh-CN" w:bidi="ar-SA"/>
        </w:rPr>
        <w:t>；4、</w:t>
      </w:r>
      <w:r>
        <w:rPr>
          <w:rFonts w:hint="default" w:ascii="Calibri" w:hAnsi="Calibri"/>
          <w:color w:val="auto"/>
          <w:kern w:val="2"/>
          <w:sz w:val="21"/>
          <w:szCs w:val="22"/>
          <w:highlight w:val="none"/>
          <w:rtl w:val="0"/>
          <w:lang w:val="en-US" w:eastAsia="zh-CN" w:bidi="ar-SA"/>
        </w:rPr>
        <w:t>安全和文明服务措施</w:t>
      </w:r>
      <w:r>
        <w:rPr>
          <w:rFonts w:hint="eastAsia" w:ascii="Times New Roman"/>
          <w:color w:val="auto"/>
          <w:kern w:val="2"/>
          <w:sz w:val="21"/>
          <w:szCs w:val="22"/>
          <w:highlight w:val="none"/>
          <w:rtl w:val="0"/>
          <w:lang w:val="en-US" w:eastAsia="zh-CN" w:bidi="ar-SA"/>
        </w:rPr>
        <w:t>；</w:t>
      </w:r>
      <w:r>
        <w:rPr>
          <w:rStyle w:val="31"/>
          <w:rFonts w:hint="eastAsia" w:ascii="Times New Roman" w:hAnsi="Times New Roman" w:eastAsia="仿宋" w:cs="Times New Roman"/>
          <w:bCs/>
          <w:color w:val="auto"/>
          <w:kern w:val="2"/>
          <w:sz w:val="24"/>
          <w:szCs w:val="24"/>
          <w:highlight w:val="none"/>
          <w:lang w:val="en-US" w:eastAsia="zh-CN" w:bidi="ar-SA"/>
        </w:rPr>
        <w:t>5</w:t>
      </w:r>
      <w:r>
        <w:rPr>
          <w:rStyle w:val="31"/>
          <w:rFonts w:ascii="Times New Roman" w:hAnsi="Times New Roman" w:eastAsia="仿宋" w:cs="Times New Roman"/>
          <w:bCs/>
          <w:color w:val="auto"/>
          <w:kern w:val="2"/>
          <w:sz w:val="24"/>
          <w:szCs w:val="24"/>
          <w:highlight w:val="none"/>
          <w:lang w:val="en-US" w:eastAsia="zh-CN" w:bidi="ar-SA"/>
        </w:rPr>
        <w:t>、</w:t>
      </w:r>
      <w:r>
        <w:rPr>
          <w:rFonts w:hint="default" w:ascii="Calibri" w:hAnsi="Calibri"/>
          <w:color w:val="auto"/>
          <w:kern w:val="2"/>
          <w:sz w:val="21"/>
          <w:szCs w:val="22"/>
          <w:highlight w:val="none"/>
          <w:rtl w:val="0"/>
          <w:lang w:val="en-US" w:eastAsia="zh-CN" w:bidi="ar-SA"/>
        </w:rPr>
        <w:t>内部管理制度及维保档案管理</w:t>
      </w:r>
      <w:r>
        <w:rPr>
          <w:rStyle w:val="31"/>
          <w:rFonts w:hint="eastAsia" w:ascii="Times New Roman" w:hAnsi="Times New Roman" w:eastAsia="仿宋" w:cs="Times New Roman"/>
          <w:bCs/>
          <w:color w:val="auto"/>
          <w:kern w:val="2"/>
          <w:sz w:val="24"/>
          <w:szCs w:val="24"/>
          <w:highlight w:val="none"/>
          <w:lang w:val="en-US" w:eastAsia="zh-CN" w:bidi="ar-SA"/>
        </w:rPr>
        <w:t>。</w:t>
      </w:r>
    </w:p>
    <w:p w14:paraId="356455C9">
      <w:pPr>
        <w:pStyle w:val="341"/>
        <w:bidi w:val="0"/>
        <w:rPr>
          <w:rStyle w:val="31"/>
          <w:rFonts w:hint="eastAsia" w:ascii="Times New Roman" w:hAnsi="Times New Roman" w:eastAsia="仿宋"/>
          <w:bCs/>
          <w:color w:val="auto"/>
          <w:kern w:val="2"/>
          <w:sz w:val="24"/>
          <w:szCs w:val="24"/>
          <w:highlight w:val="none"/>
          <w:lang w:val="en-US" w:eastAsia="zh-CN" w:bidi="ar-SA"/>
        </w:rPr>
      </w:pPr>
      <w:r>
        <w:rPr>
          <w:rStyle w:val="31"/>
          <w:rFonts w:hint="eastAsia" w:ascii="Times New Roman" w:hAnsi="Times New Roman" w:eastAsia="仿宋"/>
          <w:bCs/>
          <w:color w:val="auto"/>
          <w:kern w:val="2"/>
          <w:sz w:val="24"/>
          <w:szCs w:val="24"/>
          <w:highlight w:val="none"/>
          <w:lang w:val="en-US" w:eastAsia="zh-CN" w:bidi="ar-SA"/>
        </w:rPr>
        <w:t xml:space="preserve"> </w:t>
      </w:r>
    </w:p>
    <w:p w14:paraId="0B740BFB">
      <w:pPr>
        <w:tabs>
          <w:tab w:val="left" w:pos="4680"/>
        </w:tabs>
        <w:spacing w:line="360" w:lineRule="auto"/>
        <w:rPr>
          <w:rFonts w:hint="default" w:ascii="宋体" w:hAnsi="宋体" w:eastAsia="宋体" w:cs="宋体"/>
          <w:bCs/>
          <w:color w:val="auto"/>
          <w:sz w:val="24"/>
          <w:szCs w:val="32"/>
          <w:highlight w:val="none"/>
          <w:lang w:val="en-US" w:eastAsia="zh-CN"/>
        </w:rPr>
      </w:pPr>
    </w:p>
    <w:p w14:paraId="143BBE04">
      <w:pPr>
        <w:tabs>
          <w:tab w:val="left" w:pos="4680"/>
        </w:tabs>
        <w:spacing w:line="360" w:lineRule="auto"/>
        <w:rPr>
          <w:rFonts w:hint="default" w:ascii="宋体" w:hAnsi="宋体" w:eastAsia="宋体" w:cs="宋体"/>
          <w:bCs/>
          <w:color w:val="auto"/>
          <w:sz w:val="24"/>
          <w:szCs w:val="32"/>
          <w:highlight w:val="none"/>
          <w:lang w:val="en-US" w:eastAsia="zh-CN"/>
        </w:rPr>
      </w:pPr>
    </w:p>
    <w:p w14:paraId="53918DC0">
      <w:pPr>
        <w:tabs>
          <w:tab w:val="left" w:pos="4680"/>
        </w:tabs>
        <w:spacing w:line="360" w:lineRule="auto"/>
        <w:rPr>
          <w:rFonts w:hint="default" w:ascii="宋体" w:hAnsi="宋体" w:eastAsia="宋体" w:cs="宋体"/>
          <w:bCs/>
          <w:color w:val="auto"/>
          <w:sz w:val="24"/>
          <w:szCs w:val="32"/>
          <w:highlight w:val="none"/>
          <w:lang w:val="en-US" w:eastAsia="zh-CN"/>
        </w:rPr>
      </w:pPr>
    </w:p>
    <w:p w14:paraId="3CBA6417">
      <w:pPr>
        <w:tabs>
          <w:tab w:val="left" w:pos="4680"/>
        </w:tabs>
        <w:spacing w:line="360" w:lineRule="auto"/>
        <w:rPr>
          <w:rFonts w:hint="default" w:ascii="宋体" w:hAnsi="宋体" w:eastAsia="宋体" w:cs="宋体"/>
          <w:bCs/>
          <w:color w:val="auto"/>
          <w:sz w:val="24"/>
          <w:szCs w:val="32"/>
          <w:highlight w:val="none"/>
          <w:lang w:val="en-US" w:eastAsia="zh-CN"/>
        </w:rPr>
      </w:pPr>
    </w:p>
    <w:p w14:paraId="57B37CA2">
      <w:pPr>
        <w:tabs>
          <w:tab w:val="left" w:pos="4680"/>
        </w:tabs>
        <w:spacing w:line="360" w:lineRule="auto"/>
        <w:rPr>
          <w:rFonts w:hint="default" w:ascii="宋体" w:hAnsi="宋体" w:eastAsia="宋体" w:cs="宋体"/>
          <w:bCs/>
          <w:color w:val="auto"/>
          <w:sz w:val="24"/>
          <w:szCs w:val="32"/>
          <w:highlight w:val="none"/>
          <w:lang w:val="en-US" w:eastAsia="zh-CN"/>
        </w:rPr>
      </w:pPr>
    </w:p>
    <w:p w14:paraId="56FE6540">
      <w:pPr>
        <w:tabs>
          <w:tab w:val="left" w:pos="4680"/>
        </w:tabs>
        <w:spacing w:line="360" w:lineRule="auto"/>
        <w:rPr>
          <w:rFonts w:hint="default" w:ascii="宋体" w:hAnsi="宋体" w:eastAsia="宋体" w:cs="宋体"/>
          <w:bCs/>
          <w:color w:val="auto"/>
          <w:sz w:val="24"/>
          <w:szCs w:val="32"/>
          <w:highlight w:val="none"/>
          <w:lang w:val="en-US" w:eastAsia="zh-CN"/>
        </w:rPr>
      </w:pPr>
    </w:p>
    <w:p w14:paraId="5A90537C">
      <w:pPr>
        <w:tabs>
          <w:tab w:val="left" w:pos="4680"/>
        </w:tabs>
        <w:spacing w:line="360" w:lineRule="auto"/>
        <w:rPr>
          <w:rFonts w:hint="default" w:ascii="宋体" w:hAnsi="宋体" w:eastAsia="宋体" w:cs="宋体"/>
          <w:bCs/>
          <w:color w:val="auto"/>
          <w:sz w:val="24"/>
          <w:szCs w:val="32"/>
          <w:highlight w:val="none"/>
          <w:lang w:val="en-US" w:eastAsia="zh-CN"/>
        </w:rPr>
      </w:pPr>
    </w:p>
    <w:p w14:paraId="442F1D74">
      <w:pPr>
        <w:tabs>
          <w:tab w:val="left" w:pos="4680"/>
        </w:tabs>
        <w:spacing w:line="360" w:lineRule="auto"/>
        <w:rPr>
          <w:rFonts w:hint="default" w:ascii="宋体" w:hAnsi="宋体" w:eastAsia="宋体" w:cs="宋体"/>
          <w:bCs/>
          <w:color w:val="auto"/>
          <w:sz w:val="24"/>
          <w:szCs w:val="32"/>
          <w:highlight w:val="none"/>
          <w:lang w:val="en-US" w:eastAsia="zh-CN"/>
        </w:rPr>
      </w:pPr>
    </w:p>
    <w:p w14:paraId="64D2189B">
      <w:pPr>
        <w:tabs>
          <w:tab w:val="left" w:pos="4680"/>
        </w:tabs>
        <w:spacing w:line="360" w:lineRule="auto"/>
        <w:rPr>
          <w:rFonts w:hint="default" w:ascii="宋体" w:hAnsi="宋体" w:eastAsia="宋体" w:cs="宋体"/>
          <w:bCs/>
          <w:color w:val="auto"/>
          <w:sz w:val="24"/>
          <w:szCs w:val="32"/>
          <w:highlight w:val="none"/>
          <w:lang w:val="en-US" w:eastAsia="zh-CN"/>
        </w:rPr>
      </w:pPr>
    </w:p>
    <w:p w14:paraId="0B54E7B1">
      <w:pPr>
        <w:tabs>
          <w:tab w:val="left" w:pos="4680"/>
        </w:tabs>
        <w:spacing w:line="360" w:lineRule="auto"/>
        <w:rPr>
          <w:rFonts w:hint="default" w:ascii="宋体" w:hAnsi="宋体" w:eastAsia="宋体" w:cs="宋体"/>
          <w:bCs/>
          <w:color w:val="auto"/>
          <w:sz w:val="24"/>
          <w:szCs w:val="32"/>
          <w:highlight w:val="none"/>
          <w:lang w:val="en-US" w:eastAsia="zh-CN"/>
        </w:rPr>
      </w:pPr>
    </w:p>
    <w:p w14:paraId="77FE9D38">
      <w:pPr>
        <w:tabs>
          <w:tab w:val="left" w:pos="4680"/>
        </w:tabs>
        <w:spacing w:line="360" w:lineRule="auto"/>
        <w:rPr>
          <w:rFonts w:hint="default" w:ascii="宋体" w:hAnsi="宋体" w:eastAsia="宋体" w:cs="宋体"/>
          <w:bCs/>
          <w:color w:val="auto"/>
          <w:sz w:val="24"/>
          <w:szCs w:val="32"/>
          <w:highlight w:val="none"/>
          <w:lang w:val="en-US" w:eastAsia="zh-CN"/>
        </w:rPr>
      </w:pPr>
    </w:p>
    <w:p w14:paraId="3DDE122E">
      <w:pPr>
        <w:tabs>
          <w:tab w:val="left" w:pos="4680"/>
        </w:tabs>
        <w:spacing w:line="360" w:lineRule="auto"/>
        <w:rPr>
          <w:rFonts w:hint="default" w:ascii="宋体" w:hAnsi="宋体" w:eastAsia="宋体" w:cs="宋体"/>
          <w:bCs/>
          <w:color w:val="auto"/>
          <w:sz w:val="24"/>
          <w:szCs w:val="32"/>
          <w:highlight w:val="none"/>
          <w:lang w:val="en-US" w:eastAsia="zh-CN"/>
        </w:rPr>
      </w:pPr>
    </w:p>
    <w:p w14:paraId="6F47BB17">
      <w:pPr>
        <w:tabs>
          <w:tab w:val="left" w:pos="4680"/>
        </w:tabs>
        <w:spacing w:line="360" w:lineRule="auto"/>
        <w:rPr>
          <w:rFonts w:hint="default" w:ascii="宋体" w:hAnsi="宋体" w:eastAsia="宋体" w:cs="宋体"/>
          <w:bCs/>
          <w:color w:val="auto"/>
          <w:sz w:val="24"/>
          <w:szCs w:val="32"/>
          <w:highlight w:val="none"/>
          <w:lang w:val="en-US" w:eastAsia="zh-CN"/>
        </w:rPr>
      </w:pPr>
    </w:p>
    <w:p w14:paraId="323B3109">
      <w:pPr>
        <w:tabs>
          <w:tab w:val="left" w:pos="4680"/>
        </w:tabs>
        <w:spacing w:line="360" w:lineRule="auto"/>
        <w:rPr>
          <w:rFonts w:hint="default" w:ascii="宋体" w:hAnsi="宋体" w:eastAsia="宋体" w:cs="宋体"/>
          <w:bCs/>
          <w:color w:val="auto"/>
          <w:sz w:val="24"/>
          <w:szCs w:val="32"/>
          <w:highlight w:val="none"/>
          <w:lang w:val="en-US" w:eastAsia="zh-CN"/>
        </w:rPr>
      </w:pPr>
    </w:p>
    <w:p w14:paraId="134073E5">
      <w:pPr>
        <w:tabs>
          <w:tab w:val="left" w:pos="4680"/>
        </w:tabs>
        <w:spacing w:line="360" w:lineRule="auto"/>
        <w:rPr>
          <w:rFonts w:hint="default" w:ascii="宋体" w:hAnsi="宋体" w:eastAsia="宋体" w:cs="宋体"/>
          <w:bCs/>
          <w:color w:val="auto"/>
          <w:sz w:val="24"/>
          <w:szCs w:val="32"/>
          <w:highlight w:val="none"/>
          <w:lang w:val="en-US" w:eastAsia="zh-CN"/>
        </w:rPr>
      </w:pPr>
    </w:p>
    <w:p w14:paraId="49F52F24">
      <w:pPr>
        <w:keepNext w:val="0"/>
        <w:keepLines w:val="0"/>
        <w:pageBreakBefore w:val="0"/>
        <w:widowControl w:val="0"/>
        <w:numPr>
          <w:ilvl w:val="0"/>
          <w:numId w:val="0"/>
        </w:numPr>
        <w:spacing w:line="360" w:lineRule="auto"/>
        <w:jc w:val="left"/>
        <w:rPr>
          <w:rFonts w:hint="default" w:ascii="宋体" w:hAnsi="宋体" w:cs="宋体"/>
          <w:color w:val="auto"/>
          <w:sz w:val="24"/>
          <w:szCs w:val="24"/>
          <w:highlight w:val="none"/>
          <w:lang w:val="en-US" w:eastAsia="zh-CN"/>
        </w:rPr>
      </w:pPr>
    </w:p>
    <w:p w14:paraId="0ADCD70D">
      <w:pPr>
        <w:rPr>
          <w:color w:val="auto"/>
          <w:highlight w:val="none"/>
        </w:rPr>
      </w:pPr>
    </w:p>
    <w:p w14:paraId="58D75465">
      <w:pPr>
        <w:spacing w:line="360" w:lineRule="auto"/>
        <w:ind w:firstLine="480"/>
        <w:rPr>
          <w:rFonts w:hint="eastAsia"/>
          <w:color w:val="auto"/>
          <w:sz w:val="24"/>
          <w:szCs w:val="24"/>
          <w:highlight w:val="none"/>
        </w:rPr>
      </w:pPr>
    </w:p>
    <w:p w14:paraId="1DF6DECA">
      <w:pPr>
        <w:rPr>
          <w:color w:val="auto"/>
          <w:highlight w:val="none"/>
        </w:rPr>
      </w:pPr>
    </w:p>
    <w:p w14:paraId="31791031">
      <w:pPr>
        <w:pStyle w:val="2"/>
        <w:bidi w:val="0"/>
        <w:jc w:val="center"/>
        <w:rPr>
          <w:rFonts w:hint="eastAsia"/>
          <w:color w:val="auto"/>
          <w:highlight w:val="none"/>
        </w:rPr>
      </w:pPr>
      <w:bookmarkStart w:id="116" w:name="_Toc656"/>
      <w:bookmarkStart w:id="117" w:name="_Toc11405"/>
      <w:r>
        <w:rPr>
          <w:rFonts w:hint="eastAsia"/>
          <w:color w:val="auto"/>
          <w:highlight w:val="none"/>
        </w:rPr>
        <w:t>第五章  评审方法与评审标准</w:t>
      </w:r>
      <w:bookmarkEnd w:id="112"/>
      <w:bookmarkEnd w:id="113"/>
      <w:bookmarkEnd w:id="116"/>
      <w:bookmarkEnd w:id="117"/>
    </w:p>
    <w:p w14:paraId="0F73D566">
      <w:pPr>
        <w:spacing w:line="500" w:lineRule="exact"/>
        <w:ind w:firstLine="562"/>
        <w:jc w:val="left"/>
        <w:rPr>
          <w:rFonts w:hint="eastAsia" w:ascii="宋体" w:hAnsi="宋体" w:eastAsia="宋体" w:cs="宋体"/>
          <w:color w:val="auto"/>
          <w:sz w:val="24"/>
          <w:highlight w:val="none"/>
        </w:rPr>
      </w:pPr>
      <w:r>
        <w:rPr>
          <w:rFonts w:hint="eastAsia" w:ascii="宋体" w:hAnsi="宋体" w:eastAsia="宋体" w:cs="宋体"/>
          <w:b/>
          <w:color w:val="auto"/>
          <w:sz w:val="28"/>
          <w:highlight w:val="none"/>
        </w:rPr>
        <w:t>一、资格审查。</w:t>
      </w:r>
      <w:r>
        <w:rPr>
          <w:rFonts w:hint="eastAsia" w:ascii="宋体" w:hAnsi="宋体" w:eastAsia="宋体" w:cs="宋体"/>
          <w:color w:val="auto"/>
          <w:sz w:val="24"/>
          <w:highlight w:val="none"/>
        </w:rPr>
        <w:t>资格审查人员按照下列指标对各供应商的资格进行审查，未通过审查的为无效标，不参与评审。</w:t>
      </w:r>
    </w:p>
    <w:tbl>
      <w:tblPr>
        <w:tblStyle w:val="29"/>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5B33F06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32F07487">
            <w:pPr>
              <w:jc w:val="center"/>
              <w:rPr>
                <w:rFonts w:hint="eastAsia" w:ascii="宋体" w:hAnsi="宋体" w:eastAsia="宋体" w:cs="宋体"/>
                <w:color w:val="auto"/>
                <w:highlight w:val="none"/>
              </w:rPr>
            </w:pPr>
            <w:r>
              <w:rPr>
                <w:rFonts w:hint="eastAsia" w:ascii="宋体" w:hAnsi="宋体" w:eastAsia="宋体" w:cs="宋体"/>
                <w:color w:val="auto"/>
                <w:highlight w:val="none"/>
              </w:rPr>
              <w:t>资格审查因素</w:t>
            </w:r>
          </w:p>
        </w:tc>
        <w:tc>
          <w:tcPr>
            <w:tcW w:w="4438" w:type="dxa"/>
            <w:noWrap w:val="0"/>
            <w:vAlign w:val="center"/>
          </w:tcPr>
          <w:p w14:paraId="5542587D">
            <w:pPr>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14:paraId="6C4E04E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14D7CCD0">
            <w:pPr>
              <w:jc w:val="left"/>
              <w:rPr>
                <w:rFonts w:hint="eastAsia" w:ascii="宋体" w:hAnsi="宋体" w:eastAsia="宋体" w:cs="宋体"/>
                <w:color w:val="auto"/>
                <w:highlight w:val="none"/>
              </w:rPr>
            </w:pPr>
            <w:r>
              <w:rPr>
                <w:rFonts w:hint="eastAsia" w:ascii="宋体" w:hAnsi="宋体" w:eastAsia="宋体" w:cs="宋体"/>
                <w:color w:val="auto"/>
                <w:highlight w:val="none"/>
              </w:rPr>
              <w:t>响应声明及承诺函</w:t>
            </w:r>
          </w:p>
        </w:tc>
        <w:tc>
          <w:tcPr>
            <w:tcW w:w="4438" w:type="dxa"/>
            <w:noWrap w:val="0"/>
            <w:vAlign w:val="center"/>
          </w:tcPr>
          <w:p w14:paraId="32080259">
            <w:pPr>
              <w:jc w:val="left"/>
              <w:rPr>
                <w:rFonts w:hint="eastAsia" w:ascii="宋体" w:hAnsi="宋体" w:eastAsia="宋体" w:cs="宋体"/>
                <w:color w:val="auto"/>
                <w:highlight w:val="none"/>
              </w:rPr>
            </w:pPr>
            <w:r>
              <w:rPr>
                <w:rFonts w:hint="eastAsia" w:ascii="宋体" w:hAnsi="宋体" w:eastAsia="宋体" w:cs="宋体"/>
                <w:color w:val="auto"/>
                <w:highlight w:val="none"/>
              </w:rPr>
              <w:t>符合磋商文件要求</w:t>
            </w:r>
          </w:p>
        </w:tc>
      </w:tr>
      <w:tr w14:paraId="7E7158B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6DAFB135">
            <w:pPr>
              <w:jc w:val="left"/>
              <w:rPr>
                <w:rFonts w:hint="eastAsia" w:ascii="宋体" w:hAnsi="宋体" w:eastAsia="宋体" w:cs="宋体"/>
                <w:color w:val="auto"/>
                <w:highlight w:val="none"/>
              </w:rPr>
            </w:pPr>
            <w:r>
              <w:rPr>
                <w:rFonts w:hint="eastAsia" w:ascii="宋体" w:hAnsi="宋体" w:eastAsia="宋体" w:cs="宋体"/>
                <w:color w:val="auto"/>
                <w:highlight w:val="none"/>
              </w:rPr>
              <w:t>中小企业声明函</w:t>
            </w:r>
          </w:p>
        </w:tc>
        <w:tc>
          <w:tcPr>
            <w:tcW w:w="4438" w:type="dxa"/>
            <w:noWrap w:val="0"/>
            <w:vAlign w:val="center"/>
          </w:tcPr>
          <w:p w14:paraId="245856E2">
            <w:pPr>
              <w:jc w:val="left"/>
              <w:rPr>
                <w:rFonts w:hint="eastAsia" w:ascii="宋体" w:hAnsi="宋体" w:eastAsia="宋体" w:cs="宋体"/>
                <w:color w:val="auto"/>
                <w:highlight w:val="none"/>
              </w:rPr>
            </w:pPr>
            <w:r>
              <w:rPr>
                <w:rFonts w:hint="eastAsia" w:ascii="宋体" w:hAnsi="宋体" w:eastAsia="宋体" w:cs="宋体"/>
                <w:color w:val="auto"/>
                <w:highlight w:val="none"/>
              </w:rPr>
              <w:t>符合磋商文件要求</w:t>
            </w:r>
          </w:p>
        </w:tc>
      </w:tr>
      <w:tr w14:paraId="67B8C7D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1F7C7656">
            <w:pPr>
              <w:jc w:val="left"/>
              <w:rPr>
                <w:rFonts w:hint="eastAsia" w:ascii="宋体" w:hAnsi="宋体" w:eastAsia="宋体" w:cs="宋体"/>
                <w:color w:val="auto"/>
                <w:highlight w:val="none"/>
              </w:rPr>
            </w:pPr>
            <w:r>
              <w:rPr>
                <w:rFonts w:hint="eastAsia" w:ascii="宋体" w:hAnsi="宋体" w:eastAsia="宋体" w:cs="宋体"/>
                <w:color w:val="auto"/>
                <w:highlight w:val="none"/>
              </w:rPr>
              <w:t>信用信息</w:t>
            </w:r>
          </w:p>
        </w:tc>
        <w:tc>
          <w:tcPr>
            <w:tcW w:w="4438" w:type="dxa"/>
            <w:noWrap w:val="0"/>
            <w:vAlign w:val="center"/>
          </w:tcPr>
          <w:p w14:paraId="3344245A">
            <w:pPr>
              <w:jc w:val="left"/>
              <w:rPr>
                <w:rFonts w:hint="eastAsia" w:ascii="宋体" w:hAnsi="宋体" w:eastAsia="宋体" w:cs="宋体"/>
                <w:color w:val="auto"/>
                <w:highlight w:val="none"/>
              </w:rPr>
            </w:pPr>
            <w:r>
              <w:rPr>
                <w:rFonts w:hint="eastAsia" w:ascii="宋体" w:hAnsi="宋体" w:eastAsia="宋体" w:cs="宋体"/>
                <w:color w:val="auto"/>
                <w:highlight w:val="none"/>
              </w:rPr>
              <w:t>符合磋商文件要求</w:t>
            </w:r>
          </w:p>
        </w:tc>
      </w:tr>
      <w:tr w14:paraId="4C09C05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222622D2">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供应商资质</w:t>
            </w:r>
          </w:p>
        </w:tc>
        <w:tc>
          <w:tcPr>
            <w:tcW w:w="4438" w:type="dxa"/>
            <w:noWrap w:val="0"/>
            <w:vAlign w:val="center"/>
          </w:tcPr>
          <w:p w14:paraId="7A5608D4">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符合磋商文件要求</w:t>
            </w:r>
          </w:p>
        </w:tc>
      </w:tr>
    </w:tbl>
    <w:p w14:paraId="78E9331F">
      <w:pPr>
        <w:spacing w:line="500" w:lineRule="exact"/>
        <w:ind w:firstLine="562"/>
        <w:jc w:val="left"/>
        <w:rPr>
          <w:rFonts w:hint="eastAsia" w:ascii="宋体" w:hAnsi="宋体" w:eastAsia="宋体" w:cs="宋体"/>
          <w:color w:val="auto"/>
          <w:sz w:val="24"/>
          <w:highlight w:val="none"/>
        </w:rPr>
      </w:pPr>
      <w:r>
        <w:rPr>
          <w:rFonts w:hint="eastAsia" w:ascii="宋体" w:hAnsi="宋体" w:eastAsia="宋体" w:cs="宋体"/>
          <w:b/>
          <w:color w:val="auto"/>
          <w:sz w:val="28"/>
          <w:highlight w:val="none"/>
        </w:rPr>
        <w:t>二、符合性审查。</w:t>
      </w:r>
      <w:r>
        <w:rPr>
          <w:rFonts w:hint="eastAsia" w:ascii="宋体" w:hAnsi="宋体" w:eastAsia="宋体" w:cs="宋体"/>
          <w:color w:val="auto"/>
          <w:sz w:val="24"/>
          <w:highlight w:val="none"/>
        </w:rPr>
        <w:t>磋商小组首先按照下列指标对各供应商进行初步评审，未通过评审的为无效标，不再参与评审。</w:t>
      </w:r>
    </w:p>
    <w:tbl>
      <w:tblPr>
        <w:tblStyle w:val="29"/>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3556"/>
        <w:gridCol w:w="5336"/>
      </w:tblGrid>
      <w:tr w14:paraId="71D3C0B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PrEx>
        <w:tc>
          <w:tcPr>
            <w:tcW w:w="3556" w:type="dxa"/>
            <w:noWrap w:val="0"/>
            <w:vAlign w:val="center"/>
          </w:tcPr>
          <w:p w14:paraId="1F893BE9">
            <w:pPr>
              <w:jc w:val="center"/>
              <w:rPr>
                <w:rFonts w:hint="eastAsia" w:ascii="宋体" w:hAnsi="宋体" w:eastAsia="宋体" w:cs="宋体"/>
                <w:color w:val="auto"/>
                <w:highlight w:val="none"/>
              </w:rPr>
            </w:pPr>
            <w:r>
              <w:rPr>
                <w:rFonts w:hint="eastAsia" w:ascii="宋体" w:hAnsi="宋体" w:eastAsia="宋体" w:cs="宋体"/>
                <w:color w:val="auto"/>
                <w:highlight w:val="none"/>
              </w:rPr>
              <w:t>评审因素</w:t>
            </w:r>
          </w:p>
        </w:tc>
        <w:tc>
          <w:tcPr>
            <w:tcW w:w="5336" w:type="dxa"/>
            <w:noWrap w:val="0"/>
            <w:vAlign w:val="center"/>
          </w:tcPr>
          <w:p w14:paraId="5678BF65">
            <w:pPr>
              <w:jc w:val="center"/>
              <w:rPr>
                <w:rFonts w:hint="eastAsia" w:ascii="宋体" w:hAnsi="宋体" w:eastAsia="宋体" w:cs="宋体"/>
                <w:color w:val="auto"/>
                <w:highlight w:val="none"/>
              </w:rPr>
            </w:pPr>
            <w:r>
              <w:rPr>
                <w:rFonts w:hint="eastAsia" w:ascii="宋体" w:hAnsi="宋体" w:eastAsia="宋体" w:cs="宋体"/>
                <w:color w:val="auto"/>
                <w:highlight w:val="none"/>
              </w:rPr>
              <w:t>评审标准</w:t>
            </w:r>
          </w:p>
        </w:tc>
      </w:tr>
      <w:tr w14:paraId="0F8EBF7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noWrap w:val="0"/>
            <w:vAlign w:val="center"/>
          </w:tcPr>
          <w:p w14:paraId="141F26E7">
            <w:pPr>
              <w:jc w:val="left"/>
              <w:rPr>
                <w:rFonts w:hint="eastAsia" w:ascii="宋体" w:hAnsi="宋体" w:eastAsia="宋体" w:cs="宋体"/>
                <w:color w:val="auto"/>
                <w:highlight w:val="none"/>
              </w:rPr>
            </w:pPr>
            <w:r>
              <w:rPr>
                <w:rFonts w:hint="eastAsia" w:ascii="宋体" w:hAnsi="宋体" w:eastAsia="宋体" w:cs="宋体"/>
                <w:color w:val="auto"/>
                <w:highlight w:val="none"/>
              </w:rPr>
              <w:t>法定代表人身份证明或授权委托书</w:t>
            </w:r>
          </w:p>
        </w:tc>
        <w:tc>
          <w:tcPr>
            <w:tcW w:w="5336" w:type="dxa"/>
            <w:noWrap w:val="0"/>
            <w:vAlign w:val="center"/>
          </w:tcPr>
          <w:p w14:paraId="403A84C6">
            <w:pPr>
              <w:jc w:val="left"/>
              <w:rPr>
                <w:rFonts w:hint="eastAsia" w:ascii="宋体" w:hAnsi="宋体" w:eastAsia="宋体" w:cs="宋体"/>
                <w:color w:val="auto"/>
                <w:highlight w:val="none"/>
              </w:rPr>
            </w:pPr>
            <w:r>
              <w:rPr>
                <w:rFonts w:hint="eastAsia" w:ascii="宋体" w:hAnsi="宋体" w:eastAsia="宋体" w:cs="宋体"/>
                <w:color w:val="auto"/>
                <w:highlight w:val="none"/>
              </w:rPr>
              <w:t>符合磋商文件要求</w:t>
            </w:r>
          </w:p>
        </w:tc>
      </w:tr>
      <w:tr w14:paraId="4813F5F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556" w:type="dxa"/>
            <w:noWrap w:val="0"/>
            <w:vAlign w:val="center"/>
          </w:tcPr>
          <w:p w14:paraId="72E5235F">
            <w:pPr>
              <w:jc w:val="left"/>
              <w:rPr>
                <w:rFonts w:hint="eastAsia" w:ascii="宋体" w:hAnsi="宋体" w:eastAsia="宋体" w:cs="宋体"/>
                <w:color w:val="auto"/>
                <w:highlight w:val="none"/>
              </w:rPr>
            </w:pPr>
            <w:r>
              <w:rPr>
                <w:color w:val="auto"/>
                <w:szCs w:val="22"/>
                <w:highlight w:val="none"/>
              </w:rPr>
              <w:t>技术标准和要求</w:t>
            </w:r>
          </w:p>
        </w:tc>
        <w:tc>
          <w:tcPr>
            <w:tcW w:w="5336" w:type="dxa"/>
            <w:noWrap w:val="0"/>
            <w:vAlign w:val="center"/>
          </w:tcPr>
          <w:p w14:paraId="7F280107">
            <w:pPr>
              <w:jc w:val="left"/>
              <w:rPr>
                <w:rFonts w:hint="eastAsia" w:ascii="宋体" w:hAnsi="宋体" w:eastAsia="宋体" w:cs="宋体"/>
                <w:color w:val="auto"/>
                <w:highlight w:val="none"/>
              </w:rPr>
            </w:pPr>
            <w:r>
              <w:rPr>
                <w:rFonts w:hint="eastAsia" w:ascii="宋体" w:hAnsi="宋体" w:eastAsia="宋体" w:cs="宋体"/>
                <w:color w:val="auto"/>
                <w:highlight w:val="none"/>
              </w:rPr>
              <w:t>符合磋商文件要求</w:t>
            </w:r>
          </w:p>
        </w:tc>
      </w:tr>
      <w:tr w14:paraId="058F9B9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noWrap w:val="0"/>
            <w:vAlign w:val="center"/>
          </w:tcPr>
          <w:p w14:paraId="22656ED1">
            <w:pPr>
              <w:jc w:val="left"/>
              <w:rPr>
                <w:rFonts w:hint="eastAsia" w:ascii="宋体" w:hAnsi="宋体" w:eastAsia="宋体" w:cs="宋体"/>
                <w:color w:val="auto"/>
                <w:highlight w:val="none"/>
              </w:rPr>
            </w:pPr>
            <w:r>
              <w:rPr>
                <w:rFonts w:hint="eastAsia" w:ascii="宋体" w:hAnsi="宋体" w:eastAsia="宋体" w:cs="宋体"/>
                <w:color w:val="auto"/>
                <w:highlight w:val="none"/>
              </w:rPr>
              <w:t>其他</w:t>
            </w:r>
          </w:p>
        </w:tc>
        <w:tc>
          <w:tcPr>
            <w:tcW w:w="5336" w:type="dxa"/>
            <w:noWrap w:val="0"/>
            <w:vAlign w:val="center"/>
          </w:tcPr>
          <w:p w14:paraId="425C7FE8">
            <w:pPr>
              <w:jc w:val="left"/>
              <w:rPr>
                <w:rFonts w:hint="eastAsia" w:ascii="宋体" w:hAnsi="宋体" w:eastAsia="宋体" w:cs="宋体"/>
                <w:color w:val="auto"/>
                <w:highlight w:val="none"/>
              </w:rPr>
            </w:pPr>
            <w:r>
              <w:rPr>
                <w:rFonts w:hint="eastAsia" w:ascii="宋体" w:hAnsi="宋体" w:eastAsia="宋体" w:cs="宋体"/>
                <w:color w:val="auto"/>
                <w:highlight w:val="none"/>
              </w:rPr>
              <w:t>符合磋商文件要求</w:t>
            </w:r>
          </w:p>
        </w:tc>
      </w:tr>
    </w:tbl>
    <w:p w14:paraId="27AED391">
      <w:pPr>
        <w:spacing w:line="500" w:lineRule="exact"/>
        <w:ind w:firstLine="562"/>
        <w:rPr>
          <w:rFonts w:hint="eastAsia" w:ascii="宋体" w:hAnsi="宋体" w:eastAsia="宋体" w:cs="宋体"/>
          <w:b/>
          <w:color w:val="auto"/>
          <w:sz w:val="28"/>
          <w:highlight w:val="none"/>
        </w:rPr>
      </w:pPr>
      <w:r>
        <w:rPr>
          <w:rFonts w:hint="eastAsia" w:ascii="宋体" w:hAnsi="宋体" w:eastAsia="宋体" w:cs="宋体"/>
          <w:b/>
          <w:color w:val="auto"/>
          <w:sz w:val="28"/>
          <w:highlight w:val="none"/>
        </w:rPr>
        <w:t>三、评分办法—综合评分法</w:t>
      </w:r>
    </w:p>
    <w:p w14:paraId="155B60E3">
      <w:pPr>
        <w:spacing w:line="50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（一）评标办法：</w:t>
      </w:r>
      <w:r>
        <w:rPr>
          <w:rFonts w:hint="eastAsia" w:ascii="宋体" w:hAnsi="宋体" w:eastAsia="宋体" w:cs="宋体"/>
          <w:color w:val="auto"/>
          <w:sz w:val="24"/>
          <w:highlight w:val="none"/>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4E910479">
      <w:pPr>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磋商小组根据评审后供应商排序推荐3名成交候选人。响应文件满足磋商文件全部实质性要求，且评审后排序第一的供应商为第一成交候选人，依次类推。</w:t>
      </w:r>
    </w:p>
    <w:p w14:paraId="4E51F48D">
      <w:pPr>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 </w:t>
      </w:r>
    </w:p>
    <w:p w14:paraId="6336056D">
      <w:pPr>
        <w:numPr>
          <w:ilvl w:val="0"/>
          <w:numId w:val="5"/>
        </w:numPr>
        <w:spacing w:line="50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详细评审。</w:t>
      </w:r>
      <w:r>
        <w:rPr>
          <w:rFonts w:hint="eastAsia" w:ascii="宋体" w:hAnsi="宋体" w:eastAsia="宋体" w:cs="宋体"/>
          <w:color w:val="auto"/>
          <w:sz w:val="24"/>
          <w:highlight w:val="none"/>
        </w:rPr>
        <w:t>磋商小组按照竞争性磋商文件规定的评分标准，对各响应文件进行详细评审打分。磋商小组组长对各评审专家的打分情况进行复核无误后汇总。</w:t>
      </w:r>
    </w:p>
    <w:p w14:paraId="2BB8790A">
      <w:pPr>
        <w:widowControl w:val="0"/>
        <w:numPr>
          <w:ilvl w:val="0"/>
          <w:numId w:val="0"/>
        </w:numPr>
        <w:spacing w:line="500" w:lineRule="exact"/>
        <w:jc w:val="left"/>
        <w:rPr>
          <w:rFonts w:hint="eastAsia" w:ascii="宋体" w:hAnsi="宋体" w:eastAsia="宋体" w:cs="宋体"/>
          <w:color w:val="auto"/>
          <w:sz w:val="24"/>
          <w:highlight w:val="none"/>
        </w:rPr>
      </w:pPr>
    </w:p>
    <w:tbl>
      <w:tblPr>
        <w:tblStyle w:val="29"/>
        <w:tblW w:w="5119"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628"/>
        <w:gridCol w:w="1530"/>
        <w:gridCol w:w="968"/>
        <w:gridCol w:w="5056"/>
      </w:tblGrid>
      <w:tr w14:paraId="6915D27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719" w:type="pct"/>
            <w:gridSpan w:val="2"/>
            <w:tcBorders>
              <w:top w:val="single" w:color="auto" w:sz="6" w:space="0"/>
              <w:left w:val="single" w:color="auto" w:sz="6" w:space="0"/>
              <w:bottom w:val="single" w:color="auto" w:sz="6" w:space="0"/>
              <w:right w:val="single" w:color="auto" w:sz="6" w:space="0"/>
            </w:tcBorders>
            <w:noWrap w:val="0"/>
            <w:vAlign w:val="center"/>
          </w:tcPr>
          <w:p w14:paraId="6E95FF82">
            <w:pPr>
              <w:widowControl w:val="0"/>
              <w:bidi w:val="0"/>
              <w:spacing w:after="0" w:afterAutospacing="0"/>
              <w:jc w:val="center"/>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评审因素</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1EAA698D">
            <w:pPr>
              <w:widowControl w:val="0"/>
              <w:bidi w:val="0"/>
              <w:spacing w:after="0" w:afterAutospacing="0"/>
              <w:jc w:val="center"/>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分数</w:t>
            </w:r>
          </w:p>
        </w:tc>
        <w:tc>
          <w:tcPr>
            <w:tcW w:w="2752" w:type="pct"/>
            <w:tcBorders>
              <w:top w:val="single" w:color="auto" w:sz="6" w:space="0"/>
              <w:left w:val="single" w:color="auto" w:sz="6" w:space="0"/>
              <w:bottom w:val="single" w:color="auto" w:sz="6" w:space="0"/>
              <w:right w:val="single" w:color="auto" w:sz="6" w:space="0"/>
            </w:tcBorders>
            <w:noWrap w:val="0"/>
            <w:vAlign w:val="center"/>
          </w:tcPr>
          <w:p w14:paraId="5A5DE311">
            <w:pPr>
              <w:widowControl w:val="0"/>
              <w:bidi w:val="0"/>
              <w:spacing w:after="0" w:afterAutospacing="0"/>
              <w:jc w:val="center"/>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评审标准</w:t>
            </w:r>
          </w:p>
        </w:tc>
      </w:tr>
      <w:tr w14:paraId="12D16E6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4FD426C3">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报价分</w:t>
            </w:r>
          </w:p>
        </w:tc>
        <w:tc>
          <w:tcPr>
            <w:tcW w:w="833" w:type="pct"/>
            <w:tcBorders>
              <w:top w:val="single" w:color="auto" w:sz="6" w:space="0"/>
              <w:left w:val="single" w:color="auto" w:sz="6" w:space="0"/>
              <w:bottom w:val="single" w:color="auto" w:sz="6" w:space="0"/>
              <w:right w:val="single" w:color="auto" w:sz="6" w:space="0"/>
            </w:tcBorders>
            <w:noWrap w:val="0"/>
            <w:vAlign w:val="center"/>
          </w:tcPr>
          <w:p w14:paraId="7EA66172">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投标报价</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64021CA5">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eastAsia"/>
                <w:color w:val="auto"/>
                <w:kern w:val="2"/>
                <w:sz w:val="21"/>
                <w:szCs w:val="22"/>
                <w:highlight w:val="none"/>
                <w:rtl w:val="0"/>
                <w:lang w:val="en-US" w:eastAsia="zh-CN" w:bidi="ar-SA"/>
              </w:rPr>
              <w:t>12</w:t>
            </w:r>
            <w:r>
              <w:rPr>
                <w:rFonts w:hint="default" w:ascii="Calibri" w:hAnsi="Calibri"/>
                <w:color w:val="auto"/>
                <w:kern w:val="2"/>
                <w:sz w:val="21"/>
                <w:szCs w:val="22"/>
                <w:highlight w:val="none"/>
                <w:rtl w:val="0"/>
                <w:lang w:val="en-US" w:eastAsia="zh-CN" w:bidi="ar-SA"/>
              </w:rPr>
              <w:t>.00分</w:t>
            </w:r>
          </w:p>
        </w:tc>
        <w:tc>
          <w:tcPr>
            <w:tcW w:w="2752" w:type="pct"/>
            <w:tcBorders>
              <w:top w:val="single" w:color="auto" w:sz="6" w:space="0"/>
              <w:left w:val="single" w:color="auto" w:sz="6" w:space="0"/>
              <w:bottom w:val="single" w:color="auto" w:sz="6" w:space="0"/>
              <w:right w:val="single" w:color="auto" w:sz="6" w:space="0"/>
            </w:tcBorders>
            <w:noWrap w:val="0"/>
            <w:vAlign w:val="center"/>
          </w:tcPr>
          <w:p w14:paraId="0C4E97CB">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采用低价优先法计算，即满足招标文件要求且投 标价格最低的投标报价为评标基准价，其价格分为满分。其他投标人投标报价得分＝（评标基准 价/投标报价） *</w:t>
            </w:r>
            <w:r>
              <w:rPr>
                <w:rFonts w:hint="eastAsia"/>
                <w:color w:val="auto"/>
                <w:kern w:val="2"/>
                <w:sz w:val="21"/>
                <w:szCs w:val="22"/>
                <w:highlight w:val="none"/>
                <w:rtl w:val="0"/>
                <w:lang w:val="en-US" w:eastAsia="zh-CN" w:bidi="ar-SA"/>
              </w:rPr>
              <w:t>12</w:t>
            </w:r>
            <w:r>
              <w:rPr>
                <w:rFonts w:hint="default" w:ascii="Calibri" w:hAnsi="Calibri"/>
                <w:color w:val="auto"/>
                <w:kern w:val="2"/>
                <w:sz w:val="21"/>
                <w:szCs w:val="22"/>
                <w:highlight w:val="none"/>
                <w:rtl w:val="0"/>
                <w:lang w:val="en-US" w:eastAsia="zh-CN" w:bidi="ar-SA"/>
              </w:rPr>
              <w:t>。</w:t>
            </w:r>
          </w:p>
        </w:tc>
      </w:tr>
      <w:tr w14:paraId="6D93FD9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bottom w:val="single" w:color="auto" w:sz="6" w:space="0"/>
              <w:right w:val="single" w:color="auto" w:sz="6" w:space="0"/>
            </w:tcBorders>
            <w:noWrap w:val="0"/>
            <w:vAlign w:val="center"/>
          </w:tcPr>
          <w:p w14:paraId="4412F0AB">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技术响应</w:t>
            </w:r>
          </w:p>
        </w:tc>
        <w:tc>
          <w:tcPr>
            <w:tcW w:w="833" w:type="pct"/>
            <w:tcBorders>
              <w:top w:val="single" w:color="auto" w:sz="6" w:space="0"/>
              <w:left w:val="single" w:color="auto" w:sz="6" w:space="0"/>
              <w:bottom w:val="single" w:color="auto" w:sz="6" w:space="0"/>
              <w:right w:val="single" w:color="auto" w:sz="6" w:space="0"/>
            </w:tcBorders>
            <w:noWrap w:val="0"/>
            <w:vAlign w:val="center"/>
          </w:tcPr>
          <w:p w14:paraId="24E2BE0F">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技术方案</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5ADD7D48">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eastAsia"/>
                <w:color w:val="auto"/>
                <w:kern w:val="2"/>
                <w:sz w:val="21"/>
                <w:szCs w:val="22"/>
                <w:highlight w:val="none"/>
                <w:rtl w:val="0"/>
                <w:lang w:val="en-US" w:eastAsia="zh-CN" w:bidi="ar-SA"/>
              </w:rPr>
              <w:t>15.</w:t>
            </w:r>
            <w:r>
              <w:rPr>
                <w:rFonts w:hint="default" w:ascii="Calibri" w:hAnsi="Calibri"/>
                <w:color w:val="auto"/>
                <w:kern w:val="2"/>
                <w:sz w:val="21"/>
                <w:szCs w:val="22"/>
                <w:highlight w:val="none"/>
                <w:rtl w:val="0"/>
                <w:lang w:val="en-US" w:eastAsia="zh-CN" w:bidi="ar-SA"/>
              </w:rPr>
              <w:t>00分</w:t>
            </w:r>
          </w:p>
        </w:tc>
        <w:tc>
          <w:tcPr>
            <w:tcW w:w="2752" w:type="pct"/>
            <w:tcBorders>
              <w:top w:val="single" w:color="auto" w:sz="6" w:space="0"/>
              <w:left w:val="single" w:color="auto" w:sz="6" w:space="0"/>
              <w:bottom w:val="single" w:color="auto" w:sz="6" w:space="0"/>
              <w:right w:val="single" w:color="auto" w:sz="6" w:space="0"/>
            </w:tcBorders>
            <w:noWrap w:val="0"/>
            <w:vAlign w:val="center"/>
          </w:tcPr>
          <w:p w14:paraId="23483AED">
            <w:pPr>
              <w:spacing w:line="240" w:lineRule="auto"/>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投标人提供的: 1、项目设备现状及存在的隐患及处理方案</w:t>
            </w:r>
            <w:r>
              <w:rPr>
                <w:rFonts w:hint="eastAsia"/>
                <w:color w:val="auto"/>
                <w:kern w:val="2"/>
                <w:sz w:val="21"/>
                <w:szCs w:val="22"/>
                <w:highlight w:val="none"/>
                <w:rtl w:val="0"/>
                <w:lang w:val="en-US" w:eastAsia="zh-CN" w:bidi="ar-SA"/>
              </w:rPr>
              <w:t>。</w:t>
            </w:r>
          </w:p>
          <w:p w14:paraId="531B2B9A">
            <w:pPr>
              <w:widowControl w:val="0"/>
              <w:numPr>
                <w:ilvl w:val="0"/>
                <w:numId w:val="0"/>
              </w:numPr>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 xml:space="preserve">评委根据项目方案的内容是否有缺失，是否可执行等状况进行综合评分，每项方案内容优于项目采购需求， 思路清晰明了、便于执行的得 </w:t>
            </w:r>
            <w:r>
              <w:rPr>
                <w:rFonts w:hint="eastAsia"/>
                <w:color w:val="auto"/>
                <w:kern w:val="2"/>
                <w:sz w:val="21"/>
                <w:szCs w:val="22"/>
                <w:highlight w:val="none"/>
                <w:rtl w:val="0"/>
                <w:lang w:val="en-US" w:eastAsia="zh-CN" w:bidi="ar-SA"/>
              </w:rPr>
              <w:t>5</w:t>
            </w:r>
            <w:r>
              <w:rPr>
                <w:rFonts w:hint="default" w:ascii="Calibri" w:hAnsi="Calibri"/>
                <w:color w:val="auto"/>
                <w:kern w:val="2"/>
                <w:sz w:val="21"/>
                <w:szCs w:val="22"/>
                <w:highlight w:val="none"/>
                <w:rtl w:val="0"/>
                <w:lang w:val="en-US" w:eastAsia="zh-CN" w:bidi="ar-SA"/>
              </w:rPr>
              <w:t xml:space="preserve">分， 方案满足采购需求，基本完整且可执行的得 </w:t>
            </w:r>
            <w:r>
              <w:rPr>
                <w:rFonts w:hint="eastAsia"/>
                <w:color w:val="auto"/>
                <w:kern w:val="2"/>
                <w:sz w:val="21"/>
                <w:szCs w:val="22"/>
                <w:highlight w:val="none"/>
                <w:rtl w:val="0"/>
                <w:lang w:val="en-US" w:eastAsia="zh-CN" w:bidi="ar-SA"/>
              </w:rPr>
              <w:t>3</w:t>
            </w:r>
            <w:r>
              <w:rPr>
                <w:rFonts w:hint="default" w:ascii="Calibri" w:hAnsi="Calibri"/>
                <w:color w:val="auto"/>
                <w:kern w:val="2"/>
                <w:sz w:val="21"/>
                <w:szCs w:val="22"/>
                <w:highlight w:val="none"/>
                <w:rtl w:val="0"/>
                <w:lang w:val="en-US" w:eastAsia="zh-CN" w:bidi="ar-SA"/>
              </w:rPr>
              <w:t>分，方案虽存在缺陷，但通过后期优化，能够满足采购需求的得 1</w:t>
            </w:r>
            <w:r>
              <w:rPr>
                <w:rFonts w:hint="eastAsia"/>
                <w:color w:val="auto"/>
                <w:kern w:val="2"/>
                <w:sz w:val="21"/>
                <w:szCs w:val="22"/>
                <w:highlight w:val="none"/>
                <w:rtl w:val="0"/>
                <w:lang w:val="en-US" w:eastAsia="zh-CN" w:bidi="ar-SA"/>
              </w:rPr>
              <w:t>.5</w:t>
            </w:r>
            <w:r>
              <w:rPr>
                <w:rFonts w:hint="default" w:ascii="Calibri" w:hAnsi="Calibri"/>
                <w:color w:val="auto"/>
                <w:kern w:val="2"/>
                <w:sz w:val="21"/>
                <w:szCs w:val="22"/>
                <w:highlight w:val="none"/>
                <w:rtl w:val="0"/>
                <w:lang w:val="en-US" w:eastAsia="zh-CN" w:bidi="ar-SA"/>
              </w:rPr>
              <w:t>分，其他情况或没有内容不得分。</w:t>
            </w:r>
          </w:p>
          <w:p w14:paraId="527F6492">
            <w:pPr>
              <w:widowControl w:val="0"/>
              <w:numPr>
                <w:ilvl w:val="0"/>
                <w:numId w:val="6"/>
              </w:numPr>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 xml:space="preserve">应急保障维修预案安全生产操作规程及安全事故应急救援预案； </w:t>
            </w:r>
          </w:p>
          <w:p w14:paraId="51F55242">
            <w:pPr>
              <w:widowControl w:val="0"/>
              <w:numPr>
                <w:ilvl w:val="0"/>
                <w:numId w:val="0"/>
              </w:numPr>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 xml:space="preserve">评委根据项目方案的内容是否有缺失，是否可执行等状况进行综合评分，每项方案内容优于项目采购需求， 思路清晰明了、便于执行的得 </w:t>
            </w:r>
            <w:r>
              <w:rPr>
                <w:rFonts w:hint="eastAsia"/>
                <w:color w:val="auto"/>
                <w:kern w:val="2"/>
                <w:sz w:val="21"/>
                <w:szCs w:val="22"/>
                <w:highlight w:val="none"/>
                <w:rtl w:val="0"/>
                <w:lang w:val="en-US" w:eastAsia="zh-CN" w:bidi="ar-SA"/>
              </w:rPr>
              <w:t>5</w:t>
            </w:r>
            <w:r>
              <w:rPr>
                <w:rFonts w:hint="default" w:ascii="Calibri" w:hAnsi="Calibri"/>
                <w:color w:val="auto"/>
                <w:kern w:val="2"/>
                <w:sz w:val="21"/>
                <w:szCs w:val="22"/>
                <w:highlight w:val="none"/>
                <w:rtl w:val="0"/>
                <w:lang w:val="en-US" w:eastAsia="zh-CN" w:bidi="ar-SA"/>
              </w:rPr>
              <w:t xml:space="preserve">分， 方案满足采购需求，基本完整且可执行的得 </w:t>
            </w:r>
            <w:r>
              <w:rPr>
                <w:rFonts w:hint="eastAsia"/>
                <w:color w:val="auto"/>
                <w:kern w:val="2"/>
                <w:sz w:val="21"/>
                <w:szCs w:val="22"/>
                <w:highlight w:val="none"/>
                <w:rtl w:val="0"/>
                <w:lang w:val="en-US" w:eastAsia="zh-CN" w:bidi="ar-SA"/>
              </w:rPr>
              <w:t>3</w:t>
            </w:r>
            <w:r>
              <w:rPr>
                <w:rFonts w:hint="default" w:ascii="Calibri" w:hAnsi="Calibri"/>
                <w:color w:val="auto"/>
                <w:kern w:val="2"/>
                <w:sz w:val="21"/>
                <w:szCs w:val="22"/>
                <w:highlight w:val="none"/>
                <w:rtl w:val="0"/>
                <w:lang w:val="en-US" w:eastAsia="zh-CN" w:bidi="ar-SA"/>
              </w:rPr>
              <w:t xml:space="preserve">分，方案虽存在缺陷，但通过后期优化，能够满足采购需求的得 </w:t>
            </w:r>
            <w:r>
              <w:rPr>
                <w:rFonts w:hint="eastAsia"/>
                <w:color w:val="auto"/>
                <w:kern w:val="2"/>
                <w:sz w:val="21"/>
                <w:szCs w:val="22"/>
                <w:highlight w:val="none"/>
                <w:rtl w:val="0"/>
                <w:lang w:val="en-US" w:eastAsia="zh-CN" w:bidi="ar-SA"/>
              </w:rPr>
              <w:t>1.5</w:t>
            </w:r>
            <w:r>
              <w:rPr>
                <w:rFonts w:hint="default" w:ascii="Calibri" w:hAnsi="Calibri"/>
                <w:color w:val="auto"/>
                <w:kern w:val="2"/>
                <w:sz w:val="21"/>
                <w:szCs w:val="22"/>
                <w:highlight w:val="none"/>
                <w:rtl w:val="0"/>
                <w:lang w:val="en-US" w:eastAsia="zh-CN" w:bidi="ar-SA"/>
              </w:rPr>
              <w:t>分，其他情况或没有内容不得分。</w:t>
            </w:r>
          </w:p>
          <w:p w14:paraId="06BD8725">
            <w:pPr>
              <w:widowControl w:val="0"/>
              <w:numPr>
                <w:ilvl w:val="0"/>
                <w:numId w:val="0"/>
              </w:numPr>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3 、年度工作计划及人员排班。</w:t>
            </w:r>
          </w:p>
          <w:p w14:paraId="2BCBFFBA">
            <w:pPr>
              <w:widowControl w:val="0"/>
              <w:numPr>
                <w:ilvl w:val="0"/>
                <w:numId w:val="0"/>
              </w:numPr>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 xml:space="preserve">评委根据项目方案的内容是否有缺失，是否可执行等状况进行综合评分，每项方案内容优于项目采购需求， 思路清晰明了、便于执行的得 </w:t>
            </w:r>
            <w:r>
              <w:rPr>
                <w:rFonts w:hint="eastAsia"/>
                <w:color w:val="auto"/>
                <w:kern w:val="2"/>
                <w:sz w:val="21"/>
                <w:szCs w:val="22"/>
                <w:highlight w:val="none"/>
                <w:rtl w:val="0"/>
                <w:lang w:val="en-US" w:eastAsia="zh-CN" w:bidi="ar-SA"/>
              </w:rPr>
              <w:t>5</w:t>
            </w:r>
            <w:r>
              <w:rPr>
                <w:rFonts w:hint="default" w:ascii="Calibri" w:hAnsi="Calibri"/>
                <w:color w:val="auto"/>
                <w:kern w:val="2"/>
                <w:sz w:val="21"/>
                <w:szCs w:val="22"/>
                <w:highlight w:val="none"/>
                <w:rtl w:val="0"/>
                <w:lang w:val="en-US" w:eastAsia="zh-CN" w:bidi="ar-SA"/>
              </w:rPr>
              <w:t xml:space="preserve">分， 方案满足采购需求，基本完整且可执行的得 </w:t>
            </w:r>
            <w:r>
              <w:rPr>
                <w:rFonts w:hint="eastAsia"/>
                <w:color w:val="auto"/>
                <w:kern w:val="2"/>
                <w:sz w:val="21"/>
                <w:szCs w:val="22"/>
                <w:highlight w:val="none"/>
                <w:rtl w:val="0"/>
                <w:lang w:val="en-US" w:eastAsia="zh-CN" w:bidi="ar-SA"/>
              </w:rPr>
              <w:t>3</w:t>
            </w:r>
            <w:r>
              <w:rPr>
                <w:rFonts w:hint="default" w:ascii="Calibri" w:hAnsi="Calibri"/>
                <w:color w:val="auto"/>
                <w:kern w:val="2"/>
                <w:sz w:val="21"/>
                <w:szCs w:val="22"/>
                <w:highlight w:val="none"/>
                <w:rtl w:val="0"/>
                <w:lang w:val="en-US" w:eastAsia="zh-CN" w:bidi="ar-SA"/>
              </w:rPr>
              <w:t xml:space="preserve">分，方案虽存在缺陷，但通过后期优化，能够满足采购需求的得 </w:t>
            </w:r>
            <w:r>
              <w:rPr>
                <w:rFonts w:hint="eastAsia"/>
                <w:color w:val="auto"/>
                <w:kern w:val="2"/>
                <w:sz w:val="21"/>
                <w:szCs w:val="22"/>
                <w:highlight w:val="none"/>
                <w:rtl w:val="0"/>
                <w:lang w:val="en-US" w:eastAsia="zh-CN" w:bidi="ar-SA"/>
              </w:rPr>
              <w:t>1.5</w:t>
            </w:r>
            <w:r>
              <w:rPr>
                <w:rFonts w:hint="default" w:ascii="Calibri" w:hAnsi="Calibri"/>
                <w:color w:val="auto"/>
                <w:kern w:val="2"/>
                <w:sz w:val="21"/>
                <w:szCs w:val="22"/>
                <w:highlight w:val="none"/>
                <w:rtl w:val="0"/>
                <w:lang w:val="en-US" w:eastAsia="zh-CN" w:bidi="ar-SA"/>
              </w:rPr>
              <w:t>分，其他情况或没有内容不得分。</w:t>
            </w:r>
          </w:p>
        </w:tc>
      </w:tr>
      <w:tr w14:paraId="08793B4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auto" w:sz="6" w:space="0"/>
              <w:left w:val="single" w:color="auto" w:sz="6" w:space="0"/>
              <w:bottom w:val="single" w:color="auto" w:sz="6" w:space="0"/>
              <w:right w:val="single" w:color="auto" w:sz="6" w:space="0"/>
            </w:tcBorders>
            <w:noWrap w:val="0"/>
            <w:vAlign w:val="center"/>
          </w:tcPr>
          <w:p w14:paraId="7A76EADD">
            <w:pPr>
              <w:widowControl w:val="0"/>
              <w:bidi w:val="0"/>
              <w:spacing w:after="0" w:afterAutospacing="0"/>
              <w:jc w:val="left"/>
              <w:rPr>
                <w:rFonts w:hint="default" w:ascii="Calibri" w:hAnsi="Calibri"/>
                <w:color w:val="auto"/>
                <w:kern w:val="2"/>
                <w:sz w:val="21"/>
                <w:szCs w:val="22"/>
                <w:highlight w:val="none"/>
                <w:lang w:val="en-US" w:eastAsia="zh-CN" w:bidi="ar-SA"/>
              </w:rPr>
            </w:pPr>
          </w:p>
        </w:tc>
        <w:tc>
          <w:tcPr>
            <w:tcW w:w="833" w:type="pct"/>
            <w:tcBorders>
              <w:top w:val="single" w:color="auto" w:sz="6" w:space="0"/>
              <w:left w:val="single" w:color="auto" w:sz="6" w:space="0"/>
              <w:bottom w:val="single" w:color="auto" w:sz="6" w:space="0"/>
              <w:right w:val="single" w:color="auto" w:sz="6" w:space="0"/>
            </w:tcBorders>
            <w:noWrap w:val="0"/>
            <w:vAlign w:val="center"/>
          </w:tcPr>
          <w:p w14:paraId="40A9B20B">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技术能力</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4A72B716">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8.00分</w:t>
            </w:r>
          </w:p>
        </w:tc>
        <w:tc>
          <w:tcPr>
            <w:tcW w:w="2752" w:type="pct"/>
            <w:tcBorders>
              <w:top w:val="single" w:color="auto" w:sz="6" w:space="0"/>
              <w:left w:val="single" w:color="auto" w:sz="6" w:space="0"/>
              <w:bottom w:val="single" w:color="auto" w:sz="6" w:space="0"/>
              <w:right w:val="single" w:color="auto" w:sz="6" w:space="0"/>
            </w:tcBorders>
            <w:noWrap w:val="0"/>
            <w:vAlign w:val="center"/>
          </w:tcPr>
          <w:p w14:paraId="4FEBBB99">
            <w:pPr>
              <w:widowControl w:val="0"/>
              <w:numPr>
                <w:ilvl w:val="0"/>
                <w:numId w:val="7"/>
              </w:numPr>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投标人具备中国设备维修安装企业能力等级证书 (制冷空调) A 类Ⅰ级 D 类Ⅰ级的，得5分； A类Ⅱ级 D类Ⅱ级的，得3分； A类Ⅲ级D类Ⅲ级的，得1分。本项最高得5分。注：A类D类级别不同的，以低级别评定得分。例： A类Ⅰ级D类Ⅱ级的，以Ⅱ级来评定得分。</w:t>
            </w:r>
          </w:p>
          <w:p w14:paraId="219AA3F4">
            <w:pPr>
              <w:widowControl w:val="0"/>
              <w:numPr>
                <w:ilvl w:val="0"/>
                <w:numId w:val="7"/>
              </w:numPr>
              <w:bidi w:val="0"/>
              <w:spacing w:after="0" w:afterAutospacing="0"/>
              <w:ind w:left="0" w:leftChars="0" w:firstLine="0" w:firstLineChars="0"/>
              <w:jc w:val="left"/>
              <w:rPr>
                <w:rFonts w:hint="default" w:ascii="Calibri" w:hAnsi="Calibri"/>
                <w:color w:val="auto"/>
                <w:kern w:val="2"/>
                <w:sz w:val="21"/>
                <w:szCs w:val="22"/>
                <w:highlight w:val="none"/>
                <w:rtl w:val="0"/>
                <w:lang w:val="en-US" w:eastAsia="zh-CN" w:bidi="ar-SA"/>
              </w:rPr>
            </w:pPr>
            <w:r>
              <w:rPr>
                <w:rFonts w:hint="eastAsia" w:ascii="Calibri" w:hAnsi="Calibri"/>
                <w:color w:val="auto"/>
                <w:kern w:val="2"/>
                <w:sz w:val="21"/>
                <w:szCs w:val="22"/>
                <w:highlight w:val="none"/>
                <w:rtl w:val="0"/>
                <w:lang w:val="en-US" w:eastAsia="zh-CN" w:bidi="ar-SA"/>
              </w:rPr>
              <w:t>投标单位具有有效期内《中央空调清洗企业能力等级证书》清洗消毒资质，</w:t>
            </w:r>
            <w:r>
              <w:rPr>
                <w:rFonts w:hint="default" w:ascii="Calibri" w:hAnsi="Calibri"/>
                <w:color w:val="auto"/>
                <w:kern w:val="2"/>
                <w:sz w:val="21"/>
                <w:szCs w:val="22"/>
                <w:highlight w:val="none"/>
                <w:rtl w:val="0"/>
                <w:lang w:val="en-US" w:eastAsia="zh-CN" w:bidi="ar-SA"/>
              </w:rPr>
              <w:t xml:space="preserve">得3分。 </w:t>
            </w:r>
          </w:p>
          <w:p w14:paraId="6BE1D8A5">
            <w:pPr>
              <w:widowControl w:val="0"/>
              <w:numPr>
                <w:ilvl w:val="0"/>
                <w:numId w:val="0"/>
              </w:numPr>
              <w:bidi w:val="0"/>
              <w:spacing w:after="0" w:afterAutospacing="0"/>
              <w:ind w:leftChars="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备注：中标人提供的上述相关证书随中标结果同步公开。</w:t>
            </w:r>
          </w:p>
        </w:tc>
      </w:tr>
      <w:tr w14:paraId="0537CBD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bottom w:val="single" w:color="auto" w:sz="6" w:space="0"/>
              <w:right w:val="single" w:color="auto" w:sz="6" w:space="0"/>
            </w:tcBorders>
            <w:noWrap w:val="0"/>
            <w:vAlign w:val="center"/>
          </w:tcPr>
          <w:p w14:paraId="77F04292">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企业经营业绩、信誉</w:t>
            </w:r>
          </w:p>
        </w:tc>
        <w:tc>
          <w:tcPr>
            <w:tcW w:w="833" w:type="pct"/>
            <w:tcBorders>
              <w:top w:val="single" w:color="auto" w:sz="6" w:space="0"/>
              <w:left w:val="single" w:color="auto" w:sz="6" w:space="0"/>
              <w:bottom w:val="single" w:color="auto" w:sz="6" w:space="0"/>
              <w:right w:val="single" w:color="auto" w:sz="6" w:space="0"/>
            </w:tcBorders>
            <w:noWrap w:val="0"/>
            <w:vAlign w:val="center"/>
          </w:tcPr>
          <w:p w14:paraId="2BC325C4">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企业业绩</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3A6D707B">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eastAsia" w:ascii="Calibri" w:eastAsia="宋体"/>
                <w:color w:val="auto"/>
                <w:kern w:val="2"/>
                <w:sz w:val="21"/>
                <w:szCs w:val="22"/>
                <w:highlight w:val="none"/>
                <w:rtl w:val="0"/>
                <w:lang w:val="en-US" w:eastAsia="zh-CN" w:bidi="ar-SA"/>
              </w:rPr>
              <w:t>15</w:t>
            </w:r>
            <w:r>
              <w:rPr>
                <w:rFonts w:hint="default" w:ascii="Calibri" w:hAnsi="Calibri"/>
                <w:color w:val="auto"/>
                <w:kern w:val="2"/>
                <w:sz w:val="21"/>
                <w:szCs w:val="22"/>
                <w:highlight w:val="none"/>
                <w:rtl w:val="0"/>
                <w:lang w:val="en-US" w:eastAsia="zh-CN" w:bidi="ar-SA"/>
              </w:rPr>
              <w:t>.00分</w:t>
            </w:r>
          </w:p>
        </w:tc>
        <w:tc>
          <w:tcPr>
            <w:tcW w:w="2752" w:type="pct"/>
            <w:tcBorders>
              <w:top w:val="single" w:color="auto" w:sz="6" w:space="0"/>
              <w:left w:val="single" w:color="auto" w:sz="6" w:space="0"/>
              <w:bottom w:val="single" w:color="auto" w:sz="6" w:space="0"/>
              <w:right w:val="single" w:color="auto" w:sz="6" w:space="0"/>
            </w:tcBorders>
            <w:noWrap w:val="0"/>
            <w:vAlign w:val="center"/>
          </w:tcPr>
          <w:p w14:paraId="3CEDF403">
            <w:pPr>
              <w:widowControl w:val="0"/>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202</w:t>
            </w:r>
            <w:r>
              <w:rPr>
                <w:rFonts w:hint="eastAsia" w:ascii="Calibri" w:eastAsia="宋体"/>
                <w:color w:val="auto"/>
                <w:kern w:val="2"/>
                <w:sz w:val="21"/>
                <w:szCs w:val="22"/>
                <w:highlight w:val="none"/>
                <w:rtl w:val="0"/>
                <w:lang w:val="en-US" w:eastAsia="zh-CN" w:bidi="ar-SA"/>
              </w:rPr>
              <w:t>3</w:t>
            </w:r>
            <w:r>
              <w:rPr>
                <w:rFonts w:hint="default" w:ascii="Calibri" w:hAnsi="Calibri"/>
                <w:color w:val="auto"/>
                <w:kern w:val="2"/>
                <w:sz w:val="21"/>
                <w:szCs w:val="22"/>
                <w:highlight w:val="none"/>
                <w:rtl w:val="0"/>
                <w:lang w:val="en-US" w:eastAsia="zh-CN" w:bidi="ar-SA"/>
              </w:rPr>
              <w:t xml:space="preserve">年 1月 1日以来(以合同签订日期为准)，投标人承接过空调维修保养清洗服务业绩，每有一个得 1分，最高 </w:t>
            </w:r>
            <w:r>
              <w:rPr>
                <w:rFonts w:hint="eastAsia" w:ascii="Calibri" w:eastAsia="宋体"/>
                <w:color w:val="auto"/>
                <w:kern w:val="2"/>
                <w:sz w:val="21"/>
                <w:szCs w:val="22"/>
                <w:highlight w:val="none"/>
                <w:rtl w:val="0"/>
                <w:lang w:val="en-US" w:eastAsia="zh-CN" w:bidi="ar-SA"/>
              </w:rPr>
              <w:t>15</w:t>
            </w:r>
            <w:r>
              <w:rPr>
                <w:rFonts w:hint="default" w:ascii="Calibri" w:hAnsi="Calibri"/>
                <w:color w:val="auto"/>
                <w:kern w:val="2"/>
                <w:sz w:val="21"/>
                <w:szCs w:val="22"/>
                <w:highlight w:val="none"/>
                <w:rtl w:val="0"/>
                <w:lang w:val="en-US" w:eastAsia="zh-CN" w:bidi="ar-SA"/>
              </w:rPr>
              <w:t>分。</w:t>
            </w:r>
          </w:p>
          <w:p w14:paraId="7799AA1D">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注:1、须同时将中标(成交)通知书、项目合同书及相对应项目的发票上传至投标文件，未上传的不得分。合同需清晰反映服务内容，空调设备销售、安装合同不得分。 2、中标人提供的业绩将随中标结果同步公开。</w:t>
            </w:r>
          </w:p>
        </w:tc>
      </w:tr>
      <w:tr w14:paraId="39C89E7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auto" w:sz="6" w:space="0"/>
              <w:left w:val="single" w:color="auto" w:sz="6" w:space="0"/>
              <w:bottom w:val="single" w:color="auto" w:sz="6" w:space="0"/>
              <w:right w:val="single" w:color="auto" w:sz="6" w:space="0"/>
            </w:tcBorders>
            <w:noWrap w:val="0"/>
            <w:vAlign w:val="center"/>
          </w:tcPr>
          <w:p w14:paraId="4640647A">
            <w:pPr>
              <w:widowControl w:val="0"/>
              <w:bidi w:val="0"/>
              <w:spacing w:after="0" w:afterAutospacing="0"/>
              <w:jc w:val="left"/>
              <w:rPr>
                <w:rFonts w:hint="default" w:ascii="Calibri" w:hAnsi="Calibri"/>
                <w:color w:val="auto"/>
                <w:kern w:val="2"/>
                <w:sz w:val="21"/>
                <w:szCs w:val="22"/>
                <w:highlight w:val="none"/>
                <w:lang w:val="en-US" w:eastAsia="zh-CN" w:bidi="ar-SA"/>
              </w:rPr>
            </w:pPr>
          </w:p>
        </w:tc>
        <w:tc>
          <w:tcPr>
            <w:tcW w:w="833" w:type="pct"/>
            <w:tcBorders>
              <w:top w:val="single" w:color="auto" w:sz="6" w:space="0"/>
              <w:left w:val="single" w:color="auto" w:sz="6" w:space="0"/>
              <w:bottom w:val="single" w:color="auto" w:sz="6" w:space="0"/>
              <w:right w:val="single" w:color="auto" w:sz="6" w:space="0"/>
            </w:tcBorders>
            <w:noWrap w:val="0"/>
            <w:vAlign w:val="center"/>
          </w:tcPr>
          <w:p w14:paraId="6604C6EB">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企业认证证书及荣誉</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116BD371">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eastAsia"/>
                <w:color w:val="auto"/>
                <w:kern w:val="2"/>
                <w:sz w:val="21"/>
                <w:szCs w:val="22"/>
                <w:highlight w:val="none"/>
                <w:rtl w:val="0"/>
                <w:lang w:val="en-US" w:eastAsia="zh-CN" w:bidi="ar-SA"/>
              </w:rPr>
              <w:t>3</w:t>
            </w:r>
            <w:r>
              <w:rPr>
                <w:rFonts w:hint="default" w:ascii="Calibri" w:hAnsi="Calibri"/>
                <w:color w:val="auto"/>
                <w:kern w:val="2"/>
                <w:sz w:val="21"/>
                <w:szCs w:val="22"/>
                <w:highlight w:val="none"/>
                <w:rtl w:val="0"/>
                <w:lang w:val="en-US" w:eastAsia="zh-CN" w:bidi="ar-SA"/>
              </w:rPr>
              <w:t>.00分</w:t>
            </w:r>
          </w:p>
        </w:tc>
        <w:tc>
          <w:tcPr>
            <w:tcW w:w="2752" w:type="pct"/>
            <w:tcBorders>
              <w:top w:val="single" w:color="auto" w:sz="6" w:space="0"/>
              <w:left w:val="single" w:color="auto" w:sz="6" w:space="0"/>
              <w:bottom w:val="single" w:color="auto" w:sz="6" w:space="0"/>
              <w:right w:val="single" w:color="auto" w:sz="6" w:space="0"/>
            </w:tcBorders>
            <w:noWrap w:val="0"/>
            <w:vAlign w:val="center"/>
          </w:tcPr>
          <w:p w14:paraId="28B826BA">
            <w:pPr>
              <w:widowControl w:val="0"/>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 xml:space="preserve">投标人具有有效期内的质量管理体系认证、环境 管理体系认证、职业健康安全管理体系认证， 每有一个得 </w:t>
            </w:r>
            <w:r>
              <w:rPr>
                <w:rFonts w:hint="eastAsia"/>
                <w:color w:val="auto"/>
                <w:kern w:val="2"/>
                <w:sz w:val="21"/>
                <w:szCs w:val="22"/>
                <w:highlight w:val="none"/>
                <w:rtl w:val="0"/>
                <w:lang w:val="en-US" w:eastAsia="zh-CN" w:bidi="ar-SA"/>
              </w:rPr>
              <w:t>1</w:t>
            </w:r>
            <w:r>
              <w:rPr>
                <w:rFonts w:hint="default" w:ascii="Calibri" w:hAnsi="Calibri"/>
                <w:color w:val="auto"/>
                <w:kern w:val="2"/>
                <w:sz w:val="21"/>
                <w:szCs w:val="22"/>
                <w:highlight w:val="none"/>
                <w:rtl w:val="0"/>
                <w:lang w:val="en-US" w:eastAsia="zh-CN" w:bidi="ar-SA"/>
              </w:rPr>
              <w:t>分，最多</w:t>
            </w:r>
            <w:r>
              <w:rPr>
                <w:rFonts w:hint="eastAsia"/>
                <w:color w:val="auto"/>
                <w:kern w:val="2"/>
                <w:sz w:val="21"/>
                <w:szCs w:val="22"/>
                <w:highlight w:val="none"/>
                <w:rtl w:val="0"/>
                <w:lang w:val="en-US" w:eastAsia="zh-CN" w:bidi="ar-SA"/>
              </w:rPr>
              <w:t>3</w:t>
            </w:r>
            <w:r>
              <w:rPr>
                <w:rFonts w:hint="default" w:ascii="Calibri" w:hAnsi="Calibri"/>
                <w:color w:val="auto"/>
                <w:kern w:val="2"/>
                <w:sz w:val="21"/>
                <w:szCs w:val="22"/>
                <w:highlight w:val="none"/>
                <w:rtl w:val="0"/>
                <w:lang w:val="en-US" w:eastAsia="zh-CN" w:bidi="ar-SA"/>
              </w:rPr>
              <w:t xml:space="preserve">分。 </w:t>
            </w:r>
          </w:p>
          <w:p w14:paraId="62FC4385">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 xml:space="preserve">备注： </w:t>
            </w:r>
            <w:r>
              <w:rPr>
                <w:rFonts w:hint="eastAsia"/>
                <w:color w:val="auto"/>
                <w:kern w:val="2"/>
                <w:sz w:val="21"/>
                <w:szCs w:val="22"/>
                <w:highlight w:val="none"/>
                <w:rtl w:val="0"/>
                <w:lang w:val="en-US" w:eastAsia="zh-CN" w:bidi="ar-SA"/>
              </w:rPr>
              <w:t>1、</w:t>
            </w:r>
            <w:r>
              <w:rPr>
                <w:rFonts w:hint="eastAsia" w:ascii="宋体" w:hAnsi="宋体" w:eastAsia="宋体" w:cs="宋体"/>
                <w:color w:val="auto"/>
                <w:highlight w:val="none"/>
              </w:rPr>
              <w:t>须提供证书</w:t>
            </w:r>
            <w:r>
              <w:rPr>
                <w:rFonts w:hint="eastAsia" w:ascii="宋体" w:hAnsi="宋体" w:eastAsia="宋体" w:cs="宋体"/>
                <w:color w:val="auto"/>
                <w:highlight w:val="none"/>
                <w:lang w:val="en-US" w:eastAsia="zh-CN"/>
              </w:rPr>
              <w:t>原件扫描件</w:t>
            </w:r>
            <w:r>
              <w:rPr>
                <w:rFonts w:hint="eastAsia" w:ascii="宋体" w:hAnsi="宋体" w:eastAsia="宋体" w:cs="宋体"/>
                <w:color w:val="auto"/>
                <w:highlight w:val="none"/>
              </w:rPr>
              <w:t>，并同时提供国家市场监督管理总局“全国认证认可信息公共服务平台”上该证书处于有效状态的查询结果截图，否则不得分。</w:t>
            </w:r>
            <w:r>
              <w:rPr>
                <w:rFonts w:hint="eastAsia"/>
                <w:color w:val="auto"/>
                <w:kern w:val="2"/>
                <w:sz w:val="21"/>
                <w:szCs w:val="22"/>
                <w:highlight w:val="none"/>
                <w:rtl w:val="0"/>
                <w:lang w:val="en-US" w:eastAsia="zh-CN" w:bidi="ar-SA"/>
              </w:rPr>
              <w:t>2</w:t>
            </w:r>
            <w:r>
              <w:rPr>
                <w:rFonts w:hint="default" w:ascii="Calibri" w:hAnsi="Calibri"/>
                <w:color w:val="auto"/>
                <w:kern w:val="2"/>
                <w:sz w:val="21"/>
                <w:szCs w:val="22"/>
                <w:highlight w:val="none"/>
                <w:rtl w:val="0"/>
                <w:lang w:val="en-US" w:eastAsia="zh-CN" w:bidi="ar-SA"/>
              </w:rPr>
              <w:t xml:space="preserve">、中标人提供的上述相关证书随中标结果同步公开。 </w:t>
            </w:r>
          </w:p>
        </w:tc>
      </w:tr>
      <w:tr w14:paraId="2D93980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auto" w:sz="6" w:space="0"/>
              <w:left w:val="single" w:color="auto" w:sz="6" w:space="0"/>
              <w:bottom w:val="single" w:color="auto" w:sz="6" w:space="0"/>
              <w:right w:val="single" w:color="auto" w:sz="6" w:space="0"/>
            </w:tcBorders>
            <w:noWrap w:val="0"/>
            <w:vAlign w:val="center"/>
          </w:tcPr>
          <w:p w14:paraId="5FC549B2">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项目实施方案</w:t>
            </w:r>
          </w:p>
        </w:tc>
        <w:tc>
          <w:tcPr>
            <w:tcW w:w="833" w:type="pct"/>
            <w:tcBorders>
              <w:top w:val="single" w:color="auto" w:sz="6" w:space="0"/>
              <w:left w:val="single" w:color="auto" w:sz="6" w:space="0"/>
              <w:bottom w:val="single" w:color="auto" w:sz="6" w:space="0"/>
              <w:right w:val="single" w:color="auto" w:sz="6" w:space="0"/>
            </w:tcBorders>
            <w:noWrap w:val="0"/>
            <w:vAlign w:val="center"/>
          </w:tcPr>
          <w:p w14:paraId="463A0919">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项目实施计划</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71E49CC9">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20.00分</w:t>
            </w:r>
          </w:p>
        </w:tc>
        <w:tc>
          <w:tcPr>
            <w:tcW w:w="2752" w:type="pct"/>
            <w:tcBorders>
              <w:top w:val="single" w:color="auto" w:sz="6" w:space="0"/>
              <w:left w:val="single" w:color="auto" w:sz="6" w:space="0"/>
              <w:bottom w:val="single" w:color="auto" w:sz="6" w:space="0"/>
              <w:right w:val="single" w:color="auto" w:sz="6" w:space="0"/>
            </w:tcBorders>
            <w:noWrap w:val="0"/>
            <w:vAlign w:val="center"/>
          </w:tcPr>
          <w:p w14:paraId="1E16F950">
            <w:pPr>
              <w:widowControl w:val="0"/>
              <w:numPr>
                <w:ilvl w:val="0"/>
                <w:numId w:val="8"/>
              </w:numPr>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维保方案：① 维保方案内容优于项目采购需求，思路清晰明了、便于执行的得 3 分；②维保方案满足采购需求，基本完整且可执行的得得 2分； ③维保方案虽存在缺陷，但通过后期优化，能够满足采购需求的得1分； 其他情况或没有内容的不得分。（此项满分3分）</w:t>
            </w:r>
          </w:p>
          <w:p w14:paraId="4F4EF172">
            <w:pPr>
              <w:widowControl w:val="0"/>
              <w:numPr>
                <w:ilvl w:val="0"/>
                <w:numId w:val="8"/>
              </w:numPr>
              <w:bidi w:val="0"/>
              <w:spacing w:after="0" w:afterAutospacing="0"/>
              <w:ind w:left="0" w:leftChars="0" w:firstLine="0" w:firstLineChars="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维保服务方案： ①承诺提供原厂配件得 2分； ②服务响应时间符合招标要求得 2分；③承诺重大活动保障增加 1人或以上得 2。（此项满分6分）</w:t>
            </w:r>
          </w:p>
          <w:p w14:paraId="6AF05E91">
            <w:pPr>
              <w:widowControl w:val="0"/>
              <w:numPr>
                <w:ilvl w:val="0"/>
                <w:numId w:val="8"/>
              </w:numPr>
              <w:bidi w:val="0"/>
              <w:spacing w:after="0" w:afterAutospacing="0"/>
              <w:ind w:left="0" w:leftChars="0" w:firstLine="0" w:firstLineChars="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维保所需</w:t>
            </w:r>
            <w:r>
              <w:rPr>
                <w:rFonts w:hint="eastAsia"/>
                <w:color w:val="auto"/>
                <w:kern w:val="2"/>
                <w:sz w:val="21"/>
                <w:szCs w:val="22"/>
                <w:highlight w:val="none"/>
                <w:rtl w:val="0"/>
                <w:lang w:val="en-US" w:eastAsia="zh-CN" w:bidi="ar-SA"/>
              </w:rPr>
              <w:t>设备等</w:t>
            </w:r>
            <w:r>
              <w:rPr>
                <w:rFonts w:hint="default" w:ascii="Calibri" w:hAnsi="Calibri"/>
                <w:color w:val="auto"/>
                <w:kern w:val="2"/>
                <w:sz w:val="21"/>
                <w:szCs w:val="22"/>
                <w:highlight w:val="none"/>
                <w:rtl w:val="0"/>
                <w:lang w:val="en-US" w:eastAsia="zh-CN" w:bidi="ar-SA"/>
              </w:rPr>
              <w:t>： ①设备工具清单 1 分； ②配件库清单 1 分； ③维修工程车辆比较 1 分。以上三项由评委根据各投标单位提供工具、配件、车辆产权</w:t>
            </w:r>
            <w:r>
              <w:rPr>
                <w:rFonts w:hint="eastAsia"/>
                <w:color w:val="auto"/>
                <w:kern w:val="2"/>
                <w:sz w:val="21"/>
                <w:szCs w:val="22"/>
                <w:highlight w:val="none"/>
                <w:rtl w:val="0"/>
                <w:lang w:val="en-US" w:eastAsia="zh-CN" w:bidi="ar-SA"/>
              </w:rPr>
              <w:t>或租赁协议</w:t>
            </w:r>
            <w:r>
              <w:rPr>
                <w:rFonts w:hint="default" w:ascii="Calibri" w:hAnsi="Calibri"/>
                <w:color w:val="auto"/>
                <w:kern w:val="2"/>
                <w:sz w:val="21"/>
                <w:szCs w:val="22"/>
                <w:highlight w:val="none"/>
                <w:rtl w:val="0"/>
                <w:lang w:val="en-US" w:eastAsia="zh-CN" w:bidi="ar-SA"/>
              </w:rPr>
              <w:t xml:space="preserve">、照片等文件资料，每项在 0-1（含） 分之间打分。（此项满分3分） </w:t>
            </w:r>
          </w:p>
          <w:p w14:paraId="1C052FE4">
            <w:pPr>
              <w:widowControl w:val="0"/>
              <w:numPr>
                <w:ilvl w:val="0"/>
                <w:numId w:val="0"/>
              </w:numPr>
              <w:bidi w:val="0"/>
              <w:spacing w:after="0" w:afterAutospacing="0"/>
              <w:ind w:leftChars="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4、安全和文明服务措施：项目安全和文明服务措施方案得0-1分，并承诺任何安全施工事故和甲方无关。 5、内部管理制度及维保档案管理：①提供内部管理架构（含日常 考核、激励考核机制）；②监督机制； ③自我约 束机制；④报修信息反馈；⑤故障处理追溯机制。⑥可实时管理派工； ⑦配件管理建立档案。 注：以上每项内容符合本项目采购需求得 0-1分每项，没有不得分。（此项满分7分）</w:t>
            </w:r>
          </w:p>
        </w:tc>
      </w:tr>
      <w:tr w14:paraId="499BE1B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auto" w:sz="6" w:space="0"/>
              <w:left w:val="single" w:color="auto" w:sz="6" w:space="0"/>
              <w:bottom w:val="single" w:color="auto" w:sz="6" w:space="0"/>
              <w:right w:val="single" w:color="auto" w:sz="6" w:space="0"/>
            </w:tcBorders>
            <w:noWrap w:val="0"/>
            <w:vAlign w:val="center"/>
          </w:tcPr>
          <w:p w14:paraId="59234001">
            <w:pPr>
              <w:widowControl w:val="0"/>
              <w:bidi w:val="0"/>
              <w:spacing w:after="0" w:afterAutospacing="0"/>
              <w:jc w:val="left"/>
              <w:rPr>
                <w:rFonts w:hint="default" w:ascii="Calibri" w:hAnsi="Calibri"/>
                <w:color w:val="auto"/>
                <w:kern w:val="2"/>
                <w:sz w:val="21"/>
                <w:szCs w:val="22"/>
                <w:highlight w:val="none"/>
                <w:lang w:val="en-US" w:eastAsia="zh-CN" w:bidi="ar-SA"/>
              </w:rPr>
            </w:pPr>
          </w:p>
        </w:tc>
        <w:tc>
          <w:tcPr>
            <w:tcW w:w="833" w:type="pct"/>
            <w:tcBorders>
              <w:top w:val="single" w:color="auto" w:sz="6" w:space="0"/>
              <w:left w:val="single" w:color="auto" w:sz="6" w:space="0"/>
              <w:bottom w:val="single" w:color="auto" w:sz="6" w:space="0"/>
              <w:right w:val="single" w:color="auto" w:sz="6" w:space="0"/>
            </w:tcBorders>
            <w:noWrap w:val="0"/>
            <w:vAlign w:val="center"/>
          </w:tcPr>
          <w:p w14:paraId="5D993F89">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管理力量、技术人员配备</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1C1EFFD1">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21.00分</w:t>
            </w:r>
          </w:p>
        </w:tc>
        <w:tc>
          <w:tcPr>
            <w:tcW w:w="2752" w:type="pct"/>
            <w:tcBorders>
              <w:top w:val="single" w:color="auto" w:sz="6" w:space="0"/>
              <w:left w:val="single" w:color="auto" w:sz="6" w:space="0"/>
              <w:bottom w:val="single" w:color="auto" w:sz="6" w:space="0"/>
              <w:right w:val="single" w:color="auto" w:sz="6" w:space="0"/>
            </w:tcBorders>
            <w:noWrap w:val="0"/>
            <w:vAlign w:val="center"/>
          </w:tcPr>
          <w:p w14:paraId="24FECE86">
            <w:pPr>
              <w:widowControl w:val="0"/>
              <w:numPr>
                <w:ilvl w:val="0"/>
                <w:numId w:val="9"/>
              </w:numPr>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本项目</w:t>
            </w:r>
            <w:r>
              <w:rPr>
                <w:rFonts w:hint="eastAsia" w:ascii="Times New Roman" w:eastAsia="宋体"/>
                <w:color w:val="auto"/>
                <w:kern w:val="2"/>
                <w:sz w:val="21"/>
                <w:szCs w:val="22"/>
                <w:highlight w:val="none"/>
                <w:rtl w:val="0"/>
                <w:lang w:val="en-US" w:eastAsia="zh-CN" w:bidi="ar-SA"/>
              </w:rPr>
              <w:t>负责人</w:t>
            </w:r>
            <w:r>
              <w:rPr>
                <w:rFonts w:hint="default" w:ascii="Calibri" w:hAnsi="Calibri"/>
                <w:color w:val="auto"/>
                <w:kern w:val="2"/>
                <w:sz w:val="21"/>
                <w:szCs w:val="22"/>
                <w:highlight w:val="none"/>
                <w:rtl w:val="0"/>
                <w:lang w:val="en-US" w:eastAsia="zh-CN" w:bidi="ar-SA"/>
              </w:rPr>
              <w:t>①具有政府职能部门颁发的</w:t>
            </w:r>
            <w:r>
              <w:rPr>
                <w:rFonts w:hint="eastAsia" w:ascii="Times New Roman" w:eastAsia="宋体"/>
                <w:color w:val="auto"/>
                <w:kern w:val="2"/>
                <w:sz w:val="21"/>
                <w:szCs w:val="22"/>
                <w:highlight w:val="none"/>
                <w:rtl w:val="0"/>
                <w:lang w:val="en-US" w:eastAsia="zh-CN" w:bidi="ar-SA"/>
              </w:rPr>
              <w:t>暖通与空调相关专业中级</w:t>
            </w:r>
            <w:r>
              <w:rPr>
                <w:rFonts w:hint="default" w:ascii="Calibri" w:hAnsi="Calibri"/>
                <w:color w:val="auto"/>
                <w:kern w:val="2"/>
                <w:sz w:val="21"/>
                <w:szCs w:val="22"/>
                <w:highlight w:val="none"/>
                <w:rtl w:val="0"/>
                <w:lang w:val="en-US" w:eastAsia="zh-CN" w:bidi="ar-SA"/>
              </w:rPr>
              <w:t>工程师及以上证书；②劳动部门颁发的“制冷技师/二级”及以上职称证； ③《碳排放管理》节能证书每有一份得1分，最高得 3分；</w:t>
            </w:r>
          </w:p>
          <w:p w14:paraId="591F37E3">
            <w:pPr>
              <w:widowControl w:val="0"/>
              <w:numPr>
                <w:ilvl w:val="0"/>
                <w:numId w:val="9"/>
              </w:numPr>
              <w:bidi w:val="0"/>
              <w:spacing w:after="0" w:afterAutospacing="0"/>
              <w:jc w:val="left"/>
              <w:rPr>
                <w:rFonts w:hint="default" w:ascii="Calibri" w:hAnsi="Calibri"/>
                <w:color w:val="auto"/>
                <w:kern w:val="2"/>
                <w:sz w:val="21"/>
                <w:szCs w:val="22"/>
                <w:highlight w:val="none"/>
                <w:rtl w:val="0"/>
                <w:lang w:val="en-US" w:eastAsia="zh-CN" w:bidi="ar-SA"/>
              </w:rPr>
            </w:pPr>
            <w:r>
              <w:rPr>
                <w:rFonts w:hint="default" w:ascii="Calibri" w:hAnsi="Calibri"/>
                <w:color w:val="auto"/>
                <w:kern w:val="2"/>
                <w:sz w:val="21"/>
                <w:szCs w:val="22"/>
                <w:highlight w:val="none"/>
                <w:rtl w:val="0"/>
                <w:lang w:val="en-US" w:eastAsia="zh-CN" w:bidi="ar-SA"/>
              </w:rPr>
              <w:t>拟投入本项目组人员具有政府职能部门颁发的高处作业证、电工作业证书、焊接与热切割证书的，每有一份得 2分，最高</w:t>
            </w:r>
            <w:r>
              <w:rPr>
                <w:rFonts w:hint="eastAsia" w:ascii="Calibri" w:eastAsia="宋体"/>
                <w:color w:val="auto"/>
                <w:kern w:val="2"/>
                <w:sz w:val="21"/>
                <w:szCs w:val="22"/>
                <w:highlight w:val="none"/>
                <w:rtl w:val="0"/>
                <w:lang w:val="en-US" w:eastAsia="zh-CN" w:bidi="ar-SA"/>
              </w:rPr>
              <w:t>8</w:t>
            </w:r>
            <w:r>
              <w:rPr>
                <w:rFonts w:hint="default" w:ascii="Calibri" w:hAnsi="Calibri"/>
                <w:color w:val="auto"/>
                <w:kern w:val="2"/>
                <w:sz w:val="21"/>
                <w:szCs w:val="22"/>
                <w:highlight w:val="none"/>
                <w:rtl w:val="0"/>
                <w:lang w:val="en-US" w:eastAsia="zh-CN" w:bidi="ar-SA"/>
              </w:rPr>
              <w:t xml:space="preserve">分； </w:t>
            </w:r>
            <w:r>
              <w:rPr>
                <w:rFonts w:hint="eastAsia"/>
                <w:color w:val="auto"/>
                <w:kern w:val="2"/>
                <w:sz w:val="21"/>
                <w:szCs w:val="22"/>
                <w:highlight w:val="none"/>
                <w:rtl w:val="0"/>
                <w:lang w:val="en-US" w:eastAsia="zh-CN" w:bidi="ar-SA"/>
              </w:rPr>
              <w:t>另同时</w:t>
            </w:r>
            <w:r>
              <w:rPr>
                <w:rFonts w:hint="default" w:ascii="Calibri" w:hAnsi="Calibri"/>
                <w:color w:val="auto"/>
                <w:kern w:val="2"/>
                <w:sz w:val="21"/>
                <w:szCs w:val="22"/>
                <w:highlight w:val="none"/>
                <w:rtl w:val="0"/>
                <w:lang w:val="en-US" w:eastAsia="zh-CN" w:bidi="ar-SA"/>
              </w:rPr>
              <w:t>具有空调维修《有限空间作业》安全培训证书，每提供一人得2分</w:t>
            </w:r>
            <w:r>
              <w:rPr>
                <w:rFonts w:hint="eastAsia"/>
                <w:color w:val="auto"/>
                <w:kern w:val="2"/>
                <w:sz w:val="21"/>
                <w:szCs w:val="22"/>
                <w:highlight w:val="none"/>
                <w:rtl w:val="0"/>
                <w:lang w:val="en-US" w:eastAsia="zh-CN" w:bidi="ar-SA"/>
              </w:rPr>
              <w:t>，</w:t>
            </w:r>
            <w:r>
              <w:rPr>
                <w:rFonts w:hint="default" w:ascii="Calibri" w:hAnsi="Calibri"/>
                <w:color w:val="auto"/>
                <w:kern w:val="2"/>
                <w:sz w:val="21"/>
                <w:szCs w:val="22"/>
                <w:highlight w:val="none"/>
                <w:rtl w:val="0"/>
                <w:lang w:val="en-US" w:eastAsia="zh-CN" w:bidi="ar-SA"/>
              </w:rPr>
              <w:t>最高6分。</w:t>
            </w:r>
          </w:p>
          <w:p w14:paraId="1AE4F5C6">
            <w:pPr>
              <w:widowControl w:val="0"/>
              <w:numPr>
                <w:ilvl w:val="0"/>
                <w:numId w:val="0"/>
              </w:numPr>
              <w:bidi w:val="0"/>
              <w:spacing w:after="0" w:afterAutospacing="0"/>
              <w:jc w:val="left"/>
              <w:rPr>
                <w:rFonts w:hint="default" w:ascii="Calibri" w:hAnsi="Calibri"/>
                <w:color w:val="auto"/>
                <w:kern w:val="2"/>
                <w:sz w:val="21"/>
                <w:szCs w:val="22"/>
                <w:highlight w:val="none"/>
                <w:lang w:val="en-US" w:eastAsia="zh-CN" w:bidi="ar-SA"/>
              </w:rPr>
            </w:pPr>
            <w:r>
              <w:rPr>
                <w:rFonts w:hint="eastAsia"/>
                <w:color w:val="auto"/>
                <w:kern w:val="2"/>
                <w:sz w:val="21"/>
                <w:szCs w:val="22"/>
                <w:highlight w:val="none"/>
                <w:rtl w:val="0"/>
                <w:lang w:val="en-US" w:eastAsia="zh-CN" w:bidi="ar-SA"/>
              </w:rPr>
              <w:t>3</w:t>
            </w:r>
            <w:r>
              <w:rPr>
                <w:rFonts w:hint="default" w:ascii="Calibri" w:hAnsi="Calibri"/>
                <w:color w:val="auto"/>
                <w:kern w:val="2"/>
                <w:sz w:val="21"/>
                <w:szCs w:val="22"/>
                <w:highlight w:val="none"/>
                <w:rtl w:val="0"/>
                <w:lang w:val="en-US" w:eastAsia="zh-CN" w:bidi="ar-SA"/>
              </w:rPr>
              <w:t>.项目组人员</w:t>
            </w:r>
            <w:r>
              <w:rPr>
                <w:rFonts w:hint="eastAsia"/>
                <w:color w:val="auto"/>
                <w:kern w:val="2"/>
                <w:sz w:val="21"/>
                <w:szCs w:val="22"/>
                <w:highlight w:val="none"/>
                <w:rtl w:val="0"/>
                <w:lang w:val="en-US" w:eastAsia="zh-CN" w:bidi="ar-SA"/>
              </w:rPr>
              <w:t>（含</w:t>
            </w:r>
            <w:r>
              <w:rPr>
                <w:rFonts w:hint="default" w:ascii="Calibri" w:hAnsi="Calibri"/>
                <w:color w:val="auto"/>
                <w:kern w:val="2"/>
                <w:sz w:val="21"/>
                <w:szCs w:val="22"/>
                <w:highlight w:val="none"/>
                <w:rtl w:val="0"/>
                <w:lang w:val="en-US" w:eastAsia="zh-CN" w:bidi="ar-SA"/>
              </w:rPr>
              <w:t>项目</w:t>
            </w:r>
            <w:r>
              <w:rPr>
                <w:rFonts w:hint="eastAsia" w:ascii="Times New Roman" w:eastAsia="宋体"/>
                <w:color w:val="auto"/>
                <w:kern w:val="2"/>
                <w:sz w:val="21"/>
                <w:szCs w:val="22"/>
                <w:highlight w:val="none"/>
                <w:rtl w:val="0"/>
                <w:lang w:val="en-US" w:eastAsia="zh-CN" w:bidi="ar-SA"/>
              </w:rPr>
              <w:t>负责人</w:t>
            </w:r>
            <w:r>
              <w:rPr>
                <w:rFonts w:hint="eastAsia"/>
                <w:color w:val="auto"/>
                <w:kern w:val="2"/>
                <w:sz w:val="21"/>
                <w:szCs w:val="22"/>
                <w:highlight w:val="none"/>
                <w:rtl w:val="0"/>
                <w:lang w:val="en-US" w:eastAsia="zh-CN" w:bidi="ar-SA"/>
              </w:rPr>
              <w:t>）</w:t>
            </w:r>
            <w:r>
              <w:rPr>
                <w:rFonts w:hint="default" w:ascii="Calibri" w:hAnsi="Calibri"/>
                <w:color w:val="auto"/>
                <w:kern w:val="2"/>
                <w:sz w:val="21"/>
                <w:szCs w:val="22"/>
                <w:highlight w:val="none"/>
                <w:rtl w:val="0"/>
                <w:lang w:val="en-US" w:eastAsia="zh-CN" w:bidi="ar-SA"/>
              </w:rPr>
              <w:t>购买的商业意外保险（保额≥100万元）每有一份得1分，最高得 4分。 注：（1）上述人员中，1人如具有多项专业职称的按一类证书计分，</w:t>
            </w:r>
            <w:r>
              <w:rPr>
                <w:rFonts w:hint="eastAsia"/>
                <w:color w:val="auto"/>
                <w:kern w:val="2"/>
                <w:sz w:val="21"/>
                <w:szCs w:val="22"/>
                <w:highlight w:val="none"/>
                <w:rtl w:val="0"/>
                <w:lang w:val="en-US" w:eastAsia="zh-CN" w:bidi="ar-SA"/>
              </w:rPr>
              <w:t>可</w:t>
            </w:r>
            <w:r>
              <w:rPr>
                <w:rFonts w:hint="default" w:ascii="Calibri" w:hAnsi="Calibri"/>
                <w:color w:val="auto"/>
                <w:kern w:val="2"/>
                <w:sz w:val="21"/>
                <w:szCs w:val="22"/>
                <w:highlight w:val="none"/>
                <w:rtl w:val="0"/>
                <w:lang w:val="en-US" w:eastAsia="zh-CN" w:bidi="ar-SA"/>
              </w:rPr>
              <w:t>重复计算。 （2）须将以上人员证书原件扫描上传至投标文件或诚信库中，未上传不予计分。（3）以上人员</w:t>
            </w:r>
            <w:r>
              <w:rPr>
                <w:rFonts w:hint="eastAsia" w:ascii="Calibri" w:hAnsi="Calibri"/>
                <w:color w:val="auto"/>
                <w:kern w:val="2"/>
                <w:sz w:val="21"/>
                <w:szCs w:val="22"/>
                <w:highlight w:val="none"/>
                <w:rtl w:val="0"/>
                <w:lang w:val="en-US" w:eastAsia="zh-CN" w:bidi="ar-SA"/>
              </w:rPr>
              <w:t>必须提供投标截止前近三个月内任意一个月供应商为其缴纳的社保证明</w:t>
            </w:r>
            <w:r>
              <w:rPr>
                <w:rFonts w:hint="default" w:ascii="Calibri" w:hAnsi="Calibri"/>
                <w:color w:val="auto"/>
                <w:kern w:val="2"/>
                <w:sz w:val="21"/>
                <w:szCs w:val="22"/>
                <w:highlight w:val="none"/>
                <w:rtl w:val="0"/>
                <w:lang w:val="en-US" w:eastAsia="zh-CN" w:bidi="ar-SA"/>
              </w:rPr>
              <w:t>，</w:t>
            </w:r>
            <w:r>
              <w:rPr>
                <w:rFonts w:hint="eastAsia" w:ascii="Calibri" w:eastAsia="宋体"/>
                <w:color w:val="auto"/>
                <w:kern w:val="2"/>
                <w:sz w:val="21"/>
                <w:szCs w:val="22"/>
                <w:highlight w:val="none"/>
                <w:rtl w:val="0"/>
                <w:lang w:val="en-US" w:eastAsia="zh-CN" w:bidi="ar-SA"/>
              </w:rPr>
              <w:t>并</w:t>
            </w:r>
            <w:r>
              <w:rPr>
                <w:rFonts w:hint="default" w:ascii="Calibri" w:hAnsi="Calibri"/>
                <w:color w:val="auto"/>
                <w:kern w:val="2"/>
                <w:sz w:val="21"/>
                <w:szCs w:val="22"/>
                <w:highlight w:val="none"/>
                <w:rtl w:val="0"/>
                <w:lang w:val="en-US" w:eastAsia="zh-CN" w:bidi="ar-SA"/>
              </w:rPr>
              <w:t>将社保证明材料上传至投标文件中，未上传不得分。 （4）中标人提供的上述人员相关证书随中标结果同步公开。</w:t>
            </w:r>
          </w:p>
        </w:tc>
      </w:tr>
      <w:tr w14:paraId="14D6130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34BE0A09">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其他</w:t>
            </w:r>
          </w:p>
        </w:tc>
        <w:tc>
          <w:tcPr>
            <w:tcW w:w="833" w:type="pct"/>
            <w:tcBorders>
              <w:top w:val="single" w:color="auto" w:sz="6" w:space="0"/>
              <w:left w:val="single" w:color="auto" w:sz="6" w:space="0"/>
              <w:bottom w:val="single" w:color="auto" w:sz="6" w:space="0"/>
              <w:right w:val="single" w:color="auto" w:sz="6" w:space="0"/>
            </w:tcBorders>
            <w:noWrap w:val="0"/>
            <w:vAlign w:val="center"/>
          </w:tcPr>
          <w:p w14:paraId="51E435D1">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售后服务</w:t>
            </w:r>
          </w:p>
        </w:tc>
        <w:tc>
          <w:tcPr>
            <w:tcW w:w="527" w:type="pct"/>
            <w:tcBorders>
              <w:top w:val="single" w:color="auto" w:sz="6" w:space="0"/>
              <w:left w:val="single" w:color="auto" w:sz="6" w:space="0"/>
              <w:bottom w:val="single" w:color="auto" w:sz="6" w:space="0"/>
              <w:right w:val="single" w:color="auto" w:sz="6" w:space="0"/>
            </w:tcBorders>
            <w:noWrap w:val="0"/>
            <w:vAlign w:val="center"/>
          </w:tcPr>
          <w:p w14:paraId="41A4D961">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eastAsia"/>
                <w:color w:val="auto"/>
                <w:kern w:val="2"/>
                <w:sz w:val="21"/>
                <w:szCs w:val="22"/>
                <w:highlight w:val="none"/>
                <w:rtl w:val="0"/>
                <w:lang w:val="en-US" w:eastAsia="zh-CN" w:bidi="ar-SA"/>
              </w:rPr>
              <w:t>6</w:t>
            </w:r>
            <w:r>
              <w:rPr>
                <w:rFonts w:hint="default" w:ascii="Calibri" w:hAnsi="Calibri"/>
                <w:color w:val="auto"/>
                <w:kern w:val="2"/>
                <w:sz w:val="21"/>
                <w:szCs w:val="22"/>
                <w:highlight w:val="none"/>
                <w:rtl w:val="0"/>
                <w:lang w:val="en-US" w:eastAsia="zh-CN" w:bidi="ar-SA"/>
              </w:rPr>
              <w:t>.00分</w:t>
            </w:r>
          </w:p>
        </w:tc>
        <w:tc>
          <w:tcPr>
            <w:tcW w:w="2752" w:type="pct"/>
            <w:tcBorders>
              <w:top w:val="single" w:color="auto" w:sz="6" w:space="0"/>
              <w:left w:val="single" w:color="auto" w:sz="6" w:space="0"/>
              <w:bottom w:val="single" w:color="auto" w:sz="6" w:space="0"/>
              <w:right w:val="single" w:color="auto" w:sz="6" w:space="0"/>
            </w:tcBorders>
            <w:noWrap w:val="0"/>
            <w:vAlign w:val="center"/>
          </w:tcPr>
          <w:p w14:paraId="7513031A">
            <w:pPr>
              <w:widowControl w:val="0"/>
              <w:bidi w:val="0"/>
              <w:spacing w:after="0" w:afterAutospacing="0"/>
              <w:jc w:val="left"/>
              <w:rPr>
                <w:rFonts w:hint="default" w:ascii="Calibri" w:hAnsi="Calibri"/>
                <w:color w:val="auto"/>
                <w:kern w:val="2"/>
                <w:sz w:val="21"/>
                <w:szCs w:val="22"/>
                <w:highlight w:val="none"/>
                <w:lang w:val="en-US" w:eastAsia="zh-CN" w:bidi="ar-SA"/>
              </w:rPr>
            </w:pPr>
            <w:r>
              <w:rPr>
                <w:rFonts w:hint="default" w:ascii="Calibri" w:hAnsi="Calibri"/>
                <w:color w:val="auto"/>
                <w:kern w:val="2"/>
                <w:sz w:val="21"/>
                <w:szCs w:val="22"/>
                <w:highlight w:val="none"/>
                <w:rtl w:val="0"/>
                <w:lang w:val="en-US" w:eastAsia="zh-CN" w:bidi="ar-SA"/>
              </w:rPr>
              <w:t>根据投标单位的售后服务措施，如响应时间、售后服务人员的技术水平和应急处理方案等打分。 服务体系、服务内容、故障解决方案、响应时间、专业技术人员保障等，方案完整、各项内容安排合理、可实施性强、服务措施到位得</w:t>
            </w:r>
            <w:r>
              <w:rPr>
                <w:rFonts w:hint="eastAsia"/>
                <w:color w:val="auto"/>
                <w:kern w:val="2"/>
                <w:sz w:val="21"/>
                <w:szCs w:val="22"/>
                <w:highlight w:val="none"/>
                <w:rtl w:val="0"/>
                <w:lang w:val="en-US" w:eastAsia="zh-CN" w:bidi="ar-SA"/>
              </w:rPr>
              <w:t>6</w:t>
            </w:r>
            <w:r>
              <w:rPr>
                <w:rFonts w:hint="default" w:ascii="Calibri" w:hAnsi="Calibri"/>
                <w:color w:val="auto"/>
                <w:kern w:val="2"/>
                <w:sz w:val="21"/>
                <w:szCs w:val="22"/>
                <w:highlight w:val="none"/>
                <w:rtl w:val="0"/>
                <w:lang w:val="en-US" w:eastAsia="zh-CN" w:bidi="ar-SA"/>
              </w:rPr>
              <w:t xml:space="preserve"> 分；方案基本完整、思路基本清晰，有一定可实施性和服务措施得 </w:t>
            </w:r>
            <w:r>
              <w:rPr>
                <w:rFonts w:hint="eastAsia"/>
                <w:color w:val="auto"/>
                <w:kern w:val="2"/>
                <w:sz w:val="21"/>
                <w:szCs w:val="22"/>
                <w:highlight w:val="none"/>
                <w:rtl w:val="0"/>
                <w:lang w:val="en-US" w:eastAsia="zh-CN" w:bidi="ar-SA"/>
              </w:rPr>
              <w:t>4</w:t>
            </w:r>
            <w:r>
              <w:rPr>
                <w:rFonts w:hint="default" w:ascii="Calibri" w:hAnsi="Calibri"/>
                <w:color w:val="auto"/>
                <w:kern w:val="2"/>
                <w:sz w:val="21"/>
                <w:szCs w:val="22"/>
                <w:highlight w:val="none"/>
                <w:rtl w:val="0"/>
                <w:lang w:val="en-US" w:eastAsia="zh-CN" w:bidi="ar-SA"/>
              </w:rPr>
              <w:t>分；方案、措施粗略，可操作性不强的，但经过后期优化能满足采购需求的得</w:t>
            </w:r>
            <w:r>
              <w:rPr>
                <w:rFonts w:hint="eastAsia"/>
                <w:color w:val="auto"/>
                <w:kern w:val="2"/>
                <w:sz w:val="21"/>
                <w:szCs w:val="22"/>
                <w:highlight w:val="none"/>
                <w:rtl w:val="0"/>
                <w:lang w:val="en-US" w:eastAsia="zh-CN" w:bidi="ar-SA"/>
              </w:rPr>
              <w:t>2</w:t>
            </w:r>
            <w:r>
              <w:rPr>
                <w:rFonts w:hint="default" w:ascii="Calibri" w:hAnsi="Calibri"/>
                <w:color w:val="auto"/>
                <w:kern w:val="2"/>
                <w:sz w:val="21"/>
                <w:szCs w:val="22"/>
                <w:highlight w:val="none"/>
                <w:rtl w:val="0"/>
                <w:lang w:val="en-US" w:eastAsia="zh-CN" w:bidi="ar-SA"/>
              </w:rPr>
              <w:t xml:space="preserve"> 分， 无售后服务承诺不得分。</w:t>
            </w:r>
          </w:p>
        </w:tc>
      </w:tr>
    </w:tbl>
    <w:p w14:paraId="3C4CE7F3">
      <w:pPr>
        <w:spacing w:line="560" w:lineRule="exact"/>
        <w:rPr>
          <w:rFonts w:hint="eastAsia" w:ascii="宋体" w:hAnsi="宋体" w:eastAsia="宋体" w:cs="宋体"/>
          <w:color w:val="auto"/>
          <w:sz w:val="21"/>
          <w:szCs w:val="21"/>
          <w:highlight w:val="none"/>
        </w:rPr>
      </w:pPr>
    </w:p>
    <w:p w14:paraId="091CD9BA">
      <w:pP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（三）评标结果。</w:t>
      </w:r>
      <w:r>
        <w:rPr>
          <w:rFonts w:hint="eastAsia" w:ascii="宋体" w:hAnsi="宋体" w:eastAsia="宋体" w:cs="宋体"/>
          <w:color w:val="auto"/>
          <w:sz w:val="24"/>
          <w:highlight w:val="none"/>
        </w:rPr>
        <w:t>磋商小组按照本办法规定推荐成交候选人，并形成评标报告。</w:t>
      </w:r>
    </w:p>
    <w:p w14:paraId="05261DB2">
      <w:pPr>
        <w:jc w:val="center"/>
        <w:rPr>
          <w:rFonts w:hint="eastAsia" w:ascii="宋体" w:hAnsi="宋体" w:eastAsia="宋体" w:cs="宋体"/>
          <w:bCs/>
          <w:color w:val="auto"/>
          <w:sz w:val="44"/>
          <w:szCs w:val="28"/>
          <w:highlight w:val="none"/>
        </w:rPr>
      </w:pPr>
      <w:bookmarkStart w:id="118" w:name="_Toc25157"/>
    </w:p>
    <w:p w14:paraId="11D9112C">
      <w:pPr>
        <w:jc w:val="center"/>
        <w:rPr>
          <w:rFonts w:hint="eastAsia" w:ascii="宋体" w:hAnsi="宋体" w:eastAsia="宋体" w:cs="宋体"/>
          <w:bCs/>
          <w:color w:val="auto"/>
          <w:sz w:val="44"/>
          <w:szCs w:val="28"/>
          <w:highlight w:val="none"/>
        </w:rPr>
      </w:pPr>
    </w:p>
    <w:p w14:paraId="06B7C635">
      <w:pPr>
        <w:jc w:val="center"/>
        <w:rPr>
          <w:rFonts w:hint="eastAsia" w:ascii="宋体" w:hAnsi="宋体" w:eastAsia="宋体" w:cs="宋体"/>
          <w:bCs/>
          <w:color w:val="auto"/>
          <w:sz w:val="44"/>
          <w:szCs w:val="28"/>
          <w:highlight w:val="none"/>
        </w:rPr>
      </w:pPr>
    </w:p>
    <w:p w14:paraId="3838066D">
      <w:pPr>
        <w:pStyle w:val="2"/>
        <w:bidi w:val="0"/>
        <w:jc w:val="center"/>
        <w:rPr>
          <w:rFonts w:hint="eastAsia"/>
          <w:color w:val="auto"/>
          <w:highlight w:val="none"/>
        </w:rPr>
      </w:pPr>
      <w:bookmarkStart w:id="119" w:name="_Toc12059"/>
      <w:bookmarkStart w:id="120" w:name="_Toc23337"/>
      <w:r>
        <w:rPr>
          <w:rFonts w:hint="eastAsia"/>
          <w:color w:val="auto"/>
          <w:highlight w:val="none"/>
        </w:rPr>
        <w:t xml:space="preserve">第六章  </w:t>
      </w:r>
      <w:bookmarkEnd w:id="110"/>
      <w:bookmarkEnd w:id="111"/>
      <w:bookmarkEnd w:id="114"/>
      <w:r>
        <w:rPr>
          <w:rFonts w:hint="eastAsia"/>
          <w:color w:val="auto"/>
          <w:highlight w:val="none"/>
        </w:rPr>
        <w:t>响应文件格式</w:t>
      </w:r>
      <w:bookmarkEnd w:id="118"/>
      <w:bookmarkEnd w:id="119"/>
      <w:bookmarkEnd w:id="120"/>
    </w:p>
    <w:p w14:paraId="0BFD836A">
      <w:pPr>
        <w:jc w:val="center"/>
        <w:rPr>
          <w:rFonts w:hint="eastAsia" w:ascii="宋体" w:hAnsi="宋体" w:eastAsia="宋体" w:cs="宋体"/>
          <w:b/>
          <w:color w:val="auto"/>
          <w:sz w:val="72"/>
          <w:szCs w:val="21"/>
          <w:highlight w:val="none"/>
        </w:rPr>
      </w:pPr>
      <w:bookmarkStart w:id="121" w:name="_Hlt26955039"/>
      <w:bookmarkEnd w:id="121"/>
      <w:bookmarkStart w:id="122" w:name="_Hlt26671244"/>
      <w:bookmarkEnd w:id="122"/>
      <w:bookmarkStart w:id="123" w:name="_Toc120614282"/>
      <w:bookmarkStart w:id="124" w:name="_Toc26554094"/>
      <w:bookmarkStart w:id="125" w:name="_Toc49090576"/>
    </w:p>
    <w:p w14:paraId="461EB7B8">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响  应  文  件</w:t>
      </w:r>
    </w:p>
    <w:p w14:paraId="33E606E1">
      <w:pPr>
        <w:jc w:val="center"/>
        <w:rPr>
          <w:rFonts w:hint="eastAsia" w:ascii="宋体" w:hAnsi="宋体" w:eastAsia="宋体" w:cs="宋体"/>
          <w:b/>
          <w:color w:val="auto"/>
          <w:sz w:val="72"/>
          <w:szCs w:val="21"/>
          <w:highlight w:val="none"/>
        </w:rPr>
      </w:pPr>
    </w:p>
    <w:p w14:paraId="258E1C95">
      <w:pPr>
        <w:jc w:val="center"/>
        <w:rPr>
          <w:rFonts w:hint="eastAsia" w:ascii="宋体" w:hAnsi="宋体" w:eastAsia="宋体" w:cs="宋体"/>
          <w:b/>
          <w:color w:val="auto"/>
          <w:sz w:val="72"/>
          <w:szCs w:val="21"/>
          <w:highlight w:val="none"/>
        </w:rPr>
      </w:pPr>
    </w:p>
    <w:p w14:paraId="7FA4A6E9">
      <w:pPr>
        <w:jc w:val="center"/>
        <w:rPr>
          <w:rFonts w:hint="eastAsia" w:ascii="宋体" w:hAnsi="宋体" w:eastAsia="宋体" w:cs="宋体"/>
          <w:b/>
          <w:color w:val="auto"/>
          <w:sz w:val="36"/>
          <w:szCs w:val="21"/>
          <w:highlight w:val="none"/>
        </w:rPr>
      </w:pPr>
    </w:p>
    <w:p w14:paraId="040A0784">
      <w:pPr>
        <w:jc w:val="center"/>
        <w:rPr>
          <w:rFonts w:hint="eastAsia" w:ascii="宋体" w:hAnsi="宋体" w:eastAsia="宋体" w:cs="宋体"/>
          <w:b/>
          <w:color w:val="auto"/>
          <w:sz w:val="36"/>
          <w:szCs w:val="21"/>
          <w:highlight w:val="none"/>
        </w:rPr>
      </w:pPr>
    </w:p>
    <w:p w14:paraId="31CFDF58">
      <w:pPr>
        <w:jc w:val="center"/>
        <w:rPr>
          <w:rFonts w:hint="eastAsia" w:ascii="宋体" w:hAnsi="宋体" w:eastAsia="宋体" w:cs="宋体"/>
          <w:b/>
          <w:color w:val="auto"/>
          <w:sz w:val="36"/>
          <w:szCs w:val="21"/>
          <w:highlight w:val="none"/>
        </w:rPr>
      </w:pPr>
    </w:p>
    <w:p w14:paraId="6137C878">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0F2E21C8">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526EAB7C">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（加盖CA电子公章）</w:t>
      </w:r>
    </w:p>
    <w:p w14:paraId="7C3B2FAE">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08F590B6">
      <w:pPr>
        <w:spacing w:line="440" w:lineRule="exact"/>
        <w:jc w:val="center"/>
        <w:rPr>
          <w:rFonts w:hint="eastAsia" w:ascii="宋体" w:hAnsi="宋体" w:eastAsia="宋体" w:cs="宋体"/>
          <w:b/>
          <w:bCs/>
          <w:color w:val="auto"/>
          <w:sz w:val="32"/>
          <w:szCs w:val="32"/>
          <w:highlight w:val="none"/>
        </w:rPr>
      </w:pPr>
    </w:p>
    <w:p w14:paraId="5FCE0725">
      <w:pPr>
        <w:spacing w:line="440" w:lineRule="exact"/>
        <w:rPr>
          <w:rFonts w:hint="eastAsia" w:ascii="宋体" w:hAnsi="宋体" w:eastAsia="宋体" w:cs="宋体"/>
          <w:color w:val="auto"/>
          <w:szCs w:val="21"/>
          <w:highlight w:val="none"/>
        </w:rPr>
      </w:pPr>
    </w:p>
    <w:p w14:paraId="7E1CA74B">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p>
    <w:p w14:paraId="261B6800">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响应文件目录</w:t>
      </w:r>
    </w:p>
    <w:p w14:paraId="2619F711">
      <w:pPr>
        <w:spacing w:line="440" w:lineRule="exact"/>
        <w:jc w:val="center"/>
        <w:rPr>
          <w:rFonts w:hint="eastAsia" w:ascii="宋体" w:hAnsi="宋体" w:eastAsia="宋体" w:cs="宋体"/>
          <w:b/>
          <w:bCs/>
          <w:color w:val="auto"/>
          <w:sz w:val="32"/>
          <w:szCs w:val="32"/>
          <w:highlight w:val="none"/>
        </w:rPr>
      </w:pPr>
    </w:p>
    <w:p w14:paraId="59A60951">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一、磋商申请及声明</w:t>
      </w:r>
    </w:p>
    <w:p w14:paraId="3B229C66">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二、供应商基本信息</w:t>
      </w:r>
    </w:p>
    <w:p w14:paraId="135AE2BB">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三、特定资格要求的证明文件</w:t>
      </w:r>
    </w:p>
    <w:p w14:paraId="2A788650">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四、法人授权书</w:t>
      </w:r>
    </w:p>
    <w:p w14:paraId="31171C9A">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五、中小企业声明函</w:t>
      </w:r>
    </w:p>
    <w:p w14:paraId="04ACC23C">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六、分项报价表</w:t>
      </w:r>
    </w:p>
    <w:p w14:paraId="174832CF">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七、技术要求响应及偏离表</w:t>
      </w:r>
    </w:p>
    <w:p w14:paraId="61009802">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八、项目组人员</w:t>
      </w:r>
    </w:p>
    <w:p w14:paraId="2289A4A2">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九、企业业绩</w:t>
      </w:r>
    </w:p>
    <w:p w14:paraId="5684D464">
      <w:pPr>
        <w:spacing w:line="44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十、磋商所需其他材料</w:t>
      </w:r>
    </w:p>
    <w:p w14:paraId="400CEBAD">
      <w:pPr>
        <w:spacing w:line="440" w:lineRule="exact"/>
        <w:ind w:firstLine="480"/>
        <w:rPr>
          <w:rFonts w:hint="eastAsia" w:ascii="宋体" w:hAnsi="宋体" w:eastAsia="宋体" w:cs="宋体"/>
          <w:color w:val="auto"/>
          <w:sz w:val="24"/>
          <w:szCs w:val="21"/>
          <w:highlight w:val="none"/>
        </w:rPr>
      </w:pPr>
    </w:p>
    <w:p w14:paraId="4560FE9B">
      <w:pPr>
        <w:spacing w:line="440" w:lineRule="exact"/>
        <w:ind w:firstLine="480"/>
        <w:rPr>
          <w:rFonts w:hint="eastAsia" w:ascii="宋体" w:hAnsi="宋体" w:eastAsia="宋体" w:cs="宋体"/>
          <w:color w:val="auto"/>
          <w:sz w:val="24"/>
          <w:szCs w:val="21"/>
          <w:highlight w:val="none"/>
        </w:rPr>
      </w:pPr>
    </w:p>
    <w:p w14:paraId="0235912B">
      <w:pPr>
        <w:spacing w:line="440" w:lineRule="exact"/>
        <w:ind w:firstLine="480"/>
        <w:rPr>
          <w:rFonts w:hint="eastAsia" w:ascii="宋体" w:hAnsi="宋体" w:eastAsia="宋体" w:cs="宋体"/>
          <w:color w:val="auto"/>
          <w:sz w:val="24"/>
          <w:szCs w:val="21"/>
          <w:highlight w:val="none"/>
        </w:rPr>
      </w:pPr>
    </w:p>
    <w:p w14:paraId="6A76AF4F">
      <w:pPr>
        <w:spacing w:line="440" w:lineRule="exact"/>
        <w:ind w:firstLine="480"/>
        <w:rPr>
          <w:rFonts w:hint="eastAsia" w:ascii="宋体" w:hAnsi="宋体" w:eastAsia="宋体" w:cs="宋体"/>
          <w:color w:val="auto"/>
          <w:sz w:val="24"/>
          <w:szCs w:val="21"/>
          <w:highlight w:val="none"/>
        </w:rPr>
      </w:pPr>
    </w:p>
    <w:p w14:paraId="4E0101CD">
      <w:pPr>
        <w:spacing w:line="440" w:lineRule="exact"/>
        <w:ind w:firstLine="480"/>
        <w:rPr>
          <w:rFonts w:hint="eastAsia" w:ascii="宋体" w:hAnsi="宋体" w:eastAsia="宋体" w:cs="宋体"/>
          <w:color w:val="auto"/>
          <w:sz w:val="24"/>
          <w:szCs w:val="21"/>
          <w:highlight w:val="none"/>
        </w:rPr>
      </w:pPr>
    </w:p>
    <w:p w14:paraId="5199AD2A">
      <w:pPr>
        <w:spacing w:line="440" w:lineRule="exact"/>
        <w:ind w:firstLine="480"/>
        <w:rPr>
          <w:rFonts w:hint="eastAsia" w:ascii="宋体" w:hAnsi="宋体" w:eastAsia="宋体" w:cs="宋体"/>
          <w:color w:val="auto"/>
          <w:sz w:val="24"/>
          <w:szCs w:val="21"/>
          <w:highlight w:val="none"/>
        </w:rPr>
      </w:pPr>
    </w:p>
    <w:p w14:paraId="3D8C0503">
      <w:pPr>
        <w:spacing w:line="440" w:lineRule="exact"/>
        <w:ind w:firstLine="480"/>
        <w:rPr>
          <w:rFonts w:hint="eastAsia" w:ascii="宋体" w:hAnsi="宋体" w:eastAsia="宋体" w:cs="宋体"/>
          <w:color w:val="auto"/>
          <w:sz w:val="24"/>
          <w:szCs w:val="21"/>
          <w:highlight w:val="none"/>
        </w:rPr>
      </w:pPr>
    </w:p>
    <w:p w14:paraId="2F95CFE6">
      <w:pPr>
        <w:spacing w:line="440" w:lineRule="exact"/>
        <w:ind w:firstLine="480"/>
        <w:rPr>
          <w:rFonts w:hint="eastAsia" w:ascii="宋体" w:hAnsi="宋体" w:eastAsia="宋体" w:cs="宋体"/>
          <w:color w:val="auto"/>
          <w:sz w:val="24"/>
          <w:szCs w:val="21"/>
          <w:highlight w:val="none"/>
        </w:rPr>
      </w:pPr>
    </w:p>
    <w:p w14:paraId="6C46802C">
      <w:pPr>
        <w:spacing w:line="440" w:lineRule="exact"/>
        <w:ind w:firstLine="480"/>
        <w:rPr>
          <w:rFonts w:hint="eastAsia" w:ascii="宋体" w:hAnsi="宋体" w:eastAsia="宋体" w:cs="宋体"/>
          <w:color w:val="auto"/>
          <w:sz w:val="24"/>
          <w:szCs w:val="21"/>
          <w:highlight w:val="none"/>
        </w:rPr>
      </w:pPr>
    </w:p>
    <w:p w14:paraId="1CC518E4">
      <w:pPr>
        <w:spacing w:line="440" w:lineRule="exact"/>
        <w:ind w:firstLine="480"/>
        <w:rPr>
          <w:rFonts w:hint="eastAsia" w:ascii="宋体" w:hAnsi="宋体" w:eastAsia="宋体" w:cs="宋体"/>
          <w:color w:val="auto"/>
          <w:sz w:val="24"/>
          <w:szCs w:val="21"/>
          <w:highlight w:val="none"/>
        </w:rPr>
      </w:pPr>
    </w:p>
    <w:p w14:paraId="5818EA04">
      <w:pPr>
        <w:spacing w:line="440" w:lineRule="exact"/>
        <w:ind w:firstLine="480"/>
        <w:rPr>
          <w:rFonts w:hint="eastAsia" w:ascii="宋体" w:hAnsi="宋体" w:eastAsia="宋体" w:cs="宋体"/>
          <w:color w:val="auto"/>
          <w:sz w:val="24"/>
          <w:szCs w:val="21"/>
          <w:highlight w:val="none"/>
        </w:rPr>
      </w:pPr>
    </w:p>
    <w:p w14:paraId="61D86A16">
      <w:pPr>
        <w:spacing w:line="440" w:lineRule="exact"/>
        <w:ind w:firstLine="480"/>
        <w:rPr>
          <w:rFonts w:hint="eastAsia" w:ascii="宋体" w:hAnsi="宋体" w:eastAsia="宋体" w:cs="宋体"/>
          <w:color w:val="auto"/>
          <w:sz w:val="24"/>
          <w:szCs w:val="21"/>
          <w:highlight w:val="none"/>
        </w:rPr>
      </w:pPr>
    </w:p>
    <w:p w14:paraId="1126AC52">
      <w:pPr>
        <w:spacing w:line="440" w:lineRule="exact"/>
        <w:ind w:firstLine="480"/>
        <w:rPr>
          <w:rFonts w:hint="eastAsia" w:ascii="宋体" w:hAnsi="宋体" w:eastAsia="宋体" w:cs="宋体"/>
          <w:color w:val="auto"/>
          <w:sz w:val="24"/>
          <w:szCs w:val="21"/>
          <w:highlight w:val="none"/>
        </w:rPr>
      </w:pPr>
    </w:p>
    <w:p w14:paraId="624E76CC">
      <w:pPr>
        <w:spacing w:line="440" w:lineRule="exact"/>
        <w:ind w:firstLine="480"/>
        <w:rPr>
          <w:rFonts w:hint="eastAsia" w:ascii="宋体" w:hAnsi="宋体" w:eastAsia="宋体" w:cs="宋体"/>
          <w:color w:val="auto"/>
          <w:sz w:val="24"/>
          <w:szCs w:val="21"/>
          <w:highlight w:val="none"/>
        </w:rPr>
      </w:pPr>
    </w:p>
    <w:p w14:paraId="5ABA5429">
      <w:pPr>
        <w:spacing w:line="440" w:lineRule="exact"/>
        <w:ind w:firstLine="480"/>
        <w:rPr>
          <w:rFonts w:hint="eastAsia" w:ascii="宋体" w:hAnsi="宋体" w:eastAsia="宋体" w:cs="宋体"/>
          <w:color w:val="auto"/>
          <w:sz w:val="24"/>
          <w:szCs w:val="21"/>
          <w:highlight w:val="none"/>
        </w:rPr>
      </w:pPr>
    </w:p>
    <w:p w14:paraId="681DAB8E">
      <w:pPr>
        <w:spacing w:line="440" w:lineRule="exact"/>
        <w:ind w:firstLine="480"/>
        <w:rPr>
          <w:rFonts w:hint="eastAsia" w:ascii="宋体" w:hAnsi="宋体" w:eastAsia="宋体" w:cs="宋体"/>
          <w:color w:val="auto"/>
          <w:sz w:val="24"/>
          <w:szCs w:val="21"/>
          <w:highlight w:val="none"/>
        </w:rPr>
      </w:pPr>
    </w:p>
    <w:p w14:paraId="327D15AE">
      <w:pPr>
        <w:spacing w:line="440" w:lineRule="exact"/>
        <w:ind w:firstLine="480"/>
        <w:rPr>
          <w:rFonts w:hint="eastAsia" w:ascii="宋体" w:hAnsi="宋体" w:eastAsia="宋体" w:cs="宋体"/>
          <w:color w:val="auto"/>
          <w:sz w:val="24"/>
          <w:szCs w:val="21"/>
          <w:highlight w:val="none"/>
        </w:rPr>
      </w:pPr>
    </w:p>
    <w:p w14:paraId="1147E66C">
      <w:pPr>
        <w:spacing w:line="440" w:lineRule="exact"/>
        <w:rPr>
          <w:rFonts w:hint="eastAsia" w:ascii="宋体" w:hAnsi="宋体" w:eastAsia="宋体" w:cs="宋体"/>
          <w:color w:val="auto"/>
          <w:sz w:val="24"/>
          <w:szCs w:val="21"/>
          <w:highlight w:val="none"/>
        </w:rPr>
      </w:pPr>
    </w:p>
    <w:p w14:paraId="46DDD976">
      <w:pPr>
        <w:outlineLvl w:val="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br w:type="page" w:clear="all"/>
      </w:r>
      <w:bookmarkStart w:id="126" w:name="_Toc10817"/>
      <w:r>
        <w:rPr>
          <w:rFonts w:hint="eastAsia" w:ascii="宋体" w:hAnsi="宋体" w:eastAsia="宋体" w:cs="宋体"/>
          <w:iCs/>
          <w:color w:val="auto"/>
          <w:sz w:val="32"/>
          <w:szCs w:val="32"/>
          <w:highlight w:val="none"/>
        </w:rPr>
        <w:t>一、磋商申请及声明</w:t>
      </w:r>
      <w:bookmarkEnd w:id="126"/>
    </w:p>
    <w:p w14:paraId="1B96CA55">
      <w:pPr>
        <w:pStyle w:val="30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响应声明及承诺函</w:t>
      </w:r>
    </w:p>
    <w:p w14:paraId="00CE50EF">
      <w:pPr>
        <w:pStyle w:val="301"/>
        <w:spacing w:line="50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（采购单位名称）：</w:t>
      </w:r>
    </w:p>
    <w:p w14:paraId="52EB50AC">
      <w:pPr>
        <w:pStyle w:val="30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项目的竞争性磋商文件，我单位在参加本项目竞争性磋商活动中，特做出如下承诺：</w:t>
      </w:r>
    </w:p>
    <w:p w14:paraId="01486DB8">
      <w:pPr>
        <w:pStyle w:val="30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一、我方</w:t>
      </w:r>
      <w:r>
        <w:rPr>
          <w:rFonts w:hint="eastAsia" w:ascii="宋体" w:hAnsi="宋体" w:eastAsia="宋体" w:cs="宋体"/>
          <w:color w:val="auto"/>
          <w:sz w:val="24"/>
          <w:highlight w:val="none"/>
        </w:rPr>
        <w:t>具备《中华人民共和国政府采购法》第二十二条第一款规定的6项条件；</w:t>
      </w:r>
    </w:p>
    <w:p w14:paraId="299E602E">
      <w:pPr>
        <w:pStyle w:val="30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237EC2B9">
      <w:pPr>
        <w:pStyle w:val="30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三、我方按磋商文件要求提交响应文件，响应磋商文件规定的响应有效期；</w:t>
      </w:r>
    </w:p>
    <w:p w14:paraId="1B0CC280">
      <w:pPr>
        <w:pStyle w:val="30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四、如果我方的响应文件被接受，我方将按《中华人民共和国民法典（第三编合同） 》及其他有关法律、法规的规定，按期、按质、按量交付采购单位，全面做到履约守信；</w:t>
      </w:r>
    </w:p>
    <w:p w14:paraId="430BBB4C">
      <w:pPr>
        <w:pStyle w:val="30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五、我方若违背本声明及承诺约定，经查实，自愿接受采购人及相关主管部门相应的规定处理，并依法承担相应的法律责任。</w:t>
      </w:r>
    </w:p>
    <w:p w14:paraId="3BEA4BB8">
      <w:pPr>
        <w:pStyle w:val="30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六、我方同意采购人、采购代理机构将本声明及承诺函上网公开。</w:t>
      </w:r>
    </w:p>
    <w:p w14:paraId="7E8252AE">
      <w:pPr>
        <w:pStyle w:val="301"/>
        <w:spacing w:line="500" w:lineRule="exact"/>
        <w:ind w:firstLine="480"/>
        <w:jc w:val="left"/>
        <w:rPr>
          <w:rFonts w:hint="eastAsia" w:ascii="宋体" w:hAnsi="宋体" w:eastAsia="宋体" w:cs="宋体"/>
          <w:color w:val="auto"/>
          <w:sz w:val="24"/>
          <w:szCs w:val="24"/>
          <w:highlight w:val="none"/>
        </w:rPr>
      </w:pPr>
    </w:p>
    <w:p w14:paraId="208EFD30">
      <w:pPr>
        <w:pStyle w:val="301"/>
        <w:spacing w:line="500" w:lineRule="exact"/>
        <w:jc w:val="left"/>
        <w:rPr>
          <w:rFonts w:hint="eastAsia" w:ascii="宋体" w:hAnsi="宋体" w:eastAsia="宋体" w:cs="宋体"/>
          <w:color w:val="auto"/>
          <w:sz w:val="24"/>
          <w:szCs w:val="24"/>
          <w:highlight w:val="none"/>
        </w:rPr>
      </w:pPr>
    </w:p>
    <w:p w14:paraId="7CBE6EC2">
      <w:pPr>
        <w:pStyle w:val="301"/>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（加盖CA电子公章）</w:t>
      </w:r>
    </w:p>
    <w:p w14:paraId="7356182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DD7FCAD">
      <w:pPr>
        <w:spacing w:line="440" w:lineRule="exact"/>
        <w:ind w:firstLine="480"/>
        <w:rPr>
          <w:rFonts w:hint="eastAsia" w:ascii="宋体" w:hAnsi="宋体" w:eastAsia="宋体" w:cs="宋体"/>
          <w:color w:val="auto"/>
          <w:sz w:val="24"/>
          <w:szCs w:val="24"/>
          <w:highlight w:val="none"/>
        </w:rPr>
      </w:pPr>
    </w:p>
    <w:p w14:paraId="7FB330FE">
      <w:pPr>
        <w:spacing w:line="440" w:lineRule="exact"/>
        <w:ind w:firstLine="480"/>
        <w:rPr>
          <w:rFonts w:hint="eastAsia" w:ascii="宋体" w:hAnsi="宋体" w:eastAsia="宋体" w:cs="宋体"/>
          <w:color w:val="auto"/>
          <w:sz w:val="24"/>
          <w:szCs w:val="24"/>
          <w:highlight w:val="none"/>
        </w:rPr>
      </w:pPr>
    </w:p>
    <w:p w14:paraId="60045E85">
      <w:pPr>
        <w:spacing w:line="440" w:lineRule="exact"/>
        <w:ind w:firstLine="480"/>
        <w:rPr>
          <w:rFonts w:hint="eastAsia" w:ascii="宋体" w:hAnsi="宋体" w:eastAsia="宋体" w:cs="宋体"/>
          <w:color w:val="auto"/>
          <w:sz w:val="24"/>
          <w:szCs w:val="24"/>
          <w:highlight w:val="none"/>
        </w:rPr>
      </w:pPr>
    </w:p>
    <w:p w14:paraId="6EFE7ECE">
      <w:pPr>
        <w:spacing w:line="440" w:lineRule="exact"/>
        <w:ind w:firstLine="480"/>
        <w:rPr>
          <w:rFonts w:hint="eastAsia" w:ascii="宋体" w:hAnsi="宋体" w:eastAsia="宋体" w:cs="宋体"/>
          <w:color w:val="auto"/>
          <w:sz w:val="24"/>
          <w:szCs w:val="24"/>
          <w:highlight w:val="none"/>
        </w:rPr>
      </w:pPr>
    </w:p>
    <w:p w14:paraId="33219C67">
      <w:pPr>
        <w:spacing w:line="440" w:lineRule="exact"/>
        <w:ind w:firstLine="480"/>
        <w:rPr>
          <w:rFonts w:hint="eastAsia" w:ascii="宋体" w:hAnsi="宋体" w:eastAsia="宋体" w:cs="宋体"/>
          <w:color w:val="auto"/>
          <w:sz w:val="24"/>
          <w:szCs w:val="24"/>
          <w:highlight w:val="none"/>
        </w:rPr>
      </w:pPr>
    </w:p>
    <w:bookmarkEnd w:id="123"/>
    <w:bookmarkEnd w:id="124"/>
    <w:bookmarkEnd w:id="125"/>
    <w:p w14:paraId="38A0B633">
      <w:pPr>
        <w:spacing w:line="440" w:lineRule="exact"/>
        <w:ind w:firstLine="480"/>
        <w:rPr>
          <w:rFonts w:hint="eastAsia" w:ascii="宋体" w:hAnsi="宋体" w:eastAsia="宋体" w:cs="宋体"/>
          <w:color w:val="auto"/>
          <w:sz w:val="24"/>
          <w:szCs w:val="24"/>
          <w:highlight w:val="none"/>
        </w:rPr>
      </w:pPr>
    </w:p>
    <w:p w14:paraId="375621CE">
      <w:pPr>
        <w:pStyle w:val="317"/>
        <w:outlineLvl w:val="1"/>
        <w:rPr>
          <w:rFonts w:hint="eastAsia" w:ascii="宋体" w:hAnsi="宋体" w:eastAsia="宋体" w:cs="宋体"/>
          <w:color w:val="auto"/>
          <w:highlight w:val="none"/>
        </w:rPr>
      </w:pPr>
      <w:bookmarkStart w:id="127" w:name="_Toc27399"/>
      <w:bookmarkStart w:id="128" w:name="_Toc120614284"/>
      <w:r>
        <w:rPr>
          <w:rFonts w:hint="eastAsia" w:ascii="宋体" w:hAnsi="宋体" w:eastAsia="宋体" w:cs="宋体"/>
          <w:iCs/>
          <w:color w:val="auto"/>
          <w:szCs w:val="32"/>
          <w:highlight w:val="none"/>
        </w:rPr>
        <w:br w:type="page" w:clear="all"/>
      </w:r>
      <w:bookmarkStart w:id="129" w:name="_Toc26158"/>
      <w:r>
        <w:rPr>
          <w:rFonts w:hint="eastAsia" w:ascii="宋体" w:hAnsi="宋体" w:eastAsia="宋体" w:cs="宋体"/>
          <w:b w:val="0"/>
          <w:iCs/>
          <w:color w:val="auto"/>
          <w:szCs w:val="32"/>
          <w:highlight w:val="none"/>
        </w:rPr>
        <w:t>二、供应商基本信息</w:t>
      </w:r>
      <w:bookmarkEnd w:id="127"/>
      <w:bookmarkEnd w:id="129"/>
    </w:p>
    <w:p w14:paraId="3AE418C6">
      <w:pPr>
        <w:pStyle w:val="318"/>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供应商基本情况表</w:t>
      </w:r>
    </w:p>
    <w:tbl>
      <w:tblPr>
        <w:tblStyle w:val="2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752BD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B2CF8F8">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6998" w:type="dxa"/>
            <w:gridSpan w:val="3"/>
            <w:noWrap w:val="0"/>
            <w:vAlign w:val="center"/>
          </w:tcPr>
          <w:p w14:paraId="62C6B314">
            <w:pPr>
              <w:pStyle w:val="318"/>
              <w:spacing w:line="600" w:lineRule="exact"/>
              <w:jc w:val="center"/>
              <w:rPr>
                <w:rFonts w:hint="eastAsia" w:ascii="宋体" w:hAnsi="宋体" w:eastAsia="宋体" w:cs="宋体"/>
                <w:color w:val="auto"/>
                <w:sz w:val="24"/>
                <w:szCs w:val="24"/>
                <w:highlight w:val="none"/>
              </w:rPr>
            </w:pPr>
          </w:p>
        </w:tc>
      </w:tr>
      <w:tr w14:paraId="1E886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FFBDEB6">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3118" w:type="dxa"/>
            <w:noWrap w:val="0"/>
            <w:vAlign w:val="center"/>
          </w:tcPr>
          <w:p w14:paraId="356B875E">
            <w:pPr>
              <w:pStyle w:val="318"/>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598764CF">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注册地区</w:t>
            </w:r>
          </w:p>
        </w:tc>
        <w:tc>
          <w:tcPr>
            <w:tcW w:w="2604" w:type="dxa"/>
            <w:noWrap w:val="0"/>
            <w:vAlign w:val="center"/>
          </w:tcPr>
          <w:p w14:paraId="3A846E77">
            <w:pPr>
              <w:pStyle w:val="318"/>
              <w:spacing w:line="600" w:lineRule="exact"/>
              <w:jc w:val="center"/>
              <w:rPr>
                <w:rFonts w:hint="eastAsia" w:ascii="宋体" w:hAnsi="宋体" w:eastAsia="宋体" w:cs="宋体"/>
                <w:color w:val="auto"/>
                <w:sz w:val="24"/>
                <w:szCs w:val="24"/>
                <w:highlight w:val="none"/>
              </w:rPr>
            </w:pPr>
          </w:p>
        </w:tc>
      </w:tr>
      <w:tr w14:paraId="6D320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B347931">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3118" w:type="dxa"/>
            <w:noWrap w:val="0"/>
            <w:vAlign w:val="center"/>
          </w:tcPr>
          <w:p w14:paraId="3E3D4AF3">
            <w:pPr>
              <w:pStyle w:val="318"/>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0F048798">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604" w:type="dxa"/>
            <w:noWrap w:val="0"/>
            <w:vAlign w:val="center"/>
          </w:tcPr>
          <w:p w14:paraId="13D7C8ED">
            <w:pPr>
              <w:pStyle w:val="318"/>
              <w:spacing w:line="600" w:lineRule="exact"/>
              <w:jc w:val="center"/>
              <w:rPr>
                <w:rFonts w:hint="eastAsia" w:ascii="宋体" w:hAnsi="宋体" w:eastAsia="宋体" w:cs="宋体"/>
                <w:color w:val="auto"/>
                <w:sz w:val="24"/>
                <w:szCs w:val="24"/>
                <w:highlight w:val="none"/>
              </w:rPr>
            </w:pPr>
          </w:p>
        </w:tc>
      </w:tr>
      <w:tr w14:paraId="590CD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12127AA">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3118" w:type="dxa"/>
            <w:noWrap w:val="0"/>
            <w:vAlign w:val="center"/>
          </w:tcPr>
          <w:p w14:paraId="26FFFF0F">
            <w:pPr>
              <w:pStyle w:val="318"/>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42A92055">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p>
        </w:tc>
        <w:tc>
          <w:tcPr>
            <w:tcW w:w="2604" w:type="dxa"/>
            <w:noWrap w:val="0"/>
            <w:vAlign w:val="center"/>
          </w:tcPr>
          <w:p w14:paraId="5E2614D7">
            <w:pPr>
              <w:pStyle w:val="318"/>
              <w:spacing w:line="600" w:lineRule="exact"/>
              <w:jc w:val="center"/>
              <w:rPr>
                <w:rFonts w:hint="eastAsia" w:ascii="宋体" w:hAnsi="宋体" w:eastAsia="宋体" w:cs="宋体"/>
                <w:color w:val="auto"/>
                <w:sz w:val="24"/>
                <w:szCs w:val="24"/>
                <w:highlight w:val="none"/>
              </w:rPr>
            </w:pPr>
          </w:p>
        </w:tc>
      </w:tr>
      <w:tr w14:paraId="5EB19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8C218BE">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注册号或社会信用代码</w:t>
            </w:r>
          </w:p>
        </w:tc>
        <w:tc>
          <w:tcPr>
            <w:tcW w:w="3118" w:type="dxa"/>
            <w:noWrap w:val="0"/>
            <w:vAlign w:val="center"/>
          </w:tcPr>
          <w:p w14:paraId="765F14C8">
            <w:pPr>
              <w:pStyle w:val="318"/>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6B72EE05">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注册资本（万元）</w:t>
            </w:r>
          </w:p>
        </w:tc>
        <w:tc>
          <w:tcPr>
            <w:tcW w:w="2604" w:type="dxa"/>
            <w:noWrap w:val="0"/>
            <w:vAlign w:val="center"/>
          </w:tcPr>
          <w:p w14:paraId="59C937A0">
            <w:pPr>
              <w:pStyle w:val="318"/>
              <w:spacing w:line="600" w:lineRule="exact"/>
              <w:jc w:val="center"/>
              <w:rPr>
                <w:rFonts w:hint="eastAsia" w:ascii="宋体" w:hAnsi="宋体" w:eastAsia="宋体" w:cs="宋体"/>
                <w:color w:val="auto"/>
                <w:sz w:val="24"/>
                <w:szCs w:val="24"/>
                <w:highlight w:val="none"/>
              </w:rPr>
            </w:pPr>
          </w:p>
        </w:tc>
      </w:tr>
      <w:tr w14:paraId="0066C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6D68D8E">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供应商类别</w:t>
            </w:r>
          </w:p>
        </w:tc>
        <w:tc>
          <w:tcPr>
            <w:tcW w:w="6998" w:type="dxa"/>
            <w:gridSpan w:val="3"/>
            <w:noWrap w:val="0"/>
            <w:vAlign w:val="center"/>
          </w:tcPr>
          <w:p w14:paraId="420D73FF">
            <w:pPr>
              <w:pStyle w:val="318"/>
              <w:spacing w:line="600" w:lineRule="exact"/>
              <w:jc w:val="center"/>
              <w:rPr>
                <w:rFonts w:hint="eastAsia" w:ascii="宋体" w:hAnsi="宋体" w:eastAsia="宋体" w:cs="宋体"/>
                <w:color w:val="auto"/>
                <w:sz w:val="24"/>
                <w:szCs w:val="24"/>
                <w:highlight w:val="none"/>
              </w:rPr>
            </w:pPr>
          </w:p>
        </w:tc>
      </w:tr>
      <w:tr w14:paraId="4A4B5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709665D">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3118" w:type="dxa"/>
            <w:noWrap w:val="0"/>
            <w:vAlign w:val="center"/>
          </w:tcPr>
          <w:p w14:paraId="6180E18A">
            <w:pPr>
              <w:pStyle w:val="318"/>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1A8D844C">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2604" w:type="dxa"/>
            <w:noWrap w:val="0"/>
            <w:vAlign w:val="center"/>
          </w:tcPr>
          <w:p w14:paraId="6833CDC3">
            <w:pPr>
              <w:pStyle w:val="318"/>
              <w:spacing w:line="600" w:lineRule="exact"/>
              <w:jc w:val="center"/>
              <w:rPr>
                <w:rFonts w:hint="eastAsia" w:ascii="宋体" w:hAnsi="宋体" w:eastAsia="宋体" w:cs="宋体"/>
                <w:color w:val="auto"/>
                <w:sz w:val="24"/>
                <w:szCs w:val="24"/>
                <w:highlight w:val="none"/>
              </w:rPr>
            </w:pPr>
          </w:p>
        </w:tc>
      </w:tr>
      <w:tr w14:paraId="3A7EA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9764C0A">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3118" w:type="dxa"/>
            <w:noWrap w:val="0"/>
            <w:vAlign w:val="center"/>
          </w:tcPr>
          <w:p w14:paraId="1DD2A287">
            <w:pPr>
              <w:pStyle w:val="318"/>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492574A1">
            <w:pPr>
              <w:pStyle w:val="318"/>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604" w:type="dxa"/>
            <w:noWrap w:val="0"/>
            <w:vAlign w:val="center"/>
          </w:tcPr>
          <w:p w14:paraId="5D1E3071">
            <w:pPr>
              <w:pStyle w:val="318"/>
              <w:spacing w:line="600" w:lineRule="exact"/>
              <w:jc w:val="center"/>
              <w:rPr>
                <w:rFonts w:hint="eastAsia" w:ascii="宋体" w:hAnsi="宋体" w:eastAsia="宋体" w:cs="宋体"/>
                <w:color w:val="auto"/>
                <w:sz w:val="24"/>
                <w:szCs w:val="24"/>
                <w:highlight w:val="none"/>
              </w:rPr>
            </w:pPr>
          </w:p>
        </w:tc>
      </w:tr>
      <w:tr w14:paraId="05077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7707224B">
            <w:pPr>
              <w:pStyle w:val="318"/>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998" w:type="dxa"/>
            <w:gridSpan w:val="3"/>
            <w:noWrap w:val="0"/>
            <w:vAlign w:val="top"/>
          </w:tcPr>
          <w:p w14:paraId="633117E1">
            <w:pPr>
              <w:pStyle w:val="318"/>
              <w:spacing w:line="560" w:lineRule="exact"/>
              <w:ind w:firstLine="1433"/>
              <w:rPr>
                <w:rFonts w:hint="eastAsia" w:ascii="宋体" w:hAnsi="宋体" w:eastAsia="宋体" w:cs="宋体"/>
                <w:color w:val="auto"/>
                <w:sz w:val="24"/>
                <w:szCs w:val="24"/>
                <w:highlight w:val="none"/>
              </w:rPr>
            </w:pPr>
          </w:p>
        </w:tc>
      </w:tr>
    </w:tbl>
    <w:p w14:paraId="41A02AAE">
      <w:pPr>
        <w:outlineLvl w:val="1"/>
        <w:rPr>
          <w:rFonts w:hint="eastAsia" w:ascii="宋体" w:hAnsi="宋体" w:eastAsia="宋体" w:cs="宋体"/>
          <w:i/>
          <w:color w:val="auto"/>
          <w:sz w:val="32"/>
          <w:szCs w:val="32"/>
          <w:highlight w:val="none"/>
          <w:u w:val="single"/>
        </w:rPr>
      </w:pPr>
      <w:r>
        <w:rPr>
          <w:rFonts w:hint="eastAsia" w:ascii="宋体" w:hAnsi="宋体" w:cs="宋体"/>
          <w:iCs/>
          <w:color w:val="auto"/>
          <w:sz w:val="32"/>
          <w:szCs w:val="32"/>
          <w:highlight w:val="none"/>
          <w:lang w:val="en-US" w:eastAsia="zh-CN"/>
        </w:rPr>
        <w:t>备注：附营业执照等附件。</w:t>
      </w:r>
      <w:r>
        <w:rPr>
          <w:rFonts w:hint="eastAsia" w:ascii="宋体" w:hAnsi="宋体" w:eastAsia="宋体" w:cs="宋体"/>
          <w:iCs/>
          <w:color w:val="auto"/>
          <w:sz w:val="32"/>
          <w:szCs w:val="32"/>
          <w:highlight w:val="none"/>
        </w:rPr>
        <w:br w:type="page" w:clear="all"/>
      </w:r>
      <w:bookmarkStart w:id="130" w:name="_Toc27444"/>
      <w:r>
        <w:rPr>
          <w:rFonts w:hint="eastAsia" w:ascii="宋体" w:hAnsi="宋体" w:eastAsia="宋体" w:cs="宋体"/>
          <w:iCs/>
          <w:color w:val="auto"/>
          <w:sz w:val="32"/>
          <w:szCs w:val="32"/>
          <w:highlight w:val="none"/>
        </w:rPr>
        <w:t>三、特定资格要求的证明文件</w:t>
      </w:r>
      <w:bookmarkEnd w:id="130"/>
    </w:p>
    <w:p w14:paraId="54923DE6">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p>
    <w:p w14:paraId="387838FA">
      <w:pPr>
        <w:outlineLvl w:val="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br w:type="page" w:clear="all"/>
      </w:r>
      <w:bookmarkStart w:id="131" w:name="_Toc9647"/>
      <w:r>
        <w:rPr>
          <w:rFonts w:hint="eastAsia" w:ascii="宋体" w:hAnsi="宋体" w:eastAsia="宋体" w:cs="宋体"/>
          <w:iCs/>
          <w:color w:val="auto"/>
          <w:sz w:val="32"/>
          <w:szCs w:val="32"/>
          <w:highlight w:val="none"/>
        </w:rPr>
        <w:t>四、法人授权书</w:t>
      </w:r>
      <w:bookmarkEnd w:id="131"/>
    </w:p>
    <w:p w14:paraId="4C87E68E">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05D4AEA3">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2A6EA047">
      <w:pPr>
        <w:tabs>
          <w:tab w:val="left" w:pos="360"/>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p>
    <w:p w14:paraId="5580C2E8">
      <w:pPr>
        <w:tabs>
          <w:tab w:val="left" w:pos="360"/>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14:paraId="66EF7545">
      <w:pPr>
        <w:tabs>
          <w:tab w:val="left" w:pos="360"/>
        </w:tabs>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681989AE">
      <w:pPr>
        <w:tabs>
          <w:tab w:val="left" w:pos="360"/>
        </w:tabs>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14:paraId="17E4C2B6">
      <w:pPr>
        <w:tabs>
          <w:tab w:val="left" w:pos="360"/>
        </w:tabs>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132" w:name="_格式3__银行出具的资信证明"/>
      <w:bookmarkEnd w:id="132"/>
      <w:bookmarkStart w:id="133" w:name="_Hlt26955070"/>
      <w:bookmarkEnd w:id="133"/>
      <w:bookmarkStart w:id="134" w:name="_Hlt26671380"/>
      <w:bookmarkEnd w:id="134"/>
      <w:r>
        <w:rPr>
          <w:rFonts w:hint="eastAsia" w:ascii="宋体" w:hAnsi="宋体" w:eastAsia="宋体" w:cs="宋体"/>
          <w:color w:val="auto"/>
          <w:sz w:val="24"/>
          <w:szCs w:val="24"/>
          <w:highlight w:val="none"/>
          <w:u w:val="single"/>
        </w:rPr>
        <w:t xml:space="preserve">                                         </w:t>
      </w:r>
    </w:p>
    <w:p w14:paraId="605A7A32">
      <w:pPr>
        <w:spacing w:line="460" w:lineRule="exact"/>
        <w:rPr>
          <w:rFonts w:hint="eastAsia" w:ascii="宋体" w:hAnsi="宋体" w:eastAsia="宋体" w:cs="宋体"/>
          <w:bCs/>
          <w:color w:val="auto"/>
          <w:sz w:val="24"/>
          <w:szCs w:val="21"/>
          <w:highlight w:val="none"/>
        </w:rPr>
      </w:pPr>
    </w:p>
    <w:p w14:paraId="53B29258">
      <w:pPr>
        <w:tabs>
          <w:tab w:val="left" w:pos="360"/>
        </w:tabs>
        <w:ind w:firstLine="480"/>
        <w:rPr>
          <w:rFonts w:hint="eastAsia" w:ascii="宋体" w:hAnsi="宋体" w:eastAsia="宋体" w:cs="宋体"/>
          <w:color w:val="auto"/>
          <w:sz w:val="24"/>
          <w:szCs w:val="24"/>
          <w:highlight w:val="none"/>
          <w:u w:val="single"/>
        </w:rPr>
      </w:pPr>
    </w:p>
    <w:p w14:paraId="78EEFEFF">
      <w:pPr>
        <w:tabs>
          <w:tab w:val="left" w:pos="360"/>
        </w:tabs>
        <w:ind w:firstLine="480"/>
        <w:rPr>
          <w:rFonts w:hint="eastAsia" w:ascii="宋体" w:hAnsi="宋体" w:eastAsia="宋体" w:cs="宋体"/>
          <w:color w:val="auto"/>
          <w:sz w:val="24"/>
          <w:szCs w:val="24"/>
          <w:highlight w:val="none"/>
        </w:rPr>
      </w:pPr>
    </w:p>
    <w:p w14:paraId="5A4BB9F6">
      <w:pPr>
        <w:ind w:firstLine="420"/>
        <w:rPr>
          <w:rFonts w:hint="eastAsia" w:ascii="宋体" w:hAnsi="宋体" w:eastAsia="宋体" w:cs="宋体"/>
          <w:i/>
          <w:color w:val="auto"/>
          <w:sz w:val="24"/>
          <w:szCs w:val="24"/>
          <w:highlight w:val="none"/>
          <w:u w:val="single"/>
        </w:rPr>
      </w:pPr>
    </w:p>
    <w:p w14:paraId="6B083A46">
      <w:pPr>
        <w:rPr>
          <w:rFonts w:hint="eastAsia" w:ascii="宋体" w:hAnsi="宋体" w:eastAsia="宋体" w:cs="宋体"/>
          <w:color w:val="auto"/>
          <w:szCs w:val="21"/>
          <w:highlight w:val="none"/>
        </w:rPr>
      </w:pPr>
    </w:p>
    <w:p w14:paraId="52927F0B">
      <w:pPr>
        <w:spacing w:line="560" w:lineRule="exact"/>
        <w:rPr>
          <w:rFonts w:hint="eastAsia" w:ascii="宋体" w:hAnsi="宋体" w:eastAsia="宋体" w:cs="宋体"/>
          <w:b/>
          <w:color w:val="auto"/>
          <w:sz w:val="32"/>
          <w:szCs w:val="32"/>
          <w:highlight w:val="none"/>
        </w:rPr>
      </w:pPr>
    </w:p>
    <w:p w14:paraId="63F96EAB">
      <w:pPr>
        <w:spacing w:line="560" w:lineRule="exact"/>
        <w:jc w:val="left"/>
        <w:outlineLvl w:val="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br w:type="page" w:clear="all"/>
      </w:r>
      <w:bookmarkStart w:id="135" w:name="_Toc32204"/>
      <w:r>
        <w:rPr>
          <w:rFonts w:hint="eastAsia" w:ascii="宋体" w:hAnsi="宋体" w:eastAsia="宋体" w:cs="宋体"/>
          <w:iCs/>
          <w:color w:val="auto"/>
          <w:sz w:val="32"/>
          <w:szCs w:val="32"/>
          <w:highlight w:val="none"/>
        </w:rPr>
        <w:t>五、中小（微）企业声明函（服务）</w:t>
      </w:r>
      <w:bookmarkEnd w:id="135"/>
    </w:p>
    <w:p w14:paraId="003E2A58">
      <w:pPr>
        <w:spacing w:line="560" w:lineRule="exact"/>
        <w:ind w:firstLine="330"/>
        <w:rPr>
          <w:rFonts w:hint="eastAsia" w:ascii="Times New Roman" w:hAnsi="Times New Roman" w:eastAsia="宋体" w:cs="Times New Roman"/>
          <w:color w:val="auto"/>
          <w:sz w:val="22"/>
          <w:szCs w:val="24"/>
          <w:highlight w:val="none"/>
        </w:rPr>
      </w:pPr>
      <w:r>
        <w:rPr>
          <w:rFonts w:hint="eastAsia" w:ascii="Times New Roman" w:hAnsi="Times New Roman" w:eastAsia="宋体" w:cs="Times New Roman"/>
          <w:color w:val="auto"/>
          <w:sz w:val="22"/>
          <w:szCs w:val="24"/>
          <w:highlight w:val="none"/>
        </w:rPr>
        <w:t>本公司（联合体）郑重声明，根据《政府采购促进中小企业发展管理办法》(财库[2020]46号)的规定，本公司（联合体）参加江苏省政府采购代理机构组织的</w:t>
      </w:r>
      <w:r>
        <w:rPr>
          <w:rFonts w:hint="eastAsia" w:ascii="Times New Roman" w:hAnsi="Times New Roman" w:eastAsia="宋体" w:cs="Times New Roman"/>
          <w:color w:val="auto"/>
          <w:sz w:val="22"/>
          <w:szCs w:val="24"/>
          <w:highlight w:val="none"/>
          <w:u w:val="single"/>
        </w:rPr>
        <w:t>（单位名称）</w:t>
      </w:r>
      <w:r>
        <w:rPr>
          <w:rFonts w:hint="eastAsia" w:ascii="Times New Roman" w:hAnsi="Times New Roman" w:eastAsia="宋体" w:cs="Times New Roman"/>
          <w:color w:val="auto"/>
          <w:sz w:val="22"/>
          <w:szCs w:val="24"/>
          <w:highlight w:val="none"/>
        </w:rPr>
        <w:t>采购编号为</w:t>
      </w:r>
      <w:r>
        <w:rPr>
          <w:rFonts w:hint="eastAsia" w:ascii="Times New Roman" w:hAnsi="Times New Roman" w:eastAsia="宋体" w:cs="Times New Roman"/>
          <w:color w:val="auto"/>
          <w:sz w:val="22"/>
          <w:szCs w:val="24"/>
          <w:highlight w:val="none"/>
          <w:u w:val="single"/>
          <w:lang w:val="en-US" w:eastAsia="zh-CN"/>
        </w:rPr>
        <w:t xml:space="preserve">       </w:t>
      </w:r>
      <w:r>
        <w:rPr>
          <w:rFonts w:hint="eastAsia" w:ascii="Times New Roman" w:hAnsi="Times New Roman" w:eastAsia="宋体" w:cs="Times New Roman"/>
          <w:color w:val="auto"/>
          <w:sz w:val="22"/>
          <w:szCs w:val="24"/>
          <w:highlight w:val="none"/>
        </w:rPr>
        <w:t>，</w:t>
      </w:r>
      <w:r>
        <w:rPr>
          <w:rFonts w:hint="eastAsia" w:ascii="Times New Roman" w:hAnsi="Times New Roman" w:eastAsia="宋体" w:cs="Times New Roman"/>
          <w:color w:val="auto"/>
          <w:sz w:val="22"/>
          <w:szCs w:val="24"/>
          <w:highlight w:val="none"/>
          <w:u w:val="single"/>
        </w:rPr>
        <w:t>（项目名称）</w:t>
      </w:r>
      <w:r>
        <w:rPr>
          <w:rFonts w:hint="eastAsia" w:ascii="Times New Roman" w:hAnsi="Times New Roman" w:eastAsia="宋体" w:cs="Times New Roman"/>
          <w:color w:val="auto"/>
          <w:sz w:val="22"/>
          <w:szCs w:val="24"/>
          <w:highlight w:val="none"/>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7D1D321">
      <w:pPr>
        <w:spacing w:line="360" w:lineRule="auto"/>
        <w:ind w:firstLine="360"/>
        <w:rPr>
          <w:rFonts w:hint="eastAsia" w:ascii="Times New Roman" w:hAnsi="Times New Roman" w:eastAsia="宋体" w:cs="Times New Roman"/>
          <w:i/>
          <w:color w:val="auto"/>
          <w:sz w:val="22"/>
          <w:szCs w:val="24"/>
          <w:highlight w:val="none"/>
          <w:u w:val="single"/>
        </w:rPr>
      </w:pPr>
      <w:r>
        <w:rPr>
          <w:rFonts w:hint="eastAsia" w:ascii="Times New Roman" w:hAnsi="Times New Roman" w:eastAsia="宋体" w:cs="Times New Roman"/>
          <w:color w:val="auto"/>
          <w:sz w:val="22"/>
          <w:szCs w:val="24"/>
          <w:highlight w:val="none"/>
        </w:rPr>
        <w:t>1.</w:t>
      </w:r>
      <w:r>
        <w:rPr>
          <w:rFonts w:hint="eastAsia" w:ascii="Times New Roman" w:hAnsi="Times New Roman" w:eastAsia="宋体" w:cs="Times New Roman"/>
          <w:color w:val="auto"/>
          <w:sz w:val="22"/>
          <w:szCs w:val="24"/>
          <w:highlight w:val="none"/>
          <w:u w:val="single"/>
        </w:rPr>
        <w:t>（标的名称）</w:t>
      </w:r>
      <w:r>
        <w:rPr>
          <w:rFonts w:hint="eastAsia" w:ascii="Times New Roman" w:hAnsi="Times New Roman" w:eastAsia="宋体" w:cs="Times New Roman"/>
          <w:i/>
          <w:color w:val="auto"/>
          <w:sz w:val="22"/>
          <w:szCs w:val="24"/>
          <w:highlight w:val="none"/>
        </w:rPr>
        <w:t>，</w:t>
      </w:r>
      <w:r>
        <w:rPr>
          <w:rFonts w:hint="eastAsia" w:ascii="Times New Roman" w:hAnsi="Times New Roman" w:eastAsia="宋体" w:cs="Times New Roman"/>
          <w:color w:val="auto"/>
          <w:sz w:val="22"/>
          <w:szCs w:val="24"/>
          <w:highlight w:val="none"/>
        </w:rPr>
        <w:t>属于</w:t>
      </w:r>
      <w:r>
        <w:rPr>
          <w:rFonts w:hint="eastAsia" w:ascii="Times New Roman" w:hAnsi="Times New Roman" w:eastAsia="宋体" w:cs="Times New Roman"/>
          <w:color w:val="auto"/>
          <w:sz w:val="22"/>
          <w:szCs w:val="24"/>
          <w:highlight w:val="none"/>
          <w:u w:val="single"/>
        </w:rPr>
        <w:t xml:space="preserve">       </w:t>
      </w:r>
      <w:r>
        <w:rPr>
          <w:rFonts w:hint="eastAsia" w:ascii="Times New Roman" w:hAnsi="Times New Roman" w:eastAsia="宋体" w:cs="Times New Roman"/>
          <w:color w:val="auto"/>
          <w:sz w:val="22"/>
          <w:szCs w:val="24"/>
          <w:highlight w:val="none"/>
        </w:rPr>
        <w:t>行业；承接企业为</w:t>
      </w:r>
      <w:r>
        <w:rPr>
          <w:rFonts w:hint="eastAsia" w:ascii="Times New Roman" w:hAnsi="Times New Roman" w:eastAsia="宋体" w:cs="Times New Roman"/>
          <w:color w:val="auto"/>
          <w:sz w:val="22"/>
          <w:szCs w:val="24"/>
          <w:highlight w:val="none"/>
          <w:u w:val="single"/>
        </w:rPr>
        <w:t>（企业名称）</w:t>
      </w:r>
      <w:r>
        <w:rPr>
          <w:rFonts w:hint="eastAsia" w:ascii="Times New Roman" w:hAnsi="Times New Roman" w:eastAsia="宋体" w:cs="Times New Roman"/>
          <w:color w:val="auto"/>
          <w:sz w:val="22"/>
          <w:szCs w:val="24"/>
          <w:highlight w:val="none"/>
        </w:rPr>
        <w:t>，从业人员</w:t>
      </w:r>
      <w:r>
        <w:rPr>
          <w:rFonts w:hint="eastAsia" w:ascii="Times New Roman" w:hAnsi="Times New Roman" w:eastAsia="宋体" w:cs="Times New Roman"/>
          <w:color w:val="auto"/>
          <w:sz w:val="22"/>
          <w:szCs w:val="24"/>
          <w:highlight w:val="none"/>
          <w:u w:val="single"/>
        </w:rPr>
        <w:t xml:space="preserve">      </w:t>
      </w:r>
      <w:r>
        <w:rPr>
          <w:rFonts w:hint="eastAsia" w:ascii="Times New Roman" w:hAnsi="Times New Roman" w:eastAsia="宋体" w:cs="Times New Roman"/>
          <w:color w:val="auto"/>
          <w:sz w:val="22"/>
          <w:szCs w:val="24"/>
          <w:highlight w:val="none"/>
        </w:rPr>
        <w:t>人，营业收入为</w:t>
      </w:r>
      <w:r>
        <w:rPr>
          <w:rFonts w:hint="eastAsia" w:ascii="Times New Roman" w:hAnsi="Times New Roman" w:eastAsia="宋体" w:cs="Times New Roman"/>
          <w:color w:val="auto"/>
          <w:sz w:val="22"/>
          <w:szCs w:val="24"/>
          <w:highlight w:val="none"/>
          <w:u w:val="single"/>
        </w:rPr>
        <w:t xml:space="preserve">     </w:t>
      </w:r>
      <w:r>
        <w:rPr>
          <w:rFonts w:hint="eastAsia" w:ascii="Times New Roman" w:hAnsi="Times New Roman" w:eastAsia="宋体" w:cs="Times New Roman"/>
          <w:color w:val="auto"/>
          <w:sz w:val="22"/>
          <w:szCs w:val="24"/>
          <w:highlight w:val="none"/>
        </w:rPr>
        <w:t>万元，资产总额为</w:t>
      </w:r>
      <w:r>
        <w:rPr>
          <w:rFonts w:hint="eastAsia" w:ascii="Times New Roman" w:hAnsi="Times New Roman" w:eastAsia="宋体" w:cs="Times New Roman"/>
          <w:color w:val="auto"/>
          <w:sz w:val="22"/>
          <w:szCs w:val="24"/>
          <w:highlight w:val="none"/>
          <w:u w:val="single"/>
        </w:rPr>
        <w:t xml:space="preserve">      </w:t>
      </w:r>
      <w:r>
        <w:rPr>
          <w:rFonts w:hint="eastAsia" w:ascii="Times New Roman" w:hAnsi="Times New Roman" w:eastAsia="宋体" w:cs="Times New Roman"/>
          <w:color w:val="auto"/>
          <w:sz w:val="22"/>
          <w:szCs w:val="24"/>
          <w:highlight w:val="none"/>
        </w:rPr>
        <w:t>万元</w:t>
      </w:r>
      <w:r>
        <w:rPr>
          <w:rFonts w:hint="eastAsia" w:ascii="Times New Roman" w:hAnsi="Times New Roman" w:eastAsia="宋体" w:cs="Times New Roman"/>
          <w:color w:val="auto"/>
          <w:sz w:val="22"/>
          <w:szCs w:val="24"/>
          <w:highlight w:val="none"/>
          <w:vertAlign w:val="superscript"/>
        </w:rPr>
        <w:t>1</w:t>
      </w:r>
      <w:r>
        <w:rPr>
          <w:rFonts w:hint="eastAsia" w:ascii="Times New Roman" w:hAnsi="Times New Roman" w:eastAsia="宋体" w:cs="Times New Roman"/>
          <w:color w:val="auto"/>
          <w:sz w:val="22"/>
          <w:szCs w:val="24"/>
          <w:highlight w:val="none"/>
        </w:rPr>
        <w:t>，属于</w:t>
      </w:r>
      <w:r>
        <w:rPr>
          <w:rFonts w:hint="eastAsia" w:ascii="Times New Roman" w:hAnsi="Times New Roman" w:eastAsia="宋体" w:cs="Times New Roman"/>
          <w:color w:val="auto"/>
          <w:sz w:val="22"/>
          <w:szCs w:val="24"/>
          <w:highlight w:val="none"/>
          <w:u w:val="single"/>
        </w:rPr>
        <w:t>（中型企业、小型企业、微型企业）；</w:t>
      </w:r>
    </w:p>
    <w:p w14:paraId="6D38B84B">
      <w:pPr>
        <w:spacing w:line="360" w:lineRule="auto"/>
        <w:ind w:firstLine="360"/>
        <w:rPr>
          <w:rFonts w:hint="eastAsia" w:ascii="Times New Roman" w:hAnsi="Times New Roman" w:eastAsia="宋体" w:cs="Times New Roman"/>
          <w:i/>
          <w:color w:val="auto"/>
          <w:sz w:val="22"/>
          <w:szCs w:val="24"/>
          <w:highlight w:val="none"/>
          <w:u w:val="single"/>
        </w:rPr>
      </w:pPr>
      <w:r>
        <w:rPr>
          <w:rFonts w:hint="eastAsia" w:ascii="Times New Roman" w:hAnsi="Times New Roman" w:eastAsia="宋体" w:cs="Times New Roman"/>
          <w:color w:val="auto"/>
          <w:sz w:val="22"/>
          <w:szCs w:val="24"/>
          <w:highlight w:val="none"/>
        </w:rPr>
        <w:t>2.</w:t>
      </w:r>
      <w:r>
        <w:rPr>
          <w:rFonts w:hint="eastAsia" w:ascii="Times New Roman" w:hAnsi="Times New Roman" w:eastAsia="宋体" w:cs="Times New Roman"/>
          <w:color w:val="auto"/>
          <w:sz w:val="22"/>
          <w:szCs w:val="24"/>
          <w:highlight w:val="none"/>
          <w:u w:val="single"/>
        </w:rPr>
        <w:t>（标的名称）</w:t>
      </w:r>
      <w:r>
        <w:rPr>
          <w:rFonts w:hint="eastAsia" w:ascii="Times New Roman" w:hAnsi="Times New Roman" w:eastAsia="宋体" w:cs="Times New Roman"/>
          <w:i/>
          <w:color w:val="auto"/>
          <w:sz w:val="22"/>
          <w:szCs w:val="24"/>
          <w:highlight w:val="none"/>
        </w:rPr>
        <w:t>，</w:t>
      </w:r>
      <w:r>
        <w:rPr>
          <w:rFonts w:hint="eastAsia" w:ascii="Times New Roman" w:hAnsi="Times New Roman" w:eastAsia="宋体" w:cs="Times New Roman"/>
          <w:color w:val="auto"/>
          <w:sz w:val="22"/>
          <w:szCs w:val="24"/>
          <w:highlight w:val="none"/>
        </w:rPr>
        <w:t>属于</w:t>
      </w:r>
      <w:r>
        <w:rPr>
          <w:rFonts w:hint="eastAsia" w:ascii="Times New Roman" w:hAnsi="Times New Roman" w:eastAsia="宋体" w:cs="Times New Roman"/>
          <w:color w:val="auto"/>
          <w:sz w:val="22"/>
          <w:szCs w:val="24"/>
          <w:highlight w:val="none"/>
          <w:u w:val="single"/>
        </w:rPr>
        <w:t xml:space="preserve">       </w:t>
      </w:r>
      <w:r>
        <w:rPr>
          <w:rFonts w:hint="eastAsia" w:ascii="Times New Roman" w:hAnsi="Times New Roman" w:eastAsia="宋体" w:cs="Times New Roman"/>
          <w:color w:val="auto"/>
          <w:sz w:val="22"/>
          <w:szCs w:val="24"/>
          <w:highlight w:val="none"/>
        </w:rPr>
        <w:t>行业；承接企业为</w:t>
      </w:r>
      <w:r>
        <w:rPr>
          <w:rFonts w:hint="eastAsia" w:ascii="Times New Roman" w:hAnsi="Times New Roman" w:eastAsia="宋体" w:cs="Times New Roman"/>
          <w:color w:val="auto"/>
          <w:sz w:val="22"/>
          <w:szCs w:val="24"/>
          <w:highlight w:val="none"/>
          <w:u w:val="single"/>
        </w:rPr>
        <w:t>（企业名称）</w:t>
      </w:r>
      <w:r>
        <w:rPr>
          <w:rFonts w:hint="eastAsia" w:ascii="Times New Roman" w:hAnsi="Times New Roman" w:eastAsia="宋体" w:cs="Times New Roman"/>
          <w:color w:val="auto"/>
          <w:sz w:val="22"/>
          <w:szCs w:val="24"/>
          <w:highlight w:val="none"/>
        </w:rPr>
        <w:t>，从业人员</w:t>
      </w:r>
      <w:r>
        <w:rPr>
          <w:rFonts w:hint="eastAsia" w:ascii="Times New Roman" w:hAnsi="Times New Roman" w:eastAsia="宋体" w:cs="Times New Roman"/>
          <w:color w:val="auto"/>
          <w:sz w:val="22"/>
          <w:szCs w:val="24"/>
          <w:highlight w:val="none"/>
          <w:u w:val="single"/>
        </w:rPr>
        <w:t xml:space="preserve">      </w:t>
      </w:r>
      <w:r>
        <w:rPr>
          <w:rFonts w:hint="eastAsia" w:ascii="Times New Roman" w:hAnsi="Times New Roman" w:eastAsia="宋体" w:cs="Times New Roman"/>
          <w:color w:val="auto"/>
          <w:sz w:val="22"/>
          <w:szCs w:val="24"/>
          <w:highlight w:val="none"/>
        </w:rPr>
        <w:t>人，营业收入为</w:t>
      </w:r>
      <w:r>
        <w:rPr>
          <w:rFonts w:hint="eastAsia" w:ascii="Times New Roman" w:hAnsi="Times New Roman" w:eastAsia="宋体" w:cs="Times New Roman"/>
          <w:color w:val="auto"/>
          <w:sz w:val="22"/>
          <w:szCs w:val="24"/>
          <w:highlight w:val="none"/>
          <w:u w:val="single"/>
        </w:rPr>
        <w:t xml:space="preserve">     </w:t>
      </w:r>
      <w:r>
        <w:rPr>
          <w:rFonts w:hint="eastAsia" w:ascii="Times New Roman" w:hAnsi="Times New Roman" w:eastAsia="宋体" w:cs="Times New Roman"/>
          <w:color w:val="auto"/>
          <w:sz w:val="22"/>
          <w:szCs w:val="24"/>
          <w:highlight w:val="none"/>
        </w:rPr>
        <w:t>万元，资产总额为</w:t>
      </w:r>
      <w:r>
        <w:rPr>
          <w:rFonts w:hint="eastAsia" w:ascii="Times New Roman" w:hAnsi="Times New Roman" w:eastAsia="宋体" w:cs="Times New Roman"/>
          <w:color w:val="auto"/>
          <w:sz w:val="22"/>
          <w:szCs w:val="24"/>
          <w:highlight w:val="none"/>
          <w:u w:val="single"/>
        </w:rPr>
        <w:t xml:space="preserve">      </w:t>
      </w:r>
      <w:r>
        <w:rPr>
          <w:rFonts w:hint="eastAsia" w:ascii="Times New Roman" w:hAnsi="Times New Roman" w:eastAsia="宋体" w:cs="Times New Roman"/>
          <w:color w:val="auto"/>
          <w:sz w:val="22"/>
          <w:szCs w:val="24"/>
          <w:highlight w:val="none"/>
        </w:rPr>
        <w:t>万元</w:t>
      </w:r>
      <w:r>
        <w:rPr>
          <w:rFonts w:hint="eastAsia" w:ascii="Times New Roman" w:hAnsi="Times New Roman" w:eastAsia="宋体" w:cs="Times New Roman"/>
          <w:color w:val="auto"/>
          <w:sz w:val="22"/>
          <w:szCs w:val="24"/>
          <w:highlight w:val="none"/>
          <w:vertAlign w:val="superscript"/>
        </w:rPr>
        <w:t>1</w:t>
      </w:r>
      <w:r>
        <w:rPr>
          <w:rFonts w:hint="eastAsia" w:ascii="Times New Roman" w:hAnsi="Times New Roman" w:eastAsia="宋体" w:cs="Times New Roman"/>
          <w:color w:val="auto"/>
          <w:sz w:val="22"/>
          <w:szCs w:val="24"/>
          <w:highlight w:val="none"/>
        </w:rPr>
        <w:t>，属于</w:t>
      </w:r>
      <w:r>
        <w:rPr>
          <w:rFonts w:hint="eastAsia" w:ascii="Times New Roman" w:hAnsi="Times New Roman" w:eastAsia="宋体" w:cs="Times New Roman"/>
          <w:color w:val="auto"/>
          <w:sz w:val="22"/>
          <w:szCs w:val="24"/>
          <w:highlight w:val="none"/>
          <w:u w:val="single"/>
        </w:rPr>
        <w:t>（中型企业、小型企业、微型企业）；</w:t>
      </w:r>
    </w:p>
    <w:p w14:paraId="46CAF85E">
      <w:pPr>
        <w:spacing w:line="360" w:lineRule="auto"/>
        <w:ind w:firstLine="360"/>
        <w:rPr>
          <w:rFonts w:hint="eastAsia" w:ascii="Times New Roman" w:hAnsi="Times New Roman" w:eastAsia="宋体" w:cs="Times New Roman"/>
          <w:color w:val="auto"/>
          <w:sz w:val="22"/>
          <w:szCs w:val="24"/>
          <w:highlight w:val="none"/>
        </w:rPr>
      </w:pPr>
      <w:r>
        <w:rPr>
          <w:rFonts w:hint="eastAsia" w:ascii="Times New Roman" w:hAnsi="Times New Roman" w:eastAsia="宋体" w:cs="Times New Roman"/>
          <w:color w:val="auto"/>
          <w:sz w:val="22"/>
          <w:szCs w:val="24"/>
          <w:highlight w:val="none"/>
        </w:rPr>
        <w:t>……</w:t>
      </w:r>
    </w:p>
    <w:p w14:paraId="4063F367">
      <w:pPr>
        <w:spacing w:line="360" w:lineRule="auto"/>
        <w:ind w:firstLine="360"/>
        <w:rPr>
          <w:rFonts w:hint="eastAsia" w:ascii="Times New Roman" w:hAnsi="Times New Roman" w:eastAsia="宋体" w:cs="Times New Roman"/>
          <w:color w:val="auto"/>
          <w:sz w:val="22"/>
          <w:szCs w:val="24"/>
          <w:highlight w:val="none"/>
        </w:rPr>
      </w:pPr>
      <w:r>
        <w:rPr>
          <w:rFonts w:hint="eastAsia" w:ascii="Times New Roman" w:hAnsi="Times New Roman" w:eastAsia="宋体" w:cs="Times New Roman"/>
          <w:color w:val="auto"/>
          <w:sz w:val="22"/>
          <w:szCs w:val="24"/>
          <w:highlight w:val="none"/>
        </w:rPr>
        <w:t>以上企业，不属于大企业的分支机构，不存在控股股东为大企业的情形，也不存在与大企业的负责人为同一人的情形。</w:t>
      </w:r>
    </w:p>
    <w:p w14:paraId="1C0A8E50">
      <w:pPr>
        <w:spacing w:line="360" w:lineRule="auto"/>
        <w:ind w:firstLine="360"/>
        <w:rPr>
          <w:rFonts w:hint="eastAsia" w:ascii="Times New Roman" w:hAnsi="Times New Roman" w:eastAsia="宋体" w:cs="Times New Roman"/>
          <w:color w:val="auto"/>
          <w:sz w:val="22"/>
          <w:szCs w:val="24"/>
          <w:highlight w:val="none"/>
        </w:rPr>
      </w:pPr>
      <w:r>
        <w:rPr>
          <w:rFonts w:hint="eastAsia" w:ascii="Times New Roman" w:hAnsi="Times New Roman" w:eastAsia="宋体" w:cs="Times New Roman"/>
          <w:color w:val="auto"/>
          <w:sz w:val="22"/>
          <w:szCs w:val="24"/>
          <w:highlight w:val="none"/>
        </w:rPr>
        <w:t>本企业对上述声明内容的真实性负责。如有虚假，将依法承担相应责任。</w:t>
      </w:r>
    </w:p>
    <w:p w14:paraId="7C633560">
      <w:pPr>
        <w:spacing w:line="360" w:lineRule="auto"/>
        <w:ind w:firstLine="360"/>
        <w:rPr>
          <w:rFonts w:hint="eastAsia" w:ascii="Times New Roman" w:hAnsi="Times New Roman" w:eastAsia="宋体" w:cs="Times New Roman"/>
          <w:color w:val="auto"/>
          <w:sz w:val="22"/>
          <w:szCs w:val="24"/>
          <w:highlight w:val="none"/>
        </w:rPr>
      </w:pPr>
    </w:p>
    <w:p w14:paraId="0E6E139A">
      <w:pPr>
        <w:spacing w:line="360" w:lineRule="auto"/>
        <w:ind w:firstLine="360"/>
        <w:rPr>
          <w:rFonts w:hint="eastAsia" w:ascii="Times New Roman" w:hAnsi="Times New Roman" w:eastAsia="宋体" w:cs="Times New Roman"/>
          <w:color w:val="auto"/>
          <w:sz w:val="22"/>
          <w:szCs w:val="24"/>
          <w:highlight w:val="none"/>
        </w:rPr>
      </w:pPr>
      <w:r>
        <w:rPr>
          <w:rFonts w:hint="eastAsia" w:ascii="Times New Roman" w:hAnsi="Times New Roman" w:eastAsia="宋体" w:cs="Times New Roman"/>
          <w:color w:val="auto"/>
          <w:sz w:val="22"/>
          <w:szCs w:val="24"/>
          <w:highlight w:val="none"/>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7D38CBE9">
      <w:pPr>
        <w:spacing w:line="360" w:lineRule="auto"/>
        <w:ind w:right="720"/>
        <w:rPr>
          <w:rFonts w:hint="eastAsia" w:ascii="Times New Roman" w:hAnsi="Times New Roman" w:eastAsia="宋体" w:cs="Times New Roman"/>
          <w:color w:val="auto"/>
          <w:sz w:val="22"/>
          <w:szCs w:val="24"/>
          <w:highlight w:val="none"/>
        </w:rPr>
      </w:pPr>
    </w:p>
    <w:p w14:paraId="0AA99D9F">
      <w:pPr>
        <w:spacing w:line="360" w:lineRule="auto"/>
        <w:ind w:right="180" w:firstLine="360"/>
        <w:jc w:val="right"/>
        <w:rPr>
          <w:rFonts w:hint="eastAsia" w:ascii="Times New Roman" w:hAnsi="Times New Roman" w:eastAsia="宋体" w:cs="Times New Roman"/>
          <w:color w:val="auto"/>
          <w:sz w:val="22"/>
          <w:szCs w:val="24"/>
          <w:highlight w:val="none"/>
        </w:rPr>
      </w:pPr>
      <w:r>
        <w:rPr>
          <w:rFonts w:hint="eastAsia" w:ascii="Times New Roman" w:hAnsi="Times New Roman" w:eastAsia="宋体" w:cs="Times New Roman"/>
          <w:color w:val="auto"/>
          <w:sz w:val="22"/>
          <w:szCs w:val="24"/>
          <w:highlight w:val="none"/>
        </w:rPr>
        <w:t>企业名称：（加盖CA电子公章）</w:t>
      </w:r>
    </w:p>
    <w:p w14:paraId="0CF2CA1C">
      <w:pPr>
        <w:spacing w:line="360" w:lineRule="auto"/>
        <w:ind w:firstLine="5760"/>
        <w:rPr>
          <w:rFonts w:hint="eastAsia" w:ascii="Times New Roman" w:hAnsi="Times New Roman" w:eastAsia="宋体" w:cs="Times New Roman"/>
          <w:color w:val="auto"/>
          <w:sz w:val="22"/>
          <w:szCs w:val="24"/>
          <w:highlight w:val="none"/>
        </w:rPr>
      </w:pPr>
      <w:r>
        <w:rPr>
          <w:rFonts w:hint="eastAsia" w:ascii="Times New Roman" w:hAnsi="Times New Roman" w:eastAsia="宋体" w:cs="Times New Roman"/>
          <w:color w:val="auto"/>
          <w:sz w:val="22"/>
          <w:szCs w:val="24"/>
          <w:highlight w:val="none"/>
        </w:rPr>
        <w:t>日  期：</w:t>
      </w:r>
      <w:r>
        <w:rPr>
          <w:rFonts w:hint="eastAsia" w:ascii="Times New Roman" w:hAnsi="Times New Roman" w:eastAsia="宋体" w:cs="Times New Roman"/>
          <w:color w:val="auto"/>
          <w:sz w:val="22"/>
          <w:szCs w:val="24"/>
          <w:highlight w:val="none"/>
          <w:u w:val="single"/>
        </w:rPr>
        <w:t xml:space="preserve">       </w:t>
      </w:r>
      <w:r>
        <w:rPr>
          <w:rFonts w:hint="eastAsia" w:ascii="Times New Roman" w:hAnsi="Times New Roman" w:eastAsia="宋体" w:cs="Times New Roman"/>
          <w:color w:val="auto"/>
          <w:sz w:val="22"/>
          <w:szCs w:val="24"/>
          <w:highlight w:val="none"/>
        </w:rPr>
        <w:t>年___月___日</w:t>
      </w:r>
    </w:p>
    <w:p w14:paraId="2A0CE2D2">
      <w:pPr>
        <w:spacing w:line="560" w:lineRule="exact"/>
        <w:ind w:firstLine="240"/>
        <w:rPr>
          <w:rFonts w:hint="eastAsia" w:ascii="宋体" w:hAnsi="宋体" w:eastAsia="宋体" w:cs="宋体"/>
          <w:color w:val="auto"/>
          <w:sz w:val="24"/>
          <w:szCs w:val="24"/>
          <w:highlight w:val="none"/>
        </w:rPr>
      </w:pPr>
    </w:p>
    <w:p w14:paraId="56FB51D6">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残疾人福利性单位声明函</w:t>
      </w:r>
    </w:p>
    <w:p w14:paraId="28AC64D4">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项目（分包号：</w:t>
      </w: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）采购活动提供本单位制造的货物，或者提供其他残疾人福利性单位制造的货物（不包括使用非残疾人福利性单位注册商标的货物）。</w:t>
      </w:r>
    </w:p>
    <w:p w14:paraId="1BA433ED">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48BEF499">
      <w:pPr>
        <w:spacing w:line="588" w:lineRule="exact"/>
        <w:ind w:firstLine="480"/>
        <w:rPr>
          <w:rFonts w:hint="eastAsia" w:ascii="宋体" w:hAnsi="宋体" w:eastAsia="宋体" w:cs="宋体"/>
          <w:color w:val="auto"/>
          <w:sz w:val="24"/>
          <w:szCs w:val="21"/>
          <w:highlight w:val="none"/>
        </w:rPr>
      </w:pPr>
    </w:p>
    <w:p w14:paraId="7192D61F">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（备注：1、供应商如不提供此声明函，价格将不做相应扣除。2、成交供应商为残疾人福利单位的，此声明函将随成交结果同时公告，接受社会监督）</w:t>
      </w:r>
    </w:p>
    <w:p w14:paraId="19B38FF9">
      <w:pPr>
        <w:spacing w:line="588" w:lineRule="exact"/>
        <w:ind w:firstLine="624"/>
        <w:rPr>
          <w:rFonts w:hint="eastAsia" w:ascii="宋体" w:hAnsi="宋体" w:eastAsia="宋体" w:cs="宋体"/>
          <w:color w:val="auto"/>
          <w:spacing w:val="6"/>
          <w:sz w:val="30"/>
          <w:szCs w:val="30"/>
          <w:highlight w:val="none"/>
        </w:rPr>
      </w:pPr>
    </w:p>
    <w:p w14:paraId="55BEBA49">
      <w:pPr>
        <w:tabs>
          <w:tab w:val="left" w:pos="4860"/>
        </w:tabs>
        <w:spacing w:line="588" w:lineRule="exact"/>
        <w:ind w:right="1560" w:firstLine="624"/>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p>
    <w:p w14:paraId="319BB360">
      <w:pPr>
        <w:tabs>
          <w:tab w:val="left" w:pos="4860"/>
        </w:tabs>
        <w:spacing w:line="588" w:lineRule="exact"/>
        <w:ind w:right="1560" w:firstLine="48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p>
    <w:p w14:paraId="3DD2F5B1">
      <w:pPr>
        <w:spacing w:line="560" w:lineRule="exact"/>
        <w:jc w:val="center"/>
        <w:rPr>
          <w:rFonts w:hint="eastAsia" w:ascii="宋体" w:hAnsi="宋体" w:eastAsia="宋体" w:cs="宋体"/>
          <w:b/>
          <w:color w:val="auto"/>
          <w:sz w:val="32"/>
          <w:szCs w:val="32"/>
          <w:highlight w:val="none"/>
        </w:rPr>
      </w:pPr>
    </w:p>
    <w:p w14:paraId="5FC98F63">
      <w:pPr>
        <w:spacing w:line="560" w:lineRule="exact"/>
        <w:jc w:val="center"/>
        <w:rPr>
          <w:rFonts w:hint="eastAsia" w:ascii="宋体" w:hAnsi="宋体" w:eastAsia="宋体" w:cs="宋体"/>
          <w:b/>
          <w:color w:val="auto"/>
          <w:sz w:val="32"/>
          <w:szCs w:val="32"/>
          <w:highlight w:val="none"/>
        </w:rPr>
      </w:pPr>
    </w:p>
    <w:p w14:paraId="2F678A44">
      <w:pPr>
        <w:spacing w:line="560" w:lineRule="exact"/>
        <w:jc w:val="center"/>
        <w:rPr>
          <w:rFonts w:hint="eastAsia" w:ascii="宋体" w:hAnsi="宋体" w:eastAsia="宋体" w:cs="宋体"/>
          <w:b/>
          <w:color w:val="auto"/>
          <w:sz w:val="32"/>
          <w:szCs w:val="32"/>
          <w:highlight w:val="none"/>
        </w:rPr>
      </w:pPr>
    </w:p>
    <w:p w14:paraId="4D25C1E8">
      <w:pPr>
        <w:spacing w:line="560" w:lineRule="exact"/>
        <w:jc w:val="center"/>
        <w:rPr>
          <w:rFonts w:hint="eastAsia" w:ascii="宋体" w:hAnsi="宋体" w:eastAsia="宋体" w:cs="宋体"/>
          <w:b/>
          <w:color w:val="auto"/>
          <w:sz w:val="32"/>
          <w:szCs w:val="32"/>
          <w:highlight w:val="none"/>
        </w:rPr>
      </w:pPr>
    </w:p>
    <w:p w14:paraId="74E81CB9">
      <w:pPr>
        <w:spacing w:line="560" w:lineRule="exact"/>
        <w:jc w:val="center"/>
        <w:rPr>
          <w:rFonts w:hint="eastAsia" w:ascii="宋体" w:hAnsi="宋体" w:eastAsia="宋体" w:cs="宋体"/>
          <w:b/>
          <w:color w:val="auto"/>
          <w:sz w:val="32"/>
          <w:szCs w:val="32"/>
          <w:highlight w:val="none"/>
        </w:rPr>
      </w:pPr>
    </w:p>
    <w:p w14:paraId="4C0D74CA">
      <w:pPr>
        <w:spacing w:line="560" w:lineRule="exact"/>
        <w:jc w:val="center"/>
        <w:rPr>
          <w:rFonts w:hint="eastAsia" w:ascii="宋体" w:hAnsi="宋体" w:eastAsia="宋体" w:cs="宋体"/>
          <w:b/>
          <w:color w:val="auto"/>
          <w:sz w:val="32"/>
          <w:szCs w:val="32"/>
          <w:highlight w:val="none"/>
        </w:rPr>
      </w:pPr>
    </w:p>
    <w:p w14:paraId="3C84F7B0">
      <w:pPr>
        <w:spacing w:line="560" w:lineRule="exact"/>
        <w:jc w:val="center"/>
        <w:rPr>
          <w:rFonts w:hint="eastAsia" w:ascii="宋体" w:hAnsi="宋体" w:eastAsia="宋体" w:cs="宋体"/>
          <w:b/>
          <w:color w:val="auto"/>
          <w:sz w:val="32"/>
          <w:szCs w:val="32"/>
          <w:highlight w:val="none"/>
        </w:rPr>
      </w:pPr>
    </w:p>
    <w:p w14:paraId="683E3559">
      <w:pPr>
        <w:spacing w:line="560" w:lineRule="exact"/>
        <w:jc w:val="center"/>
        <w:rPr>
          <w:rFonts w:hint="eastAsia" w:ascii="宋体" w:hAnsi="宋体" w:eastAsia="宋体" w:cs="宋体"/>
          <w:b/>
          <w:color w:val="auto"/>
          <w:sz w:val="32"/>
          <w:szCs w:val="32"/>
          <w:highlight w:val="none"/>
        </w:rPr>
      </w:pPr>
    </w:p>
    <w:p w14:paraId="1D9A343C">
      <w:pPr>
        <w:spacing w:line="560" w:lineRule="exact"/>
        <w:jc w:val="center"/>
        <w:rPr>
          <w:rFonts w:hint="eastAsia" w:ascii="宋体" w:hAnsi="宋体" w:eastAsia="宋体" w:cs="宋体"/>
          <w:b/>
          <w:color w:val="auto"/>
          <w:sz w:val="32"/>
          <w:szCs w:val="32"/>
          <w:highlight w:val="none"/>
        </w:rPr>
      </w:pPr>
    </w:p>
    <w:p w14:paraId="1819CCB1">
      <w:pPr>
        <w:spacing w:line="560" w:lineRule="exact"/>
        <w:jc w:val="center"/>
        <w:rPr>
          <w:rFonts w:hint="eastAsia" w:ascii="宋体" w:hAnsi="宋体" w:eastAsia="宋体" w:cs="宋体"/>
          <w:b/>
          <w:color w:val="auto"/>
          <w:sz w:val="32"/>
          <w:szCs w:val="32"/>
          <w:highlight w:val="none"/>
        </w:rPr>
      </w:pPr>
    </w:p>
    <w:p w14:paraId="742AEFE0">
      <w:pPr>
        <w:spacing w:line="560" w:lineRule="exact"/>
        <w:jc w:val="center"/>
        <w:rPr>
          <w:rFonts w:hint="eastAsia" w:ascii="宋体" w:hAnsi="宋体" w:eastAsia="宋体" w:cs="宋体"/>
          <w:b/>
          <w:color w:val="auto"/>
          <w:sz w:val="32"/>
          <w:szCs w:val="32"/>
          <w:highlight w:val="none"/>
        </w:rPr>
      </w:pPr>
    </w:p>
    <w:p w14:paraId="51BBF723">
      <w:pPr>
        <w:spacing w:line="560" w:lineRule="exact"/>
        <w:jc w:val="left"/>
        <w:outlineLvl w:val="1"/>
        <w:rPr>
          <w:rFonts w:hint="eastAsia" w:ascii="宋体" w:hAnsi="宋体" w:eastAsia="宋体" w:cs="宋体"/>
          <w:iCs/>
          <w:color w:val="auto"/>
          <w:sz w:val="32"/>
          <w:szCs w:val="32"/>
          <w:highlight w:val="none"/>
        </w:rPr>
      </w:pPr>
      <w:bookmarkStart w:id="136" w:name="_Toc29242"/>
      <w:r>
        <w:rPr>
          <w:rFonts w:hint="eastAsia" w:ascii="宋体" w:hAnsi="宋体" w:eastAsia="宋体" w:cs="宋体"/>
          <w:iCs/>
          <w:color w:val="auto"/>
          <w:sz w:val="32"/>
          <w:szCs w:val="32"/>
          <w:highlight w:val="none"/>
        </w:rPr>
        <w:t>六、分项报价表（服务类）</w:t>
      </w:r>
      <w:bookmarkEnd w:id="136"/>
    </w:p>
    <w:tbl>
      <w:tblPr>
        <w:tblStyle w:val="29"/>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33F44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14:paraId="7E3DDEB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74" w:type="dxa"/>
            <w:noWrap w:val="0"/>
            <w:vAlign w:val="center"/>
          </w:tcPr>
          <w:p w14:paraId="0E3E613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88" w:type="dxa"/>
            <w:noWrap w:val="0"/>
            <w:vAlign w:val="center"/>
          </w:tcPr>
          <w:p w14:paraId="13CDFAE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24" w:type="dxa"/>
            <w:noWrap w:val="0"/>
            <w:vAlign w:val="center"/>
          </w:tcPr>
          <w:p w14:paraId="2AD6C12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03" w:type="dxa"/>
            <w:noWrap w:val="0"/>
            <w:vAlign w:val="center"/>
          </w:tcPr>
          <w:p w14:paraId="6A5A243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18" w:type="dxa"/>
            <w:noWrap w:val="0"/>
            <w:vAlign w:val="center"/>
          </w:tcPr>
          <w:p w14:paraId="17E3883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98" w:type="dxa"/>
            <w:noWrap w:val="0"/>
            <w:vAlign w:val="center"/>
          </w:tcPr>
          <w:p w14:paraId="28B9A19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14:paraId="69896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14:paraId="7ECCBD66">
            <w:pPr>
              <w:spacing w:line="0" w:lineRule="atLeast"/>
              <w:jc w:val="center"/>
              <w:rPr>
                <w:rFonts w:hint="eastAsia" w:ascii="宋体" w:hAnsi="宋体" w:eastAsia="宋体" w:cs="宋体"/>
                <w:color w:val="auto"/>
                <w:sz w:val="24"/>
                <w:szCs w:val="24"/>
                <w:highlight w:val="none"/>
              </w:rPr>
            </w:pPr>
          </w:p>
        </w:tc>
        <w:tc>
          <w:tcPr>
            <w:tcW w:w="1274" w:type="dxa"/>
            <w:noWrap w:val="0"/>
            <w:vAlign w:val="center"/>
          </w:tcPr>
          <w:p w14:paraId="625EC40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分项服务名称</w:t>
            </w:r>
          </w:p>
        </w:tc>
        <w:tc>
          <w:tcPr>
            <w:tcW w:w="1288" w:type="dxa"/>
            <w:noWrap w:val="0"/>
            <w:vAlign w:val="center"/>
          </w:tcPr>
          <w:p w14:paraId="00A49AD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924" w:type="dxa"/>
            <w:noWrap w:val="0"/>
            <w:vAlign w:val="center"/>
          </w:tcPr>
          <w:p w14:paraId="4061B86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分项单位</w:t>
            </w:r>
          </w:p>
        </w:tc>
        <w:tc>
          <w:tcPr>
            <w:tcW w:w="1203" w:type="dxa"/>
            <w:noWrap w:val="0"/>
            <w:vAlign w:val="center"/>
          </w:tcPr>
          <w:p w14:paraId="68E980E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618" w:type="dxa"/>
            <w:noWrap w:val="0"/>
            <w:vAlign w:val="center"/>
          </w:tcPr>
          <w:p w14:paraId="24EBC45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4DAFC3D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798" w:type="dxa"/>
            <w:noWrap w:val="0"/>
            <w:vAlign w:val="center"/>
          </w:tcPr>
          <w:p w14:paraId="5EC66B7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691BE17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14:paraId="1565E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401631E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74" w:type="dxa"/>
            <w:noWrap w:val="0"/>
            <w:vAlign w:val="center"/>
          </w:tcPr>
          <w:p w14:paraId="566B462A">
            <w:pPr>
              <w:spacing w:line="0" w:lineRule="atLeast"/>
              <w:jc w:val="center"/>
              <w:rPr>
                <w:rFonts w:hint="eastAsia" w:ascii="宋体" w:hAnsi="宋体" w:eastAsia="宋体" w:cs="宋体"/>
                <w:color w:val="auto"/>
                <w:sz w:val="24"/>
                <w:szCs w:val="24"/>
                <w:highlight w:val="none"/>
              </w:rPr>
            </w:pPr>
          </w:p>
        </w:tc>
        <w:tc>
          <w:tcPr>
            <w:tcW w:w="1288" w:type="dxa"/>
            <w:noWrap w:val="0"/>
            <w:vAlign w:val="center"/>
          </w:tcPr>
          <w:p w14:paraId="6A9D9573">
            <w:pPr>
              <w:spacing w:line="0" w:lineRule="atLeast"/>
              <w:jc w:val="center"/>
              <w:rPr>
                <w:rFonts w:hint="eastAsia" w:ascii="宋体" w:hAnsi="宋体" w:eastAsia="宋体" w:cs="宋体"/>
                <w:color w:val="auto"/>
                <w:sz w:val="24"/>
                <w:szCs w:val="24"/>
                <w:highlight w:val="none"/>
              </w:rPr>
            </w:pPr>
          </w:p>
        </w:tc>
        <w:tc>
          <w:tcPr>
            <w:tcW w:w="924" w:type="dxa"/>
            <w:noWrap w:val="0"/>
            <w:vAlign w:val="center"/>
          </w:tcPr>
          <w:p w14:paraId="5C974913">
            <w:pPr>
              <w:spacing w:line="0" w:lineRule="atLeast"/>
              <w:jc w:val="center"/>
              <w:rPr>
                <w:rFonts w:hint="eastAsia" w:ascii="宋体" w:hAnsi="宋体" w:eastAsia="宋体" w:cs="宋体"/>
                <w:color w:val="auto"/>
                <w:sz w:val="24"/>
                <w:szCs w:val="24"/>
                <w:highlight w:val="none"/>
              </w:rPr>
            </w:pPr>
          </w:p>
        </w:tc>
        <w:tc>
          <w:tcPr>
            <w:tcW w:w="1203" w:type="dxa"/>
            <w:noWrap w:val="0"/>
            <w:vAlign w:val="center"/>
          </w:tcPr>
          <w:p w14:paraId="0877B55C">
            <w:pPr>
              <w:spacing w:line="0" w:lineRule="atLeast"/>
              <w:jc w:val="center"/>
              <w:rPr>
                <w:rFonts w:hint="eastAsia" w:ascii="宋体" w:hAnsi="宋体" w:eastAsia="宋体" w:cs="宋体"/>
                <w:color w:val="auto"/>
                <w:sz w:val="24"/>
                <w:szCs w:val="24"/>
                <w:highlight w:val="none"/>
              </w:rPr>
            </w:pPr>
          </w:p>
        </w:tc>
        <w:tc>
          <w:tcPr>
            <w:tcW w:w="1618" w:type="dxa"/>
            <w:noWrap w:val="0"/>
            <w:vAlign w:val="center"/>
          </w:tcPr>
          <w:p w14:paraId="3DEF979F">
            <w:pPr>
              <w:spacing w:line="0" w:lineRule="atLeast"/>
              <w:jc w:val="center"/>
              <w:rPr>
                <w:rFonts w:hint="eastAsia" w:ascii="宋体" w:hAnsi="宋体" w:eastAsia="宋体" w:cs="宋体"/>
                <w:color w:val="auto"/>
                <w:sz w:val="24"/>
                <w:szCs w:val="24"/>
                <w:highlight w:val="none"/>
              </w:rPr>
            </w:pPr>
          </w:p>
        </w:tc>
        <w:tc>
          <w:tcPr>
            <w:tcW w:w="1798" w:type="dxa"/>
            <w:noWrap w:val="0"/>
            <w:vAlign w:val="center"/>
          </w:tcPr>
          <w:p w14:paraId="2B9E477C">
            <w:pPr>
              <w:spacing w:line="0" w:lineRule="atLeast"/>
              <w:jc w:val="center"/>
              <w:rPr>
                <w:rFonts w:hint="eastAsia" w:ascii="宋体" w:hAnsi="宋体" w:eastAsia="宋体" w:cs="宋体"/>
                <w:color w:val="auto"/>
                <w:sz w:val="24"/>
                <w:szCs w:val="24"/>
                <w:highlight w:val="none"/>
              </w:rPr>
            </w:pPr>
          </w:p>
        </w:tc>
      </w:tr>
      <w:tr w14:paraId="1D786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7D518B3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74" w:type="dxa"/>
            <w:noWrap w:val="0"/>
            <w:vAlign w:val="center"/>
          </w:tcPr>
          <w:p w14:paraId="2CA79352">
            <w:pPr>
              <w:spacing w:line="0" w:lineRule="atLeast"/>
              <w:jc w:val="center"/>
              <w:rPr>
                <w:rFonts w:hint="eastAsia" w:ascii="宋体" w:hAnsi="宋体" w:eastAsia="宋体" w:cs="宋体"/>
                <w:color w:val="auto"/>
                <w:sz w:val="24"/>
                <w:szCs w:val="24"/>
                <w:highlight w:val="none"/>
              </w:rPr>
            </w:pPr>
          </w:p>
        </w:tc>
        <w:tc>
          <w:tcPr>
            <w:tcW w:w="1288" w:type="dxa"/>
            <w:noWrap w:val="0"/>
            <w:vAlign w:val="center"/>
          </w:tcPr>
          <w:p w14:paraId="321772CA">
            <w:pPr>
              <w:spacing w:line="0" w:lineRule="atLeast"/>
              <w:jc w:val="center"/>
              <w:rPr>
                <w:rFonts w:hint="eastAsia" w:ascii="宋体" w:hAnsi="宋体" w:eastAsia="宋体" w:cs="宋体"/>
                <w:color w:val="auto"/>
                <w:sz w:val="24"/>
                <w:szCs w:val="24"/>
                <w:highlight w:val="none"/>
              </w:rPr>
            </w:pPr>
          </w:p>
        </w:tc>
        <w:tc>
          <w:tcPr>
            <w:tcW w:w="924" w:type="dxa"/>
            <w:noWrap w:val="0"/>
            <w:vAlign w:val="center"/>
          </w:tcPr>
          <w:p w14:paraId="4878D9C5">
            <w:pPr>
              <w:spacing w:line="0" w:lineRule="atLeast"/>
              <w:jc w:val="center"/>
              <w:rPr>
                <w:rFonts w:hint="eastAsia" w:ascii="宋体" w:hAnsi="宋体" w:eastAsia="宋体" w:cs="宋体"/>
                <w:color w:val="auto"/>
                <w:sz w:val="24"/>
                <w:szCs w:val="24"/>
                <w:highlight w:val="none"/>
              </w:rPr>
            </w:pPr>
          </w:p>
        </w:tc>
        <w:tc>
          <w:tcPr>
            <w:tcW w:w="1203" w:type="dxa"/>
            <w:noWrap w:val="0"/>
            <w:vAlign w:val="center"/>
          </w:tcPr>
          <w:p w14:paraId="7E009E00">
            <w:pPr>
              <w:spacing w:line="0" w:lineRule="atLeast"/>
              <w:jc w:val="center"/>
              <w:rPr>
                <w:rFonts w:hint="eastAsia" w:ascii="宋体" w:hAnsi="宋体" w:eastAsia="宋体" w:cs="宋体"/>
                <w:color w:val="auto"/>
                <w:sz w:val="24"/>
                <w:szCs w:val="24"/>
                <w:highlight w:val="none"/>
              </w:rPr>
            </w:pPr>
          </w:p>
        </w:tc>
        <w:tc>
          <w:tcPr>
            <w:tcW w:w="1618" w:type="dxa"/>
            <w:noWrap w:val="0"/>
            <w:vAlign w:val="center"/>
          </w:tcPr>
          <w:p w14:paraId="3BD3DF0F">
            <w:pPr>
              <w:spacing w:line="0" w:lineRule="atLeast"/>
              <w:jc w:val="center"/>
              <w:rPr>
                <w:rFonts w:hint="eastAsia" w:ascii="宋体" w:hAnsi="宋体" w:eastAsia="宋体" w:cs="宋体"/>
                <w:color w:val="auto"/>
                <w:sz w:val="24"/>
                <w:szCs w:val="24"/>
                <w:highlight w:val="none"/>
              </w:rPr>
            </w:pPr>
          </w:p>
        </w:tc>
        <w:tc>
          <w:tcPr>
            <w:tcW w:w="1798" w:type="dxa"/>
            <w:noWrap w:val="0"/>
            <w:vAlign w:val="center"/>
          </w:tcPr>
          <w:p w14:paraId="09DF9AE1">
            <w:pPr>
              <w:spacing w:line="0" w:lineRule="atLeast"/>
              <w:jc w:val="center"/>
              <w:rPr>
                <w:rFonts w:hint="eastAsia" w:ascii="宋体" w:hAnsi="宋体" w:eastAsia="宋体" w:cs="宋体"/>
                <w:color w:val="auto"/>
                <w:sz w:val="24"/>
                <w:szCs w:val="24"/>
                <w:highlight w:val="none"/>
              </w:rPr>
            </w:pPr>
          </w:p>
        </w:tc>
      </w:tr>
      <w:tr w14:paraId="10F46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1F49E406">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4" w:type="dxa"/>
            <w:noWrap w:val="0"/>
            <w:vAlign w:val="center"/>
          </w:tcPr>
          <w:p w14:paraId="775456A2">
            <w:pPr>
              <w:spacing w:line="0" w:lineRule="atLeast"/>
              <w:jc w:val="center"/>
              <w:rPr>
                <w:rFonts w:hint="eastAsia" w:ascii="宋体" w:hAnsi="宋体" w:eastAsia="宋体" w:cs="宋体"/>
                <w:color w:val="auto"/>
                <w:sz w:val="24"/>
                <w:szCs w:val="24"/>
                <w:highlight w:val="none"/>
              </w:rPr>
            </w:pPr>
          </w:p>
        </w:tc>
        <w:tc>
          <w:tcPr>
            <w:tcW w:w="1288" w:type="dxa"/>
            <w:noWrap w:val="0"/>
            <w:vAlign w:val="center"/>
          </w:tcPr>
          <w:p w14:paraId="330F6B08">
            <w:pPr>
              <w:spacing w:line="0" w:lineRule="atLeast"/>
              <w:jc w:val="center"/>
              <w:rPr>
                <w:rFonts w:hint="eastAsia" w:ascii="宋体" w:hAnsi="宋体" w:eastAsia="宋体" w:cs="宋体"/>
                <w:color w:val="auto"/>
                <w:sz w:val="24"/>
                <w:szCs w:val="24"/>
                <w:highlight w:val="none"/>
              </w:rPr>
            </w:pPr>
          </w:p>
        </w:tc>
        <w:tc>
          <w:tcPr>
            <w:tcW w:w="924" w:type="dxa"/>
            <w:noWrap w:val="0"/>
            <w:vAlign w:val="center"/>
          </w:tcPr>
          <w:p w14:paraId="1D917021">
            <w:pPr>
              <w:spacing w:line="0" w:lineRule="atLeast"/>
              <w:jc w:val="center"/>
              <w:rPr>
                <w:rFonts w:hint="eastAsia" w:ascii="宋体" w:hAnsi="宋体" w:eastAsia="宋体" w:cs="宋体"/>
                <w:color w:val="auto"/>
                <w:sz w:val="24"/>
                <w:szCs w:val="24"/>
                <w:highlight w:val="none"/>
              </w:rPr>
            </w:pPr>
          </w:p>
        </w:tc>
        <w:tc>
          <w:tcPr>
            <w:tcW w:w="1203" w:type="dxa"/>
            <w:noWrap w:val="0"/>
            <w:vAlign w:val="center"/>
          </w:tcPr>
          <w:p w14:paraId="6EEFD88D">
            <w:pPr>
              <w:spacing w:line="0" w:lineRule="atLeast"/>
              <w:jc w:val="center"/>
              <w:rPr>
                <w:rFonts w:hint="eastAsia" w:ascii="宋体" w:hAnsi="宋体" w:eastAsia="宋体" w:cs="宋体"/>
                <w:color w:val="auto"/>
                <w:sz w:val="24"/>
                <w:szCs w:val="24"/>
                <w:highlight w:val="none"/>
              </w:rPr>
            </w:pPr>
          </w:p>
        </w:tc>
        <w:tc>
          <w:tcPr>
            <w:tcW w:w="1618" w:type="dxa"/>
            <w:noWrap w:val="0"/>
            <w:vAlign w:val="center"/>
          </w:tcPr>
          <w:p w14:paraId="65D1E154">
            <w:pPr>
              <w:spacing w:line="0" w:lineRule="atLeast"/>
              <w:jc w:val="center"/>
              <w:rPr>
                <w:rFonts w:hint="eastAsia" w:ascii="宋体" w:hAnsi="宋体" w:eastAsia="宋体" w:cs="宋体"/>
                <w:color w:val="auto"/>
                <w:sz w:val="24"/>
                <w:szCs w:val="24"/>
                <w:highlight w:val="none"/>
              </w:rPr>
            </w:pPr>
          </w:p>
        </w:tc>
        <w:tc>
          <w:tcPr>
            <w:tcW w:w="1798" w:type="dxa"/>
            <w:noWrap w:val="0"/>
            <w:vAlign w:val="center"/>
          </w:tcPr>
          <w:p w14:paraId="43D8971D">
            <w:pPr>
              <w:spacing w:line="0" w:lineRule="atLeast"/>
              <w:jc w:val="center"/>
              <w:rPr>
                <w:rFonts w:hint="eastAsia" w:ascii="宋体" w:hAnsi="宋体" w:eastAsia="宋体" w:cs="宋体"/>
                <w:color w:val="auto"/>
                <w:sz w:val="24"/>
                <w:szCs w:val="24"/>
                <w:highlight w:val="none"/>
              </w:rPr>
            </w:pPr>
          </w:p>
        </w:tc>
      </w:tr>
      <w:tr w14:paraId="48786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4E16082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74" w:type="dxa"/>
            <w:noWrap w:val="0"/>
            <w:vAlign w:val="center"/>
          </w:tcPr>
          <w:p w14:paraId="11D7DF4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88" w:type="dxa"/>
            <w:noWrap w:val="0"/>
            <w:vAlign w:val="center"/>
          </w:tcPr>
          <w:p w14:paraId="6C503CDA">
            <w:pPr>
              <w:spacing w:line="0" w:lineRule="atLeast"/>
              <w:jc w:val="center"/>
              <w:rPr>
                <w:rFonts w:hint="eastAsia" w:ascii="宋体" w:hAnsi="宋体" w:eastAsia="宋体" w:cs="宋体"/>
                <w:color w:val="auto"/>
                <w:sz w:val="24"/>
                <w:szCs w:val="24"/>
                <w:highlight w:val="none"/>
              </w:rPr>
            </w:pPr>
          </w:p>
        </w:tc>
        <w:tc>
          <w:tcPr>
            <w:tcW w:w="924" w:type="dxa"/>
            <w:noWrap w:val="0"/>
            <w:vAlign w:val="center"/>
          </w:tcPr>
          <w:p w14:paraId="13466263">
            <w:pPr>
              <w:spacing w:line="0" w:lineRule="atLeast"/>
              <w:jc w:val="center"/>
              <w:rPr>
                <w:rFonts w:hint="eastAsia" w:ascii="宋体" w:hAnsi="宋体" w:eastAsia="宋体" w:cs="宋体"/>
                <w:color w:val="auto"/>
                <w:sz w:val="24"/>
                <w:szCs w:val="24"/>
                <w:highlight w:val="none"/>
              </w:rPr>
            </w:pPr>
          </w:p>
        </w:tc>
        <w:tc>
          <w:tcPr>
            <w:tcW w:w="1203" w:type="dxa"/>
            <w:noWrap w:val="0"/>
            <w:vAlign w:val="center"/>
          </w:tcPr>
          <w:p w14:paraId="2FA155F9">
            <w:pPr>
              <w:spacing w:line="0" w:lineRule="atLeast"/>
              <w:jc w:val="center"/>
              <w:rPr>
                <w:rFonts w:hint="eastAsia" w:ascii="宋体" w:hAnsi="宋体" w:eastAsia="宋体" w:cs="宋体"/>
                <w:color w:val="auto"/>
                <w:sz w:val="24"/>
                <w:szCs w:val="24"/>
                <w:highlight w:val="none"/>
              </w:rPr>
            </w:pPr>
          </w:p>
        </w:tc>
        <w:tc>
          <w:tcPr>
            <w:tcW w:w="1618" w:type="dxa"/>
            <w:noWrap w:val="0"/>
            <w:vAlign w:val="center"/>
          </w:tcPr>
          <w:p w14:paraId="44607450">
            <w:pPr>
              <w:spacing w:line="0" w:lineRule="atLeast"/>
              <w:jc w:val="center"/>
              <w:rPr>
                <w:rFonts w:hint="eastAsia" w:ascii="宋体" w:hAnsi="宋体" w:eastAsia="宋体" w:cs="宋体"/>
                <w:color w:val="auto"/>
                <w:sz w:val="24"/>
                <w:szCs w:val="24"/>
                <w:highlight w:val="none"/>
              </w:rPr>
            </w:pPr>
          </w:p>
        </w:tc>
        <w:tc>
          <w:tcPr>
            <w:tcW w:w="1798" w:type="dxa"/>
            <w:noWrap w:val="0"/>
            <w:vAlign w:val="center"/>
          </w:tcPr>
          <w:p w14:paraId="53A16313">
            <w:pPr>
              <w:spacing w:line="0" w:lineRule="atLeast"/>
              <w:jc w:val="center"/>
              <w:rPr>
                <w:rFonts w:hint="eastAsia" w:ascii="宋体" w:hAnsi="宋体" w:eastAsia="宋体" w:cs="宋体"/>
                <w:color w:val="auto"/>
                <w:sz w:val="24"/>
                <w:szCs w:val="24"/>
                <w:highlight w:val="none"/>
              </w:rPr>
            </w:pPr>
          </w:p>
        </w:tc>
      </w:tr>
      <w:tr w14:paraId="3B3FD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15B0012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总报价（人民币：元）</w:t>
            </w:r>
          </w:p>
        </w:tc>
        <w:tc>
          <w:tcPr>
            <w:tcW w:w="1798" w:type="dxa"/>
            <w:noWrap w:val="0"/>
            <w:vAlign w:val="top"/>
          </w:tcPr>
          <w:p w14:paraId="6D8195D0">
            <w:pPr>
              <w:spacing w:line="0" w:lineRule="atLeast"/>
              <w:rPr>
                <w:rFonts w:hint="eastAsia" w:ascii="宋体" w:hAnsi="宋体" w:eastAsia="宋体" w:cs="宋体"/>
                <w:color w:val="auto"/>
                <w:sz w:val="24"/>
                <w:szCs w:val="24"/>
                <w:highlight w:val="none"/>
              </w:rPr>
            </w:pPr>
          </w:p>
        </w:tc>
      </w:tr>
    </w:tbl>
    <w:p w14:paraId="34BA3D3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 磋商报价采用总承包方式，投标人的“总报价”应包括采购人需求的服务（包含与服务相关的产品）价格、培训费用及售后服务费用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验收所需费用和所有相关税金费用及为完成整个项目所产生的其它所有费用。</w:t>
      </w:r>
    </w:p>
    <w:p w14:paraId="1F9AB246">
      <w:pPr>
        <w:rPr>
          <w:rFonts w:hint="eastAsia" w:ascii="宋体" w:hAnsi="宋体" w:eastAsia="宋体" w:cs="宋体"/>
          <w:color w:val="auto"/>
          <w:sz w:val="24"/>
          <w:szCs w:val="24"/>
          <w:highlight w:val="none"/>
        </w:rPr>
      </w:pPr>
    </w:p>
    <w:p w14:paraId="5063C496">
      <w:pPr>
        <w:rPr>
          <w:rFonts w:hint="eastAsia" w:ascii="宋体" w:hAnsi="宋体" w:eastAsia="宋体" w:cs="宋体"/>
          <w:color w:val="auto"/>
          <w:sz w:val="24"/>
          <w:szCs w:val="24"/>
          <w:highlight w:val="none"/>
        </w:rPr>
      </w:pPr>
    </w:p>
    <w:p w14:paraId="5482B98A">
      <w:pPr>
        <w:rPr>
          <w:rFonts w:hint="eastAsia" w:ascii="宋体" w:hAnsi="宋体" w:eastAsia="宋体" w:cs="宋体"/>
          <w:color w:val="auto"/>
          <w:sz w:val="24"/>
          <w:szCs w:val="24"/>
          <w:highlight w:val="none"/>
        </w:rPr>
      </w:pPr>
    </w:p>
    <w:p w14:paraId="7698D6C9">
      <w:pPr>
        <w:rPr>
          <w:rFonts w:hint="eastAsia" w:ascii="宋体" w:hAnsi="宋体" w:eastAsia="宋体" w:cs="宋体"/>
          <w:color w:val="auto"/>
          <w:sz w:val="24"/>
          <w:szCs w:val="24"/>
          <w:highlight w:val="none"/>
        </w:rPr>
      </w:pPr>
    </w:p>
    <w:p w14:paraId="4CA568C6">
      <w:pPr>
        <w:rPr>
          <w:rFonts w:hint="eastAsia" w:ascii="宋体" w:hAnsi="宋体" w:eastAsia="宋体" w:cs="宋体"/>
          <w:color w:val="auto"/>
          <w:sz w:val="24"/>
          <w:szCs w:val="24"/>
          <w:highlight w:val="none"/>
        </w:rPr>
      </w:pPr>
    </w:p>
    <w:p w14:paraId="4C931D9A">
      <w:pPr>
        <w:rPr>
          <w:rFonts w:hint="eastAsia" w:ascii="宋体" w:hAnsi="宋体" w:eastAsia="宋体" w:cs="宋体"/>
          <w:color w:val="auto"/>
          <w:sz w:val="24"/>
          <w:szCs w:val="24"/>
          <w:highlight w:val="none"/>
        </w:rPr>
      </w:pPr>
    </w:p>
    <w:p w14:paraId="4D4C0603">
      <w:pPr>
        <w:rPr>
          <w:rFonts w:hint="eastAsia" w:ascii="宋体" w:hAnsi="宋体" w:eastAsia="宋体" w:cs="宋体"/>
          <w:color w:val="auto"/>
          <w:sz w:val="24"/>
          <w:szCs w:val="24"/>
          <w:highlight w:val="none"/>
        </w:rPr>
      </w:pPr>
    </w:p>
    <w:p w14:paraId="4B503EE4">
      <w:pPr>
        <w:rPr>
          <w:rFonts w:hint="eastAsia" w:ascii="宋体" w:hAnsi="宋体" w:eastAsia="宋体" w:cs="宋体"/>
          <w:color w:val="auto"/>
          <w:sz w:val="24"/>
          <w:szCs w:val="24"/>
          <w:highlight w:val="none"/>
        </w:rPr>
      </w:pPr>
    </w:p>
    <w:p w14:paraId="6C6395A9">
      <w:pPr>
        <w:rPr>
          <w:rFonts w:hint="eastAsia" w:ascii="宋体" w:hAnsi="宋体" w:eastAsia="宋体" w:cs="宋体"/>
          <w:color w:val="auto"/>
          <w:sz w:val="24"/>
          <w:szCs w:val="24"/>
          <w:highlight w:val="none"/>
        </w:rPr>
      </w:pPr>
    </w:p>
    <w:p w14:paraId="4FBF54B7">
      <w:pPr>
        <w:rPr>
          <w:rFonts w:hint="eastAsia" w:ascii="宋体" w:hAnsi="宋体" w:eastAsia="宋体" w:cs="宋体"/>
          <w:color w:val="auto"/>
          <w:sz w:val="24"/>
          <w:szCs w:val="24"/>
          <w:highlight w:val="none"/>
        </w:rPr>
      </w:pPr>
    </w:p>
    <w:p w14:paraId="1E669F2C">
      <w:pPr>
        <w:rPr>
          <w:rFonts w:hint="eastAsia" w:ascii="宋体" w:hAnsi="宋体" w:eastAsia="宋体" w:cs="宋体"/>
          <w:color w:val="auto"/>
          <w:sz w:val="24"/>
          <w:szCs w:val="24"/>
          <w:highlight w:val="none"/>
        </w:rPr>
      </w:pPr>
    </w:p>
    <w:p w14:paraId="79CFA8BC">
      <w:pPr>
        <w:rPr>
          <w:rFonts w:hint="eastAsia" w:ascii="宋体" w:hAnsi="宋体" w:eastAsia="宋体" w:cs="宋体"/>
          <w:color w:val="auto"/>
          <w:sz w:val="24"/>
          <w:szCs w:val="24"/>
          <w:highlight w:val="none"/>
        </w:rPr>
      </w:pPr>
    </w:p>
    <w:p w14:paraId="1146DDDC">
      <w:pPr>
        <w:rPr>
          <w:rFonts w:hint="eastAsia" w:ascii="宋体" w:hAnsi="宋体" w:eastAsia="宋体" w:cs="宋体"/>
          <w:color w:val="auto"/>
          <w:sz w:val="24"/>
          <w:szCs w:val="24"/>
          <w:highlight w:val="none"/>
        </w:rPr>
      </w:pPr>
    </w:p>
    <w:p w14:paraId="649BB5FA">
      <w:pPr>
        <w:rPr>
          <w:rFonts w:hint="eastAsia" w:ascii="宋体" w:hAnsi="宋体" w:eastAsia="宋体" w:cs="宋体"/>
          <w:color w:val="auto"/>
          <w:sz w:val="24"/>
          <w:szCs w:val="24"/>
          <w:highlight w:val="none"/>
        </w:rPr>
      </w:pPr>
    </w:p>
    <w:p w14:paraId="619B2618">
      <w:pPr>
        <w:rPr>
          <w:rFonts w:hint="eastAsia" w:ascii="宋体" w:hAnsi="宋体" w:eastAsia="宋体" w:cs="宋体"/>
          <w:color w:val="auto"/>
          <w:sz w:val="24"/>
          <w:szCs w:val="24"/>
          <w:highlight w:val="none"/>
        </w:rPr>
      </w:pPr>
    </w:p>
    <w:p w14:paraId="15182D2C">
      <w:pPr>
        <w:rPr>
          <w:rFonts w:hint="eastAsia" w:ascii="宋体" w:hAnsi="宋体" w:eastAsia="宋体" w:cs="宋体"/>
          <w:color w:val="auto"/>
          <w:sz w:val="24"/>
          <w:szCs w:val="24"/>
          <w:highlight w:val="none"/>
        </w:rPr>
      </w:pPr>
    </w:p>
    <w:p w14:paraId="1E2F92FF">
      <w:pPr>
        <w:rPr>
          <w:rFonts w:hint="eastAsia" w:ascii="宋体" w:hAnsi="宋体" w:eastAsia="宋体" w:cs="宋体"/>
          <w:color w:val="auto"/>
          <w:sz w:val="24"/>
          <w:szCs w:val="24"/>
          <w:highlight w:val="none"/>
        </w:rPr>
      </w:pPr>
    </w:p>
    <w:p w14:paraId="079191EC">
      <w:pPr>
        <w:rPr>
          <w:rFonts w:hint="eastAsia" w:ascii="宋体" w:hAnsi="宋体" w:eastAsia="宋体" w:cs="宋体"/>
          <w:color w:val="auto"/>
          <w:sz w:val="24"/>
          <w:szCs w:val="24"/>
          <w:highlight w:val="none"/>
        </w:rPr>
      </w:pPr>
    </w:p>
    <w:p w14:paraId="1D7F7B69">
      <w:pPr>
        <w:rPr>
          <w:rFonts w:hint="eastAsia" w:ascii="宋体" w:hAnsi="宋体" w:eastAsia="宋体" w:cs="宋体"/>
          <w:color w:val="auto"/>
          <w:sz w:val="24"/>
          <w:szCs w:val="24"/>
          <w:highlight w:val="none"/>
        </w:rPr>
      </w:pPr>
    </w:p>
    <w:p w14:paraId="23E7B795">
      <w:pPr>
        <w:rPr>
          <w:rFonts w:hint="eastAsia" w:ascii="宋体" w:hAnsi="宋体" w:eastAsia="宋体" w:cs="宋体"/>
          <w:color w:val="auto"/>
          <w:sz w:val="24"/>
          <w:szCs w:val="24"/>
          <w:highlight w:val="none"/>
        </w:rPr>
      </w:pPr>
    </w:p>
    <w:p w14:paraId="4047F3DE">
      <w:pPr>
        <w:rPr>
          <w:rFonts w:hint="eastAsia" w:ascii="宋体" w:hAnsi="宋体" w:eastAsia="宋体" w:cs="宋体"/>
          <w:color w:val="auto"/>
          <w:sz w:val="24"/>
          <w:szCs w:val="24"/>
          <w:highlight w:val="none"/>
        </w:rPr>
      </w:pPr>
    </w:p>
    <w:p w14:paraId="4A2FF409">
      <w:pPr>
        <w:rPr>
          <w:rFonts w:hint="eastAsia" w:ascii="宋体" w:hAnsi="宋体" w:eastAsia="宋体" w:cs="宋体"/>
          <w:color w:val="auto"/>
          <w:sz w:val="24"/>
          <w:szCs w:val="24"/>
          <w:highlight w:val="none"/>
        </w:rPr>
      </w:pPr>
    </w:p>
    <w:p w14:paraId="7476D694">
      <w:pPr>
        <w:rPr>
          <w:rFonts w:hint="eastAsia" w:ascii="宋体" w:hAnsi="宋体" w:eastAsia="宋体" w:cs="宋体"/>
          <w:color w:val="auto"/>
          <w:sz w:val="24"/>
          <w:szCs w:val="24"/>
          <w:highlight w:val="none"/>
        </w:rPr>
      </w:pPr>
    </w:p>
    <w:p w14:paraId="12AE820D">
      <w:pPr>
        <w:rPr>
          <w:rFonts w:hint="eastAsia" w:ascii="宋体" w:hAnsi="宋体" w:eastAsia="宋体" w:cs="宋体"/>
          <w:color w:val="auto"/>
          <w:sz w:val="24"/>
          <w:szCs w:val="24"/>
          <w:highlight w:val="none"/>
        </w:rPr>
      </w:pPr>
    </w:p>
    <w:p w14:paraId="71049B8D">
      <w:pPr>
        <w:rPr>
          <w:rFonts w:hint="eastAsia" w:ascii="宋体" w:hAnsi="宋体" w:eastAsia="宋体" w:cs="宋体"/>
          <w:color w:val="auto"/>
          <w:sz w:val="24"/>
          <w:szCs w:val="24"/>
          <w:highlight w:val="none"/>
        </w:rPr>
      </w:pPr>
    </w:p>
    <w:p w14:paraId="36BBC727">
      <w:pPr>
        <w:outlineLvl w:val="1"/>
        <w:rPr>
          <w:rFonts w:hint="eastAsia" w:ascii="宋体" w:hAnsi="宋体" w:eastAsia="宋体" w:cs="宋体"/>
          <w:b/>
          <w:color w:val="auto"/>
          <w:sz w:val="32"/>
          <w:szCs w:val="32"/>
          <w:highlight w:val="none"/>
        </w:rPr>
      </w:pPr>
      <w:bookmarkStart w:id="137" w:name="_Toc9295"/>
      <w:r>
        <w:rPr>
          <w:rFonts w:hint="eastAsia" w:ascii="宋体" w:hAnsi="宋体" w:eastAsia="宋体" w:cs="宋体"/>
          <w:iCs/>
          <w:color w:val="auto"/>
          <w:sz w:val="32"/>
          <w:szCs w:val="32"/>
          <w:highlight w:val="none"/>
        </w:rPr>
        <w:t>七、技术要求响应及偏离表</w:t>
      </w:r>
      <w:bookmarkEnd w:id="128"/>
      <w:bookmarkEnd w:id="137"/>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36737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0E8AAA55">
            <w:pPr>
              <w:jc w:val="center"/>
              <w:rPr>
                <w:rFonts w:hint="eastAsia" w:ascii="宋体" w:hAnsi="宋体" w:eastAsia="宋体" w:cs="宋体"/>
                <w:color w:val="auto"/>
                <w:sz w:val="24"/>
                <w:szCs w:val="24"/>
                <w:highlight w:val="none"/>
              </w:rPr>
            </w:pPr>
            <w:bookmarkStart w:id="138" w:name="_Hlt26671372"/>
            <w:bookmarkEnd w:id="138"/>
            <w:bookmarkStart w:id="139" w:name="_Hlt24879081"/>
            <w:bookmarkEnd w:id="139"/>
            <w:bookmarkStart w:id="140" w:name="_Hlt26671343"/>
            <w:bookmarkEnd w:id="140"/>
            <w:bookmarkStart w:id="141" w:name="_Hlt26580838"/>
            <w:bookmarkEnd w:id="141"/>
            <w:bookmarkStart w:id="142" w:name="_Hlt26955056"/>
            <w:bookmarkEnd w:id="142"/>
            <w:bookmarkStart w:id="143" w:name="_Hlt26955064"/>
            <w:bookmarkEnd w:id="143"/>
            <w:bookmarkStart w:id="144" w:name="_Hlt26782999"/>
            <w:bookmarkEnd w:id="144"/>
            <w:bookmarkStart w:id="145" w:name="_Hlt26609391"/>
            <w:bookmarkEnd w:id="145"/>
            <w:bookmarkStart w:id="146" w:name="_Hlt26955054"/>
            <w:bookmarkEnd w:id="146"/>
            <w:r>
              <w:rPr>
                <w:rFonts w:hint="eastAsia" w:ascii="宋体" w:hAnsi="宋体" w:eastAsia="宋体" w:cs="宋体"/>
                <w:color w:val="auto"/>
                <w:sz w:val="24"/>
                <w:szCs w:val="24"/>
                <w:highlight w:val="none"/>
              </w:rPr>
              <w:t>序号</w:t>
            </w:r>
          </w:p>
        </w:tc>
        <w:tc>
          <w:tcPr>
            <w:tcW w:w="3291" w:type="dxa"/>
            <w:noWrap w:val="0"/>
            <w:vAlign w:val="center"/>
          </w:tcPr>
          <w:p w14:paraId="0846942D">
            <w:pPr>
              <w:pStyle w:val="247"/>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技术要求和商务要求中的实质性要求</w:t>
            </w:r>
          </w:p>
        </w:tc>
        <w:tc>
          <w:tcPr>
            <w:tcW w:w="2852" w:type="dxa"/>
            <w:noWrap w:val="0"/>
            <w:vAlign w:val="center"/>
          </w:tcPr>
          <w:p w14:paraId="0677DE3E">
            <w:pPr>
              <w:pStyle w:val="247"/>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响应情况（填报“响应或完全响应”）</w:t>
            </w:r>
          </w:p>
        </w:tc>
        <w:tc>
          <w:tcPr>
            <w:tcW w:w="1308" w:type="dxa"/>
            <w:noWrap w:val="0"/>
            <w:vAlign w:val="center"/>
          </w:tcPr>
          <w:p w14:paraId="0D3D34CD">
            <w:pPr>
              <w:pStyle w:val="247"/>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偏离（填报“正偏离、符合或负偏离”）</w:t>
            </w:r>
          </w:p>
        </w:tc>
        <w:tc>
          <w:tcPr>
            <w:tcW w:w="1173" w:type="dxa"/>
            <w:noWrap w:val="0"/>
            <w:vAlign w:val="center"/>
          </w:tcPr>
          <w:p w14:paraId="17DBD87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14:paraId="69AD280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14:paraId="6C826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EA5C255">
            <w:pPr>
              <w:jc w:val="center"/>
              <w:rPr>
                <w:rFonts w:hint="eastAsia" w:ascii="宋体" w:hAnsi="宋体" w:eastAsia="宋体" w:cs="宋体"/>
                <w:color w:val="auto"/>
                <w:sz w:val="24"/>
                <w:szCs w:val="24"/>
                <w:highlight w:val="none"/>
              </w:rPr>
            </w:pPr>
          </w:p>
        </w:tc>
        <w:tc>
          <w:tcPr>
            <w:tcW w:w="3291" w:type="dxa"/>
            <w:noWrap w:val="0"/>
            <w:vAlign w:val="top"/>
          </w:tcPr>
          <w:p w14:paraId="49743ACD">
            <w:pPr>
              <w:jc w:val="center"/>
              <w:rPr>
                <w:rFonts w:hint="eastAsia" w:ascii="宋体" w:hAnsi="宋体" w:eastAsia="宋体" w:cs="宋体"/>
                <w:color w:val="auto"/>
                <w:sz w:val="24"/>
                <w:szCs w:val="24"/>
                <w:highlight w:val="none"/>
              </w:rPr>
            </w:pPr>
          </w:p>
        </w:tc>
        <w:tc>
          <w:tcPr>
            <w:tcW w:w="2852" w:type="dxa"/>
            <w:noWrap w:val="0"/>
            <w:vAlign w:val="top"/>
          </w:tcPr>
          <w:p w14:paraId="2503A6E0">
            <w:pPr>
              <w:jc w:val="center"/>
              <w:rPr>
                <w:rFonts w:hint="eastAsia" w:ascii="宋体" w:hAnsi="宋体" w:eastAsia="宋体" w:cs="宋体"/>
                <w:color w:val="auto"/>
                <w:sz w:val="24"/>
                <w:szCs w:val="24"/>
                <w:highlight w:val="none"/>
              </w:rPr>
            </w:pPr>
          </w:p>
        </w:tc>
        <w:tc>
          <w:tcPr>
            <w:tcW w:w="1308" w:type="dxa"/>
            <w:noWrap w:val="0"/>
            <w:vAlign w:val="top"/>
          </w:tcPr>
          <w:p w14:paraId="230DCD00">
            <w:pPr>
              <w:jc w:val="center"/>
              <w:rPr>
                <w:rFonts w:hint="eastAsia" w:ascii="宋体" w:hAnsi="宋体" w:eastAsia="宋体" w:cs="宋体"/>
                <w:color w:val="auto"/>
                <w:sz w:val="24"/>
                <w:szCs w:val="24"/>
                <w:highlight w:val="none"/>
              </w:rPr>
            </w:pPr>
          </w:p>
        </w:tc>
        <w:tc>
          <w:tcPr>
            <w:tcW w:w="1173" w:type="dxa"/>
            <w:noWrap w:val="0"/>
            <w:vAlign w:val="top"/>
          </w:tcPr>
          <w:p w14:paraId="3ADB3D58">
            <w:pPr>
              <w:jc w:val="center"/>
              <w:rPr>
                <w:rFonts w:hint="eastAsia" w:ascii="宋体" w:hAnsi="宋体" w:eastAsia="宋体" w:cs="宋体"/>
                <w:color w:val="auto"/>
                <w:sz w:val="24"/>
                <w:szCs w:val="24"/>
                <w:highlight w:val="none"/>
              </w:rPr>
            </w:pPr>
          </w:p>
        </w:tc>
      </w:tr>
      <w:tr w14:paraId="07579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BB48CCF">
            <w:pPr>
              <w:jc w:val="center"/>
              <w:rPr>
                <w:rFonts w:hint="eastAsia" w:ascii="宋体" w:hAnsi="宋体" w:eastAsia="宋体" w:cs="宋体"/>
                <w:color w:val="auto"/>
                <w:sz w:val="24"/>
                <w:szCs w:val="24"/>
                <w:highlight w:val="none"/>
              </w:rPr>
            </w:pPr>
          </w:p>
        </w:tc>
        <w:tc>
          <w:tcPr>
            <w:tcW w:w="3291" w:type="dxa"/>
            <w:noWrap w:val="0"/>
            <w:vAlign w:val="top"/>
          </w:tcPr>
          <w:p w14:paraId="1629BAC4">
            <w:pPr>
              <w:jc w:val="center"/>
              <w:rPr>
                <w:rFonts w:hint="eastAsia" w:ascii="宋体" w:hAnsi="宋体" w:eastAsia="宋体" w:cs="宋体"/>
                <w:color w:val="auto"/>
                <w:sz w:val="24"/>
                <w:szCs w:val="24"/>
                <w:highlight w:val="none"/>
              </w:rPr>
            </w:pPr>
          </w:p>
        </w:tc>
        <w:tc>
          <w:tcPr>
            <w:tcW w:w="2852" w:type="dxa"/>
            <w:noWrap w:val="0"/>
            <w:vAlign w:val="top"/>
          </w:tcPr>
          <w:p w14:paraId="1CFE9DBF">
            <w:pPr>
              <w:jc w:val="center"/>
              <w:rPr>
                <w:rFonts w:hint="eastAsia" w:ascii="宋体" w:hAnsi="宋体" w:eastAsia="宋体" w:cs="宋体"/>
                <w:color w:val="auto"/>
                <w:sz w:val="24"/>
                <w:szCs w:val="24"/>
                <w:highlight w:val="none"/>
              </w:rPr>
            </w:pPr>
          </w:p>
        </w:tc>
        <w:tc>
          <w:tcPr>
            <w:tcW w:w="1308" w:type="dxa"/>
            <w:noWrap w:val="0"/>
            <w:vAlign w:val="top"/>
          </w:tcPr>
          <w:p w14:paraId="62C12ADD">
            <w:pPr>
              <w:jc w:val="center"/>
              <w:rPr>
                <w:rFonts w:hint="eastAsia" w:ascii="宋体" w:hAnsi="宋体" w:eastAsia="宋体" w:cs="宋体"/>
                <w:color w:val="auto"/>
                <w:sz w:val="24"/>
                <w:szCs w:val="24"/>
                <w:highlight w:val="none"/>
              </w:rPr>
            </w:pPr>
          </w:p>
        </w:tc>
        <w:tc>
          <w:tcPr>
            <w:tcW w:w="1173" w:type="dxa"/>
            <w:noWrap w:val="0"/>
            <w:vAlign w:val="top"/>
          </w:tcPr>
          <w:p w14:paraId="37C62458">
            <w:pPr>
              <w:jc w:val="center"/>
              <w:rPr>
                <w:rFonts w:hint="eastAsia" w:ascii="宋体" w:hAnsi="宋体" w:eastAsia="宋体" w:cs="宋体"/>
                <w:color w:val="auto"/>
                <w:sz w:val="24"/>
                <w:szCs w:val="24"/>
                <w:highlight w:val="none"/>
              </w:rPr>
            </w:pPr>
          </w:p>
        </w:tc>
      </w:tr>
      <w:tr w14:paraId="37B1F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624CF8C">
            <w:pPr>
              <w:jc w:val="center"/>
              <w:rPr>
                <w:rFonts w:hint="eastAsia" w:ascii="宋体" w:hAnsi="宋体" w:eastAsia="宋体" w:cs="宋体"/>
                <w:color w:val="auto"/>
                <w:sz w:val="24"/>
                <w:szCs w:val="24"/>
                <w:highlight w:val="none"/>
              </w:rPr>
            </w:pPr>
          </w:p>
        </w:tc>
        <w:tc>
          <w:tcPr>
            <w:tcW w:w="3291" w:type="dxa"/>
            <w:noWrap w:val="0"/>
            <w:vAlign w:val="top"/>
          </w:tcPr>
          <w:p w14:paraId="65B81FB9">
            <w:pPr>
              <w:jc w:val="center"/>
              <w:rPr>
                <w:rFonts w:hint="eastAsia" w:ascii="宋体" w:hAnsi="宋体" w:eastAsia="宋体" w:cs="宋体"/>
                <w:color w:val="auto"/>
                <w:sz w:val="24"/>
                <w:szCs w:val="24"/>
                <w:highlight w:val="none"/>
              </w:rPr>
            </w:pPr>
          </w:p>
        </w:tc>
        <w:tc>
          <w:tcPr>
            <w:tcW w:w="2852" w:type="dxa"/>
            <w:noWrap w:val="0"/>
            <w:vAlign w:val="top"/>
          </w:tcPr>
          <w:p w14:paraId="0B45B927">
            <w:pPr>
              <w:jc w:val="center"/>
              <w:rPr>
                <w:rFonts w:hint="eastAsia" w:ascii="宋体" w:hAnsi="宋体" w:eastAsia="宋体" w:cs="宋体"/>
                <w:color w:val="auto"/>
                <w:sz w:val="24"/>
                <w:szCs w:val="24"/>
                <w:highlight w:val="none"/>
              </w:rPr>
            </w:pPr>
          </w:p>
        </w:tc>
        <w:tc>
          <w:tcPr>
            <w:tcW w:w="1308" w:type="dxa"/>
            <w:noWrap w:val="0"/>
            <w:vAlign w:val="top"/>
          </w:tcPr>
          <w:p w14:paraId="46CB5A98">
            <w:pPr>
              <w:jc w:val="center"/>
              <w:rPr>
                <w:rFonts w:hint="eastAsia" w:ascii="宋体" w:hAnsi="宋体" w:eastAsia="宋体" w:cs="宋体"/>
                <w:color w:val="auto"/>
                <w:sz w:val="24"/>
                <w:szCs w:val="24"/>
                <w:highlight w:val="none"/>
              </w:rPr>
            </w:pPr>
          </w:p>
        </w:tc>
        <w:tc>
          <w:tcPr>
            <w:tcW w:w="1173" w:type="dxa"/>
            <w:noWrap w:val="0"/>
            <w:vAlign w:val="top"/>
          </w:tcPr>
          <w:p w14:paraId="32042811">
            <w:pPr>
              <w:jc w:val="center"/>
              <w:rPr>
                <w:rFonts w:hint="eastAsia" w:ascii="宋体" w:hAnsi="宋体" w:eastAsia="宋体" w:cs="宋体"/>
                <w:color w:val="auto"/>
                <w:sz w:val="24"/>
                <w:szCs w:val="24"/>
                <w:highlight w:val="none"/>
              </w:rPr>
            </w:pPr>
          </w:p>
        </w:tc>
      </w:tr>
      <w:tr w14:paraId="03D34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7A1237E">
            <w:pPr>
              <w:jc w:val="center"/>
              <w:rPr>
                <w:rFonts w:hint="eastAsia" w:ascii="宋体" w:hAnsi="宋体" w:eastAsia="宋体" w:cs="宋体"/>
                <w:color w:val="auto"/>
                <w:sz w:val="24"/>
                <w:szCs w:val="24"/>
                <w:highlight w:val="none"/>
              </w:rPr>
            </w:pPr>
          </w:p>
        </w:tc>
        <w:tc>
          <w:tcPr>
            <w:tcW w:w="3291" w:type="dxa"/>
            <w:noWrap w:val="0"/>
            <w:vAlign w:val="top"/>
          </w:tcPr>
          <w:p w14:paraId="60DEEC93">
            <w:pPr>
              <w:jc w:val="center"/>
              <w:rPr>
                <w:rFonts w:hint="eastAsia" w:ascii="宋体" w:hAnsi="宋体" w:eastAsia="宋体" w:cs="宋体"/>
                <w:color w:val="auto"/>
                <w:sz w:val="24"/>
                <w:szCs w:val="24"/>
                <w:highlight w:val="none"/>
              </w:rPr>
            </w:pPr>
          </w:p>
        </w:tc>
        <w:tc>
          <w:tcPr>
            <w:tcW w:w="2852" w:type="dxa"/>
            <w:noWrap w:val="0"/>
            <w:vAlign w:val="top"/>
          </w:tcPr>
          <w:p w14:paraId="31D0549D">
            <w:pPr>
              <w:jc w:val="center"/>
              <w:rPr>
                <w:rFonts w:hint="eastAsia" w:ascii="宋体" w:hAnsi="宋体" w:eastAsia="宋体" w:cs="宋体"/>
                <w:color w:val="auto"/>
                <w:sz w:val="24"/>
                <w:szCs w:val="24"/>
                <w:highlight w:val="none"/>
              </w:rPr>
            </w:pPr>
          </w:p>
        </w:tc>
        <w:tc>
          <w:tcPr>
            <w:tcW w:w="1308" w:type="dxa"/>
            <w:noWrap w:val="0"/>
            <w:vAlign w:val="top"/>
          </w:tcPr>
          <w:p w14:paraId="0661236B">
            <w:pPr>
              <w:jc w:val="center"/>
              <w:rPr>
                <w:rFonts w:hint="eastAsia" w:ascii="宋体" w:hAnsi="宋体" w:eastAsia="宋体" w:cs="宋体"/>
                <w:color w:val="auto"/>
                <w:sz w:val="24"/>
                <w:szCs w:val="24"/>
                <w:highlight w:val="none"/>
              </w:rPr>
            </w:pPr>
          </w:p>
        </w:tc>
        <w:tc>
          <w:tcPr>
            <w:tcW w:w="1173" w:type="dxa"/>
            <w:noWrap w:val="0"/>
            <w:vAlign w:val="top"/>
          </w:tcPr>
          <w:p w14:paraId="268EF9B5">
            <w:pPr>
              <w:jc w:val="center"/>
              <w:rPr>
                <w:rFonts w:hint="eastAsia" w:ascii="宋体" w:hAnsi="宋体" w:eastAsia="宋体" w:cs="宋体"/>
                <w:color w:val="auto"/>
                <w:sz w:val="24"/>
                <w:szCs w:val="24"/>
                <w:highlight w:val="none"/>
              </w:rPr>
            </w:pPr>
          </w:p>
        </w:tc>
      </w:tr>
      <w:tr w14:paraId="341B3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DB9B4DB">
            <w:pPr>
              <w:jc w:val="center"/>
              <w:rPr>
                <w:rFonts w:hint="eastAsia" w:ascii="宋体" w:hAnsi="宋体" w:eastAsia="宋体" w:cs="宋体"/>
                <w:color w:val="auto"/>
                <w:sz w:val="24"/>
                <w:szCs w:val="24"/>
                <w:highlight w:val="none"/>
              </w:rPr>
            </w:pPr>
          </w:p>
        </w:tc>
        <w:tc>
          <w:tcPr>
            <w:tcW w:w="3291" w:type="dxa"/>
            <w:noWrap w:val="0"/>
            <w:vAlign w:val="top"/>
          </w:tcPr>
          <w:p w14:paraId="7FF0AFC4">
            <w:pPr>
              <w:jc w:val="center"/>
              <w:rPr>
                <w:rFonts w:hint="eastAsia" w:ascii="宋体" w:hAnsi="宋体" w:eastAsia="宋体" w:cs="宋体"/>
                <w:color w:val="auto"/>
                <w:sz w:val="24"/>
                <w:szCs w:val="24"/>
                <w:highlight w:val="none"/>
              </w:rPr>
            </w:pPr>
          </w:p>
        </w:tc>
        <w:tc>
          <w:tcPr>
            <w:tcW w:w="2852" w:type="dxa"/>
            <w:noWrap w:val="0"/>
            <w:vAlign w:val="top"/>
          </w:tcPr>
          <w:p w14:paraId="4579CAAE">
            <w:pPr>
              <w:jc w:val="center"/>
              <w:rPr>
                <w:rFonts w:hint="eastAsia" w:ascii="宋体" w:hAnsi="宋体" w:eastAsia="宋体" w:cs="宋体"/>
                <w:color w:val="auto"/>
                <w:sz w:val="24"/>
                <w:szCs w:val="24"/>
                <w:highlight w:val="none"/>
              </w:rPr>
            </w:pPr>
          </w:p>
        </w:tc>
        <w:tc>
          <w:tcPr>
            <w:tcW w:w="1308" w:type="dxa"/>
            <w:noWrap w:val="0"/>
            <w:vAlign w:val="top"/>
          </w:tcPr>
          <w:p w14:paraId="58BFCB9D">
            <w:pPr>
              <w:jc w:val="center"/>
              <w:rPr>
                <w:rFonts w:hint="eastAsia" w:ascii="宋体" w:hAnsi="宋体" w:eastAsia="宋体" w:cs="宋体"/>
                <w:color w:val="auto"/>
                <w:sz w:val="24"/>
                <w:szCs w:val="24"/>
                <w:highlight w:val="none"/>
              </w:rPr>
            </w:pPr>
          </w:p>
        </w:tc>
        <w:tc>
          <w:tcPr>
            <w:tcW w:w="1173" w:type="dxa"/>
            <w:noWrap w:val="0"/>
            <w:vAlign w:val="top"/>
          </w:tcPr>
          <w:p w14:paraId="22961D8E">
            <w:pPr>
              <w:jc w:val="center"/>
              <w:rPr>
                <w:rFonts w:hint="eastAsia" w:ascii="宋体" w:hAnsi="宋体" w:eastAsia="宋体" w:cs="宋体"/>
                <w:color w:val="auto"/>
                <w:sz w:val="24"/>
                <w:szCs w:val="24"/>
                <w:highlight w:val="none"/>
              </w:rPr>
            </w:pPr>
          </w:p>
        </w:tc>
      </w:tr>
      <w:tr w14:paraId="12284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C4B52E6">
            <w:pPr>
              <w:jc w:val="center"/>
              <w:rPr>
                <w:rFonts w:hint="eastAsia" w:ascii="宋体" w:hAnsi="宋体" w:eastAsia="宋体" w:cs="宋体"/>
                <w:color w:val="auto"/>
                <w:sz w:val="24"/>
                <w:szCs w:val="24"/>
                <w:highlight w:val="none"/>
              </w:rPr>
            </w:pPr>
          </w:p>
        </w:tc>
        <w:tc>
          <w:tcPr>
            <w:tcW w:w="3291" w:type="dxa"/>
            <w:noWrap w:val="0"/>
            <w:vAlign w:val="top"/>
          </w:tcPr>
          <w:p w14:paraId="4C0E9757">
            <w:pPr>
              <w:jc w:val="center"/>
              <w:rPr>
                <w:rFonts w:hint="eastAsia" w:ascii="宋体" w:hAnsi="宋体" w:eastAsia="宋体" w:cs="宋体"/>
                <w:color w:val="auto"/>
                <w:sz w:val="24"/>
                <w:szCs w:val="24"/>
                <w:highlight w:val="none"/>
              </w:rPr>
            </w:pPr>
          </w:p>
        </w:tc>
        <w:tc>
          <w:tcPr>
            <w:tcW w:w="2852" w:type="dxa"/>
            <w:noWrap w:val="0"/>
            <w:vAlign w:val="top"/>
          </w:tcPr>
          <w:p w14:paraId="1B63E34A">
            <w:pPr>
              <w:jc w:val="center"/>
              <w:rPr>
                <w:rFonts w:hint="eastAsia" w:ascii="宋体" w:hAnsi="宋体" w:eastAsia="宋体" w:cs="宋体"/>
                <w:color w:val="auto"/>
                <w:sz w:val="24"/>
                <w:szCs w:val="24"/>
                <w:highlight w:val="none"/>
              </w:rPr>
            </w:pPr>
          </w:p>
        </w:tc>
        <w:tc>
          <w:tcPr>
            <w:tcW w:w="1308" w:type="dxa"/>
            <w:noWrap w:val="0"/>
            <w:vAlign w:val="top"/>
          </w:tcPr>
          <w:p w14:paraId="1592E7FF">
            <w:pPr>
              <w:jc w:val="center"/>
              <w:rPr>
                <w:rFonts w:hint="eastAsia" w:ascii="宋体" w:hAnsi="宋体" w:eastAsia="宋体" w:cs="宋体"/>
                <w:color w:val="auto"/>
                <w:sz w:val="24"/>
                <w:szCs w:val="24"/>
                <w:highlight w:val="none"/>
              </w:rPr>
            </w:pPr>
          </w:p>
        </w:tc>
        <w:tc>
          <w:tcPr>
            <w:tcW w:w="1173" w:type="dxa"/>
            <w:noWrap w:val="0"/>
            <w:vAlign w:val="top"/>
          </w:tcPr>
          <w:p w14:paraId="53CBDC47">
            <w:pPr>
              <w:jc w:val="center"/>
              <w:rPr>
                <w:rFonts w:hint="eastAsia" w:ascii="宋体" w:hAnsi="宋体" w:eastAsia="宋体" w:cs="宋体"/>
                <w:color w:val="auto"/>
                <w:sz w:val="24"/>
                <w:szCs w:val="24"/>
                <w:highlight w:val="none"/>
              </w:rPr>
            </w:pPr>
          </w:p>
        </w:tc>
      </w:tr>
      <w:tr w14:paraId="03927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A6B8C63">
            <w:pPr>
              <w:jc w:val="center"/>
              <w:rPr>
                <w:rFonts w:hint="eastAsia" w:ascii="宋体" w:hAnsi="宋体" w:eastAsia="宋体" w:cs="宋体"/>
                <w:color w:val="auto"/>
                <w:sz w:val="24"/>
                <w:szCs w:val="24"/>
                <w:highlight w:val="none"/>
              </w:rPr>
            </w:pPr>
          </w:p>
        </w:tc>
        <w:tc>
          <w:tcPr>
            <w:tcW w:w="3291" w:type="dxa"/>
            <w:noWrap w:val="0"/>
            <w:vAlign w:val="top"/>
          </w:tcPr>
          <w:p w14:paraId="657B6E3B">
            <w:pPr>
              <w:jc w:val="center"/>
              <w:rPr>
                <w:rFonts w:hint="eastAsia" w:ascii="宋体" w:hAnsi="宋体" w:eastAsia="宋体" w:cs="宋体"/>
                <w:color w:val="auto"/>
                <w:sz w:val="24"/>
                <w:szCs w:val="24"/>
                <w:highlight w:val="none"/>
              </w:rPr>
            </w:pPr>
          </w:p>
        </w:tc>
        <w:tc>
          <w:tcPr>
            <w:tcW w:w="2852" w:type="dxa"/>
            <w:noWrap w:val="0"/>
            <w:vAlign w:val="top"/>
          </w:tcPr>
          <w:p w14:paraId="49F0E2B4">
            <w:pPr>
              <w:jc w:val="center"/>
              <w:rPr>
                <w:rFonts w:hint="eastAsia" w:ascii="宋体" w:hAnsi="宋体" w:eastAsia="宋体" w:cs="宋体"/>
                <w:color w:val="auto"/>
                <w:sz w:val="24"/>
                <w:szCs w:val="24"/>
                <w:highlight w:val="none"/>
              </w:rPr>
            </w:pPr>
          </w:p>
        </w:tc>
        <w:tc>
          <w:tcPr>
            <w:tcW w:w="1308" w:type="dxa"/>
            <w:noWrap w:val="0"/>
            <w:vAlign w:val="top"/>
          </w:tcPr>
          <w:p w14:paraId="1B9510EB">
            <w:pPr>
              <w:jc w:val="center"/>
              <w:rPr>
                <w:rFonts w:hint="eastAsia" w:ascii="宋体" w:hAnsi="宋体" w:eastAsia="宋体" w:cs="宋体"/>
                <w:color w:val="auto"/>
                <w:sz w:val="24"/>
                <w:szCs w:val="24"/>
                <w:highlight w:val="none"/>
              </w:rPr>
            </w:pPr>
          </w:p>
        </w:tc>
        <w:tc>
          <w:tcPr>
            <w:tcW w:w="1173" w:type="dxa"/>
            <w:noWrap w:val="0"/>
            <w:vAlign w:val="top"/>
          </w:tcPr>
          <w:p w14:paraId="49BC68E0">
            <w:pPr>
              <w:jc w:val="center"/>
              <w:rPr>
                <w:rFonts w:hint="eastAsia" w:ascii="宋体" w:hAnsi="宋体" w:eastAsia="宋体" w:cs="宋体"/>
                <w:color w:val="auto"/>
                <w:sz w:val="24"/>
                <w:szCs w:val="24"/>
                <w:highlight w:val="none"/>
              </w:rPr>
            </w:pPr>
          </w:p>
        </w:tc>
      </w:tr>
      <w:tr w14:paraId="16730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CE32056">
            <w:pPr>
              <w:jc w:val="center"/>
              <w:rPr>
                <w:rFonts w:hint="eastAsia" w:ascii="宋体" w:hAnsi="宋体" w:eastAsia="宋体" w:cs="宋体"/>
                <w:color w:val="auto"/>
                <w:sz w:val="24"/>
                <w:szCs w:val="24"/>
                <w:highlight w:val="none"/>
              </w:rPr>
            </w:pPr>
          </w:p>
        </w:tc>
        <w:tc>
          <w:tcPr>
            <w:tcW w:w="3291" w:type="dxa"/>
            <w:noWrap w:val="0"/>
            <w:vAlign w:val="top"/>
          </w:tcPr>
          <w:p w14:paraId="1FE0A80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noWrap w:val="0"/>
            <w:vAlign w:val="top"/>
          </w:tcPr>
          <w:p w14:paraId="62AAE936">
            <w:pPr>
              <w:jc w:val="center"/>
              <w:rPr>
                <w:rFonts w:hint="eastAsia" w:ascii="宋体" w:hAnsi="宋体" w:eastAsia="宋体" w:cs="宋体"/>
                <w:color w:val="auto"/>
                <w:sz w:val="24"/>
                <w:szCs w:val="24"/>
                <w:highlight w:val="none"/>
              </w:rPr>
            </w:pPr>
          </w:p>
        </w:tc>
        <w:tc>
          <w:tcPr>
            <w:tcW w:w="1308" w:type="dxa"/>
            <w:noWrap w:val="0"/>
            <w:vAlign w:val="top"/>
          </w:tcPr>
          <w:p w14:paraId="351AC3FB">
            <w:pPr>
              <w:jc w:val="center"/>
              <w:rPr>
                <w:rFonts w:hint="eastAsia" w:ascii="宋体" w:hAnsi="宋体" w:eastAsia="宋体" w:cs="宋体"/>
                <w:color w:val="auto"/>
                <w:sz w:val="24"/>
                <w:szCs w:val="24"/>
                <w:highlight w:val="none"/>
              </w:rPr>
            </w:pPr>
          </w:p>
        </w:tc>
        <w:tc>
          <w:tcPr>
            <w:tcW w:w="1173" w:type="dxa"/>
            <w:noWrap w:val="0"/>
            <w:vAlign w:val="top"/>
          </w:tcPr>
          <w:p w14:paraId="503DC8ED">
            <w:pPr>
              <w:jc w:val="center"/>
              <w:rPr>
                <w:rFonts w:hint="eastAsia" w:ascii="宋体" w:hAnsi="宋体" w:eastAsia="宋体" w:cs="宋体"/>
                <w:color w:val="auto"/>
                <w:sz w:val="24"/>
                <w:szCs w:val="24"/>
                <w:highlight w:val="none"/>
              </w:rPr>
            </w:pPr>
          </w:p>
        </w:tc>
      </w:tr>
    </w:tbl>
    <w:p w14:paraId="7F84DDF6">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1.投标人必须对技术要求和商务要求中的实质性要求做出</w:t>
      </w:r>
      <w:r>
        <w:rPr>
          <w:rFonts w:hint="eastAsia" w:ascii="宋体" w:hAnsi="宋体" w:cs="宋体"/>
          <w:color w:val="auto"/>
          <w:sz w:val="24"/>
          <w:highlight w:val="none"/>
          <w:lang w:val="en-US" w:eastAsia="zh-CN"/>
        </w:rPr>
        <w:t>明确</w:t>
      </w:r>
      <w:r>
        <w:rPr>
          <w:rFonts w:hint="eastAsia" w:ascii="宋体" w:hAnsi="宋体" w:eastAsia="宋体" w:cs="宋体"/>
          <w:color w:val="auto"/>
          <w:sz w:val="24"/>
          <w:highlight w:val="none"/>
        </w:rPr>
        <w:t>响应。</w:t>
      </w:r>
    </w:p>
    <w:p w14:paraId="05C753CB">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2.如果采购文件要求提供证明材料，投标人必须将证明材料列于该表之下。</w:t>
      </w:r>
    </w:p>
    <w:p w14:paraId="2A5C3C42">
      <w:pPr>
        <w:spacing w:line="588"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.行数不够，可自行添加。</w:t>
      </w:r>
    </w:p>
    <w:p w14:paraId="68F32AC3">
      <w:pPr>
        <w:spacing w:line="480" w:lineRule="auto"/>
        <w:rPr>
          <w:rFonts w:hint="eastAsia" w:ascii="宋体" w:hAnsi="宋体" w:eastAsia="宋体" w:cs="宋体"/>
          <w:color w:val="auto"/>
          <w:sz w:val="24"/>
          <w:szCs w:val="21"/>
          <w:highlight w:val="none"/>
        </w:rPr>
      </w:pPr>
    </w:p>
    <w:p w14:paraId="4E6C0F3E">
      <w:pPr>
        <w:spacing w:line="480" w:lineRule="auto"/>
        <w:rPr>
          <w:rFonts w:hint="eastAsia" w:ascii="宋体" w:hAnsi="宋体" w:eastAsia="宋体" w:cs="宋体"/>
          <w:color w:val="auto"/>
          <w:sz w:val="30"/>
          <w:szCs w:val="21"/>
          <w:highlight w:val="none"/>
        </w:rPr>
      </w:pPr>
    </w:p>
    <w:bookmarkEnd w:id="106"/>
    <w:bookmarkEnd w:id="107"/>
    <w:p w14:paraId="58A6CEDA">
      <w:pPr>
        <w:rPr>
          <w:rFonts w:hint="eastAsia" w:ascii="宋体" w:hAnsi="宋体" w:eastAsia="宋体" w:cs="宋体"/>
          <w:color w:val="auto"/>
          <w:sz w:val="24"/>
          <w:szCs w:val="21"/>
          <w:highlight w:val="none"/>
        </w:rPr>
      </w:pPr>
      <w:bookmarkStart w:id="147" w:name="_Hlt26955066"/>
      <w:bookmarkEnd w:id="147"/>
      <w:bookmarkStart w:id="148" w:name="_Hlt26671374"/>
      <w:bookmarkEnd w:id="148"/>
      <w:bookmarkStart w:id="149" w:name="_Toc462564146"/>
      <w:bookmarkEnd w:id="149"/>
      <w:bookmarkStart w:id="150" w:name="_Hlt26609389"/>
      <w:bookmarkEnd w:id="150"/>
    </w:p>
    <w:p w14:paraId="371D0687">
      <w:pPr>
        <w:pStyle w:val="309"/>
        <w:outlineLvl w:val="1"/>
        <w:rPr>
          <w:rFonts w:hint="eastAsia" w:ascii="宋体" w:hAnsi="宋体" w:eastAsia="宋体" w:cs="宋体"/>
          <w:color w:val="auto"/>
          <w:highlight w:val="none"/>
        </w:rPr>
      </w:pPr>
      <w:bookmarkStart w:id="151" w:name="_格式2__法定代表人授权书"/>
      <w:bookmarkEnd w:id="151"/>
      <w:r>
        <w:rPr>
          <w:rFonts w:hint="eastAsia" w:ascii="宋体" w:hAnsi="宋体" w:eastAsia="宋体" w:cs="宋体"/>
          <w:b w:val="0"/>
          <w:color w:val="auto"/>
          <w:szCs w:val="32"/>
          <w:highlight w:val="none"/>
        </w:rPr>
        <w:br w:type="page" w:clear="all"/>
      </w:r>
      <w:bookmarkStart w:id="152" w:name="_Toc3811"/>
      <w:r>
        <w:rPr>
          <w:rFonts w:hint="eastAsia" w:ascii="宋体" w:hAnsi="宋体" w:eastAsia="宋体" w:cs="宋体"/>
          <w:b w:val="0"/>
          <w:iCs/>
          <w:color w:val="auto"/>
          <w:szCs w:val="32"/>
          <w:highlight w:val="none"/>
        </w:rPr>
        <w:t>八、项目组人员</w:t>
      </w:r>
      <w:bookmarkEnd w:id="152"/>
    </w:p>
    <w:p w14:paraId="7840AB14">
      <w:pPr>
        <w:pStyle w:val="247"/>
        <w:spacing w:line="6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项目组成员</w:t>
      </w:r>
    </w:p>
    <w:tbl>
      <w:tblPr>
        <w:tblStyle w:val="29"/>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62CC4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21EECFEC">
            <w:pPr>
              <w:pStyle w:val="310"/>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1843" w:type="dxa"/>
            <w:noWrap w:val="0"/>
            <w:vAlign w:val="center"/>
          </w:tcPr>
          <w:p w14:paraId="1AE70BDB">
            <w:pPr>
              <w:pStyle w:val="310"/>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p>
        </w:tc>
        <w:tc>
          <w:tcPr>
            <w:tcW w:w="992" w:type="dxa"/>
            <w:noWrap w:val="0"/>
            <w:vAlign w:val="center"/>
          </w:tcPr>
          <w:p w14:paraId="4E82362B">
            <w:pPr>
              <w:pStyle w:val="310"/>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学历</w:t>
            </w:r>
          </w:p>
        </w:tc>
        <w:tc>
          <w:tcPr>
            <w:tcW w:w="1984" w:type="dxa"/>
            <w:noWrap w:val="0"/>
            <w:vAlign w:val="center"/>
          </w:tcPr>
          <w:p w14:paraId="77515F28">
            <w:pPr>
              <w:pStyle w:val="310"/>
              <w:widowControl/>
              <w:spacing w:beforeAutospacing="1" w:line="560" w:lineRule="exact"/>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身份证号</w:t>
            </w:r>
          </w:p>
        </w:tc>
        <w:tc>
          <w:tcPr>
            <w:tcW w:w="1702" w:type="dxa"/>
            <w:noWrap w:val="0"/>
            <w:vAlign w:val="center"/>
          </w:tcPr>
          <w:p w14:paraId="76093D5A">
            <w:pPr>
              <w:pStyle w:val="310"/>
              <w:widowControl/>
              <w:spacing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相关证书</w:t>
            </w:r>
          </w:p>
        </w:tc>
        <w:tc>
          <w:tcPr>
            <w:tcW w:w="962" w:type="dxa"/>
            <w:noWrap w:val="0"/>
            <w:vAlign w:val="center"/>
          </w:tcPr>
          <w:p w14:paraId="6B0482C5">
            <w:pPr>
              <w:pStyle w:val="310"/>
              <w:widowControl/>
              <w:spacing w:beforeAutospacing="1"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455B0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07B4E79">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422D4B99">
            <w:pPr>
              <w:pStyle w:val="247"/>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8"/>
                <w:szCs w:val="28"/>
                <w:highlight w:val="none"/>
                <w:lang w:bidi="ar"/>
              </w:rPr>
              <w:t>项目</w:t>
            </w:r>
            <w:r>
              <w:rPr>
                <w:rFonts w:hint="eastAsia" w:cs="宋体"/>
                <w:color w:val="auto"/>
                <w:sz w:val="28"/>
                <w:szCs w:val="28"/>
                <w:highlight w:val="none"/>
                <w:lang w:val="en-US" w:eastAsia="zh-CN" w:bidi="ar"/>
              </w:rPr>
              <w:t>负责人</w:t>
            </w:r>
          </w:p>
        </w:tc>
        <w:tc>
          <w:tcPr>
            <w:tcW w:w="992" w:type="dxa"/>
            <w:noWrap w:val="0"/>
            <w:vAlign w:val="center"/>
          </w:tcPr>
          <w:p w14:paraId="29C0A45D">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384A2F94">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7DCE963F">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1BF18FDD">
            <w:pPr>
              <w:pStyle w:val="310"/>
              <w:widowControl/>
              <w:spacing w:line="560" w:lineRule="exact"/>
              <w:ind w:firstLine="560"/>
              <w:jc w:val="center"/>
              <w:rPr>
                <w:rFonts w:hint="eastAsia" w:ascii="宋体" w:hAnsi="宋体" w:eastAsia="宋体" w:cs="宋体"/>
                <w:color w:val="auto"/>
                <w:sz w:val="28"/>
                <w:szCs w:val="28"/>
                <w:highlight w:val="none"/>
              </w:rPr>
            </w:pPr>
          </w:p>
        </w:tc>
      </w:tr>
      <w:tr w14:paraId="3E864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23C9CC5">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181AE98E">
            <w:pPr>
              <w:pStyle w:val="24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w:t>
            </w:r>
          </w:p>
        </w:tc>
        <w:tc>
          <w:tcPr>
            <w:tcW w:w="992" w:type="dxa"/>
            <w:noWrap w:val="0"/>
            <w:vAlign w:val="center"/>
          </w:tcPr>
          <w:p w14:paraId="40F29A24">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678A3BD2">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7235A064">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30D8FBE4">
            <w:pPr>
              <w:pStyle w:val="310"/>
              <w:widowControl/>
              <w:spacing w:line="560" w:lineRule="exact"/>
              <w:ind w:firstLine="560"/>
              <w:jc w:val="center"/>
              <w:rPr>
                <w:rFonts w:hint="eastAsia" w:ascii="宋体" w:hAnsi="宋体" w:eastAsia="宋体" w:cs="宋体"/>
                <w:color w:val="auto"/>
                <w:sz w:val="28"/>
                <w:szCs w:val="28"/>
                <w:highlight w:val="none"/>
              </w:rPr>
            </w:pPr>
          </w:p>
        </w:tc>
      </w:tr>
      <w:tr w14:paraId="228F0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38EFA99">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49BBE7A3">
            <w:pPr>
              <w:pStyle w:val="247"/>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w:t>
            </w:r>
          </w:p>
        </w:tc>
        <w:tc>
          <w:tcPr>
            <w:tcW w:w="992" w:type="dxa"/>
            <w:noWrap w:val="0"/>
            <w:vAlign w:val="center"/>
          </w:tcPr>
          <w:p w14:paraId="4CCB959F">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6528AC06">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657995B3">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22FA86D4">
            <w:pPr>
              <w:pStyle w:val="310"/>
              <w:widowControl/>
              <w:spacing w:line="560" w:lineRule="exact"/>
              <w:ind w:firstLine="560"/>
              <w:jc w:val="center"/>
              <w:rPr>
                <w:rFonts w:hint="eastAsia" w:ascii="宋体" w:hAnsi="宋体" w:eastAsia="宋体" w:cs="宋体"/>
                <w:color w:val="auto"/>
                <w:sz w:val="28"/>
                <w:szCs w:val="28"/>
                <w:highlight w:val="none"/>
              </w:rPr>
            </w:pPr>
          </w:p>
        </w:tc>
      </w:tr>
      <w:tr w14:paraId="79242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66484BD">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04B73B76">
            <w:pPr>
              <w:pStyle w:val="247"/>
              <w:rPr>
                <w:rFonts w:hint="eastAsia" w:ascii="宋体" w:hAnsi="宋体" w:eastAsia="宋体" w:cs="宋体"/>
                <w:color w:val="auto"/>
                <w:sz w:val="28"/>
                <w:szCs w:val="28"/>
                <w:highlight w:val="none"/>
              </w:rPr>
            </w:pPr>
          </w:p>
        </w:tc>
        <w:tc>
          <w:tcPr>
            <w:tcW w:w="992" w:type="dxa"/>
            <w:noWrap w:val="0"/>
            <w:vAlign w:val="center"/>
          </w:tcPr>
          <w:p w14:paraId="2F8C840C">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4AC0E4B9">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041037F6">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2BFFA199">
            <w:pPr>
              <w:pStyle w:val="310"/>
              <w:widowControl/>
              <w:spacing w:line="560" w:lineRule="exact"/>
              <w:ind w:firstLine="560"/>
              <w:jc w:val="center"/>
              <w:rPr>
                <w:rFonts w:hint="eastAsia" w:ascii="宋体" w:hAnsi="宋体" w:eastAsia="宋体" w:cs="宋体"/>
                <w:color w:val="auto"/>
                <w:sz w:val="28"/>
                <w:szCs w:val="28"/>
                <w:highlight w:val="none"/>
              </w:rPr>
            </w:pPr>
          </w:p>
        </w:tc>
      </w:tr>
      <w:tr w14:paraId="5BD79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92011D3">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4F57691A">
            <w:pPr>
              <w:pStyle w:val="247"/>
              <w:rPr>
                <w:rFonts w:hint="eastAsia" w:ascii="宋体" w:hAnsi="宋体" w:eastAsia="宋体" w:cs="宋体"/>
                <w:color w:val="auto"/>
                <w:sz w:val="28"/>
                <w:szCs w:val="28"/>
                <w:highlight w:val="none"/>
              </w:rPr>
            </w:pPr>
          </w:p>
        </w:tc>
        <w:tc>
          <w:tcPr>
            <w:tcW w:w="992" w:type="dxa"/>
            <w:noWrap w:val="0"/>
            <w:vAlign w:val="center"/>
          </w:tcPr>
          <w:p w14:paraId="10AFAABA">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3A3BF6FB">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65C7219F">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0E4ED518">
            <w:pPr>
              <w:pStyle w:val="310"/>
              <w:widowControl/>
              <w:spacing w:line="560" w:lineRule="exact"/>
              <w:ind w:firstLine="560"/>
              <w:jc w:val="center"/>
              <w:rPr>
                <w:rFonts w:hint="eastAsia" w:ascii="宋体" w:hAnsi="宋体" w:eastAsia="宋体" w:cs="宋体"/>
                <w:color w:val="auto"/>
                <w:sz w:val="28"/>
                <w:szCs w:val="28"/>
                <w:highlight w:val="none"/>
              </w:rPr>
            </w:pPr>
          </w:p>
        </w:tc>
      </w:tr>
      <w:tr w14:paraId="24EEE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1762480">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1AFB42E6">
            <w:pPr>
              <w:pStyle w:val="310"/>
              <w:widowControl/>
              <w:spacing w:line="560" w:lineRule="exact"/>
              <w:ind w:firstLine="560"/>
              <w:jc w:val="center"/>
              <w:rPr>
                <w:rFonts w:hint="eastAsia" w:ascii="宋体" w:hAnsi="宋体" w:eastAsia="宋体" w:cs="宋体"/>
                <w:color w:val="auto"/>
                <w:sz w:val="28"/>
                <w:szCs w:val="28"/>
                <w:highlight w:val="none"/>
              </w:rPr>
            </w:pPr>
          </w:p>
        </w:tc>
        <w:tc>
          <w:tcPr>
            <w:tcW w:w="992" w:type="dxa"/>
            <w:noWrap w:val="0"/>
            <w:vAlign w:val="center"/>
          </w:tcPr>
          <w:p w14:paraId="323C595B">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6011289F">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2DE066D7">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4124BF39">
            <w:pPr>
              <w:pStyle w:val="310"/>
              <w:widowControl/>
              <w:spacing w:line="560" w:lineRule="exact"/>
              <w:ind w:firstLine="560"/>
              <w:jc w:val="center"/>
              <w:rPr>
                <w:rFonts w:hint="eastAsia" w:ascii="宋体" w:hAnsi="宋体" w:eastAsia="宋体" w:cs="宋体"/>
                <w:color w:val="auto"/>
                <w:sz w:val="28"/>
                <w:szCs w:val="28"/>
                <w:highlight w:val="none"/>
              </w:rPr>
            </w:pPr>
          </w:p>
        </w:tc>
      </w:tr>
      <w:tr w14:paraId="78E0B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A16A0EE">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661B174C">
            <w:pPr>
              <w:pStyle w:val="310"/>
              <w:widowControl/>
              <w:spacing w:line="560" w:lineRule="exact"/>
              <w:ind w:firstLine="560"/>
              <w:jc w:val="center"/>
              <w:rPr>
                <w:rFonts w:hint="eastAsia" w:ascii="宋体" w:hAnsi="宋体" w:eastAsia="宋体" w:cs="宋体"/>
                <w:color w:val="auto"/>
                <w:sz w:val="28"/>
                <w:szCs w:val="28"/>
                <w:highlight w:val="none"/>
              </w:rPr>
            </w:pPr>
          </w:p>
        </w:tc>
        <w:tc>
          <w:tcPr>
            <w:tcW w:w="992" w:type="dxa"/>
            <w:noWrap w:val="0"/>
            <w:vAlign w:val="center"/>
          </w:tcPr>
          <w:p w14:paraId="620B1491">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490D5207">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31521062">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78C6D998">
            <w:pPr>
              <w:pStyle w:val="310"/>
              <w:widowControl/>
              <w:spacing w:line="560" w:lineRule="exact"/>
              <w:ind w:firstLine="560"/>
              <w:jc w:val="center"/>
              <w:rPr>
                <w:rFonts w:hint="eastAsia" w:ascii="宋体" w:hAnsi="宋体" w:eastAsia="宋体" w:cs="宋体"/>
                <w:color w:val="auto"/>
                <w:sz w:val="28"/>
                <w:szCs w:val="28"/>
                <w:highlight w:val="none"/>
              </w:rPr>
            </w:pPr>
          </w:p>
        </w:tc>
      </w:tr>
      <w:tr w14:paraId="7A75D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5AF8B0F">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00CBAAF1">
            <w:pPr>
              <w:pStyle w:val="310"/>
              <w:widowControl/>
              <w:spacing w:line="560" w:lineRule="exact"/>
              <w:ind w:firstLine="560"/>
              <w:jc w:val="center"/>
              <w:rPr>
                <w:rFonts w:hint="eastAsia" w:ascii="宋体" w:hAnsi="宋体" w:eastAsia="宋体" w:cs="宋体"/>
                <w:color w:val="auto"/>
                <w:sz w:val="28"/>
                <w:szCs w:val="28"/>
                <w:highlight w:val="none"/>
              </w:rPr>
            </w:pPr>
          </w:p>
        </w:tc>
        <w:tc>
          <w:tcPr>
            <w:tcW w:w="992" w:type="dxa"/>
            <w:noWrap w:val="0"/>
            <w:vAlign w:val="center"/>
          </w:tcPr>
          <w:p w14:paraId="506DF109">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5F568674">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5861947A">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48BD3D6F">
            <w:pPr>
              <w:pStyle w:val="310"/>
              <w:widowControl/>
              <w:spacing w:line="560" w:lineRule="exact"/>
              <w:ind w:firstLine="560"/>
              <w:jc w:val="center"/>
              <w:rPr>
                <w:rFonts w:hint="eastAsia" w:ascii="宋体" w:hAnsi="宋体" w:eastAsia="宋体" w:cs="宋体"/>
                <w:color w:val="auto"/>
                <w:sz w:val="28"/>
                <w:szCs w:val="28"/>
                <w:highlight w:val="none"/>
              </w:rPr>
            </w:pPr>
          </w:p>
        </w:tc>
      </w:tr>
      <w:tr w14:paraId="644BB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4B5FF30">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7887D54A">
            <w:pPr>
              <w:pStyle w:val="310"/>
              <w:widowControl/>
              <w:spacing w:line="560" w:lineRule="exact"/>
              <w:ind w:firstLine="560"/>
              <w:jc w:val="center"/>
              <w:rPr>
                <w:rFonts w:hint="eastAsia" w:ascii="宋体" w:hAnsi="宋体" w:eastAsia="宋体" w:cs="宋体"/>
                <w:color w:val="auto"/>
                <w:sz w:val="28"/>
                <w:szCs w:val="28"/>
                <w:highlight w:val="none"/>
              </w:rPr>
            </w:pPr>
          </w:p>
        </w:tc>
        <w:tc>
          <w:tcPr>
            <w:tcW w:w="992" w:type="dxa"/>
            <w:noWrap w:val="0"/>
            <w:vAlign w:val="center"/>
          </w:tcPr>
          <w:p w14:paraId="5E31E30E">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77C68765">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2F6549D9">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6B98EA1E">
            <w:pPr>
              <w:pStyle w:val="310"/>
              <w:widowControl/>
              <w:spacing w:line="560" w:lineRule="exact"/>
              <w:ind w:firstLine="560"/>
              <w:jc w:val="center"/>
              <w:rPr>
                <w:rFonts w:hint="eastAsia" w:ascii="宋体" w:hAnsi="宋体" w:eastAsia="宋体" w:cs="宋体"/>
                <w:color w:val="auto"/>
                <w:sz w:val="28"/>
                <w:szCs w:val="28"/>
                <w:highlight w:val="none"/>
              </w:rPr>
            </w:pPr>
          </w:p>
        </w:tc>
      </w:tr>
      <w:tr w14:paraId="12A67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91068CD">
            <w:pPr>
              <w:pStyle w:val="310"/>
              <w:widowControl/>
              <w:spacing w:line="560" w:lineRule="exact"/>
              <w:ind w:firstLine="560"/>
              <w:jc w:val="center"/>
              <w:rPr>
                <w:rFonts w:hint="eastAsia" w:ascii="宋体" w:hAnsi="宋体" w:eastAsia="宋体" w:cs="宋体"/>
                <w:color w:val="auto"/>
                <w:sz w:val="28"/>
                <w:szCs w:val="28"/>
                <w:highlight w:val="none"/>
              </w:rPr>
            </w:pPr>
          </w:p>
        </w:tc>
        <w:tc>
          <w:tcPr>
            <w:tcW w:w="1843" w:type="dxa"/>
            <w:noWrap w:val="0"/>
            <w:vAlign w:val="center"/>
          </w:tcPr>
          <w:p w14:paraId="2E305AD4">
            <w:pPr>
              <w:pStyle w:val="310"/>
              <w:widowControl/>
              <w:spacing w:line="560" w:lineRule="exact"/>
              <w:ind w:firstLine="560"/>
              <w:jc w:val="center"/>
              <w:rPr>
                <w:rFonts w:hint="eastAsia" w:ascii="宋体" w:hAnsi="宋体" w:eastAsia="宋体" w:cs="宋体"/>
                <w:color w:val="auto"/>
                <w:sz w:val="28"/>
                <w:szCs w:val="28"/>
                <w:highlight w:val="none"/>
              </w:rPr>
            </w:pPr>
          </w:p>
        </w:tc>
        <w:tc>
          <w:tcPr>
            <w:tcW w:w="992" w:type="dxa"/>
            <w:noWrap w:val="0"/>
            <w:vAlign w:val="center"/>
          </w:tcPr>
          <w:p w14:paraId="2CFA949B">
            <w:pPr>
              <w:pStyle w:val="310"/>
              <w:widowControl/>
              <w:spacing w:line="560" w:lineRule="exact"/>
              <w:ind w:firstLine="560"/>
              <w:jc w:val="center"/>
              <w:rPr>
                <w:rFonts w:hint="eastAsia" w:ascii="宋体" w:hAnsi="宋体" w:eastAsia="宋体" w:cs="宋体"/>
                <w:color w:val="auto"/>
                <w:sz w:val="28"/>
                <w:szCs w:val="28"/>
                <w:highlight w:val="none"/>
              </w:rPr>
            </w:pPr>
          </w:p>
        </w:tc>
        <w:tc>
          <w:tcPr>
            <w:tcW w:w="1984" w:type="dxa"/>
            <w:noWrap w:val="0"/>
            <w:vAlign w:val="center"/>
          </w:tcPr>
          <w:p w14:paraId="2B0CA880">
            <w:pPr>
              <w:pStyle w:val="310"/>
              <w:widowControl/>
              <w:spacing w:line="560" w:lineRule="exact"/>
              <w:ind w:firstLine="560"/>
              <w:jc w:val="center"/>
              <w:rPr>
                <w:rFonts w:hint="eastAsia" w:ascii="宋体" w:hAnsi="宋体" w:eastAsia="宋体" w:cs="宋体"/>
                <w:color w:val="auto"/>
                <w:sz w:val="28"/>
                <w:szCs w:val="28"/>
                <w:highlight w:val="none"/>
              </w:rPr>
            </w:pPr>
          </w:p>
        </w:tc>
        <w:tc>
          <w:tcPr>
            <w:tcW w:w="1702" w:type="dxa"/>
            <w:noWrap w:val="0"/>
            <w:vAlign w:val="center"/>
          </w:tcPr>
          <w:p w14:paraId="716E0B12">
            <w:pPr>
              <w:pStyle w:val="310"/>
              <w:widowControl/>
              <w:spacing w:line="560" w:lineRule="exact"/>
              <w:ind w:firstLine="560"/>
              <w:jc w:val="center"/>
              <w:rPr>
                <w:rFonts w:hint="eastAsia" w:ascii="宋体" w:hAnsi="宋体" w:eastAsia="宋体" w:cs="宋体"/>
                <w:color w:val="auto"/>
                <w:sz w:val="28"/>
                <w:szCs w:val="28"/>
                <w:highlight w:val="none"/>
              </w:rPr>
            </w:pPr>
          </w:p>
        </w:tc>
        <w:tc>
          <w:tcPr>
            <w:tcW w:w="962" w:type="dxa"/>
            <w:noWrap w:val="0"/>
            <w:vAlign w:val="center"/>
          </w:tcPr>
          <w:p w14:paraId="03C26D29">
            <w:pPr>
              <w:pStyle w:val="310"/>
              <w:widowControl/>
              <w:spacing w:line="560" w:lineRule="exact"/>
              <w:ind w:firstLine="560"/>
              <w:jc w:val="center"/>
              <w:rPr>
                <w:rFonts w:hint="eastAsia" w:ascii="宋体" w:hAnsi="宋体" w:eastAsia="宋体" w:cs="宋体"/>
                <w:color w:val="auto"/>
                <w:sz w:val="28"/>
                <w:szCs w:val="28"/>
                <w:highlight w:val="none"/>
              </w:rPr>
            </w:pPr>
          </w:p>
        </w:tc>
      </w:tr>
    </w:tbl>
    <w:p w14:paraId="4C876FD1">
      <w:pPr>
        <w:pStyle w:val="247"/>
        <w:spacing w:line="460" w:lineRule="exact"/>
        <w:ind w:firstLine="398"/>
        <w:rPr>
          <w:rFonts w:hint="eastAsia" w:ascii="宋体" w:hAnsi="宋体" w:eastAsia="宋体" w:cs="宋体"/>
          <w:color w:val="auto"/>
          <w:highlight w:val="none"/>
        </w:rPr>
      </w:pPr>
      <w:r>
        <w:rPr>
          <w:rFonts w:hint="eastAsia" w:ascii="宋体" w:hAnsi="宋体" w:eastAsia="宋体" w:cs="宋体"/>
          <w:b/>
          <w:color w:val="auto"/>
          <w:highlight w:val="none"/>
          <w:lang w:bidi="ar"/>
        </w:rPr>
        <w:t>注：如供应商成交，项目组成员必须按本表承诺人员操作，不得随意更换。按磋商文件要求附相关人员证书。</w:t>
      </w:r>
    </w:p>
    <w:p w14:paraId="5CA9ECB2">
      <w:pPr>
        <w:pStyle w:val="247"/>
        <w:spacing w:line="500" w:lineRule="exact"/>
        <w:ind w:firstLine="280"/>
        <w:rPr>
          <w:rFonts w:hint="eastAsia" w:ascii="宋体" w:hAnsi="宋体" w:eastAsia="宋体" w:cs="宋体"/>
          <w:color w:val="auto"/>
          <w:highlight w:val="none"/>
        </w:rPr>
      </w:pPr>
    </w:p>
    <w:p w14:paraId="1A588C6A">
      <w:pPr>
        <w:pStyle w:val="311"/>
        <w:spacing w:line="500" w:lineRule="exact"/>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53" w:name="_Toc11176"/>
      <w:bookmarkStart w:id="154" w:name="_Toc32735"/>
      <w:r>
        <w:rPr>
          <w:rFonts w:hint="eastAsia" w:ascii="宋体" w:hAnsi="宋体" w:eastAsia="宋体" w:cs="宋体"/>
          <w:iCs/>
          <w:color w:val="auto"/>
          <w:sz w:val="32"/>
          <w:szCs w:val="32"/>
          <w:highlight w:val="none"/>
        </w:rPr>
        <w:t>九、</w:t>
      </w:r>
      <w:bookmarkEnd w:id="153"/>
      <w:r>
        <w:rPr>
          <w:rFonts w:hint="eastAsia" w:ascii="宋体" w:hAnsi="宋体" w:eastAsia="宋体" w:cs="宋体"/>
          <w:iCs/>
          <w:color w:val="auto"/>
          <w:sz w:val="32"/>
          <w:szCs w:val="32"/>
          <w:highlight w:val="none"/>
        </w:rPr>
        <w:t>企业业绩</w:t>
      </w:r>
      <w:bookmarkEnd w:id="154"/>
    </w:p>
    <w:p w14:paraId="6A14BA8D">
      <w:pPr>
        <w:pStyle w:val="312"/>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投标人承担类似项目业绩一览表</w:t>
      </w:r>
    </w:p>
    <w:tbl>
      <w:tblPr>
        <w:tblStyle w:val="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2C70A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0CB496C7">
            <w:pPr>
              <w:pStyle w:val="313"/>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3827" w:type="dxa"/>
            <w:noWrap w:val="0"/>
            <w:vAlign w:val="center"/>
          </w:tcPr>
          <w:p w14:paraId="4C8889F4">
            <w:pPr>
              <w:pStyle w:val="313"/>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2433" w:type="dxa"/>
            <w:noWrap w:val="0"/>
            <w:vAlign w:val="center"/>
          </w:tcPr>
          <w:p w14:paraId="42290EBB">
            <w:pPr>
              <w:pStyle w:val="313"/>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采购单位</w:t>
            </w:r>
          </w:p>
        </w:tc>
        <w:tc>
          <w:tcPr>
            <w:tcW w:w="1395" w:type="dxa"/>
            <w:noWrap w:val="0"/>
            <w:vAlign w:val="center"/>
          </w:tcPr>
          <w:p w14:paraId="4373176B">
            <w:pPr>
              <w:pStyle w:val="313"/>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合同金额</w:t>
            </w:r>
          </w:p>
        </w:tc>
      </w:tr>
      <w:tr w14:paraId="55AA5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39DA795F">
            <w:pPr>
              <w:pStyle w:val="313"/>
              <w:spacing w:line="560" w:lineRule="exact"/>
              <w:jc w:val="center"/>
              <w:rPr>
                <w:rFonts w:hint="eastAsia" w:ascii="宋体" w:hAnsi="宋体" w:eastAsia="宋体" w:cs="宋体"/>
                <w:color w:val="auto"/>
                <w:sz w:val="28"/>
                <w:highlight w:val="none"/>
              </w:rPr>
            </w:pPr>
          </w:p>
        </w:tc>
        <w:tc>
          <w:tcPr>
            <w:tcW w:w="3827" w:type="dxa"/>
            <w:noWrap w:val="0"/>
            <w:vAlign w:val="center"/>
          </w:tcPr>
          <w:p w14:paraId="6269DB17">
            <w:pPr>
              <w:pStyle w:val="313"/>
              <w:spacing w:line="560" w:lineRule="exact"/>
              <w:jc w:val="center"/>
              <w:rPr>
                <w:rFonts w:hint="eastAsia" w:ascii="宋体" w:hAnsi="宋体" w:eastAsia="宋体" w:cs="宋体"/>
                <w:color w:val="auto"/>
                <w:sz w:val="28"/>
                <w:highlight w:val="none"/>
              </w:rPr>
            </w:pPr>
          </w:p>
        </w:tc>
        <w:tc>
          <w:tcPr>
            <w:tcW w:w="2433" w:type="dxa"/>
            <w:noWrap w:val="0"/>
            <w:vAlign w:val="center"/>
          </w:tcPr>
          <w:p w14:paraId="36812AD3">
            <w:pPr>
              <w:pStyle w:val="313"/>
              <w:spacing w:line="560" w:lineRule="exact"/>
              <w:jc w:val="center"/>
              <w:rPr>
                <w:rFonts w:hint="eastAsia" w:ascii="宋体" w:hAnsi="宋体" w:eastAsia="宋体" w:cs="宋体"/>
                <w:color w:val="auto"/>
                <w:sz w:val="28"/>
                <w:highlight w:val="none"/>
              </w:rPr>
            </w:pPr>
          </w:p>
        </w:tc>
        <w:tc>
          <w:tcPr>
            <w:tcW w:w="1395" w:type="dxa"/>
            <w:noWrap w:val="0"/>
            <w:vAlign w:val="center"/>
          </w:tcPr>
          <w:p w14:paraId="59593665">
            <w:pPr>
              <w:pStyle w:val="313"/>
              <w:spacing w:line="560" w:lineRule="exact"/>
              <w:jc w:val="center"/>
              <w:rPr>
                <w:rFonts w:hint="eastAsia" w:ascii="宋体" w:hAnsi="宋体" w:eastAsia="宋体" w:cs="宋体"/>
                <w:color w:val="auto"/>
                <w:sz w:val="28"/>
                <w:highlight w:val="none"/>
              </w:rPr>
            </w:pPr>
          </w:p>
        </w:tc>
      </w:tr>
      <w:tr w14:paraId="6919D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E129E9F">
            <w:pPr>
              <w:pStyle w:val="313"/>
              <w:spacing w:line="560" w:lineRule="exact"/>
              <w:jc w:val="center"/>
              <w:rPr>
                <w:rFonts w:hint="eastAsia" w:ascii="宋体" w:hAnsi="宋体" w:eastAsia="宋体" w:cs="宋体"/>
                <w:color w:val="auto"/>
                <w:sz w:val="28"/>
                <w:highlight w:val="none"/>
              </w:rPr>
            </w:pPr>
          </w:p>
        </w:tc>
        <w:tc>
          <w:tcPr>
            <w:tcW w:w="3827" w:type="dxa"/>
            <w:noWrap w:val="0"/>
            <w:vAlign w:val="center"/>
          </w:tcPr>
          <w:p w14:paraId="51EEE830">
            <w:pPr>
              <w:pStyle w:val="313"/>
              <w:spacing w:line="560" w:lineRule="exact"/>
              <w:jc w:val="center"/>
              <w:rPr>
                <w:rFonts w:hint="eastAsia" w:ascii="宋体" w:hAnsi="宋体" w:eastAsia="宋体" w:cs="宋体"/>
                <w:color w:val="auto"/>
                <w:sz w:val="28"/>
                <w:highlight w:val="none"/>
              </w:rPr>
            </w:pPr>
          </w:p>
        </w:tc>
        <w:tc>
          <w:tcPr>
            <w:tcW w:w="2433" w:type="dxa"/>
            <w:noWrap w:val="0"/>
            <w:vAlign w:val="center"/>
          </w:tcPr>
          <w:p w14:paraId="4BA2CA4E">
            <w:pPr>
              <w:pStyle w:val="313"/>
              <w:spacing w:line="560" w:lineRule="exact"/>
              <w:jc w:val="center"/>
              <w:rPr>
                <w:rFonts w:hint="eastAsia" w:ascii="宋体" w:hAnsi="宋体" w:eastAsia="宋体" w:cs="宋体"/>
                <w:color w:val="auto"/>
                <w:sz w:val="28"/>
                <w:highlight w:val="none"/>
              </w:rPr>
            </w:pPr>
          </w:p>
        </w:tc>
        <w:tc>
          <w:tcPr>
            <w:tcW w:w="1395" w:type="dxa"/>
            <w:noWrap w:val="0"/>
            <w:vAlign w:val="center"/>
          </w:tcPr>
          <w:p w14:paraId="7F9D8274">
            <w:pPr>
              <w:pStyle w:val="313"/>
              <w:spacing w:line="560" w:lineRule="exact"/>
              <w:jc w:val="center"/>
              <w:rPr>
                <w:rFonts w:hint="eastAsia" w:ascii="宋体" w:hAnsi="宋体" w:eastAsia="宋体" w:cs="宋体"/>
                <w:color w:val="auto"/>
                <w:sz w:val="28"/>
                <w:highlight w:val="none"/>
              </w:rPr>
            </w:pPr>
          </w:p>
        </w:tc>
      </w:tr>
      <w:tr w14:paraId="07643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4CC4CFB6">
            <w:pPr>
              <w:pStyle w:val="313"/>
              <w:spacing w:line="560" w:lineRule="exact"/>
              <w:jc w:val="center"/>
              <w:rPr>
                <w:rFonts w:hint="eastAsia" w:ascii="宋体" w:hAnsi="宋体" w:eastAsia="宋体" w:cs="宋体"/>
                <w:color w:val="auto"/>
                <w:sz w:val="28"/>
                <w:highlight w:val="none"/>
              </w:rPr>
            </w:pPr>
          </w:p>
        </w:tc>
        <w:tc>
          <w:tcPr>
            <w:tcW w:w="3827" w:type="dxa"/>
            <w:noWrap w:val="0"/>
            <w:vAlign w:val="center"/>
          </w:tcPr>
          <w:p w14:paraId="221F5072">
            <w:pPr>
              <w:pStyle w:val="313"/>
              <w:spacing w:line="560" w:lineRule="exact"/>
              <w:jc w:val="center"/>
              <w:rPr>
                <w:rFonts w:hint="eastAsia" w:ascii="宋体" w:hAnsi="宋体" w:eastAsia="宋体" w:cs="宋体"/>
                <w:color w:val="auto"/>
                <w:sz w:val="28"/>
                <w:highlight w:val="none"/>
              </w:rPr>
            </w:pPr>
          </w:p>
        </w:tc>
        <w:tc>
          <w:tcPr>
            <w:tcW w:w="2433" w:type="dxa"/>
            <w:noWrap w:val="0"/>
            <w:vAlign w:val="center"/>
          </w:tcPr>
          <w:p w14:paraId="1821C1D6">
            <w:pPr>
              <w:pStyle w:val="313"/>
              <w:spacing w:line="560" w:lineRule="exact"/>
              <w:jc w:val="center"/>
              <w:rPr>
                <w:rFonts w:hint="eastAsia" w:ascii="宋体" w:hAnsi="宋体" w:eastAsia="宋体" w:cs="宋体"/>
                <w:color w:val="auto"/>
                <w:sz w:val="28"/>
                <w:highlight w:val="none"/>
              </w:rPr>
            </w:pPr>
          </w:p>
        </w:tc>
        <w:tc>
          <w:tcPr>
            <w:tcW w:w="1395" w:type="dxa"/>
            <w:noWrap w:val="0"/>
            <w:vAlign w:val="center"/>
          </w:tcPr>
          <w:p w14:paraId="398D35FB">
            <w:pPr>
              <w:pStyle w:val="313"/>
              <w:spacing w:line="560" w:lineRule="exact"/>
              <w:jc w:val="center"/>
              <w:rPr>
                <w:rFonts w:hint="eastAsia" w:ascii="宋体" w:hAnsi="宋体" w:eastAsia="宋体" w:cs="宋体"/>
                <w:color w:val="auto"/>
                <w:sz w:val="28"/>
                <w:highlight w:val="none"/>
              </w:rPr>
            </w:pPr>
          </w:p>
        </w:tc>
      </w:tr>
      <w:tr w14:paraId="3D3AE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5632AF62">
            <w:pPr>
              <w:pStyle w:val="313"/>
              <w:spacing w:line="560" w:lineRule="exact"/>
              <w:jc w:val="center"/>
              <w:rPr>
                <w:rFonts w:hint="eastAsia" w:ascii="宋体" w:hAnsi="宋体" w:eastAsia="宋体" w:cs="宋体"/>
                <w:color w:val="auto"/>
                <w:sz w:val="28"/>
                <w:highlight w:val="none"/>
              </w:rPr>
            </w:pPr>
          </w:p>
        </w:tc>
        <w:tc>
          <w:tcPr>
            <w:tcW w:w="3827" w:type="dxa"/>
            <w:noWrap w:val="0"/>
            <w:vAlign w:val="center"/>
          </w:tcPr>
          <w:p w14:paraId="578ACEE5">
            <w:pPr>
              <w:pStyle w:val="313"/>
              <w:spacing w:line="560" w:lineRule="exact"/>
              <w:jc w:val="center"/>
              <w:rPr>
                <w:rFonts w:hint="eastAsia" w:ascii="宋体" w:hAnsi="宋体" w:eastAsia="宋体" w:cs="宋体"/>
                <w:color w:val="auto"/>
                <w:sz w:val="28"/>
                <w:highlight w:val="none"/>
              </w:rPr>
            </w:pPr>
          </w:p>
        </w:tc>
        <w:tc>
          <w:tcPr>
            <w:tcW w:w="2433" w:type="dxa"/>
            <w:noWrap w:val="0"/>
            <w:vAlign w:val="center"/>
          </w:tcPr>
          <w:p w14:paraId="63A7667B">
            <w:pPr>
              <w:pStyle w:val="313"/>
              <w:spacing w:line="560" w:lineRule="exact"/>
              <w:jc w:val="center"/>
              <w:rPr>
                <w:rFonts w:hint="eastAsia" w:ascii="宋体" w:hAnsi="宋体" w:eastAsia="宋体" w:cs="宋体"/>
                <w:color w:val="auto"/>
                <w:sz w:val="28"/>
                <w:highlight w:val="none"/>
              </w:rPr>
            </w:pPr>
          </w:p>
        </w:tc>
        <w:tc>
          <w:tcPr>
            <w:tcW w:w="1395" w:type="dxa"/>
            <w:noWrap w:val="0"/>
            <w:vAlign w:val="center"/>
          </w:tcPr>
          <w:p w14:paraId="4F061DAF">
            <w:pPr>
              <w:pStyle w:val="313"/>
              <w:spacing w:line="560" w:lineRule="exact"/>
              <w:jc w:val="center"/>
              <w:rPr>
                <w:rFonts w:hint="eastAsia" w:ascii="宋体" w:hAnsi="宋体" w:eastAsia="宋体" w:cs="宋体"/>
                <w:color w:val="auto"/>
                <w:sz w:val="28"/>
                <w:highlight w:val="none"/>
              </w:rPr>
            </w:pPr>
          </w:p>
        </w:tc>
      </w:tr>
    </w:tbl>
    <w:p w14:paraId="5E62F4CE">
      <w:pPr>
        <w:pStyle w:val="312"/>
        <w:rPr>
          <w:rFonts w:hint="eastAsia" w:ascii="宋体" w:hAnsi="宋体" w:eastAsia="宋体" w:cs="宋体"/>
          <w:color w:val="auto"/>
          <w:highlight w:val="none"/>
        </w:rPr>
      </w:pPr>
      <w:r>
        <w:rPr>
          <w:rFonts w:hint="eastAsia" w:ascii="宋体" w:hAnsi="宋体" w:eastAsia="宋体" w:cs="宋体"/>
          <w:b/>
          <w:color w:val="auto"/>
          <w:sz w:val="24"/>
          <w:highlight w:val="none"/>
        </w:rPr>
        <w:t>注：请填写此表，并按要求上传业绩资料电子件。</w:t>
      </w:r>
    </w:p>
    <w:p w14:paraId="1019BC5D">
      <w:pPr>
        <w:rPr>
          <w:rFonts w:hint="eastAsia" w:ascii="宋体" w:hAnsi="宋体" w:eastAsia="宋体" w:cs="宋体"/>
          <w:b/>
          <w:color w:val="auto"/>
          <w:sz w:val="32"/>
          <w:szCs w:val="32"/>
          <w:highlight w:val="none"/>
        </w:rPr>
      </w:pPr>
    </w:p>
    <w:p w14:paraId="7D7F289A">
      <w:pPr>
        <w:pStyle w:val="305"/>
        <w:numPr>
          <w:ilvl w:val="0"/>
          <w:numId w:val="10"/>
        </w:numPr>
        <w:ind w:left="0" w:firstLine="321"/>
        <w:outlineLvl w:val="1"/>
        <w:rPr>
          <w:rFonts w:hint="eastAsia" w:ascii="宋体" w:hAnsi="宋体" w:eastAsia="宋体" w:cs="宋体"/>
          <w:b w:val="0"/>
          <w:iCs/>
          <w:color w:val="auto"/>
          <w:szCs w:val="32"/>
          <w:highlight w:val="none"/>
        </w:rPr>
      </w:pPr>
      <w:bookmarkStart w:id="155" w:name="_Toc28140"/>
      <w:r>
        <w:rPr>
          <w:rFonts w:hint="eastAsia" w:ascii="宋体" w:hAnsi="宋体" w:eastAsia="宋体" w:cs="宋体"/>
          <w:color w:val="auto"/>
          <w:highlight w:val="none"/>
        </w:rPr>
        <w:br w:type="page" w:clear="all"/>
      </w:r>
      <w:bookmarkStart w:id="156" w:name="_Toc16694"/>
      <w:r>
        <w:rPr>
          <w:rFonts w:hint="eastAsia" w:ascii="宋体" w:hAnsi="宋体" w:eastAsia="宋体" w:cs="宋体"/>
          <w:b w:val="0"/>
          <w:iCs/>
          <w:color w:val="auto"/>
          <w:szCs w:val="32"/>
          <w:highlight w:val="none"/>
        </w:rPr>
        <w:t>磋商所需其他材料</w:t>
      </w:r>
      <w:bookmarkEnd w:id="155"/>
      <w:bookmarkEnd w:id="156"/>
    </w:p>
    <w:p w14:paraId="31078DBF">
      <w:pPr>
        <w:pStyle w:val="306"/>
        <w:numPr>
          <w:ilvl w:val="0"/>
          <w:numId w:val="0"/>
        </w:numPr>
        <w:rPr>
          <w:rFonts w:hint="eastAsia"/>
          <w:color w:val="auto"/>
          <w:highlight w:val="none"/>
        </w:rPr>
      </w:pPr>
    </w:p>
    <w:p w14:paraId="69365E98">
      <w:pPr>
        <w:pStyle w:val="308"/>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请在此文档中增加磋商所需其他相关内容（包括资格要求、评分办法、采购需求中涉及的证件证明及其它投标人认为有必要提供的资料），如没有请将此空文档上传。</w:t>
      </w:r>
    </w:p>
    <w:p w14:paraId="4024C7AC">
      <w:pPr>
        <w:jc w:val="center"/>
        <w:outlineLvl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Start w:id="157" w:name="_Toc18800"/>
      <w:bookmarkStart w:id="158" w:name="_Toc3325"/>
      <w:bookmarkStart w:id="159" w:name="_Toc18256"/>
      <w:r>
        <w:rPr>
          <w:rFonts w:hint="eastAsia" w:ascii="宋体" w:hAnsi="宋体" w:eastAsia="宋体" w:cs="宋体"/>
          <w:b/>
          <w:bCs/>
          <w:color w:val="auto"/>
          <w:sz w:val="32"/>
          <w:szCs w:val="32"/>
          <w:highlight w:val="none"/>
        </w:rPr>
        <w:t>质疑函范本</w:t>
      </w:r>
      <w:bookmarkEnd w:id="157"/>
      <w:bookmarkEnd w:id="158"/>
      <w:bookmarkEnd w:id="159"/>
    </w:p>
    <w:p w14:paraId="6803316F">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000D667C">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0F5B350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6965F4F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4EB24695">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0E74124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40EC27B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2FD3820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773A40B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5662777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532DD4C1">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5F74427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single"/>
        </w:rPr>
        <w:t xml:space="preserve">                                                        </w:t>
      </w:r>
    </w:p>
    <w:p w14:paraId="1422EA5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71EA39A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2F8D7005">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19586BD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6BCC147F">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0E74A8B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1A1BD4FD">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73577EC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E6C825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1B0C0ADA">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2623803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0DCD210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53A9BA58">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0BC28557">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78E61DC2">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D5B1795">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7820179D">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22B8C308">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595B04E1">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1C3994A9">
      <w:pPr>
        <w:ind w:firstLine="420"/>
        <w:rPr>
          <w:rFonts w:hint="eastAsia" w:ascii="宋体" w:hAnsi="宋体" w:eastAsia="宋体" w:cs="宋体"/>
          <w:color w:val="auto"/>
          <w:sz w:val="24"/>
          <w:szCs w:val="24"/>
          <w:highlight w:val="none"/>
        </w:rPr>
      </w:pPr>
    </w:p>
    <w:p w14:paraId="58C605E3">
      <w:pPr>
        <w:ind w:firstLine="420"/>
        <w:rPr>
          <w:rFonts w:hint="eastAsia" w:ascii="宋体" w:hAnsi="宋体" w:eastAsia="宋体" w:cs="宋体"/>
          <w:color w:val="auto"/>
          <w:sz w:val="24"/>
          <w:szCs w:val="24"/>
          <w:highlight w:val="none"/>
        </w:rPr>
      </w:pPr>
    </w:p>
    <w:sectPr>
      <w:footerReference r:id="rId6" w:type="first"/>
      <w:footerReference r:id="rId5" w:type="default"/>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方正仿宋_GBK">
    <w:altName w:val="微软雅黑"/>
    <w:panose1 w:val="020B0503020202020204"/>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40FAE">
    <w:pPr>
      <w:pStyle w:val="231"/>
      <w:jc w:val="both"/>
      <w:rPr>
        <w:rFonts w:hint="eastAsia" w:ascii="方正仿宋_GBK" w:hAnsi="方正仿宋_GBK" w:eastAsia="方正仿宋_GBK" w:cs="方正仿宋_GBK"/>
        <w:b/>
        <w:i/>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D67E269">
                          <w:pPr>
                            <w:pStyle w:val="231"/>
                            <w:tabs>
                              <w:tab w:val="clear" w:pos="4153"/>
                              <w:tab w:val="clear" w:pos="8306"/>
                            </w:tabs>
                          </w:pPr>
                        </w:p>
                        <w:p w14:paraId="6655A44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D67E269">
                    <w:pPr>
                      <w:pStyle w:val="231"/>
                      <w:tabs>
                        <w:tab w:val="clear" w:pos="4153"/>
                        <w:tab w:val="clear" w:pos="8306"/>
                      </w:tabs>
                    </w:pPr>
                  </w:p>
                  <w:p w14:paraId="6655A44D"/>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F8119">
    <w:pPr>
      <w:pStyle w:val="231"/>
      <w:jc w:val="both"/>
      <w:rPr>
        <w:rFonts w:hint="eastAsia" w:ascii="方正仿宋_GBK" w:hAnsi="方正仿宋_GBK" w:eastAsia="方正仿宋_GBK" w:cs="方正仿宋_GBK"/>
        <w:b/>
        <w:i/>
      </w:rPr>
    </w:pPr>
    <w:r>
      <w:rPr>
        <w:sz w:val="18"/>
      </w:rPr>
      <w:pict>
        <v:shape id="文本框 1" o:spid="_x0000_s409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path/>
          <v:fill on="f" focussize="0,0"/>
          <v:stroke on="f"/>
          <v:imagedata o:title=""/>
          <o:lock v:ext="edit" aspectratio="f"/>
          <v:textbox inset="0mm,0mm,0mm,0mm" style="mso-fit-shape-to-text:t;">
            <w:txbxContent>
              <w:p w14:paraId="171F7F7D">
                <w:pPr>
                  <w:pStyle w:val="231"/>
                  <w:tabs>
                    <w:tab w:val="clear" w:pos="4153"/>
                    <w:tab w:val="clear" w:pos="8306"/>
                  </w:tabs>
                </w:pPr>
                <w:r>
                  <w:fldChar w:fldCharType="begin"/>
                </w:r>
                <w:r>
                  <w:instrText xml:space="preserve"> PAGE  \* MERGEFORMAT </w:instrText>
                </w:r>
                <w:r>
                  <w:fldChar w:fldCharType="separate"/>
                </w:r>
                <w:r>
                  <w:t>１</w:t>
                </w:r>
                <w:r>
                  <w:fldChar w:fldCharType="end"/>
                </w:r>
              </w:p>
              <w:p w14:paraId="04C28E89"/>
            </w:txbxContent>
          </v:textbox>
        </v:shape>
      </w:pict>
    </w:r>
    <w:r>
      <w:rPr>
        <w:sz w:val="18"/>
      </w:rPr>
      <w:pict>
        <v:shape id="文本框 5" o:spid="_x0000_s409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path/>
          <v:fill on="f" focussize="0,0"/>
          <v:stroke on="f"/>
          <v:imagedata o:title=""/>
          <o:lock v:ext="edit" aspectratio="f"/>
          <v:textbox inset="0mm,0mm,0mm,0mm" style="mso-fit-shape-to-text:t;">
            <w:txbxContent>
              <w:p w14:paraId="36958312">
                <w:pPr>
                  <w:pStyle w:val="231"/>
                  <w:tabs>
                    <w:tab w:val="clear" w:pos="4153"/>
                    <w:tab w:val="clear" w:pos="8306"/>
                  </w:tabs>
                </w:pPr>
              </w:p>
              <w:p w14:paraId="212ED7B7"/>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2B893">
    <w:pPr>
      <w:pStyle w:val="231"/>
    </w:pPr>
    <w:r>
      <w:rPr>
        <w:sz w:val="18"/>
      </w:rPr>
      <w:pict>
        <v:shape id="_x0000_s4097" o:spid="_x0000_s409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path/>
          <v:fill on="f" focussize="0,0"/>
          <v:stroke on="f"/>
          <v:imagedata o:title=""/>
          <o:lock v:ext="edit" aspectratio="f"/>
          <v:textbox inset="0mm,0mm,0mm,0mm" style="mso-fit-shape-to-text:t;">
            <w:txbxContent>
              <w:p w14:paraId="5A163698">
                <w:pPr>
                  <w:pStyle w:val="231"/>
                  <w:tabs>
                    <w:tab w:val="clear" w:pos="4153"/>
                    <w:tab w:val="clear" w:pos="8306"/>
                  </w:tabs>
                </w:pPr>
                <w:r>
                  <w:fldChar w:fldCharType="begin"/>
                </w:r>
                <w:r>
                  <w:instrText xml:space="preserve"> PAGE  \* MERGEFORMAT </w:instrText>
                </w:r>
                <w:r>
                  <w:fldChar w:fldCharType="separate"/>
                </w:r>
                <w:r>
                  <w:t>０</w:t>
                </w:r>
                <w:r>
                  <w:fldChar w:fldCharType="end"/>
                </w:r>
              </w:p>
              <w:p w14:paraId="794CD8B4"/>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8BAA2">
    <w:pPr>
      <w:pStyle w:val="2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AC78406"/>
    <w:multiLevelType w:val="singleLevel"/>
    <w:tmpl w:val="BAC78406"/>
    <w:lvl w:ilvl="0" w:tentative="0">
      <w:start w:val="1"/>
      <w:numFmt w:val="decimal"/>
      <w:suff w:val="nothing"/>
      <w:lvlText w:val="%1、"/>
      <w:lvlJc w:val="left"/>
    </w:lvl>
  </w:abstractNum>
  <w:abstractNum w:abstractNumId="2">
    <w:nsid w:val="C98757F0"/>
    <w:multiLevelType w:val="singleLevel"/>
    <w:tmpl w:val="C98757F0"/>
    <w:lvl w:ilvl="0" w:tentative="0">
      <w:start w:val="1"/>
      <w:numFmt w:val="decimal"/>
      <w:suff w:val="nothing"/>
      <w:lvlText w:val="%1、"/>
      <w:lvlJc w:val="left"/>
    </w:lvl>
  </w:abstractNum>
  <w:abstractNum w:abstractNumId="3">
    <w:nsid w:val="CF092B84"/>
    <w:multiLevelType w:val="multilevel"/>
    <w:tmpl w:val="CF092B84"/>
    <w:lvl w:ilvl="0" w:tentative="0">
      <w:start w:val="1"/>
      <w:numFmt w:val="upperLetter"/>
      <w:pStyle w:val="27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5">
    <w:nsid w:val="24E64675"/>
    <w:multiLevelType w:val="singleLevel"/>
    <w:tmpl w:val="24E64675"/>
    <w:lvl w:ilvl="0" w:tentative="0">
      <w:start w:val="2"/>
      <w:numFmt w:val="chineseCounting"/>
      <w:suff w:val="nothing"/>
      <w:lvlText w:val="（%1）"/>
      <w:lvlJc w:val="left"/>
      <w:rPr>
        <w:rFonts w:hint="eastAsia"/>
      </w:rPr>
    </w:lvl>
  </w:abstractNum>
  <w:abstractNum w:abstractNumId="6">
    <w:nsid w:val="45B7782E"/>
    <w:multiLevelType w:val="singleLevel"/>
    <w:tmpl w:val="45B7782E"/>
    <w:lvl w:ilvl="0" w:tentative="0">
      <w:start w:val="2"/>
      <w:numFmt w:val="decimal"/>
      <w:suff w:val="nothing"/>
      <w:lvlText w:val="%1、"/>
      <w:lvlJc w:val="left"/>
    </w:lvl>
  </w:abstractNum>
  <w:abstractNum w:abstractNumId="7">
    <w:nsid w:val="59ADCABA"/>
    <w:multiLevelType w:val="multilevel"/>
    <w:tmpl w:val="59ADCABA"/>
    <w:lvl w:ilvl="0" w:tentative="0">
      <w:start w:val="1"/>
      <w:numFmt w:val="decimal"/>
      <w:pStyle w:val="27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69422BE4"/>
    <w:multiLevelType w:val="singleLevel"/>
    <w:tmpl w:val="69422BE4"/>
    <w:lvl w:ilvl="0" w:tentative="0">
      <w:start w:val="1"/>
      <w:numFmt w:val="decimal"/>
      <w:suff w:val="nothing"/>
      <w:lvlText w:val="%1、"/>
      <w:lvlJc w:val="left"/>
    </w:lvl>
  </w:abstractNum>
  <w:abstractNum w:abstractNumId="9">
    <w:nsid w:val="7EAF525B"/>
    <w:multiLevelType w:val="singleLevel"/>
    <w:tmpl w:val="7EAF525B"/>
    <w:lvl w:ilvl="0" w:tentative="0">
      <w:start w:val="1"/>
      <w:numFmt w:val="decimal"/>
      <w:lvlText w:val="%1."/>
      <w:lvlJc w:val="left"/>
      <w:pPr>
        <w:tabs>
          <w:tab w:val="left" w:pos="312"/>
        </w:tabs>
      </w:pPr>
    </w:lvl>
  </w:abstractNum>
  <w:num w:numId="1">
    <w:abstractNumId w:val="4"/>
  </w:num>
  <w:num w:numId="2">
    <w:abstractNumId w:val="3"/>
  </w:num>
  <w:num w:numId="3">
    <w:abstractNumId w:val="7"/>
  </w:num>
  <w:num w:numId="4">
    <w:abstractNumId w:val="9"/>
  </w:num>
  <w:num w:numId="5">
    <w:abstractNumId w:val="5"/>
  </w:num>
  <w:num w:numId="6">
    <w:abstractNumId w:val="6"/>
  </w:num>
  <w:num w:numId="7">
    <w:abstractNumId w:val="2"/>
  </w:num>
  <w:num w:numId="8">
    <w:abstractNumId w:val="8"/>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3C7666"/>
    <w:rsid w:val="0F0B2ED8"/>
    <w:rsid w:val="17664CEC"/>
    <w:rsid w:val="17BF34C0"/>
    <w:rsid w:val="18BC7E14"/>
    <w:rsid w:val="256E2798"/>
    <w:rsid w:val="299D5AA2"/>
    <w:rsid w:val="2C3A6FFD"/>
    <w:rsid w:val="35117CA8"/>
    <w:rsid w:val="38420499"/>
    <w:rsid w:val="3B1B25C7"/>
    <w:rsid w:val="3B44714F"/>
    <w:rsid w:val="3DCD1DDB"/>
    <w:rsid w:val="470C3FFF"/>
    <w:rsid w:val="4BC21D7A"/>
    <w:rsid w:val="4E001053"/>
    <w:rsid w:val="55C17745"/>
    <w:rsid w:val="56242E47"/>
    <w:rsid w:val="568D7C91"/>
    <w:rsid w:val="56C650C8"/>
    <w:rsid w:val="58C97F32"/>
    <w:rsid w:val="5BED5BCF"/>
    <w:rsid w:val="5EAA5536"/>
    <w:rsid w:val="6416375F"/>
    <w:rsid w:val="64A91929"/>
    <w:rsid w:val="662D444A"/>
    <w:rsid w:val="663C2AA4"/>
    <w:rsid w:val="67AA0CAC"/>
    <w:rsid w:val="690E22EE"/>
    <w:rsid w:val="6A944B76"/>
    <w:rsid w:val="6AA10E31"/>
    <w:rsid w:val="6F875467"/>
    <w:rsid w:val="795442D7"/>
    <w:rsid w:val="79AE12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4"/>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next w:val="1"/>
    <w:qFormat/>
    <w:uiPriority w:val="0"/>
    <w:pPr>
      <w:spacing w:line="929" w:lineRule="atLeast"/>
      <w:ind w:firstLine="419"/>
    </w:pPr>
    <w:rPr>
      <w:rFonts w:ascii="楷体_GB2312" w:eastAsia="楷体_GB2312"/>
      <w:sz w:val="2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Calibri" w:hAnsi="Calibri"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Calibri" w:hAnsi="Calibri" w:eastAsia="宋体" w:cs="Times New Roman"/>
    </w:rPr>
  </w:style>
  <w:style w:type="paragraph" w:customStyle="1" w:styleId="183">
    <w:name w:val="标题 11"/>
    <w:basedOn w:val="1"/>
    <w:next w:val="1"/>
    <w:link w:val="199"/>
    <w:qFormat/>
    <w:uiPriority w:val="0"/>
    <w:pPr>
      <w:keepNext/>
      <w:jc w:val="center"/>
      <w:outlineLvl w:val="0"/>
    </w:pPr>
    <w:rPr>
      <w:rFonts w:ascii="楷体_GB2312" w:hAnsi="Times New Roman" w:eastAsia="楷体_GB2312" w:cs="Times New Roman"/>
      <w:sz w:val="28"/>
      <w:szCs w:val="28"/>
    </w:rPr>
  </w:style>
  <w:style w:type="paragraph" w:customStyle="1" w:styleId="184">
    <w:name w:val="标题 211"/>
    <w:basedOn w:val="1"/>
    <w:next w:val="1"/>
    <w:link w:val="200"/>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5">
    <w:name w:val="标题 31"/>
    <w:basedOn w:val="1"/>
    <w:next w:val="186"/>
    <w:link w:val="20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6">
    <w:name w:val="正文缩进1"/>
    <w:basedOn w:val="1"/>
    <w:link w:val="202"/>
    <w:qFormat/>
    <w:uiPriority w:val="0"/>
    <w:pPr>
      <w:ind w:firstLine="420"/>
    </w:pPr>
    <w:rPr>
      <w:szCs w:val="21"/>
    </w:rPr>
  </w:style>
  <w:style w:type="paragraph" w:customStyle="1" w:styleId="187">
    <w:name w:val="标题 41"/>
    <w:basedOn w:val="1"/>
    <w:next w:val="186"/>
    <w:link w:val="20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8">
    <w:name w:val="标题 51"/>
    <w:basedOn w:val="1"/>
    <w:next w:val="186"/>
    <w:link w:val="204"/>
    <w:qFormat/>
    <w:uiPriority w:val="0"/>
    <w:pPr>
      <w:keepNext/>
      <w:outlineLvl w:val="4"/>
    </w:pPr>
    <w:rPr>
      <w:rFonts w:ascii="宋体" w:hAnsi="Times New Roman" w:eastAsia="宋体" w:cs="Times New Roman"/>
      <w:color w:val="000000"/>
      <w:sz w:val="28"/>
      <w:szCs w:val="28"/>
    </w:rPr>
  </w:style>
  <w:style w:type="paragraph" w:customStyle="1" w:styleId="189">
    <w:name w:val="标题 61"/>
    <w:basedOn w:val="1"/>
    <w:next w:val="1"/>
    <w:link w:val="205"/>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0">
    <w:name w:val="标题 71"/>
    <w:basedOn w:val="1"/>
    <w:next w:val="1"/>
    <w:link w:val="206"/>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1">
    <w:name w:val="标题 81"/>
    <w:basedOn w:val="1"/>
    <w:next w:val="1"/>
    <w:link w:val="207"/>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2">
    <w:name w:val="标题 91"/>
    <w:basedOn w:val="1"/>
    <w:next w:val="1"/>
    <w:link w:val="208"/>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paragraph" w:customStyle="1" w:styleId="195">
    <w:name w:val="正文首行缩进1"/>
    <w:basedOn w:val="196"/>
    <w:next w:val="1"/>
    <w:link w:val="198"/>
    <w:qFormat/>
    <w:uiPriority w:val="0"/>
    <w:pPr>
      <w:spacing w:line="360" w:lineRule="auto"/>
      <w:ind w:firstLine="200"/>
    </w:pPr>
    <w:rPr>
      <w:rFonts w:ascii="仿宋_GB2312" w:hAnsi="Times New Roman" w:eastAsia="仿宋_GB2312" w:cs="Times New Roman"/>
      <w:sz w:val="30"/>
      <w:szCs w:val="30"/>
    </w:rPr>
  </w:style>
  <w:style w:type="paragraph" w:customStyle="1" w:styleId="196">
    <w:name w:val="正文文本1"/>
    <w:basedOn w:val="1"/>
    <w:link w:val="197"/>
    <w:qFormat/>
    <w:uiPriority w:val="0"/>
    <w:rPr>
      <w:rFonts w:ascii="楷体_GB2312" w:hAnsi="Arial" w:eastAsia="楷体_GB2312" w:cs="Times New Roman"/>
      <w:sz w:val="28"/>
      <w:szCs w:val="28"/>
    </w:rPr>
  </w:style>
  <w:style w:type="character" w:customStyle="1" w:styleId="197">
    <w:name w:val="正文文本 字符"/>
    <w:link w:val="196"/>
    <w:qFormat/>
    <w:uiPriority w:val="0"/>
    <w:rPr>
      <w:rFonts w:ascii="楷体_GB2312" w:hAnsi="Arial" w:eastAsia="楷体_GB2312" w:cs="Times New Roman"/>
      <w:sz w:val="28"/>
      <w:szCs w:val="28"/>
    </w:rPr>
  </w:style>
  <w:style w:type="character" w:customStyle="1" w:styleId="198">
    <w:name w:val="正文文本首行缩进 字符"/>
    <w:link w:val="195"/>
    <w:qFormat/>
    <w:uiPriority w:val="0"/>
    <w:rPr>
      <w:rFonts w:ascii="仿宋_GB2312" w:hAnsi="Times New Roman" w:eastAsia="仿宋_GB2312" w:cs="Times New Roman"/>
      <w:sz w:val="30"/>
      <w:szCs w:val="30"/>
    </w:rPr>
  </w:style>
  <w:style w:type="character" w:customStyle="1" w:styleId="199">
    <w:name w:val="标题 1 字符"/>
    <w:link w:val="183"/>
    <w:qFormat/>
    <w:uiPriority w:val="0"/>
    <w:rPr>
      <w:rFonts w:ascii="楷体_GB2312" w:hAnsi="Times New Roman" w:eastAsia="楷体_GB2312" w:cs="Times New Roman"/>
      <w:sz w:val="28"/>
      <w:szCs w:val="28"/>
    </w:rPr>
  </w:style>
  <w:style w:type="character" w:customStyle="1" w:styleId="200">
    <w:name w:val="标题 2 字符1"/>
    <w:link w:val="184"/>
    <w:qFormat/>
    <w:uiPriority w:val="0"/>
    <w:rPr>
      <w:rFonts w:ascii="Arial" w:hAnsi="Arial" w:eastAsia="幼圆" w:cs="Arial"/>
      <w:b/>
      <w:bCs/>
      <w:sz w:val="44"/>
      <w:szCs w:val="44"/>
    </w:rPr>
  </w:style>
  <w:style w:type="character" w:customStyle="1" w:styleId="201">
    <w:name w:val="标题 3 字符"/>
    <w:link w:val="185"/>
    <w:qFormat/>
    <w:uiPriority w:val="0"/>
    <w:rPr>
      <w:rFonts w:ascii="Times New Roman" w:hAnsi="Times New Roman" w:eastAsia="宋体" w:cs="Times New Roman"/>
      <w:b/>
      <w:bCs/>
      <w:sz w:val="32"/>
      <w:szCs w:val="32"/>
    </w:rPr>
  </w:style>
  <w:style w:type="character" w:customStyle="1" w:styleId="202">
    <w:name w:val="正文缩进 字符"/>
    <w:link w:val="186"/>
    <w:qFormat/>
    <w:uiPriority w:val="0"/>
    <w:rPr>
      <w:szCs w:val="21"/>
    </w:rPr>
  </w:style>
  <w:style w:type="character" w:customStyle="1" w:styleId="203">
    <w:name w:val="标题 4 字符1"/>
    <w:link w:val="187"/>
    <w:qFormat/>
    <w:uiPriority w:val="0"/>
    <w:rPr>
      <w:rFonts w:ascii="Arial" w:hAnsi="Arial" w:eastAsia="黑体" w:cs="Arial"/>
      <w:b/>
      <w:bCs/>
      <w:sz w:val="28"/>
      <w:szCs w:val="28"/>
    </w:rPr>
  </w:style>
  <w:style w:type="character" w:customStyle="1" w:styleId="204">
    <w:name w:val="标题 5 字符"/>
    <w:link w:val="188"/>
    <w:qFormat/>
    <w:uiPriority w:val="0"/>
    <w:rPr>
      <w:rFonts w:ascii="宋体" w:hAnsi="Times New Roman" w:eastAsia="宋体" w:cs="Times New Roman"/>
      <w:color w:val="000000"/>
      <w:sz w:val="28"/>
      <w:szCs w:val="28"/>
    </w:rPr>
  </w:style>
  <w:style w:type="character" w:customStyle="1" w:styleId="205">
    <w:name w:val="标题 6 字符"/>
    <w:link w:val="189"/>
    <w:qFormat/>
    <w:uiPriority w:val="0"/>
    <w:rPr>
      <w:rFonts w:ascii="Arial" w:hAnsi="Arial" w:eastAsia="黑体" w:cs="Times New Roman"/>
      <w:b/>
      <w:bCs/>
      <w:sz w:val="24"/>
      <w:szCs w:val="24"/>
    </w:rPr>
  </w:style>
  <w:style w:type="character" w:customStyle="1" w:styleId="206">
    <w:name w:val="标题 7 字符"/>
    <w:link w:val="190"/>
    <w:qFormat/>
    <w:uiPriority w:val="0"/>
    <w:rPr>
      <w:rFonts w:ascii="Times New Roman" w:hAnsi="Times New Roman" w:eastAsia="宋体" w:cs="Times New Roman"/>
      <w:b/>
      <w:bCs/>
      <w:sz w:val="24"/>
      <w:szCs w:val="24"/>
    </w:rPr>
  </w:style>
  <w:style w:type="character" w:customStyle="1" w:styleId="207">
    <w:name w:val="标题 8 字符"/>
    <w:link w:val="191"/>
    <w:qFormat/>
    <w:uiPriority w:val="0"/>
    <w:rPr>
      <w:rFonts w:ascii="Arial" w:hAnsi="Arial" w:eastAsia="黑体" w:cs="Times New Roman"/>
      <w:sz w:val="24"/>
      <w:szCs w:val="24"/>
    </w:rPr>
  </w:style>
  <w:style w:type="character" w:customStyle="1" w:styleId="208">
    <w:name w:val="标题 9 字符"/>
    <w:link w:val="192"/>
    <w:qFormat/>
    <w:uiPriority w:val="0"/>
    <w:rPr>
      <w:rFonts w:ascii="Arial" w:hAnsi="Arial" w:eastAsia="黑体" w:cs="Times New Roman"/>
      <w:szCs w:val="21"/>
    </w:rPr>
  </w:style>
  <w:style w:type="paragraph" w:customStyle="1" w:styleId="209">
    <w:name w:val="列表 31"/>
    <w:basedOn w:val="1"/>
    <w:qFormat/>
    <w:uiPriority w:val="0"/>
    <w:pPr>
      <w:ind w:left="100" w:hanging="200"/>
    </w:pPr>
    <w:rPr>
      <w:rFonts w:ascii="Times New Roman" w:hAnsi="Times New Roman" w:eastAsia="宋体" w:cs="Times New Roman"/>
      <w:szCs w:val="21"/>
    </w:rPr>
  </w:style>
  <w:style w:type="paragraph" w:customStyle="1" w:styleId="210">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11">
    <w:name w:val="文档结构图1"/>
    <w:basedOn w:val="1"/>
    <w:link w:val="212"/>
    <w:semiHidden/>
    <w:qFormat/>
    <w:uiPriority w:val="0"/>
    <w:pPr>
      <w:shd w:val="clear" w:color="auto" w:fill="000080"/>
    </w:pPr>
    <w:rPr>
      <w:rFonts w:ascii="Times New Roman" w:hAnsi="Times New Roman" w:eastAsia="宋体" w:cs="Times New Roman"/>
      <w:szCs w:val="21"/>
    </w:rPr>
  </w:style>
  <w:style w:type="character" w:customStyle="1" w:styleId="212">
    <w:name w:val="文档结构图 字符"/>
    <w:link w:val="211"/>
    <w:semiHidden/>
    <w:qFormat/>
    <w:uiPriority w:val="0"/>
    <w:rPr>
      <w:rFonts w:ascii="Times New Roman" w:hAnsi="Times New Roman" w:eastAsia="宋体" w:cs="Times New Roman"/>
      <w:szCs w:val="21"/>
      <w:shd w:val="clear" w:color="auto" w:fill="000080"/>
    </w:rPr>
  </w:style>
  <w:style w:type="paragraph" w:customStyle="1" w:styleId="213">
    <w:name w:val="批注文字11"/>
    <w:basedOn w:val="1"/>
    <w:link w:val="214"/>
    <w:unhideWhenUsed/>
    <w:qFormat/>
    <w:uiPriority w:val="0"/>
    <w:pPr>
      <w:jc w:val="left"/>
    </w:pPr>
  </w:style>
  <w:style w:type="character" w:customStyle="1" w:styleId="214">
    <w:name w:val="批注文字 字符1"/>
    <w:link w:val="213"/>
    <w:semiHidden/>
    <w:qFormat/>
    <w:uiPriority w:val="99"/>
  </w:style>
  <w:style w:type="paragraph" w:customStyle="1" w:styleId="215">
    <w:name w:val="正文文本 31"/>
    <w:basedOn w:val="1"/>
    <w:link w:val="216"/>
    <w:qFormat/>
    <w:uiPriority w:val="0"/>
    <w:rPr>
      <w:rFonts w:ascii="仿宋_GB2312" w:hAnsi="Arial" w:eastAsia="仿宋_GB2312" w:cs="Times New Roman"/>
      <w:sz w:val="32"/>
      <w:szCs w:val="32"/>
    </w:rPr>
  </w:style>
  <w:style w:type="character" w:customStyle="1" w:styleId="216">
    <w:name w:val="正文文本 3 字符"/>
    <w:link w:val="215"/>
    <w:qFormat/>
    <w:uiPriority w:val="0"/>
    <w:rPr>
      <w:rFonts w:ascii="仿宋_GB2312" w:hAnsi="Arial" w:eastAsia="仿宋_GB2312" w:cs="Times New Roman"/>
      <w:sz w:val="32"/>
      <w:szCs w:val="32"/>
    </w:rPr>
  </w:style>
  <w:style w:type="paragraph" w:customStyle="1" w:styleId="217">
    <w:name w:val="正文文本缩进1"/>
    <w:basedOn w:val="1"/>
    <w:link w:val="218"/>
    <w:unhideWhenUsed/>
    <w:qFormat/>
    <w:uiPriority w:val="0"/>
    <w:pPr>
      <w:spacing w:after="120"/>
      <w:ind w:left="420"/>
    </w:pPr>
  </w:style>
  <w:style w:type="character" w:customStyle="1" w:styleId="218">
    <w:name w:val="正文文本缩进 字符"/>
    <w:link w:val="217"/>
    <w:semiHidden/>
    <w:qFormat/>
    <w:uiPriority w:val="99"/>
  </w:style>
  <w:style w:type="paragraph" w:customStyle="1" w:styleId="219">
    <w:name w:val="列表 21"/>
    <w:basedOn w:val="1"/>
    <w:qFormat/>
    <w:uiPriority w:val="0"/>
    <w:pPr>
      <w:ind w:left="100" w:hanging="200"/>
    </w:pPr>
    <w:rPr>
      <w:rFonts w:ascii="Times New Roman" w:hAnsi="Times New Roman" w:eastAsia="宋体" w:cs="Times New Roman"/>
      <w:szCs w:val="21"/>
    </w:rPr>
  </w:style>
  <w:style w:type="paragraph" w:customStyle="1" w:styleId="220">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1">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2">
    <w:name w:val="纯文本1"/>
    <w:basedOn w:val="1"/>
    <w:link w:val="223"/>
    <w:qFormat/>
    <w:uiPriority w:val="0"/>
    <w:rPr>
      <w:rFonts w:ascii="宋体" w:hAnsi="Courier New" w:eastAsia="宋体" w:cs="Courier New"/>
      <w:szCs w:val="21"/>
    </w:rPr>
  </w:style>
  <w:style w:type="character" w:customStyle="1" w:styleId="223">
    <w:name w:val="纯文本 字符"/>
    <w:link w:val="222"/>
    <w:qFormat/>
    <w:uiPriority w:val="0"/>
    <w:rPr>
      <w:rFonts w:ascii="宋体" w:hAnsi="Courier New" w:eastAsia="宋体" w:cs="Courier New"/>
      <w:szCs w:val="21"/>
    </w:rPr>
  </w:style>
  <w:style w:type="paragraph" w:customStyle="1" w:styleId="224">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5">
    <w:name w:val="日期1"/>
    <w:basedOn w:val="1"/>
    <w:next w:val="1"/>
    <w:link w:val="226"/>
    <w:qFormat/>
    <w:uiPriority w:val="0"/>
    <w:rPr>
      <w:rFonts w:ascii="Times New Roman" w:hAnsi="Times New Roman" w:eastAsia="宋体" w:cs="Times New Roman"/>
      <w:sz w:val="24"/>
      <w:szCs w:val="24"/>
    </w:rPr>
  </w:style>
  <w:style w:type="character" w:customStyle="1" w:styleId="226">
    <w:name w:val="日期 字符"/>
    <w:link w:val="225"/>
    <w:qFormat/>
    <w:uiPriority w:val="0"/>
    <w:rPr>
      <w:rFonts w:ascii="Times New Roman" w:hAnsi="Times New Roman" w:eastAsia="宋体" w:cs="Times New Roman"/>
      <w:sz w:val="24"/>
      <w:szCs w:val="24"/>
    </w:rPr>
  </w:style>
  <w:style w:type="paragraph" w:customStyle="1" w:styleId="227">
    <w:name w:val="正文文本缩进 21"/>
    <w:basedOn w:val="1"/>
    <w:link w:val="228"/>
    <w:qFormat/>
    <w:uiPriority w:val="0"/>
    <w:pPr>
      <w:ind w:left="630" w:firstLine="645"/>
    </w:pPr>
    <w:rPr>
      <w:rFonts w:ascii="Arial" w:hAnsi="Arial" w:eastAsia="仿宋_GB2312" w:cs="Arial"/>
      <w:sz w:val="32"/>
      <w:szCs w:val="32"/>
    </w:rPr>
  </w:style>
  <w:style w:type="character" w:customStyle="1" w:styleId="228">
    <w:name w:val="正文文本缩进 2 字符"/>
    <w:link w:val="227"/>
    <w:qFormat/>
    <w:uiPriority w:val="0"/>
    <w:rPr>
      <w:rFonts w:ascii="Arial" w:hAnsi="Arial" w:eastAsia="仿宋_GB2312" w:cs="Arial"/>
      <w:sz w:val="32"/>
      <w:szCs w:val="32"/>
    </w:rPr>
  </w:style>
  <w:style w:type="paragraph" w:customStyle="1" w:styleId="229">
    <w:name w:val="批注框文本1"/>
    <w:basedOn w:val="1"/>
    <w:link w:val="230"/>
    <w:semiHidden/>
    <w:qFormat/>
    <w:uiPriority w:val="0"/>
    <w:rPr>
      <w:rFonts w:ascii="Times New Roman" w:hAnsi="Times New Roman" w:eastAsia="宋体" w:cs="Times New Roman"/>
      <w:sz w:val="18"/>
      <w:szCs w:val="18"/>
    </w:rPr>
  </w:style>
  <w:style w:type="character" w:customStyle="1" w:styleId="230">
    <w:name w:val="批注框文本 字符"/>
    <w:link w:val="229"/>
    <w:semiHidden/>
    <w:qFormat/>
    <w:uiPriority w:val="0"/>
    <w:rPr>
      <w:rFonts w:ascii="Times New Roman" w:hAnsi="Times New Roman" w:eastAsia="宋体" w:cs="Times New Roman"/>
      <w:sz w:val="18"/>
      <w:szCs w:val="18"/>
    </w:rPr>
  </w:style>
  <w:style w:type="paragraph" w:customStyle="1" w:styleId="231">
    <w:name w:val="页脚1"/>
    <w:basedOn w:val="1"/>
    <w:link w:val="232"/>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32">
    <w:name w:val="页脚 字符"/>
    <w:link w:val="231"/>
    <w:qFormat/>
    <w:uiPriority w:val="0"/>
    <w:rPr>
      <w:rFonts w:ascii="Times New Roman" w:hAnsi="Times New Roman" w:eastAsia="宋体" w:cs="Times New Roman"/>
      <w:sz w:val="18"/>
      <w:szCs w:val="18"/>
    </w:rPr>
  </w:style>
  <w:style w:type="paragraph" w:customStyle="1" w:styleId="233">
    <w:name w:val="页眉1"/>
    <w:basedOn w:val="1"/>
    <w:link w:val="234"/>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4">
    <w:name w:val="页眉 字符"/>
    <w:link w:val="233"/>
    <w:qFormat/>
    <w:uiPriority w:val="0"/>
    <w:rPr>
      <w:rFonts w:ascii="Times New Roman" w:hAnsi="Times New Roman" w:eastAsia="宋体" w:cs="Times New Roman"/>
      <w:sz w:val="18"/>
      <w:szCs w:val="18"/>
    </w:rPr>
  </w:style>
  <w:style w:type="paragraph" w:customStyle="1" w:styleId="235">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6">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7">
    <w:name w:val="列表1"/>
    <w:basedOn w:val="1"/>
    <w:qFormat/>
    <w:uiPriority w:val="0"/>
    <w:pPr>
      <w:ind w:left="200" w:hanging="200"/>
    </w:pPr>
    <w:rPr>
      <w:rFonts w:ascii="Times New Roman" w:hAnsi="Times New Roman" w:eastAsia="宋体" w:cs="Times New Roman"/>
      <w:szCs w:val="21"/>
    </w:rPr>
  </w:style>
  <w:style w:type="paragraph" w:customStyle="1" w:styleId="238">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9">
    <w:name w:val="正文文本缩进 31"/>
    <w:basedOn w:val="1"/>
    <w:link w:val="240"/>
    <w:qFormat/>
    <w:uiPriority w:val="0"/>
    <w:pPr>
      <w:ind w:left="645" w:firstLine="645"/>
    </w:pPr>
    <w:rPr>
      <w:rFonts w:ascii="Arial" w:hAnsi="Arial" w:eastAsia="仿宋_GB2312" w:cs="Arial"/>
      <w:color w:val="FFFF00"/>
      <w:sz w:val="32"/>
      <w:szCs w:val="32"/>
    </w:rPr>
  </w:style>
  <w:style w:type="character" w:customStyle="1" w:styleId="240">
    <w:name w:val="正文文本缩进 3 字符"/>
    <w:link w:val="239"/>
    <w:qFormat/>
    <w:uiPriority w:val="0"/>
    <w:rPr>
      <w:rFonts w:ascii="Arial" w:hAnsi="Arial" w:eastAsia="仿宋_GB2312" w:cs="Arial"/>
      <w:color w:val="FFFF00"/>
      <w:sz w:val="32"/>
      <w:szCs w:val="32"/>
    </w:rPr>
  </w:style>
  <w:style w:type="paragraph" w:customStyle="1" w:styleId="241">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2">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3">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4">
    <w:name w:val="正文文本 21"/>
    <w:basedOn w:val="1"/>
    <w:link w:val="245"/>
    <w:qFormat/>
    <w:uiPriority w:val="0"/>
    <w:pPr>
      <w:widowControl/>
      <w:jc w:val="center"/>
    </w:pPr>
    <w:rPr>
      <w:rFonts w:ascii="楷体_GB2312" w:hAnsi="Times New Roman" w:eastAsia="楷体_GB2312" w:cs="Times New Roman"/>
      <w:sz w:val="28"/>
      <w:szCs w:val="28"/>
    </w:rPr>
  </w:style>
  <w:style w:type="character" w:customStyle="1" w:styleId="245">
    <w:name w:val="正文文本 2 字符"/>
    <w:link w:val="244"/>
    <w:qFormat/>
    <w:uiPriority w:val="0"/>
    <w:rPr>
      <w:rFonts w:ascii="楷体_GB2312" w:hAnsi="Times New Roman" w:eastAsia="楷体_GB2312" w:cs="Times New Roman"/>
      <w:sz w:val="28"/>
      <w:szCs w:val="28"/>
    </w:rPr>
  </w:style>
  <w:style w:type="paragraph" w:customStyle="1" w:styleId="246">
    <w:name w:val="列表接续 21"/>
    <w:basedOn w:val="1"/>
    <w:qFormat/>
    <w:uiPriority w:val="0"/>
    <w:pPr>
      <w:spacing w:after="120"/>
      <w:ind w:left="840"/>
    </w:pPr>
  </w:style>
  <w:style w:type="paragraph" w:customStyle="1" w:styleId="24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8">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9">
    <w:name w:val="批注主题1"/>
    <w:basedOn w:val="213"/>
    <w:next w:val="213"/>
    <w:link w:val="250"/>
    <w:semiHidden/>
    <w:qFormat/>
    <w:uiPriority w:val="0"/>
    <w:rPr>
      <w:rFonts w:ascii="Times New Roman" w:hAnsi="Times New Roman" w:eastAsia="宋体" w:cs="Times New Roman"/>
      <w:b/>
      <w:bCs/>
      <w:szCs w:val="21"/>
    </w:rPr>
  </w:style>
  <w:style w:type="character" w:customStyle="1" w:styleId="250">
    <w:name w:val="批注主题 字符"/>
    <w:link w:val="249"/>
    <w:semiHidden/>
    <w:qFormat/>
    <w:uiPriority w:val="0"/>
    <w:rPr>
      <w:rFonts w:ascii="Times New Roman" w:hAnsi="Times New Roman" w:eastAsia="宋体" w:cs="Times New Roman"/>
      <w:b/>
      <w:bCs/>
      <w:szCs w:val="21"/>
    </w:rPr>
  </w:style>
  <w:style w:type="paragraph" w:customStyle="1" w:styleId="251">
    <w:name w:val="正文首行缩进 21"/>
    <w:basedOn w:val="217"/>
    <w:link w:val="252"/>
    <w:qFormat/>
    <w:uiPriority w:val="0"/>
    <w:pPr>
      <w:spacing w:after="0" w:line="360" w:lineRule="auto"/>
      <w:ind w:left="0" w:firstLine="420"/>
    </w:pPr>
    <w:rPr>
      <w:rFonts w:ascii="宋体" w:hAnsi="宋体" w:eastAsia="宋体" w:cs="Times New Roman"/>
      <w:szCs w:val="20"/>
    </w:rPr>
  </w:style>
  <w:style w:type="character" w:customStyle="1" w:styleId="252">
    <w:name w:val="正文文本首行缩进 2 字符"/>
    <w:link w:val="251"/>
    <w:qFormat/>
    <w:uiPriority w:val="0"/>
    <w:rPr>
      <w:rFonts w:ascii="宋体" w:hAnsi="宋体" w:eastAsia="宋体" w:cs="Times New Roman"/>
      <w:szCs w:val="20"/>
    </w:rPr>
  </w:style>
  <w:style w:type="table" w:customStyle="1" w:styleId="253">
    <w:name w:val="网格型1"/>
    <w:basedOn w:val="194"/>
    <w:qFormat/>
    <w:uiPriority w:val="0"/>
    <w:pPr>
      <w:widowControl w:val="0"/>
      <w:jc w:val="both"/>
    </w:pPr>
    <w:rPr>
      <w:rFonts w:ascii="Times New Roman" w:hAnsi="Times New Roman" w:eastAsia="宋体" w:cs="Times New Roman"/>
      <w:sz w:val="20"/>
      <w:szCs w:val="20"/>
    </w:rPr>
  </w:style>
  <w:style w:type="character" w:customStyle="1" w:styleId="254">
    <w:name w:val="要点1"/>
    <w:link w:val="1"/>
    <w:qFormat/>
    <w:uiPriority w:val="0"/>
    <w:rPr>
      <w:b/>
      <w:bCs/>
    </w:rPr>
  </w:style>
  <w:style w:type="character" w:customStyle="1" w:styleId="255">
    <w:name w:val="页码1"/>
    <w:link w:val="1"/>
    <w:qFormat/>
    <w:uiPriority w:val="0"/>
  </w:style>
  <w:style w:type="character" w:customStyle="1" w:styleId="256">
    <w:name w:val="已访问的超链接1"/>
    <w:link w:val="1"/>
    <w:qFormat/>
    <w:uiPriority w:val="0"/>
    <w:rPr>
      <w:color w:val="800080"/>
      <w:u w:val="single"/>
    </w:rPr>
  </w:style>
  <w:style w:type="character" w:customStyle="1" w:styleId="257">
    <w:name w:val="超链接1"/>
    <w:link w:val="1"/>
    <w:qFormat/>
    <w:uiPriority w:val="0"/>
    <w:rPr>
      <w:color w:val="0000FF"/>
      <w:u w:val="single"/>
    </w:rPr>
  </w:style>
  <w:style w:type="character" w:customStyle="1" w:styleId="258">
    <w:name w:val="批注引用1"/>
    <w:link w:val="1"/>
    <w:semiHidden/>
    <w:qFormat/>
    <w:uiPriority w:val="0"/>
    <w:rPr>
      <w:sz w:val="21"/>
      <w:szCs w:val="21"/>
    </w:rPr>
  </w:style>
  <w:style w:type="paragraph" w:customStyle="1" w:styleId="259">
    <w:name w:val="首行缩进"/>
    <w:basedOn w:val="1"/>
    <w:qFormat/>
    <w:uiPriority w:val="0"/>
    <w:pPr>
      <w:spacing w:line="360" w:lineRule="auto"/>
      <w:ind w:firstLine="480"/>
    </w:pPr>
    <w:rPr>
      <w:rFonts w:ascii="Calibri" w:hAnsi="Calibri" w:eastAsia="宋体" w:cs="Times New Roman"/>
      <w:sz w:val="24"/>
      <w:szCs w:val="22"/>
    </w:rPr>
  </w:style>
  <w:style w:type="character" w:customStyle="1" w:styleId="260">
    <w:name w:val="font5 Char"/>
    <w:link w:val="1"/>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63">
    <w:name w:val="列出段落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rFonts w:ascii="Calibri" w:hAnsi="Calibri"/>
      <w:sz w:val="24"/>
      <w:szCs w:val="24"/>
      <w:lang w:eastAsia="en-US" w:bidi="en-US"/>
    </w:rPr>
  </w:style>
  <w:style w:type="paragraph" w:customStyle="1" w:styleId="265">
    <w:name w:val="Body Text(ch)"/>
    <w:basedOn w:val="1"/>
    <w:next w:val="196"/>
    <w:qFormat/>
    <w:uiPriority w:val="0"/>
    <w:pPr>
      <w:spacing w:after="120"/>
    </w:pPr>
    <w:rPr>
      <w:rFonts w:ascii="宋体" w:hAnsi="Arial" w:eastAsia="宋体" w:cs="Times New Roman"/>
      <w:bCs/>
      <w:iCs/>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9">
    <w:name w:val=" Char"/>
    <w:basedOn w:val="211"/>
    <w:qFormat/>
    <w:uiPriority w:val="0"/>
    <w:rPr>
      <w:rFonts w:ascii="Tahoma" w:hAnsi="Tahoma"/>
      <w:sz w:val="24"/>
      <w:szCs w:val="24"/>
    </w:rPr>
  </w:style>
  <w:style w:type="paragraph" w:customStyle="1" w:styleId="27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3">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4">
    <w:name w:val=" Char Char Char Char"/>
    <w:basedOn w:val="211"/>
    <w:qFormat/>
    <w:uiPriority w:val="0"/>
    <w:pPr>
      <w:spacing w:line="360" w:lineRule="auto"/>
    </w:pPr>
    <w:rPr>
      <w:rFonts w:ascii="Tahoma" w:hAnsi="Tahoma"/>
      <w:sz w:val="24"/>
      <w:szCs w:val="24"/>
    </w:rPr>
  </w:style>
  <w:style w:type="paragraph" w:customStyle="1" w:styleId="275">
    <w:name w:val="列表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6">
    <w:name w:val="4"/>
    <w:basedOn w:val="1"/>
    <w:next w:val="239"/>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8">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9">
    <w:name w:val="样式1"/>
    <w:basedOn w:val="1"/>
    <w:qFormat/>
    <w:uiPriority w:val="0"/>
    <w:pPr>
      <w:numPr>
        <w:ilvl w:val="0"/>
        <w:numId w:val="3"/>
      </w:numPr>
    </w:pPr>
    <w:rPr>
      <w:rFonts w:ascii="宋体" w:hAnsi="宋体" w:eastAsia="宋体" w:cs="Times New Roman"/>
      <w:szCs w:val="21"/>
    </w:rPr>
  </w:style>
  <w:style w:type="paragraph" w:customStyle="1" w:styleId="28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9">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0">
    <w:name w:val="Char Char Char Char"/>
    <w:basedOn w:val="211"/>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3">
    <w:name w:val="标题1"/>
    <w:basedOn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6">
    <w:name w:val="标题 21"/>
    <w:basedOn w:val="1"/>
    <w:next w:val="1"/>
    <w:link w:val="297"/>
    <w:qFormat/>
    <w:uiPriority w:val="0"/>
    <w:pPr>
      <w:keepNext/>
      <w:keepLines/>
      <w:spacing w:before="260" w:after="260" w:line="413" w:lineRule="auto"/>
      <w:outlineLvl w:val="1"/>
    </w:pPr>
    <w:rPr>
      <w:rFonts w:ascii="Arial" w:hAnsi="Arial" w:eastAsia="黑体"/>
      <w:b/>
      <w:sz w:val="32"/>
      <w:szCs w:val="20"/>
    </w:rPr>
  </w:style>
  <w:style w:type="character" w:customStyle="1" w:styleId="297">
    <w:name w:val="标题 2 字符"/>
    <w:link w:val="296"/>
    <w:qFormat/>
    <w:uiPriority w:val="0"/>
    <w:rPr>
      <w:rFonts w:ascii="Arial" w:hAnsi="Arial" w:eastAsia="黑体"/>
      <w:b/>
      <w:sz w:val="32"/>
    </w:rPr>
  </w:style>
  <w:style w:type="paragraph" w:customStyle="1" w:styleId="298">
    <w:name w:val="批注文字1"/>
    <w:basedOn w:val="1"/>
    <w:link w:val="299"/>
    <w:qFormat/>
    <w:uiPriority w:val="99"/>
    <w:pPr>
      <w:jc w:val="left"/>
    </w:pPr>
    <w:rPr>
      <w:szCs w:val="20"/>
    </w:rPr>
  </w:style>
  <w:style w:type="character" w:customStyle="1" w:styleId="299">
    <w:name w:val="批注文字 字符"/>
    <w:link w:val="298"/>
    <w:qFormat/>
    <w:uiPriority w:val="99"/>
    <w:rPr>
      <w:sz w:val="21"/>
    </w:rPr>
  </w:style>
  <w:style w:type="paragraph" w:customStyle="1" w:styleId="300">
    <w:name w:val="Normal_0_1"/>
    <w:qFormat/>
    <w:uiPriority w:val="0"/>
    <w:rPr>
      <w:rFonts w:hint="default" w:ascii="黑体" w:hAnsi="黑体" w:eastAsia="黑体" w:cs="Times New Roman"/>
      <w:b/>
      <w:sz w:val="32"/>
      <w:szCs w:val="24"/>
      <w:lang w:val="en-US" w:eastAsia="zh-CN" w:bidi="ar-SA"/>
    </w:rPr>
  </w:style>
  <w:style w:type="paragraph" w:customStyle="1" w:styleId="301">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2">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3">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304">
    <w:name w:val="标题 4 字符"/>
    <w:link w:val="1"/>
    <w:qFormat/>
    <w:uiPriority w:val="0"/>
    <w:rPr>
      <w:rFonts w:ascii="Arial" w:hAnsi="Arial" w:eastAsia="黑体" w:cs="Arial"/>
      <w:b/>
      <w:bCs/>
      <w:sz w:val="28"/>
      <w:szCs w:val="28"/>
    </w:rPr>
  </w:style>
  <w:style w:type="paragraph" w:customStyle="1" w:styleId="305">
    <w:name w:val="Normal_20"/>
    <w:qFormat/>
    <w:uiPriority w:val="0"/>
    <w:rPr>
      <w:rFonts w:hint="default" w:ascii="黑体" w:hAnsi="黑体" w:eastAsia="黑体" w:cs="黑体"/>
      <w:b/>
      <w:sz w:val="32"/>
      <w:szCs w:val="24"/>
      <w:lang w:val="en-US" w:eastAsia="zh-CN" w:bidi="ar-SA"/>
    </w:rPr>
  </w:style>
  <w:style w:type="paragraph" w:customStyle="1" w:styleId="306">
    <w:name w:val="正文文本首行缩进 21"/>
    <w:basedOn w:val="307"/>
    <w:qFormat/>
    <w:uiPriority w:val="0"/>
    <w:pPr>
      <w:spacing w:after="120"/>
      <w:ind w:left="200" w:firstLine="200"/>
    </w:pPr>
    <w:rPr>
      <w:rFonts w:ascii="Times New Roman" w:hAnsi="Times New Roman" w:eastAsia="仿宋_GB2312" w:cs="Times New Roman"/>
      <w:sz w:val="24"/>
      <w:szCs w:val="24"/>
    </w:rPr>
  </w:style>
  <w:style w:type="paragraph" w:customStyle="1" w:styleId="307">
    <w:name w:val="Normal_21"/>
    <w:qFormat/>
    <w:uiPriority w:val="0"/>
    <w:pPr>
      <w:widowControl w:val="0"/>
      <w:jc w:val="both"/>
    </w:pPr>
    <w:rPr>
      <w:rFonts w:hint="default" w:ascii="Times New Roman" w:hAnsi="Times New Roman" w:eastAsia="宋体" w:cs="Times New Roman"/>
      <w:lang w:val="en-US" w:eastAsia="zh-CN" w:bidi="ar-SA"/>
    </w:rPr>
  </w:style>
  <w:style w:type="paragraph" w:customStyle="1" w:styleId="30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9">
    <w:name w:val="Normal_18_0"/>
    <w:qFormat/>
    <w:uiPriority w:val="0"/>
    <w:rPr>
      <w:rFonts w:hint="default" w:ascii="黑体" w:hAnsi="黑体" w:eastAsia="黑体" w:cs="黑体"/>
      <w:b/>
      <w:sz w:val="32"/>
      <w:szCs w:val="24"/>
      <w:lang w:val="en-US" w:eastAsia="zh-CN" w:bidi="ar-SA"/>
    </w:rPr>
  </w:style>
  <w:style w:type="paragraph" w:customStyle="1" w:styleId="310">
    <w:name w:val="正文_12_0_0_0_0"/>
    <w:basedOn w:val="1"/>
    <w:qFormat/>
    <w:uiPriority w:val="0"/>
    <w:rPr>
      <w:rFonts w:ascii="Times New Roman" w:hAnsi="Times New Roman"/>
      <w:szCs w:val="24"/>
    </w:rPr>
  </w:style>
  <w:style w:type="paragraph" w:customStyle="1" w:styleId="311">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2">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3">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4">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15">
    <w:name w:val="正文3"/>
    <w:qFormat/>
    <w:uiPriority w:val="0"/>
    <w:pPr>
      <w:widowControl w:val="0"/>
      <w:jc w:val="both"/>
    </w:pPr>
    <w:rPr>
      <w:rFonts w:hint="default" w:ascii="Calibri" w:hAnsi="Calibri" w:eastAsia="宋体" w:cs="Times New Roman"/>
      <w:lang w:val="en-US" w:eastAsia="zh-CN" w:bidi="ar-SA"/>
    </w:rPr>
  </w:style>
  <w:style w:type="paragraph" w:customStyle="1" w:styleId="316">
    <w:name w:val="正文_16_0_0"/>
    <w:next w:val="3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Normal_3_0"/>
    <w:qFormat/>
    <w:uiPriority w:val="0"/>
    <w:rPr>
      <w:rFonts w:hint="default" w:ascii="黑体" w:hAnsi="黑体" w:eastAsia="黑体" w:cs="Times New Roman"/>
      <w:b/>
      <w:sz w:val="32"/>
      <w:szCs w:val="24"/>
      <w:lang w:val="en-US" w:eastAsia="zh-CN" w:bidi="ar-SA"/>
    </w:rPr>
  </w:style>
  <w:style w:type="paragraph" w:customStyle="1" w:styleId="318">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9">
    <w:name w:val="正文1"/>
    <w:basedOn w:val="1"/>
    <w:next w:val="1"/>
    <w:qFormat/>
    <w:uiPriority w:val="0"/>
    <w:pPr>
      <w:widowControl/>
      <w:spacing w:line="360" w:lineRule="auto"/>
      <w:ind w:left="357" w:firstLine="420"/>
      <w:jc w:val="left"/>
    </w:pPr>
    <w:rPr>
      <w:rFonts w:cs="Arial"/>
      <w:szCs w:val="20"/>
    </w:rPr>
  </w:style>
  <w:style w:type="paragraph" w:customStyle="1" w:styleId="320">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1">
    <w:name w:val="WPSOffice手动目录 1"/>
    <w:qFormat/>
    <w:uiPriority w:val="0"/>
    <w:rPr>
      <w:rFonts w:hint="default" w:ascii="Calibri" w:hAnsi="Calibri" w:eastAsia="宋体" w:cs="Times New Roman"/>
      <w:lang w:val="en-US" w:eastAsia="zh-CN" w:bidi="ar-SA"/>
    </w:rPr>
  </w:style>
  <w:style w:type="paragraph" w:customStyle="1" w:styleId="322">
    <w:name w:val="WPSOffice手动目录 2"/>
    <w:qFormat/>
    <w:uiPriority w:val="0"/>
    <w:rPr>
      <w:rFonts w:hint="default" w:ascii="Calibri" w:hAnsi="Calibri" w:eastAsia="宋体" w:cs="Times New Roman"/>
      <w:lang w:val="en-US" w:eastAsia="zh-CN" w:bidi="ar-SA"/>
    </w:rPr>
  </w:style>
  <w:style w:type="paragraph" w:customStyle="1" w:styleId="323">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4">
    <w:name w:val="无间隔1"/>
    <w:qFormat/>
    <w:uiPriority w:val="0"/>
    <w:pPr>
      <w:widowControl w:val="0"/>
      <w:jc w:val="both"/>
    </w:pPr>
    <w:rPr>
      <w:rFonts w:hint="default" w:ascii="Calibri" w:hAnsi="Calibri" w:eastAsia="宋体" w:cs="Arial"/>
      <w:sz w:val="21"/>
      <w:szCs w:val="22"/>
      <w:lang w:val="en-US" w:eastAsia="zh-CN" w:bidi="ar-SA"/>
    </w:rPr>
  </w:style>
  <w:style w:type="paragraph" w:customStyle="1" w:styleId="325">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6">
    <w:name w:val="Normal_19_1"/>
    <w:basedOn w:val="1"/>
    <w:qFormat/>
    <w:uiPriority w:val="0"/>
    <w:rPr>
      <w:rFonts w:ascii="Calibri" w:hAnsi="Calibri" w:eastAsia="宋体" w:cs="Times New Roman"/>
      <w:szCs w:val="22"/>
    </w:rPr>
  </w:style>
  <w:style w:type="paragraph" w:customStyle="1" w:styleId="327">
    <w:name w:val="无间隔1_0_0"/>
    <w:basedOn w:val="1"/>
    <w:qFormat/>
    <w:uiPriority w:val="0"/>
    <w:rPr>
      <w:rFonts w:ascii="Calibri" w:hAnsi="Calibri" w:eastAsia="宋体" w:cs="Times New Roman"/>
      <w:szCs w:val="22"/>
    </w:rPr>
  </w:style>
  <w:style w:type="paragraph" w:customStyle="1" w:styleId="328">
    <w:name w:val="Body Text_0"/>
    <w:basedOn w:val="329"/>
    <w:qFormat/>
    <w:uiPriority w:val="1"/>
    <w:pPr>
      <w:widowControl w:val="0"/>
    </w:pPr>
    <w:rPr>
      <w:rFonts w:ascii="宋体" w:hAnsi="宋体" w:cs="宋体"/>
    </w:rPr>
  </w:style>
  <w:style w:type="paragraph" w:customStyle="1" w:styleId="329">
    <w:name w:val="Normal_19"/>
    <w:qFormat/>
    <w:uiPriority w:val="0"/>
    <w:rPr>
      <w:rFonts w:hint="default" w:ascii="Arial" w:hAnsi="Arial" w:eastAsia="Times New Roman" w:cs="Arial"/>
      <w:sz w:val="24"/>
      <w:szCs w:val="24"/>
      <w:lang w:val="en-US" w:eastAsia="zh-CN" w:bidi="ar-SA"/>
    </w:rPr>
  </w:style>
  <w:style w:type="paragraph" w:customStyle="1" w:styleId="330">
    <w:name w:val="正文_0_1"/>
    <w:qFormat/>
    <w:uiPriority w:val="99"/>
    <w:pPr>
      <w:widowControl w:val="0"/>
      <w:jc w:val="both"/>
    </w:pPr>
    <w:rPr>
      <w:rFonts w:hint="default" w:ascii="Calibri" w:hAnsi="Calibri" w:eastAsia="宋体" w:cs="Times New Roman"/>
      <w:lang w:val="en-US" w:eastAsia="zh-CN" w:bidi="ar-SA"/>
    </w:rPr>
  </w:style>
  <w:style w:type="paragraph" w:customStyle="1" w:styleId="331">
    <w:name w:val="Normal_19_0"/>
    <w:next w:val="329"/>
    <w:qFormat/>
    <w:uiPriority w:val="0"/>
    <w:pPr>
      <w:widowControl w:val="0"/>
      <w:jc w:val="both"/>
    </w:pPr>
    <w:rPr>
      <w:rFonts w:hint="default" w:ascii="Calibri" w:hAnsi="Calibri" w:eastAsia="宋体" w:cs="Times New Roman"/>
      <w:lang w:val="en-US" w:eastAsia="zh-CN" w:bidi="ar-SA"/>
    </w:rPr>
  </w:style>
  <w:style w:type="paragraph" w:customStyle="1" w:styleId="332">
    <w:name w:val="Normal_19_0_0"/>
    <w:next w:val="326"/>
    <w:qFormat/>
    <w:uiPriority w:val="0"/>
    <w:pPr>
      <w:widowControl w:val="0"/>
      <w:jc w:val="both"/>
    </w:pPr>
    <w:rPr>
      <w:rFonts w:hint="default" w:ascii="Calibri" w:hAnsi="Calibri" w:eastAsia="宋体" w:cs="Times New Roman"/>
      <w:lang w:val="en-US" w:eastAsia="zh-CN" w:bidi="ar-SA"/>
    </w:rPr>
  </w:style>
  <w:style w:type="paragraph" w:customStyle="1" w:styleId="333">
    <w:name w:val="正文_21_0"/>
    <w:qFormat/>
    <w:uiPriority w:val="0"/>
    <w:pPr>
      <w:widowControl w:val="0"/>
      <w:jc w:val="both"/>
    </w:pPr>
    <w:rPr>
      <w:rFonts w:hint="default" w:ascii="Calibri" w:hAnsi="Calibri" w:eastAsia="宋体" w:cs="Times New Roman"/>
      <w:lang w:val="en-US" w:eastAsia="zh-CN" w:bidi="ar-SA"/>
    </w:rPr>
  </w:style>
  <w:style w:type="paragraph" w:customStyle="1" w:styleId="334">
    <w:name w:val="正文_16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35">
    <w:name w:val="正文_2_0_1"/>
    <w:qFormat/>
    <w:uiPriority w:val="0"/>
    <w:pPr>
      <w:widowControl w:val="0"/>
      <w:jc w:val="both"/>
    </w:pPr>
    <w:rPr>
      <w:rFonts w:hint="default" w:ascii="Calibri" w:hAnsi="Calibri" w:eastAsia="宋体" w:cs="Times New Roman"/>
      <w:lang w:val="en-US" w:eastAsia="zh-CN" w:bidi="ar-SA"/>
    </w:rPr>
  </w:style>
  <w:style w:type="paragraph" w:customStyle="1" w:styleId="336">
    <w:name w:val="正文_2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7">
    <w:name w:val="正文_2_0_0"/>
    <w:qFormat/>
    <w:uiPriority w:val="0"/>
    <w:pPr>
      <w:widowControl w:val="0"/>
      <w:jc w:val="both"/>
    </w:pPr>
    <w:rPr>
      <w:rFonts w:hint="default" w:ascii="Calibri" w:hAnsi="Calibri" w:eastAsia="微软雅黑" w:cs="Times New Roman"/>
      <w:lang w:val="en-US" w:eastAsia="zh-CN" w:bidi="ar-SA"/>
    </w:rPr>
  </w:style>
  <w:style w:type="paragraph" w:customStyle="1" w:styleId="338">
    <w:name w:val="Normal1"/>
    <w:qFormat/>
    <w:uiPriority w:val="0"/>
    <w:pPr>
      <w:widowControl w:val="0"/>
      <w:jc w:val="both"/>
    </w:pPr>
    <w:rPr>
      <w:rFonts w:hint="default" w:ascii="Calibri" w:hAnsi="Calibri" w:eastAsia="宋体" w:cs="Times New Roman"/>
      <w:lang w:val="en-US" w:eastAsia="zh-CN" w:bidi="ar-SA"/>
    </w:rPr>
  </w:style>
  <w:style w:type="paragraph" w:customStyle="1" w:styleId="339">
    <w:name w:val="Normal_20_0"/>
    <w:qFormat/>
    <w:uiPriority w:val="0"/>
    <w:pPr>
      <w:widowControl w:val="0"/>
      <w:jc w:val="both"/>
    </w:pPr>
    <w:rPr>
      <w:rFonts w:ascii="Calibri" w:hAnsi="Calibri" w:eastAsia="宋体" w:cs="Times New Roman"/>
      <w:kern w:val="0"/>
      <w:sz w:val="20"/>
      <w:szCs w:val="20"/>
    </w:rPr>
  </w:style>
  <w:style w:type="paragraph" w:customStyle="1" w:styleId="340">
    <w:name w:val="Body Text"/>
    <w:qFormat/>
    <w:uiPriority w:val="99"/>
    <w:pPr>
      <w:widowControl w:val="0"/>
      <w:spacing w:line="60" w:lineRule="auto"/>
      <w:jc w:val="both"/>
    </w:pPr>
    <w:rPr>
      <w:rFonts w:ascii="仿宋_GB2312" w:hAnsi="Times New Roman" w:eastAsia="仿宋_GB2312" w:cs="Times New Roman"/>
      <w:kern w:val="0"/>
      <w:sz w:val="32"/>
      <w:szCs w:val="20"/>
    </w:rPr>
  </w:style>
  <w:style w:type="paragraph" w:customStyle="1" w:styleId="341">
    <w:name w:val="Normal"/>
    <w:qFormat/>
    <w:uiPriority w:val="0"/>
    <w:pPr>
      <w:widowControl w:val="0"/>
      <w:jc w:val="both"/>
    </w:pPr>
    <w:rPr>
      <w:rFonts w:ascii="Calibri" w:hAnsi="Calibri" w:eastAsia="宋体" w:cs="Times New Roman"/>
    </w:rPr>
  </w:style>
  <w:style w:type="paragraph" w:customStyle="1" w:styleId="342">
    <w:name w:val="标题 1111"/>
    <w:next w:val="1"/>
    <w:qFormat/>
    <w:uiPriority w:val="9"/>
    <w:pPr>
      <w:keepNext/>
      <w:keepLines/>
      <w:widowControl w:val="0"/>
      <w:spacing w:before="480" w:after="200"/>
      <w:jc w:val="both"/>
      <w:outlineLvl w:val="0"/>
    </w:pPr>
    <w:rPr>
      <w:rFonts w:hint="default" w:ascii="Arial" w:hAnsi="Arial" w:eastAsia="Arial" w:cs="Arial"/>
      <w:sz w:val="40"/>
      <w:szCs w:val="40"/>
      <w:lang w:val="en-US" w:eastAsia="zh-CN" w:bidi="ar-SA"/>
    </w:rPr>
  </w:style>
  <w:style w:type="paragraph" w:customStyle="1" w:styleId="343">
    <w:name w:val="标题 2111"/>
    <w:next w:val="1"/>
    <w:qFormat/>
    <w:uiPriority w:val="9"/>
    <w:pPr>
      <w:keepNext/>
      <w:keepLines/>
      <w:widowControl w:val="0"/>
      <w:spacing w:before="360" w:after="200"/>
      <w:jc w:val="both"/>
      <w:outlineLvl w:val="1"/>
    </w:pPr>
    <w:rPr>
      <w:rFonts w:hint="default" w:ascii="Arial" w:hAnsi="Arial" w:eastAsia="Arial" w:cs="Arial"/>
      <w:sz w:val="3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48</Pages>
  <Words>12109</Words>
  <Characters>12994</Characters>
  <TotalTime>18</TotalTime>
  <ScaleCrop>false</ScaleCrop>
  <LinksUpToDate>false</LinksUpToDate>
  <CharactersWithSpaces>13159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2024-03-04T08:19:00Z</dcterms:created>
  <dc:creator>赵国</dc:creator>
  <cp:lastModifiedBy>Administrator</cp:lastModifiedBy>
  <dcterms:modified xsi:type="dcterms:W3CDTF">2026-10-22T02:37:27Z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A337C9ABD3C2469FB9DEDBE8E7489F01_12</vt:lpwstr>
  </property>
  <property fmtid="{D5CDD505-2E9C-101B-9397-08002B2CF9AE}" pid="4" name="KSOTemplateDocerSaveRecord">
    <vt:lpwstr>eyJoZGlkIjoiZGZiOTE0ZmJkODI0OThmMzNiMGYzYmY2NzdhN2U2MTciLCJ1c2VySWQiOiI0NTUyNTYzNzYifQ==</vt:lpwstr>
  </property>
</Properties>
</file>