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ascii="黑体" w:hAnsi="黑体" w:eastAsia="黑体"/>
          <w:b/>
          <w:bCs/>
          <w:sz w:val="48"/>
          <w:szCs w:val="48"/>
        </w:rPr>
      </w:pPr>
      <w:r>
        <w:rPr>
          <w:rFonts w:ascii="黑体" w:hAnsi="黑体" w:eastAsia="黑体"/>
          <w:b/>
          <w:bCs/>
          <w:sz w:val="48"/>
          <w:szCs w:val="48"/>
        </w:rPr>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江苏省地质调查研究院</w:t>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江苏省东海房山—赣榆罗阳高纯石英矿调查评价与区块优选项目</w:t>
      </w:r>
      <w:r/>
    </w:p>
    <w:p>
      <w:pPr>
        <w:jc w:val="center"/>
        <w:spacing w:line="360" w:lineRule="auto"/>
        <w:widowControl/>
        <w:rPr>
          <w:rFonts w:ascii="宋体"/>
          <w:b/>
          <w:bCs/>
          <w:sz w:val="44"/>
          <w:szCs w:val="44"/>
        </w:rPr>
      </w:pPr>
      <w:r>
        <w:rPr>
          <w:rFonts w:hint="eastAsia" w:ascii="黑体" w:hAnsi="黑体" w:eastAsia="黑体"/>
          <w:b/>
          <w:bCs/>
          <w:sz w:val="48"/>
          <w:szCs w:val="48"/>
        </w:rPr>
        <w:t xml:space="preserve">重力磁法测量</w:t>
      </w:r>
      <w:r>
        <w:rPr>
          <w:rFonts w:ascii="宋体"/>
          <w:b/>
          <w:bCs/>
          <w:sz w:val="44"/>
          <w:szCs w:val="44"/>
        </w:rPr>
      </w:r>
      <w:r/>
    </w:p>
    <w:p>
      <w:pPr>
        <w:jc w:val="center"/>
        <w:spacing w:line="360" w:lineRule="auto"/>
        <w:widowControl/>
        <w:rPr>
          <w:rFonts w:ascii="宋体" w:hAnsi="宋体" w:cs="宋体"/>
          <w:b/>
          <w:bCs/>
          <w:sz w:val="72"/>
          <w:szCs w:val="72"/>
        </w:rPr>
      </w:pPr>
      <w:r>
        <w:rPr>
          <w:rFonts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eastAsia="宋体" w:cs="宋体"/>
          <w:b/>
          <w:bCs/>
          <w:sz w:val="36"/>
          <w:szCs w:val="36"/>
          <w:lang w:eastAsia="zh-CN"/>
        </w:rPr>
      </w:pPr>
      <w:r>
        <w:rPr>
          <w:rFonts w:hint="eastAsia" w:ascii="宋体" w:hAnsi="宋体" w:cs="宋体"/>
          <w:b/>
          <w:bCs/>
          <w:sz w:val="36"/>
          <w:szCs w:val="36"/>
        </w:rPr>
        <w:t xml:space="preserve">项目编号：JSZC-320000-JCEC-G2026-0396</w:t>
      </w:r>
      <w:r>
        <w:rPr>
          <w:rFonts w:hint="eastAsia" w:ascii="宋体" w:hAnsi="宋体" w:cs="宋体"/>
          <w:b/>
          <w:bCs/>
          <w:sz w:val="36"/>
          <w:szCs w:val="36"/>
          <w:lang w:val="en-US" w:eastAsia="zh-CN"/>
        </w:rPr>
        <w:t xml:space="preserve">   </w:t>
      </w:r>
      <w:r>
        <w:rPr>
          <w:rFonts w:hint="eastAsia" w:ascii="宋体" w:hAnsi="宋体" w:cs="宋体"/>
          <w:b/>
          <w:bCs/>
          <w:sz w:val="36"/>
          <w:szCs w:val="36"/>
          <w:lang w:eastAsia="zh-CN"/>
        </w:rPr>
        <w:t xml:space="preserve">（ZZ066026E9ZC03796）</w:t>
      </w:r>
      <w:r>
        <w:rPr>
          <w:rFonts w:hint="eastAsia" w:ascii="宋体" w:hAnsi="宋体" w:eastAsia="宋体" w:cs="宋体"/>
          <w:b/>
          <w:bCs/>
          <w:sz w:val="36"/>
          <w:szCs w:val="36"/>
          <w:lang w:eastAsia="zh-CN"/>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2026年10月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32"/>
        <w:tabs>
          <w:tab w:val="right" w:pos="8296" w:leader="dot"/>
        </w:tabs>
        <w:rPr>
          <w:rFonts w:ascii="宋体"/>
          <w:sz w:val="28"/>
          <w:szCs w:val="28"/>
        </w:rPr>
      </w:pPr>
      <w:r>
        <w:rPr>
          <w:rFonts w:ascii="宋体"/>
          <w:sz w:val="28"/>
          <w:szCs w:val="28"/>
        </w:rPr>
      </w:r>
      <w:r/>
    </w:p>
    <w:p>
      <w:pPr>
        <w:pStyle w:val="732"/>
        <w:tabs>
          <w:tab w:val="right" w:pos="8496" w:leader="dot"/>
        </w:tabs>
        <w:rPr>
          <w:rFonts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48"/>
          <w:rFonts w:hint="eastAsia" w:ascii="宋体" w:hAnsi="宋体"/>
          <w:color w:val="auto"/>
          <w:sz w:val="30"/>
          <w:szCs w:val="30"/>
        </w:rPr>
        <w:t xml:space="preserve">第一章</w:t>
      </w:r>
      <w:r>
        <w:rPr>
          <w:rStyle w:val="748"/>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732"/>
        <w:tabs>
          <w:tab w:val="right" w:pos="8496" w:leader="dot"/>
        </w:tabs>
        <w:rPr>
          <w:rFonts w:ascii="宋体" w:hAnsi="宋体"/>
          <w:sz w:val="30"/>
          <w:szCs w:val="30"/>
        </w:rPr>
      </w:pPr>
      <w:r>
        <w:fldChar w:fldCharType="begin"/>
      </w:r>
      <w:r>
        <w:instrText xml:space="preserve"> HYPERLINK \l "_Toc183091222" </w:instrText>
      </w:r>
      <w:r>
        <w:fldChar w:fldCharType="separate"/>
      </w:r>
      <w:r>
        <w:rPr>
          <w:rStyle w:val="748"/>
          <w:rFonts w:hint="eastAsia" w:ascii="宋体" w:hAnsi="宋体" w:cs="宋体"/>
          <w:color w:val="auto"/>
          <w:sz w:val="30"/>
          <w:szCs w:val="30"/>
        </w:rPr>
        <w:t xml:space="preserve">第二章 投标人</w:t>
      </w:r>
      <w:bookmarkStart w:id="0" w:name="_Hlt205913514"/>
      <w:r/>
      <w:bookmarkStart w:id="1" w:name="_Hlt205913513"/>
      <w:r>
        <w:rPr>
          <w:rStyle w:val="748"/>
          <w:rFonts w:hint="eastAsia" w:ascii="宋体" w:hAnsi="宋体" w:cs="宋体"/>
          <w:color w:val="auto"/>
          <w:sz w:val="30"/>
          <w:szCs w:val="30"/>
        </w:rPr>
        <w:t xml:space="preserve">须</w:t>
      </w:r>
      <w:bookmarkEnd w:id="0"/>
      <w:r/>
      <w:bookmarkEnd w:id="1"/>
      <w:r>
        <w:rPr>
          <w:rStyle w:val="748"/>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732"/>
        <w:tabs>
          <w:tab w:val="right" w:pos="8496" w:leader="dot"/>
        </w:tabs>
        <w:rPr>
          <w:rFonts w:ascii="宋体" w:hAnsi="宋体"/>
          <w:sz w:val="30"/>
          <w:szCs w:val="30"/>
        </w:rPr>
      </w:pPr>
      <w:r>
        <w:fldChar w:fldCharType="begin"/>
      </w:r>
      <w:r>
        <w:instrText xml:space="preserve"> HYPERLINK \l "_Toc183091223" </w:instrText>
      </w:r>
      <w:r>
        <w:fldChar w:fldCharType="separate"/>
      </w:r>
      <w:r>
        <w:rPr>
          <w:rStyle w:val="748"/>
          <w:rFonts w:hint="eastAsia" w:ascii="宋体" w:hAnsi="宋体" w:cs="宋体"/>
          <w:color w:val="auto"/>
          <w:sz w:val="30"/>
          <w:szCs w:val="30"/>
        </w:rPr>
        <w:t xml:space="preserve">第三章 评标标</w:t>
      </w:r>
      <w:bookmarkStart w:id="2" w:name="_Hlt206076553"/>
      <w:r/>
      <w:bookmarkStart w:id="3" w:name="_Hlt206076552"/>
      <w:r/>
      <w:bookmarkStart w:id="4" w:name="_Hlt205907119"/>
      <w:r>
        <w:rPr>
          <w:rStyle w:val="748"/>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19</w:t>
      </w:r>
      <w:r>
        <w:rPr>
          <w:rFonts w:hint="eastAsia" w:ascii="宋体" w:hAnsi="宋体"/>
          <w:sz w:val="30"/>
          <w:szCs w:val="30"/>
        </w:rPr>
        <w:fldChar w:fldCharType="end"/>
      </w:r>
      <w:r>
        <w:rPr>
          <w:rFonts w:hint="eastAsia" w:ascii="宋体" w:hAnsi="宋体"/>
          <w:sz w:val="30"/>
          <w:szCs w:val="30"/>
        </w:rPr>
        <w:fldChar w:fldCharType="end"/>
      </w:r>
      <w:r/>
    </w:p>
    <w:p>
      <w:pPr>
        <w:pStyle w:val="732"/>
        <w:tabs>
          <w:tab w:val="right" w:pos="8496" w:leader="dot"/>
        </w:tabs>
        <w:rPr>
          <w:rFonts w:ascii="宋体" w:hAnsi="宋体"/>
          <w:sz w:val="30"/>
          <w:szCs w:val="30"/>
        </w:rPr>
      </w:pPr>
      <w:r>
        <w:fldChar w:fldCharType="begin"/>
      </w:r>
      <w:r>
        <w:instrText xml:space="preserve"> HYPERLINK \l "_Toc183091224" </w:instrText>
      </w:r>
      <w:r>
        <w:fldChar w:fldCharType="separate"/>
      </w:r>
      <w:r>
        <w:rPr>
          <w:rStyle w:val="748"/>
          <w:rFonts w:hint="eastAsia" w:ascii="宋体" w:hAnsi="宋体" w:cs="宋体"/>
          <w:color w:val="auto"/>
          <w:sz w:val="30"/>
          <w:szCs w:val="30"/>
        </w:rPr>
        <w:t xml:space="preserve">第四章 采购</w:t>
      </w:r>
      <w:bookmarkStart w:id="5" w:name="_Hlt183167758"/>
      <w:r>
        <w:rPr>
          <w:rStyle w:val="748"/>
          <w:rFonts w:hint="eastAsia" w:ascii="宋体" w:hAnsi="宋体" w:cs="宋体"/>
          <w:color w:val="auto"/>
          <w:sz w:val="30"/>
          <w:szCs w:val="30"/>
        </w:rPr>
        <w:t xml:space="preserve">需</w:t>
      </w:r>
      <w:bookmarkEnd w:id="5"/>
      <w:r>
        <w:rPr>
          <w:rStyle w:val="748"/>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23</w:t>
      </w:r>
      <w:r>
        <w:rPr>
          <w:rFonts w:hint="eastAsia" w:ascii="宋体" w:hAnsi="宋体"/>
          <w:sz w:val="30"/>
          <w:szCs w:val="30"/>
        </w:rPr>
        <w:fldChar w:fldCharType="end"/>
      </w:r>
      <w:r>
        <w:rPr>
          <w:rFonts w:hint="eastAsia" w:ascii="宋体" w:hAnsi="宋体"/>
          <w:sz w:val="30"/>
          <w:szCs w:val="30"/>
        </w:rPr>
        <w:fldChar w:fldCharType="end"/>
      </w:r>
      <w:r/>
    </w:p>
    <w:p>
      <w:pPr>
        <w:pStyle w:val="732"/>
        <w:tabs>
          <w:tab w:val="right" w:pos="8496" w:leader="dot"/>
        </w:tabs>
        <w:rPr>
          <w:rFonts w:ascii="宋体" w:hAnsi="宋体"/>
          <w:sz w:val="30"/>
          <w:szCs w:val="30"/>
        </w:rPr>
      </w:pPr>
      <w:r>
        <w:fldChar w:fldCharType="begin"/>
      </w:r>
      <w:r>
        <w:instrText xml:space="preserve"> HYPERLINK \l "_Toc183091225" </w:instrText>
      </w:r>
      <w:r>
        <w:fldChar w:fldCharType="separate"/>
      </w:r>
      <w:r>
        <w:rPr>
          <w:rStyle w:val="748"/>
          <w:rFonts w:hint="eastAsia" w:ascii="宋体" w:hAnsi="宋体" w:cs="宋体"/>
          <w:color w:val="auto"/>
          <w:sz w:val="30"/>
          <w:szCs w:val="30"/>
        </w:rPr>
        <w:t xml:space="preserve">第五章 合同</w:t>
      </w:r>
      <w:bookmarkStart w:id="6" w:name="_Hlt205904441"/>
      <w:r/>
      <w:bookmarkStart w:id="7" w:name="_Hlt205904442"/>
      <w:r>
        <w:rPr>
          <w:rStyle w:val="748"/>
          <w:rFonts w:hint="eastAsia" w:ascii="宋体" w:hAnsi="宋体" w:cs="宋体"/>
          <w:color w:val="auto"/>
          <w:sz w:val="30"/>
          <w:szCs w:val="30"/>
        </w:rPr>
        <w:t xml:space="preserve">主</w:t>
      </w:r>
      <w:bookmarkEnd w:id="6"/>
      <w:r/>
      <w:bookmarkEnd w:id="7"/>
      <w:r>
        <w:rPr>
          <w:rStyle w:val="748"/>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29</w:t>
      </w:r>
      <w:r>
        <w:rPr>
          <w:rFonts w:hint="eastAsia" w:ascii="宋体" w:hAnsi="宋体"/>
          <w:sz w:val="30"/>
          <w:szCs w:val="30"/>
        </w:rPr>
        <w:fldChar w:fldCharType="end"/>
      </w:r>
      <w:r>
        <w:rPr>
          <w:rFonts w:hint="eastAsia" w:ascii="宋体" w:hAnsi="宋体"/>
          <w:sz w:val="30"/>
          <w:szCs w:val="30"/>
        </w:rPr>
        <w:fldChar w:fldCharType="end"/>
      </w:r>
      <w:r/>
    </w:p>
    <w:p>
      <w:pPr>
        <w:pStyle w:val="732"/>
        <w:tabs>
          <w:tab w:val="right" w:pos="8496" w:leader="dot"/>
        </w:tabs>
        <w:rPr>
          <w:rFonts w:ascii="宋体" w:hAnsi="宋体"/>
          <w:sz w:val="30"/>
          <w:szCs w:val="30"/>
        </w:rPr>
      </w:pPr>
      <w:r>
        <w:fldChar w:fldCharType="begin"/>
      </w:r>
      <w:r>
        <w:instrText xml:space="preserve"> HYPERLINK \l "_Toc183091226" </w:instrText>
      </w:r>
      <w:r>
        <w:fldChar w:fldCharType="separate"/>
      </w:r>
      <w:r>
        <w:rPr>
          <w:rStyle w:val="748"/>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34</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705"/>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5"/>
        <w:rPr>
          <w:rFonts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江苏省地质调查研究院江苏省东海房山—赣榆罗阳高纯石英矿调查评价与区块优选项目重力磁法测量</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rPr>
        <w:t xml:space="preserve">11</w:t>
      </w:r>
      <w:r>
        <w:rPr>
          <w:rFonts w:ascii="宋体" w:hAnsi="宋体"/>
          <w:u w:val="single"/>
        </w:rPr>
        <w:t xml:space="preserve">月</w:t>
      </w:r>
      <w:r>
        <w:rPr>
          <w:rFonts w:hint="eastAsia" w:ascii="宋体" w:hAnsi="宋体"/>
          <w:u w:val="single"/>
          <w:lang w:val="en-US" w:eastAsia="zh-CN"/>
        </w:rPr>
        <w:t xml:space="preserve">3</w:t>
      </w:r>
      <w:r>
        <w:rPr>
          <w:rFonts w:hint="eastAsia" w:ascii="宋体" w:hAnsi="宋体"/>
          <w:u w:val="single"/>
        </w:rPr>
        <w:t xml:space="preserve">日09时</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6"/>
        <w:spacing w:before="0" w:after="0" w:line="360" w:lineRule="auto"/>
        <w:rPr>
          <w:rFonts w:ascii="宋体" w:hAnsi="宋体" w:cs="宋体"/>
          <w:sz w:val="21"/>
          <w:szCs w:val="21"/>
        </w:rPr>
      </w:pPr>
      <w:r/>
      <w:bookmarkStart w:id="10" w:name="_Toc28359079"/>
      <w:r/>
      <w:bookmarkStart w:id="11" w:name="_Toc28359002"/>
      <w:r/>
      <w:bookmarkStart w:id="12" w:name="_Toc35393621"/>
      <w:r/>
      <w:bookmarkStart w:id="13" w:name="_Toc35393790"/>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r/>
    </w:p>
    <w:p>
      <w:pPr>
        <w:ind w:firstLine="370"/>
        <w:spacing w:line="360" w:lineRule="auto"/>
        <w:shd w:val="clear" w:color="auto" w:fill="ffffff"/>
        <w:widowControl/>
        <w:rPr>
          <w:rFonts w:ascii="Arial" w:hAnsi="Arial" w:cs="Arial"/>
          <w:spacing w:val="8"/>
        </w:rPr>
      </w:pPr>
      <w:r/>
      <w:bookmarkStart w:id="15" w:name="_Toc35393622"/>
      <w:r/>
      <w:bookmarkStart w:id="16" w:name="_Toc35393791"/>
      <w:r/>
      <w:bookmarkStart w:id="17" w:name="_Toc28359003"/>
      <w:r/>
      <w:bookmarkStart w:id="18" w:name="_Toc28359080"/>
      <w:r>
        <w:rPr>
          <w:rFonts w:hint="eastAsia" w:ascii="Arial" w:hAnsi="Arial" w:cs="Arial"/>
          <w:spacing w:val="8"/>
        </w:rPr>
        <w:t xml:space="preserve">1.1项目编号：JSZC-320000-JCEC-G2026-0396（ZZ066026E9ZC03796）</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江苏省地质调查研究院江苏省东海房山—赣榆罗阳高纯石英矿调查评价与区块优选项目重力磁法测量</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1.3项目预算：189.50万元</w:t>
      </w:r>
      <w:r/>
    </w:p>
    <w:p>
      <w:pPr>
        <w:ind w:firstLine="369"/>
        <w:spacing w:line="360" w:lineRule="auto"/>
        <w:shd w:val="clear" w:color="auto" w:fill="ffffff"/>
        <w:widowControl/>
        <w:rPr>
          <w:rFonts w:ascii="Arial" w:hAnsi="Arial" w:cs="Arial"/>
          <w:spacing w:val="8"/>
        </w:rPr>
      </w:pPr>
      <w:r>
        <w:rPr>
          <w:rFonts w:hint="eastAsia" w:ascii="Arial" w:hAnsi="Arial" w:cs="Arial"/>
          <w:spacing w:val="8"/>
        </w:rPr>
        <w:t xml:space="preserve">1.4</w:t>
      </w:r>
      <w:r>
        <w:rPr>
          <w:spacing w:val="8"/>
        </w:rPr>
        <w:t xml:space="preserve">最高限价：</w:t>
      </w:r>
      <w:r>
        <w:rPr>
          <w:rFonts w:hint="eastAsia" w:ascii="Arial" w:hAnsi="Arial" w:cs="Arial"/>
          <w:spacing w:val="8"/>
        </w:rPr>
        <w:t xml:space="preserve">189.50万元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rPr>
        <w:t xml:space="preserve">：江苏省地质调查研究院江苏省东海房山—赣榆罗阳高纯石英矿调查评价与区块优选项目重力磁法测量</w:t>
      </w:r>
      <w:r>
        <w:rPr>
          <w:rFonts w:hint="eastAsia" w:ascii="宋体" w:hAnsi="宋体" w:cs="宋体"/>
        </w:rPr>
        <w:t xml:space="preserve">。</w:t>
      </w:r>
      <w:r>
        <w:rPr>
          <w:rFonts w:hint="eastAsia"/>
        </w:rPr>
        <w:t xml:space="preserve">详细内容详见招标文件第四章采购需求。</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rPr>
        <w:t xml:space="preserve">服务时间：项目总体工作期限为4个月，单个工区野外工作结束后10天内提交数据处理解释初步成果，野外工作全部结束后1个月内提交成果报告及相关资料。实际野外工作时间由项目组根据项目进展及单个工区情况确定并通知乙方进场施工。</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706"/>
        <w:spacing w:before="0" w:after="0" w:line="360" w:lineRule="auto"/>
        <w:rPr>
          <w:rFonts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ascii="宋体" w:hAnsi="宋体" w:cs="宋体"/>
          <w:b/>
          <w:spacing w:val="8"/>
        </w:rPr>
      </w:pPr>
      <w:r/>
      <w:bookmarkStart w:id="19" w:name="_Toc35393792"/>
      <w:r/>
      <w:bookmarkStart w:id="20" w:name="_Toc35393623"/>
      <w:r/>
      <w:bookmarkStart w:id="21" w:name="_Toc28359004"/>
      <w:r/>
      <w:bookmarkStart w:id="22" w:name="_Toc28359081"/>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无</w:t>
      </w:r>
      <w:r/>
    </w:p>
    <w:p>
      <w:pPr>
        <w:ind w:firstLine="420"/>
        <w:spacing w:line="360" w:lineRule="auto"/>
        <w:rPr>
          <w:rFonts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r/>
      <w:bookmarkEnd w:id="20"/>
      <w:r/>
      <w:bookmarkEnd w:id="21"/>
      <w:r/>
      <w:bookmarkEnd w:id="22"/>
      <w:r/>
      <w:r/>
    </w:p>
    <w:p>
      <w:pPr>
        <w:spacing w:line="360" w:lineRule="auto"/>
        <w:shd w:val="clear" w:color="auto" w:fill="ffffff"/>
        <w:widowControl/>
        <w:rPr>
          <w:rFonts w:ascii="宋体" w:hAnsi="宋体" w:cs="宋体"/>
          <w:b/>
          <w:spacing w:val="8"/>
          <w:sz w:val="24"/>
        </w:rPr>
        <w:outlineLvl w:val="1"/>
      </w:pPr>
      <w:r/>
      <w:bookmarkStart w:id="23" w:name="_Toc5823"/>
      <w:r/>
      <w:bookmarkStart w:id="24" w:name="_Toc24617"/>
      <w:r/>
      <w:bookmarkStart w:id="25" w:name="_Toc35393627"/>
      <w:r/>
      <w:bookmarkStart w:id="26" w:name="_Toc28359008"/>
      <w:r/>
      <w:bookmarkStart w:id="27" w:name="_Toc35393796"/>
      <w:r/>
      <w:bookmarkStart w:id="28" w:name="_Toc28359085"/>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ascii="宋体" w:hAnsi="宋体" w:cs="宋体"/>
          <w:b/>
          <w:spacing w:val="8"/>
          <w:sz w:val="24"/>
        </w:rPr>
        <w:outlineLvl w:val="1"/>
      </w:pPr>
      <w:r/>
      <w:bookmarkStart w:id="30" w:name="_Toc21817"/>
      <w:r/>
      <w:bookmarkStart w:id="31" w:name="_Toc1456"/>
      <w:r>
        <w:rPr>
          <w:rFonts w:hint="eastAsia" w:ascii="宋体" w:hAnsi="宋体" w:cs="宋体"/>
          <w:b/>
          <w:spacing w:val="8"/>
          <w:sz w:val="24"/>
        </w:rPr>
        <w:t xml:space="preserve">四、响应文件提交</w:t>
      </w:r>
      <w:bookmarkEnd w:id="30"/>
      <w:r/>
      <w:bookmarkEnd w:id="31"/>
      <w:r/>
      <w:r/>
    </w:p>
    <w:p>
      <w:pPr>
        <w:ind w:firstLine="420"/>
        <w:spacing w:line="360" w:lineRule="auto"/>
        <w:rPr>
          <w:rFonts w:ascii="宋体" w:hAnsi="宋体" w:cs="宋体"/>
          <w:spacing w:val="8"/>
        </w:rPr>
      </w:pPr>
      <w:r>
        <w:rPr>
          <w:rFonts w:hint="eastAsia" w:ascii="宋体" w:hAnsi="宋体" w:cs="宋体"/>
        </w:rPr>
        <w:t xml:space="preserve">4.1截止时间：2026年11月</w:t>
      </w:r>
      <w:r>
        <w:rPr>
          <w:rFonts w:hint="eastAsia" w:ascii="宋体" w:hAnsi="宋体" w:cs="宋体"/>
          <w:lang w:val="en-US" w:eastAsia="zh-CN"/>
        </w:rPr>
        <w:t xml:space="preserve">3</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ascii="宋体" w:hAnsi="宋体" w:cs="宋体"/>
          <w:spacing w:val="8"/>
        </w:rPr>
      </w:pPr>
      <w:r>
        <w:rPr>
          <w:rFonts w:hint="eastAsia" w:ascii="宋体" w:hAnsi="宋体" w:cs="宋体"/>
        </w:rPr>
        <w:t xml:space="preserve">5.1时间：2026年11月</w:t>
      </w:r>
      <w:r>
        <w:rPr>
          <w:rFonts w:hint="eastAsia" w:ascii="宋体" w:hAnsi="宋体" w:cs="宋体"/>
          <w:lang w:val="en-US" w:eastAsia="zh-CN"/>
        </w:rPr>
        <w:t xml:space="preserve">3</w:t>
      </w:r>
      <w:bookmarkStart w:id="137" w:name="_GoBack"/>
      <w:r/>
      <w:bookmarkEnd w:id="137"/>
      <w:r>
        <w:rPr>
          <w:rFonts w:hint="eastAsia" w:ascii="宋体" w:hAnsi="宋体" w:cs="宋体"/>
        </w:rPr>
        <w:t xml:space="preserve">日9点（北京时间）</w:t>
      </w:r>
      <w:r/>
    </w:p>
    <w:p>
      <w:pPr>
        <w:ind w:firstLine="420"/>
        <w:spacing w:line="360" w:lineRule="auto"/>
        <w:rPr>
          <w:rFonts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6308"/>
      <w:r/>
      <w:bookmarkStart w:id="35" w:name="_Toc23729"/>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706"/>
        <w:spacing w:before="0" w:after="0" w:line="360" w:lineRule="auto"/>
        <w:rPr>
          <w:rFonts w:ascii="宋体" w:hAnsi="宋体" w:cs="宋体"/>
          <w:sz w:val="21"/>
          <w:szCs w:val="21"/>
        </w:rPr>
      </w:pPr>
      <w:r>
        <w:rPr>
          <w:rFonts w:hint="eastAsia" w:ascii="宋体" w:hAnsi="宋体" w:cs="宋体"/>
          <w:sz w:val="21"/>
          <w:szCs w:val="21"/>
        </w:rPr>
        <w:t xml:space="preserve">八、对本次招标提出询问，请按以下方式联系。</w:t>
      </w:r>
      <w:bookmarkEnd w:id="25"/>
      <w:r/>
      <w:bookmarkEnd w:id="26"/>
      <w:r/>
      <w:bookmarkEnd w:id="27"/>
      <w:r/>
      <w:bookmarkEnd w:id="28"/>
      <w:r/>
      <w:r/>
    </w:p>
    <w:p>
      <w:pPr>
        <w:ind w:firstLine="420"/>
        <w:spacing w:line="360" w:lineRule="auto"/>
        <w:rPr>
          <w:rFonts w:ascii="宋体" w:hAnsi="宋体" w:cs="宋体"/>
          <w:lang w:val="zh-CN"/>
        </w:rPr>
      </w:pPr>
      <w:r>
        <w:rPr>
          <w:rFonts w:hint="eastAsia" w:ascii="宋体" w:hAnsi="宋体" w:cs="宋体"/>
          <w:lang w:val="zh-CN"/>
        </w:rPr>
        <w:t xml:space="preserve">1.采购人信息</w:t>
      </w:r>
      <w:r/>
    </w:p>
    <w:p>
      <w:pPr>
        <w:ind w:firstLine="420"/>
        <w:spacing w:line="360" w:lineRule="auto"/>
        <w:rPr>
          <w:rFonts w:ascii="宋体" w:hAnsi="宋体" w:cs="宋体"/>
        </w:rPr>
      </w:pPr>
      <w:r/>
      <w:bookmarkStart w:id="38" w:name="_Toc28359009"/>
      <w:r/>
      <w:bookmarkStart w:id="39" w:name="_Toc28359086"/>
      <w:r>
        <w:rPr>
          <w:rFonts w:hint="eastAsia" w:ascii="宋体" w:hAnsi="宋体" w:cs="宋体"/>
        </w:rPr>
        <w:t xml:space="preserve">名称：江苏省地质调查研究院</w:t>
      </w:r>
      <w:r/>
    </w:p>
    <w:p>
      <w:pPr>
        <w:ind w:firstLine="420"/>
        <w:spacing w:line="360" w:lineRule="auto"/>
        <w:rPr>
          <w:rFonts w:ascii="宋体" w:hAnsi="宋体" w:cs="宋体"/>
        </w:rPr>
      </w:pPr>
      <w:r>
        <w:rPr>
          <w:rFonts w:hint="eastAsia" w:ascii="宋体" w:hAnsi="宋体" w:cs="宋体"/>
        </w:rPr>
        <w:t xml:space="preserve">地址：南京市玄武区珠江路700号</w:t>
      </w:r>
      <w:r/>
    </w:p>
    <w:p>
      <w:pPr>
        <w:ind w:firstLine="420"/>
        <w:spacing w:line="360" w:lineRule="auto"/>
        <w:rPr>
          <w:rFonts w:ascii="宋体" w:hAnsi="宋体" w:cs="宋体"/>
        </w:rPr>
      </w:pPr>
      <w:r>
        <w:rPr>
          <w:rFonts w:hint="eastAsia" w:ascii="宋体" w:hAnsi="宋体" w:cs="宋体"/>
        </w:rPr>
        <w:t xml:space="preserve">联系人：陈俊</w:t>
      </w:r>
      <w:r/>
    </w:p>
    <w:p>
      <w:pPr>
        <w:ind w:firstLine="420"/>
        <w:spacing w:line="360" w:lineRule="auto"/>
        <w:rPr>
          <w:rFonts w:ascii="宋体" w:hAnsi="宋体" w:cs="宋体"/>
        </w:rPr>
      </w:pPr>
      <w:r>
        <w:rPr>
          <w:rFonts w:hint="eastAsia" w:ascii="宋体" w:hAnsi="宋体" w:cs="宋体"/>
        </w:rPr>
        <w:t xml:space="preserve">联系方式：025-51816509</w:t>
      </w:r>
      <w:r/>
    </w:p>
    <w:p>
      <w:pPr>
        <w:ind w:firstLine="420"/>
        <w:spacing w:line="360" w:lineRule="auto"/>
        <w:rPr>
          <w:rFonts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ascii="宋体" w:hAnsi="宋体" w:cs="宋体"/>
        </w:rPr>
      </w:pPr>
      <w:r>
        <w:rPr>
          <w:rFonts w:hint="eastAsia" w:ascii="宋体" w:hAnsi="宋体" w:cs="宋体"/>
          <w:lang w:val="zh-CN"/>
        </w:rPr>
        <w:t xml:space="preserve">联系人：李婷婷</w:t>
      </w:r>
      <w:r/>
    </w:p>
    <w:p>
      <w:pPr>
        <w:ind w:firstLine="420"/>
        <w:spacing w:line="360" w:lineRule="auto"/>
        <w:rPr>
          <w:rFonts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ascii="宋体" w:hAnsi="宋体" w:cs="宋体"/>
          <w:lang w:val="zh-CN"/>
        </w:rPr>
      </w:pPr>
      <w:r>
        <w:rPr>
          <w:rFonts w:hint="eastAsia" w:ascii="宋体" w:hAnsi="宋体" w:cs="宋体"/>
          <w:lang w:val="zh-CN"/>
        </w:rPr>
        <w:t xml:space="preserve">项目联系人：李婷婷</w:t>
      </w:r>
      <w:r/>
    </w:p>
    <w:p>
      <w:pPr>
        <w:ind w:firstLine="420"/>
        <w:spacing w:line="360" w:lineRule="auto"/>
        <w:rPr>
          <w:rFonts w:ascii="宋体" w:hAnsi="宋体" w:cs="宋体"/>
        </w:rPr>
      </w:pPr>
      <w:r>
        <w:rPr>
          <w:rFonts w:hint="eastAsia" w:ascii="宋体" w:hAnsi="宋体" w:cs="宋体"/>
          <w:lang w:val="zh-CN"/>
        </w:rPr>
        <w:t xml:space="preserve">电话：025-86635193</w:t>
      </w:r>
      <w:bookmarkEnd w:id="9"/>
      <w:r/>
      <w:r/>
    </w:p>
    <w:p>
      <w:pPr>
        <w:pStyle w:val="705"/>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ascii="宋体" w:hAnsi="宋体" w:cs="宋体"/>
        </w:rPr>
      </w:pPr>
      <w:r>
        <w:rPr>
          <w:rFonts w:hint="eastAsia" w:ascii="宋体" w:hAnsi="宋体" w:cs="宋体"/>
          <w:b/>
          <w:bCs/>
        </w:rPr>
        <w:t xml:space="preserve">一、总则</w:t>
      </w:r>
      <w:r/>
    </w:p>
    <w:p>
      <w:pPr>
        <w:ind w:firstLine="420"/>
        <w:spacing w:line="360" w:lineRule="auto"/>
        <w:widowControl/>
        <w:rPr>
          <w:rFonts w:ascii="宋体" w:hAnsi="宋体" w:cs="宋体"/>
        </w:rPr>
      </w:pPr>
      <w:r>
        <w:rPr>
          <w:rFonts w:hint="eastAsia" w:ascii="宋体" w:hAnsi="宋体" w:cs="宋体"/>
          <w:b/>
          <w:bCs/>
        </w:rPr>
        <w:t xml:space="preserve">1.适用法律</w:t>
      </w:r>
      <w:r/>
    </w:p>
    <w:p>
      <w:pPr>
        <w:ind w:firstLine="420"/>
        <w:spacing w:line="360" w:lineRule="auto"/>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ascii="宋体" w:hAnsi="宋体" w:cs="宋体"/>
        </w:rPr>
      </w:pPr>
      <w:r>
        <w:rPr>
          <w:rFonts w:hint="eastAsia" w:ascii="宋体" w:hAnsi="宋体" w:cs="宋体"/>
          <w:b/>
          <w:bCs/>
        </w:rPr>
        <w:t xml:space="preserve">2.定义</w:t>
      </w:r>
      <w:r/>
    </w:p>
    <w:p>
      <w:pPr>
        <w:ind w:firstLine="420"/>
        <w:spacing w:line="360" w:lineRule="auto"/>
        <w:widowControl/>
        <w:rPr>
          <w:rFonts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ascii="宋体" w:hAnsi="宋体" w:cs="宋体"/>
        </w:rPr>
      </w:pPr>
      <w:r>
        <w:rPr>
          <w:rFonts w:hint="eastAsia" w:ascii="宋体" w:hAnsi="宋体" w:cs="宋体"/>
          <w:b/>
          <w:bCs/>
        </w:rPr>
        <w:t xml:space="preserve">3. 政策功能</w:t>
      </w:r>
      <w:r/>
    </w:p>
    <w:p>
      <w:pPr>
        <w:ind w:firstLine="420"/>
        <w:spacing w:line="360" w:lineRule="auto"/>
        <w:widowControl/>
        <w:rPr>
          <w:rFonts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ascii="宋体" w:hAnsi="宋体" w:cs="宋体"/>
        </w:rPr>
      </w:pPr>
      <w:r>
        <w:rPr>
          <w:rFonts w:hint="eastAsia" w:ascii="宋体" w:hAnsi="宋体" w:cs="宋体"/>
        </w:rPr>
        <w:t xml:space="preserve">3.6进口产品政策</w:t>
      </w:r>
      <w:r/>
    </w:p>
    <w:p>
      <w:pPr>
        <w:ind w:firstLine="420"/>
        <w:spacing w:line="360" w:lineRule="auto"/>
        <w:widowControl/>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ascii="宋体" w:hAnsi="宋体" w:cs="宋体"/>
        </w:rPr>
      </w:pPr>
      <w:r>
        <w:rPr>
          <w:rFonts w:hint="eastAsia" w:ascii="宋体" w:hAnsi="宋体" w:cs="宋体"/>
        </w:rPr>
        <w:t xml:space="preserve">3.7本国产品支持政策</w:t>
      </w:r>
      <w:r/>
    </w:p>
    <w:p>
      <w:pPr>
        <w:ind w:firstLine="412"/>
        <w:spacing w:line="360" w:lineRule="auto"/>
        <w:widowControl/>
        <w:rPr>
          <w:rFonts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ascii="宋体" w:hAnsi="宋体" w:cs="宋体"/>
        </w:rPr>
      </w:pPr>
      <w:r>
        <w:rPr>
          <w:rFonts w:hint="eastAsia" w:ascii="宋体" w:hAnsi="宋体" w:cs="宋体"/>
          <w:b/>
          <w:bCs/>
        </w:rPr>
        <w:t xml:space="preserve">二、招标文件构成</w:t>
      </w:r>
      <w:r/>
    </w:p>
    <w:p>
      <w:pPr>
        <w:ind w:firstLine="420"/>
        <w:spacing w:line="360" w:lineRule="auto"/>
        <w:widowControl/>
        <w:rPr>
          <w:rFonts w:ascii="宋体" w:hAnsi="宋体" w:cs="宋体"/>
        </w:rPr>
      </w:pPr>
      <w:r>
        <w:rPr>
          <w:rFonts w:hint="eastAsia" w:ascii="宋体" w:hAnsi="宋体" w:cs="宋体"/>
          <w:b/>
          <w:bCs/>
        </w:rPr>
        <w:t xml:space="preserve">4.招标文件组成</w:t>
      </w:r>
      <w:r/>
    </w:p>
    <w:p>
      <w:pPr>
        <w:ind w:firstLine="420"/>
        <w:spacing w:line="360" w:lineRule="auto"/>
        <w:widowControl/>
        <w:rPr>
          <w:rFonts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ascii="宋体" w:hAnsi="宋体" w:cs="宋体"/>
        </w:rPr>
      </w:pPr>
      <w:r>
        <w:rPr>
          <w:rFonts w:hint="eastAsia" w:ascii="宋体" w:hAnsi="宋体" w:cs="宋体"/>
          <w:b/>
          <w:bCs/>
        </w:rPr>
        <w:t xml:space="preserve">三、投标文件的编制</w:t>
      </w:r>
      <w:r/>
    </w:p>
    <w:p>
      <w:pPr>
        <w:ind w:firstLine="420"/>
        <w:spacing w:line="360" w:lineRule="auto"/>
        <w:widowControl/>
        <w:rPr>
          <w:rFonts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rFonts w:hint="eastAsia"/>
          <w:b/>
          <w:bCs/>
        </w:rPr>
        <w:t xml:space="preserve">7.</w:t>
      </w:r>
      <w:r>
        <w:rPr>
          <w:b/>
          <w:bCs/>
        </w:rPr>
        <w:t xml:space="preserve">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rFonts w:hint="eastAsia"/>
          <w:b/>
          <w:bCs/>
        </w:rPr>
        <w:t xml:space="preserve">8.</w:t>
      </w:r>
      <w:r>
        <w:rPr>
          <w:b/>
          <w:bCs/>
        </w:rPr>
        <w:t xml:space="preserve">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rFonts w:hint="eastAsia"/>
          <w:b/>
          <w:bCs/>
        </w:rPr>
        <w:t xml:space="preserve">9.</w:t>
      </w:r>
      <w:r>
        <w:rPr>
          <w:b/>
          <w:bCs/>
        </w:rPr>
        <w:t xml:space="preserve">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78"/>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1）</w:t>
      </w:r>
      <w:r>
        <w:rPr>
          <w:rFonts w:ascii="Times New Roman" w:hAnsi="Times New Roman"/>
          <w:sz w:val="21"/>
          <w:szCs w:val="21"/>
        </w:rPr>
        <w:t xml:space="preserve">第一章招标公告中 2.1《中华人民共和国政府采购法》规定的资格条件证明文件；</w:t>
      </w:r>
      <w:r/>
    </w:p>
    <w:p>
      <w:pPr>
        <w:pStyle w:val="778"/>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2）</w:t>
      </w:r>
      <w:r>
        <w:rPr>
          <w:rFonts w:ascii="Times New Roman" w:hAnsi="Times New Roman"/>
          <w:sz w:val="21"/>
          <w:szCs w:val="21"/>
        </w:rPr>
        <w:t xml:space="preserve">第一章招标公告中 2.2落实政府采购政策需满足的资格要求；</w:t>
      </w:r>
      <w:r/>
    </w:p>
    <w:p>
      <w:pPr>
        <w:pStyle w:val="778"/>
        <w:ind w:left="368" w:firstLine="0"/>
        <w:spacing w:line="360" w:lineRule="auto"/>
        <w:tabs>
          <w:tab w:val="left" w:pos="840" w:leader="none"/>
        </w:tabs>
        <w:rPr>
          <w:rFonts w:ascii="Times New Roman" w:hAnsi="Times New Roman"/>
          <w:sz w:val="21"/>
          <w:szCs w:val="21"/>
        </w:rPr>
      </w:pPr>
      <w:r>
        <w:rPr>
          <w:rFonts w:hint="eastAsia" w:ascii="Times New Roman" w:hAnsi="Times New Roman"/>
          <w:sz w:val="21"/>
          <w:szCs w:val="21"/>
        </w:rPr>
        <w:t xml:space="preserve">3）</w:t>
      </w:r>
      <w:r>
        <w:rPr>
          <w:rFonts w:ascii="Times New Roman" w:hAnsi="Times New Roman"/>
          <w:sz w:val="21"/>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rFonts w:hint="eastAsia"/>
          <w:b/>
          <w:bCs/>
        </w:rPr>
        <w:t xml:space="preserve">11.</w:t>
      </w:r>
      <w:r>
        <w:rPr>
          <w:b/>
          <w:bCs/>
        </w:rPr>
        <w:t xml:space="preserve">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rFonts w:hint="eastAsia"/>
          <w:b/>
          <w:bCs/>
        </w:rPr>
        <w:t xml:space="preserve">12.</w:t>
      </w:r>
      <w:r>
        <w:rPr>
          <w:b/>
          <w:bCs/>
        </w:rPr>
        <w:t xml:space="preserve">投标文件的其他部分</w:t>
      </w:r>
      <w:r/>
    </w:p>
    <w:p>
      <w:pPr>
        <w:ind w:firstLine="420"/>
        <w:spacing w:line="360" w:lineRule="auto"/>
        <w:widowControl/>
        <w:rPr>
          <w:rFonts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rFonts w:hint="eastAsia"/>
          <w:b/>
          <w:bCs/>
        </w:rPr>
        <w:t xml:space="preserve">13.</w:t>
      </w:r>
      <w:r>
        <w:rPr>
          <w:b/>
          <w:bCs/>
        </w:rPr>
        <w:t xml:space="preserve">投标保证金</w:t>
      </w:r>
      <w:r/>
    </w:p>
    <w:p>
      <w:pPr>
        <w:pStyle w:val="752"/>
        <w:ind w:firstLine="422"/>
      </w:pPr>
      <w:r>
        <w:rPr>
          <w:b/>
          <w:bCs/>
        </w:rPr>
        <w:t xml:space="preserve">不收取</w:t>
      </w:r>
      <w:r/>
    </w:p>
    <w:p>
      <w:pPr>
        <w:ind w:firstLine="420"/>
        <w:spacing w:line="360" w:lineRule="auto"/>
        <w:shd w:val="clear" w:color="auto" w:fill="ffffff"/>
        <w:widowControl/>
        <w:rPr>
          <w:b/>
          <w:bCs/>
        </w:rPr>
      </w:pPr>
      <w:r>
        <w:rPr>
          <w:rFonts w:hint="eastAsia"/>
          <w:b/>
          <w:bCs/>
        </w:rPr>
        <w:t xml:space="preserve">14.</w:t>
      </w:r>
      <w:r>
        <w:rPr>
          <w:b/>
          <w:bCs/>
        </w:rPr>
        <w:t xml:space="preserve">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rFonts w:hint="eastAsia"/>
          <w:b/>
          <w:bCs/>
        </w:rPr>
        <w:t xml:space="preserve">15.</w:t>
      </w:r>
      <w:r>
        <w:rPr>
          <w:b/>
          <w:bCs/>
        </w:rPr>
        <w:t xml:space="preserve">投标文件签署</w:t>
      </w:r>
      <w:r/>
    </w:p>
    <w:p>
      <w:pPr>
        <w:ind w:firstLine="420"/>
        <w:spacing w:line="360" w:lineRule="auto"/>
        <w:widowControl/>
        <w:rPr>
          <w:rFonts w:ascii="宋体" w:hAnsi="宋体" w:cs="宋体"/>
        </w:rPr>
      </w:pPr>
      <w:r>
        <w:t xml:space="preserve">15.1 投标文件应按照招标文件要求加盖电子公章，否则视为无效投标。</w:t>
      </w:r>
      <w:r/>
    </w:p>
    <w:p>
      <w:pPr>
        <w:ind w:firstLine="420"/>
        <w:spacing w:line="360" w:lineRule="auto"/>
        <w:widowControl/>
        <w:rPr>
          <w:rFonts w:ascii="宋体" w:hAnsi="宋体" w:cs="宋体"/>
        </w:rPr>
      </w:pPr>
      <w:r>
        <w:rPr>
          <w:rFonts w:hint="eastAsia" w:ascii="宋体" w:hAnsi="宋体" w:cs="宋体"/>
          <w:b/>
          <w:bCs/>
        </w:rPr>
        <w:t xml:space="preserve">16.投标费用</w:t>
      </w:r>
      <w:r/>
    </w:p>
    <w:p>
      <w:pPr>
        <w:ind w:firstLine="420"/>
        <w:spacing w:line="360" w:lineRule="auto"/>
        <w:widowControl/>
        <w:rPr>
          <w:rFonts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rPr>
          <w:rFonts w:hint="eastAsia"/>
        </w:rPr>
        <w:t xml:space="preserve">17.</w:t>
      </w:r>
      <w:r>
        <w:t xml:space="preserve">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rPr>
          <w:rFonts w:hint="eastAsia"/>
        </w:rPr>
        <w:t xml:space="preserve">18.</w:t>
      </w:r>
      <w:r>
        <w:t xml:space="preserve">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w:t>
      </w:r>
      <w:r>
        <w:rPr>
          <w:rFonts w:hint="eastAsia"/>
        </w:rPr>
        <w:t xml:space="preserve">作无效投标</w:t>
      </w:r>
      <w:r>
        <w:t xml:space="preserve">处理。</w:t>
      </w:r>
      <w:r/>
    </w:p>
    <w:p>
      <w:pPr>
        <w:ind w:firstLine="420"/>
        <w:spacing w:line="360" w:lineRule="auto"/>
        <w:shd w:val="clear" w:color="auto" w:fill="ffffff"/>
        <w:widowControl/>
      </w:pPr>
      <w:r>
        <w:rPr>
          <w:rFonts w:hint="eastAsia"/>
          <w:b/>
          <w:bCs/>
        </w:rPr>
        <w:t xml:space="preserve">19.</w:t>
      </w:r>
      <w:r>
        <w:rPr>
          <w:b/>
          <w:bCs/>
        </w:rPr>
        <w:t xml:space="preserve">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rFonts w:hint="eastAsia"/>
          <w:b/>
          <w:bCs/>
        </w:rPr>
        <w:t xml:space="preserve">20.</w:t>
      </w:r>
      <w:r>
        <w:rPr>
          <w:b/>
          <w:bCs/>
        </w:rPr>
        <w:t xml:space="preserve">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rFonts w:hint="eastAsia"/>
          <w:b/>
          <w:bCs/>
        </w:rPr>
        <w:t xml:space="preserve">21.</w:t>
      </w:r>
      <w:r>
        <w:rPr>
          <w:b/>
          <w:bCs/>
        </w:rPr>
        <w:t xml:space="preserve">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rFonts w:hint="eastAsia"/>
          <w:b/>
          <w:bCs/>
        </w:rPr>
        <w:t xml:space="preserve">22.</w:t>
      </w:r>
      <w:r>
        <w:rPr>
          <w:b/>
          <w:bCs/>
        </w:rPr>
        <w:t xml:space="preserve">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52"/>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52"/>
        <w:spacing w:line="360" w:lineRule="auto"/>
        <w:rPr>
          <w:lang w:val="zh-CN"/>
        </w:rPr>
      </w:pPr>
      <w:r>
        <w:rPr>
          <w:lang w:val="zh-CN"/>
        </w:rPr>
        <w:t xml:space="preserve">投标人的澄清、说明或者补正不得超出投标文件的范围或者改变投标文件的实质性内容。</w:t>
      </w:r>
      <w:r/>
    </w:p>
    <w:p>
      <w:pPr>
        <w:pStyle w:val="752"/>
        <w:spacing w:line="360" w:lineRule="auto"/>
        <w:rPr>
          <w:lang w:val="zh-CN"/>
        </w:rPr>
      </w:pPr>
      <w:r>
        <w:rPr>
          <w:lang w:val="zh-CN"/>
        </w:rPr>
        <w:t xml:space="preserve">评委会并非对每个投标人都做澄清要求。</w:t>
      </w:r>
      <w:r/>
    </w:p>
    <w:p>
      <w:pPr>
        <w:pStyle w:val="752"/>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52"/>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52"/>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rFonts w:hint="eastAsia"/>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rFonts w:hint="eastAsia"/>
          <w:b/>
          <w:bCs/>
        </w:rPr>
        <w:t xml:space="preserve">24.</w:t>
      </w:r>
      <w:r>
        <w:rPr>
          <w:b/>
          <w:bCs/>
        </w:rPr>
        <w:t xml:space="preserve">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rFonts w:hint="eastAsia"/>
          <w:b/>
          <w:bCs/>
        </w:rPr>
        <w:t xml:space="preserve">25.</w:t>
      </w:r>
      <w:r>
        <w:rPr>
          <w:b/>
          <w:bCs/>
        </w:rPr>
        <w:t xml:space="preserve">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rFonts w:hint="eastAsia"/>
          <w:b/>
          <w:bCs/>
        </w:rPr>
        <w:t xml:space="preserve">26.</w:t>
      </w:r>
      <w:r>
        <w:rPr>
          <w:b/>
          <w:bCs/>
        </w:rPr>
        <w:t xml:space="preserve">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rFonts w:hint="eastAsia"/>
          <w:b/>
          <w:bCs/>
        </w:rPr>
        <w:t xml:space="preserve">27.</w:t>
      </w:r>
      <w:r>
        <w:rPr>
          <w:b/>
          <w:bCs/>
        </w:rPr>
        <w:t xml:space="preserve">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rFonts w:hint="eastAsia"/>
          <w:b/>
          <w:bCs/>
        </w:rPr>
        <w:t xml:space="preserve">28.</w:t>
      </w:r>
      <w:r>
        <w:rPr>
          <w:b/>
          <w:bCs/>
        </w:rPr>
        <w:t xml:space="preserve">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2"/>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pPr>
      <w:r>
        <w:t xml:space="preserve">29.1本项目根据江苏省财政厅关于加强政府绿色采购有关事项的通知（苏财购</w:t>
      </w:r>
      <w:r>
        <w:t xml:space="preserve">〔2023〕65号</w:t>
      </w:r>
      <w:r>
        <w:t xml:space="preserve">）规定，执行绿色采购需求标准。</w:t>
      </w:r>
      <w:r/>
    </w:p>
    <w:p>
      <w:pPr>
        <w:ind w:firstLine="420"/>
        <w:spacing w:line="360" w:lineRule="auto"/>
        <w:widowControl/>
        <w:rPr>
          <w:rFonts w:ascii="宋体" w:hAnsi="宋体" w:cs="宋体"/>
        </w:rPr>
      </w:pPr>
      <w:r>
        <w:rPr>
          <w:rFonts w:ascii="宋体" w:hAnsi="宋体" w:cs="宋体"/>
        </w:rPr>
      </w:r>
      <w:r/>
    </w:p>
    <w:p>
      <w:pPr>
        <w:pStyle w:val="705"/>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5"/>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471"/>
        <w:gridCol w:w="753"/>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1</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（10分）</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10"/>
              <w:jc w:val="center"/>
              <w:spacing w:line="279" w:lineRule="auto"/>
            </w:pPr>
            <w:r>
              <w:rPr>
                <w:rFonts w:hint="eastAsia"/>
              </w:rPr>
              <w:t xml:space="preserve">10</w:t>
            </w:r>
            <w:r/>
          </w:p>
        </w:tc>
      </w:tr>
      <w:tr>
        <w:trPr>
          <w:jc w:val="center"/>
          <w:trHeight w:val="90"/>
        </w:trPr>
        <w:tc>
          <w:tcPr>
            <w:tcBorders>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2</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商务部分（25分）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pStyle w:val="751"/>
              <w:ind w:firstLine="0"/>
            </w:pPr>
            <w:r>
              <w:rPr>
                <w:rFonts w:hint="eastAsia"/>
              </w:rPr>
              <w:t xml:space="preserve">提供投标人2019年1月1日（含，以相关证明文件载明日期为准）以来承担矿产勘查物探业绩证明材料，熟悉测区工作环境。</w:t>
            </w:r>
            <w:r/>
          </w:p>
          <w:p>
            <w:pPr>
              <w:pStyle w:val="751"/>
              <w:ind w:firstLine="0"/>
            </w:pPr>
            <w:r>
              <w:rPr>
                <w:rFonts w:hint="eastAsia"/>
              </w:rPr>
              <w:t xml:space="preserve">重力测量每份业绩</w:t>
            </w:r>
            <w:r>
              <w:t xml:space="preserve">1</w:t>
            </w:r>
            <w:r>
              <w:rPr>
                <w:rFonts w:hint="eastAsia"/>
              </w:rPr>
              <w:t xml:space="preserve">分，最高得4分；</w:t>
            </w:r>
            <w:r/>
          </w:p>
          <w:p>
            <w:pPr>
              <w:pStyle w:val="751"/>
              <w:ind w:firstLine="0"/>
            </w:pPr>
            <w:r>
              <w:rPr>
                <w:rFonts w:hint="eastAsia"/>
              </w:rPr>
              <w:t xml:space="preserve">磁法测量每份业绩</w:t>
            </w:r>
            <w:r>
              <w:t xml:space="preserve">1</w:t>
            </w:r>
            <w:r>
              <w:rPr>
                <w:rFonts w:hint="eastAsia"/>
              </w:rPr>
              <w:t xml:space="preserve">分，最高得2分；</w:t>
            </w:r>
            <w:r/>
          </w:p>
          <w:p>
            <w:pPr>
              <w:pStyle w:val="751"/>
              <w:ind w:firstLine="0"/>
            </w:pPr>
            <w:r>
              <w:rPr>
                <w:rFonts w:hint="eastAsia"/>
              </w:rPr>
              <w:t xml:space="preserve">本项合计最高得</w:t>
            </w:r>
            <w:r>
              <w:t xml:space="preserve">6</w:t>
            </w:r>
            <w:r>
              <w:rPr>
                <w:rFonts w:hint="eastAsia"/>
              </w:rPr>
              <w:t xml:space="preserve">分。</w:t>
            </w:r>
            <w:r/>
          </w:p>
          <w:p>
            <w:pPr>
              <w:pStyle w:val="751"/>
              <w:ind w:firstLine="0"/>
            </w:pPr>
            <w:r>
              <w:rPr>
                <w:rFonts w:hint="eastAsia"/>
              </w:rPr>
              <w:t xml:space="preserve">证明材料:包括①合同或协议书或任务下达文件复印件；②项目的野外验收意见或成果验收意见复印件。</w:t>
            </w:r>
            <w:r/>
          </w:p>
          <w:p>
            <w:pPr>
              <w:pStyle w:val="751"/>
              <w:ind w:firstLine="0"/>
            </w:pPr>
            <w:r>
              <w:rPr>
                <w:rFonts w:hint="eastAsia"/>
              </w:rPr>
              <w:t xml:space="preserve">以上2项缺一不可。</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6</w:t>
            </w:r>
            <w:r/>
          </w:p>
        </w:tc>
      </w:tr>
      <w:tr>
        <w:trPr>
          <w:jc w:val="center"/>
          <w:trHeight w:val="1033"/>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管理体系认证</w:t>
            </w:r>
            <w:r/>
          </w:p>
        </w:tc>
        <w:tc>
          <w:tcPr>
            <w:tcBorders>
              <w:top w:val="single" w:color="auto" w:sz="4" w:space="0"/>
              <w:left w:val="single" w:color="auto" w:sz="4" w:space="0"/>
              <w:bottom w:val="single" w:color="auto" w:sz="4" w:space="0"/>
              <w:right w:val="single" w:color="auto" w:sz="4" w:space="0"/>
            </w:tcBorders>
            <w:tcW w:w="5471" w:type="dxa"/>
            <w:vAlign w:val="center"/>
            <w:textDirection w:val="lrTb"/>
            <w:noWrap w:val="false"/>
          </w:tcPr>
          <w:p>
            <w:pPr>
              <w:spacing w:line="279" w:lineRule="auto"/>
            </w:pPr>
            <w:r>
              <w:rPr>
                <w:rFonts w:hint="eastAsia"/>
              </w:rPr>
              <w:t xml:space="preserve">投标人通过质量管理体系认证、职业健康安全管理体系认证、信息安全管理体系认证的，每通过一项得</w:t>
            </w:r>
            <w:r>
              <w:t xml:space="preserve">1</w:t>
            </w:r>
            <w:r>
              <w:rPr>
                <w:rFonts w:hint="eastAsia"/>
              </w:rPr>
              <w:t xml:space="preserve">分，最高3分。提供有效期内的证书复印件。</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firstLine="237"/>
              <w:spacing w:line="279" w:lineRule="auto"/>
            </w:pPr>
            <w:r>
              <w:rPr>
                <w:rFonts w:hint="eastAsia"/>
              </w:rPr>
              <w:t xml:space="preserve">3</w:t>
            </w:r>
            <w:r/>
          </w:p>
        </w:tc>
      </w:tr>
      <w:tr>
        <w:trPr>
          <w:jc w:val="center"/>
          <w:trHeight w:val="176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人员</w:t>
            </w:r>
            <w:r/>
          </w:p>
          <w:p>
            <w:pPr>
              <w:spacing w:line="279" w:lineRule="auto"/>
            </w:pPr>
            <w:r>
              <w:rPr>
                <w:rFonts w:hint="eastAsia"/>
              </w:rPr>
              <w:t xml:space="preserve">素质</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人员结构合理，技术骨干力量配备满足工作要求。</w:t>
            </w:r>
            <w:r/>
          </w:p>
          <w:p>
            <w:pPr>
              <w:spacing w:line="279" w:lineRule="auto"/>
            </w:pPr>
            <w:r>
              <w:rPr>
                <w:rFonts w:hint="eastAsia"/>
                <w:b/>
                <w:bCs/>
              </w:rPr>
              <w:t xml:space="preserve">项目负责人</w:t>
            </w:r>
            <w:r>
              <w:rPr>
                <w:rFonts w:hint="eastAsia"/>
              </w:rPr>
              <w:t xml:space="preserve">（限1人）具地球物理勘查专业正高职称的，得2分，副高职称得1分，其他不得分，本小项最高得2分；</w:t>
            </w:r>
            <w:r/>
          </w:p>
          <w:p>
            <w:pPr>
              <w:spacing w:line="279" w:lineRule="auto"/>
            </w:pPr>
            <w:r>
              <w:rPr>
                <w:rFonts w:hint="eastAsia"/>
                <w:b/>
                <w:bCs/>
              </w:rPr>
              <w:t xml:space="preserve">仪器操作、数据处理人员</w:t>
            </w:r>
            <w:r>
              <w:rPr>
                <w:rFonts w:hint="eastAsia"/>
              </w:rPr>
              <w:t xml:space="preserve">：高级工程师职称（含）以上得1分/人，工程师职称得0.5分/人，中级以下不得分，本小项最高得3分；</w:t>
            </w:r>
            <w:r/>
          </w:p>
          <w:p>
            <w:pPr>
              <w:spacing w:line="279" w:lineRule="auto"/>
            </w:pPr>
            <w:r>
              <w:rPr>
                <w:rFonts w:hint="eastAsia"/>
                <w:b/>
                <w:bCs/>
              </w:rPr>
              <w:t xml:space="preserve">测地人员：</w:t>
            </w:r>
            <w:r>
              <w:rPr>
                <w:rFonts w:hint="eastAsia"/>
              </w:rPr>
              <w:t xml:space="preserve">高级工程师职称（含）以上得1分/人，工程师职称得0.5分/人，中级以下不得分，本小项最高得2分；</w:t>
            </w:r>
            <w:r/>
          </w:p>
          <w:p>
            <w:pPr>
              <w:spacing w:line="279" w:lineRule="auto"/>
            </w:pPr>
            <w:r>
              <w:rPr>
                <w:rFonts w:hint="eastAsia"/>
              </w:rPr>
              <w:t xml:space="preserve">本项最高得7分。</w:t>
            </w:r>
            <w:r/>
          </w:p>
          <w:p>
            <w:pPr>
              <w:spacing w:line="279" w:lineRule="auto"/>
            </w:pPr>
            <w:r>
              <w:rPr>
                <w:rFonts w:hint="eastAsia"/>
                <w:b/>
                <w:bCs/>
              </w:rPr>
              <w:t xml:space="preserve">注：提供职称证书等证明材料复印件，以及投标人为其在距离投标文件提交截止时间6个月内任意1个月缴纳社保的证明文件。</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7</w:t>
            </w:r>
            <w:r/>
          </w:p>
        </w:tc>
      </w:tr>
      <w:tr>
        <w:trPr>
          <w:jc w:val="center"/>
          <w:trHeight w:val="6639"/>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设备</w:t>
            </w:r>
            <w:r/>
          </w:p>
          <w:p>
            <w:pPr>
              <w:spacing w:line="279" w:lineRule="auto"/>
            </w:pPr>
            <w:r>
              <w:rPr>
                <w:rFonts w:hint="eastAsia"/>
              </w:rPr>
              <w:t xml:space="preserve">配置</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要求工作所需的各类仪器装备齐全，性能可靠，精度能满足工作要求，后勤保障完备，设备主要包括重力仪、磁力仪、测地设备等相应的仪器设备，</w:t>
            </w:r>
            <w:r>
              <w:rPr>
                <w:rFonts w:hint="eastAsia"/>
                <w:b/>
                <w:bCs/>
              </w:rPr>
              <w:t xml:space="preserve">提供主要设备购置发票或固定资产明细或设备租赁合同</w:t>
            </w:r>
            <w:r>
              <w:rPr>
                <w:rFonts w:hint="eastAsia"/>
                <w:b/>
                <w:bCs/>
                <w:lang w:val="en-US" w:eastAsia="zh-CN"/>
              </w:rPr>
              <w:t xml:space="preserve">等</w:t>
            </w:r>
            <w:r>
              <w:rPr>
                <w:rFonts w:hint="eastAsia"/>
                <w:b/>
                <w:bCs/>
              </w:rPr>
              <w:t xml:space="preserve">证明材料。</w:t>
            </w:r>
            <w:r/>
          </w:p>
          <w:p>
            <w:pPr>
              <w:pStyle w:val="751"/>
              <w:ind w:firstLine="0"/>
              <w:spacing w:line="279" w:lineRule="auto"/>
            </w:pPr>
            <w:r>
              <w:rPr>
                <w:rFonts w:hint="eastAsia"/>
              </w:rPr>
              <w:t xml:space="preserve">1.重力仪：</w:t>
            </w:r>
            <w:r/>
          </w:p>
          <w:p>
            <w:r/>
            <w:bookmarkStart w:id="46" w:name="OLE_LINK11"/>
            <w:r>
              <w:rPr>
                <w:rFonts w:hint="eastAsia"/>
              </w:rPr>
              <w:t xml:space="preserve">需提供①设备型号、②设备校验材料、③购置发票或固定资产明细或设备租赁合同等证明材料。</w:t>
            </w:r>
            <w:r/>
          </w:p>
          <w:p>
            <w:r>
              <w:rPr>
                <w:rFonts w:hint="eastAsia"/>
              </w:rPr>
              <w:t xml:space="preserve">设备数量≥4台的，得4分；</w:t>
            </w:r>
            <w:r/>
          </w:p>
          <w:p>
            <w:r>
              <w:rPr>
                <w:rFonts w:hint="eastAsia"/>
              </w:rPr>
              <w:t xml:space="preserve">设备数量＝3台的，得3分；</w:t>
            </w:r>
            <w:r/>
          </w:p>
          <w:p>
            <w:r>
              <w:rPr>
                <w:rFonts w:hint="eastAsia"/>
              </w:rPr>
              <w:t xml:space="preserve">设备数量＝2台的，得2分；</w:t>
            </w:r>
            <w:r/>
          </w:p>
          <w:p>
            <w:pPr>
              <w:rPr>
                <w:rFonts w:hint="default"/>
                <w:highlight w:val="yellow"/>
              </w:rPr>
            </w:pPr>
            <w:r>
              <w:rPr>
                <w:rFonts w:hint="eastAsia"/>
              </w:rPr>
              <w:t xml:space="preserve">设备数量＝1台的，得1分；</w:t>
            </w:r>
            <w:bookmarkEnd w:id="46"/>
            <w:r/>
            <w:r/>
          </w:p>
          <w:p>
            <w:pPr>
              <w:pStyle w:val="751"/>
              <w:ind w:firstLine="0"/>
              <w:spacing w:line="279" w:lineRule="auto"/>
            </w:pPr>
            <w:r>
              <w:rPr>
                <w:rFonts w:hint="eastAsia"/>
              </w:rPr>
              <w:t xml:space="preserve">2.磁力仪：</w:t>
            </w:r>
            <w:r/>
          </w:p>
          <w:p>
            <w:pPr>
              <w:rPr>
                <w:rFonts w:ascii="宋体" w:hAnsi="宋体" w:cs="宋体"/>
              </w:rPr>
            </w:pPr>
            <w:r/>
            <w:bookmarkStart w:id="47" w:name="OLE_LINK12"/>
            <w:r>
              <w:rPr>
                <w:rFonts w:hint="eastAsia" w:ascii="宋体" w:hAnsi="宋体" w:cs="宋体"/>
              </w:rPr>
              <w:t xml:space="preserve">需提供</w:t>
            </w:r>
            <w:r>
              <w:rPr>
                <w:rFonts w:ascii="宋体" w:hAnsi="宋体" w:cs="宋体"/>
              </w:rPr>
              <w:t xml:space="preserve">①</w:t>
            </w:r>
            <w:r>
              <w:rPr>
                <w:rFonts w:hint="eastAsia" w:ascii="宋体" w:hAnsi="宋体" w:cs="宋体"/>
              </w:rPr>
              <w:t xml:space="preserve">设备型号、</w:t>
            </w:r>
            <w:r>
              <w:rPr>
                <w:rFonts w:ascii="宋体" w:hAnsi="宋体" w:cs="宋体"/>
              </w:rPr>
              <w:t xml:space="preserve">②</w:t>
            </w:r>
            <w:r>
              <w:rPr>
                <w:rFonts w:hint="eastAsia" w:ascii="宋体" w:hAnsi="宋体" w:cs="宋体"/>
              </w:rPr>
              <w:t xml:space="preserve">设备校验材料、</w:t>
            </w:r>
            <w:r>
              <w:rPr>
                <w:rFonts w:ascii="宋体" w:hAnsi="宋体" w:cs="宋体"/>
              </w:rPr>
              <w:t xml:space="preserve">③</w:t>
            </w:r>
            <w:r>
              <w:rPr>
                <w:rFonts w:hint="eastAsia" w:ascii="宋体" w:hAnsi="宋体" w:cs="宋体"/>
              </w:rPr>
              <w:t xml:space="preserve">购置发票或固定资产明细或设备租赁合同等证明材料。</w:t>
            </w:r>
            <w:r/>
          </w:p>
          <w:p>
            <w:pPr>
              <w:rPr>
                <w:rFonts w:ascii="宋体" w:hAnsi="宋体" w:cs="宋体"/>
              </w:rPr>
            </w:pPr>
            <w:r>
              <w:rPr>
                <w:rFonts w:hint="eastAsia" w:ascii="宋体" w:hAnsi="宋体" w:cs="宋体"/>
              </w:rPr>
              <w:t xml:space="preserve">设备数量≥</w:t>
            </w:r>
            <w:r>
              <w:rPr>
                <w:rFonts w:ascii="宋体" w:hAnsi="宋体" w:cs="宋体"/>
              </w:rPr>
              <w:t xml:space="preserve">3</w:t>
            </w:r>
            <w:r>
              <w:rPr>
                <w:rFonts w:hint="eastAsia" w:ascii="宋体" w:hAnsi="宋体" w:cs="宋体"/>
              </w:rPr>
              <w:t xml:space="preserve">台的，得</w:t>
            </w:r>
            <w:r>
              <w:rPr>
                <w:rFonts w:ascii="宋体" w:hAnsi="宋体" w:cs="宋体"/>
              </w:rPr>
              <w:t xml:space="preserve">3</w:t>
            </w:r>
            <w:r>
              <w:rPr>
                <w:rFonts w:hint="eastAsia" w:ascii="宋体" w:hAnsi="宋体" w:cs="宋体"/>
              </w:rPr>
              <w:t xml:space="preserve">分；</w:t>
            </w:r>
            <w:r/>
          </w:p>
          <w:p>
            <w:pPr>
              <w:rPr>
                <w:rFonts w:ascii="宋体" w:hAnsi="宋体" w:cs="宋体"/>
              </w:rPr>
            </w:pPr>
            <w:r>
              <w:rPr>
                <w:rFonts w:hint="eastAsia" w:ascii="宋体" w:hAnsi="宋体" w:cs="宋体"/>
              </w:rPr>
              <w:t xml:space="preserve">设备数量</w:t>
            </w:r>
            <w:r>
              <w:rPr>
                <w:rFonts w:hint="eastAsia" w:ascii="仿宋" w:hAnsi="仿宋" w:eastAsia="仿宋" w:cs="仿宋"/>
              </w:rPr>
              <w:t xml:space="preserve">＝</w:t>
            </w:r>
            <w:r>
              <w:rPr>
                <w:rFonts w:ascii="宋体" w:hAnsi="宋体" w:cs="宋体"/>
              </w:rPr>
              <w:t xml:space="preserve">2</w:t>
            </w:r>
            <w:r>
              <w:rPr>
                <w:rFonts w:hint="eastAsia" w:ascii="宋体" w:hAnsi="宋体" w:cs="宋体"/>
              </w:rPr>
              <w:t xml:space="preserve">台的，得</w:t>
            </w:r>
            <w:r>
              <w:rPr>
                <w:rFonts w:ascii="宋体" w:hAnsi="宋体" w:cs="宋体"/>
              </w:rPr>
              <w:t xml:space="preserve">2</w:t>
            </w:r>
            <w:r>
              <w:rPr>
                <w:rFonts w:hint="eastAsia" w:ascii="宋体" w:hAnsi="宋体" w:cs="宋体"/>
              </w:rPr>
              <w:t xml:space="preserve">分；</w:t>
            </w:r>
            <w:r/>
          </w:p>
          <w:p>
            <w:pPr>
              <w:rPr>
                <w:highlight w:val="yellow"/>
              </w:rPr>
            </w:pPr>
            <w:r>
              <w:rPr>
                <w:rFonts w:hint="eastAsia" w:ascii="宋体" w:hAnsi="宋体" w:cs="宋体"/>
              </w:rPr>
              <w:t xml:space="preserve">设备数量</w:t>
            </w:r>
            <w:r>
              <w:rPr>
                <w:rFonts w:hint="eastAsia" w:ascii="仿宋" w:hAnsi="仿宋" w:eastAsia="仿宋" w:cs="仿宋"/>
              </w:rPr>
              <w:t xml:space="preserve">＝</w:t>
            </w:r>
            <w:r>
              <w:rPr>
                <w:rFonts w:ascii="宋体" w:hAnsi="宋体" w:cs="宋体"/>
              </w:rPr>
              <w:t xml:space="preserve">1</w:t>
            </w:r>
            <w:r>
              <w:rPr>
                <w:rFonts w:hint="eastAsia" w:ascii="宋体" w:hAnsi="宋体" w:cs="宋体"/>
              </w:rPr>
              <w:t xml:space="preserve">台的，得</w:t>
            </w:r>
            <w:r>
              <w:rPr>
                <w:rFonts w:ascii="宋体" w:hAnsi="宋体" w:cs="宋体"/>
              </w:rPr>
              <w:t xml:space="preserve">1</w:t>
            </w:r>
            <w:r>
              <w:rPr>
                <w:rFonts w:hint="eastAsia" w:ascii="宋体" w:hAnsi="宋体" w:cs="宋体"/>
              </w:rPr>
              <w:t xml:space="preserve">分；</w:t>
            </w:r>
            <w:bookmarkEnd w:id="47"/>
            <w:r/>
            <w:r/>
          </w:p>
          <w:p>
            <w:pPr>
              <w:pStyle w:val="751"/>
              <w:ind w:firstLine="0"/>
              <w:spacing w:line="279" w:lineRule="auto"/>
              <w:rPr>
                <w:highlight w:val="yellow"/>
              </w:rPr>
            </w:pPr>
            <w:r>
              <w:rPr>
                <w:rFonts w:hint="eastAsia"/>
              </w:rPr>
              <w:t xml:space="preserve">3.测地设备:需提供设备型号</w:t>
            </w:r>
            <w:r/>
          </w:p>
          <w:p>
            <w:pPr>
              <w:rPr>
                <w:rFonts w:ascii="宋体" w:hAnsi="宋体" w:cs="宋体"/>
              </w:rPr>
            </w:pPr>
            <w:r>
              <w:rPr>
                <w:rFonts w:hint="eastAsia" w:ascii="宋体" w:hAnsi="宋体" w:cs="宋体"/>
              </w:rPr>
              <w:t xml:space="preserve">需提供</w:t>
            </w:r>
            <w:r>
              <w:rPr>
                <w:rFonts w:ascii="宋体" w:hAnsi="宋体" w:cs="宋体"/>
              </w:rPr>
              <w:t xml:space="preserve">①</w:t>
            </w:r>
            <w:r>
              <w:rPr>
                <w:rFonts w:hint="eastAsia" w:ascii="宋体" w:hAnsi="宋体" w:cs="宋体"/>
              </w:rPr>
              <w:t xml:space="preserve">设备型号、</w:t>
            </w:r>
            <w:r>
              <w:rPr>
                <w:rFonts w:ascii="宋体" w:hAnsi="宋体" w:cs="宋体"/>
              </w:rPr>
              <w:t xml:space="preserve">②</w:t>
            </w:r>
            <w:r>
              <w:rPr>
                <w:rFonts w:hint="eastAsia" w:ascii="宋体" w:hAnsi="宋体" w:cs="宋体"/>
              </w:rPr>
              <w:t xml:space="preserve">设备校验材料、</w:t>
            </w:r>
            <w:r>
              <w:rPr>
                <w:rFonts w:ascii="宋体" w:hAnsi="宋体" w:cs="宋体"/>
              </w:rPr>
              <w:t xml:space="preserve">③</w:t>
            </w:r>
            <w:r>
              <w:rPr>
                <w:rFonts w:hint="eastAsia" w:ascii="宋体" w:hAnsi="宋体" w:cs="宋体"/>
              </w:rPr>
              <w:t xml:space="preserve">购置发票或固定资产明细或设备租赁合同等证明材料。</w:t>
            </w:r>
            <w:r/>
          </w:p>
          <w:p>
            <w:pPr>
              <w:rPr>
                <w:rFonts w:ascii="宋体" w:hAnsi="宋体" w:cs="宋体"/>
              </w:rPr>
            </w:pPr>
            <w:r>
              <w:rPr>
                <w:rFonts w:hint="eastAsia" w:ascii="宋体" w:hAnsi="宋体" w:cs="宋体"/>
              </w:rPr>
              <w:t xml:space="preserve">设备数量≥</w:t>
            </w:r>
            <w:r>
              <w:rPr>
                <w:rFonts w:ascii="宋体" w:hAnsi="宋体" w:cs="宋体"/>
              </w:rPr>
              <w:t xml:space="preserve">4</w:t>
            </w:r>
            <w:r>
              <w:rPr>
                <w:rFonts w:hint="eastAsia" w:ascii="宋体" w:hAnsi="宋体" w:cs="宋体"/>
              </w:rPr>
              <w:t xml:space="preserve">台的，得</w:t>
            </w:r>
            <w:r>
              <w:rPr>
                <w:rFonts w:ascii="宋体" w:hAnsi="宋体" w:cs="宋体"/>
              </w:rPr>
              <w:t xml:space="preserve">2</w:t>
            </w:r>
            <w:r>
              <w:rPr>
                <w:rFonts w:hint="eastAsia" w:ascii="宋体" w:hAnsi="宋体" w:cs="宋体"/>
              </w:rPr>
              <w:t xml:space="preserve">分；</w:t>
            </w:r>
            <w:r/>
          </w:p>
          <w:p>
            <w:pPr>
              <w:rPr>
                <w:highlight w:val="yellow"/>
              </w:rPr>
            </w:pPr>
            <w:r>
              <w:rPr>
                <w:rFonts w:hint="eastAsia" w:ascii="宋体" w:hAnsi="宋体" w:cs="宋体"/>
              </w:rPr>
              <w:t xml:space="preserve">1台</w:t>
            </w:r>
            <w:r>
              <w:rPr>
                <w:rFonts w:hint="eastAsia" w:ascii="Arial" w:hAnsi="Arial" w:cs="Arial"/>
              </w:rPr>
              <w:t xml:space="preserve">≤</w:t>
            </w:r>
            <w:r>
              <w:rPr>
                <w:rFonts w:hint="eastAsia" w:ascii="宋体" w:hAnsi="宋体" w:cs="宋体"/>
              </w:rPr>
              <w:t xml:space="preserve">设备数量</w:t>
            </w:r>
            <w:r>
              <w:rPr>
                <w:rFonts w:hint="eastAsia" w:ascii="仿宋" w:hAnsi="仿宋" w:eastAsia="仿宋" w:cs="仿宋"/>
              </w:rPr>
              <w:t xml:space="preserve">＜</w:t>
            </w:r>
            <w:r>
              <w:rPr>
                <w:rFonts w:hint="eastAsia" w:ascii="宋体" w:hAnsi="宋体" w:cs="宋体"/>
              </w:rPr>
              <w:t xml:space="preserve">4台的，得1分；</w:t>
            </w:r>
            <w:r/>
          </w:p>
          <w:p>
            <w:pPr>
              <w:spacing w:line="279" w:lineRule="auto"/>
            </w:pPr>
            <w:r>
              <w:rPr>
                <w:rFonts w:hint="eastAsia"/>
              </w:rPr>
              <w:t xml:space="preserve">本项最高得9分。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9</w:t>
            </w:r>
            <w:r/>
          </w:p>
        </w:tc>
      </w:tr>
      <w:tr>
        <w:trPr>
          <w:jc w:val="center"/>
          <w:trHeight w:val="823"/>
        </w:trPr>
        <w:tc>
          <w:tcPr>
            <w:tcBorders>
              <w:top w:val="single" w:color="auto" w:sz="4" w:space="0"/>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资料收集与分析利用</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投标文件中对江苏省东北部地区内石英岩型高纯石英原料矿地质背景和成矿条件进行描述，系统收集各工作区内水准点控制点、岩石密度、波速等资料并对资料进行分析利用，提出可能遇到的问题及解决方法。</w:t>
            </w:r>
            <w:r/>
          </w:p>
          <w:p>
            <w:pPr>
              <w:spacing w:line="279" w:lineRule="auto"/>
            </w:pPr>
            <w:r>
              <w:rPr>
                <w:rFonts w:hint="eastAsia"/>
              </w:rPr>
              <w:t xml:space="preserve">工作区资料收集较好并进行分析，完全满足工作区需要的，得15分;基本满足工作区需要，略有欠缺需要完善的，得12分;对工作区需要适配度较差，有欠缺的，得9分；对工作区需要适配度差，欠缺多的，得6分；未提供得0分。</w:t>
            </w:r>
            <w:r/>
          </w:p>
          <w:p>
            <w:pPr>
              <w:spacing w:line="279" w:lineRule="auto"/>
            </w:pPr>
            <w:r>
              <w:rPr>
                <w:rFonts w:hint="eastAsia"/>
              </w:rPr>
              <w:t xml:space="preserve">本项最高得15分。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15</w:t>
            </w:r>
            <w:r/>
          </w:p>
        </w:tc>
      </w:tr>
      <w:tr>
        <w:trPr>
          <w:jc w:val="center"/>
          <w:trHeight w:val="714"/>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技术</w:t>
            </w:r>
            <w:r/>
          </w:p>
          <w:p>
            <w:pPr>
              <w:spacing w:line="279" w:lineRule="auto"/>
            </w:pPr>
            <w:r>
              <w:rPr>
                <w:rFonts w:hint="eastAsia"/>
              </w:rPr>
              <w:t xml:space="preserve">方案</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投标文件中对技术方案进行描述，要求技术方案详细可行;保障措施科学合理;能够满足项目圈定找矿靶区、指导勘查工程部署的需求。</w:t>
            </w:r>
            <w:r/>
          </w:p>
          <w:p>
            <w:pPr>
              <w:spacing w:line="279" w:lineRule="auto"/>
            </w:pPr>
            <w:r>
              <w:rPr>
                <w:rFonts w:hint="eastAsia"/>
              </w:rPr>
              <w:t xml:space="preserve">方案详细、合理可行，完全满足项目需要的，得20分;方案较详细，较合理可行，基本满足项目需要，略有欠缺需要完善的，得15分;方案整体一般，不能较好满足项目需要的，得10分;方案粗略简单合理性差，可行性差，基本不能满足项目需要的，得5分;未描述或完全不能满足项目需要的，得0分。</w:t>
            </w:r>
            <w:r/>
          </w:p>
          <w:p>
            <w:pPr>
              <w:spacing w:line="279" w:lineRule="auto"/>
            </w:pPr>
            <w:r>
              <w:rPr>
                <w:rFonts w:hint="eastAsia"/>
              </w:rPr>
              <w:t xml:space="preserve">本项最高得20分。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20</w:t>
            </w:r>
            <w:r/>
          </w:p>
        </w:tc>
      </w:tr>
      <w:tr>
        <w:trPr>
          <w:jc w:val="center"/>
          <w:trHeight w:val="1131"/>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目标任务与工作量</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对招标文件提出的目标、任务（工作量）响应程度。每项符合要求得1分，否则得0分。本项最高得2分。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1174"/>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数据</w:t>
            </w:r>
            <w:r/>
          </w:p>
          <w:p>
            <w:pPr>
              <w:spacing w:line="279" w:lineRule="auto"/>
            </w:pPr>
            <w:r>
              <w:rPr>
                <w:rFonts w:hint="eastAsia"/>
              </w:rPr>
              <w:t xml:space="preserve">处理</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投标文件中对于重力、磁法剖面测量、面积性测量数据处理与质量评价如何处理分别进行描述，每一项符合要求，得3分，否则该项得0分。本项最高得6分。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6</w:t>
            </w:r>
            <w:r/>
          </w:p>
        </w:tc>
      </w:tr>
      <w:tr>
        <w:trPr>
          <w:jc w:val="center"/>
          <w:trHeight w:val="37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数据成果解译</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投标文件对数据成果解释拟采用的解译方法手段进行描述，要求能够大致查明石英岩含矿地质体特征,解译断裂带、韧性剪切带等构造特征，拟采用的解译方法手段完全满足项目任务要求，得8分;基本满足项目任务要求，略有欠缺需要完善的，得6分;不能较好满足项目任务要求，得4分;未描述或完全不能满足项目任务要求，得0分。本项最高得8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8</w:t>
            </w:r>
            <w:r/>
          </w:p>
        </w:tc>
      </w:tr>
      <w:tr>
        <w:trPr>
          <w:jc w:val="center"/>
          <w:trHeight w:val="88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质量管理制度和措施</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要求质量管理制度健全，质量管理措施具体可行。质量目标明确，质量保证措施具体可行，满足项目需要的，得2分;质量目标较明确，质量保证措施具有一定可行性，基本满足项目需求，尚需完善的，得1分;存在明显缺陷，不能满足项目需要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88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安全生产制度和保密措施</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要求安全生产制度、保密措施健全，措施具体可行完全符合要求，安全目标明确，措施具体可行，满足项目需要的，得2分;安全目标较明确，措施具有一定可行性，基本满足项目需求，尚需完善的，得1分;存在明显缺陷，不能满足项目需要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88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环保、文明施工措施</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要求环保、文明施工措施具体、可行。环保、文明施工(排污、场地清理等)措施齐全，满足项目需要的，得2分;措施较齐全，基本满足项目需求，尚需完善的，得1分;存在缺陷，不能满足项目需求的，得0分。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88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w:t>
            </w:r>
            <w:r/>
          </w:p>
          <w:p>
            <w:pPr>
              <w:spacing w:line="279" w:lineRule="auto"/>
            </w:pPr>
            <w:r>
              <w:rPr>
                <w:rFonts w:hint="eastAsia"/>
              </w:rPr>
              <w:t xml:space="preserve">提交</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资料提交方案，要求保障资料提交齐全、符合要求。完全符合要求的，得2分;基本符合要求，需要完善的，得1分;不符合要求的，得0分。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461"/>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工期计划</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要求工作安排科学合理，提速措施有效。优于或在要求时间内完成的，得4分;根据投标文件工期安排，难以按要求时间内完成的，得2分；根据投标文件工期安排，不能按要求时间内完成的，得0分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4</w:t>
            </w:r>
            <w:r/>
          </w:p>
        </w:tc>
      </w:tr>
      <w:tr>
        <w:trPr>
          <w:jc w:val="center"/>
          <w:trHeight w:val="886"/>
        </w:trPr>
        <w:tc>
          <w:tcPr>
            <w:tcBorders>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spacing w:line="279" w:lineRule="auto"/>
            </w:pPr>
            <w:r>
              <w:rPr>
                <w:rFonts w:hint="eastAsia"/>
              </w:rPr>
              <w:t xml:space="preserve">技术</w:t>
            </w:r>
            <w:r/>
          </w:p>
          <w:p>
            <w:pPr>
              <w:spacing w:line="279" w:lineRule="auto"/>
            </w:pPr>
            <w:r>
              <w:rPr>
                <w:rFonts w:hint="eastAsia"/>
              </w:rPr>
              <w:t xml:space="preserve">标准</w:t>
            </w:r>
            <w:r/>
          </w:p>
        </w:tc>
        <w:tc>
          <w:tcPr>
            <w:tcBorders>
              <w:top w:val="single" w:color="auto" w:sz="4" w:space="0"/>
              <w:left w:val="single" w:color="auto" w:sz="4" w:space="0"/>
              <w:bottom w:val="single" w:color="auto" w:sz="4" w:space="0"/>
              <w:right w:val="single" w:color="auto" w:sz="4" w:space="0"/>
            </w:tcBorders>
            <w:tcW w:w="5471" w:type="dxa"/>
            <w:textDirection w:val="lrTb"/>
            <w:noWrap w:val="false"/>
          </w:tcPr>
          <w:p>
            <w:pPr>
              <w:spacing w:line="279" w:lineRule="auto"/>
            </w:pPr>
            <w:r>
              <w:rPr>
                <w:rFonts w:hint="eastAsia"/>
              </w:rPr>
              <w:t xml:space="preserve">采用的技术标准符合现行要求，具体明确的，得2分;否则得0分。</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9" w:lineRule="auto"/>
            </w:pPr>
            <w:r>
              <w:rPr>
                <w:rFonts w:hint="eastAsia"/>
              </w:rPr>
              <w:t xml:space="preserve">2</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059"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705"/>
        <w:rPr>
          <w:rFonts w:ascii="宋体" w:hAnsi="宋体" w:cs="宋体"/>
        </w:rPr>
      </w:pPr>
      <w:r>
        <w:br w:type="page" w:clear="all"/>
      </w:r>
      <w:r>
        <w:rPr>
          <w:rFonts w:hint="eastAsia" w:ascii="宋体" w:hAnsi="宋体" w:cs="宋体"/>
        </w:rPr>
        <w:t xml:space="preserve"> </w:t>
      </w:r>
      <w:r>
        <w:rPr>
          <w:rFonts w:ascii="宋体" w:hAnsi="宋体" w:cs="宋体"/>
        </w:rPr>
        <w:t xml:space="preserve"> </w:t>
      </w:r>
      <w:bookmarkStart w:id="48" w:name="_Toc183091224"/>
      <w:r>
        <w:rPr>
          <w:rFonts w:hint="eastAsia" w:ascii="宋体" w:hAnsi="宋体" w:cs="宋体"/>
        </w:rPr>
        <w:t xml:space="preserve">采购需求</w:t>
      </w:r>
      <w:bookmarkEnd w:id="48"/>
      <w:r/>
      <w:bookmarkStart w:id="49" w:name="_Hlk42851832"/>
      <w:r/>
      <w:bookmarkEnd w:id="49"/>
      <w:r/>
      <w:r/>
    </w:p>
    <w:p>
      <w:pPr>
        <w:pStyle w:val="706"/>
        <w:spacing w:line="360" w:lineRule="auto"/>
        <w:rPr>
          <w:rFonts w:ascii="宋体" w:hAnsi="宋体" w:cs="宋体"/>
          <w:sz w:val="24"/>
          <w:szCs w:val="24"/>
        </w:rPr>
      </w:pPr>
      <w:r/>
      <w:bookmarkStart w:id="50" w:name="_Toc24465"/>
      <w:r/>
      <w:bookmarkStart w:id="51" w:name="_Toc23507633"/>
      <w:r/>
      <w:bookmarkStart w:id="52" w:name="_Toc116135255"/>
      <w:r/>
      <w:bookmarkStart w:id="53" w:name="_Toc24532774"/>
      <w:r/>
      <w:bookmarkStart w:id="54" w:name="_Toc24532280"/>
      <w:r/>
      <w:bookmarkStart w:id="55" w:name="_Toc527914095"/>
      <w:r/>
      <w:bookmarkStart w:id="56" w:name="_Toc56443037"/>
      <w:r>
        <w:rPr>
          <w:rFonts w:hint="eastAsia" w:ascii="宋体" w:hAnsi="宋体" w:cs="宋体"/>
          <w:sz w:val="24"/>
          <w:szCs w:val="24"/>
        </w:rPr>
        <w:t xml:space="preserve">一、项目概况</w:t>
      </w:r>
      <w:bookmarkEnd w:id="50"/>
      <w:r/>
      <w:r/>
    </w:p>
    <w:p>
      <w:pPr>
        <w:ind w:firstLine="482"/>
        <w:spacing w:line="360" w:lineRule="auto"/>
        <w:rPr>
          <w:rFonts w:ascii="宋体" w:hAnsi="宋体" w:cs="宋体"/>
          <w:b/>
          <w:sz w:val="24"/>
          <w:szCs w:val="24"/>
        </w:rPr>
      </w:pPr>
      <w:r>
        <w:rPr>
          <w:rFonts w:hint="eastAsia" w:ascii="宋体" w:hAnsi="宋体" w:cs="宋体"/>
          <w:b/>
          <w:sz w:val="24"/>
          <w:szCs w:val="24"/>
        </w:rPr>
        <w:t xml:space="preserve">采购清单</w:t>
      </w:r>
      <w:r/>
    </w:p>
    <w:tbl>
      <w:tblPr>
        <w:tblStyle w:val="715"/>
        <w:tblpPr w:horzAnchor="page" w:tblpX="1263" w:vertAnchor="text" w:tblpY="150"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15"/>
        <w:gridCol w:w="2061"/>
        <w:gridCol w:w="2546"/>
      </w:tblGrid>
      <w:tr>
        <w:trPr/>
        <w:tc>
          <w:tcPr>
            <w:tcW w:w="2297" w:type="pct"/>
            <w:textDirection w:val="lrTb"/>
            <w:noWrap w:val="false"/>
          </w:tcPr>
          <w:p>
            <w:pPr>
              <w:pStyle w:val="741"/>
              <w:jc w:val="center"/>
              <w:spacing w:beforeAutospacing="0" w:afterAutospacing="0" w:line="360" w:lineRule="auto"/>
            </w:pPr>
            <w:r>
              <w:rPr>
                <w:rFonts w:hint="eastAsia"/>
              </w:rPr>
              <w:t xml:space="preserve">标的名称</w:t>
            </w:r>
            <w:r/>
          </w:p>
        </w:tc>
        <w:tc>
          <w:tcPr>
            <w:tcW w:w="1209" w:type="pct"/>
            <w:textDirection w:val="lrTb"/>
            <w:noWrap w:val="false"/>
          </w:tcPr>
          <w:p>
            <w:pPr>
              <w:pStyle w:val="741"/>
              <w:jc w:val="center"/>
              <w:spacing w:beforeAutospacing="0" w:afterAutospacing="0" w:line="360" w:lineRule="auto"/>
            </w:pPr>
            <w:r>
              <w:rPr>
                <w:rFonts w:hint="eastAsia"/>
              </w:rPr>
              <w:t xml:space="preserve">单位</w:t>
            </w:r>
            <w:r/>
          </w:p>
        </w:tc>
        <w:tc>
          <w:tcPr>
            <w:tcW w:w="1494" w:type="pct"/>
            <w:textDirection w:val="lrTb"/>
            <w:noWrap w:val="false"/>
          </w:tcPr>
          <w:p>
            <w:pPr>
              <w:pStyle w:val="741"/>
              <w:jc w:val="center"/>
              <w:spacing w:beforeAutospacing="0" w:afterAutospacing="0" w:line="360" w:lineRule="auto"/>
            </w:pPr>
            <w:r>
              <w:rPr>
                <w:rFonts w:hint="eastAsia"/>
              </w:rPr>
              <w:t xml:space="preserve">数量</w:t>
            </w:r>
            <w:r/>
          </w:p>
        </w:tc>
      </w:tr>
      <w:tr>
        <w:trPr/>
        <w:tc>
          <w:tcPr>
            <w:tcW w:w="2297" w:type="pct"/>
            <w:textDirection w:val="lrTb"/>
            <w:noWrap w:val="false"/>
          </w:tcPr>
          <w:p>
            <w:pPr>
              <w:pStyle w:val="741"/>
              <w:jc w:val="center"/>
              <w:spacing w:beforeAutospacing="0" w:afterAutospacing="0" w:line="360" w:lineRule="auto"/>
            </w:pPr>
            <w:r>
              <w:rPr>
                <w:rFonts w:hint="eastAsia"/>
              </w:rPr>
              <w:t xml:space="preserve">江苏省东海房山—赣榆罗阳高纯石英矿调查评价与区块优选项目重力磁法测量</w:t>
            </w:r>
            <w:r/>
          </w:p>
        </w:tc>
        <w:tc>
          <w:tcPr>
            <w:tcW w:w="1209" w:type="pct"/>
            <w:vAlign w:val="center"/>
            <w:textDirection w:val="lrTb"/>
            <w:noWrap w:val="false"/>
          </w:tcPr>
          <w:p>
            <w:pPr>
              <w:pStyle w:val="741"/>
              <w:jc w:val="center"/>
              <w:spacing w:beforeAutospacing="0" w:afterAutospacing="0" w:line="360" w:lineRule="auto"/>
            </w:pPr>
            <w:r>
              <w:rPr>
                <w:rFonts w:hint="eastAsia"/>
              </w:rPr>
              <w:t xml:space="preserve">项</w:t>
            </w:r>
            <w:r/>
          </w:p>
        </w:tc>
        <w:tc>
          <w:tcPr>
            <w:tcW w:w="1494" w:type="pct"/>
            <w:vAlign w:val="center"/>
            <w:textDirection w:val="lrTb"/>
            <w:noWrap w:val="false"/>
          </w:tcPr>
          <w:p>
            <w:pPr>
              <w:pStyle w:val="741"/>
              <w:jc w:val="center"/>
              <w:spacing w:beforeAutospacing="0" w:afterAutospacing="0" w:line="360" w:lineRule="auto"/>
              <w:rPr>
                <w:lang w:val="en-GB"/>
              </w:rPr>
            </w:pPr>
            <w:r>
              <w:rPr>
                <w:rFonts w:hint="eastAsia"/>
                <w:lang w:val="en-GB"/>
              </w:rPr>
              <w:t xml:space="preserve">1</w:t>
            </w:r>
            <w:r/>
          </w:p>
        </w:tc>
      </w:tr>
    </w:tbl>
    <w:p>
      <w:pPr>
        <w:ind w:firstLine="470"/>
        <w:spacing w:line="360" w:lineRule="auto"/>
        <w:rPr>
          <w:rFonts w:ascii="宋体" w:hAnsi="宋体" w:cs="宋体"/>
          <w:sz w:val="24"/>
          <w:szCs w:val="24"/>
        </w:rPr>
      </w:pPr>
      <w:r/>
      <w:bookmarkStart w:id="57" w:name="_Toc171865153"/>
      <w:r>
        <w:rPr>
          <w:rFonts w:hint="eastAsia" w:ascii="宋体" w:hAnsi="宋体" w:cs="宋体"/>
          <w:sz w:val="24"/>
          <w:szCs w:val="24"/>
        </w:rPr>
        <w:t xml:space="preserve">勘查区位于江苏省东北部连云港市东海县、赣榆区、海州区辖区内。项目重点调查区位于徐苗—大李庄一带，首个找矿靶区位于前罗阳镇北侧。区内交通便利，各级道路纵横交错，向外有沈海高速、连霍高速、长深高速三条高速公路和陇海铁路、沿海铁路两条国家级铁路干线。</w:t>
      </w:r>
      <w:r/>
    </w:p>
    <w:p>
      <w:pPr>
        <w:ind w:firstLine="480"/>
        <w:spacing w:line="360" w:lineRule="auto"/>
        <w:rPr>
          <w:rFonts w:ascii="宋体" w:hAnsi="宋体" w:cs="宋体"/>
          <w:sz w:val="24"/>
          <w:szCs w:val="24"/>
        </w:rPr>
      </w:pPr>
      <w:r>
        <w:rPr>
          <w:rFonts w:hint="eastAsia" w:ascii="宋体" w:hAnsi="宋体" w:cs="宋体"/>
          <w:sz w:val="24"/>
          <w:szCs w:val="24"/>
        </w:rPr>
        <w:t xml:space="preserve">工作区地处黄淮海平原北部边缘的平原岗岭地区，地形以平原及低山丘陵为主，地形起伏较小，用地主要为林地、耕地，村道乡道互连，野外通行等工作条件良好。</w:t>
      </w:r>
      <w:r/>
    </w:p>
    <w:p>
      <w:pPr>
        <w:pStyle w:val="956"/>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本区缺失了古生代全部地层，区域上主要有新太古代－古元古代东海岩群变质表壳岩，中元古代锦屏岩群和中新元古代云台岩群及震旦纪石桥岩组，中生代发育有白垩纪青山群、大盛群和王氏群，新生代发育有古近系、新近系和第四系。东海岩群（Ar</w:t>
      </w:r>
      <w:r>
        <w:rPr>
          <w:rFonts w:hint="eastAsia" w:ascii="宋体" w:hAnsi="宋体" w:eastAsia="宋体" w:cs="宋体"/>
          <w:sz w:val="24"/>
          <w:szCs w:val="24"/>
          <w:vertAlign w:val="subscript"/>
          <w:lang w:eastAsia="zh-CN"/>
        </w:rPr>
        <w:t xml:space="preserve">4</w:t>
      </w:r>
      <w:r>
        <w:rPr>
          <w:rFonts w:hint="eastAsia" w:ascii="宋体" w:hAnsi="宋体" w:eastAsia="宋体" w:cs="宋体"/>
          <w:sz w:val="24"/>
          <w:szCs w:val="24"/>
          <w:lang w:eastAsia="zh-CN"/>
        </w:rPr>
        <w:t xml:space="preserve">－Pt</w:t>
      </w:r>
      <w:r>
        <w:rPr>
          <w:rFonts w:hint="eastAsia" w:ascii="宋体" w:hAnsi="宋体" w:eastAsia="宋体" w:cs="宋体"/>
          <w:sz w:val="24"/>
          <w:szCs w:val="24"/>
          <w:vertAlign w:val="subscript"/>
          <w:lang w:eastAsia="zh-CN"/>
        </w:rPr>
        <w:t xml:space="preserve">1</w:t>
      </w:r>
      <w:r>
        <w:rPr>
          <w:rFonts w:hint="eastAsia" w:ascii="宋体" w:hAnsi="宋体" w:eastAsia="宋体" w:cs="宋体"/>
          <w:sz w:val="24"/>
          <w:szCs w:val="24"/>
          <w:lang w:eastAsia="zh-CN"/>
        </w:rPr>
        <w:t xml:space="preserve">D）为本次工作中区域变质岩之主体，为一套中－深变质的表壳岩系，主要有白云石英片岩、石英岩、变粒岩、斜长角闪岩、大理岩、透辉石大理岩、绿帘角闪片岩等组成，呈孤岛状、透镜状、瘤状、似层状产出于变质深成侵入岩中，厚度大于1000m。</w:t>
      </w:r>
      <w:r/>
    </w:p>
    <w:p>
      <w:pPr>
        <w:pStyle w:val="956"/>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工作区普遍为第四系覆盖，厚度40～60m不等。项目主要勘查对象为东海岩群武强山岩组石英岩，兼顾白云斜长片麻岩（花岗质片麻岩），倾角多为45～60°。工作区岩石类型复杂，主要有石英岩、白云质大理岩、云母石英片岩、片麻岩等，钻探施工中钻遇岩石硬度总体定为Ⅶ级。</w:t>
      </w:r>
      <w:r/>
    </w:p>
    <w:p>
      <w:pPr>
        <w:pStyle w:val="706"/>
        <w:spacing w:line="360" w:lineRule="auto"/>
        <w:rPr>
          <w:rFonts w:ascii="宋体" w:hAnsi="宋体" w:cs="宋体"/>
          <w:sz w:val="24"/>
          <w:szCs w:val="24"/>
        </w:rPr>
      </w:pPr>
      <w:r/>
      <w:bookmarkStart w:id="58" w:name="_Toc4301"/>
      <w:r>
        <w:rPr>
          <w:rFonts w:hint="eastAsia" w:ascii="宋体" w:hAnsi="宋体" w:cs="宋体"/>
          <w:sz w:val="24"/>
          <w:szCs w:val="24"/>
        </w:rPr>
        <w:t xml:space="preserve">二、目的任务</w:t>
      </w:r>
      <w:bookmarkEnd w:id="57"/>
      <w:r>
        <w:rPr>
          <w:rFonts w:hint="eastAsia" w:ascii="宋体" w:hAnsi="宋体" w:cs="宋体"/>
          <w:sz w:val="24"/>
          <w:szCs w:val="24"/>
        </w:rPr>
        <w:t xml:space="preserve">及工作量</w:t>
      </w:r>
      <w:bookmarkEnd w:id="58"/>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 主要目标</w:t>
      </w:r>
      <w:r/>
    </w:p>
    <w:p>
      <w:pPr>
        <w:ind w:firstLine="480"/>
        <w:spacing w:line="360" w:lineRule="auto"/>
        <w:rPr>
          <w:rFonts w:ascii="宋体" w:hAnsi="宋体" w:cs="宋体"/>
          <w:sz w:val="24"/>
          <w:szCs w:val="24"/>
        </w:rPr>
      </w:pPr>
      <w:r>
        <w:rPr>
          <w:rFonts w:hint="eastAsia" w:ascii="宋体" w:hAnsi="宋体" w:cs="宋体"/>
          <w:sz w:val="24"/>
          <w:szCs w:val="24"/>
        </w:rPr>
        <w:t xml:space="preserve">以石英岩型高纯石英原料矿为主攻目标，重点针对苏北地区石英岩型高纯石英原料矿分布区域开展重力磁法测量，获取高精度布格重力异常数据、高精度地磁总场强度数据，查明隐伏基底起伏、断裂构造格架及密度异常体，为找矿靶区圈定提供重力、磁法依据。并与地质调查、钻探、CSAMT、地震三分量频率谐振等成果联合解译，降低多解性。圈定与石英岩有关的物探异常，解译主要石英岩等含矿地质体分布、规模、形态、产状等，指导勘查工程布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 主要任务</w:t>
      </w:r>
      <w:r/>
    </w:p>
    <w:p>
      <w:pPr>
        <w:ind w:firstLine="480"/>
        <w:spacing w:line="360" w:lineRule="auto"/>
        <w:rPr>
          <w:rFonts w:ascii="宋体" w:hAnsi="宋体" w:cs="宋体"/>
          <w:sz w:val="24"/>
          <w:szCs w:val="24"/>
        </w:rPr>
      </w:pPr>
      <w:r>
        <w:rPr>
          <w:rFonts w:hint="eastAsia" w:ascii="宋体" w:hAnsi="宋体" w:cs="宋体"/>
          <w:sz w:val="24"/>
          <w:szCs w:val="24"/>
        </w:rPr>
        <w:t xml:space="preserve">（1）针对张埠墩地区、武强山地区已圈定石英岩型高纯石英原料矿体开展1:10000重力、磁法测量试验剖面，确定试验参数。</w:t>
      </w:r>
      <w:r/>
    </w:p>
    <w:p>
      <w:pPr>
        <w:ind w:firstLine="480"/>
        <w:spacing w:line="360" w:lineRule="auto"/>
        <w:rPr>
          <w:rFonts w:ascii="宋体" w:hAnsi="宋体" w:cs="宋体"/>
          <w:sz w:val="24"/>
          <w:szCs w:val="24"/>
        </w:rPr>
      </w:pPr>
      <w:r>
        <w:rPr>
          <w:rFonts w:hint="eastAsia" w:ascii="宋体" w:hAnsi="宋体" w:cs="宋体"/>
          <w:sz w:val="24"/>
          <w:szCs w:val="24"/>
        </w:rPr>
        <w:t xml:space="preserve">（2）针对徐苗—大李庄重点调查区开展重力磁法测量，圈定综合重磁异常。结合重磁异常及其他物探剖面异常完成地球物理综合解译。</w:t>
      </w:r>
      <w:r/>
    </w:p>
    <w:p>
      <w:pPr>
        <w:ind w:firstLine="480"/>
        <w:spacing w:line="360" w:lineRule="auto"/>
        <w:rPr>
          <w:rFonts w:ascii="宋体" w:hAnsi="宋体" w:cs="宋体"/>
          <w:sz w:val="24"/>
          <w:szCs w:val="24"/>
        </w:rPr>
      </w:pPr>
      <w:r>
        <w:rPr>
          <w:rFonts w:hint="eastAsia" w:ascii="宋体" w:hAnsi="宋体" w:cs="宋体"/>
          <w:sz w:val="24"/>
          <w:szCs w:val="24"/>
        </w:rPr>
        <w:t xml:space="preserve">（3）针对地质调查发现石英岩等含矿地质体分布、规模、形态情况进行查证。</w:t>
      </w:r>
      <w:r/>
    </w:p>
    <w:p>
      <w:pPr>
        <w:ind w:firstLine="480"/>
        <w:spacing w:line="360" w:lineRule="auto"/>
        <w:rPr>
          <w:rFonts w:ascii="宋体" w:hAnsi="宋体" w:cs="宋体"/>
          <w:sz w:val="24"/>
          <w:szCs w:val="24"/>
        </w:rPr>
      </w:pPr>
      <w:r>
        <w:rPr>
          <w:rFonts w:hint="eastAsia" w:ascii="宋体" w:hAnsi="宋体" w:cs="宋体"/>
          <w:sz w:val="24"/>
          <w:szCs w:val="24"/>
        </w:rPr>
        <w:t xml:space="preserve">（4）充分采集样品开展岩（矿）石密度、感磁、剩磁等物性测定。</w:t>
      </w:r>
      <w:r/>
    </w:p>
    <w:p>
      <w:pPr>
        <w:ind w:firstLine="480"/>
        <w:spacing w:line="360" w:lineRule="auto"/>
        <w:rPr>
          <w:rFonts w:ascii="宋体" w:hAnsi="宋体" w:cs="宋体"/>
          <w:sz w:val="24"/>
          <w:szCs w:val="24"/>
        </w:rPr>
      </w:pPr>
      <w:r>
        <w:rPr>
          <w:rFonts w:hint="eastAsia" w:ascii="宋体" w:hAnsi="宋体" w:cs="宋体"/>
          <w:sz w:val="24"/>
          <w:szCs w:val="24"/>
        </w:rPr>
        <w:t xml:space="preserve">（5）在资料整理和数据分析基础上，开展物探异常解译，提出浅钻、钻探等验证工程部署方案。</w:t>
      </w:r>
      <w:r/>
    </w:p>
    <w:p>
      <w:pPr>
        <w:ind w:firstLine="480"/>
        <w:spacing w:line="360" w:lineRule="auto"/>
        <w:rPr>
          <w:rFonts w:ascii="宋体" w:hAnsi="宋体" w:cs="宋体"/>
          <w:sz w:val="24"/>
          <w:szCs w:val="24"/>
        </w:rPr>
      </w:pPr>
      <w:r>
        <w:rPr>
          <w:rFonts w:hint="eastAsia" w:ascii="宋体" w:hAnsi="宋体" w:cs="宋体"/>
          <w:sz w:val="24"/>
          <w:szCs w:val="24"/>
        </w:rPr>
        <w:t xml:space="preserve">（6）在工程验证基础上，进行物探异常再解释，指导勘查工程布置。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 主要实物工作量</w:t>
      </w:r>
      <w:r/>
    </w:p>
    <w:p>
      <w:pPr>
        <w:ind w:firstLine="480"/>
        <w:spacing w:line="360" w:lineRule="auto"/>
        <w:rPr>
          <w:rFonts w:ascii="宋体" w:hAnsi="宋体" w:cs="宋体"/>
          <w:sz w:val="24"/>
          <w:szCs w:val="24"/>
        </w:rPr>
      </w:pPr>
      <w:r/>
      <w:bookmarkStart w:id="59" w:name="_Toc171865154"/>
      <w:r/>
      <w:bookmarkStart w:id="60" w:name="_Toc7965"/>
      <w:r>
        <w:rPr>
          <w:rFonts w:hint="eastAsia" w:ascii="宋体" w:hAnsi="宋体" w:cs="宋体"/>
          <w:sz w:val="24"/>
          <w:szCs w:val="24"/>
        </w:rPr>
        <w:t xml:space="preserve">物探工作量：1:25000重力、磁法面积性测量240km</w:t>
      </w:r>
      <w:r>
        <w:rPr>
          <w:rFonts w:hint="eastAsia" w:ascii="宋体" w:hAnsi="宋体" w:cs="宋体"/>
          <w:sz w:val="24"/>
          <w:szCs w:val="24"/>
          <w:vertAlign w:val="superscript"/>
        </w:rPr>
        <w:t xml:space="preserve">2</w:t>
      </w:r>
      <w:r>
        <w:rPr>
          <w:rFonts w:hint="eastAsia" w:ascii="宋体" w:hAnsi="宋体" w:cs="宋体"/>
          <w:sz w:val="24"/>
          <w:szCs w:val="24"/>
        </w:rPr>
        <w:t xml:space="preserve">，1:10000重力剖面测量4km，1:10000磁法剖面测量2km，测区内物性测定样密度、感磁、剩磁180件。</w:t>
      </w:r>
      <w:r/>
    </w:p>
    <w:p>
      <w:pPr>
        <w:pStyle w:val="706"/>
        <w:spacing w:line="360" w:lineRule="auto"/>
        <w:rPr>
          <w:rFonts w:ascii="宋体" w:hAnsi="宋体" w:cs="宋体"/>
          <w:sz w:val="24"/>
          <w:szCs w:val="24"/>
        </w:rPr>
      </w:pPr>
      <w:r>
        <w:rPr>
          <w:rFonts w:hint="eastAsia" w:ascii="宋体" w:hAnsi="宋体" w:cs="宋体"/>
          <w:sz w:val="24"/>
          <w:szCs w:val="24"/>
        </w:rPr>
        <w:t xml:space="preserve">三、服务范围及内容</w:t>
      </w:r>
      <w:bookmarkEnd w:id="59"/>
      <w:r/>
      <w:bookmarkEnd w:id="60"/>
      <w:r/>
      <w:r/>
    </w:p>
    <w:p>
      <w:pPr>
        <w:pStyle w:val="707"/>
        <w:spacing w:line="360" w:lineRule="auto"/>
        <w:rPr>
          <w:rFonts w:ascii="宋体" w:hAnsi="宋体" w:cs="宋体"/>
          <w:sz w:val="24"/>
          <w:szCs w:val="24"/>
        </w:rPr>
      </w:pPr>
      <w:r/>
      <w:bookmarkStart w:id="61" w:name="_Toc171865155"/>
      <w:r/>
      <w:bookmarkStart w:id="62" w:name="_Toc16691759"/>
      <w:r/>
      <w:bookmarkStart w:id="63" w:name="_Toc496721274"/>
      <w:r/>
      <w:bookmarkStart w:id="64" w:name="_Toc29780"/>
      <w:r>
        <w:rPr>
          <w:rFonts w:hint="eastAsia" w:ascii="宋体" w:hAnsi="宋体" w:cs="宋体"/>
          <w:sz w:val="24"/>
          <w:szCs w:val="24"/>
        </w:rPr>
        <w:t xml:space="preserve">1．服务范围</w:t>
      </w:r>
      <w:bookmarkEnd w:id="61"/>
      <w:r/>
      <w:bookmarkEnd w:id="62"/>
      <w:r/>
      <w:bookmarkEnd w:id="63"/>
      <w:r/>
      <w:bookmarkEnd w:id="64"/>
      <w:r/>
      <w:r/>
    </w:p>
    <w:p>
      <w:pPr>
        <w:ind w:firstLine="480"/>
        <w:spacing w:line="360" w:lineRule="auto"/>
        <w:rPr>
          <w:rFonts w:ascii="宋体" w:hAnsi="宋体" w:cs="宋体"/>
          <w:sz w:val="24"/>
          <w:szCs w:val="24"/>
        </w:rPr>
      </w:pPr>
      <w:r/>
      <w:bookmarkStart w:id="65" w:name="_Toc496721275"/>
      <w:r/>
      <w:bookmarkStart w:id="66" w:name="_Toc432"/>
      <w:r/>
      <w:bookmarkStart w:id="67" w:name="_Toc16691760"/>
      <w:r/>
      <w:bookmarkStart w:id="68" w:name="_Toc171865156"/>
      <w:r>
        <w:rPr>
          <w:rFonts w:hint="eastAsia" w:ascii="宋体" w:hAnsi="宋体" w:cs="宋体"/>
          <w:sz w:val="24"/>
          <w:szCs w:val="24"/>
        </w:rPr>
        <w:t xml:space="preserve">项目物探面积性测量主要为徐苗—大李庄重点调查区，总面积240km</w:t>
      </w:r>
      <w:r>
        <w:rPr>
          <w:rFonts w:hint="eastAsia" w:ascii="宋体" w:hAnsi="宋体" w:cs="宋体"/>
          <w:sz w:val="24"/>
          <w:szCs w:val="24"/>
          <w:vertAlign w:val="superscript"/>
        </w:rPr>
        <w:t xml:space="preserve">2</w:t>
      </w:r>
      <w:r>
        <w:rPr>
          <w:rFonts w:hint="eastAsia" w:ascii="宋体" w:hAnsi="宋体" w:cs="宋体"/>
          <w:sz w:val="24"/>
          <w:szCs w:val="24"/>
        </w:rPr>
        <w:t xml:space="preserve">；剖面测量为张埠墩、武强山已知见矿剖面，剖面总长约4km。</w:t>
      </w:r>
      <w:r/>
    </w:p>
    <w:p>
      <w:pPr>
        <w:spacing w:line="360" w:lineRule="auto"/>
        <w:rPr>
          <w:rFonts w:ascii="宋体" w:hAnsi="宋体" w:cs="宋体"/>
          <w:sz w:val="24"/>
          <w:szCs w:val="24"/>
        </w:rPr>
      </w:pPr>
      <w:r>
        <w:rPr>
          <w:rFonts w:hint="eastAsia" w:ascii="宋体" w:hAnsi="宋体" w:cs="宋体"/>
          <w:b/>
          <w:bCs/>
          <w:sz w:val="24"/>
          <w:szCs w:val="24"/>
        </w:rPr>
        <w:t xml:space="preserve">2．服务内容</w:t>
      </w:r>
      <w:bookmarkEnd w:id="65"/>
      <w:r/>
      <w:bookmarkEnd w:id="66"/>
      <w:r/>
      <w:bookmarkEnd w:id="67"/>
      <w:r/>
      <w:bookmarkEnd w:id="68"/>
      <w:r/>
      <w:r/>
    </w:p>
    <w:p>
      <w:pPr>
        <w:ind w:firstLine="480"/>
        <w:spacing w:line="360" w:lineRule="auto"/>
        <w:rPr>
          <w:rFonts w:ascii="宋体" w:hAnsi="宋体" w:cs="宋体"/>
          <w:bCs/>
          <w:sz w:val="24"/>
          <w:szCs w:val="24"/>
        </w:rPr>
      </w:pPr>
      <w:r/>
      <w:bookmarkStart w:id="69" w:name="_Toc16691761"/>
      <w:r/>
      <w:bookmarkStart w:id="70" w:name="_Toc171865157"/>
      <w:r/>
      <w:bookmarkStart w:id="71" w:name="_Toc496721276"/>
      <w:r/>
      <w:bookmarkStart w:id="72" w:name="_Toc19012"/>
      <w:r>
        <w:rPr>
          <w:rFonts w:hint="eastAsia" w:ascii="宋体" w:hAnsi="宋体" w:cs="宋体"/>
          <w:sz w:val="24"/>
          <w:szCs w:val="24"/>
        </w:rPr>
        <w:t xml:space="preserve">重力磁法面积性测量、剖面测量，岩（矿）石密度、剩磁、感磁物性测量</w:t>
      </w:r>
      <w:r>
        <w:rPr>
          <w:rFonts w:hint="eastAsia" w:ascii="宋体" w:hAnsi="宋体" w:cs="宋体"/>
          <w:bCs/>
          <w:sz w:val="24"/>
          <w:szCs w:val="24"/>
        </w:rPr>
        <w:t xml:space="preserve">。</w:t>
      </w:r>
      <w:r/>
    </w:p>
    <w:p>
      <w:pPr>
        <w:pStyle w:val="707"/>
        <w:spacing w:line="360" w:lineRule="auto"/>
        <w:rPr>
          <w:rFonts w:ascii="宋体" w:hAnsi="宋体" w:cs="宋体"/>
          <w:sz w:val="24"/>
          <w:szCs w:val="24"/>
        </w:rPr>
      </w:pPr>
      <w:r>
        <w:rPr>
          <w:rFonts w:hint="eastAsia" w:ascii="宋体" w:hAnsi="宋体" w:cs="宋体"/>
          <w:sz w:val="24"/>
          <w:szCs w:val="24"/>
        </w:rPr>
        <w:t xml:space="preserve">3．技术和质量要求</w:t>
      </w:r>
      <w:bookmarkEnd w:id="69"/>
      <w:r/>
      <w:bookmarkEnd w:id="70"/>
      <w:r/>
      <w:bookmarkEnd w:id="71"/>
      <w:r/>
      <w:bookmarkEnd w:id="72"/>
      <w:r/>
      <w:r/>
    </w:p>
    <w:p>
      <w:pPr>
        <w:ind w:firstLine="482"/>
        <w:spacing w:line="360" w:lineRule="auto"/>
        <w:rPr>
          <w:rFonts w:ascii="宋体" w:hAnsi="宋体" w:cs="宋体"/>
          <w:b/>
          <w:sz w:val="24"/>
          <w:szCs w:val="24"/>
        </w:rPr>
      </w:pPr>
      <w:r/>
      <w:bookmarkStart w:id="73" w:name="_Toc188365447"/>
      <w:r>
        <w:rPr>
          <w:rFonts w:hint="eastAsia" w:ascii="宋体" w:hAnsi="宋体" w:cs="宋体"/>
          <w:b/>
          <w:sz w:val="24"/>
          <w:szCs w:val="24"/>
        </w:rPr>
        <w:t xml:space="preserve">（1）测地工作要求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①重点调查区采用2000国家大地坐标系，高程采用1985国家基准高程，高斯克吕格6°带投影，中央子午线117°；普查区采用2000国家大地坐标系，高程采用1985国家基准高程，高斯克吕格3°带投影，中央子午线120°。</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②GNSS放样前必须在测区附近的控制点或已知坐标点上进行校验。</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③采用江苏省C级GNSS网作为首级控制，当测区的控制点不能满足GPS动态测量作业时，采用快速静态的方法向外发展参考站，检核限差为△X≤0.2m，△Y≤0.2m。</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④必要时，在已知控制点或加密控制点上布置参考站进行实时差分放样测量，流动站与参考站的距离不超过18km；</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⑤对于点位敷设或GNSS信号接收困难的地段允许适当移动点位，移动方向以垂直测线方向为宜，移动距离不大于线距20%，且在地面留有固定标志。</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⑥按测地规范要求检查工作量为大于5%，质检物理点与原测点的坐标最大互差△X≤1.5m，△Y≤1.5m，平面点位中误差≤±2m，高程误差小于±5.0m；质检采用等精度、同（或不同）仪器、不同人、不同参考站和不同时间施测，质量检查点应大致均匀分布。</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⑦执行《物化探工程测量规范》（DZ/T0153-2014）和《全球定位系统（GPS）测量规范》（GB/T 18314-2001）。</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（2）1:25000重力扫面测量技术要求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选择徐苗—大李庄重点调查区开展重力测量，面积240Km</w:t>
      </w:r>
      <w:r>
        <w:rPr>
          <w:rFonts w:hint="eastAsia" w:ascii="宋体" w:hAnsi="宋体" w:cs="宋体"/>
          <w:sz w:val="24"/>
          <w:szCs w:val="24"/>
          <w:vertAlign w:val="superscript"/>
        </w:rPr>
        <w:t xml:space="preserve">2</w:t>
      </w:r>
      <w:r>
        <w:rPr>
          <w:rFonts w:hint="eastAsia" w:ascii="宋体" w:hAnsi="宋体" w:cs="宋体"/>
          <w:sz w:val="24"/>
          <w:szCs w:val="24"/>
        </w:rPr>
        <w:t xml:space="preserve">，网度250×100m，测线方向垂直于石英岩及构造带方向，150°～160°之间。</w:t>
      </w:r>
      <w:r/>
    </w:p>
    <w:p>
      <w:pPr>
        <w:ind w:firstLine="480"/>
        <w:spacing w:line="360" w:lineRule="auto"/>
        <w:rPr>
          <w:rFonts w:ascii="宋体" w:hAnsi="宋体" w:cs="宋体"/>
          <w:sz w:val="24"/>
          <w:szCs w:val="24"/>
        </w:rPr>
      </w:pPr>
      <w:r>
        <w:rPr>
          <w:rFonts w:hint="eastAsia" w:ascii="宋体" w:hAnsi="宋体" w:cs="宋体"/>
          <w:bCs/>
          <w:sz w:val="24"/>
          <w:szCs w:val="24"/>
        </w:rPr>
        <w:t xml:space="preserve">①</w:t>
      </w:r>
      <w:r>
        <w:rPr>
          <w:rFonts w:hint="eastAsia" w:ascii="宋体" w:hAnsi="宋体" w:cs="宋体"/>
          <w:sz w:val="24"/>
          <w:szCs w:val="24"/>
        </w:rPr>
        <w:t xml:space="preserve">采用CG-5及更高精度仪器设备，开工前需完成仪器的静态实验（24小时以上）；动态实验采用多点法，相邻两点间的重力差在0.5×10</w:t>
      </w:r>
      <w:r>
        <w:rPr>
          <w:rFonts w:hint="eastAsia" w:ascii="宋体" w:hAnsi="宋体" w:cs="宋体"/>
          <w:sz w:val="24"/>
          <w:szCs w:val="24"/>
          <w:vertAlign w:val="superscript"/>
        </w:rPr>
        <w:t xml:space="preserve">-5</w:t>
      </w:r>
      <w:r>
        <w:rPr>
          <w:rFonts w:hint="eastAsia" w:ascii="宋体" w:hAnsi="宋体" w:cs="宋体"/>
          <w:sz w:val="24"/>
          <w:szCs w:val="24"/>
        </w:rPr>
        <w:t xml:space="preserve">m/s</w:t>
      </w:r>
      <w:r>
        <w:rPr>
          <w:rFonts w:hint="eastAsia" w:ascii="宋体" w:hAnsi="宋体" w:cs="宋体"/>
          <w:sz w:val="24"/>
          <w:szCs w:val="24"/>
          <w:vertAlign w:val="superscript"/>
        </w:rPr>
        <w:t xml:space="preserve">2</w:t>
      </w:r>
      <w:r>
        <w:rPr>
          <w:rFonts w:hint="eastAsia" w:ascii="宋体" w:hAnsi="宋体" w:cs="宋体"/>
          <w:sz w:val="24"/>
          <w:szCs w:val="24"/>
        </w:rPr>
        <w:t xml:space="preserve">~5×10</w:t>
      </w:r>
      <w:r>
        <w:rPr>
          <w:rFonts w:hint="eastAsia" w:ascii="宋体" w:hAnsi="宋体" w:cs="宋体"/>
          <w:sz w:val="24"/>
          <w:szCs w:val="24"/>
          <w:vertAlign w:val="superscript"/>
        </w:rPr>
        <w:t xml:space="preserve">-5</w:t>
      </w:r>
      <w:r>
        <w:rPr>
          <w:rFonts w:hint="eastAsia" w:ascii="宋体" w:hAnsi="宋体" w:cs="宋体"/>
          <w:sz w:val="24"/>
          <w:szCs w:val="24"/>
        </w:rPr>
        <w:t xml:space="preserve">m/s</w:t>
      </w:r>
      <w:r>
        <w:rPr>
          <w:rFonts w:hint="eastAsia" w:ascii="宋体" w:hAnsi="宋体" w:cs="宋体"/>
          <w:sz w:val="24"/>
          <w:szCs w:val="24"/>
          <w:vertAlign w:val="superscript"/>
        </w:rPr>
        <w:t xml:space="preserve">2</w:t>
      </w:r>
      <w:r>
        <w:rPr>
          <w:rFonts w:hint="eastAsia" w:ascii="宋体" w:hAnsi="宋体" w:cs="宋体"/>
          <w:sz w:val="24"/>
          <w:szCs w:val="24"/>
        </w:rPr>
        <w:t xml:space="preserve">之间，实验点数不少于15个；一致性实验点数不少于30个（不包含基点）相邻两点间的重力差大于1×10</w:t>
      </w:r>
      <w:r>
        <w:rPr>
          <w:rFonts w:hint="eastAsia" w:ascii="宋体" w:hAnsi="宋体" w:cs="宋体"/>
          <w:sz w:val="24"/>
          <w:szCs w:val="24"/>
          <w:vertAlign w:val="superscript"/>
        </w:rPr>
        <w:t xml:space="preserve">-5</w:t>
      </w:r>
      <w:r>
        <w:rPr>
          <w:rFonts w:hint="eastAsia" w:ascii="宋体" w:hAnsi="宋体" w:cs="宋体"/>
          <w:sz w:val="24"/>
          <w:szCs w:val="24"/>
        </w:rPr>
        <w:t xml:space="preserve">m/s</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②基点网联测采用多台仪器双程往返观测法进行实测，基点网的联测精度不得低于±0.030×10</w:t>
      </w:r>
      <w:r>
        <w:rPr>
          <w:rFonts w:hint="eastAsia" w:ascii="宋体" w:hAnsi="宋体" w:cs="宋体"/>
          <w:sz w:val="24"/>
          <w:szCs w:val="24"/>
          <w:vertAlign w:val="superscript"/>
        </w:rPr>
        <w:t xml:space="preserve">-5 </w:t>
      </w:r>
      <w:r>
        <w:rPr>
          <w:rFonts w:hint="eastAsia" w:ascii="宋体" w:hAnsi="宋体" w:cs="宋体"/>
          <w:sz w:val="24"/>
          <w:szCs w:val="24"/>
        </w:rPr>
        <w:t xml:space="preserve">m/s</w:t>
      </w:r>
      <w:r>
        <w:rPr>
          <w:rFonts w:hint="eastAsia" w:ascii="宋体" w:hAnsi="宋体" w:cs="宋体"/>
          <w:sz w:val="24"/>
          <w:szCs w:val="24"/>
          <w:vertAlign w:val="superscript"/>
        </w:rPr>
        <w:t xml:space="preserve">2</w:t>
      </w:r>
      <w:r>
        <w:rPr>
          <w:rFonts w:hint="eastAsia" w:ascii="宋体" w:hAnsi="宋体" w:cs="宋体"/>
          <w:sz w:val="24"/>
          <w:szCs w:val="24"/>
        </w:rPr>
        <w:t xml:space="preserve">，基点网各闭合环的最大闭合差不大于基点网设计精度的L1/2倍（L为本闭合环平差的边段数），联测精度不低于±0.015×10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③采用单程观测法，测点观测均方误差不低于±0.035×10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，质量检查采用一同三不同方式，检查率大于3%。</w:t>
      </w:r>
      <w:r/>
    </w:p>
    <w:p>
      <w:pPr>
        <w:ind w:firstLine="480"/>
        <w:spacing w:line="360" w:lineRule="auto"/>
        <w:rPr>
          <w:rFonts w:ascii="宋体" w:hAnsi="宋体" w:cs="宋体"/>
          <w:sz w:val="24"/>
          <w:szCs w:val="24"/>
        </w:rPr>
      </w:pPr>
      <w:r>
        <w:rPr>
          <w:rFonts w:hint="eastAsia" w:ascii="宋体" w:hAnsi="宋体" w:cs="宋体"/>
          <w:sz w:val="24"/>
          <w:szCs w:val="24"/>
        </w:rPr>
        <w:t xml:space="preserve">④布格异常总精度±0.160×10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。测点重力值均方误差不低于±0.080×10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，地形改正总误差优于±0.115×10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（3）1:10000重力剖面测量技术要求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在张埠墩地区、武强山地区已圈定石英岩型高纯石英原料矿体开展1:10000重力试验剖面，确定试验参数。</w:t>
      </w:r>
      <w:r/>
    </w:p>
    <w:p>
      <w:pPr>
        <w:ind w:firstLine="480"/>
        <w:spacing w:line="360" w:lineRule="auto"/>
        <w:rPr>
          <w:rFonts w:ascii="宋体" w:hAnsi="宋体" w:cs="宋体"/>
          <w:sz w:val="24"/>
          <w:szCs w:val="24"/>
        </w:rPr>
      </w:pPr>
      <w:r>
        <w:rPr>
          <w:rFonts w:hint="eastAsia" w:ascii="宋体" w:hAnsi="宋体" w:cs="宋体"/>
          <w:bCs/>
          <w:sz w:val="24"/>
          <w:szCs w:val="24"/>
        </w:rPr>
        <w:t xml:space="preserve">①</w:t>
      </w:r>
      <w:r>
        <w:rPr>
          <w:rFonts w:hint="eastAsia" w:ascii="宋体" w:hAnsi="宋体" w:cs="宋体"/>
          <w:sz w:val="24"/>
          <w:szCs w:val="24"/>
        </w:rPr>
        <w:t xml:space="preserve">野外工作采用CG-5及更高精度仪器设备，须完成静态、动态及一致性实验，仪器实验要求同上。</w:t>
      </w:r>
      <w:r/>
    </w:p>
    <w:p>
      <w:pPr>
        <w:ind w:firstLine="480"/>
        <w:spacing w:line="360" w:lineRule="auto"/>
        <w:rPr>
          <w:rFonts w:ascii="宋体" w:hAnsi="宋体" w:cs="宋体"/>
          <w:sz w:val="24"/>
          <w:szCs w:val="24"/>
        </w:rPr>
      </w:pPr>
      <w:r>
        <w:rPr>
          <w:rFonts w:hint="eastAsia" w:ascii="宋体" w:hAnsi="宋体" w:cs="宋体"/>
          <w:sz w:val="24"/>
          <w:szCs w:val="24"/>
        </w:rPr>
        <w:t xml:space="preserve">②采用单程观测法，测点重力值观测均方误差不低于±0.030×10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，质量检查采用一同三不同方式，检查率大于3%。布格异常总精度不低于±0.100×10</w:t>
      </w:r>
      <w:r>
        <w:rPr>
          <w:rFonts w:hint="eastAsia" w:ascii="宋体" w:hAnsi="宋体" w:cs="宋体"/>
          <w:sz w:val="24"/>
          <w:szCs w:val="24"/>
          <w:vertAlign w:val="superscript"/>
        </w:rPr>
        <w:t xml:space="preserve">-5</w:t>
      </w:r>
      <w:r>
        <w:rPr>
          <w:rFonts w:hint="eastAsia" w:ascii="宋体" w:hAnsi="宋体" w:cs="宋体"/>
          <w:sz w:val="24"/>
          <w:szCs w:val="24"/>
        </w:rPr>
        <w:t xml:space="preserve"> m/s</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（4）1:25000磁法扫面测量技术要求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选择徐苗—大李庄重点调查区开展无人机低空航磁测量，面积240Km</w:t>
      </w:r>
      <w:r>
        <w:rPr>
          <w:rFonts w:hint="eastAsia" w:ascii="宋体" w:hAnsi="宋体" w:cs="宋体"/>
          <w:sz w:val="24"/>
          <w:szCs w:val="24"/>
          <w:vertAlign w:val="superscript"/>
        </w:rPr>
        <w:t xml:space="preserve">2</w:t>
      </w:r>
      <w:r>
        <w:rPr>
          <w:rFonts w:hint="eastAsia" w:ascii="宋体" w:hAnsi="宋体" w:cs="宋体"/>
          <w:sz w:val="24"/>
          <w:szCs w:val="24"/>
        </w:rPr>
        <w:t xml:space="preserve">，网度线距250m，测线方向测线方向垂直于石英岩及构造带方向，150°～160°之间。</w:t>
      </w:r>
      <w:r/>
    </w:p>
    <w:p>
      <w:pPr>
        <w:ind w:firstLine="480"/>
        <w:spacing w:line="360" w:lineRule="auto"/>
        <w:rPr>
          <w:rFonts w:ascii="宋体" w:hAnsi="宋体" w:cs="宋体"/>
          <w:sz w:val="24"/>
          <w:szCs w:val="24"/>
        </w:rPr>
      </w:pPr>
      <w:r>
        <w:rPr>
          <w:rFonts w:hint="eastAsia" w:ascii="宋体" w:hAnsi="宋体" w:cs="宋体"/>
          <w:bCs/>
          <w:sz w:val="24"/>
          <w:szCs w:val="24"/>
        </w:rPr>
        <w:t xml:space="preserve">①</w:t>
      </w:r>
      <w:r>
        <w:rPr>
          <w:rFonts w:hint="eastAsia" w:ascii="宋体" w:hAnsi="宋体" w:cs="宋体"/>
          <w:sz w:val="24"/>
          <w:szCs w:val="24"/>
        </w:rPr>
        <w:t xml:space="preserve">航磁野外工作开始前需要进行导航定位系统、航磁系统仪器性能试验。导航定位系统的定位精度采用静态定位精度（均方差）来衡量，静态定位精度应优于±2m。导航定位系统精度试验的同时进行激光高度计精度的检查，并进行激光高度计误差统计。航磁系统应进行无人机光泵磁力仪静态噪声水平及日变站静态噪声水平测定，静态噪声水平应小于或等于±0.01nT。</w:t>
      </w:r>
      <w:r/>
    </w:p>
    <w:p>
      <w:pPr>
        <w:ind w:firstLine="480"/>
        <w:spacing w:line="360" w:lineRule="auto"/>
        <w:rPr>
          <w:rFonts w:ascii="宋体" w:hAnsi="宋体" w:cs="宋体"/>
          <w:sz w:val="24"/>
          <w:szCs w:val="24"/>
        </w:rPr>
      </w:pPr>
      <w:r>
        <w:rPr>
          <w:rFonts w:hint="eastAsia" w:ascii="宋体" w:hAnsi="宋体" w:cs="宋体"/>
          <w:sz w:val="24"/>
          <w:szCs w:val="24"/>
        </w:rPr>
        <w:t xml:space="preserve">②日变站需选择在工区磁场较平静区域，要符合选址要求，保留磁日变基站选址记录表。</w:t>
      </w:r>
      <w:r/>
    </w:p>
    <w:p>
      <w:pPr>
        <w:ind w:firstLine="480"/>
        <w:spacing w:line="360" w:lineRule="auto"/>
        <w:rPr>
          <w:rFonts w:ascii="宋体" w:hAnsi="宋体" w:cs="宋体"/>
          <w:sz w:val="24"/>
          <w:szCs w:val="24"/>
        </w:rPr>
      </w:pPr>
      <w:r>
        <w:rPr>
          <w:rFonts w:hint="eastAsia" w:ascii="宋体" w:hAnsi="宋体" w:cs="宋体"/>
          <w:sz w:val="24"/>
          <w:szCs w:val="24"/>
        </w:rPr>
        <w:t xml:space="preserve">③每个测区的重复线测量工作量不应少于1%。重复线测量飞行时，应力求与测线首次飞行时的航迹、离地飞行高度相同。航空磁测总精度包括重复线观测精度、航空磁力仪系统动态噪声、导航定位误差而引入的误差、探头方向差和探头处飞机磁场的综合补偿及方向差校正误差、飞行高度测量误差而引入的误差、磁日变及其校正误差、其它因素（磁场水平调整）引起的误差，航磁总精度应优于±3nT。</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（5）1:10000磁法剖面测量技术要求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在张埠墩地区、武强山地区已圈定石英岩型高纯石英原料矿体开展1:10000磁法试验剖面。</w:t>
      </w:r>
      <w:r/>
    </w:p>
    <w:p>
      <w:pPr>
        <w:ind w:firstLine="480"/>
        <w:spacing w:line="360" w:lineRule="auto"/>
        <w:rPr>
          <w:rFonts w:ascii="宋体" w:hAnsi="宋体" w:cs="宋体"/>
          <w:sz w:val="24"/>
          <w:szCs w:val="24"/>
        </w:rPr>
      </w:pPr>
      <w:r>
        <w:rPr>
          <w:rFonts w:hint="eastAsia" w:ascii="宋体" w:hAnsi="宋体" w:cs="宋体"/>
          <w:sz w:val="24"/>
          <w:szCs w:val="24"/>
        </w:rPr>
        <w:t xml:space="preserve">①须完成仪器的各项实验，实验要求同磁法扫面测量。</w:t>
      </w:r>
      <w:r/>
    </w:p>
    <w:p>
      <w:pPr>
        <w:ind w:firstLine="480"/>
        <w:spacing w:line="360" w:lineRule="auto"/>
        <w:rPr>
          <w:rFonts w:ascii="宋体" w:hAnsi="宋体" w:cs="宋体"/>
          <w:sz w:val="24"/>
          <w:szCs w:val="24"/>
        </w:rPr>
      </w:pPr>
      <w:r>
        <w:rPr>
          <w:rFonts w:hint="eastAsia" w:ascii="宋体" w:hAnsi="宋体" w:cs="宋体"/>
          <w:sz w:val="24"/>
          <w:szCs w:val="24"/>
        </w:rPr>
        <w:t xml:space="preserve">②测量精度优于±2.0nT。</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（6）岩矿石物性测量技术要求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以收集、整理区域物性资料为主，为了更加切合实际地开展数据处理和异常解释，本次工作拟采集异常验证钻孔的岩心作物性标本，进行物性参数测定，采集岩心标本包括片麻岩、榴辉岩、石英岩、脉石英、大理岩、侵入岩等各类岩矿石，每类岩石样品不少于30块，共180件样品，测试参数包括密度、感磁、剩磁。</w:t>
      </w:r>
      <w:r/>
    </w:p>
    <w:p>
      <w:pPr>
        <w:ind w:firstLine="480"/>
        <w:spacing w:line="360" w:lineRule="auto"/>
        <w:rPr>
          <w:rFonts w:ascii="宋体" w:hAnsi="宋体" w:cs="宋体"/>
          <w:sz w:val="24"/>
          <w:szCs w:val="24"/>
        </w:rPr>
      </w:pPr>
      <w:r>
        <w:rPr>
          <w:rFonts w:hint="eastAsia" w:ascii="宋体" w:hAnsi="宋体" w:cs="宋体"/>
          <w:sz w:val="24"/>
          <w:szCs w:val="24"/>
        </w:rPr>
        <w:t xml:space="preserve">具体事项按DD2006-03《岩矿石物性调查技术规程》执行。</w:t>
      </w:r>
      <w:bookmarkEnd w:id="73"/>
      <w:r/>
      <w:r/>
    </w:p>
    <w:p>
      <w:pPr>
        <w:pStyle w:val="957"/>
        <w:ind w:firstLine="482"/>
        <w:spacing w:line="360" w:lineRule="auto"/>
        <w:rPr>
          <w:rFonts w:ascii="宋体" w:hAnsi="宋体" w:cs="宋体"/>
          <w:b/>
          <w:bCs/>
          <w:color w:val="auto"/>
          <w:lang w:val="zh-CN"/>
        </w:rPr>
      </w:pPr>
      <w:r>
        <w:rPr>
          <w:rFonts w:hint="eastAsia" w:ascii="宋体" w:hAnsi="宋体" w:cs="宋体"/>
          <w:b/>
          <w:bCs/>
          <w:color w:val="auto"/>
          <w:lang w:val="zh-CN"/>
        </w:rPr>
        <w:t xml:space="preserve">（</w:t>
      </w:r>
      <w:r>
        <w:rPr>
          <w:rFonts w:hint="eastAsia" w:ascii="宋体" w:hAnsi="宋体" w:cs="宋体"/>
          <w:b/>
          <w:bCs/>
          <w:color w:val="auto"/>
        </w:rPr>
        <w:t xml:space="preserve">7</w:t>
      </w:r>
      <w:r>
        <w:rPr>
          <w:rFonts w:hint="eastAsia" w:ascii="宋体" w:hAnsi="宋体" w:cs="宋体"/>
          <w:b/>
          <w:bCs/>
          <w:color w:val="auto"/>
          <w:lang w:val="zh-CN"/>
        </w:rPr>
        <w:t xml:space="preserve">）质量管理</w:t>
      </w:r>
      <w:r/>
    </w:p>
    <w:p>
      <w:pPr>
        <w:ind w:firstLine="480"/>
        <w:spacing w:line="360" w:lineRule="auto"/>
        <w:rPr>
          <w:rFonts w:ascii="宋体" w:hAnsi="宋体" w:cs="宋体"/>
          <w:sz w:val="24"/>
          <w:szCs w:val="24"/>
        </w:rPr>
      </w:pPr>
      <w:r>
        <w:rPr>
          <w:rFonts w:hint="eastAsia" w:ascii="宋体" w:hAnsi="宋体" w:cs="宋体"/>
          <w:sz w:val="24"/>
          <w:szCs w:val="24"/>
        </w:rPr>
        <w:t xml:space="preserve">①进场后，每周提交周报，每月提交工作简报，按甲方要求提交阶段性总结报告。</w:t>
      </w:r>
      <w:r/>
    </w:p>
    <w:p>
      <w:pPr>
        <w:ind w:firstLine="480"/>
        <w:spacing w:line="360" w:lineRule="auto"/>
        <w:rPr>
          <w:rFonts w:ascii="宋体" w:hAnsi="宋体" w:cs="宋体"/>
          <w:sz w:val="24"/>
          <w:szCs w:val="24"/>
        </w:rPr>
      </w:pPr>
      <w:r>
        <w:rPr>
          <w:rFonts w:hint="eastAsia" w:ascii="宋体" w:hAnsi="宋体" w:cs="宋体"/>
          <w:sz w:val="24"/>
          <w:szCs w:val="24"/>
        </w:rPr>
        <w:t xml:space="preserve">②接受甲方1-2次中期质量检查。</w:t>
      </w:r>
      <w:r/>
    </w:p>
    <w:p>
      <w:pPr>
        <w:ind w:firstLine="480"/>
        <w:spacing w:line="360" w:lineRule="auto"/>
        <w:rPr>
          <w:rFonts w:ascii="宋体" w:hAnsi="宋体" w:cs="宋体"/>
          <w:sz w:val="24"/>
          <w:szCs w:val="24"/>
        </w:rPr>
      </w:pPr>
      <w:r>
        <w:rPr>
          <w:rFonts w:hint="eastAsia" w:ascii="宋体" w:hAnsi="宋体" w:cs="宋体"/>
          <w:sz w:val="24"/>
          <w:szCs w:val="24"/>
        </w:rPr>
        <w:t xml:space="preserve">③接受甲方组织的野外及成果验收。</w:t>
      </w:r>
      <w:r/>
    </w:p>
    <w:p>
      <w:pPr>
        <w:pStyle w:val="957"/>
        <w:ind w:firstLine="482"/>
        <w:spacing w:line="360" w:lineRule="auto"/>
        <w:rPr>
          <w:rFonts w:ascii="宋体" w:hAnsi="宋体" w:cs="宋体"/>
          <w:b/>
          <w:bCs/>
          <w:color w:val="auto"/>
          <w:lang w:val="zh-CN"/>
        </w:rPr>
      </w:pPr>
      <w:r>
        <w:rPr>
          <w:rFonts w:hint="eastAsia" w:ascii="宋体" w:hAnsi="宋体" w:cs="宋体"/>
          <w:b/>
          <w:bCs/>
          <w:color w:val="auto"/>
          <w:lang w:val="zh-CN"/>
        </w:rPr>
        <w:t xml:space="preserve">（</w:t>
      </w:r>
      <w:r>
        <w:rPr>
          <w:rFonts w:hint="eastAsia" w:ascii="宋体" w:hAnsi="宋体" w:cs="宋体"/>
          <w:b/>
          <w:bCs/>
          <w:color w:val="auto"/>
        </w:rPr>
        <w:t xml:space="preserve">8</w:t>
      </w:r>
      <w:r>
        <w:rPr>
          <w:rFonts w:hint="eastAsia" w:ascii="宋体" w:hAnsi="宋体" w:cs="宋体"/>
          <w:b/>
          <w:bCs/>
          <w:color w:val="auto"/>
          <w:lang w:val="zh-CN"/>
        </w:rPr>
        <w:t xml:space="preserve">）施工管理</w:t>
      </w:r>
      <w:r/>
    </w:p>
    <w:p>
      <w:pPr>
        <w:ind w:firstLine="480"/>
        <w:spacing w:line="360" w:lineRule="auto"/>
        <w:rPr>
          <w:rFonts w:ascii="宋体" w:hAnsi="宋体" w:cs="宋体"/>
          <w:sz w:val="24"/>
          <w:szCs w:val="24"/>
        </w:rPr>
      </w:pPr>
      <w:r>
        <w:rPr>
          <w:rFonts w:hint="eastAsia" w:ascii="宋体" w:hAnsi="宋体" w:cs="宋体"/>
          <w:sz w:val="24"/>
          <w:szCs w:val="24"/>
        </w:rPr>
        <w:t xml:space="preserve">①由甲方（江苏省地质调查研究院）与乙方（中标单位）签订合同后，委托业务承担单位在合同规定工期内开展工作。</w:t>
      </w:r>
      <w:r/>
    </w:p>
    <w:p>
      <w:pPr>
        <w:ind w:firstLine="480"/>
        <w:spacing w:line="360" w:lineRule="auto"/>
        <w:rPr>
          <w:rFonts w:ascii="宋体" w:hAnsi="宋体" w:cs="宋体"/>
          <w:sz w:val="24"/>
          <w:szCs w:val="24"/>
        </w:rPr>
      </w:pPr>
      <w:r>
        <w:rPr>
          <w:rFonts w:hint="eastAsia" w:ascii="宋体" w:hAnsi="宋体" w:cs="宋体"/>
          <w:sz w:val="24"/>
          <w:szCs w:val="24"/>
        </w:rPr>
        <w:t xml:space="preserve">②进场前由乙方编写施工设计并通过甲方审核，进场后要严格按照施工设计要求，精心组织实施与管理，实行日报制度。</w:t>
      </w:r>
      <w:r/>
    </w:p>
    <w:p>
      <w:pPr>
        <w:ind w:firstLine="480"/>
        <w:spacing w:line="360" w:lineRule="auto"/>
        <w:rPr>
          <w:rFonts w:ascii="宋体" w:hAnsi="宋体" w:cs="宋体"/>
          <w:sz w:val="24"/>
          <w:szCs w:val="24"/>
        </w:rPr>
      </w:pPr>
      <w:r>
        <w:rPr>
          <w:rFonts w:hint="eastAsia" w:ascii="宋体" w:hAnsi="宋体" w:cs="宋体"/>
          <w:sz w:val="24"/>
          <w:szCs w:val="24"/>
        </w:rPr>
        <w:t xml:space="preserve">③甲方对监测过程和数据处理过程进行全程质量监督和技术指导。</w:t>
      </w:r>
      <w:r/>
    </w:p>
    <w:p>
      <w:pPr>
        <w:pStyle w:val="957"/>
        <w:ind w:firstLine="482"/>
        <w:spacing w:line="360" w:lineRule="auto"/>
        <w:rPr>
          <w:rFonts w:ascii="宋体" w:hAnsi="宋体" w:cs="宋体"/>
          <w:b/>
          <w:bCs/>
          <w:color w:val="auto"/>
          <w:lang w:val="zh-CN"/>
        </w:rPr>
      </w:pPr>
      <w:r>
        <w:rPr>
          <w:rFonts w:hint="eastAsia" w:ascii="宋体" w:hAnsi="宋体" w:cs="宋体"/>
          <w:b/>
          <w:bCs/>
          <w:color w:val="auto"/>
          <w:lang w:val="zh-CN"/>
        </w:rPr>
        <w:t xml:space="preserve">（</w:t>
      </w:r>
      <w:r>
        <w:rPr>
          <w:rFonts w:hint="eastAsia" w:ascii="宋体" w:hAnsi="宋体" w:cs="宋体"/>
          <w:b/>
          <w:bCs/>
          <w:color w:val="auto"/>
        </w:rPr>
        <w:t xml:space="preserve">9</w:t>
      </w:r>
      <w:r>
        <w:rPr>
          <w:rFonts w:hint="eastAsia" w:ascii="宋体" w:hAnsi="宋体" w:cs="宋体"/>
          <w:b/>
          <w:bCs/>
          <w:color w:val="auto"/>
          <w:lang w:val="zh-CN"/>
        </w:rPr>
        <w:t xml:space="preserve">）安全及环保要求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受托单位在施工前，要制定安全环保措施和应急预案。施工过程中，严格遵守《中华人民共和国安全生产法》、《中华人民共和国环境保护法》等相关法律法规以及行业与地方政府有关标准和规定，确保当地自然环境不遭破坏和工程项目安全生产，受托方对施工安全和环保问题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具体细节按中标方编制的经委托方组织专家审定的专项设计执行。</w:t>
      </w:r>
      <w:r/>
    </w:p>
    <w:p>
      <w:pPr>
        <w:pStyle w:val="707"/>
        <w:spacing w:line="360" w:lineRule="auto"/>
        <w:rPr>
          <w:rFonts w:ascii="宋体" w:hAnsi="宋体" w:cs="宋体"/>
          <w:sz w:val="24"/>
          <w:szCs w:val="24"/>
        </w:rPr>
      </w:pPr>
      <w:r/>
      <w:bookmarkStart w:id="74" w:name="_Toc496721277"/>
      <w:r/>
      <w:bookmarkStart w:id="75" w:name="_Toc6014"/>
      <w:r/>
      <w:bookmarkStart w:id="76" w:name="_Toc16691762"/>
      <w:r/>
      <w:bookmarkStart w:id="77" w:name="_Toc171865158"/>
      <w:r>
        <w:rPr>
          <w:rFonts w:hint="eastAsia" w:ascii="宋体" w:hAnsi="宋体" w:cs="宋体"/>
          <w:sz w:val="24"/>
          <w:szCs w:val="24"/>
        </w:rPr>
        <w:t xml:space="preserve">4．服务进度要求</w:t>
      </w:r>
      <w:bookmarkEnd w:id="74"/>
      <w:r/>
      <w:bookmarkEnd w:id="75"/>
      <w:r/>
      <w:bookmarkEnd w:id="76"/>
      <w:r/>
      <w:bookmarkEnd w:id="77"/>
      <w:r/>
      <w:r/>
    </w:p>
    <w:p>
      <w:pPr>
        <w:ind w:firstLine="480"/>
        <w:spacing w:line="360" w:lineRule="auto"/>
        <w:rPr>
          <w:rFonts w:ascii="宋体" w:hAnsi="宋体" w:cs="宋体"/>
          <w:sz w:val="24"/>
          <w:szCs w:val="24"/>
          <w:highlight w:val="none"/>
        </w:rPr>
      </w:pPr>
      <w:r/>
      <w:bookmarkStart w:id="78" w:name="_Toc418771267"/>
      <w:r/>
      <w:bookmarkStart w:id="79" w:name="_Toc12363"/>
      <w:r/>
      <w:bookmarkStart w:id="80" w:name="_Toc496721278"/>
      <w:r/>
      <w:bookmarkStart w:id="81" w:name="_Toc16691763"/>
      <w:r>
        <w:rPr>
          <w:rFonts w:hint="eastAsia" w:ascii="宋体" w:hAnsi="宋体" w:cs="宋体"/>
          <w:sz w:val="24"/>
          <w:szCs w:val="24"/>
        </w:rPr>
        <w:t xml:space="preserve">项目总体工作期限为4个月：单个工区野外工作结束</w:t>
      </w:r>
      <w:r>
        <w:rPr>
          <w:rFonts w:hint="eastAsia" w:ascii="宋体" w:hAnsi="宋体" w:cs="宋体"/>
          <w:sz w:val="24"/>
          <w:szCs w:val="24"/>
          <w:highlight w:val="none"/>
        </w:rPr>
        <w:t xml:space="preserve">后10天内提交数据处理解释初步成果，野外工作全部结束后1个月内提交成果报告及相关资料。实际野外工作时间由项目组根据项目进展及单个工区情况确定并通知乙方进场施工。</w:t>
      </w:r>
      <w:bookmarkEnd w:id="78"/>
      <w:r/>
      <w:bookmarkEnd w:id="79"/>
      <w:r/>
      <w:r/>
    </w:p>
    <w:p>
      <w:pPr>
        <w:pStyle w:val="707"/>
        <w:spacing w:line="360" w:lineRule="auto"/>
        <w:rPr>
          <w:rFonts w:ascii="宋体" w:hAnsi="宋体" w:cs="宋体"/>
          <w:sz w:val="24"/>
          <w:szCs w:val="24"/>
          <w:highlight w:val="none"/>
        </w:rPr>
      </w:pPr>
      <w:r/>
      <w:bookmarkStart w:id="82" w:name="_Toc4133"/>
      <w:r/>
      <w:bookmarkStart w:id="83" w:name="_Toc171865159"/>
      <w:r>
        <w:rPr>
          <w:rFonts w:hint="eastAsia" w:ascii="宋体" w:hAnsi="宋体" w:cs="宋体"/>
          <w:sz w:val="24"/>
          <w:szCs w:val="24"/>
          <w:highlight w:val="none"/>
        </w:rPr>
        <w:t xml:space="preserve">5．服务人员及设备配置要求</w:t>
      </w:r>
      <w:bookmarkEnd w:id="80"/>
      <w:r/>
      <w:bookmarkEnd w:id="81"/>
      <w:r/>
      <w:bookmarkEnd w:id="82"/>
      <w:r/>
      <w:bookmarkEnd w:id="83"/>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项目时间紧、任务重，物探专项需充分考虑分组作业。</w:t>
      </w:r>
      <w:r>
        <w:rPr>
          <w:rFonts w:hint="eastAsia" w:ascii="宋体" w:hAnsi="宋体" w:cs="宋体"/>
          <w:bCs/>
          <w:sz w:val="24"/>
          <w:szCs w:val="24"/>
          <w:highlight w:val="none"/>
        </w:rPr>
        <w:t xml:space="preserve">内西五河－西丁旺地区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墩尚－罗阳重点调查区视电阻率中梯剖面测量需至少两个台班同时进场施工。</w:t>
      </w:r>
      <w:r/>
    </w:p>
    <w:p>
      <w:pPr>
        <w:pStyle w:val="751"/>
        <w:ind w:firstLine="480"/>
        <w:spacing w:line="360" w:lineRule="auto"/>
        <w:rPr>
          <w:rFonts w:ascii="宋体" w:hAnsi="宋体" w:cs="宋体"/>
          <w:sz w:val="24"/>
          <w:szCs w:val="24"/>
        </w:rPr>
      </w:pPr>
      <w:r>
        <w:rPr>
          <w:rFonts w:hint="eastAsia" w:ascii="宋体" w:hAnsi="宋体" w:cs="宋体"/>
          <w:sz w:val="24"/>
          <w:szCs w:val="24"/>
        </w:rPr>
        <w:t xml:space="preserve">人员数量充足、结构合理，技术骨干力量配备满足质量和进度要求。</w:t>
      </w:r>
      <w:r/>
    </w:p>
    <w:p>
      <w:pPr>
        <w:pStyle w:val="751"/>
        <w:ind w:firstLine="480"/>
        <w:spacing w:line="360" w:lineRule="auto"/>
        <w:rPr>
          <w:rFonts w:ascii="宋体" w:hAnsi="宋体" w:cs="宋体"/>
          <w:sz w:val="24"/>
          <w:szCs w:val="24"/>
        </w:rPr>
      </w:pPr>
      <w:r>
        <w:rPr>
          <w:rFonts w:hint="eastAsia" w:ascii="宋体" w:hAnsi="宋体" w:cs="宋体"/>
          <w:sz w:val="24"/>
          <w:szCs w:val="24"/>
        </w:rPr>
        <w:t xml:space="preserve">设备数量、性能配置满足质量和进度要求。</w:t>
      </w:r>
      <w:r/>
    </w:p>
    <w:p>
      <w:pPr>
        <w:pStyle w:val="707"/>
        <w:spacing w:line="360" w:lineRule="auto"/>
        <w:rPr>
          <w:rFonts w:ascii="宋体" w:hAnsi="宋体" w:cs="宋体"/>
          <w:sz w:val="24"/>
          <w:szCs w:val="24"/>
        </w:rPr>
      </w:pPr>
      <w:r/>
      <w:bookmarkStart w:id="84" w:name="_Toc496721279"/>
      <w:r/>
      <w:bookmarkStart w:id="85" w:name="_Toc17823"/>
      <w:r/>
      <w:bookmarkStart w:id="86" w:name="_Toc171865160"/>
      <w:r/>
      <w:bookmarkStart w:id="87" w:name="_Toc16691764"/>
      <w:r>
        <w:rPr>
          <w:rFonts w:hint="eastAsia" w:ascii="宋体" w:hAnsi="宋体" w:cs="宋体"/>
          <w:sz w:val="24"/>
          <w:szCs w:val="24"/>
        </w:rPr>
        <w:t xml:space="preserve">6．提交成果要求</w:t>
      </w:r>
      <w:bookmarkEnd w:id="84"/>
      <w:r/>
      <w:bookmarkEnd w:id="85"/>
      <w:r/>
      <w:bookmarkEnd w:id="86"/>
      <w:r/>
      <w:bookmarkEnd w:id="87"/>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各项原始资料及数据，通过甲方组织评审通过的物探成果报告。</w:t>
      </w:r>
      <w:r/>
    </w:p>
    <w:p>
      <w:pPr>
        <w:pStyle w:val="772"/>
        <w:ind w:left="0" w:firstLine="482"/>
        <w:spacing w:line="360" w:lineRule="auto"/>
        <w:rPr>
          <w:rFonts w:ascii="宋体" w:hAnsi="宋体" w:eastAsia="宋体" w:cs="宋体"/>
          <w:b/>
          <w:lang w:eastAsia="zh-CN"/>
        </w:rPr>
      </w:pPr>
      <w:r>
        <w:rPr>
          <w:rFonts w:hint="eastAsia" w:ascii="宋体" w:hAnsi="宋体" w:eastAsia="宋体" w:cs="宋体"/>
          <w:b/>
          <w:lang w:eastAsia="zh-CN"/>
        </w:rPr>
        <w:t xml:space="preserve">供应商应根据本项目上述需求编制详细的服务响应方案。</w:t>
      </w:r>
      <w:r/>
    </w:p>
    <w:p>
      <w:pPr>
        <w:pStyle w:val="706"/>
        <w:spacing w:line="360" w:lineRule="auto"/>
        <w:rPr>
          <w:rFonts w:ascii="宋体" w:hAnsi="宋体" w:cs="宋体"/>
          <w:sz w:val="24"/>
          <w:szCs w:val="24"/>
        </w:rPr>
      </w:pPr>
      <w:r/>
      <w:bookmarkStart w:id="88" w:name="_Toc17810"/>
      <w:r/>
      <w:bookmarkStart w:id="89" w:name="_Toc171865161"/>
      <w:r/>
      <w:bookmarkStart w:id="90" w:name="_Toc16691765"/>
      <w:r/>
      <w:bookmarkStart w:id="91" w:name="_Toc496721280"/>
      <w:r>
        <w:rPr>
          <w:rFonts w:hint="eastAsia" w:ascii="宋体" w:hAnsi="宋体" w:cs="宋体"/>
          <w:sz w:val="24"/>
          <w:szCs w:val="24"/>
        </w:rPr>
        <w:t xml:space="preserve">四、其它</w:t>
      </w:r>
      <w:bookmarkEnd w:id="88"/>
      <w:r/>
      <w:bookmarkEnd w:id="89"/>
      <w:r/>
      <w:bookmarkEnd w:id="90"/>
      <w:r/>
      <w:bookmarkEnd w:id="91"/>
      <w:r/>
      <w:bookmarkEnd w:id="51"/>
      <w:r/>
      <w:bookmarkEnd w:id="52"/>
      <w:r/>
      <w:bookmarkEnd w:id="53"/>
      <w:r/>
      <w:bookmarkEnd w:id="54"/>
      <w:r/>
      <w:bookmarkEnd w:id="55"/>
      <w:r/>
      <w:bookmarkEnd w:id="56"/>
      <w:r/>
      <w:r/>
    </w:p>
    <w:p>
      <w:pPr>
        <w:ind w:firstLine="480"/>
        <w:jc w:val="left"/>
        <w:spacing w:after="160" w:line="360" w:lineRule="auto"/>
        <w:rPr>
          <w:rFonts w:ascii="宋体" w:hAnsi="宋体" w:cs="宋体"/>
          <w:highlight w:val="yellow"/>
        </w:rPr>
      </w:pPr>
      <w:r>
        <w:rPr>
          <w:rFonts w:hint="eastAsia" w:ascii="宋体" w:hAnsi="宋体" w:cs="宋体"/>
          <w:sz w:val="24"/>
          <w:szCs w:val="24"/>
        </w:rPr>
        <w:t xml:space="preserve">总工作量根据实际地质情况可能作调整，其总价按招标固定单价与变化工作量作相应计价。</w:t>
      </w:r>
      <w:r/>
    </w:p>
    <w:p>
      <w:pPr>
        <w:ind w:firstLine="420"/>
        <w:jc w:val="left"/>
        <w:spacing w:after="160" w:line="360" w:lineRule="auto"/>
        <w:rPr>
          <w:rFonts w:ascii="宋体" w:hAnsi="宋体" w:cs="宋体"/>
          <w:highlight w:val="yellow"/>
        </w:rPr>
      </w:pPr>
      <w:r>
        <w:rPr>
          <w:rFonts w:ascii="宋体" w:hAnsi="宋体" w:cs="宋体"/>
          <w:highlight w:val="yellow"/>
        </w:rPr>
      </w:r>
      <w:r/>
    </w:p>
    <w:p>
      <w:pPr>
        <w:ind w:firstLine="420"/>
        <w:jc w:val="left"/>
        <w:spacing w:after="160" w:line="360" w:lineRule="auto"/>
        <w:rPr>
          <w:rFonts w:ascii="宋体" w:hAnsi="宋体" w:cs="宋体"/>
        </w:rPr>
      </w:pPr>
      <w:r>
        <w:rPr>
          <w:rFonts w:ascii="宋体" w:hAnsi="宋体" w:cs="宋体"/>
        </w:rPr>
      </w:r>
      <w:r/>
    </w:p>
    <w:p>
      <w:pPr>
        <w:pStyle w:val="705"/>
        <w:ind w:firstLine="643"/>
        <w:spacing w:after="160"/>
        <w:rPr>
          <w:rFonts w:ascii="宋体" w:hAnsi="宋体" w:cs="宋体"/>
        </w:rPr>
      </w:pPr>
      <w:r>
        <w:rPr>
          <w:rFonts w:hint="eastAsia" w:ascii="宋体" w:hAnsi="宋体" w:cs="宋体"/>
        </w:rPr>
        <w:br w:type="page" w:clear="all"/>
      </w:r>
      <w:r>
        <w:rPr>
          <w:rFonts w:hint="eastAsia" w:ascii="宋体" w:hAnsi="宋体" w:cs="宋体"/>
        </w:rPr>
        <w:t xml:space="preserve">  </w:t>
      </w:r>
      <w:bookmarkStart w:id="92" w:name="_Toc183091225"/>
      <w:r>
        <w:rPr>
          <w:rFonts w:hint="eastAsia" w:ascii="宋体" w:hAnsi="宋体" w:cs="宋体"/>
        </w:rPr>
        <w:t xml:space="preserve">合同主要条款</w:t>
      </w:r>
      <w:bookmarkEnd w:id="92"/>
      <w:r/>
      <w:r/>
    </w:p>
    <w:p>
      <w:pPr>
        <w:jc w:val="center"/>
        <w:spacing w:line="360" w:lineRule="auto"/>
        <w:rPr>
          <w:b/>
        </w:rPr>
      </w:pPr>
      <w:r/>
      <w:bookmarkStart w:id="93" w:name="_Toc43902853"/>
      <w:r/>
      <w:bookmarkEnd w:id="93"/>
      <w:r/>
      <w:bookmarkStart w:id="94" w:name="_Toc303794202"/>
      <w:r/>
      <w:bookmarkStart w:id="95" w:name="_Toc303674226"/>
      <w:r/>
      <w:bookmarkStart w:id="96" w:name="_Toc7492858"/>
      <w:r/>
      <w:bookmarkStart w:id="97" w:name="_Toc303669671"/>
      <w:r/>
      <w:bookmarkStart w:id="98" w:name="_Toc303675711"/>
      <w:r/>
      <w:bookmarkStart w:id="99" w:name="_Toc198105329"/>
      <w:r/>
      <w:bookmarkStart w:id="100" w:name="_Toc303672995"/>
      <w:r/>
      <w:bookmarkStart w:id="101" w:name="_Toc7584971"/>
      <w:r/>
      <w:bookmarkStart w:id="102" w:name="_Toc405373416"/>
      <w:r/>
      <w:bookmarkStart w:id="103" w:name="_Toc303675913"/>
      <w:r/>
      <w:bookmarkEnd w:id="94"/>
      <w:r/>
      <w:bookmarkEnd w:id="95"/>
      <w:r/>
      <w:bookmarkEnd w:id="96"/>
      <w:r/>
      <w:bookmarkEnd w:id="97"/>
      <w:r/>
      <w:bookmarkEnd w:id="98"/>
      <w:r/>
      <w:bookmarkEnd w:id="99"/>
      <w:r/>
      <w:bookmarkEnd w:id="100"/>
      <w:r/>
      <w:bookmarkEnd w:id="101"/>
      <w:r/>
      <w:bookmarkEnd w:id="102"/>
      <w:r/>
      <w:bookmarkEnd w:id="103"/>
      <w:r/>
      <w:r/>
    </w:p>
    <w:p>
      <w:pPr>
        <w:jc w:val="center"/>
        <w:spacing w:line="360" w:lineRule="auto"/>
        <w:rPr>
          <w:rFonts w:ascii="宋体" w:hAnsi="宋体" w:cs="宋体"/>
          <w:b/>
        </w:rPr>
      </w:pPr>
      <w:r>
        <w:rPr>
          <w:rFonts w:hint="eastAsia" w:ascii="宋体" w:hAnsi="宋体" w:cs="宋体"/>
          <w:b/>
        </w:rPr>
        <w:t xml:space="preserve">（说明：本合同内容条款在正式签署前可具体补充细化，仅作参考）</w:t>
      </w:r>
      <w:r/>
    </w:p>
    <w:p>
      <w:pPr>
        <w:spacing w:line="360" w:lineRule="auto"/>
        <w:rPr>
          <w:rFonts w:eastAsia="仿宋"/>
          <w:b/>
          <w:bCs/>
          <w:sz w:val="24"/>
          <w:szCs w:val="24"/>
        </w:rPr>
      </w:pPr>
      <w:r>
        <w:rPr>
          <w:rFonts w:eastAsia="仿宋"/>
          <w:b/>
          <w:bCs/>
          <w:sz w:val="24"/>
          <w:szCs w:val="24"/>
        </w:rPr>
      </w:r>
      <w:r/>
    </w:p>
    <w:p>
      <w:pPr>
        <w:spacing w:line="360" w:lineRule="auto"/>
        <w:rPr>
          <w:rFonts w:eastAsia="仿宋"/>
          <w:b/>
          <w:bCs/>
          <w:sz w:val="24"/>
          <w:szCs w:val="24"/>
        </w:rPr>
      </w:pPr>
      <w:r>
        <w:rPr>
          <w:rFonts w:eastAsia="仿宋"/>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委托方（甲方）：江苏省地质调查研究院</w:t>
      </w:r>
      <w:r/>
    </w:p>
    <w:p>
      <w:pPr>
        <w:spacing w:line="360" w:lineRule="auto"/>
        <w:rPr>
          <w:rFonts w:ascii="宋体" w:hAnsi="宋体" w:cs="宋体"/>
          <w:b/>
          <w:bCs/>
          <w:sz w:val="24"/>
          <w:szCs w:val="24"/>
        </w:rPr>
      </w:pPr>
      <w:r>
        <w:rPr>
          <w:rFonts w:hint="eastAsia" w:ascii="宋体" w:hAnsi="宋体" w:cs="宋体"/>
          <w:b/>
          <w:bCs/>
          <w:sz w:val="24"/>
          <w:szCs w:val="24"/>
        </w:rPr>
        <w:t xml:space="preserve">受托方（乙方）：</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甲方通过公开招标方式，确定受托方承担</w:t>
      </w:r>
      <w:r>
        <w:rPr>
          <w:rFonts w:hint="eastAsia" w:ascii="宋体" w:hAnsi="宋体" w:cs="宋体"/>
          <w:sz w:val="24"/>
          <w:szCs w:val="24"/>
          <w:u w:val="single"/>
        </w:rPr>
        <w:t xml:space="preserve">：江苏省东海房山—赣榆罗阳高纯石英矿调查评价与区块优选项目重力磁法测量</w:t>
      </w:r>
      <w:r>
        <w:rPr>
          <w:rFonts w:hint="eastAsia" w:ascii="宋体" w:hAnsi="宋体" w:cs="宋体"/>
          <w:sz w:val="24"/>
          <w:szCs w:val="24"/>
        </w:rPr>
        <w:t xml:space="preserve">并完成合同约定的任务。双方遵循平等、自愿、公平与诚信的原则，就开展此项目工作及相关事项协商一致，共同达成如下协议：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第一条目的任务及主要实物工作量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 目的</w:t>
      </w:r>
      <w:r/>
    </w:p>
    <w:p>
      <w:pPr>
        <w:ind w:firstLine="480"/>
        <w:spacing w:line="360" w:lineRule="auto"/>
        <w:rPr>
          <w:rFonts w:ascii="宋体" w:hAnsi="宋体" w:cs="宋体"/>
          <w:sz w:val="24"/>
          <w:szCs w:val="24"/>
        </w:rPr>
      </w:pPr>
      <w:r>
        <w:rPr>
          <w:rFonts w:hint="eastAsia" w:ascii="宋体" w:hAnsi="宋体" w:cs="宋体"/>
          <w:sz w:val="24"/>
          <w:szCs w:val="24"/>
        </w:rPr>
        <w:t xml:space="preserve">以石英岩型高纯石英原料矿为勘查目标，针对连云港市东海房山—赣榆罗阳石英岩调查评价与区块优选项目徐苗—大李庄重点调查区开展重力磁法测量，圈定与石英岩有关的物探异常，解译石英岩等地质体分布、规模、形态、产状等，指导勘查工程布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 工作任务</w:t>
      </w:r>
      <w:r/>
    </w:p>
    <w:p>
      <w:pPr>
        <w:ind w:firstLine="480"/>
        <w:spacing w:line="360" w:lineRule="auto"/>
        <w:rPr>
          <w:rFonts w:ascii="宋体" w:hAnsi="宋体" w:cs="宋体"/>
          <w:sz w:val="24"/>
          <w:szCs w:val="24"/>
        </w:rPr>
      </w:pPr>
      <w:r>
        <w:rPr>
          <w:rFonts w:hint="eastAsia" w:ascii="宋体" w:hAnsi="宋体" w:cs="宋体"/>
          <w:sz w:val="24"/>
          <w:szCs w:val="24"/>
        </w:rPr>
        <w:t xml:space="preserve">（1）针对张埠墩、武强山地区已圈定石英岩型高纯石英原料矿体开展1:10000重力、磁法试验剖面，确定试验参数。</w:t>
      </w:r>
      <w:r/>
    </w:p>
    <w:p>
      <w:pPr>
        <w:ind w:firstLine="480"/>
        <w:spacing w:line="360" w:lineRule="auto"/>
        <w:rPr>
          <w:rFonts w:ascii="宋体" w:hAnsi="宋体" w:cs="宋体"/>
          <w:sz w:val="24"/>
          <w:szCs w:val="24"/>
        </w:rPr>
      </w:pPr>
      <w:r>
        <w:rPr>
          <w:rFonts w:hint="eastAsia" w:ascii="宋体" w:hAnsi="宋体" w:cs="宋体"/>
          <w:sz w:val="24"/>
          <w:szCs w:val="24"/>
        </w:rPr>
        <w:t xml:space="preserve">（2）针对徐苗—大李庄重点调查区开展1:25000重力、磁法面积性测量，获取高精度布格重力异常数据、高精度地磁总场强度数据，查明隐伏基底起伏、断裂构造格架及密度异常体，为找矿靶区圈定提供重力、磁法依据。并与地质调查、钻探、CSAMT、地震三分量频率谐振等成果联合解译，降低多解性。</w:t>
      </w:r>
      <w:r/>
    </w:p>
    <w:p>
      <w:pPr>
        <w:ind w:firstLine="480"/>
        <w:spacing w:line="360" w:lineRule="auto"/>
        <w:rPr>
          <w:rFonts w:ascii="宋体" w:hAnsi="宋体" w:cs="宋体"/>
          <w:sz w:val="24"/>
          <w:szCs w:val="24"/>
        </w:rPr>
      </w:pPr>
      <w:r>
        <w:rPr>
          <w:rFonts w:hint="eastAsia" w:ascii="宋体" w:hAnsi="宋体" w:cs="宋体"/>
          <w:sz w:val="24"/>
          <w:szCs w:val="24"/>
        </w:rPr>
        <w:t xml:space="preserve">（3）充分采集样品开展岩（矿）石密度、剩磁、感磁等物性测定。</w:t>
      </w:r>
      <w:r/>
    </w:p>
    <w:p>
      <w:pPr>
        <w:ind w:firstLine="480"/>
        <w:spacing w:line="360" w:lineRule="auto"/>
        <w:rPr>
          <w:rFonts w:ascii="宋体" w:hAnsi="宋体" w:cs="宋体"/>
          <w:sz w:val="24"/>
          <w:szCs w:val="24"/>
        </w:rPr>
      </w:pPr>
      <w:r>
        <w:rPr>
          <w:rFonts w:hint="eastAsia" w:ascii="宋体" w:hAnsi="宋体" w:cs="宋体"/>
          <w:sz w:val="24"/>
          <w:szCs w:val="24"/>
        </w:rPr>
        <w:t xml:space="preserve">（4）在资料整理和数据分析基础上，通过物探异常解释提出取样浅钻、钻探等验证工程部署方案。</w:t>
      </w:r>
      <w:r/>
    </w:p>
    <w:p>
      <w:pPr>
        <w:ind w:firstLine="480"/>
        <w:spacing w:line="360" w:lineRule="auto"/>
        <w:rPr>
          <w:rFonts w:ascii="宋体" w:hAnsi="宋体" w:cs="宋体"/>
          <w:sz w:val="24"/>
          <w:szCs w:val="24"/>
        </w:rPr>
      </w:pPr>
      <w:r>
        <w:rPr>
          <w:rFonts w:hint="eastAsia" w:ascii="宋体" w:hAnsi="宋体" w:cs="宋体"/>
          <w:sz w:val="24"/>
          <w:szCs w:val="24"/>
        </w:rPr>
        <w:t xml:space="preserve">（5）根据工程验证情况，对物探异常体进行再解释，指导后续勘查工程布置。</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 主要实物工作量</w:t>
      </w:r>
      <w:r/>
    </w:p>
    <w:p>
      <w:pPr>
        <w:ind w:firstLine="480"/>
        <w:spacing w:line="360" w:lineRule="auto"/>
        <w:rPr>
          <w:rFonts w:ascii="宋体" w:hAnsi="宋体" w:cs="宋体"/>
          <w:sz w:val="24"/>
          <w:szCs w:val="24"/>
        </w:rPr>
      </w:pPr>
      <w:r>
        <w:rPr>
          <w:rFonts w:hint="eastAsia" w:ascii="宋体" w:hAnsi="宋体" w:cs="宋体"/>
          <w:sz w:val="24"/>
          <w:szCs w:val="24"/>
        </w:rPr>
        <w:t xml:space="preserve">1:25000重力、磁法面积性测量240km</w:t>
      </w:r>
      <w:r>
        <w:rPr>
          <w:rFonts w:hint="eastAsia" w:ascii="宋体" w:hAnsi="宋体" w:cs="宋体"/>
          <w:sz w:val="24"/>
          <w:szCs w:val="24"/>
          <w:vertAlign w:val="superscript"/>
        </w:rPr>
        <w:t xml:space="preserve">2</w:t>
      </w:r>
      <w:r>
        <w:rPr>
          <w:rFonts w:hint="eastAsia" w:ascii="宋体" w:hAnsi="宋体" w:cs="宋体"/>
          <w:sz w:val="24"/>
          <w:szCs w:val="24"/>
        </w:rPr>
        <w:t xml:space="preserve">，1:10000重力剖面测量4km，1:10000磁法剖面测量2km，物性测定密度、剩磁、感磁180件。</w:t>
      </w:r>
      <w:r/>
    </w:p>
    <w:p>
      <w:pPr>
        <w:numPr>
          <w:ilvl w:val="0"/>
          <w:numId w:val="3"/>
        </w:numPr>
        <w:ind w:firstLine="482"/>
        <w:spacing w:line="360" w:lineRule="auto"/>
        <w:rPr>
          <w:rFonts w:ascii="宋体" w:hAnsi="宋体" w:cs="宋体"/>
          <w:b/>
          <w:sz w:val="24"/>
          <w:szCs w:val="24"/>
        </w:rPr>
      </w:pPr>
      <w:r>
        <w:rPr>
          <w:rFonts w:hint="eastAsia" w:ascii="宋体" w:hAnsi="宋体" w:cs="宋体"/>
          <w:b/>
          <w:sz w:val="24"/>
          <w:szCs w:val="24"/>
        </w:rPr>
        <w:t xml:space="preserve">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详见第四章技术规格及要求。</w:t>
      </w:r>
      <w:r/>
    </w:p>
    <w:p>
      <w:pPr>
        <w:ind w:firstLine="482"/>
        <w:spacing w:line="360" w:lineRule="auto"/>
        <w:rPr>
          <w:rFonts w:ascii="宋体" w:hAnsi="宋体" w:cs="宋体"/>
          <w:b/>
          <w:bCs/>
          <w:sz w:val="24"/>
          <w:szCs w:val="24"/>
        </w:rPr>
      </w:pPr>
      <w:r/>
      <w:bookmarkStart w:id="104" w:name="_Toc15560"/>
      <w:r/>
      <w:bookmarkStart w:id="105" w:name="_Toc17346"/>
      <w:r>
        <w:rPr>
          <w:rFonts w:hint="eastAsia" w:ascii="宋体" w:hAnsi="宋体" w:cs="宋体"/>
          <w:b/>
          <w:bCs/>
          <w:sz w:val="24"/>
          <w:szCs w:val="24"/>
        </w:rPr>
        <w:t xml:space="preserve">第三条提交成果</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各种原始资料及数据，通过甲方组织评审通过的物探成果报告。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第四条项目期限</w:t>
      </w:r>
      <w:r/>
    </w:p>
    <w:p>
      <w:pPr>
        <w:ind w:firstLine="480"/>
        <w:spacing w:line="360" w:lineRule="auto"/>
        <w:rPr>
          <w:rFonts w:ascii="宋体" w:hAnsi="宋体" w:cs="宋体"/>
          <w:sz w:val="24"/>
          <w:szCs w:val="24"/>
        </w:rPr>
      </w:pPr>
      <w:r>
        <w:rPr>
          <w:rFonts w:hint="eastAsia" w:ascii="宋体" w:hAnsi="宋体" w:cs="宋体"/>
          <w:sz w:val="24"/>
          <w:szCs w:val="24"/>
        </w:rPr>
        <w:t xml:space="preserve">项目总体工作期限为4个月：单个工区野外工作结束后10天内提交数据处理解释初步成果，野外工作全部结束后1个月内提交成果报告及相关资料。实际野外工作时间由项目组根据项目进展及单个工区情况确定并通知乙方进场施工。</w:t>
      </w:r>
      <w:r/>
    </w:p>
    <w:p>
      <w:pPr>
        <w:ind w:firstLine="482"/>
        <w:spacing w:line="360" w:lineRule="auto"/>
        <w:rPr>
          <w:rFonts w:ascii="宋体" w:hAnsi="宋体" w:cs="宋体"/>
          <w:b/>
          <w:sz w:val="24"/>
          <w:szCs w:val="24"/>
        </w:rPr>
      </w:pPr>
      <w:r>
        <w:rPr>
          <w:rFonts w:hint="eastAsia" w:ascii="宋体" w:hAnsi="宋体" w:cs="宋体"/>
          <w:b/>
          <w:sz w:val="24"/>
          <w:szCs w:val="24"/>
        </w:rPr>
        <w:t xml:space="preserve">特别说明：因人力不可抗拒的自然灾害（包括但不限于疫情、台风、水灾、地震等）造成停工，影响项目实施，乙方应提出书面申请，得到甲方书面同意后总工期可顺延。</w:t>
      </w:r>
      <w:bookmarkEnd w:id="104"/>
      <w:r/>
      <w:bookmarkEnd w:id="105"/>
      <w:r/>
      <w:r/>
    </w:p>
    <w:p>
      <w:pPr>
        <w:ind w:firstLine="482"/>
        <w:spacing w:line="360" w:lineRule="auto"/>
        <w:rPr>
          <w:rFonts w:ascii="宋体" w:hAnsi="宋体" w:cs="宋体"/>
          <w:b/>
          <w:sz w:val="24"/>
          <w:szCs w:val="24"/>
        </w:rPr>
      </w:pPr>
      <w:r>
        <w:rPr>
          <w:rFonts w:hint="eastAsia" w:ascii="宋体" w:hAnsi="宋体" w:cs="宋体"/>
          <w:b/>
          <w:sz w:val="24"/>
          <w:szCs w:val="24"/>
        </w:rPr>
        <w:t xml:space="preserve">第五条项目费用</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本合同总金额为人民币万元（大写：元整）。</w:t>
      </w:r>
      <w:r>
        <w:rPr>
          <w:rFonts w:hint="eastAsia" w:ascii="宋体" w:hAnsi="宋体" w:cs="宋体"/>
          <w:sz w:val="24"/>
          <w:szCs w:val="24"/>
          <w:lang w:val="en-US" w:eastAsia="zh-CN"/>
        </w:rPr>
        <w:t xml:space="preserve">中标</w:t>
      </w:r>
      <w:r>
        <w:rPr>
          <w:rFonts w:hint="eastAsia" w:ascii="宋体" w:hAnsi="宋体" w:cs="宋体"/>
          <w:sz w:val="24"/>
          <w:szCs w:val="24"/>
        </w:rPr>
        <w:t xml:space="preserve">单价：重力测量**元/km</w:t>
      </w:r>
      <w:r>
        <w:rPr>
          <w:rFonts w:hint="eastAsia" w:ascii="宋体" w:hAnsi="宋体" w:cs="宋体"/>
          <w:sz w:val="24"/>
          <w:szCs w:val="24"/>
          <w:vertAlign w:val="superscript"/>
        </w:rPr>
        <w:t xml:space="preserve">2</w:t>
      </w:r>
      <w:r>
        <w:rPr>
          <w:rFonts w:hint="eastAsia" w:ascii="宋体" w:hAnsi="宋体" w:cs="宋体"/>
          <w:sz w:val="24"/>
          <w:szCs w:val="24"/>
        </w:rPr>
        <w:t xml:space="preserve">、磁法测量**元/km</w:t>
      </w:r>
      <w:r>
        <w:rPr>
          <w:rFonts w:hint="eastAsia" w:ascii="宋体" w:hAnsi="宋体" w:cs="宋体"/>
          <w:sz w:val="24"/>
          <w:szCs w:val="24"/>
          <w:vertAlign w:val="superscript"/>
        </w:rPr>
        <w:t xml:space="preserve">2</w:t>
      </w:r>
      <w:r>
        <w:rPr>
          <w:rFonts w:hint="eastAsia" w:ascii="宋体" w:hAnsi="宋体" w:cs="宋体"/>
          <w:sz w:val="24"/>
          <w:szCs w:val="24"/>
        </w:rPr>
        <w:t xml:space="preserve">、物性测定样**元/件。</w:t>
      </w:r>
      <w:r/>
    </w:p>
    <w:p>
      <w:pPr>
        <w:ind w:firstLine="482"/>
        <w:spacing w:line="360" w:lineRule="auto"/>
        <w:rPr>
          <w:rFonts w:ascii="宋体" w:hAnsi="宋体" w:cs="宋体"/>
          <w:b/>
          <w:sz w:val="24"/>
          <w:szCs w:val="24"/>
        </w:rPr>
      </w:pPr>
      <w:r>
        <w:rPr>
          <w:rFonts w:hint="eastAsia" w:ascii="宋体" w:hAnsi="宋体" w:cs="宋体"/>
          <w:b/>
          <w:sz w:val="24"/>
          <w:szCs w:val="24"/>
        </w:rPr>
        <w:t xml:space="preserve">第六条费用支付</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（1）甲、乙双方签订合同后，乙方按照合同金额的10%作为履约保证金支付给甲方；</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（2）乙方进场一周内，甲方支付合同金额的40%；</w:t>
      </w:r>
      <w:r/>
    </w:p>
    <w:p>
      <w:pPr>
        <w:ind w:firstLine="480"/>
        <w:spacing w:line="360" w:lineRule="auto"/>
        <w:rPr>
          <w:rFonts w:ascii="宋体" w:hAnsi="宋体" w:cs="宋体"/>
          <w:sz w:val="24"/>
          <w:szCs w:val="24"/>
        </w:rPr>
      </w:pPr>
      <w:r>
        <w:rPr>
          <w:rFonts w:hint="eastAsia" w:ascii="宋体" w:hAnsi="宋体" w:cs="宋体"/>
          <w:sz w:val="24"/>
          <w:szCs w:val="24"/>
        </w:rPr>
        <w:t xml:space="preserve">（3）项目野外总工作量完成超过</w:t>
      </w:r>
      <w:r>
        <w:rPr>
          <w:rFonts w:hint="eastAsia" w:ascii="宋体" w:hAnsi="宋体" w:cs="宋体"/>
          <w:sz w:val="24"/>
          <w:szCs w:val="24"/>
          <w:lang w:val="en-US" w:eastAsia="zh-CN"/>
        </w:rPr>
        <w:t xml:space="preserve">7</w:t>
      </w:r>
      <w:r>
        <w:rPr>
          <w:rFonts w:hint="eastAsia" w:ascii="宋体" w:hAnsi="宋体" w:cs="宋体"/>
          <w:sz w:val="24"/>
          <w:szCs w:val="24"/>
        </w:rPr>
        <w:t xml:space="preserve">0%后，甲方支付合同金额的30%；</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）项目成果报告通过甲方验收后，甲、乙双方核算实际总工程费用</w:t>
      </w:r>
      <w:bookmarkStart w:id="106" w:name="OLE_LINK8"/>
      <w:r>
        <w:rPr>
          <w:rFonts w:hint="eastAsia" w:ascii="宋体" w:hAnsi="宋体" w:cs="宋体"/>
          <w:sz w:val="24"/>
          <w:szCs w:val="24"/>
        </w:rPr>
        <w:t xml:space="preserve">（增加的费用不得超中标价的10%）</w:t>
      </w:r>
      <w:bookmarkEnd w:id="106"/>
      <w:r>
        <w:rPr>
          <w:rFonts w:hint="eastAsia" w:ascii="宋体" w:hAnsi="宋体" w:cs="宋体"/>
          <w:sz w:val="24"/>
          <w:szCs w:val="24"/>
        </w:rPr>
        <w:t xml:space="preserve">，根据</w:t>
      </w:r>
      <w:r>
        <w:rPr>
          <w:rFonts w:hint="eastAsia" w:ascii="宋体" w:hAnsi="宋体" w:cs="宋体"/>
          <w:sz w:val="24"/>
          <w:szCs w:val="24"/>
          <w:lang w:val="en-US" w:eastAsia="zh-CN"/>
        </w:rPr>
        <w:t xml:space="preserve">中标</w:t>
      </w:r>
      <w:r>
        <w:rPr>
          <w:rFonts w:hint="eastAsia" w:ascii="宋体" w:hAnsi="宋体" w:cs="宋体"/>
          <w:sz w:val="24"/>
          <w:szCs w:val="24"/>
        </w:rPr>
        <w:t xml:space="preserve">单价，甲方按多退少补的原则一月内结清总工程的余款及履约保证金。</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以上费用需要乙方出具增值税发票给甲方后执行。</w:t>
      </w:r>
      <w:r/>
    </w:p>
    <w:p>
      <w:pPr>
        <w:ind w:firstLine="482"/>
        <w:spacing w:line="360" w:lineRule="auto"/>
        <w:rPr>
          <w:rFonts w:ascii="宋体" w:hAnsi="宋体" w:cs="宋体"/>
          <w:b/>
          <w:sz w:val="24"/>
          <w:szCs w:val="24"/>
        </w:rPr>
      </w:pPr>
      <w:r>
        <w:rPr>
          <w:rFonts w:hint="eastAsia" w:ascii="宋体" w:hAnsi="宋体" w:cs="宋体"/>
          <w:b/>
          <w:sz w:val="24"/>
          <w:szCs w:val="24"/>
        </w:rPr>
        <w:t xml:space="preserve">第七条验收方及验收标准</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甲方负责验收，按第二条执行。</w:t>
      </w:r>
      <w:r/>
    </w:p>
    <w:p>
      <w:pPr>
        <w:ind w:firstLine="482"/>
        <w:spacing w:line="360" w:lineRule="auto"/>
        <w:rPr>
          <w:rFonts w:ascii="宋体" w:hAnsi="宋体" w:cs="宋体"/>
          <w:b/>
          <w:sz w:val="24"/>
          <w:szCs w:val="24"/>
        </w:rPr>
      </w:pPr>
      <w:r>
        <w:rPr>
          <w:rFonts w:hint="eastAsia" w:ascii="宋体" w:hAnsi="宋体" w:cs="宋体"/>
          <w:b/>
          <w:sz w:val="24"/>
          <w:szCs w:val="24"/>
        </w:rPr>
        <w:t xml:space="preserve">第八条甲方责任</w:t>
      </w:r>
      <w:r/>
    </w:p>
    <w:p>
      <w:pPr>
        <w:contextualSpacing/>
        <w:ind w:firstLine="480"/>
        <w:spacing w:line="440" w:lineRule="exact"/>
        <w:rPr>
          <w:rFonts w:ascii="宋体" w:hAnsi="宋体" w:cs="宋体"/>
          <w:sz w:val="24"/>
          <w:szCs w:val="24"/>
        </w:rPr>
      </w:pPr>
      <w:r>
        <w:rPr>
          <w:rFonts w:hint="eastAsia" w:ascii="宋体" w:hAnsi="宋体" w:cs="宋体"/>
          <w:sz w:val="24"/>
          <w:szCs w:val="24"/>
        </w:rPr>
        <w:t xml:space="preserve">1. 负责审查项目实施方案。</w:t>
      </w:r>
      <w:r/>
    </w:p>
    <w:p>
      <w:pPr>
        <w:contextualSpacing/>
        <w:ind w:firstLine="480"/>
        <w:spacing w:line="440" w:lineRule="exact"/>
        <w:rPr>
          <w:rFonts w:ascii="宋体" w:hAnsi="宋体" w:cs="宋体"/>
          <w:sz w:val="24"/>
          <w:szCs w:val="24"/>
        </w:rPr>
      </w:pPr>
      <w:r>
        <w:rPr>
          <w:rFonts w:hint="eastAsia" w:ascii="宋体" w:hAnsi="宋体" w:cs="宋体"/>
          <w:sz w:val="24"/>
          <w:szCs w:val="24"/>
        </w:rPr>
        <w:t xml:space="preserve">2. 及时支付项目经费。</w:t>
      </w:r>
      <w:r/>
    </w:p>
    <w:p>
      <w:pPr>
        <w:contextualSpacing/>
        <w:ind w:firstLine="480"/>
        <w:spacing w:line="440" w:lineRule="exact"/>
        <w:rPr>
          <w:rFonts w:ascii="宋体" w:hAnsi="宋体" w:cs="宋体"/>
          <w:sz w:val="24"/>
          <w:szCs w:val="24"/>
        </w:rPr>
      </w:pPr>
      <w:r>
        <w:rPr>
          <w:rFonts w:hint="eastAsia" w:ascii="宋体" w:hAnsi="宋体" w:cs="宋体"/>
          <w:sz w:val="24"/>
          <w:szCs w:val="24"/>
        </w:rPr>
        <w:t xml:space="preserve">3. 负责监督检查受托方项目管理工作。</w:t>
      </w:r>
      <w:r/>
    </w:p>
    <w:p>
      <w:pPr>
        <w:contextualSpacing/>
        <w:ind w:firstLine="480"/>
        <w:spacing w:line="440" w:lineRule="exact"/>
        <w:rPr>
          <w:rFonts w:ascii="宋体" w:hAnsi="宋体" w:cs="宋体"/>
          <w:sz w:val="24"/>
          <w:szCs w:val="24"/>
        </w:rPr>
      </w:pPr>
      <w:r>
        <w:rPr>
          <w:rFonts w:hint="eastAsia" w:ascii="宋体" w:hAnsi="宋体" w:cs="宋体"/>
          <w:sz w:val="24"/>
          <w:szCs w:val="24"/>
        </w:rPr>
        <w:t xml:space="preserve">4. 负责监督受托方项目工作质量。</w:t>
      </w:r>
      <w:r/>
    </w:p>
    <w:p>
      <w:pPr>
        <w:contextualSpacing/>
        <w:ind w:firstLine="480"/>
        <w:spacing w:line="440" w:lineRule="exact"/>
        <w:rPr>
          <w:rFonts w:ascii="宋体" w:hAnsi="宋体" w:cs="宋体"/>
          <w:sz w:val="24"/>
          <w:szCs w:val="24"/>
        </w:rPr>
      </w:pPr>
      <w:r>
        <w:rPr>
          <w:rFonts w:hint="eastAsia" w:ascii="宋体" w:hAnsi="宋体" w:cs="宋体"/>
          <w:sz w:val="24"/>
          <w:szCs w:val="24"/>
        </w:rPr>
        <w:t xml:space="preserve">5. 根据受托方申请，组织项目的野外验收、成果验收。</w:t>
      </w:r>
      <w:r/>
    </w:p>
    <w:p>
      <w:pPr>
        <w:ind w:firstLine="482"/>
        <w:spacing w:line="360" w:lineRule="auto"/>
        <w:rPr>
          <w:rFonts w:ascii="宋体" w:hAnsi="宋体" w:cs="宋体"/>
          <w:b/>
          <w:sz w:val="24"/>
          <w:szCs w:val="24"/>
        </w:rPr>
      </w:pPr>
      <w:r>
        <w:rPr>
          <w:rFonts w:hint="eastAsia" w:ascii="宋体" w:hAnsi="宋体" w:cs="宋体"/>
          <w:b/>
          <w:sz w:val="24"/>
          <w:szCs w:val="24"/>
        </w:rPr>
        <w:t xml:space="preserve">第九条乙方责任</w:t>
      </w:r>
      <w:r/>
    </w:p>
    <w:p>
      <w:pPr>
        <w:ind w:firstLine="480"/>
        <w:spacing w:line="360" w:lineRule="auto"/>
        <w:rPr>
          <w:rFonts w:ascii="宋体" w:hAnsi="宋体" w:cs="宋体"/>
          <w:sz w:val="24"/>
          <w:szCs w:val="24"/>
        </w:rPr>
      </w:pPr>
      <w:r>
        <w:rPr>
          <w:rFonts w:hint="eastAsia" w:ascii="宋体" w:hAnsi="宋体" w:cs="宋体"/>
          <w:sz w:val="24"/>
          <w:szCs w:val="24"/>
        </w:rPr>
        <w:t xml:space="preserve">1. 签订合同后，根据甲方要求，10个工作日内提交实施方案，交甲方审定，通过后实施；</w:t>
      </w:r>
      <w:r/>
    </w:p>
    <w:p>
      <w:pPr>
        <w:ind w:firstLine="480"/>
        <w:spacing w:line="360" w:lineRule="auto"/>
        <w:rPr>
          <w:rFonts w:ascii="宋体" w:hAnsi="宋体" w:cs="宋体"/>
          <w:sz w:val="24"/>
          <w:szCs w:val="24"/>
        </w:rPr>
      </w:pPr>
      <w:r>
        <w:rPr>
          <w:rFonts w:hint="eastAsia" w:ascii="宋体" w:hAnsi="宋体" w:cs="宋体"/>
          <w:sz w:val="24"/>
          <w:szCs w:val="24"/>
        </w:rPr>
        <w:t xml:space="preserve">2. 按照合同标的及实施方案约定，全面完成项目工作目标、各项工作手段的足额实物工作量；</w:t>
      </w:r>
      <w:r/>
    </w:p>
    <w:p>
      <w:pPr>
        <w:ind w:firstLine="480"/>
        <w:spacing w:line="360" w:lineRule="auto"/>
        <w:rPr>
          <w:rFonts w:ascii="宋体" w:hAnsi="宋体" w:cs="宋体"/>
          <w:sz w:val="24"/>
          <w:szCs w:val="24"/>
        </w:rPr>
      </w:pPr>
      <w:r>
        <w:rPr>
          <w:rFonts w:hint="eastAsia" w:ascii="宋体" w:hAnsi="宋体" w:cs="宋体"/>
          <w:sz w:val="24"/>
          <w:szCs w:val="24"/>
        </w:rPr>
        <w:t xml:space="preserve">3. 负责项目组织实施和条件保障；</w:t>
      </w:r>
      <w:r/>
    </w:p>
    <w:p>
      <w:pPr>
        <w:ind w:firstLine="480"/>
        <w:spacing w:line="360" w:lineRule="auto"/>
        <w:rPr>
          <w:rFonts w:ascii="宋体" w:hAnsi="宋体" w:cs="宋体"/>
          <w:sz w:val="24"/>
          <w:szCs w:val="24"/>
        </w:rPr>
      </w:pPr>
      <w:r>
        <w:rPr>
          <w:rFonts w:hint="eastAsia" w:ascii="宋体" w:hAnsi="宋体" w:cs="宋体"/>
          <w:sz w:val="24"/>
          <w:szCs w:val="24"/>
        </w:rPr>
        <w:t xml:space="preserve">4. 负责项目技术、质量及其经费管理，为履行本合同，必须建立完善的质量保证体系；</w:t>
      </w:r>
      <w:r/>
    </w:p>
    <w:p>
      <w:pPr>
        <w:ind w:firstLine="480"/>
        <w:spacing w:line="360" w:lineRule="auto"/>
        <w:rPr>
          <w:rFonts w:ascii="宋体" w:hAnsi="宋体" w:cs="宋体"/>
          <w:sz w:val="24"/>
          <w:szCs w:val="24"/>
        </w:rPr>
      </w:pPr>
      <w:r>
        <w:rPr>
          <w:rFonts w:hint="eastAsia" w:ascii="宋体" w:hAnsi="宋体" w:cs="宋体"/>
          <w:sz w:val="24"/>
          <w:szCs w:val="24"/>
        </w:rPr>
        <w:t xml:space="preserve">5. 及时向甲方报送项目实施进展情况，并对其真实性负责；乙方在合同履行期间，项目有重大进展、重大变动，应及时向甲方报送专报；</w:t>
      </w:r>
      <w:r/>
    </w:p>
    <w:p>
      <w:pPr>
        <w:ind w:firstLine="480"/>
        <w:spacing w:line="360" w:lineRule="auto"/>
        <w:rPr>
          <w:rFonts w:ascii="宋体" w:hAnsi="宋体" w:cs="宋体"/>
          <w:sz w:val="24"/>
          <w:szCs w:val="24"/>
        </w:rPr>
      </w:pPr>
      <w:r>
        <w:rPr>
          <w:rFonts w:hint="eastAsia" w:ascii="宋体" w:hAnsi="宋体" w:cs="宋体"/>
          <w:sz w:val="24"/>
          <w:szCs w:val="24"/>
        </w:rPr>
        <w:t xml:space="preserve">6. 按本合同约定向甲方汇交项目成果地质资料，并保管好项目原始资料、实物资料；</w:t>
      </w:r>
      <w:r/>
    </w:p>
    <w:p>
      <w:pPr>
        <w:ind w:firstLine="480"/>
        <w:spacing w:line="360" w:lineRule="auto"/>
        <w:rPr>
          <w:rFonts w:ascii="宋体" w:hAnsi="宋体" w:cs="宋体"/>
          <w:sz w:val="24"/>
          <w:szCs w:val="24"/>
        </w:rPr>
      </w:pPr>
      <w:r>
        <w:rPr>
          <w:rFonts w:hint="eastAsia" w:ascii="宋体" w:hAnsi="宋体" w:cs="宋体"/>
          <w:sz w:val="24"/>
          <w:szCs w:val="24"/>
        </w:rPr>
        <w:t xml:space="preserve">7. 接受甲方或项目管理部门组织的质量、经费检查，并为之提供必要的工作条件；</w:t>
      </w:r>
      <w:r/>
    </w:p>
    <w:p>
      <w:pPr>
        <w:ind w:firstLine="480"/>
        <w:spacing w:line="360" w:lineRule="auto"/>
        <w:rPr>
          <w:rFonts w:ascii="宋体" w:hAnsi="宋体" w:cs="宋体"/>
          <w:sz w:val="24"/>
          <w:szCs w:val="24"/>
        </w:rPr>
      </w:pPr>
      <w:r>
        <w:rPr>
          <w:rFonts w:hint="eastAsia" w:ascii="宋体" w:hAnsi="宋体" w:cs="宋体"/>
          <w:sz w:val="24"/>
          <w:szCs w:val="24"/>
        </w:rPr>
        <w:t xml:space="preserve">8. 合同履行期间，应当遵守国家、江苏省自然资源厅、所在地有关安全生产的要求，保证项目人员和设备安全，并为开展项目工作提供完善的劳动防护设施和保护用品，为乙方所有现场作业人员购买意外伤害险。合同履行期间，如发生安全事故的法律责任和因此发生的费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9. 项目实施期间人员、设备、安全保卫工作由乙方负责。</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第十条违约责任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 甲方违约责任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（1）合同签订后，乙方人员及设备已进入施工现场，如由于甲方原因工程停工而中止合同，甲方支付合同金额10%的违约金；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（2）甲方未按第四条支付乙方工程款，应按延误天数和当时银行利息向乙方支付违约金。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2. 乙方违约责任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（1）合同签订后，如乙方擅自中止或解除合同，乙方应全额返还甲方预付的工程款，甲方扣除乙方的履约保证金作为违约金；</w:t>
      </w:r>
      <w:r/>
    </w:p>
    <w:p>
      <w:pPr>
        <w:ind w:firstLine="480"/>
        <w:spacing w:line="360" w:lineRule="auto"/>
        <w:rPr>
          <w:rFonts w:ascii="宋体" w:hAnsi="宋体" w:cs="宋体"/>
          <w:sz w:val="24"/>
          <w:szCs w:val="24"/>
        </w:rPr>
      </w:pPr>
      <w:r>
        <w:rPr>
          <w:rFonts w:hint="eastAsia" w:ascii="宋体" w:hAnsi="宋体" w:cs="宋体"/>
          <w:sz w:val="24"/>
          <w:szCs w:val="24"/>
        </w:rPr>
        <w:t xml:space="preserve">（2）乙方未按合同规定的期限完成施工任务，应向甲方支付延期损失费，每天的延期损失费按总工程款的0.5%计算；</w:t>
      </w:r>
      <w:r/>
    </w:p>
    <w:p>
      <w:pPr>
        <w:ind w:firstLine="480"/>
        <w:spacing w:line="360" w:lineRule="auto"/>
        <w:rPr>
          <w:rFonts w:ascii="宋体" w:hAnsi="宋体" w:cs="宋体"/>
          <w:sz w:val="24"/>
          <w:szCs w:val="24"/>
        </w:rPr>
      </w:pPr>
      <w:r>
        <w:rPr>
          <w:rFonts w:hint="eastAsia" w:ascii="宋体" w:hAnsi="宋体" w:cs="宋体"/>
          <w:sz w:val="24"/>
          <w:szCs w:val="24"/>
        </w:rPr>
        <w:t xml:space="preserve">（3）由于乙方人为原因，造成施工质量不符合技术要求的，采取补救措施后仍达不到要求，验收不能通过，乙方应全额返还甲方已付的工程款，甲方扣除乙方的履约保证金作为违约金；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于项目获取的原始数据、成果资料及甲方提供的所有资料，乙方有义务保密，未经甲方书面允许，不得外泄给第三方，不得公开发表；若有必要，双方研究共同发表，否则甲方有权追究乙方的责任，并追究乙方承担合同总经费5倍的罚款。</w:t>
      </w:r>
      <w:r/>
    </w:p>
    <w:p>
      <w:pPr>
        <w:ind w:firstLine="480"/>
        <w:spacing w:line="360" w:lineRule="auto"/>
        <w:rPr>
          <w:rFonts w:hint="default" w:ascii="宋体" w:hAnsi="宋体" w:eastAsia="宋体"/>
          <w:color w:val="auto"/>
          <w:sz w:val="21"/>
          <w:szCs w:val="21"/>
          <w:highlight w:val="none"/>
          <w:lang w:val="en-US"/>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工作内容不得再次分包或转包，如有上述情况，则视为乙方违约。甲方有权终止合同，并要求乙方返还所有已付的工程款。</w:t>
      </w:r>
      <w:r/>
    </w:p>
    <w:p>
      <w:pPr>
        <w:contextualSpacing/>
        <w:ind w:firstLine="482"/>
        <w:spacing w:line="360" w:lineRule="auto"/>
        <w:rPr>
          <w:rFonts w:ascii="宋体" w:hAnsi="宋体" w:cs="宋体"/>
          <w:b/>
          <w:sz w:val="24"/>
          <w:szCs w:val="24"/>
        </w:rPr>
      </w:pPr>
      <w:r/>
      <w:bookmarkStart w:id="107" w:name="_Toc405373424"/>
      <w:r>
        <w:rPr>
          <w:rFonts w:hint="eastAsia" w:ascii="宋体" w:hAnsi="宋体" w:cs="宋体"/>
          <w:b/>
          <w:sz w:val="24"/>
          <w:szCs w:val="24"/>
        </w:rPr>
        <w:t xml:space="preserve">第十一条资料所有权及保密权</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1. 乙方应保证所提供资料的合法性及真实性;</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2. 乙方有责任对成果保密，未得到甲方书面同意，不得以任何方式、任何理由向第三方泄露。</w:t>
      </w:r>
      <w:r/>
    </w:p>
    <w:p>
      <w:pPr>
        <w:contextualSpacing/>
        <w:ind w:firstLine="482"/>
        <w:spacing w:line="360" w:lineRule="auto"/>
        <w:rPr>
          <w:rFonts w:ascii="宋体" w:hAnsi="宋体" w:cs="宋体"/>
          <w:b/>
          <w:sz w:val="24"/>
          <w:szCs w:val="24"/>
        </w:rPr>
      </w:pPr>
      <w:r/>
      <w:bookmarkStart w:id="108" w:name="_Hlk171868958"/>
      <w:r>
        <w:rPr>
          <w:rFonts w:hint="eastAsia" w:ascii="宋体" w:hAnsi="宋体" w:cs="宋体"/>
          <w:b/>
          <w:sz w:val="24"/>
          <w:szCs w:val="24"/>
        </w:rPr>
        <w:t xml:space="preserve">第十二条争议的解决</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本合同执行过程中发生的任何争议，如双方不能协商解决，由合同签订地法院诉讼处理。</w:t>
      </w:r>
      <w:bookmarkEnd w:id="107"/>
      <w:r/>
      <w:bookmarkEnd w:id="108"/>
      <w:r/>
      <w:r/>
    </w:p>
    <w:p>
      <w:pPr>
        <w:ind w:firstLine="482"/>
        <w:spacing w:line="360" w:lineRule="auto"/>
        <w:rPr>
          <w:rFonts w:ascii="宋体" w:hAnsi="宋体" w:cs="宋体"/>
          <w:b/>
          <w:sz w:val="24"/>
          <w:szCs w:val="24"/>
        </w:rPr>
      </w:pPr>
      <w:r>
        <w:rPr>
          <w:rFonts w:hint="eastAsia" w:ascii="宋体" w:hAnsi="宋体" w:cs="宋体"/>
          <w:b/>
          <w:sz w:val="24"/>
          <w:szCs w:val="24"/>
        </w:rPr>
        <w:t xml:space="preserve">第十三条由于不可抗拒的因素，致使本合同无法履行时，双方应按有关法律、法规及时协商处理。</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第十四条本合同未尽事宜，双方应本着实事求是、友好协商的态度加以解决，双方签订的补充协议或纪要视为本合同的组成部分，亦具有法律效力。</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第十五条附则</w:t>
      </w:r>
      <w:r/>
    </w:p>
    <w:p>
      <w:pPr>
        <w:ind w:firstLine="480"/>
        <w:spacing w:line="360" w:lineRule="auto"/>
        <w:rPr>
          <w:rFonts w:ascii="宋体" w:hAnsi="宋体" w:cs="宋体"/>
          <w:sz w:val="24"/>
          <w:szCs w:val="24"/>
        </w:rPr>
      </w:pPr>
      <w:r>
        <w:rPr>
          <w:rFonts w:hint="eastAsia" w:ascii="宋体" w:hAnsi="宋体" w:cs="宋体"/>
          <w:sz w:val="24"/>
          <w:szCs w:val="24"/>
        </w:rPr>
        <w:t xml:space="preserve">1. 本合同经双方法人代表（委托人）签字，加盖双方单位公章或合同专用章后生效。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2. 本合同壹式陆份，甲、乙双方各执叁份，具有同等法律效力。</w:t>
      </w:r>
      <w:r/>
    </w:p>
    <w:p>
      <w:pPr>
        <w:ind w:firstLine="480"/>
        <w:spacing w:line="360" w:lineRule="auto"/>
        <w:rPr>
          <w:rFonts w:ascii="宋体" w:hAnsi="宋体" w:cs="宋体"/>
          <w:sz w:val="24"/>
          <w:szCs w:val="24"/>
        </w:rPr>
      </w:pPr>
      <w:r>
        <w:rPr>
          <w:rFonts w:ascii="宋体" w:hAnsi="宋体" w:cs="宋体"/>
          <w:sz w:val="24"/>
          <w:szCs w:val="24"/>
        </w:rPr>
      </w:r>
      <w:r/>
    </w:p>
    <w:tbl>
      <w:tblPr>
        <w:tblStyle w:val="715"/>
        <w:tblW w:w="9420" w:type="dxa"/>
        <w:jc w:val="center"/>
        <w:tblLayout w:type="fixed"/>
        <w:tblCellMar>
          <w:left w:w="108" w:type="dxa"/>
          <w:top w:w="0" w:type="dxa"/>
          <w:right w:w="108" w:type="dxa"/>
          <w:bottom w:w="0" w:type="dxa"/>
        </w:tblCellMar>
        <w:tblLook w:val="04A0" w:firstRow="1" w:lastRow="0" w:firstColumn="1" w:lastColumn="0" w:noHBand="0" w:noVBand="1"/>
      </w:tblPr>
      <w:tblGrid>
        <w:gridCol w:w="4710"/>
        <w:gridCol w:w="4710"/>
      </w:tblGrid>
      <w:tr>
        <w:trPr>
          <w:jc w:val="center"/>
          <w:trHeight w:val="830"/>
        </w:trPr>
        <w:tc>
          <w:tcPr>
            <w:tcW w:w="471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br w:type="page" w:clear="all"/>
            </w:r>
            <w:r>
              <w:rPr>
                <w:rFonts w:hint="eastAsia" w:ascii="宋体" w:hAnsi="宋体" w:cs="宋体"/>
                <w:b/>
                <w:sz w:val="24"/>
                <w:szCs w:val="24"/>
              </w:rPr>
              <w:t xml:space="preserve">甲方(公章)：江苏省地质调查研究院</w:t>
            </w:r>
            <w:r/>
          </w:p>
        </w:tc>
        <w:tc>
          <w:tcPr>
            <w:tcW w:w="4710" w:type="dxa"/>
            <w:vAlign w:val="center"/>
            <w:textDirection w:val="lrTb"/>
            <w:noWrap w:val="false"/>
          </w:tcPr>
          <w:p>
            <w:pPr>
              <w:spacing w:line="360" w:lineRule="auto"/>
              <w:rPr>
                <w:rFonts w:ascii="宋体" w:hAnsi="宋体" w:cs="宋体"/>
                <w:b/>
                <w:bCs/>
                <w:sz w:val="24"/>
                <w:szCs w:val="24"/>
              </w:rPr>
            </w:pPr>
            <w:r>
              <w:rPr>
                <w:rFonts w:hint="eastAsia" w:ascii="宋体" w:hAnsi="宋体" w:cs="宋体"/>
                <w:b/>
                <w:sz w:val="24"/>
                <w:szCs w:val="24"/>
              </w:rPr>
              <w:t xml:space="preserve">乙方（公章）：</w:t>
            </w:r>
            <w:r/>
          </w:p>
        </w:tc>
      </w:tr>
      <w:tr>
        <w:trPr>
          <w:jc w:val="center"/>
          <w:trHeight w:val="500"/>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法人(委托)代表：</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法人(委托)代表：</w:t>
            </w:r>
            <w:r/>
          </w:p>
        </w:tc>
      </w:tr>
      <w:tr>
        <w:trPr>
          <w:jc w:val="center"/>
          <w:trHeight w:val="409"/>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联系人：</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联系人：</w:t>
            </w:r>
            <w:r/>
          </w:p>
        </w:tc>
      </w:tr>
      <w:tr>
        <w:trPr>
          <w:jc w:val="center"/>
          <w:trHeight w:val="453"/>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联系电话：</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联系电话：</w:t>
            </w:r>
            <w:r/>
          </w:p>
        </w:tc>
      </w:tr>
      <w:tr>
        <w:trPr>
          <w:jc w:val="center"/>
          <w:trHeight w:val="316"/>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开户行：</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开户行：</w:t>
            </w:r>
            <w:r/>
          </w:p>
        </w:tc>
      </w:tr>
      <w:tr>
        <w:trPr>
          <w:jc w:val="center"/>
          <w:trHeight w:val="453"/>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账号：</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账号：</w:t>
            </w:r>
            <w:r/>
          </w:p>
        </w:tc>
      </w:tr>
      <w:tr>
        <w:trPr>
          <w:jc w:val="center"/>
          <w:trHeight w:val="453"/>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税务登记证号：</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行号：</w:t>
            </w:r>
            <w:r/>
          </w:p>
        </w:tc>
      </w:tr>
      <w:tr>
        <w:trPr>
          <w:jc w:val="center"/>
          <w:trHeight w:val="453"/>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地址：</w:t>
            </w:r>
            <w:r/>
          </w:p>
        </w:tc>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地址：</w:t>
            </w:r>
            <w:r/>
          </w:p>
        </w:tc>
      </w:tr>
      <w:tr>
        <w:trPr>
          <w:jc w:val="center"/>
          <w:trHeight w:val="453"/>
        </w:trPr>
        <w:tc>
          <w:tcPr>
            <w:tcW w:w="4710" w:type="dxa"/>
            <w:vAlign w:val="center"/>
            <w:textDirection w:val="lrTb"/>
            <w:noWrap w:val="false"/>
          </w:tcPr>
          <w:p>
            <w:pPr>
              <w:spacing w:line="360" w:lineRule="auto"/>
              <w:rPr>
                <w:rFonts w:ascii="宋体" w:hAnsi="宋体" w:cs="宋体"/>
                <w:b/>
                <w:sz w:val="24"/>
                <w:szCs w:val="24"/>
              </w:rPr>
            </w:pPr>
            <w:r>
              <w:rPr>
                <w:rFonts w:hint="eastAsia" w:ascii="宋体" w:hAnsi="宋体" w:cs="宋体"/>
                <w:b/>
                <w:sz w:val="24"/>
                <w:szCs w:val="24"/>
              </w:rPr>
              <w:t xml:space="preserve">签订日期：</w:t>
            </w:r>
            <w:r/>
          </w:p>
        </w:tc>
        <w:tc>
          <w:tcPr>
            <w:tcW w:w="4710" w:type="dxa"/>
            <w:vAlign w:val="center"/>
            <w:textDirection w:val="lrTb"/>
            <w:noWrap w:val="false"/>
          </w:tcPr>
          <w:p>
            <w:pPr>
              <w:spacing w:line="360" w:lineRule="auto"/>
              <w:rPr>
                <w:rFonts w:ascii="宋体" w:hAnsi="宋体" w:cs="宋体"/>
                <w:b/>
                <w:sz w:val="24"/>
                <w:szCs w:val="24"/>
              </w:rPr>
            </w:pPr>
            <w:r>
              <w:rPr>
                <w:rFonts w:ascii="宋体" w:hAnsi="宋体" w:cs="宋体"/>
                <w:b/>
                <w:sz w:val="24"/>
                <w:szCs w:val="24"/>
              </w:rPr>
            </w:r>
            <w:r/>
          </w:p>
        </w:tc>
      </w:tr>
    </w:tbl>
    <w:p>
      <w:pPr>
        <w:contextualSpacing/>
        <w:ind w:firstLine="480"/>
        <w:spacing w:line="440" w:lineRule="exact"/>
        <w:rPr>
          <w:rFonts w:ascii="宋体" w:hAnsi="宋体" w:cs="宋体"/>
          <w:sz w:val="24"/>
          <w:szCs w:val="24"/>
        </w:rPr>
      </w:pPr>
      <w:r>
        <w:rPr>
          <w:rFonts w:ascii="宋体" w:hAnsi="宋体" w:cs="宋体"/>
          <w:sz w:val="24"/>
          <w:szCs w:val="24"/>
        </w:rPr>
      </w:r>
      <w:r/>
    </w:p>
    <w:p>
      <w:pPr>
        <w:rPr>
          <w:rFonts w:ascii="宋体" w:hAnsi="宋体" w:cs="宋体"/>
          <w:b/>
          <w:bCs/>
          <w:sz w:val="26"/>
          <w:szCs w:val="26"/>
        </w:rPr>
      </w:pPr>
      <w:r>
        <w:rPr>
          <w:rFonts w:hint="eastAsia" w:ascii="宋体" w:hAnsi="宋体" w:cs="宋体"/>
          <w:b/>
          <w:bCs/>
          <w:sz w:val="26"/>
          <w:szCs w:val="26"/>
        </w:rPr>
        <w:br w:type="page" w:clear="all"/>
      </w:r>
      <w:r/>
    </w:p>
    <w:p>
      <w:pPr>
        <w:pStyle w:val="705"/>
        <w:rPr>
          <w:rFonts w:cs="宋体"/>
        </w:rPr>
      </w:pPr>
      <w:r>
        <w:rPr>
          <w:rFonts w:hint="eastAsia" w:cs="宋体"/>
        </w:rPr>
        <w:t xml:space="preserve">  </w:t>
      </w:r>
      <w:bookmarkStart w:id="109" w:name="_Toc183091226"/>
      <w:r>
        <w:rPr>
          <w:rFonts w:hint="eastAsia" w:cs="宋体"/>
        </w:rPr>
        <w:t xml:space="preserve">投标文件格式及</w:t>
      </w:r>
      <w:r>
        <w:rPr>
          <w:rFonts w:cs="宋体"/>
        </w:rPr>
        <w:t xml:space="preserve">附件</w:t>
      </w:r>
      <w:bookmarkEnd w:id="109"/>
      <w:r/>
      <w:r/>
    </w:p>
    <w:p>
      <w:pPr>
        <w:pStyle w:val="707"/>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ascii="宋体" w:hAnsi="宋体" w:cs="宋体"/>
          <w:sz w:val="28"/>
          <w:szCs w:val="28"/>
        </w:rPr>
      </w:pPr>
      <w:r>
        <w:rPr>
          <w:rFonts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投标人：（加盖CA电子公章）</w:t>
      </w:r>
      <w:r/>
    </w:p>
    <w:p>
      <w:pPr>
        <w:jc w:val="center"/>
        <w:rPr>
          <w:rFonts w:eastAsia="黑体"/>
          <w:sz w:val="28"/>
          <w:szCs w:val="28"/>
        </w:rPr>
      </w:pPr>
      <w:r>
        <w:rPr>
          <w:rFonts w:hint="eastAsia" w:eastAsia="黑体" w:cs="黑体"/>
          <w:sz w:val="28"/>
          <w:szCs w:val="28"/>
        </w:rPr>
        <w:t xml:space="preserve">法定代表人或其委托代理人：（电子签章或签名）</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spacing w:line="440" w:lineRule="exact"/>
        <w:rPr>
          <w:rFonts w:ascii="宋体" w:hAnsi="宋体" w:cs="宋体"/>
        </w:rPr>
      </w:pPr>
      <w:r>
        <w:br w:type="page" w:clear="all"/>
      </w:r>
      <w:r>
        <w:rPr>
          <w:rFonts w:hint="eastAsia"/>
        </w:rPr>
        <w:t xml:space="preserve">                              </w:t>
      </w:r>
      <w:r>
        <w:rPr>
          <w:rFonts w:hint="eastAsia" w:ascii="宋体" w:hAnsi="宋体" w:cs="宋体"/>
          <w:b/>
          <w:bCs/>
        </w:rPr>
        <w:t xml:space="preserve">附件一、投标申请及声明格式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ascii="宋体" w:hAnsi="宋体" w:cs="宋体"/>
        </w:rPr>
      </w:pPr>
      <w:r>
        <w:rPr>
          <w:rFonts w:hint="eastAsia" w:ascii="宋体" w:hAnsi="宋体" w:cs="宋体"/>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开户银行：</w:t>
      </w:r>
      <w:r/>
    </w:p>
    <w:p>
      <w:pPr>
        <w:ind w:firstLine="420"/>
        <w:spacing w:line="400" w:lineRule="exact"/>
        <w:widowControl/>
        <w:rPr>
          <w:rFonts w:ascii="宋体" w:hAnsi="宋体" w:cs="宋体"/>
        </w:rPr>
      </w:pPr>
      <w:r>
        <w:rPr>
          <w:rFonts w:hint="eastAsia" w:ascii="宋体" w:hAnsi="宋体" w:cs="宋体"/>
        </w:rPr>
        <w:t xml:space="preserve">银行账号：</w:t>
      </w:r>
      <w:r/>
    </w:p>
    <w:p>
      <w:pPr>
        <w:ind w:firstLine="420"/>
        <w:spacing w:line="400" w:lineRule="exact"/>
        <w:widowControl/>
        <w:rPr>
          <w:rFonts w:ascii="宋体" w:hAnsi="宋体" w:cs="宋体"/>
        </w:rPr>
      </w:pPr>
      <w:r>
        <w:rPr>
          <w:rFonts w:hint="eastAsia" w:ascii="宋体" w:hAnsi="宋体" w:cs="宋体"/>
        </w:rPr>
        <w:t xml:space="preserve">投标人授权代表姓名（电子签章或签名）：</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（加盖CA电子公章）</w:t>
      </w:r>
      <w:r/>
    </w:p>
    <w:p>
      <w:pPr>
        <w:ind w:firstLine="420"/>
        <w:spacing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致：江苏省设备成套股份有限公司</w:t>
      </w:r>
      <w:r/>
    </w:p>
    <w:p>
      <w:pPr>
        <w:ind w:firstLine="420"/>
        <w:spacing w:line="360" w:lineRule="auto"/>
        <w:widowControl/>
        <w:rPr>
          <w:rFonts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ascii="宋体" w:hAnsi="宋体" w:cs="宋体"/>
        </w:rPr>
      </w:pPr>
      <w:r>
        <w:rPr>
          <w:rFonts w:hint="eastAsia" w:ascii="宋体" w:hAnsi="宋体" w:cs="宋体"/>
        </w:rPr>
        <w:t xml:space="preserve">    法定代表人（电子签章或签名）：</w:t>
      </w:r>
      <w:r/>
    </w:p>
    <w:p>
      <w:pPr>
        <w:ind w:firstLine="825"/>
        <w:jc w:val="left"/>
        <w:spacing w:line="360" w:lineRule="auto"/>
        <w:widowControl/>
        <w:rPr>
          <w:rFonts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（签名）：                   </w:t>
      </w:r>
      <w:r/>
    </w:p>
    <w:p>
      <w:pPr>
        <w:ind w:firstLine="840"/>
        <w:jc w:val="left"/>
        <w:spacing w:line="360" w:lineRule="auto"/>
        <w:widowControl/>
        <w:rPr>
          <w:rFonts w:ascii="宋体" w:hAnsi="宋体" w:cs="宋体"/>
        </w:rPr>
      </w:pPr>
      <w:r>
        <w:rPr>
          <w:rFonts w:hint="eastAsia" w:ascii="Arial" w:hAnsi="Arial" w:cs="Arial"/>
        </w:rPr>
        <w:t xml:space="preserve">供应商盖章（电子签章）：</w:t>
      </w:r>
      <w:r/>
    </w:p>
    <w:p>
      <w:pPr>
        <w:ind w:firstLine="840"/>
        <w:jc w:val="left"/>
        <w:spacing w:line="360" w:lineRule="auto"/>
        <w:widowControl/>
        <w:rPr>
          <w:rFonts w:ascii="宋体" w:hAnsi="宋体" w:cs="宋体"/>
        </w:rPr>
      </w:pPr>
      <w:r>
        <w:rPr>
          <w:rFonts w:hint="eastAsia" w:ascii="宋体" w:hAnsi="宋体" w:cs="宋体"/>
        </w:rPr>
        <w:t xml:space="preserve">日     期：        年    月    日</w:t>
      </w:r>
      <w:r/>
    </w:p>
    <w:p>
      <w:pPr>
        <w:ind w:firstLine="840"/>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spacing w:line="360" w:lineRule="auto"/>
        <w:rPr>
          <w:rFonts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ascii="宋体" w:hAnsi="宋体" w:cs="宋体"/>
          <w:sz w:val="24"/>
        </w:rPr>
      </w:pPr>
      <w:r>
        <w:rPr>
          <w:rFonts w:ascii="宋体" w:hAnsi="宋体" w:cs="宋体"/>
          <w:sz w:val="24"/>
        </w:rPr>
      </w:r>
      <w:r/>
    </w:p>
    <w:p>
      <w:pPr>
        <w:pStyle w:val="716"/>
        <w:ind w:firstLine="474"/>
        <w:spacing w:line="440" w:lineRule="exact"/>
        <w:rPr>
          <w:rFonts w:ascii="宋体" w:hAnsi="宋体" w:cs="宋体"/>
          <w:sz w:val="21"/>
          <w:szCs w:val="21"/>
        </w:rPr>
      </w:pPr>
      <w:r>
        <w:rPr>
          <w:rFonts w:hint="eastAsia" w:ascii="宋体" w:hAnsi="宋体" w:cs="宋体"/>
          <w:sz w:val="21"/>
          <w:szCs w:val="21"/>
        </w:rPr>
        <w:t xml:space="preserve">项目名称：                                         项目编号：</w:t>
      </w:r>
      <w:r/>
    </w:p>
    <w:tbl>
      <w:tblPr>
        <w:tblStyle w:val="71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6"/>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6"/>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6"/>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6"/>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6"/>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6"/>
              <w:ind w:firstLine="0"/>
              <w:spacing w:line="440" w:lineRule="exact"/>
              <w:rPr>
                <w:sz w:val="21"/>
                <w:szCs w:val="21"/>
              </w:rPr>
            </w:pPr>
            <w:r>
              <w:rPr>
                <w:sz w:val="21"/>
                <w:szCs w:val="21"/>
              </w:rPr>
              <w:t xml:space="preserve">小写：人民币              </w:t>
            </w:r>
            <w:r/>
          </w:p>
          <w:p>
            <w:pPr>
              <w:pStyle w:val="716"/>
              <w:ind w:firstLine="474"/>
              <w:spacing w:line="440" w:lineRule="exact"/>
              <w:rPr>
                <w:sz w:val="21"/>
                <w:szCs w:val="21"/>
              </w:rPr>
            </w:pPr>
            <w:r>
              <w:rPr>
                <w:sz w:val="21"/>
                <w:szCs w:val="21"/>
              </w:rPr>
            </w:r>
            <w:r/>
          </w:p>
          <w:p>
            <w:pPr>
              <w:pStyle w:val="716"/>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6"/>
              <w:ind w:firstLine="0"/>
              <w:spacing w:line="440" w:lineRule="exact"/>
              <w:rPr>
                <w:sz w:val="21"/>
                <w:szCs w:val="21"/>
              </w:rPr>
            </w:pPr>
            <w:r>
              <w:rPr>
                <w:sz w:val="21"/>
                <w:szCs w:val="21"/>
              </w:rPr>
            </w:r>
            <w:r/>
          </w:p>
          <w:p>
            <w:pPr>
              <w:pStyle w:val="716"/>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6"/>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6"/>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6"/>
              <w:ind w:firstLine="474"/>
              <w:spacing w:line="440" w:lineRule="exact"/>
              <w:rPr>
                <w:sz w:val="21"/>
                <w:szCs w:val="21"/>
              </w:rPr>
            </w:pPr>
            <w:r>
              <w:rPr>
                <w:sz w:val="21"/>
                <w:szCs w:val="21"/>
              </w:rPr>
            </w:r>
            <w:r/>
          </w:p>
          <w:p>
            <w:pPr>
              <w:pStyle w:val="716"/>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b/>
          <w:bCs/>
        </w:rPr>
      </w:pPr>
      <w:r>
        <w:rPr>
          <w:rFonts w:hint="eastAsia" w:ascii="宋体" w:hAnsi="宋体" w:cs="宋体"/>
          <w:b/>
          <w:bCs/>
        </w:rPr>
        <w:t xml:space="preserve">说明：</w:t>
      </w:r>
      <w:r/>
    </w:p>
    <w:p>
      <w:pPr>
        <w:numPr>
          <w:ilvl w:val="0"/>
          <w:numId w:val="4"/>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4"/>
        </w:numPr>
        <w:ind w:firstLine="422"/>
        <w:jc w:val="left"/>
        <w:spacing w:line="360" w:lineRule="auto"/>
        <w:widowControl/>
        <w:rPr>
          <w:rFonts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76"/>
        <w:ind w:firstLine="211"/>
        <w:rPr>
          <w:rFonts w:ascii="宋体" w:hAnsi="宋体" w:cs="宋体"/>
          <w:b/>
          <w:bCs/>
          <w:lang w:val="zh-CN"/>
        </w:rPr>
      </w:pPr>
      <w:r>
        <w:rPr>
          <w:b/>
          <w:sz w:val="21"/>
        </w:rPr>
        <w:br w:type="page" w:clear="all"/>
      </w:r>
      <w:r>
        <w:rPr>
          <w:rFonts w:hint="eastAsia" w:ascii="宋体" w:hAnsi="宋体" w:cs="宋体"/>
          <w:b/>
          <w:bCs/>
          <w:lang w:val="zh-CN"/>
        </w:rPr>
        <w:t xml:space="preserve">附表——分项报价表格式（格式自拟）</w:t>
      </w:r>
      <w:r/>
    </w:p>
    <w:p>
      <w:pPr>
        <w:jc w:val="left"/>
        <w:spacing w:line="240" w:lineRule="atLeast"/>
        <w:widowControl/>
        <w:rPr>
          <w:rFonts w:ascii="宋体" w:hAnsi="宋体" w:cs="宋体"/>
          <w:b/>
          <w:bCs/>
          <w:lang w:val="zh-CN"/>
        </w:rPr>
      </w:pPr>
      <w:r>
        <w:rPr>
          <w:rFonts w:ascii="宋体" w:hAnsi="宋体" w:cs="宋体"/>
          <w:b/>
          <w:bCs/>
          <w:lang w:val="zh-CN"/>
        </w:rPr>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ascii="宋体" w:hAnsi="宋体" w:cs="宋体"/>
        </w:rPr>
      </w:pPr>
      <w:r>
        <w:rPr>
          <w:rFonts w:ascii="宋体" w:hAnsi="宋体" w:cs="宋体"/>
        </w:rPr>
      </w:r>
      <w:r/>
    </w:p>
    <w:p>
      <w:pPr>
        <w:ind w:left="360"/>
        <w:rPr>
          <w:rFonts w:ascii="仿宋" w:hAnsi="仿宋" w:eastAsia="仿宋"/>
          <w:b/>
          <w:sz w:val="24"/>
          <w:szCs w:val="24"/>
        </w:rPr>
      </w:pPr>
      <w:r>
        <w:rPr>
          <w:rFonts w:ascii="仿宋" w:hAnsi="仿宋" w:eastAsia="仿宋"/>
          <w:b/>
          <w:sz w:val="24"/>
          <w:szCs w:val="24"/>
        </w:rPr>
      </w:r>
      <w:r/>
    </w:p>
    <w:tbl>
      <w:tblPr>
        <w:tblStyle w:val="71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1517"/>
        <w:gridCol w:w="771"/>
        <w:gridCol w:w="1052"/>
        <w:gridCol w:w="1052"/>
        <w:gridCol w:w="1054"/>
        <w:gridCol w:w="2566"/>
      </w:tblGrid>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序号</w:t>
            </w:r>
            <w:r/>
          </w:p>
        </w:tc>
        <w:tc>
          <w:tcPr>
            <w:tcW w:w="891"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服务内容</w:t>
            </w:r>
            <w:r/>
          </w:p>
        </w:tc>
        <w:tc>
          <w:tcPr>
            <w:tcW w:w="453"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单位</w:t>
            </w:r>
            <w:r/>
          </w:p>
        </w:tc>
        <w:tc>
          <w:tcPr>
            <w:tcW w:w="618"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数量</w:t>
            </w:r>
            <w:r/>
          </w:p>
        </w:tc>
        <w:tc>
          <w:tcPr>
            <w:tcW w:w="618"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单价</w:t>
            </w:r>
            <w:r/>
          </w:p>
        </w:tc>
        <w:tc>
          <w:tcPr>
            <w:tcW w:w="619"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小计</w:t>
            </w:r>
            <w:r/>
          </w:p>
        </w:tc>
        <w:tc>
          <w:tcPr>
            <w:tcW w:w="1505"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cs="Courier New"/>
                <w:sz w:val="24"/>
                <w:szCs w:val="24"/>
              </w:rPr>
              <w:t xml:space="preserve">备注</w:t>
            </w:r>
            <w:r/>
          </w:p>
          <w:p>
            <w:pPr>
              <w:pStyle w:val="958"/>
              <w:jc w:val="center"/>
              <w:rPr>
                <w:rFonts w:ascii="仿宋" w:hAnsi="仿宋" w:eastAsia="仿宋" w:cs="Courier New"/>
                <w:sz w:val="24"/>
                <w:szCs w:val="24"/>
              </w:rPr>
            </w:pPr>
            <w:r>
              <w:rPr>
                <w:rFonts w:ascii="仿宋" w:hAnsi="仿宋" w:eastAsia="仿宋" w:cs="Courier New"/>
                <w:sz w:val="24"/>
                <w:szCs w:val="24"/>
              </w:rPr>
              <w:t xml:space="preserve">(</w:t>
            </w:r>
            <w:r>
              <w:rPr>
                <w:rFonts w:hint="eastAsia" w:ascii="仿宋" w:hAnsi="仿宋" w:eastAsia="仿宋" w:cs="Courier New"/>
                <w:sz w:val="24"/>
                <w:szCs w:val="24"/>
              </w:rPr>
              <w:t xml:space="preserve">收费依据、收费标准等</w:t>
            </w:r>
            <w:r>
              <w:rPr>
                <w:rFonts w:ascii="仿宋" w:hAnsi="仿宋" w:eastAsia="仿宋" w:cs="Courier New"/>
                <w:sz w:val="24"/>
                <w:szCs w:val="24"/>
              </w:rPr>
              <w:t xml:space="preserve">)</w:t>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1</w:t>
            </w:r>
            <w:r/>
          </w:p>
        </w:tc>
        <w:tc>
          <w:tcPr>
            <w:tcW w:w="1755" w:type="dxa"/>
            <w:vAlign w:val="center"/>
            <w:textDirection w:val="lrTb"/>
            <w:noWrap w:val="false"/>
          </w:tcPr>
          <w:p>
            <w:pPr>
              <w:jc w:val="center"/>
              <w:widowControl/>
              <w:rPr>
                <w:rFonts w:ascii="仿宋" w:hAnsi="仿宋" w:eastAsia="仿宋" w:cs="Courier New"/>
                <w:sz w:val="24"/>
                <w:szCs w:val="24"/>
              </w:rPr>
            </w:pPr>
            <w:r>
              <w:rPr>
                <w:lang w:bidi="ar"/>
              </w:rPr>
              <w:t xml:space="preserve">1∶25000磁法测量</w:t>
            </w:r>
            <w:r/>
          </w:p>
        </w:tc>
        <w:tc>
          <w:tcPr>
            <w:tcW w:w="892" w:type="dxa"/>
            <w:vAlign w:val="center"/>
            <w:textDirection w:val="lrTb"/>
            <w:noWrap w:val="false"/>
          </w:tcPr>
          <w:p>
            <w:pPr>
              <w:jc w:val="center"/>
              <w:widowControl/>
              <w:rPr>
                <w:rFonts w:hAnsi="仿宋" w:eastAsia="仿宋"/>
                <w:sz w:val="24"/>
                <w:szCs w:val="24"/>
              </w:rPr>
            </w:pPr>
            <w:r>
              <w:rPr>
                <w:lang w:bidi="ar"/>
              </w:rPr>
              <w:t xml:space="preserve">km</w:t>
            </w:r>
            <w:r>
              <w:rPr>
                <w:vertAlign w:val="superscript"/>
                <w:lang w:bidi="ar"/>
              </w:rPr>
              <w:t xml:space="preserve">2</w:t>
            </w:r>
            <w:r/>
          </w:p>
        </w:tc>
        <w:tc>
          <w:tcPr>
            <w:tcW w:w="1217" w:type="dxa"/>
            <w:vAlign w:val="center"/>
            <w:textDirection w:val="lrTb"/>
            <w:noWrap w:val="false"/>
          </w:tcPr>
          <w:p>
            <w:pPr>
              <w:jc w:val="center"/>
              <w:widowControl/>
              <w:rPr>
                <w:rFonts w:hAnsi="仿宋" w:eastAsia="仿宋"/>
                <w:sz w:val="24"/>
                <w:szCs w:val="24"/>
              </w:rPr>
            </w:pPr>
            <w:r>
              <w:rPr>
                <w:lang w:bidi="ar"/>
              </w:rPr>
              <w:t xml:space="preserve">240</w:t>
            </w:r>
            <w:r/>
          </w:p>
        </w:tc>
        <w:tc>
          <w:tcPr>
            <w:tcW w:w="618" w:type="pct"/>
            <w:vAlign w:val="center"/>
            <w:textDirection w:val="lrTb"/>
            <w:noWrap w:val="false"/>
          </w:tcPr>
          <w:p>
            <w:pPr>
              <w:ind w:firstLine="480"/>
              <w:spacing w:line="360" w:lineRule="auto"/>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2</w:t>
            </w:r>
            <w:r/>
          </w:p>
        </w:tc>
        <w:tc>
          <w:tcPr>
            <w:tcW w:w="1755" w:type="dxa"/>
            <w:vAlign w:val="center"/>
            <w:textDirection w:val="lrTb"/>
            <w:noWrap w:val="false"/>
          </w:tcPr>
          <w:p>
            <w:pPr>
              <w:jc w:val="center"/>
              <w:widowControl/>
              <w:rPr>
                <w:rFonts w:ascii="仿宋" w:hAnsi="仿宋" w:eastAsia="仿宋" w:cs="Courier New"/>
                <w:sz w:val="24"/>
                <w:szCs w:val="24"/>
              </w:rPr>
            </w:pPr>
            <w:r>
              <w:rPr>
                <w:lang w:bidi="ar"/>
              </w:rPr>
              <w:t xml:space="preserve">1∶10000磁法剖面测量</w:t>
            </w:r>
            <w:r/>
          </w:p>
        </w:tc>
        <w:tc>
          <w:tcPr>
            <w:tcW w:w="892" w:type="dxa"/>
            <w:vAlign w:val="center"/>
            <w:textDirection w:val="lrTb"/>
            <w:noWrap w:val="false"/>
          </w:tcPr>
          <w:p>
            <w:pPr>
              <w:jc w:val="center"/>
              <w:widowControl/>
              <w:rPr>
                <w:rFonts w:hAnsi="仿宋" w:eastAsia="仿宋"/>
                <w:sz w:val="24"/>
                <w:szCs w:val="24"/>
              </w:rPr>
            </w:pPr>
            <w:r>
              <w:rPr>
                <w:lang w:bidi="ar"/>
              </w:rPr>
              <w:t xml:space="preserve">km</w:t>
            </w:r>
            <w:r/>
          </w:p>
        </w:tc>
        <w:tc>
          <w:tcPr>
            <w:tcW w:w="1217" w:type="dxa"/>
            <w:vAlign w:val="center"/>
            <w:textDirection w:val="lrTb"/>
            <w:noWrap w:val="false"/>
          </w:tcPr>
          <w:p>
            <w:pPr>
              <w:jc w:val="center"/>
              <w:widowControl/>
              <w:rPr>
                <w:rFonts w:hAnsi="仿宋" w:eastAsia="仿宋"/>
                <w:sz w:val="24"/>
                <w:szCs w:val="24"/>
              </w:rPr>
            </w:pPr>
            <w:r>
              <w:rPr>
                <w:lang w:bidi="ar"/>
              </w:rPr>
              <w:t xml:space="preserve">2</w:t>
            </w:r>
            <w:r/>
          </w:p>
        </w:tc>
        <w:tc>
          <w:tcPr>
            <w:tcW w:w="618" w:type="pct"/>
            <w:vAlign w:val="center"/>
            <w:textDirection w:val="lrTb"/>
            <w:noWrap w:val="false"/>
          </w:tcPr>
          <w:p>
            <w:pPr>
              <w:pStyle w:val="958"/>
              <w:jc w:val="center"/>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3</w:t>
            </w:r>
            <w:r/>
          </w:p>
        </w:tc>
        <w:tc>
          <w:tcPr>
            <w:tcW w:w="1755" w:type="dxa"/>
            <w:vAlign w:val="center"/>
            <w:textDirection w:val="lrTb"/>
            <w:noWrap w:val="false"/>
          </w:tcPr>
          <w:p>
            <w:pPr>
              <w:jc w:val="center"/>
              <w:widowControl/>
              <w:rPr>
                <w:rFonts w:ascii="仿宋" w:hAnsi="仿宋" w:eastAsia="仿宋" w:cs="Courier New"/>
                <w:sz w:val="24"/>
                <w:szCs w:val="24"/>
              </w:rPr>
            </w:pPr>
            <w:r>
              <w:rPr>
                <w:lang w:bidi="ar"/>
              </w:rPr>
              <w:t xml:space="preserve">1∶25000重力测量</w:t>
            </w:r>
            <w:r/>
          </w:p>
        </w:tc>
        <w:tc>
          <w:tcPr>
            <w:tcW w:w="892" w:type="dxa"/>
            <w:vAlign w:val="center"/>
            <w:textDirection w:val="lrTb"/>
            <w:noWrap w:val="false"/>
          </w:tcPr>
          <w:p>
            <w:pPr>
              <w:jc w:val="center"/>
              <w:widowControl/>
              <w:rPr>
                <w:rFonts w:hAnsi="仿宋" w:eastAsia="仿宋"/>
                <w:sz w:val="24"/>
                <w:szCs w:val="24"/>
              </w:rPr>
            </w:pPr>
            <w:r>
              <w:rPr>
                <w:lang w:bidi="ar"/>
              </w:rPr>
              <w:t xml:space="preserve">km</w:t>
            </w:r>
            <w:r>
              <w:rPr>
                <w:vertAlign w:val="superscript"/>
                <w:lang w:bidi="ar"/>
              </w:rPr>
              <w:t xml:space="preserve">2</w:t>
            </w:r>
            <w:r/>
          </w:p>
        </w:tc>
        <w:tc>
          <w:tcPr>
            <w:tcW w:w="1217" w:type="dxa"/>
            <w:vAlign w:val="center"/>
            <w:textDirection w:val="lrTb"/>
            <w:noWrap w:val="false"/>
          </w:tcPr>
          <w:p>
            <w:pPr>
              <w:jc w:val="center"/>
              <w:widowControl/>
              <w:rPr>
                <w:rFonts w:hAnsi="仿宋" w:eastAsia="仿宋"/>
                <w:sz w:val="24"/>
                <w:szCs w:val="24"/>
              </w:rPr>
            </w:pPr>
            <w:r>
              <w:rPr>
                <w:lang w:bidi="ar"/>
              </w:rPr>
              <w:t xml:space="preserve">240</w:t>
            </w:r>
            <w:r/>
          </w:p>
        </w:tc>
        <w:tc>
          <w:tcPr>
            <w:tcW w:w="618" w:type="pct"/>
            <w:vAlign w:val="center"/>
            <w:textDirection w:val="lrTb"/>
            <w:noWrap w:val="false"/>
          </w:tcPr>
          <w:p>
            <w:pPr>
              <w:pStyle w:val="958"/>
              <w:jc w:val="center"/>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4</w:t>
            </w:r>
            <w:r/>
          </w:p>
        </w:tc>
        <w:tc>
          <w:tcPr>
            <w:tcW w:w="1755" w:type="dxa"/>
            <w:vAlign w:val="center"/>
            <w:textDirection w:val="lrTb"/>
            <w:noWrap w:val="false"/>
          </w:tcPr>
          <w:p>
            <w:pPr>
              <w:jc w:val="center"/>
              <w:widowControl/>
              <w:rPr>
                <w:rFonts w:ascii="仿宋" w:hAnsi="仿宋" w:eastAsia="仿宋" w:cs="Courier New"/>
                <w:sz w:val="24"/>
                <w:szCs w:val="24"/>
              </w:rPr>
            </w:pPr>
            <w:r>
              <w:rPr>
                <w:lang w:bidi="ar"/>
              </w:rPr>
              <w:t xml:space="preserve">1∶10000重力剖面测量</w:t>
            </w:r>
            <w:r/>
          </w:p>
        </w:tc>
        <w:tc>
          <w:tcPr>
            <w:tcW w:w="892" w:type="dxa"/>
            <w:vAlign w:val="center"/>
            <w:textDirection w:val="lrTb"/>
            <w:noWrap w:val="false"/>
          </w:tcPr>
          <w:p>
            <w:pPr>
              <w:jc w:val="center"/>
              <w:widowControl/>
              <w:rPr>
                <w:rFonts w:hAnsi="仿宋" w:eastAsia="仿宋"/>
                <w:sz w:val="24"/>
                <w:szCs w:val="24"/>
              </w:rPr>
            </w:pPr>
            <w:r>
              <w:rPr>
                <w:lang w:bidi="ar"/>
              </w:rPr>
              <w:t xml:space="preserve">km</w:t>
            </w:r>
            <w:r/>
          </w:p>
        </w:tc>
        <w:tc>
          <w:tcPr>
            <w:tcW w:w="1217" w:type="dxa"/>
            <w:vAlign w:val="center"/>
            <w:textDirection w:val="lrTb"/>
            <w:noWrap w:val="false"/>
          </w:tcPr>
          <w:p>
            <w:pPr>
              <w:jc w:val="center"/>
              <w:widowControl/>
              <w:rPr>
                <w:rFonts w:hAnsi="仿宋" w:eastAsia="仿宋"/>
                <w:sz w:val="24"/>
                <w:szCs w:val="24"/>
              </w:rPr>
            </w:pPr>
            <w:r>
              <w:rPr>
                <w:lang w:bidi="ar"/>
              </w:rPr>
              <w:t xml:space="preserve">4</w:t>
            </w:r>
            <w:r/>
          </w:p>
        </w:tc>
        <w:tc>
          <w:tcPr>
            <w:tcW w:w="618" w:type="pct"/>
            <w:vAlign w:val="center"/>
            <w:textDirection w:val="lrTb"/>
            <w:noWrap w:val="false"/>
          </w:tcPr>
          <w:p>
            <w:pPr>
              <w:pStyle w:val="958"/>
              <w:jc w:val="center"/>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5</w:t>
            </w:r>
            <w:r/>
          </w:p>
        </w:tc>
        <w:tc>
          <w:tcPr>
            <w:tcW w:w="891"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453" w:type="pct"/>
            <w:vAlign w:val="center"/>
            <w:textDirection w:val="lrTb"/>
            <w:noWrap w:val="false"/>
          </w:tcPr>
          <w:p>
            <w:pPr>
              <w:jc w:val="center"/>
              <w:rPr>
                <w:rFonts w:hAnsi="仿宋" w:eastAsia="仿宋"/>
                <w:sz w:val="24"/>
                <w:szCs w:val="24"/>
              </w:rPr>
            </w:pPr>
            <w:r>
              <w:rPr>
                <w:rFonts w:hAnsi="仿宋" w:eastAsia="仿宋"/>
                <w:sz w:val="24"/>
                <w:szCs w:val="24"/>
              </w:rPr>
            </w:r>
            <w:r/>
          </w:p>
        </w:tc>
        <w:tc>
          <w:tcPr>
            <w:tcW w:w="618" w:type="pct"/>
            <w:vAlign w:val="center"/>
            <w:textDirection w:val="lrTb"/>
            <w:noWrap w:val="false"/>
          </w:tcPr>
          <w:p>
            <w:pPr>
              <w:jc w:val="center"/>
              <w:rPr>
                <w:rFonts w:hAnsi="仿宋" w:eastAsia="仿宋"/>
                <w:sz w:val="24"/>
                <w:szCs w:val="24"/>
              </w:rPr>
            </w:pPr>
            <w:r>
              <w:rPr>
                <w:rFonts w:hAnsi="仿宋" w:eastAsia="仿宋"/>
                <w:sz w:val="24"/>
                <w:szCs w:val="24"/>
              </w:rPr>
            </w:r>
            <w:r/>
          </w:p>
        </w:tc>
        <w:tc>
          <w:tcPr>
            <w:tcW w:w="618" w:type="pct"/>
            <w:vAlign w:val="center"/>
            <w:textDirection w:val="lrTb"/>
            <w:noWrap w:val="false"/>
          </w:tcPr>
          <w:p>
            <w:pPr>
              <w:pStyle w:val="958"/>
              <w:jc w:val="center"/>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6</w:t>
            </w:r>
            <w:r/>
          </w:p>
        </w:tc>
        <w:tc>
          <w:tcPr>
            <w:tcW w:w="891"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453" w:type="pct"/>
            <w:vAlign w:val="center"/>
            <w:textDirection w:val="lrTb"/>
            <w:noWrap w:val="false"/>
          </w:tcPr>
          <w:p>
            <w:pPr>
              <w:jc w:val="center"/>
              <w:rPr>
                <w:rFonts w:hAnsi="仿宋" w:eastAsia="仿宋"/>
                <w:sz w:val="24"/>
                <w:szCs w:val="24"/>
              </w:rPr>
            </w:pPr>
            <w:r>
              <w:rPr>
                <w:rFonts w:hAnsi="仿宋" w:eastAsia="仿宋"/>
                <w:sz w:val="24"/>
                <w:szCs w:val="24"/>
              </w:rPr>
            </w:r>
            <w:r/>
          </w:p>
        </w:tc>
        <w:tc>
          <w:tcPr>
            <w:tcW w:w="618" w:type="pct"/>
            <w:vAlign w:val="center"/>
            <w:textDirection w:val="lrTb"/>
            <w:noWrap w:val="false"/>
          </w:tcPr>
          <w:p>
            <w:pPr>
              <w:jc w:val="center"/>
              <w:rPr>
                <w:rFonts w:hAnsi="仿宋" w:eastAsia="仿宋"/>
                <w:sz w:val="24"/>
                <w:szCs w:val="24"/>
              </w:rPr>
            </w:pPr>
            <w:r>
              <w:rPr>
                <w:rFonts w:hAnsi="仿宋" w:eastAsia="仿宋"/>
                <w:sz w:val="24"/>
                <w:szCs w:val="24"/>
              </w:rPr>
            </w:r>
            <w:r/>
          </w:p>
        </w:tc>
        <w:tc>
          <w:tcPr>
            <w:tcW w:w="618" w:type="pct"/>
            <w:vAlign w:val="center"/>
            <w:textDirection w:val="lrTb"/>
            <w:noWrap w:val="false"/>
          </w:tcPr>
          <w:p>
            <w:pPr>
              <w:pStyle w:val="958"/>
              <w:jc w:val="center"/>
              <w:rPr>
                <w:rFonts w:hAnsi="仿宋" w:eastAsia="仿宋"/>
                <w:sz w:val="24"/>
                <w:szCs w:val="24"/>
              </w:rPr>
            </w:pPr>
            <w:r>
              <w:rPr>
                <w:rFonts w:hAnsi="仿宋" w:eastAsia="仿宋"/>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7</w:t>
            </w:r>
            <w:r/>
          </w:p>
        </w:tc>
        <w:tc>
          <w:tcPr>
            <w:tcW w:w="891"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453"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8"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8"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r>
      <w:tr>
        <w:trPr>
          <w:jc w:val="center"/>
        </w:trPr>
        <w:tc>
          <w:tcPr>
            <w:tcW w:w="294"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t xml:space="preserve">8</w:t>
            </w:r>
            <w:r/>
          </w:p>
        </w:tc>
        <w:tc>
          <w:tcPr>
            <w:tcW w:w="891"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453"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8"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8"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619" w:type="pct"/>
            <w:vAlign w:val="center"/>
            <w:textDirection w:val="lrTb"/>
            <w:noWrap w:val="false"/>
          </w:tcPr>
          <w:p>
            <w:pPr>
              <w:pStyle w:val="958"/>
              <w:jc w:val="center"/>
              <w:rPr>
                <w:rFonts w:ascii="仿宋" w:hAnsi="仿宋" w:eastAsia="仿宋" w:cs="Courier New"/>
                <w:sz w:val="24"/>
                <w:szCs w:val="24"/>
              </w:rPr>
            </w:pPr>
            <w:r>
              <w:rPr>
                <w:rFonts w:ascii="仿宋" w:hAnsi="仿宋" w:eastAsia="仿宋" w:cs="Courier New"/>
                <w:sz w:val="24"/>
                <w:szCs w:val="24"/>
              </w:rPr>
            </w:r>
            <w:r/>
          </w:p>
        </w:tc>
        <w:tc>
          <w:tcPr>
            <w:tcW w:w="1505" w:type="pct"/>
            <w:vAlign w:val="center"/>
            <w:textDirection w:val="lrTb"/>
            <w:noWrap w:val="false"/>
          </w:tcPr>
          <w:p>
            <w:pPr>
              <w:pStyle w:val="958"/>
              <w:jc w:val="center"/>
              <w:rPr>
                <w:rFonts w:ascii="仿宋" w:hAnsi="仿宋" w:eastAsia="仿宋" w:cs="MingLiU_HKSCS"/>
                <w:sz w:val="24"/>
                <w:szCs w:val="24"/>
              </w:rPr>
            </w:pPr>
            <w:r>
              <w:rPr>
                <w:rFonts w:ascii="仿宋" w:hAnsi="仿宋" w:eastAsia="仿宋" w:cs="MingLiU_HKSCS"/>
                <w:sz w:val="24"/>
                <w:szCs w:val="24"/>
              </w:rPr>
            </w:r>
            <w:r/>
          </w:p>
        </w:tc>
      </w:tr>
      <w:tr>
        <w:trPr>
          <w:jc w:val="center"/>
        </w:trPr>
        <w:tc>
          <w:tcPr>
            <w:gridSpan w:val="2"/>
            <w:tcW w:w="1185" w:type="pct"/>
            <w:vAlign w:val="center"/>
            <w:textDirection w:val="lrTb"/>
            <w:noWrap w:val="false"/>
          </w:tcPr>
          <w:p>
            <w:pPr>
              <w:pStyle w:val="958"/>
              <w:jc w:val="center"/>
              <w:rPr>
                <w:rFonts w:ascii="仿宋" w:hAnsi="仿宋" w:eastAsia="仿宋" w:cs="Courier New"/>
                <w:sz w:val="24"/>
                <w:szCs w:val="24"/>
              </w:rPr>
            </w:pPr>
            <w:r>
              <w:rPr>
                <w:rFonts w:hint="eastAsia" w:ascii="仿宋" w:hAnsi="仿宋" w:eastAsia="仿宋"/>
                <w:b/>
                <w:bCs/>
                <w:sz w:val="24"/>
                <w:szCs w:val="24"/>
              </w:rPr>
              <w:t xml:space="preserve">投标报价总计</w:t>
            </w:r>
            <w:r/>
          </w:p>
        </w:tc>
        <w:tc>
          <w:tcPr>
            <w:gridSpan w:val="5"/>
            <w:tcW w:w="3814" w:type="pct"/>
            <w:vAlign w:val="center"/>
            <w:textDirection w:val="lrTb"/>
            <w:noWrap w:val="false"/>
          </w:tcPr>
          <w:p>
            <w:pPr>
              <w:pStyle w:val="958"/>
              <w:jc w:val="left"/>
              <w:rPr>
                <w:rFonts w:ascii="仿宋" w:hAnsi="仿宋" w:eastAsia="仿宋" w:cs="Courier New"/>
                <w:sz w:val="24"/>
                <w:szCs w:val="24"/>
              </w:rPr>
            </w:pPr>
            <w:r>
              <w:rPr>
                <w:rFonts w:hint="eastAsia" w:ascii="仿宋" w:hAnsi="仿宋" w:eastAsia="仿宋" w:cs="Courier New"/>
                <w:sz w:val="24"/>
                <w:szCs w:val="24"/>
              </w:rPr>
              <w:t xml:space="preserve">大写：人民币</w:t>
            </w:r>
            <w:r>
              <w:rPr>
                <w:rFonts w:ascii="仿宋" w:hAnsi="仿宋" w:eastAsia="仿宋" w:cs="Courier New"/>
                <w:sz w:val="24"/>
                <w:szCs w:val="24"/>
              </w:rPr>
              <w:t xml:space="preserve">____________________</w:t>
            </w:r>
            <w:r>
              <w:rPr>
                <w:rFonts w:hint="eastAsia" w:ascii="仿宋" w:hAnsi="仿宋" w:eastAsia="仿宋" w:cs="Courier New"/>
                <w:sz w:val="24"/>
                <w:szCs w:val="24"/>
              </w:rPr>
              <w:t xml:space="preserve">元</w:t>
            </w:r>
            <w:r/>
          </w:p>
          <w:p>
            <w:pPr>
              <w:pStyle w:val="958"/>
              <w:jc w:val="left"/>
              <w:rPr>
                <w:rFonts w:ascii="仿宋" w:hAnsi="仿宋" w:eastAsia="仿宋" w:cs="Courier New"/>
                <w:sz w:val="24"/>
                <w:szCs w:val="24"/>
              </w:rPr>
            </w:pPr>
            <w:r>
              <w:rPr>
                <w:rFonts w:hint="eastAsia" w:ascii="仿宋" w:hAnsi="仿宋" w:eastAsia="仿宋" w:cs="Courier New"/>
                <w:sz w:val="24"/>
                <w:szCs w:val="24"/>
              </w:rPr>
              <w:t xml:space="preserve">小写：￥</w:t>
            </w:r>
            <w:r>
              <w:rPr>
                <w:rFonts w:ascii="仿宋" w:hAnsi="仿宋" w:eastAsia="仿宋" w:cs="Courier New"/>
                <w:sz w:val="24"/>
                <w:szCs w:val="24"/>
              </w:rPr>
              <w:t xml:space="preserve">____________________</w:t>
            </w:r>
            <w:r/>
          </w:p>
        </w:tc>
      </w:tr>
    </w:tbl>
    <w:p>
      <w:pPr>
        <w:ind w:firstLine="420"/>
        <w:jc w:val="left"/>
        <w:spacing w:after="160" w:line="360" w:lineRule="auto"/>
        <w:rPr>
          <w:rFonts w:ascii="宋体" w:hAnsi="宋体" w:cs="宋体"/>
          <w:highlight w:val="yellow"/>
        </w:rPr>
      </w:pPr>
      <w:r>
        <w:rPr>
          <w:rFonts w:ascii="宋体" w:hAnsi="宋体" w:cs="宋体"/>
          <w:highlight w:val="yellow"/>
        </w:rPr>
      </w:r>
      <w:r/>
    </w:p>
    <w:p>
      <w:pPr>
        <w:pStyle w:val="752"/>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 </w:t>
      </w:r>
      <w:r/>
    </w:p>
    <w:p>
      <w:pPr>
        <w:jc w:val="left"/>
        <w:widowControl/>
        <w:rPr>
          <w:rFonts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投标单位（电子签章）：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法定代表人或授权代表（电子签章或签名）：</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日期：年月日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ascii="宋体" w:hAnsi="宋体" w:cs="宋体"/>
        </w:rPr>
      </w:r>
      <w:r/>
    </w:p>
    <w:p>
      <w:pPr>
        <w:spacing w:line="360" w:lineRule="auto"/>
        <w:widowControl/>
        <w:rPr>
          <w:b/>
          <w:szCs w:val="20"/>
        </w:rPr>
      </w:pPr>
      <w:r>
        <w:rPr>
          <w:rFonts w:hint="eastAsia" w:ascii="宋体" w:hAnsi="宋体" w:cs="宋体"/>
          <w:b/>
          <w:bCs/>
        </w:rPr>
        <w:br w:type="page" w:clear="all"/>
      </w:r>
      <w:bookmarkStart w:id="110" w:name="_Toc504044386"/>
      <w:r/>
      <w:bookmarkStart w:id="111" w:name="_Toc490133034"/>
      <w:r/>
      <w:bookmarkStart w:id="112" w:name="_Toc534273806"/>
      <w:r/>
      <w:bookmarkStart w:id="113" w:name="_Toc534273683"/>
      <w:r/>
      <w:bookmarkStart w:id="114" w:name="_Toc504056874"/>
      <w:r/>
      <w:bookmarkStart w:id="115" w:name="_Toc504573089"/>
      <w:r>
        <w:rPr>
          <w:b/>
          <w:szCs w:val="20"/>
        </w:rPr>
        <w:t xml:space="preserve">附件</w:t>
      </w:r>
      <w:r>
        <w:rPr>
          <w:rFonts w:hint="eastAsia"/>
          <w:b/>
          <w:szCs w:val="20"/>
        </w:rPr>
        <w:t xml:space="preserve">六</w:t>
      </w:r>
      <w:r>
        <w:rPr>
          <w:b/>
          <w:szCs w:val="20"/>
        </w:rPr>
        <w:t xml:space="preserve">、拟参与本项目人员一览表</w:t>
      </w:r>
      <w:bookmarkEnd w:id="110"/>
      <w:r/>
      <w:bookmarkEnd w:id="111"/>
      <w:r/>
      <w:bookmarkEnd w:id="112"/>
      <w:r/>
      <w:bookmarkEnd w:id="113"/>
      <w:r/>
      <w:bookmarkEnd w:id="114"/>
      <w:r/>
      <w:bookmarkEnd w:id="115"/>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w:t>
      </w:r>
      <w:r>
        <w:rPr>
          <w:rFonts w:hint="eastAsia"/>
        </w:rPr>
        <w:t xml:space="preserve">加盖</w:t>
      </w:r>
      <w:r>
        <w:t xml:space="preserve">CA</w:t>
      </w:r>
      <w:r>
        <w:rPr>
          <w:rFonts w:hint="eastAsia"/>
        </w:rPr>
        <w:t xml:space="preserve">电子公章</w:t>
      </w:r>
      <w:r>
        <w:t xml:space="preserve">）</w:t>
      </w:r>
      <w:r>
        <w:rPr>
          <w:rFonts w:hint="eastAsia"/>
        </w:rPr>
        <w:t xml:space="preserve">：</w:t>
      </w:r>
      <w:r>
        <w:rPr>
          <w:u w:val="single"/>
        </w:rPr>
        <w:t xml:space="preserve">            </w:t>
      </w:r>
      <w:r/>
    </w:p>
    <w:p>
      <w:pPr>
        <w:jc w:val="left"/>
        <w:spacing w:line="360" w:lineRule="auto"/>
        <w:widowControl/>
        <w:rPr>
          <w:u w:val="single"/>
        </w:rPr>
      </w:pPr>
      <w:r>
        <w:t xml:space="preserve">法定代表人或其授权代表（</w:t>
      </w:r>
      <w:r>
        <w:rPr>
          <w:rFonts w:hint="eastAsia"/>
        </w:rPr>
        <w:t xml:space="preserve">电子签章或签名</w:t>
      </w:r>
      <w:r>
        <w:t xml:space="preserve">）：</w:t>
      </w:r>
      <w:r>
        <w:rPr>
          <w:u w:val="single"/>
        </w:rPr>
        <w:t xml:space="preserve">          </w:t>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lang w:val="zh-CN"/>
        </w:rPr>
      </w:pPr>
      <w:r>
        <w:rPr>
          <w:lang w:val="zh-CN"/>
        </w:rPr>
      </w:r>
      <w:r/>
    </w:p>
    <w:p>
      <w:pPr>
        <w:spacing w:before="312" w:after="312"/>
        <w:rPr>
          <w:b/>
          <w:szCs w:val="20"/>
        </w:rPr>
      </w:pPr>
      <w:r>
        <w:rPr>
          <w:lang w:val="zh-CN"/>
        </w:rPr>
        <w:br w:type="page" w:clear="all"/>
      </w:r>
      <w:bookmarkStart w:id="116" w:name="_Toc490133035"/>
      <w:r/>
      <w:bookmarkStart w:id="117" w:name="_Toc534273807"/>
      <w:r/>
      <w:bookmarkStart w:id="118" w:name="_Toc504044387"/>
      <w:r/>
      <w:bookmarkStart w:id="119" w:name="_Toc504056875"/>
      <w:r/>
      <w:bookmarkStart w:id="120" w:name="_Toc504573090"/>
      <w:r/>
      <w:bookmarkStart w:id="121" w:name="_Toc534273684"/>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16"/>
      <w:r/>
      <w:bookmarkEnd w:id="117"/>
      <w:r/>
      <w:bookmarkEnd w:id="118"/>
      <w:r/>
      <w:bookmarkEnd w:id="119"/>
      <w:r/>
      <w:bookmarkEnd w:id="120"/>
      <w:r/>
      <w:bookmarkEnd w:id="121"/>
      <w:r/>
      <w:r/>
    </w:p>
    <w:tbl>
      <w:tblPr>
        <w:tblStyle w:val="715"/>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hint="eastAsia" w:ascii="宋体" w:hAnsi="宋体"/>
              </w:rPr>
              <w:t xml:space="preserve">合同签订</w:t>
            </w:r>
            <w:r/>
          </w:p>
          <w:p>
            <w:pPr>
              <w:jc w:val="center"/>
              <w:spacing w:line="400" w:lineRule="atLeast"/>
              <w:widowControl/>
              <w:rPr>
                <w:rFonts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bl>
    <w:p>
      <w:pPr>
        <w:jc w:val="left"/>
        <w:spacing w:line="360" w:lineRule="auto"/>
        <w:widowControl/>
      </w:pPr>
      <w:r>
        <w:t xml:space="preserve">供应商（</w:t>
      </w:r>
      <w:r>
        <w:rPr>
          <w:rFonts w:hint="eastAsia"/>
        </w:rPr>
        <w:t xml:space="preserve">加盖</w:t>
      </w:r>
      <w:r>
        <w:t xml:space="preserve">CA</w:t>
      </w:r>
      <w:r>
        <w:rPr>
          <w:rFonts w:hint="eastAsia"/>
        </w:rPr>
        <w:t xml:space="preserve">电子公章</w:t>
      </w:r>
      <w:r>
        <w:t xml:space="preserve">）</w:t>
      </w:r>
      <w:r>
        <w:rPr>
          <w:rFonts w:hint="eastAsia"/>
        </w:rPr>
        <w:t xml:space="preserve">：</w:t>
      </w:r>
      <w:r>
        <w:rPr>
          <w:u w:val="single"/>
        </w:rPr>
        <w:t xml:space="preserve">            </w:t>
      </w:r>
      <w:r/>
    </w:p>
    <w:p>
      <w:pPr>
        <w:jc w:val="left"/>
        <w:spacing w:line="360" w:lineRule="auto"/>
        <w:widowControl/>
        <w:rPr>
          <w:u w:val="single"/>
        </w:rPr>
      </w:pPr>
      <w:r>
        <w:t xml:space="preserve">法定代表人或其授权代表（</w:t>
      </w:r>
      <w:r>
        <w:rPr>
          <w:rFonts w:hint="eastAsia"/>
        </w:rPr>
        <w:t xml:space="preserve">电子签章或签名</w:t>
      </w:r>
      <w:r>
        <w:t xml:space="preserve">）：</w:t>
      </w:r>
      <w:r>
        <w:rPr>
          <w:u w:val="single"/>
        </w:rPr>
        <w:t xml:space="preserve">          </w:t>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spacing w:before="312" w:after="312"/>
        <w:rPr>
          <w:b/>
          <w:szCs w:val="20"/>
        </w:rPr>
      </w:pPr>
      <w:r>
        <w:rPr>
          <w:b/>
          <w:bCs/>
          <w:sz w:val="32"/>
        </w:rPr>
        <w:br w:type="page" w:clear="all"/>
      </w:r>
      <w:bookmarkStart w:id="122" w:name="_Toc534273685"/>
      <w:r/>
      <w:bookmarkStart w:id="123" w:name="_Toc490133036"/>
      <w:r/>
      <w:bookmarkStart w:id="124" w:name="_Toc504573091"/>
      <w:r/>
      <w:bookmarkStart w:id="125" w:name="_Toc504056876"/>
      <w:r/>
      <w:bookmarkStart w:id="126" w:name="_Toc534273808"/>
      <w:r/>
      <w:bookmarkStart w:id="127" w:name="_Toc504044388"/>
      <w:r>
        <w:rPr>
          <w:b/>
          <w:szCs w:val="20"/>
        </w:rPr>
        <w:t xml:space="preserve">附件</w:t>
      </w:r>
      <w:r>
        <w:rPr>
          <w:rFonts w:hint="eastAsia"/>
          <w:b/>
          <w:szCs w:val="20"/>
        </w:rPr>
        <w:t xml:space="preserve">八</w:t>
      </w:r>
      <w:r>
        <w:rPr>
          <w:b/>
          <w:szCs w:val="20"/>
        </w:rPr>
        <w:t xml:space="preserve">、企业声明函格式</w:t>
      </w:r>
      <w:bookmarkEnd w:id="122"/>
      <w:r/>
      <w:bookmarkEnd w:id="123"/>
      <w:r/>
      <w:bookmarkEnd w:id="124"/>
      <w:r/>
      <w:bookmarkEnd w:id="125"/>
      <w:r/>
      <w:bookmarkEnd w:id="126"/>
      <w:r/>
      <w:bookmarkEnd w:id="127"/>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ascii="宋体" w:hAnsi="宋体" w:cs="宋体"/>
        </w:rPr>
      </w:pPr>
      <w:r>
        <w:rPr>
          <w:rFonts w:hint="eastAsia" w:ascii="宋体" w:hAnsi="宋体" w:cs="宋体"/>
        </w:rPr>
        <w:t xml:space="preserve">企业名称（电子签章）：    </w:t>
      </w:r>
      <w:r/>
    </w:p>
    <w:p>
      <w:pPr>
        <w:ind w:firstLine="420"/>
        <w:jc w:val="right"/>
        <w:spacing w:line="360" w:lineRule="auto"/>
        <w:widowControl/>
        <w:rPr>
          <w:rFonts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jc w:val="left"/>
        <w:spacing w:line="360" w:lineRule="auto"/>
        <w:widowControl/>
        <w:rPr>
          <w:rFonts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宋体" w:hAnsi="宋体" w:cs="宋体"/>
          <w:sz w:val="18"/>
          <w:szCs w:val="18"/>
          <w:highlight w:val="none"/>
        </w:rPr>
      </w:pPr>
      <w:r/>
      <w:bookmarkStart w:id="128" w:name="OLE_LINK14"/>
      <w:r/>
      <w:bookmarkStart w:id="129"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3.请供应商如实填写，所填内容须与投标分项报价表一致，如填写不完整或不一致或填写有误，将承担一切不利后果。</w:t>
      </w:r>
      <w:r/>
    </w:p>
    <w:p>
      <w:pPr>
        <w:jc w:val="left"/>
        <w:spacing w:line="360" w:lineRule="auto"/>
        <w:widowControl/>
        <w:rPr>
          <w:rFonts w:ascii="仿宋" w:hAnsi="仿宋" w:eastAsia="仿宋" w:cs="仿宋"/>
          <w:sz w:val="18"/>
          <w:szCs w:val="18"/>
        </w:rPr>
      </w:pPr>
      <w:r>
        <w:rPr>
          <w:rFonts w:hint="eastAsia" w:ascii="宋体" w:hAnsi="宋体" w:cs="宋体"/>
          <w:sz w:val="18"/>
          <w:szCs w:val="20"/>
          <w:highlight w:val="none"/>
        </w:rPr>
      </w:r>
      <w:r>
        <w:rPr>
          <w:rFonts w:hint="eastAsia" w:ascii="宋体" w:hAnsi="宋体" w:cs="宋体"/>
          <w:sz w:val="18"/>
          <w:szCs w:val="20"/>
          <w:highlight w:val="none"/>
        </w:rP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28"/>
      <w:r/>
      <w:bookmarkEnd w:id="129"/>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w:t>
      </w:r>
      <w:r>
        <w:rPr>
          <w:rFonts w:hint="eastAsia"/>
        </w:rPr>
        <w:t xml:space="preserve">电子签</w:t>
      </w:r>
      <w:r>
        <w:t xml:space="preserve">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30" w:name="_Toc534273809"/>
      <w:r/>
      <w:bookmarkStart w:id="131" w:name="_Toc504044389"/>
      <w:r/>
      <w:bookmarkStart w:id="132" w:name="_Toc534273686"/>
      <w:r/>
      <w:bookmarkStart w:id="133" w:name="_Toc490133037"/>
      <w:r/>
      <w:bookmarkStart w:id="134" w:name="_Toc504056877"/>
      <w:r/>
      <w:bookmarkStart w:id="135" w:name="_Toc8704"/>
      <w:r/>
      <w:bookmarkStart w:id="136" w:name="_Toc504573092"/>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w:t>
      </w:r>
      <w:r>
        <w:rPr>
          <w:rFonts w:hint="eastAsia"/>
          <w:szCs w:val="20"/>
        </w:rPr>
        <w:t xml:space="preserve">电子签</w:t>
      </w:r>
      <w:r>
        <w:rPr>
          <w:szCs w:val="20"/>
        </w:rPr>
        <w:t xml:space="preserve">章）</w:t>
      </w:r>
      <w:r/>
    </w:p>
    <w:p>
      <w:pPr>
        <w:ind w:firstLine="5103"/>
        <w:spacing w:line="360" w:lineRule="auto"/>
        <w:rPr>
          <w:b/>
          <w:szCs w:val="20"/>
        </w:rPr>
      </w:pPr>
      <w:r>
        <w:rPr>
          <w:szCs w:val="20"/>
        </w:rPr>
        <w:t xml:space="preserve">日期：</w:t>
      </w:r>
      <w:r>
        <w:rPr>
          <w:rFonts w:hint="eastAsia"/>
          <w:szCs w:val="20"/>
        </w:rPr>
        <w:t xml:space="preserve">  </w:t>
      </w:r>
      <w:r>
        <w:rPr>
          <w:szCs w:val="20"/>
        </w:rPr>
        <w:t xml:space="preserve">年</w:t>
      </w:r>
      <w:r>
        <w:rPr>
          <w:rFonts w:hint="eastAsia"/>
          <w:szCs w:val="20"/>
        </w:rPr>
        <w:t xml:space="preserve">  </w:t>
      </w:r>
      <w:r>
        <w:rPr>
          <w:szCs w:val="20"/>
        </w:rPr>
        <w:t xml:space="preserve">月</w:t>
      </w:r>
      <w:r>
        <w:rPr>
          <w:rFonts w:hint="eastAsia"/>
          <w:szCs w:val="20"/>
        </w:rPr>
        <w:t xml:space="preserve">  日</w:t>
      </w:r>
      <w:r>
        <w:rPr>
          <w:szCs w:val="20"/>
        </w:rPr>
        <w:br w:type="page" w:clear="all"/>
      </w:r>
      <w:bookmarkEnd w:id="130"/>
      <w:r/>
      <w:bookmarkEnd w:id="131"/>
      <w:r/>
      <w:bookmarkEnd w:id="132"/>
      <w:r/>
      <w:bookmarkEnd w:id="133"/>
      <w:r/>
      <w:bookmarkEnd w:id="134"/>
      <w:r/>
      <w:bookmarkEnd w:id="135"/>
      <w:r/>
      <w:bookmarkEnd w:id="136"/>
      <w:r>
        <w:rPr>
          <w:b/>
          <w:szCs w:val="20"/>
        </w:rPr>
        <w:t xml:space="preserve">附件十、资格资信证明文件</w:t>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t xml:space="preserve">供应商（</w:t>
      </w:r>
      <w:r>
        <w:rPr>
          <w:rFonts w:hint="eastAsia"/>
        </w:rPr>
        <w:t xml:space="preserve">电子签</w:t>
      </w:r>
      <w:r>
        <w:t xml:space="preserve">章）</w:t>
      </w:r>
      <w:r>
        <w:rPr>
          <w:rFonts w:hint="eastAsia"/>
        </w:rPr>
        <w:t xml:space="preserve">：</w:t>
      </w:r>
      <w:r>
        <w:rPr>
          <w:u w:val="single"/>
        </w:rPr>
        <w:t xml:space="preserve">            </w:t>
      </w:r>
      <w:r/>
    </w:p>
    <w:p>
      <w:pPr>
        <w:jc w:val="left"/>
        <w:widowControl/>
        <w:rPr>
          <w:rFonts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pStyle w:val="752"/>
      </w:pPr>
      <w:r/>
      <w:r/>
    </w:p>
    <w:p>
      <w:pPr>
        <w:pStyle w:val="752"/>
      </w:pPr>
      <w:r>
        <w:rPr>
          <w:rFonts w:ascii="宋体" w:hAnsi="宋体" w:cs="宋体"/>
          <w:color w:val="000000"/>
        </w:rPr>
        <w:t xml:space="preserve">技术方案及服务承诺应根据采购人对项目的要求、评标标准的要求及项目本身的特点编写,如认为需增加的内容在此补充。</w:t>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r/>
    </w:p>
    <w:p>
      <w:pPr>
        <w:pStyle w:val="752"/>
      </w:pPr>
      <w:r>
        <w:t xml:space="preserve">供应商（</w:t>
      </w:r>
      <w:r>
        <w:rPr>
          <w:rFonts w:hint="eastAsia"/>
        </w:rPr>
        <w:t xml:space="preserve">电子签</w:t>
      </w:r>
      <w:r>
        <w:t xml:space="preserve">章）</w:t>
      </w:r>
      <w:r>
        <w:rPr>
          <w:rFonts w:hint="eastAsia"/>
        </w:rPr>
        <w:t xml:space="preserve">：</w:t>
      </w:r>
      <w:r>
        <w:rPr>
          <w:u w:val="single"/>
        </w:rPr>
        <w:t xml:space="preserve">            </w:t>
      </w:r>
      <w:r/>
    </w:p>
    <w:p>
      <w:pPr>
        <w:pStyle w:val="752"/>
      </w:pPr>
      <w:r/>
      <w:r/>
    </w:p>
    <w:p>
      <w:pPr>
        <w:pStyle w:val="752"/>
      </w:pPr>
      <w:r/>
      <w:r/>
    </w:p>
    <w:p>
      <w:pPr>
        <w:pStyle w:val="752"/>
      </w:pPr>
      <w:r/>
      <w:r/>
    </w:p>
    <w:p>
      <w:pPr>
        <w:pStyle w:val="752"/>
      </w:pPr>
      <w:r/>
      <w:r/>
    </w:p>
    <w:p>
      <w:pPr>
        <w:pStyle w:val="752"/>
      </w:pPr>
      <w:r/>
      <w:r/>
    </w:p>
    <w:p>
      <w:pPr>
        <w:pStyle w:val="752"/>
      </w:pPr>
      <w:r/>
      <w:r/>
    </w:p>
    <w:p>
      <w:pPr>
        <w:pStyle w:val="752"/>
        <w:ind w:firstLine="0"/>
        <w:rPr>
          <w:b/>
        </w:rPr>
      </w:pPr>
      <w:r>
        <w:rPr>
          <w:b/>
        </w:rPr>
      </w:r>
      <w:r/>
    </w:p>
    <w:p>
      <w:pPr>
        <w:pStyle w:val="752"/>
        <w:ind w:firstLine="0"/>
        <w:rPr>
          <w:b/>
        </w:rPr>
      </w:pPr>
      <w:r>
        <w:rPr>
          <w:b/>
        </w:rPr>
      </w:r>
      <w:r/>
    </w:p>
    <w:p>
      <w:pPr>
        <w:pStyle w:val="752"/>
        <w:ind w:firstLine="0"/>
      </w:pPr>
      <w:r>
        <w:rPr>
          <w:b/>
        </w:rPr>
        <w:t xml:space="preserve">附件十</w:t>
      </w:r>
      <w:r>
        <w:rPr>
          <w:rFonts w:hint="eastAsia"/>
          <w:b/>
        </w:rPr>
        <w:t xml:space="preserve">二</w:t>
      </w:r>
      <w:r>
        <w:rPr>
          <w:b/>
        </w:rPr>
        <w:t xml:space="preserve">、其他</w:t>
      </w:r>
      <w:r/>
    </w:p>
    <w:p>
      <w:pPr>
        <w:spacing w:line="360" w:lineRule="auto"/>
        <w:rPr>
          <w:rFonts w:ascii="宋体" w:hAnsi="宋体" w:cs="宋体"/>
          <w:b/>
        </w:rPr>
      </w:pPr>
      <w:r>
        <w:rPr>
          <w:rFonts w:ascii="宋体" w:hAnsi="宋体" w:cs="宋体"/>
          <w:b/>
        </w:r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rPr>
          <w:rFonts w:ascii="宋体" w:hAnsi="宋体" w:cs="宋体"/>
          <w:b/>
        </w:rPr>
      </w:pPr>
      <w:r>
        <w:t xml:space="preserve">供应商（</w:t>
      </w:r>
      <w:r>
        <w:rPr>
          <w:rFonts w:hint="eastAsia"/>
        </w:rPr>
        <w:t xml:space="preserve">电子签</w:t>
      </w:r>
      <w:r>
        <w:t xml:space="preserve">章）</w:t>
      </w:r>
      <w:r>
        <w:rPr>
          <w:rFonts w:hint="eastAsia"/>
        </w:rPr>
        <w:t xml:space="preserve">：</w:t>
      </w:r>
      <w:r>
        <w:rPr>
          <w:u w:val="single"/>
        </w:rPr>
        <w:t xml:space="preserve">            </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MingLiU_HKSCS">
    <w:panose1 w:val="02020500000000000000"/>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Calibri">
    <w:panose1 w:val="020F0502020204030204"/>
  </w:font>
  <w:font w:name="长城楷体">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05"/>
      <w:isLgl w:val="false"/>
      <w:suff w:val="nothing"/>
      <w:lvlText w:val="第%1章"/>
      <w:lvlJc w:val="left"/>
      <w:pPr>
        <w:ind w:left="-70"/>
      </w:pPr>
      <w:rPr>
        <w:rFonts w:ascii="宋体" w:hAnsi="宋体" w:eastAsia="宋体"/>
      </w:rPr>
    </w:lvl>
    <w:lvl w:ilvl="1">
      <w:start w:val="1"/>
      <w:numFmt w:val="none"/>
      <w:pStyle w:val="706"/>
      <w:isLgl w:val="false"/>
      <w:suff w:val="nothing"/>
      <w:lvlText w:val=""/>
      <w:lvlJc w:val="left"/>
      <w:pPr/>
    </w:lvl>
    <w:lvl w:ilvl="2">
      <w:start w:val="1"/>
      <w:numFmt w:val="none"/>
      <w:pStyle w:val="707"/>
      <w:isLgl w:val="false"/>
      <w:suff w:val="nothing"/>
      <w:lvlText w:val=""/>
      <w:lvlJc w:val="left"/>
      <w:pPr/>
    </w:lvl>
    <w:lvl w:ilvl="3">
      <w:start w:val="1"/>
      <w:numFmt w:val="none"/>
      <w:pStyle w:val="708"/>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714"/>
    <w:link w:val="705"/>
    <w:uiPriority w:val="9"/>
    <w:rPr>
      <w:rFonts w:ascii="Arial" w:hAnsi="Arial" w:eastAsia="Arial" w:cs="Arial"/>
      <w:sz w:val="40"/>
      <w:szCs w:val="40"/>
    </w:rPr>
  </w:style>
  <w:style w:type="character" w:styleId="667">
    <w:name w:val="Heading 2 Char"/>
    <w:basedOn w:val="714"/>
    <w:link w:val="706"/>
    <w:uiPriority w:val="9"/>
    <w:rPr>
      <w:rFonts w:ascii="Arial" w:hAnsi="Arial" w:eastAsia="Arial" w:cs="Arial"/>
      <w:sz w:val="34"/>
    </w:rPr>
  </w:style>
  <w:style w:type="character" w:styleId="668">
    <w:name w:val="Heading 3 Char"/>
    <w:basedOn w:val="714"/>
    <w:link w:val="707"/>
    <w:uiPriority w:val="9"/>
    <w:rPr>
      <w:rFonts w:ascii="Arial" w:hAnsi="Arial" w:eastAsia="Arial" w:cs="Arial"/>
      <w:sz w:val="30"/>
      <w:szCs w:val="30"/>
    </w:rPr>
  </w:style>
  <w:style w:type="character" w:styleId="669">
    <w:name w:val="Heading 4 Char"/>
    <w:basedOn w:val="714"/>
    <w:link w:val="708"/>
    <w:uiPriority w:val="9"/>
    <w:rPr>
      <w:rFonts w:ascii="Arial" w:hAnsi="Arial" w:eastAsia="Arial" w:cs="Arial"/>
      <w:b/>
      <w:bCs/>
      <w:sz w:val="26"/>
      <w:szCs w:val="26"/>
    </w:rPr>
  </w:style>
  <w:style w:type="character" w:styleId="670">
    <w:name w:val="Heading 5 Char"/>
    <w:basedOn w:val="714"/>
    <w:link w:val="709"/>
    <w:uiPriority w:val="9"/>
    <w:rPr>
      <w:rFonts w:ascii="Arial" w:hAnsi="Arial" w:eastAsia="Arial" w:cs="Arial"/>
      <w:b/>
      <w:bCs/>
      <w:sz w:val="24"/>
      <w:szCs w:val="24"/>
    </w:rPr>
  </w:style>
  <w:style w:type="character" w:styleId="671">
    <w:name w:val="Heading 6 Char"/>
    <w:basedOn w:val="714"/>
    <w:link w:val="710"/>
    <w:uiPriority w:val="9"/>
    <w:rPr>
      <w:rFonts w:ascii="Arial" w:hAnsi="Arial" w:eastAsia="Arial" w:cs="Arial"/>
      <w:b/>
      <w:bCs/>
      <w:sz w:val="22"/>
      <w:szCs w:val="22"/>
    </w:rPr>
  </w:style>
  <w:style w:type="character" w:styleId="672">
    <w:name w:val="Heading 7 Char"/>
    <w:basedOn w:val="714"/>
    <w:link w:val="711"/>
    <w:uiPriority w:val="9"/>
    <w:rPr>
      <w:rFonts w:ascii="Arial" w:hAnsi="Arial" w:eastAsia="Arial" w:cs="Arial"/>
      <w:b/>
      <w:bCs/>
      <w:i/>
      <w:iCs/>
      <w:sz w:val="22"/>
      <w:szCs w:val="22"/>
    </w:rPr>
  </w:style>
  <w:style w:type="character" w:styleId="673">
    <w:name w:val="Heading 8 Char"/>
    <w:basedOn w:val="714"/>
    <w:link w:val="712"/>
    <w:uiPriority w:val="9"/>
    <w:rPr>
      <w:rFonts w:ascii="Arial" w:hAnsi="Arial" w:eastAsia="Arial" w:cs="Arial"/>
      <w:i/>
      <w:iCs/>
      <w:sz w:val="22"/>
      <w:szCs w:val="22"/>
    </w:rPr>
  </w:style>
  <w:style w:type="character" w:styleId="674">
    <w:name w:val="Heading 9 Char"/>
    <w:basedOn w:val="714"/>
    <w:link w:val="713"/>
    <w:uiPriority w:val="9"/>
    <w:rPr>
      <w:rFonts w:ascii="Arial" w:hAnsi="Arial" w:eastAsia="Arial" w:cs="Arial"/>
      <w:i/>
      <w:iCs/>
      <w:sz w:val="21"/>
      <w:szCs w:val="21"/>
    </w:rPr>
  </w:style>
  <w:style w:type="character" w:styleId="675">
    <w:name w:val="Title Char"/>
    <w:basedOn w:val="714"/>
    <w:link w:val="742"/>
    <w:uiPriority w:val="10"/>
    <w:rPr>
      <w:sz w:val="48"/>
      <w:szCs w:val="48"/>
    </w:rPr>
  </w:style>
  <w:style w:type="character" w:styleId="676">
    <w:name w:val="Subtitle Char"/>
    <w:basedOn w:val="714"/>
    <w:link w:val="734"/>
    <w:uiPriority w:val="11"/>
    <w:rPr>
      <w:sz w:val="24"/>
      <w:szCs w:val="24"/>
    </w:rPr>
  </w:style>
  <w:style w:type="character" w:styleId="677">
    <w:name w:val="Quote Char"/>
    <w:link w:val="790"/>
    <w:uiPriority w:val="29"/>
    <w:rPr>
      <w:i/>
    </w:rPr>
  </w:style>
  <w:style w:type="character" w:styleId="678">
    <w:name w:val="Intense Quote Char"/>
    <w:link w:val="792"/>
    <w:uiPriority w:val="30"/>
    <w:rPr>
      <w:i/>
    </w:rPr>
  </w:style>
  <w:style w:type="character" w:styleId="679">
    <w:name w:val="Header Char"/>
    <w:basedOn w:val="714"/>
    <w:link w:val="731"/>
    <w:uiPriority w:val="99"/>
  </w:style>
  <w:style w:type="paragraph" w:styleId="680">
    <w:name w:val="Caption"/>
    <w:basedOn w:val="704"/>
    <w:next w:val="704"/>
    <w:uiPriority w:val="35"/>
    <w:semiHidden/>
    <w:unhideWhenUsed/>
    <w:qFormat/>
    <w:pPr>
      <w:spacing w:line="276" w:lineRule="auto"/>
    </w:pPr>
    <w:rPr>
      <w:b/>
      <w:bCs/>
      <w:color w:val="4f81bd" w:themeColor="accent1"/>
      <w:sz w:val="18"/>
      <w:szCs w:val="18"/>
    </w:rPr>
  </w:style>
  <w:style w:type="character" w:styleId="681">
    <w:name w:val="Caption Char"/>
    <w:basedOn w:val="680"/>
    <w:link w:val="730"/>
    <w:uiPriority w:val="99"/>
  </w:style>
  <w:style w:type="table" w:styleId="682">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Footnote Text Char"/>
    <w:link w:val="735"/>
    <w:uiPriority w:val="99"/>
    <w:rPr>
      <w:sz w:val="18"/>
    </w:rPr>
  </w:style>
  <w:style w:type="character" w:styleId="702">
    <w:name w:val="Endnote Text Char"/>
    <w:link w:val="728"/>
    <w:uiPriority w:val="99"/>
    <w:rPr>
      <w:sz w:val="20"/>
    </w:rPr>
  </w:style>
  <w:style w:type="paragraph" w:styleId="703">
    <w:name w:val="TOC Heading"/>
    <w:uiPriority w:val="39"/>
    <w:unhideWhenUsed/>
  </w:style>
  <w:style w:type="paragraph" w:styleId="70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5">
    <w:name w:val="Heading 1"/>
    <w:basedOn w:val="704"/>
    <w:next w:val="704"/>
    <w:link w:val="782"/>
    <w:uiPriority w:val="0"/>
    <w:qFormat/>
    <w:pPr>
      <w:numPr>
        <w:ilvl w:val="0"/>
        <w:numId w:val="1"/>
      </w:numPr>
      <w:jc w:val="center"/>
      <w:keepLines/>
      <w:keepNext/>
      <w:spacing w:before="340" w:after="330" w:line="578" w:lineRule="auto"/>
      <w:outlineLvl w:val="0"/>
    </w:pPr>
    <w:rPr>
      <w:b/>
      <w:bCs/>
      <w:sz w:val="32"/>
      <w:szCs w:val="32"/>
    </w:rPr>
  </w:style>
  <w:style w:type="paragraph" w:styleId="706">
    <w:name w:val="Heading 2"/>
    <w:basedOn w:val="704"/>
    <w:next w:val="704"/>
    <w:link w:val="783"/>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7">
    <w:name w:val="Heading 3"/>
    <w:basedOn w:val="704"/>
    <w:next w:val="704"/>
    <w:link w:val="784"/>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08">
    <w:name w:val="Heading 4"/>
    <w:basedOn w:val="704"/>
    <w:next w:val="716"/>
    <w:link w:val="785"/>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09">
    <w:name w:val="Heading 5"/>
    <w:basedOn w:val="704"/>
    <w:next w:val="716"/>
    <w:link w:val="753"/>
    <w:uiPriority w:val="9"/>
    <w:qFormat/>
    <w:pPr>
      <w:keepNext/>
      <w:outlineLvl w:val="4"/>
    </w:pPr>
    <w:rPr>
      <w:rFonts w:ascii="Calibri" w:hAnsi="Calibri"/>
      <w:b/>
      <w:bCs/>
      <w:sz w:val="28"/>
      <w:szCs w:val="28"/>
    </w:rPr>
  </w:style>
  <w:style w:type="paragraph" w:styleId="710">
    <w:name w:val="Heading 6"/>
    <w:basedOn w:val="704"/>
    <w:next w:val="704"/>
    <w:link w:val="754"/>
    <w:uiPriority w:val="9"/>
    <w:qFormat/>
    <w:pPr>
      <w:keepLines/>
      <w:keepNext/>
      <w:spacing w:before="240" w:after="64" w:line="320" w:lineRule="auto"/>
      <w:outlineLvl w:val="5"/>
    </w:pPr>
    <w:rPr>
      <w:rFonts w:ascii="Cambria" w:hAnsi="Cambria"/>
      <w:b/>
      <w:bCs/>
      <w:sz w:val="24"/>
      <w:szCs w:val="24"/>
    </w:rPr>
  </w:style>
  <w:style w:type="paragraph" w:styleId="711">
    <w:name w:val="Heading 7"/>
    <w:basedOn w:val="704"/>
    <w:next w:val="704"/>
    <w:link w:val="755"/>
    <w:uiPriority w:val="9"/>
    <w:qFormat/>
    <w:pPr>
      <w:keepLines/>
      <w:keepNext/>
      <w:spacing w:before="240" w:after="64" w:line="320" w:lineRule="auto"/>
      <w:outlineLvl w:val="6"/>
    </w:pPr>
    <w:rPr>
      <w:rFonts w:ascii="Calibri" w:hAnsi="Calibri"/>
      <w:b/>
      <w:bCs/>
      <w:sz w:val="24"/>
      <w:szCs w:val="24"/>
    </w:rPr>
  </w:style>
  <w:style w:type="paragraph" w:styleId="712">
    <w:name w:val="Heading 8"/>
    <w:basedOn w:val="704"/>
    <w:next w:val="704"/>
    <w:link w:val="756"/>
    <w:uiPriority w:val="9"/>
    <w:qFormat/>
    <w:pPr>
      <w:keepLines/>
      <w:keepNext/>
      <w:spacing w:before="240" w:after="64" w:line="320" w:lineRule="auto"/>
      <w:outlineLvl w:val="7"/>
    </w:pPr>
    <w:rPr>
      <w:rFonts w:ascii="Cambria" w:hAnsi="Cambria"/>
      <w:sz w:val="24"/>
      <w:szCs w:val="24"/>
    </w:rPr>
  </w:style>
  <w:style w:type="paragraph" w:styleId="713">
    <w:name w:val="Heading 9"/>
    <w:basedOn w:val="704"/>
    <w:next w:val="704"/>
    <w:link w:val="757"/>
    <w:uiPriority w:val="9"/>
    <w:qFormat/>
    <w:pPr>
      <w:keepLines/>
      <w:keepNext/>
      <w:spacing w:before="240" w:after="64" w:line="320" w:lineRule="auto"/>
      <w:outlineLvl w:val="8"/>
    </w:pPr>
    <w:rPr>
      <w:rFonts w:ascii="Cambria" w:hAnsi="Cambria"/>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uiPriority w:val="0"/>
    <w:qFormat/>
    <w:pPr>
      <w:ind w:firstLine="420"/>
    </w:pPr>
    <w:rPr>
      <w:b/>
      <w:bCs/>
      <w:sz w:val="24"/>
      <w:szCs w:val="24"/>
    </w:rPr>
  </w:style>
  <w:style w:type="paragraph" w:styleId="717">
    <w:name w:val="toc 7"/>
    <w:basedOn w:val="704"/>
    <w:next w:val="704"/>
    <w:uiPriority w:val="39"/>
    <w:unhideWhenUsed/>
    <w:qFormat/>
    <w:pPr>
      <w:ind w:left="1701"/>
      <w:spacing w:after="57"/>
    </w:pPr>
    <w:rPr>
      <w:szCs w:val="24"/>
    </w:rPr>
  </w:style>
  <w:style w:type="paragraph" w:styleId="718">
    <w:name w:val="annotation text"/>
    <w:basedOn w:val="704"/>
    <w:link w:val="758"/>
    <w:uiPriority w:val="0"/>
    <w:qFormat/>
    <w:pPr>
      <w:jc w:val="left"/>
    </w:pPr>
  </w:style>
  <w:style w:type="paragraph" w:styleId="719">
    <w:name w:val="Body Text"/>
    <w:basedOn w:val="704"/>
    <w:link w:val="759"/>
    <w:uiPriority w:val="0"/>
    <w:qFormat/>
    <w:pPr>
      <w:jc w:val="center"/>
    </w:pPr>
    <w:rPr>
      <w:rFonts w:ascii="Calibri" w:hAnsi="Calibri" w:eastAsia="幼圆"/>
      <w:b/>
      <w:bCs/>
      <w:sz w:val="44"/>
      <w:szCs w:val="44"/>
    </w:rPr>
  </w:style>
  <w:style w:type="paragraph" w:styleId="720">
    <w:name w:val="Body Text Indent"/>
    <w:basedOn w:val="704"/>
    <w:next w:val="704"/>
    <w:link w:val="760"/>
    <w:uiPriority w:val="0"/>
    <w:qFormat/>
    <w:pPr>
      <w:ind w:left="420"/>
      <w:spacing w:after="120"/>
    </w:pPr>
  </w:style>
  <w:style w:type="paragraph" w:styleId="721">
    <w:name w:val="index 4"/>
    <w:basedOn w:val="704"/>
    <w:next w:val="704"/>
    <w:uiPriority w:val="0"/>
    <w:qFormat/>
    <w:pPr>
      <w:ind w:left="600"/>
    </w:pPr>
    <w:rPr>
      <w:rFonts w:ascii="Calibri" w:hAnsi="Calibri" w:cs="Calibri"/>
    </w:rPr>
  </w:style>
  <w:style w:type="paragraph" w:styleId="722">
    <w:name w:val="toc 5"/>
    <w:basedOn w:val="704"/>
    <w:next w:val="704"/>
    <w:uiPriority w:val="39"/>
    <w:unhideWhenUsed/>
    <w:qFormat/>
    <w:pPr>
      <w:ind w:left="1134"/>
      <w:spacing w:after="57"/>
    </w:pPr>
    <w:rPr>
      <w:szCs w:val="24"/>
    </w:rPr>
  </w:style>
  <w:style w:type="paragraph" w:styleId="723">
    <w:name w:val="toc 3"/>
    <w:basedOn w:val="704"/>
    <w:next w:val="704"/>
    <w:uiPriority w:val="39"/>
    <w:unhideWhenUsed/>
    <w:qFormat/>
    <w:pPr>
      <w:ind w:left="567"/>
      <w:spacing w:after="57"/>
    </w:pPr>
    <w:rPr>
      <w:szCs w:val="24"/>
    </w:rPr>
  </w:style>
  <w:style w:type="paragraph" w:styleId="724">
    <w:name w:val="Plain Text"/>
    <w:basedOn w:val="704"/>
    <w:link w:val="761"/>
    <w:uiPriority w:val="0"/>
    <w:qFormat/>
    <w:rPr>
      <w:rFonts w:ascii="长城楷体" w:hAnsi="Courier New" w:eastAsia="长城楷体"/>
      <w:sz w:val="28"/>
      <w:szCs w:val="20"/>
    </w:rPr>
  </w:style>
  <w:style w:type="paragraph" w:styleId="725">
    <w:name w:val="toc 8"/>
    <w:basedOn w:val="704"/>
    <w:next w:val="704"/>
    <w:uiPriority w:val="39"/>
    <w:unhideWhenUsed/>
    <w:qFormat/>
    <w:pPr>
      <w:ind w:left="1984"/>
      <w:spacing w:after="57"/>
    </w:pPr>
    <w:rPr>
      <w:szCs w:val="24"/>
    </w:rPr>
  </w:style>
  <w:style w:type="paragraph" w:styleId="726">
    <w:name w:val="Date"/>
    <w:basedOn w:val="704"/>
    <w:next w:val="704"/>
    <w:uiPriority w:val="0"/>
    <w:qFormat/>
    <w:rPr>
      <w:rFonts w:ascii="仿宋_GB2312" w:eastAsia="仿宋_GB2312"/>
      <w:szCs w:val="24"/>
    </w:rPr>
  </w:style>
  <w:style w:type="paragraph" w:styleId="727">
    <w:name w:val="Body Text Indent 2"/>
    <w:basedOn w:val="704"/>
    <w:link w:val="781"/>
    <w:uiPriority w:val="99"/>
    <w:qFormat/>
    <w:pPr>
      <w:ind w:left="420"/>
      <w:spacing w:after="120" w:line="480" w:lineRule="auto"/>
    </w:pPr>
  </w:style>
  <w:style w:type="paragraph" w:styleId="728">
    <w:name w:val="endnote text"/>
    <w:basedOn w:val="704"/>
    <w:link w:val="924"/>
    <w:uiPriority w:val="99"/>
    <w:unhideWhenUsed/>
    <w:qFormat/>
    <w:rPr>
      <w:sz w:val="20"/>
      <w:szCs w:val="24"/>
    </w:rPr>
  </w:style>
  <w:style w:type="paragraph" w:styleId="729">
    <w:name w:val="Balloon Text"/>
    <w:basedOn w:val="704"/>
    <w:link w:val="762"/>
    <w:uiPriority w:val="0"/>
    <w:qFormat/>
    <w:rPr>
      <w:sz w:val="18"/>
      <w:szCs w:val="18"/>
    </w:rPr>
  </w:style>
  <w:style w:type="paragraph" w:styleId="730">
    <w:name w:val="Footer"/>
    <w:basedOn w:val="704"/>
    <w:link w:val="763"/>
    <w:uiPriority w:val="99"/>
    <w:qFormat/>
    <w:pPr>
      <w:jc w:val="left"/>
      <w:tabs>
        <w:tab w:val="center" w:pos="4153" w:leader="none"/>
        <w:tab w:val="right" w:pos="8306" w:leader="none"/>
      </w:tabs>
    </w:pPr>
    <w:rPr>
      <w:rFonts w:ascii="Calibri" w:hAnsi="Calibri"/>
      <w:sz w:val="18"/>
      <w:szCs w:val="18"/>
    </w:rPr>
  </w:style>
  <w:style w:type="paragraph" w:styleId="731">
    <w:name w:val="Header"/>
    <w:basedOn w:val="704"/>
    <w:link w:val="79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2">
    <w:name w:val="toc 1"/>
    <w:basedOn w:val="704"/>
    <w:next w:val="704"/>
    <w:uiPriority w:val="39"/>
    <w:qFormat/>
  </w:style>
  <w:style w:type="paragraph" w:styleId="733">
    <w:name w:val="toc 4"/>
    <w:basedOn w:val="704"/>
    <w:next w:val="704"/>
    <w:uiPriority w:val="39"/>
    <w:unhideWhenUsed/>
    <w:qFormat/>
    <w:pPr>
      <w:ind w:left="850"/>
      <w:spacing w:after="57"/>
    </w:pPr>
    <w:rPr>
      <w:szCs w:val="24"/>
    </w:rPr>
  </w:style>
  <w:style w:type="paragraph" w:styleId="734">
    <w:name w:val="Subtitle"/>
    <w:basedOn w:val="704"/>
    <w:next w:val="704"/>
    <w:link w:val="789"/>
    <w:uiPriority w:val="11"/>
    <w:qFormat/>
    <w:pPr>
      <w:spacing w:before="200" w:after="200"/>
    </w:pPr>
    <w:rPr>
      <w:sz w:val="24"/>
      <w:szCs w:val="24"/>
    </w:rPr>
  </w:style>
  <w:style w:type="paragraph" w:styleId="735">
    <w:name w:val="footnote text"/>
    <w:basedOn w:val="704"/>
    <w:link w:val="923"/>
    <w:uiPriority w:val="99"/>
    <w:unhideWhenUsed/>
    <w:qFormat/>
    <w:pPr>
      <w:spacing w:after="40"/>
    </w:pPr>
    <w:rPr>
      <w:sz w:val="18"/>
      <w:szCs w:val="24"/>
    </w:rPr>
  </w:style>
  <w:style w:type="paragraph" w:styleId="736">
    <w:name w:val="toc 6"/>
    <w:basedOn w:val="704"/>
    <w:next w:val="704"/>
    <w:uiPriority w:val="39"/>
    <w:unhideWhenUsed/>
    <w:qFormat/>
    <w:pPr>
      <w:ind w:left="1417"/>
      <w:spacing w:after="57"/>
    </w:pPr>
    <w:rPr>
      <w:szCs w:val="24"/>
    </w:rPr>
  </w:style>
  <w:style w:type="paragraph" w:styleId="737">
    <w:name w:val="table of figures"/>
    <w:basedOn w:val="704"/>
    <w:next w:val="704"/>
    <w:uiPriority w:val="99"/>
    <w:unhideWhenUsed/>
    <w:qFormat/>
    <w:rPr>
      <w:szCs w:val="24"/>
    </w:rPr>
  </w:style>
  <w:style w:type="paragraph" w:styleId="738">
    <w:name w:val="toc 2"/>
    <w:basedOn w:val="704"/>
    <w:next w:val="704"/>
    <w:uiPriority w:val="39"/>
    <w:unhideWhenUsed/>
    <w:qFormat/>
    <w:pPr>
      <w:ind w:left="283"/>
      <w:spacing w:after="57"/>
    </w:pPr>
    <w:rPr>
      <w:szCs w:val="24"/>
    </w:rPr>
  </w:style>
  <w:style w:type="paragraph" w:styleId="739">
    <w:name w:val="toc 9"/>
    <w:basedOn w:val="704"/>
    <w:next w:val="704"/>
    <w:uiPriority w:val="39"/>
    <w:unhideWhenUsed/>
    <w:qFormat/>
    <w:pPr>
      <w:ind w:left="2268"/>
      <w:spacing w:after="57"/>
    </w:pPr>
    <w:rPr>
      <w:szCs w:val="24"/>
    </w:rPr>
  </w:style>
  <w:style w:type="paragraph" w:styleId="740">
    <w:name w:val="Body Text 2"/>
    <w:basedOn w:val="704"/>
    <w:link w:val="764"/>
    <w:uiPriority w:val="0"/>
    <w:qFormat/>
    <w:pPr>
      <w:spacing w:after="120" w:line="480" w:lineRule="auto"/>
    </w:pPr>
  </w:style>
  <w:style w:type="paragraph" w:styleId="741">
    <w:name w:val="Normal (Web)"/>
    <w:basedOn w:val="704"/>
    <w:uiPriority w:val="0"/>
    <w:qFormat/>
    <w:pPr>
      <w:jc w:val="left"/>
      <w:spacing w:before="100" w:beforeAutospacing="1" w:after="100" w:afterAutospacing="1"/>
      <w:widowControl/>
    </w:pPr>
    <w:rPr>
      <w:rFonts w:ascii="宋体" w:hAnsi="宋体" w:cs="宋体"/>
      <w:sz w:val="24"/>
      <w:szCs w:val="24"/>
    </w:rPr>
  </w:style>
  <w:style w:type="paragraph" w:styleId="742">
    <w:name w:val="Title"/>
    <w:basedOn w:val="704"/>
    <w:next w:val="704"/>
    <w:link w:val="788"/>
    <w:uiPriority w:val="10"/>
    <w:qFormat/>
    <w:pPr>
      <w:contextualSpacing/>
      <w:spacing w:before="300" w:after="200"/>
    </w:pPr>
    <w:rPr>
      <w:sz w:val="48"/>
      <w:szCs w:val="48"/>
    </w:rPr>
  </w:style>
  <w:style w:type="paragraph" w:styleId="743">
    <w:name w:val="annotation subject"/>
    <w:basedOn w:val="718"/>
    <w:next w:val="718"/>
    <w:link w:val="765"/>
    <w:uiPriority w:val="0"/>
    <w:qFormat/>
    <w:rPr>
      <w:b/>
      <w:bCs/>
    </w:rPr>
  </w:style>
  <w:style w:type="paragraph" w:styleId="744">
    <w:name w:val="Body Text First Indent"/>
    <w:basedOn w:val="719"/>
    <w:link w:val="766"/>
    <w:uiPriority w:val="0"/>
    <w:qFormat/>
    <w:pPr>
      <w:ind w:firstLine="420"/>
      <w:jc w:val="both"/>
      <w:spacing w:after="120"/>
    </w:pPr>
    <w:rPr>
      <w:b w:val="0"/>
      <w:bCs w:val="0"/>
      <w:sz w:val="21"/>
      <w:szCs w:val="21"/>
    </w:rPr>
  </w:style>
  <w:style w:type="paragraph" w:styleId="745">
    <w:name w:val="Body Text First Indent 2"/>
    <w:basedOn w:val="720"/>
    <w:uiPriority w:val="99"/>
    <w:qFormat/>
    <w:pPr>
      <w:ind w:firstLine="420"/>
    </w:pPr>
  </w:style>
  <w:style w:type="table" w:styleId="746">
    <w:name w:val="Table Grid"/>
    <w:basedOn w:val="71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endnote reference"/>
    <w:basedOn w:val="714"/>
    <w:uiPriority w:val="99"/>
    <w:unhideWhenUsed/>
    <w:qFormat/>
    <w:rPr>
      <w:vertAlign w:val="superscript"/>
    </w:rPr>
  </w:style>
  <w:style w:type="character" w:styleId="748">
    <w:name w:val="Hyperlink"/>
    <w:uiPriority w:val="99"/>
    <w:qFormat/>
    <w:rPr>
      <w:color w:val="0563c1"/>
      <w:u w:val="single"/>
    </w:rPr>
  </w:style>
  <w:style w:type="character" w:styleId="749">
    <w:name w:val="annotation reference"/>
    <w:uiPriority w:val="0"/>
    <w:qFormat/>
    <w:rPr>
      <w:sz w:val="21"/>
      <w:szCs w:val="21"/>
    </w:rPr>
  </w:style>
  <w:style w:type="character" w:styleId="750">
    <w:name w:val="footnote reference"/>
    <w:basedOn w:val="714"/>
    <w:uiPriority w:val="99"/>
    <w:unhideWhenUsed/>
    <w:qFormat/>
    <w:rPr>
      <w:vertAlign w:val="superscript"/>
    </w:rPr>
  </w:style>
  <w:style w:type="paragraph" w:styleId="751">
    <w:name w:val="List Paragraph"/>
    <w:basedOn w:val="704"/>
    <w:uiPriority w:val="34"/>
    <w:qFormat/>
    <w:pPr>
      <w:ind w:firstLine="420"/>
    </w:pPr>
  </w:style>
  <w:style w:type="paragraph" w:styleId="752" w:customStyle="1">
    <w:name w:val="列表段落1"/>
    <w:basedOn w:val="704"/>
    <w:uiPriority w:val="34"/>
    <w:qFormat/>
    <w:pPr>
      <w:ind w:firstLine="420"/>
    </w:pPr>
  </w:style>
  <w:style w:type="character" w:styleId="753" w:customStyle="1">
    <w:name w:val="标题 5 字符"/>
    <w:link w:val="709"/>
    <w:uiPriority w:val="9"/>
    <w:qFormat/>
    <w:rPr>
      <w:rFonts w:ascii="Calibri" w:hAnsi="Calibri"/>
      <w:b/>
      <w:bCs/>
      <w:sz w:val="28"/>
      <w:szCs w:val="28"/>
    </w:rPr>
  </w:style>
  <w:style w:type="character" w:styleId="754" w:customStyle="1">
    <w:name w:val="标题 6 字符"/>
    <w:link w:val="710"/>
    <w:uiPriority w:val="9"/>
    <w:qFormat/>
    <w:rPr>
      <w:rFonts w:ascii="Cambria" w:hAnsi="Cambria"/>
      <w:b/>
      <w:bCs/>
      <w:sz w:val="24"/>
      <w:szCs w:val="24"/>
    </w:rPr>
  </w:style>
  <w:style w:type="character" w:styleId="755" w:customStyle="1">
    <w:name w:val="标题 7 字符"/>
    <w:link w:val="711"/>
    <w:uiPriority w:val="9"/>
    <w:qFormat/>
    <w:rPr>
      <w:rFonts w:ascii="Calibri" w:hAnsi="Calibri"/>
      <w:b/>
      <w:bCs/>
      <w:sz w:val="24"/>
      <w:szCs w:val="24"/>
    </w:rPr>
  </w:style>
  <w:style w:type="character" w:styleId="756" w:customStyle="1">
    <w:name w:val="标题 8 字符"/>
    <w:link w:val="712"/>
    <w:uiPriority w:val="9"/>
    <w:qFormat/>
    <w:rPr>
      <w:rFonts w:ascii="Cambria" w:hAnsi="Cambria"/>
      <w:sz w:val="24"/>
      <w:szCs w:val="24"/>
    </w:rPr>
  </w:style>
  <w:style w:type="character" w:styleId="757" w:customStyle="1">
    <w:name w:val="标题 9 字符"/>
    <w:link w:val="713"/>
    <w:uiPriority w:val="9"/>
    <w:qFormat/>
    <w:rPr>
      <w:rFonts w:ascii="Cambria" w:hAnsi="Cambria"/>
      <w:sz w:val="21"/>
      <w:szCs w:val="21"/>
    </w:rPr>
  </w:style>
  <w:style w:type="character" w:styleId="758" w:customStyle="1">
    <w:name w:val="批注文字 字符"/>
    <w:link w:val="718"/>
    <w:uiPriority w:val="0"/>
    <w:qFormat/>
    <w:rPr>
      <w:sz w:val="21"/>
      <w:szCs w:val="21"/>
    </w:rPr>
  </w:style>
  <w:style w:type="character" w:styleId="759" w:customStyle="1">
    <w:name w:val="正文文本 字符"/>
    <w:link w:val="719"/>
    <w:uiPriority w:val="0"/>
    <w:qFormat/>
    <w:rPr>
      <w:rFonts w:ascii="Calibri" w:hAnsi="Calibri" w:eastAsia="幼圆" w:cs="Calibri"/>
      <w:b/>
      <w:bCs/>
      <w:sz w:val="44"/>
      <w:szCs w:val="44"/>
    </w:rPr>
  </w:style>
  <w:style w:type="character" w:styleId="760" w:customStyle="1">
    <w:name w:val="正文文本缩进 字符"/>
    <w:link w:val="720"/>
    <w:uiPriority w:val="0"/>
    <w:qFormat/>
    <w:rPr>
      <w:sz w:val="21"/>
      <w:szCs w:val="21"/>
    </w:rPr>
  </w:style>
  <w:style w:type="character" w:styleId="761" w:customStyle="1">
    <w:name w:val="纯文本 字符"/>
    <w:link w:val="724"/>
    <w:uiPriority w:val="0"/>
    <w:qFormat/>
    <w:rPr>
      <w:rFonts w:ascii="长城楷体" w:hAnsi="Courier New" w:eastAsia="长城楷体"/>
      <w:sz w:val="28"/>
    </w:rPr>
  </w:style>
  <w:style w:type="character" w:styleId="762" w:customStyle="1">
    <w:name w:val="批注框文本 字符"/>
    <w:link w:val="729"/>
    <w:uiPriority w:val="0"/>
    <w:qFormat/>
    <w:rPr>
      <w:sz w:val="18"/>
      <w:szCs w:val="18"/>
    </w:rPr>
  </w:style>
  <w:style w:type="character" w:styleId="763" w:customStyle="1">
    <w:name w:val="页脚 字符"/>
    <w:link w:val="730"/>
    <w:uiPriority w:val="99"/>
    <w:qFormat/>
    <w:rPr>
      <w:rFonts w:ascii="Calibri" w:hAnsi="Calibri" w:cs="Calibri"/>
      <w:sz w:val="18"/>
      <w:szCs w:val="18"/>
    </w:rPr>
  </w:style>
  <w:style w:type="character" w:styleId="764" w:customStyle="1">
    <w:name w:val="正文文本 2 字符"/>
    <w:link w:val="740"/>
    <w:uiPriority w:val="0"/>
    <w:qFormat/>
    <w:rPr>
      <w:sz w:val="21"/>
      <w:szCs w:val="21"/>
    </w:rPr>
  </w:style>
  <w:style w:type="character" w:styleId="765" w:customStyle="1">
    <w:name w:val="批注主题 字符"/>
    <w:link w:val="743"/>
    <w:uiPriority w:val="0"/>
    <w:qFormat/>
    <w:rPr>
      <w:b/>
      <w:bCs/>
      <w:sz w:val="21"/>
      <w:szCs w:val="21"/>
    </w:rPr>
  </w:style>
  <w:style w:type="character" w:styleId="766" w:customStyle="1">
    <w:name w:val="正文文本首行缩进 字符"/>
    <w:link w:val="744"/>
    <w:uiPriority w:val="0"/>
    <w:qFormat/>
    <w:rPr>
      <w:rFonts w:ascii="Calibri" w:hAnsi="Calibri" w:eastAsia="幼圆" w:cs="Calibri"/>
      <w:sz w:val="21"/>
      <w:szCs w:val="21"/>
    </w:rPr>
  </w:style>
  <w:style w:type="character" w:styleId="767" w:customStyle="1">
    <w:name w:val="未处理的提及1"/>
    <w:uiPriority w:val="99"/>
    <w:unhideWhenUsed/>
    <w:qFormat/>
    <w:rPr>
      <w:color w:val="605e5c"/>
      <w:shd w:val="clear" w:color="auto" w:fill="e1dfdd"/>
    </w:rPr>
  </w:style>
  <w:style w:type="character" w:styleId="768" w:customStyle="1">
    <w:name w:val="fontstyle01"/>
    <w:uiPriority w:val="0"/>
    <w:qFormat/>
    <w:rPr>
      <w:rFonts w:ascii="宋体" w:hAnsi="宋体" w:eastAsia="宋体" w:cs="宋体"/>
      <w:color w:val="000000"/>
      <w:sz w:val="22"/>
      <w:szCs w:val="22"/>
    </w:rPr>
  </w:style>
  <w:style w:type="character" w:styleId="769" w:customStyle="1">
    <w:name w:val="未处理的提及11"/>
    <w:uiPriority w:val="99"/>
    <w:unhideWhenUsed/>
    <w:qFormat/>
    <w:rPr>
      <w:color w:val="605e5c"/>
      <w:shd w:val="clear" w:color="auto" w:fill="e1dfdd"/>
    </w:rPr>
  </w:style>
  <w:style w:type="character" w:styleId="770" w:customStyle="1">
    <w:name w:val="fontstyle21"/>
    <w:uiPriority w:val="0"/>
    <w:qFormat/>
    <w:rPr>
      <w:rFonts w:ascii="TimesNewRomanPSMT" w:hAnsi="TimesNewRomanPSMT" w:eastAsia="TimesNewRomanPSMT" w:cs="TimesNewRomanPSMT"/>
      <w:color w:val="000000"/>
      <w:sz w:val="18"/>
      <w:szCs w:val="18"/>
    </w:rPr>
  </w:style>
  <w:style w:type="character" w:styleId="771" w:customStyle="1">
    <w:name w:val="未处理的提及2"/>
    <w:uiPriority w:val="99"/>
    <w:unhideWhenUsed/>
    <w:qFormat/>
    <w:rPr>
      <w:color w:val="605e5c"/>
      <w:shd w:val="clear" w:color="auto" w:fill="e1dfdd"/>
    </w:rPr>
  </w:style>
  <w:style w:type="paragraph" w:styleId="772" w:customStyle="1">
    <w:name w:val="列出段落1"/>
    <w:basedOn w:val="704"/>
    <w:uiPriority w:val="0"/>
    <w:qFormat/>
    <w:pPr>
      <w:ind w:left="720"/>
      <w:jc w:val="left"/>
      <w:widowControl/>
    </w:pPr>
    <w:rPr>
      <w:rFonts w:ascii="Arial" w:hAnsi="Arial" w:eastAsia="黑体" w:cs="Arial"/>
      <w:sz w:val="24"/>
      <w:szCs w:val="24"/>
      <w:lang w:eastAsia="en-US"/>
    </w:rPr>
  </w:style>
  <w:style w:type="paragraph" w:styleId="773" w:customStyle="1">
    <w:name w:val="修订1"/>
    <w:uiPriority w:val="99"/>
    <w:unhideWhenUsed/>
    <w:qFormat/>
    <w:rPr>
      <w:rFonts w:ascii="Times New Roman" w:hAnsi="Times New Roman" w:eastAsia="宋体" w:cs="Times New Roman"/>
      <w:sz w:val="21"/>
      <w:szCs w:val="21"/>
      <w:lang w:val="en-US" w:eastAsia="zh-CN" w:bidi="ar-SA"/>
    </w:rPr>
  </w:style>
  <w:style w:type="paragraph" w:styleId="774" w:customStyle="1">
    <w:name w:val="修订11"/>
    <w:uiPriority w:val="99"/>
    <w:semiHidden/>
    <w:qFormat/>
    <w:rPr>
      <w:rFonts w:ascii="Times New Roman" w:hAnsi="Times New Roman" w:eastAsia="宋体" w:cs="Times New Roman"/>
      <w:sz w:val="21"/>
      <w:szCs w:val="21"/>
      <w:lang w:val="en-US" w:eastAsia="zh-CN" w:bidi="ar-SA"/>
    </w:rPr>
  </w:style>
  <w:style w:type="paragraph" w:styleId="775" w:customStyle="1">
    <w:name w:val="普通正文"/>
    <w:basedOn w:val="704"/>
    <w:uiPriority w:val="99"/>
    <w:qFormat/>
    <w:pPr>
      <w:ind w:firstLine="480"/>
      <w:jc w:val="left"/>
      <w:spacing w:before="120" w:after="120" w:line="360" w:lineRule="auto"/>
    </w:pPr>
    <w:rPr>
      <w:rFonts w:ascii="Arial" w:hAnsi="Arial" w:cs="Arial"/>
      <w:sz w:val="24"/>
      <w:szCs w:val="24"/>
    </w:rPr>
  </w:style>
  <w:style w:type="paragraph" w:styleId="776" w:customStyle="1">
    <w:name w:val="BodyText1I"/>
    <w:basedOn w:val="777"/>
    <w:next w:val="704"/>
    <w:uiPriority w:val="0"/>
    <w:qFormat/>
    <w:pPr>
      <w:ind w:firstLine="420"/>
      <w:spacing w:after="120"/>
    </w:pPr>
    <w:rPr>
      <w:sz w:val="24"/>
    </w:rPr>
  </w:style>
  <w:style w:type="paragraph" w:styleId="777" w:customStyle="1">
    <w:name w:val="BodyText"/>
    <w:basedOn w:val="704"/>
    <w:uiPriority w:val="0"/>
    <w:qFormat/>
    <w:rPr>
      <w:sz w:val="32"/>
    </w:rPr>
  </w:style>
  <w:style w:type="paragraph" w:styleId="778" w:customStyle="1">
    <w:name w:val="List Paragraph1"/>
    <w:basedOn w:val="704"/>
    <w:uiPriority w:val="99"/>
    <w:qFormat/>
    <w:pPr>
      <w:ind w:firstLine="420"/>
    </w:pPr>
    <w:rPr>
      <w:rFonts w:ascii="Calibri" w:hAnsi="Calibri"/>
      <w:sz w:val="24"/>
      <w:szCs w:val="24"/>
    </w:rPr>
  </w:style>
  <w:style w:type="paragraph" w:styleId="779" w:customStyle="1">
    <w:name w:val="首行缩进"/>
    <w:basedOn w:val="704"/>
    <w:uiPriority w:val="0"/>
    <w:qFormat/>
    <w:pPr>
      <w:ind w:firstLine="480"/>
      <w:jc w:val="left"/>
      <w:spacing w:line="360" w:lineRule="auto"/>
    </w:pPr>
    <w:rPr>
      <w:rFonts w:ascii="宋体" w:hAnsi="宋体"/>
      <w:sz w:val="24"/>
    </w:rPr>
  </w:style>
  <w:style w:type="paragraph" w:styleId="780" w:customStyle="1">
    <w:name w:val="_Style 2"/>
    <w:basedOn w:val="704"/>
    <w:uiPriority w:val="99"/>
    <w:qFormat/>
    <w:pPr>
      <w:ind w:firstLine="420"/>
    </w:pPr>
    <w:rPr>
      <w:rFonts w:ascii="Calibri" w:hAnsi="Calibri"/>
      <w:szCs w:val="22"/>
    </w:rPr>
  </w:style>
  <w:style w:type="character" w:styleId="781" w:customStyle="1">
    <w:name w:val="正文文本缩进 2 字符"/>
    <w:basedOn w:val="714"/>
    <w:link w:val="727"/>
    <w:uiPriority w:val="99"/>
    <w:qFormat/>
    <w:rPr>
      <w:sz w:val="21"/>
      <w:szCs w:val="21"/>
    </w:rPr>
  </w:style>
  <w:style w:type="character" w:styleId="782" w:customStyle="1">
    <w:name w:val="标题 1 字符"/>
    <w:basedOn w:val="714"/>
    <w:link w:val="705"/>
    <w:uiPriority w:val="0"/>
    <w:qFormat/>
    <w:rPr>
      <w:b/>
      <w:bCs/>
      <w:sz w:val="32"/>
      <w:szCs w:val="32"/>
    </w:rPr>
  </w:style>
  <w:style w:type="character" w:styleId="783" w:customStyle="1">
    <w:name w:val="标题 2 字符"/>
    <w:basedOn w:val="714"/>
    <w:link w:val="706"/>
    <w:uiPriority w:val="9"/>
    <w:qFormat/>
    <w:rPr>
      <w:rFonts w:ascii="Cambria" w:hAnsi="Cambria" w:cs="Cambria"/>
      <w:b/>
      <w:bCs/>
      <w:sz w:val="32"/>
      <w:szCs w:val="32"/>
    </w:rPr>
  </w:style>
  <w:style w:type="character" w:styleId="784" w:customStyle="1">
    <w:name w:val="标题 3 字符"/>
    <w:basedOn w:val="714"/>
    <w:link w:val="707"/>
    <w:uiPriority w:val="9"/>
    <w:qFormat/>
    <w:rPr>
      <w:rFonts w:ascii="Calibri" w:hAnsi="Calibri" w:cs="Calibri"/>
      <w:b/>
      <w:bCs/>
      <w:sz w:val="32"/>
      <w:szCs w:val="32"/>
    </w:rPr>
  </w:style>
  <w:style w:type="character" w:styleId="785" w:customStyle="1">
    <w:name w:val="标题 4 字符"/>
    <w:basedOn w:val="714"/>
    <w:link w:val="708"/>
    <w:uiPriority w:val="9"/>
    <w:qFormat/>
    <w:rPr>
      <w:rFonts w:ascii="Cambria" w:hAnsi="Cambria" w:cs="Cambria"/>
      <w:b/>
      <w:bCs/>
      <w:sz w:val="28"/>
      <w:szCs w:val="28"/>
    </w:rPr>
  </w:style>
  <w:style w:type="paragraph" w:styleId="786" w:customStyle="1">
    <w:name w:val="无间隔1"/>
    <w:next w:val="787"/>
    <w:uiPriority w:val="1"/>
    <w:qFormat/>
    <w:rPr>
      <w:rFonts w:ascii="Calibri" w:hAnsi="Calibri" w:eastAsia="宋体" w:cs="Times New Roman"/>
      <w:lang w:val="en-US" w:eastAsia="zh-CN" w:bidi="ar-SA"/>
    </w:rPr>
  </w:style>
  <w:style w:type="paragraph" w:styleId="78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8" w:customStyle="1">
    <w:name w:val="标题 字符"/>
    <w:basedOn w:val="714"/>
    <w:link w:val="742"/>
    <w:uiPriority w:val="10"/>
    <w:qFormat/>
    <w:rPr>
      <w:sz w:val="48"/>
      <w:szCs w:val="48"/>
    </w:rPr>
  </w:style>
  <w:style w:type="character" w:styleId="789" w:customStyle="1">
    <w:name w:val="副标题 字符"/>
    <w:basedOn w:val="714"/>
    <w:link w:val="734"/>
    <w:uiPriority w:val="11"/>
    <w:qFormat/>
    <w:rPr>
      <w:sz w:val="24"/>
      <w:szCs w:val="24"/>
    </w:rPr>
  </w:style>
  <w:style w:type="paragraph" w:styleId="790">
    <w:name w:val="Quote"/>
    <w:basedOn w:val="704"/>
    <w:next w:val="704"/>
    <w:link w:val="791"/>
    <w:uiPriority w:val="29"/>
    <w:qFormat/>
    <w:pPr>
      <w:ind w:left="720" w:right="720"/>
    </w:pPr>
    <w:rPr>
      <w:i/>
      <w:szCs w:val="24"/>
    </w:rPr>
  </w:style>
  <w:style w:type="character" w:styleId="791" w:customStyle="1">
    <w:name w:val="引用 字符"/>
    <w:basedOn w:val="714"/>
    <w:link w:val="790"/>
    <w:uiPriority w:val="29"/>
    <w:qFormat/>
    <w:rPr>
      <w:i/>
      <w:sz w:val="21"/>
      <w:szCs w:val="24"/>
    </w:rPr>
  </w:style>
  <w:style w:type="paragraph" w:styleId="792">
    <w:name w:val="Intense Quote"/>
    <w:basedOn w:val="704"/>
    <w:next w:val="704"/>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93" w:customStyle="1">
    <w:name w:val="明显引用 字符"/>
    <w:basedOn w:val="714"/>
    <w:link w:val="792"/>
    <w:uiPriority w:val="30"/>
    <w:qFormat/>
    <w:rPr>
      <w:i/>
      <w:sz w:val="21"/>
      <w:szCs w:val="24"/>
      <w:shd w:val="clear" w:color="auto" w:fill="f2f2f2"/>
    </w:rPr>
  </w:style>
  <w:style w:type="character" w:styleId="794" w:customStyle="1">
    <w:name w:val="页眉 字符"/>
    <w:basedOn w:val="714"/>
    <w:link w:val="731"/>
    <w:uiPriority w:val="99"/>
    <w:qFormat/>
    <w:rPr>
      <w:sz w:val="18"/>
      <w:szCs w:val="21"/>
    </w:rPr>
  </w:style>
  <w:style w:type="character" w:styleId="795" w:customStyle="1">
    <w:name w:val="Footer Char"/>
    <w:basedOn w:val="714"/>
    <w:uiPriority w:val="99"/>
    <w:qFormat/>
  </w:style>
  <w:style w:type="paragraph" w:styleId="796" w:customStyle="1">
    <w:name w:val="题注1"/>
    <w:basedOn w:val="704"/>
    <w:next w:val="704"/>
    <w:uiPriority w:val="35"/>
    <w:semiHidden/>
    <w:unhideWhenUsed/>
    <w:qFormat/>
    <w:pPr>
      <w:spacing w:line="276" w:lineRule="auto"/>
    </w:pPr>
    <w:rPr>
      <w:b/>
      <w:bCs/>
      <w:color w:val="4874cb"/>
      <w:sz w:val="18"/>
      <w:szCs w:val="18"/>
    </w:rPr>
  </w:style>
  <w:style w:type="table" w:styleId="797" w:customStyle="1">
    <w:name w:val="网格型1"/>
    <w:basedOn w:val="7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8" w:customStyle="1">
    <w:name w:val="Table Grid Light"/>
    <w:basedOn w:val="715"/>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99" w:customStyle="1">
    <w:name w:val="无格式表格 11"/>
    <w:basedOn w:val="715"/>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15"/>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15"/>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15"/>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15"/>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15"/>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15"/>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15"/>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15"/>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15"/>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15"/>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15"/>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11" w:customStyle="1">
    <w:name w:val="网格表 21"/>
    <w:basedOn w:val="715"/>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2" w:customStyle="1">
    <w:name w:val="Grid Table 2 - Accent 1"/>
    <w:basedOn w:val="715"/>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13" w:customStyle="1">
    <w:name w:val="Grid Table 2 - Accent 2"/>
    <w:basedOn w:val="715"/>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14" w:customStyle="1">
    <w:name w:val="Grid Table 2 - Accent 3"/>
    <w:basedOn w:val="715"/>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15" w:customStyle="1">
    <w:name w:val="Grid Table 2 - Accent 4"/>
    <w:basedOn w:val="715"/>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16" w:customStyle="1">
    <w:name w:val="Grid Table 2 - Accent 5"/>
    <w:basedOn w:val="715"/>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17" w:customStyle="1">
    <w:name w:val="Grid Table 2 - Accent 6"/>
    <w:basedOn w:val="715"/>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18" w:customStyle="1">
    <w:name w:val="网格表 31"/>
    <w:basedOn w:val="715"/>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15"/>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15"/>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15"/>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15"/>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15"/>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15"/>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15"/>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Grid Table 4 - Accent 1"/>
    <w:basedOn w:val="715"/>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27" w:customStyle="1">
    <w:name w:val="Grid Table 4 - Accent 2"/>
    <w:basedOn w:val="715"/>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28" w:customStyle="1">
    <w:name w:val="Grid Table 4 - Accent 3"/>
    <w:basedOn w:val="715"/>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29" w:customStyle="1">
    <w:name w:val="Grid Table 4 - Accent 4"/>
    <w:basedOn w:val="715"/>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30" w:customStyle="1">
    <w:name w:val="Grid Table 4 - Accent 5"/>
    <w:basedOn w:val="715"/>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31" w:customStyle="1">
    <w:name w:val="Grid Table 4 - Accent 6"/>
    <w:basedOn w:val="715"/>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32" w:customStyle="1">
    <w:name w:val="网格表 5 深色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3" w:customStyle="1">
    <w:name w:val="Grid Table 5 Dark- Accent 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34" w:customStyle="1">
    <w:name w:val="Grid Table 5 Dark - Accent 2"/>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35" w:customStyle="1">
    <w:name w:val="Grid Table 5 Dark - Accent 3"/>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36" w:customStyle="1">
    <w:name w:val="Grid Table 5 Dark- Accent 4"/>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37" w:customStyle="1">
    <w:name w:val="Grid Table 5 Dark - Accent 5"/>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38" w:customStyle="1">
    <w:name w:val="Grid Table 5 Dark - Accent 6"/>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39" w:customStyle="1">
    <w:name w:val="网格表 6 彩色1"/>
    <w:basedOn w:val="715"/>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0" w:customStyle="1">
    <w:name w:val="Grid Table 6 Colorful - Accent 1"/>
    <w:basedOn w:val="715"/>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41" w:customStyle="1">
    <w:name w:val="Grid Table 6 Colorful - Accent 2"/>
    <w:basedOn w:val="715"/>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42" w:customStyle="1">
    <w:name w:val="Grid Table 6 Colorful - Accent 3"/>
    <w:basedOn w:val="715"/>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43" w:customStyle="1">
    <w:name w:val="Grid Table 6 Colorful - Accent 4"/>
    <w:basedOn w:val="715"/>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44" w:customStyle="1">
    <w:name w:val="Grid Table 6 Colorful - Accent 5"/>
    <w:basedOn w:val="715"/>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45" w:customStyle="1">
    <w:name w:val="Grid Table 6 Colorful - Accent 6"/>
    <w:basedOn w:val="715"/>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46" w:customStyle="1">
    <w:name w:val="网格表 7 彩色1"/>
    <w:basedOn w:val="715"/>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7" w:customStyle="1">
    <w:name w:val="Grid Table 7 Colorful - Accent 1"/>
    <w:basedOn w:val="715"/>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48" w:customStyle="1">
    <w:name w:val="Grid Table 7 Colorful - Accent 2"/>
    <w:basedOn w:val="715"/>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49" w:customStyle="1">
    <w:name w:val="Grid Table 7 Colorful - Accent 3"/>
    <w:basedOn w:val="715"/>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50" w:customStyle="1">
    <w:name w:val="Grid Table 7 Colorful - Accent 4"/>
    <w:basedOn w:val="715"/>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51" w:customStyle="1">
    <w:name w:val="Grid Table 7 Colorful - Accent 5"/>
    <w:basedOn w:val="715"/>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52" w:customStyle="1">
    <w:name w:val="Grid Table 7 Colorful - Accent 6"/>
    <w:basedOn w:val="715"/>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53" w:customStyle="1">
    <w:name w:val="清单表 1 浅色1"/>
    <w:basedOn w:val="715"/>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4" w:customStyle="1">
    <w:name w:val="List Table 1 Light - Accent 1"/>
    <w:basedOn w:val="715"/>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55" w:customStyle="1">
    <w:name w:val="List Table 1 Light - Accent 2"/>
    <w:basedOn w:val="715"/>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56" w:customStyle="1">
    <w:name w:val="List Table 1 Light - Accent 3"/>
    <w:basedOn w:val="715"/>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57" w:customStyle="1">
    <w:name w:val="List Table 1 Light - Accent 4"/>
    <w:basedOn w:val="715"/>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58" w:customStyle="1">
    <w:name w:val="List Table 1 Light - Accent 5"/>
    <w:basedOn w:val="715"/>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59" w:customStyle="1">
    <w:name w:val="List Table 1 Light - Accent 6"/>
    <w:basedOn w:val="715"/>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60" w:customStyle="1">
    <w:name w:val="清单表 21"/>
    <w:basedOn w:val="715"/>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1" w:customStyle="1">
    <w:name w:val="List Table 2 - Accent 1"/>
    <w:basedOn w:val="715"/>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62" w:customStyle="1">
    <w:name w:val="List Table 2 - Accent 2"/>
    <w:basedOn w:val="715"/>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63" w:customStyle="1">
    <w:name w:val="List Table 2 - Accent 3"/>
    <w:basedOn w:val="715"/>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64" w:customStyle="1">
    <w:name w:val="List Table 2 - Accent 4"/>
    <w:basedOn w:val="715"/>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65" w:customStyle="1">
    <w:name w:val="List Table 2 - Accent 5"/>
    <w:basedOn w:val="715"/>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66" w:customStyle="1">
    <w:name w:val="List Table 2 - Accent 6"/>
    <w:basedOn w:val="715"/>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67" w:customStyle="1">
    <w:name w:val="清单表 3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3 - Accent 1"/>
    <w:basedOn w:val="715"/>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9" w:customStyle="1">
    <w:name w:val="List Table 3 - Accent 2"/>
    <w:basedOn w:val="715"/>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70" w:customStyle="1">
    <w:name w:val="List Table 3 - Accent 3"/>
    <w:basedOn w:val="715"/>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71" w:customStyle="1">
    <w:name w:val="List Table 3 - Accent 4"/>
    <w:basedOn w:val="715"/>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72" w:customStyle="1">
    <w:name w:val="List Table 3 - Accent 5"/>
    <w:basedOn w:val="715"/>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73" w:customStyle="1">
    <w:name w:val="List Table 3 - Accent 6"/>
    <w:basedOn w:val="715"/>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74" w:customStyle="1">
    <w:name w:val="清单表 4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5" w:customStyle="1">
    <w:name w:val="List Table 4 - Accent 1"/>
    <w:basedOn w:val="715"/>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6" w:customStyle="1">
    <w:name w:val="List Table 4 - Accent 2"/>
    <w:basedOn w:val="715"/>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77" w:customStyle="1">
    <w:name w:val="List Table 4 - Accent 3"/>
    <w:basedOn w:val="715"/>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78" w:customStyle="1">
    <w:name w:val="List Table 4 - Accent 4"/>
    <w:basedOn w:val="715"/>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9" w:customStyle="1">
    <w:name w:val="List Table 4 - Accent 5"/>
    <w:basedOn w:val="715"/>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80" w:customStyle="1">
    <w:name w:val="List Table 4 - Accent 6"/>
    <w:basedOn w:val="715"/>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81" w:customStyle="1">
    <w:name w:val="清单表 5 深色1"/>
    <w:basedOn w:val="715"/>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2" w:customStyle="1">
    <w:name w:val="List Table 5 Dark - Accent 1"/>
    <w:basedOn w:val="715"/>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83" w:customStyle="1">
    <w:name w:val="List Table 5 Dark - Accent 2"/>
    <w:basedOn w:val="715"/>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84" w:customStyle="1">
    <w:name w:val="List Table 5 Dark - Accent 3"/>
    <w:basedOn w:val="715"/>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85" w:customStyle="1">
    <w:name w:val="List Table 5 Dark - Accent 4"/>
    <w:basedOn w:val="715"/>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86" w:customStyle="1">
    <w:name w:val="List Table 5 Dark - Accent 5"/>
    <w:basedOn w:val="715"/>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87" w:customStyle="1">
    <w:name w:val="List Table 5 Dark - Accent 6"/>
    <w:basedOn w:val="715"/>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88" w:customStyle="1">
    <w:name w:val="清单表 6 彩色1"/>
    <w:basedOn w:val="715"/>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9" w:customStyle="1">
    <w:name w:val="List Table 6 Colorful - Accent 1"/>
    <w:basedOn w:val="715"/>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90" w:customStyle="1">
    <w:name w:val="List Table 6 Colorful - Accent 2"/>
    <w:basedOn w:val="715"/>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91" w:customStyle="1">
    <w:name w:val="List Table 6 Colorful - Accent 3"/>
    <w:basedOn w:val="715"/>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92" w:customStyle="1">
    <w:name w:val="List Table 6 Colorful - Accent 4"/>
    <w:basedOn w:val="715"/>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93" w:customStyle="1">
    <w:name w:val="List Table 6 Colorful - Accent 5"/>
    <w:basedOn w:val="715"/>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94" w:customStyle="1">
    <w:name w:val="List Table 6 Colorful - Accent 6"/>
    <w:basedOn w:val="715"/>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95" w:customStyle="1">
    <w:name w:val="清单表 7 彩色1"/>
    <w:basedOn w:val="715"/>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6" w:customStyle="1">
    <w:name w:val="List Table 7 Colorful - Accent 1"/>
    <w:basedOn w:val="715"/>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97" w:customStyle="1">
    <w:name w:val="List Table 7 Colorful - Accent 2"/>
    <w:basedOn w:val="715"/>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98" w:customStyle="1">
    <w:name w:val="List Table 7 Colorful - Accent 3"/>
    <w:basedOn w:val="715"/>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99" w:customStyle="1">
    <w:name w:val="List Table 7 Colorful - Accent 4"/>
    <w:basedOn w:val="715"/>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00" w:customStyle="1">
    <w:name w:val="List Table 7 Colorful - Accent 5"/>
    <w:basedOn w:val="715"/>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901" w:customStyle="1">
    <w:name w:val="List Table 7 Colorful - Accent 6"/>
    <w:basedOn w:val="715"/>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902" w:customStyle="1">
    <w:name w:val="Lined - Accent"/>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3" w:customStyle="1">
    <w:name w:val="Lined - Accent 1"/>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4" w:customStyle="1">
    <w:name w:val="Lined - Accent 2"/>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05" w:customStyle="1">
    <w:name w:val="Lined - Accent 3"/>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06" w:customStyle="1">
    <w:name w:val="Lined - Accent 4"/>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7" w:customStyle="1">
    <w:name w:val="Lined - Accent 5"/>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8" w:customStyle="1">
    <w:name w:val="Lined - Accent 6"/>
    <w:basedOn w:val="715"/>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9" w:customStyle="1">
    <w:name w:val="Bordered &amp; Lined - Accent"/>
    <w:basedOn w:val="715"/>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0" w:customStyle="1">
    <w:name w:val="Bordered &amp; Lined - Accent 1"/>
    <w:basedOn w:val="715"/>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11" w:customStyle="1">
    <w:name w:val="Bordered &amp; Lined - Accent 2"/>
    <w:basedOn w:val="715"/>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12" w:customStyle="1">
    <w:name w:val="Bordered &amp; Lined - Accent 3"/>
    <w:basedOn w:val="715"/>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13" w:customStyle="1">
    <w:name w:val="Bordered &amp; Lined - Accent 4"/>
    <w:basedOn w:val="715"/>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4" w:customStyle="1">
    <w:name w:val="Bordered &amp; Lined - Accent 5"/>
    <w:basedOn w:val="715"/>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5" w:customStyle="1">
    <w:name w:val="Bordered &amp; Lined - Accent 6"/>
    <w:basedOn w:val="715"/>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6" w:customStyle="1">
    <w:name w:val="Bordered"/>
    <w:basedOn w:val="715"/>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17" w:customStyle="1">
    <w:name w:val="Bordered - Accent 1"/>
    <w:basedOn w:val="715"/>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18" w:customStyle="1">
    <w:name w:val="Bordered - Accent 2"/>
    <w:basedOn w:val="715"/>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19" w:customStyle="1">
    <w:name w:val="Bordered - Accent 3"/>
    <w:basedOn w:val="715"/>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20" w:customStyle="1">
    <w:name w:val="Bordered - Accent 4"/>
    <w:basedOn w:val="715"/>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21" w:customStyle="1">
    <w:name w:val="Bordered - Accent 5"/>
    <w:basedOn w:val="715"/>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22" w:customStyle="1">
    <w:name w:val="Bordered - Accent 6"/>
    <w:basedOn w:val="715"/>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23" w:customStyle="1">
    <w:name w:val="脚注文本 字符"/>
    <w:basedOn w:val="714"/>
    <w:link w:val="735"/>
    <w:uiPriority w:val="99"/>
    <w:qFormat/>
    <w:rPr>
      <w:sz w:val="18"/>
      <w:szCs w:val="24"/>
    </w:rPr>
  </w:style>
  <w:style w:type="character" w:styleId="924" w:customStyle="1">
    <w:name w:val="尾注文本 字符"/>
    <w:basedOn w:val="714"/>
    <w:link w:val="728"/>
    <w:uiPriority w:val="99"/>
    <w:qFormat/>
    <w:rPr>
      <w:szCs w:val="24"/>
    </w:rPr>
  </w:style>
  <w:style w:type="paragraph" w:styleId="925" w:customStyle="1">
    <w:name w:val="TOC 标题1"/>
    <w:next w:val="926"/>
    <w:uiPriority w:val="39"/>
    <w:unhideWhenUsed/>
    <w:qFormat/>
    <w:rPr>
      <w:rFonts w:ascii="Calibri" w:hAnsi="Calibri" w:eastAsia="宋体" w:cs="Times New Roman"/>
      <w:lang w:val="en-US" w:eastAsia="zh-CN" w:bidi="ar-SA"/>
    </w:rPr>
  </w:style>
  <w:style w:type="paragraph" w:styleId="926" w:customStyle="1">
    <w:name w:val="TOC 标题2"/>
    <w:basedOn w:val="705"/>
    <w:next w:val="704"/>
    <w:uiPriority w:val="39"/>
    <w:semiHidden/>
    <w:unhideWhenUsed/>
    <w:qFormat/>
    <w:pPr>
      <w:numPr>
        <w:numId w:val="0"/>
      </w:numPr>
      <w:jc w:val="both"/>
      <w:outlineLvl w:val="9"/>
    </w:pPr>
    <w:rPr>
      <w:sz w:val="44"/>
      <w:szCs w:val="44"/>
    </w:rPr>
  </w:style>
  <w:style w:type="table" w:styleId="927" w:customStyle="1">
    <w:name w:val="无格式表格 12"/>
    <w:basedOn w:val="715"/>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28" w:customStyle="1">
    <w:name w:val="无格式表格 22"/>
    <w:basedOn w:val="715"/>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29" w:customStyle="1">
    <w:name w:val="无格式表格 32"/>
    <w:basedOn w:val="715"/>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30" w:customStyle="1">
    <w:name w:val="无格式表格 42"/>
    <w:basedOn w:val="715"/>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31" w:customStyle="1">
    <w:name w:val="无格式表格 52"/>
    <w:basedOn w:val="715"/>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32" w:customStyle="1">
    <w:name w:val="网格表 1 浅色2"/>
    <w:basedOn w:val="715"/>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33" w:customStyle="1">
    <w:name w:val="网格表 22"/>
    <w:basedOn w:val="715"/>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34" w:customStyle="1">
    <w:name w:val="网格表 32"/>
    <w:basedOn w:val="715"/>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5" w:customStyle="1">
    <w:name w:val="网格表 42"/>
    <w:basedOn w:val="715"/>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36" w:customStyle="1">
    <w:name w:val="网格表 5 深色2"/>
    <w:basedOn w:val="715"/>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37" w:customStyle="1">
    <w:name w:val="网格表 6 彩色2"/>
    <w:basedOn w:val="715"/>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8" w:customStyle="1">
    <w:name w:val="网格表 7 彩色2"/>
    <w:basedOn w:val="715"/>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9" w:customStyle="1">
    <w:name w:val="清单表 1 浅色2"/>
    <w:basedOn w:val="715"/>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40" w:customStyle="1">
    <w:name w:val="清单表 22"/>
    <w:basedOn w:val="715"/>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41" w:customStyle="1">
    <w:name w:val="清单表 32"/>
    <w:basedOn w:val="715"/>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42" w:customStyle="1">
    <w:name w:val="清单表 42"/>
    <w:basedOn w:val="715"/>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43" w:customStyle="1">
    <w:name w:val="清单表 5 深色2"/>
    <w:basedOn w:val="715"/>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44" w:customStyle="1">
    <w:name w:val="清单表 6 彩色2"/>
    <w:basedOn w:val="715"/>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45" w:customStyle="1">
    <w:name w:val="清单表 7 彩色2"/>
    <w:basedOn w:val="715"/>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46" w:customStyle="1">
    <w:name w:val="Table Text"/>
    <w:basedOn w:val="704"/>
    <w:uiPriority w:val="0"/>
    <w:semiHidden/>
    <w:qFormat/>
    <w:rPr>
      <w:rFonts w:ascii="仿宋" w:hAnsi="仿宋" w:eastAsia="仿宋" w:cs="仿宋"/>
      <w:sz w:val="24"/>
      <w:szCs w:val="24"/>
      <w:lang w:eastAsia="en-US"/>
    </w:rPr>
  </w:style>
  <w:style w:type="table" w:styleId="947" w:customStyle="1">
    <w:name w:val="Table Normal"/>
    <w:uiPriority w:val="0"/>
    <w:semiHidden/>
    <w:unhideWhenUsed/>
    <w:qFormat/>
    <w:tblPr>
      <w:tblCellMar>
        <w:left w:w="0" w:type="dxa"/>
        <w:top w:w="0" w:type="dxa"/>
        <w:right w:w="0" w:type="dxa"/>
        <w:bottom w:w="0" w:type="dxa"/>
      </w:tblCellMar>
    </w:tblPr>
  </w:style>
  <w:style w:type="paragraph" w:styleId="948"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49"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50"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951" w:customStyle="1">
    <w:name w:val="font21"/>
    <w:uiPriority w:val="0"/>
    <w:qFormat/>
    <w:rPr>
      <w:rFonts w:hint="eastAsia" w:ascii="仿宋" w:hAnsi="仿宋" w:eastAsia="仿宋" w:cs="仿宋"/>
      <w:color w:val="000000"/>
      <w:sz w:val="20"/>
      <w:szCs w:val="20"/>
      <w:u w:val="none"/>
    </w:rPr>
  </w:style>
  <w:style w:type="character" w:styleId="952" w:customStyle="1">
    <w:name w:val="font51"/>
    <w:uiPriority w:val="0"/>
    <w:qFormat/>
    <w:rPr>
      <w:rFonts w:hint="default" w:ascii="Times New Roman" w:hAnsi="Times New Roman" w:cs="Times New Roman"/>
      <w:color w:val="000000"/>
      <w:sz w:val="20"/>
      <w:szCs w:val="20"/>
      <w:u w:val="none"/>
    </w:rPr>
  </w:style>
  <w:style w:type="paragraph" w:styleId="953" w:customStyle="1">
    <w:name w:val="标题2"/>
    <w:basedOn w:val="706"/>
    <w:uiPriority w:val="0"/>
    <w:qFormat/>
    <w:pPr>
      <w:keepLines w:val="0"/>
      <w:keepNext w:val="0"/>
      <w:spacing w:before="0" w:after="0" w:line="360" w:lineRule="auto"/>
      <w:tabs>
        <w:tab w:val="left" w:pos="0" w:leader="none"/>
      </w:tabs>
    </w:pPr>
    <w:rPr>
      <w:rFonts w:eastAsia="仿宋_GB2312"/>
      <w:sz w:val="28"/>
    </w:rPr>
  </w:style>
  <w:style w:type="paragraph" w:styleId="954" w:customStyle="1">
    <w:name w:val="表标题"/>
    <w:basedOn w:val="704"/>
    <w:uiPriority w:val="0"/>
    <w:qFormat/>
    <w:pPr>
      <w:contextualSpacing/>
      <w:jc w:val="center"/>
    </w:pPr>
    <w:rPr>
      <w:rFonts w:eastAsia="黑体"/>
      <w:szCs w:val="24"/>
    </w:rPr>
  </w:style>
  <w:style w:type="paragraph" w:styleId="955" w:customStyle="1">
    <w:name w:val="标题3"/>
    <w:basedOn w:val="707"/>
    <w:uiPriority w:val="0"/>
    <w:qFormat/>
    <w:pPr>
      <w:ind w:firstLine="200"/>
      <w:keepLines w:val="0"/>
      <w:keepNext w:val="0"/>
      <w:spacing w:before="0" w:after="0" w:line="360" w:lineRule="auto"/>
      <w:tabs>
        <w:tab w:val="left" w:pos="0" w:leader="none"/>
      </w:tabs>
    </w:pPr>
    <w:rPr>
      <w:rFonts w:eastAsia="仿宋_GB2312"/>
      <w:sz w:val="24"/>
    </w:rPr>
  </w:style>
  <w:style w:type="paragraph" w:styleId="956" w:customStyle="1">
    <w:name w:val="正文2"/>
    <w:basedOn w:val="704"/>
    <w:uiPriority w:val="0"/>
    <w:qFormat/>
    <w:pPr>
      <w:ind w:firstLine="200"/>
      <w:spacing w:after="160" w:line="360" w:lineRule="auto"/>
      <w:widowControl/>
    </w:pPr>
    <w:rPr>
      <w:rFonts w:ascii="Verdana" w:hAnsi="Verdana" w:eastAsia="黑体"/>
      <w:lang w:eastAsia="en-US"/>
    </w:rPr>
  </w:style>
  <w:style w:type="paragraph" w:styleId="95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8" w:customStyle="1">
    <w:name w:val="纯文本1"/>
    <w:basedOn w:val="704"/>
    <w:uiPriority w:val="0"/>
    <w:qFormat/>
    <w:rPr>
      <w:rFonts w:hAnsi="Courier New"/>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2026-10-08T03:02:00Z</dcterms:created>
  <dcterms:modified xsi:type="dcterms:W3CDTF">2026-10-12T09:04:10Z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634D3EDE4E8547F582407F21024A5D59_13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