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11230A">
      <w:pPr>
        <w:pStyle w:val="193"/>
      </w:pPr>
    </w:p>
    <w:p w14:paraId="152200E6"/>
    <w:p w14:paraId="5A1FBE5C"/>
    <w:p w14:paraId="209615C6">
      <w:pPr>
        <w:jc w:val="center"/>
        <w:rPr>
          <w:rFonts w:ascii="黑体" w:hAnsi="黑体" w:eastAsia="黑体"/>
          <w:b/>
          <w:sz w:val="84"/>
          <w:szCs w:val="84"/>
        </w:rPr>
      </w:pPr>
    </w:p>
    <w:p w14:paraId="40F56A1C">
      <w:pPr>
        <w:jc w:val="center"/>
        <w:rPr>
          <w:rFonts w:ascii="黑体" w:hAnsi="黑体" w:eastAsia="黑体"/>
          <w:b/>
          <w:sz w:val="84"/>
          <w:szCs w:val="84"/>
        </w:rPr>
      </w:pPr>
      <w:r>
        <w:rPr>
          <w:rFonts w:hint="eastAsia" w:ascii="黑体" w:hAnsi="黑体" w:eastAsia="黑体"/>
          <w:b/>
          <w:sz w:val="84"/>
          <w:szCs w:val="84"/>
        </w:rPr>
        <w:t>招　标　文　件</w:t>
      </w:r>
    </w:p>
    <w:p w14:paraId="53D2A4E2">
      <w:pPr>
        <w:spacing w:line="480" w:lineRule="auto"/>
        <w:ind w:firstLine="2249"/>
        <w:jc w:val="left"/>
        <w:rPr>
          <w:rFonts w:ascii="Arial" w:hAnsi="Arial" w:eastAsia="宋体" w:cs="Times New Roman"/>
          <w:b/>
          <w:bCs/>
          <w:color w:val="000000"/>
          <w:sz w:val="32"/>
          <w:szCs w:val="24"/>
        </w:rPr>
      </w:pPr>
    </w:p>
    <w:p w14:paraId="1F02C93A">
      <w:pPr>
        <w:spacing w:line="480" w:lineRule="auto"/>
        <w:jc w:val="left"/>
        <w:rPr>
          <w:rFonts w:ascii="Arial" w:hAnsi="Arial" w:eastAsia="宋体" w:cs="Times New Roman"/>
          <w:b/>
          <w:bCs/>
          <w:color w:val="000000"/>
          <w:sz w:val="32"/>
          <w:szCs w:val="24"/>
        </w:rPr>
      </w:pPr>
    </w:p>
    <w:p w14:paraId="73806DDB">
      <w:pPr>
        <w:spacing w:line="480" w:lineRule="auto"/>
        <w:ind w:firstLine="2249"/>
        <w:jc w:val="left"/>
        <w:rPr>
          <w:rFonts w:ascii="Arial" w:hAnsi="Arial" w:eastAsia="宋体" w:cs="Times New Roman"/>
          <w:b/>
          <w:bCs/>
          <w:color w:val="000000"/>
          <w:sz w:val="32"/>
          <w:szCs w:val="24"/>
        </w:rPr>
      </w:pPr>
    </w:p>
    <w:p w14:paraId="6DC6FCBC">
      <w:pPr>
        <w:spacing w:line="480" w:lineRule="auto"/>
        <w:ind w:firstLine="2249"/>
        <w:jc w:val="left"/>
        <w:rPr>
          <w:rFonts w:ascii="Arial" w:hAnsi="Arial" w:eastAsia="宋体" w:cs="Times New Roman"/>
          <w:b/>
          <w:bCs/>
          <w:color w:val="000000"/>
          <w:sz w:val="32"/>
          <w:szCs w:val="24"/>
        </w:rPr>
      </w:pPr>
    </w:p>
    <w:p w14:paraId="63902506">
      <w:pPr>
        <w:spacing w:line="480" w:lineRule="auto"/>
        <w:ind w:firstLine="1285"/>
        <w:rPr>
          <w:rFonts w:ascii="黑体" w:hAnsi="Arial" w:eastAsia="宋体" w:cs="Times New Roman"/>
          <w:b/>
          <w:color w:val="000000"/>
          <w:sz w:val="44"/>
          <w:szCs w:val="21"/>
        </w:rPr>
      </w:pPr>
      <w:r>
        <w:rPr>
          <w:rFonts w:hint="eastAsia" w:ascii="Arial" w:hAnsi="Arial" w:eastAsia="宋体" w:cs="Times New Roman"/>
          <w:b/>
          <w:bCs/>
          <w:color w:val="000000"/>
          <w:sz w:val="32"/>
          <w:szCs w:val="24"/>
        </w:rPr>
        <w:t>项目名称：国家税务总局连云港市税务局2026-2029年物业管理服务项目</w:t>
      </w:r>
    </w:p>
    <w:p w14:paraId="302B6CF2">
      <w:pPr>
        <w:spacing w:line="480" w:lineRule="auto"/>
        <w:jc w:val="center"/>
        <w:rPr>
          <w:rFonts w:ascii="Arial" w:hAnsi="Arial" w:eastAsia="宋体" w:cs="Times New Roman"/>
          <w:b/>
          <w:bCs/>
          <w:sz w:val="32"/>
          <w:szCs w:val="32"/>
        </w:rPr>
      </w:pPr>
      <w:r>
        <w:rPr>
          <w:rFonts w:hint="eastAsia" w:ascii="Arial" w:hAnsi="Arial" w:eastAsia="宋体" w:cs="Times New Roman"/>
          <w:b/>
          <w:bCs/>
          <w:sz w:val="32"/>
          <w:szCs w:val="24"/>
        </w:rPr>
        <w:t xml:space="preserve">    项目编号：JSZC-320700-JZCG-G2026-0139</w:t>
      </w:r>
    </w:p>
    <w:p w14:paraId="7F90EFDF">
      <w:pPr>
        <w:spacing w:line="480" w:lineRule="auto"/>
        <w:jc w:val="center"/>
        <w:rPr>
          <w:rFonts w:ascii="黑体" w:hAnsi="Arial" w:eastAsia="黑体" w:cs="Times New Roman"/>
          <w:b/>
          <w:bCs/>
          <w:color w:val="000000"/>
          <w:sz w:val="44"/>
          <w:szCs w:val="44"/>
        </w:rPr>
      </w:pPr>
    </w:p>
    <w:p w14:paraId="6147F9F8">
      <w:pPr>
        <w:spacing w:before="120" w:after="120" w:line="360" w:lineRule="auto"/>
        <w:jc w:val="center"/>
        <w:rPr>
          <w:rFonts w:ascii="Arial" w:hAnsi="Arial" w:eastAsia="宋体" w:cs="Times New Roman"/>
          <w:b/>
          <w:bCs/>
          <w:color w:val="000000"/>
          <w:sz w:val="32"/>
          <w:szCs w:val="24"/>
        </w:rPr>
      </w:pPr>
      <w:r>
        <w:rPr>
          <w:rFonts w:hint="eastAsia" w:ascii="Arial" w:hAnsi="Arial" w:eastAsia="宋体" w:cs="Times New Roman"/>
          <w:b/>
          <w:bCs/>
          <w:color w:val="000000"/>
          <w:sz w:val="32"/>
          <w:szCs w:val="24"/>
        </w:rPr>
        <w:t>连云港市公共资源交易中心</w:t>
      </w:r>
    </w:p>
    <w:p w14:paraId="358E650C">
      <w:pPr>
        <w:spacing w:before="120" w:after="120" w:line="360" w:lineRule="auto"/>
        <w:jc w:val="center"/>
        <w:rPr>
          <w:rFonts w:asciiTheme="minorEastAsia" w:hAnsiTheme="minorEastAsia"/>
          <w:sz w:val="24"/>
        </w:rPr>
      </w:pPr>
      <w:r>
        <w:rPr>
          <w:rFonts w:hint="eastAsia" w:ascii="Arial" w:hAnsi="Arial" w:eastAsia="宋体" w:cs="Times New Roman"/>
          <w:b/>
          <w:bCs/>
          <w:color w:val="000000"/>
          <w:sz w:val="32"/>
          <w:szCs w:val="24"/>
        </w:rPr>
        <w:t>2026年</w:t>
      </w:r>
      <w:r>
        <w:rPr>
          <w:rFonts w:hint="eastAsia" w:ascii="Arial" w:hAnsi="Arial" w:eastAsia="宋体" w:cs="Times New Roman"/>
          <w:b/>
          <w:bCs/>
          <w:color w:val="000000"/>
          <w:sz w:val="32"/>
          <w:szCs w:val="24"/>
          <w:lang w:val="en-US" w:eastAsia="zh-CN"/>
        </w:rPr>
        <w:t>11</w:t>
      </w:r>
      <w:r>
        <w:rPr>
          <w:rFonts w:hint="eastAsia" w:ascii="Arial" w:hAnsi="Arial" w:eastAsia="宋体" w:cs="Times New Roman"/>
          <w:b/>
          <w:bCs/>
          <w:color w:val="000000"/>
          <w:sz w:val="32"/>
          <w:szCs w:val="24"/>
        </w:rPr>
        <w:t>月</w:t>
      </w:r>
      <w:r>
        <w:rPr/>
        <w:br w:type="page" w:clear="all"/>
      </w:r>
      <w:bookmarkStart w:id="0" w:name="OLE_LINK15"/>
      <w:bookmarkStart w:id="1" w:name="OLE_LINK16"/>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p>
    <w:p w14:paraId="618C8718">
      <w:pPr>
        <w:keepNext/>
        <w:keepLines/>
        <w:spacing w:line="360" w:lineRule="auto"/>
        <w:jc w:val="center"/>
        <w:outlineLvl w:val="0"/>
        <w:rPr>
          <w:rFonts w:asciiTheme="minorEastAsia" w:hAnsiTheme="minorEastAsia"/>
          <w:bCs/>
          <w:sz w:val="44"/>
          <w:szCs w:val="44"/>
        </w:rPr>
      </w:pPr>
      <w:r>
        <w:rPr>
          <w:rFonts w:hint="eastAsia" w:asciiTheme="minorEastAsia" w:hAnsiTheme="minorEastAsia"/>
          <w:bCs/>
          <w:sz w:val="44"/>
          <w:szCs w:val="44"/>
        </w:rPr>
        <w:t>目  录</w:t>
      </w:r>
    </w:p>
    <w:p w14:paraId="123898C0">
      <w:pPr>
        <w:pStyle w:val="17"/>
        <w:rPr>
          <w:sz w:val="28"/>
        </w:rPr>
      </w:pPr>
    </w:p>
    <w:p w14:paraId="16EC7975">
      <w:pPr>
        <w:pStyle w:val="17"/>
        <w:rPr>
          <w:sz w:val="28"/>
        </w:rPr>
      </w:pPr>
      <w:r>
        <w:rPr>
          <w:rFonts w:hint="eastAsia"/>
          <w:sz w:val="28"/>
        </w:rPr>
        <w:t>第一章</w:t>
      </w:r>
      <w:r>
        <w:rPr>
          <w:sz w:val="28"/>
        </w:rPr>
        <w:t xml:space="preserve">  </w:t>
      </w:r>
      <w:r>
        <w:rPr>
          <w:rFonts w:hint="eastAsia"/>
          <w:sz w:val="28"/>
        </w:rPr>
        <w:t>投标邀请..................................................................</w:t>
      </w:r>
      <w:r>
        <w:rPr>
          <w:sz w:val="28"/>
        </w:rPr>
        <w:fldChar w:fldCharType="begin"/>
      </w:r>
      <w:r>
        <w:rPr>
          <w:sz w:val="28"/>
        </w:rPr>
        <w:instrText xml:space="preserve"> PAGEREF _Toc162361610 \h </w:instrText>
      </w:r>
      <w:r>
        <w:rPr>
          <w:sz w:val="28"/>
        </w:rPr>
        <w:fldChar w:fldCharType="separate"/>
      </w:r>
      <w:r>
        <w:rPr>
          <w:sz w:val="28"/>
        </w:rPr>
        <w:t>1</w:t>
      </w:r>
      <w:r>
        <w:rPr>
          <w:sz w:val="28"/>
        </w:rPr>
        <w:fldChar w:fldCharType="end"/>
      </w:r>
    </w:p>
    <w:p w14:paraId="2C4CFBB3">
      <w:pPr>
        <w:pStyle w:val="17"/>
        <w:rPr>
          <w:sz w:val="28"/>
        </w:rPr>
      </w:pPr>
      <w:r>
        <w:rPr>
          <w:rFonts w:hint="eastAsia"/>
          <w:sz w:val="28"/>
        </w:rPr>
        <w:t>第二章</w:t>
      </w:r>
      <w:r>
        <w:rPr>
          <w:sz w:val="28"/>
        </w:rPr>
        <w:t xml:space="preserve">  </w:t>
      </w:r>
      <w:r>
        <w:rPr>
          <w:rFonts w:hint="eastAsia"/>
          <w:sz w:val="28"/>
        </w:rPr>
        <w:t>投标人须知.................................</w:t>
      </w:r>
      <w:r>
        <w:rPr>
          <w:rFonts w:hint="default"/>
          <w:sz w:val="28"/>
          <w:lang w:val="en-US"/>
        </w:rPr>
        <w:t>.</w:t>
      </w:r>
      <w:r>
        <w:rPr>
          <w:rFonts w:hint="eastAsia"/>
          <w:sz w:val="28"/>
        </w:rPr>
        <w:t>.............................</w:t>
      </w:r>
      <w:r>
        <w:rPr>
          <w:sz w:val="28"/>
        </w:rPr>
        <w:fldChar w:fldCharType="begin"/>
      </w:r>
      <w:r>
        <w:rPr>
          <w:sz w:val="28"/>
        </w:rPr>
        <w:instrText xml:space="preserve"> PAGEREF _Toc162361611 \h </w:instrText>
      </w:r>
      <w:r>
        <w:rPr>
          <w:sz w:val="28"/>
        </w:rPr>
        <w:fldChar w:fldCharType="separate"/>
      </w:r>
      <w:r>
        <w:rPr>
          <w:sz w:val="28"/>
        </w:rPr>
        <w:t>5</w:t>
      </w:r>
      <w:r>
        <w:rPr>
          <w:sz w:val="28"/>
        </w:rPr>
        <w:fldChar w:fldCharType="end"/>
      </w:r>
    </w:p>
    <w:p w14:paraId="0DE01FAE">
      <w:pPr>
        <w:pStyle w:val="17"/>
        <w:rPr>
          <w:sz w:val="28"/>
        </w:rPr>
      </w:pPr>
      <w:r>
        <w:rPr>
          <w:rFonts w:hint="eastAsia"/>
          <w:sz w:val="28"/>
        </w:rPr>
        <w:t>第三章</w:t>
      </w:r>
      <w:r>
        <w:rPr>
          <w:sz w:val="28"/>
        </w:rPr>
        <w:t xml:space="preserve">  </w:t>
      </w:r>
      <w:r>
        <w:rPr>
          <w:rFonts w:hint="eastAsia"/>
          <w:sz w:val="28"/>
        </w:rPr>
        <w:t>合同文本................................................................</w:t>
      </w:r>
      <w:r>
        <w:rPr>
          <w:sz w:val="28"/>
        </w:rPr>
        <w:fldChar w:fldCharType="begin"/>
      </w:r>
      <w:r>
        <w:rPr>
          <w:sz w:val="28"/>
        </w:rPr>
        <w:instrText xml:space="preserve"> PAGEREF _Toc162361612 \h </w:instrText>
      </w:r>
      <w:r>
        <w:rPr>
          <w:sz w:val="28"/>
        </w:rPr>
        <w:fldChar w:fldCharType="separate"/>
      </w:r>
      <w:r>
        <w:rPr>
          <w:sz w:val="28"/>
        </w:rPr>
        <w:t>24</w:t>
      </w:r>
      <w:r>
        <w:rPr>
          <w:sz w:val="28"/>
        </w:rPr>
        <w:fldChar w:fldCharType="end"/>
      </w:r>
    </w:p>
    <w:p w14:paraId="1DD8CFAB">
      <w:pPr>
        <w:pStyle w:val="17"/>
        <w:rPr>
          <w:sz w:val="28"/>
        </w:rPr>
      </w:pPr>
      <w:r>
        <w:rPr>
          <w:rFonts w:hint="eastAsia"/>
          <w:sz w:val="28"/>
        </w:rPr>
        <w:t>第四章</w:t>
      </w:r>
      <w:r>
        <w:rPr>
          <w:sz w:val="28"/>
        </w:rPr>
        <w:t xml:space="preserve">  </w:t>
      </w:r>
      <w:r>
        <w:rPr>
          <w:rFonts w:hint="eastAsia"/>
          <w:sz w:val="28"/>
        </w:rPr>
        <w:t>采购需求................................................................</w:t>
      </w:r>
      <w:r>
        <w:rPr>
          <w:sz w:val="28"/>
        </w:rPr>
        <w:fldChar w:fldCharType="begin"/>
      </w:r>
      <w:r>
        <w:rPr>
          <w:sz w:val="28"/>
        </w:rPr>
        <w:instrText xml:space="preserve"> PAGEREF _Toc162361613 \h </w:instrText>
      </w:r>
      <w:r>
        <w:rPr>
          <w:sz w:val="28"/>
        </w:rPr>
        <w:fldChar w:fldCharType="separate"/>
      </w:r>
      <w:r>
        <w:rPr>
          <w:sz w:val="28"/>
        </w:rPr>
        <w:t>30</w:t>
      </w:r>
      <w:r>
        <w:rPr>
          <w:sz w:val="28"/>
        </w:rPr>
        <w:fldChar w:fldCharType="end"/>
      </w:r>
    </w:p>
    <w:p w14:paraId="2F4AB19D">
      <w:pPr>
        <w:pStyle w:val="17"/>
        <w:rPr>
          <w:sz w:val="28"/>
        </w:rPr>
      </w:pPr>
      <w:r>
        <w:rPr>
          <w:rFonts w:hint="eastAsia"/>
          <w:sz w:val="28"/>
        </w:rPr>
        <w:t>第五章</w:t>
      </w:r>
      <w:r>
        <w:rPr>
          <w:sz w:val="28"/>
        </w:rPr>
        <w:t xml:space="preserve">  </w:t>
      </w:r>
      <w:r>
        <w:rPr>
          <w:rFonts w:hint="eastAsia"/>
          <w:sz w:val="28"/>
        </w:rPr>
        <w:t>评标方法与评标标准................................................74</w:t>
      </w:r>
    </w:p>
    <w:p w14:paraId="1F219926">
      <w:pPr>
        <w:pStyle w:val="17"/>
        <w:rPr>
          <w:sz w:val="28"/>
        </w:rPr>
      </w:pPr>
      <w:r>
        <w:rPr>
          <w:rFonts w:hint="eastAsia"/>
          <w:sz w:val="28"/>
        </w:rPr>
        <w:t>第六章</w:t>
      </w:r>
      <w:r>
        <w:rPr>
          <w:sz w:val="28"/>
        </w:rPr>
        <w:t xml:space="preserve">  </w:t>
      </w:r>
      <w:r>
        <w:rPr>
          <w:rFonts w:hint="eastAsia"/>
          <w:sz w:val="28"/>
        </w:rPr>
        <w:t>投标文件格式.........................................................</w:t>
      </w:r>
      <w:r>
        <w:rPr>
          <w:sz w:val="28"/>
        </w:rPr>
        <w:fldChar w:fldCharType="begin"/>
      </w:r>
      <w:r>
        <w:rPr>
          <w:sz w:val="28"/>
        </w:rPr>
        <w:instrText xml:space="preserve"> PAGEREF _Toc162361615 \h </w:instrText>
      </w:r>
      <w:r>
        <w:rPr>
          <w:sz w:val="28"/>
        </w:rPr>
        <w:fldChar w:fldCharType="separate"/>
      </w:r>
      <w:r>
        <w:rPr>
          <w:sz w:val="28"/>
        </w:rPr>
        <w:t>80</w:t>
      </w:r>
      <w:r>
        <w:rPr>
          <w:sz w:val="28"/>
        </w:rPr>
        <w:fldChar w:fldCharType="end"/>
      </w:r>
    </w:p>
    <w:p w14:paraId="257F5685">
      <w:pPr>
        <w:widowControl/>
        <w:spacing w:line="360" w:lineRule="auto"/>
        <w:jc w:val="left"/>
        <w:rPr>
          <w:rFonts w:asciiTheme="minorEastAsia" w:hAnsiTheme="minorEastAsia"/>
          <w:sz w:val="28"/>
        </w:rPr>
      </w:pPr>
      <w:r>
        <w:rPr>
          <w:rFonts w:asciiTheme="minorEastAsia" w:hAnsiTheme="minorEastAsia"/>
          <w:sz w:val="24"/>
        </w:rPr>
        <w:fldChar w:fldCharType="end"/>
      </w:r>
      <w:bookmarkEnd w:id="0"/>
      <w:bookmarkEnd w:id="1"/>
      <w:r>
        <w:rPr>
          <w:rFonts w:asciiTheme="minorEastAsia" w:hAnsiTheme="minorEastAsia"/>
          <w:sz w:val="28"/>
        </w:rPr>
        <w:br w:type="page" w:clear="all"/>
      </w:r>
    </w:p>
    <w:p w14:paraId="030D1033">
      <w:pPr>
        <w:pStyle w:val="193"/>
        <w:spacing w:line="360" w:lineRule="auto"/>
        <w:jc w:val="center"/>
        <w:rPr>
          <w:rFonts w:ascii="黑体" w:hAnsi="黑体" w:eastAsia="黑体"/>
          <w:b w:val="0"/>
        </w:rPr>
        <w:sectPr>
          <w:footerReference r:id="rId3" w:type="default"/>
          <w:pgSz w:w="11906" w:h="16838"/>
          <w:pgMar w:top="1440" w:right="1800" w:bottom="1440" w:left="1800" w:header="851" w:footer="992" w:gutter="0"/>
          <w:cols w:space="425" w:num="1"/>
          <w:docGrid w:linePitch="360" w:charSpace="0"/>
        </w:sectPr>
      </w:pPr>
    </w:p>
    <w:p w14:paraId="05F45062">
      <w:pPr>
        <w:pStyle w:val="193"/>
        <w:spacing w:line="360" w:lineRule="auto"/>
        <w:jc w:val="center"/>
        <w:rPr>
          <w:rFonts w:ascii="黑体" w:hAnsi="黑体" w:eastAsia="黑体"/>
          <w:b w:val="0"/>
        </w:rPr>
      </w:pPr>
      <w:bookmarkStart w:id="2" w:name="_Toc162361610"/>
      <w:r>
        <w:rPr>
          <w:rFonts w:hint="eastAsia" w:ascii="黑体" w:hAnsi="黑体" w:eastAsia="黑体"/>
          <w:b w:val="0"/>
        </w:rPr>
        <w:t>第一章  投标邀请</w:t>
      </w:r>
      <w:bookmarkEnd w:id="2"/>
    </w:p>
    <w:p w14:paraId="6B495A4F">
      <w:pPr>
        <w:spacing w:line="500" w:lineRule="exact"/>
        <w:ind w:firstLine="480"/>
        <w:rPr>
          <w:rFonts w:asciiTheme="minorEastAsia" w:hAnsiTheme="minorEastAsia"/>
          <w:sz w:val="24"/>
          <w:szCs w:val="24"/>
        </w:rPr>
      </w:pPr>
      <w:r>
        <w:rPr>
          <w:rFonts w:hint="eastAsia" w:asciiTheme="minorEastAsia" w:hAnsiTheme="minorEastAsia"/>
          <w:sz w:val="24"/>
          <w:szCs w:val="24"/>
        </w:rPr>
        <w:t>受国家税务总局连云港市税务局的委托，</w:t>
      </w:r>
      <w:bookmarkStart w:id="3" w:name="OLE_LINK283"/>
      <w:r>
        <w:rPr>
          <w:rFonts w:hint="eastAsia" w:asciiTheme="minorEastAsia" w:hAnsiTheme="minorEastAsia"/>
          <w:sz w:val="24"/>
          <w:szCs w:val="24"/>
        </w:rPr>
        <w:t>连云港市公共资源交易中心就国家税务总局连云港市税务局2026-2029年物业管理服务项目</w:t>
      </w:r>
      <w:bookmarkEnd w:id="3"/>
      <w:r>
        <w:rPr>
          <w:rFonts w:hint="eastAsia" w:asciiTheme="minorEastAsia" w:hAnsiTheme="minorEastAsia"/>
          <w:sz w:val="24"/>
          <w:szCs w:val="24"/>
        </w:rPr>
        <w:t>项目（项目编号：JSZC-320700-JZCG-G2026-0139）进行公开招标采购，欢迎符合条件的供应商投标。</w:t>
      </w:r>
    </w:p>
    <w:tbl>
      <w:tblPr>
        <w:tblStyle w:val="30"/>
        <w:tblW w:w="0" w:type="auto"/>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72"/>
      </w:tblGrid>
      <w:tr w14:paraId="009C9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7" w:type="dxa"/>
          </w:tcPr>
          <w:p w14:paraId="2E3CE64E">
            <w:pPr>
              <w:spacing w:line="500" w:lineRule="exact"/>
              <w:rPr>
                <w:rFonts w:asciiTheme="minorEastAsia" w:hAnsiTheme="minorEastAsia"/>
                <w:sz w:val="24"/>
                <w:szCs w:val="24"/>
              </w:rPr>
            </w:pPr>
            <w:r>
              <w:rPr>
                <w:rFonts w:hint="eastAsia" w:asciiTheme="minorEastAsia" w:hAnsiTheme="minorEastAsia"/>
                <w:sz w:val="24"/>
                <w:szCs w:val="24"/>
              </w:rPr>
              <w:t>项目概况</w:t>
            </w:r>
          </w:p>
          <w:p w14:paraId="745BA164">
            <w:pPr>
              <w:spacing w:line="500" w:lineRule="exact"/>
              <w:rPr>
                <w:rFonts w:asciiTheme="minorEastAsia" w:hAnsiTheme="minorEastAsia"/>
                <w:sz w:val="24"/>
                <w:szCs w:val="24"/>
              </w:rPr>
            </w:pPr>
            <w:r>
              <w:rPr>
                <w:rFonts w:hint="eastAsia" w:asciiTheme="minorEastAsia" w:hAnsiTheme="minorEastAsia"/>
                <w:b/>
                <w:sz w:val="24"/>
                <w:szCs w:val="24"/>
                <w:u w:val="single"/>
              </w:rPr>
              <w:t>国家税务总局连云港市税务局2026-2029年物业管理服务项目</w:t>
            </w:r>
            <w:r>
              <w:rPr>
                <w:rFonts w:hint="eastAsia" w:asciiTheme="minorEastAsia" w:hAnsiTheme="minorEastAsia"/>
                <w:sz w:val="24"/>
                <w:szCs w:val="24"/>
              </w:rPr>
              <w:t>招标项目的潜在投标人应在</w:t>
            </w:r>
            <w:r>
              <w:rPr>
                <w:rFonts w:hint="eastAsia" w:asciiTheme="minorEastAsia" w:hAnsiTheme="minorEastAsia"/>
                <w:b/>
                <w:sz w:val="24"/>
                <w:szCs w:val="24"/>
                <w:u w:val="single"/>
              </w:rPr>
              <w:t>江苏政府采购网</w:t>
            </w:r>
            <w:r>
              <w:rPr>
                <w:rFonts w:hint="eastAsia" w:asciiTheme="minorEastAsia" w:hAnsiTheme="minorEastAsia"/>
                <w:sz w:val="24"/>
                <w:szCs w:val="24"/>
              </w:rPr>
              <w:t>自行免费下载招标文件，并于</w:t>
            </w:r>
            <w:r>
              <w:rPr>
                <w:rFonts w:hint="eastAsia" w:asciiTheme="minorEastAsia" w:hAnsiTheme="minorEastAsia"/>
                <w:b/>
                <w:sz w:val="24"/>
                <w:szCs w:val="24"/>
                <w:u w:val="single"/>
              </w:rPr>
              <w:t>2026年</w:t>
            </w:r>
            <w:r>
              <w:rPr>
                <w:rFonts w:hint="eastAsia" w:asciiTheme="minorEastAsia" w:hAnsiTheme="minorEastAsia"/>
                <w:b/>
                <w:sz w:val="24"/>
                <w:szCs w:val="24"/>
                <w:u w:val="single"/>
                <w:lang w:val="en-US" w:eastAsia="zh-CN"/>
              </w:rPr>
              <w:t>11</w:t>
            </w:r>
            <w:r>
              <w:rPr>
                <w:rFonts w:hint="eastAsia" w:asciiTheme="minorEastAsia" w:hAnsiTheme="minorEastAsia"/>
                <w:b/>
                <w:sz w:val="24"/>
                <w:szCs w:val="24"/>
                <w:u w:val="single"/>
              </w:rPr>
              <w:t>月</w:t>
            </w:r>
            <w:r>
              <w:rPr>
                <w:rFonts w:hint="eastAsia" w:asciiTheme="minorEastAsia" w:hAnsiTheme="minorEastAsia"/>
                <w:b/>
                <w:sz w:val="24"/>
                <w:szCs w:val="24"/>
                <w:u w:val="single"/>
                <w:lang w:val="en-US" w:eastAsia="zh-CN"/>
              </w:rPr>
              <w:t>26</w:t>
            </w:r>
            <w:r>
              <w:rPr>
                <w:rFonts w:hint="eastAsia" w:asciiTheme="minorEastAsia" w:hAnsiTheme="minorEastAsia"/>
                <w:b/>
                <w:sz w:val="24"/>
                <w:szCs w:val="24"/>
                <w:u w:val="single"/>
              </w:rPr>
              <w:t>日9:00:00</w:t>
            </w:r>
            <w:r>
              <w:rPr>
                <w:rFonts w:hint="eastAsia" w:asciiTheme="minorEastAsia" w:hAnsiTheme="minorEastAsia"/>
                <w:sz w:val="24"/>
                <w:szCs w:val="24"/>
              </w:rPr>
              <w:t>（北京时间）前递交（上传）投标文件。</w:t>
            </w:r>
          </w:p>
        </w:tc>
      </w:tr>
    </w:tbl>
    <w:p w14:paraId="5FB78194">
      <w:pPr>
        <w:pStyle w:val="194"/>
        <w:spacing w:before="0" w:after="0" w:line="500" w:lineRule="exact"/>
        <w:rPr>
          <w:rFonts w:asciiTheme="minorEastAsia" w:hAnsiTheme="minorEastAsia" w:eastAsiaTheme="minorEastAsia"/>
        </w:rPr>
      </w:pPr>
      <w:r>
        <w:rPr>
          <w:rFonts w:hint="eastAsia" w:asciiTheme="minorEastAsia" w:hAnsiTheme="minorEastAsia" w:eastAsiaTheme="minorEastAsia"/>
        </w:rPr>
        <w:t>一、项目基本情况</w:t>
      </w:r>
    </w:p>
    <w:p w14:paraId="3C71B37C">
      <w:pPr>
        <w:spacing w:line="500" w:lineRule="exact"/>
        <w:ind w:firstLine="480"/>
        <w:rPr>
          <w:rFonts w:asciiTheme="minorEastAsia" w:hAnsiTheme="minorEastAsia"/>
          <w:sz w:val="24"/>
          <w:szCs w:val="24"/>
        </w:rPr>
      </w:pPr>
      <w:r>
        <w:rPr>
          <w:rFonts w:hint="eastAsia" w:asciiTheme="minorEastAsia" w:hAnsiTheme="minorEastAsia"/>
          <w:sz w:val="24"/>
          <w:szCs w:val="24"/>
        </w:rPr>
        <w:t>项目编号：JSZC-320700-JZCG-G2026-0139</w:t>
      </w:r>
    </w:p>
    <w:p w14:paraId="67CF352A">
      <w:pPr>
        <w:spacing w:line="500" w:lineRule="exact"/>
        <w:ind w:firstLine="480"/>
        <w:rPr>
          <w:rFonts w:asciiTheme="minorEastAsia" w:hAnsiTheme="minorEastAsia"/>
          <w:sz w:val="24"/>
          <w:szCs w:val="24"/>
        </w:rPr>
      </w:pPr>
      <w:r>
        <w:rPr>
          <w:rFonts w:hint="eastAsia" w:asciiTheme="minorEastAsia" w:hAnsiTheme="minorEastAsia"/>
          <w:sz w:val="24"/>
          <w:szCs w:val="24"/>
        </w:rPr>
        <w:t>项目名称：国家税务总局连云港市税务局2026-2029年物业管理服务项目</w:t>
      </w:r>
    </w:p>
    <w:p w14:paraId="2ABFFA48">
      <w:pPr>
        <w:spacing w:line="500" w:lineRule="exact"/>
        <w:ind w:firstLine="480"/>
        <w:rPr>
          <w:rFonts w:asciiTheme="minorEastAsia" w:hAnsiTheme="minorEastAsia"/>
          <w:sz w:val="24"/>
          <w:szCs w:val="24"/>
        </w:rPr>
      </w:pPr>
      <w:r>
        <w:rPr>
          <w:rFonts w:hint="eastAsia" w:asciiTheme="minorEastAsia" w:hAnsiTheme="minorEastAsia"/>
          <w:sz w:val="24"/>
          <w:szCs w:val="24"/>
        </w:rPr>
        <w:t>采购方式：公开招标</w:t>
      </w:r>
    </w:p>
    <w:p w14:paraId="14BFF589">
      <w:pPr>
        <w:spacing w:line="500" w:lineRule="exact"/>
        <w:ind w:firstLine="480"/>
        <w:rPr>
          <w:rFonts w:asciiTheme="minorEastAsia" w:hAnsiTheme="minorEastAsia"/>
          <w:sz w:val="24"/>
          <w:szCs w:val="24"/>
        </w:rPr>
      </w:pPr>
      <w:r>
        <w:rPr>
          <w:rFonts w:hint="eastAsia" w:asciiTheme="minorEastAsia" w:hAnsiTheme="minorEastAsia"/>
          <w:sz w:val="24"/>
          <w:szCs w:val="24"/>
        </w:rPr>
        <w:t>预算金额：人民币1215万元</w:t>
      </w:r>
      <w:bookmarkStart w:id="4" w:name="OLE_LINK24"/>
      <w:bookmarkStart w:id="5" w:name="OLE_LINK25"/>
      <w:r>
        <w:rPr>
          <w:rFonts w:hint="eastAsia" w:asciiTheme="minorEastAsia" w:hAnsiTheme="minorEastAsia"/>
          <w:sz w:val="24"/>
          <w:szCs w:val="24"/>
        </w:rPr>
        <w:t>，投标报价超过预算金额的投标无效</w:t>
      </w:r>
      <w:bookmarkEnd w:id="4"/>
      <w:bookmarkEnd w:id="5"/>
      <w:r>
        <w:rPr>
          <w:rFonts w:hint="eastAsia" w:asciiTheme="minorEastAsia" w:hAnsiTheme="minorEastAsia"/>
          <w:sz w:val="24"/>
          <w:szCs w:val="24"/>
        </w:rPr>
        <w:t>。</w:t>
      </w:r>
    </w:p>
    <w:p w14:paraId="03497A8E">
      <w:pPr>
        <w:spacing w:line="500" w:lineRule="exact"/>
        <w:ind w:firstLine="480"/>
        <w:rPr>
          <w:rFonts w:asciiTheme="minorEastAsia" w:hAnsiTheme="minorEastAsia"/>
          <w:sz w:val="24"/>
          <w:szCs w:val="24"/>
        </w:rPr>
      </w:pPr>
      <w:r>
        <w:rPr>
          <w:rFonts w:hint="eastAsia" w:asciiTheme="minorEastAsia" w:hAnsiTheme="minorEastAsia"/>
          <w:sz w:val="24"/>
          <w:szCs w:val="24"/>
        </w:rPr>
        <w:t>最高限价：</w:t>
      </w:r>
      <w:bookmarkStart w:id="6" w:name="OLE_LINK26"/>
      <w:r>
        <w:rPr>
          <w:rFonts w:hint="eastAsia" w:asciiTheme="minorEastAsia" w:hAnsiTheme="minorEastAsia"/>
          <w:sz w:val="24"/>
          <w:szCs w:val="24"/>
        </w:rPr>
        <w:t>无</w:t>
      </w:r>
      <w:bookmarkEnd w:id="6"/>
    </w:p>
    <w:p w14:paraId="26726E1C">
      <w:pPr>
        <w:spacing w:line="500" w:lineRule="exact"/>
        <w:ind w:firstLine="480"/>
      </w:pPr>
      <w:r>
        <w:rPr>
          <w:rFonts w:hint="eastAsia" w:asciiTheme="minorEastAsia" w:hAnsiTheme="minorEastAsia"/>
          <w:sz w:val="24"/>
          <w:szCs w:val="24"/>
        </w:rPr>
        <w:t>采购需求：</w:t>
      </w:r>
      <w:bookmarkStart w:id="7" w:name="OLE_LINK2"/>
      <w:bookmarkStart w:id="8" w:name="OLE_LINK5"/>
      <w:bookmarkStart w:id="9" w:name="OLE_LINK4"/>
      <w:bookmarkStart w:id="10" w:name="OLE_LINK3"/>
      <w:r>
        <w:rPr>
          <w:rFonts w:hint="eastAsia" w:ascii="宋体" w:hAnsi="宋体"/>
          <w:sz w:val="24"/>
        </w:rPr>
        <w:t>国家税务总局连云港市税务局物业管理服务项目包括但不限于秩序维护及消防监控；保洁；设备设施巡检运行和维修；会务（含视频会议）服务；连云区局食堂管理；配合和协助管理部门进行消防管理、节能减排、安全管理等工作以及法规和政策规定由物业管理公司负责的其它事项</w:t>
      </w:r>
      <w:bookmarkEnd w:id="7"/>
      <w:bookmarkEnd w:id="8"/>
      <w:bookmarkEnd w:id="9"/>
      <w:bookmarkEnd w:id="10"/>
      <w:r>
        <w:rPr>
          <w:rFonts w:hint="eastAsia" w:ascii="宋体" w:hAnsi="宋体"/>
          <w:sz w:val="24"/>
        </w:rPr>
        <w:t>,</w:t>
      </w:r>
      <w:r>
        <w:rPr>
          <w:rFonts w:hint="eastAsia" w:asciiTheme="minorEastAsia" w:hAnsiTheme="minorEastAsia"/>
          <w:sz w:val="24"/>
          <w:szCs w:val="24"/>
        </w:rPr>
        <w:t>具体服务要求详见第四章采购需求。</w:t>
      </w:r>
    </w:p>
    <w:p w14:paraId="37B72BF5">
      <w:pPr>
        <w:spacing w:line="500" w:lineRule="exact"/>
        <w:ind w:firstLine="482"/>
      </w:pPr>
      <w:r>
        <w:rPr>
          <w:rFonts w:hint="eastAsia" w:asciiTheme="minorEastAsia" w:hAnsiTheme="minorEastAsia"/>
          <w:b/>
          <w:sz w:val="24"/>
          <w:szCs w:val="24"/>
        </w:rPr>
        <w:t>对本项目资格要求、采购需求、评标方法与评标标准等部分的询问、质疑请与采购人联系，由采购人负责答复。</w:t>
      </w:r>
    </w:p>
    <w:p w14:paraId="50D6E943">
      <w:pPr>
        <w:spacing w:line="500" w:lineRule="exact"/>
        <w:ind w:firstLine="480"/>
        <w:rPr>
          <w:rFonts w:asciiTheme="minorEastAsia" w:hAnsiTheme="minorEastAsia"/>
          <w:sz w:val="24"/>
          <w:szCs w:val="24"/>
        </w:rPr>
      </w:pPr>
      <w:r>
        <w:rPr>
          <w:rFonts w:hint="eastAsia" w:asciiTheme="minorEastAsia" w:hAnsiTheme="minorEastAsia"/>
          <w:sz w:val="24"/>
          <w:szCs w:val="24"/>
        </w:rPr>
        <w:t>合同履行期限：</w:t>
      </w:r>
      <w:r>
        <w:rPr>
          <w:rFonts w:hint="eastAsia" w:cs="宋体" w:asciiTheme="minorEastAsia" w:hAnsiTheme="minorEastAsia"/>
          <w:bCs/>
          <w:sz w:val="24"/>
          <w:szCs w:val="24"/>
        </w:rPr>
        <w:t>三年(合同约定时间起算)。</w:t>
      </w:r>
      <w:r>
        <w:rPr>
          <w:rFonts w:hint="eastAsia" w:ascii="宋体" w:hAnsi="宋体" w:eastAsia="宋体" w:cs="宋体"/>
          <w:bCs/>
          <w:sz w:val="24"/>
          <w:szCs w:val="24"/>
        </w:rPr>
        <w:t>本项目一招三年，合同一年一签，如能达到采购人的服务要求，考核合格后续签下</w:t>
      </w:r>
      <w:bookmarkStart w:id="106" w:name="_GoBack"/>
      <w:bookmarkEnd w:id="106"/>
      <w:r>
        <w:rPr>
          <w:rFonts w:hint="eastAsia" w:ascii="宋体" w:hAnsi="宋体" w:eastAsia="宋体" w:cs="宋体"/>
          <w:bCs/>
          <w:sz w:val="24"/>
          <w:szCs w:val="24"/>
          <w:lang w:eastAsia="zh-CN"/>
        </w:rPr>
        <w:t>一</w:t>
      </w:r>
      <w:r>
        <w:rPr>
          <w:rFonts w:hint="eastAsia" w:ascii="宋体" w:hAnsi="宋体" w:eastAsia="宋体" w:cs="宋体"/>
          <w:bCs/>
          <w:sz w:val="24"/>
          <w:szCs w:val="24"/>
        </w:rPr>
        <w:t>年合同。</w:t>
      </w:r>
    </w:p>
    <w:p w14:paraId="63A5A7D7">
      <w:pPr>
        <w:spacing w:line="500" w:lineRule="exact"/>
        <w:ind w:firstLine="480"/>
        <w:rPr>
          <w:rFonts w:asciiTheme="minorEastAsia" w:hAnsiTheme="minorEastAsia"/>
          <w:sz w:val="24"/>
          <w:szCs w:val="24"/>
        </w:rPr>
      </w:pPr>
      <w:r>
        <w:rPr>
          <w:rFonts w:hint="eastAsia" w:asciiTheme="minorEastAsia" w:hAnsiTheme="minorEastAsia"/>
          <w:sz w:val="24"/>
          <w:szCs w:val="24"/>
        </w:rPr>
        <w:t>本项目不接受联合体投标。</w:t>
      </w:r>
    </w:p>
    <w:p w14:paraId="4AB6F51B">
      <w:pPr>
        <w:pStyle w:val="194"/>
        <w:spacing w:before="0" w:after="0" w:line="500" w:lineRule="exact"/>
        <w:rPr>
          <w:rFonts w:asciiTheme="minorEastAsia" w:hAnsiTheme="minorEastAsia" w:eastAsiaTheme="minorEastAsia"/>
        </w:rPr>
      </w:pPr>
      <w:r>
        <w:rPr>
          <w:rFonts w:hint="eastAsia" w:asciiTheme="minorEastAsia" w:hAnsiTheme="minorEastAsia" w:eastAsiaTheme="minorEastAsia"/>
        </w:rPr>
        <w:t>二、申请人的资格要求</w:t>
      </w:r>
    </w:p>
    <w:p w14:paraId="4AE108C9">
      <w:pPr>
        <w:spacing w:line="500" w:lineRule="exact"/>
        <w:ind w:firstLine="480"/>
        <w:rPr>
          <w:rFonts w:asciiTheme="minorEastAsia" w:hAnsiTheme="minorEastAsia"/>
          <w:sz w:val="24"/>
          <w:szCs w:val="24"/>
        </w:rPr>
      </w:pPr>
      <w:r>
        <w:rPr>
          <w:rFonts w:hint="eastAsia" w:asciiTheme="minorEastAsia" w:hAnsiTheme="minorEastAsia"/>
          <w:sz w:val="24"/>
          <w:szCs w:val="24"/>
        </w:rPr>
        <w:t>（一）满足《中华人民共和国政府采购法》第二十二条规定，并提供下列材料：</w:t>
      </w:r>
    </w:p>
    <w:p w14:paraId="218C36E6">
      <w:pPr>
        <w:spacing w:line="500" w:lineRule="exact"/>
        <w:ind w:firstLine="480"/>
        <w:rPr>
          <w:rFonts w:asciiTheme="minorEastAsia" w:hAnsiTheme="minorEastAsia"/>
          <w:sz w:val="24"/>
          <w:szCs w:val="24"/>
        </w:rPr>
      </w:pPr>
      <w:r>
        <w:rPr>
          <w:rFonts w:hint="eastAsia" w:asciiTheme="minorEastAsia" w:hAnsiTheme="minorEastAsia"/>
          <w:sz w:val="24"/>
          <w:szCs w:val="24"/>
        </w:rPr>
        <w:t>1.法人或者其他组织的营业执照等证明文件，自然人的身份证明；</w:t>
      </w:r>
    </w:p>
    <w:p w14:paraId="1BB60022">
      <w:pPr>
        <w:spacing w:line="500" w:lineRule="exact"/>
        <w:ind w:firstLine="480"/>
        <w:rPr>
          <w:rFonts w:asciiTheme="minorEastAsia" w:hAnsiTheme="minorEastAsia"/>
          <w:sz w:val="24"/>
          <w:szCs w:val="24"/>
        </w:rPr>
      </w:pPr>
      <w:r>
        <w:rPr>
          <w:rFonts w:hint="eastAsia" w:asciiTheme="minorEastAsia" w:hAnsiTheme="minorEastAsia"/>
          <w:sz w:val="24"/>
          <w:szCs w:val="24"/>
        </w:rPr>
        <w:t>2.上一年度的财务状况报告（成立不满一年无需提供）；</w:t>
      </w:r>
    </w:p>
    <w:p w14:paraId="53A89F29">
      <w:pPr>
        <w:spacing w:line="500" w:lineRule="exact"/>
        <w:ind w:firstLine="480"/>
        <w:rPr>
          <w:rFonts w:asciiTheme="minorEastAsia" w:hAnsiTheme="minorEastAsia"/>
          <w:sz w:val="24"/>
          <w:szCs w:val="24"/>
        </w:rPr>
      </w:pPr>
      <w:r>
        <w:rPr>
          <w:rFonts w:hint="eastAsia" w:asciiTheme="minorEastAsia" w:hAnsiTheme="minorEastAsia"/>
          <w:sz w:val="24"/>
          <w:szCs w:val="24"/>
        </w:rPr>
        <w:t>3.依法缴纳税收和社会保障资金的相关材料（提供提交投标文件截止时间前一年内至少一个月依法缴纳税收及缴纳社会保障资金的证明材料，投标人依法享受缓缴、免缴税收、社会保障资金的提供证明材料）；</w:t>
      </w:r>
    </w:p>
    <w:p w14:paraId="23BAC3FF">
      <w:pPr>
        <w:spacing w:line="500" w:lineRule="exact"/>
        <w:ind w:firstLine="482"/>
        <w:rPr>
          <w:rFonts w:asciiTheme="minorEastAsia" w:hAnsiTheme="minorEastAsia"/>
          <w:b/>
          <w:sz w:val="24"/>
          <w:szCs w:val="24"/>
        </w:rPr>
      </w:pPr>
      <w:r>
        <w:rPr>
          <w:rFonts w:hint="eastAsia" w:asciiTheme="minorEastAsia" w:hAnsiTheme="minorEastAsia"/>
          <w:b/>
          <w:sz w:val="24"/>
          <w:szCs w:val="24"/>
        </w:rPr>
        <w:t>根据连财购〔2023〕4号文件精神，2、3项可以提供《财务状况报告及税收、社会保障资金缴纳情况承诺函》，详见投标文件格式。</w:t>
      </w:r>
    </w:p>
    <w:p w14:paraId="7ACC171E">
      <w:pPr>
        <w:spacing w:line="500" w:lineRule="exact"/>
        <w:ind w:firstLine="480"/>
        <w:rPr>
          <w:rFonts w:asciiTheme="minorEastAsia" w:hAnsiTheme="minorEastAsia"/>
          <w:sz w:val="24"/>
          <w:szCs w:val="24"/>
        </w:rPr>
      </w:pPr>
      <w:r>
        <w:rPr>
          <w:rFonts w:hint="eastAsia" w:asciiTheme="minorEastAsia" w:hAnsiTheme="minorEastAsia"/>
          <w:sz w:val="24"/>
          <w:szCs w:val="24"/>
        </w:rPr>
        <w:t>4.具备履行合同所必需的设备和专业技术能力的声明及证明材料；</w:t>
      </w:r>
    </w:p>
    <w:p w14:paraId="38E127EA">
      <w:pPr>
        <w:spacing w:line="500" w:lineRule="exact"/>
        <w:ind w:firstLine="480"/>
        <w:rPr>
          <w:rFonts w:asciiTheme="minorEastAsia" w:hAnsiTheme="minorEastAsia"/>
          <w:sz w:val="24"/>
          <w:szCs w:val="24"/>
        </w:rPr>
      </w:pPr>
      <w:r>
        <w:rPr>
          <w:rFonts w:hint="eastAsia" w:asciiTheme="minorEastAsia" w:hAnsiTheme="minorEastAsia"/>
          <w:sz w:val="24"/>
          <w:szCs w:val="24"/>
        </w:rPr>
        <w:t>5.参加政府采购活动前3年内在经营活动中没有重大违法记录的书面声明。</w:t>
      </w:r>
    </w:p>
    <w:p w14:paraId="67886B4E">
      <w:pPr>
        <w:spacing w:line="500" w:lineRule="exact"/>
        <w:ind w:firstLine="480"/>
        <w:rPr>
          <w:rFonts w:asciiTheme="minorEastAsia" w:hAnsiTheme="minorEastAsia"/>
          <w:sz w:val="24"/>
          <w:szCs w:val="24"/>
        </w:rPr>
      </w:pPr>
      <w:bookmarkStart w:id="11" w:name="OLE_LINK29"/>
      <w:r>
        <w:rPr>
          <w:rFonts w:hint="eastAsia" w:asciiTheme="minorEastAsia" w:hAnsiTheme="minorEastAsia"/>
          <w:sz w:val="24"/>
          <w:szCs w:val="24"/>
        </w:rPr>
        <w:t>6.法律、行政法规规定的其他条件。（如有，请按要求提供）</w:t>
      </w:r>
    </w:p>
    <w:p w14:paraId="399FB6AC">
      <w:pPr>
        <w:spacing w:line="500" w:lineRule="exact"/>
        <w:ind w:firstLine="480"/>
        <w:rPr>
          <w:rFonts w:asciiTheme="minorEastAsia" w:hAnsiTheme="minorEastAsia"/>
          <w:sz w:val="24"/>
          <w:szCs w:val="24"/>
        </w:rPr>
      </w:pPr>
      <w:r>
        <w:rPr>
          <w:rFonts w:hint="eastAsia" w:cs="Times New Roman" w:asciiTheme="minorEastAsia" w:hAnsiTheme="minorEastAsia"/>
          <w:sz w:val="24"/>
          <w:szCs w:val="24"/>
        </w:rPr>
        <w:t>7.资格审查现场查询信用中国网</w:t>
      </w:r>
      <w:r>
        <w:rPr>
          <w:rFonts w:hint="eastAsia" w:asciiTheme="minorEastAsia" w:hAnsiTheme="minorEastAsia"/>
          <w:sz w:val="24"/>
          <w:szCs w:val="24"/>
        </w:rPr>
        <w:t>，投标人被</w:t>
      </w:r>
      <w:r>
        <w:rPr>
          <w:rFonts w:hint="eastAsia" w:cs="Times New Roman" w:asciiTheme="minorEastAsia" w:hAnsiTheme="minorEastAsia"/>
          <w:sz w:val="24"/>
          <w:szCs w:val="24"/>
        </w:rPr>
        <w:t>列入失信被执行人、</w:t>
      </w:r>
      <w:r>
        <w:rPr>
          <w:rFonts w:cs="Times New Roman" w:asciiTheme="minorEastAsia" w:hAnsiTheme="minorEastAsia"/>
          <w:sz w:val="24"/>
          <w:szCs w:val="24"/>
        </w:rPr>
        <w:t>税收违法黑名单</w:t>
      </w:r>
      <w:r>
        <w:rPr>
          <w:rFonts w:hint="eastAsia" w:cs="Times New Roman" w:asciiTheme="minorEastAsia" w:hAnsiTheme="minorEastAsia"/>
          <w:sz w:val="24"/>
          <w:szCs w:val="24"/>
        </w:rPr>
        <w:t>、政府采购严重违法失信行为记录名单</w:t>
      </w:r>
      <w:r>
        <w:rPr>
          <w:rFonts w:hint="eastAsia" w:asciiTheme="minorEastAsia" w:hAnsiTheme="minorEastAsia"/>
          <w:sz w:val="24"/>
          <w:szCs w:val="24"/>
        </w:rPr>
        <w:t>及具有其他不符合《中华人民共和国政府采购法》第二十二条规定情形</w:t>
      </w:r>
      <w:r>
        <w:rPr>
          <w:rFonts w:hint="eastAsia" w:cs="Times New Roman" w:asciiTheme="minorEastAsia" w:hAnsiTheme="minorEastAsia"/>
          <w:sz w:val="24"/>
          <w:szCs w:val="24"/>
        </w:rPr>
        <w:t>的，拒绝其参与政府采购活动。</w:t>
      </w:r>
      <w:r>
        <w:rPr>
          <w:rFonts w:hint="eastAsia" w:asciiTheme="minorEastAsia" w:hAnsiTheme="minorEastAsia"/>
          <w:sz w:val="24"/>
          <w:szCs w:val="24"/>
        </w:rPr>
        <w:t>（投标文件中无需提供证明材料）</w:t>
      </w:r>
    </w:p>
    <w:bookmarkEnd w:id="11"/>
    <w:p w14:paraId="6AA31010">
      <w:pPr>
        <w:spacing w:line="500" w:lineRule="exact"/>
        <w:ind w:firstLine="480"/>
        <w:rPr>
          <w:rFonts w:asciiTheme="minorEastAsia" w:hAnsiTheme="minorEastAsia"/>
          <w:sz w:val="24"/>
          <w:szCs w:val="24"/>
        </w:rPr>
      </w:pPr>
      <w:r>
        <w:rPr>
          <w:rFonts w:hint="eastAsia" w:asciiTheme="minorEastAsia" w:hAnsiTheme="minorEastAsia"/>
          <w:sz w:val="24"/>
          <w:szCs w:val="24"/>
        </w:rPr>
        <w:t>（二）落实政府采购政策需满足的资格要求：本项目专门面向中型企业、小型企业、微型企业、残疾人福利性单位、监狱企业采购，符合要求的投标人须提供《中小企业声明函》（详见第六章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p>
    <w:p w14:paraId="5B40D716">
      <w:pPr>
        <w:spacing w:line="500" w:lineRule="exact"/>
        <w:ind w:firstLine="480"/>
        <w:rPr>
          <w:rFonts w:asciiTheme="minorEastAsia" w:hAnsiTheme="minorEastAsia"/>
          <w:sz w:val="24"/>
          <w:szCs w:val="24"/>
        </w:rPr>
      </w:pPr>
      <w:r>
        <w:rPr>
          <w:rFonts w:hint="eastAsia" w:asciiTheme="minorEastAsia" w:hAnsiTheme="minorEastAsia"/>
          <w:sz w:val="24"/>
          <w:szCs w:val="24"/>
        </w:rPr>
        <w:t>（三）本项目的特定资格要求：无。</w:t>
      </w:r>
    </w:p>
    <w:p w14:paraId="246E4DFE">
      <w:pPr>
        <w:pStyle w:val="19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三、获取招标文件</w:t>
      </w:r>
    </w:p>
    <w:p w14:paraId="1C3C4281">
      <w:pPr>
        <w:spacing w:line="500" w:lineRule="exact"/>
        <w:ind w:firstLine="480"/>
        <w:rPr>
          <w:rFonts w:asciiTheme="minorEastAsia" w:hAnsiTheme="minorEastAsia"/>
          <w:sz w:val="24"/>
          <w:szCs w:val="24"/>
        </w:rPr>
      </w:pPr>
      <w:r>
        <w:rPr>
          <w:rFonts w:hint="eastAsia" w:asciiTheme="minorEastAsia" w:hAnsiTheme="minorEastAsia"/>
          <w:sz w:val="24"/>
          <w:szCs w:val="24"/>
        </w:rPr>
        <w:t>时间：自招标公告发布之日起五个工作日</w:t>
      </w:r>
    </w:p>
    <w:p w14:paraId="35C41642">
      <w:pPr>
        <w:spacing w:line="500" w:lineRule="exact"/>
        <w:ind w:firstLine="480"/>
        <w:rPr>
          <w:rFonts w:asciiTheme="minorEastAsia" w:hAnsiTheme="minorEastAsia"/>
          <w:sz w:val="24"/>
          <w:szCs w:val="24"/>
        </w:rPr>
      </w:pPr>
      <w:r>
        <w:rPr>
          <w:rFonts w:hint="eastAsia" w:asciiTheme="minorEastAsia" w:hAnsiTheme="minorEastAsia"/>
          <w:sz w:val="24"/>
          <w:szCs w:val="24"/>
        </w:rPr>
        <w:t>地点：在“江苏政府采购网”自行免费下载招标文件</w:t>
      </w:r>
    </w:p>
    <w:p w14:paraId="7391D5CA">
      <w:pPr>
        <w:spacing w:line="500" w:lineRule="exact"/>
        <w:ind w:firstLine="480"/>
        <w:rPr>
          <w:rFonts w:asciiTheme="minorEastAsia" w:hAnsiTheme="minorEastAsia"/>
          <w:sz w:val="24"/>
          <w:szCs w:val="24"/>
        </w:rPr>
      </w:pPr>
      <w:r>
        <w:rPr>
          <w:rFonts w:hint="eastAsia" w:asciiTheme="minorEastAsia" w:hAnsiTheme="minorEastAsia"/>
          <w:sz w:val="24"/>
          <w:szCs w:val="24"/>
        </w:rPr>
        <w:t>方式：</w:t>
      </w:r>
      <w:bookmarkStart w:id="12" w:name="OLE_LINK31"/>
      <w:bookmarkStart w:id="13" w:name="OLE_LINK30"/>
      <w:r>
        <w:rPr>
          <w:rFonts w:hint="eastAsia" w:asciiTheme="minorEastAsia" w:hAnsiTheme="minorEastAsia"/>
          <w:sz w:val="24"/>
          <w:szCs w:val="24"/>
        </w:rPr>
        <w:t>投标人办理江苏省政府采购交易系统CA数字证书，登录“苏采云”政府采购交易系统，自行下载。</w:t>
      </w:r>
      <w:bookmarkEnd w:id="12"/>
      <w:bookmarkEnd w:id="13"/>
    </w:p>
    <w:p w14:paraId="5BC98C5E">
      <w:pPr>
        <w:spacing w:line="500" w:lineRule="exact"/>
        <w:ind w:firstLine="480"/>
        <w:rPr>
          <w:rFonts w:asciiTheme="minorEastAsia" w:hAnsiTheme="minorEastAsia"/>
          <w:sz w:val="24"/>
          <w:szCs w:val="24"/>
        </w:rPr>
      </w:pPr>
      <w:r>
        <w:rPr>
          <w:rFonts w:hint="eastAsia" w:asciiTheme="minorEastAsia" w:hAnsiTheme="minorEastAsia"/>
          <w:sz w:val="24"/>
          <w:szCs w:val="24"/>
        </w:rPr>
        <w:t>售价：0.00元</w:t>
      </w:r>
    </w:p>
    <w:p w14:paraId="4EDC4D76">
      <w:pPr>
        <w:pStyle w:val="19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四、提交投标文件截止时间、开标时间和地点</w:t>
      </w:r>
    </w:p>
    <w:p w14:paraId="2E79C94A">
      <w:pPr>
        <w:spacing w:line="500" w:lineRule="exact"/>
        <w:ind w:firstLine="480"/>
        <w:rPr>
          <w:rFonts w:asciiTheme="minorEastAsia" w:hAnsiTheme="minorEastAsia"/>
          <w:sz w:val="24"/>
          <w:szCs w:val="24"/>
        </w:rPr>
      </w:pPr>
      <w:bookmarkStart w:id="14" w:name="OLE_LINK33"/>
      <w:bookmarkStart w:id="15" w:name="OLE_LINK32"/>
      <w:r>
        <w:rPr>
          <w:rFonts w:hint="eastAsia" w:asciiTheme="minorEastAsia" w:hAnsiTheme="minorEastAsia"/>
          <w:sz w:val="24"/>
          <w:szCs w:val="24"/>
        </w:rPr>
        <w:t>提交投标文件截止时间：2026年</w:t>
      </w:r>
      <w:r>
        <w:rPr>
          <w:rFonts w:hint="eastAsia" w:asciiTheme="minorEastAsia" w:hAnsiTheme="minorEastAsia"/>
          <w:sz w:val="24"/>
          <w:szCs w:val="24"/>
          <w:lang w:val="en-US" w:eastAsia="zh-CN"/>
        </w:rPr>
        <w:t>11</w:t>
      </w:r>
      <w:r>
        <w:rPr>
          <w:rFonts w:hint="eastAsia" w:asciiTheme="minorEastAsia" w:hAnsiTheme="minorEastAsia"/>
          <w:sz w:val="24"/>
          <w:szCs w:val="24"/>
        </w:rPr>
        <w:t>月</w:t>
      </w:r>
      <w:r>
        <w:rPr>
          <w:rFonts w:hint="eastAsia" w:asciiTheme="minorEastAsia" w:hAnsiTheme="minorEastAsia"/>
          <w:sz w:val="24"/>
          <w:szCs w:val="24"/>
          <w:lang w:val="en-US" w:eastAsia="zh-CN"/>
        </w:rPr>
        <w:t>26</w:t>
      </w:r>
      <w:r>
        <w:rPr>
          <w:rFonts w:hint="eastAsia" w:asciiTheme="minorEastAsia" w:hAnsiTheme="minorEastAsia"/>
          <w:sz w:val="24"/>
          <w:szCs w:val="24"/>
        </w:rPr>
        <w:t>日9:00:00（北京时间）</w:t>
      </w:r>
    </w:p>
    <w:p w14:paraId="5A35C5EC">
      <w:pPr>
        <w:spacing w:line="500" w:lineRule="exact"/>
        <w:ind w:firstLine="480"/>
        <w:rPr>
          <w:rFonts w:asciiTheme="minorEastAsia" w:hAnsiTheme="minorEastAsia"/>
          <w:sz w:val="24"/>
          <w:szCs w:val="24"/>
        </w:rPr>
      </w:pPr>
      <w:r>
        <w:rPr>
          <w:rFonts w:hint="eastAsia" w:asciiTheme="minorEastAsia" w:hAnsiTheme="minorEastAsia"/>
          <w:sz w:val="24"/>
          <w:szCs w:val="24"/>
        </w:rPr>
        <w:t>开标时间：提交投标文件截止时间</w:t>
      </w:r>
    </w:p>
    <w:p w14:paraId="0FBCE6D5">
      <w:pPr>
        <w:spacing w:line="500" w:lineRule="exact"/>
        <w:ind w:firstLine="480"/>
        <w:rPr>
          <w:rFonts w:asciiTheme="minorEastAsia" w:hAnsiTheme="minorEastAsia"/>
        </w:rPr>
      </w:pPr>
      <w:r>
        <w:rPr>
          <w:rFonts w:hint="eastAsia" w:asciiTheme="minorEastAsia" w:hAnsiTheme="minorEastAsia"/>
          <w:sz w:val="24"/>
          <w:szCs w:val="24"/>
        </w:rPr>
        <w:t>开标地点：“苏采云”政府采购交易系统网上开标大厅</w:t>
      </w:r>
    </w:p>
    <w:bookmarkEnd w:id="14"/>
    <w:bookmarkEnd w:id="15"/>
    <w:p w14:paraId="10E961EE">
      <w:pPr>
        <w:pStyle w:val="19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五、公告期限</w:t>
      </w:r>
    </w:p>
    <w:p w14:paraId="57E11439">
      <w:pPr>
        <w:spacing w:line="500" w:lineRule="exact"/>
        <w:ind w:firstLine="480"/>
        <w:rPr>
          <w:rFonts w:asciiTheme="minorEastAsia" w:hAnsiTheme="minorEastAsia"/>
          <w:sz w:val="24"/>
          <w:szCs w:val="24"/>
        </w:rPr>
      </w:pPr>
      <w:r>
        <w:rPr>
          <w:rFonts w:hint="eastAsia" w:asciiTheme="minorEastAsia" w:hAnsiTheme="minorEastAsia"/>
          <w:sz w:val="24"/>
          <w:szCs w:val="24"/>
        </w:rPr>
        <w:t>自本公告发布之日起5个工作日。</w:t>
      </w:r>
    </w:p>
    <w:p w14:paraId="387F3408">
      <w:pPr>
        <w:pStyle w:val="19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六、其他补充事宜</w:t>
      </w:r>
    </w:p>
    <w:p w14:paraId="070510B1">
      <w:pPr>
        <w:spacing w:line="500" w:lineRule="exact"/>
        <w:ind w:firstLine="480" w:firstLineChars="200"/>
        <w:rPr>
          <w:rFonts w:asciiTheme="minorEastAsia" w:hAnsiTheme="minorEastAsia"/>
          <w:sz w:val="24"/>
          <w:szCs w:val="24"/>
        </w:rPr>
      </w:pPr>
      <w:r>
        <w:rPr>
          <w:rFonts w:hint="eastAsia" w:asciiTheme="minorEastAsia" w:hAnsiTheme="minorEastAsia"/>
          <w:sz w:val="24"/>
          <w:szCs w:val="24"/>
        </w:rPr>
        <w:t>1.本次招标不收取投标保证金。</w:t>
      </w:r>
    </w:p>
    <w:p w14:paraId="01B29BBB">
      <w:pPr>
        <w:spacing w:line="500" w:lineRule="exact"/>
        <w:ind w:firstLine="480" w:firstLineChars="200"/>
        <w:rPr>
          <w:rFonts w:asciiTheme="minorEastAsia" w:hAnsiTheme="minorEastAsia"/>
          <w:sz w:val="24"/>
          <w:szCs w:val="24"/>
        </w:rPr>
      </w:pPr>
      <w:r>
        <w:rPr>
          <w:rFonts w:hint="eastAsia" w:asciiTheme="minorEastAsia" w:hAnsiTheme="minorEastAsia"/>
          <w:sz w:val="24"/>
          <w:szCs w:val="24"/>
        </w:rPr>
        <w:t>2.本招标文件中斜体且有下划线部分为实质性要求和条件，投标人须逐条做出满足实质性要求和条件的响应，否则将按无效响应处理。</w:t>
      </w:r>
    </w:p>
    <w:p w14:paraId="165FB5BD">
      <w:pPr>
        <w:spacing w:line="500" w:lineRule="exact"/>
        <w:ind w:firstLine="480" w:firstLineChars="200"/>
        <w:rPr>
          <w:rFonts w:asciiTheme="minorEastAsia" w:hAnsiTheme="minorEastAsia"/>
          <w:sz w:val="24"/>
          <w:szCs w:val="24"/>
        </w:rPr>
      </w:pPr>
      <w:r>
        <w:rPr>
          <w:rFonts w:hint="eastAsia" w:asciiTheme="minorEastAsia" w:hAnsiTheme="minorEastAsia"/>
          <w:sz w:val="24"/>
          <w:szCs w:val="24"/>
        </w:rPr>
        <w:t>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p>
    <w:p w14:paraId="5AC2D2C3">
      <w:pPr>
        <w:spacing w:line="500" w:lineRule="exact"/>
        <w:ind w:firstLine="480" w:firstLineChars="200"/>
        <w:rPr>
          <w:rFonts w:asciiTheme="minorEastAsia" w:hAnsiTheme="minorEastAsia"/>
          <w:sz w:val="24"/>
          <w:szCs w:val="24"/>
        </w:rPr>
      </w:pPr>
      <w:r>
        <w:rPr>
          <w:rFonts w:hint="eastAsia" w:asciiTheme="minorEastAsia" w:hAnsiTheme="minorEastAsia"/>
          <w:sz w:val="24"/>
          <w:szCs w:val="24"/>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p>
    <w:p w14:paraId="16D43C31">
      <w:pPr>
        <w:spacing w:line="500" w:lineRule="exact"/>
        <w:ind w:firstLine="480" w:firstLineChars="200"/>
        <w:rPr>
          <w:rFonts w:asciiTheme="minorEastAsia" w:hAnsiTheme="minorEastAsia"/>
          <w:sz w:val="24"/>
          <w:szCs w:val="24"/>
        </w:rPr>
      </w:pPr>
      <w:r>
        <w:rPr>
          <w:rFonts w:hint="eastAsia" w:asciiTheme="minorEastAsia" w:hAnsiTheme="minorEastAsia"/>
          <w:sz w:val="24"/>
          <w:szCs w:val="24"/>
        </w:rPr>
        <w:t>http://www.ccgp-jiangsu.gov.cn/jiangsu/zlxz/ee/ee3a4bc5a3454aa2b0d9312230633ce9.html</w:t>
      </w:r>
    </w:p>
    <w:p w14:paraId="3927AE20">
      <w:pPr>
        <w:spacing w:line="500" w:lineRule="exact"/>
        <w:ind w:firstLine="480" w:firstLineChars="200"/>
        <w:rPr>
          <w:rFonts w:asciiTheme="minorEastAsia" w:hAnsiTheme="minorEastAsia"/>
          <w:sz w:val="24"/>
          <w:szCs w:val="24"/>
        </w:rPr>
      </w:pPr>
      <w:r>
        <w:rPr>
          <w:rFonts w:hint="eastAsia" w:asciiTheme="minorEastAsia" w:hAnsiTheme="minorEastAsia"/>
          <w:sz w:val="24"/>
          <w:szCs w:val="24"/>
        </w:rPr>
        <w:t>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自行承担一切损失。</w:t>
      </w:r>
    </w:p>
    <w:p w14:paraId="106A6946">
      <w:pPr>
        <w:pStyle w:val="19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七、对本次招标提出询问，请按以下方式联系</w:t>
      </w:r>
    </w:p>
    <w:p w14:paraId="451ED1A2">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1.采购人信息</w:t>
      </w:r>
    </w:p>
    <w:p w14:paraId="104C51D8">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名    称：</w:t>
      </w:r>
      <w:r>
        <w:rPr>
          <w:rFonts w:hint="eastAsia" w:ascii="宋体" w:hAnsi="宋体" w:eastAsia="宋体" w:cs="宋体"/>
          <w:kern w:val="2"/>
          <w:sz w:val="24"/>
          <w:szCs w:val="24"/>
        </w:rPr>
        <w:t>国家税务总局连云港市税务局</w:t>
      </w:r>
    </w:p>
    <w:p w14:paraId="23263619">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地    址：</w:t>
      </w:r>
      <w:r>
        <w:rPr>
          <w:rFonts w:hint="eastAsia" w:ascii="宋体" w:hAnsi="宋体" w:eastAsia="宋体" w:cs="宋体"/>
          <w:kern w:val="2"/>
          <w:sz w:val="24"/>
          <w:szCs w:val="24"/>
        </w:rPr>
        <w:t>江苏省连云港市花果山大道22号金融新天地A座</w:t>
      </w:r>
    </w:p>
    <w:p w14:paraId="7C9C1CCA">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联系方式：</w:t>
      </w:r>
      <w:bookmarkStart w:id="16" w:name="OLE_LINK88"/>
      <w:bookmarkStart w:id="17" w:name="OLE_LINK87"/>
      <w:r>
        <w:rPr>
          <w:rFonts w:hint="eastAsia" w:ascii="宋体" w:hAnsi="宋体" w:eastAsia="宋体" w:cs="Times New Roman"/>
          <w:kern w:val="2"/>
          <w:sz w:val="24"/>
          <w:szCs w:val="24"/>
        </w:rPr>
        <w:t>王科长</w:t>
      </w:r>
      <w:bookmarkEnd w:id="16"/>
      <w:bookmarkEnd w:id="17"/>
      <w:r>
        <w:rPr>
          <w:rFonts w:hint="eastAsia" w:ascii="宋体" w:hAnsi="宋体" w:eastAsia="宋体" w:cs="Times New Roman"/>
          <w:kern w:val="2"/>
          <w:sz w:val="24"/>
          <w:szCs w:val="24"/>
        </w:rPr>
        <w:t xml:space="preserve">     </w:t>
      </w:r>
      <w:r>
        <w:rPr>
          <w:rFonts w:ascii="宋体" w:hAnsi="宋体" w:eastAsia="宋体" w:cs="Times New Roman"/>
          <w:kern w:val="2"/>
          <w:sz w:val="24"/>
          <w:szCs w:val="24"/>
        </w:rPr>
        <w:t>0518-85991632</w:t>
      </w:r>
    </w:p>
    <w:p w14:paraId="6D05E562">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2.采购代理机构信息</w:t>
      </w:r>
    </w:p>
    <w:p w14:paraId="3C99772E">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名    称：连云港市公共资源交易中心</w:t>
      </w:r>
    </w:p>
    <w:p w14:paraId="6515B832">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地    址：连云港市海州区凌洲东路9号2号楼419室</w:t>
      </w:r>
    </w:p>
    <w:p w14:paraId="54897609">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 xml:space="preserve">联系方式：程杨 </w:t>
      </w:r>
      <w:r>
        <w:rPr>
          <w:rFonts w:ascii="宋体" w:hAnsi="宋体" w:eastAsia="宋体" w:cs="Times New Roman"/>
          <w:kern w:val="2"/>
          <w:sz w:val="24"/>
          <w:szCs w:val="24"/>
        </w:rPr>
        <w:t xml:space="preserve">  0518-8</w:t>
      </w:r>
      <w:r>
        <w:rPr>
          <w:rFonts w:hint="eastAsia" w:ascii="宋体" w:hAnsi="宋体" w:eastAsia="宋体" w:cs="Times New Roman"/>
          <w:kern w:val="2"/>
          <w:sz w:val="24"/>
          <w:szCs w:val="24"/>
        </w:rPr>
        <w:t>2256581</w:t>
      </w:r>
    </w:p>
    <w:p w14:paraId="307D890C">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3.项目联系方式</w:t>
      </w:r>
    </w:p>
    <w:p w14:paraId="6C901BC4">
      <w:pPr>
        <w:spacing w:line="500" w:lineRule="exact"/>
        <w:ind w:firstLine="480" w:firstLineChars="200"/>
        <w:rPr>
          <w:rFonts w:ascii="宋体" w:hAnsi="宋体" w:eastAsia="宋体" w:cs="宋体"/>
          <w:kern w:val="2"/>
          <w:sz w:val="24"/>
          <w:szCs w:val="24"/>
        </w:rPr>
      </w:pPr>
      <w:r>
        <w:rPr>
          <w:rFonts w:hint="eastAsia" w:ascii="宋体" w:hAnsi="宋体" w:eastAsia="宋体" w:cs="宋体"/>
          <w:kern w:val="2"/>
          <w:sz w:val="24"/>
          <w:szCs w:val="24"/>
        </w:rPr>
        <w:t xml:space="preserve">国家税务总局连云港市税务局    </w:t>
      </w:r>
    </w:p>
    <w:p w14:paraId="249670BF">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 xml:space="preserve">电      话：王科长 </w:t>
      </w:r>
      <w:r>
        <w:rPr>
          <w:rFonts w:ascii="宋体" w:hAnsi="宋体" w:eastAsia="宋体" w:cs="Times New Roman"/>
          <w:kern w:val="2"/>
          <w:sz w:val="24"/>
          <w:szCs w:val="24"/>
        </w:rPr>
        <w:t>0518-85991632</w:t>
      </w:r>
    </w:p>
    <w:p w14:paraId="425F2E65">
      <w:pPr>
        <w:spacing w:line="500" w:lineRule="exact"/>
        <w:ind w:firstLine="480"/>
        <w:rPr>
          <w:rFonts w:cs="Times New Roman" w:asciiTheme="minorEastAsia" w:hAnsiTheme="minorEastAsia"/>
          <w:sz w:val="24"/>
          <w:szCs w:val="24"/>
        </w:rPr>
      </w:pPr>
      <w:r>
        <w:rPr>
          <w:rFonts w:hint="eastAsia" w:cs="Times New Roman" w:asciiTheme="minorEastAsia" w:hAnsiTheme="minorEastAsia"/>
          <w:sz w:val="24"/>
          <w:szCs w:val="24"/>
        </w:rPr>
        <w:t xml:space="preserve"> </w:t>
      </w:r>
    </w:p>
    <w:p w14:paraId="58B21917">
      <w:pPr>
        <w:spacing w:line="500" w:lineRule="exact"/>
        <w:ind w:firstLine="480"/>
        <w:rPr>
          <w:rFonts w:asciiTheme="minorEastAsia" w:hAnsiTheme="minorEastAsia"/>
          <w:sz w:val="24"/>
          <w:szCs w:val="24"/>
        </w:rPr>
      </w:pPr>
    </w:p>
    <w:p w14:paraId="1E5D9863">
      <w:pPr>
        <w:spacing w:line="500" w:lineRule="exact"/>
        <w:ind w:firstLine="480"/>
        <w:rPr>
          <w:sz w:val="24"/>
          <w:szCs w:val="24"/>
        </w:rPr>
      </w:pPr>
    </w:p>
    <w:p w14:paraId="24AFBF2F">
      <w:pPr>
        <w:spacing w:line="500" w:lineRule="exact"/>
        <w:ind w:firstLine="480"/>
        <w:rPr>
          <w:sz w:val="24"/>
          <w:szCs w:val="24"/>
        </w:rPr>
      </w:pPr>
    </w:p>
    <w:p w14:paraId="7828171C">
      <w:pPr>
        <w:spacing w:line="500" w:lineRule="exact"/>
        <w:ind w:firstLine="480"/>
        <w:rPr>
          <w:sz w:val="24"/>
          <w:szCs w:val="24"/>
        </w:rPr>
      </w:pPr>
    </w:p>
    <w:p w14:paraId="467624B3">
      <w:pPr>
        <w:spacing w:line="500" w:lineRule="exact"/>
        <w:ind w:firstLine="480"/>
        <w:rPr>
          <w:sz w:val="24"/>
          <w:szCs w:val="24"/>
        </w:rPr>
      </w:pPr>
    </w:p>
    <w:p w14:paraId="547F917B">
      <w:pPr>
        <w:spacing w:line="500" w:lineRule="exact"/>
        <w:ind w:firstLine="480"/>
        <w:rPr>
          <w:sz w:val="24"/>
          <w:szCs w:val="24"/>
        </w:rPr>
      </w:pPr>
    </w:p>
    <w:p w14:paraId="11027127">
      <w:pPr>
        <w:spacing w:line="500" w:lineRule="exact"/>
        <w:ind w:firstLine="480"/>
        <w:rPr>
          <w:sz w:val="24"/>
          <w:szCs w:val="24"/>
        </w:rPr>
      </w:pPr>
    </w:p>
    <w:p w14:paraId="5E6A014B">
      <w:pPr>
        <w:pStyle w:val="196"/>
        <w:rPr>
          <w:sz w:val="24"/>
        </w:rPr>
      </w:pPr>
    </w:p>
    <w:p w14:paraId="492D85C1">
      <w:pPr>
        <w:pStyle w:val="196"/>
        <w:rPr>
          <w:sz w:val="24"/>
        </w:rPr>
      </w:pPr>
    </w:p>
    <w:p w14:paraId="11785922">
      <w:pPr>
        <w:pStyle w:val="196"/>
        <w:rPr>
          <w:sz w:val="24"/>
        </w:rPr>
      </w:pPr>
    </w:p>
    <w:p w14:paraId="73CAE031">
      <w:pPr>
        <w:pStyle w:val="196"/>
        <w:rPr>
          <w:sz w:val="24"/>
        </w:rPr>
      </w:pPr>
    </w:p>
    <w:p w14:paraId="7A5CE508">
      <w:pPr>
        <w:pStyle w:val="196"/>
        <w:rPr>
          <w:sz w:val="24"/>
        </w:rPr>
      </w:pPr>
    </w:p>
    <w:p w14:paraId="41ECFE03">
      <w:pPr>
        <w:pStyle w:val="196"/>
        <w:rPr>
          <w:sz w:val="24"/>
        </w:rPr>
      </w:pPr>
    </w:p>
    <w:p w14:paraId="6A974E44">
      <w:pPr>
        <w:keepNext/>
        <w:keepLines/>
        <w:spacing w:beforeLines="50" w:afterLines="50" w:line="360" w:lineRule="auto"/>
        <w:jc w:val="center"/>
        <w:outlineLvl w:val="0"/>
        <w:rPr>
          <w:rFonts w:ascii="黑体" w:hAnsi="黑体" w:eastAsia="黑体" w:cs="Times New Roman"/>
          <w:bCs/>
          <w:kern w:val="44"/>
          <w:sz w:val="44"/>
          <w:szCs w:val="44"/>
        </w:rPr>
      </w:pPr>
      <w:bookmarkStart w:id="18" w:name="_Toc162361611"/>
      <w:r>
        <w:rPr>
          <w:rFonts w:hint="eastAsia" w:ascii="黑体" w:hAnsi="黑体" w:eastAsia="黑体" w:cs="Times New Roman"/>
          <w:bCs/>
          <w:kern w:val="44"/>
          <w:sz w:val="44"/>
          <w:szCs w:val="44"/>
        </w:rPr>
        <w:t>第二章  投标人须知</w:t>
      </w:r>
      <w:bookmarkEnd w:id="18"/>
    </w:p>
    <w:p w14:paraId="5B2E6698">
      <w:pPr>
        <w:keepNext/>
        <w:keepLines/>
        <w:spacing w:line="500" w:lineRule="exact"/>
        <w:outlineLvl w:val="1"/>
        <w:rPr>
          <w:rFonts w:ascii="宋体" w:hAnsi="宋体" w:eastAsia="宋体" w:cs="Times New Roman"/>
          <w:b/>
          <w:bCs/>
          <w:kern w:val="2"/>
          <w:sz w:val="32"/>
          <w:szCs w:val="32"/>
        </w:rPr>
      </w:pPr>
      <w:r>
        <w:rPr>
          <w:rFonts w:hint="eastAsia" w:ascii="宋体" w:hAnsi="宋体" w:eastAsia="宋体" w:cs="Times New Roman"/>
          <w:b/>
          <w:bCs/>
          <w:kern w:val="2"/>
          <w:sz w:val="32"/>
          <w:szCs w:val="32"/>
        </w:rPr>
        <w:t>一、总则</w:t>
      </w:r>
    </w:p>
    <w:p w14:paraId="086A893E">
      <w:pPr>
        <w:spacing w:line="500" w:lineRule="exact"/>
        <w:ind w:firstLine="482" w:firstLineChars="200"/>
        <w:rPr>
          <w:rFonts w:ascii="宋体" w:hAnsi="宋体" w:eastAsia="宋体" w:cs="Times New Roman"/>
          <w:b/>
          <w:kern w:val="2"/>
          <w:sz w:val="24"/>
        </w:rPr>
      </w:pPr>
      <w:r>
        <w:rPr>
          <w:rFonts w:hint="eastAsia" w:ascii="宋体" w:hAnsi="宋体" w:eastAsia="宋体" w:cs="Times New Roman"/>
          <w:b/>
          <w:kern w:val="2"/>
          <w:sz w:val="24"/>
        </w:rPr>
        <w:t>1.招标方式</w:t>
      </w:r>
    </w:p>
    <w:p w14:paraId="59D33300">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1.1 本次招标采取公开招标方式，本招标文件仅适用于招标公告中所述项目。</w:t>
      </w:r>
    </w:p>
    <w:p w14:paraId="60FD033C">
      <w:pPr>
        <w:spacing w:line="500" w:lineRule="exact"/>
        <w:ind w:firstLine="482" w:firstLineChars="200"/>
        <w:rPr>
          <w:rFonts w:ascii="宋体" w:hAnsi="宋体" w:eastAsia="宋体" w:cs="Times New Roman"/>
          <w:b/>
          <w:kern w:val="2"/>
          <w:sz w:val="24"/>
        </w:rPr>
      </w:pPr>
      <w:r>
        <w:rPr>
          <w:rFonts w:hint="eastAsia" w:ascii="宋体" w:hAnsi="宋体" w:eastAsia="宋体" w:cs="Times New Roman"/>
          <w:b/>
          <w:kern w:val="2"/>
          <w:sz w:val="24"/>
        </w:rPr>
        <w:t>2.合格的投标人</w:t>
      </w:r>
    </w:p>
    <w:p w14:paraId="00BA72A8">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2.1 满足招标公告中供应商的资格要求的规定。</w:t>
      </w:r>
    </w:p>
    <w:p w14:paraId="36A9B2FC">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2.2 银行、保险、石油石化、电力、电信等特殊行业法人的分支机构（不具有独立的法人资格）参加本项目政府采购活动的，应当提供总公司出具的愿为其参与政府采购活动以及履约行为承担民事责任的承诺书（或授权书）。</w:t>
      </w:r>
    </w:p>
    <w:p w14:paraId="2ABB11AE">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2.3 满足本招标文件全部实质性要求和条件的规定。</w:t>
      </w:r>
    </w:p>
    <w:p w14:paraId="1F44A058">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2.4 符合上述条件的投标人应承担投标及履约过程应承担的全部责任与义务。</w:t>
      </w:r>
    </w:p>
    <w:p w14:paraId="419AA957">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2.5单位负责人为同一人或者存在直接控股、管理关系的不同供应商，不得参加同一合同项下的政府采购活动。</w:t>
      </w:r>
    </w:p>
    <w:p w14:paraId="3D62846C">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2.6除单一来源采购项目外，为采购项目提供整体设计、规范编制或者项目管理、监理、检测等服务的供应商，不得再参加该采购项目的其他采购活动。</w:t>
      </w:r>
    </w:p>
    <w:p w14:paraId="013C1262">
      <w:pPr>
        <w:spacing w:line="500" w:lineRule="exact"/>
        <w:ind w:firstLine="482" w:firstLineChars="200"/>
        <w:rPr>
          <w:rFonts w:ascii="宋体" w:hAnsi="宋体" w:eastAsia="宋体" w:cs="Times New Roman"/>
          <w:b/>
          <w:kern w:val="2"/>
          <w:sz w:val="24"/>
        </w:rPr>
      </w:pPr>
      <w:r>
        <w:rPr>
          <w:rFonts w:hint="eastAsia" w:ascii="宋体" w:hAnsi="宋体" w:eastAsia="宋体" w:cs="Times New Roman"/>
          <w:b/>
          <w:kern w:val="2"/>
          <w:sz w:val="24"/>
        </w:rPr>
        <w:t>3.适用法律</w:t>
      </w:r>
    </w:p>
    <w:p w14:paraId="31DE10AC">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3.1 本次招标及由此产生的合同受中华人民共和国有关的法律法规制约和保护。</w:t>
      </w:r>
    </w:p>
    <w:p w14:paraId="04765801">
      <w:pPr>
        <w:spacing w:line="500" w:lineRule="exact"/>
        <w:ind w:firstLine="482" w:firstLineChars="200"/>
        <w:rPr>
          <w:rFonts w:ascii="宋体" w:hAnsi="宋体" w:eastAsia="宋体" w:cs="Times New Roman"/>
          <w:b/>
          <w:kern w:val="2"/>
          <w:sz w:val="24"/>
        </w:rPr>
      </w:pPr>
      <w:r>
        <w:rPr>
          <w:rFonts w:hint="eastAsia" w:ascii="宋体" w:hAnsi="宋体" w:eastAsia="宋体" w:cs="Times New Roman"/>
          <w:b/>
          <w:kern w:val="2"/>
          <w:sz w:val="24"/>
        </w:rPr>
        <w:t>4.投标费用</w:t>
      </w:r>
    </w:p>
    <w:p w14:paraId="0C5D31EC">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4.1 投标人应自行承担所有与参加投标有关的费用，无论投标过程中的做法和结果如何，连云港市公共资源交易中心（以下简称交易中心）在任何情况下均无义务和责任承担这些费用。</w:t>
      </w:r>
    </w:p>
    <w:p w14:paraId="474B613B">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4.2 本次招标采购人和交易中心不收取标书工本费与中标服务费。</w:t>
      </w:r>
    </w:p>
    <w:p w14:paraId="207EDFAF">
      <w:pPr>
        <w:spacing w:line="500" w:lineRule="exact"/>
        <w:ind w:firstLine="482" w:firstLineChars="200"/>
        <w:rPr>
          <w:rFonts w:ascii="宋体" w:hAnsi="宋体" w:eastAsia="宋体" w:cs="Times New Roman"/>
          <w:b/>
          <w:kern w:val="2"/>
          <w:sz w:val="24"/>
        </w:rPr>
      </w:pPr>
      <w:r>
        <w:rPr>
          <w:rFonts w:hint="eastAsia" w:ascii="宋体" w:hAnsi="宋体" w:eastAsia="宋体" w:cs="Times New Roman"/>
          <w:b/>
          <w:kern w:val="2"/>
          <w:sz w:val="24"/>
        </w:rPr>
        <w:t>5.招标文件的约束力</w:t>
      </w:r>
    </w:p>
    <w:p w14:paraId="732DF250">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5.1 投标人一旦参加本项目采购活动，即被认为接受了本招标文件的规定和约束。</w:t>
      </w:r>
    </w:p>
    <w:p w14:paraId="2CFF9FA6">
      <w:pPr>
        <w:keepNext/>
        <w:keepLines/>
        <w:spacing w:line="500" w:lineRule="exact"/>
        <w:outlineLvl w:val="1"/>
        <w:rPr>
          <w:rFonts w:ascii="宋体" w:hAnsi="宋体" w:eastAsia="宋体" w:cs="Times New Roman"/>
          <w:b/>
          <w:bCs/>
          <w:kern w:val="2"/>
          <w:sz w:val="32"/>
          <w:szCs w:val="32"/>
        </w:rPr>
      </w:pPr>
      <w:r>
        <w:rPr>
          <w:rFonts w:hint="eastAsia" w:ascii="宋体" w:hAnsi="宋体" w:eastAsia="宋体" w:cs="Times New Roman"/>
          <w:b/>
          <w:bCs/>
          <w:kern w:val="2"/>
          <w:sz w:val="32"/>
          <w:szCs w:val="32"/>
        </w:rPr>
        <w:t>二、招标文件</w:t>
      </w:r>
    </w:p>
    <w:p w14:paraId="13B908DC">
      <w:pPr>
        <w:spacing w:line="500" w:lineRule="exact"/>
        <w:ind w:firstLine="482" w:firstLineChars="200"/>
        <w:rPr>
          <w:rFonts w:ascii="宋体" w:hAnsi="宋体" w:eastAsia="宋体" w:cs="Times New Roman"/>
          <w:b/>
          <w:kern w:val="2"/>
          <w:sz w:val="24"/>
        </w:rPr>
      </w:pPr>
      <w:r>
        <w:rPr>
          <w:rFonts w:hint="eastAsia" w:ascii="宋体" w:hAnsi="宋体" w:eastAsia="宋体" w:cs="Times New Roman"/>
          <w:b/>
          <w:kern w:val="2"/>
          <w:sz w:val="24"/>
        </w:rPr>
        <w:t>6.招标文件构成</w:t>
      </w:r>
    </w:p>
    <w:p w14:paraId="2A97E35D">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6.1 招标文件由以下部分组成：</w:t>
      </w:r>
    </w:p>
    <w:p w14:paraId="5093288E">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（1）投标邀请</w:t>
      </w:r>
    </w:p>
    <w:p w14:paraId="7D47238A">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（2）投标人须知</w:t>
      </w:r>
    </w:p>
    <w:p w14:paraId="02EE0194">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（3）合同文本</w:t>
      </w:r>
    </w:p>
    <w:p w14:paraId="32C3B3FC">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（4）采购需求</w:t>
      </w:r>
    </w:p>
    <w:p w14:paraId="1A44BB97">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（5）评标方法与评标标准</w:t>
      </w:r>
    </w:p>
    <w:p w14:paraId="335E4782">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（6）投标文件格式</w:t>
      </w:r>
    </w:p>
    <w:p w14:paraId="08A4A818">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请仔细检查招标文件是否齐全，如有缺漏请立即与交易中心联系解决。</w:t>
      </w:r>
    </w:p>
    <w:p w14:paraId="3188CB2C">
      <w:pPr>
        <w:spacing w:line="500" w:lineRule="exact"/>
        <w:ind w:firstLine="482" w:firstLineChars="200"/>
        <w:rPr>
          <w:rFonts w:ascii="宋体" w:hAnsi="宋体" w:eastAsia="宋体" w:cs="Times New Roman"/>
          <w:b/>
          <w:kern w:val="2"/>
          <w:sz w:val="24"/>
        </w:rPr>
      </w:pPr>
      <w:r>
        <w:rPr>
          <w:rFonts w:hint="eastAsia" w:ascii="宋体" w:hAnsi="宋体" w:eastAsia="宋体" w:cs="Times New Roman"/>
          <w:b/>
          <w:kern w:val="2"/>
          <w:sz w:val="24"/>
        </w:rPr>
        <w:t>7.招标文件的澄清</w:t>
      </w:r>
    </w:p>
    <w:p w14:paraId="69795DBA">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7.1 任何要求对招标文件进行澄清的投标人，应在投标截止期十日前按招标公告中的通讯地址，以书面形式通知采购人或者交易中心。</w:t>
      </w:r>
    </w:p>
    <w:p w14:paraId="503556C9">
      <w:pPr>
        <w:spacing w:line="500" w:lineRule="exact"/>
        <w:ind w:firstLine="482" w:firstLineChars="200"/>
        <w:rPr>
          <w:rFonts w:ascii="宋体" w:hAnsi="宋体" w:eastAsia="宋体" w:cs="Times New Roman"/>
          <w:b/>
          <w:kern w:val="2"/>
          <w:sz w:val="24"/>
        </w:rPr>
      </w:pPr>
      <w:r>
        <w:rPr>
          <w:rFonts w:hint="eastAsia" w:ascii="宋体" w:hAnsi="宋体" w:eastAsia="宋体" w:cs="Times New Roman"/>
          <w:b/>
          <w:kern w:val="2"/>
          <w:sz w:val="24"/>
        </w:rPr>
        <w:t>8.招标文件的修改</w:t>
      </w:r>
    </w:p>
    <w:p w14:paraId="26AE5D5D">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8.1 在投标截止时间前，交易中心可以对招标文件进行修改。</w:t>
      </w:r>
    </w:p>
    <w:p w14:paraId="46CB12C7">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8.2 交易中心有权按照法定的要求推迟投标截止日期和开标日期。</w:t>
      </w:r>
    </w:p>
    <w:p w14:paraId="318A5B30">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8.3 招标文件的修改将在江苏政府采购网公布，补充文件将作为招标文件的组成部分，并对投标人具有约束力。</w:t>
      </w:r>
    </w:p>
    <w:p w14:paraId="4AB873A5">
      <w:pPr>
        <w:keepNext/>
        <w:keepLines/>
        <w:spacing w:line="500" w:lineRule="exact"/>
        <w:outlineLvl w:val="1"/>
        <w:rPr>
          <w:rFonts w:ascii="宋体" w:hAnsi="宋体" w:eastAsia="宋体" w:cs="Times New Roman"/>
          <w:b/>
          <w:bCs/>
          <w:kern w:val="2"/>
          <w:sz w:val="32"/>
          <w:szCs w:val="32"/>
        </w:rPr>
      </w:pPr>
      <w:r>
        <w:rPr>
          <w:rFonts w:hint="eastAsia" w:ascii="宋体" w:hAnsi="宋体" w:eastAsia="宋体" w:cs="Times New Roman"/>
          <w:b/>
          <w:bCs/>
          <w:kern w:val="2"/>
          <w:sz w:val="32"/>
          <w:szCs w:val="32"/>
        </w:rPr>
        <w:t>三、投标文件的编制</w:t>
      </w:r>
    </w:p>
    <w:p w14:paraId="5F56AD4C">
      <w:pPr>
        <w:spacing w:line="500" w:lineRule="exact"/>
        <w:ind w:firstLine="482" w:firstLineChars="200"/>
        <w:rPr>
          <w:rFonts w:ascii="宋体" w:hAnsi="宋体" w:eastAsia="宋体" w:cs="Times New Roman"/>
          <w:b/>
          <w:kern w:val="2"/>
          <w:sz w:val="24"/>
        </w:rPr>
      </w:pPr>
      <w:r>
        <w:rPr>
          <w:rFonts w:hint="eastAsia" w:ascii="宋体" w:hAnsi="宋体" w:eastAsia="宋体" w:cs="Times New Roman"/>
          <w:b/>
          <w:kern w:val="2"/>
          <w:sz w:val="24"/>
        </w:rPr>
        <w:t>9.投标文件编写注意事项</w:t>
      </w:r>
    </w:p>
    <w:p w14:paraId="0A178F55">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p>
    <w:p w14:paraId="7F0661EE">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p>
    <w:p w14:paraId="361BE0E5">
      <w:pPr>
        <w:spacing w:line="500" w:lineRule="exact"/>
        <w:ind w:firstLine="480" w:firstLineChars="200"/>
        <w:rPr>
          <w:rFonts w:ascii="宋体" w:hAnsi="宋体" w:eastAsia="宋体" w:cs="宋体"/>
          <w:kern w:val="2"/>
          <w:sz w:val="24"/>
          <w:szCs w:val="24"/>
        </w:rPr>
      </w:pPr>
      <w:r>
        <w:rPr>
          <w:rFonts w:hint="eastAsia" w:ascii="宋体" w:hAnsi="宋体" w:eastAsia="宋体" w:cs="宋体"/>
          <w:kern w:val="2"/>
          <w:sz w:val="24"/>
          <w:szCs w:val="24"/>
        </w:rPr>
        <w:t>9.3根据关于印发《连云港市本级优化政府采购领域营商环境2026年重点举措》的通知（连采购〔2026〕11号）规定，自2026年4月1日起，针对市本级全部集中采购项目实施暗标盲评。</w:t>
      </w:r>
    </w:p>
    <w:p w14:paraId="04A3C288">
      <w:pPr>
        <w:spacing w:line="500" w:lineRule="exact"/>
        <w:ind w:firstLine="480"/>
        <w:rPr>
          <w:rFonts w:ascii="宋体" w:hAnsi="宋体" w:eastAsia="宋体" w:cs="宋体"/>
          <w:bCs/>
          <w:color w:val="000000"/>
          <w:kern w:val="2"/>
          <w:sz w:val="24"/>
          <w:szCs w:val="24"/>
        </w:rPr>
      </w:pPr>
      <w:r>
        <w:rPr>
          <w:rFonts w:hint="eastAsia" w:ascii="宋体" w:hAnsi="宋体" w:eastAsia="宋体" w:cs="宋体"/>
          <w:bCs/>
          <w:color w:val="000000"/>
          <w:kern w:val="2"/>
          <w:sz w:val="24"/>
          <w:szCs w:val="24"/>
        </w:rPr>
        <w:t>本项目评审因素中技术（方案）部分采用暗标评审。要求如下：方案内容、文字、各类型图表、框图均不得出现供应商名称、相关人员姓名和其他可识别供应商身份的字符、徽标、人员名称、投标人独享的企业标准或编号等内容；不得出现能显示企业特征或批注、底纹、阴影、水印等提示性的标记或标识；不得出现以前所承担过的项目名称，不得作任何标识或暗示该供应商单位名称或人员姓名的标记，相关人员姓名应以职务或职称代替。</w:t>
      </w:r>
    </w:p>
    <w:p w14:paraId="4414EEB8">
      <w:pPr>
        <w:widowControl/>
        <w:spacing w:line="500" w:lineRule="exact"/>
        <w:ind w:firstLine="480"/>
        <w:rPr>
          <w:rFonts w:ascii="宋体" w:hAnsi="宋体" w:eastAsia="宋体" w:cs="宋体"/>
          <w:bCs/>
          <w:color w:val="000000"/>
          <w:kern w:val="2"/>
          <w:sz w:val="24"/>
          <w:szCs w:val="24"/>
        </w:rPr>
      </w:pPr>
      <w:r>
        <w:rPr>
          <w:rFonts w:hint="eastAsia" w:ascii="宋体" w:hAnsi="宋体" w:eastAsia="宋体" w:cs="宋体"/>
          <w:bCs/>
          <w:color w:val="000000"/>
          <w:kern w:val="2"/>
          <w:sz w:val="24"/>
          <w:szCs w:val="24"/>
        </w:rPr>
        <w:t>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p>
    <w:p w14:paraId="18C77241">
      <w:pPr>
        <w:spacing w:line="500" w:lineRule="exact"/>
        <w:ind w:firstLine="482" w:firstLineChars="200"/>
        <w:rPr>
          <w:rFonts w:ascii="宋体" w:hAnsi="宋体" w:eastAsia="宋体" w:cs="Times New Roman"/>
          <w:b/>
          <w:kern w:val="2"/>
          <w:sz w:val="24"/>
        </w:rPr>
      </w:pPr>
      <w:r>
        <w:rPr>
          <w:rFonts w:hint="eastAsia" w:ascii="宋体" w:hAnsi="宋体" w:eastAsia="宋体" w:cs="Times New Roman"/>
          <w:b/>
          <w:kern w:val="2"/>
          <w:sz w:val="24"/>
        </w:rPr>
        <w:t>10.投标文件的语言及度量衡单位</w:t>
      </w:r>
    </w:p>
    <w:p w14:paraId="63816746">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0EB302A3">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10.2 除技术性能另有规定外，投标文件所使用的度量衡单位，均须采用国家法定计量单位。</w:t>
      </w:r>
    </w:p>
    <w:p w14:paraId="48B9010C">
      <w:pPr>
        <w:spacing w:line="500" w:lineRule="exact"/>
        <w:ind w:firstLine="482" w:firstLineChars="200"/>
        <w:rPr>
          <w:rFonts w:ascii="宋体" w:hAnsi="宋体" w:eastAsia="宋体" w:cs="Times New Roman"/>
          <w:b/>
          <w:kern w:val="2"/>
          <w:sz w:val="24"/>
        </w:rPr>
      </w:pPr>
      <w:r>
        <w:rPr>
          <w:rFonts w:hint="eastAsia" w:ascii="宋体" w:hAnsi="宋体" w:eastAsia="宋体" w:cs="Times New Roman"/>
          <w:b/>
          <w:kern w:val="2"/>
          <w:sz w:val="24"/>
        </w:rPr>
        <w:t>11.投标文件构成</w:t>
      </w:r>
    </w:p>
    <w:p w14:paraId="6334A52F">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11.1 投标人编写的投标文件应包括资格证明文件、符合性证明文件、投标分项报价表、技术要求响应及偏离表（如有请提供）、商务要求响应及偏离表、其他证明文件、投标函、开标一览表等部分。</w:t>
      </w:r>
    </w:p>
    <w:p w14:paraId="0B95804A">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11.2 如投标文件制作工具中格式和内容与江苏政府采购网发布的招标文件不一致，请以江苏政府采购网发布的招标文件为准。</w:t>
      </w:r>
    </w:p>
    <w:p w14:paraId="51E0DA93">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11.3 特别提醒投标人，混乱的编排导致投标文件被误读或评标委员会（以下简称评委会）查找不到有效文件是投标人的风险。</w:t>
      </w:r>
    </w:p>
    <w:p w14:paraId="5F0F6596">
      <w:pPr>
        <w:spacing w:line="500" w:lineRule="exact"/>
        <w:ind w:firstLine="482" w:firstLineChars="200"/>
        <w:rPr>
          <w:rFonts w:ascii="宋体" w:hAnsi="宋体" w:eastAsia="宋体" w:cs="Times New Roman"/>
          <w:b/>
          <w:kern w:val="2"/>
          <w:sz w:val="24"/>
        </w:rPr>
      </w:pPr>
      <w:r>
        <w:rPr>
          <w:rFonts w:hint="eastAsia" w:ascii="宋体" w:hAnsi="宋体" w:eastAsia="宋体" w:cs="Times New Roman"/>
          <w:b/>
          <w:kern w:val="2"/>
          <w:sz w:val="24"/>
        </w:rPr>
        <w:t>12.证明投标人及投标标的符合招标文件规定的文件</w:t>
      </w:r>
    </w:p>
    <w:p w14:paraId="09932D13">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12.1 投标人应按照招标文件要求提交证明文件，证明其及投标标的符合招标文件规定。</w:t>
      </w:r>
    </w:p>
    <w:p w14:paraId="771F124B">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12.2 招标文件对证明文件无明确形式要求的，证明文件可以以文字资料、图纸和数据等形式提交。</w:t>
      </w:r>
    </w:p>
    <w:p w14:paraId="676FA5A8">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12.3 投标人委托代理时应当提交授权委托书，请按招标文件第六章给定格式及要求填写并附法定代表人（单位负责人）与委托代理人身份证明。</w:t>
      </w:r>
    </w:p>
    <w:p w14:paraId="0D71368D">
      <w:pPr>
        <w:spacing w:line="500" w:lineRule="exact"/>
        <w:ind w:firstLine="482" w:firstLineChars="200"/>
        <w:rPr>
          <w:rFonts w:ascii="宋体" w:hAnsi="宋体" w:eastAsia="宋体" w:cs="Times New Roman"/>
          <w:b/>
          <w:kern w:val="2"/>
          <w:sz w:val="24"/>
        </w:rPr>
      </w:pPr>
      <w:r>
        <w:rPr>
          <w:rFonts w:hint="eastAsia" w:ascii="宋体" w:hAnsi="宋体" w:eastAsia="宋体" w:cs="Times New Roman"/>
          <w:b/>
          <w:kern w:val="2"/>
          <w:sz w:val="24"/>
        </w:rPr>
        <w:t>13.投标分项报价表</w:t>
      </w:r>
    </w:p>
    <w:p w14:paraId="3996C8BA">
      <w:pPr>
        <w:spacing w:line="500" w:lineRule="exact"/>
        <w:ind w:firstLine="480" w:firstLineChars="200"/>
        <w:rPr>
          <w:rFonts w:ascii="宋体" w:hAnsi="宋体" w:eastAsia="宋体" w:cs="Times New Roman"/>
          <w:kern w:val="2"/>
          <w:sz w:val="24"/>
          <w:szCs w:val="24"/>
        </w:rPr>
      </w:pPr>
      <w:bookmarkStart w:id="19" w:name="OLE_LINK149"/>
      <w:r>
        <w:rPr>
          <w:rFonts w:hint="eastAsia" w:ascii="宋体" w:hAnsi="宋体" w:eastAsia="宋体" w:cs="Times New Roman"/>
          <w:kern w:val="2"/>
          <w:sz w:val="24"/>
          <w:szCs w:val="24"/>
        </w:rPr>
        <w:t>13.1 投标人应根据投标报价要求在投标分项报价表中列明各项投标单价、总价等，未全部列示的作无效响应处理。</w:t>
      </w:r>
    </w:p>
    <w:bookmarkEnd w:id="19"/>
    <w:p w14:paraId="439FE91B">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13.2 投标货币。投标文件中的单价和总价无特殊规定的采用人民币报价，以元为单位标注。招标文件中另有规定的按规定执行。</w:t>
      </w:r>
    </w:p>
    <w:p w14:paraId="4076A381">
      <w:pPr>
        <w:spacing w:line="500" w:lineRule="exact"/>
        <w:ind w:firstLine="482" w:firstLineChars="200"/>
        <w:rPr>
          <w:rFonts w:ascii="宋体" w:hAnsi="宋体" w:eastAsia="宋体" w:cs="Times New Roman"/>
          <w:b/>
          <w:kern w:val="2"/>
          <w:sz w:val="24"/>
        </w:rPr>
      </w:pPr>
      <w:r>
        <w:rPr>
          <w:rFonts w:hint="eastAsia" w:ascii="宋体" w:hAnsi="宋体" w:eastAsia="宋体" w:cs="Times New Roman"/>
          <w:b/>
          <w:kern w:val="2"/>
          <w:sz w:val="24"/>
        </w:rPr>
        <w:t>14.技术要求响应及偏离表、商务要求响应及偏离表</w:t>
      </w:r>
    </w:p>
    <w:p w14:paraId="3E7DFD5E">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p>
    <w:p w14:paraId="3EDC3A90">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14.2 投标人可在投标文件中提供认为需要的其他技术文件或说明。</w:t>
      </w:r>
    </w:p>
    <w:p w14:paraId="2C0C339F">
      <w:pPr>
        <w:spacing w:line="500" w:lineRule="exact"/>
        <w:ind w:firstLine="482" w:firstLineChars="200"/>
        <w:rPr>
          <w:rFonts w:ascii="宋体" w:hAnsi="宋体" w:eastAsia="宋体" w:cs="Times New Roman"/>
          <w:b/>
          <w:kern w:val="2"/>
          <w:sz w:val="24"/>
        </w:rPr>
      </w:pPr>
      <w:r>
        <w:rPr>
          <w:rFonts w:hint="eastAsia" w:ascii="宋体" w:hAnsi="宋体" w:eastAsia="宋体" w:cs="Times New Roman"/>
          <w:b/>
          <w:kern w:val="2"/>
          <w:sz w:val="24"/>
        </w:rPr>
        <w:t>15.服务承诺、培训计划、人员安排及其他</w:t>
      </w:r>
    </w:p>
    <w:p w14:paraId="477080B4">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15.1 投标人需根据招标文件要求提供有关售后服务的管理制度，售后服务机构的分布情况，售后服务人员的数量、素质、技术水平及售后服务的反应能力等。</w:t>
      </w:r>
    </w:p>
    <w:p w14:paraId="34E270F0">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15.2 投标人需根据招标文件要求提供培训计划、人员安排等。</w:t>
      </w:r>
    </w:p>
    <w:p w14:paraId="4EB27B63">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15.3 投标人需根据招标文件要求提供所投标的的主要组成部分、功能设计、实现思路及关键技术等。</w:t>
      </w:r>
    </w:p>
    <w:p w14:paraId="2EBB66F4">
      <w:pPr>
        <w:spacing w:line="500" w:lineRule="exact"/>
        <w:ind w:firstLine="482" w:firstLineChars="200"/>
        <w:rPr>
          <w:rFonts w:ascii="宋体" w:hAnsi="宋体" w:eastAsia="宋体" w:cs="Times New Roman"/>
          <w:b/>
          <w:kern w:val="2"/>
          <w:sz w:val="24"/>
        </w:rPr>
      </w:pPr>
      <w:r>
        <w:rPr>
          <w:rFonts w:hint="eastAsia" w:ascii="宋体" w:hAnsi="宋体" w:eastAsia="宋体" w:cs="Times New Roman"/>
          <w:b/>
          <w:kern w:val="2"/>
          <w:sz w:val="24"/>
        </w:rPr>
        <w:t>16.投标函和开标一览表</w:t>
      </w:r>
    </w:p>
    <w:p w14:paraId="4D3F2D6F">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16.1 投标人应按照招标文件中提供的格式完整、正确填写投标函、开标一览表。</w:t>
      </w:r>
    </w:p>
    <w:p w14:paraId="15F913A3">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16.2 对于采用货币报价的项目，开标一览表中的投标总报价应与投标分项报价表中的投标总报价一致，如不一致，不做无效投标处理，但评标时以开标一览表中价格为准。</w:t>
      </w:r>
    </w:p>
    <w:p w14:paraId="27CC8B56">
      <w:pPr>
        <w:spacing w:line="500" w:lineRule="exact"/>
        <w:ind w:firstLine="482" w:firstLineChars="200"/>
        <w:rPr>
          <w:rFonts w:ascii="宋体" w:hAnsi="宋体" w:eastAsia="宋体" w:cs="Times New Roman"/>
          <w:b/>
          <w:kern w:val="2"/>
          <w:sz w:val="24"/>
        </w:rPr>
      </w:pPr>
      <w:r>
        <w:rPr>
          <w:rFonts w:hint="eastAsia" w:ascii="宋体" w:hAnsi="宋体" w:eastAsia="宋体" w:cs="Times New Roman"/>
          <w:b/>
          <w:kern w:val="2"/>
          <w:sz w:val="24"/>
        </w:rPr>
        <w:t>17.投标有效期</w:t>
      </w:r>
    </w:p>
    <w:p w14:paraId="5F340AE7">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17.1 投标有效期为交易中心规定的开标之日后六十（60）天。投标有效期比规定短的将被视为未实质性响应招标文件而予以拒绝。</w:t>
      </w:r>
    </w:p>
    <w:p w14:paraId="0075C525">
      <w:pPr>
        <w:spacing w:line="500" w:lineRule="exact"/>
        <w:ind w:firstLine="480" w:firstLineChars="200"/>
        <w:jc w:val="left"/>
        <w:rPr>
          <w:rFonts w:ascii="Calibri" w:hAnsi="Calibri" w:eastAsia="宋体" w:cs="Times New Roman"/>
          <w:kern w:val="2"/>
          <w:sz w:val="24"/>
          <w:szCs w:val="24"/>
        </w:rPr>
      </w:pPr>
      <w:r>
        <w:rPr>
          <w:rFonts w:hint="eastAsia" w:ascii="宋体" w:hAnsi="宋体" w:eastAsia="宋体" w:cs="Times New Roman"/>
          <w:kern w:val="2"/>
          <w:sz w:val="24"/>
          <w:szCs w:val="24"/>
        </w:rPr>
        <w:t>17.2</w:t>
      </w:r>
      <w:r>
        <w:rPr>
          <w:rFonts w:hint="eastAsia" w:ascii="Calibri" w:hAnsi="Calibri" w:eastAsia="宋体" w:cs="Times New Roman"/>
          <w:kern w:val="2"/>
          <w:sz w:val="24"/>
          <w:szCs w:val="24"/>
        </w:rPr>
        <w:t>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p>
    <w:p w14:paraId="1BEAF962">
      <w:pPr>
        <w:keepNext/>
        <w:keepLines/>
        <w:spacing w:line="500" w:lineRule="exact"/>
        <w:outlineLvl w:val="1"/>
        <w:rPr>
          <w:rFonts w:ascii="宋体" w:hAnsi="宋体" w:eastAsia="宋体" w:cs="Times New Roman"/>
          <w:b/>
          <w:bCs/>
          <w:kern w:val="2"/>
          <w:sz w:val="32"/>
          <w:szCs w:val="32"/>
        </w:rPr>
      </w:pPr>
      <w:r>
        <w:rPr>
          <w:rFonts w:hint="eastAsia" w:ascii="宋体" w:hAnsi="宋体" w:eastAsia="宋体" w:cs="Times New Roman"/>
          <w:b/>
          <w:bCs/>
          <w:kern w:val="2"/>
          <w:sz w:val="32"/>
          <w:szCs w:val="32"/>
        </w:rPr>
        <w:t>四、投标文件的递交</w:t>
      </w:r>
    </w:p>
    <w:p w14:paraId="569CAF9E">
      <w:pPr>
        <w:spacing w:line="500" w:lineRule="exact"/>
        <w:ind w:firstLine="482" w:firstLineChars="200"/>
        <w:rPr>
          <w:rFonts w:ascii="宋体" w:hAnsi="宋体" w:eastAsia="宋体" w:cs="Times New Roman"/>
          <w:b/>
          <w:kern w:val="2"/>
          <w:sz w:val="24"/>
        </w:rPr>
      </w:pPr>
      <w:r>
        <w:rPr>
          <w:rFonts w:hint="eastAsia" w:ascii="宋体" w:hAnsi="宋体" w:eastAsia="宋体" w:cs="Times New Roman"/>
          <w:b/>
          <w:kern w:val="2"/>
          <w:sz w:val="24"/>
        </w:rPr>
        <w:t>18.电子投标文件的递交</w:t>
      </w:r>
    </w:p>
    <w:p w14:paraId="0D120F21">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18.1 投标人应当按照《操作手册》规定，在投标截止时间前制作并递交（上传）电子投标文件。</w:t>
      </w:r>
    </w:p>
    <w:p w14:paraId="3381A916">
      <w:pPr>
        <w:spacing w:line="500" w:lineRule="exact"/>
        <w:ind w:firstLine="482" w:firstLineChars="200"/>
        <w:rPr>
          <w:rFonts w:ascii="宋体" w:hAnsi="宋体" w:eastAsia="宋体" w:cs="Times New Roman"/>
          <w:b/>
          <w:kern w:val="2"/>
          <w:sz w:val="24"/>
        </w:rPr>
      </w:pPr>
      <w:r>
        <w:rPr>
          <w:rFonts w:hint="eastAsia" w:ascii="宋体" w:hAnsi="宋体" w:eastAsia="宋体" w:cs="Times New Roman"/>
          <w:b/>
          <w:kern w:val="2"/>
          <w:sz w:val="24"/>
        </w:rPr>
        <w:t>19.投标截止时间</w:t>
      </w:r>
    </w:p>
    <w:p w14:paraId="04CE698A">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19.1 投标人递交（上传）电子投标文件的时间不得迟于招标公告中规定的投标截止时间。</w:t>
      </w:r>
    </w:p>
    <w:p w14:paraId="7F87C7DC">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投标人应充分考虑到计算机硬件、软件及网络环境等风险因素，如因投标人自身原因造成电子投标文件递交（上传）不成功的按照本招标文件第二章第27.1条规定做无效投标处理。</w:t>
      </w:r>
    </w:p>
    <w:p w14:paraId="3F620723">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19.2 交易中心可以按照规定，通过修改招标文件酌情延长投标截止日期，在此情况下，投标人的所有权利和义务以及投标人受制的截止日期均应以延长后新的截止日期为准。</w:t>
      </w:r>
    </w:p>
    <w:p w14:paraId="60834622">
      <w:pPr>
        <w:spacing w:line="500" w:lineRule="exact"/>
        <w:ind w:firstLine="482" w:firstLineChars="200"/>
        <w:rPr>
          <w:rFonts w:ascii="宋体" w:hAnsi="宋体" w:eastAsia="宋体" w:cs="Times New Roman"/>
          <w:b/>
          <w:kern w:val="2"/>
          <w:sz w:val="24"/>
        </w:rPr>
      </w:pPr>
      <w:r>
        <w:rPr>
          <w:rFonts w:hint="eastAsia" w:ascii="宋体" w:hAnsi="宋体" w:eastAsia="宋体" w:cs="Times New Roman"/>
          <w:b/>
          <w:kern w:val="2"/>
          <w:sz w:val="24"/>
        </w:rPr>
        <w:t>20.投标文件的拒收</w:t>
      </w:r>
    </w:p>
    <w:p w14:paraId="5BADF016">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20.1 交易中心拒绝接收在其规定的投标截止时间后递交（上传）的任何投标文件。</w:t>
      </w:r>
    </w:p>
    <w:p w14:paraId="428F67D0">
      <w:pPr>
        <w:spacing w:line="500" w:lineRule="exact"/>
        <w:ind w:firstLine="482" w:firstLineChars="200"/>
        <w:rPr>
          <w:rFonts w:ascii="宋体" w:hAnsi="宋体" w:eastAsia="宋体" w:cs="Times New Roman"/>
          <w:b/>
          <w:kern w:val="2"/>
          <w:sz w:val="24"/>
        </w:rPr>
      </w:pPr>
      <w:r>
        <w:rPr>
          <w:rFonts w:hint="eastAsia" w:ascii="宋体" w:hAnsi="宋体" w:eastAsia="宋体" w:cs="Times New Roman"/>
          <w:b/>
          <w:kern w:val="2"/>
          <w:sz w:val="24"/>
        </w:rPr>
        <w:t>21.投标文件的撤回和修改</w:t>
      </w:r>
    </w:p>
    <w:p w14:paraId="0A7BEADA">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21.1 投标文件的撤回</w:t>
      </w:r>
    </w:p>
    <w:p w14:paraId="63214CCD">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21.1.1 投标人可在投标截止时间前，撤回其电子投标文件，具体操作方法见《操作手册》。</w:t>
      </w:r>
    </w:p>
    <w:p w14:paraId="2D05441B">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21.1.2 投标人撤回电子投标文件的，则认为其不再参与本项目投标活动。</w:t>
      </w:r>
    </w:p>
    <w:p w14:paraId="1417E450">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21.2 投标文件的修改</w:t>
      </w:r>
    </w:p>
    <w:p w14:paraId="18CE4ED4">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21.2.1 投标人可在投标截止时间前，对其电子投标文件进行修改，具体操作方法见《操作手册》。</w:t>
      </w:r>
    </w:p>
    <w:p w14:paraId="3113A183">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21.2.2 在投标截止时间之后，投标人不得对其电子投标文件做任何修改。</w:t>
      </w:r>
    </w:p>
    <w:p w14:paraId="30F3D023">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21.3 在投标截止时间至招标文件中规定的投标有效期满之间的这段时间内，投标人不得撤回其投标。</w:t>
      </w:r>
    </w:p>
    <w:p w14:paraId="72022CB9">
      <w:pPr>
        <w:keepNext/>
        <w:keepLines/>
        <w:spacing w:line="500" w:lineRule="exact"/>
        <w:outlineLvl w:val="1"/>
        <w:rPr>
          <w:rFonts w:ascii="宋体" w:hAnsi="宋体" w:eastAsia="宋体" w:cs="Times New Roman"/>
          <w:b/>
          <w:bCs/>
          <w:kern w:val="2"/>
          <w:sz w:val="32"/>
          <w:szCs w:val="32"/>
        </w:rPr>
      </w:pPr>
      <w:r>
        <w:rPr>
          <w:rFonts w:hint="eastAsia" w:ascii="宋体" w:hAnsi="宋体" w:eastAsia="宋体" w:cs="Times New Roman"/>
          <w:b/>
          <w:bCs/>
          <w:kern w:val="2"/>
          <w:sz w:val="32"/>
          <w:szCs w:val="32"/>
        </w:rPr>
        <w:t>五、开标与评标</w:t>
      </w:r>
    </w:p>
    <w:p w14:paraId="163853F5">
      <w:pPr>
        <w:spacing w:line="500" w:lineRule="exact"/>
        <w:ind w:firstLine="482" w:firstLineChars="200"/>
        <w:rPr>
          <w:rFonts w:ascii="宋体" w:hAnsi="宋体" w:eastAsia="宋体" w:cs="Times New Roman"/>
          <w:b/>
          <w:kern w:val="2"/>
          <w:sz w:val="24"/>
        </w:rPr>
      </w:pPr>
      <w:r>
        <w:rPr>
          <w:rFonts w:hint="eastAsia" w:ascii="宋体" w:hAnsi="宋体" w:eastAsia="宋体" w:cs="Times New Roman"/>
          <w:b/>
          <w:kern w:val="2"/>
          <w:sz w:val="24"/>
        </w:rPr>
        <w:t>22.开标</w:t>
      </w:r>
    </w:p>
    <w:p w14:paraId="51B4ACBE">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22.1 交易中心将在招标公告中规定的时间和地点组织公开开标。投标人应当按时参加开标活动，并在“苏采云”系统规定的时间内对投标文件进行解密。</w:t>
      </w:r>
    </w:p>
    <w:p w14:paraId="1AD22D24">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22.2 开标仪式由交易中心组织。“苏采云”系统将自动对项目进行开标，并宣布各投标人名称和投标价格。</w:t>
      </w:r>
    </w:p>
    <w:p w14:paraId="6EF43D3B">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22.3 投标人在开标过程中涉及到的投标文件解密、开标结果确认等工作，应当按照《操作手册》规定执行。</w:t>
      </w:r>
    </w:p>
    <w:p w14:paraId="65F6D870">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22.4 投标人如果对开标过程和开标记录有疑义，应当按照《操作手册》规定提出，未在“苏采云”系统《开标记录表》宣布后5分钟内提出的，视同认可开标结果。</w:t>
      </w:r>
    </w:p>
    <w:p w14:paraId="27BF65B5">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22.5 投标人未参加开标的，视同认可开标结果。</w:t>
      </w:r>
    </w:p>
    <w:p w14:paraId="5604EFA5">
      <w:pPr>
        <w:spacing w:line="500" w:lineRule="exact"/>
        <w:ind w:firstLine="482" w:firstLineChars="200"/>
        <w:rPr>
          <w:rFonts w:ascii="宋体" w:hAnsi="宋体" w:eastAsia="宋体" w:cs="Times New Roman"/>
          <w:b/>
          <w:kern w:val="2"/>
          <w:sz w:val="24"/>
        </w:rPr>
      </w:pPr>
      <w:r>
        <w:rPr>
          <w:rFonts w:hint="eastAsia" w:ascii="宋体" w:hAnsi="宋体" w:eastAsia="宋体" w:cs="Times New Roman"/>
          <w:b/>
          <w:kern w:val="2"/>
          <w:sz w:val="24"/>
        </w:rPr>
        <w:t>23.评标委员会</w:t>
      </w:r>
    </w:p>
    <w:p w14:paraId="7A6C4E05">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23.1 开标后，交易中心将立即组织评委会进行评标。</w:t>
      </w:r>
    </w:p>
    <w:p w14:paraId="12F0E5B3">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23.2 评委会由采购人代表和有关技术、经济等方面的评审专家组成，且人员构成符合政府采购有关规定。</w:t>
      </w:r>
    </w:p>
    <w:p w14:paraId="5E9EFF8C">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23.3 评委会按照采购文件规定的评审程序、评审方法和评审标准进行独立评审并确定中标候选人。</w:t>
      </w:r>
    </w:p>
    <w:p w14:paraId="6D8ED841">
      <w:pPr>
        <w:spacing w:line="500" w:lineRule="exact"/>
        <w:ind w:firstLine="482" w:firstLineChars="200"/>
        <w:rPr>
          <w:rFonts w:ascii="宋体" w:hAnsi="宋体" w:eastAsia="宋体" w:cs="Times New Roman"/>
          <w:b/>
          <w:kern w:val="2"/>
          <w:sz w:val="24"/>
        </w:rPr>
      </w:pPr>
      <w:r>
        <w:rPr>
          <w:rFonts w:hint="eastAsia" w:ascii="宋体" w:hAnsi="宋体" w:eastAsia="宋体" w:cs="Times New Roman"/>
          <w:b/>
          <w:kern w:val="2"/>
          <w:sz w:val="24"/>
        </w:rPr>
        <w:t>24.评标过程的保密与公正</w:t>
      </w:r>
    </w:p>
    <w:p w14:paraId="0CFB0ACD">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24.1 凡是与审查、澄清、评价和比较投标的有关资料以及授标建议等，采购人、评审专家、交易中心均不得向投标人或与评标无关的其他人员透露。</w:t>
      </w:r>
    </w:p>
    <w:p w14:paraId="42C85FE3">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24.2 在评标过程中，投标人不得以任何行为影响评标过程，否则其投标文件将被作为无效投标文件。</w:t>
      </w:r>
    </w:p>
    <w:p w14:paraId="46D5A60A">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24.3 交易中心和评委会不向未中标的投标人解释未中标原因，也不公布评标过程中的相关细节。</w:t>
      </w:r>
    </w:p>
    <w:p w14:paraId="69161AE6">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24.4 采用综合评分法的项目，未中标的投标人可于中标结果公告期限届满之日起通过“苏采云”系统查看自己的评审得分及排序情况。</w:t>
      </w:r>
    </w:p>
    <w:p w14:paraId="2A403D69">
      <w:pPr>
        <w:spacing w:line="500" w:lineRule="exact"/>
        <w:ind w:firstLine="482" w:firstLineChars="200"/>
        <w:rPr>
          <w:rFonts w:ascii="宋体" w:hAnsi="宋体" w:eastAsia="宋体" w:cs="Times New Roman"/>
          <w:b/>
          <w:kern w:val="2"/>
          <w:sz w:val="24"/>
        </w:rPr>
      </w:pPr>
      <w:r>
        <w:rPr>
          <w:rFonts w:hint="eastAsia" w:ascii="宋体" w:hAnsi="宋体" w:eastAsia="宋体" w:cs="Times New Roman"/>
          <w:b/>
          <w:kern w:val="2"/>
          <w:sz w:val="24"/>
        </w:rPr>
        <w:t>25.投标文件的澄清</w:t>
      </w:r>
    </w:p>
    <w:p w14:paraId="473CAF3D">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25.1 评标期间，评委会对投标文件中含义不明确、同类问题表述不一致或者有明显文字和计算错误的内容 ，有权要求投标人作出必要的澄清、说明或者补正。</w:t>
      </w:r>
    </w:p>
    <w:p w14:paraId="5CD74258">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投标人的澄清、说明或者补正应当采用书面形式，并加盖公章，或者由法定代表人或其授权的代表签字。投标人的澄清、说明或者补正不得超出投标文件的范围或者改变投标文件的实质性内容。</w:t>
      </w:r>
    </w:p>
    <w:p w14:paraId="3E116AD0">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评委会并非对每个投标人都做澄清、说明或者补正要求。</w:t>
      </w:r>
    </w:p>
    <w:p w14:paraId="4FF417F4">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p>
    <w:p w14:paraId="76D78CE5">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25.3 接到评委会澄清、说明或者补正要求的投标人如未按规定响应，其风险由投标人自行承担。</w:t>
      </w:r>
    </w:p>
    <w:p w14:paraId="62BEF19B">
      <w:pPr>
        <w:spacing w:line="500" w:lineRule="exact"/>
        <w:ind w:firstLine="482" w:firstLineChars="200"/>
        <w:rPr>
          <w:rFonts w:ascii="宋体" w:hAnsi="宋体" w:eastAsia="宋体" w:cs="Times New Roman"/>
          <w:b/>
          <w:kern w:val="2"/>
          <w:sz w:val="24"/>
        </w:rPr>
      </w:pPr>
      <w:r>
        <w:rPr>
          <w:rFonts w:hint="eastAsia" w:ascii="宋体" w:hAnsi="宋体" w:eastAsia="宋体" w:cs="Times New Roman"/>
          <w:b/>
          <w:kern w:val="2"/>
          <w:sz w:val="24"/>
        </w:rPr>
        <w:t>26.对投标文件的审查</w:t>
      </w:r>
    </w:p>
    <w:p w14:paraId="11A48F64">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26.1 投标文件审查分为资格审查和符合性审查。</w:t>
      </w:r>
    </w:p>
    <w:p w14:paraId="74CD3ABD">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26.1.1资格审查：采购人依据法律法规和招标文件的规定，对投标文件中的资格证明文件进行审查。资格审查的结论，采购人以书面形式向评委会进行反馈。</w:t>
      </w:r>
    </w:p>
    <w:p w14:paraId="43B9557B">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采购人进行资格审查的同时，在信用中国网站（www.creditchina.gov.cn）、查询投标人的信用记录，以确定投标人是否具备投标资格，查询结果留存并归档。</w:t>
      </w:r>
    </w:p>
    <w:p w14:paraId="65516F44">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接受联合体的项目，两个以上的自然人、法人或者其他组织组成一个联合体，以一个供应商的身份共同参与政府采购活动的，联合体成员中任何一方存在不良信用记录的，视同联合体存在不良信用记录。</w:t>
      </w:r>
    </w:p>
    <w:p w14:paraId="04AD7E3B">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p>
    <w:p w14:paraId="3F330095">
      <w:pPr>
        <w:spacing w:line="500" w:lineRule="exact"/>
        <w:ind w:firstLine="482" w:firstLineChars="200"/>
        <w:rPr>
          <w:rFonts w:ascii="宋体" w:hAnsi="宋体" w:eastAsia="宋体" w:cs="宋体"/>
          <w:b/>
          <w:bCs/>
          <w:kern w:val="2"/>
          <w:sz w:val="24"/>
          <w:szCs w:val="24"/>
        </w:rPr>
      </w:pPr>
      <w:r>
        <w:rPr>
          <w:rFonts w:hint="eastAsia" w:ascii="宋体" w:hAnsi="宋体" w:eastAsia="宋体" w:cs="宋体"/>
          <w:b/>
          <w:bCs/>
          <w:kern w:val="2"/>
          <w:sz w:val="24"/>
          <w:szCs w:val="24"/>
        </w:rPr>
        <w:t>26.1.3政府采购异常低价审查：</w:t>
      </w:r>
    </w:p>
    <w:p w14:paraId="0B8F4611">
      <w:pPr>
        <w:spacing w:line="5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（一）政府采购评审中出现下列情形之一的，评审委员会应当启动异常低价投标审查程序：</w:t>
      </w:r>
    </w:p>
    <w:p w14:paraId="588F1CE1">
      <w:pPr>
        <w:spacing w:line="5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1.投标报价低于全部通过符合性审查供应商投标报价平均值65%的，即投标报价&lt;全部通过符合性审查供应商投标报价平均值×65%；</w:t>
      </w:r>
    </w:p>
    <w:p w14:paraId="231A1CBE">
      <w:pPr>
        <w:spacing w:line="5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2.投标报价低于通过符合性审查的次低报价供应商投标报价65%的，即投标报价&lt;通过符合性审查的次低报价供应商投标报价×65%；</w:t>
      </w:r>
    </w:p>
    <w:p w14:paraId="67DCAA5B">
      <w:pPr>
        <w:spacing w:line="5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3.投标报价低于采购项目最高限价65%的，即投标报价&lt;采购项目最高限价×65%；</w:t>
      </w:r>
    </w:p>
    <w:p w14:paraId="36A0BA72">
      <w:pPr>
        <w:spacing w:line="500" w:lineRule="exact"/>
        <w:ind w:firstLine="480" w:firstLineChars="200"/>
        <w:rPr>
          <w:rFonts w:ascii="宋体" w:hAnsi="宋体" w:eastAsia="宋体" w:cs="宋体"/>
          <w:bCs/>
          <w:kern w:val="2"/>
          <w:sz w:val="24"/>
          <w:szCs w:val="24"/>
        </w:rPr>
      </w:pPr>
      <w:r>
        <w:rPr>
          <w:rFonts w:hint="eastAsia" w:ascii="宋体" w:hAnsi="宋体" w:eastAsia="宋体" w:cs="宋体"/>
          <w:bCs/>
          <w:kern w:val="2"/>
          <w:sz w:val="24"/>
          <w:szCs w:val="24"/>
        </w:rPr>
        <w:t>4.评审委员会基于专业判断，认为供应商报价过低，有可能影响产品质量或者不能诚信履约的其他情形。</w:t>
      </w:r>
    </w:p>
    <w:p w14:paraId="4A6E0CAD">
      <w:pPr>
        <w:spacing w:line="500" w:lineRule="exact"/>
        <w:ind w:firstLine="480" w:firstLineChars="200"/>
        <w:rPr>
          <w:rFonts w:ascii="宋体" w:hAnsi="宋体" w:eastAsia="宋体" w:cs="宋体"/>
          <w:kern w:val="2"/>
          <w:sz w:val="24"/>
          <w:szCs w:val="24"/>
        </w:rPr>
      </w:pPr>
      <w:r>
        <w:rPr>
          <w:rFonts w:hint="eastAsia" w:ascii="宋体" w:hAnsi="宋体" w:eastAsia="宋体" w:cs="宋体"/>
          <w:kern w:val="2"/>
          <w:sz w:val="24"/>
          <w:szCs w:val="24"/>
        </w:rPr>
        <w:t>（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p>
    <w:p w14:paraId="62A1440E">
      <w:pPr>
        <w:spacing w:line="500" w:lineRule="exact"/>
        <w:ind w:firstLine="480" w:firstLineChars="200"/>
        <w:rPr>
          <w:rFonts w:ascii="宋体" w:hAnsi="宋体" w:eastAsia="宋体" w:cs="宋体"/>
          <w:kern w:val="2"/>
          <w:sz w:val="24"/>
          <w:szCs w:val="24"/>
        </w:rPr>
      </w:pPr>
      <w:r>
        <w:rPr>
          <w:rFonts w:hint="eastAsia" w:ascii="宋体" w:hAnsi="宋体" w:eastAsia="宋体" w:cs="宋体"/>
          <w:kern w:val="2"/>
          <w:sz w:val="24"/>
          <w:szCs w:val="24"/>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44F7308E">
      <w:pPr>
        <w:spacing w:line="500" w:lineRule="exact"/>
        <w:ind w:firstLine="480" w:firstLineChars="200"/>
        <w:rPr>
          <w:rFonts w:ascii="宋体" w:hAnsi="宋体" w:eastAsia="宋体" w:cs="宋体"/>
          <w:kern w:val="2"/>
          <w:sz w:val="24"/>
          <w:szCs w:val="24"/>
        </w:rPr>
      </w:pPr>
      <w:r>
        <w:rPr>
          <w:rFonts w:hint="eastAsia" w:ascii="宋体" w:hAnsi="宋体" w:eastAsia="宋体" w:cs="宋体"/>
          <w:kern w:val="2"/>
          <w:sz w:val="24"/>
          <w:szCs w:val="24"/>
        </w:rPr>
        <w:t>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1531B80">
      <w:pPr>
        <w:spacing w:line="500" w:lineRule="exact"/>
        <w:ind w:firstLine="480" w:firstLineChars="200"/>
        <w:rPr>
          <w:rFonts w:ascii="宋体" w:hAnsi="宋体" w:eastAsia="宋体" w:cs="宋体"/>
          <w:kern w:val="2"/>
          <w:sz w:val="24"/>
          <w:szCs w:val="24"/>
        </w:rPr>
      </w:pPr>
      <w:r>
        <w:rPr>
          <w:rFonts w:hint="eastAsia" w:ascii="宋体" w:hAnsi="宋体" w:eastAsia="宋体" w:cs="宋体"/>
          <w:kern w:val="2"/>
          <w:sz w:val="24"/>
          <w:szCs w:val="24"/>
        </w:rPr>
        <w:t>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p>
    <w:p w14:paraId="40BA51CC">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26.1.4未通过资格审查或符合性审查的投标人，将通过“苏采云”系统中告知其未通过的原因，评审结束后，将不再告知。</w:t>
      </w:r>
    </w:p>
    <w:p w14:paraId="2044D038">
      <w:pPr>
        <w:spacing w:line="500" w:lineRule="exact"/>
        <w:ind w:firstLine="480"/>
        <w:rPr>
          <w:rFonts w:ascii="宋体" w:hAnsi="宋体" w:eastAsia="宋体" w:cs="Times New Roman"/>
          <w:kern w:val="2"/>
          <w:sz w:val="24"/>
          <w:szCs w:val="24"/>
        </w:rPr>
      </w:pPr>
      <w:r>
        <w:rPr>
          <w:rFonts w:hint="eastAsia" w:ascii="宋体" w:hAnsi="宋体" w:eastAsia="宋体" w:cs="Times New Roman"/>
          <w:kern w:val="2"/>
          <w:sz w:val="24"/>
          <w:szCs w:val="24"/>
        </w:rPr>
        <w:t>26.2 在符合性审查阶段，评委会将审查每份投标文件是否实质性响应了招标文件的要求。实质性响应的投标应当是与招标文件要求的全部条款、条件和规格相符，没有重大偏离或保留的投标。</w:t>
      </w:r>
    </w:p>
    <w:p w14:paraId="59C08048">
      <w:pPr>
        <w:spacing w:line="500" w:lineRule="exact"/>
        <w:ind w:firstLine="480"/>
        <w:rPr>
          <w:rFonts w:ascii="宋体" w:hAnsi="宋体" w:eastAsia="宋体" w:cs="Times New Roman"/>
          <w:kern w:val="2"/>
          <w:sz w:val="24"/>
          <w:szCs w:val="24"/>
        </w:rPr>
      </w:pPr>
      <w:r>
        <w:rPr>
          <w:rFonts w:hint="eastAsia" w:ascii="宋体" w:hAnsi="宋体" w:eastAsia="宋体" w:cs="Times New Roman"/>
          <w:kern w:val="2"/>
          <w:sz w:val="24"/>
          <w:szCs w:val="24"/>
        </w:rPr>
        <w:t>所谓重大偏离或保留是指与招标文件规定的实质性要求存在负偏离，或者在实质上与招标文件不一致，</w:t>
      </w:r>
      <w:r>
        <w:rPr>
          <w:rFonts w:hint="eastAsia" w:ascii="Calibri" w:hAnsi="Calibri" w:eastAsia="宋体" w:cs="Times New Roman"/>
          <w:kern w:val="2"/>
          <w:sz w:val="24"/>
          <w:szCs w:val="24"/>
        </w:rPr>
        <w:t>包含但不限于设备质量、技术规格、售后服务和履约能力等材料明显不能满足招标文件要求，有可能影响产品质量或者不能诚信履约，</w:t>
      </w:r>
      <w:r>
        <w:rPr>
          <w:rFonts w:hint="eastAsia" w:ascii="宋体" w:hAnsi="宋体" w:eastAsia="宋体" w:cs="Times New Roman"/>
          <w:kern w:val="2"/>
          <w:sz w:val="24"/>
          <w:szCs w:val="24"/>
        </w:rPr>
        <w:t>限制了合同中买方和交易中心的权利或投标人的义务，纠正这些偏离或保留将会对其他实质性响应要求的投标人的竞争地位产生不公正的影响。</w:t>
      </w:r>
    </w:p>
    <w:p w14:paraId="249B86AC">
      <w:pPr>
        <w:spacing w:line="500" w:lineRule="exact"/>
        <w:ind w:firstLine="480"/>
        <w:rPr>
          <w:rFonts w:ascii="宋体" w:hAnsi="宋体" w:eastAsia="宋体" w:cs="Times New Roman"/>
          <w:kern w:val="2"/>
          <w:sz w:val="24"/>
          <w:szCs w:val="24"/>
        </w:rPr>
      </w:pPr>
      <w:r>
        <w:rPr>
          <w:rFonts w:hint="eastAsia" w:ascii="宋体" w:hAnsi="宋体" w:eastAsia="宋体" w:cs="Times New Roman"/>
          <w:kern w:val="2"/>
          <w:sz w:val="24"/>
          <w:szCs w:val="24"/>
        </w:rPr>
        <w:t>重大偏离的认定需经过评委会以少数服从多数的原则作出结论。评委决定投标文件的响应性只根据投标文件本身的内容，而不寻求外部的证据。</w:t>
      </w:r>
    </w:p>
    <w:p w14:paraId="2A9B8DBB">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26.3如果投标文件实质上没有响应招标文件的要求，评委会将予以拒绝，投标人不得通过修改或撤销不符合要求的偏离而使其投标成为实质性响应的投标。</w:t>
      </w:r>
    </w:p>
    <w:p w14:paraId="781068B6">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26.4 评委会将对确定为实质性响应的投标进行进一步审核，看其是否有计算上或累加上的算术错误，修正错误的原则如下：</w:t>
      </w:r>
    </w:p>
    <w:p w14:paraId="6EFE6084">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（1）投标文件中开标一览表内容与投标文件中相应内容不一致的，以开标一览表为准。</w:t>
      </w:r>
    </w:p>
    <w:p w14:paraId="202C4FDB">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（2）大写金额和小写金额不一致的，以大写金额为准。</w:t>
      </w:r>
    </w:p>
    <w:p w14:paraId="3A3E322C">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（3）单价金额小数点或者百分比有明显错位的，以开标一览表的总价为准，并修改单价。</w:t>
      </w:r>
    </w:p>
    <w:p w14:paraId="3E7EEB22">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（4）总价金额与按单价汇总金额不一致的，以单价金额计算结果为准。</w:t>
      </w:r>
    </w:p>
    <w:p w14:paraId="2CE79C6F">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同时出现两种以上错误的，按照前款规定的顺序修正。</w:t>
      </w:r>
    </w:p>
    <w:p w14:paraId="59801F03">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26.5 评委会将按上述修正错误的方法调整投标文件中的投标报价，并通过“苏采云”系统告知投标人，调整后的价格对投标人具有约束力。如果投标人不接受修正后的价格，则其投标将被拒绝。</w:t>
      </w:r>
    </w:p>
    <w:p w14:paraId="260FCF71">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p>
    <w:p w14:paraId="471CDA8B">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p>
    <w:p w14:paraId="39068204">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非单一产品采购项目，招标文件中将载明核心产品。多家投标人提供的核心产品品牌相同的，按前两款规定处理。</w:t>
      </w:r>
    </w:p>
    <w:p w14:paraId="22A8F1AE">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26.7 投标人在开、评标全过程中应保持通讯畅通，及时登录“苏采云”系统查阅、答复相关信息，并安排专人与交易中心及评委会联系。</w:t>
      </w:r>
    </w:p>
    <w:p w14:paraId="7922541C">
      <w:pPr>
        <w:spacing w:line="500" w:lineRule="exact"/>
        <w:ind w:firstLine="482" w:firstLineChars="200"/>
        <w:rPr>
          <w:rFonts w:ascii="宋体" w:hAnsi="宋体" w:eastAsia="宋体" w:cs="Times New Roman"/>
          <w:b/>
          <w:kern w:val="2"/>
          <w:sz w:val="24"/>
        </w:rPr>
      </w:pPr>
      <w:r>
        <w:rPr>
          <w:rFonts w:hint="eastAsia" w:ascii="宋体" w:hAnsi="宋体" w:eastAsia="宋体" w:cs="Times New Roman"/>
          <w:b/>
          <w:kern w:val="2"/>
          <w:sz w:val="24"/>
        </w:rPr>
        <w:t>27.无效投标条款和废标条款</w:t>
      </w:r>
    </w:p>
    <w:p w14:paraId="225BDCAE">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27.1 无效投标条款</w:t>
      </w:r>
    </w:p>
    <w:p w14:paraId="5A4DAC2B">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（1）投标人未按照招标文件要求递交（上传）电子投标文件的。</w:t>
      </w:r>
    </w:p>
    <w:p w14:paraId="76A5E2ED">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（2）投标人在“苏采云”系统规定的时间内未成功解密电子投标文件的。</w:t>
      </w:r>
    </w:p>
    <w:p w14:paraId="06FF50FE">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（3）投标人不具备招标文件中规定的资格要求的。</w:t>
      </w:r>
    </w:p>
    <w:p w14:paraId="0666CB0A">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（4）投标人被信用中国网站（www.creditchina.gov.cn）列入失信被执行人、重大税收违法案件当事人名单、政府采购严重违法失信行为记录名单及其他不符合《中华人民共和国政府采购法》第二十二条规定情形的。</w:t>
      </w:r>
    </w:p>
    <w:p w14:paraId="0164787D">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（5）投标人提交两个（含两个）以上不同的投标报价的。</w:t>
      </w:r>
    </w:p>
    <w:p w14:paraId="17EA6E8E">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（6）投标人的报价超过了采购预算或者最高限价的。</w:t>
      </w:r>
    </w:p>
    <w:p w14:paraId="7D85BDA1">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p>
    <w:p w14:paraId="44B5BF26">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（8）不符合招标文件中规定的实质性要求和条件的（本招标文件中斜体且有下划线部分为实质性要求和条件）。</w:t>
      </w:r>
    </w:p>
    <w:p w14:paraId="3F766A5A">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p>
    <w:p w14:paraId="6E5E2BAF">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（10）投标人未通过符合性审查的。</w:t>
      </w:r>
    </w:p>
    <w:p w14:paraId="6E330028">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（11）投标文件含有采购人不能接受的附加条件的。</w:t>
      </w:r>
    </w:p>
    <w:p w14:paraId="2934FA94">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（12）投标文件未按照招标文件要求加盖公章（CA电子公章）的。</w:t>
      </w:r>
    </w:p>
    <w:p w14:paraId="5C107275">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（13）其他法律、法规及本招标文件规定的属于无效投标的情形。</w:t>
      </w:r>
    </w:p>
    <w:p w14:paraId="44738C7E">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27.2 有下列情形之一的，视为投标人串通投标，投标无效：</w:t>
      </w:r>
    </w:p>
    <w:p w14:paraId="19BE7CC6">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（1）不同投标人的投标文件由同一单位或者个人编制。</w:t>
      </w:r>
    </w:p>
    <w:p w14:paraId="278FFE3E">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（2）不同投标人委托同一单位或者个人办理投标事宜。</w:t>
      </w:r>
    </w:p>
    <w:p w14:paraId="520FADB6">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（3）不同投标人的投标文件载明的项目管理成员或者联系人员为同一人。</w:t>
      </w:r>
    </w:p>
    <w:p w14:paraId="5725E6F8">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（4）不同投标人的投标文件异常一致或者投标报价呈规律性差异。</w:t>
      </w:r>
    </w:p>
    <w:p w14:paraId="01E3F5B2">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27.3 废标条款</w:t>
      </w:r>
    </w:p>
    <w:p w14:paraId="376A02F5">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（1）因“苏采云”系统系统故障原因造成开标不成功的。</w:t>
      </w:r>
    </w:p>
    <w:p w14:paraId="5F53DDFB">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（2）评委会认定招标文件存在歧义、重大缺陷导致评审工作无法进行的。</w:t>
      </w:r>
    </w:p>
    <w:p w14:paraId="398EA1C2">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（3）符合专业条件的供应商或者对招标文件作实质响应的供应商不足三家的。</w:t>
      </w:r>
    </w:p>
    <w:p w14:paraId="7CC69E41">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（4）出现影响采购公正的违法、违规行为的。</w:t>
      </w:r>
    </w:p>
    <w:p w14:paraId="6E6E3CC6">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（5）因重大变故，采购任务取消的。</w:t>
      </w:r>
    </w:p>
    <w:p w14:paraId="744462AB">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27.4 出现投标截止时间结束后参加投标的供应商或者在评标期间对招标文件做出实质响应的供应商不足三家情况的，按照政府采购相关规定执行。</w:t>
      </w:r>
    </w:p>
    <w:p w14:paraId="4BA68B7D">
      <w:pPr>
        <w:keepNext/>
        <w:keepLines/>
        <w:spacing w:line="500" w:lineRule="exact"/>
        <w:outlineLvl w:val="1"/>
        <w:rPr>
          <w:rFonts w:ascii="宋体" w:hAnsi="宋体" w:eastAsia="宋体" w:cs="Times New Roman"/>
          <w:b/>
          <w:bCs/>
          <w:kern w:val="2"/>
          <w:sz w:val="32"/>
          <w:szCs w:val="32"/>
        </w:rPr>
      </w:pPr>
      <w:r>
        <w:rPr>
          <w:rFonts w:hint="eastAsia" w:ascii="宋体" w:hAnsi="宋体" w:eastAsia="宋体" w:cs="Times New Roman"/>
          <w:b/>
          <w:bCs/>
          <w:kern w:val="2"/>
          <w:sz w:val="32"/>
          <w:szCs w:val="32"/>
        </w:rPr>
        <w:t>六、定标</w:t>
      </w:r>
    </w:p>
    <w:p w14:paraId="5CF2F1C5">
      <w:pPr>
        <w:spacing w:line="500" w:lineRule="exact"/>
        <w:ind w:firstLine="482" w:firstLineChars="200"/>
        <w:rPr>
          <w:rFonts w:ascii="宋体" w:hAnsi="宋体" w:eastAsia="宋体" w:cs="Times New Roman"/>
          <w:b/>
          <w:kern w:val="2"/>
          <w:sz w:val="24"/>
        </w:rPr>
      </w:pPr>
      <w:r>
        <w:rPr>
          <w:rFonts w:hint="eastAsia" w:ascii="宋体" w:hAnsi="宋体" w:eastAsia="宋体" w:cs="Times New Roman"/>
          <w:b/>
          <w:kern w:val="2"/>
          <w:sz w:val="24"/>
        </w:rPr>
        <w:t>28.确定中标单位</w:t>
      </w:r>
    </w:p>
    <w:p w14:paraId="74C13B45">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 xml:space="preserve">28.1 中标候选人的选取原则和数量详见招标文件第五章规定。 </w:t>
      </w:r>
    </w:p>
    <w:p w14:paraId="30D4591E">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28.2 采购人应根据评委会推荐的中标候选人确定中标人。</w:t>
      </w:r>
    </w:p>
    <w:p w14:paraId="655C0975">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28.3 交易中心将在江苏政府采购网发布中标公告，公告期限为1个工作日。</w:t>
      </w:r>
    </w:p>
    <w:p w14:paraId="3FEE3317">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28.4 若有充分证据证明，中标人存在下列情况之一的，一经查实，将被取消中标资格：</w:t>
      </w:r>
    </w:p>
    <w:p w14:paraId="25B8578A">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（1）提供虚假材料谋取中标、成交的。</w:t>
      </w:r>
    </w:p>
    <w:p w14:paraId="60A21254">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（2）采取不正当手段诋毁、排挤其他供应商的。</w:t>
      </w:r>
    </w:p>
    <w:p w14:paraId="6D9A64A0">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（3）与采购人、其他供应商或者采购代理机构恶意串通的。</w:t>
      </w:r>
    </w:p>
    <w:p w14:paraId="5F22C5C2">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（4）向采购人、交易中心行贿或者提供其他不正当利益的。</w:t>
      </w:r>
    </w:p>
    <w:p w14:paraId="53B22570">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（5）在招标采购过程中与采购人进行协商谈判的。</w:t>
      </w:r>
    </w:p>
    <w:p w14:paraId="5BC7CD22">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（6）属于本文件规定的无效条件，但在评标过程中又未被评委会发现的。</w:t>
      </w:r>
    </w:p>
    <w:p w14:paraId="53CE976C">
      <w:pPr>
        <w:spacing w:line="500" w:lineRule="exact"/>
        <w:ind w:firstLine="482" w:firstLineChars="200"/>
        <w:rPr>
          <w:rFonts w:ascii="宋体" w:hAnsi="宋体" w:eastAsia="宋体" w:cs="Times New Roman"/>
          <w:b/>
          <w:kern w:val="2"/>
          <w:sz w:val="24"/>
        </w:rPr>
      </w:pPr>
      <w:r>
        <w:rPr>
          <w:rFonts w:hint="eastAsia" w:ascii="宋体" w:hAnsi="宋体" w:eastAsia="宋体" w:cs="Times New Roman"/>
          <w:b/>
          <w:kern w:val="2"/>
          <w:sz w:val="24"/>
        </w:rPr>
        <w:t>29.中标通知书</w:t>
      </w:r>
    </w:p>
    <w:p w14:paraId="6440D734">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p>
    <w:p w14:paraId="398BFBB2">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29.2 中标通知书将是合同的一个组成部分。对采购人和中标人均具有法律效力。中标通知书发出后，采购人改变中标结果的，或者中标人放弃中标项目的，应当依法承担法律责任。</w:t>
      </w:r>
    </w:p>
    <w:p w14:paraId="11970FDC">
      <w:pPr>
        <w:keepNext/>
        <w:keepLines/>
        <w:spacing w:line="500" w:lineRule="exact"/>
        <w:outlineLvl w:val="1"/>
        <w:rPr>
          <w:rFonts w:ascii="宋体" w:hAnsi="宋体" w:eastAsia="宋体" w:cs="Times New Roman"/>
          <w:b/>
          <w:bCs/>
          <w:kern w:val="2"/>
          <w:sz w:val="32"/>
          <w:szCs w:val="32"/>
        </w:rPr>
      </w:pPr>
      <w:r>
        <w:rPr>
          <w:rFonts w:hint="eastAsia" w:ascii="宋体" w:hAnsi="宋体" w:eastAsia="宋体" w:cs="Times New Roman"/>
          <w:b/>
          <w:bCs/>
          <w:kern w:val="2"/>
          <w:sz w:val="32"/>
          <w:szCs w:val="32"/>
        </w:rPr>
        <w:t>七、履约保证金及授予合同</w:t>
      </w:r>
    </w:p>
    <w:p w14:paraId="6EC48CDA">
      <w:pPr>
        <w:spacing w:line="500" w:lineRule="exact"/>
        <w:ind w:firstLine="482" w:firstLineChars="200"/>
        <w:rPr>
          <w:rFonts w:ascii="宋体" w:hAnsi="宋体" w:eastAsia="宋体" w:cs="Times New Roman"/>
          <w:b/>
          <w:kern w:val="2"/>
          <w:sz w:val="24"/>
        </w:rPr>
      </w:pPr>
      <w:r>
        <w:rPr>
          <w:rFonts w:hint="eastAsia" w:ascii="宋体" w:hAnsi="宋体" w:eastAsia="宋体" w:cs="Times New Roman"/>
          <w:b/>
          <w:kern w:val="2"/>
          <w:sz w:val="24"/>
        </w:rPr>
        <w:t>30.履约保证金</w:t>
      </w:r>
    </w:p>
    <w:p w14:paraId="588CC58C">
      <w:pPr>
        <w:spacing w:line="500" w:lineRule="exact"/>
        <w:ind w:firstLine="480" w:firstLineChars="200"/>
        <w:rPr>
          <w:rFonts w:ascii="宋体" w:hAnsi="宋体" w:eastAsia="宋体" w:cs="Times New Roman"/>
          <w:bCs/>
          <w:kern w:val="2"/>
          <w:sz w:val="24"/>
          <w:szCs w:val="24"/>
        </w:rPr>
      </w:pPr>
      <w:r>
        <w:rPr>
          <w:rFonts w:hint="eastAsia" w:ascii="宋体" w:hAnsi="宋体" w:eastAsia="宋体" w:cs="Times New Roman"/>
          <w:kern w:val="2"/>
          <w:sz w:val="24"/>
          <w:szCs w:val="24"/>
        </w:rPr>
        <w:t>30.1 履约保证金的数额不得超过政府采购合同金额的10%。中标人应当以支票、汇票、本票或者金融机构、担保机构出具的保函等非现金形式提交。</w:t>
      </w:r>
      <w:r>
        <w:rPr>
          <w:rFonts w:hint="eastAsia" w:ascii="宋体" w:hAnsi="宋体" w:eastAsia="宋体" w:cs="Times New Roman"/>
          <w:bCs/>
          <w:kern w:val="2"/>
          <w:sz w:val="24"/>
          <w:szCs w:val="24"/>
        </w:rPr>
        <w:t>中标人可自愿使用履约保函（保险）代替交纳履约保证金，详情请见《关于在全省政府采购领域推行电子履约保函（保险）的通知》（苏财购〔2023〕150号）规定。</w:t>
      </w:r>
    </w:p>
    <w:p w14:paraId="36CD96E0">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30.2 中标人违约的，采购人将按照合同约定扣除其全部或部分履约保证金。如中标人违约给采购人造成的损失超过履约保证金的，应当依法赔偿超过部分的损失。</w:t>
      </w:r>
    </w:p>
    <w:p w14:paraId="5F5FC5A4">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30.3 履约保证金自合同生效之日起至合同约定的中标人主要义务履行完毕止，采购人应当按合同约定及时退还履约保证金。</w:t>
      </w:r>
    </w:p>
    <w:p w14:paraId="00AC1583">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30.4 逾期退还履约保证金的采购人承担违约责任，按照</w:t>
      </w:r>
      <w:bookmarkStart w:id="20" w:name="OLE_LINK131"/>
      <w:bookmarkStart w:id="21" w:name="OLE_LINK132"/>
      <w:r>
        <w:rPr>
          <w:rFonts w:hint="eastAsia" w:ascii="宋体" w:hAnsi="宋体" w:eastAsia="宋体" w:cs="Times New Roman"/>
          <w:kern w:val="2"/>
          <w:sz w:val="24"/>
          <w:szCs w:val="24"/>
        </w:rPr>
        <w:t>中国人民银行同期贷款市场报价利率</w:t>
      </w:r>
      <w:bookmarkEnd w:id="20"/>
      <w:bookmarkEnd w:id="21"/>
      <w:r>
        <w:rPr>
          <w:rFonts w:hint="eastAsia" w:ascii="宋体" w:hAnsi="宋体" w:eastAsia="宋体" w:cs="Times New Roman"/>
          <w:kern w:val="2"/>
          <w:sz w:val="24"/>
          <w:szCs w:val="24"/>
        </w:rPr>
        <w:t>向中标人支付超期资金占用费。</w:t>
      </w:r>
    </w:p>
    <w:p w14:paraId="13345869">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30.5 本项目履约保证金要求详见招标文件第四章 采购需求。</w:t>
      </w:r>
    </w:p>
    <w:p w14:paraId="0492EBA8">
      <w:pPr>
        <w:spacing w:line="500" w:lineRule="exact"/>
        <w:ind w:firstLine="482" w:firstLineChars="200"/>
        <w:rPr>
          <w:rFonts w:ascii="宋体" w:hAnsi="宋体" w:eastAsia="宋体" w:cs="Times New Roman"/>
          <w:b/>
          <w:kern w:val="2"/>
          <w:sz w:val="24"/>
        </w:rPr>
      </w:pPr>
      <w:r>
        <w:rPr>
          <w:rFonts w:hint="eastAsia" w:ascii="宋体" w:hAnsi="宋体" w:eastAsia="宋体" w:cs="Times New Roman"/>
          <w:b/>
          <w:kern w:val="2"/>
          <w:sz w:val="24"/>
        </w:rPr>
        <w:t>31.签订合同</w:t>
      </w:r>
    </w:p>
    <w:p w14:paraId="0035FC8D">
      <w:pPr>
        <w:spacing w:line="500" w:lineRule="exact"/>
        <w:ind w:firstLine="480" w:firstLineChars="200"/>
        <w:rPr>
          <w:rFonts w:ascii="宋体" w:hAnsi="宋体" w:eastAsia="宋体" w:cs="Times New Roman"/>
          <w:kern w:val="2"/>
          <w:sz w:val="24"/>
        </w:rPr>
      </w:pPr>
      <w:r>
        <w:rPr>
          <w:rFonts w:hint="eastAsia" w:ascii="宋体" w:hAnsi="宋体" w:eastAsia="宋体" w:cs="Times New Roman"/>
          <w:kern w:val="2"/>
          <w:sz w:val="24"/>
        </w:rPr>
        <w:t>31.1 中标人应当在中标通知书发出之日起三十日内，按照招标文件和中标人投标文件的规定，与采购人签订政府采购合同。</w:t>
      </w:r>
    </w:p>
    <w:p w14:paraId="7DED11E4">
      <w:pPr>
        <w:spacing w:line="500" w:lineRule="exact"/>
        <w:ind w:firstLine="480" w:firstLineChars="200"/>
        <w:rPr>
          <w:rFonts w:ascii="宋体" w:hAnsi="宋体" w:eastAsia="宋体" w:cs="Times New Roman"/>
          <w:kern w:val="2"/>
          <w:sz w:val="24"/>
        </w:rPr>
      </w:pPr>
      <w:r>
        <w:rPr>
          <w:rFonts w:hint="eastAsia" w:ascii="宋体" w:hAnsi="宋体" w:eastAsia="宋体" w:cs="Times New Roman"/>
          <w:kern w:val="2"/>
          <w:sz w:val="24"/>
        </w:rPr>
        <w:t>31.2 招标文件、中标人的投标文件及招标过程中有关澄清、承诺等文件均应作为合同附件。</w:t>
      </w:r>
    </w:p>
    <w:p w14:paraId="60056108">
      <w:pPr>
        <w:spacing w:line="500" w:lineRule="exact"/>
        <w:ind w:firstLine="480" w:firstLineChars="200"/>
        <w:rPr>
          <w:rFonts w:ascii="宋体" w:hAnsi="宋体" w:eastAsia="宋体" w:cs="Times New Roman"/>
          <w:kern w:val="2"/>
          <w:sz w:val="24"/>
        </w:rPr>
      </w:pPr>
      <w:r>
        <w:rPr>
          <w:rFonts w:hint="eastAsia" w:ascii="宋体" w:hAnsi="宋体" w:eastAsia="宋体" w:cs="Times New Roman"/>
          <w:kern w:val="2"/>
          <w:sz w:val="24"/>
        </w:rPr>
        <w:t>31.3 签订合同后，中标人不得将合同标的转包。未经采购人同意，中标人也不得采用分包的形式履行合同，否则采购人有权终止合同。转包或分包造成采购人损失的，中标人应承担相应赔偿责任。</w:t>
      </w:r>
    </w:p>
    <w:p w14:paraId="6A522227">
      <w:pPr>
        <w:spacing w:line="500" w:lineRule="exact"/>
        <w:ind w:firstLine="482" w:firstLineChars="200"/>
        <w:rPr>
          <w:rFonts w:ascii="宋体" w:hAnsi="宋体" w:eastAsia="宋体" w:cs="Times New Roman"/>
          <w:b/>
          <w:kern w:val="2"/>
          <w:sz w:val="24"/>
        </w:rPr>
      </w:pPr>
      <w:r>
        <w:rPr>
          <w:rFonts w:hint="eastAsia" w:ascii="宋体" w:hAnsi="宋体" w:eastAsia="宋体" w:cs="Times New Roman"/>
          <w:b/>
          <w:kern w:val="2"/>
          <w:sz w:val="24"/>
        </w:rPr>
        <w:t>32.合同标的的追加</w:t>
      </w:r>
    </w:p>
    <w:p w14:paraId="689502AE">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32.1 政府采购合同履行中，采购人需追加与合同标的相同的服务</w:t>
      </w:r>
      <w:bookmarkStart w:id="22" w:name="OLE_LINK150"/>
      <w:r>
        <w:rPr>
          <w:rFonts w:hint="eastAsia" w:ascii="宋体" w:hAnsi="宋体" w:eastAsia="宋体" w:cs="Times New Roman"/>
          <w:kern w:val="2"/>
          <w:sz w:val="24"/>
          <w:szCs w:val="24"/>
        </w:rPr>
        <w:t>（包含与服务相关的货物）</w:t>
      </w:r>
      <w:bookmarkEnd w:id="22"/>
      <w:r>
        <w:rPr>
          <w:rFonts w:hint="eastAsia" w:ascii="宋体" w:hAnsi="宋体" w:eastAsia="宋体" w:cs="Times New Roman"/>
          <w:kern w:val="2"/>
          <w:sz w:val="24"/>
          <w:szCs w:val="24"/>
        </w:rPr>
        <w:t>的，在不改变合同其他条款的前提下，可以与中标人协商签订补充合同，但所有补充合同的采购金额不超过原合同金额10%。</w:t>
      </w:r>
    </w:p>
    <w:p w14:paraId="457D1CBF">
      <w:pPr>
        <w:spacing w:line="500" w:lineRule="exact"/>
        <w:ind w:firstLine="482" w:firstLineChars="200"/>
        <w:rPr>
          <w:rFonts w:ascii="宋体" w:hAnsi="宋体" w:eastAsia="宋体" w:cs="Times New Roman"/>
          <w:b/>
          <w:kern w:val="2"/>
          <w:sz w:val="24"/>
        </w:rPr>
      </w:pPr>
      <w:r>
        <w:rPr>
          <w:rFonts w:hint="eastAsia" w:ascii="宋体" w:hAnsi="宋体" w:eastAsia="宋体" w:cs="Times New Roman"/>
          <w:b/>
          <w:kern w:val="2"/>
          <w:sz w:val="24"/>
        </w:rPr>
        <w:t>33.政府采购履约资金扶持政策</w:t>
      </w:r>
    </w:p>
    <w:p w14:paraId="2FB7C5EF">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33.1 中标人可凭政府采购合同办理融资贷款，详情请见江苏政府采购网“政采贷”专栏。</w:t>
      </w:r>
    </w:p>
    <w:p w14:paraId="68AF73B9">
      <w:pPr>
        <w:keepNext/>
        <w:keepLines/>
        <w:spacing w:line="500" w:lineRule="exact"/>
        <w:outlineLvl w:val="1"/>
        <w:rPr>
          <w:rFonts w:ascii="宋体" w:hAnsi="宋体" w:eastAsia="宋体" w:cs="Times New Roman"/>
          <w:b/>
          <w:bCs/>
          <w:kern w:val="2"/>
          <w:sz w:val="32"/>
          <w:szCs w:val="32"/>
        </w:rPr>
      </w:pPr>
      <w:r>
        <w:rPr>
          <w:rFonts w:hint="eastAsia" w:ascii="宋体" w:hAnsi="宋体" w:eastAsia="宋体" w:cs="Times New Roman"/>
          <w:b/>
          <w:bCs/>
          <w:kern w:val="2"/>
          <w:sz w:val="32"/>
          <w:szCs w:val="32"/>
        </w:rPr>
        <w:t>八、询问与质疑</w:t>
      </w:r>
    </w:p>
    <w:p w14:paraId="1E50136F">
      <w:pPr>
        <w:spacing w:line="500" w:lineRule="exact"/>
        <w:ind w:firstLine="482" w:firstLineChars="200"/>
        <w:rPr>
          <w:rFonts w:ascii="宋体" w:hAnsi="宋体" w:eastAsia="宋体" w:cs="Times New Roman"/>
          <w:b/>
          <w:kern w:val="2"/>
          <w:sz w:val="24"/>
        </w:rPr>
      </w:pPr>
      <w:r>
        <w:rPr>
          <w:rFonts w:hint="eastAsia" w:ascii="宋体" w:hAnsi="宋体" w:eastAsia="宋体" w:cs="Times New Roman"/>
          <w:b/>
          <w:kern w:val="2"/>
          <w:sz w:val="24"/>
        </w:rPr>
        <w:t>34.询问</w:t>
      </w:r>
    </w:p>
    <w:p w14:paraId="3CF4509C">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p>
    <w:p w14:paraId="2FA0EC2D">
      <w:pPr>
        <w:spacing w:line="500" w:lineRule="exact"/>
        <w:ind w:firstLine="482" w:firstLineChars="200"/>
        <w:rPr>
          <w:rFonts w:ascii="宋体" w:hAnsi="宋体" w:eastAsia="宋体" w:cs="Times New Roman"/>
          <w:b/>
          <w:kern w:val="2"/>
          <w:sz w:val="24"/>
        </w:rPr>
      </w:pPr>
      <w:r>
        <w:rPr>
          <w:rFonts w:hint="eastAsia" w:ascii="宋体" w:hAnsi="宋体" w:eastAsia="宋体" w:cs="Times New Roman"/>
          <w:b/>
          <w:kern w:val="2"/>
          <w:sz w:val="24"/>
        </w:rPr>
        <w:t>35.质疑提出</w:t>
      </w:r>
    </w:p>
    <w:p w14:paraId="4498634C">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35.1 提出质疑的供应商应当是参与所质疑项目采购活动的供应商。</w:t>
      </w:r>
    </w:p>
    <w:p w14:paraId="347C9250">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35.2 供应商认为采购文件、采购过程、采购结果使自己的权益受到损害的，可以在知道或者应知其权益受到损害之日（获取采购文件之日、采购公告发布之日）起七个工作日内以书面形式向采购人、交易中心提出质疑。</w:t>
      </w:r>
    </w:p>
    <w:p w14:paraId="357B18AA">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供应商应当在法定质疑期内一次性提出针对同一采购程序环节的质疑，供应商如在法定期限内对同一采购程序环节提出多次质疑的，采购人、交易中心将只对供应商第一次质疑作出答复。</w:t>
      </w:r>
    </w:p>
    <w:p w14:paraId="6EB798D7">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未依照采购公告要求获取采购文件的供应商，视为未参与该项目的采购活动，不具备对该采购文件提出质疑的法定权利。</w:t>
      </w:r>
    </w:p>
    <w:p w14:paraId="2DF579F3">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p>
    <w:p w14:paraId="7C9CA998">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35.4 质疑函的接收方式为供应商书面原件提交。联系部门、联系电话和通讯地址详见招标文件第一章。质疑实行实名制，不得进行虚假、恶意质疑。</w:t>
      </w:r>
    </w:p>
    <w:p w14:paraId="3B26310B">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35.5 质疑函应当使用范本，详见招标文件第六章。供应商提出质疑应当提交质疑函和必要的证明材料，应当包括下列内容：</w:t>
      </w:r>
    </w:p>
    <w:p w14:paraId="0E775122">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（1）供应商的姓名或者名称、地址、邮编、联系人及联系电话；</w:t>
      </w:r>
    </w:p>
    <w:p w14:paraId="21A734DF">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（2）质疑项目的名称、编号；</w:t>
      </w:r>
    </w:p>
    <w:p w14:paraId="5E40CA33">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（3）具体、明确的质疑事项和与质疑事项相关的请求；</w:t>
      </w:r>
    </w:p>
    <w:p w14:paraId="56065E30">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（4）事实依据；</w:t>
      </w:r>
    </w:p>
    <w:p w14:paraId="322E816E">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（5）必要的法律依据；</w:t>
      </w:r>
    </w:p>
    <w:p w14:paraId="0E27178F">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（6）提出质疑的日期；</w:t>
      </w:r>
    </w:p>
    <w:p w14:paraId="74092396">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（7）必要的证明材料；</w:t>
      </w:r>
    </w:p>
    <w:p w14:paraId="62EEE423">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（8）营业执照复印件及授权委托书原件、法定代表人（单位负责人）身份证复印件、委托代理人身份证复印件。</w:t>
      </w:r>
    </w:p>
    <w:p w14:paraId="576A35FB">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供应商为自然人的，应当由本人签字；供应商为法人或者其他组织的，应当由法定代表人、主要负责人，或者其委托代理人签字或者盖章，并加盖单位公章。</w:t>
      </w:r>
    </w:p>
    <w:p w14:paraId="4995A6F8">
      <w:pPr>
        <w:widowControl/>
        <w:spacing w:line="500" w:lineRule="exact"/>
        <w:ind w:firstLine="480"/>
        <w:jc w:val="left"/>
        <w:rPr>
          <w:rFonts w:ascii="宋体" w:hAnsi="宋体" w:eastAsia="宋体" w:cs="Times New Roman"/>
          <w:sz w:val="24"/>
          <w:szCs w:val="24"/>
        </w:rPr>
      </w:pPr>
      <w:r>
        <w:rPr>
          <w:rFonts w:hint="eastAsia" w:ascii="宋体" w:hAnsi="宋体" w:eastAsia="宋体" w:cs="Times New Roman"/>
          <w:sz w:val="24"/>
          <w:szCs w:val="24"/>
        </w:rPr>
        <w:t>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p>
    <w:p w14:paraId="7F141B40">
      <w:pPr>
        <w:spacing w:line="500" w:lineRule="exact"/>
        <w:ind w:firstLine="482" w:firstLineChars="200"/>
        <w:rPr>
          <w:rFonts w:ascii="宋体" w:hAnsi="宋体" w:eastAsia="宋体" w:cs="Times New Roman"/>
          <w:b/>
          <w:kern w:val="2"/>
          <w:sz w:val="24"/>
        </w:rPr>
      </w:pPr>
      <w:r>
        <w:rPr>
          <w:rFonts w:hint="eastAsia" w:ascii="宋体" w:hAnsi="宋体" w:eastAsia="宋体" w:cs="Times New Roman"/>
          <w:b/>
          <w:kern w:val="2"/>
          <w:sz w:val="24"/>
        </w:rPr>
        <w:t>36.质疑函的受理和答复</w:t>
      </w:r>
    </w:p>
    <w:p w14:paraId="615D865E">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p>
    <w:p w14:paraId="08BA6815">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63A02F50">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36.3 对不符合质疑要求的，采购人、交易中心有权要求其补充必要的证明材料，质疑供应商未在法定的时间内提供补充必要的证明材料的，视同放弃质疑。</w:t>
      </w:r>
    </w:p>
    <w:p w14:paraId="14A7A9FC">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36.4 以下情形的质疑不予受理</w:t>
      </w:r>
    </w:p>
    <w:p w14:paraId="2C914681">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（1）内容不符合《政府采购质疑和投诉办法》第十二条规定的质疑。</w:t>
      </w:r>
    </w:p>
    <w:p w14:paraId="6BDD2770">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（2）超出政府采购法定期限的质疑。</w:t>
      </w:r>
    </w:p>
    <w:p w14:paraId="52A2E4C5">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（3）以传真、电子邮件等方式递交的非原件形式的质疑。</w:t>
      </w:r>
    </w:p>
    <w:p w14:paraId="150DA9DF">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（4）未参加采购活动的供应商或在采购活动中自身权益未受到损害的供应商所提出的质疑。</w:t>
      </w:r>
    </w:p>
    <w:p w14:paraId="22514024">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（5）供应商组成联合体，联合体中任何一方或多方未按要求签字（盖章）、加盖公章的质疑。</w:t>
      </w:r>
    </w:p>
    <w:p w14:paraId="666DAB4F">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36.5 采购人、交易中心依法受理的质疑，将按照政府采购有关规定，在法定期限内答复。</w:t>
      </w:r>
    </w:p>
    <w:p w14:paraId="66B2677A">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36.6未尽事宜，依照有关法律、法规执行。</w:t>
      </w:r>
    </w:p>
    <w:p w14:paraId="64111C98">
      <w:pPr>
        <w:keepNext/>
        <w:keepLines/>
        <w:spacing w:line="500" w:lineRule="exact"/>
        <w:outlineLvl w:val="1"/>
        <w:rPr>
          <w:rFonts w:ascii="宋体" w:hAnsi="宋体" w:eastAsia="宋体" w:cs="Times New Roman"/>
          <w:b/>
          <w:bCs/>
          <w:kern w:val="2"/>
          <w:sz w:val="32"/>
          <w:szCs w:val="32"/>
        </w:rPr>
      </w:pPr>
      <w:r>
        <w:rPr>
          <w:rFonts w:hint="eastAsia" w:ascii="宋体" w:hAnsi="宋体" w:eastAsia="宋体" w:cs="Times New Roman"/>
          <w:b/>
          <w:bCs/>
          <w:kern w:val="2"/>
          <w:sz w:val="32"/>
          <w:szCs w:val="32"/>
        </w:rPr>
        <w:t>九、政府采购政策功能</w:t>
      </w:r>
    </w:p>
    <w:p w14:paraId="17AD4421">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37.1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5EB1F41E">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 xml:space="preserve">37.2 参加本项目政府采购活动的供应商应当提供的材料： </w:t>
      </w:r>
    </w:p>
    <w:p w14:paraId="3F5016D7">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（1）投标人为中型企业、小型企业、微型企业的，提供《中小企业声明函》（第六章 投标文件格式）。</w:t>
      </w:r>
    </w:p>
    <w:p w14:paraId="12A87EA7">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（2）符合《关于促进残疾人就业政府采购政策的通知》（财库〔2017〕141号）规定的条件并提供《残疾人福利性单位声明函》（第六章 投标文件格式）的残疾人福利性单位视同小型、微型企业。</w:t>
      </w:r>
    </w:p>
    <w:p w14:paraId="53F4ADCF">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3）符合《关于政府采购支持监狱企业发展有关问题的通知》（财库〔2014〕68号）规定的监狱企业并提供由省级以上监狱管理局、戒毒管理局（含新疆生产建设兵团）出具的属于监狱企业证明文件的，视同小型、微型企业。</w:t>
      </w:r>
    </w:p>
    <w:p w14:paraId="378B02BD">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37.3 享受扶持政策获得政府采购合同的，小微企业不得将合同分包给大中型企业，中型企业不得将合同分包给大型企业。</w:t>
      </w:r>
    </w:p>
    <w:p w14:paraId="35ED6CCD">
      <w:pPr>
        <w:spacing w:line="500" w:lineRule="exact"/>
        <w:ind w:firstLine="482" w:firstLineChars="200"/>
        <w:rPr>
          <w:rFonts w:ascii="宋体" w:hAnsi="宋体" w:eastAsia="宋体" w:cs="宋体"/>
          <w:b/>
          <w:sz w:val="28"/>
          <w:szCs w:val="28"/>
        </w:rPr>
      </w:pPr>
      <w:r>
        <w:rPr>
          <w:rFonts w:hint="eastAsia" w:ascii="宋体" w:hAnsi="宋体" w:eastAsia="宋体" w:cs="Times New Roman"/>
          <w:b/>
          <w:kern w:val="2"/>
          <w:sz w:val="24"/>
        </w:rPr>
        <w:t>38.采购本国产品的支持政策</w:t>
      </w:r>
    </w:p>
    <w:p w14:paraId="1F05500F">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38.1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F7566B4">
      <w:pPr>
        <w:spacing w:line="360" w:lineRule="auto"/>
        <w:ind w:firstLine="480"/>
        <w:jc w:val="left"/>
        <w:rPr>
          <w:rFonts w:ascii="宋体" w:hAnsi="宋体" w:eastAsia="宋体" w:cs="宋体"/>
          <w:sz w:val="24"/>
          <w:szCs w:val="24"/>
        </w:rPr>
      </w:pPr>
      <w:r>
        <w:rPr>
          <w:rFonts w:hint="eastAsia" w:ascii="宋体" w:hAnsi="宋体" w:eastAsia="宋体" w:cs="宋体"/>
          <w:sz w:val="24"/>
          <w:szCs w:val="24"/>
        </w:rPr>
        <w:t>38.2根据《国务院办公厅关于在政府采购中实施本国产品标准及相关政策的通知》（国办发〔2025〕34号）文件规定，本项目不涉及货物，不执行本国产品价格评审优惠。</w:t>
      </w:r>
    </w:p>
    <w:p w14:paraId="5B644922">
      <w:pPr>
        <w:spacing w:line="500" w:lineRule="exact"/>
        <w:ind w:firstLine="480" w:firstLineChars="200"/>
        <w:rPr>
          <w:rFonts w:ascii="宋体" w:hAnsi="宋体" w:eastAsia="宋体" w:cs="Times New Roman"/>
          <w:b/>
          <w:kern w:val="2"/>
          <w:sz w:val="24"/>
        </w:rPr>
      </w:pPr>
      <w:r>
        <w:rPr>
          <w:rFonts w:hint="eastAsia" w:ascii="宋体" w:hAnsi="宋体" w:eastAsia="宋体" w:cs="宋体"/>
          <w:sz w:val="24"/>
          <w:szCs w:val="24"/>
        </w:rPr>
        <w:t>38.3政府采购中的本国产品标准及其他未尽事宜详见《国务院办公厅关于在政府采购中实施本国产品标准及相关政策的通知》（国办发〔2025〕34号）。</w:t>
      </w:r>
      <w:r>
        <w:rPr>
          <w:rFonts w:hint="eastAsia" w:ascii="宋体" w:hAnsi="宋体" w:eastAsia="宋体" w:cs="Times New Roman"/>
          <w:b/>
          <w:kern w:val="2"/>
          <w:sz w:val="24"/>
        </w:rPr>
        <w:t>39.支持绿色发展</w:t>
      </w:r>
    </w:p>
    <w:p w14:paraId="74D7DBFD">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15161FB4">
      <w:pPr>
        <w:spacing w:line="5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3ED901A4">
      <w:pPr>
        <w:spacing w:line="500" w:lineRule="exact"/>
        <w:ind w:firstLine="480" w:firstLineChars="200"/>
        <w:rPr>
          <w:rFonts w:ascii="宋体" w:hAnsi="宋体" w:eastAsia="宋体" w:cs="Times New Roman"/>
          <w:kern w:val="2"/>
          <w:sz w:val="24"/>
        </w:rPr>
      </w:pPr>
      <w:r>
        <w:rPr>
          <w:rFonts w:hint="eastAsia" w:ascii="宋体" w:hAnsi="宋体" w:eastAsia="宋体" w:cs="Times New Roman"/>
          <w:kern w:val="2"/>
          <w:sz w:val="24"/>
        </w:rPr>
        <w:t>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p>
    <w:p w14:paraId="3E5EA73C">
      <w:pPr>
        <w:spacing w:line="500" w:lineRule="exact"/>
        <w:ind w:firstLine="482" w:firstLineChars="200"/>
        <w:rPr>
          <w:rFonts w:ascii="宋体" w:hAnsi="宋体" w:eastAsia="宋体" w:cs="Times New Roman"/>
          <w:b/>
          <w:kern w:val="2"/>
          <w:sz w:val="24"/>
        </w:rPr>
      </w:pPr>
      <w:r>
        <w:rPr>
          <w:rFonts w:hint="eastAsia" w:ascii="宋体" w:hAnsi="宋体" w:eastAsia="宋体" w:cs="Times New Roman"/>
          <w:b/>
          <w:kern w:val="2"/>
          <w:sz w:val="24"/>
        </w:rPr>
        <w:t>40.政府采购需求标准</w:t>
      </w:r>
    </w:p>
    <w:p w14:paraId="707DCF2B">
      <w:pPr>
        <w:spacing w:line="500" w:lineRule="exact"/>
        <w:ind w:firstLine="480"/>
        <w:rPr>
          <w:rFonts w:asciiTheme="minorEastAsia" w:hAnsiTheme="minorEastAsia"/>
          <w:sz w:val="24"/>
          <w:szCs w:val="24"/>
        </w:rPr>
      </w:pPr>
      <w:r>
        <w:rPr>
          <w:rFonts w:hint="eastAsia" w:ascii="宋体" w:hAnsi="宋体" w:eastAsia="宋体" w:cs="Times New Roman"/>
          <w:kern w:val="2"/>
          <w:sz w:val="24"/>
          <w:szCs w:val="24"/>
        </w:rPr>
        <w:t>40.1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2BA73693">
      <w:pPr>
        <w:widowControl/>
        <w:jc w:val="left"/>
        <w:rPr>
          <w:sz w:val="24"/>
          <w:szCs w:val="24"/>
        </w:rPr>
      </w:pPr>
      <w:r>
        <w:rPr>
          <w:sz w:val="24"/>
          <w:szCs w:val="24"/>
        </w:rPr>
        <w:br w:type="page" w:clear="all"/>
      </w:r>
    </w:p>
    <w:p w14:paraId="28361AFA">
      <w:pPr>
        <w:pStyle w:val="193"/>
        <w:spacing w:line="360" w:lineRule="auto"/>
        <w:jc w:val="center"/>
        <w:rPr>
          <w:rFonts w:ascii="黑体" w:hAnsi="黑体" w:eastAsia="黑体"/>
          <w:b w:val="0"/>
        </w:rPr>
      </w:pPr>
      <w:bookmarkStart w:id="23" w:name="_Toc162361612"/>
      <w:r>
        <w:rPr>
          <w:rFonts w:hint="eastAsia" w:ascii="黑体" w:hAnsi="黑体" w:eastAsia="黑体"/>
          <w:b w:val="0"/>
        </w:rPr>
        <w:t>第三章  合同文本</w:t>
      </w:r>
      <w:bookmarkEnd w:id="23"/>
    </w:p>
    <w:p w14:paraId="180E9D39">
      <w:pPr>
        <w:spacing w:line="500" w:lineRule="exact"/>
        <w:jc w:val="center"/>
        <w:rPr>
          <w:rFonts w:ascii="黑体" w:hAnsi="黑体" w:eastAsia="黑体"/>
          <w:sz w:val="32"/>
          <w:szCs w:val="24"/>
        </w:rPr>
      </w:pPr>
      <w:bookmarkStart w:id="24" w:name="OLE_LINK154"/>
      <w:bookmarkStart w:id="25" w:name="OLE_LINK155"/>
      <w:r>
        <w:rPr>
          <w:rFonts w:hint="eastAsia" w:ascii="黑体" w:hAnsi="黑体" w:eastAsia="黑体"/>
          <w:sz w:val="32"/>
          <w:szCs w:val="24"/>
        </w:rPr>
        <w:t>连云港市政府采购合同（服务）</w:t>
      </w:r>
    </w:p>
    <w:p w14:paraId="7D74E4D3">
      <w:pPr>
        <w:spacing w:line="500" w:lineRule="exact"/>
        <w:jc w:val="center"/>
        <w:rPr>
          <w:rFonts w:ascii="黑体" w:hAnsi="黑体" w:eastAsia="黑体"/>
          <w:sz w:val="28"/>
          <w:szCs w:val="24"/>
        </w:rPr>
      </w:pPr>
      <w:r>
        <w:rPr>
          <w:rFonts w:hint="eastAsia" w:ascii="黑体" w:hAnsi="黑体" w:eastAsia="黑体"/>
          <w:sz w:val="28"/>
          <w:szCs w:val="24"/>
        </w:rPr>
        <w:t>（合同编号：***）</w:t>
      </w:r>
    </w:p>
    <w:p w14:paraId="3D753228">
      <w:pPr>
        <w:spacing w:line="500" w:lineRule="exact"/>
        <w:jc w:val="left"/>
        <w:rPr>
          <w:sz w:val="24"/>
          <w:szCs w:val="24"/>
        </w:rPr>
      </w:pPr>
      <w:r>
        <w:rPr>
          <w:rFonts w:hint="eastAsia"/>
          <w:sz w:val="24"/>
          <w:szCs w:val="24"/>
        </w:rPr>
        <w:t>甲方：（买方）_________</w:t>
      </w:r>
    </w:p>
    <w:p w14:paraId="5CE1E18E">
      <w:pPr>
        <w:spacing w:line="500" w:lineRule="exact"/>
        <w:jc w:val="left"/>
        <w:rPr>
          <w:sz w:val="24"/>
          <w:szCs w:val="24"/>
        </w:rPr>
      </w:pPr>
      <w:r>
        <w:rPr>
          <w:rFonts w:hint="eastAsia"/>
          <w:sz w:val="24"/>
          <w:szCs w:val="24"/>
        </w:rPr>
        <w:t>乙方：（卖方）_________</w:t>
      </w:r>
    </w:p>
    <w:p w14:paraId="6DEE5025">
      <w:pPr>
        <w:spacing w:line="500" w:lineRule="exact"/>
        <w:ind w:firstLine="480"/>
        <w:jc w:val="left"/>
        <w:rPr>
          <w:sz w:val="24"/>
          <w:szCs w:val="24"/>
        </w:rPr>
      </w:pPr>
      <w:r>
        <w:rPr>
          <w:rFonts w:hint="eastAsia"/>
          <w:sz w:val="24"/>
          <w:szCs w:val="24"/>
        </w:rPr>
        <w:t>甲、乙双方根据</w:t>
      </w:r>
      <w:r>
        <w:rPr>
          <w:rFonts w:hint="eastAsia" w:ascii="宋体" w:hAnsi="宋体"/>
          <w:color w:val="000000"/>
          <w:sz w:val="24"/>
          <w:u w:val="single"/>
        </w:rPr>
        <w:t xml:space="preserve">      </w:t>
      </w:r>
      <w:r>
        <w:rPr>
          <w:rFonts w:hint="eastAsia" w:ascii="宋体" w:hAnsi="宋体"/>
          <w:color w:val="000000"/>
          <w:sz w:val="24"/>
        </w:rPr>
        <w:t>年</w:t>
      </w:r>
      <w:r>
        <w:rPr>
          <w:rFonts w:hint="eastAsia" w:ascii="宋体" w:hAnsi="宋体"/>
          <w:color w:val="000000"/>
          <w:sz w:val="24"/>
          <w:u w:val="single"/>
        </w:rPr>
        <w:t xml:space="preserve">   </w:t>
      </w:r>
      <w:r>
        <w:rPr>
          <w:rFonts w:hint="eastAsia" w:ascii="宋体" w:hAnsi="宋体"/>
          <w:color w:val="000000"/>
          <w:sz w:val="24"/>
        </w:rPr>
        <w:t>月</w:t>
      </w:r>
      <w:r>
        <w:rPr>
          <w:rFonts w:hint="eastAsia" w:ascii="宋体" w:hAnsi="宋体"/>
          <w:color w:val="000000"/>
          <w:sz w:val="24"/>
          <w:u w:val="single"/>
        </w:rPr>
        <w:t xml:space="preserve">   </w:t>
      </w:r>
      <w:r>
        <w:rPr>
          <w:rFonts w:hint="eastAsia" w:ascii="宋体" w:hAnsi="宋体"/>
          <w:color w:val="000000"/>
          <w:sz w:val="24"/>
        </w:rPr>
        <w:t>日</w:t>
      </w:r>
      <w:r>
        <w:rPr>
          <w:rFonts w:hint="eastAsia"/>
          <w:sz w:val="24"/>
          <w:szCs w:val="24"/>
          <w:u w:val="single"/>
        </w:rPr>
        <w:t xml:space="preserve">         </w:t>
      </w:r>
      <w:r>
        <w:rPr>
          <w:rFonts w:hint="eastAsia"/>
          <w:sz w:val="24"/>
          <w:szCs w:val="24"/>
        </w:rPr>
        <w:t>项目（项目编号：</w:t>
      </w:r>
      <w:r>
        <w:rPr>
          <w:rFonts w:hint="eastAsia"/>
          <w:sz w:val="24"/>
          <w:szCs w:val="24"/>
          <w:u w:val="single"/>
        </w:rPr>
        <w:t xml:space="preserve">         </w:t>
      </w:r>
      <w:r>
        <w:rPr>
          <w:rFonts w:hint="eastAsia"/>
          <w:sz w:val="24"/>
          <w:szCs w:val="24"/>
        </w:rPr>
        <w:t>）公开招标的结果，签订本合同。</w:t>
      </w:r>
    </w:p>
    <w:p w14:paraId="791E2925">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一、合同内容</w:t>
      </w:r>
    </w:p>
    <w:p w14:paraId="114432CC">
      <w:pPr>
        <w:spacing w:line="500" w:lineRule="exact"/>
        <w:ind w:firstLine="480"/>
        <w:jc w:val="left"/>
        <w:rPr>
          <w:sz w:val="24"/>
          <w:szCs w:val="24"/>
        </w:rPr>
      </w:pPr>
      <w:r>
        <w:rPr>
          <w:sz w:val="24"/>
          <w:szCs w:val="24"/>
        </w:rPr>
        <w:t>1.1 服务内容：</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w:t>
      </w:r>
    </w:p>
    <w:p w14:paraId="16F8242E">
      <w:pPr>
        <w:spacing w:line="500" w:lineRule="exact"/>
        <w:ind w:firstLine="480"/>
        <w:jc w:val="left"/>
        <w:rPr>
          <w:sz w:val="24"/>
          <w:szCs w:val="24"/>
        </w:rPr>
      </w:pPr>
      <w:r>
        <w:rPr>
          <w:sz w:val="24"/>
          <w:szCs w:val="24"/>
        </w:rPr>
        <w:t>1.2 服务要求：</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w:t>
      </w:r>
    </w:p>
    <w:p w14:paraId="50D70557">
      <w:pPr>
        <w:spacing w:line="500" w:lineRule="exact"/>
        <w:ind w:firstLine="480"/>
        <w:jc w:val="left"/>
        <w:rPr>
          <w:sz w:val="24"/>
          <w:szCs w:val="24"/>
        </w:rPr>
      </w:pPr>
      <w:r>
        <w:rPr>
          <w:rFonts w:hint="eastAsia"/>
          <w:sz w:val="24"/>
          <w:szCs w:val="24"/>
        </w:rPr>
        <w:t>1.3 服务标准：</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w:t>
      </w:r>
    </w:p>
    <w:p w14:paraId="0D99AD9E">
      <w:pPr>
        <w:spacing w:line="500" w:lineRule="exact"/>
        <w:ind w:firstLine="480"/>
        <w:jc w:val="left"/>
        <w:rPr>
          <w:sz w:val="24"/>
          <w:szCs w:val="24"/>
        </w:rPr>
      </w:pPr>
      <w:r>
        <w:rPr>
          <w:sz w:val="24"/>
          <w:szCs w:val="24"/>
        </w:rPr>
        <w:t>1.</w:t>
      </w:r>
      <w:r>
        <w:rPr>
          <w:rFonts w:hint="eastAsia"/>
          <w:sz w:val="24"/>
          <w:szCs w:val="24"/>
        </w:rPr>
        <w:t>4</w:t>
      </w:r>
      <w:r>
        <w:rPr>
          <w:sz w:val="24"/>
          <w:szCs w:val="24"/>
        </w:rPr>
        <w:t xml:space="preserve"> 补充条款：</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w:t>
      </w:r>
    </w:p>
    <w:p w14:paraId="36C7392E">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二、合同金额</w:t>
      </w:r>
    </w:p>
    <w:p w14:paraId="657E8F2B">
      <w:pPr>
        <w:spacing w:line="500" w:lineRule="exact"/>
        <w:ind w:firstLine="480"/>
        <w:jc w:val="left"/>
        <w:rPr>
          <w:sz w:val="24"/>
          <w:szCs w:val="24"/>
        </w:rPr>
      </w:pPr>
      <w:r>
        <w:rPr>
          <w:rFonts w:hint="eastAsia"/>
          <w:sz w:val="24"/>
          <w:szCs w:val="24"/>
        </w:rPr>
        <w:t>2.1 本合同金额为人民币（大写）：</w:t>
      </w:r>
      <w:r>
        <w:rPr>
          <w:rFonts w:hint="eastAsia"/>
          <w:sz w:val="24"/>
          <w:szCs w:val="24"/>
          <w:u w:val="single"/>
        </w:rPr>
        <w:t xml:space="preserve">            </w:t>
      </w:r>
      <w:r>
        <w:rPr>
          <w:rFonts w:hint="eastAsia"/>
          <w:sz w:val="24"/>
          <w:szCs w:val="24"/>
        </w:rPr>
        <w:t>元（¥</w:t>
      </w:r>
      <w:r>
        <w:rPr>
          <w:rFonts w:hint="eastAsia"/>
          <w:sz w:val="24"/>
          <w:szCs w:val="24"/>
          <w:u w:val="single"/>
        </w:rPr>
        <w:t xml:space="preserve">         </w:t>
      </w:r>
      <w:r>
        <w:rPr>
          <w:rFonts w:hint="eastAsia"/>
          <w:sz w:val="24"/>
          <w:szCs w:val="24"/>
        </w:rPr>
        <w:t>）。</w:t>
      </w:r>
    </w:p>
    <w:p w14:paraId="45185CBD">
      <w:pPr>
        <w:spacing w:line="500" w:lineRule="exact"/>
        <w:ind w:firstLine="480"/>
        <w:jc w:val="left"/>
        <w:rPr>
          <w:sz w:val="24"/>
          <w:szCs w:val="24"/>
        </w:rPr>
      </w:pPr>
      <w:r>
        <w:rPr>
          <w:rFonts w:hint="eastAsia"/>
          <w:sz w:val="24"/>
          <w:szCs w:val="24"/>
        </w:rPr>
        <w:t>2.2 本合同价款包含所有乙方提供合同约定产品和服务的报酬及乙方提供合同中产品和服务所支出的必要费用，甲方在上述合同价款之外不再向乙方支付其他任何费用。</w:t>
      </w:r>
    </w:p>
    <w:p w14:paraId="3FF0463E">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三、技术资料</w:t>
      </w:r>
    </w:p>
    <w:p w14:paraId="333C88CE">
      <w:pPr>
        <w:spacing w:line="500" w:lineRule="exact"/>
        <w:ind w:firstLine="480"/>
        <w:jc w:val="left"/>
        <w:rPr>
          <w:sz w:val="24"/>
          <w:szCs w:val="24"/>
        </w:rPr>
      </w:pPr>
      <w:r>
        <w:rPr>
          <w:rFonts w:hint="eastAsia"/>
          <w:sz w:val="24"/>
          <w:szCs w:val="24"/>
        </w:rPr>
        <w:t>3.1 乙方应按招标文件规定的时间向甲方提供有关技术资料。</w:t>
      </w:r>
    </w:p>
    <w:p w14:paraId="2F46D42E">
      <w:pPr>
        <w:spacing w:line="500" w:lineRule="exact"/>
        <w:ind w:firstLine="480"/>
        <w:jc w:val="left"/>
        <w:rPr>
          <w:sz w:val="24"/>
          <w:szCs w:val="24"/>
        </w:rPr>
      </w:pPr>
      <w:r>
        <w:rPr>
          <w:rFonts w:hint="eastAsia"/>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E5F78B2">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四、知识产权</w:t>
      </w:r>
    </w:p>
    <w:p w14:paraId="1D23A79C">
      <w:pPr>
        <w:spacing w:line="500" w:lineRule="exact"/>
        <w:ind w:firstLine="480"/>
        <w:jc w:val="left"/>
        <w:rPr>
          <w:sz w:val="24"/>
          <w:szCs w:val="24"/>
        </w:rPr>
      </w:pPr>
      <w:r>
        <w:rPr>
          <w:rFonts w:hint="eastAsia"/>
          <w:sz w:val="24"/>
          <w:szCs w:val="24"/>
        </w:rPr>
        <w:t>4.1 乙方应保证甲方在使用、接受本合同产品和服务或其任何一部分时不受第三方提出侵犯其专利权、版权、商标权和工业设计权等知识产权的起诉。一旦出现侵权，由乙方负全部责任。</w:t>
      </w:r>
    </w:p>
    <w:p w14:paraId="3E847160">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五、产权担保</w:t>
      </w:r>
    </w:p>
    <w:p w14:paraId="124879C3">
      <w:pPr>
        <w:spacing w:line="500" w:lineRule="exact"/>
        <w:ind w:firstLine="480"/>
        <w:jc w:val="left"/>
        <w:rPr>
          <w:sz w:val="24"/>
          <w:szCs w:val="24"/>
        </w:rPr>
      </w:pPr>
      <w:r>
        <w:rPr>
          <w:rFonts w:hint="eastAsia"/>
          <w:sz w:val="24"/>
          <w:szCs w:val="24"/>
        </w:rPr>
        <w:t>5.1 乙方保证所交付标的的所有权完全属于乙方且无任何抵押、查封等产权瑕疵。</w:t>
      </w:r>
    </w:p>
    <w:p w14:paraId="34417F47">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六、履约保证金</w:t>
      </w:r>
    </w:p>
    <w:p w14:paraId="56BB2AD7">
      <w:pPr>
        <w:spacing w:line="500" w:lineRule="exact"/>
        <w:ind w:firstLine="480"/>
        <w:jc w:val="left"/>
        <w:rPr>
          <w:sz w:val="24"/>
          <w:szCs w:val="24"/>
        </w:rPr>
      </w:pPr>
      <w:r>
        <w:rPr>
          <w:rFonts w:hint="eastAsia"/>
          <w:sz w:val="24"/>
          <w:szCs w:val="24"/>
        </w:rPr>
        <w:t>6.1 乙方交纳</w:t>
      </w:r>
      <w:r>
        <w:rPr>
          <w:rFonts w:hint="eastAsia"/>
          <w:sz w:val="24"/>
          <w:szCs w:val="24"/>
          <w:u w:val="single"/>
        </w:rPr>
        <w:t xml:space="preserve">     </w:t>
      </w:r>
      <w:r>
        <w:rPr>
          <w:rFonts w:hint="eastAsia"/>
          <w:sz w:val="24"/>
          <w:szCs w:val="24"/>
        </w:rPr>
        <w:t>作为本合同的履约保证金，乙方应当以支票、汇票、本票或者金融机构、担保机构出具的保函等非现金形式提交。</w:t>
      </w:r>
    </w:p>
    <w:p w14:paraId="2A9DEEA6">
      <w:pPr>
        <w:spacing w:line="500" w:lineRule="exact"/>
        <w:ind w:firstLine="480"/>
        <w:jc w:val="left"/>
        <w:rPr>
          <w:sz w:val="24"/>
          <w:szCs w:val="24"/>
        </w:rPr>
      </w:pPr>
      <w:r>
        <w:rPr>
          <w:rFonts w:hint="eastAsia"/>
          <w:sz w:val="24"/>
          <w:szCs w:val="24"/>
        </w:rPr>
        <w:t>6.2 履约保证金在乙方主要合同义务履行完毕后五个工作日内由甲方以非现金形式一次性退还。</w:t>
      </w:r>
    </w:p>
    <w:p w14:paraId="07DFD650">
      <w:pPr>
        <w:spacing w:line="500" w:lineRule="exact"/>
        <w:ind w:firstLine="480"/>
        <w:jc w:val="left"/>
        <w:rPr>
          <w:sz w:val="24"/>
          <w:szCs w:val="24"/>
        </w:rPr>
      </w:pPr>
      <w:r>
        <w:rPr>
          <w:rFonts w:hint="eastAsia"/>
          <w:sz w:val="24"/>
          <w:szCs w:val="24"/>
        </w:rPr>
        <w:t>6.3 乙方违约的，甲方将根据违约责任条款扣除其全部或部分履约保证金。如乙方违约给甲方造成的损失超过履约保证金的，应当依法赔偿超过部分的损失。</w:t>
      </w:r>
    </w:p>
    <w:p w14:paraId="50EE0453">
      <w:pPr>
        <w:spacing w:line="500" w:lineRule="exact"/>
        <w:ind w:firstLine="480"/>
        <w:jc w:val="left"/>
        <w:rPr>
          <w:sz w:val="24"/>
          <w:szCs w:val="24"/>
        </w:rPr>
      </w:pPr>
      <w:r>
        <w:rPr>
          <w:rFonts w:hint="eastAsia"/>
          <w:sz w:val="24"/>
          <w:szCs w:val="24"/>
        </w:rPr>
        <w:t>6.4 逾期退还履约保证金的甲方承担违约责任，按照中国人民银行同期贷款市场报价利率支付超期资金占用费。</w:t>
      </w:r>
    </w:p>
    <w:p w14:paraId="2F2642A6">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七、合同转包或分包</w:t>
      </w:r>
    </w:p>
    <w:p w14:paraId="5F75DD8E">
      <w:pPr>
        <w:spacing w:line="500" w:lineRule="exact"/>
        <w:ind w:firstLine="480"/>
        <w:jc w:val="left"/>
        <w:rPr>
          <w:sz w:val="24"/>
          <w:szCs w:val="24"/>
        </w:rPr>
      </w:pPr>
      <w:r>
        <w:rPr>
          <w:rFonts w:hint="eastAsia"/>
          <w:sz w:val="24"/>
          <w:szCs w:val="24"/>
        </w:rPr>
        <w:t>7.1 本合同范围内产品或服务，应由乙方直接供应，不得转让他人供应或部分分包给他人供应（</w:t>
      </w:r>
      <w:r>
        <w:rPr>
          <w:rFonts w:hint="eastAsia" w:ascii="宋体" w:hAnsi="宋体"/>
          <w:bCs/>
          <w:sz w:val="24"/>
        </w:rPr>
        <w:t>连云区局食堂管理除外</w:t>
      </w:r>
      <w:r>
        <w:rPr>
          <w:rFonts w:hint="eastAsia"/>
          <w:sz w:val="24"/>
          <w:szCs w:val="24"/>
        </w:rPr>
        <w:t>）。</w:t>
      </w:r>
    </w:p>
    <w:p w14:paraId="590990E6">
      <w:pPr>
        <w:spacing w:line="500" w:lineRule="exact"/>
        <w:ind w:firstLine="480"/>
        <w:jc w:val="left"/>
        <w:rPr>
          <w:sz w:val="24"/>
          <w:szCs w:val="24"/>
        </w:rPr>
      </w:pPr>
      <w:r>
        <w:rPr>
          <w:rFonts w:hint="eastAsia"/>
          <w:sz w:val="24"/>
          <w:szCs w:val="24"/>
        </w:rPr>
        <w:t>7.2 如有转让和未经甲方同意的分包行为，甲方有权终止合同。</w:t>
      </w:r>
    </w:p>
    <w:p w14:paraId="642107C2">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八、服务时间</w:t>
      </w:r>
    </w:p>
    <w:p w14:paraId="203DBBAE">
      <w:pPr>
        <w:spacing w:line="500" w:lineRule="exact"/>
        <w:ind w:firstLine="480"/>
        <w:jc w:val="left"/>
        <w:rPr>
          <w:rFonts w:ascii="黑体" w:hAnsi="黑体" w:eastAsia="黑体"/>
          <w:sz w:val="24"/>
          <w:szCs w:val="24"/>
        </w:rPr>
      </w:pPr>
      <w:r>
        <w:rPr>
          <w:rFonts w:hint="eastAsia"/>
          <w:sz w:val="24"/>
          <w:szCs w:val="24"/>
        </w:rPr>
        <w:t>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w:t>
      </w:r>
    </w:p>
    <w:p w14:paraId="3E88E82D">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九、交付期、交付方式及交付地点</w:t>
      </w:r>
    </w:p>
    <w:p w14:paraId="6C1964FB">
      <w:pPr>
        <w:spacing w:line="500" w:lineRule="exact"/>
        <w:ind w:firstLine="480"/>
        <w:jc w:val="left"/>
        <w:rPr>
          <w:sz w:val="24"/>
          <w:szCs w:val="24"/>
        </w:rPr>
      </w:pPr>
      <w:r>
        <w:rPr>
          <w:rFonts w:hint="eastAsia"/>
          <w:sz w:val="24"/>
          <w:szCs w:val="24"/>
        </w:rPr>
        <w:t>9.1 交 付 期：_________。</w:t>
      </w:r>
    </w:p>
    <w:p w14:paraId="171BA2AA">
      <w:pPr>
        <w:spacing w:line="500" w:lineRule="exact"/>
        <w:ind w:firstLine="480"/>
        <w:jc w:val="left"/>
        <w:rPr>
          <w:sz w:val="24"/>
          <w:szCs w:val="24"/>
        </w:rPr>
      </w:pPr>
      <w:r>
        <w:rPr>
          <w:rFonts w:hint="eastAsia"/>
          <w:sz w:val="24"/>
          <w:szCs w:val="24"/>
        </w:rPr>
        <w:t>9.2 交付方式：_________。</w:t>
      </w:r>
    </w:p>
    <w:p w14:paraId="61CC6F92">
      <w:pPr>
        <w:spacing w:line="500" w:lineRule="exact"/>
        <w:ind w:firstLine="480"/>
        <w:jc w:val="left"/>
        <w:rPr>
          <w:sz w:val="24"/>
          <w:szCs w:val="24"/>
        </w:rPr>
      </w:pPr>
      <w:r>
        <w:rPr>
          <w:rFonts w:hint="eastAsia"/>
          <w:sz w:val="24"/>
          <w:szCs w:val="24"/>
        </w:rPr>
        <w:t>9.3 交付地点：_________。</w:t>
      </w:r>
    </w:p>
    <w:p w14:paraId="5C0A5FE4">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十、合同款支付</w:t>
      </w:r>
    </w:p>
    <w:p w14:paraId="0FF870EC">
      <w:pPr>
        <w:spacing w:line="500" w:lineRule="exact"/>
        <w:ind w:firstLine="480"/>
        <w:jc w:val="left"/>
        <w:rPr>
          <w:sz w:val="24"/>
          <w:szCs w:val="24"/>
        </w:rPr>
      </w:pPr>
      <w:r>
        <w:rPr>
          <w:rFonts w:hint="eastAsia"/>
          <w:sz w:val="24"/>
          <w:szCs w:val="24"/>
        </w:rPr>
        <w:t>10.1 付款方式：_________。</w:t>
      </w:r>
    </w:p>
    <w:p w14:paraId="63C3BDE9">
      <w:pPr>
        <w:spacing w:line="500" w:lineRule="exact"/>
        <w:ind w:firstLine="480"/>
        <w:jc w:val="left"/>
        <w:rPr>
          <w:sz w:val="24"/>
          <w:szCs w:val="24"/>
        </w:rPr>
      </w:pPr>
      <w:r>
        <w:rPr>
          <w:rFonts w:hint="eastAsia"/>
          <w:sz w:val="24"/>
          <w:szCs w:val="24"/>
        </w:rPr>
        <w:t>10.2 当采购数量与实际使用数量不一致时，乙方应根据实际使用量提供产品和服务，合同的最终结算金额按实际使用量乘以中标单价进行计算。</w:t>
      </w:r>
    </w:p>
    <w:p w14:paraId="23257E10">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十一、税费</w:t>
      </w:r>
    </w:p>
    <w:p w14:paraId="0787E1D6">
      <w:pPr>
        <w:spacing w:line="500" w:lineRule="exact"/>
        <w:ind w:firstLine="480"/>
        <w:jc w:val="left"/>
        <w:rPr>
          <w:sz w:val="24"/>
          <w:szCs w:val="24"/>
        </w:rPr>
      </w:pPr>
      <w:r>
        <w:rPr>
          <w:rFonts w:hint="eastAsia"/>
          <w:sz w:val="24"/>
          <w:szCs w:val="24"/>
        </w:rPr>
        <w:t>11.1 本合同执行中相关的一切税费均由乙方负担。</w:t>
      </w:r>
    </w:p>
    <w:p w14:paraId="2C9DE956">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十二、质量保证及售后服务</w:t>
      </w:r>
    </w:p>
    <w:p w14:paraId="155EC324">
      <w:pPr>
        <w:spacing w:line="500" w:lineRule="exact"/>
        <w:ind w:firstLine="480"/>
        <w:jc w:val="left"/>
        <w:rPr>
          <w:sz w:val="24"/>
          <w:szCs w:val="24"/>
        </w:rPr>
      </w:pPr>
      <w:r>
        <w:rPr>
          <w:rFonts w:hint="eastAsia"/>
          <w:sz w:val="24"/>
          <w:szCs w:val="24"/>
        </w:rPr>
        <w:t>12.1 乙方应按招标文件规定和投标文件承诺的性能、技术要求、质量标准向甲方提供产品或服务。</w:t>
      </w:r>
    </w:p>
    <w:p w14:paraId="0A49004A">
      <w:pPr>
        <w:spacing w:line="500" w:lineRule="exact"/>
        <w:ind w:firstLine="480"/>
        <w:jc w:val="left"/>
        <w:rPr>
          <w:sz w:val="24"/>
          <w:szCs w:val="24"/>
        </w:rPr>
      </w:pPr>
      <w:r>
        <w:rPr>
          <w:rFonts w:hint="eastAsia"/>
          <w:sz w:val="24"/>
          <w:szCs w:val="24"/>
        </w:rPr>
        <w:t>12.2 乙方提供的产品或服务在服务期内因其本身出现质量问题，根据实际情况，经双方协商，可按以下办法处理：</w:t>
      </w:r>
    </w:p>
    <w:p w14:paraId="2A6DEFF5">
      <w:pPr>
        <w:spacing w:line="500" w:lineRule="exact"/>
        <w:ind w:firstLine="480"/>
        <w:jc w:val="left"/>
        <w:rPr>
          <w:sz w:val="24"/>
          <w:szCs w:val="24"/>
        </w:rPr>
      </w:pPr>
      <w:r>
        <w:rPr>
          <w:rFonts w:hint="eastAsia"/>
          <w:sz w:val="24"/>
          <w:szCs w:val="24"/>
        </w:rPr>
        <w:t>（1）更换：由乙方承担所产生的全部费用。</w:t>
      </w:r>
    </w:p>
    <w:p w14:paraId="6A9878DE">
      <w:pPr>
        <w:spacing w:line="500" w:lineRule="exact"/>
        <w:ind w:firstLine="480"/>
        <w:jc w:val="left"/>
        <w:rPr>
          <w:sz w:val="24"/>
          <w:szCs w:val="24"/>
        </w:rPr>
      </w:pPr>
      <w:r>
        <w:rPr>
          <w:rFonts w:hint="eastAsia"/>
          <w:sz w:val="24"/>
          <w:szCs w:val="24"/>
        </w:rPr>
        <w:t>（2）合同终止处理：合同终止，乙方退还甲方支付的合同款，同时承担由此产生的全部费用，甲方不承担任何产生费用。</w:t>
      </w:r>
    </w:p>
    <w:p w14:paraId="6FC23C6D">
      <w:pPr>
        <w:spacing w:line="500" w:lineRule="exact"/>
        <w:ind w:firstLine="480"/>
        <w:jc w:val="left"/>
        <w:rPr>
          <w:sz w:val="24"/>
          <w:szCs w:val="24"/>
        </w:rPr>
      </w:pPr>
      <w:r>
        <w:rPr>
          <w:rFonts w:hint="eastAsia"/>
          <w:sz w:val="24"/>
          <w:szCs w:val="24"/>
        </w:rPr>
        <w:t>12.3 如在使用过程中发生质量问题，乙方在接到甲方通知后在</w:t>
      </w:r>
      <w:r>
        <w:rPr>
          <w:rFonts w:hint="eastAsia"/>
          <w:sz w:val="24"/>
          <w:szCs w:val="24"/>
          <w:u w:val="single"/>
        </w:rPr>
        <w:t xml:space="preserve">   </w:t>
      </w:r>
      <w:r>
        <w:rPr>
          <w:rFonts w:hint="eastAsia"/>
          <w:sz w:val="24"/>
          <w:szCs w:val="24"/>
        </w:rPr>
        <w:t>小时内到达甲方现场。</w:t>
      </w:r>
    </w:p>
    <w:p w14:paraId="468A819A">
      <w:pPr>
        <w:spacing w:line="500" w:lineRule="exact"/>
        <w:ind w:firstLine="480"/>
        <w:jc w:val="left"/>
        <w:rPr>
          <w:sz w:val="24"/>
          <w:szCs w:val="24"/>
        </w:rPr>
      </w:pPr>
      <w:r>
        <w:rPr>
          <w:rFonts w:hint="eastAsia"/>
          <w:sz w:val="24"/>
          <w:szCs w:val="24"/>
        </w:rPr>
        <w:t>12.4 在服务期内，乙方应对产品或服务出现的质量及安全问题负责处理解决并承担一切费用。</w:t>
      </w:r>
    </w:p>
    <w:p w14:paraId="4AC82D28">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十三、项目验收</w:t>
      </w:r>
    </w:p>
    <w:p w14:paraId="77B0C8CE">
      <w:pPr>
        <w:spacing w:line="500" w:lineRule="exact"/>
        <w:ind w:firstLine="480"/>
        <w:jc w:val="left"/>
        <w:rPr>
          <w:sz w:val="24"/>
          <w:szCs w:val="24"/>
        </w:rPr>
      </w:pPr>
      <w:r>
        <w:rPr>
          <w:rFonts w:hint="eastAsia"/>
          <w:sz w:val="24"/>
          <w:szCs w:val="24"/>
        </w:rPr>
        <w:t>13.1 甲方依法组织履约验收工作。</w:t>
      </w:r>
    </w:p>
    <w:p w14:paraId="7087C88E">
      <w:pPr>
        <w:spacing w:line="500" w:lineRule="exact"/>
        <w:ind w:firstLine="480"/>
        <w:jc w:val="left"/>
        <w:rPr>
          <w:sz w:val="24"/>
          <w:szCs w:val="24"/>
        </w:rPr>
      </w:pPr>
      <w:r>
        <w:rPr>
          <w:rFonts w:hint="eastAsia"/>
          <w:sz w:val="24"/>
          <w:szCs w:val="24"/>
        </w:rPr>
        <w:t>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1AD7338B">
      <w:pPr>
        <w:spacing w:line="500" w:lineRule="exact"/>
        <w:ind w:firstLine="480"/>
        <w:jc w:val="left"/>
        <w:rPr>
          <w:sz w:val="24"/>
          <w:szCs w:val="24"/>
        </w:rPr>
      </w:pPr>
      <w:r>
        <w:rPr>
          <w:rFonts w:hint="eastAsia"/>
          <w:sz w:val="24"/>
          <w:szCs w:val="24"/>
        </w:rPr>
        <w:t>13.3 对于实际使用人和甲方分离的项目，甲方邀请实际使用人参与验收。</w:t>
      </w:r>
    </w:p>
    <w:p w14:paraId="41EC3C89">
      <w:pPr>
        <w:spacing w:line="500" w:lineRule="exact"/>
        <w:ind w:firstLine="480"/>
        <w:jc w:val="left"/>
        <w:rPr>
          <w:sz w:val="24"/>
          <w:szCs w:val="24"/>
        </w:rPr>
      </w:pPr>
      <w:r>
        <w:rPr>
          <w:rFonts w:hint="eastAsia"/>
          <w:sz w:val="24"/>
          <w:szCs w:val="24"/>
        </w:rPr>
        <w:t>13.4 如有必要，甲方邀请参加本项目的其他供应商或第三方专业机构及专家参与验收，相关意见将作为验收书的参考资料。</w:t>
      </w:r>
    </w:p>
    <w:p w14:paraId="3D175DD9">
      <w:pPr>
        <w:spacing w:line="500" w:lineRule="exact"/>
        <w:ind w:firstLine="480"/>
        <w:jc w:val="left"/>
        <w:rPr>
          <w:sz w:val="24"/>
          <w:szCs w:val="24"/>
        </w:rPr>
      </w:pPr>
      <w:r>
        <w:rPr>
          <w:rFonts w:hint="eastAsia"/>
          <w:sz w:val="24"/>
          <w:szCs w:val="24"/>
        </w:rPr>
        <w:t>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735278FB">
      <w:pPr>
        <w:spacing w:line="500" w:lineRule="exact"/>
        <w:ind w:firstLine="480"/>
        <w:jc w:val="left"/>
        <w:rPr>
          <w:sz w:val="24"/>
          <w:szCs w:val="24"/>
        </w:rPr>
      </w:pPr>
      <w:r>
        <w:rPr>
          <w:rFonts w:hint="eastAsia"/>
          <w:sz w:val="24"/>
          <w:szCs w:val="24"/>
        </w:rPr>
        <w:t>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28E945F7">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十四、合同内容的交付</w:t>
      </w:r>
    </w:p>
    <w:p w14:paraId="1680563B">
      <w:pPr>
        <w:spacing w:line="500" w:lineRule="exact"/>
        <w:ind w:firstLine="480"/>
        <w:jc w:val="left"/>
        <w:rPr>
          <w:sz w:val="24"/>
          <w:szCs w:val="24"/>
        </w:rPr>
      </w:pPr>
      <w:r>
        <w:rPr>
          <w:rFonts w:hint="eastAsia"/>
          <w:sz w:val="24"/>
          <w:szCs w:val="24"/>
        </w:rPr>
        <w:t>14.1 乙方应保证合同标的安全运达甲方指定地点。合同标的涉及包装的应符合《商品包装政府采购需求标准（试行）》、《快递包装政府采购需求标准（试行）》的规定。</w:t>
      </w:r>
    </w:p>
    <w:p w14:paraId="4B2FF25F">
      <w:pPr>
        <w:spacing w:line="500" w:lineRule="exact"/>
        <w:ind w:firstLine="480"/>
        <w:jc w:val="left"/>
        <w:rPr>
          <w:sz w:val="24"/>
          <w:szCs w:val="24"/>
        </w:rPr>
      </w:pPr>
      <w:r>
        <w:rPr>
          <w:rFonts w:hint="eastAsia"/>
          <w:sz w:val="24"/>
          <w:szCs w:val="24"/>
        </w:rPr>
        <w:t>14.2 使用说明书、质量检验证明书等一并提交甲方。</w:t>
      </w:r>
    </w:p>
    <w:p w14:paraId="5600A9AD">
      <w:pPr>
        <w:spacing w:line="500" w:lineRule="exact"/>
        <w:ind w:firstLine="480"/>
        <w:jc w:val="left"/>
        <w:rPr>
          <w:sz w:val="24"/>
          <w:szCs w:val="24"/>
        </w:rPr>
      </w:pPr>
      <w:r>
        <w:rPr>
          <w:rFonts w:hint="eastAsia"/>
          <w:sz w:val="24"/>
          <w:szCs w:val="24"/>
        </w:rPr>
        <w:t>14.3 乙方在合同标的交付甲方48小时前通知甲方准备接收。</w:t>
      </w:r>
    </w:p>
    <w:p w14:paraId="4050E482">
      <w:pPr>
        <w:spacing w:line="500" w:lineRule="exact"/>
        <w:ind w:firstLine="480"/>
        <w:jc w:val="left"/>
        <w:rPr>
          <w:sz w:val="24"/>
          <w:szCs w:val="24"/>
        </w:rPr>
      </w:pPr>
      <w:r>
        <w:rPr>
          <w:rFonts w:hint="eastAsia"/>
          <w:sz w:val="24"/>
          <w:szCs w:val="24"/>
        </w:rPr>
        <w:t>14.4 合同标的在交付甲方前发生的风险均由乙方负责。</w:t>
      </w:r>
    </w:p>
    <w:p w14:paraId="4E547B87">
      <w:pPr>
        <w:spacing w:line="500" w:lineRule="exact"/>
        <w:ind w:firstLine="480"/>
        <w:jc w:val="left"/>
        <w:rPr>
          <w:sz w:val="24"/>
          <w:szCs w:val="24"/>
        </w:rPr>
      </w:pPr>
      <w:r>
        <w:rPr>
          <w:rFonts w:hint="eastAsia"/>
          <w:sz w:val="24"/>
          <w:szCs w:val="24"/>
        </w:rPr>
        <w:t>14.5 合同标的在规定的交付期限内由乙方送达甲方指定的地点视为交付，乙方同时需通知甲方已送达。</w:t>
      </w:r>
    </w:p>
    <w:p w14:paraId="5FFA6AAB">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十五、违约责任</w:t>
      </w:r>
    </w:p>
    <w:p w14:paraId="6D5F73BD">
      <w:pPr>
        <w:spacing w:line="500" w:lineRule="exact"/>
        <w:ind w:firstLine="480"/>
        <w:jc w:val="left"/>
        <w:rPr>
          <w:sz w:val="24"/>
          <w:szCs w:val="24"/>
        </w:rPr>
      </w:pPr>
      <w:r>
        <w:rPr>
          <w:rFonts w:hint="eastAsia"/>
          <w:sz w:val="24"/>
          <w:szCs w:val="24"/>
        </w:rPr>
        <w:t>15.1 甲方无正当理由拒收的，甲方向乙方偿付拒收标的总值</w:t>
      </w:r>
      <w:r>
        <w:rPr>
          <w:rFonts w:hint="eastAsia"/>
          <w:sz w:val="24"/>
          <w:szCs w:val="24"/>
          <w:u w:val="single"/>
        </w:rPr>
        <w:t xml:space="preserve">       </w:t>
      </w:r>
      <w:r>
        <w:rPr>
          <w:rFonts w:hint="eastAsia"/>
          <w:sz w:val="24"/>
          <w:szCs w:val="24"/>
        </w:rPr>
        <w:t>的违约金。</w:t>
      </w:r>
    </w:p>
    <w:p w14:paraId="50788584">
      <w:pPr>
        <w:spacing w:line="500" w:lineRule="exact"/>
        <w:ind w:firstLine="480"/>
        <w:jc w:val="left"/>
        <w:rPr>
          <w:sz w:val="24"/>
          <w:szCs w:val="24"/>
        </w:rPr>
      </w:pPr>
      <w:r>
        <w:rPr>
          <w:rFonts w:hint="eastAsia"/>
          <w:sz w:val="24"/>
          <w:szCs w:val="24"/>
        </w:rPr>
        <w:t>15.2 甲方无故逾期验收和办理合同款支付手续的，甲方应按逾期付款总额每日</w:t>
      </w:r>
      <w:r>
        <w:rPr>
          <w:rFonts w:hint="eastAsia"/>
          <w:sz w:val="24"/>
          <w:szCs w:val="24"/>
          <w:u w:val="single"/>
        </w:rPr>
        <w:t xml:space="preserve">       </w:t>
      </w:r>
      <w:r>
        <w:rPr>
          <w:rFonts w:hint="eastAsia"/>
          <w:sz w:val="24"/>
          <w:szCs w:val="24"/>
        </w:rPr>
        <w:t>向乙方支付违约金，</w:t>
      </w:r>
      <w:r>
        <w:rPr>
          <w:rFonts w:hint="eastAsia" w:ascii="Times New Roman" w:hAnsi="Times New Roman"/>
          <w:color w:val="000000"/>
          <w:sz w:val="24"/>
          <w:szCs w:val="24"/>
        </w:rPr>
        <w:t>最高限额为本合同总额的</w:t>
      </w:r>
      <w:r>
        <w:rPr>
          <w:rFonts w:hint="eastAsia"/>
          <w:sz w:val="24"/>
          <w:szCs w:val="24"/>
          <w:u w:val="single"/>
        </w:rPr>
        <w:t xml:space="preserve">       </w:t>
      </w:r>
      <w:r>
        <w:rPr>
          <w:rFonts w:hint="eastAsia"/>
          <w:sz w:val="24"/>
          <w:szCs w:val="24"/>
        </w:rPr>
        <w:t>。</w:t>
      </w:r>
    </w:p>
    <w:p w14:paraId="105D5911">
      <w:pPr>
        <w:spacing w:line="500" w:lineRule="exact"/>
        <w:ind w:firstLine="480"/>
        <w:jc w:val="left"/>
        <w:rPr>
          <w:sz w:val="24"/>
          <w:szCs w:val="24"/>
        </w:rPr>
      </w:pPr>
      <w:r>
        <w:rPr>
          <w:rFonts w:hint="eastAsia"/>
          <w:sz w:val="24"/>
          <w:szCs w:val="24"/>
        </w:rPr>
        <w:t>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p>
    <w:p w14:paraId="6BBAAB7E">
      <w:pPr>
        <w:spacing w:line="500" w:lineRule="exact"/>
        <w:ind w:firstLine="480"/>
        <w:jc w:val="left"/>
        <w:rPr>
          <w:sz w:val="24"/>
          <w:szCs w:val="24"/>
        </w:rPr>
      </w:pPr>
      <w:r>
        <w:rPr>
          <w:rFonts w:hint="eastAsia"/>
          <w:sz w:val="24"/>
          <w:szCs w:val="24"/>
        </w:rPr>
        <w:t>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p>
    <w:p w14:paraId="6A30D479">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十六、不可抗力事件处理</w:t>
      </w:r>
    </w:p>
    <w:p w14:paraId="04581866">
      <w:pPr>
        <w:spacing w:line="500" w:lineRule="exact"/>
        <w:ind w:firstLine="480"/>
        <w:jc w:val="left"/>
        <w:rPr>
          <w:sz w:val="24"/>
          <w:szCs w:val="24"/>
        </w:rPr>
      </w:pPr>
      <w:r>
        <w:rPr>
          <w:rFonts w:hint="eastAsia"/>
          <w:sz w:val="24"/>
          <w:szCs w:val="24"/>
        </w:rPr>
        <w:t>16.1 在合同有效期内，任何一方因不可抗力事件导致不能履行合同，则合同履行期可延长，其延长期与不可抗力影响期相同。</w:t>
      </w:r>
    </w:p>
    <w:p w14:paraId="7F40BB03">
      <w:pPr>
        <w:spacing w:line="500" w:lineRule="exact"/>
        <w:ind w:firstLine="480"/>
        <w:jc w:val="left"/>
        <w:rPr>
          <w:sz w:val="24"/>
          <w:szCs w:val="24"/>
        </w:rPr>
      </w:pPr>
      <w:r>
        <w:rPr>
          <w:rFonts w:hint="eastAsia"/>
          <w:sz w:val="24"/>
          <w:szCs w:val="24"/>
        </w:rPr>
        <w:t>16.2 不可抗力事件发生后，应立即通知对方，并寄送有关权威机构出具的证明。</w:t>
      </w:r>
    </w:p>
    <w:p w14:paraId="459D0B38">
      <w:pPr>
        <w:spacing w:line="500" w:lineRule="exact"/>
        <w:ind w:firstLine="480"/>
        <w:jc w:val="left"/>
        <w:rPr>
          <w:sz w:val="24"/>
          <w:szCs w:val="24"/>
        </w:rPr>
      </w:pPr>
      <w:r>
        <w:rPr>
          <w:rFonts w:hint="eastAsia"/>
          <w:sz w:val="24"/>
          <w:szCs w:val="24"/>
        </w:rPr>
        <w:t>16.3 不可抗力事件延续120天以上，双方应通过友好协商，确定是否继续履行合同。</w:t>
      </w:r>
    </w:p>
    <w:p w14:paraId="098A5340">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十七、解决争议的方法</w:t>
      </w:r>
    </w:p>
    <w:p w14:paraId="3A0A8049">
      <w:pPr>
        <w:spacing w:line="500" w:lineRule="exact"/>
        <w:ind w:firstLine="480"/>
        <w:jc w:val="left"/>
        <w:rPr>
          <w:sz w:val="24"/>
          <w:szCs w:val="24"/>
        </w:rPr>
      </w:pPr>
      <w:r>
        <w:rPr>
          <w:rFonts w:hint="eastAsia"/>
          <w:sz w:val="24"/>
          <w:szCs w:val="24"/>
        </w:rPr>
        <w:t>17.1 甲乙双方因合同签订、履行而发生的一切争议，应通过友好协商解决。如协商不成，按下列</w:t>
      </w:r>
      <w:r>
        <w:rPr>
          <w:rFonts w:hint="eastAsia"/>
          <w:sz w:val="24"/>
          <w:szCs w:val="24"/>
          <w:highlight w:val="yellow"/>
        </w:rPr>
        <w:t>第</w:t>
      </w:r>
      <w:r>
        <w:rPr>
          <w:rFonts w:hint="eastAsia"/>
          <w:sz w:val="24"/>
          <w:szCs w:val="24"/>
          <w:highlight w:val="yellow"/>
          <w:u w:val="single"/>
        </w:rPr>
        <w:t>（2）</w:t>
      </w:r>
      <w:r>
        <w:rPr>
          <w:rFonts w:hint="eastAsia"/>
          <w:sz w:val="24"/>
          <w:szCs w:val="24"/>
          <w:highlight w:val="yellow"/>
        </w:rPr>
        <w:t>种</w:t>
      </w:r>
      <w:r>
        <w:rPr>
          <w:rFonts w:hint="eastAsia"/>
          <w:sz w:val="24"/>
          <w:szCs w:val="24"/>
        </w:rPr>
        <w:t>方式解决</w:t>
      </w:r>
      <w:bookmarkStart w:id="26" w:name="OLE_LINK127"/>
      <w:r>
        <w:rPr>
          <w:rFonts w:hint="eastAsia"/>
          <w:sz w:val="24"/>
          <w:szCs w:val="24"/>
        </w:rPr>
        <w:t>，律师费、保全费、鉴定费等合理费用约定由违约方承担</w:t>
      </w:r>
      <w:bookmarkEnd w:id="26"/>
      <w:r>
        <w:rPr>
          <w:rFonts w:hint="eastAsia"/>
          <w:sz w:val="24"/>
          <w:szCs w:val="24"/>
        </w:rPr>
        <w:t>：</w:t>
      </w:r>
    </w:p>
    <w:p w14:paraId="6897BE79">
      <w:pPr>
        <w:spacing w:line="500" w:lineRule="exact"/>
        <w:ind w:firstLine="480"/>
        <w:jc w:val="left"/>
        <w:rPr>
          <w:sz w:val="24"/>
          <w:szCs w:val="24"/>
        </w:rPr>
      </w:pPr>
      <w:r>
        <w:rPr>
          <w:rFonts w:hint="eastAsia"/>
          <w:sz w:val="24"/>
          <w:szCs w:val="24"/>
        </w:rPr>
        <w:t>（1）向连云港仲裁委员会申请仲裁。</w:t>
      </w:r>
    </w:p>
    <w:p w14:paraId="0C16D3E1">
      <w:pPr>
        <w:spacing w:line="500" w:lineRule="exact"/>
        <w:ind w:firstLine="480"/>
        <w:jc w:val="left"/>
        <w:rPr>
          <w:sz w:val="24"/>
          <w:szCs w:val="24"/>
        </w:rPr>
      </w:pPr>
      <w:r>
        <w:rPr>
          <w:rFonts w:hint="eastAsia"/>
          <w:sz w:val="24"/>
          <w:szCs w:val="24"/>
        </w:rPr>
        <w:t>（2）向合同签订地法院起诉，合同签订地在此约定为连云港市。</w:t>
      </w:r>
    </w:p>
    <w:p w14:paraId="3A8DA764">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十八、合同生效及其他</w:t>
      </w:r>
    </w:p>
    <w:p w14:paraId="0D162D6E">
      <w:pPr>
        <w:spacing w:line="500" w:lineRule="exact"/>
        <w:ind w:firstLine="480"/>
        <w:jc w:val="left"/>
        <w:rPr>
          <w:sz w:val="24"/>
          <w:szCs w:val="24"/>
        </w:rPr>
      </w:pPr>
      <w:r>
        <w:rPr>
          <w:rFonts w:hint="eastAsia"/>
          <w:sz w:val="24"/>
          <w:szCs w:val="24"/>
        </w:rPr>
        <w:t>18.1 合同经双方法定代表人或授权代表签字并加盖单位公章后生效。</w:t>
      </w:r>
    </w:p>
    <w:p w14:paraId="1D9F0B0C">
      <w:pPr>
        <w:spacing w:line="500" w:lineRule="exact"/>
        <w:ind w:firstLine="480"/>
        <w:jc w:val="left"/>
        <w:rPr>
          <w:sz w:val="24"/>
          <w:szCs w:val="24"/>
        </w:rPr>
      </w:pPr>
      <w:r>
        <w:rPr>
          <w:rFonts w:hint="eastAsia"/>
          <w:sz w:val="24"/>
          <w:szCs w:val="24"/>
        </w:rPr>
        <w:t>18.2 本合同未尽事宜，遵照</w:t>
      </w:r>
      <w:r>
        <w:rPr>
          <w:rFonts w:hint="eastAsia"/>
          <w:color w:val="000000"/>
          <w:sz w:val="24"/>
        </w:rPr>
        <w:t>《中华人民共和国民法典》</w:t>
      </w:r>
      <w:r>
        <w:rPr>
          <w:rFonts w:hint="eastAsia"/>
          <w:sz w:val="24"/>
          <w:szCs w:val="24"/>
        </w:rPr>
        <w:t>、《</w:t>
      </w:r>
      <w:r>
        <w:rPr>
          <w:rFonts w:hint="eastAsia"/>
          <w:color w:val="000000"/>
          <w:sz w:val="24"/>
        </w:rPr>
        <w:t>中华人民共和国</w:t>
      </w:r>
      <w:r>
        <w:rPr>
          <w:rFonts w:hint="eastAsia"/>
          <w:sz w:val="24"/>
          <w:szCs w:val="24"/>
        </w:rPr>
        <w:t>政府采购法》有关条文执行。</w:t>
      </w:r>
    </w:p>
    <w:p w14:paraId="2A04FBA0">
      <w:pPr>
        <w:spacing w:line="500" w:lineRule="exact"/>
        <w:ind w:firstLine="480"/>
        <w:jc w:val="left"/>
        <w:rPr>
          <w:sz w:val="24"/>
          <w:szCs w:val="24"/>
        </w:rPr>
      </w:pPr>
      <w:r>
        <w:rPr>
          <w:rFonts w:hint="eastAsia"/>
          <w:sz w:val="24"/>
          <w:szCs w:val="24"/>
        </w:rPr>
        <w:t>18.3 本合同正本一式两份，具有同等法律效力，甲方、乙方各执一份。</w:t>
      </w:r>
    </w:p>
    <w:p w14:paraId="51BA8438">
      <w:pPr>
        <w:spacing w:line="500" w:lineRule="exact"/>
        <w:ind w:firstLine="480"/>
        <w:jc w:val="left"/>
        <w:rPr>
          <w:sz w:val="24"/>
          <w:szCs w:val="24"/>
        </w:rPr>
      </w:pPr>
      <w:r>
        <w:rPr>
          <w:rFonts w:hint="eastAsia"/>
          <w:sz w:val="24"/>
          <w:szCs w:val="24"/>
        </w:rPr>
        <w:t xml:space="preserve">甲方：                        乙方： </w:t>
      </w:r>
    </w:p>
    <w:p w14:paraId="45371539">
      <w:pPr>
        <w:spacing w:line="500" w:lineRule="exact"/>
        <w:ind w:firstLine="480"/>
        <w:jc w:val="left"/>
        <w:rPr>
          <w:sz w:val="24"/>
          <w:szCs w:val="24"/>
        </w:rPr>
      </w:pPr>
      <w:r>
        <w:rPr>
          <w:rFonts w:hint="eastAsia"/>
          <w:sz w:val="24"/>
          <w:szCs w:val="24"/>
        </w:rPr>
        <w:t xml:space="preserve">地址：                        地址： </w:t>
      </w:r>
    </w:p>
    <w:p w14:paraId="457800C3">
      <w:pPr>
        <w:spacing w:line="500" w:lineRule="exact"/>
        <w:ind w:firstLine="480"/>
        <w:jc w:val="left"/>
        <w:rPr>
          <w:sz w:val="24"/>
          <w:szCs w:val="24"/>
        </w:rPr>
      </w:pPr>
      <w:r>
        <w:rPr>
          <w:rFonts w:hint="eastAsia"/>
          <w:sz w:val="24"/>
          <w:szCs w:val="24"/>
        </w:rPr>
        <w:t>法定代表人或授权代表：        法定代表人或授权代表：</w:t>
      </w:r>
    </w:p>
    <w:p w14:paraId="6BE0063E">
      <w:pPr>
        <w:spacing w:line="500" w:lineRule="exact"/>
        <w:ind w:firstLine="480"/>
        <w:jc w:val="left"/>
        <w:rPr>
          <w:sz w:val="24"/>
          <w:szCs w:val="24"/>
        </w:rPr>
      </w:pPr>
      <w:r>
        <w:rPr>
          <w:rFonts w:hint="eastAsia"/>
          <w:sz w:val="24"/>
          <w:szCs w:val="24"/>
        </w:rPr>
        <w:t xml:space="preserve">联系电话：                    联系电话：     </w:t>
      </w:r>
    </w:p>
    <w:p w14:paraId="62F97CD0">
      <w:pPr>
        <w:spacing w:line="500" w:lineRule="exact"/>
        <w:ind w:firstLine="480"/>
        <w:jc w:val="right"/>
        <w:rPr>
          <w:sz w:val="24"/>
          <w:szCs w:val="24"/>
        </w:rPr>
      </w:pPr>
      <w:r>
        <w:rPr>
          <w:rFonts w:hint="eastAsia"/>
          <w:sz w:val="24"/>
          <w:szCs w:val="24"/>
        </w:rPr>
        <w:t>签订日期：       年    月    日</w:t>
      </w:r>
      <w:bookmarkEnd w:id="24"/>
      <w:bookmarkEnd w:id="25"/>
    </w:p>
    <w:p w14:paraId="568EF21B">
      <w:pPr>
        <w:widowControl/>
        <w:jc w:val="left"/>
        <w:rPr>
          <w:sz w:val="24"/>
          <w:szCs w:val="24"/>
        </w:rPr>
      </w:pPr>
      <w:r>
        <w:rPr>
          <w:sz w:val="24"/>
          <w:szCs w:val="24"/>
        </w:rPr>
        <w:br w:type="page" w:clear="all"/>
      </w:r>
    </w:p>
    <w:p w14:paraId="6E89EDA1">
      <w:pPr>
        <w:pStyle w:val="193"/>
        <w:spacing w:line="360" w:lineRule="auto"/>
        <w:jc w:val="center"/>
        <w:rPr>
          <w:rFonts w:ascii="黑体" w:hAnsi="黑体" w:eastAsia="黑体"/>
          <w:b w:val="0"/>
        </w:rPr>
      </w:pPr>
      <w:bookmarkStart w:id="27" w:name="_Toc162361613"/>
      <w:r>
        <w:rPr>
          <w:rFonts w:hint="eastAsia" w:ascii="黑体" w:hAnsi="黑体" w:eastAsia="黑体"/>
          <w:b w:val="0"/>
        </w:rPr>
        <w:t>第四章  采购需求</w:t>
      </w:r>
      <w:bookmarkEnd w:id="27"/>
    </w:p>
    <w:p w14:paraId="6637B91B">
      <w:pPr>
        <w:spacing w:line="500" w:lineRule="exact"/>
        <w:ind w:firstLine="482"/>
        <w:jc w:val="left"/>
        <w:rPr>
          <w:b/>
          <w:sz w:val="24"/>
          <w:szCs w:val="24"/>
        </w:rPr>
      </w:pPr>
      <w:r>
        <w:rPr>
          <w:rFonts w:hint="eastAsia"/>
          <w:b/>
          <w:sz w:val="24"/>
          <w:szCs w:val="24"/>
        </w:rPr>
        <w:t>说明：本项目属性为服务，采购标的对应的中小企业划分标准所属行业为：</w:t>
      </w:r>
      <w:r>
        <w:rPr>
          <w:rFonts w:hint="eastAsia"/>
          <w:b/>
          <w:sz w:val="24"/>
          <w:szCs w:val="24"/>
          <w:u w:val="single"/>
        </w:rPr>
        <w:t xml:space="preserve">   物业管理</w:t>
      </w:r>
      <w:r>
        <w:rPr>
          <w:rFonts w:hint="eastAsia"/>
          <w:b/>
          <w:sz w:val="24"/>
          <w:szCs w:val="24"/>
        </w:rPr>
        <w:t>。</w:t>
      </w:r>
    </w:p>
    <w:p w14:paraId="6E0C698A">
      <w:pPr>
        <w:spacing w:line="500" w:lineRule="exact"/>
        <w:ind w:firstLine="480"/>
        <w:jc w:val="left"/>
        <w:rPr>
          <w:sz w:val="24"/>
          <w:szCs w:val="24"/>
        </w:rPr>
      </w:pPr>
      <w:r>
        <w:rPr>
          <w:rFonts w:hint="eastAsia" w:ascii="宋体" w:hAnsi="宋体" w:cs="宋体"/>
          <w:bCs/>
          <w:sz w:val="24"/>
          <w:szCs w:val="24"/>
        </w:rPr>
        <w:t>本项目所属行业物业管理，依据《关于印发中小企业划型标准规定的通知》（工信部联企业〔2011〕300号）行业划型标准如下：（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FF8EC36">
      <w:pPr>
        <w:spacing w:line="500" w:lineRule="exact"/>
        <w:ind w:firstLine="480" w:firstLineChars="200"/>
        <w:jc w:val="left"/>
        <w:rPr>
          <w:rFonts w:asciiTheme="minorEastAsia" w:hAnsiTheme="minorEastAsia"/>
          <w:sz w:val="24"/>
          <w:szCs w:val="24"/>
        </w:rPr>
      </w:pPr>
      <w:bookmarkStart w:id="28" w:name="OLE_LINK318"/>
      <w:bookmarkStart w:id="29" w:name="OLE_LINK319"/>
      <w:r>
        <w:rPr>
          <w:rFonts w:hint="eastAsia" w:asciiTheme="minorEastAsia" w:hAnsiTheme="minorEastAsia"/>
          <w:sz w:val="24"/>
          <w:szCs w:val="24"/>
        </w:rPr>
        <w:t>1.根据《政府采购需求管理办法》等有关规定，采购人确定采购需求。</w:t>
      </w:r>
    </w:p>
    <w:p w14:paraId="4C0561ED">
      <w:pPr>
        <w:spacing w:line="500" w:lineRule="exact"/>
        <w:ind w:firstLine="480" w:firstLineChars="200"/>
        <w:jc w:val="left"/>
        <w:rPr>
          <w:rFonts w:asciiTheme="minorEastAsia" w:hAnsiTheme="minorEastAsia"/>
          <w:sz w:val="24"/>
          <w:szCs w:val="24"/>
        </w:rPr>
      </w:pPr>
      <w:r>
        <w:rPr>
          <w:rFonts w:hint="eastAsia" w:asciiTheme="minorEastAsia" w:hAnsiTheme="minorEastAsia"/>
          <w:sz w:val="24"/>
          <w:szCs w:val="24"/>
        </w:rPr>
        <w:t>2.本招标文件中斜体且有下划线部分为实质性要求和条件，由采购人根据实际情况设置，投标人必须逐条明确作出满足实质性要求和条件的响应，否则将按无效投标处理。</w:t>
      </w:r>
      <w:bookmarkEnd w:id="28"/>
      <w:bookmarkEnd w:id="29"/>
    </w:p>
    <w:p w14:paraId="62B6B074">
      <w:pPr>
        <w:jc w:val="left"/>
        <w:rPr>
          <w:rFonts w:ascii="MS Mincho" w:hAnsi="Calibri" w:eastAsia="宋体" w:cs="Times New Roman"/>
          <w:color w:val="000000"/>
          <w:szCs w:val="24"/>
        </w:rPr>
      </w:pPr>
    </w:p>
    <w:p w14:paraId="6CCFD58F">
      <w:pPr>
        <w:pStyle w:val="194"/>
        <w:spacing w:before="0" w:after="0" w:line="360" w:lineRule="auto"/>
        <w:ind w:firstLine="643"/>
        <w:rPr>
          <w:rFonts w:asciiTheme="minorEastAsia" w:hAnsiTheme="minorEastAsia" w:eastAsiaTheme="minorEastAsia"/>
        </w:rPr>
      </w:pPr>
      <w:r>
        <w:rPr>
          <w:rFonts w:hint="eastAsia" w:asciiTheme="minorEastAsia" w:hAnsiTheme="minorEastAsia" w:eastAsiaTheme="minorEastAsia"/>
        </w:rPr>
        <w:t>一、项目概况</w:t>
      </w:r>
    </w:p>
    <w:p w14:paraId="09AF0F03">
      <w:pPr>
        <w:tabs>
          <w:tab w:val="left" w:pos="900"/>
        </w:tabs>
        <w:spacing w:line="360" w:lineRule="auto"/>
        <w:ind w:firstLine="480" w:firstLineChars="200"/>
        <w:rPr>
          <w:rFonts w:ascii="宋体" w:hAnsi="宋体" w:eastAsia="宋体" w:cs="Times New Roman"/>
          <w:bCs/>
          <w:kern w:val="2"/>
          <w:sz w:val="24"/>
        </w:rPr>
      </w:pPr>
      <w:r>
        <w:rPr>
          <w:rFonts w:hint="eastAsia" w:ascii="宋体" w:hAnsi="宋体" w:eastAsia="宋体" w:cs="Times New Roman"/>
          <w:kern w:val="2"/>
          <w:sz w:val="24"/>
        </w:rPr>
        <w:t>国家税务总局连云港市税务局位于连云港市花果山大道22号金融新天地A座，办公区有地上21层地下1层，总建筑面积约为3.44万平方米。</w:t>
      </w:r>
      <w:r>
        <w:rPr>
          <w:rFonts w:hint="eastAsia" w:ascii="宋体" w:hAnsi="宋体" w:eastAsia="宋体" w:cs="Times New Roman"/>
          <w:bCs/>
          <w:kern w:val="2"/>
          <w:sz w:val="24"/>
        </w:rPr>
        <w:t>国家税务总局连云区税务局位于连云区广州路1号丰惠广场，办公区是8-10层。连云港市税务局院落绿化4500平方米，租赁绿植150盆、使用机械车位55个，办公电梯13部，并配备生活水泵房、应急柴油发电机房、消防泵房、消防联动报警及自动喷淋系统、中央空调系统、高低压交配电系统、监控、门禁等设施设备。本次采购的连云港市税务局物业管理主要包括</w:t>
      </w:r>
      <w:r>
        <w:rPr>
          <w:rFonts w:hint="eastAsia" w:ascii="宋体" w:hAnsi="宋体"/>
          <w:bCs/>
          <w:sz w:val="24"/>
        </w:rPr>
        <w:t>但不限于</w:t>
      </w:r>
      <w:bookmarkStart w:id="30" w:name="OLE_LINK6"/>
      <w:r>
        <w:rPr>
          <w:rFonts w:hint="eastAsia" w:ascii="宋体" w:hAnsi="宋体"/>
          <w:bCs/>
          <w:sz w:val="24"/>
        </w:rPr>
        <w:t>秩序维护及消防监控；保洁；设备设施巡检运行和维修；会务（含视频会议）服务；连云区局食堂管理；配合和协助管理部门进行消防管理、节能减排、安全管理等工作以及法规和政策规定由物业管理公司负责的其它事项。</w:t>
      </w:r>
      <w:bookmarkEnd w:id="30"/>
    </w:p>
    <w:p w14:paraId="73C3E67E">
      <w:pPr>
        <w:pStyle w:val="194"/>
        <w:spacing w:before="0" w:after="0" w:line="360" w:lineRule="auto"/>
        <w:ind w:firstLine="643"/>
        <w:rPr>
          <w:rFonts w:asciiTheme="minorEastAsia" w:hAnsiTheme="minorEastAsia" w:eastAsiaTheme="minorEastAsia"/>
        </w:rPr>
      </w:pPr>
      <w:r>
        <w:rPr>
          <w:rFonts w:hint="eastAsia" w:asciiTheme="minorEastAsia" w:hAnsiTheme="minorEastAsia" w:eastAsiaTheme="minorEastAsia"/>
        </w:rPr>
        <w:t>二、服务技术要求</w:t>
      </w:r>
    </w:p>
    <w:p w14:paraId="558D1D7B">
      <w:pPr>
        <w:spacing w:line="360" w:lineRule="auto"/>
        <w:ind w:firstLine="482" w:firstLineChars="200"/>
        <w:rPr>
          <w:rFonts w:ascii="宋体" w:hAnsi="宋体" w:eastAsia="宋体" w:cs="Times New Roman"/>
          <w:b/>
          <w:kern w:val="2"/>
          <w:sz w:val="24"/>
        </w:rPr>
      </w:pPr>
      <w:r>
        <w:rPr>
          <w:rFonts w:hint="eastAsia" w:ascii="宋体" w:hAnsi="宋体" w:eastAsia="宋体" w:cs="Times New Roman"/>
          <w:b/>
          <w:kern w:val="2"/>
          <w:sz w:val="24"/>
        </w:rPr>
        <w:t>1、服务范围</w:t>
      </w:r>
    </w:p>
    <w:p w14:paraId="377B4E7C">
      <w:pPr>
        <w:tabs>
          <w:tab w:val="left" w:pos="900"/>
        </w:tabs>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国家税务总局连云港市税务局物业管理服务项目包括但不限于秩序维护及消防监控；保洁；设备设施巡检运行和维修；会务（含视频会议）服务；连云区局食堂管理；配合和协助管理部门进行消防管理、节能减排、安全管理等工作以及法规和政策规定由物业管理公司负责的其它事项。</w:t>
      </w:r>
    </w:p>
    <w:p w14:paraId="7AF16FC7">
      <w:pPr>
        <w:spacing w:line="360" w:lineRule="auto"/>
        <w:ind w:firstLine="482" w:firstLineChars="200"/>
        <w:rPr>
          <w:rFonts w:ascii="宋体" w:hAnsi="宋体" w:eastAsia="宋体" w:cs="Times New Roman"/>
          <w:b/>
          <w:kern w:val="2"/>
          <w:sz w:val="24"/>
        </w:rPr>
      </w:pPr>
      <w:r>
        <w:rPr>
          <w:rFonts w:hint="eastAsia" w:ascii="宋体" w:hAnsi="宋体" w:eastAsia="宋体" w:cs="Times New Roman"/>
          <w:b/>
          <w:kern w:val="2"/>
          <w:sz w:val="24"/>
        </w:rPr>
        <w:t>2、服务技术要求</w:t>
      </w:r>
    </w:p>
    <w:p w14:paraId="70E4BE14">
      <w:pPr>
        <w:spacing w:line="360" w:lineRule="auto"/>
        <w:ind w:firstLine="482" w:firstLineChars="200"/>
        <w:rPr>
          <w:rFonts w:ascii="宋体" w:hAnsi="宋体" w:eastAsia="宋体" w:cs="Times New Roman"/>
          <w:b/>
          <w:kern w:val="2"/>
          <w:sz w:val="24"/>
        </w:rPr>
      </w:pPr>
      <w:r>
        <w:rPr>
          <w:rFonts w:hint="eastAsia" w:ascii="宋体" w:hAnsi="宋体" w:eastAsia="宋体" w:cs="Times New Roman"/>
          <w:b/>
          <w:kern w:val="2"/>
          <w:sz w:val="24"/>
        </w:rPr>
        <w:t>2.1物业服务要求：</w:t>
      </w:r>
    </w:p>
    <w:p w14:paraId="0EFD5E1D">
      <w:pPr>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包括秩序维护及消防监控、保洁、会务（含视频会议）服务、院落绿化养护、食堂管理等，各岗位工作人员均应按照岗位特点统一着装，整齐大方。工作人员统一着装费与体检费等由物业公司自行承担解决。</w:t>
      </w:r>
    </w:p>
    <w:p w14:paraId="07953609">
      <w:pPr>
        <w:spacing w:line="360" w:lineRule="auto"/>
        <w:ind w:firstLine="482" w:firstLineChars="200"/>
        <w:rPr>
          <w:rFonts w:ascii="宋体" w:hAnsi="宋体" w:eastAsia="宋体" w:cs="Times New Roman"/>
          <w:b/>
          <w:kern w:val="2"/>
          <w:sz w:val="24"/>
        </w:rPr>
      </w:pPr>
      <w:r>
        <w:rPr>
          <w:rFonts w:hint="eastAsia" w:ascii="宋体" w:hAnsi="宋体" w:eastAsia="宋体" w:cs="Times New Roman"/>
          <w:b/>
          <w:kern w:val="2"/>
          <w:sz w:val="24"/>
        </w:rPr>
        <w:t>2.1.1保洁服务：</w:t>
      </w:r>
    </w:p>
    <w:p w14:paraId="7B8BD900">
      <w:pPr>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一楼大厅、院落及地下室等公共部位的所有地面、墙面、顶面、附属设施、设备、器具的保洁服务；包含但不限于以下内容：</w:t>
      </w:r>
    </w:p>
    <w:p w14:paraId="2119B3E2">
      <w:pPr>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1）办公楼一楼大厅、楼顶、车库、车棚、平台的窗台、扶手、栏杆、空调风口及玻璃等；</w:t>
      </w:r>
    </w:p>
    <w:p w14:paraId="23820462">
      <w:pPr>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2）所有公共区域的地面、墙面、顶面、设备表面除尘养护等；</w:t>
      </w:r>
    </w:p>
    <w:p w14:paraId="0EB34D41">
      <w:pPr>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3）大院内道路、停车场、绿地、沟、渠、池、井、公告栏、指示牌、照明设备；</w:t>
      </w:r>
    </w:p>
    <w:p w14:paraId="26CD9EF8">
      <w:pPr>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4）所有废弃物和垃圾的收集、分类和清理外运；</w:t>
      </w:r>
    </w:p>
    <w:p w14:paraId="311A0251">
      <w:pPr>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5）甲方提供保洁用品、保洁工具、耗材（洗手液、卷纸，擦手纸等）按需求摆放到位，及时更换；</w:t>
      </w:r>
    </w:p>
    <w:p w14:paraId="1814C906">
      <w:pPr>
        <w:spacing w:line="360" w:lineRule="auto"/>
        <w:ind w:firstLine="480" w:firstLineChars="200"/>
        <w:rPr>
          <w:rFonts w:ascii="Calibri" w:hAnsi="Calibri" w:eastAsia="宋体" w:cs="Times New Roman"/>
          <w:kern w:val="2"/>
        </w:rPr>
      </w:pPr>
      <w:r>
        <w:rPr>
          <w:rFonts w:hint="eastAsia" w:ascii="宋体" w:hAnsi="宋体" w:eastAsia="宋体" w:cs="Times New Roman"/>
          <w:bCs/>
          <w:kern w:val="2"/>
          <w:sz w:val="24"/>
        </w:rPr>
        <w:t xml:space="preserve">6）早班前各项全面保洁应完成，而后实施定时保洁项目。 </w:t>
      </w:r>
    </w:p>
    <w:p w14:paraId="4BA06760">
      <w:pPr>
        <w:spacing w:line="360" w:lineRule="auto"/>
        <w:ind w:firstLine="482" w:firstLineChars="200"/>
        <w:rPr>
          <w:rFonts w:ascii="宋体" w:hAnsi="宋体" w:eastAsia="宋体" w:cs="Times New Roman"/>
          <w:b/>
          <w:kern w:val="2"/>
          <w:sz w:val="24"/>
        </w:rPr>
      </w:pPr>
      <w:r>
        <w:rPr>
          <w:rFonts w:hint="eastAsia" w:ascii="宋体" w:hAnsi="宋体" w:eastAsia="宋体" w:cs="Times New Roman"/>
          <w:b/>
          <w:kern w:val="2"/>
          <w:sz w:val="24"/>
        </w:rPr>
        <w:t>2.1.2秩序维护及消防监控服务：</w:t>
      </w:r>
    </w:p>
    <w:p w14:paraId="0494AC4F">
      <w:pPr>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负责办公大楼及大院的安全，维护良好的工作秩序。</w:t>
      </w:r>
    </w:p>
    <w:p w14:paraId="1F6BB34C">
      <w:pPr>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1）实施封闭式管理和24小时治安保卫制度（北门门岗实行24小时值班），通过对办公区出入口进行值守、检查验证、登记，维护办公区安全。对出入的人员、车辆及其携带或装运的物品进行查验，防止单位财物流失及违禁物品流入；按规定填写岗位工作记录；</w:t>
      </w:r>
    </w:p>
    <w:p w14:paraId="48D572B9">
      <w:pPr>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2）提供24小时巡逻服务，对办公区各楼层、地下车库、关键部位及院落周边定时巡查，并做好巡查记录。巡逻过程中，对发现的问题或安全隐患，应及时报告主管部门，并采取相应措施；</w:t>
      </w:r>
    </w:p>
    <w:p w14:paraId="2CE85DC6">
      <w:pPr>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3）对外来人员、物资出入实施严格的登记验证制度，有严格的交接班制度和交接班记录；</w:t>
      </w:r>
    </w:p>
    <w:p w14:paraId="7FEBB9E0">
      <w:pPr>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4）指挥、疏导出入车辆和人员，维护出入口的正常秩序；建立机动车通行、停放管理制度，引导车辆按管理规定进行停放，保证车辆安全，做好维持交通和车辆停放秩序的管理；</w:t>
      </w:r>
    </w:p>
    <w:p w14:paraId="79F7E04A">
      <w:pPr>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5）对管辖区域内发生的治安警、火警及争吵斗殴等突发事件果断处理，及时报警和报告，并与相关部门配合处理突发事件，必要时要与公安部门联系、沟通、协调；</w:t>
      </w:r>
    </w:p>
    <w:p w14:paraId="48A44DB3">
      <w:pPr>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6）认真做好值班室的值班管理工作，保证值班室的清洁和安全；</w:t>
      </w:r>
    </w:p>
    <w:p w14:paraId="21F43FED">
      <w:pPr>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7）协助业主单位做好来访、上访人员安置和安全保卫工作及快递、外卖的日常管理，保证办公区正常办公秩序。</w:t>
      </w:r>
    </w:p>
    <w:p w14:paraId="5D4546A2">
      <w:pPr>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8）按照法律规定实行消防监控和安全监控24小时值班，按照岗位职责做好监控监视值班工作。及时接听各类求助、紧急救援、报警电话；监控中心收到火情、险情及其他异常情况报警信号后，应按流程操作消防联动控制装置，及时向有关人员或部门报告，并安排人员到现场进行前期处理；消防及监控记录应保持完整，非经主管部门领导批准，不得向他人调阅、外借录像资料，不得泄露和传播监控录像内容；按规定完整填写值班记录；</w:t>
      </w:r>
    </w:p>
    <w:p w14:paraId="352C2BAA">
      <w:pPr>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9）建立消防设备设施台账，做好消防设施、器材、标识标牌等的日常检查与更新工作，对需更换的要及时提交书面报告；熟练掌握办公区消防设备设施的使用，确保消防通道畅通。配合消防维保单位做好消防设备维保工作，定期开展消防培训和演习，签订安全责任书，保证值守人员掌握基本消防技能及消防器材的使用方法。</w:t>
      </w:r>
    </w:p>
    <w:p w14:paraId="497E502A">
      <w:pPr>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10）其他临时性任务。</w:t>
      </w:r>
    </w:p>
    <w:p w14:paraId="004B81BB">
      <w:pPr>
        <w:spacing w:line="360" w:lineRule="auto"/>
        <w:ind w:firstLine="482" w:firstLineChars="200"/>
        <w:rPr>
          <w:rFonts w:ascii="宋体" w:hAnsi="宋体" w:eastAsia="宋体" w:cs="Times New Roman"/>
          <w:b/>
          <w:kern w:val="2"/>
          <w:sz w:val="24"/>
        </w:rPr>
      </w:pPr>
      <w:r>
        <w:rPr>
          <w:rFonts w:hint="eastAsia" w:ascii="宋体" w:hAnsi="宋体" w:eastAsia="宋体" w:cs="Times New Roman"/>
          <w:b/>
          <w:kern w:val="2"/>
          <w:sz w:val="24"/>
        </w:rPr>
        <w:t>2.1.3大堂接待：</w:t>
      </w:r>
    </w:p>
    <w:p w14:paraId="0B087768">
      <w:pPr>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1）负责大厅访客的接待、登记及联系被访人员。</w:t>
      </w:r>
    </w:p>
    <w:p w14:paraId="032F2C75">
      <w:pPr>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2）其他相关勤务工作。</w:t>
      </w:r>
    </w:p>
    <w:p w14:paraId="4D04EA4D">
      <w:pPr>
        <w:spacing w:line="360" w:lineRule="auto"/>
        <w:ind w:firstLine="482" w:firstLineChars="200"/>
        <w:rPr>
          <w:rFonts w:ascii="宋体" w:hAnsi="宋体" w:eastAsia="宋体" w:cs="Times New Roman"/>
          <w:b/>
          <w:kern w:val="2"/>
          <w:sz w:val="24"/>
        </w:rPr>
      </w:pPr>
      <w:r>
        <w:rPr>
          <w:rFonts w:hint="eastAsia" w:ascii="宋体" w:hAnsi="宋体" w:eastAsia="宋体" w:cs="Times New Roman"/>
          <w:b/>
          <w:kern w:val="2"/>
          <w:sz w:val="24"/>
        </w:rPr>
        <w:t>2.1.4工程巡检服务：</w:t>
      </w:r>
    </w:p>
    <w:p w14:paraId="01D49789">
      <w:pPr>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负责确保大楼及院内工程设施、设备的正常运行使用及维修，配合跟踪维保工作。</w:t>
      </w:r>
    </w:p>
    <w:p w14:paraId="65A6E3D3">
      <w:pPr>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1)办公区、公共区域各项设施、设备包含但不限于：建筑设施、中央空调系统、电梯、门禁、消防、监控、电话、有线电视、会议室设备、视频会议、供电、照明、电器、供水、排水及水泵、阀等；</w:t>
      </w:r>
    </w:p>
    <w:p w14:paraId="1D8740A3">
      <w:pPr>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2)办公区、公共区域各项设施、设备的使用与管理、巡查与值守，按规定时间对相关设备巡视；配电房，保证配电房常用配件齐全，确保供电系统正常运行，并负责与供电部门的业务协调；做好巡查、值班记录；</w:t>
      </w:r>
    </w:p>
    <w:p w14:paraId="4BD1EE04">
      <w:pPr>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3)负责设施、设备的日常维护保养工作的具体实施，按照维保要求按时维护保养设备设施（包括加油、测试、疏通、清洗、更换易耗件等）；</w:t>
      </w:r>
    </w:p>
    <w:p w14:paraId="3DEA98B0">
      <w:pPr>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4)负责协调各维保单位对相关设备进行定期保养与维护、检测与年检等工作，督促专业维保单位按时、保质保量地开展维保工作；</w:t>
      </w:r>
    </w:p>
    <w:p w14:paraId="7E33BCF5">
      <w:pPr>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5)设备出现故障时，能够在10分钟内到达现场，不需换件的维修当时完成。对一般性故障在紧急情况下能应急调整、修复；遇工程维修负责随工配合并监督外来施工单位文明安全施工；</w:t>
      </w:r>
    </w:p>
    <w:p w14:paraId="3A6AFD0C">
      <w:pPr>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6）协助采购人做好节能环保工作。</w:t>
      </w:r>
    </w:p>
    <w:p w14:paraId="43F96F26">
      <w:pPr>
        <w:spacing w:line="360" w:lineRule="auto"/>
        <w:ind w:firstLine="482" w:firstLineChars="200"/>
        <w:rPr>
          <w:rFonts w:ascii="宋体" w:hAnsi="宋体" w:eastAsia="宋体" w:cs="Times New Roman"/>
          <w:b/>
          <w:kern w:val="2"/>
          <w:sz w:val="24"/>
        </w:rPr>
      </w:pPr>
      <w:r>
        <w:rPr>
          <w:rFonts w:hint="eastAsia" w:ascii="宋体" w:hAnsi="宋体" w:eastAsia="宋体" w:cs="Times New Roman"/>
          <w:b/>
          <w:kern w:val="2"/>
          <w:sz w:val="24"/>
        </w:rPr>
        <w:t>2.1.5会务接待：</w:t>
      </w:r>
    </w:p>
    <w:p w14:paraId="4854B7F5">
      <w:pPr>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负责所有会议的会务保障及勤杂事项。</w:t>
      </w:r>
    </w:p>
    <w:p w14:paraId="4CF04A1E">
      <w:pPr>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1）负责各会议室、值班室、信访室的日常管理。会前，根据会议要求和参会人数布置会场，按需要将指示牌、会标、签到表、座椅、席卡、笔、纸、资料、茶水、等放置到位，提前一小时，将会议室灯、门、空调、开水、话筒、音响等一切设备准备就绪，保证会场卫生、安全；会中，会场内根据要求跟踪服务，同时不可弄乱和翻阅桌面的文件，为参会人员提供必要的会议服务（如迎宾、沏茶等）；会后，做好清理保洁，关闭会议室；</w:t>
      </w:r>
    </w:p>
    <w:p w14:paraId="2E561E93">
      <w:pPr>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 xml:space="preserve"> 2）熟练掌握甲方提供的会务管理系统，其他相关勤务工作。</w:t>
      </w:r>
    </w:p>
    <w:p w14:paraId="5169D709">
      <w:pPr>
        <w:spacing w:line="360" w:lineRule="auto"/>
        <w:ind w:firstLine="482" w:firstLineChars="200"/>
        <w:rPr>
          <w:rFonts w:ascii="宋体" w:hAnsi="宋体" w:eastAsia="宋体" w:cs="Times New Roman"/>
          <w:b/>
          <w:kern w:val="2"/>
          <w:sz w:val="24"/>
        </w:rPr>
      </w:pPr>
      <w:r>
        <w:rPr>
          <w:rFonts w:hint="eastAsia" w:ascii="宋体" w:hAnsi="宋体" w:eastAsia="宋体" w:cs="Times New Roman"/>
          <w:b/>
          <w:kern w:val="2"/>
          <w:sz w:val="24"/>
        </w:rPr>
        <w:t>2.1.6院落绿化养护</w:t>
      </w:r>
      <w:bookmarkStart w:id="31" w:name="OLE_LINK39"/>
      <w:bookmarkStart w:id="32" w:name="OLE_LINK7"/>
      <w:r>
        <w:rPr>
          <w:rFonts w:hint="eastAsia" w:ascii="宋体" w:hAnsi="宋体" w:eastAsia="宋体" w:cs="Times New Roman"/>
          <w:b/>
          <w:kern w:val="2"/>
          <w:sz w:val="24"/>
        </w:rPr>
        <w:t>及楼内公共区域绿植租赁（含养护）</w:t>
      </w:r>
      <w:bookmarkEnd w:id="31"/>
      <w:bookmarkEnd w:id="32"/>
    </w:p>
    <w:p w14:paraId="696EAA33">
      <w:pPr>
        <w:spacing w:line="360" w:lineRule="auto"/>
        <w:ind w:firstLine="480" w:firstLineChars="200"/>
        <w:rPr>
          <w:rFonts w:ascii="宋体" w:hAnsi="宋体" w:eastAsia="宋体" w:cs="Times New Roman"/>
          <w:bCs/>
          <w:kern w:val="2"/>
          <w:sz w:val="24"/>
          <w:highlight w:val="none"/>
        </w:rPr>
      </w:pPr>
      <w:r>
        <w:rPr>
          <w:rFonts w:hint="eastAsia" w:ascii="宋体" w:hAnsi="宋体" w:eastAsia="宋体" w:cs="Times New Roman"/>
          <w:bCs/>
          <w:kern w:val="2"/>
          <w:sz w:val="24"/>
          <w:highlight w:val="none"/>
        </w:rPr>
        <w:t>为办公区院落绿化及楼内公共区域绿植租赁提供养护服务，保障办公区草坪、绿植、树木美观茂盛。</w:t>
      </w:r>
    </w:p>
    <w:p w14:paraId="59446C46">
      <w:pPr>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1）定期浇水、施肥、松土，保证植物长势良好、无大面积枯黄。及时清理杂草、落叶、垃圾，保持绿地干净整洁,绿地范围内无枯草杂物，无枯死和病虫害，无土地裸露。</w:t>
      </w:r>
    </w:p>
    <w:p w14:paraId="72547284">
      <w:pPr>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2）乔木、灌木、绿篱、球类定期修剪，树形整齐、线条顺直。不出现徒长、杂乱、遮挡路灯、监控、楼栋采光等问题。</w:t>
      </w:r>
    </w:p>
    <w:p w14:paraId="3C7CEBF8">
      <w:pPr>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3）修剪、打药避开高峰人流，提前温馨提示。作业后及时清理枝叶，不堵塞通道。</w:t>
      </w:r>
    </w:p>
    <w:p w14:paraId="5131AA2D">
      <w:pPr>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4）夏季抗旱、冬季防冻防风。雨季做好排水，防止树木倒伏、积水烂根。</w:t>
      </w:r>
    </w:p>
    <w:p w14:paraId="5D0774DD">
      <w:pPr>
        <w:spacing w:line="360" w:lineRule="auto"/>
        <w:ind w:firstLine="482" w:firstLineChars="200"/>
        <w:rPr>
          <w:rFonts w:ascii="宋体" w:hAnsi="宋体" w:eastAsia="宋体" w:cs="Times New Roman"/>
          <w:b/>
          <w:kern w:val="2"/>
          <w:sz w:val="24"/>
        </w:rPr>
      </w:pPr>
      <w:r>
        <w:rPr>
          <w:rFonts w:hint="eastAsia" w:ascii="宋体" w:hAnsi="宋体" w:eastAsia="宋体" w:cs="Times New Roman"/>
          <w:b/>
          <w:kern w:val="2"/>
          <w:sz w:val="24"/>
        </w:rPr>
        <w:t>2.1.7机械车位服务</w:t>
      </w:r>
    </w:p>
    <w:p w14:paraId="02D2ADB6">
      <w:pPr>
        <w:widowControl/>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为办公区的机械车位提供养护服务，保障办公期间机械车位安全运转，引导干部职工车辆停放至安全、合适位置。</w:t>
      </w:r>
    </w:p>
    <w:p w14:paraId="5C1CDB56">
      <w:pPr>
        <w:widowControl/>
        <w:spacing w:line="360" w:lineRule="auto"/>
        <w:ind w:firstLine="482" w:firstLineChars="200"/>
        <w:rPr>
          <w:rFonts w:ascii="宋体" w:hAnsi="宋体" w:eastAsia="宋体" w:cs="Times New Roman"/>
          <w:b/>
          <w:bCs/>
          <w:kern w:val="2"/>
          <w:sz w:val="24"/>
        </w:rPr>
      </w:pPr>
      <w:r>
        <w:rPr>
          <w:rFonts w:ascii="宋体" w:hAnsi="宋体" w:eastAsia="宋体" w:cs="Times New Roman"/>
          <w:b/>
          <w:bCs/>
          <w:kern w:val="2"/>
          <w:sz w:val="24"/>
        </w:rPr>
        <w:t>2.2食堂服务要求:本部分接</w:t>
      </w:r>
      <w:r>
        <w:rPr>
          <w:rFonts w:hint="eastAsia" w:ascii="宋体" w:hAnsi="宋体" w:eastAsia="宋体" w:cs="Times New Roman"/>
          <w:b/>
          <w:bCs/>
          <w:kern w:val="2"/>
          <w:sz w:val="24"/>
        </w:rPr>
        <w:t>受</w:t>
      </w:r>
      <w:r>
        <w:rPr>
          <w:rFonts w:ascii="宋体" w:hAnsi="宋体" w:eastAsia="宋体" w:cs="Times New Roman"/>
          <w:b/>
          <w:bCs/>
          <w:kern w:val="2"/>
          <w:sz w:val="24"/>
        </w:rPr>
        <w:t>分包。投标人拟在中标后将中标项目的非主体、非关键性工作分包的，应当在投标文件中载明分包承担主体，分包承担主体应当具备相应资质条件且不得再次</w:t>
      </w:r>
      <w:r>
        <w:rPr>
          <w:rFonts w:hint="eastAsia" w:ascii="宋体" w:hAnsi="宋体" w:eastAsia="宋体" w:cs="Times New Roman"/>
          <w:b/>
          <w:bCs/>
          <w:kern w:val="2"/>
          <w:sz w:val="24"/>
        </w:rPr>
        <w:t>分包。分包企业应具备</w:t>
      </w:r>
      <w:bookmarkStart w:id="33" w:name="OLE_LINK134"/>
      <w:r>
        <w:rPr>
          <w:rFonts w:hint="eastAsia" w:ascii="宋体" w:hAnsi="宋体" w:eastAsia="宋体" w:cs="Times New Roman"/>
          <w:b/>
          <w:bCs/>
          <w:kern w:val="2"/>
          <w:sz w:val="24"/>
        </w:rPr>
        <w:t>《</w:t>
      </w:r>
      <w:bookmarkEnd w:id="33"/>
      <w:r>
        <w:rPr>
          <w:rFonts w:hint="eastAsia" w:ascii="宋体" w:hAnsi="宋体" w:cs="宋体"/>
          <w:b/>
          <w:bCs/>
          <w:sz w:val="24"/>
        </w:rPr>
        <w:t>食品经营许可证</w:t>
      </w:r>
      <w:bookmarkStart w:id="34" w:name="OLE_LINK135"/>
      <w:r>
        <w:rPr>
          <w:rFonts w:hint="eastAsia" w:ascii="宋体" w:hAnsi="宋体" w:eastAsia="宋体" w:cs="Times New Roman"/>
          <w:b/>
          <w:bCs/>
          <w:kern w:val="2"/>
          <w:sz w:val="24"/>
        </w:rPr>
        <w:t>》</w:t>
      </w:r>
      <w:bookmarkEnd w:id="34"/>
      <w:r>
        <w:rPr>
          <w:rFonts w:hint="eastAsia" w:ascii="宋体" w:hAnsi="宋体" w:eastAsia="宋体" w:cs="Times New Roman"/>
          <w:b/>
          <w:bCs/>
          <w:kern w:val="2"/>
          <w:sz w:val="24"/>
        </w:rPr>
        <w:t>，且不得再次分包。</w:t>
      </w:r>
      <w:r>
        <w:rPr>
          <w:rFonts w:hint="eastAsia" w:ascii="宋体" w:hAnsi="宋体" w:eastAsia="宋体" w:cs="Times New Roman"/>
          <w:b/>
          <w:bCs/>
          <w:kern w:val="2"/>
          <w:sz w:val="24"/>
          <w:lang w:val="en-US" w:eastAsia="zh-CN"/>
        </w:rPr>
        <w:t>本项目专门面向中小微企业，分包企业也应为中小微企业。</w:t>
      </w:r>
      <w:r>
        <w:rPr>
          <w:rFonts w:hint="eastAsia" w:ascii="宋体" w:hAnsi="宋体" w:eastAsia="宋体" w:cs="Times New Roman"/>
          <w:b/>
          <w:bCs/>
          <w:kern w:val="2"/>
          <w:sz w:val="24"/>
        </w:rPr>
        <w:t>（投标文件中</w:t>
      </w:r>
      <w:r>
        <w:rPr>
          <w:rFonts w:hint="eastAsia" w:ascii="宋体" w:hAnsi="宋体" w:eastAsia="宋体" w:cs="Times New Roman"/>
          <w:b/>
          <w:bCs/>
          <w:kern w:val="2"/>
          <w:sz w:val="24"/>
          <w:lang w:val="en-US" w:eastAsia="zh-CN"/>
        </w:rPr>
        <w:t>同时</w:t>
      </w:r>
      <w:r>
        <w:rPr>
          <w:rFonts w:hint="eastAsia" w:ascii="宋体" w:hAnsi="宋体" w:eastAsia="宋体" w:cs="Times New Roman"/>
          <w:b/>
          <w:bCs/>
          <w:kern w:val="2"/>
          <w:sz w:val="24"/>
        </w:rPr>
        <w:t>提供拟分包项目情况表、分包意向书（详见投标文件格式二十一）</w:t>
      </w:r>
      <w:r>
        <w:rPr>
          <w:rFonts w:hint="eastAsia" w:ascii="宋体" w:hAnsi="宋体" w:eastAsia="宋体" w:cs="Times New Roman"/>
          <w:b/>
          <w:bCs/>
          <w:kern w:val="2"/>
          <w:sz w:val="24"/>
          <w:lang w:eastAsia="zh-CN"/>
        </w:rPr>
        <w:t>、</w:t>
      </w:r>
      <w:r>
        <w:rPr>
          <w:rFonts w:hint="eastAsia" w:ascii="宋体" w:hAnsi="宋体" w:eastAsia="宋体" w:cs="Times New Roman"/>
          <w:b/>
          <w:bCs/>
          <w:kern w:val="2"/>
          <w:sz w:val="24"/>
        </w:rPr>
        <w:t>《</w:t>
      </w:r>
      <w:r>
        <w:rPr>
          <w:rFonts w:hint="eastAsia" w:ascii="宋体" w:hAnsi="宋体" w:eastAsia="宋体" w:cs="Times New Roman"/>
          <w:b/>
          <w:bCs/>
          <w:kern w:val="2"/>
          <w:sz w:val="24"/>
          <w:lang w:val="en-US" w:eastAsia="zh-CN"/>
        </w:rPr>
        <w:t>中小企业声明函</w:t>
      </w:r>
      <w:r>
        <w:rPr>
          <w:rFonts w:hint="eastAsia" w:ascii="宋体" w:hAnsi="宋体" w:eastAsia="宋体" w:cs="Times New Roman"/>
          <w:b/>
          <w:bCs/>
          <w:kern w:val="2"/>
          <w:sz w:val="24"/>
        </w:rPr>
        <w:t>》及《食品经营许可证》）。</w:t>
      </w:r>
    </w:p>
    <w:p w14:paraId="4FA0DEE0">
      <w:pPr>
        <w:widowControl/>
        <w:spacing w:line="360" w:lineRule="auto"/>
        <w:ind w:firstLine="482" w:firstLineChars="200"/>
        <w:rPr>
          <w:rFonts w:ascii="宋体" w:hAnsi="宋体" w:eastAsia="宋体" w:cs="Times New Roman"/>
          <w:b/>
          <w:kern w:val="2"/>
          <w:sz w:val="24"/>
        </w:rPr>
      </w:pPr>
      <w:r>
        <w:rPr>
          <w:rFonts w:hint="eastAsia" w:ascii="宋体" w:hAnsi="宋体" w:eastAsia="宋体" w:cs="Times New Roman"/>
          <w:b/>
          <w:kern w:val="2"/>
          <w:sz w:val="24"/>
        </w:rPr>
        <w:t>2.2.1工作总体要求</w:t>
      </w:r>
    </w:p>
    <w:p w14:paraId="2B1114C9">
      <w:pPr>
        <w:widowControl/>
        <w:spacing w:line="360" w:lineRule="auto"/>
        <w:ind w:firstLine="480" w:firstLineChars="200"/>
        <w:rPr>
          <w:rFonts w:ascii="宋体" w:hAnsi="宋体" w:eastAsia="宋体" w:cs="Times New Roman"/>
          <w:sz w:val="24"/>
        </w:rPr>
      </w:pPr>
      <w:r>
        <w:rPr>
          <w:rFonts w:hint="eastAsia" w:ascii="宋体" w:hAnsi="宋体" w:eastAsia="宋体" w:cs="Times New Roman"/>
          <w:bCs/>
          <w:kern w:val="2"/>
          <w:sz w:val="24"/>
        </w:rPr>
        <w:t>1）严格遵守《</w:t>
      </w:r>
      <w:bookmarkStart w:id="35" w:name="OLE_LINK19"/>
      <w:bookmarkStart w:id="36" w:name="OLE_LINK20"/>
      <w:r>
        <w:rPr>
          <w:rFonts w:ascii="宋体" w:hAnsi="宋体" w:eastAsia="宋体" w:cs="Times New Roman"/>
          <w:bCs/>
          <w:kern w:val="2"/>
          <w:sz w:val="24"/>
        </w:rPr>
        <w:t>食品安全法</w:t>
      </w:r>
      <w:bookmarkEnd w:id="35"/>
      <w:bookmarkEnd w:id="36"/>
      <w:r>
        <w:rPr>
          <w:rFonts w:hint="eastAsia" w:ascii="宋体" w:hAnsi="宋体" w:eastAsia="宋体" w:cs="Times New Roman"/>
          <w:bCs/>
          <w:kern w:val="2"/>
          <w:sz w:val="24"/>
        </w:rPr>
        <w:t>》及相关法律法规，严把食品卫</w:t>
      </w:r>
      <w:r>
        <w:rPr>
          <w:rFonts w:hint="eastAsia" w:ascii="宋体" w:hAnsi="宋体" w:eastAsia="宋体" w:cs="Times New Roman"/>
          <w:sz w:val="24"/>
        </w:rPr>
        <w:t>生质量关，从业人员须搞好个人卫生，持证上岗。</w:t>
      </w:r>
    </w:p>
    <w:p w14:paraId="60C9BD06">
      <w:pPr>
        <w:widowControl/>
        <w:spacing w:line="360" w:lineRule="auto"/>
        <w:ind w:firstLine="480" w:firstLineChars="200"/>
        <w:rPr>
          <w:rFonts w:ascii="宋体" w:hAnsi="宋体" w:eastAsia="宋体" w:cs="Times New Roman"/>
          <w:kern w:val="2"/>
          <w:sz w:val="24"/>
        </w:rPr>
      </w:pPr>
      <w:r>
        <w:rPr>
          <w:rFonts w:hint="eastAsia" w:ascii="宋体" w:hAnsi="宋体" w:eastAsia="宋体" w:cs="宋体"/>
          <w:kern w:val="2"/>
          <w:sz w:val="24"/>
        </w:rPr>
        <w:t>2）</w:t>
      </w:r>
      <w:r>
        <w:rPr>
          <w:rFonts w:hint="eastAsia" w:ascii="宋体" w:hAnsi="宋体" w:eastAsia="宋体" w:cs="Times New Roman"/>
          <w:kern w:val="2"/>
          <w:sz w:val="24"/>
        </w:rPr>
        <w:t>建立健全各类餐饮卫生管理制度和岗位责任制，杜绝任何食品卫生责任事故的发生，若因托管方人员加工制作过失等因素引发食品中毒事故由托管方负全责。</w:t>
      </w:r>
    </w:p>
    <w:p w14:paraId="0C841680">
      <w:pPr>
        <w:widowControl/>
        <w:spacing w:line="360" w:lineRule="auto"/>
        <w:ind w:firstLine="480" w:firstLineChars="200"/>
        <w:rPr>
          <w:rFonts w:ascii="宋体" w:hAnsi="宋体" w:eastAsia="宋体" w:cs="Times New Roman"/>
          <w:kern w:val="2"/>
          <w:sz w:val="24"/>
        </w:rPr>
      </w:pPr>
      <w:r>
        <w:rPr>
          <w:rFonts w:hint="eastAsia" w:ascii="宋体" w:hAnsi="宋体" w:eastAsia="宋体" w:cs="宋体"/>
          <w:kern w:val="2"/>
          <w:sz w:val="24"/>
        </w:rPr>
        <w:t>3）</w:t>
      </w:r>
      <w:r>
        <w:rPr>
          <w:rFonts w:hint="eastAsia" w:ascii="宋体" w:hAnsi="宋体" w:eastAsia="宋体" w:cs="Times New Roman"/>
          <w:kern w:val="2"/>
          <w:sz w:val="24"/>
        </w:rPr>
        <w:t>加强从业人员的培训与管理，严把员工素质关，做到管理规范化、服务标准化，持证上岗。</w:t>
      </w:r>
    </w:p>
    <w:p w14:paraId="5F2330B6">
      <w:pPr>
        <w:widowControl/>
        <w:spacing w:line="360" w:lineRule="auto"/>
        <w:ind w:firstLine="480" w:firstLineChars="200"/>
        <w:rPr>
          <w:rFonts w:ascii="宋体" w:hAnsi="宋体" w:eastAsia="宋体" w:cs="Times New Roman"/>
          <w:kern w:val="2"/>
          <w:sz w:val="24"/>
        </w:rPr>
      </w:pPr>
      <w:r>
        <w:rPr>
          <w:rFonts w:hint="eastAsia" w:ascii="宋体" w:hAnsi="宋体" w:eastAsia="宋体" w:cs="宋体"/>
          <w:kern w:val="2"/>
          <w:sz w:val="24"/>
        </w:rPr>
        <w:t>4）</w:t>
      </w:r>
      <w:r>
        <w:rPr>
          <w:rFonts w:hint="eastAsia" w:ascii="宋体" w:hAnsi="宋体" w:eastAsia="宋体" w:cs="Times New Roman"/>
          <w:kern w:val="2"/>
          <w:sz w:val="24"/>
        </w:rPr>
        <w:t>负责提供适口、新鲜、卫生的膳食和热情的服务，同时严格控制主辅料的搭配及调味品的使用和管理。</w:t>
      </w:r>
    </w:p>
    <w:p w14:paraId="1E1A2133">
      <w:pPr>
        <w:widowControl/>
        <w:spacing w:line="360" w:lineRule="auto"/>
        <w:ind w:firstLine="480" w:firstLineChars="200"/>
        <w:rPr>
          <w:rFonts w:ascii="宋体" w:hAnsi="宋体" w:eastAsia="宋体" w:cs="Times New Roman"/>
          <w:kern w:val="2"/>
          <w:sz w:val="24"/>
        </w:rPr>
      </w:pPr>
      <w:r>
        <w:rPr>
          <w:rFonts w:hint="eastAsia" w:ascii="宋体" w:hAnsi="宋体" w:eastAsia="宋体" w:cs="宋体"/>
          <w:kern w:val="2"/>
          <w:sz w:val="24"/>
        </w:rPr>
        <w:t>5）</w:t>
      </w:r>
      <w:r>
        <w:rPr>
          <w:rFonts w:hint="eastAsia" w:ascii="宋体" w:hAnsi="宋体" w:eastAsia="宋体" w:cs="Times New Roman"/>
          <w:kern w:val="2"/>
          <w:sz w:val="24"/>
        </w:rPr>
        <w:t>严格按照《</w:t>
      </w:r>
      <w:bookmarkStart w:id="37" w:name="OLE_LINK21"/>
      <w:bookmarkStart w:id="38" w:name="OLE_LINK22"/>
      <w:r>
        <w:rPr>
          <w:rFonts w:hint="eastAsia" w:ascii="宋体" w:hAnsi="宋体" w:eastAsia="宋体" w:cs="Times New Roman"/>
          <w:kern w:val="2"/>
          <w:sz w:val="24"/>
        </w:rPr>
        <w:t>劳动法</w:t>
      </w:r>
      <w:bookmarkEnd w:id="37"/>
      <w:bookmarkEnd w:id="38"/>
      <w:r>
        <w:rPr>
          <w:rFonts w:hint="eastAsia" w:ascii="宋体" w:hAnsi="宋体" w:eastAsia="宋体" w:cs="Times New Roman"/>
          <w:kern w:val="2"/>
          <w:sz w:val="24"/>
        </w:rPr>
        <w:t>》规定，确保职工的相关权益。如发生债权、债务纠纷和工伤等责任事故，均由托管方承担。</w:t>
      </w:r>
    </w:p>
    <w:p w14:paraId="57A830C3">
      <w:pPr>
        <w:widowControl/>
        <w:spacing w:line="360" w:lineRule="auto"/>
        <w:ind w:firstLine="480" w:firstLineChars="200"/>
        <w:rPr>
          <w:rFonts w:ascii="宋体" w:hAnsi="宋体" w:eastAsia="宋体" w:cs="Times New Roman"/>
          <w:kern w:val="2"/>
          <w:sz w:val="24"/>
        </w:rPr>
      </w:pPr>
      <w:r>
        <w:rPr>
          <w:rFonts w:hint="eastAsia" w:ascii="宋体" w:hAnsi="宋体" w:eastAsia="宋体" w:cs="宋体"/>
          <w:kern w:val="2"/>
          <w:sz w:val="24"/>
        </w:rPr>
        <w:t>6）</w:t>
      </w:r>
      <w:r>
        <w:rPr>
          <w:rFonts w:hint="eastAsia" w:ascii="宋体" w:hAnsi="宋体" w:eastAsia="宋体" w:cs="Times New Roman"/>
          <w:kern w:val="2"/>
          <w:sz w:val="24"/>
        </w:rPr>
        <w:t>做到节约使用水、电、燃气，降低能耗，减少浪费。</w:t>
      </w:r>
    </w:p>
    <w:p w14:paraId="47A6261B">
      <w:pPr>
        <w:widowControl/>
        <w:spacing w:line="360" w:lineRule="auto"/>
        <w:ind w:firstLine="480" w:firstLineChars="200"/>
        <w:rPr>
          <w:rFonts w:ascii="宋体" w:hAnsi="宋体" w:eastAsia="宋体" w:cs="Times New Roman"/>
          <w:kern w:val="2"/>
          <w:sz w:val="24"/>
        </w:rPr>
      </w:pPr>
      <w:r>
        <w:rPr>
          <w:rFonts w:hint="eastAsia" w:ascii="宋体" w:hAnsi="宋体" w:eastAsia="宋体" w:cs="宋体"/>
          <w:kern w:val="2"/>
          <w:sz w:val="24"/>
        </w:rPr>
        <w:t>7）</w:t>
      </w:r>
      <w:r>
        <w:rPr>
          <w:rFonts w:hint="eastAsia" w:ascii="宋体" w:hAnsi="宋体" w:eastAsia="宋体" w:cs="Times New Roman"/>
          <w:kern w:val="2"/>
          <w:sz w:val="24"/>
        </w:rPr>
        <w:t>负责承包期内厨、灶、餐用具及水、电、气等设施的日常清洁及常规保养。</w:t>
      </w:r>
    </w:p>
    <w:p w14:paraId="3585E21B">
      <w:pPr>
        <w:widowControl/>
        <w:spacing w:line="360" w:lineRule="auto"/>
        <w:ind w:firstLine="480" w:firstLineChars="200"/>
        <w:rPr>
          <w:rFonts w:ascii="宋体" w:hAnsi="宋体" w:eastAsia="宋体" w:cs="Times New Roman"/>
          <w:kern w:val="2"/>
          <w:sz w:val="24"/>
        </w:rPr>
      </w:pPr>
      <w:r>
        <w:rPr>
          <w:rFonts w:hint="eastAsia" w:ascii="宋体" w:hAnsi="宋体" w:eastAsia="宋体" w:cs="宋体"/>
          <w:kern w:val="2"/>
          <w:sz w:val="24"/>
        </w:rPr>
        <w:t>8）</w:t>
      </w:r>
      <w:r>
        <w:rPr>
          <w:rFonts w:hint="eastAsia" w:ascii="宋体" w:hAnsi="宋体" w:eastAsia="宋体" w:cs="Times New Roman"/>
          <w:kern w:val="2"/>
          <w:sz w:val="24"/>
        </w:rPr>
        <w:t>负责承包范围内的消防安全、用电安全、操作安全，杜绝任何安全责任事故的发生。若因人员操作过失等因素引发安全责任事故，根据法定</w:t>
      </w:r>
      <w:r>
        <w:rPr>
          <w:rFonts w:ascii="宋体" w:hAnsi="宋体" w:eastAsia="宋体" w:cs="Times New Roman"/>
          <w:kern w:val="2"/>
          <w:sz w:val="24"/>
        </w:rPr>
        <w:t>第三方</w:t>
      </w:r>
      <w:r>
        <w:rPr>
          <w:rFonts w:hint="eastAsia" w:ascii="宋体" w:hAnsi="宋体" w:eastAsia="宋体" w:cs="Times New Roman"/>
          <w:kern w:val="2"/>
          <w:sz w:val="24"/>
        </w:rPr>
        <w:t>出具</w:t>
      </w:r>
      <w:r>
        <w:rPr>
          <w:rFonts w:ascii="宋体" w:hAnsi="宋体" w:eastAsia="宋体" w:cs="Times New Roman"/>
          <w:kern w:val="2"/>
          <w:sz w:val="24"/>
        </w:rPr>
        <w:t>的鉴定</w:t>
      </w:r>
      <w:r>
        <w:rPr>
          <w:rFonts w:hint="eastAsia" w:ascii="宋体" w:hAnsi="宋体" w:eastAsia="宋体" w:cs="Times New Roman"/>
          <w:kern w:val="2"/>
          <w:sz w:val="24"/>
        </w:rPr>
        <w:t>文书</w:t>
      </w:r>
      <w:r>
        <w:rPr>
          <w:rFonts w:ascii="宋体" w:hAnsi="宋体" w:eastAsia="宋体" w:cs="Times New Roman"/>
          <w:kern w:val="2"/>
          <w:sz w:val="24"/>
        </w:rPr>
        <w:t>，</w:t>
      </w:r>
      <w:r>
        <w:rPr>
          <w:rFonts w:hint="eastAsia" w:ascii="宋体" w:hAnsi="宋体" w:eastAsia="宋体" w:cs="Times New Roman"/>
          <w:kern w:val="2"/>
          <w:sz w:val="24"/>
        </w:rPr>
        <w:t>由物业公司及</w:t>
      </w:r>
      <w:r>
        <w:rPr>
          <w:rFonts w:ascii="宋体" w:hAnsi="宋体" w:eastAsia="宋体" w:cs="Times New Roman"/>
          <w:kern w:val="2"/>
          <w:sz w:val="24"/>
        </w:rPr>
        <w:t>相应人员</w:t>
      </w:r>
      <w:r>
        <w:rPr>
          <w:rFonts w:hint="eastAsia" w:ascii="宋体" w:hAnsi="宋体" w:eastAsia="宋体" w:cs="Times New Roman"/>
          <w:kern w:val="2"/>
          <w:sz w:val="24"/>
        </w:rPr>
        <w:t>负相应责任。</w:t>
      </w:r>
    </w:p>
    <w:p w14:paraId="0868601C">
      <w:pPr>
        <w:widowControl/>
        <w:spacing w:line="360" w:lineRule="auto"/>
        <w:ind w:firstLine="480" w:firstLineChars="200"/>
        <w:rPr>
          <w:rFonts w:ascii="宋体" w:hAnsi="宋体" w:eastAsia="宋体" w:cs="Times New Roman"/>
          <w:kern w:val="2"/>
          <w:sz w:val="24"/>
        </w:rPr>
      </w:pPr>
      <w:r>
        <w:rPr>
          <w:rFonts w:hint="eastAsia" w:ascii="宋体" w:hAnsi="宋体" w:eastAsia="宋体" w:cs="宋体"/>
          <w:kern w:val="2"/>
          <w:sz w:val="24"/>
        </w:rPr>
        <w:t>9）</w:t>
      </w:r>
      <w:r>
        <w:rPr>
          <w:rFonts w:hint="eastAsia" w:ascii="宋体" w:hAnsi="宋体" w:eastAsia="宋体" w:cs="Times New Roman"/>
          <w:kern w:val="2"/>
          <w:sz w:val="24"/>
        </w:rPr>
        <w:t>做好工作范围内及就餐区的清洁卫生工作，做到窗明几净；就餐用具严格清洗消毒；剩饭剩菜及时处置；餐饮垃圾及时装袋密封送至垃圾房，做到工完场清、日产日清。</w:t>
      </w:r>
    </w:p>
    <w:p w14:paraId="40100236">
      <w:pPr>
        <w:widowControl/>
        <w:spacing w:line="360" w:lineRule="auto"/>
        <w:ind w:firstLine="480" w:firstLineChars="200"/>
        <w:rPr>
          <w:rFonts w:ascii="宋体" w:hAnsi="宋体" w:eastAsia="宋体" w:cs="Times New Roman"/>
          <w:kern w:val="2"/>
          <w:sz w:val="24"/>
        </w:rPr>
      </w:pPr>
      <w:r>
        <w:rPr>
          <w:rFonts w:hint="eastAsia" w:ascii="宋体" w:hAnsi="宋体" w:eastAsia="宋体" w:cs="宋体"/>
          <w:kern w:val="2"/>
          <w:sz w:val="24"/>
        </w:rPr>
        <w:t>10）</w:t>
      </w:r>
      <w:r>
        <w:rPr>
          <w:rFonts w:hint="eastAsia" w:ascii="宋体" w:hAnsi="宋体" w:eastAsia="宋体" w:cs="Times New Roman"/>
          <w:kern w:val="2"/>
          <w:sz w:val="24"/>
        </w:rPr>
        <w:t>自觉接受监督指导，对存在问题及时整改。</w:t>
      </w:r>
    </w:p>
    <w:p w14:paraId="242906AB">
      <w:pPr>
        <w:widowControl/>
        <w:spacing w:line="360" w:lineRule="auto"/>
        <w:ind w:firstLine="241" w:firstLineChars="100"/>
        <w:rPr>
          <w:rFonts w:ascii="宋体" w:hAnsi="宋体" w:eastAsia="宋体" w:cs="Times New Roman"/>
          <w:b/>
          <w:bCs/>
          <w:kern w:val="2"/>
          <w:sz w:val="24"/>
        </w:rPr>
      </w:pPr>
      <w:r>
        <w:rPr>
          <w:rFonts w:hint="eastAsia" w:ascii="宋体" w:hAnsi="宋体" w:eastAsia="宋体" w:cs="Times New Roman"/>
          <w:b/>
          <w:bCs/>
          <w:kern w:val="2"/>
          <w:sz w:val="24"/>
        </w:rPr>
        <w:t>2.2.2厨房工作要求</w:t>
      </w:r>
    </w:p>
    <w:p w14:paraId="47EBCAF2">
      <w:pPr>
        <w:widowControl/>
        <w:spacing w:line="360" w:lineRule="auto"/>
        <w:ind w:firstLine="480" w:firstLineChars="200"/>
        <w:rPr>
          <w:rFonts w:ascii="宋体" w:hAnsi="宋体" w:eastAsia="宋体" w:cs="Times New Roman"/>
          <w:kern w:val="2"/>
          <w:sz w:val="24"/>
        </w:rPr>
      </w:pPr>
      <w:r>
        <w:rPr>
          <w:rFonts w:hint="eastAsia" w:ascii="宋体" w:hAnsi="宋体" w:eastAsia="宋体" w:cs="Times New Roman"/>
          <w:kern w:val="2"/>
          <w:sz w:val="24"/>
        </w:rPr>
        <w:t>1）原料初加工质量直接关系到原料的出净水平，直接影响到菜肴的生产成本，必须做到物尽其用。</w:t>
      </w:r>
    </w:p>
    <w:p w14:paraId="1FFFB873">
      <w:pPr>
        <w:widowControl/>
        <w:spacing w:line="360" w:lineRule="auto"/>
        <w:ind w:firstLine="480" w:firstLineChars="200"/>
        <w:rPr>
          <w:rFonts w:ascii="宋体" w:hAnsi="宋体" w:eastAsia="宋体" w:cs="Times New Roman"/>
          <w:kern w:val="2"/>
          <w:sz w:val="24"/>
        </w:rPr>
      </w:pPr>
      <w:r>
        <w:rPr>
          <w:rFonts w:hint="eastAsia" w:ascii="宋体" w:hAnsi="宋体" w:eastAsia="宋体" w:cs="Times New Roman"/>
          <w:kern w:val="2"/>
          <w:sz w:val="24"/>
        </w:rPr>
        <w:t>2）所加工的原料必须按要求进行洗摘、浸泡，必须保证加工后的原料干净、整洁、安全、卫生、无污物、无杂物。</w:t>
      </w:r>
    </w:p>
    <w:p w14:paraId="1FFBCD6F">
      <w:pPr>
        <w:widowControl/>
        <w:spacing w:line="360" w:lineRule="auto"/>
        <w:ind w:firstLine="480" w:firstLineChars="200"/>
        <w:rPr>
          <w:rFonts w:ascii="宋体" w:hAnsi="宋体" w:eastAsia="宋体" w:cs="Times New Roman"/>
          <w:kern w:val="2"/>
          <w:sz w:val="24"/>
        </w:rPr>
      </w:pPr>
      <w:r>
        <w:rPr>
          <w:rFonts w:hint="eastAsia" w:ascii="宋体" w:hAnsi="宋体" w:eastAsia="宋体" w:cs="Times New Roman"/>
          <w:kern w:val="2"/>
          <w:sz w:val="24"/>
        </w:rPr>
        <w:t>3）以每周食谱和当天所领用、耗用的原料为依据，留意客情要求，科学合理地定制原料。</w:t>
      </w:r>
    </w:p>
    <w:p w14:paraId="4F5C4BFD">
      <w:pPr>
        <w:widowControl/>
        <w:spacing w:line="360" w:lineRule="auto"/>
        <w:ind w:firstLine="480" w:firstLineChars="200"/>
        <w:rPr>
          <w:rFonts w:ascii="宋体" w:hAnsi="宋体" w:eastAsia="宋体" w:cs="Times New Roman"/>
          <w:kern w:val="2"/>
          <w:sz w:val="24"/>
        </w:rPr>
      </w:pPr>
      <w:r>
        <w:rPr>
          <w:rFonts w:hint="eastAsia" w:ascii="宋体" w:hAnsi="宋体" w:eastAsia="宋体" w:cs="Times New Roman"/>
          <w:kern w:val="2"/>
          <w:sz w:val="24"/>
        </w:rPr>
        <w:t>4）切配原料应快速及时，确保烹制出品的需要。</w:t>
      </w:r>
    </w:p>
    <w:p w14:paraId="647E64CF">
      <w:pPr>
        <w:widowControl/>
        <w:spacing w:line="360" w:lineRule="auto"/>
        <w:ind w:firstLine="480" w:firstLineChars="200"/>
        <w:rPr>
          <w:rFonts w:ascii="宋体" w:hAnsi="宋体" w:eastAsia="宋体" w:cs="Times New Roman"/>
          <w:kern w:val="2"/>
          <w:sz w:val="24"/>
        </w:rPr>
      </w:pPr>
      <w:r>
        <w:rPr>
          <w:rFonts w:hint="eastAsia" w:ascii="宋体" w:hAnsi="宋体" w:eastAsia="宋体" w:cs="Times New Roman"/>
          <w:kern w:val="2"/>
          <w:sz w:val="24"/>
        </w:rPr>
        <w:t>5）按周食谱、宴会菜单、规定的操作程序和工艺流程进行菜点烹制。</w:t>
      </w:r>
    </w:p>
    <w:p w14:paraId="77C0DFF1">
      <w:pPr>
        <w:widowControl/>
        <w:spacing w:line="360" w:lineRule="auto"/>
        <w:ind w:firstLine="480" w:firstLineChars="200"/>
        <w:rPr>
          <w:rFonts w:ascii="宋体" w:hAnsi="宋体" w:eastAsia="宋体" w:cs="Times New Roman"/>
          <w:kern w:val="2"/>
          <w:sz w:val="24"/>
        </w:rPr>
      </w:pPr>
      <w:r>
        <w:rPr>
          <w:rFonts w:hint="eastAsia" w:ascii="宋体" w:hAnsi="宋体" w:eastAsia="宋体" w:cs="Times New Roman"/>
          <w:kern w:val="2"/>
          <w:sz w:val="24"/>
        </w:rPr>
        <w:t>6）所烹制的菜肴点心，口味、色泽、卫生一定要符合出菜要求。</w:t>
      </w:r>
    </w:p>
    <w:p w14:paraId="3AEE9D95">
      <w:pPr>
        <w:widowControl/>
        <w:spacing w:line="360" w:lineRule="auto"/>
        <w:ind w:firstLine="480" w:firstLineChars="200"/>
        <w:rPr>
          <w:rFonts w:ascii="宋体" w:hAnsi="宋体" w:eastAsia="宋体" w:cs="Times New Roman"/>
          <w:kern w:val="2"/>
          <w:sz w:val="24"/>
        </w:rPr>
      </w:pPr>
      <w:r>
        <w:rPr>
          <w:rFonts w:hint="eastAsia" w:ascii="宋体" w:hAnsi="宋体" w:eastAsia="宋体" w:cs="Times New Roman"/>
          <w:kern w:val="2"/>
          <w:sz w:val="24"/>
        </w:rPr>
        <w:t>7）根据饭菜现时温度，做好加热保温工作。</w:t>
      </w:r>
    </w:p>
    <w:p w14:paraId="078A7C46">
      <w:pPr>
        <w:widowControl/>
        <w:spacing w:line="360" w:lineRule="auto"/>
        <w:ind w:firstLine="480" w:firstLineChars="200"/>
        <w:rPr>
          <w:rFonts w:ascii="宋体" w:hAnsi="宋体" w:eastAsia="宋体" w:cs="Times New Roman"/>
          <w:kern w:val="2"/>
          <w:sz w:val="24"/>
        </w:rPr>
      </w:pPr>
      <w:r>
        <w:rPr>
          <w:rFonts w:hint="eastAsia" w:ascii="宋体" w:hAnsi="宋体" w:eastAsia="宋体" w:cs="Times New Roman"/>
          <w:kern w:val="2"/>
          <w:sz w:val="24"/>
        </w:rPr>
        <w:t>8）分菜时仔细聆听，正确解释菜肴。回答就餐员工问题时要耐心热情，不得与就餐人员争吵。</w:t>
      </w:r>
    </w:p>
    <w:p w14:paraId="7877F510">
      <w:pPr>
        <w:widowControl/>
        <w:spacing w:line="360" w:lineRule="auto"/>
        <w:ind w:firstLine="480" w:firstLineChars="200"/>
        <w:rPr>
          <w:rFonts w:ascii="宋体" w:hAnsi="宋体" w:eastAsia="宋体" w:cs="Times New Roman"/>
          <w:kern w:val="2"/>
          <w:sz w:val="24"/>
        </w:rPr>
      </w:pPr>
      <w:r>
        <w:rPr>
          <w:rFonts w:hint="eastAsia" w:ascii="宋体" w:hAnsi="宋体" w:eastAsia="宋体" w:cs="Times New Roman"/>
          <w:kern w:val="2"/>
          <w:sz w:val="24"/>
        </w:rPr>
        <w:t>9）打菜时速度要快、准确、无误，要求公开、公平、公正、一视同仁。并按菜肴换勺分打。</w:t>
      </w:r>
    </w:p>
    <w:p w14:paraId="623D1759">
      <w:pPr>
        <w:widowControl/>
        <w:spacing w:line="360" w:lineRule="auto"/>
        <w:ind w:firstLine="480" w:firstLineChars="200"/>
        <w:rPr>
          <w:rFonts w:ascii="宋体" w:hAnsi="宋体" w:eastAsia="宋体" w:cs="Times New Roman"/>
          <w:kern w:val="2"/>
          <w:sz w:val="24"/>
        </w:rPr>
      </w:pPr>
      <w:r>
        <w:rPr>
          <w:rFonts w:hint="eastAsia" w:ascii="宋体" w:hAnsi="宋体" w:eastAsia="宋体" w:cs="Times New Roman"/>
          <w:kern w:val="2"/>
          <w:sz w:val="24"/>
        </w:rPr>
        <w:t>10）清理桌面卫生时动作要规范，不影响周围用餐人员。</w:t>
      </w:r>
    </w:p>
    <w:p w14:paraId="30EEC611">
      <w:pPr>
        <w:widowControl/>
        <w:spacing w:line="360" w:lineRule="auto"/>
        <w:ind w:firstLine="480" w:firstLineChars="200"/>
        <w:rPr>
          <w:rFonts w:ascii="宋体" w:hAnsi="宋体" w:eastAsia="宋体" w:cs="Times New Roman"/>
          <w:kern w:val="2"/>
          <w:sz w:val="24"/>
        </w:rPr>
      </w:pPr>
      <w:r>
        <w:rPr>
          <w:rFonts w:hint="eastAsia" w:ascii="宋体" w:hAnsi="宋体" w:eastAsia="宋体" w:cs="Times New Roman"/>
          <w:kern w:val="2"/>
          <w:sz w:val="24"/>
        </w:rPr>
        <w:t>11）餐厅收尾工作要在15分钟内完成，卫生清洁全面彻底，做到台面无污渍，座椅无污染，地面无垃圾。</w:t>
      </w:r>
    </w:p>
    <w:p w14:paraId="71031A8C">
      <w:pPr>
        <w:pStyle w:val="194"/>
        <w:spacing w:before="0" w:after="0" w:line="360" w:lineRule="auto"/>
        <w:ind w:firstLine="482" w:firstLineChars="200"/>
        <w:rPr>
          <w:rFonts w:ascii="宋体" w:hAnsi="宋体" w:eastAsia="宋体" w:cs="Times New Roman"/>
          <w:b w:val="0"/>
          <w:bCs w:val="0"/>
          <w:kern w:val="2"/>
          <w:sz w:val="24"/>
        </w:rPr>
      </w:pPr>
      <w:r>
        <w:rPr>
          <w:rFonts w:hint="eastAsia" w:ascii="宋体" w:hAnsi="宋体" w:eastAsia="宋体" w:cs="Times New Roman"/>
          <w:kern w:val="2"/>
          <w:sz w:val="24"/>
        </w:rPr>
        <w:t>2.2.3食堂餐具卫生消毒工作要求</w:t>
      </w:r>
    </w:p>
    <w:p w14:paraId="051AF9AE">
      <w:pPr>
        <w:widowControl/>
        <w:spacing w:line="360" w:lineRule="auto"/>
        <w:ind w:firstLine="480" w:firstLineChars="200"/>
        <w:rPr>
          <w:rFonts w:ascii="宋体" w:hAnsi="宋体" w:eastAsia="宋体" w:cs="Times New Roman"/>
          <w:kern w:val="2"/>
          <w:sz w:val="24"/>
        </w:rPr>
      </w:pPr>
      <w:r>
        <w:rPr>
          <w:rFonts w:hint="eastAsia" w:ascii="宋体" w:hAnsi="宋体" w:eastAsia="宋体" w:cs="宋体"/>
          <w:kern w:val="2"/>
          <w:sz w:val="24"/>
        </w:rPr>
        <w:t>1）</w:t>
      </w:r>
      <w:r>
        <w:rPr>
          <w:rFonts w:hint="eastAsia" w:ascii="宋体" w:hAnsi="宋体" w:eastAsia="宋体" w:cs="Times New Roman"/>
          <w:kern w:val="2"/>
          <w:sz w:val="24"/>
        </w:rPr>
        <w:t>蒸煮消毒（用于金属陶瓷、快餐盘、快餐碗消毒标准）；刮：将使用完的餐具内的残留物刮入废弃物专用桶中；冲：用流动的自来水将餐盘、餐碗冲刷，使其表面光洁；洗：将抹布蘸上一定量洗涤液洗涤、搓洗，再用清水反复冲去洗液。</w:t>
      </w:r>
    </w:p>
    <w:p w14:paraId="3D794853">
      <w:pPr>
        <w:widowControl/>
        <w:spacing w:line="360" w:lineRule="auto"/>
        <w:ind w:firstLine="480" w:firstLineChars="200"/>
        <w:rPr>
          <w:rFonts w:ascii="宋体" w:hAnsi="宋体" w:eastAsia="宋体" w:cs="Times New Roman"/>
          <w:kern w:val="2"/>
          <w:sz w:val="24"/>
        </w:rPr>
      </w:pPr>
      <w:r>
        <w:rPr>
          <w:rFonts w:hint="eastAsia" w:ascii="宋体" w:hAnsi="宋体" w:eastAsia="宋体" w:cs="Times New Roman"/>
          <w:kern w:val="2"/>
          <w:sz w:val="24"/>
        </w:rPr>
        <w:t>2）蒸煮消毒：餐盘、餐碗放入蒸柜中，在100摄氏度的沸水中蒸制5分钟以上。</w:t>
      </w:r>
    </w:p>
    <w:p w14:paraId="39C9A9F0">
      <w:pPr>
        <w:widowControl/>
        <w:spacing w:line="360" w:lineRule="auto"/>
        <w:ind w:firstLine="480" w:firstLineChars="200"/>
        <w:rPr>
          <w:rFonts w:ascii="宋体" w:hAnsi="宋体" w:eastAsia="宋体" w:cs="Times New Roman"/>
          <w:kern w:val="2"/>
          <w:sz w:val="24"/>
        </w:rPr>
      </w:pPr>
      <w:r>
        <w:rPr>
          <w:rFonts w:hint="eastAsia" w:ascii="宋体" w:hAnsi="宋体" w:eastAsia="宋体" w:cs="Times New Roman"/>
          <w:kern w:val="2"/>
          <w:sz w:val="24"/>
        </w:rPr>
        <w:t>3）紫外线消毒(用于高档磁盘、碗筷、自助餐盘（瓷）、筷子)；刮：将使用完的餐具内的残留物刮入废弃物专用桶中；冲：用流动的自来水将餐盘、餐碗冲刷，使其表面光洁；洗：将抹布蘸上一定量洗涤液洗涤、搓洗，再用清水反复冲去洗液；紫外线消毒：将洗洁的盘筷擦干水分放入专用紫外线消毒柜，高档10分钟以上。</w:t>
      </w:r>
    </w:p>
    <w:p w14:paraId="3B93376F">
      <w:pPr>
        <w:widowControl/>
        <w:spacing w:line="360" w:lineRule="auto"/>
        <w:ind w:firstLine="480" w:firstLineChars="200"/>
        <w:rPr>
          <w:rFonts w:ascii="宋体" w:hAnsi="宋体" w:eastAsia="宋体" w:cs="Times New Roman"/>
          <w:kern w:val="2"/>
          <w:sz w:val="24"/>
        </w:rPr>
      </w:pPr>
      <w:r>
        <w:rPr>
          <w:rFonts w:hint="eastAsia" w:ascii="宋体" w:hAnsi="宋体" w:eastAsia="宋体" w:cs="宋体"/>
          <w:kern w:val="2"/>
          <w:sz w:val="24"/>
        </w:rPr>
        <w:t>4）</w:t>
      </w:r>
      <w:r>
        <w:rPr>
          <w:rFonts w:hint="eastAsia" w:ascii="宋体" w:hAnsi="宋体" w:eastAsia="宋体" w:cs="Times New Roman"/>
          <w:kern w:val="2"/>
          <w:sz w:val="24"/>
        </w:rPr>
        <w:t>药物消毒（用于餐筷不能高温用具）：餐盘、餐筷除日常洗涤消毒外，定期（2天）用84消毒液按1:200的比例浸泡杀菌消毒。</w:t>
      </w:r>
    </w:p>
    <w:p w14:paraId="2FECEE3B">
      <w:pPr>
        <w:widowControl/>
        <w:spacing w:line="360" w:lineRule="auto"/>
        <w:ind w:firstLine="482" w:firstLineChars="200"/>
        <w:rPr>
          <w:rFonts w:ascii="宋体" w:hAnsi="宋体" w:eastAsia="宋体" w:cs="Times New Roman"/>
          <w:b/>
          <w:bCs/>
          <w:kern w:val="2"/>
          <w:sz w:val="24"/>
        </w:rPr>
      </w:pPr>
      <w:r>
        <w:rPr>
          <w:rFonts w:hint="eastAsia" w:ascii="宋体" w:hAnsi="宋体" w:eastAsia="宋体" w:cs="Times New Roman"/>
          <w:b/>
          <w:bCs/>
          <w:kern w:val="2"/>
          <w:sz w:val="24"/>
        </w:rPr>
        <w:t>2.2.4餐具的存放（餐盘、餐筷存放防止二次污染）</w:t>
      </w:r>
    </w:p>
    <w:p w14:paraId="275445A8">
      <w:pPr>
        <w:widowControl/>
        <w:spacing w:line="360" w:lineRule="auto"/>
        <w:ind w:firstLine="480" w:firstLineChars="200"/>
        <w:rPr>
          <w:rFonts w:ascii="宋体" w:hAnsi="宋体" w:eastAsia="宋体" w:cs="宋体"/>
          <w:kern w:val="2"/>
          <w:sz w:val="24"/>
        </w:rPr>
      </w:pPr>
      <w:r>
        <w:rPr>
          <w:rFonts w:hint="eastAsia" w:ascii="宋体" w:hAnsi="宋体" w:eastAsia="宋体" w:cs="宋体"/>
          <w:kern w:val="2"/>
          <w:sz w:val="24"/>
        </w:rPr>
        <w:t xml:space="preserve"> 1）快餐盘、快餐碗放在蒸煮柜中存放，开餐时取用。</w:t>
      </w:r>
    </w:p>
    <w:p w14:paraId="2068F922">
      <w:pPr>
        <w:widowControl/>
        <w:spacing w:line="360" w:lineRule="auto"/>
        <w:ind w:firstLine="480" w:firstLineChars="200"/>
        <w:rPr>
          <w:rFonts w:ascii="宋体" w:hAnsi="宋体" w:eastAsia="宋体" w:cs="宋体"/>
          <w:kern w:val="2"/>
          <w:sz w:val="24"/>
        </w:rPr>
      </w:pPr>
      <w:r>
        <w:rPr>
          <w:rFonts w:hint="eastAsia" w:ascii="宋体" w:hAnsi="宋体" w:eastAsia="宋体" w:cs="宋体"/>
          <w:kern w:val="2"/>
          <w:sz w:val="24"/>
        </w:rPr>
        <w:t xml:space="preserve"> 2）自助餐盘、筷子放在指定的消毒柜中存放。</w:t>
      </w:r>
    </w:p>
    <w:p w14:paraId="6F3B145C">
      <w:pPr>
        <w:widowControl/>
        <w:spacing w:line="360" w:lineRule="auto"/>
        <w:ind w:firstLine="480" w:firstLineChars="200"/>
        <w:rPr>
          <w:rFonts w:ascii="宋体" w:hAnsi="宋体" w:eastAsia="宋体" w:cs="宋体"/>
          <w:kern w:val="2"/>
          <w:sz w:val="24"/>
        </w:rPr>
      </w:pPr>
      <w:r>
        <w:rPr>
          <w:rFonts w:hint="eastAsia" w:ascii="宋体" w:hAnsi="宋体" w:eastAsia="宋体" w:cs="宋体"/>
          <w:kern w:val="2"/>
          <w:sz w:val="24"/>
        </w:rPr>
        <w:t xml:space="preserve"> 3）瓷盘器放入保洁柜中存放。</w:t>
      </w:r>
    </w:p>
    <w:p w14:paraId="32EE9E8C">
      <w:pPr>
        <w:widowControl/>
        <w:spacing w:line="360" w:lineRule="auto"/>
        <w:ind w:firstLine="482" w:firstLineChars="200"/>
        <w:rPr>
          <w:rFonts w:ascii="宋体" w:hAnsi="宋体" w:eastAsia="宋体" w:cs="Times New Roman"/>
          <w:b/>
          <w:bCs/>
          <w:kern w:val="2"/>
          <w:sz w:val="24"/>
        </w:rPr>
      </w:pPr>
      <w:r>
        <w:rPr>
          <w:rFonts w:hint="eastAsia" w:ascii="宋体" w:hAnsi="宋体" w:eastAsia="宋体" w:cs="Times New Roman"/>
          <w:b/>
          <w:bCs/>
          <w:kern w:val="2"/>
          <w:sz w:val="24"/>
        </w:rPr>
        <w:t>2.2.5食品留样标准</w:t>
      </w:r>
    </w:p>
    <w:p w14:paraId="359717A5">
      <w:pPr>
        <w:widowControl/>
        <w:spacing w:line="360" w:lineRule="auto"/>
        <w:ind w:firstLine="480" w:firstLineChars="200"/>
        <w:rPr>
          <w:rFonts w:ascii="宋体" w:hAnsi="宋体" w:eastAsia="宋体" w:cs="宋体"/>
          <w:kern w:val="2"/>
          <w:sz w:val="24"/>
        </w:rPr>
      </w:pPr>
      <w:r>
        <w:rPr>
          <w:rFonts w:hint="eastAsia" w:ascii="宋体" w:hAnsi="宋体" w:eastAsia="宋体" w:cs="宋体"/>
          <w:kern w:val="2"/>
          <w:sz w:val="24"/>
        </w:rPr>
        <w:t xml:space="preserve"> 1）食堂提供的每样食品，由专人负责留样，按规定留足100克，分别存放在已消毒的餐具中。</w:t>
      </w:r>
    </w:p>
    <w:p w14:paraId="2817A6AB">
      <w:pPr>
        <w:widowControl/>
        <w:spacing w:line="360" w:lineRule="auto"/>
        <w:ind w:firstLine="480" w:firstLineChars="200"/>
        <w:rPr>
          <w:rFonts w:ascii="宋体" w:hAnsi="宋体" w:eastAsia="宋体" w:cs="宋体"/>
          <w:kern w:val="2"/>
          <w:sz w:val="24"/>
        </w:rPr>
      </w:pPr>
      <w:r>
        <w:rPr>
          <w:rFonts w:hint="eastAsia" w:ascii="宋体" w:hAnsi="宋体" w:eastAsia="宋体" w:cs="宋体"/>
          <w:kern w:val="2"/>
          <w:sz w:val="24"/>
        </w:rPr>
        <w:t xml:space="preserve"> 2）</w:t>
      </w:r>
      <w:r>
        <w:rPr>
          <w:rFonts w:ascii="宋体" w:hAnsi="宋体" w:eastAsia="宋体" w:cs="宋体"/>
          <w:kern w:val="2"/>
          <w:sz w:val="24"/>
        </w:rPr>
        <w:t>留样食品冷却后,必须用保鲜膜密封好（或加盖）,并在</w:t>
      </w:r>
      <w:r>
        <w:rPr>
          <w:rFonts w:hint="eastAsia" w:ascii="宋体" w:hAnsi="宋体" w:eastAsia="宋体" w:cs="宋体"/>
          <w:kern w:val="2"/>
          <w:sz w:val="24"/>
        </w:rPr>
        <w:t>其</w:t>
      </w:r>
      <w:r>
        <w:rPr>
          <w:rFonts w:ascii="宋体" w:hAnsi="宋体" w:eastAsia="宋体" w:cs="宋体"/>
          <w:kern w:val="2"/>
          <w:sz w:val="24"/>
        </w:rPr>
        <w:t>外</w:t>
      </w:r>
      <w:r>
        <w:rPr>
          <w:rFonts w:hint="eastAsia" w:ascii="宋体" w:hAnsi="宋体" w:eastAsia="宋体" w:cs="宋体"/>
          <w:kern w:val="2"/>
          <w:sz w:val="24"/>
        </w:rPr>
        <w:t>部贴上标签，表明留样日期、时间、品名、餐次、留样人。</w:t>
      </w:r>
    </w:p>
    <w:p w14:paraId="7969465D">
      <w:pPr>
        <w:widowControl/>
        <w:spacing w:line="360" w:lineRule="auto"/>
        <w:ind w:firstLine="480" w:firstLineChars="200"/>
        <w:rPr>
          <w:rFonts w:ascii="宋体" w:hAnsi="宋体" w:eastAsia="宋体" w:cs="宋体"/>
          <w:kern w:val="2"/>
          <w:sz w:val="24"/>
        </w:rPr>
      </w:pPr>
      <w:r>
        <w:rPr>
          <w:rFonts w:hint="eastAsia" w:ascii="宋体" w:hAnsi="宋体" w:eastAsia="宋体" w:cs="宋体"/>
          <w:kern w:val="2"/>
          <w:sz w:val="24"/>
        </w:rPr>
        <w:t xml:space="preserve"> 3）将贴好标签的留样食品按秩序存放在0-10摄氏度冰箱内保存。</w:t>
      </w:r>
    </w:p>
    <w:p w14:paraId="7F704201">
      <w:pPr>
        <w:widowControl/>
        <w:spacing w:line="360" w:lineRule="auto"/>
        <w:ind w:firstLine="480" w:firstLineChars="200"/>
        <w:rPr>
          <w:rFonts w:ascii="宋体" w:hAnsi="宋体" w:eastAsia="宋体" w:cs="宋体"/>
          <w:kern w:val="2"/>
          <w:sz w:val="24"/>
        </w:rPr>
      </w:pPr>
      <w:r>
        <w:rPr>
          <w:rFonts w:hint="eastAsia" w:ascii="宋体" w:hAnsi="宋体" w:eastAsia="宋体" w:cs="宋体"/>
          <w:kern w:val="2"/>
          <w:sz w:val="24"/>
        </w:rPr>
        <w:t xml:space="preserve"> 4）做好</w:t>
      </w:r>
      <w:r>
        <w:rPr>
          <w:rFonts w:ascii="宋体" w:hAnsi="宋体" w:eastAsia="宋体" w:cs="宋体"/>
          <w:kern w:val="2"/>
          <w:sz w:val="24"/>
        </w:rPr>
        <w:t>每餐</w:t>
      </w:r>
      <w:r>
        <w:rPr>
          <w:rFonts w:hint="eastAsia" w:ascii="宋体" w:hAnsi="宋体" w:eastAsia="宋体" w:cs="宋体"/>
          <w:kern w:val="2"/>
          <w:sz w:val="24"/>
        </w:rPr>
        <w:t>每样</w:t>
      </w:r>
      <w:r>
        <w:rPr>
          <w:rFonts w:ascii="宋体" w:hAnsi="宋体" w:eastAsia="宋体" w:cs="宋体"/>
          <w:kern w:val="2"/>
          <w:sz w:val="24"/>
        </w:rPr>
        <w:t>留样</w:t>
      </w:r>
      <w:r>
        <w:rPr>
          <w:rFonts w:hint="eastAsia" w:ascii="宋体" w:hAnsi="宋体" w:eastAsia="宋体" w:cs="宋体"/>
          <w:kern w:val="2"/>
          <w:sz w:val="24"/>
        </w:rPr>
        <w:t>食品的</w:t>
      </w:r>
      <w:r>
        <w:rPr>
          <w:rFonts w:ascii="宋体" w:hAnsi="宋体" w:eastAsia="宋体" w:cs="宋体"/>
          <w:kern w:val="2"/>
          <w:sz w:val="24"/>
        </w:rPr>
        <w:t>记录</w:t>
      </w:r>
      <w:r>
        <w:rPr>
          <w:rFonts w:hint="eastAsia" w:ascii="宋体" w:hAnsi="宋体" w:eastAsia="宋体" w:cs="宋体"/>
          <w:kern w:val="2"/>
          <w:sz w:val="24"/>
        </w:rPr>
        <w:t>，包括食品样源、</w:t>
      </w:r>
      <w:r>
        <w:rPr>
          <w:rFonts w:ascii="宋体" w:hAnsi="宋体" w:eastAsia="宋体" w:cs="宋体"/>
          <w:kern w:val="2"/>
          <w:sz w:val="24"/>
        </w:rPr>
        <w:t>留样时</w:t>
      </w:r>
      <w:r>
        <w:rPr>
          <w:rFonts w:hint="eastAsia" w:ascii="宋体" w:hAnsi="宋体" w:eastAsia="宋体" w:cs="宋体"/>
          <w:kern w:val="2"/>
          <w:sz w:val="24"/>
        </w:rPr>
        <w:t>间</w:t>
      </w:r>
      <w:r>
        <w:rPr>
          <w:rFonts w:ascii="宋体" w:hAnsi="宋体" w:eastAsia="宋体" w:cs="宋体"/>
          <w:kern w:val="2"/>
          <w:sz w:val="24"/>
        </w:rPr>
        <w:t>、食品名称</w:t>
      </w:r>
      <w:r>
        <w:rPr>
          <w:rFonts w:hint="eastAsia" w:ascii="宋体" w:hAnsi="宋体" w:eastAsia="宋体" w:cs="宋体"/>
          <w:kern w:val="2"/>
          <w:sz w:val="24"/>
        </w:rPr>
        <w:t>，目测样状等，以备检查。</w:t>
      </w:r>
    </w:p>
    <w:p w14:paraId="6272B378">
      <w:pPr>
        <w:widowControl/>
        <w:spacing w:line="360" w:lineRule="auto"/>
        <w:ind w:firstLine="480" w:firstLineChars="200"/>
        <w:rPr>
          <w:rFonts w:ascii="宋体" w:hAnsi="宋体" w:eastAsia="宋体" w:cs="宋体"/>
          <w:kern w:val="2"/>
          <w:sz w:val="24"/>
        </w:rPr>
      </w:pPr>
      <w:r>
        <w:rPr>
          <w:rFonts w:hint="eastAsia" w:ascii="宋体" w:hAnsi="宋体" w:eastAsia="宋体" w:cs="宋体"/>
          <w:kern w:val="2"/>
          <w:sz w:val="24"/>
        </w:rPr>
        <w:t xml:space="preserve"> 5）</w:t>
      </w:r>
      <w:r>
        <w:rPr>
          <w:rFonts w:ascii="宋体" w:hAnsi="宋体" w:eastAsia="宋体" w:cs="宋体"/>
          <w:kern w:val="2"/>
          <w:sz w:val="24"/>
        </w:rPr>
        <w:t>留样食品</w:t>
      </w:r>
      <w:r>
        <w:rPr>
          <w:rFonts w:hint="eastAsia" w:ascii="宋体" w:hAnsi="宋体" w:eastAsia="宋体" w:cs="宋体"/>
          <w:kern w:val="2"/>
          <w:sz w:val="24"/>
        </w:rPr>
        <w:t>一般保存</w:t>
      </w:r>
      <w:r>
        <w:rPr>
          <w:rFonts w:ascii="宋体" w:hAnsi="宋体" w:eastAsia="宋体" w:cs="宋体"/>
          <w:kern w:val="2"/>
          <w:sz w:val="24"/>
        </w:rPr>
        <w:t>48小时,</w:t>
      </w:r>
      <w:r>
        <w:rPr>
          <w:rFonts w:hint="eastAsia" w:ascii="宋体" w:hAnsi="宋体" w:eastAsia="宋体" w:cs="宋体"/>
          <w:kern w:val="2"/>
          <w:sz w:val="24"/>
        </w:rPr>
        <w:t>进餐者如无异常，即可处理留样的食品，如有异常，立即封存，送食品卫生安全部门查验。</w:t>
      </w:r>
    </w:p>
    <w:p w14:paraId="13919CC9">
      <w:pPr>
        <w:widowControl/>
        <w:spacing w:line="360" w:lineRule="auto"/>
        <w:ind w:firstLine="480" w:firstLineChars="200"/>
        <w:rPr>
          <w:rFonts w:ascii="宋体" w:hAnsi="宋体" w:eastAsia="宋体" w:cs="宋体"/>
          <w:kern w:val="2"/>
          <w:sz w:val="24"/>
        </w:rPr>
      </w:pPr>
      <w:r>
        <w:rPr>
          <w:rFonts w:hint="eastAsia" w:ascii="宋体" w:hAnsi="宋体" w:eastAsia="宋体" w:cs="宋体"/>
          <w:kern w:val="2"/>
          <w:sz w:val="24"/>
        </w:rPr>
        <w:t xml:space="preserve"> 6）</w:t>
      </w:r>
      <w:r>
        <w:rPr>
          <w:rFonts w:ascii="宋体" w:hAnsi="宋体" w:eastAsia="宋体" w:cs="宋体"/>
          <w:kern w:val="2"/>
          <w:sz w:val="24"/>
        </w:rPr>
        <w:t>留样</w:t>
      </w:r>
      <w:r>
        <w:rPr>
          <w:rFonts w:hint="eastAsia" w:ascii="宋体" w:hAnsi="宋体" w:eastAsia="宋体" w:cs="宋体"/>
          <w:kern w:val="2"/>
          <w:sz w:val="24"/>
        </w:rPr>
        <w:t>食品</w:t>
      </w:r>
      <w:r>
        <w:rPr>
          <w:rFonts w:ascii="宋体" w:hAnsi="宋体" w:eastAsia="宋体" w:cs="宋体"/>
          <w:kern w:val="2"/>
          <w:sz w:val="24"/>
        </w:rPr>
        <w:t>冰箱为专用设备,严禁存放与留样食品无关的其它</w:t>
      </w:r>
      <w:r>
        <w:rPr>
          <w:rFonts w:hint="eastAsia" w:ascii="宋体" w:hAnsi="宋体" w:eastAsia="宋体" w:cs="宋体"/>
          <w:kern w:val="2"/>
          <w:sz w:val="24"/>
        </w:rPr>
        <w:t>物</w:t>
      </w:r>
      <w:r>
        <w:rPr>
          <w:rFonts w:ascii="宋体" w:hAnsi="宋体" w:eastAsia="宋体" w:cs="宋体"/>
          <w:kern w:val="2"/>
          <w:sz w:val="24"/>
        </w:rPr>
        <w:t>品。</w:t>
      </w:r>
    </w:p>
    <w:p w14:paraId="2D476EF1">
      <w:pPr>
        <w:widowControl/>
        <w:spacing w:line="360" w:lineRule="auto"/>
        <w:ind w:firstLine="480" w:firstLineChars="200"/>
        <w:rPr>
          <w:rFonts w:ascii="宋体" w:hAnsi="宋体" w:eastAsia="宋体" w:cs="宋体"/>
          <w:kern w:val="2"/>
          <w:sz w:val="24"/>
        </w:rPr>
      </w:pPr>
      <w:r>
        <w:rPr>
          <w:rFonts w:hint="eastAsia" w:ascii="宋体" w:hAnsi="宋体" w:eastAsia="宋体" w:cs="宋体"/>
          <w:kern w:val="2"/>
          <w:sz w:val="24"/>
        </w:rPr>
        <w:t xml:space="preserve"> 7）卫生监督小组及监督管理员不定期检查留样工作，发现未按要求留样，将对负责人进行失职工作处罚。</w:t>
      </w:r>
    </w:p>
    <w:p w14:paraId="70D5A2B1">
      <w:pPr>
        <w:pStyle w:val="194"/>
        <w:spacing w:before="0" w:after="0" w:line="360" w:lineRule="auto"/>
        <w:ind w:firstLine="643" w:firstLineChars="200"/>
        <w:rPr>
          <w:rFonts w:asciiTheme="minorEastAsia" w:hAnsiTheme="minorEastAsia" w:eastAsiaTheme="minorEastAsia"/>
        </w:rPr>
      </w:pPr>
      <w:r>
        <w:rPr>
          <w:rFonts w:hint="eastAsia" w:asciiTheme="minorEastAsia" w:hAnsiTheme="minorEastAsia" w:eastAsiaTheme="minorEastAsia"/>
        </w:rPr>
        <w:t>三、配备及人员要求</w:t>
      </w:r>
    </w:p>
    <w:p w14:paraId="233FFADB">
      <w:pPr>
        <w:widowControl/>
        <w:adjustRightInd w:val="0"/>
        <w:snapToGrid w:val="0"/>
        <w:spacing w:line="360" w:lineRule="auto"/>
        <w:ind w:firstLine="480" w:firstLineChars="200"/>
        <w:rPr>
          <w:rFonts w:ascii="宋体" w:hAnsi="宋体" w:eastAsia="宋体" w:cs="宋体"/>
          <w:bCs/>
          <w:i/>
          <w:kern w:val="2"/>
          <w:sz w:val="24"/>
          <w:u w:val="single"/>
        </w:rPr>
      </w:pPr>
      <w:bookmarkStart w:id="39" w:name="OLE_LINK17"/>
      <w:bookmarkStart w:id="40" w:name="OLE_LINK12"/>
      <w:r>
        <w:rPr>
          <w:rFonts w:hint="eastAsia" w:ascii="宋体" w:hAnsi="宋体" w:eastAsia="宋体" w:cs="宋体"/>
          <w:bCs/>
          <w:i/>
          <w:kern w:val="2"/>
          <w:sz w:val="24"/>
          <w:u w:val="single"/>
        </w:rPr>
        <w:t>国家税务总局连云港市税务局物业管理服务项目最低配备人员58人。其中：国家税务总局连云港市税务局办公大楼不少于52人，连云港市连云区税务局不少于6人，详见《岗位设置明细表》。本项目服务人员最低配置58人，各岗位设置服务人数为最低要求，符合岗位设置明细表要求，投标人必须书面承诺（格式自拟）不少于各岗位最低配备人数和岗位要求。（投标文件中提供承诺函并加盖投标人公章，否则投标无效）</w:t>
      </w:r>
    </w:p>
    <w:bookmarkEnd w:id="39"/>
    <w:bookmarkEnd w:id="40"/>
    <w:p w14:paraId="389E24C7">
      <w:pPr>
        <w:widowControl/>
        <w:adjustRightInd w:val="0"/>
        <w:snapToGrid w:val="0"/>
        <w:spacing w:line="520" w:lineRule="exact"/>
        <w:ind w:firstLine="482"/>
        <w:jc w:val="center"/>
        <w:rPr>
          <w:rFonts w:ascii="宋体" w:hAnsi="宋体" w:eastAsia="宋体" w:cs="宋体"/>
          <w:kern w:val="2"/>
          <w:sz w:val="24"/>
        </w:rPr>
      </w:pPr>
      <w:r>
        <w:rPr>
          <w:rFonts w:hint="eastAsia" w:ascii="宋体" w:hAnsi="宋体" w:eastAsia="宋体" w:cs="宋体"/>
          <w:kern w:val="2"/>
          <w:sz w:val="24"/>
        </w:rPr>
        <w:t>本项目岗位设置明细表</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1276"/>
        <w:gridCol w:w="4819"/>
        <w:gridCol w:w="1538"/>
      </w:tblGrid>
      <w:tr w14:paraId="23DF6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21" w:type="dxa"/>
            <w:gridSpan w:val="2"/>
            <w:vAlign w:val="center"/>
          </w:tcPr>
          <w:p w14:paraId="5D477240">
            <w:pPr>
              <w:widowControl/>
              <w:adjustRightInd w:val="0"/>
              <w:snapToGrid w:val="0"/>
              <w:spacing w:line="360" w:lineRule="auto"/>
              <w:jc w:val="center"/>
              <w:rPr>
                <w:rFonts w:ascii="宋体" w:hAnsi="宋体" w:eastAsia="宋体" w:cs="宋体"/>
                <w:kern w:val="2"/>
                <w:sz w:val="24"/>
              </w:rPr>
            </w:pPr>
            <w:r>
              <w:rPr>
                <w:rFonts w:hint="eastAsia" w:ascii="宋体" w:hAnsi="宋体" w:eastAsia="宋体" w:cs="宋体"/>
                <w:kern w:val="2"/>
                <w:sz w:val="24"/>
              </w:rPr>
              <w:t>岗位</w:t>
            </w:r>
          </w:p>
        </w:tc>
        <w:tc>
          <w:tcPr>
            <w:tcW w:w="4819" w:type="dxa"/>
            <w:vAlign w:val="center"/>
          </w:tcPr>
          <w:p w14:paraId="42343840">
            <w:pPr>
              <w:widowControl/>
              <w:adjustRightInd w:val="0"/>
              <w:snapToGrid w:val="0"/>
              <w:spacing w:line="360" w:lineRule="auto"/>
              <w:jc w:val="center"/>
              <w:rPr>
                <w:rFonts w:ascii="宋体" w:hAnsi="宋体" w:eastAsia="宋体" w:cs="宋体"/>
                <w:kern w:val="2"/>
                <w:sz w:val="24"/>
              </w:rPr>
            </w:pPr>
            <w:r>
              <w:rPr>
                <w:rFonts w:hint="eastAsia" w:ascii="宋体" w:hAnsi="宋体" w:eastAsia="宋体" w:cs="宋体"/>
                <w:kern w:val="2"/>
                <w:sz w:val="24"/>
              </w:rPr>
              <w:t>岗位要求</w:t>
            </w:r>
          </w:p>
        </w:tc>
        <w:tc>
          <w:tcPr>
            <w:tcW w:w="1538" w:type="dxa"/>
            <w:vAlign w:val="center"/>
          </w:tcPr>
          <w:p w14:paraId="077D16DB">
            <w:pPr>
              <w:widowControl/>
              <w:adjustRightInd w:val="0"/>
              <w:snapToGrid w:val="0"/>
              <w:spacing w:line="360" w:lineRule="auto"/>
              <w:jc w:val="center"/>
              <w:rPr>
                <w:rFonts w:ascii="宋体" w:hAnsi="宋体" w:eastAsia="宋体" w:cs="宋体"/>
                <w:kern w:val="2"/>
                <w:sz w:val="24"/>
              </w:rPr>
            </w:pPr>
            <w:r>
              <w:rPr>
                <w:rFonts w:hint="eastAsia" w:ascii="宋体" w:hAnsi="宋体" w:eastAsia="宋体" w:cs="宋体"/>
                <w:kern w:val="2"/>
                <w:sz w:val="24"/>
              </w:rPr>
              <w:t>最低配备人数</w:t>
            </w:r>
          </w:p>
        </w:tc>
      </w:tr>
      <w:tr w14:paraId="38578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21" w:type="dxa"/>
            <w:gridSpan w:val="2"/>
            <w:vAlign w:val="center"/>
          </w:tcPr>
          <w:p w14:paraId="3A27C838">
            <w:pPr>
              <w:widowControl/>
              <w:adjustRightInd w:val="0"/>
              <w:snapToGrid w:val="0"/>
              <w:spacing w:line="360" w:lineRule="auto"/>
              <w:jc w:val="center"/>
              <w:rPr>
                <w:rFonts w:ascii="宋体" w:hAnsi="宋体" w:eastAsia="宋体" w:cs="宋体"/>
                <w:kern w:val="2"/>
                <w:sz w:val="24"/>
              </w:rPr>
            </w:pPr>
            <w:r>
              <w:rPr>
                <w:rFonts w:hint="eastAsia" w:ascii="宋体" w:hAnsi="宋体" w:eastAsia="宋体" w:cs="宋体"/>
                <w:kern w:val="2"/>
                <w:sz w:val="24"/>
              </w:rPr>
              <w:t>项目经理</w:t>
            </w:r>
          </w:p>
          <w:p w14:paraId="26A098A2">
            <w:pPr>
              <w:widowControl/>
              <w:adjustRightInd w:val="0"/>
              <w:snapToGrid w:val="0"/>
              <w:spacing w:line="360" w:lineRule="auto"/>
              <w:jc w:val="center"/>
              <w:rPr>
                <w:rFonts w:ascii="宋体" w:hAnsi="宋体" w:eastAsia="宋体" w:cs="宋体"/>
                <w:kern w:val="2"/>
                <w:sz w:val="24"/>
              </w:rPr>
            </w:pPr>
          </w:p>
        </w:tc>
        <w:tc>
          <w:tcPr>
            <w:tcW w:w="4819" w:type="dxa"/>
            <w:vAlign w:val="center"/>
          </w:tcPr>
          <w:p w14:paraId="076691C8">
            <w:pPr>
              <w:widowControl/>
              <w:spacing w:line="360" w:lineRule="auto"/>
              <w:rPr>
                <w:rFonts w:ascii="宋体" w:hAnsi="宋体" w:eastAsia="宋体" w:cs="宋体"/>
                <w:kern w:val="2"/>
                <w:sz w:val="24"/>
              </w:rPr>
            </w:pPr>
            <w:r>
              <w:rPr>
                <w:rFonts w:hint="eastAsia" w:ascii="宋体" w:hAnsi="宋体" w:eastAsia="宋体" w:cs="宋体"/>
                <w:kern w:val="2"/>
                <w:sz w:val="24"/>
              </w:rPr>
              <w:t>1.有较强的组织领导能力和协调能力，全面管理项目点的各项工作。</w:t>
            </w:r>
          </w:p>
          <w:p w14:paraId="5BA50050">
            <w:pPr>
              <w:widowControl/>
              <w:spacing w:line="360" w:lineRule="auto"/>
              <w:rPr>
                <w:rFonts w:ascii="宋体" w:hAnsi="宋体" w:eastAsia="宋体" w:cs="宋体"/>
                <w:kern w:val="2"/>
                <w:sz w:val="24"/>
              </w:rPr>
            </w:pPr>
            <w:r>
              <w:rPr>
                <w:rFonts w:hint="eastAsia" w:ascii="宋体" w:hAnsi="宋体" w:eastAsia="宋体" w:cs="宋体"/>
                <w:kern w:val="2"/>
                <w:sz w:val="24"/>
              </w:rPr>
              <w:t>2.负责核对项目点从业人员的工资（绩效）待遇的合法合理合规发放，员工加班安排及零星工作安排，负责对从业人员的工作时间考核和工作绩效考核；</w:t>
            </w:r>
          </w:p>
          <w:p w14:paraId="1C71C8AF">
            <w:pPr>
              <w:widowControl/>
              <w:spacing w:line="360" w:lineRule="auto"/>
              <w:rPr>
                <w:rFonts w:ascii="宋体" w:hAnsi="宋体" w:eastAsia="宋体" w:cs="宋体"/>
                <w:kern w:val="2"/>
                <w:sz w:val="24"/>
              </w:rPr>
            </w:pPr>
            <w:r>
              <w:rPr>
                <w:rFonts w:hint="eastAsia" w:ascii="宋体" w:hAnsi="宋体" w:eastAsia="宋体" w:cs="宋体"/>
                <w:kern w:val="2"/>
                <w:sz w:val="24"/>
              </w:rPr>
              <w:t>3.负责制定工作计划，合理安排人才、物力、财力，并负责监督执行、实施及总结，每</w:t>
            </w:r>
            <w:r>
              <w:rPr>
                <w:rFonts w:ascii="宋体" w:hAnsi="宋体" w:eastAsia="宋体" w:cs="宋体"/>
                <w:kern w:val="2"/>
                <w:sz w:val="24"/>
              </w:rPr>
              <w:t>周召开会议，通报情况，解决问题，</w:t>
            </w:r>
            <w:r>
              <w:rPr>
                <w:rFonts w:hint="eastAsia" w:ascii="宋体" w:hAnsi="宋体" w:eastAsia="宋体" w:cs="宋体"/>
                <w:kern w:val="2"/>
                <w:sz w:val="24"/>
              </w:rPr>
              <w:t>对属下员工的安全作业、工作质量、物料消耗、设备等负有管理责任；</w:t>
            </w:r>
          </w:p>
          <w:p w14:paraId="35C40AE0">
            <w:pPr>
              <w:widowControl/>
              <w:spacing w:line="360" w:lineRule="auto"/>
              <w:rPr>
                <w:rFonts w:ascii="宋体" w:hAnsi="宋体" w:eastAsia="宋体" w:cs="宋体"/>
                <w:kern w:val="2"/>
                <w:sz w:val="24"/>
              </w:rPr>
            </w:pPr>
            <w:r>
              <w:rPr>
                <w:rFonts w:hint="eastAsia" w:ascii="宋体" w:hAnsi="宋体" w:eastAsia="宋体" w:cs="宋体"/>
                <w:kern w:val="2"/>
                <w:sz w:val="24"/>
              </w:rPr>
              <w:t>4.组织属下员工认真完成各项日常工作，加强自身管理知识学习，制定部门各项培训计划，定期开展员工培训，不断提高管理水平和员工的业务技能；</w:t>
            </w:r>
          </w:p>
          <w:p w14:paraId="141A5C4D">
            <w:pPr>
              <w:widowControl/>
              <w:spacing w:line="360" w:lineRule="auto"/>
              <w:rPr>
                <w:rFonts w:ascii="宋体" w:hAnsi="宋体" w:eastAsia="宋体" w:cs="宋体"/>
                <w:kern w:val="2"/>
                <w:sz w:val="24"/>
              </w:rPr>
            </w:pPr>
            <w:r>
              <w:rPr>
                <w:rFonts w:hint="eastAsia" w:ascii="宋体" w:hAnsi="宋体" w:eastAsia="宋体" w:cs="宋体"/>
                <w:kern w:val="2"/>
                <w:sz w:val="24"/>
              </w:rPr>
              <w:t>5.指挥员工严格执行作业操作规程，正确使用保洁设备、工具和清洁剂；</w:t>
            </w:r>
          </w:p>
          <w:p w14:paraId="745BE1C9">
            <w:pPr>
              <w:widowControl/>
              <w:spacing w:line="360" w:lineRule="auto"/>
              <w:rPr>
                <w:rFonts w:ascii="宋体" w:hAnsi="宋体" w:eastAsia="宋体" w:cs="宋体"/>
                <w:kern w:val="2"/>
                <w:sz w:val="24"/>
              </w:rPr>
            </w:pPr>
            <w:r>
              <w:rPr>
                <w:rFonts w:hint="eastAsia" w:ascii="宋体" w:hAnsi="宋体" w:eastAsia="宋体" w:cs="宋体"/>
                <w:kern w:val="2"/>
                <w:sz w:val="24"/>
              </w:rPr>
              <w:t>6.负责监督各项工作的完成情况，发现问题及时整改；</w:t>
            </w:r>
          </w:p>
          <w:p w14:paraId="1626C290">
            <w:pPr>
              <w:widowControl/>
              <w:spacing w:line="360" w:lineRule="auto"/>
              <w:rPr>
                <w:rFonts w:ascii="宋体" w:hAnsi="宋体" w:eastAsia="宋体" w:cs="宋体"/>
                <w:kern w:val="2"/>
                <w:sz w:val="24"/>
              </w:rPr>
            </w:pPr>
            <w:r>
              <w:rPr>
                <w:rFonts w:hint="eastAsia" w:ascii="宋体" w:hAnsi="宋体" w:eastAsia="宋体" w:cs="宋体"/>
                <w:kern w:val="2"/>
                <w:sz w:val="24"/>
              </w:rPr>
              <w:t>7.抓好物业人员的环保意识建设，关注环境影响，节约能源，防止污染；</w:t>
            </w:r>
          </w:p>
          <w:p w14:paraId="5C41A6A2">
            <w:pPr>
              <w:widowControl/>
              <w:spacing w:line="360" w:lineRule="auto"/>
              <w:rPr>
                <w:rFonts w:ascii="宋体" w:hAnsi="宋体" w:eastAsia="宋体" w:cs="宋体"/>
                <w:kern w:val="2"/>
                <w:sz w:val="24"/>
              </w:rPr>
            </w:pPr>
            <w:r>
              <w:rPr>
                <w:rFonts w:hint="eastAsia" w:ascii="宋体" w:hAnsi="宋体" w:eastAsia="宋体" w:cs="宋体"/>
                <w:kern w:val="2"/>
                <w:sz w:val="24"/>
              </w:rPr>
              <w:t>8.坚持每天巡视大楼二遍，有效制止各种违章现象，检查督导各班操作规程的执行情况；</w:t>
            </w:r>
          </w:p>
          <w:p w14:paraId="1C4962A8">
            <w:pPr>
              <w:widowControl/>
              <w:spacing w:line="360" w:lineRule="auto"/>
              <w:rPr>
                <w:rFonts w:ascii="宋体" w:hAnsi="宋体" w:eastAsia="宋体" w:cs="宋体"/>
                <w:kern w:val="2"/>
                <w:sz w:val="24"/>
              </w:rPr>
            </w:pPr>
            <w:r>
              <w:rPr>
                <w:rFonts w:hint="eastAsia" w:ascii="宋体" w:hAnsi="宋体" w:eastAsia="宋体" w:cs="宋体"/>
                <w:kern w:val="2"/>
                <w:sz w:val="24"/>
              </w:rPr>
              <w:t>9.努力做好属下员工的思想品质教育，提高项目部凝聚力，最大限度地发挥和调动项目部员工的工作积极性和服务热情及责任感；</w:t>
            </w:r>
          </w:p>
          <w:p w14:paraId="4644D440">
            <w:pPr>
              <w:widowControl/>
              <w:spacing w:line="360" w:lineRule="auto"/>
              <w:rPr>
                <w:rFonts w:ascii="宋体" w:hAnsi="宋体" w:eastAsia="宋体" w:cs="宋体"/>
                <w:kern w:val="2"/>
                <w:sz w:val="24"/>
              </w:rPr>
            </w:pPr>
            <w:r>
              <w:rPr>
                <w:rFonts w:hint="eastAsia" w:ascii="宋体" w:hAnsi="宋体" w:eastAsia="宋体" w:cs="宋体"/>
                <w:kern w:val="2"/>
                <w:sz w:val="24"/>
              </w:rPr>
              <w:t>10.加强各项目部的工作协调沟通，树立整体服务意识；</w:t>
            </w:r>
          </w:p>
          <w:p w14:paraId="6A8190C0">
            <w:pPr>
              <w:widowControl/>
              <w:spacing w:line="360" w:lineRule="auto"/>
              <w:rPr>
                <w:rFonts w:ascii="宋体" w:hAnsi="宋体" w:eastAsia="宋体" w:cs="宋体"/>
                <w:kern w:val="2"/>
                <w:sz w:val="24"/>
              </w:rPr>
            </w:pPr>
            <w:r>
              <w:rPr>
                <w:rFonts w:hint="eastAsia" w:ascii="宋体" w:hAnsi="宋体" w:eastAsia="宋体" w:cs="宋体"/>
                <w:kern w:val="2"/>
                <w:sz w:val="24"/>
              </w:rPr>
              <w:t>11.建立项目部物料的计划、申购、领用</w:t>
            </w:r>
            <w:r>
              <w:rPr>
                <w:rFonts w:ascii="宋体" w:hAnsi="宋体" w:eastAsia="宋体" w:cs="宋体"/>
                <w:kern w:val="2"/>
                <w:sz w:val="24"/>
              </w:rPr>
              <w:t>、</w:t>
            </w:r>
            <w:r>
              <w:rPr>
                <w:rFonts w:hint="eastAsia" w:ascii="宋体" w:hAnsi="宋体" w:eastAsia="宋体" w:cs="宋体"/>
                <w:kern w:val="2"/>
                <w:sz w:val="24"/>
              </w:rPr>
              <w:t>使用和控制工作</w:t>
            </w:r>
            <w:r>
              <w:rPr>
                <w:rFonts w:ascii="宋体" w:hAnsi="宋体" w:eastAsia="宋体" w:cs="宋体"/>
                <w:kern w:val="2"/>
                <w:sz w:val="24"/>
              </w:rPr>
              <w:t>责任制，形成工作台账，按时</w:t>
            </w:r>
            <w:r>
              <w:rPr>
                <w:rFonts w:hint="eastAsia" w:ascii="宋体" w:hAnsi="宋体" w:eastAsia="宋体" w:cs="宋体"/>
                <w:kern w:val="2"/>
                <w:sz w:val="24"/>
              </w:rPr>
              <w:t>盘点</w:t>
            </w:r>
            <w:r>
              <w:rPr>
                <w:rFonts w:ascii="宋体" w:hAnsi="宋体" w:eastAsia="宋体" w:cs="宋体"/>
                <w:kern w:val="2"/>
                <w:sz w:val="24"/>
              </w:rPr>
              <w:t>，</w:t>
            </w:r>
            <w:r>
              <w:rPr>
                <w:rFonts w:hint="eastAsia" w:ascii="宋体" w:hAnsi="宋体" w:eastAsia="宋体" w:cs="宋体"/>
                <w:kern w:val="2"/>
                <w:sz w:val="24"/>
              </w:rPr>
              <w:t>做到物尽其用，</w:t>
            </w:r>
            <w:r>
              <w:rPr>
                <w:rFonts w:ascii="宋体" w:hAnsi="宋体" w:eastAsia="宋体" w:cs="宋体"/>
                <w:kern w:val="2"/>
                <w:sz w:val="24"/>
              </w:rPr>
              <w:t>账实相符</w:t>
            </w:r>
            <w:r>
              <w:rPr>
                <w:rFonts w:hint="eastAsia" w:ascii="宋体" w:hAnsi="宋体" w:eastAsia="宋体" w:cs="宋体"/>
                <w:kern w:val="2"/>
                <w:sz w:val="24"/>
              </w:rPr>
              <w:t>，</w:t>
            </w:r>
            <w:r>
              <w:rPr>
                <w:rFonts w:ascii="宋体" w:hAnsi="宋体" w:eastAsia="宋体" w:cs="宋体"/>
                <w:kern w:val="2"/>
                <w:sz w:val="24"/>
              </w:rPr>
              <w:t>杜绝</w:t>
            </w:r>
            <w:r>
              <w:rPr>
                <w:rFonts w:hint="eastAsia" w:ascii="宋体" w:hAnsi="宋体" w:eastAsia="宋体" w:cs="宋体"/>
                <w:kern w:val="2"/>
                <w:sz w:val="24"/>
              </w:rPr>
              <w:t>浪费</w:t>
            </w:r>
            <w:r>
              <w:rPr>
                <w:rFonts w:ascii="宋体" w:hAnsi="宋体" w:eastAsia="宋体" w:cs="宋体"/>
                <w:kern w:val="2"/>
                <w:sz w:val="24"/>
              </w:rPr>
              <w:t>和跑冒滴漏</w:t>
            </w:r>
            <w:r>
              <w:rPr>
                <w:rFonts w:hint="eastAsia" w:ascii="宋体" w:hAnsi="宋体" w:eastAsia="宋体" w:cs="宋体"/>
                <w:kern w:val="2"/>
                <w:sz w:val="24"/>
              </w:rPr>
              <w:t>；</w:t>
            </w:r>
          </w:p>
          <w:p w14:paraId="6DE33F3A">
            <w:pPr>
              <w:widowControl/>
              <w:spacing w:line="360" w:lineRule="auto"/>
              <w:rPr>
                <w:rFonts w:ascii="宋体" w:hAnsi="宋体" w:eastAsia="宋体" w:cs="宋体"/>
                <w:kern w:val="2"/>
                <w:sz w:val="24"/>
              </w:rPr>
            </w:pPr>
            <w:r>
              <w:rPr>
                <w:rFonts w:hint="eastAsia" w:ascii="宋体" w:hAnsi="宋体" w:eastAsia="宋体" w:cs="宋体"/>
                <w:kern w:val="2"/>
                <w:sz w:val="24"/>
              </w:rPr>
              <w:t>12.每</w:t>
            </w:r>
            <w:r>
              <w:rPr>
                <w:rFonts w:ascii="宋体" w:hAnsi="宋体" w:eastAsia="宋体" w:cs="宋体"/>
                <w:kern w:val="2"/>
                <w:sz w:val="24"/>
              </w:rPr>
              <w:t>日</w:t>
            </w:r>
            <w:r>
              <w:rPr>
                <w:rFonts w:hint="eastAsia" w:ascii="宋体" w:hAnsi="宋体" w:eastAsia="宋体" w:cs="宋体"/>
                <w:kern w:val="2"/>
                <w:sz w:val="24"/>
              </w:rPr>
              <w:t>收集管理事项，做好统计、分析、改进、创新等工作，据</w:t>
            </w:r>
            <w:r>
              <w:rPr>
                <w:rFonts w:ascii="宋体" w:hAnsi="宋体" w:eastAsia="宋体" w:cs="宋体"/>
                <w:kern w:val="2"/>
                <w:sz w:val="24"/>
              </w:rPr>
              <w:t>实</w:t>
            </w:r>
            <w:r>
              <w:rPr>
                <w:rFonts w:hint="eastAsia" w:ascii="宋体" w:hAnsi="宋体" w:eastAsia="宋体" w:cs="宋体"/>
                <w:kern w:val="2"/>
                <w:sz w:val="24"/>
              </w:rPr>
              <w:t>填报</w:t>
            </w:r>
            <w:r>
              <w:rPr>
                <w:rFonts w:ascii="宋体" w:hAnsi="宋体" w:eastAsia="宋体" w:cs="宋体"/>
                <w:kern w:val="2"/>
                <w:sz w:val="24"/>
              </w:rPr>
              <w:t>工作日志台账</w:t>
            </w:r>
            <w:r>
              <w:rPr>
                <w:rFonts w:hint="eastAsia" w:ascii="宋体" w:hAnsi="宋体" w:eastAsia="宋体" w:cs="宋体"/>
                <w:kern w:val="2"/>
                <w:sz w:val="24"/>
              </w:rPr>
              <w:t>；</w:t>
            </w:r>
          </w:p>
          <w:p w14:paraId="449DD410">
            <w:pPr>
              <w:widowControl/>
              <w:spacing w:line="360" w:lineRule="auto"/>
              <w:rPr>
                <w:rFonts w:ascii="宋体" w:hAnsi="宋体" w:eastAsia="宋体" w:cs="宋体"/>
                <w:kern w:val="2"/>
                <w:sz w:val="24"/>
              </w:rPr>
            </w:pPr>
            <w:r>
              <w:rPr>
                <w:rFonts w:hint="eastAsia" w:ascii="宋体" w:hAnsi="宋体" w:eastAsia="宋体" w:cs="宋体"/>
                <w:kern w:val="2"/>
                <w:sz w:val="24"/>
              </w:rPr>
              <w:t>13.完成交办的其他任务。</w:t>
            </w:r>
          </w:p>
        </w:tc>
        <w:tc>
          <w:tcPr>
            <w:tcW w:w="1538" w:type="dxa"/>
            <w:vAlign w:val="center"/>
          </w:tcPr>
          <w:p w14:paraId="50577FD2">
            <w:pPr>
              <w:widowControl/>
              <w:adjustRightInd w:val="0"/>
              <w:snapToGrid w:val="0"/>
              <w:spacing w:line="360" w:lineRule="auto"/>
              <w:jc w:val="center"/>
              <w:rPr>
                <w:rFonts w:ascii="宋体" w:hAnsi="宋体" w:eastAsia="宋体" w:cs="宋体"/>
                <w:kern w:val="2"/>
                <w:sz w:val="24"/>
              </w:rPr>
            </w:pPr>
            <w:r>
              <w:rPr>
                <w:rFonts w:hint="eastAsia" w:ascii="宋体" w:hAnsi="宋体" w:eastAsia="宋体" w:cs="宋体"/>
                <w:kern w:val="2"/>
                <w:sz w:val="24"/>
              </w:rPr>
              <w:t>2</w:t>
            </w:r>
          </w:p>
        </w:tc>
      </w:tr>
      <w:tr w14:paraId="4F241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21" w:type="dxa"/>
            <w:gridSpan w:val="2"/>
            <w:vAlign w:val="center"/>
          </w:tcPr>
          <w:p w14:paraId="76FA999A">
            <w:pPr>
              <w:widowControl/>
              <w:adjustRightInd w:val="0"/>
              <w:snapToGrid w:val="0"/>
              <w:spacing w:line="360" w:lineRule="auto"/>
              <w:jc w:val="center"/>
              <w:rPr>
                <w:rFonts w:ascii="宋体" w:hAnsi="宋体" w:eastAsia="宋体" w:cs="宋体"/>
                <w:kern w:val="2"/>
                <w:sz w:val="24"/>
              </w:rPr>
            </w:pPr>
            <w:r>
              <w:rPr>
                <w:rFonts w:hint="eastAsia" w:ascii="宋体" w:hAnsi="宋体" w:eastAsia="宋体" w:cs="宋体"/>
                <w:kern w:val="2"/>
                <w:sz w:val="24"/>
              </w:rPr>
              <w:t>工程主管</w:t>
            </w:r>
          </w:p>
        </w:tc>
        <w:tc>
          <w:tcPr>
            <w:tcW w:w="4819" w:type="dxa"/>
            <w:vAlign w:val="center"/>
          </w:tcPr>
          <w:p w14:paraId="0AA00919">
            <w:pPr>
              <w:widowControl/>
              <w:spacing w:line="360" w:lineRule="auto"/>
              <w:rPr>
                <w:rFonts w:ascii="宋体" w:hAnsi="宋体" w:eastAsia="宋体" w:cs="宋体"/>
                <w:kern w:val="2"/>
                <w:sz w:val="24"/>
              </w:rPr>
            </w:pPr>
            <w:r>
              <w:rPr>
                <w:rFonts w:hint="eastAsia" w:ascii="宋体" w:hAnsi="宋体" w:eastAsia="宋体" w:cs="宋体"/>
                <w:kern w:val="2"/>
                <w:sz w:val="24"/>
              </w:rPr>
              <w:t>1.服从工作安排，遵守纪律，树立良好服务意识。</w:t>
            </w:r>
          </w:p>
          <w:p w14:paraId="7AB00DEC">
            <w:pPr>
              <w:widowControl/>
              <w:spacing w:line="360" w:lineRule="auto"/>
              <w:rPr>
                <w:rFonts w:ascii="宋体" w:hAnsi="宋体" w:eastAsia="宋体" w:cs="宋体"/>
                <w:kern w:val="2"/>
                <w:sz w:val="24"/>
              </w:rPr>
            </w:pPr>
            <w:r>
              <w:rPr>
                <w:rFonts w:hint="eastAsia" w:ascii="宋体" w:hAnsi="宋体" w:eastAsia="宋体" w:cs="宋体"/>
                <w:kern w:val="2"/>
                <w:sz w:val="24"/>
              </w:rPr>
              <w:t>2.负责本物业区域维修工作，熟悉物业管理区域内公用配套设施、设备的种类、分布，掌握各类线路的分布、走向、位置以及其维修保养的方法。</w:t>
            </w:r>
          </w:p>
          <w:p w14:paraId="08F6E7A2">
            <w:pPr>
              <w:widowControl/>
              <w:spacing w:line="360" w:lineRule="auto"/>
              <w:rPr>
                <w:rFonts w:ascii="宋体" w:hAnsi="宋体" w:eastAsia="宋体" w:cs="宋体"/>
                <w:kern w:val="2"/>
                <w:sz w:val="24"/>
              </w:rPr>
            </w:pPr>
            <w:r>
              <w:rPr>
                <w:rFonts w:hint="eastAsia" w:ascii="宋体" w:hAnsi="宋体" w:eastAsia="宋体" w:cs="宋体"/>
                <w:kern w:val="2"/>
                <w:sz w:val="24"/>
              </w:rPr>
              <w:t>3.对物业管理区域开展经常巡视，填写</w:t>
            </w:r>
            <w:r>
              <w:rPr>
                <w:rFonts w:ascii="宋体" w:hAnsi="宋体" w:eastAsia="宋体" w:cs="宋体"/>
                <w:kern w:val="2"/>
                <w:sz w:val="24"/>
              </w:rPr>
              <w:t>巡查记录</w:t>
            </w:r>
            <w:r>
              <w:rPr>
                <w:rFonts w:hint="eastAsia" w:ascii="宋体" w:hAnsi="宋体" w:eastAsia="宋体" w:cs="宋体"/>
                <w:kern w:val="2"/>
                <w:sz w:val="24"/>
              </w:rPr>
              <w:t>，发现公用设施有损坏、隐患或其他异常情况，应及时给予维修，保证公共配套设施、设备的正常运行。</w:t>
            </w:r>
          </w:p>
          <w:p w14:paraId="4E11CB82">
            <w:pPr>
              <w:widowControl/>
              <w:spacing w:line="360" w:lineRule="auto"/>
              <w:rPr>
                <w:rFonts w:ascii="宋体" w:hAnsi="宋体" w:eastAsia="宋体" w:cs="宋体"/>
                <w:kern w:val="2"/>
                <w:sz w:val="24"/>
              </w:rPr>
            </w:pPr>
            <w:r>
              <w:rPr>
                <w:rFonts w:hint="eastAsia" w:ascii="宋体" w:hAnsi="宋体" w:eastAsia="宋体" w:cs="宋体"/>
                <w:kern w:val="2"/>
                <w:sz w:val="24"/>
              </w:rPr>
              <w:t>4.积极为提供多项便民服务，接到报修，应及时赶到现场，排除故障。确有困难应立即与负责人联系。</w:t>
            </w:r>
          </w:p>
          <w:p w14:paraId="59F00FE0">
            <w:pPr>
              <w:widowControl/>
              <w:spacing w:line="360" w:lineRule="auto"/>
              <w:rPr>
                <w:rFonts w:ascii="宋体" w:hAnsi="宋体" w:eastAsia="宋体" w:cs="宋体"/>
                <w:kern w:val="2"/>
                <w:sz w:val="24"/>
              </w:rPr>
            </w:pPr>
            <w:r>
              <w:rPr>
                <w:rFonts w:hint="eastAsia" w:ascii="宋体" w:hAnsi="宋体" w:eastAsia="宋体" w:cs="宋体"/>
                <w:kern w:val="2"/>
                <w:sz w:val="24"/>
              </w:rPr>
              <w:t>5.发现重要电气设备故障时，应及时汇报，组织人员抢修，分析事故原因，做好记录，提出建议。</w:t>
            </w:r>
          </w:p>
          <w:p w14:paraId="077EC809">
            <w:pPr>
              <w:widowControl/>
              <w:spacing w:line="360" w:lineRule="auto"/>
              <w:rPr>
                <w:rFonts w:ascii="宋体" w:hAnsi="宋体" w:eastAsia="宋体" w:cs="宋体"/>
                <w:kern w:val="2"/>
                <w:sz w:val="24"/>
              </w:rPr>
            </w:pPr>
            <w:r>
              <w:rPr>
                <w:rFonts w:hint="eastAsia" w:ascii="宋体" w:hAnsi="宋体" w:eastAsia="宋体" w:cs="宋体"/>
                <w:kern w:val="2"/>
                <w:sz w:val="24"/>
              </w:rPr>
              <w:t>6.定期清洁配电房等设备机房，做到“三净”（设备净、机房净、工作场地净），确保设备正常运行。</w:t>
            </w:r>
          </w:p>
          <w:p w14:paraId="6F0F1B5E">
            <w:pPr>
              <w:widowControl/>
              <w:spacing w:line="360" w:lineRule="auto"/>
              <w:rPr>
                <w:rFonts w:ascii="宋体" w:hAnsi="宋体" w:eastAsia="宋体" w:cs="宋体"/>
                <w:kern w:val="2"/>
                <w:sz w:val="24"/>
              </w:rPr>
            </w:pPr>
            <w:r>
              <w:rPr>
                <w:rFonts w:hint="eastAsia" w:ascii="宋体" w:hAnsi="宋体" w:eastAsia="宋体" w:cs="宋体"/>
                <w:kern w:val="2"/>
                <w:sz w:val="24"/>
              </w:rPr>
              <w:t>7.工作时间按规定着装，佩戴工作牌，严格遵守操作规程、工作标准，坚决贯彻执行安全第一的原则。</w:t>
            </w:r>
          </w:p>
          <w:p w14:paraId="119A755A">
            <w:pPr>
              <w:widowControl/>
              <w:spacing w:line="360" w:lineRule="auto"/>
              <w:rPr>
                <w:rFonts w:ascii="宋体" w:hAnsi="宋体" w:eastAsia="宋体" w:cs="宋体"/>
                <w:kern w:val="2"/>
                <w:sz w:val="24"/>
              </w:rPr>
            </w:pPr>
            <w:r>
              <w:rPr>
                <w:rFonts w:hint="eastAsia" w:ascii="宋体" w:hAnsi="宋体" w:eastAsia="宋体" w:cs="宋体"/>
                <w:kern w:val="2"/>
                <w:sz w:val="24"/>
              </w:rPr>
              <w:t>8.树立绿色</w:t>
            </w:r>
            <w:r>
              <w:rPr>
                <w:rFonts w:ascii="宋体" w:hAnsi="宋体" w:eastAsia="宋体" w:cs="宋体"/>
                <w:kern w:val="2"/>
                <w:sz w:val="24"/>
              </w:rPr>
              <w:t>节能</w:t>
            </w:r>
            <w:r>
              <w:rPr>
                <w:rFonts w:hint="eastAsia" w:ascii="宋体" w:hAnsi="宋体" w:eastAsia="宋体" w:cs="宋体"/>
                <w:kern w:val="2"/>
                <w:sz w:val="24"/>
              </w:rPr>
              <w:t>意识</w:t>
            </w:r>
            <w:r>
              <w:rPr>
                <w:rFonts w:ascii="宋体" w:hAnsi="宋体" w:eastAsia="宋体" w:cs="宋体"/>
                <w:kern w:val="2"/>
                <w:sz w:val="24"/>
              </w:rPr>
              <w:t>，主动发现</w:t>
            </w:r>
            <w:r>
              <w:rPr>
                <w:rFonts w:hint="eastAsia" w:ascii="宋体" w:hAnsi="宋体" w:eastAsia="宋体" w:cs="宋体"/>
                <w:kern w:val="2"/>
                <w:sz w:val="24"/>
              </w:rPr>
              <w:t>、</w:t>
            </w:r>
            <w:r>
              <w:rPr>
                <w:rFonts w:ascii="宋体" w:hAnsi="宋体" w:eastAsia="宋体" w:cs="宋体"/>
                <w:kern w:val="2"/>
                <w:sz w:val="24"/>
              </w:rPr>
              <w:t>及时堵塞</w:t>
            </w:r>
            <w:r>
              <w:rPr>
                <w:rFonts w:hint="eastAsia" w:ascii="宋体" w:hAnsi="宋体" w:eastAsia="宋体" w:cs="宋体"/>
                <w:kern w:val="2"/>
                <w:sz w:val="24"/>
              </w:rPr>
              <w:t>节能</w:t>
            </w:r>
            <w:r>
              <w:rPr>
                <w:rFonts w:ascii="宋体" w:hAnsi="宋体" w:eastAsia="宋体" w:cs="宋体"/>
                <w:kern w:val="2"/>
                <w:sz w:val="24"/>
              </w:rPr>
              <w:t>漏</w:t>
            </w:r>
            <w:r>
              <w:rPr>
                <w:rFonts w:hint="eastAsia" w:ascii="宋体" w:hAnsi="宋体" w:eastAsia="宋体" w:cs="宋体"/>
                <w:kern w:val="2"/>
                <w:sz w:val="24"/>
              </w:rPr>
              <w:t>洞</w:t>
            </w:r>
            <w:r>
              <w:rPr>
                <w:rFonts w:ascii="宋体" w:hAnsi="宋体" w:eastAsia="宋体" w:cs="宋体"/>
                <w:kern w:val="2"/>
                <w:sz w:val="24"/>
              </w:rPr>
              <w:t>，</w:t>
            </w:r>
            <w:r>
              <w:rPr>
                <w:rFonts w:hint="eastAsia" w:ascii="宋体" w:hAnsi="宋体" w:eastAsia="宋体" w:cs="宋体"/>
                <w:kern w:val="2"/>
                <w:sz w:val="24"/>
              </w:rPr>
              <w:t>提出合理</w:t>
            </w:r>
            <w:r>
              <w:rPr>
                <w:rFonts w:ascii="宋体" w:hAnsi="宋体" w:eastAsia="宋体" w:cs="宋体"/>
                <w:kern w:val="2"/>
                <w:sz w:val="24"/>
              </w:rPr>
              <w:t>化节能</w:t>
            </w:r>
            <w:r>
              <w:rPr>
                <w:rFonts w:hint="eastAsia" w:ascii="宋体" w:hAnsi="宋体" w:eastAsia="宋体" w:cs="宋体"/>
                <w:kern w:val="2"/>
                <w:sz w:val="24"/>
              </w:rPr>
              <w:t>建议</w:t>
            </w:r>
            <w:r>
              <w:rPr>
                <w:rFonts w:ascii="宋体" w:hAnsi="宋体" w:eastAsia="宋体" w:cs="宋体"/>
                <w:kern w:val="2"/>
                <w:sz w:val="24"/>
              </w:rPr>
              <w:t>，</w:t>
            </w:r>
            <w:r>
              <w:rPr>
                <w:rFonts w:hint="eastAsia" w:ascii="宋体" w:hAnsi="宋体" w:eastAsia="宋体" w:cs="宋体"/>
                <w:kern w:val="2"/>
                <w:sz w:val="24"/>
              </w:rPr>
              <w:t>积极参加岗位培训，刻苦钻研技术，不断提高工作水准，做好节能节材工作。</w:t>
            </w:r>
          </w:p>
          <w:p w14:paraId="64FB1AF4">
            <w:pPr>
              <w:widowControl/>
              <w:spacing w:line="360" w:lineRule="auto"/>
              <w:rPr>
                <w:rFonts w:ascii="宋体" w:hAnsi="宋体" w:eastAsia="宋体" w:cs="宋体"/>
                <w:kern w:val="2"/>
                <w:sz w:val="24"/>
              </w:rPr>
            </w:pPr>
            <w:r>
              <w:rPr>
                <w:rFonts w:hint="eastAsia" w:ascii="宋体" w:hAnsi="宋体" w:eastAsia="宋体" w:cs="宋体"/>
                <w:kern w:val="2"/>
                <w:sz w:val="24"/>
              </w:rPr>
              <w:t>9.发挥工作主动性，完成交办的其他工作。</w:t>
            </w:r>
          </w:p>
        </w:tc>
        <w:tc>
          <w:tcPr>
            <w:tcW w:w="1538" w:type="dxa"/>
            <w:vAlign w:val="center"/>
          </w:tcPr>
          <w:p w14:paraId="347613C1">
            <w:pPr>
              <w:widowControl/>
              <w:adjustRightInd w:val="0"/>
              <w:snapToGrid w:val="0"/>
              <w:spacing w:line="360" w:lineRule="auto"/>
              <w:jc w:val="center"/>
              <w:rPr>
                <w:rFonts w:ascii="宋体" w:hAnsi="宋体" w:eastAsia="宋体" w:cs="宋体"/>
                <w:kern w:val="2"/>
                <w:sz w:val="24"/>
              </w:rPr>
            </w:pPr>
            <w:r>
              <w:rPr>
                <w:rFonts w:hint="eastAsia" w:ascii="宋体" w:hAnsi="宋体" w:eastAsia="宋体" w:cs="宋体"/>
                <w:kern w:val="2"/>
                <w:sz w:val="24"/>
              </w:rPr>
              <w:t>1</w:t>
            </w:r>
          </w:p>
        </w:tc>
      </w:tr>
      <w:tr w14:paraId="146DD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jc w:val="center"/>
        </w:trPr>
        <w:tc>
          <w:tcPr>
            <w:tcW w:w="2021" w:type="dxa"/>
            <w:gridSpan w:val="2"/>
            <w:vAlign w:val="center"/>
          </w:tcPr>
          <w:p w14:paraId="40B8C028">
            <w:pPr>
              <w:widowControl/>
              <w:adjustRightInd w:val="0"/>
              <w:snapToGrid w:val="0"/>
              <w:spacing w:line="360" w:lineRule="auto"/>
              <w:jc w:val="center"/>
              <w:rPr>
                <w:rFonts w:ascii="宋体" w:hAnsi="宋体" w:eastAsia="宋体" w:cs="宋体"/>
                <w:kern w:val="2"/>
                <w:sz w:val="24"/>
              </w:rPr>
            </w:pPr>
            <w:r>
              <w:rPr>
                <w:rFonts w:hint="eastAsia" w:ascii="宋体" w:hAnsi="宋体" w:eastAsia="宋体" w:cs="宋体"/>
                <w:kern w:val="2"/>
                <w:sz w:val="24"/>
              </w:rPr>
              <w:t>工程维修</w:t>
            </w:r>
          </w:p>
        </w:tc>
        <w:tc>
          <w:tcPr>
            <w:tcW w:w="4819" w:type="dxa"/>
            <w:vAlign w:val="center"/>
          </w:tcPr>
          <w:p w14:paraId="6A0EF65F">
            <w:pPr>
              <w:widowControl/>
              <w:spacing w:line="360" w:lineRule="auto"/>
              <w:rPr>
                <w:rFonts w:ascii="宋体" w:hAnsi="宋体" w:eastAsia="宋体" w:cs="宋体"/>
                <w:kern w:val="2"/>
                <w:sz w:val="24"/>
              </w:rPr>
            </w:pPr>
            <w:r>
              <w:rPr>
                <w:rFonts w:hint="eastAsia" w:ascii="宋体" w:hAnsi="宋体" w:eastAsia="宋体" w:cs="宋体"/>
                <w:kern w:val="2"/>
                <w:sz w:val="24"/>
              </w:rPr>
              <w:t>配合工程主管完成工作，服从工作安排</w:t>
            </w:r>
          </w:p>
        </w:tc>
        <w:tc>
          <w:tcPr>
            <w:tcW w:w="1538" w:type="dxa"/>
            <w:vAlign w:val="center"/>
          </w:tcPr>
          <w:p w14:paraId="5EB53869">
            <w:pPr>
              <w:widowControl/>
              <w:adjustRightInd w:val="0"/>
              <w:snapToGrid w:val="0"/>
              <w:spacing w:line="360" w:lineRule="auto"/>
              <w:jc w:val="center"/>
              <w:rPr>
                <w:rFonts w:ascii="宋体" w:hAnsi="宋体" w:eastAsia="宋体" w:cs="宋体"/>
                <w:kern w:val="2"/>
                <w:sz w:val="24"/>
              </w:rPr>
            </w:pPr>
            <w:r>
              <w:rPr>
                <w:rFonts w:hint="eastAsia" w:ascii="宋体" w:hAnsi="宋体" w:eastAsia="宋体" w:cs="宋体"/>
                <w:kern w:val="2"/>
                <w:sz w:val="24"/>
              </w:rPr>
              <w:t>2</w:t>
            </w:r>
          </w:p>
        </w:tc>
      </w:tr>
      <w:tr w14:paraId="7711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2021" w:type="dxa"/>
            <w:gridSpan w:val="2"/>
            <w:vAlign w:val="center"/>
          </w:tcPr>
          <w:p w14:paraId="68320F83">
            <w:pPr>
              <w:widowControl/>
              <w:adjustRightInd w:val="0"/>
              <w:snapToGrid w:val="0"/>
              <w:spacing w:line="360" w:lineRule="auto"/>
              <w:jc w:val="center"/>
              <w:rPr>
                <w:rFonts w:ascii="宋体" w:hAnsi="宋体" w:eastAsia="宋体" w:cs="宋体"/>
                <w:kern w:val="2"/>
                <w:sz w:val="24"/>
              </w:rPr>
            </w:pPr>
            <w:r>
              <w:rPr>
                <w:rFonts w:hint="eastAsia" w:ascii="宋体" w:hAnsi="宋体" w:eastAsia="宋体" w:cs="宋体"/>
                <w:kern w:val="2"/>
                <w:sz w:val="24"/>
              </w:rPr>
              <w:t>监控、消防控制</w:t>
            </w:r>
          </w:p>
        </w:tc>
        <w:tc>
          <w:tcPr>
            <w:tcW w:w="4819" w:type="dxa"/>
            <w:vAlign w:val="center"/>
          </w:tcPr>
          <w:p w14:paraId="7AFBC3A3">
            <w:pPr>
              <w:widowControl/>
              <w:spacing w:line="360" w:lineRule="auto"/>
              <w:rPr>
                <w:rFonts w:ascii="宋体" w:hAnsi="宋体" w:eastAsia="宋体" w:cs="宋体"/>
                <w:kern w:val="2"/>
                <w:sz w:val="24"/>
              </w:rPr>
            </w:pPr>
            <w:r>
              <w:rPr>
                <w:rFonts w:hint="eastAsia" w:ascii="宋体" w:hAnsi="宋体" w:eastAsia="宋体" w:cs="宋体"/>
                <w:kern w:val="2"/>
                <w:sz w:val="24"/>
              </w:rPr>
              <w:t>1.遵守相关消防控制室的规章制度。</w:t>
            </w:r>
          </w:p>
          <w:p w14:paraId="2DDC6111">
            <w:pPr>
              <w:widowControl/>
              <w:spacing w:line="360" w:lineRule="auto"/>
              <w:rPr>
                <w:rFonts w:ascii="宋体" w:hAnsi="宋体" w:eastAsia="宋体" w:cs="宋体"/>
                <w:kern w:val="2"/>
                <w:sz w:val="24"/>
              </w:rPr>
            </w:pPr>
            <w:r>
              <w:rPr>
                <w:rFonts w:hint="eastAsia" w:ascii="宋体" w:hAnsi="宋体" w:eastAsia="宋体" w:cs="宋体"/>
                <w:kern w:val="2"/>
                <w:sz w:val="24"/>
              </w:rPr>
              <w:t xml:space="preserve">2.消防监控中心24小时专人值守，对所有消防监控点实施监控无遗漏。 </w:t>
            </w:r>
          </w:p>
          <w:p w14:paraId="4248C1B2">
            <w:pPr>
              <w:widowControl/>
              <w:spacing w:line="360" w:lineRule="auto"/>
              <w:rPr>
                <w:rFonts w:ascii="宋体" w:hAnsi="宋体" w:eastAsia="宋体" w:cs="宋体"/>
                <w:kern w:val="2"/>
                <w:sz w:val="24"/>
              </w:rPr>
            </w:pPr>
            <w:r>
              <w:rPr>
                <w:rFonts w:hint="eastAsia" w:ascii="宋体" w:hAnsi="宋体" w:eastAsia="宋体" w:cs="宋体"/>
                <w:kern w:val="2"/>
                <w:sz w:val="24"/>
              </w:rPr>
              <w:t>3.技术防范设施（如安防监控、周界报警等）能有效使用，对所反应的信息实施管理并及时处理。</w:t>
            </w:r>
          </w:p>
          <w:p w14:paraId="4A7A46A7">
            <w:pPr>
              <w:widowControl/>
              <w:spacing w:line="360" w:lineRule="auto"/>
              <w:rPr>
                <w:rFonts w:ascii="宋体" w:hAnsi="宋体" w:eastAsia="宋体" w:cs="宋体"/>
                <w:kern w:val="2"/>
                <w:sz w:val="24"/>
              </w:rPr>
            </w:pPr>
            <w:r>
              <w:rPr>
                <w:rFonts w:hint="eastAsia" w:ascii="宋体" w:hAnsi="宋体" w:eastAsia="宋体" w:cs="宋体"/>
                <w:kern w:val="2"/>
                <w:sz w:val="24"/>
              </w:rPr>
              <w:t>4.消防监控中心接到报警信号，相关人员五分钟到达现场进行处理，中心应接受救助要求，解答询问。</w:t>
            </w:r>
          </w:p>
          <w:p w14:paraId="459AA9BA">
            <w:pPr>
              <w:widowControl/>
              <w:spacing w:line="360" w:lineRule="auto"/>
              <w:rPr>
                <w:rFonts w:ascii="宋体" w:hAnsi="宋体" w:eastAsia="宋体" w:cs="宋体"/>
                <w:kern w:val="2"/>
                <w:sz w:val="24"/>
              </w:rPr>
            </w:pPr>
            <w:r>
              <w:rPr>
                <w:rFonts w:hint="eastAsia" w:ascii="宋体" w:hAnsi="宋体" w:eastAsia="宋体" w:cs="宋体"/>
                <w:kern w:val="2"/>
                <w:sz w:val="24"/>
              </w:rPr>
              <w:t>5.消防监控员要全面熟悉监控室内的各</w:t>
            </w:r>
            <w:r>
              <w:rPr>
                <w:rFonts w:ascii="宋体" w:hAnsi="宋体" w:eastAsia="宋体" w:cs="宋体"/>
                <w:kern w:val="2"/>
                <w:sz w:val="24"/>
              </w:rPr>
              <w:t>类</w:t>
            </w:r>
            <w:r>
              <w:rPr>
                <w:rFonts w:hint="eastAsia" w:ascii="宋体" w:hAnsi="宋体" w:eastAsia="宋体" w:cs="宋体"/>
                <w:kern w:val="2"/>
                <w:sz w:val="24"/>
              </w:rPr>
              <w:t>设备功能和使用程序与方法，确保设备的正常运转，发挥其应有的作用。</w:t>
            </w:r>
          </w:p>
          <w:p w14:paraId="5790EC28">
            <w:pPr>
              <w:widowControl/>
              <w:spacing w:line="360" w:lineRule="auto"/>
              <w:rPr>
                <w:rFonts w:ascii="宋体" w:hAnsi="宋体" w:eastAsia="宋体" w:cs="宋体"/>
                <w:kern w:val="2"/>
                <w:sz w:val="24"/>
              </w:rPr>
            </w:pPr>
            <w:r>
              <w:rPr>
                <w:rFonts w:hint="eastAsia" w:ascii="宋体" w:hAnsi="宋体" w:eastAsia="宋体" w:cs="宋体"/>
                <w:kern w:val="2"/>
                <w:sz w:val="24"/>
              </w:rPr>
              <w:t>6.负责消防监控中心电视屏幕的监视工作，并密切监视消防控制屏和电脑显示系统。全面观察和掌握各个区域的治安动态，发现问题正确分析,果断决定，及时报告并与有关岗哨取得联系。</w:t>
            </w:r>
          </w:p>
          <w:p w14:paraId="1349B971">
            <w:pPr>
              <w:widowControl/>
              <w:spacing w:line="360" w:lineRule="auto"/>
              <w:rPr>
                <w:rFonts w:ascii="宋体" w:hAnsi="宋体" w:eastAsia="宋体" w:cs="宋体"/>
                <w:kern w:val="2"/>
                <w:sz w:val="24"/>
              </w:rPr>
            </w:pPr>
            <w:r>
              <w:rPr>
                <w:rFonts w:hint="eastAsia" w:ascii="宋体" w:hAnsi="宋体" w:eastAsia="宋体" w:cs="宋体"/>
                <w:kern w:val="2"/>
                <w:sz w:val="24"/>
              </w:rPr>
              <w:t>7.负责对重点部位和可疑情况的电视录像工作。</w:t>
            </w:r>
          </w:p>
          <w:p w14:paraId="0C84200E">
            <w:pPr>
              <w:widowControl/>
              <w:spacing w:line="360" w:lineRule="auto"/>
              <w:rPr>
                <w:rFonts w:ascii="宋体" w:hAnsi="宋体" w:eastAsia="宋体" w:cs="宋体"/>
                <w:kern w:val="2"/>
                <w:sz w:val="24"/>
              </w:rPr>
            </w:pPr>
            <w:r>
              <w:rPr>
                <w:rFonts w:hint="eastAsia" w:ascii="宋体" w:hAnsi="宋体" w:eastAsia="宋体" w:cs="宋体"/>
                <w:kern w:val="2"/>
                <w:sz w:val="24"/>
              </w:rPr>
              <w:t>8.负责录像资料的保管工作。</w:t>
            </w:r>
          </w:p>
          <w:p w14:paraId="087CBA19">
            <w:pPr>
              <w:widowControl/>
              <w:spacing w:line="360" w:lineRule="auto"/>
              <w:rPr>
                <w:rFonts w:ascii="宋体" w:hAnsi="宋体" w:eastAsia="宋体" w:cs="宋体"/>
                <w:kern w:val="2"/>
                <w:sz w:val="24"/>
              </w:rPr>
            </w:pPr>
            <w:r>
              <w:rPr>
                <w:rFonts w:hint="eastAsia" w:ascii="宋体" w:hAnsi="宋体" w:eastAsia="宋体" w:cs="宋体"/>
                <w:kern w:val="2"/>
                <w:sz w:val="24"/>
              </w:rPr>
              <w:t>9.负责查出报警位置，及时现场查看并处理。</w:t>
            </w:r>
          </w:p>
          <w:p w14:paraId="5879EA24">
            <w:pPr>
              <w:widowControl/>
              <w:spacing w:line="360" w:lineRule="auto"/>
              <w:rPr>
                <w:rFonts w:ascii="宋体" w:hAnsi="宋体" w:eastAsia="宋体" w:cs="宋体"/>
                <w:kern w:val="2"/>
                <w:sz w:val="24"/>
              </w:rPr>
            </w:pPr>
            <w:r>
              <w:rPr>
                <w:rFonts w:hint="eastAsia" w:ascii="宋体" w:hAnsi="宋体" w:eastAsia="宋体" w:cs="宋体"/>
                <w:kern w:val="2"/>
                <w:sz w:val="24"/>
              </w:rPr>
              <w:t>10.做好资料保管和保密工作，无关人员不准进入消防监控室，不准向无关人员谈及消防监控室的运作情况和值班情况。</w:t>
            </w:r>
          </w:p>
          <w:p w14:paraId="7371AE69">
            <w:pPr>
              <w:widowControl/>
              <w:spacing w:line="360" w:lineRule="auto"/>
              <w:rPr>
                <w:rFonts w:ascii="宋体" w:hAnsi="宋体" w:eastAsia="宋体" w:cs="宋体"/>
                <w:kern w:val="2"/>
                <w:sz w:val="24"/>
              </w:rPr>
            </w:pPr>
            <w:r>
              <w:rPr>
                <w:rFonts w:hint="eastAsia" w:ascii="宋体" w:hAnsi="宋体" w:eastAsia="宋体" w:cs="宋体"/>
                <w:kern w:val="2"/>
                <w:sz w:val="24"/>
              </w:rPr>
              <w:t>11.如确需进入消防监控室，须有甲方负责人批准，由消防监控人员做好登记工作。</w:t>
            </w:r>
          </w:p>
          <w:p w14:paraId="701587C6">
            <w:pPr>
              <w:widowControl/>
              <w:spacing w:line="360" w:lineRule="auto"/>
              <w:rPr>
                <w:rFonts w:ascii="宋体" w:hAnsi="宋体" w:eastAsia="宋体" w:cs="宋体"/>
                <w:kern w:val="2"/>
                <w:sz w:val="24"/>
              </w:rPr>
            </w:pPr>
            <w:r>
              <w:rPr>
                <w:rFonts w:hint="eastAsia" w:ascii="宋体" w:hAnsi="宋体" w:eastAsia="宋体" w:cs="宋体"/>
                <w:kern w:val="2"/>
                <w:sz w:val="24"/>
              </w:rPr>
              <w:t>12.完成其他工作任务。</w:t>
            </w:r>
          </w:p>
          <w:p w14:paraId="207E567C">
            <w:pPr>
              <w:widowControl/>
              <w:spacing w:line="360" w:lineRule="auto"/>
              <w:rPr>
                <w:rFonts w:ascii="宋体" w:hAnsi="宋体" w:eastAsia="宋体" w:cs="宋体"/>
                <w:kern w:val="2"/>
                <w:sz w:val="24"/>
              </w:rPr>
            </w:pPr>
            <w:r>
              <w:rPr>
                <w:rFonts w:hint="eastAsia" w:ascii="宋体" w:hAnsi="宋体" w:eastAsia="宋体" w:cs="宋体"/>
                <w:kern w:val="2"/>
                <w:sz w:val="24"/>
              </w:rPr>
              <w:t>1</w:t>
            </w:r>
            <w:r>
              <w:rPr>
                <w:rFonts w:hint="eastAsia" w:ascii="宋体" w:hAnsi="宋体" w:eastAsia="宋体" w:cs="宋体"/>
                <w:kern w:val="2"/>
                <w:sz w:val="24"/>
                <w:szCs w:val="24"/>
              </w:rPr>
              <w:t>3.</w:t>
            </w:r>
            <w:r>
              <w:rPr>
                <w:rFonts w:ascii="宋体" w:hAnsi="宋体" w:eastAsia="宋体" w:cs="宋体"/>
                <w:kern w:val="2"/>
                <w:sz w:val="24"/>
                <w:szCs w:val="24"/>
              </w:rPr>
              <w:t>需具备</w:t>
            </w:r>
            <w:r>
              <w:rPr>
                <w:rFonts w:hint="eastAsia" w:ascii="宋体" w:hAnsi="宋体" w:eastAsia="宋体" w:cs="宋体"/>
                <w:kern w:val="2"/>
                <w:sz w:val="24"/>
                <w:szCs w:val="24"/>
              </w:rPr>
              <w:t>消防设施操作员（</w:t>
            </w:r>
            <w:bookmarkStart w:id="41" w:name="OLE_LINK67"/>
            <w:bookmarkStart w:id="42" w:name="OLE_LINK66"/>
            <w:r>
              <w:rPr>
                <w:rFonts w:hint="eastAsia" w:ascii="宋体" w:hAnsi="宋体" w:eastAsia="宋体" w:cs="宋体"/>
                <w:kern w:val="2"/>
                <w:sz w:val="24"/>
                <w:szCs w:val="24"/>
              </w:rPr>
              <w:t>五级/初级及以上</w:t>
            </w:r>
            <w:bookmarkEnd w:id="41"/>
            <w:bookmarkEnd w:id="42"/>
            <w:r>
              <w:rPr>
                <w:rFonts w:hint="eastAsia" w:ascii="宋体" w:hAnsi="宋体" w:eastAsia="宋体" w:cs="宋体"/>
                <w:kern w:val="2"/>
                <w:sz w:val="24"/>
                <w:szCs w:val="24"/>
              </w:rPr>
              <w:t>）资格证书</w:t>
            </w:r>
            <w:r>
              <w:rPr>
                <w:rFonts w:ascii="宋体" w:hAnsi="宋体" w:eastAsia="宋体" w:cs="宋体"/>
                <w:kern w:val="2"/>
                <w:sz w:val="24"/>
                <w:szCs w:val="24"/>
              </w:rPr>
              <w:t>。</w:t>
            </w:r>
          </w:p>
        </w:tc>
        <w:tc>
          <w:tcPr>
            <w:tcW w:w="1538" w:type="dxa"/>
            <w:vAlign w:val="center"/>
          </w:tcPr>
          <w:p w14:paraId="53073646">
            <w:pPr>
              <w:widowControl/>
              <w:adjustRightInd w:val="0"/>
              <w:snapToGrid w:val="0"/>
              <w:spacing w:line="360" w:lineRule="auto"/>
              <w:jc w:val="center"/>
              <w:rPr>
                <w:rFonts w:ascii="宋体" w:hAnsi="宋体" w:eastAsia="宋体" w:cs="宋体"/>
                <w:kern w:val="2"/>
                <w:sz w:val="24"/>
              </w:rPr>
            </w:pPr>
            <w:r>
              <w:rPr>
                <w:rFonts w:hint="eastAsia" w:ascii="宋体" w:hAnsi="宋体" w:eastAsia="宋体" w:cs="宋体"/>
                <w:kern w:val="2"/>
                <w:sz w:val="24"/>
              </w:rPr>
              <w:t>12</w:t>
            </w:r>
          </w:p>
        </w:tc>
      </w:tr>
      <w:tr w14:paraId="0409C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745" w:type="dxa"/>
            <w:vMerge w:val="restart"/>
            <w:vAlign w:val="center"/>
          </w:tcPr>
          <w:p w14:paraId="028A6C83">
            <w:pPr>
              <w:widowControl/>
              <w:adjustRightInd w:val="0"/>
              <w:snapToGrid w:val="0"/>
              <w:spacing w:line="360" w:lineRule="auto"/>
              <w:jc w:val="center"/>
              <w:rPr>
                <w:rFonts w:ascii="宋体" w:hAnsi="宋体" w:eastAsia="宋体" w:cs="宋体"/>
                <w:kern w:val="2"/>
                <w:sz w:val="24"/>
              </w:rPr>
            </w:pPr>
            <w:r>
              <w:rPr>
                <w:rFonts w:hint="eastAsia" w:ascii="宋体" w:hAnsi="宋体" w:eastAsia="宋体" w:cs="宋体"/>
                <w:kern w:val="2"/>
                <w:sz w:val="24"/>
              </w:rPr>
              <w:t>秩序维护</w:t>
            </w:r>
          </w:p>
        </w:tc>
        <w:tc>
          <w:tcPr>
            <w:tcW w:w="1276" w:type="dxa"/>
            <w:vAlign w:val="center"/>
          </w:tcPr>
          <w:p w14:paraId="158BF9DF">
            <w:pPr>
              <w:widowControl/>
              <w:adjustRightInd w:val="0"/>
              <w:snapToGrid w:val="0"/>
              <w:spacing w:line="360" w:lineRule="auto"/>
              <w:jc w:val="center"/>
              <w:rPr>
                <w:rFonts w:ascii="宋体" w:hAnsi="宋体" w:eastAsia="宋体" w:cs="宋体"/>
                <w:kern w:val="2"/>
                <w:sz w:val="24"/>
              </w:rPr>
            </w:pPr>
            <w:r>
              <w:rPr>
                <w:rFonts w:hint="eastAsia" w:ascii="宋体" w:hAnsi="宋体" w:eastAsia="宋体" w:cs="宋体"/>
                <w:kern w:val="2"/>
                <w:sz w:val="24"/>
              </w:rPr>
              <w:t>队长</w:t>
            </w:r>
          </w:p>
        </w:tc>
        <w:tc>
          <w:tcPr>
            <w:tcW w:w="4819" w:type="dxa"/>
            <w:vAlign w:val="center"/>
          </w:tcPr>
          <w:p w14:paraId="32739B7E">
            <w:pPr>
              <w:widowControl/>
              <w:spacing w:line="360" w:lineRule="auto"/>
              <w:rPr>
                <w:rFonts w:ascii="宋体" w:hAnsi="宋体" w:eastAsia="宋体" w:cs="宋体"/>
                <w:kern w:val="2"/>
                <w:sz w:val="24"/>
              </w:rPr>
            </w:pPr>
            <w:r>
              <w:rPr>
                <w:rFonts w:hint="eastAsia" w:ascii="宋体" w:hAnsi="宋体" w:eastAsia="宋体" w:cs="宋体"/>
                <w:kern w:val="2"/>
                <w:sz w:val="24"/>
              </w:rPr>
              <w:t>统筹安排秩序维护工作；服从安排，完成其他临时工作。50周岁及以下。</w:t>
            </w:r>
          </w:p>
        </w:tc>
        <w:tc>
          <w:tcPr>
            <w:tcW w:w="1538" w:type="dxa"/>
            <w:vAlign w:val="center"/>
          </w:tcPr>
          <w:p w14:paraId="6F617E07">
            <w:pPr>
              <w:widowControl/>
              <w:adjustRightInd w:val="0"/>
              <w:snapToGrid w:val="0"/>
              <w:spacing w:line="360" w:lineRule="auto"/>
              <w:jc w:val="center"/>
              <w:rPr>
                <w:rFonts w:ascii="宋体" w:hAnsi="宋体" w:eastAsia="宋体" w:cs="宋体"/>
                <w:kern w:val="2"/>
                <w:sz w:val="24"/>
              </w:rPr>
            </w:pPr>
            <w:r>
              <w:rPr>
                <w:rFonts w:hint="eastAsia" w:ascii="宋体" w:hAnsi="宋体" w:eastAsia="宋体" w:cs="宋体"/>
                <w:kern w:val="2"/>
                <w:sz w:val="24"/>
              </w:rPr>
              <w:t>1</w:t>
            </w:r>
          </w:p>
        </w:tc>
      </w:tr>
      <w:tr w14:paraId="44B4C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 w:hRule="atLeast"/>
          <w:jc w:val="center"/>
        </w:trPr>
        <w:tc>
          <w:tcPr>
            <w:tcW w:w="745" w:type="dxa"/>
            <w:vMerge w:val="continue"/>
            <w:vAlign w:val="center"/>
          </w:tcPr>
          <w:p w14:paraId="32075490">
            <w:pPr>
              <w:widowControl/>
              <w:adjustRightInd w:val="0"/>
              <w:snapToGrid w:val="0"/>
              <w:spacing w:line="360" w:lineRule="auto"/>
              <w:jc w:val="center"/>
              <w:rPr>
                <w:rFonts w:ascii="宋体" w:hAnsi="宋体" w:eastAsia="宋体" w:cs="宋体"/>
                <w:kern w:val="2"/>
                <w:sz w:val="24"/>
              </w:rPr>
            </w:pPr>
          </w:p>
        </w:tc>
        <w:tc>
          <w:tcPr>
            <w:tcW w:w="1276" w:type="dxa"/>
            <w:vAlign w:val="center"/>
          </w:tcPr>
          <w:p w14:paraId="5B2E8B18">
            <w:pPr>
              <w:widowControl/>
              <w:adjustRightInd w:val="0"/>
              <w:snapToGrid w:val="0"/>
              <w:spacing w:line="360" w:lineRule="auto"/>
              <w:jc w:val="center"/>
              <w:rPr>
                <w:rFonts w:ascii="宋体" w:hAnsi="宋体" w:eastAsia="宋体" w:cs="宋体"/>
                <w:kern w:val="2"/>
                <w:sz w:val="24"/>
              </w:rPr>
            </w:pPr>
            <w:r>
              <w:rPr>
                <w:rFonts w:hint="eastAsia" w:ascii="宋体" w:hAnsi="宋体" w:eastAsia="宋体" w:cs="宋体"/>
                <w:kern w:val="2"/>
                <w:sz w:val="24"/>
              </w:rPr>
              <w:t>大堂接待</w:t>
            </w:r>
          </w:p>
        </w:tc>
        <w:tc>
          <w:tcPr>
            <w:tcW w:w="4819" w:type="dxa"/>
            <w:vAlign w:val="center"/>
          </w:tcPr>
          <w:p w14:paraId="2408FC49">
            <w:pPr>
              <w:widowControl/>
              <w:spacing w:line="360" w:lineRule="auto"/>
              <w:rPr>
                <w:rFonts w:ascii="宋体" w:hAnsi="宋体" w:eastAsia="宋体" w:cs="宋体"/>
                <w:kern w:val="2"/>
                <w:sz w:val="24"/>
              </w:rPr>
            </w:pPr>
            <w:r>
              <w:rPr>
                <w:rFonts w:hint="eastAsia" w:ascii="宋体" w:hAnsi="宋体" w:eastAsia="宋体" w:cs="宋体"/>
                <w:kern w:val="2"/>
                <w:sz w:val="24"/>
              </w:rPr>
              <w:t>女性，有前台工作经验，</w:t>
            </w:r>
            <w:bookmarkStart w:id="43" w:name="OLE_LINK97"/>
            <w:bookmarkStart w:id="44" w:name="OLE_LINK94"/>
            <w:r>
              <w:rPr>
                <w:rFonts w:hint="eastAsia" w:ascii="宋体" w:hAnsi="宋体" w:eastAsia="宋体" w:cs="宋体"/>
                <w:kern w:val="2"/>
                <w:sz w:val="24"/>
              </w:rPr>
              <w:t>40周岁及以下</w:t>
            </w:r>
            <w:bookmarkEnd w:id="43"/>
            <w:bookmarkEnd w:id="44"/>
          </w:p>
        </w:tc>
        <w:tc>
          <w:tcPr>
            <w:tcW w:w="1538" w:type="dxa"/>
            <w:vAlign w:val="center"/>
          </w:tcPr>
          <w:p w14:paraId="1B776286">
            <w:pPr>
              <w:widowControl/>
              <w:adjustRightInd w:val="0"/>
              <w:snapToGrid w:val="0"/>
              <w:spacing w:line="360" w:lineRule="auto"/>
              <w:jc w:val="center"/>
              <w:rPr>
                <w:rFonts w:ascii="宋体" w:hAnsi="宋体" w:eastAsia="宋体" w:cs="宋体"/>
                <w:kern w:val="2"/>
                <w:sz w:val="24"/>
              </w:rPr>
            </w:pPr>
            <w:r>
              <w:rPr>
                <w:rFonts w:ascii="宋体" w:hAnsi="宋体" w:eastAsia="宋体" w:cs="宋体"/>
                <w:kern w:val="2"/>
                <w:sz w:val="24"/>
              </w:rPr>
              <w:t>1</w:t>
            </w:r>
          </w:p>
        </w:tc>
      </w:tr>
      <w:tr w14:paraId="156E2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5" w:type="dxa"/>
            <w:vMerge w:val="continue"/>
            <w:vAlign w:val="center"/>
          </w:tcPr>
          <w:p w14:paraId="6FF36D6C">
            <w:pPr>
              <w:widowControl/>
              <w:adjustRightInd w:val="0"/>
              <w:snapToGrid w:val="0"/>
              <w:spacing w:line="360" w:lineRule="auto"/>
              <w:jc w:val="center"/>
              <w:rPr>
                <w:rFonts w:ascii="宋体" w:hAnsi="宋体" w:eastAsia="宋体" w:cs="宋体"/>
                <w:kern w:val="2"/>
                <w:sz w:val="24"/>
              </w:rPr>
            </w:pPr>
          </w:p>
        </w:tc>
        <w:tc>
          <w:tcPr>
            <w:tcW w:w="1276" w:type="dxa"/>
            <w:vAlign w:val="center"/>
          </w:tcPr>
          <w:p w14:paraId="64198CF8">
            <w:pPr>
              <w:widowControl/>
              <w:adjustRightInd w:val="0"/>
              <w:snapToGrid w:val="0"/>
              <w:spacing w:line="360" w:lineRule="auto"/>
              <w:jc w:val="center"/>
              <w:rPr>
                <w:rFonts w:ascii="宋体" w:hAnsi="宋体" w:eastAsia="宋体" w:cs="宋体"/>
                <w:kern w:val="2"/>
                <w:sz w:val="24"/>
              </w:rPr>
            </w:pPr>
            <w:r>
              <w:rPr>
                <w:rFonts w:hint="eastAsia" w:ascii="宋体" w:hAnsi="宋体" w:eastAsia="宋体" w:cs="宋体"/>
                <w:kern w:val="2"/>
                <w:sz w:val="24"/>
              </w:rPr>
              <w:t>门岗</w:t>
            </w:r>
          </w:p>
        </w:tc>
        <w:tc>
          <w:tcPr>
            <w:tcW w:w="4819" w:type="dxa"/>
            <w:vAlign w:val="center"/>
          </w:tcPr>
          <w:p w14:paraId="5E8A258C">
            <w:pPr>
              <w:widowControl/>
              <w:spacing w:line="360" w:lineRule="auto"/>
              <w:rPr>
                <w:rFonts w:ascii="宋体" w:hAnsi="宋体" w:eastAsia="宋体" w:cs="宋体"/>
                <w:kern w:val="2"/>
                <w:sz w:val="24"/>
              </w:rPr>
            </w:pPr>
            <w:r>
              <w:rPr>
                <w:rFonts w:hint="eastAsia" w:ascii="宋体" w:hAnsi="宋体" w:eastAsia="宋体" w:cs="宋体"/>
                <w:kern w:val="2"/>
                <w:sz w:val="24"/>
              </w:rPr>
              <w:t>1.要有责任心，要有处理突发事件的经验；</w:t>
            </w:r>
          </w:p>
          <w:p w14:paraId="22E33163">
            <w:pPr>
              <w:widowControl/>
              <w:spacing w:line="360" w:lineRule="auto"/>
              <w:rPr>
                <w:rFonts w:ascii="宋体" w:hAnsi="宋体" w:eastAsia="宋体" w:cs="宋体"/>
                <w:kern w:val="2"/>
                <w:sz w:val="24"/>
              </w:rPr>
            </w:pPr>
            <w:r>
              <w:rPr>
                <w:rFonts w:hint="eastAsia" w:ascii="宋体" w:hAnsi="宋体" w:eastAsia="宋体" w:cs="宋体"/>
                <w:kern w:val="2"/>
                <w:sz w:val="24"/>
              </w:rPr>
              <w:t>2.保持良好上岗仪态，做到文明礼貌值勤，能够较快熟悉人员及办公环境，值班人员上岗时必须遵守“五不”，即不喝酒，不抽烟，不擅离工作岗位，不迟到早退，不做与工作无关的事；</w:t>
            </w:r>
          </w:p>
          <w:p w14:paraId="663D0E44">
            <w:pPr>
              <w:widowControl/>
              <w:spacing w:line="360" w:lineRule="auto"/>
              <w:rPr>
                <w:rFonts w:ascii="宋体" w:hAnsi="宋体" w:eastAsia="宋体" w:cs="宋体"/>
                <w:kern w:val="2"/>
                <w:sz w:val="24"/>
              </w:rPr>
            </w:pPr>
            <w:r>
              <w:rPr>
                <w:rFonts w:hint="eastAsia" w:ascii="宋体" w:hAnsi="宋体" w:eastAsia="宋体" w:cs="宋体"/>
                <w:kern w:val="2"/>
                <w:sz w:val="24"/>
              </w:rPr>
              <w:t>3.接受过安全技能训练（专项培训、岗中持续培训），并具有较强的安全防范技能，能正确使用各类消防、物防、技防设备和器材能力的安全保卫人员（确保人员参培比例要在100％）；</w:t>
            </w:r>
          </w:p>
          <w:p w14:paraId="6A5AFA1A">
            <w:pPr>
              <w:pStyle w:val="196"/>
            </w:pPr>
            <w:r>
              <w:rPr>
                <w:rFonts w:hint="eastAsia" w:ascii="宋体" w:hAnsi="宋体" w:cs="宋体"/>
                <w:kern w:val="2"/>
                <w:sz w:val="24"/>
              </w:rPr>
              <w:t>55周岁及以下。</w:t>
            </w:r>
          </w:p>
        </w:tc>
        <w:tc>
          <w:tcPr>
            <w:tcW w:w="1538" w:type="dxa"/>
            <w:vAlign w:val="center"/>
          </w:tcPr>
          <w:p w14:paraId="74E7E3BB">
            <w:pPr>
              <w:widowControl/>
              <w:adjustRightInd w:val="0"/>
              <w:snapToGrid w:val="0"/>
              <w:spacing w:line="360" w:lineRule="auto"/>
              <w:jc w:val="center"/>
              <w:rPr>
                <w:rFonts w:ascii="宋体" w:hAnsi="宋体" w:eastAsia="宋体" w:cs="宋体"/>
                <w:kern w:val="2"/>
                <w:sz w:val="24"/>
              </w:rPr>
            </w:pPr>
            <w:r>
              <w:rPr>
                <w:rFonts w:hint="eastAsia" w:ascii="宋体" w:hAnsi="宋体" w:eastAsia="宋体" w:cs="宋体"/>
                <w:kern w:val="2"/>
                <w:sz w:val="24"/>
              </w:rPr>
              <w:t>12</w:t>
            </w:r>
          </w:p>
        </w:tc>
      </w:tr>
      <w:tr w14:paraId="50EB9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5" w:type="dxa"/>
            <w:vMerge w:val="continue"/>
            <w:vAlign w:val="center"/>
          </w:tcPr>
          <w:p w14:paraId="05B07953">
            <w:pPr>
              <w:widowControl/>
              <w:adjustRightInd w:val="0"/>
              <w:snapToGrid w:val="0"/>
              <w:spacing w:line="360" w:lineRule="auto"/>
              <w:jc w:val="center"/>
              <w:rPr>
                <w:rFonts w:ascii="宋体" w:hAnsi="宋体" w:eastAsia="宋体" w:cs="宋体"/>
                <w:kern w:val="2"/>
                <w:sz w:val="24"/>
              </w:rPr>
            </w:pPr>
          </w:p>
        </w:tc>
        <w:tc>
          <w:tcPr>
            <w:tcW w:w="1276" w:type="dxa"/>
            <w:vAlign w:val="center"/>
          </w:tcPr>
          <w:p w14:paraId="41B17091">
            <w:pPr>
              <w:widowControl/>
              <w:adjustRightInd w:val="0"/>
              <w:snapToGrid w:val="0"/>
              <w:spacing w:line="360" w:lineRule="auto"/>
              <w:jc w:val="center"/>
              <w:rPr>
                <w:rFonts w:ascii="宋体" w:hAnsi="宋体" w:eastAsia="宋体" w:cs="宋体"/>
                <w:kern w:val="2"/>
                <w:sz w:val="24"/>
              </w:rPr>
            </w:pPr>
            <w:r>
              <w:rPr>
                <w:rFonts w:hint="eastAsia" w:ascii="宋体" w:hAnsi="宋体" w:eastAsia="宋体" w:cs="宋体"/>
                <w:kern w:val="2"/>
                <w:sz w:val="24"/>
              </w:rPr>
              <w:t>收发室</w:t>
            </w:r>
          </w:p>
        </w:tc>
        <w:tc>
          <w:tcPr>
            <w:tcW w:w="4819" w:type="dxa"/>
            <w:vAlign w:val="center"/>
          </w:tcPr>
          <w:p w14:paraId="16F4763D">
            <w:pPr>
              <w:widowControl/>
              <w:spacing w:line="360" w:lineRule="auto"/>
              <w:rPr>
                <w:rFonts w:ascii="宋体" w:hAnsi="宋体" w:eastAsia="宋体" w:cs="宋体"/>
                <w:kern w:val="2"/>
                <w:sz w:val="24"/>
              </w:rPr>
            </w:pPr>
            <w:r>
              <w:rPr>
                <w:rFonts w:hint="eastAsia" w:ascii="宋体" w:hAnsi="宋体" w:eastAsia="宋体" w:cs="宋体"/>
                <w:kern w:val="2"/>
                <w:sz w:val="24"/>
              </w:rPr>
              <w:t>有收发信件工作经验，55周岁及以下</w:t>
            </w:r>
          </w:p>
        </w:tc>
        <w:tc>
          <w:tcPr>
            <w:tcW w:w="1538" w:type="dxa"/>
            <w:vAlign w:val="center"/>
          </w:tcPr>
          <w:p w14:paraId="77D5DBBE">
            <w:pPr>
              <w:widowControl/>
              <w:adjustRightInd w:val="0"/>
              <w:snapToGrid w:val="0"/>
              <w:spacing w:line="360" w:lineRule="auto"/>
              <w:jc w:val="center"/>
              <w:rPr>
                <w:rFonts w:ascii="宋体" w:hAnsi="宋体" w:eastAsia="宋体" w:cs="宋体"/>
                <w:kern w:val="2"/>
                <w:sz w:val="24"/>
              </w:rPr>
            </w:pPr>
            <w:r>
              <w:rPr>
                <w:rFonts w:hint="eastAsia" w:ascii="宋体" w:hAnsi="宋体" w:eastAsia="宋体" w:cs="宋体"/>
                <w:kern w:val="2"/>
                <w:sz w:val="24"/>
              </w:rPr>
              <w:t>1</w:t>
            </w:r>
          </w:p>
        </w:tc>
      </w:tr>
      <w:tr w14:paraId="2275F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21" w:type="dxa"/>
            <w:gridSpan w:val="2"/>
            <w:vAlign w:val="center"/>
          </w:tcPr>
          <w:p w14:paraId="05E96179">
            <w:pPr>
              <w:widowControl/>
              <w:adjustRightInd w:val="0"/>
              <w:snapToGrid w:val="0"/>
              <w:spacing w:line="360" w:lineRule="auto"/>
              <w:jc w:val="center"/>
              <w:rPr>
                <w:rFonts w:ascii="宋体" w:hAnsi="宋体" w:eastAsia="宋体" w:cs="宋体"/>
                <w:kern w:val="2"/>
                <w:sz w:val="24"/>
              </w:rPr>
            </w:pPr>
            <w:r>
              <w:rPr>
                <w:rFonts w:hint="eastAsia" w:ascii="宋体" w:hAnsi="宋体" w:eastAsia="宋体" w:cs="宋体"/>
                <w:kern w:val="2"/>
                <w:sz w:val="24"/>
              </w:rPr>
              <w:t>保洁</w:t>
            </w:r>
          </w:p>
        </w:tc>
        <w:tc>
          <w:tcPr>
            <w:tcW w:w="4819" w:type="dxa"/>
            <w:vAlign w:val="center"/>
          </w:tcPr>
          <w:p w14:paraId="51313A00">
            <w:pPr>
              <w:widowControl/>
              <w:spacing w:line="360" w:lineRule="auto"/>
              <w:rPr>
                <w:rFonts w:ascii="宋体" w:hAnsi="宋体" w:eastAsia="宋体" w:cs="宋体"/>
                <w:kern w:val="2"/>
                <w:sz w:val="24"/>
              </w:rPr>
            </w:pPr>
            <w:r>
              <w:rPr>
                <w:rFonts w:hint="eastAsia" w:ascii="宋体" w:hAnsi="宋体" w:eastAsia="宋体" w:cs="宋体"/>
                <w:kern w:val="2"/>
                <w:sz w:val="24"/>
              </w:rPr>
              <w:t>有工作经验，55</w:t>
            </w:r>
            <w:bookmarkStart w:id="45" w:name="OLE_LINK92"/>
            <w:bookmarkStart w:id="46" w:name="OLE_LINK93"/>
            <w:r>
              <w:rPr>
                <w:rFonts w:hint="eastAsia" w:ascii="宋体" w:hAnsi="宋体" w:eastAsia="宋体" w:cs="宋体"/>
                <w:kern w:val="2"/>
                <w:sz w:val="24"/>
              </w:rPr>
              <w:t>周岁及以下</w:t>
            </w:r>
            <w:bookmarkEnd w:id="45"/>
            <w:bookmarkEnd w:id="46"/>
          </w:p>
        </w:tc>
        <w:tc>
          <w:tcPr>
            <w:tcW w:w="1538" w:type="dxa"/>
            <w:vAlign w:val="center"/>
          </w:tcPr>
          <w:p w14:paraId="1ACDDBCC">
            <w:pPr>
              <w:widowControl/>
              <w:adjustRightInd w:val="0"/>
              <w:snapToGrid w:val="0"/>
              <w:spacing w:line="360" w:lineRule="auto"/>
              <w:jc w:val="center"/>
              <w:rPr>
                <w:rFonts w:ascii="宋体" w:hAnsi="宋体" w:eastAsia="宋体" w:cs="宋体"/>
                <w:kern w:val="2"/>
                <w:sz w:val="24"/>
              </w:rPr>
            </w:pPr>
            <w:r>
              <w:rPr>
                <w:rFonts w:hint="eastAsia" w:ascii="宋体" w:hAnsi="宋体" w:eastAsia="宋体" w:cs="宋体"/>
                <w:kern w:val="2"/>
                <w:sz w:val="24"/>
              </w:rPr>
              <w:t>14</w:t>
            </w:r>
          </w:p>
        </w:tc>
      </w:tr>
      <w:tr w14:paraId="5F871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21" w:type="dxa"/>
            <w:gridSpan w:val="2"/>
            <w:vAlign w:val="center"/>
          </w:tcPr>
          <w:p w14:paraId="3F7B6FFA">
            <w:pPr>
              <w:widowControl/>
              <w:adjustRightInd w:val="0"/>
              <w:snapToGrid w:val="0"/>
              <w:spacing w:line="360" w:lineRule="auto"/>
              <w:jc w:val="center"/>
              <w:rPr>
                <w:rFonts w:ascii="宋体" w:hAnsi="宋体" w:eastAsia="宋体" w:cs="宋体"/>
                <w:kern w:val="2"/>
                <w:sz w:val="24"/>
              </w:rPr>
            </w:pPr>
            <w:r>
              <w:rPr>
                <w:rFonts w:hint="eastAsia" w:ascii="宋体" w:hAnsi="宋体" w:eastAsia="宋体" w:cs="宋体"/>
                <w:kern w:val="2"/>
                <w:sz w:val="24"/>
              </w:rPr>
              <w:t>机械车位服务</w:t>
            </w:r>
          </w:p>
        </w:tc>
        <w:tc>
          <w:tcPr>
            <w:tcW w:w="4819" w:type="dxa"/>
            <w:vAlign w:val="center"/>
          </w:tcPr>
          <w:p w14:paraId="198DBE13">
            <w:pPr>
              <w:widowControl/>
              <w:spacing w:line="360" w:lineRule="auto"/>
              <w:rPr>
                <w:rFonts w:ascii="宋体" w:hAnsi="宋体" w:eastAsia="宋体" w:cs="宋体"/>
                <w:kern w:val="2"/>
                <w:sz w:val="24"/>
              </w:rPr>
            </w:pPr>
            <w:r>
              <w:rPr>
                <w:rFonts w:hint="eastAsia" w:ascii="宋体" w:hAnsi="宋体" w:eastAsia="宋体" w:cs="宋体"/>
                <w:kern w:val="2"/>
                <w:sz w:val="24"/>
              </w:rPr>
              <w:t>50周岁及以下，有相关工作经验</w:t>
            </w:r>
          </w:p>
          <w:p w14:paraId="5ECB366A">
            <w:pPr>
              <w:widowControl/>
              <w:spacing w:line="360" w:lineRule="auto"/>
              <w:rPr>
                <w:rFonts w:ascii="宋体" w:hAnsi="宋体" w:eastAsia="宋体" w:cs="宋体"/>
                <w:kern w:val="2"/>
                <w:sz w:val="24"/>
              </w:rPr>
            </w:pPr>
            <w:r>
              <w:rPr>
                <w:rFonts w:hint="eastAsia" w:ascii="宋体" w:hAnsi="宋体" w:eastAsia="宋体" w:cs="宋体"/>
                <w:kern w:val="2"/>
                <w:sz w:val="24"/>
                <w:szCs w:val="24"/>
              </w:rPr>
              <w:t>机械车位操作员具有特种设备安全管理和作业人员证（A证）</w:t>
            </w:r>
          </w:p>
        </w:tc>
        <w:tc>
          <w:tcPr>
            <w:tcW w:w="1538" w:type="dxa"/>
            <w:vAlign w:val="center"/>
          </w:tcPr>
          <w:p w14:paraId="6B36075F">
            <w:pPr>
              <w:widowControl/>
              <w:adjustRightInd w:val="0"/>
              <w:snapToGrid w:val="0"/>
              <w:spacing w:line="360" w:lineRule="auto"/>
              <w:jc w:val="center"/>
              <w:rPr>
                <w:rFonts w:ascii="宋体" w:hAnsi="宋体" w:eastAsia="宋体" w:cs="宋体"/>
                <w:kern w:val="2"/>
                <w:sz w:val="24"/>
              </w:rPr>
            </w:pPr>
            <w:r>
              <w:rPr>
                <w:rFonts w:hint="eastAsia" w:ascii="宋体" w:hAnsi="宋体" w:eastAsia="宋体" w:cs="宋体"/>
                <w:kern w:val="2"/>
                <w:sz w:val="24"/>
              </w:rPr>
              <w:t>1</w:t>
            </w:r>
          </w:p>
        </w:tc>
      </w:tr>
      <w:tr w14:paraId="529EEA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jc w:val="center"/>
        </w:trPr>
        <w:tc>
          <w:tcPr>
            <w:tcW w:w="745" w:type="dxa"/>
            <w:vMerge w:val="restart"/>
            <w:vAlign w:val="center"/>
          </w:tcPr>
          <w:p w14:paraId="29BCCF80">
            <w:pPr>
              <w:widowControl/>
              <w:adjustRightInd w:val="0"/>
              <w:snapToGrid w:val="0"/>
              <w:spacing w:line="360" w:lineRule="auto"/>
              <w:jc w:val="center"/>
              <w:rPr>
                <w:rFonts w:ascii="宋体" w:hAnsi="宋体" w:eastAsia="宋体" w:cs="宋体"/>
                <w:kern w:val="2"/>
                <w:sz w:val="24"/>
              </w:rPr>
            </w:pPr>
            <w:r>
              <w:rPr>
                <w:rFonts w:hint="eastAsia" w:ascii="宋体" w:hAnsi="宋体" w:eastAsia="宋体" w:cs="宋体"/>
                <w:kern w:val="2"/>
                <w:sz w:val="24"/>
              </w:rPr>
              <w:t>会务</w:t>
            </w:r>
          </w:p>
          <w:p w14:paraId="6D48C86B">
            <w:pPr>
              <w:widowControl/>
              <w:adjustRightInd w:val="0"/>
              <w:snapToGrid w:val="0"/>
              <w:spacing w:line="360" w:lineRule="auto"/>
              <w:jc w:val="center"/>
              <w:rPr>
                <w:rFonts w:ascii="宋体" w:hAnsi="宋体" w:eastAsia="宋体" w:cs="宋体"/>
                <w:kern w:val="2"/>
                <w:sz w:val="24"/>
              </w:rPr>
            </w:pPr>
          </w:p>
        </w:tc>
        <w:tc>
          <w:tcPr>
            <w:tcW w:w="1276" w:type="dxa"/>
            <w:vAlign w:val="center"/>
          </w:tcPr>
          <w:p w14:paraId="786BFBBA">
            <w:pPr>
              <w:widowControl/>
              <w:adjustRightInd w:val="0"/>
              <w:snapToGrid w:val="0"/>
              <w:spacing w:line="360" w:lineRule="auto"/>
              <w:jc w:val="center"/>
              <w:rPr>
                <w:rFonts w:ascii="宋体" w:hAnsi="宋体" w:eastAsia="宋体" w:cs="宋体"/>
                <w:kern w:val="2"/>
                <w:sz w:val="24"/>
              </w:rPr>
            </w:pPr>
            <w:r>
              <w:rPr>
                <w:rFonts w:hint="eastAsia" w:ascii="宋体" w:hAnsi="宋体" w:eastAsia="宋体" w:cs="宋体"/>
                <w:kern w:val="2"/>
                <w:sz w:val="24"/>
              </w:rPr>
              <w:t>接待</w:t>
            </w:r>
          </w:p>
        </w:tc>
        <w:tc>
          <w:tcPr>
            <w:tcW w:w="4819" w:type="dxa"/>
            <w:vAlign w:val="center"/>
          </w:tcPr>
          <w:p w14:paraId="1790AF6D">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35</w:t>
            </w:r>
            <w:r>
              <w:rPr>
                <w:rFonts w:hint="eastAsia" w:ascii="宋体" w:hAnsi="宋体" w:eastAsia="宋体" w:cs="宋体"/>
                <w:kern w:val="2"/>
                <w:sz w:val="24"/>
              </w:rPr>
              <w:t>周岁及以下</w:t>
            </w:r>
            <w:r>
              <w:rPr>
                <w:rFonts w:hint="eastAsia" w:ascii="宋体" w:hAnsi="宋体" w:eastAsia="宋体" w:cs="Times New Roman"/>
                <w:bCs/>
                <w:kern w:val="2"/>
                <w:sz w:val="24"/>
              </w:rPr>
              <w:t>，有会务现场经验</w:t>
            </w:r>
          </w:p>
        </w:tc>
        <w:tc>
          <w:tcPr>
            <w:tcW w:w="1538" w:type="dxa"/>
            <w:vAlign w:val="center"/>
          </w:tcPr>
          <w:p w14:paraId="30BC7F9B">
            <w:pPr>
              <w:widowControl/>
              <w:adjustRightInd w:val="0"/>
              <w:snapToGrid w:val="0"/>
              <w:spacing w:line="360" w:lineRule="auto"/>
              <w:jc w:val="center"/>
              <w:rPr>
                <w:rFonts w:ascii="宋体" w:hAnsi="宋体" w:eastAsia="宋体" w:cs="宋体"/>
                <w:kern w:val="2"/>
                <w:sz w:val="24"/>
              </w:rPr>
            </w:pPr>
            <w:r>
              <w:rPr>
                <w:rFonts w:hint="eastAsia" w:ascii="宋体" w:hAnsi="宋体" w:eastAsia="宋体" w:cs="宋体"/>
                <w:kern w:val="2"/>
                <w:sz w:val="24"/>
              </w:rPr>
              <w:t>1</w:t>
            </w:r>
          </w:p>
        </w:tc>
      </w:tr>
      <w:tr w14:paraId="692CB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 w:hRule="atLeast"/>
          <w:jc w:val="center"/>
        </w:trPr>
        <w:tc>
          <w:tcPr>
            <w:tcW w:w="745" w:type="dxa"/>
            <w:vMerge w:val="continue"/>
            <w:vAlign w:val="center"/>
          </w:tcPr>
          <w:p w14:paraId="50AD642D">
            <w:pPr>
              <w:widowControl/>
              <w:adjustRightInd w:val="0"/>
              <w:snapToGrid w:val="0"/>
              <w:spacing w:line="360" w:lineRule="auto"/>
              <w:jc w:val="center"/>
              <w:rPr>
                <w:rFonts w:ascii="宋体" w:hAnsi="宋体" w:eastAsia="宋体" w:cs="宋体"/>
                <w:kern w:val="2"/>
                <w:sz w:val="24"/>
              </w:rPr>
            </w:pPr>
          </w:p>
        </w:tc>
        <w:tc>
          <w:tcPr>
            <w:tcW w:w="1276" w:type="dxa"/>
            <w:vAlign w:val="center"/>
          </w:tcPr>
          <w:p w14:paraId="52AB3CBA">
            <w:pPr>
              <w:widowControl/>
              <w:adjustRightInd w:val="0"/>
              <w:snapToGrid w:val="0"/>
              <w:spacing w:line="360" w:lineRule="auto"/>
              <w:jc w:val="center"/>
              <w:rPr>
                <w:rFonts w:ascii="宋体" w:hAnsi="宋体" w:eastAsia="宋体" w:cs="宋体"/>
                <w:kern w:val="2"/>
                <w:sz w:val="24"/>
              </w:rPr>
            </w:pPr>
            <w:r>
              <w:rPr>
                <w:rFonts w:hint="eastAsia" w:ascii="宋体" w:hAnsi="宋体" w:eastAsia="宋体" w:cs="宋体"/>
                <w:kern w:val="2"/>
                <w:sz w:val="24"/>
              </w:rPr>
              <w:t>视频</w:t>
            </w:r>
          </w:p>
        </w:tc>
        <w:tc>
          <w:tcPr>
            <w:tcW w:w="4819" w:type="dxa"/>
            <w:vAlign w:val="center"/>
          </w:tcPr>
          <w:p w14:paraId="60CD45A6">
            <w:pPr>
              <w:widowControl/>
              <w:adjustRightInd w:val="0"/>
              <w:snapToGrid w:val="0"/>
              <w:spacing w:line="360" w:lineRule="auto"/>
              <w:jc w:val="left"/>
              <w:rPr>
                <w:rFonts w:ascii="Calibri" w:hAnsi="Calibri" w:eastAsia="宋体" w:cs="Times New Roman"/>
                <w:kern w:val="2"/>
                <w:sz w:val="24"/>
              </w:rPr>
            </w:pPr>
            <w:r>
              <w:rPr>
                <w:rFonts w:hint="eastAsia" w:ascii="Calibri" w:hAnsi="Calibri" w:eastAsia="宋体" w:cs="Times New Roman"/>
                <w:kern w:val="2"/>
                <w:sz w:val="24"/>
              </w:rPr>
              <w:t>50</w:t>
            </w:r>
            <w:r>
              <w:rPr>
                <w:rFonts w:hint="eastAsia" w:ascii="宋体" w:hAnsi="宋体" w:eastAsia="宋体" w:cs="宋体"/>
                <w:kern w:val="2"/>
                <w:sz w:val="24"/>
              </w:rPr>
              <w:t>周岁及以下</w:t>
            </w:r>
            <w:r>
              <w:rPr>
                <w:rFonts w:hint="eastAsia" w:ascii="Calibri" w:hAnsi="Calibri" w:eastAsia="宋体" w:cs="Times New Roman"/>
                <w:kern w:val="2"/>
                <w:sz w:val="24"/>
              </w:rPr>
              <w:t>，本科及以上学历，具有计算机知识，有视频会议及音响调试经验</w:t>
            </w:r>
          </w:p>
          <w:p w14:paraId="6E7161D8">
            <w:pPr>
              <w:autoSpaceDE w:val="0"/>
              <w:autoSpaceDN w:val="0"/>
              <w:adjustRightInd w:val="0"/>
              <w:jc w:val="left"/>
              <w:rPr>
                <w:rFonts w:ascii="MS Mincho" w:hAnsi="Calibri" w:eastAsia="宋体" w:cs="Times New Roman"/>
                <w:sz w:val="24"/>
                <w:szCs w:val="24"/>
              </w:rPr>
            </w:pPr>
            <w:r>
              <w:rPr>
                <w:rFonts w:hint="eastAsia" w:ascii="Times New Roman" w:hAnsi="Times New Roman" w:eastAsia="宋体" w:cs="Times New Roman"/>
                <w:b/>
                <w:bCs/>
                <w:sz w:val="24"/>
                <w:szCs w:val="24"/>
              </w:rPr>
              <w:t>本次投标暂无需提供证明材料</w:t>
            </w:r>
          </w:p>
        </w:tc>
        <w:tc>
          <w:tcPr>
            <w:tcW w:w="1538" w:type="dxa"/>
            <w:vAlign w:val="center"/>
          </w:tcPr>
          <w:p w14:paraId="1EB15306">
            <w:pPr>
              <w:widowControl/>
              <w:adjustRightInd w:val="0"/>
              <w:snapToGrid w:val="0"/>
              <w:spacing w:line="360" w:lineRule="auto"/>
              <w:jc w:val="center"/>
              <w:rPr>
                <w:rFonts w:ascii="宋体" w:hAnsi="宋体" w:eastAsia="宋体" w:cs="宋体"/>
                <w:kern w:val="2"/>
                <w:sz w:val="24"/>
              </w:rPr>
            </w:pPr>
            <w:r>
              <w:rPr>
                <w:rFonts w:hint="eastAsia" w:ascii="宋体" w:hAnsi="宋体" w:eastAsia="宋体" w:cs="宋体"/>
                <w:kern w:val="2"/>
                <w:sz w:val="24"/>
              </w:rPr>
              <w:t>1</w:t>
            </w:r>
          </w:p>
        </w:tc>
      </w:tr>
      <w:tr w14:paraId="163F5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5" w:type="dxa"/>
            <w:vMerge w:val="restart"/>
            <w:vAlign w:val="center"/>
          </w:tcPr>
          <w:p w14:paraId="0310CDAB">
            <w:pPr>
              <w:widowControl/>
              <w:adjustRightInd w:val="0"/>
              <w:snapToGrid w:val="0"/>
              <w:spacing w:line="360" w:lineRule="auto"/>
              <w:jc w:val="center"/>
              <w:rPr>
                <w:rFonts w:ascii="宋体" w:hAnsi="宋体" w:eastAsia="宋体" w:cs="宋体"/>
                <w:kern w:val="2"/>
                <w:sz w:val="24"/>
              </w:rPr>
            </w:pPr>
            <w:r>
              <w:rPr>
                <w:rFonts w:hint="eastAsia" w:ascii="宋体" w:hAnsi="宋体" w:eastAsia="宋体" w:cs="宋体"/>
                <w:kern w:val="2"/>
                <w:sz w:val="24"/>
              </w:rPr>
              <w:t>食堂</w:t>
            </w:r>
          </w:p>
        </w:tc>
        <w:tc>
          <w:tcPr>
            <w:tcW w:w="1276" w:type="dxa"/>
            <w:vAlign w:val="center"/>
          </w:tcPr>
          <w:p w14:paraId="2E6344D2">
            <w:pPr>
              <w:widowControl/>
              <w:adjustRightInd w:val="0"/>
              <w:snapToGrid w:val="0"/>
              <w:spacing w:line="360" w:lineRule="auto"/>
              <w:jc w:val="center"/>
              <w:rPr>
                <w:rFonts w:ascii="宋体" w:hAnsi="宋体" w:eastAsia="宋体" w:cs="宋体"/>
                <w:kern w:val="2"/>
                <w:sz w:val="24"/>
              </w:rPr>
            </w:pPr>
            <w:r>
              <w:rPr>
                <w:rFonts w:hint="eastAsia" w:ascii="宋体" w:hAnsi="宋体" w:eastAsia="宋体" w:cs="宋体"/>
                <w:kern w:val="2"/>
                <w:sz w:val="24"/>
              </w:rPr>
              <w:t>厨师长</w:t>
            </w:r>
          </w:p>
        </w:tc>
        <w:tc>
          <w:tcPr>
            <w:tcW w:w="4819" w:type="dxa"/>
            <w:vAlign w:val="center"/>
          </w:tcPr>
          <w:p w14:paraId="113041E6">
            <w:pPr>
              <w:widowControl/>
              <w:adjustRightInd w:val="0"/>
              <w:snapToGrid w:val="0"/>
              <w:spacing w:line="360" w:lineRule="auto"/>
              <w:jc w:val="left"/>
              <w:rPr>
                <w:rFonts w:ascii="Calibri" w:hAnsi="Calibri" w:eastAsia="宋体" w:cs="Times New Roman"/>
                <w:kern w:val="2"/>
                <w:sz w:val="24"/>
              </w:rPr>
            </w:pPr>
            <w:r>
              <w:rPr>
                <w:rFonts w:hint="eastAsia" w:ascii="Calibri" w:hAnsi="Calibri" w:eastAsia="宋体" w:cs="Times New Roman"/>
                <w:kern w:val="2"/>
                <w:sz w:val="24"/>
              </w:rPr>
              <w:t>具有</w:t>
            </w:r>
            <w:r>
              <w:rPr>
                <w:rFonts w:hint="eastAsia" w:ascii="宋体" w:hAnsi="宋体" w:cs="宋体"/>
                <w:sz w:val="24"/>
                <w:szCs w:val="24"/>
              </w:rPr>
              <w:t>二级及以上中式烹调师证书</w:t>
            </w:r>
            <w:r>
              <w:rPr>
                <w:rFonts w:hint="eastAsia" w:ascii="Calibri" w:hAnsi="Calibri" w:eastAsia="宋体" w:cs="Times New Roman"/>
                <w:kern w:val="2"/>
                <w:sz w:val="24"/>
              </w:rPr>
              <w:t>，健康证，5年以上工作经历，30-45岁</w:t>
            </w:r>
          </w:p>
          <w:p w14:paraId="33EBDFD6">
            <w:pPr>
              <w:autoSpaceDE w:val="0"/>
              <w:autoSpaceDN w:val="0"/>
              <w:adjustRightInd w:val="0"/>
              <w:jc w:val="left"/>
              <w:rPr>
                <w:rFonts w:ascii="MS Mincho" w:hAnsi="Calibri" w:eastAsia="宋体" w:cs="Times New Roman"/>
                <w:sz w:val="24"/>
                <w:szCs w:val="24"/>
              </w:rPr>
            </w:pPr>
            <w:r>
              <w:rPr>
                <w:rFonts w:hint="eastAsia" w:ascii="Times New Roman" w:hAnsi="Times New Roman" w:eastAsia="宋体" w:cs="Times New Roman"/>
                <w:b/>
                <w:bCs/>
                <w:sz w:val="24"/>
                <w:szCs w:val="24"/>
              </w:rPr>
              <w:t>本次投标暂无需提供相关证明材料</w:t>
            </w:r>
          </w:p>
        </w:tc>
        <w:tc>
          <w:tcPr>
            <w:tcW w:w="1538" w:type="dxa"/>
            <w:vAlign w:val="center"/>
          </w:tcPr>
          <w:p w14:paraId="710A30DE">
            <w:pPr>
              <w:widowControl/>
              <w:adjustRightInd w:val="0"/>
              <w:snapToGrid w:val="0"/>
              <w:spacing w:line="360" w:lineRule="auto"/>
              <w:jc w:val="center"/>
              <w:rPr>
                <w:rFonts w:ascii="宋体" w:hAnsi="宋体" w:eastAsia="宋体" w:cs="宋体"/>
                <w:kern w:val="2"/>
                <w:sz w:val="24"/>
              </w:rPr>
            </w:pPr>
            <w:r>
              <w:rPr>
                <w:rFonts w:hint="eastAsia" w:ascii="宋体" w:hAnsi="宋体" w:eastAsia="宋体" w:cs="宋体"/>
                <w:kern w:val="2"/>
                <w:sz w:val="24"/>
              </w:rPr>
              <w:t>1</w:t>
            </w:r>
          </w:p>
        </w:tc>
      </w:tr>
      <w:tr w14:paraId="6A389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5" w:type="dxa"/>
            <w:vMerge w:val="continue"/>
            <w:vAlign w:val="center"/>
          </w:tcPr>
          <w:p w14:paraId="7C6935B9">
            <w:pPr>
              <w:widowControl/>
              <w:adjustRightInd w:val="0"/>
              <w:snapToGrid w:val="0"/>
              <w:spacing w:line="360" w:lineRule="auto"/>
              <w:jc w:val="center"/>
              <w:rPr>
                <w:rFonts w:ascii="宋体" w:hAnsi="宋体" w:eastAsia="宋体" w:cs="宋体"/>
                <w:kern w:val="2"/>
                <w:sz w:val="24"/>
              </w:rPr>
            </w:pPr>
          </w:p>
        </w:tc>
        <w:tc>
          <w:tcPr>
            <w:tcW w:w="1276" w:type="dxa"/>
            <w:vAlign w:val="center"/>
          </w:tcPr>
          <w:p w14:paraId="499E5E00">
            <w:pPr>
              <w:widowControl/>
              <w:adjustRightInd w:val="0"/>
              <w:snapToGrid w:val="0"/>
              <w:spacing w:line="360" w:lineRule="auto"/>
              <w:jc w:val="center"/>
              <w:rPr>
                <w:rFonts w:ascii="宋体" w:hAnsi="宋体" w:eastAsia="宋体" w:cs="宋体"/>
                <w:kern w:val="2"/>
                <w:sz w:val="24"/>
              </w:rPr>
            </w:pPr>
            <w:r>
              <w:rPr>
                <w:rFonts w:hint="eastAsia" w:ascii="宋体" w:hAnsi="宋体" w:eastAsia="宋体" w:cs="宋体"/>
                <w:kern w:val="2"/>
                <w:sz w:val="24"/>
              </w:rPr>
              <w:t>厨师</w:t>
            </w:r>
          </w:p>
        </w:tc>
        <w:tc>
          <w:tcPr>
            <w:tcW w:w="4819" w:type="dxa"/>
            <w:vAlign w:val="center"/>
          </w:tcPr>
          <w:p w14:paraId="19392438">
            <w:pPr>
              <w:widowControl/>
              <w:adjustRightInd w:val="0"/>
              <w:snapToGrid w:val="0"/>
              <w:spacing w:line="360" w:lineRule="auto"/>
              <w:jc w:val="left"/>
              <w:rPr>
                <w:rFonts w:ascii="Calibri" w:hAnsi="Calibri" w:eastAsia="宋体" w:cs="Times New Roman"/>
                <w:kern w:val="2"/>
                <w:sz w:val="24"/>
              </w:rPr>
            </w:pPr>
            <w:r>
              <w:rPr>
                <w:rFonts w:hint="eastAsia" w:ascii="Calibri" w:hAnsi="Calibri" w:eastAsia="宋体" w:cs="Times New Roman"/>
                <w:kern w:val="2"/>
                <w:sz w:val="24"/>
              </w:rPr>
              <w:t>具有</w:t>
            </w:r>
            <w:r>
              <w:rPr>
                <w:rFonts w:hint="eastAsia" w:ascii="宋体" w:hAnsi="宋体" w:cs="宋体"/>
                <w:sz w:val="24"/>
                <w:szCs w:val="24"/>
              </w:rPr>
              <w:t>三级及以上中式烹调师证书</w:t>
            </w:r>
            <w:r>
              <w:rPr>
                <w:rFonts w:hint="eastAsia" w:ascii="Calibri" w:hAnsi="Calibri" w:eastAsia="宋体" w:cs="Times New Roman"/>
                <w:kern w:val="2"/>
                <w:sz w:val="24"/>
              </w:rPr>
              <w:t>，健康证，25-40岁，5年以上工作经历</w:t>
            </w:r>
          </w:p>
          <w:p w14:paraId="72D9A9F1">
            <w:pPr>
              <w:autoSpaceDE w:val="0"/>
              <w:autoSpaceDN w:val="0"/>
              <w:adjustRightInd w:val="0"/>
              <w:jc w:val="left"/>
              <w:rPr>
                <w:rFonts w:ascii="MS Mincho" w:hAnsi="Calibri" w:eastAsia="宋体" w:cs="Times New Roman"/>
                <w:sz w:val="24"/>
                <w:szCs w:val="24"/>
              </w:rPr>
            </w:pPr>
            <w:r>
              <w:rPr>
                <w:rFonts w:hint="eastAsia" w:ascii="Times New Roman" w:hAnsi="Times New Roman" w:eastAsia="宋体" w:cs="Times New Roman"/>
                <w:b/>
                <w:bCs/>
                <w:sz w:val="24"/>
                <w:szCs w:val="24"/>
              </w:rPr>
              <w:t>本次投标暂无需提供相关证明材料</w:t>
            </w:r>
          </w:p>
        </w:tc>
        <w:tc>
          <w:tcPr>
            <w:tcW w:w="1538" w:type="dxa"/>
            <w:vAlign w:val="center"/>
          </w:tcPr>
          <w:p w14:paraId="1C811ED8">
            <w:pPr>
              <w:widowControl/>
              <w:adjustRightInd w:val="0"/>
              <w:snapToGrid w:val="0"/>
              <w:spacing w:line="360" w:lineRule="auto"/>
              <w:jc w:val="center"/>
              <w:rPr>
                <w:rFonts w:ascii="宋体" w:hAnsi="宋体" w:eastAsia="宋体" w:cs="宋体"/>
                <w:kern w:val="2"/>
                <w:sz w:val="24"/>
              </w:rPr>
            </w:pPr>
            <w:r>
              <w:rPr>
                <w:rFonts w:hint="eastAsia" w:ascii="宋体" w:hAnsi="宋体" w:eastAsia="宋体" w:cs="宋体"/>
                <w:kern w:val="2"/>
                <w:sz w:val="24"/>
              </w:rPr>
              <w:t>1</w:t>
            </w:r>
          </w:p>
        </w:tc>
      </w:tr>
      <w:tr w14:paraId="268C1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5" w:type="dxa"/>
            <w:vMerge w:val="continue"/>
            <w:vAlign w:val="center"/>
          </w:tcPr>
          <w:p w14:paraId="32486342">
            <w:pPr>
              <w:widowControl/>
              <w:adjustRightInd w:val="0"/>
              <w:snapToGrid w:val="0"/>
              <w:spacing w:line="360" w:lineRule="auto"/>
              <w:jc w:val="center"/>
              <w:rPr>
                <w:rFonts w:ascii="宋体" w:hAnsi="宋体" w:eastAsia="宋体" w:cs="宋体"/>
                <w:kern w:val="2"/>
                <w:sz w:val="24"/>
              </w:rPr>
            </w:pPr>
          </w:p>
        </w:tc>
        <w:tc>
          <w:tcPr>
            <w:tcW w:w="1276" w:type="dxa"/>
            <w:vAlign w:val="center"/>
          </w:tcPr>
          <w:p w14:paraId="339216A8">
            <w:pPr>
              <w:widowControl/>
              <w:adjustRightInd w:val="0"/>
              <w:snapToGrid w:val="0"/>
              <w:spacing w:line="360" w:lineRule="auto"/>
              <w:jc w:val="center"/>
              <w:rPr>
                <w:rFonts w:ascii="宋体" w:hAnsi="宋体" w:eastAsia="宋体" w:cs="宋体"/>
                <w:kern w:val="2"/>
                <w:sz w:val="24"/>
              </w:rPr>
            </w:pPr>
            <w:r>
              <w:rPr>
                <w:rFonts w:hint="eastAsia" w:ascii="宋体" w:hAnsi="宋体" w:eastAsia="宋体" w:cs="宋体"/>
                <w:kern w:val="2"/>
                <w:sz w:val="24"/>
              </w:rPr>
              <w:t>服务员</w:t>
            </w:r>
          </w:p>
        </w:tc>
        <w:tc>
          <w:tcPr>
            <w:tcW w:w="4819" w:type="dxa"/>
            <w:vAlign w:val="center"/>
          </w:tcPr>
          <w:p w14:paraId="5F6AB824">
            <w:pPr>
              <w:widowControl/>
              <w:adjustRightInd w:val="0"/>
              <w:snapToGrid w:val="0"/>
              <w:spacing w:line="360" w:lineRule="auto"/>
              <w:jc w:val="left"/>
              <w:rPr>
                <w:rFonts w:ascii="Calibri" w:hAnsi="Calibri" w:eastAsia="宋体" w:cs="Times New Roman"/>
                <w:kern w:val="2"/>
                <w:sz w:val="24"/>
              </w:rPr>
            </w:pPr>
            <w:r>
              <w:rPr>
                <w:rFonts w:hint="eastAsia" w:ascii="Calibri" w:hAnsi="Calibri" w:eastAsia="宋体" w:cs="Times New Roman"/>
                <w:kern w:val="2"/>
                <w:sz w:val="24"/>
              </w:rPr>
              <w:t>50</w:t>
            </w:r>
            <w:r>
              <w:rPr>
                <w:rFonts w:hint="eastAsia" w:ascii="宋体" w:hAnsi="宋体" w:eastAsia="宋体" w:cs="宋体"/>
                <w:kern w:val="2"/>
                <w:sz w:val="24"/>
              </w:rPr>
              <w:t>周岁及以下</w:t>
            </w:r>
            <w:r>
              <w:rPr>
                <w:rFonts w:hint="eastAsia" w:ascii="Calibri" w:hAnsi="Calibri" w:eastAsia="宋体" w:cs="Times New Roman"/>
                <w:kern w:val="2"/>
                <w:sz w:val="24"/>
              </w:rPr>
              <w:t>，具有健康证</w:t>
            </w:r>
          </w:p>
          <w:p w14:paraId="3CF27101">
            <w:pPr>
              <w:widowControl/>
              <w:adjustRightInd w:val="0"/>
              <w:snapToGrid w:val="0"/>
              <w:spacing w:line="360" w:lineRule="auto"/>
              <w:jc w:val="left"/>
              <w:rPr>
                <w:rFonts w:ascii="MS Mincho" w:hAnsi="Calibri" w:eastAsia="宋体" w:cs="Times New Roman"/>
                <w:b/>
                <w:sz w:val="24"/>
                <w:szCs w:val="24"/>
              </w:rPr>
            </w:pPr>
            <w:r>
              <w:rPr>
                <w:rFonts w:hint="eastAsia" w:ascii="Calibri" w:hAnsi="Calibri" w:eastAsia="宋体" w:cs="Times New Roman"/>
                <w:b/>
                <w:kern w:val="2"/>
                <w:sz w:val="24"/>
              </w:rPr>
              <w:t>本次投标暂无需提供证明材料</w:t>
            </w:r>
          </w:p>
        </w:tc>
        <w:tc>
          <w:tcPr>
            <w:tcW w:w="1538" w:type="dxa"/>
            <w:vAlign w:val="center"/>
          </w:tcPr>
          <w:p w14:paraId="172DD3C4">
            <w:pPr>
              <w:widowControl/>
              <w:adjustRightInd w:val="0"/>
              <w:snapToGrid w:val="0"/>
              <w:spacing w:line="360" w:lineRule="auto"/>
              <w:jc w:val="center"/>
              <w:rPr>
                <w:rFonts w:ascii="宋体" w:hAnsi="宋体" w:eastAsia="宋体" w:cs="宋体"/>
                <w:kern w:val="2"/>
                <w:sz w:val="24"/>
              </w:rPr>
            </w:pPr>
            <w:r>
              <w:rPr>
                <w:rFonts w:hint="eastAsia" w:ascii="宋体" w:hAnsi="宋体" w:eastAsia="宋体" w:cs="宋体"/>
                <w:kern w:val="2"/>
                <w:sz w:val="24"/>
              </w:rPr>
              <w:t>4</w:t>
            </w:r>
          </w:p>
        </w:tc>
      </w:tr>
      <w:tr w14:paraId="0D840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2021" w:type="dxa"/>
            <w:gridSpan w:val="2"/>
            <w:vAlign w:val="center"/>
          </w:tcPr>
          <w:p w14:paraId="2862153F">
            <w:pPr>
              <w:widowControl/>
              <w:adjustRightInd w:val="0"/>
              <w:snapToGrid w:val="0"/>
              <w:spacing w:line="360" w:lineRule="auto"/>
              <w:jc w:val="center"/>
              <w:rPr>
                <w:rFonts w:ascii="宋体" w:hAnsi="宋体" w:eastAsia="宋体" w:cs="宋体"/>
                <w:kern w:val="2"/>
                <w:sz w:val="24"/>
              </w:rPr>
            </w:pPr>
            <w:r>
              <w:rPr>
                <w:rFonts w:hint="eastAsia" w:ascii="宋体" w:hAnsi="宋体" w:eastAsia="宋体" w:cs="宋体"/>
                <w:kern w:val="2"/>
                <w:sz w:val="24"/>
              </w:rPr>
              <w:t>工勤人员</w:t>
            </w:r>
          </w:p>
        </w:tc>
        <w:tc>
          <w:tcPr>
            <w:tcW w:w="4819" w:type="dxa"/>
            <w:vAlign w:val="center"/>
          </w:tcPr>
          <w:p w14:paraId="5C6617B3">
            <w:pPr>
              <w:widowControl/>
              <w:adjustRightInd w:val="0"/>
              <w:snapToGrid w:val="0"/>
              <w:spacing w:line="360" w:lineRule="auto"/>
              <w:jc w:val="left"/>
              <w:rPr>
                <w:rFonts w:ascii="宋体" w:hAnsi="宋体" w:eastAsia="宋体" w:cs="宋体"/>
                <w:kern w:val="2"/>
                <w:sz w:val="24"/>
              </w:rPr>
            </w:pPr>
            <w:r>
              <w:rPr>
                <w:rFonts w:hint="eastAsia" w:ascii="宋体" w:hAnsi="宋体" w:eastAsia="宋体" w:cs="宋体"/>
                <w:kern w:val="2"/>
                <w:sz w:val="24"/>
              </w:rPr>
              <w:t>50周岁及以下，</w:t>
            </w:r>
            <w:r>
              <w:rPr>
                <w:rFonts w:hint="eastAsia" w:ascii="宋体" w:hAnsi="宋体" w:eastAsia="宋体" w:cs="宋体"/>
                <w:kern w:val="2"/>
                <w:sz w:val="24"/>
                <w:lang w:eastAsia="zh-CN"/>
              </w:rPr>
              <w:t>负责绿</w:t>
            </w:r>
            <w:r>
              <w:rPr>
                <w:rFonts w:hint="eastAsia" w:ascii="Calibri" w:hAnsi="Calibri" w:eastAsia="宋体" w:cs="Times New Roman"/>
                <w:kern w:val="2"/>
                <w:sz w:val="24"/>
                <w:lang w:eastAsia="zh-CN"/>
              </w:rPr>
              <w:t>植</w:t>
            </w:r>
            <w:r>
              <w:rPr>
                <w:rFonts w:hint="eastAsia" w:ascii="Calibri" w:hAnsi="Calibri" w:eastAsia="宋体" w:cs="Times New Roman"/>
                <w:kern w:val="2"/>
                <w:sz w:val="24"/>
                <w:lang w:val="en-US" w:eastAsia="zh-CN"/>
              </w:rPr>
              <w:t>养护及其他</w:t>
            </w:r>
            <w:r>
              <w:rPr>
                <w:rFonts w:hint="eastAsia" w:ascii="Calibri" w:hAnsi="Calibri" w:eastAsia="宋体" w:cs="Times New Roman"/>
                <w:kern w:val="2"/>
                <w:sz w:val="24"/>
                <w:lang w:eastAsia="zh-CN"/>
              </w:rPr>
              <w:t>工作，</w:t>
            </w:r>
            <w:r>
              <w:rPr>
                <w:rFonts w:hint="eastAsia" w:ascii="Calibri" w:hAnsi="Calibri" w:eastAsia="宋体" w:cs="Times New Roman"/>
                <w:b/>
                <w:bCs/>
                <w:kern w:val="2"/>
                <w:sz w:val="24"/>
              </w:rPr>
              <w:t>本次投标暂无需提供证明材料</w:t>
            </w:r>
          </w:p>
        </w:tc>
        <w:tc>
          <w:tcPr>
            <w:tcW w:w="1538" w:type="dxa"/>
            <w:vAlign w:val="center"/>
          </w:tcPr>
          <w:p w14:paraId="6A1B76DB">
            <w:pPr>
              <w:widowControl/>
              <w:adjustRightInd w:val="0"/>
              <w:snapToGrid w:val="0"/>
              <w:spacing w:line="360" w:lineRule="auto"/>
              <w:jc w:val="center"/>
              <w:rPr>
                <w:rFonts w:ascii="宋体" w:hAnsi="宋体" w:eastAsia="宋体" w:cs="宋体"/>
                <w:kern w:val="2"/>
                <w:sz w:val="24"/>
              </w:rPr>
            </w:pPr>
            <w:r>
              <w:rPr>
                <w:rFonts w:hint="eastAsia" w:ascii="宋体" w:hAnsi="宋体" w:eastAsia="宋体" w:cs="宋体"/>
                <w:kern w:val="2"/>
                <w:sz w:val="24"/>
              </w:rPr>
              <w:t>2</w:t>
            </w:r>
          </w:p>
        </w:tc>
      </w:tr>
      <w:tr w14:paraId="4836E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21" w:type="dxa"/>
            <w:gridSpan w:val="2"/>
            <w:vAlign w:val="center"/>
          </w:tcPr>
          <w:p w14:paraId="74DCC253">
            <w:pPr>
              <w:widowControl/>
              <w:adjustRightInd w:val="0"/>
              <w:snapToGrid w:val="0"/>
              <w:spacing w:line="360" w:lineRule="auto"/>
              <w:jc w:val="center"/>
              <w:rPr>
                <w:rFonts w:ascii="宋体" w:hAnsi="宋体" w:eastAsia="宋体" w:cs="宋体"/>
                <w:kern w:val="2"/>
                <w:sz w:val="24"/>
              </w:rPr>
            </w:pPr>
            <w:r>
              <w:rPr>
                <w:rFonts w:hint="eastAsia" w:ascii="宋体" w:hAnsi="宋体" w:eastAsia="宋体" w:cs="宋体"/>
                <w:kern w:val="2"/>
                <w:sz w:val="24"/>
              </w:rPr>
              <w:t>图书管理</w:t>
            </w:r>
          </w:p>
        </w:tc>
        <w:tc>
          <w:tcPr>
            <w:tcW w:w="4819" w:type="dxa"/>
            <w:vAlign w:val="center"/>
          </w:tcPr>
          <w:p w14:paraId="2BDF0B91">
            <w:pPr>
              <w:widowControl/>
              <w:adjustRightInd w:val="0"/>
              <w:snapToGrid w:val="0"/>
              <w:spacing w:line="360" w:lineRule="auto"/>
              <w:jc w:val="left"/>
              <w:rPr>
                <w:rFonts w:ascii="宋体" w:hAnsi="宋体" w:eastAsia="宋体" w:cs="宋体"/>
                <w:kern w:val="2"/>
                <w:sz w:val="24"/>
              </w:rPr>
            </w:pPr>
            <w:bookmarkStart w:id="47" w:name="OLE_LINK106"/>
            <w:r>
              <w:rPr>
                <w:rFonts w:hint="eastAsia" w:ascii="宋体" w:hAnsi="宋体" w:eastAsia="宋体" w:cs="宋体"/>
                <w:kern w:val="2"/>
                <w:sz w:val="24"/>
              </w:rPr>
              <w:t>55周岁及以下</w:t>
            </w:r>
            <w:bookmarkEnd w:id="47"/>
          </w:p>
        </w:tc>
        <w:tc>
          <w:tcPr>
            <w:tcW w:w="1538" w:type="dxa"/>
            <w:vAlign w:val="center"/>
          </w:tcPr>
          <w:p w14:paraId="0B8AD29C">
            <w:pPr>
              <w:widowControl/>
              <w:adjustRightInd w:val="0"/>
              <w:snapToGrid w:val="0"/>
              <w:spacing w:line="360" w:lineRule="auto"/>
              <w:jc w:val="center"/>
              <w:rPr>
                <w:rFonts w:ascii="宋体" w:hAnsi="宋体" w:eastAsia="宋体" w:cs="宋体"/>
                <w:kern w:val="2"/>
                <w:sz w:val="24"/>
              </w:rPr>
            </w:pPr>
            <w:r>
              <w:rPr>
                <w:rFonts w:hint="eastAsia" w:ascii="宋体" w:hAnsi="宋体" w:eastAsia="宋体" w:cs="宋体"/>
                <w:kern w:val="2"/>
                <w:sz w:val="24"/>
              </w:rPr>
              <w:t>1</w:t>
            </w:r>
          </w:p>
        </w:tc>
      </w:tr>
    </w:tbl>
    <w:p w14:paraId="132C9FFA">
      <w:pPr>
        <w:pStyle w:val="196"/>
      </w:pPr>
    </w:p>
    <w:p w14:paraId="15AE76DC">
      <w:pPr>
        <w:pStyle w:val="194"/>
        <w:spacing w:before="0" w:after="0" w:line="360" w:lineRule="auto"/>
        <w:ind w:firstLine="643"/>
        <w:rPr>
          <w:rFonts w:asciiTheme="minorEastAsia" w:hAnsiTheme="minorEastAsia" w:eastAsiaTheme="minorEastAsia"/>
        </w:rPr>
      </w:pPr>
      <w:r>
        <w:rPr>
          <w:rFonts w:hint="eastAsia" w:asciiTheme="minorEastAsia" w:hAnsiTheme="minorEastAsia" w:eastAsiaTheme="minorEastAsia"/>
        </w:rPr>
        <w:t>四、服务期限与项目进度安排</w:t>
      </w:r>
    </w:p>
    <w:p w14:paraId="30A080B3">
      <w:pPr>
        <w:spacing w:line="360" w:lineRule="auto"/>
        <w:ind w:firstLine="480"/>
        <w:rPr>
          <w:rFonts w:cs="宋体" w:asciiTheme="minorEastAsia" w:hAnsiTheme="minorEastAsia"/>
          <w:bCs/>
          <w:i/>
          <w:color w:val="FF0000"/>
          <w:sz w:val="24"/>
          <w:szCs w:val="24"/>
          <w:u w:val="single"/>
        </w:rPr>
      </w:pPr>
      <w:bookmarkStart w:id="48" w:name="OLE_LINK136"/>
      <w:bookmarkStart w:id="49" w:name="OLE_LINK60"/>
      <w:bookmarkStart w:id="50" w:name="OLE_LINK59"/>
      <w:bookmarkStart w:id="51" w:name="OLE_LINK137"/>
      <w:r>
        <w:rPr>
          <w:rFonts w:hint="eastAsia" w:cs="宋体" w:asciiTheme="minorEastAsia" w:hAnsiTheme="minorEastAsia"/>
          <w:bCs/>
          <w:i/>
          <w:sz w:val="24"/>
          <w:szCs w:val="24"/>
          <w:u w:val="single"/>
        </w:rPr>
        <w:t>服务期限：</w:t>
      </w:r>
      <w:bookmarkStart w:id="52" w:name="OLE_LINK23"/>
      <w:bookmarkStart w:id="53" w:name="OLE_LINK1"/>
      <w:r>
        <w:rPr>
          <w:rFonts w:hint="eastAsia" w:cs="宋体" w:asciiTheme="minorEastAsia" w:hAnsiTheme="minorEastAsia"/>
          <w:bCs/>
          <w:i/>
          <w:sz w:val="24"/>
          <w:szCs w:val="24"/>
          <w:u w:val="single"/>
        </w:rPr>
        <w:t>三年(合同约定时间起算)。</w:t>
      </w:r>
      <w:r>
        <w:rPr>
          <w:rFonts w:hint="eastAsia" w:ascii="宋体" w:hAnsi="宋体" w:eastAsia="宋体" w:cs="宋体"/>
          <w:bCs/>
          <w:i/>
          <w:sz w:val="24"/>
          <w:szCs w:val="24"/>
          <w:u w:val="single"/>
        </w:rPr>
        <w:t>本项目一招三年，合同一年一签，如能达到采购人的服务要求，考核合格后续签下</w:t>
      </w:r>
      <w:r>
        <w:rPr>
          <w:rFonts w:hint="eastAsia" w:ascii="宋体" w:hAnsi="宋体" w:eastAsia="宋体" w:cs="宋体"/>
          <w:bCs/>
          <w:i/>
          <w:sz w:val="24"/>
          <w:szCs w:val="24"/>
          <w:u w:val="single"/>
          <w:lang w:eastAsia="zh-CN"/>
        </w:rPr>
        <w:t>一</w:t>
      </w:r>
      <w:r>
        <w:rPr>
          <w:rFonts w:hint="eastAsia" w:ascii="宋体" w:hAnsi="宋体" w:eastAsia="宋体" w:cs="宋体"/>
          <w:bCs/>
          <w:i/>
          <w:sz w:val="24"/>
          <w:szCs w:val="24"/>
          <w:u w:val="single"/>
        </w:rPr>
        <w:t>年合同。</w:t>
      </w:r>
      <w:bookmarkEnd w:id="48"/>
      <w:bookmarkEnd w:id="49"/>
      <w:bookmarkEnd w:id="50"/>
      <w:bookmarkEnd w:id="51"/>
      <w:bookmarkEnd w:id="52"/>
      <w:bookmarkEnd w:id="53"/>
    </w:p>
    <w:p w14:paraId="7ED2B41B">
      <w:pPr>
        <w:spacing w:line="360" w:lineRule="auto"/>
        <w:ind w:firstLine="480" w:firstLineChars="200"/>
        <w:rPr>
          <w:rFonts w:ascii="Calibri" w:hAnsi="Calibri" w:eastAsia="宋体" w:cs="Times New Roman"/>
          <w:kern w:val="2"/>
          <w:sz w:val="24"/>
        </w:rPr>
      </w:pPr>
      <w:bookmarkStart w:id="54" w:name="OLE_LINK61"/>
      <w:r>
        <w:rPr>
          <w:rFonts w:hint="eastAsia" w:ascii="Calibri" w:hAnsi="Calibri" w:eastAsia="宋体" w:cs="Times New Roman"/>
          <w:kern w:val="2"/>
          <w:sz w:val="24"/>
        </w:rPr>
        <w:t>交付期：</w:t>
      </w:r>
      <w:bookmarkStart w:id="55" w:name="OLE_LINK36"/>
      <w:bookmarkStart w:id="56" w:name="OLE_LINK37"/>
      <w:r>
        <w:rPr>
          <w:rFonts w:hint="eastAsia"/>
          <w:sz w:val="24"/>
          <w:szCs w:val="24"/>
        </w:rPr>
        <w:t>合同约定开始时间</w:t>
      </w:r>
      <w:bookmarkEnd w:id="55"/>
      <w:bookmarkEnd w:id="56"/>
      <w:r>
        <w:rPr>
          <w:rFonts w:hint="eastAsia" w:ascii="Calibri" w:hAnsi="Calibri" w:eastAsia="宋体" w:cs="Times New Roman"/>
          <w:kern w:val="2"/>
          <w:sz w:val="24"/>
        </w:rPr>
        <w:t>。</w:t>
      </w:r>
    </w:p>
    <w:p w14:paraId="12522A02">
      <w:pPr>
        <w:spacing w:line="360" w:lineRule="auto"/>
        <w:ind w:firstLine="480" w:firstLineChars="200"/>
        <w:rPr>
          <w:rFonts w:ascii="Calibri" w:hAnsi="Calibri" w:eastAsia="宋体" w:cs="Times New Roman"/>
          <w:kern w:val="2"/>
          <w:sz w:val="24"/>
        </w:rPr>
      </w:pPr>
      <w:r>
        <w:rPr>
          <w:rFonts w:hint="eastAsia" w:ascii="Calibri" w:hAnsi="Calibri" w:eastAsia="宋体" w:cs="Times New Roman"/>
          <w:kern w:val="2"/>
          <w:sz w:val="24"/>
        </w:rPr>
        <w:t>交付进度要求：中标单位需负责在</w:t>
      </w:r>
      <w:r>
        <w:rPr>
          <w:rFonts w:hint="eastAsia"/>
          <w:sz w:val="24"/>
          <w:szCs w:val="24"/>
        </w:rPr>
        <w:t>合同签定后次日</w:t>
      </w:r>
      <w:r>
        <w:rPr>
          <w:rFonts w:hint="eastAsia" w:ascii="Calibri" w:hAnsi="Calibri" w:eastAsia="宋体" w:cs="Times New Roman"/>
          <w:kern w:val="2"/>
          <w:sz w:val="24"/>
        </w:rPr>
        <w:t>与上一期物业公司商讨进退场方案，全面了解</w:t>
      </w:r>
      <w:r>
        <w:rPr>
          <w:rFonts w:hint="eastAsia" w:ascii="Calibri" w:hAnsi="Calibri" w:eastAsia="宋体" w:cs="Times New Roman"/>
          <w:kern w:val="2"/>
          <w:sz w:val="24"/>
          <w:lang w:val="en-US" w:eastAsia="zh-CN"/>
        </w:rPr>
        <w:t>采购人</w:t>
      </w:r>
      <w:r>
        <w:rPr>
          <w:rFonts w:hint="eastAsia" w:ascii="Calibri" w:hAnsi="Calibri" w:eastAsia="宋体" w:cs="Times New Roman"/>
          <w:kern w:val="2"/>
          <w:sz w:val="24"/>
        </w:rPr>
        <w:t>物业管理服务需求内容，确保在交付期当天能够进场，不影响</w:t>
      </w:r>
      <w:r>
        <w:rPr>
          <w:rFonts w:hint="eastAsia" w:ascii="Calibri" w:hAnsi="Calibri" w:eastAsia="宋体" w:cs="Times New Roman"/>
          <w:kern w:val="2"/>
          <w:sz w:val="24"/>
          <w:lang w:val="en-US" w:eastAsia="zh-CN"/>
        </w:rPr>
        <w:t>采购人</w:t>
      </w:r>
      <w:r>
        <w:rPr>
          <w:rFonts w:hint="eastAsia" w:ascii="Calibri" w:hAnsi="Calibri" w:eastAsia="宋体" w:cs="Times New Roman"/>
          <w:kern w:val="2"/>
          <w:sz w:val="24"/>
        </w:rPr>
        <w:t>的正常生产工作。</w:t>
      </w:r>
      <w:bookmarkEnd w:id="54"/>
    </w:p>
    <w:p w14:paraId="59483EF8">
      <w:pPr>
        <w:pStyle w:val="194"/>
        <w:spacing w:before="0" w:after="0" w:line="360" w:lineRule="auto"/>
        <w:ind w:firstLine="643"/>
        <w:rPr>
          <w:rFonts w:asciiTheme="minorEastAsia" w:hAnsiTheme="minorEastAsia" w:eastAsiaTheme="minorEastAsia"/>
        </w:rPr>
      </w:pPr>
      <w:r>
        <w:rPr>
          <w:rFonts w:hint="eastAsia" w:asciiTheme="minorEastAsia" w:hAnsiTheme="minorEastAsia" w:eastAsiaTheme="minorEastAsia"/>
        </w:rPr>
        <w:t>五、服务标准</w:t>
      </w:r>
    </w:p>
    <w:p w14:paraId="3E69DE80">
      <w:pPr>
        <w:spacing w:line="360" w:lineRule="auto"/>
        <w:ind w:firstLine="480" w:firstLineChars="200"/>
        <w:rPr>
          <w:rFonts w:ascii="Calibri" w:hAnsi="Calibri" w:eastAsia="宋体" w:cs="Times New Roman"/>
          <w:kern w:val="2"/>
          <w:sz w:val="24"/>
        </w:rPr>
      </w:pPr>
      <w:r>
        <w:rPr>
          <w:rFonts w:hint="eastAsia" w:ascii="Calibri" w:hAnsi="Calibri" w:eastAsia="宋体" w:cs="Times New Roman"/>
          <w:kern w:val="2"/>
          <w:sz w:val="24"/>
        </w:rPr>
        <w:t>采购标的需执行的国家相关标准、行业标准、地方标准或者其他标准、规范</w:t>
      </w:r>
    </w:p>
    <w:p w14:paraId="1A8EC21E">
      <w:pPr>
        <w:spacing w:line="360" w:lineRule="auto"/>
        <w:ind w:firstLine="562" w:firstLineChars="200"/>
        <w:rPr>
          <w:rFonts w:ascii="Times New Roman" w:hAnsi="Times New Roman" w:eastAsia="宋体" w:cs="Times New Roman"/>
          <w:b/>
          <w:kern w:val="2"/>
          <w:sz w:val="28"/>
          <w:szCs w:val="28"/>
        </w:rPr>
      </w:pPr>
      <w:bookmarkStart w:id="57" w:name="OLE_LINK325"/>
      <w:bookmarkStart w:id="58" w:name="OLE_LINK327"/>
      <w:bookmarkStart w:id="59" w:name="OLE_LINK326"/>
      <w:r>
        <w:rPr>
          <w:rFonts w:hint="eastAsia" w:ascii="Times New Roman" w:hAnsi="Times New Roman" w:eastAsia="宋体" w:cs="Times New Roman"/>
          <w:b/>
          <w:kern w:val="2"/>
          <w:sz w:val="28"/>
          <w:szCs w:val="28"/>
        </w:rPr>
        <w:t>六、考核标准及考核办法</w:t>
      </w:r>
      <w:bookmarkEnd w:id="57"/>
      <w:bookmarkEnd w:id="58"/>
      <w:bookmarkEnd w:id="59"/>
    </w:p>
    <w:p w14:paraId="366D92E9">
      <w:pPr>
        <w:spacing w:line="360" w:lineRule="auto"/>
        <w:ind w:firstLine="480" w:firstLineChars="200"/>
        <w:rPr>
          <w:rFonts w:ascii="Calibri" w:hAnsi="Calibri" w:eastAsia="宋体" w:cs="Times New Roman"/>
          <w:kern w:val="2"/>
          <w:sz w:val="24"/>
        </w:rPr>
      </w:pPr>
      <w:bookmarkStart w:id="60" w:name="OLE_LINK27"/>
      <w:r>
        <w:rPr>
          <w:rFonts w:hint="eastAsia" w:ascii="Calibri" w:hAnsi="Calibri" w:eastAsia="宋体" w:cs="Times New Roman"/>
          <w:kern w:val="2"/>
          <w:sz w:val="24"/>
        </w:rPr>
        <w:t>6.1服务考核分月度考核</w:t>
      </w:r>
    </w:p>
    <w:p w14:paraId="50FA420C">
      <w:pPr>
        <w:spacing w:line="360" w:lineRule="auto"/>
        <w:ind w:firstLine="480" w:firstLineChars="200"/>
        <w:rPr>
          <w:rFonts w:ascii="Calibri" w:hAnsi="Calibri" w:eastAsia="宋体" w:cs="Times New Roman"/>
          <w:kern w:val="2"/>
          <w:sz w:val="24"/>
        </w:rPr>
      </w:pPr>
      <w:r>
        <w:rPr>
          <w:rFonts w:hint="eastAsia" w:ascii="Calibri" w:hAnsi="Calibri" w:eastAsia="宋体" w:cs="Times New Roman"/>
          <w:kern w:val="2"/>
          <w:sz w:val="24"/>
        </w:rPr>
        <w:t>月度考核将从日常、卫生、安全、食堂等方面进行考核测评。</w:t>
      </w:r>
    </w:p>
    <w:p w14:paraId="6A730736">
      <w:pPr>
        <w:spacing w:line="360" w:lineRule="auto"/>
        <w:ind w:firstLine="480" w:firstLineChars="200"/>
        <w:rPr>
          <w:rFonts w:ascii="Calibri" w:hAnsi="Calibri" w:eastAsia="宋体" w:cs="Times New Roman"/>
          <w:kern w:val="2"/>
          <w:sz w:val="24"/>
        </w:rPr>
      </w:pPr>
      <w:r>
        <w:rPr>
          <w:rFonts w:hint="eastAsia" w:ascii="Calibri" w:hAnsi="Calibri" w:eastAsia="宋体" w:cs="Times New Roman"/>
          <w:kern w:val="2"/>
          <w:sz w:val="24"/>
        </w:rPr>
        <w:t>月度考核共分五部分：</w:t>
      </w:r>
    </w:p>
    <w:p w14:paraId="28A7274D">
      <w:pPr>
        <w:spacing w:line="360" w:lineRule="auto"/>
        <w:ind w:firstLine="480" w:firstLineChars="200"/>
        <w:rPr>
          <w:rFonts w:ascii="Calibri" w:hAnsi="Calibri" w:eastAsia="宋体" w:cs="Times New Roman"/>
          <w:kern w:val="2"/>
          <w:sz w:val="24"/>
        </w:rPr>
      </w:pPr>
      <w:r>
        <w:rPr>
          <w:rFonts w:hint="eastAsia" w:ascii="Calibri" w:hAnsi="Calibri" w:eastAsia="宋体" w:cs="Times New Roman"/>
          <w:kern w:val="2"/>
          <w:sz w:val="24"/>
        </w:rPr>
        <w:t>第一部分为日常工作及基础管理，占20分；</w:t>
      </w:r>
    </w:p>
    <w:p w14:paraId="398C8DF4">
      <w:pPr>
        <w:spacing w:line="360" w:lineRule="auto"/>
        <w:ind w:firstLine="480" w:firstLineChars="200"/>
        <w:rPr>
          <w:rFonts w:ascii="Calibri" w:hAnsi="Calibri" w:eastAsia="宋体" w:cs="Times New Roman"/>
          <w:kern w:val="2"/>
          <w:sz w:val="24"/>
        </w:rPr>
      </w:pPr>
      <w:r>
        <w:rPr>
          <w:rFonts w:hint="eastAsia" w:ascii="Calibri" w:hAnsi="Calibri" w:eastAsia="宋体" w:cs="Times New Roman"/>
          <w:kern w:val="2"/>
          <w:sz w:val="24"/>
        </w:rPr>
        <w:t>第二部分为清洁卫生及会务保障，占20分；</w:t>
      </w:r>
    </w:p>
    <w:p w14:paraId="20E94270">
      <w:pPr>
        <w:spacing w:line="360" w:lineRule="auto"/>
        <w:ind w:firstLine="480" w:firstLineChars="200"/>
        <w:rPr>
          <w:rFonts w:ascii="Calibri" w:hAnsi="Calibri" w:eastAsia="宋体" w:cs="Times New Roman"/>
          <w:kern w:val="2"/>
          <w:sz w:val="24"/>
        </w:rPr>
      </w:pPr>
      <w:r>
        <w:rPr>
          <w:rFonts w:hint="eastAsia" w:ascii="Calibri" w:hAnsi="Calibri" w:eastAsia="宋体" w:cs="Times New Roman"/>
          <w:kern w:val="2"/>
          <w:sz w:val="24"/>
        </w:rPr>
        <w:t>第三部分为</w:t>
      </w:r>
      <w:bookmarkStart w:id="61" w:name="OLE_LINK133"/>
      <w:r>
        <w:rPr>
          <w:rFonts w:hint="eastAsia" w:ascii="Calibri" w:hAnsi="Calibri" w:eastAsia="宋体" w:cs="Times New Roman"/>
          <w:kern w:val="2"/>
          <w:sz w:val="24"/>
        </w:rPr>
        <w:t>秩序维保及维修管理</w:t>
      </w:r>
      <w:bookmarkEnd w:id="61"/>
      <w:r>
        <w:rPr>
          <w:rFonts w:hint="eastAsia" w:ascii="Calibri" w:hAnsi="Calibri" w:eastAsia="宋体" w:cs="Times New Roman"/>
          <w:kern w:val="2"/>
          <w:sz w:val="24"/>
        </w:rPr>
        <w:t>，占30分；</w:t>
      </w:r>
    </w:p>
    <w:p w14:paraId="2B42EF20">
      <w:pPr>
        <w:spacing w:line="360" w:lineRule="auto"/>
        <w:ind w:firstLine="480" w:firstLineChars="200"/>
        <w:rPr>
          <w:rFonts w:ascii="Calibri" w:hAnsi="Calibri" w:eastAsia="宋体" w:cs="Times New Roman"/>
          <w:kern w:val="2"/>
          <w:sz w:val="24"/>
        </w:rPr>
      </w:pPr>
      <w:r>
        <w:rPr>
          <w:rFonts w:hint="eastAsia" w:ascii="Calibri" w:hAnsi="Calibri" w:eastAsia="宋体" w:cs="Times New Roman"/>
          <w:kern w:val="2"/>
          <w:sz w:val="24"/>
        </w:rPr>
        <w:t>第四部分为食堂管理，占20分。</w:t>
      </w:r>
    </w:p>
    <w:p w14:paraId="3A829E9D">
      <w:pPr>
        <w:spacing w:line="360" w:lineRule="auto"/>
        <w:ind w:firstLine="480" w:firstLineChars="200"/>
        <w:rPr>
          <w:rFonts w:ascii="Calibri" w:hAnsi="Calibri" w:eastAsia="宋体" w:cs="Times New Roman"/>
          <w:kern w:val="2"/>
          <w:sz w:val="24"/>
        </w:rPr>
      </w:pPr>
      <w:r>
        <w:rPr>
          <w:rFonts w:hint="eastAsia" w:ascii="Calibri" w:hAnsi="Calibri" w:eastAsia="宋体" w:cs="Times New Roman"/>
          <w:kern w:val="2"/>
          <w:sz w:val="24"/>
        </w:rPr>
        <w:t>第五部分为机械车位管理，占10分。</w:t>
      </w:r>
    </w:p>
    <w:p w14:paraId="3A1456F1">
      <w:pPr>
        <w:spacing w:line="360" w:lineRule="auto"/>
        <w:ind w:firstLine="480" w:firstLineChars="200"/>
        <w:rPr>
          <w:rFonts w:ascii="Calibri" w:hAnsi="Calibri" w:eastAsia="宋体" w:cs="Times New Roman"/>
          <w:kern w:val="2"/>
          <w:sz w:val="24"/>
        </w:rPr>
      </w:pPr>
      <w:r>
        <w:rPr>
          <w:rFonts w:hint="eastAsia" w:ascii="Calibri" w:hAnsi="Calibri" w:eastAsia="宋体" w:cs="Times New Roman"/>
          <w:kern w:val="2"/>
          <w:sz w:val="24"/>
        </w:rPr>
        <w:t>月度考核随时进行，考核内容见附表。</w:t>
      </w:r>
    </w:p>
    <w:p w14:paraId="062EF32B">
      <w:pPr>
        <w:spacing w:line="360" w:lineRule="auto"/>
        <w:ind w:firstLine="480" w:firstLineChars="200"/>
        <w:rPr>
          <w:rFonts w:ascii="Calibri" w:hAnsi="Calibri" w:eastAsia="宋体" w:cs="Times New Roman"/>
          <w:kern w:val="2"/>
          <w:sz w:val="24"/>
        </w:rPr>
      </w:pPr>
      <w:r>
        <w:rPr>
          <w:rFonts w:hint="eastAsia" w:ascii="Calibri" w:hAnsi="Calibri" w:eastAsia="宋体" w:cs="Times New Roman"/>
          <w:kern w:val="2"/>
          <w:sz w:val="24"/>
        </w:rPr>
        <w:t>6.2、服务考核分数计算方法</w:t>
      </w:r>
    </w:p>
    <w:p w14:paraId="37D7EED8">
      <w:pPr>
        <w:spacing w:line="360" w:lineRule="auto"/>
        <w:ind w:firstLine="480" w:firstLineChars="200"/>
        <w:rPr>
          <w:rFonts w:ascii="Calibri" w:hAnsi="Calibri" w:eastAsia="宋体" w:cs="Times New Roman"/>
          <w:kern w:val="2"/>
          <w:sz w:val="24"/>
        </w:rPr>
      </w:pPr>
      <w:r>
        <w:rPr>
          <w:rFonts w:hint="eastAsia" w:ascii="Calibri" w:hAnsi="Calibri" w:eastAsia="宋体" w:cs="Times New Roman"/>
          <w:kern w:val="2"/>
          <w:sz w:val="24"/>
        </w:rPr>
        <w:t>月度考核分数=总分—检查所扣分数；</w:t>
      </w:r>
    </w:p>
    <w:p w14:paraId="5D160320">
      <w:pPr>
        <w:spacing w:line="360" w:lineRule="auto"/>
        <w:ind w:firstLine="480" w:firstLineChars="200"/>
        <w:rPr>
          <w:rFonts w:ascii="Calibri" w:hAnsi="Calibri" w:eastAsia="宋体" w:cs="Times New Roman"/>
          <w:kern w:val="2"/>
          <w:sz w:val="24"/>
        </w:rPr>
      </w:pPr>
      <w:r>
        <w:rPr>
          <w:rFonts w:hint="eastAsia" w:ascii="Calibri" w:hAnsi="Calibri" w:eastAsia="宋体" w:cs="Times New Roman"/>
          <w:kern w:val="2"/>
          <w:sz w:val="24"/>
        </w:rPr>
        <w:t>6.3物业管理的考核标准</w:t>
      </w:r>
    </w:p>
    <w:p w14:paraId="55C1A194">
      <w:pPr>
        <w:spacing w:line="360" w:lineRule="auto"/>
        <w:ind w:firstLine="480" w:firstLineChars="200"/>
        <w:rPr>
          <w:rFonts w:ascii="Calibri" w:hAnsi="Calibri" w:eastAsia="宋体" w:cs="Times New Roman"/>
          <w:kern w:val="2"/>
          <w:sz w:val="24"/>
        </w:rPr>
      </w:pPr>
      <w:r>
        <w:rPr>
          <w:rFonts w:hint="eastAsia" w:ascii="Calibri" w:hAnsi="Calibri" w:eastAsia="宋体" w:cs="Times New Roman"/>
          <w:kern w:val="2"/>
          <w:sz w:val="24"/>
        </w:rPr>
        <w:t>按月对物业服务情况进行考核。</w:t>
      </w:r>
    </w:p>
    <w:p w14:paraId="0AA1D42D">
      <w:pPr>
        <w:spacing w:line="360" w:lineRule="auto"/>
        <w:ind w:firstLine="480" w:firstLineChars="200"/>
        <w:rPr>
          <w:rFonts w:ascii="Calibri" w:hAnsi="Calibri" w:eastAsia="宋体" w:cs="Times New Roman"/>
          <w:kern w:val="2"/>
          <w:sz w:val="24"/>
        </w:rPr>
      </w:pPr>
      <w:r>
        <w:rPr>
          <w:rFonts w:hint="eastAsia" w:ascii="Calibri" w:hAnsi="Calibri" w:eastAsia="宋体" w:cs="Times New Roman"/>
          <w:kern w:val="2"/>
          <w:sz w:val="24"/>
        </w:rPr>
        <w:t>附：考核及评分标准参照表</w:t>
      </w:r>
    </w:p>
    <w:p w14:paraId="26999B02">
      <w:pPr>
        <w:widowControl/>
        <w:spacing w:line="520" w:lineRule="atLeast"/>
        <w:jc w:val="center"/>
        <w:rPr>
          <w:rFonts w:ascii="宋体" w:hAnsi="宋体" w:eastAsia="宋体" w:cs="Times New Roman"/>
          <w:bCs/>
          <w:kern w:val="2"/>
          <w:sz w:val="24"/>
        </w:rPr>
      </w:pPr>
      <w:r>
        <w:rPr>
          <w:rFonts w:hint="eastAsia" w:ascii="宋体" w:hAnsi="宋体" w:eastAsia="宋体" w:cs="Times New Roman"/>
          <w:bCs/>
          <w:kern w:val="2"/>
          <w:sz w:val="24"/>
        </w:rPr>
        <w:t>物业管理考核细则</w:t>
      </w:r>
    </w:p>
    <w:tbl>
      <w:tblPr>
        <w:tblStyle w:val="29"/>
        <w:tblW w:w="8238" w:type="dxa"/>
        <w:tblInd w:w="1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5"/>
        <w:gridCol w:w="687"/>
        <w:gridCol w:w="2613"/>
        <w:gridCol w:w="736"/>
        <w:gridCol w:w="1882"/>
        <w:gridCol w:w="1445"/>
      </w:tblGrid>
      <w:tr w14:paraId="09F77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tcBorders>
              <w:top w:val="single" w:color="auto" w:sz="4" w:space="0"/>
              <w:left w:val="single" w:color="auto" w:sz="4" w:space="0"/>
              <w:bottom w:val="single" w:color="auto" w:sz="4" w:space="0"/>
              <w:right w:val="single" w:color="auto" w:sz="4" w:space="0"/>
            </w:tcBorders>
            <w:vAlign w:val="center"/>
          </w:tcPr>
          <w:p w14:paraId="4CF7B9EF">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项目</w:t>
            </w:r>
          </w:p>
        </w:tc>
        <w:tc>
          <w:tcPr>
            <w:tcW w:w="687" w:type="dxa"/>
            <w:tcBorders>
              <w:top w:val="single" w:color="auto" w:sz="4" w:space="0"/>
              <w:left w:val="single" w:color="auto" w:sz="4" w:space="0"/>
              <w:bottom w:val="single" w:color="auto" w:sz="4" w:space="0"/>
              <w:right w:val="single" w:color="auto" w:sz="4" w:space="0"/>
            </w:tcBorders>
            <w:vAlign w:val="center"/>
          </w:tcPr>
          <w:p w14:paraId="5710F3AA">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序号</w:t>
            </w:r>
          </w:p>
        </w:tc>
        <w:tc>
          <w:tcPr>
            <w:tcW w:w="2613" w:type="dxa"/>
            <w:tcBorders>
              <w:top w:val="single" w:color="auto" w:sz="4" w:space="0"/>
              <w:left w:val="single" w:color="auto" w:sz="4" w:space="0"/>
              <w:bottom w:val="single" w:color="auto" w:sz="4" w:space="0"/>
              <w:right w:val="single" w:color="auto" w:sz="4" w:space="0"/>
            </w:tcBorders>
            <w:vAlign w:val="center"/>
          </w:tcPr>
          <w:p w14:paraId="5740D8B0">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标准内容</w:t>
            </w:r>
          </w:p>
        </w:tc>
        <w:tc>
          <w:tcPr>
            <w:tcW w:w="736" w:type="dxa"/>
            <w:tcBorders>
              <w:top w:val="single" w:color="auto" w:sz="4" w:space="0"/>
              <w:left w:val="single" w:color="auto" w:sz="4" w:space="0"/>
              <w:bottom w:val="single" w:color="auto" w:sz="4" w:space="0"/>
              <w:right w:val="single" w:color="auto" w:sz="4" w:space="0"/>
            </w:tcBorders>
            <w:vAlign w:val="center"/>
          </w:tcPr>
          <w:p w14:paraId="211A95C3">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分值</w:t>
            </w:r>
          </w:p>
        </w:tc>
        <w:tc>
          <w:tcPr>
            <w:tcW w:w="1882" w:type="dxa"/>
            <w:tcBorders>
              <w:top w:val="single" w:color="auto" w:sz="4" w:space="0"/>
              <w:left w:val="single" w:color="auto" w:sz="4" w:space="0"/>
              <w:bottom w:val="single" w:color="auto" w:sz="4" w:space="0"/>
              <w:right w:val="single" w:color="auto" w:sz="4" w:space="0"/>
            </w:tcBorders>
            <w:vAlign w:val="center"/>
          </w:tcPr>
          <w:p w14:paraId="68E7076F">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监管评分标准</w:t>
            </w:r>
          </w:p>
        </w:tc>
        <w:tc>
          <w:tcPr>
            <w:tcW w:w="1445" w:type="dxa"/>
            <w:tcBorders>
              <w:top w:val="single" w:color="auto" w:sz="4" w:space="0"/>
              <w:left w:val="single" w:color="auto" w:sz="4" w:space="0"/>
              <w:bottom w:val="single" w:color="auto" w:sz="4" w:space="0"/>
              <w:right w:val="single" w:color="auto" w:sz="4" w:space="0"/>
            </w:tcBorders>
            <w:vAlign w:val="center"/>
          </w:tcPr>
          <w:p w14:paraId="66892C74">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测评分值</w:t>
            </w:r>
          </w:p>
        </w:tc>
      </w:tr>
      <w:tr w14:paraId="7F32A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0" w:hRule="atLeast"/>
        </w:trPr>
        <w:tc>
          <w:tcPr>
            <w:tcW w:w="875" w:type="dxa"/>
            <w:vMerge w:val="restart"/>
            <w:tcBorders>
              <w:top w:val="single" w:color="auto" w:sz="4" w:space="0"/>
              <w:left w:val="single" w:color="auto" w:sz="4" w:space="0"/>
              <w:bottom w:val="single" w:color="auto" w:sz="4" w:space="0"/>
              <w:right w:val="single" w:color="auto" w:sz="4" w:space="0"/>
            </w:tcBorders>
            <w:vAlign w:val="center"/>
          </w:tcPr>
          <w:p w14:paraId="52BEAC4F">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日常工作及基础管理（20分）</w:t>
            </w:r>
          </w:p>
        </w:tc>
        <w:tc>
          <w:tcPr>
            <w:tcW w:w="687" w:type="dxa"/>
            <w:tcBorders>
              <w:top w:val="single" w:color="auto" w:sz="4" w:space="0"/>
              <w:left w:val="single" w:color="auto" w:sz="4" w:space="0"/>
              <w:bottom w:val="single" w:color="auto" w:sz="4" w:space="0"/>
              <w:right w:val="single" w:color="auto" w:sz="4" w:space="0"/>
            </w:tcBorders>
            <w:vAlign w:val="center"/>
          </w:tcPr>
          <w:p w14:paraId="519440B9">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1</w:t>
            </w:r>
          </w:p>
        </w:tc>
        <w:tc>
          <w:tcPr>
            <w:tcW w:w="2613" w:type="dxa"/>
            <w:tcBorders>
              <w:top w:val="single" w:color="auto" w:sz="4" w:space="0"/>
              <w:left w:val="single" w:color="auto" w:sz="4" w:space="0"/>
              <w:bottom w:val="single" w:color="auto" w:sz="4" w:space="0"/>
              <w:right w:val="single" w:color="auto" w:sz="4" w:space="0"/>
            </w:tcBorders>
          </w:tcPr>
          <w:p w14:paraId="35C7A666">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物业公司制定有详细的物业管理实施方案、应对各类突发事件的应急预案和创优计划</w:t>
            </w:r>
          </w:p>
        </w:tc>
        <w:tc>
          <w:tcPr>
            <w:tcW w:w="736" w:type="dxa"/>
            <w:tcBorders>
              <w:top w:val="single" w:color="auto" w:sz="4" w:space="0"/>
              <w:left w:val="single" w:color="auto" w:sz="4" w:space="0"/>
              <w:bottom w:val="single" w:color="auto" w:sz="4" w:space="0"/>
              <w:right w:val="single" w:color="auto" w:sz="4" w:space="0"/>
            </w:tcBorders>
            <w:vAlign w:val="center"/>
          </w:tcPr>
          <w:p w14:paraId="56D5EA27">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2分</w:t>
            </w:r>
          </w:p>
        </w:tc>
        <w:tc>
          <w:tcPr>
            <w:tcW w:w="1882" w:type="dxa"/>
            <w:tcBorders>
              <w:top w:val="single" w:color="auto" w:sz="4" w:space="0"/>
              <w:left w:val="single" w:color="auto" w:sz="4" w:space="0"/>
              <w:bottom w:val="single" w:color="auto" w:sz="4" w:space="0"/>
              <w:right w:val="single" w:color="auto" w:sz="4" w:space="0"/>
            </w:tcBorders>
          </w:tcPr>
          <w:p w14:paraId="05D61D59">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没有方案合计扣2分，每发现一项不符合要求扣0.5分</w:t>
            </w:r>
          </w:p>
        </w:tc>
        <w:tc>
          <w:tcPr>
            <w:tcW w:w="1445" w:type="dxa"/>
            <w:tcBorders>
              <w:top w:val="single" w:color="auto" w:sz="4" w:space="0"/>
              <w:left w:val="single" w:color="auto" w:sz="4" w:space="0"/>
              <w:bottom w:val="single" w:color="auto" w:sz="4" w:space="0"/>
              <w:right w:val="single" w:color="auto" w:sz="4" w:space="0"/>
            </w:tcBorders>
          </w:tcPr>
          <w:p w14:paraId="6B29A8D6">
            <w:pPr>
              <w:widowControl/>
              <w:spacing w:line="360" w:lineRule="auto"/>
              <w:ind w:firstLine="480" w:firstLineChars="200"/>
              <w:rPr>
                <w:rFonts w:ascii="宋体" w:hAnsi="宋体" w:eastAsia="宋体" w:cs="Times New Roman"/>
                <w:bCs/>
                <w:kern w:val="2"/>
                <w:sz w:val="24"/>
              </w:rPr>
            </w:pPr>
          </w:p>
        </w:tc>
      </w:tr>
      <w:tr w14:paraId="0BBFB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vMerge w:val="continue"/>
            <w:tcBorders>
              <w:top w:val="single" w:color="auto" w:sz="4" w:space="0"/>
              <w:left w:val="single" w:color="auto" w:sz="4" w:space="0"/>
              <w:bottom w:val="single" w:color="auto" w:sz="4" w:space="0"/>
              <w:right w:val="single" w:color="auto" w:sz="4" w:space="0"/>
            </w:tcBorders>
            <w:vAlign w:val="center"/>
          </w:tcPr>
          <w:p w14:paraId="4307A861">
            <w:pPr>
              <w:widowControl/>
              <w:spacing w:line="360" w:lineRule="auto"/>
              <w:ind w:firstLine="480" w:firstLineChars="200"/>
              <w:jc w:val="center"/>
              <w:rPr>
                <w:rFonts w:ascii="宋体" w:hAnsi="宋体" w:eastAsia="宋体" w:cs="Times New Roman"/>
                <w:bCs/>
                <w:kern w:val="2"/>
                <w:sz w:val="24"/>
              </w:rPr>
            </w:pPr>
          </w:p>
        </w:tc>
        <w:tc>
          <w:tcPr>
            <w:tcW w:w="687" w:type="dxa"/>
            <w:tcBorders>
              <w:top w:val="single" w:color="auto" w:sz="4" w:space="0"/>
              <w:left w:val="single" w:color="auto" w:sz="4" w:space="0"/>
              <w:bottom w:val="single" w:color="auto" w:sz="4" w:space="0"/>
              <w:right w:val="single" w:color="auto" w:sz="4" w:space="0"/>
            </w:tcBorders>
            <w:vAlign w:val="center"/>
          </w:tcPr>
          <w:p w14:paraId="2EB01513">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2</w:t>
            </w:r>
          </w:p>
        </w:tc>
        <w:tc>
          <w:tcPr>
            <w:tcW w:w="2613" w:type="dxa"/>
            <w:tcBorders>
              <w:top w:val="single" w:color="auto" w:sz="4" w:space="0"/>
              <w:left w:val="single" w:color="auto" w:sz="4" w:space="0"/>
              <w:bottom w:val="single" w:color="auto" w:sz="4" w:space="0"/>
              <w:right w:val="single" w:color="auto" w:sz="4" w:space="0"/>
            </w:tcBorders>
          </w:tcPr>
          <w:p w14:paraId="2A6B1CD0">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建立健全各项管理制度，各岗位工作标准，并制定具体的落实措施和考核办法。</w:t>
            </w:r>
          </w:p>
        </w:tc>
        <w:tc>
          <w:tcPr>
            <w:tcW w:w="736" w:type="dxa"/>
            <w:tcBorders>
              <w:top w:val="single" w:color="auto" w:sz="4" w:space="0"/>
              <w:left w:val="single" w:color="auto" w:sz="4" w:space="0"/>
              <w:bottom w:val="single" w:color="auto" w:sz="4" w:space="0"/>
              <w:right w:val="single" w:color="auto" w:sz="4" w:space="0"/>
            </w:tcBorders>
            <w:vAlign w:val="center"/>
          </w:tcPr>
          <w:p w14:paraId="3CFCC489">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2分</w:t>
            </w:r>
          </w:p>
        </w:tc>
        <w:tc>
          <w:tcPr>
            <w:tcW w:w="1882" w:type="dxa"/>
            <w:tcBorders>
              <w:top w:val="single" w:color="auto" w:sz="4" w:space="0"/>
              <w:left w:val="single" w:color="auto" w:sz="4" w:space="0"/>
              <w:bottom w:val="single" w:color="auto" w:sz="4" w:space="0"/>
              <w:right w:val="single" w:color="auto" w:sz="4" w:space="0"/>
            </w:tcBorders>
          </w:tcPr>
          <w:p w14:paraId="4C4ABCCF">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没有建立，扣2分，物业管理服务管理工作程序、质量保证制度、岗位考核制度等，每发现一处不完整、不规范扣0.5分，未制定具体措施扣0.5分，未制定考核办法扣0.5分。</w:t>
            </w:r>
          </w:p>
        </w:tc>
        <w:tc>
          <w:tcPr>
            <w:tcW w:w="1445" w:type="dxa"/>
            <w:tcBorders>
              <w:top w:val="single" w:color="auto" w:sz="4" w:space="0"/>
              <w:left w:val="single" w:color="auto" w:sz="4" w:space="0"/>
              <w:bottom w:val="single" w:color="auto" w:sz="4" w:space="0"/>
              <w:right w:val="single" w:color="auto" w:sz="4" w:space="0"/>
            </w:tcBorders>
          </w:tcPr>
          <w:p w14:paraId="7221837C">
            <w:pPr>
              <w:widowControl/>
              <w:spacing w:line="360" w:lineRule="auto"/>
              <w:ind w:firstLine="480" w:firstLineChars="200"/>
              <w:rPr>
                <w:rFonts w:ascii="宋体" w:hAnsi="宋体" w:eastAsia="宋体" w:cs="Times New Roman"/>
                <w:bCs/>
                <w:kern w:val="2"/>
                <w:sz w:val="24"/>
              </w:rPr>
            </w:pPr>
          </w:p>
        </w:tc>
      </w:tr>
      <w:tr w14:paraId="00E3C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vMerge w:val="continue"/>
            <w:tcBorders>
              <w:top w:val="single" w:color="auto" w:sz="4" w:space="0"/>
              <w:left w:val="single" w:color="auto" w:sz="4" w:space="0"/>
              <w:bottom w:val="single" w:color="auto" w:sz="4" w:space="0"/>
              <w:right w:val="single" w:color="auto" w:sz="4" w:space="0"/>
            </w:tcBorders>
            <w:vAlign w:val="center"/>
          </w:tcPr>
          <w:p w14:paraId="54104A0E">
            <w:pPr>
              <w:widowControl/>
              <w:spacing w:line="360" w:lineRule="auto"/>
              <w:ind w:firstLine="480" w:firstLineChars="200"/>
              <w:jc w:val="center"/>
              <w:rPr>
                <w:rFonts w:ascii="宋体" w:hAnsi="宋体" w:eastAsia="宋体" w:cs="Times New Roman"/>
                <w:bCs/>
                <w:kern w:val="2"/>
                <w:sz w:val="24"/>
              </w:rPr>
            </w:pPr>
          </w:p>
        </w:tc>
        <w:tc>
          <w:tcPr>
            <w:tcW w:w="687" w:type="dxa"/>
            <w:tcBorders>
              <w:top w:val="single" w:color="auto" w:sz="4" w:space="0"/>
              <w:left w:val="single" w:color="auto" w:sz="4" w:space="0"/>
              <w:bottom w:val="single" w:color="auto" w:sz="4" w:space="0"/>
              <w:right w:val="single" w:color="auto" w:sz="4" w:space="0"/>
            </w:tcBorders>
            <w:vAlign w:val="center"/>
          </w:tcPr>
          <w:p w14:paraId="53992352">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3</w:t>
            </w:r>
          </w:p>
        </w:tc>
        <w:tc>
          <w:tcPr>
            <w:tcW w:w="2613" w:type="dxa"/>
            <w:tcBorders>
              <w:top w:val="single" w:color="auto" w:sz="4" w:space="0"/>
              <w:left w:val="single" w:color="auto" w:sz="4" w:space="0"/>
              <w:bottom w:val="single" w:color="auto" w:sz="4" w:space="0"/>
              <w:right w:val="single" w:color="auto" w:sz="4" w:space="0"/>
            </w:tcBorders>
          </w:tcPr>
          <w:p w14:paraId="7C867CE4">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物业公司管理人员和专业技术人员持证上岗，员工统一服装，佩戴明显标志，工作规范，作风严谨</w:t>
            </w:r>
          </w:p>
        </w:tc>
        <w:tc>
          <w:tcPr>
            <w:tcW w:w="736" w:type="dxa"/>
            <w:tcBorders>
              <w:top w:val="single" w:color="auto" w:sz="4" w:space="0"/>
              <w:left w:val="single" w:color="auto" w:sz="4" w:space="0"/>
              <w:bottom w:val="single" w:color="auto" w:sz="4" w:space="0"/>
              <w:right w:val="single" w:color="auto" w:sz="4" w:space="0"/>
            </w:tcBorders>
            <w:vAlign w:val="center"/>
          </w:tcPr>
          <w:p w14:paraId="6A866428">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2分</w:t>
            </w:r>
          </w:p>
        </w:tc>
        <w:tc>
          <w:tcPr>
            <w:tcW w:w="1882" w:type="dxa"/>
            <w:tcBorders>
              <w:top w:val="single" w:color="auto" w:sz="4" w:space="0"/>
              <w:left w:val="single" w:color="auto" w:sz="4" w:space="0"/>
              <w:bottom w:val="single" w:color="auto" w:sz="4" w:space="0"/>
              <w:right w:val="single" w:color="auto" w:sz="4" w:space="0"/>
            </w:tcBorders>
          </w:tcPr>
          <w:p w14:paraId="7D2EC386">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每发现1次1人无上岗证扣2分，着装及标志一项不符合扣0.5分</w:t>
            </w:r>
          </w:p>
        </w:tc>
        <w:tc>
          <w:tcPr>
            <w:tcW w:w="1445" w:type="dxa"/>
            <w:tcBorders>
              <w:top w:val="single" w:color="auto" w:sz="4" w:space="0"/>
              <w:left w:val="single" w:color="auto" w:sz="4" w:space="0"/>
              <w:bottom w:val="single" w:color="auto" w:sz="4" w:space="0"/>
              <w:right w:val="single" w:color="auto" w:sz="4" w:space="0"/>
            </w:tcBorders>
          </w:tcPr>
          <w:p w14:paraId="4B887B11">
            <w:pPr>
              <w:widowControl/>
              <w:spacing w:line="360" w:lineRule="auto"/>
              <w:ind w:firstLine="480" w:firstLineChars="200"/>
              <w:rPr>
                <w:rFonts w:ascii="宋体" w:hAnsi="宋体" w:eastAsia="宋体" w:cs="Times New Roman"/>
                <w:bCs/>
                <w:kern w:val="2"/>
                <w:sz w:val="24"/>
              </w:rPr>
            </w:pPr>
          </w:p>
        </w:tc>
      </w:tr>
      <w:tr w14:paraId="0A0F8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vMerge w:val="continue"/>
            <w:tcBorders>
              <w:top w:val="single" w:color="auto" w:sz="4" w:space="0"/>
              <w:left w:val="single" w:color="auto" w:sz="4" w:space="0"/>
              <w:bottom w:val="single" w:color="auto" w:sz="4" w:space="0"/>
              <w:right w:val="single" w:color="auto" w:sz="4" w:space="0"/>
            </w:tcBorders>
            <w:vAlign w:val="center"/>
          </w:tcPr>
          <w:p w14:paraId="29C0B57F">
            <w:pPr>
              <w:widowControl/>
              <w:spacing w:line="360" w:lineRule="auto"/>
              <w:ind w:firstLine="480" w:firstLineChars="200"/>
              <w:jc w:val="center"/>
              <w:rPr>
                <w:rFonts w:ascii="宋体" w:hAnsi="宋体" w:eastAsia="宋体" w:cs="Times New Roman"/>
                <w:bCs/>
                <w:kern w:val="2"/>
                <w:sz w:val="24"/>
              </w:rPr>
            </w:pPr>
          </w:p>
        </w:tc>
        <w:tc>
          <w:tcPr>
            <w:tcW w:w="687" w:type="dxa"/>
            <w:tcBorders>
              <w:top w:val="single" w:color="auto" w:sz="4" w:space="0"/>
              <w:left w:val="single" w:color="auto" w:sz="4" w:space="0"/>
              <w:bottom w:val="single" w:color="auto" w:sz="4" w:space="0"/>
              <w:right w:val="single" w:color="auto" w:sz="4" w:space="0"/>
            </w:tcBorders>
            <w:vAlign w:val="center"/>
          </w:tcPr>
          <w:p w14:paraId="44521949">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4</w:t>
            </w:r>
          </w:p>
        </w:tc>
        <w:tc>
          <w:tcPr>
            <w:tcW w:w="2613" w:type="dxa"/>
            <w:tcBorders>
              <w:top w:val="single" w:color="auto" w:sz="4" w:space="0"/>
              <w:left w:val="single" w:color="auto" w:sz="4" w:space="0"/>
              <w:bottom w:val="single" w:color="auto" w:sz="4" w:space="0"/>
              <w:right w:val="single" w:color="auto" w:sz="4" w:space="0"/>
            </w:tcBorders>
          </w:tcPr>
          <w:p w14:paraId="63296F1E">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房屋及其公用设备设施档案资料齐全、分类成册、管理完善、查阅方便</w:t>
            </w:r>
          </w:p>
        </w:tc>
        <w:tc>
          <w:tcPr>
            <w:tcW w:w="736" w:type="dxa"/>
            <w:tcBorders>
              <w:top w:val="single" w:color="auto" w:sz="4" w:space="0"/>
              <w:left w:val="single" w:color="auto" w:sz="4" w:space="0"/>
              <w:bottom w:val="single" w:color="auto" w:sz="4" w:space="0"/>
              <w:right w:val="single" w:color="auto" w:sz="4" w:space="0"/>
            </w:tcBorders>
            <w:vAlign w:val="center"/>
          </w:tcPr>
          <w:p w14:paraId="6F54EEC6">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2分</w:t>
            </w:r>
          </w:p>
        </w:tc>
        <w:tc>
          <w:tcPr>
            <w:tcW w:w="1882" w:type="dxa"/>
            <w:tcBorders>
              <w:top w:val="single" w:color="auto" w:sz="4" w:space="0"/>
              <w:left w:val="single" w:color="auto" w:sz="4" w:space="0"/>
              <w:bottom w:val="single" w:color="auto" w:sz="4" w:space="0"/>
              <w:right w:val="single" w:color="auto" w:sz="4" w:space="0"/>
            </w:tcBorders>
          </w:tcPr>
          <w:p w14:paraId="2408FD73">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包括房屋立面图、平面图、地下管网图，房屋数量，种类、用途分类统计成册，部份规划图分类编制成册，共用设备大中修记录、保养记录，共用设施设备的设计安装图纸资料和台帐。每发现一项不齐全或不完善扣0.5分。</w:t>
            </w:r>
          </w:p>
        </w:tc>
        <w:tc>
          <w:tcPr>
            <w:tcW w:w="1445" w:type="dxa"/>
            <w:tcBorders>
              <w:top w:val="single" w:color="auto" w:sz="4" w:space="0"/>
              <w:left w:val="single" w:color="auto" w:sz="4" w:space="0"/>
              <w:bottom w:val="single" w:color="auto" w:sz="4" w:space="0"/>
              <w:right w:val="single" w:color="auto" w:sz="4" w:space="0"/>
            </w:tcBorders>
          </w:tcPr>
          <w:p w14:paraId="75163F11">
            <w:pPr>
              <w:widowControl/>
              <w:spacing w:line="360" w:lineRule="auto"/>
              <w:ind w:firstLine="480" w:firstLineChars="200"/>
              <w:rPr>
                <w:rFonts w:ascii="宋体" w:hAnsi="宋体" w:eastAsia="宋体" w:cs="Times New Roman"/>
                <w:bCs/>
                <w:kern w:val="2"/>
                <w:sz w:val="24"/>
              </w:rPr>
            </w:pPr>
          </w:p>
        </w:tc>
      </w:tr>
      <w:tr w14:paraId="61A13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vMerge w:val="continue"/>
            <w:tcBorders>
              <w:top w:val="single" w:color="auto" w:sz="4" w:space="0"/>
              <w:left w:val="single" w:color="auto" w:sz="4" w:space="0"/>
              <w:bottom w:val="single" w:color="auto" w:sz="4" w:space="0"/>
              <w:right w:val="single" w:color="auto" w:sz="4" w:space="0"/>
            </w:tcBorders>
            <w:vAlign w:val="center"/>
          </w:tcPr>
          <w:p w14:paraId="26780F97">
            <w:pPr>
              <w:widowControl/>
              <w:spacing w:line="360" w:lineRule="auto"/>
              <w:ind w:firstLine="480" w:firstLineChars="200"/>
              <w:jc w:val="center"/>
              <w:rPr>
                <w:rFonts w:ascii="宋体" w:hAnsi="宋体" w:eastAsia="宋体" w:cs="Times New Roman"/>
                <w:bCs/>
                <w:kern w:val="2"/>
                <w:sz w:val="24"/>
              </w:rPr>
            </w:pPr>
          </w:p>
        </w:tc>
        <w:tc>
          <w:tcPr>
            <w:tcW w:w="687" w:type="dxa"/>
            <w:tcBorders>
              <w:top w:val="single" w:color="auto" w:sz="4" w:space="0"/>
              <w:left w:val="single" w:color="auto" w:sz="4" w:space="0"/>
              <w:bottom w:val="single" w:color="auto" w:sz="4" w:space="0"/>
              <w:right w:val="single" w:color="auto" w:sz="4" w:space="0"/>
            </w:tcBorders>
            <w:vAlign w:val="center"/>
          </w:tcPr>
          <w:p w14:paraId="18BB081F">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5</w:t>
            </w:r>
          </w:p>
        </w:tc>
        <w:tc>
          <w:tcPr>
            <w:tcW w:w="2613" w:type="dxa"/>
            <w:tcBorders>
              <w:top w:val="single" w:color="auto" w:sz="4" w:space="0"/>
              <w:left w:val="single" w:color="auto" w:sz="4" w:space="0"/>
              <w:bottom w:val="single" w:color="auto" w:sz="4" w:space="0"/>
              <w:right w:val="single" w:color="auto" w:sz="4" w:space="0"/>
            </w:tcBorders>
          </w:tcPr>
          <w:p w14:paraId="28D197DF">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项目部组织机构健全，所有人员身体健康，形象良好，以机关工作为中心，自觉遵守各项制度</w:t>
            </w:r>
          </w:p>
        </w:tc>
        <w:tc>
          <w:tcPr>
            <w:tcW w:w="736" w:type="dxa"/>
            <w:tcBorders>
              <w:top w:val="single" w:color="auto" w:sz="4" w:space="0"/>
              <w:left w:val="single" w:color="auto" w:sz="4" w:space="0"/>
              <w:bottom w:val="single" w:color="auto" w:sz="4" w:space="0"/>
              <w:right w:val="single" w:color="auto" w:sz="4" w:space="0"/>
            </w:tcBorders>
            <w:vAlign w:val="center"/>
          </w:tcPr>
          <w:p w14:paraId="2DA9B088">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2分</w:t>
            </w:r>
          </w:p>
        </w:tc>
        <w:tc>
          <w:tcPr>
            <w:tcW w:w="1882" w:type="dxa"/>
            <w:tcBorders>
              <w:top w:val="single" w:color="auto" w:sz="4" w:space="0"/>
              <w:left w:val="single" w:color="auto" w:sz="4" w:space="0"/>
              <w:bottom w:val="single" w:color="auto" w:sz="4" w:space="0"/>
              <w:right w:val="single" w:color="auto" w:sz="4" w:space="0"/>
            </w:tcBorders>
          </w:tcPr>
          <w:p w14:paraId="466CE31F">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组织不健全扣1分，员工管理不到位，违反甲方管理规定，发生一起扣0.5分</w:t>
            </w:r>
          </w:p>
        </w:tc>
        <w:tc>
          <w:tcPr>
            <w:tcW w:w="1445" w:type="dxa"/>
            <w:tcBorders>
              <w:top w:val="single" w:color="auto" w:sz="4" w:space="0"/>
              <w:left w:val="single" w:color="auto" w:sz="4" w:space="0"/>
              <w:bottom w:val="single" w:color="auto" w:sz="4" w:space="0"/>
              <w:right w:val="single" w:color="auto" w:sz="4" w:space="0"/>
            </w:tcBorders>
          </w:tcPr>
          <w:p w14:paraId="2B12517C">
            <w:pPr>
              <w:widowControl/>
              <w:spacing w:line="360" w:lineRule="auto"/>
              <w:ind w:firstLine="480" w:firstLineChars="200"/>
              <w:rPr>
                <w:rFonts w:ascii="宋体" w:hAnsi="宋体" w:eastAsia="宋体" w:cs="Times New Roman"/>
                <w:bCs/>
                <w:kern w:val="2"/>
                <w:sz w:val="24"/>
              </w:rPr>
            </w:pPr>
          </w:p>
        </w:tc>
      </w:tr>
      <w:tr w14:paraId="36B25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vMerge w:val="continue"/>
            <w:tcBorders>
              <w:top w:val="single" w:color="auto" w:sz="4" w:space="0"/>
              <w:left w:val="single" w:color="auto" w:sz="4" w:space="0"/>
              <w:bottom w:val="single" w:color="auto" w:sz="4" w:space="0"/>
              <w:right w:val="single" w:color="auto" w:sz="4" w:space="0"/>
            </w:tcBorders>
            <w:vAlign w:val="center"/>
          </w:tcPr>
          <w:p w14:paraId="18B412A8">
            <w:pPr>
              <w:widowControl/>
              <w:spacing w:line="360" w:lineRule="auto"/>
              <w:ind w:firstLine="480" w:firstLineChars="200"/>
              <w:jc w:val="center"/>
              <w:rPr>
                <w:rFonts w:ascii="宋体" w:hAnsi="宋体" w:eastAsia="宋体" w:cs="Times New Roman"/>
                <w:bCs/>
                <w:kern w:val="2"/>
                <w:sz w:val="24"/>
              </w:rPr>
            </w:pPr>
          </w:p>
        </w:tc>
        <w:tc>
          <w:tcPr>
            <w:tcW w:w="687" w:type="dxa"/>
            <w:tcBorders>
              <w:top w:val="single" w:color="auto" w:sz="4" w:space="0"/>
              <w:left w:val="single" w:color="auto" w:sz="4" w:space="0"/>
              <w:bottom w:val="single" w:color="auto" w:sz="4" w:space="0"/>
              <w:right w:val="single" w:color="auto" w:sz="4" w:space="0"/>
            </w:tcBorders>
            <w:vAlign w:val="center"/>
          </w:tcPr>
          <w:p w14:paraId="44DAE164">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6</w:t>
            </w:r>
          </w:p>
        </w:tc>
        <w:tc>
          <w:tcPr>
            <w:tcW w:w="2613" w:type="dxa"/>
            <w:tcBorders>
              <w:top w:val="single" w:color="auto" w:sz="4" w:space="0"/>
              <w:left w:val="single" w:color="auto" w:sz="4" w:space="0"/>
              <w:bottom w:val="single" w:color="auto" w:sz="4" w:space="0"/>
              <w:right w:val="single" w:color="auto" w:sz="4" w:space="0"/>
            </w:tcBorders>
          </w:tcPr>
          <w:p w14:paraId="13873A09">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及时与局机关服务中心沟通，对中心安排的有关工作要及时跟踪、落实及反馈</w:t>
            </w:r>
          </w:p>
        </w:tc>
        <w:tc>
          <w:tcPr>
            <w:tcW w:w="736" w:type="dxa"/>
            <w:tcBorders>
              <w:top w:val="single" w:color="auto" w:sz="4" w:space="0"/>
              <w:left w:val="single" w:color="auto" w:sz="4" w:space="0"/>
              <w:bottom w:val="single" w:color="auto" w:sz="4" w:space="0"/>
              <w:right w:val="single" w:color="auto" w:sz="4" w:space="0"/>
            </w:tcBorders>
            <w:vAlign w:val="center"/>
          </w:tcPr>
          <w:p w14:paraId="12710596">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2分</w:t>
            </w:r>
          </w:p>
        </w:tc>
        <w:tc>
          <w:tcPr>
            <w:tcW w:w="1882" w:type="dxa"/>
            <w:tcBorders>
              <w:top w:val="single" w:color="auto" w:sz="4" w:space="0"/>
              <w:left w:val="single" w:color="auto" w:sz="4" w:space="0"/>
              <w:bottom w:val="single" w:color="auto" w:sz="4" w:space="0"/>
              <w:right w:val="single" w:color="auto" w:sz="4" w:space="0"/>
            </w:tcBorders>
          </w:tcPr>
          <w:p w14:paraId="741492C1">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发生重大问题不报告扣2分，因沟通原因影响工作扣0．5分，安排事项无反馈、无结果扣0.5分。</w:t>
            </w:r>
          </w:p>
        </w:tc>
        <w:tc>
          <w:tcPr>
            <w:tcW w:w="1445" w:type="dxa"/>
            <w:tcBorders>
              <w:top w:val="single" w:color="auto" w:sz="4" w:space="0"/>
              <w:left w:val="single" w:color="auto" w:sz="4" w:space="0"/>
              <w:bottom w:val="single" w:color="auto" w:sz="4" w:space="0"/>
              <w:right w:val="single" w:color="auto" w:sz="4" w:space="0"/>
            </w:tcBorders>
          </w:tcPr>
          <w:p w14:paraId="42FF7F77">
            <w:pPr>
              <w:widowControl/>
              <w:spacing w:line="360" w:lineRule="auto"/>
              <w:ind w:firstLine="480" w:firstLineChars="200"/>
              <w:rPr>
                <w:rFonts w:ascii="宋体" w:hAnsi="宋体" w:eastAsia="宋体" w:cs="Times New Roman"/>
                <w:bCs/>
                <w:kern w:val="2"/>
                <w:sz w:val="24"/>
              </w:rPr>
            </w:pPr>
          </w:p>
        </w:tc>
      </w:tr>
      <w:tr w14:paraId="41A37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vMerge w:val="continue"/>
            <w:tcBorders>
              <w:top w:val="single" w:color="auto" w:sz="4" w:space="0"/>
              <w:left w:val="single" w:color="auto" w:sz="4" w:space="0"/>
              <w:bottom w:val="single" w:color="auto" w:sz="4" w:space="0"/>
              <w:right w:val="single" w:color="auto" w:sz="4" w:space="0"/>
            </w:tcBorders>
            <w:vAlign w:val="center"/>
          </w:tcPr>
          <w:p w14:paraId="2A045105">
            <w:pPr>
              <w:widowControl/>
              <w:spacing w:line="360" w:lineRule="auto"/>
              <w:ind w:firstLine="480" w:firstLineChars="200"/>
              <w:jc w:val="center"/>
              <w:rPr>
                <w:rFonts w:ascii="宋体" w:hAnsi="宋体" w:eastAsia="宋体" w:cs="Times New Roman"/>
                <w:bCs/>
                <w:kern w:val="2"/>
                <w:sz w:val="24"/>
              </w:rPr>
            </w:pPr>
          </w:p>
        </w:tc>
        <w:tc>
          <w:tcPr>
            <w:tcW w:w="687" w:type="dxa"/>
            <w:tcBorders>
              <w:top w:val="single" w:color="auto" w:sz="4" w:space="0"/>
              <w:left w:val="single" w:color="auto" w:sz="4" w:space="0"/>
              <w:bottom w:val="single" w:color="auto" w:sz="4" w:space="0"/>
              <w:right w:val="single" w:color="auto" w:sz="4" w:space="0"/>
            </w:tcBorders>
            <w:vAlign w:val="center"/>
          </w:tcPr>
          <w:p w14:paraId="37C4B805">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7</w:t>
            </w:r>
          </w:p>
        </w:tc>
        <w:tc>
          <w:tcPr>
            <w:tcW w:w="2613" w:type="dxa"/>
            <w:tcBorders>
              <w:top w:val="single" w:color="auto" w:sz="4" w:space="0"/>
              <w:left w:val="single" w:color="auto" w:sz="4" w:space="0"/>
              <w:bottom w:val="single" w:color="auto" w:sz="4" w:space="0"/>
              <w:right w:val="single" w:color="auto" w:sz="4" w:space="0"/>
            </w:tcBorders>
          </w:tcPr>
          <w:p w14:paraId="65A0B804">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每月至少开展一次管理服务满意度调查、意见征询活动，调查处室部门覆盖率达60％以上，满意率达90％以上，对合理建议或意见及时整改。</w:t>
            </w:r>
          </w:p>
        </w:tc>
        <w:tc>
          <w:tcPr>
            <w:tcW w:w="736" w:type="dxa"/>
            <w:tcBorders>
              <w:top w:val="single" w:color="auto" w:sz="4" w:space="0"/>
              <w:left w:val="single" w:color="auto" w:sz="4" w:space="0"/>
              <w:bottom w:val="single" w:color="auto" w:sz="4" w:space="0"/>
              <w:right w:val="single" w:color="auto" w:sz="4" w:space="0"/>
            </w:tcBorders>
            <w:vAlign w:val="center"/>
          </w:tcPr>
          <w:p w14:paraId="2728B31B">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2分</w:t>
            </w:r>
          </w:p>
        </w:tc>
        <w:tc>
          <w:tcPr>
            <w:tcW w:w="1882" w:type="dxa"/>
            <w:tcBorders>
              <w:top w:val="single" w:color="auto" w:sz="4" w:space="0"/>
              <w:left w:val="single" w:color="auto" w:sz="4" w:space="0"/>
              <w:bottom w:val="single" w:color="auto" w:sz="4" w:space="0"/>
              <w:right w:val="single" w:color="auto" w:sz="4" w:space="0"/>
            </w:tcBorders>
          </w:tcPr>
          <w:p w14:paraId="37107E82">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未完成扣2分，该整改的未整改，每一项扣0.5分，满意度低于90％，每低一个百分点扣0.5分。</w:t>
            </w:r>
          </w:p>
        </w:tc>
        <w:tc>
          <w:tcPr>
            <w:tcW w:w="1445" w:type="dxa"/>
            <w:tcBorders>
              <w:top w:val="single" w:color="auto" w:sz="4" w:space="0"/>
              <w:left w:val="single" w:color="auto" w:sz="4" w:space="0"/>
              <w:bottom w:val="single" w:color="auto" w:sz="4" w:space="0"/>
              <w:right w:val="single" w:color="auto" w:sz="4" w:space="0"/>
            </w:tcBorders>
          </w:tcPr>
          <w:p w14:paraId="2DA26110">
            <w:pPr>
              <w:widowControl/>
              <w:spacing w:line="360" w:lineRule="auto"/>
              <w:ind w:firstLine="480" w:firstLineChars="200"/>
              <w:rPr>
                <w:rFonts w:ascii="宋体" w:hAnsi="宋体" w:eastAsia="宋体" w:cs="Times New Roman"/>
                <w:bCs/>
                <w:kern w:val="2"/>
                <w:sz w:val="24"/>
              </w:rPr>
            </w:pPr>
          </w:p>
        </w:tc>
      </w:tr>
      <w:tr w14:paraId="64F85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vMerge w:val="continue"/>
            <w:tcBorders>
              <w:top w:val="single" w:color="auto" w:sz="4" w:space="0"/>
              <w:left w:val="single" w:color="auto" w:sz="4" w:space="0"/>
              <w:bottom w:val="single" w:color="auto" w:sz="4" w:space="0"/>
              <w:right w:val="single" w:color="auto" w:sz="4" w:space="0"/>
            </w:tcBorders>
            <w:vAlign w:val="center"/>
          </w:tcPr>
          <w:p w14:paraId="213CC999">
            <w:pPr>
              <w:widowControl/>
              <w:spacing w:line="360" w:lineRule="auto"/>
              <w:ind w:firstLine="480" w:firstLineChars="200"/>
              <w:jc w:val="center"/>
              <w:rPr>
                <w:rFonts w:ascii="宋体" w:hAnsi="宋体" w:eastAsia="宋体" w:cs="Times New Roman"/>
                <w:bCs/>
                <w:kern w:val="2"/>
                <w:sz w:val="24"/>
              </w:rPr>
            </w:pPr>
          </w:p>
        </w:tc>
        <w:tc>
          <w:tcPr>
            <w:tcW w:w="687" w:type="dxa"/>
            <w:tcBorders>
              <w:top w:val="single" w:color="auto" w:sz="4" w:space="0"/>
              <w:left w:val="single" w:color="auto" w:sz="4" w:space="0"/>
              <w:bottom w:val="single" w:color="auto" w:sz="4" w:space="0"/>
              <w:right w:val="single" w:color="auto" w:sz="4" w:space="0"/>
            </w:tcBorders>
            <w:vAlign w:val="center"/>
          </w:tcPr>
          <w:p w14:paraId="693A609C">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8</w:t>
            </w:r>
          </w:p>
        </w:tc>
        <w:tc>
          <w:tcPr>
            <w:tcW w:w="2613" w:type="dxa"/>
            <w:tcBorders>
              <w:top w:val="single" w:color="auto" w:sz="4" w:space="0"/>
              <w:left w:val="single" w:color="auto" w:sz="4" w:space="0"/>
              <w:bottom w:val="single" w:color="auto" w:sz="4" w:space="0"/>
              <w:right w:val="single" w:color="auto" w:sz="4" w:space="0"/>
            </w:tcBorders>
          </w:tcPr>
          <w:p w14:paraId="41455674">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建立24小时值班制度，设立服务电话耐心、细致、礼貌地接机关工作人员报修、投诉、求助、建议、问询、质疑并及时处理各类诉求，做好记录，建立回访制度</w:t>
            </w:r>
          </w:p>
        </w:tc>
        <w:tc>
          <w:tcPr>
            <w:tcW w:w="736" w:type="dxa"/>
            <w:tcBorders>
              <w:top w:val="single" w:color="auto" w:sz="4" w:space="0"/>
              <w:left w:val="single" w:color="auto" w:sz="4" w:space="0"/>
              <w:bottom w:val="single" w:color="auto" w:sz="4" w:space="0"/>
              <w:right w:val="single" w:color="auto" w:sz="4" w:space="0"/>
            </w:tcBorders>
            <w:vAlign w:val="center"/>
          </w:tcPr>
          <w:p w14:paraId="5935854F">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1分</w:t>
            </w:r>
          </w:p>
        </w:tc>
        <w:tc>
          <w:tcPr>
            <w:tcW w:w="1882" w:type="dxa"/>
            <w:tcBorders>
              <w:top w:val="single" w:color="auto" w:sz="4" w:space="0"/>
              <w:left w:val="single" w:color="auto" w:sz="4" w:space="0"/>
              <w:bottom w:val="single" w:color="auto" w:sz="4" w:space="0"/>
              <w:right w:val="single" w:color="auto" w:sz="4" w:space="0"/>
            </w:tcBorders>
          </w:tcPr>
          <w:p w14:paraId="25BA477A">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无相应管理制度的扣1分，每发现一项不符合要求扣0．5分</w:t>
            </w:r>
          </w:p>
          <w:p w14:paraId="6258D355">
            <w:pPr>
              <w:widowControl/>
              <w:spacing w:line="360" w:lineRule="auto"/>
              <w:ind w:firstLine="480" w:firstLineChars="200"/>
              <w:rPr>
                <w:rFonts w:ascii="宋体" w:hAnsi="宋体" w:eastAsia="宋体" w:cs="Times New Roman"/>
                <w:bCs/>
                <w:kern w:val="2"/>
                <w:sz w:val="24"/>
              </w:rPr>
            </w:pPr>
          </w:p>
        </w:tc>
        <w:tc>
          <w:tcPr>
            <w:tcW w:w="1445" w:type="dxa"/>
            <w:tcBorders>
              <w:top w:val="single" w:color="auto" w:sz="4" w:space="0"/>
              <w:left w:val="single" w:color="auto" w:sz="4" w:space="0"/>
              <w:bottom w:val="single" w:color="auto" w:sz="4" w:space="0"/>
              <w:right w:val="single" w:color="auto" w:sz="4" w:space="0"/>
            </w:tcBorders>
          </w:tcPr>
          <w:p w14:paraId="3C8D068A">
            <w:pPr>
              <w:widowControl/>
              <w:spacing w:line="360" w:lineRule="auto"/>
              <w:ind w:firstLine="480" w:firstLineChars="200"/>
              <w:rPr>
                <w:rFonts w:ascii="宋体" w:hAnsi="宋体" w:eastAsia="宋体" w:cs="Times New Roman"/>
                <w:bCs/>
                <w:kern w:val="2"/>
                <w:sz w:val="24"/>
              </w:rPr>
            </w:pPr>
          </w:p>
        </w:tc>
      </w:tr>
      <w:tr w14:paraId="5E057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vMerge w:val="continue"/>
            <w:tcBorders>
              <w:top w:val="single" w:color="auto" w:sz="4" w:space="0"/>
              <w:left w:val="single" w:color="auto" w:sz="4" w:space="0"/>
              <w:bottom w:val="single" w:color="auto" w:sz="4" w:space="0"/>
              <w:right w:val="single" w:color="auto" w:sz="4" w:space="0"/>
            </w:tcBorders>
            <w:vAlign w:val="center"/>
          </w:tcPr>
          <w:p w14:paraId="0DF08232">
            <w:pPr>
              <w:widowControl/>
              <w:spacing w:line="360" w:lineRule="auto"/>
              <w:ind w:firstLine="480" w:firstLineChars="200"/>
              <w:jc w:val="center"/>
              <w:rPr>
                <w:rFonts w:ascii="宋体" w:hAnsi="宋体" w:eastAsia="宋体" w:cs="Times New Roman"/>
                <w:bCs/>
                <w:kern w:val="2"/>
                <w:sz w:val="24"/>
              </w:rPr>
            </w:pPr>
          </w:p>
        </w:tc>
        <w:tc>
          <w:tcPr>
            <w:tcW w:w="687" w:type="dxa"/>
            <w:tcBorders>
              <w:top w:val="single" w:color="auto" w:sz="4" w:space="0"/>
              <w:left w:val="single" w:color="auto" w:sz="4" w:space="0"/>
              <w:bottom w:val="single" w:color="auto" w:sz="4" w:space="0"/>
              <w:right w:val="single" w:color="auto" w:sz="4" w:space="0"/>
            </w:tcBorders>
            <w:vAlign w:val="center"/>
          </w:tcPr>
          <w:p w14:paraId="1A1C0D19">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9</w:t>
            </w:r>
          </w:p>
        </w:tc>
        <w:tc>
          <w:tcPr>
            <w:tcW w:w="2613" w:type="dxa"/>
            <w:tcBorders>
              <w:top w:val="single" w:color="auto" w:sz="4" w:space="0"/>
              <w:left w:val="single" w:color="auto" w:sz="4" w:space="0"/>
              <w:bottom w:val="single" w:color="auto" w:sz="4" w:space="0"/>
              <w:right w:val="single" w:color="auto" w:sz="4" w:space="0"/>
            </w:tcBorders>
          </w:tcPr>
          <w:p w14:paraId="369888D4">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建立节能降耗方案。</w:t>
            </w:r>
          </w:p>
        </w:tc>
        <w:tc>
          <w:tcPr>
            <w:tcW w:w="736" w:type="dxa"/>
            <w:tcBorders>
              <w:top w:val="single" w:color="auto" w:sz="4" w:space="0"/>
              <w:left w:val="single" w:color="auto" w:sz="4" w:space="0"/>
              <w:bottom w:val="single" w:color="auto" w:sz="4" w:space="0"/>
              <w:right w:val="single" w:color="auto" w:sz="4" w:space="0"/>
            </w:tcBorders>
            <w:vAlign w:val="center"/>
          </w:tcPr>
          <w:p w14:paraId="1EF38645">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1分</w:t>
            </w:r>
          </w:p>
        </w:tc>
        <w:tc>
          <w:tcPr>
            <w:tcW w:w="1882" w:type="dxa"/>
            <w:tcBorders>
              <w:top w:val="single" w:color="auto" w:sz="4" w:space="0"/>
              <w:left w:val="single" w:color="auto" w:sz="4" w:space="0"/>
              <w:bottom w:val="single" w:color="auto" w:sz="4" w:space="0"/>
              <w:right w:val="single" w:color="auto" w:sz="4" w:space="0"/>
            </w:tcBorders>
          </w:tcPr>
          <w:p w14:paraId="489D18DC">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无方案，扣1分；方案不具体，针对性不强，扣0.5分</w:t>
            </w:r>
          </w:p>
        </w:tc>
        <w:tc>
          <w:tcPr>
            <w:tcW w:w="1445" w:type="dxa"/>
            <w:tcBorders>
              <w:top w:val="single" w:color="auto" w:sz="4" w:space="0"/>
              <w:left w:val="single" w:color="auto" w:sz="4" w:space="0"/>
              <w:bottom w:val="single" w:color="auto" w:sz="4" w:space="0"/>
              <w:right w:val="single" w:color="auto" w:sz="4" w:space="0"/>
            </w:tcBorders>
          </w:tcPr>
          <w:p w14:paraId="192BA6C8">
            <w:pPr>
              <w:widowControl/>
              <w:spacing w:line="360" w:lineRule="auto"/>
              <w:ind w:firstLine="480" w:firstLineChars="200"/>
              <w:rPr>
                <w:rFonts w:ascii="宋体" w:hAnsi="宋体" w:eastAsia="宋体" w:cs="Times New Roman"/>
                <w:bCs/>
                <w:kern w:val="2"/>
                <w:sz w:val="24"/>
              </w:rPr>
            </w:pPr>
          </w:p>
        </w:tc>
      </w:tr>
      <w:tr w14:paraId="088E8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vMerge w:val="continue"/>
            <w:tcBorders>
              <w:top w:val="single" w:color="auto" w:sz="4" w:space="0"/>
              <w:left w:val="single" w:color="auto" w:sz="4" w:space="0"/>
              <w:bottom w:val="single" w:color="auto" w:sz="4" w:space="0"/>
              <w:right w:val="single" w:color="auto" w:sz="4" w:space="0"/>
            </w:tcBorders>
            <w:vAlign w:val="center"/>
          </w:tcPr>
          <w:p w14:paraId="2683A077">
            <w:pPr>
              <w:widowControl/>
              <w:spacing w:line="360" w:lineRule="auto"/>
              <w:ind w:firstLine="480" w:firstLineChars="200"/>
              <w:jc w:val="center"/>
              <w:rPr>
                <w:rFonts w:ascii="宋体" w:hAnsi="宋体" w:eastAsia="宋体" w:cs="Times New Roman"/>
                <w:bCs/>
                <w:kern w:val="2"/>
                <w:sz w:val="24"/>
              </w:rPr>
            </w:pPr>
          </w:p>
        </w:tc>
        <w:tc>
          <w:tcPr>
            <w:tcW w:w="687" w:type="dxa"/>
            <w:tcBorders>
              <w:top w:val="single" w:color="auto" w:sz="4" w:space="0"/>
              <w:left w:val="single" w:color="auto" w:sz="4" w:space="0"/>
              <w:bottom w:val="single" w:color="auto" w:sz="4" w:space="0"/>
              <w:right w:val="single" w:color="auto" w:sz="4" w:space="0"/>
            </w:tcBorders>
            <w:vAlign w:val="center"/>
          </w:tcPr>
          <w:p w14:paraId="3047EC7B">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10</w:t>
            </w:r>
          </w:p>
        </w:tc>
        <w:tc>
          <w:tcPr>
            <w:tcW w:w="2613" w:type="dxa"/>
            <w:tcBorders>
              <w:top w:val="single" w:color="auto" w:sz="4" w:space="0"/>
              <w:left w:val="single" w:color="auto" w:sz="4" w:space="0"/>
              <w:bottom w:val="single" w:color="auto" w:sz="4" w:space="0"/>
              <w:right w:val="single" w:color="auto" w:sz="4" w:space="0"/>
            </w:tcBorders>
          </w:tcPr>
          <w:p w14:paraId="6FB6E136">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按要求配备物业管理服务人员</w:t>
            </w:r>
          </w:p>
        </w:tc>
        <w:tc>
          <w:tcPr>
            <w:tcW w:w="736" w:type="dxa"/>
            <w:tcBorders>
              <w:top w:val="single" w:color="auto" w:sz="4" w:space="0"/>
              <w:left w:val="single" w:color="auto" w:sz="4" w:space="0"/>
              <w:bottom w:val="single" w:color="auto" w:sz="4" w:space="0"/>
              <w:right w:val="single" w:color="auto" w:sz="4" w:space="0"/>
            </w:tcBorders>
            <w:vAlign w:val="center"/>
          </w:tcPr>
          <w:p w14:paraId="7FE922C9">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4分</w:t>
            </w:r>
          </w:p>
        </w:tc>
        <w:tc>
          <w:tcPr>
            <w:tcW w:w="1882" w:type="dxa"/>
            <w:tcBorders>
              <w:top w:val="single" w:color="auto" w:sz="4" w:space="0"/>
              <w:left w:val="single" w:color="auto" w:sz="4" w:space="0"/>
              <w:bottom w:val="single" w:color="auto" w:sz="4" w:space="0"/>
              <w:right w:val="single" w:color="auto" w:sz="4" w:space="0"/>
            </w:tcBorders>
          </w:tcPr>
          <w:p w14:paraId="060383D8">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人员配备不足，每少一人扣2分，少6人以上扣4分。</w:t>
            </w:r>
          </w:p>
        </w:tc>
        <w:tc>
          <w:tcPr>
            <w:tcW w:w="1445" w:type="dxa"/>
            <w:tcBorders>
              <w:top w:val="single" w:color="auto" w:sz="4" w:space="0"/>
              <w:left w:val="single" w:color="auto" w:sz="4" w:space="0"/>
              <w:bottom w:val="single" w:color="auto" w:sz="4" w:space="0"/>
              <w:right w:val="single" w:color="auto" w:sz="4" w:space="0"/>
            </w:tcBorders>
          </w:tcPr>
          <w:p w14:paraId="35F5D703">
            <w:pPr>
              <w:widowControl/>
              <w:spacing w:line="360" w:lineRule="auto"/>
              <w:ind w:firstLine="480" w:firstLineChars="200"/>
              <w:rPr>
                <w:rFonts w:ascii="宋体" w:hAnsi="宋体" w:eastAsia="宋体" w:cs="Times New Roman"/>
                <w:bCs/>
                <w:kern w:val="2"/>
                <w:sz w:val="24"/>
              </w:rPr>
            </w:pPr>
          </w:p>
        </w:tc>
      </w:tr>
      <w:tr w14:paraId="01D72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vMerge w:val="restart"/>
            <w:tcBorders>
              <w:top w:val="single" w:color="auto" w:sz="4" w:space="0"/>
              <w:left w:val="single" w:color="auto" w:sz="4" w:space="0"/>
              <w:bottom w:val="single" w:color="auto" w:sz="4" w:space="0"/>
              <w:right w:val="single" w:color="auto" w:sz="4" w:space="0"/>
            </w:tcBorders>
            <w:vAlign w:val="center"/>
          </w:tcPr>
          <w:p w14:paraId="5FF2EE4E">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清洁卫生及会务保障（20分）</w:t>
            </w:r>
          </w:p>
        </w:tc>
        <w:tc>
          <w:tcPr>
            <w:tcW w:w="687" w:type="dxa"/>
            <w:tcBorders>
              <w:top w:val="single" w:color="auto" w:sz="4" w:space="0"/>
              <w:left w:val="single" w:color="auto" w:sz="4" w:space="0"/>
              <w:bottom w:val="single" w:color="auto" w:sz="4" w:space="0"/>
              <w:right w:val="single" w:color="auto" w:sz="4" w:space="0"/>
            </w:tcBorders>
            <w:vAlign w:val="center"/>
          </w:tcPr>
          <w:p w14:paraId="547C39C3">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1</w:t>
            </w:r>
          </w:p>
        </w:tc>
        <w:tc>
          <w:tcPr>
            <w:tcW w:w="2613" w:type="dxa"/>
            <w:tcBorders>
              <w:top w:val="single" w:color="auto" w:sz="4" w:space="0"/>
              <w:left w:val="single" w:color="auto" w:sz="4" w:space="0"/>
              <w:bottom w:val="single" w:color="auto" w:sz="4" w:space="0"/>
              <w:right w:val="single" w:color="auto" w:sz="4" w:space="0"/>
            </w:tcBorders>
          </w:tcPr>
          <w:p w14:paraId="291D40A2">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清洁卫生负责明确到人，实行标准化保洁，清洁员着装统一、工作仔细，形象良好，清洁设施完备。</w:t>
            </w:r>
          </w:p>
        </w:tc>
        <w:tc>
          <w:tcPr>
            <w:tcW w:w="736" w:type="dxa"/>
            <w:tcBorders>
              <w:top w:val="single" w:color="auto" w:sz="4" w:space="0"/>
              <w:left w:val="single" w:color="auto" w:sz="4" w:space="0"/>
              <w:bottom w:val="single" w:color="auto" w:sz="4" w:space="0"/>
              <w:right w:val="single" w:color="auto" w:sz="4" w:space="0"/>
            </w:tcBorders>
            <w:vAlign w:val="center"/>
          </w:tcPr>
          <w:p w14:paraId="1A0DCC5F">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2分</w:t>
            </w:r>
          </w:p>
        </w:tc>
        <w:tc>
          <w:tcPr>
            <w:tcW w:w="1882" w:type="dxa"/>
            <w:tcBorders>
              <w:top w:val="single" w:color="auto" w:sz="4" w:space="0"/>
              <w:left w:val="single" w:color="auto" w:sz="4" w:space="0"/>
              <w:bottom w:val="single" w:color="auto" w:sz="4" w:space="0"/>
              <w:right w:val="single" w:color="auto" w:sz="4" w:space="0"/>
            </w:tcBorders>
          </w:tcPr>
          <w:p w14:paraId="4BCBCD1F">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清洁员责任不明确扣1分；未实行标准化保洁扣0.5分；着装不统一、不干净、形象不好每人扣0.5分；设备不完备扣1分。</w:t>
            </w:r>
          </w:p>
        </w:tc>
        <w:tc>
          <w:tcPr>
            <w:tcW w:w="1445" w:type="dxa"/>
            <w:tcBorders>
              <w:top w:val="single" w:color="auto" w:sz="4" w:space="0"/>
              <w:left w:val="single" w:color="auto" w:sz="4" w:space="0"/>
              <w:bottom w:val="single" w:color="auto" w:sz="4" w:space="0"/>
              <w:right w:val="single" w:color="auto" w:sz="4" w:space="0"/>
            </w:tcBorders>
          </w:tcPr>
          <w:p w14:paraId="30813FF2">
            <w:pPr>
              <w:widowControl/>
              <w:spacing w:line="360" w:lineRule="auto"/>
              <w:ind w:firstLine="480" w:firstLineChars="200"/>
              <w:rPr>
                <w:rFonts w:ascii="宋体" w:hAnsi="宋体" w:eastAsia="宋体" w:cs="Times New Roman"/>
                <w:bCs/>
                <w:kern w:val="2"/>
                <w:sz w:val="24"/>
              </w:rPr>
            </w:pPr>
          </w:p>
        </w:tc>
      </w:tr>
      <w:tr w14:paraId="42B8F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vMerge w:val="continue"/>
            <w:tcBorders>
              <w:top w:val="single" w:color="auto" w:sz="4" w:space="0"/>
              <w:left w:val="single" w:color="auto" w:sz="4" w:space="0"/>
              <w:bottom w:val="single" w:color="auto" w:sz="4" w:space="0"/>
              <w:right w:val="single" w:color="auto" w:sz="4" w:space="0"/>
            </w:tcBorders>
            <w:vAlign w:val="center"/>
          </w:tcPr>
          <w:p w14:paraId="1302468B">
            <w:pPr>
              <w:widowControl/>
              <w:spacing w:line="360" w:lineRule="auto"/>
              <w:ind w:firstLine="480" w:firstLineChars="200"/>
              <w:jc w:val="center"/>
              <w:rPr>
                <w:rFonts w:ascii="宋体" w:hAnsi="宋体" w:eastAsia="宋体" w:cs="Times New Roman"/>
                <w:bCs/>
                <w:kern w:val="2"/>
                <w:sz w:val="24"/>
              </w:rPr>
            </w:pPr>
          </w:p>
        </w:tc>
        <w:tc>
          <w:tcPr>
            <w:tcW w:w="687" w:type="dxa"/>
            <w:tcBorders>
              <w:top w:val="single" w:color="auto" w:sz="4" w:space="0"/>
              <w:left w:val="single" w:color="auto" w:sz="4" w:space="0"/>
              <w:bottom w:val="single" w:color="auto" w:sz="4" w:space="0"/>
              <w:right w:val="single" w:color="auto" w:sz="4" w:space="0"/>
            </w:tcBorders>
            <w:vAlign w:val="center"/>
          </w:tcPr>
          <w:p w14:paraId="5BD1AFE4">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2</w:t>
            </w:r>
          </w:p>
        </w:tc>
        <w:tc>
          <w:tcPr>
            <w:tcW w:w="2613" w:type="dxa"/>
            <w:tcBorders>
              <w:top w:val="single" w:color="auto" w:sz="4" w:space="0"/>
              <w:left w:val="single" w:color="auto" w:sz="4" w:space="0"/>
              <w:bottom w:val="single" w:color="auto" w:sz="4" w:space="0"/>
              <w:right w:val="single" w:color="auto" w:sz="4" w:space="0"/>
            </w:tcBorders>
          </w:tcPr>
          <w:p w14:paraId="6C7FA988">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进入工作场所，做到动作轻，说话轻，走路轻。</w:t>
            </w:r>
          </w:p>
        </w:tc>
        <w:tc>
          <w:tcPr>
            <w:tcW w:w="736" w:type="dxa"/>
            <w:tcBorders>
              <w:top w:val="single" w:color="auto" w:sz="4" w:space="0"/>
              <w:left w:val="single" w:color="auto" w:sz="4" w:space="0"/>
              <w:bottom w:val="single" w:color="auto" w:sz="4" w:space="0"/>
              <w:right w:val="single" w:color="auto" w:sz="4" w:space="0"/>
            </w:tcBorders>
            <w:vAlign w:val="center"/>
          </w:tcPr>
          <w:p w14:paraId="6D9077E7">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1分</w:t>
            </w:r>
          </w:p>
        </w:tc>
        <w:tc>
          <w:tcPr>
            <w:tcW w:w="1882" w:type="dxa"/>
            <w:tcBorders>
              <w:top w:val="single" w:color="auto" w:sz="4" w:space="0"/>
              <w:left w:val="single" w:color="auto" w:sz="4" w:space="0"/>
              <w:bottom w:val="single" w:color="auto" w:sz="4" w:space="0"/>
              <w:right w:val="single" w:color="auto" w:sz="4" w:space="0"/>
            </w:tcBorders>
          </w:tcPr>
          <w:p w14:paraId="5A948447">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影响机关正常办公的，一次投诉扣0.5分</w:t>
            </w:r>
          </w:p>
        </w:tc>
        <w:tc>
          <w:tcPr>
            <w:tcW w:w="1445" w:type="dxa"/>
            <w:tcBorders>
              <w:top w:val="single" w:color="auto" w:sz="4" w:space="0"/>
              <w:left w:val="single" w:color="auto" w:sz="4" w:space="0"/>
              <w:bottom w:val="single" w:color="auto" w:sz="4" w:space="0"/>
              <w:right w:val="single" w:color="auto" w:sz="4" w:space="0"/>
            </w:tcBorders>
          </w:tcPr>
          <w:p w14:paraId="30023246">
            <w:pPr>
              <w:widowControl/>
              <w:spacing w:line="360" w:lineRule="auto"/>
              <w:ind w:firstLine="480" w:firstLineChars="200"/>
              <w:rPr>
                <w:rFonts w:ascii="宋体" w:hAnsi="宋体" w:eastAsia="宋体" w:cs="Times New Roman"/>
                <w:bCs/>
                <w:kern w:val="2"/>
                <w:sz w:val="24"/>
              </w:rPr>
            </w:pPr>
          </w:p>
        </w:tc>
      </w:tr>
      <w:tr w14:paraId="39B53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vMerge w:val="continue"/>
            <w:tcBorders>
              <w:top w:val="single" w:color="auto" w:sz="4" w:space="0"/>
              <w:left w:val="single" w:color="auto" w:sz="4" w:space="0"/>
              <w:bottom w:val="single" w:color="auto" w:sz="4" w:space="0"/>
              <w:right w:val="single" w:color="auto" w:sz="4" w:space="0"/>
            </w:tcBorders>
            <w:vAlign w:val="center"/>
          </w:tcPr>
          <w:p w14:paraId="495BD6B8">
            <w:pPr>
              <w:widowControl/>
              <w:spacing w:line="360" w:lineRule="auto"/>
              <w:ind w:firstLine="480" w:firstLineChars="200"/>
              <w:jc w:val="center"/>
              <w:rPr>
                <w:rFonts w:ascii="宋体" w:hAnsi="宋体" w:eastAsia="宋体" w:cs="Times New Roman"/>
                <w:bCs/>
                <w:kern w:val="2"/>
                <w:sz w:val="24"/>
              </w:rPr>
            </w:pPr>
          </w:p>
        </w:tc>
        <w:tc>
          <w:tcPr>
            <w:tcW w:w="687" w:type="dxa"/>
            <w:tcBorders>
              <w:top w:val="single" w:color="auto" w:sz="4" w:space="0"/>
              <w:left w:val="single" w:color="auto" w:sz="4" w:space="0"/>
              <w:bottom w:val="single" w:color="auto" w:sz="4" w:space="0"/>
              <w:right w:val="single" w:color="auto" w:sz="4" w:space="0"/>
            </w:tcBorders>
            <w:vAlign w:val="center"/>
          </w:tcPr>
          <w:p w14:paraId="7AEAC087">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3</w:t>
            </w:r>
          </w:p>
        </w:tc>
        <w:tc>
          <w:tcPr>
            <w:tcW w:w="2613" w:type="dxa"/>
            <w:tcBorders>
              <w:top w:val="single" w:color="auto" w:sz="4" w:space="0"/>
              <w:left w:val="single" w:color="auto" w:sz="4" w:space="0"/>
              <w:bottom w:val="single" w:color="auto" w:sz="4" w:space="0"/>
              <w:right w:val="single" w:color="auto" w:sz="4" w:space="0"/>
            </w:tcBorders>
          </w:tcPr>
          <w:p w14:paraId="6802D554">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大厅、走廊、电梯、楼梯干净明亮，无灰尘、痰迹，无烟头、纸屑，电梯门框、轿厢无污迹。</w:t>
            </w:r>
          </w:p>
        </w:tc>
        <w:tc>
          <w:tcPr>
            <w:tcW w:w="736" w:type="dxa"/>
            <w:tcBorders>
              <w:top w:val="single" w:color="auto" w:sz="4" w:space="0"/>
              <w:left w:val="single" w:color="auto" w:sz="4" w:space="0"/>
              <w:bottom w:val="single" w:color="auto" w:sz="4" w:space="0"/>
              <w:right w:val="single" w:color="auto" w:sz="4" w:space="0"/>
            </w:tcBorders>
            <w:vAlign w:val="center"/>
          </w:tcPr>
          <w:p w14:paraId="793E54FE">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1分</w:t>
            </w:r>
          </w:p>
        </w:tc>
        <w:tc>
          <w:tcPr>
            <w:tcW w:w="1882" w:type="dxa"/>
            <w:tcBorders>
              <w:top w:val="single" w:color="auto" w:sz="4" w:space="0"/>
              <w:left w:val="single" w:color="auto" w:sz="4" w:space="0"/>
              <w:bottom w:val="single" w:color="auto" w:sz="4" w:space="0"/>
              <w:right w:val="single" w:color="auto" w:sz="4" w:space="0"/>
            </w:tcBorders>
          </w:tcPr>
          <w:p w14:paraId="142DFE7E">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有明显污迹、杂物，楼梯、地面有烟头、痕迹，墙面有蛛丝、灰尘，电梯门框、轿厢有污迹，发现一处均扣0．5分。</w:t>
            </w:r>
          </w:p>
        </w:tc>
        <w:tc>
          <w:tcPr>
            <w:tcW w:w="1445" w:type="dxa"/>
            <w:tcBorders>
              <w:top w:val="single" w:color="auto" w:sz="4" w:space="0"/>
              <w:left w:val="single" w:color="auto" w:sz="4" w:space="0"/>
              <w:bottom w:val="single" w:color="auto" w:sz="4" w:space="0"/>
              <w:right w:val="single" w:color="auto" w:sz="4" w:space="0"/>
            </w:tcBorders>
          </w:tcPr>
          <w:p w14:paraId="65B93086">
            <w:pPr>
              <w:widowControl/>
              <w:spacing w:line="360" w:lineRule="auto"/>
              <w:ind w:firstLine="480" w:firstLineChars="200"/>
              <w:rPr>
                <w:rFonts w:ascii="宋体" w:hAnsi="宋体" w:eastAsia="宋体" w:cs="Times New Roman"/>
                <w:bCs/>
                <w:kern w:val="2"/>
                <w:sz w:val="24"/>
              </w:rPr>
            </w:pPr>
          </w:p>
        </w:tc>
      </w:tr>
      <w:tr w14:paraId="1F5DF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vMerge w:val="continue"/>
            <w:tcBorders>
              <w:top w:val="single" w:color="auto" w:sz="4" w:space="0"/>
              <w:left w:val="single" w:color="auto" w:sz="4" w:space="0"/>
              <w:bottom w:val="single" w:color="auto" w:sz="4" w:space="0"/>
              <w:right w:val="single" w:color="auto" w:sz="4" w:space="0"/>
            </w:tcBorders>
            <w:vAlign w:val="center"/>
          </w:tcPr>
          <w:p w14:paraId="3B8A7B40">
            <w:pPr>
              <w:widowControl/>
              <w:spacing w:line="360" w:lineRule="auto"/>
              <w:ind w:firstLine="480" w:firstLineChars="200"/>
              <w:jc w:val="center"/>
              <w:rPr>
                <w:rFonts w:ascii="宋体" w:hAnsi="宋体" w:eastAsia="宋体" w:cs="Times New Roman"/>
                <w:bCs/>
                <w:kern w:val="2"/>
                <w:sz w:val="24"/>
              </w:rPr>
            </w:pPr>
          </w:p>
        </w:tc>
        <w:tc>
          <w:tcPr>
            <w:tcW w:w="687" w:type="dxa"/>
            <w:tcBorders>
              <w:top w:val="single" w:color="auto" w:sz="4" w:space="0"/>
              <w:left w:val="single" w:color="auto" w:sz="4" w:space="0"/>
              <w:bottom w:val="single" w:color="auto" w:sz="4" w:space="0"/>
              <w:right w:val="single" w:color="auto" w:sz="4" w:space="0"/>
            </w:tcBorders>
            <w:vAlign w:val="center"/>
          </w:tcPr>
          <w:p w14:paraId="00C09E49">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4</w:t>
            </w:r>
          </w:p>
        </w:tc>
        <w:tc>
          <w:tcPr>
            <w:tcW w:w="2613" w:type="dxa"/>
            <w:tcBorders>
              <w:top w:val="single" w:color="auto" w:sz="4" w:space="0"/>
              <w:left w:val="single" w:color="auto" w:sz="4" w:space="0"/>
              <w:bottom w:val="single" w:color="auto" w:sz="4" w:space="0"/>
              <w:right w:val="single" w:color="auto" w:sz="4" w:space="0"/>
            </w:tcBorders>
          </w:tcPr>
          <w:p w14:paraId="4EEAF706">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值班室、监控室每日清洁，室内地面及家具、电器、设备干净明亮，无灰尘及其他杂物，物品及桌椅排放整齐</w:t>
            </w:r>
          </w:p>
        </w:tc>
        <w:tc>
          <w:tcPr>
            <w:tcW w:w="736" w:type="dxa"/>
            <w:tcBorders>
              <w:top w:val="single" w:color="auto" w:sz="4" w:space="0"/>
              <w:left w:val="single" w:color="auto" w:sz="4" w:space="0"/>
              <w:bottom w:val="single" w:color="auto" w:sz="4" w:space="0"/>
              <w:right w:val="single" w:color="auto" w:sz="4" w:space="0"/>
            </w:tcBorders>
            <w:vAlign w:val="center"/>
          </w:tcPr>
          <w:p w14:paraId="0FFD978C">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1分</w:t>
            </w:r>
          </w:p>
        </w:tc>
        <w:tc>
          <w:tcPr>
            <w:tcW w:w="1882" w:type="dxa"/>
            <w:tcBorders>
              <w:top w:val="single" w:color="auto" w:sz="4" w:space="0"/>
              <w:left w:val="single" w:color="auto" w:sz="4" w:space="0"/>
              <w:bottom w:val="single" w:color="auto" w:sz="4" w:space="0"/>
              <w:right w:val="single" w:color="auto" w:sz="4" w:space="0"/>
            </w:tcBorders>
          </w:tcPr>
          <w:p w14:paraId="63882FE8">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墙面、天花板、灯等无灰尘、蜘蛛网，桌椅台面无杂物，地面无杂物，垃圾篓清理及时，物品摆放整齐，毎一项不符合扣0.5分。</w:t>
            </w:r>
          </w:p>
        </w:tc>
        <w:tc>
          <w:tcPr>
            <w:tcW w:w="1445" w:type="dxa"/>
            <w:tcBorders>
              <w:top w:val="single" w:color="auto" w:sz="4" w:space="0"/>
              <w:left w:val="single" w:color="auto" w:sz="4" w:space="0"/>
              <w:bottom w:val="single" w:color="auto" w:sz="4" w:space="0"/>
              <w:right w:val="single" w:color="auto" w:sz="4" w:space="0"/>
            </w:tcBorders>
          </w:tcPr>
          <w:p w14:paraId="075F14B2">
            <w:pPr>
              <w:widowControl/>
              <w:spacing w:line="360" w:lineRule="auto"/>
              <w:ind w:firstLine="480" w:firstLineChars="200"/>
              <w:rPr>
                <w:rFonts w:ascii="宋体" w:hAnsi="宋体" w:eastAsia="宋体" w:cs="Times New Roman"/>
                <w:bCs/>
                <w:kern w:val="2"/>
                <w:sz w:val="24"/>
              </w:rPr>
            </w:pPr>
          </w:p>
        </w:tc>
      </w:tr>
      <w:tr w14:paraId="37A29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vMerge w:val="continue"/>
            <w:tcBorders>
              <w:top w:val="single" w:color="auto" w:sz="4" w:space="0"/>
              <w:left w:val="single" w:color="auto" w:sz="4" w:space="0"/>
              <w:bottom w:val="single" w:color="auto" w:sz="4" w:space="0"/>
              <w:right w:val="single" w:color="auto" w:sz="4" w:space="0"/>
            </w:tcBorders>
            <w:vAlign w:val="center"/>
          </w:tcPr>
          <w:p w14:paraId="141E09BD">
            <w:pPr>
              <w:widowControl/>
              <w:spacing w:line="360" w:lineRule="auto"/>
              <w:ind w:firstLine="480" w:firstLineChars="200"/>
              <w:jc w:val="center"/>
              <w:rPr>
                <w:rFonts w:ascii="宋体" w:hAnsi="宋体" w:eastAsia="宋体" w:cs="Times New Roman"/>
                <w:bCs/>
                <w:kern w:val="2"/>
                <w:sz w:val="24"/>
              </w:rPr>
            </w:pPr>
          </w:p>
        </w:tc>
        <w:tc>
          <w:tcPr>
            <w:tcW w:w="687" w:type="dxa"/>
            <w:tcBorders>
              <w:top w:val="single" w:color="auto" w:sz="4" w:space="0"/>
              <w:left w:val="single" w:color="auto" w:sz="4" w:space="0"/>
              <w:bottom w:val="single" w:color="auto" w:sz="4" w:space="0"/>
              <w:right w:val="single" w:color="auto" w:sz="4" w:space="0"/>
            </w:tcBorders>
            <w:vAlign w:val="center"/>
          </w:tcPr>
          <w:p w14:paraId="448154D7">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5</w:t>
            </w:r>
          </w:p>
        </w:tc>
        <w:tc>
          <w:tcPr>
            <w:tcW w:w="2613" w:type="dxa"/>
            <w:tcBorders>
              <w:top w:val="single" w:color="auto" w:sz="4" w:space="0"/>
              <w:left w:val="single" w:color="auto" w:sz="4" w:space="0"/>
              <w:bottom w:val="single" w:color="auto" w:sz="4" w:space="0"/>
              <w:right w:val="single" w:color="auto" w:sz="4" w:space="0"/>
            </w:tcBorders>
          </w:tcPr>
          <w:p w14:paraId="1B445768">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拖把间无异味、无积水、拖把池无污渍、排水正常。</w:t>
            </w:r>
          </w:p>
        </w:tc>
        <w:tc>
          <w:tcPr>
            <w:tcW w:w="736" w:type="dxa"/>
            <w:tcBorders>
              <w:top w:val="single" w:color="auto" w:sz="4" w:space="0"/>
              <w:left w:val="single" w:color="auto" w:sz="4" w:space="0"/>
              <w:bottom w:val="single" w:color="auto" w:sz="4" w:space="0"/>
              <w:right w:val="single" w:color="auto" w:sz="4" w:space="0"/>
            </w:tcBorders>
            <w:vAlign w:val="center"/>
          </w:tcPr>
          <w:p w14:paraId="434174A8">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1分</w:t>
            </w:r>
          </w:p>
        </w:tc>
        <w:tc>
          <w:tcPr>
            <w:tcW w:w="1882" w:type="dxa"/>
            <w:tcBorders>
              <w:top w:val="single" w:color="auto" w:sz="4" w:space="0"/>
              <w:left w:val="single" w:color="auto" w:sz="4" w:space="0"/>
              <w:bottom w:val="single" w:color="auto" w:sz="4" w:space="0"/>
              <w:right w:val="single" w:color="auto" w:sz="4" w:space="0"/>
            </w:tcBorders>
          </w:tcPr>
          <w:p w14:paraId="323F94A1">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地面、拖把池有水迹、污渍，拖把间有异味扣0．5分，墙面有污迹扣0.5分。</w:t>
            </w:r>
          </w:p>
        </w:tc>
        <w:tc>
          <w:tcPr>
            <w:tcW w:w="1445" w:type="dxa"/>
            <w:tcBorders>
              <w:top w:val="single" w:color="auto" w:sz="4" w:space="0"/>
              <w:left w:val="single" w:color="auto" w:sz="4" w:space="0"/>
              <w:bottom w:val="single" w:color="auto" w:sz="4" w:space="0"/>
              <w:right w:val="single" w:color="auto" w:sz="4" w:space="0"/>
            </w:tcBorders>
          </w:tcPr>
          <w:p w14:paraId="10B70F1D">
            <w:pPr>
              <w:widowControl/>
              <w:spacing w:line="360" w:lineRule="auto"/>
              <w:ind w:firstLine="480" w:firstLineChars="200"/>
              <w:rPr>
                <w:rFonts w:ascii="宋体" w:hAnsi="宋体" w:eastAsia="宋体" w:cs="Times New Roman"/>
                <w:bCs/>
                <w:kern w:val="2"/>
                <w:sz w:val="24"/>
              </w:rPr>
            </w:pPr>
          </w:p>
        </w:tc>
      </w:tr>
      <w:tr w14:paraId="1BC38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vMerge w:val="continue"/>
            <w:tcBorders>
              <w:top w:val="single" w:color="auto" w:sz="4" w:space="0"/>
              <w:left w:val="single" w:color="auto" w:sz="4" w:space="0"/>
              <w:bottom w:val="single" w:color="auto" w:sz="4" w:space="0"/>
              <w:right w:val="single" w:color="auto" w:sz="4" w:space="0"/>
            </w:tcBorders>
            <w:vAlign w:val="center"/>
          </w:tcPr>
          <w:p w14:paraId="705F0A01">
            <w:pPr>
              <w:widowControl/>
              <w:spacing w:line="360" w:lineRule="auto"/>
              <w:ind w:firstLine="480" w:firstLineChars="200"/>
              <w:jc w:val="center"/>
              <w:rPr>
                <w:rFonts w:ascii="宋体" w:hAnsi="宋体" w:eastAsia="宋体" w:cs="Times New Roman"/>
                <w:bCs/>
                <w:kern w:val="2"/>
                <w:sz w:val="24"/>
              </w:rPr>
            </w:pPr>
          </w:p>
        </w:tc>
        <w:tc>
          <w:tcPr>
            <w:tcW w:w="687" w:type="dxa"/>
            <w:tcBorders>
              <w:top w:val="single" w:color="auto" w:sz="4" w:space="0"/>
              <w:left w:val="single" w:color="auto" w:sz="4" w:space="0"/>
              <w:bottom w:val="single" w:color="auto" w:sz="4" w:space="0"/>
              <w:right w:val="single" w:color="auto" w:sz="4" w:space="0"/>
            </w:tcBorders>
            <w:vAlign w:val="center"/>
          </w:tcPr>
          <w:p w14:paraId="06E337B3">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6</w:t>
            </w:r>
          </w:p>
        </w:tc>
        <w:tc>
          <w:tcPr>
            <w:tcW w:w="2613" w:type="dxa"/>
            <w:tcBorders>
              <w:top w:val="single" w:color="auto" w:sz="4" w:space="0"/>
              <w:left w:val="single" w:color="auto" w:sz="4" w:space="0"/>
              <w:bottom w:val="single" w:color="auto" w:sz="4" w:space="0"/>
              <w:right w:val="single" w:color="auto" w:sz="4" w:space="0"/>
            </w:tcBorders>
          </w:tcPr>
          <w:p w14:paraId="7415F032">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公共设施目视无明显灰尘，平台、屋顶无积水、杂物，管线无污迹，雨蓬无垃圾、青苔、积水</w:t>
            </w:r>
          </w:p>
        </w:tc>
        <w:tc>
          <w:tcPr>
            <w:tcW w:w="736" w:type="dxa"/>
            <w:tcBorders>
              <w:top w:val="single" w:color="auto" w:sz="4" w:space="0"/>
              <w:left w:val="single" w:color="auto" w:sz="4" w:space="0"/>
              <w:bottom w:val="single" w:color="auto" w:sz="4" w:space="0"/>
              <w:right w:val="single" w:color="auto" w:sz="4" w:space="0"/>
            </w:tcBorders>
            <w:vAlign w:val="center"/>
          </w:tcPr>
          <w:p w14:paraId="7E155E7D">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1分</w:t>
            </w:r>
          </w:p>
        </w:tc>
        <w:tc>
          <w:tcPr>
            <w:tcW w:w="1882" w:type="dxa"/>
            <w:tcBorders>
              <w:top w:val="single" w:color="auto" w:sz="4" w:space="0"/>
              <w:left w:val="single" w:color="auto" w:sz="4" w:space="0"/>
              <w:bottom w:val="single" w:color="auto" w:sz="4" w:space="0"/>
              <w:right w:val="single" w:color="auto" w:sz="4" w:space="0"/>
            </w:tcBorders>
          </w:tcPr>
          <w:p w14:paraId="0B92D0D0">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每一项不符合0.5分，</w:t>
            </w:r>
          </w:p>
        </w:tc>
        <w:tc>
          <w:tcPr>
            <w:tcW w:w="1445" w:type="dxa"/>
            <w:tcBorders>
              <w:top w:val="single" w:color="auto" w:sz="4" w:space="0"/>
              <w:left w:val="single" w:color="auto" w:sz="4" w:space="0"/>
              <w:bottom w:val="single" w:color="auto" w:sz="4" w:space="0"/>
              <w:right w:val="single" w:color="auto" w:sz="4" w:space="0"/>
            </w:tcBorders>
          </w:tcPr>
          <w:p w14:paraId="53D69B1D">
            <w:pPr>
              <w:widowControl/>
              <w:spacing w:line="360" w:lineRule="auto"/>
              <w:ind w:firstLine="480" w:firstLineChars="200"/>
              <w:rPr>
                <w:rFonts w:ascii="宋体" w:hAnsi="宋体" w:eastAsia="宋体" w:cs="Times New Roman"/>
                <w:bCs/>
                <w:kern w:val="2"/>
                <w:sz w:val="24"/>
              </w:rPr>
            </w:pPr>
          </w:p>
        </w:tc>
      </w:tr>
      <w:tr w14:paraId="1586A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vMerge w:val="continue"/>
            <w:tcBorders>
              <w:top w:val="single" w:color="auto" w:sz="4" w:space="0"/>
              <w:left w:val="single" w:color="auto" w:sz="4" w:space="0"/>
              <w:bottom w:val="single" w:color="auto" w:sz="4" w:space="0"/>
              <w:right w:val="single" w:color="auto" w:sz="4" w:space="0"/>
            </w:tcBorders>
            <w:vAlign w:val="center"/>
          </w:tcPr>
          <w:p w14:paraId="0F325D2F">
            <w:pPr>
              <w:widowControl/>
              <w:spacing w:line="360" w:lineRule="auto"/>
              <w:ind w:firstLine="480" w:firstLineChars="200"/>
              <w:jc w:val="center"/>
              <w:rPr>
                <w:rFonts w:ascii="宋体" w:hAnsi="宋体" w:eastAsia="宋体" w:cs="Times New Roman"/>
                <w:bCs/>
                <w:kern w:val="2"/>
                <w:sz w:val="24"/>
              </w:rPr>
            </w:pPr>
          </w:p>
        </w:tc>
        <w:tc>
          <w:tcPr>
            <w:tcW w:w="687" w:type="dxa"/>
            <w:tcBorders>
              <w:top w:val="single" w:color="auto" w:sz="4" w:space="0"/>
              <w:left w:val="single" w:color="auto" w:sz="4" w:space="0"/>
              <w:bottom w:val="single" w:color="auto" w:sz="4" w:space="0"/>
              <w:right w:val="single" w:color="auto" w:sz="4" w:space="0"/>
            </w:tcBorders>
            <w:vAlign w:val="center"/>
          </w:tcPr>
          <w:p w14:paraId="6D29DB19">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7</w:t>
            </w:r>
          </w:p>
        </w:tc>
        <w:tc>
          <w:tcPr>
            <w:tcW w:w="2613" w:type="dxa"/>
            <w:tcBorders>
              <w:top w:val="single" w:color="auto" w:sz="4" w:space="0"/>
              <w:left w:val="single" w:color="auto" w:sz="4" w:space="0"/>
              <w:bottom w:val="single" w:color="auto" w:sz="4" w:space="0"/>
              <w:right w:val="single" w:color="auto" w:sz="4" w:space="0"/>
            </w:tcBorders>
          </w:tcPr>
          <w:p w14:paraId="7237BB4D">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外墙目视无污迹，公共区域无蜘蛛网、无积尘。</w:t>
            </w:r>
          </w:p>
        </w:tc>
        <w:tc>
          <w:tcPr>
            <w:tcW w:w="736" w:type="dxa"/>
            <w:tcBorders>
              <w:top w:val="single" w:color="auto" w:sz="4" w:space="0"/>
              <w:left w:val="single" w:color="auto" w:sz="4" w:space="0"/>
              <w:bottom w:val="single" w:color="auto" w:sz="4" w:space="0"/>
              <w:right w:val="single" w:color="auto" w:sz="4" w:space="0"/>
            </w:tcBorders>
            <w:vAlign w:val="center"/>
          </w:tcPr>
          <w:p w14:paraId="7FEAF655">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1分</w:t>
            </w:r>
          </w:p>
        </w:tc>
        <w:tc>
          <w:tcPr>
            <w:tcW w:w="1882" w:type="dxa"/>
            <w:tcBorders>
              <w:top w:val="single" w:color="auto" w:sz="4" w:space="0"/>
              <w:left w:val="single" w:color="auto" w:sz="4" w:space="0"/>
              <w:bottom w:val="single" w:color="auto" w:sz="4" w:space="0"/>
              <w:right w:val="single" w:color="auto" w:sz="4" w:space="0"/>
            </w:tcBorders>
          </w:tcPr>
          <w:p w14:paraId="6458BC12">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发现一处不符合扣0.5分。</w:t>
            </w:r>
          </w:p>
        </w:tc>
        <w:tc>
          <w:tcPr>
            <w:tcW w:w="1445" w:type="dxa"/>
            <w:tcBorders>
              <w:top w:val="single" w:color="auto" w:sz="4" w:space="0"/>
              <w:left w:val="single" w:color="auto" w:sz="4" w:space="0"/>
              <w:bottom w:val="single" w:color="auto" w:sz="4" w:space="0"/>
              <w:right w:val="single" w:color="auto" w:sz="4" w:space="0"/>
            </w:tcBorders>
          </w:tcPr>
          <w:p w14:paraId="728DE45B">
            <w:pPr>
              <w:widowControl/>
              <w:spacing w:line="360" w:lineRule="auto"/>
              <w:ind w:firstLine="480" w:firstLineChars="200"/>
              <w:rPr>
                <w:rFonts w:ascii="宋体" w:hAnsi="宋体" w:eastAsia="宋体" w:cs="Times New Roman"/>
                <w:bCs/>
                <w:kern w:val="2"/>
                <w:sz w:val="24"/>
              </w:rPr>
            </w:pPr>
          </w:p>
        </w:tc>
      </w:tr>
      <w:tr w14:paraId="57FF0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vMerge w:val="continue"/>
            <w:tcBorders>
              <w:top w:val="single" w:color="auto" w:sz="4" w:space="0"/>
              <w:left w:val="single" w:color="auto" w:sz="4" w:space="0"/>
              <w:bottom w:val="single" w:color="auto" w:sz="4" w:space="0"/>
              <w:right w:val="single" w:color="auto" w:sz="4" w:space="0"/>
            </w:tcBorders>
            <w:vAlign w:val="center"/>
          </w:tcPr>
          <w:p w14:paraId="78A3EE04">
            <w:pPr>
              <w:widowControl/>
              <w:spacing w:line="360" w:lineRule="auto"/>
              <w:ind w:firstLine="480" w:firstLineChars="200"/>
              <w:jc w:val="center"/>
              <w:rPr>
                <w:rFonts w:ascii="宋体" w:hAnsi="宋体" w:eastAsia="宋体" w:cs="Times New Roman"/>
                <w:bCs/>
                <w:kern w:val="2"/>
                <w:sz w:val="24"/>
              </w:rPr>
            </w:pPr>
          </w:p>
        </w:tc>
        <w:tc>
          <w:tcPr>
            <w:tcW w:w="687" w:type="dxa"/>
            <w:tcBorders>
              <w:top w:val="single" w:color="auto" w:sz="4" w:space="0"/>
              <w:left w:val="single" w:color="auto" w:sz="4" w:space="0"/>
              <w:bottom w:val="single" w:color="auto" w:sz="4" w:space="0"/>
              <w:right w:val="single" w:color="auto" w:sz="4" w:space="0"/>
            </w:tcBorders>
            <w:vAlign w:val="center"/>
          </w:tcPr>
          <w:p w14:paraId="29E98F8B">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8</w:t>
            </w:r>
          </w:p>
        </w:tc>
        <w:tc>
          <w:tcPr>
            <w:tcW w:w="2613" w:type="dxa"/>
            <w:tcBorders>
              <w:top w:val="single" w:color="auto" w:sz="4" w:space="0"/>
              <w:left w:val="single" w:color="auto" w:sz="4" w:space="0"/>
              <w:bottom w:val="single" w:color="auto" w:sz="4" w:space="0"/>
              <w:right w:val="single" w:color="auto" w:sz="4" w:space="0"/>
            </w:tcBorders>
          </w:tcPr>
          <w:p w14:paraId="2FA6B4B6">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大理石地面按规定周期打磨，地面石材光亮整洁</w:t>
            </w:r>
          </w:p>
        </w:tc>
        <w:tc>
          <w:tcPr>
            <w:tcW w:w="736" w:type="dxa"/>
            <w:tcBorders>
              <w:top w:val="single" w:color="auto" w:sz="4" w:space="0"/>
              <w:left w:val="single" w:color="auto" w:sz="4" w:space="0"/>
              <w:bottom w:val="single" w:color="auto" w:sz="4" w:space="0"/>
              <w:right w:val="single" w:color="auto" w:sz="4" w:space="0"/>
            </w:tcBorders>
            <w:vAlign w:val="center"/>
          </w:tcPr>
          <w:p w14:paraId="50D053D3">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1分</w:t>
            </w:r>
          </w:p>
        </w:tc>
        <w:tc>
          <w:tcPr>
            <w:tcW w:w="1882" w:type="dxa"/>
            <w:tcBorders>
              <w:top w:val="single" w:color="auto" w:sz="4" w:space="0"/>
              <w:left w:val="single" w:color="auto" w:sz="4" w:space="0"/>
              <w:bottom w:val="single" w:color="auto" w:sz="4" w:space="0"/>
              <w:right w:val="single" w:color="auto" w:sz="4" w:space="0"/>
            </w:tcBorders>
          </w:tcPr>
          <w:p w14:paraId="18ACA337">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规定周期内不打磨扣2分，少打磨一次扣1分。</w:t>
            </w:r>
          </w:p>
        </w:tc>
        <w:tc>
          <w:tcPr>
            <w:tcW w:w="1445" w:type="dxa"/>
            <w:tcBorders>
              <w:top w:val="single" w:color="auto" w:sz="4" w:space="0"/>
              <w:left w:val="single" w:color="auto" w:sz="4" w:space="0"/>
              <w:bottom w:val="single" w:color="auto" w:sz="4" w:space="0"/>
              <w:right w:val="single" w:color="auto" w:sz="4" w:space="0"/>
            </w:tcBorders>
          </w:tcPr>
          <w:p w14:paraId="1ECF3DF2">
            <w:pPr>
              <w:widowControl/>
              <w:spacing w:line="360" w:lineRule="auto"/>
              <w:ind w:firstLine="480" w:firstLineChars="200"/>
              <w:rPr>
                <w:rFonts w:ascii="宋体" w:hAnsi="宋体" w:eastAsia="宋体" w:cs="Times New Roman"/>
                <w:bCs/>
                <w:kern w:val="2"/>
                <w:sz w:val="24"/>
              </w:rPr>
            </w:pPr>
          </w:p>
        </w:tc>
      </w:tr>
      <w:tr w14:paraId="52953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vMerge w:val="continue"/>
            <w:tcBorders>
              <w:top w:val="single" w:color="auto" w:sz="4" w:space="0"/>
              <w:left w:val="single" w:color="auto" w:sz="4" w:space="0"/>
              <w:bottom w:val="single" w:color="auto" w:sz="4" w:space="0"/>
              <w:right w:val="single" w:color="auto" w:sz="4" w:space="0"/>
            </w:tcBorders>
            <w:vAlign w:val="center"/>
          </w:tcPr>
          <w:p w14:paraId="56F1D041">
            <w:pPr>
              <w:widowControl/>
              <w:spacing w:line="360" w:lineRule="auto"/>
              <w:ind w:firstLine="480" w:firstLineChars="200"/>
              <w:jc w:val="center"/>
              <w:rPr>
                <w:rFonts w:ascii="宋体" w:hAnsi="宋体" w:eastAsia="宋体" w:cs="Times New Roman"/>
                <w:bCs/>
                <w:kern w:val="2"/>
                <w:sz w:val="24"/>
              </w:rPr>
            </w:pPr>
          </w:p>
        </w:tc>
        <w:tc>
          <w:tcPr>
            <w:tcW w:w="687" w:type="dxa"/>
            <w:tcBorders>
              <w:top w:val="single" w:color="auto" w:sz="4" w:space="0"/>
              <w:left w:val="single" w:color="auto" w:sz="4" w:space="0"/>
              <w:bottom w:val="single" w:color="auto" w:sz="4" w:space="0"/>
              <w:right w:val="single" w:color="auto" w:sz="4" w:space="0"/>
            </w:tcBorders>
            <w:vAlign w:val="center"/>
          </w:tcPr>
          <w:p w14:paraId="3E9C9205">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9</w:t>
            </w:r>
          </w:p>
        </w:tc>
        <w:tc>
          <w:tcPr>
            <w:tcW w:w="2613" w:type="dxa"/>
            <w:tcBorders>
              <w:top w:val="single" w:color="auto" w:sz="4" w:space="0"/>
              <w:left w:val="single" w:color="auto" w:sz="4" w:space="0"/>
              <w:bottom w:val="single" w:color="auto" w:sz="4" w:space="0"/>
              <w:right w:val="single" w:color="auto" w:sz="4" w:space="0"/>
            </w:tcBorders>
          </w:tcPr>
          <w:p w14:paraId="3485D704">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雨水井、污水井和沉沙池排水通畅，无外溢。沉沙池内无纸屑、烟头。盖板无污迹，无破损。排洪沟、渠定期清除淤泥，无垃圾，无堵塞。</w:t>
            </w:r>
          </w:p>
        </w:tc>
        <w:tc>
          <w:tcPr>
            <w:tcW w:w="736" w:type="dxa"/>
            <w:tcBorders>
              <w:top w:val="single" w:color="auto" w:sz="4" w:space="0"/>
              <w:left w:val="single" w:color="auto" w:sz="4" w:space="0"/>
              <w:bottom w:val="single" w:color="auto" w:sz="4" w:space="0"/>
              <w:right w:val="single" w:color="auto" w:sz="4" w:space="0"/>
            </w:tcBorders>
            <w:vAlign w:val="center"/>
          </w:tcPr>
          <w:p w14:paraId="55B6B759">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1分</w:t>
            </w:r>
          </w:p>
        </w:tc>
        <w:tc>
          <w:tcPr>
            <w:tcW w:w="1882" w:type="dxa"/>
            <w:tcBorders>
              <w:top w:val="single" w:color="auto" w:sz="4" w:space="0"/>
              <w:left w:val="single" w:color="auto" w:sz="4" w:space="0"/>
              <w:bottom w:val="single" w:color="auto" w:sz="4" w:space="0"/>
              <w:right w:val="single" w:color="auto" w:sz="4" w:space="0"/>
            </w:tcBorders>
          </w:tcPr>
          <w:p w14:paraId="03C70F00">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每一项不符合扣0.5分。</w:t>
            </w:r>
          </w:p>
        </w:tc>
        <w:tc>
          <w:tcPr>
            <w:tcW w:w="1445" w:type="dxa"/>
            <w:tcBorders>
              <w:top w:val="single" w:color="auto" w:sz="4" w:space="0"/>
              <w:left w:val="single" w:color="auto" w:sz="4" w:space="0"/>
              <w:bottom w:val="single" w:color="auto" w:sz="4" w:space="0"/>
              <w:right w:val="single" w:color="auto" w:sz="4" w:space="0"/>
            </w:tcBorders>
          </w:tcPr>
          <w:p w14:paraId="0EC51CBE">
            <w:pPr>
              <w:widowControl/>
              <w:spacing w:line="360" w:lineRule="auto"/>
              <w:ind w:firstLine="480" w:firstLineChars="200"/>
              <w:rPr>
                <w:rFonts w:ascii="宋体" w:hAnsi="宋体" w:eastAsia="宋体" w:cs="Times New Roman"/>
                <w:bCs/>
                <w:kern w:val="2"/>
                <w:sz w:val="24"/>
              </w:rPr>
            </w:pPr>
          </w:p>
        </w:tc>
      </w:tr>
      <w:tr w14:paraId="646AC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vMerge w:val="continue"/>
            <w:tcBorders>
              <w:top w:val="single" w:color="auto" w:sz="4" w:space="0"/>
              <w:left w:val="single" w:color="auto" w:sz="4" w:space="0"/>
              <w:bottom w:val="single" w:color="auto" w:sz="4" w:space="0"/>
              <w:right w:val="single" w:color="auto" w:sz="4" w:space="0"/>
            </w:tcBorders>
            <w:vAlign w:val="center"/>
          </w:tcPr>
          <w:p w14:paraId="01AEC7DE">
            <w:pPr>
              <w:widowControl/>
              <w:spacing w:line="360" w:lineRule="auto"/>
              <w:ind w:firstLine="480" w:firstLineChars="200"/>
              <w:jc w:val="center"/>
              <w:rPr>
                <w:rFonts w:ascii="宋体" w:hAnsi="宋体" w:eastAsia="宋体" w:cs="Times New Roman"/>
                <w:bCs/>
                <w:kern w:val="2"/>
                <w:sz w:val="24"/>
              </w:rPr>
            </w:pPr>
          </w:p>
        </w:tc>
        <w:tc>
          <w:tcPr>
            <w:tcW w:w="687" w:type="dxa"/>
            <w:tcBorders>
              <w:top w:val="single" w:color="auto" w:sz="4" w:space="0"/>
              <w:left w:val="single" w:color="auto" w:sz="4" w:space="0"/>
              <w:bottom w:val="single" w:color="auto" w:sz="4" w:space="0"/>
              <w:right w:val="single" w:color="auto" w:sz="4" w:space="0"/>
            </w:tcBorders>
            <w:vAlign w:val="center"/>
          </w:tcPr>
          <w:p w14:paraId="71D58D0E">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10</w:t>
            </w:r>
          </w:p>
        </w:tc>
        <w:tc>
          <w:tcPr>
            <w:tcW w:w="2613" w:type="dxa"/>
            <w:tcBorders>
              <w:top w:val="single" w:color="auto" w:sz="4" w:space="0"/>
              <w:left w:val="single" w:color="auto" w:sz="4" w:space="0"/>
              <w:bottom w:val="single" w:color="auto" w:sz="4" w:space="0"/>
              <w:right w:val="single" w:color="auto" w:sz="4" w:space="0"/>
            </w:tcBorders>
          </w:tcPr>
          <w:p w14:paraId="1D55E116">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垃圾桶随时清理（垃圾不超过垃圾桶的2/3位置），垃圾桶随时清洗，外观无污渍、灰尘、内无异味散发。</w:t>
            </w:r>
          </w:p>
        </w:tc>
        <w:tc>
          <w:tcPr>
            <w:tcW w:w="736" w:type="dxa"/>
            <w:tcBorders>
              <w:top w:val="single" w:color="auto" w:sz="4" w:space="0"/>
              <w:left w:val="single" w:color="auto" w:sz="4" w:space="0"/>
              <w:bottom w:val="single" w:color="auto" w:sz="4" w:space="0"/>
              <w:right w:val="single" w:color="auto" w:sz="4" w:space="0"/>
            </w:tcBorders>
            <w:vAlign w:val="center"/>
          </w:tcPr>
          <w:p w14:paraId="6436E079">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2分</w:t>
            </w:r>
          </w:p>
        </w:tc>
        <w:tc>
          <w:tcPr>
            <w:tcW w:w="1882" w:type="dxa"/>
            <w:tcBorders>
              <w:top w:val="single" w:color="auto" w:sz="4" w:space="0"/>
              <w:left w:val="single" w:color="auto" w:sz="4" w:space="0"/>
              <w:bottom w:val="single" w:color="auto" w:sz="4" w:space="0"/>
              <w:right w:val="single" w:color="auto" w:sz="4" w:space="0"/>
            </w:tcBorders>
          </w:tcPr>
          <w:p w14:paraId="6551553F">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每发现一处垃圾桶未清理并有异味，扣0.5分。</w:t>
            </w:r>
          </w:p>
        </w:tc>
        <w:tc>
          <w:tcPr>
            <w:tcW w:w="1445" w:type="dxa"/>
            <w:tcBorders>
              <w:top w:val="single" w:color="auto" w:sz="4" w:space="0"/>
              <w:left w:val="single" w:color="auto" w:sz="4" w:space="0"/>
              <w:bottom w:val="single" w:color="auto" w:sz="4" w:space="0"/>
              <w:right w:val="single" w:color="auto" w:sz="4" w:space="0"/>
            </w:tcBorders>
          </w:tcPr>
          <w:p w14:paraId="7CFBA935">
            <w:pPr>
              <w:widowControl/>
              <w:spacing w:line="360" w:lineRule="auto"/>
              <w:ind w:firstLine="480" w:firstLineChars="200"/>
              <w:rPr>
                <w:rFonts w:ascii="宋体" w:hAnsi="宋体" w:eastAsia="宋体" w:cs="Times New Roman"/>
                <w:bCs/>
                <w:kern w:val="2"/>
                <w:sz w:val="24"/>
              </w:rPr>
            </w:pPr>
          </w:p>
        </w:tc>
      </w:tr>
      <w:tr w14:paraId="15131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vMerge w:val="continue"/>
            <w:tcBorders>
              <w:top w:val="single" w:color="auto" w:sz="4" w:space="0"/>
              <w:left w:val="single" w:color="auto" w:sz="4" w:space="0"/>
              <w:bottom w:val="single" w:color="auto" w:sz="4" w:space="0"/>
              <w:right w:val="single" w:color="auto" w:sz="4" w:space="0"/>
            </w:tcBorders>
            <w:vAlign w:val="center"/>
          </w:tcPr>
          <w:p w14:paraId="3F8CC633">
            <w:pPr>
              <w:widowControl/>
              <w:spacing w:line="360" w:lineRule="auto"/>
              <w:ind w:firstLine="480" w:firstLineChars="200"/>
              <w:jc w:val="center"/>
              <w:rPr>
                <w:rFonts w:ascii="宋体" w:hAnsi="宋体" w:eastAsia="宋体" w:cs="Times New Roman"/>
                <w:bCs/>
                <w:kern w:val="2"/>
                <w:sz w:val="24"/>
              </w:rPr>
            </w:pPr>
          </w:p>
        </w:tc>
        <w:tc>
          <w:tcPr>
            <w:tcW w:w="687" w:type="dxa"/>
            <w:tcBorders>
              <w:top w:val="single" w:color="auto" w:sz="4" w:space="0"/>
              <w:left w:val="single" w:color="auto" w:sz="4" w:space="0"/>
              <w:bottom w:val="single" w:color="auto" w:sz="4" w:space="0"/>
              <w:right w:val="single" w:color="auto" w:sz="4" w:space="0"/>
            </w:tcBorders>
            <w:vAlign w:val="center"/>
          </w:tcPr>
          <w:p w14:paraId="370ED388">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11</w:t>
            </w:r>
          </w:p>
        </w:tc>
        <w:tc>
          <w:tcPr>
            <w:tcW w:w="2613" w:type="dxa"/>
            <w:tcBorders>
              <w:top w:val="single" w:color="auto" w:sz="4" w:space="0"/>
              <w:left w:val="single" w:color="auto" w:sz="4" w:space="0"/>
              <w:bottom w:val="single" w:color="auto" w:sz="4" w:space="0"/>
              <w:right w:val="single" w:color="auto" w:sz="4" w:space="0"/>
            </w:tcBorders>
          </w:tcPr>
          <w:p w14:paraId="45426C8F">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每周两次对公共区域进行消毒并做好消毒记录。</w:t>
            </w:r>
          </w:p>
        </w:tc>
        <w:tc>
          <w:tcPr>
            <w:tcW w:w="736" w:type="dxa"/>
            <w:tcBorders>
              <w:top w:val="single" w:color="auto" w:sz="4" w:space="0"/>
              <w:left w:val="single" w:color="auto" w:sz="4" w:space="0"/>
              <w:bottom w:val="single" w:color="auto" w:sz="4" w:space="0"/>
              <w:right w:val="single" w:color="auto" w:sz="4" w:space="0"/>
            </w:tcBorders>
            <w:vAlign w:val="center"/>
          </w:tcPr>
          <w:p w14:paraId="1CB8EE41">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1分</w:t>
            </w:r>
          </w:p>
        </w:tc>
        <w:tc>
          <w:tcPr>
            <w:tcW w:w="1882" w:type="dxa"/>
            <w:tcBorders>
              <w:top w:val="single" w:color="auto" w:sz="4" w:space="0"/>
              <w:left w:val="single" w:color="auto" w:sz="4" w:space="0"/>
              <w:bottom w:val="single" w:color="auto" w:sz="4" w:space="0"/>
              <w:right w:val="single" w:color="auto" w:sz="4" w:space="0"/>
            </w:tcBorders>
          </w:tcPr>
          <w:p w14:paraId="5A536B4E">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每发现一次不符合要求扣0．5分。</w:t>
            </w:r>
          </w:p>
        </w:tc>
        <w:tc>
          <w:tcPr>
            <w:tcW w:w="1445" w:type="dxa"/>
            <w:tcBorders>
              <w:top w:val="single" w:color="auto" w:sz="4" w:space="0"/>
              <w:left w:val="single" w:color="auto" w:sz="4" w:space="0"/>
              <w:bottom w:val="single" w:color="auto" w:sz="4" w:space="0"/>
              <w:right w:val="single" w:color="auto" w:sz="4" w:space="0"/>
            </w:tcBorders>
          </w:tcPr>
          <w:p w14:paraId="75F82D03">
            <w:pPr>
              <w:widowControl/>
              <w:spacing w:line="360" w:lineRule="auto"/>
              <w:ind w:firstLine="480" w:firstLineChars="200"/>
              <w:rPr>
                <w:rFonts w:ascii="宋体" w:hAnsi="宋体" w:eastAsia="宋体" w:cs="Times New Roman"/>
                <w:bCs/>
                <w:kern w:val="2"/>
                <w:sz w:val="24"/>
              </w:rPr>
            </w:pPr>
          </w:p>
        </w:tc>
      </w:tr>
      <w:tr w14:paraId="31A52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vMerge w:val="continue"/>
            <w:tcBorders>
              <w:top w:val="single" w:color="auto" w:sz="4" w:space="0"/>
              <w:left w:val="single" w:color="auto" w:sz="4" w:space="0"/>
              <w:bottom w:val="single" w:color="auto" w:sz="4" w:space="0"/>
              <w:right w:val="single" w:color="auto" w:sz="4" w:space="0"/>
            </w:tcBorders>
            <w:vAlign w:val="center"/>
          </w:tcPr>
          <w:p w14:paraId="24933B0D">
            <w:pPr>
              <w:widowControl/>
              <w:spacing w:line="360" w:lineRule="auto"/>
              <w:ind w:firstLine="480" w:firstLineChars="200"/>
              <w:jc w:val="center"/>
              <w:rPr>
                <w:rFonts w:ascii="宋体" w:hAnsi="宋体" w:eastAsia="宋体" w:cs="Times New Roman"/>
                <w:bCs/>
                <w:kern w:val="2"/>
                <w:sz w:val="24"/>
              </w:rPr>
            </w:pPr>
          </w:p>
        </w:tc>
        <w:tc>
          <w:tcPr>
            <w:tcW w:w="687" w:type="dxa"/>
            <w:tcBorders>
              <w:top w:val="single" w:color="auto" w:sz="4" w:space="0"/>
              <w:left w:val="single" w:color="auto" w:sz="4" w:space="0"/>
              <w:bottom w:val="single" w:color="auto" w:sz="4" w:space="0"/>
              <w:right w:val="single" w:color="auto" w:sz="4" w:space="0"/>
            </w:tcBorders>
            <w:vAlign w:val="center"/>
          </w:tcPr>
          <w:p w14:paraId="3DCF4F08">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12</w:t>
            </w:r>
          </w:p>
        </w:tc>
        <w:tc>
          <w:tcPr>
            <w:tcW w:w="2613" w:type="dxa"/>
            <w:tcBorders>
              <w:top w:val="single" w:color="auto" w:sz="4" w:space="0"/>
              <w:left w:val="single" w:color="auto" w:sz="4" w:space="0"/>
              <w:bottom w:val="single" w:color="auto" w:sz="4" w:space="0"/>
              <w:right w:val="single" w:color="auto" w:sz="4" w:space="0"/>
            </w:tcBorders>
          </w:tcPr>
          <w:p w14:paraId="6BF25583">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标识牌、墙面宣传栏、玻璃、门上无污渍、无乱贴、乱涂画和乱悬挂现象</w:t>
            </w:r>
          </w:p>
        </w:tc>
        <w:tc>
          <w:tcPr>
            <w:tcW w:w="736" w:type="dxa"/>
            <w:tcBorders>
              <w:top w:val="single" w:color="auto" w:sz="4" w:space="0"/>
              <w:left w:val="single" w:color="auto" w:sz="4" w:space="0"/>
              <w:bottom w:val="single" w:color="auto" w:sz="4" w:space="0"/>
              <w:right w:val="single" w:color="auto" w:sz="4" w:space="0"/>
            </w:tcBorders>
            <w:vAlign w:val="center"/>
          </w:tcPr>
          <w:p w14:paraId="0868673E">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1分</w:t>
            </w:r>
          </w:p>
        </w:tc>
        <w:tc>
          <w:tcPr>
            <w:tcW w:w="1882" w:type="dxa"/>
            <w:tcBorders>
              <w:top w:val="single" w:color="auto" w:sz="4" w:space="0"/>
              <w:left w:val="single" w:color="auto" w:sz="4" w:space="0"/>
              <w:bottom w:val="single" w:color="auto" w:sz="4" w:space="0"/>
              <w:right w:val="single" w:color="auto" w:sz="4" w:space="0"/>
            </w:tcBorders>
          </w:tcPr>
          <w:p w14:paraId="1DCCB13E">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每发现一处乱贴、乱涂、乱画和乱悬挂扣0.5分。</w:t>
            </w:r>
          </w:p>
        </w:tc>
        <w:tc>
          <w:tcPr>
            <w:tcW w:w="1445" w:type="dxa"/>
            <w:tcBorders>
              <w:top w:val="single" w:color="auto" w:sz="4" w:space="0"/>
              <w:left w:val="single" w:color="auto" w:sz="4" w:space="0"/>
              <w:bottom w:val="single" w:color="auto" w:sz="4" w:space="0"/>
              <w:right w:val="single" w:color="auto" w:sz="4" w:space="0"/>
            </w:tcBorders>
          </w:tcPr>
          <w:p w14:paraId="111FEEBA">
            <w:pPr>
              <w:widowControl/>
              <w:spacing w:line="360" w:lineRule="auto"/>
              <w:ind w:firstLine="480" w:firstLineChars="200"/>
              <w:rPr>
                <w:rFonts w:ascii="宋体" w:hAnsi="宋体" w:eastAsia="宋体" w:cs="Times New Roman"/>
                <w:bCs/>
                <w:kern w:val="2"/>
                <w:sz w:val="24"/>
              </w:rPr>
            </w:pPr>
          </w:p>
        </w:tc>
      </w:tr>
      <w:tr w14:paraId="22D94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vMerge w:val="continue"/>
            <w:tcBorders>
              <w:top w:val="single" w:color="auto" w:sz="4" w:space="0"/>
              <w:left w:val="single" w:color="auto" w:sz="4" w:space="0"/>
              <w:bottom w:val="single" w:color="auto" w:sz="4" w:space="0"/>
              <w:right w:val="single" w:color="auto" w:sz="4" w:space="0"/>
            </w:tcBorders>
            <w:vAlign w:val="center"/>
          </w:tcPr>
          <w:p w14:paraId="7BD33631">
            <w:pPr>
              <w:widowControl/>
              <w:spacing w:line="360" w:lineRule="auto"/>
              <w:ind w:firstLine="480" w:firstLineChars="200"/>
              <w:jc w:val="center"/>
              <w:rPr>
                <w:rFonts w:ascii="宋体" w:hAnsi="宋体" w:eastAsia="宋体" w:cs="Times New Roman"/>
                <w:bCs/>
                <w:kern w:val="2"/>
                <w:sz w:val="24"/>
              </w:rPr>
            </w:pPr>
          </w:p>
        </w:tc>
        <w:tc>
          <w:tcPr>
            <w:tcW w:w="687" w:type="dxa"/>
            <w:tcBorders>
              <w:top w:val="single" w:color="auto" w:sz="4" w:space="0"/>
              <w:left w:val="single" w:color="auto" w:sz="4" w:space="0"/>
              <w:bottom w:val="single" w:color="auto" w:sz="4" w:space="0"/>
              <w:right w:val="single" w:color="auto" w:sz="4" w:space="0"/>
            </w:tcBorders>
            <w:vAlign w:val="center"/>
          </w:tcPr>
          <w:p w14:paraId="1BEE5580">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13</w:t>
            </w:r>
          </w:p>
        </w:tc>
        <w:tc>
          <w:tcPr>
            <w:tcW w:w="2613" w:type="dxa"/>
            <w:tcBorders>
              <w:top w:val="single" w:color="auto" w:sz="4" w:space="0"/>
              <w:left w:val="single" w:color="auto" w:sz="4" w:space="0"/>
              <w:bottom w:val="single" w:color="auto" w:sz="4" w:space="0"/>
              <w:right w:val="single" w:color="auto" w:sz="4" w:space="0"/>
            </w:tcBorders>
          </w:tcPr>
          <w:p w14:paraId="55549103">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卫生清洁用具储物间排放整齐，经常消毒处理，地面无积水。</w:t>
            </w:r>
          </w:p>
        </w:tc>
        <w:tc>
          <w:tcPr>
            <w:tcW w:w="736" w:type="dxa"/>
            <w:tcBorders>
              <w:top w:val="single" w:color="auto" w:sz="4" w:space="0"/>
              <w:left w:val="single" w:color="auto" w:sz="4" w:space="0"/>
              <w:bottom w:val="single" w:color="auto" w:sz="4" w:space="0"/>
              <w:right w:val="single" w:color="auto" w:sz="4" w:space="0"/>
            </w:tcBorders>
            <w:vAlign w:val="center"/>
          </w:tcPr>
          <w:p w14:paraId="7BE7C742">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2分</w:t>
            </w:r>
          </w:p>
        </w:tc>
        <w:tc>
          <w:tcPr>
            <w:tcW w:w="1882" w:type="dxa"/>
            <w:tcBorders>
              <w:top w:val="single" w:color="auto" w:sz="4" w:space="0"/>
              <w:left w:val="single" w:color="auto" w:sz="4" w:space="0"/>
              <w:bottom w:val="single" w:color="auto" w:sz="4" w:space="0"/>
              <w:right w:val="single" w:color="auto" w:sz="4" w:space="0"/>
            </w:tcBorders>
          </w:tcPr>
          <w:p w14:paraId="38B7EAE8">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每发现一处不符合扣0．5分。</w:t>
            </w:r>
          </w:p>
        </w:tc>
        <w:tc>
          <w:tcPr>
            <w:tcW w:w="1445" w:type="dxa"/>
            <w:tcBorders>
              <w:top w:val="single" w:color="auto" w:sz="4" w:space="0"/>
              <w:left w:val="single" w:color="auto" w:sz="4" w:space="0"/>
              <w:bottom w:val="single" w:color="auto" w:sz="4" w:space="0"/>
              <w:right w:val="single" w:color="auto" w:sz="4" w:space="0"/>
            </w:tcBorders>
          </w:tcPr>
          <w:p w14:paraId="01A5566A">
            <w:pPr>
              <w:widowControl/>
              <w:spacing w:line="360" w:lineRule="auto"/>
              <w:ind w:firstLine="480" w:firstLineChars="200"/>
              <w:rPr>
                <w:rFonts w:ascii="宋体" w:hAnsi="宋体" w:eastAsia="宋体" w:cs="Times New Roman"/>
                <w:bCs/>
                <w:kern w:val="2"/>
                <w:sz w:val="24"/>
              </w:rPr>
            </w:pPr>
          </w:p>
        </w:tc>
      </w:tr>
      <w:tr w14:paraId="06540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vMerge w:val="continue"/>
            <w:tcBorders>
              <w:top w:val="single" w:color="auto" w:sz="4" w:space="0"/>
              <w:left w:val="single" w:color="auto" w:sz="4" w:space="0"/>
              <w:bottom w:val="single" w:color="auto" w:sz="4" w:space="0"/>
              <w:right w:val="single" w:color="auto" w:sz="4" w:space="0"/>
            </w:tcBorders>
            <w:vAlign w:val="center"/>
          </w:tcPr>
          <w:p w14:paraId="5B30B0EC">
            <w:pPr>
              <w:widowControl/>
              <w:spacing w:line="360" w:lineRule="auto"/>
              <w:ind w:firstLine="480" w:firstLineChars="200"/>
              <w:jc w:val="center"/>
              <w:rPr>
                <w:rFonts w:ascii="宋体" w:hAnsi="宋体" w:eastAsia="宋体" w:cs="Times New Roman"/>
                <w:bCs/>
                <w:kern w:val="2"/>
                <w:sz w:val="24"/>
              </w:rPr>
            </w:pPr>
          </w:p>
        </w:tc>
        <w:tc>
          <w:tcPr>
            <w:tcW w:w="687" w:type="dxa"/>
            <w:tcBorders>
              <w:top w:val="single" w:color="auto" w:sz="4" w:space="0"/>
              <w:left w:val="single" w:color="auto" w:sz="4" w:space="0"/>
              <w:bottom w:val="single" w:color="auto" w:sz="4" w:space="0"/>
              <w:right w:val="single" w:color="auto" w:sz="4" w:space="0"/>
            </w:tcBorders>
            <w:vAlign w:val="center"/>
          </w:tcPr>
          <w:p w14:paraId="758F7308">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14</w:t>
            </w:r>
          </w:p>
        </w:tc>
        <w:tc>
          <w:tcPr>
            <w:tcW w:w="2613" w:type="dxa"/>
            <w:tcBorders>
              <w:top w:val="single" w:color="auto" w:sz="4" w:space="0"/>
              <w:left w:val="single" w:color="auto" w:sz="4" w:space="0"/>
              <w:bottom w:val="single" w:color="auto" w:sz="4" w:space="0"/>
              <w:right w:val="single" w:color="auto" w:sz="4" w:space="0"/>
            </w:tcBorders>
          </w:tcPr>
          <w:p w14:paraId="24422410">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会议室干净、整洁，桌椅、墙面、地面、窗户无污、无灰尘。</w:t>
            </w:r>
          </w:p>
          <w:p w14:paraId="7963E716">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物品摆放整齐有序，拖把、抹布千净无异味，水池、地面、开水炉、消毒柜、音响设备整洁，无污渍、无灰尘。</w:t>
            </w:r>
          </w:p>
        </w:tc>
        <w:tc>
          <w:tcPr>
            <w:tcW w:w="736" w:type="dxa"/>
            <w:tcBorders>
              <w:top w:val="single" w:color="auto" w:sz="4" w:space="0"/>
              <w:left w:val="single" w:color="auto" w:sz="4" w:space="0"/>
              <w:bottom w:val="single" w:color="auto" w:sz="4" w:space="0"/>
              <w:right w:val="single" w:color="auto" w:sz="4" w:space="0"/>
            </w:tcBorders>
            <w:vAlign w:val="center"/>
          </w:tcPr>
          <w:p w14:paraId="64666EF3">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2分</w:t>
            </w:r>
          </w:p>
        </w:tc>
        <w:tc>
          <w:tcPr>
            <w:tcW w:w="1882" w:type="dxa"/>
            <w:tcBorders>
              <w:top w:val="single" w:color="auto" w:sz="4" w:space="0"/>
              <w:left w:val="single" w:color="auto" w:sz="4" w:space="0"/>
              <w:bottom w:val="single" w:color="auto" w:sz="4" w:space="0"/>
              <w:right w:val="single" w:color="auto" w:sz="4" w:space="0"/>
            </w:tcBorders>
          </w:tcPr>
          <w:p w14:paraId="1416DB56">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每发现一处不符合扣0．5分。</w:t>
            </w:r>
          </w:p>
        </w:tc>
        <w:tc>
          <w:tcPr>
            <w:tcW w:w="1445" w:type="dxa"/>
            <w:tcBorders>
              <w:top w:val="single" w:color="auto" w:sz="4" w:space="0"/>
              <w:left w:val="single" w:color="auto" w:sz="4" w:space="0"/>
              <w:bottom w:val="single" w:color="auto" w:sz="4" w:space="0"/>
              <w:right w:val="single" w:color="auto" w:sz="4" w:space="0"/>
            </w:tcBorders>
          </w:tcPr>
          <w:p w14:paraId="5338BCD7">
            <w:pPr>
              <w:widowControl/>
              <w:spacing w:line="360" w:lineRule="auto"/>
              <w:ind w:firstLine="480" w:firstLineChars="200"/>
              <w:rPr>
                <w:rFonts w:ascii="宋体" w:hAnsi="宋体" w:eastAsia="宋体" w:cs="Times New Roman"/>
                <w:bCs/>
                <w:kern w:val="2"/>
                <w:sz w:val="24"/>
              </w:rPr>
            </w:pPr>
          </w:p>
        </w:tc>
      </w:tr>
      <w:tr w14:paraId="495DF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vMerge w:val="continue"/>
            <w:tcBorders>
              <w:top w:val="single" w:color="auto" w:sz="4" w:space="0"/>
              <w:left w:val="single" w:color="auto" w:sz="4" w:space="0"/>
              <w:bottom w:val="single" w:color="auto" w:sz="4" w:space="0"/>
              <w:right w:val="single" w:color="auto" w:sz="4" w:space="0"/>
            </w:tcBorders>
            <w:vAlign w:val="center"/>
          </w:tcPr>
          <w:p w14:paraId="750A75A1">
            <w:pPr>
              <w:widowControl/>
              <w:spacing w:line="360" w:lineRule="auto"/>
              <w:ind w:firstLine="480" w:firstLineChars="200"/>
              <w:jc w:val="center"/>
              <w:rPr>
                <w:rFonts w:ascii="宋体" w:hAnsi="宋体" w:eastAsia="宋体" w:cs="Times New Roman"/>
                <w:bCs/>
                <w:kern w:val="2"/>
                <w:sz w:val="24"/>
              </w:rPr>
            </w:pPr>
          </w:p>
        </w:tc>
        <w:tc>
          <w:tcPr>
            <w:tcW w:w="687" w:type="dxa"/>
            <w:tcBorders>
              <w:top w:val="single" w:color="auto" w:sz="4" w:space="0"/>
              <w:left w:val="single" w:color="auto" w:sz="4" w:space="0"/>
              <w:bottom w:val="single" w:color="auto" w:sz="4" w:space="0"/>
              <w:right w:val="single" w:color="auto" w:sz="4" w:space="0"/>
            </w:tcBorders>
            <w:vAlign w:val="center"/>
          </w:tcPr>
          <w:p w14:paraId="2C9ED78B">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15</w:t>
            </w:r>
          </w:p>
        </w:tc>
        <w:tc>
          <w:tcPr>
            <w:tcW w:w="2613" w:type="dxa"/>
            <w:tcBorders>
              <w:top w:val="single" w:color="auto" w:sz="4" w:space="0"/>
              <w:left w:val="single" w:color="auto" w:sz="4" w:space="0"/>
              <w:bottom w:val="single" w:color="auto" w:sz="4" w:space="0"/>
              <w:right w:val="single" w:color="auto" w:sz="4" w:space="0"/>
            </w:tcBorders>
          </w:tcPr>
          <w:p w14:paraId="323B0EDA">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会务准备、会中服务及时规范，服务人员着装统一，服务热情。杜绝发生影响会务秩序的现象。</w:t>
            </w:r>
          </w:p>
        </w:tc>
        <w:tc>
          <w:tcPr>
            <w:tcW w:w="736" w:type="dxa"/>
            <w:tcBorders>
              <w:top w:val="single" w:color="auto" w:sz="4" w:space="0"/>
              <w:left w:val="single" w:color="auto" w:sz="4" w:space="0"/>
              <w:bottom w:val="single" w:color="auto" w:sz="4" w:space="0"/>
              <w:right w:val="single" w:color="auto" w:sz="4" w:space="0"/>
            </w:tcBorders>
            <w:vAlign w:val="center"/>
          </w:tcPr>
          <w:p w14:paraId="7C429D23">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2分</w:t>
            </w:r>
          </w:p>
        </w:tc>
        <w:tc>
          <w:tcPr>
            <w:tcW w:w="1882" w:type="dxa"/>
            <w:tcBorders>
              <w:top w:val="single" w:color="auto" w:sz="4" w:space="0"/>
              <w:left w:val="single" w:color="auto" w:sz="4" w:space="0"/>
              <w:bottom w:val="single" w:color="auto" w:sz="4" w:space="0"/>
              <w:right w:val="single" w:color="auto" w:sz="4" w:space="0"/>
            </w:tcBorders>
          </w:tcPr>
          <w:p w14:paraId="786108C0">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着装不统一、不干净、形象不好每人扣0．5分，服务及时、不规范、不热情，发现一次扣0．5分，发生影响会务秩序的现象，一次扣2分。</w:t>
            </w:r>
          </w:p>
        </w:tc>
        <w:tc>
          <w:tcPr>
            <w:tcW w:w="1445" w:type="dxa"/>
            <w:tcBorders>
              <w:top w:val="single" w:color="auto" w:sz="4" w:space="0"/>
              <w:left w:val="single" w:color="auto" w:sz="4" w:space="0"/>
              <w:bottom w:val="single" w:color="auto" w:sz="4" w:space="0"/>
              <w:right w:val="single" w:color="auto" w:sz="4" w:space="0"/>
            </w:tcBorders>
          </w:tcPr>
          <w:p w14:paraId="3E997AE7">
            <w:pPr>
              <w:widowControl/>
              <w:spacing w:line="360" w:lineRule="auto"/>
              <w:ind w:firstLine="480" w:firstLineChars="200"/>
              <w:rPr>
                <w:rFonts w:ascii="宋体" w:hAnsi="宋体" w:eastAsia="宋体" w:cs="Times New Roman"/>
                <w:bCs/>
                <w:kern w:val="2"/>
                <w:sz w:val="24"/>
              </w:rPr>
            </w:pPr>
          </w:p>
        </w:tc>
      </w:tr>
      <w:tr w14:paraId="59B68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vMerge w:val="restart"/>
            <w:tcBorders>
              <w:top w:val="single" w:color="auto" w:sz="4" w:space="0"/>
              <w:left w:val="single" w:color="auto" w:sz="4" w:space="0"/>
              <w:bottom w:val="single" w:color="auto" w:sz="4" w:space="0"/>
              <w:right w:val="single" w:color="auto" w:sz="4" w:space="0"/>
            </w:tcBorders>
            <w:vAlign w:val="center"/>
          </w:tcPr>
          <w:p w14:paraId="2F8F2A61">
            <w:pPr>
              <w:widowControl/>
              <w:spacing w:line="360" w:lineRule="auto"/>
              <w:rPr>
                <w:rFonts w:ascii="宋体" w:hAnsi="宋体" w:eastAsia="宋体" w:cs="Times New Roman"/>
                <w:bCs/>
                <w:kern w:val="2"/>
                <w:sz w:val="24"/>
              </w:rPr>
            </w:pPr>
          </w:p>
          <w:p w14:paraId="51726D61">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秩序维保及维修管理（30分）</w:t>
            </w:r>
          </w:p>
        </w:tc>
        <w:tc>
          <w:tcPr>
            <w:tcW w:w="687" w:type="dxa"/>
            <w:tcBorders>
              <w:top w:val="single" w:color="auto" w:sz="4" w:space="0"/>
              <w:left w:val="single" w:color="auto" w:sz="4" w:space="0"/>
              <w:bottom w:val="single" w:color="auto" w:sz="4" w:space="0"/>
              <w:right w:val="single" w:color="auto" w:sz="4" w:space="0"/>
            </w:tcBorders>
            <w:vAlign w:val="center"/>
          </w:tcPr>
          <w:p w14:paraId="2039933D">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1</w:t>
            </w:r>
          </w:p>
        </w:tc>
        <w:tc>
          <w:tcPr>
            <w:tcW w:w="2613" w:type="dxa"/>
            <w:tcBorders>
              <w:top w:val="single" w:color="auto" w:sz="4" w:space="0"/>
              <w:left w:val="single" w:color="auto" w:sz="4" w:space="0"/>
              <w:bottom w:val="single" w:color="auto" w:sz="4" w:space="0"/>
              <w:right w:val="single" w:color="auto" w:sz="4" w:space="0"/>
            </w:tcBorders>
          </w:tcPr>
          <w:p w14:paraId="414DC6A2">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严格执行物品出入管理及来人来访管理制度，《来访登记表》及《物品出入放行登记表》记录完整。按规定进行交接班，《交接班记录表》记录完整</w:t>
            </w:r>
          </w:p>
        </w:tc>
        <w:tc>
          <w:tcPr>
            <w:tcW w:w="736" w:type="dxa"/>
            <w:tcBorders>
              <w:top w:val="single" w:color="auto" w:sz="4" w:space="0"/>
              <w:left w:val="single" w:color="auto" w:sz="4" w:space="0"/>
              <w:bottom w:val="single" w:color="auto" w:sz="4" w:space="0"/>
              <w:right w:val="single" w:color="auto" w:sz="4" w:space="0"/>
            </w:tcBorders>
            <w:vAlign w:val="center"/>
          </w:tcPr>
          <w:p w14:paraId="314D0107">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2分</w:t>
            </w:r>
          </w:p>
        </w:tc>
        <w:tc>
          <w:tcPr>
            <w:tcW w:w="1882" w:type="dxa"/>
            <w:tcBorders>
              <w:top w:val="single" w:color="auto" w:sz="4" w:space="0"/>
              <w:left w:val="single" w:color="auto" w:sz="4" w:space="0"/>
              <w:bottom w:val="single" w:color="auto" w:sz="4" w:space="0"/>
              <w:right w:val="single" w:color="auto" w:sz="4" w:space="0"/>
            </w:tcBorders>
          </w:tcPr>
          <w:p w14:paraId="0BFB1E05">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每发现一次未按规定执行的扣0.5分。</w:t>
            </w:r>
          </w:p>
        </w:tc>
        <w:tc>
          <w:tcPr>
            <w:tcW w:w="1445" w:type="dxa"/>
            <w:tcBorders>
              <w:top w:val="single" w:color="auto" w:sz="4" w:space="0"/>
              <w:left w:val="single" w:color="auto" w:sz="4" w:space="0"/>
              <w:bottom w:val="single" w:color="auto" w:sz="4" w:space="0"/>
              <w:right w:val="single" w:color="auto" w:sz="4" w:space="0"/>
            </w:tcBorders>
          </w:tcPr>
          <w:p w14:paraId="3DE91343">
            <w:pPr>
              <w:widowControl/>
              <w:spacing w:line="360" w:lineRule="auto"/>
              <w:ind w:firstLine="480" w:firstLineChars="200"/>
              <w:rPr>
                <w:rFonts w:ascii="宋体" w:hAnsi="宋体" w:eastAsia="宋体" w:cs="Times New Roman"/>
                <w:bCs/>
                <w:kern w:val="2"/>
                <w:sz w:val="24"/>
              </w:rPr>
            </w:pPr>
          </w:p>
        </w:tc>
      </w:tr>
      <w:tr w14:paraId="34087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vMerge w:val="continue"/>
            <w:tcBorders>
              <w:top w:val="single" w:color="auto" w:sz="4" w:space="0"/>
              <w:left w:val="single" w:color="auto" w:sz="4" w:space="0"/>
              <w:bottom w:val="single" w:color="auto" w:sz="4" w:space="0"/>
              <w:right w:val="single" w:color="auto" w:sz="4" w:space="0"/>
            </w:tcBorders>
            <w:vAlign w:val="center"/>
          </w:tcPr>
          <w:p w14:paraId="7FE34857">
            <w:pPr>
              <w:widowControl/>
              <w:spacing w:line="360" w:lineRule="auto"/>
              <w:ind w:firstLine="480" w:firstLineChars="200"/>
              <w:rPr>
                <w:rFonts w:ascii="宋体" w:hAnsi="宋体" w:eastAsia="宋体" w:cs="Times New Roman"/>
                <w:bCs/>
                <w:kern w:val="2"/>
                <w:sz w:val="24"/>
              </w:rPr>
            </w:pPr>
          </w:p>
        </w:tc>
        <w:tc>
          <w:tcPr>
            <w:tcW w:w="687" w:type="dxa"/>
            <w:tcBorders>
              <w:top w:val="single" w:color="auto" w:sz="4" w:space="0"/>
              <w:left w:val="single" w:color="auto" w:sz="4" w:space="0"/>
              <w:bottom w:val="single" w:color="auto" w:sz="4" w:space="0"/>
              <w:right w:val="single" w:color="auto" w:sz="4" w:space="0"/>
            </w:tcBorders>
            <w:vAlign w:val="center"/>
          </w:tcPr>
          <w:p w14:paraId="54A33892">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2</w:t>
            </w:r>
          </w:p>
        </w:tc>
        <w:tc>
          <w:tcPr>
            <w:tcW w:w="2613" w:type="dxa"/>
            <w:tcBorders>
              <w:top w:val="single" w:color="auto" w:sz="4" w:space="0"/>
              <w:left w:val="single" w:color="auto" w:sz="4" w:space="0"/>
              <w:bottom w:val="single" w:color="auto" w:sz="4" w:space="0"/>
              <w:right w:val="single" w:color="auto" w:sz="4" w:space="0"/>
            </w:tcBorders>
          </w:tcPr>
          <w:p w14:paraId="1BAC84F6">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严格来客登记手续，对可疑的人、事及物品要认真检查并及时报告，对违规违纪的人员要敢抓、敢管。</w:t>
            </w:r>
          </w:p>
        </w:tc>
        <w:tc>
          <w:tcPr>
            <w:tcW w:w="736" w:type="dxa"/>
            <w:tcBorders>
              <w:top w:val="single" w:color="auto" w:sz="4" w:space="0"/>
              <w:left w:val="single" w:color="auto" w:sz="4" w:space="0"/>
              <w:bottom w:val="single" w:color="auto" w:sz="4" w:space="0"/>
              <w:right w:val="single" w:color="auto" w:sz="4" w:space="0"/>
            </w:tcBorders>
            <w:vAlign w:val="center"/>
          </w:tcPr>
          <w:p w14:paraId="1E3A8C3F">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2分</w:t>
            </w:r>
          </w:p>
        </w:tc>
        <w:tc>
          <w:tcPr>
            <w:tcW w:w="1882" w:type="dxa"/>
            <w:tcBorders>
              <w:top w:val="single" w:color="auto" w:sz="4" w:space="0"/>
              <w:left w:val="single" w:color="auto" w:sz="4" w:space="0"/>
              <w:bottom w:val="single" w:color="auto" w:sz="4" w:space="0"/>
              <w:right w:val="single" w:color="auto" w:sz="4" w:space="0"/>
            </w:tcBorders>
          </w:tcPr>
          <w:p w14:paraId="18F197FF">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每发现一次未按规定执行的扣0.5分。</w:t>
            </w:r>
          </w:p>
        </w:tc>
        <w:tc>
          <w:tcPr>
            <w:tcW w:w="1445" w:type="dxa"/>
            <w:tcBorders>
              <w:top w:val="single" w:color="auto" w:sz="4" w:space="0"/>
              <w:left w:val="single" w:color="auto" w:sz="4" w:space="0"/>
              <w:bottom w:val="single" w:color="auto" w:sz="4" w:space="0"/>
              <w:right w:val="single" w:color="auto" w:sz="4" w:space="0"/>
            </w:tcBorders>
          </w:tcPr>
          <w:p w14:paraId="21134F02">
            <w:pPr>
              <w:widowControl/>
              <w:spacing w:line="360" w:lineRule="auto"/>
              <w:ind w:firstLine="480" w:firstLineChars="200"/>
              <w:rPr>
                <w:rFonts w:ascii="宋体" w:hAnsi="宋体" w:eastAsia="宋体" w:cs="Times New Roman"/>
                <w:bCs/>
                <w:kern w:val="2"/>
                <w:sz w:val="24"/>
              </w:rPr>
            </w:pPr>
          </w:p>
        </w:tc>
      </w:tr>
      <w:tr w14:paraId="7D3E4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vMerge w:val="continue"/>
            <w:tcBorders>
              <w:top w:val="single" w:color="auto" w:sz="4" w:space="0"/>
              <w:left w:val="single" w:color="auto" w:sz="4" w:space="0"/>
              <w:bottom w:val="single" w:color="auto" w:sz="4" w:space="0"/>
              <w:right w:val="single" w:color="auto" w:sz="4" w:space="0"/>
            </w:tcBorders>
            <w:vAlign w:val="center"/>
          </w:tcPr>
          <w:p w14:paraId="0ADEFA83">
            <w:pPr>
              <w:widowControl/>
              <w:spacing w:line="360" w:lineRule="auto"/>
              <w:ind w:firstLine="480" w:firstLineChars="200"/>
              <w:rPr>
                <w:rFonts w:ascii="宋体" w:hAnsi="宋体" w:eastAsia="宋体" w:cs="Times New Roman"/>
                <w:bCs/>
                <w:kern w:val="2"/>
                <w:sz w:val="24"/>
              </w:rPr>
            </w:pPr>
          </w:p>
        </w:tc>
        <w:tc>
          <w:tcPr>
            <w:tcW w:w="687" w:type="dxa"/>
            <w:tcBorders>
              <w:top w:val="single" w:color="auto" w:sz="4" w:space="0"/>
              <w:left w:val="single" w:color="auto" w:sz="4" w:space="0"/>
              <w:bottom w:val="single" w:color="auto" w:sz="4" w:space="0"/>
              <w:right w:val="single" w:color="auto" w:sz="4" w:space="0"/>
            </w:tcBorders>
            <w:vAlign w:val="center"/>
          </w:tcPr>
          <w:p w14:paraId="42068DA3">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3</w:t>
            </w:r>
          </w:p>
        </w:tc>
        <w:tc>
          <w:tcPr>
            <w:tcW w:w="2613" w:type="dxa"/>
            <w:tcBorders>
              <w:top w:val="single" w:color="auto" w:sz="4" w:space="0"/>
              <w:left w:val="single" w:color="auto" w:sz="4" w:space="0"/>
              <w:bottom w:val="single" w:color="auto" w:sz="4" w:space="0"/>
              <w:right w:val="single" w:color="auto" w:sz="4" w:space="0"/>
            </w:tcBorders>
          </w:tcPr>
          <w:p w14:paraId="55423D68">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做好院内安全巡查、消防器材的维护，发现问题及时汇报。做好公共设施的检查与保护。维护公共秩序，保持通道畅通。立体车位运行要顺畅。</w:t>
            </w:r>
          </w:p>
        </w:tc>
        <w:tc>
          <w:tcPr>
            <w:tcW w:w="736" w:type="dxa"/>
            <w:tcBorders>
              <w:top w:val="single" w:color="auto" w:sz="4" w:space="0"/>
              <w:left w:val="single" w:color="auto" w:sz="4" w:space="0"/>
              <w:bottom w:val="single" w:color="auto" w:sz="4" w:space="0"/>
              <w:right w:val="single" w:color="auto" w:sz="4" w:space="0"/>
            </w:tcBorders>
            <w:vAlign w:val="center"/>
          </w:tcPr>
          <w:p w14:paraId="705E041E">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2分</w:t>
            </w:r>
          </w:p>
        </w:tc>
        <w:tc>
          <w:tcPr>
            <w:tcW w:w="1882" w:type="dxa"/>
            <w:tcBorders>
              <w:top w:val="single" w:color="auto" w:sz="4" w:space="0"/>
              <w:left w:val="single" w:color="auto" w:sz="4" w:space="0"/>
              <w:bottom w:val="single" w:color="auto" w:sz="4" w:space="0"/>
              <w:right w:val="single" w:color="auto" w:sz="4" w:space="0"/>
            </w:tcBorders>
          </w:tcPr>
          <w:p w14:paraId="1EC3E2D2">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每发现一次未按规定执行的扣0.5分</w:t>
            </w:r>
          </w:p>
        </w:tc>
        <w:tc>
          <w:tcPr>
            <w:tcW w:w="1445" w:type="dxa"/>
            <w:tcBorders>
              <w:top w:val="single" w:color="auto" w:sz="4" w:space="0"/>
              <w:left w:val="single" w:color="auto" w:sz="4" w:space="0"/>
              <w:bottom w:val="single" w:color="auto" w:sz="4" w:space="0"/>
              <w:right w:val="single" w:color="auto" w:sz="4" w:space="0"/>
            </w:tcBorders>
          </w:tcPr>
          <w:p w14:paraId="7A186D1B">
            <w:pPr>
              <w:widowControl/>
              <w:spacing w:line="360" w:lineRule="auto"/>
              <w:ind w:firstLine="480" w:firstLineChars="200"/>
              <w:rPr>
                <w:rFonts w:ascii="宋体" w:hAnsi="宋体" w:eastAsia="宋体" w:cs="Times New Roman"/>
                <w:bCs/>
                <w:kern w:val="2"/>
                <w:sz w:val="24"/>
              </w:rPr>
            </w:pPr>
          </w:p>
        </w:tc>
      </w:tr>
      <w:tr w14:paraId="24EBA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vMerge w:val="continue"/>
            <w:tcBorders>
              <w:top w:val="single" w:color="auto" w:sz="4" w:space="0"/>
              <w:left w:val="single" w:color="auto" w:sz="4" w:space="0"/>
              <w:bottom w:val="single" w:color="auto" w:sz="4" w:space="0"/>
              <w:right w:val="single" w:color="auto" w:sz="4" w:space="0"/>
            </w:tcBorders>
            <w:vAlign w:val="center"/>
          </w:tcPr>
          <w:p w14:paraId="5CF73108">
            <w:pPr>
              <w:widowControl/>
              <w:spacing w:line="360" w:lineRule="auto"/>
              <w:ind w:firstLine="480" w:firstLineChars="200"/>
              <w:rPr>
                <w:rFonts w:ascii="宋体" w:hAnsi="宋体" w:eastAsia="宋体" w:cs="Times New Roman"/>
                <w:bCs/>
                <w:kern w:val="2"/>
                <w:sz w:val="24"/>
              </w:rPr>
            </w:pPr>
          </w:p>
        </w:tc>
        <w:tc>
          <w:tcPr>
            <w:tcW w:w="687" w:type="dxa"/>
            <w:tcBorders>
              <w:top w:val="single" w:color="auto" w:sz="4" w:space="0"/>
              <w:left w:val="single" w:color="auto" w:sz="4" w:space="0"/>
              <w:bottom w:val="single" w:color="auto" w:sz="4" w:space="0"/>
              <w:right w:val="single" w:color="auto" w:sz="4" w:space="0"/>
            </w:tcBorders>
            <w:vAlign w:val="center"/>
          </w:tcPr>
          <w:p w14:paraId="7C9D32AC">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4</w:t>
            </w:r>
          </w:p>
        </w:tc>
        <w:tc>
          <w:tcPr>
            <w:tcW w:w="2613" w:type="dxa"/>
            <w:tcBorders>
              <w:top w:val="single" w:color="auto" w:sz="4" w:space="0"/>
              <w:left w:val="single" w:color="auto" w:sz="4" w:space="0"/>
              <w:bottom w:val="single" w:color="auto" w:sz="4" w:space="0"/>
              <w:right w:val="single" w:color="auto" w:sz="4" w:space="0"/>
            </w:tcBorders>
          </w:tcPr>
          <w:p w14:paraId="5208EE3D">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危及人身安全处有明显标识和具体的防范措施。</w:t>
            </w:r>
          </w:p>
        </w:tc>
        <w:tc>
          <w:tcPr>
            <w:tcW w:w="736" w:type="dxa"/>
            <w:tcBorders>
              <w:top w:val="single" w:color="auto" w:sz="4" w:space="0"/>
              <w:left w:val="single" w:color="auto" w:sz="4" w:space="0"/>
              <w:bottom w:val="single" w:color="auto" w:sz="4" w:space="0"/>
              <w:right w:val="single" w:color="auto" w:sz="4" w:space="0"/>
            </w:tcBorders>
            <w:vAlign w:val="center"/>
          </w:tcPr>
          <w:p w14:paraId="4D4F38BE">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2分</w:t>
            </w:r>
          </w:p>
        </w:tc>
        <w:tc>
          <w:tcPr>
            <w:tcW w:w="1882" w:type="dxa"/>
            <w:tcBorders>
              <w:top w:val="single" w:color="auto" w:sz="4" w:space="0"/>
              <w:left w:val="single" w:color="auto" w:sz="4" w:space="0"/>
              <w:bottom w:val="single" w:color="auto" w:sz="4" w:space="0"/>
              <w:right w:val="single" w:color="auto" w:sz="4" w:space="0"/>
            </w:tcBorders>
          </w:tcPr>
          <w:p w14:paraId="6B30D74E">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每一处不合格扣0.5分。</w:t>
            </w:r>
          </w:p>
        </w:tc>
        <w:tc>
          <w:tcPr>
            <w:tcW w:w="1445" w:type="dxa"/>
            <w:tcBorders>
              <w:top w:val="single" w:color="auto" w:sz="4" w:space="0"/>
              <w:left w:val="single" w:color="auto" w:sz="4" w:space="0"/>
              <w:bottom w:val="single" w:color="auto" w:sz="4" w:space="0"/>
              <w:right w:val="single" w:color="auto" w:sz="4" w:space="0"/>
            </w:tcBorders>
          </w:tcPr>
          <w:p w14:paraId="504B5F4B">
            <w:pPr>
              <w:widowControl/>
              <w:spacing w:line="360" w:lineRule="auto"/>
              <w:ind w:firstLine="480" w:firstLineChars="200"/>
              <w:rPr>
                <w:rFonts w:ascii="宋体" w:hAnsi="宋体" w:eastAsia="宋体" w:cs="Times New Roman"/>
                <w:bCs/>
                <w:kern w:val="2"/>
                <w:sz w:val="24"/>
              </w:rPr>
            </w:pPr>
          </w:p>
        </w:tc>
      </w:tr>
      <w:tr w14:paraId="318F3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vMerge w:val="continue"/>
            <w:tcBorders>
              <w:top w:val="single" w:color="auto" w:sz="4" w:space="0"/>
              <w:left w:val="single" w:color="auto" w:sz="4" w:space="0"/>
              <w:bottom w:val="single" w:color="auto" w:sz="4" w:space="0"/>
              <w:right w:val="single" w:color="auto" w:sz="4" w:space="0"/>
            </w:tcBorders>
            <w:vAlign w:val="center"/>
          </w:tcPr>
          <w:p w14:paraId="1D25810F">
            <w:pPr>
              <w:widowControl/>
              <w:spacing w:line="360" w:lineRule="auto"/>
              <w:ind w:firstLine="480" w:firstLineChars="200"/>
              <w:rPr>
                <w:rFonts w:ascii="宋体" w:hAnsi="宋体" w:eastAsia="宋体" w:cs="Times New Roman"/>
                <w:bCs/>
                <w:kern w:val="2"/>
                <w:sz w:val="24"/>
              </w:rPr>
            </w:pPr>
          </w:p>
        </w:tc>
        <w:tc>
          <w:tcPr>
            <w:tcW w:w="687" w:type="dxa"/>
            <w:tcBorders>
              <w:top w:val="single" w:color="auto" w:sz="4" w:space="0"/>
              <w:left w:val="single" w:color="auto" w:sz="4" w:space="0"/>
              <w:bottom w:val="single" w:color="auto" w:sz="4" w:space="0"/>
              <w:right w:val="single" w:color="auto" w:sz="4" w:space="0"/>
            </w:tcBorders>
            <w:vAlign w:val="center"/>
          </w:tcPr>
          <w:p w14:paraId="7B1D5307">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5</w:t>
            </w:r>
          </w:p>
        </w:tc>
        <w:tc>
          <w:tcPr>
            <w:tcW w:w="2613" w:type="dxa"/>
            <w:tcBorders>
              <w:top w:val="single" w:color="auto" w:sz="4" w:space="0"/>
              <w:left w:val="single" w:color="auto" w:sz="4" w:space="0"/>
              <w:bottom w:val="single" w:color="auto" w:sz="4" w:space="0"/>
              <w:right w:val="single" w:color="auto" w:sz="4" w:space="0"/>
            </w:tcBorders>
          </w:tcPr>
          <w:p w14:paraId="1EA39C61">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建立健全各项切实可行的安全应急顶案，工作人员熟悉预案及应急措施并明确各自岗位。</w:t>
            </w:r>
          </w:p>
        </w:tc>
        <w:tc>
          <w:tcPr>
            <w:tcW w:w="736" w:type="dxa"/>
            <w:tcBorders>
              <w:top w:val="single" w:color="auto" w:sz="4" w:space="0"/>
              <w:left w:val="single" w:color="auto" w:sz="4" w:space="0"/>
              <w:bottom w:val="single" w:color="auto" w:sz="4" w:space="0"/>
              <w:right w:val="single" w:color="auto" w:sz="4" w:space="0"/>
            </w:tcBorders>
            <w:vAlign w:val="center"/>
          </w:tcPr>
          <w:p w14:paraId="3EFF2063">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2分</w:t>
            </w:r>
          </w:p>
        </w:tc>
        <w:tc>
          <w:tcPr>
            <w:tcW w:w="1882" w:type="dxa"/>
            <w:tcBorders>
              <w:top w:val="single" w:color="auto" w:sz="4" w:space="0"/>
              <w:left w:val="single" w:color="auto" w:sz="4" w:space="0"/>
              <w:bottom w:val="single" w:color="auto" w:sz="4" w:space="0"/>
              <w:right w:val="single" w:color="auto" w:sz="4" w:space="0"/>
            </w:tcBorders>
          </w:tcPr>
          <w:p w14:paraId="565D4412">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无预案扣2分，每一工作人员不熟悉预案、应急措施，不明确自已岗位扣1分。</w:t>
            </w:r>
          </w:p>
        </w:tc>
        <w:tc>
          <w:tcPr>
            <w:tcW w:w="1445" w:type="dxa"/>
            <w:tcBorders>
              <w:top w:val="single" w:color="auto" w:sz="4" w:space="0"/>
              <w:left w:val="single" w:color="auto" w:sz="4" w:space="0"/>
              <w:bottom w:val="single" w:color="auto" w:sz="4" w:space="0"/>
              <w:right w:val="single" w:color="auto" w:sz="4" w:space="0"/>
            </w:tcBorders>
          </w:tcPr>
          <w:p w14:paraId="0154CDB7">
            <w:pPr>
              <w:widowControl/>
              <w:spacing w:line="360" w:lineRule="auto"/>
              <w:ind w:firstLine="480" w:firstLineChars="200"/>
              <w:rPr>
                <w:rFonts w:ascii="宋体" w:hAnsi="宋体" w:eastAsia="宋体" w:cs="Times New Roman"/>
                <w:bCs/>
                <w:kern w:val="2"/>
                <w:sz w:val="24"/>
              </w:rPr>
            </w:pPr>
          </w:p>
        </w:tc>
      </w:tr>
      <w:tr w14:paraId="3D219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vMerge w:val="continue"/>
            <w:tcBorders>
              <w:top w:val="single" w:color="auto" w:sz="4" w:space="0"/>
              <w:left w:val="single" w:color="auto" w:sz="4" w:space="0"/>
              <w:bottom w:val="single" w:color="auto" w:sz="4" w:space="0"/>
              <w:right w:val="single" w:color="auto" w:sz="4" w:space="0"/>
            </w:tcBorders>
            <w:vAlign w:val="center"/>
          </w:tcPr>
          <w:p w14:paraId="6D55709A">
            <w:pPr>
              <w:widowControl/>
              <w:spacing w:line="360" w:lineRule="auto"/>
              <w:ind w:firstLine="480" w:firstLineChars="200"/>
              <w:rPr>
                <w:rFonts w:ascii="宋体" w:hAnsi="宋体" w:eastAsia="宋体" w:cs="Times New Roman"/>
                <w:bCs/>
                <w:kern w:val="2"/>
                <w:sz w:val="24"/>
              </w:rPr>
            </w:pPr>
          </w:p>
        </w:tc>
        <w:tc>
          <w:tcPr>
            <w:tcW w:w="687" w:type="dxa"/>
            <w:tcBorders>
              <w:top w:val="single" w:color="auto" w:sz="4" w:space="0"/>
              <w:left w:val="single" w:color="auto" w:sz="4" w:space="0"/>
              <w:bottom w:val="single" w:color="auto" w:sz="4" w:space="0"/>
              <w:right w:val="single" w:color="auto" w:sz="4" w:space="0"/>
            </w:tcBorders>
            <w:vAlign w:val="center"/>
          </w:tcPr>
          <w:p w14:paraId="7F2B1FA3">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6</w:t>
            </w:r>
          </w:p>
        </w:tc>
        <w:tc>
          <w:tcPr>
            <w:tcW w:w="2613" w:type="dxa"/>
            <w:tcBorders>
              <w:top w:val="single" w:color="auto" w:sz="4" w:space="0"/>
              <w:left w:val="single" w:color="auto" w:sz="4" w:space="0"/>
              <w:bottom w:val="single" w:color="auto" w:sz="4" w:space="0"/>
              <w:right w:val="single" w:color="auto" w:sz="4" w:space="0"/>
            </w:tcBorders>
          </w:tcPr>
          <w:p w14:paraId="0C139605">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工作人员要文明上岗，微笑服务，在处理情况时，无论对方态度如何，都必须做到稳定事态，不争吵、不骂人、不动手，处理不了的情况要及时上报，不能激化矛盾</w:t>
            </w:r>
          </w:p>
        </w:tc>
        <w:tc>
          <w:tcPr>
            <w:tcW w:w="736" w:type="dxa"/>
            <w:tcBorders>
              <w:top w:val="single" w:color="auto" w:sz="4" w:space="0"/>
              <w:left w:val="single" w:color="auto" w:sz="4" w:space="0"/>
              <w:bottom w:val="single" w:color="auto" w:sz="4" w:space="0"/>
              <w:right w:val="single" w:color="auto" w:sz="4" w:space="0"/>
            </w:tcBorders>
            <w:vAlign w:val="center"/>
          </w:tcPr>
          <w:p w14:paraId="1D6C53A3">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3分</w:t>
            </w:r>
          </w:p>
        </w:tc>
        <w:tc>
          <w:tcPr>
            <w:tcW w:w="1882" w:type="dxa"/>
            <w:tcBorders>
              <w:top w:val="single" w:color="auto" w:sz="4" w:space="0"/>
              <w:left w:val="single" w:color="auto" w:sz="4" w:space="0"/>
              <w:bottom w:val="single" w:color="auto" w:sz="4" w:space="0"/>
              <w:right w:val="single" w:color="auto" w:sz="4" w:space="0"/>
            </w:tcBorders>
          </w:tcPr>
          <w:p w14:paraId="087327EE">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值班员在岗期间，擅离工作岗位，睡岗、脱岗、误岗，不履行职责、不遵守纪律，</w:t>
            </w:r>
          </w:p>
          <w:p w14:paraId="71E4C476">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不严格检查，不认真登记。每发现一次扣2分。</w:t>
            </w:r>
          </w:p>
        </w:tc>
        <w:tc>
          <w:tcPr>
            <w:tcW w:w="1445" w:type="dxa"/>
            <w:tcBorders>
              <w:top w:val="single" w:color="auto" w:sz="4" w:space="0"/>
              <w:left w:val="single" w:color="auto" w:sz="4" w:space="0"/>
              <w:bottom w:val="single" w:color="auto" w:sz="4" w:space="0"/>
              <w:right w:val="single" w:color="auto" w:sz="4" w:space="0"/>
            </w:tcBorders>
          </w:tcPr>
          <w:p w14:paraId="7F29C44A">
            <w:pPr>
              <w:widowControl/>
              <w:spacing w:line="360" w:lineRule="auto"/>
              <w:ind w:firstLine="480" w:firstLineChars="200"/>
              <w:rPr>
                <w:rFonts w:ascii="宋体" w:hAnsi="宋体" w:eastAsia="宋体" w:cs="Times New Roman"/>
                <w:bCs/>
                <w:kern w:val="2"/>
                <w:sz w:val="24"/>
              </w:rPr>
            </w:pPr>
          </w:p>
        </w:tc>
      </w:tr>
      <w:tr w14:paraId="01007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vMerge w:val="continue"/>
            <w:tcBorders>
              <w:top w:val="single" w:color="auto" w:sz="4" w:space="0"/>
              <w:left w:val="single" w:color="auto" w:sz="4" w:space="0"/>
              <w:bottom w:val="single" w:color="auto" w:sz="4" w:space="0"/>
              <w:right w:val="single" w:color="auto" w:sz="4" w:space="0"/>
            </w:tcBorders>
            <w:vAlign w:val="center"/>
          </w:tcPr>
          <w:p w14:paraId="2DF9263A">
            <w:pPr>
              <w:widowControl/>
              <w:spacing w:line="360" w:lineRule="auto"/>
              <w:ind w:firstLine="480" w:firstLineChars="200"/>
              <w:rPr>
                <w:rFonts w:ascii="宋体" w:hAnsi="宋体" w:eastAsia="宋体" w:cs="Times New Roman"/>
                <w:bCs/>
                <w:kern w:val="2"/>
                <w:sz w:val="24"/>
              </w:rPr>
            </w:pPr>
          </w:p>
        </w:tc>
        <w:tc>
          <w:tcPr>
            <w:tcW w:w="687" w:type="dxa"/>
            <w:tcBorders>
              <w:top w:val="single" w:color="auto" w:sz="4" w:space="0"/>
              <w:left w:val="single" w:color="auto" w:sz="4" w:space="0"/>
              <w:bottom w:val="single" w:color="auto" w:sz="4" w:space="0"/>
              <w:right w:val="single" w:color="auto" w:sz="4" w:space="0"/>
            </w:tcBorders>
            <w:vAlign w:val="center"/>
          </w:tcPr>
          <w:p w14:paraId="0BFD85EC">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7</w:t>
            </w:r>
          </w:p>
        </w:tc>
        <w:tc>
          <w:tcPr>
            <w:tcW w:w="2613" w:type="dxa"/>
            <w:tcBorders>
              <w:top w:val="single" w:color="auto" w:sz="4" w:space="0"/>
              <w:left w:val="single" w:color="auto" w:sz="4" w:space="0"/>
              <w:bottom w:val="single" w:color="auto" w:sz="4" w:space="0"/>
              <w:right w:val="single" w:color="auto" w:sz="4" w:space="0"/>
            </w:tcBorders>
          </w:tcPr>
          <w:p w14:paraId="07C7629E">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建立健全报修服务制度，落实并告知报修人相关维修进程。</w:t>
            </w:r>
          </w:p>
        </w:tc>
        <w:tc>
          <w:tcPr>
            <w:tcW w:w="736" w:type="dxa"/>
            <w:tcBorders>
              <w:top w:val="single" w:color="auto" w:sz="4" w:space="0"/>
              <w:left w:val="single" w:color="auto" w:sz="4" w:space="0"/>
              <w:bottom w:val="single" w:color="auto" w:sz="4" w:space="0"/>
              <w:right w:val="single" w:color="auto" w:sz="4" w:space="0"/>
            </w:tcBorders>
            <w:vAlign w:val="center"/>
          </w:tcPr>
          <w:p w14:paraId="0CE7586D">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2分</w:t>
            </w:r>
          </w:p>
        </w:tc>
        <w:tc>
          <w:tcPr>
            <w:tcW w:w="1882" w:type="dxa"/>
            <w:tcBorders>
              <w:top w:val="single" w:color="auto" w:sz="4" w:space="0"/>
              <w:left w:val="single" w:color="auto" w:sz="4" w:space="0"/>
              <w:bottom w:val="single" w:color="auto" w:sz="4" w:space="0"/>
              <w:right w:val="single" w:color="auto" w:sz="4" w:space="0"/>
            </w:tcBorders>
          </w:tcPr>
          <w:p w14:paraId="6D13B03E">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未建立扣2分；建立但未落实或告知报修人，每一次扣0．5分</w:t>
            </w:r>
          </w:p>
        </w:tc>
        <w:tc>
          <w:tcPr>
            <w:tcW w:w="1445" w:type="dxa"/>
            <w:tcBorders>
              <w:top w:val="single" w:color="auto" w:sz="4" w:space="0"/>
              <w:left w:val="single" w:color="auto" w:sz="4" w:space="0"/>
              <w:bottom w:val="single" w:color="auto" w:sz="4" w:space="0"/>
              <w:right w:val="single" w:color="auto" w:sz="4" w:space="0"/>
            </w:tcBorders>
          </w:tcPr>
          <w:p w14:paraId="5DA296EB">
            <w:pPr>
              <w:widowControl/>
              <w:spacing w:line="360" w:lineRule="auto"/>
              <w:ind w:firstLine="480" w:firstLineChars="200"/>
              <w:rPr>
                <w:rFonts w:ascii="宋体" w:hAnsi="宋体" w:eastAsia="宋体" w:cs="Times New Roman"/>
                <w:bCs/>
                <w:kern w:val="2"/>
                <w:sz w:val="24"/>
              </w:rPr>
            </w:pPr>
          </w:p>
        </w:tc>
      </w:tr>
      <w:tr w14:paraId="5458E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vMerge w:val="continue"/>
            <w:tcBorders>
              <w:top w:val="single" w:color="auto" w:sz="4" w:space="0"/>
              <w:left w:val="single" w:color="auto" w:sz="4" w:space="0"/>
              <w:bottom w:val="single" w:color="auto" w:sz="4" w:space="0"/>
              <w:right w:val="single" w:color="auto" w:sz="4" w:space="0"/>
            </w:tcBorders>
            <w:vAlign w:val="center"/>
          </w:tcPr>
          <w:p w14:paraId="62AA15F3">
            <w:pPr>
              <w:widowControl/>
              <w:spacing w:line="360" w:lineRule="auto"/>
              <w:ind w:firstLine="480" w:firstLineChars="200"/>
              <w:rPr>
                <w:rFonts w:ascii="宋体" w:hAnsi="宋体" w:eastAsia="宋体" w:cs="Times New Roman"/>
                <w:bCs/>
                <w:kern w:val="2"/>
                <w:sz w:val="24"/>
              </w:rPr>
            </w:pPr>
          </w:p>
        </w:tc>
        <w:tc>
          <w:tcPr>
            <w:tcW w:w="687" w:type="dxa"/>
            <w:tcBorders>
              <w:top w:val="single" w:color="auto" w:sz="4" w:space="0"/>
              <w:left w:val="single" w:color="auto" w:sz="4" w:space="0"/>
              <w:bottom w:val="single" w:color="auto" w:sz="4" w:space="0"/>
              <w:right w:val="single" w:color="auto" w:sz="4" w:space="0"/>
            </w:tcBorders>
            <w:vAlign w:val="center"/>
          </w:tcPr>
          <w:p w14:paraId="575EC5D6">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8</w:t>
            </w:r>
          </w:p>
        </w:tc>
        <w:tc>
          <w:tcPr>
            <w:tcW w:w="2613" w:type="dxa"/>
            <w:tcBorders>
              <w:top w:val="single" w:color="auto" w:sz="4" w:space="0"/>
              <w:left w:val="single" w:color="auto" w:sz="4" w:space="0"/>
              <w:bottom w:val="single" w:color="auto" w:sz="4" w:space="0"/>
              <w:right w:val="single" w:color="auto" w:sz="4" w:space="0"/>
            </w:tcBorders>
          </w:tcPr>
          <w:p w14:paraId="640821C0">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岗亭、消控室等值班人员要坚守岗位、不脱岗，杜绝抽烟。喝酒等影响工作的行为，</w:t>
            </w:r>
          </w:p>
        </w:tc>
        <w:tc>
          <w:tcPr>
            <w:tcW w:w="736" w:type="dxa"/>
            <w:tcBorders>
              <w:top w:val="single" w:color="auto" w:sz="4" w:space="0"/>
              <w:left w:val="single" w:color="auto" w:sz="4" w:space="0"/>
              <w:bottom w:val="single" w:color="auto" w:sz="4" w:space="0"/>
              <w:right w:val="single" w:color="auto" w:sz="4" w:space="0"/>
            </w:tcBorders>
            <w:vAlign w:val="center"/>
          </w:tcPr>
          <w:p w14:paraId="64640C15">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3分</w:t>
            </w:r>
          </w:p>
        </w:tc>
        <w:tc>
          <w:tcPr>
            <w:tcW w:w="1882" w:type="dxa"/>
            <w:tcBorders>
              <w:top w:val="single" w:color="auto" w:sz="4" w:space="0"/>
              <w:left w:val="single" w:color="auto" w:sz="4" w:space="0"/>
              <w:bottom w:val="single" w:color="auto" w:sz="4" w:space="0"/>
              <w:right w:val="single" w:color="auto" w:sz="4" w:space="0"/>
            </w:tcBorders>
          </w:tcPr>
          <w:p w14:paraId="0BA7851C">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每发现一处未达标扣1分。</w:t>
            </w:r>
          </w:p>
          <w:p w14:paraId="6606FE05">
            <w:pPr>
              <w:widowControl/>
              <w:spacing w:line="360" w:lineRule="auto"/>
              <w:ind w:firstLine="480" w:firstLineChars="200"/>
              <w:rPr>
                <w:rFonts w:ascii="宋体" w:hAnsi="宋体" w:eastAsia="宋体" w:cs="Times New Roman"/>
                <w:bCs/>
                <w:kern w:val="2"/>
                <w:sz w:val="24"/>
              </w:rPr>
            </w:pPr>
          </w:p>
        </w:tc>
        <w:tc>
          <w:tcPr>
            <w:tcW w:w="1445" w:type="dxa"/>
            <w:tcBorders>
              <w:top w:val="single" w:color="auto" w:sz="4" w:space="0"/>
              <w:left w:val="single" w:color="auto" w:sz="4" w:space="0"/>
              <w:bottom w:val="single" w:color="auto" w:sz="4" w:space="0"/>
              <w:right w:val="single" w:color="auto" w:sz="4" w:space="0"/>
            </w:tcBorders>
          </w:tcPr>
          <w:p w14:paraId="5D619A61">
            <w:pPr>
              <w:widowControl/>
              <w:spacing w:line="360" w:lineRule="auto"/>
              <w:ind w:firstLine="480" w:firstLineChars="200"/>
              <w:rPr>
                <w:rFonts w:ascii="宋体" w:hAnsi="宋体" w:eastAsia="宋体" w:cs="Times New Roman"/>
                <w:bCs/>
                <w:kern w:val="2"/>
                <w:sz w:val="24"/>
              </w:rPr>
            </w:pPr>
          </w:p>
        </w:tc>
      </w:tr>
      <w:tr w14:paraId="657E5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vMerge w:val="continue"/>
            <w:tcBorders>
              <w:top w:val="single" w:color="auto" w:sz="4" w:space="0"/>
              <w:left w:val="single" w:color="auto" w:sz="4" w:space="0"/>
              <w:bottom w:val="single" w:color="auto" w:sz="4" w:space="0"/>
              <w:right w:val="single" w:color="auto" w:sz="4" w:space="0"/>
            </w:tcBorders>
            <w:vAlign w:val="center"/>
          </w:tcPr>
          <w:p w14:paraId="4611E735">
            <w:pPr>
              <w:widowControl/>
              <w:spacing w:line="360" w:lineRule="auto"/>
              <w:ind w:firstLine="480" w:firstLineChars="200"/>
              <w:rPr>
                <w:rFonts w:ascii="宋体" w:hAnsi="宋体" w:eastAsia="宋体" w:cs="Times New Roman"/>
                <w:bCs/>
                <w:kern w:val="2"/>
                <w:sz w:val="24"/>
              </w:rPr>
            </w:pPr>
          </w:p>
        </w:tc>
        <w:tc>
          <w:tcPr>
            <w:tcW w:w="687" w:type="dxa"/>
            <w:tcBorders>
              <w:top w:val="single" w:color="auto" w:sz="4" w:space="0"/>
              <w:left w:val="single" w:color="auto" w:sz="4" w:space="0"/>
              <w:bottom w:val="single" w:color="auto" w:sz="4" w:space="0"/>
              <w:right w:val="single" w:color="auto" w:sz="4" w:space="0"/>
            </w:tcBorders>
            <w:vAlign w:val="center"/>
          </w:tcPr>
          <w:p w14:paraId="43C38105">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9</w:t>
            </w:r>
          </w:p>
        </w:tc>
        <w:tc>
          <w:tcPr>
            <w:tcW w:w="2613" w:type="dxa"/>
            <w:tcBorders>
              <w:top w:val="single" w:color="auto" w:sz="4" w:space="0"/>
              <w:left w:val="single" w:color="auto" w:sz="4" w:space="0"/>
              <w:bottom w:val="single" w:color="auto" w:sz="4" w:space="0"/>
              <w:right w:val="single" w:color="auto" w:sz="4" w:space="0"/>
            </w:tcBorders>
          </w:tcPr>
          <w:p w14:paraId="122A2974">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照明灯具完好率达到99％以上，供电线路及电风扇、照明灯具等发现损坏及时维修；水龙头、水阀、上下水管完好率达到100％，发现损坏及时维修。</w:t>
            </w:r>
          </w:p>
        </w:tc>
        <w:tc>
          <w:tcPr>
            <w:tcW w:w="736" w:type="dxa"/>
            <w:tcBorders>
              <w:top w:val="single" w:color="auto" w:sz="4" w:space="0"/>
              <w:left w:val="single" w:color="auto" w:sz="4" w:space="0"/>
              <w:bottom w:val="single" w:color="auto" w:sz="4" w:space="0"/>
              <w:right w:val="single" w:color="auto" w:sz="4" w:space="0"/>
            </w:tcBorders>
            <w:vAlign w:val="center"/>
          </w:tcPr>
          <w:p w14:paraId="15713E8D">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3分</w:t>
            </w:r>
          </w:p>
        </w:tc>
        <w:tc>
          <w:tcPr>
            <w:tcW w:w="1882" w:type="dxa"/>
            <w:tcBorders>
              <w:top w:val="single" w:color="auto" w:sz="4" w:space="0"/>
              <w:left w:val="single" w:color="auto" w:sz="4" w:space="0"/>
              <w:bottom w:val="single" w:color="auto" w:sz="4" w:space="0"/>
              <w:right w:val="single" w:color="auto" w:sz="4" w:space="0"/>
            </w:tcBorders>
          </w:tcPr>
          <w:p w14:paraId="63D01B2C">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每发现一处未达标扣0．5分。</w:t>
            </w:r>
          </w:p>
          <w:p w14:paraId="6BB4BC41">
            <w:pPr>
              <w:widowControl/>
              <w:spacing w:line="360" w:lineRule="auto"/>
              <w:ind w:firstLine="480" w:firstLineChars="200"/>
              <w:rPr>
                <w:rFonts w:ascii="宋体" w:hAnsi="宋体" w:eastAsia="宋体" w:cs="Times New Roman"/>
                <w:bCs/>
                <w:kern w:val="2"/>
                <w:sz w:val="24"/>
              </w:rPr>
            </w:pPr>
          </w:p>
        </w:tc>
        <w:tc>
          <w:tcPr>
            <w:tcW w:w="1445" w:type="dxa"/>
            <w:tcBorders>
              <w:top w:val="single" w:color="auto" w:sz="4" w:space="0"/>
              <w:left w:val="single" w:color="auto" w:sz="4" w:space="0"/>
              <w:bottom w:val="single" w:color="auto" w:sz="4" w:space="0"/>
              <w:right w:val="single" w:color="auto" w:sz="4" w:space="0"/>
            </w:tcBorders>
          </w:tcPr>
          <w:p w14:paraId="786190AA">
            <w:pPr>
              <w:widowControl/>
              <w:spacing w:line="360" w:lineRule="auto"/>
              <w:ind w:firstLine="480" w:firstLineChars="200"/>
              <w:rPr>
                <w:rFonts w:ascii="宋体" w:hAnsi="宋体" w:eastAsia="宋体" w:cs="Times New Roman"/>
                <w:bCs/>
                <w:kern w:val="2"/>
                <w:sz w:val="24"/>
              </w:rPr>
            </w:pPr>
          </w:p>
        </w:tc>
      </w:tr>
      <w:tr w14:paraId="20196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vMerge w:val="continue"/>
            <w:tcBorders>
              <w:top w:val="single" w:color="auto" w:sz="4" w:space="0"/>
              <w:left w:val="single" w:color="auto" w:sz="4" w:space="0"/>
              <w:bottom w:val="single" w:color="auto" w:sz="4" w:space="0"/>
              <w:right w:val="single" w:color="auto" w:sz="4" w:space="0"/>
            </w:tcBorders>
            <w:vAlign w:val="center"/>
          </w:tcPr>
          <w:p w14:paraId="23C26268">
            <w:pPr>
              <w:widowControl/>
              <w:spacing w:line="360" w:lineRule="auto"/>
              <w:ind w:firstLine="480" w:firstLineChars="200"/>
              <w:rPr>
                <w:rFonts w:ascii="宋体" w:hAnsi="宋体" w:eastAsia="宋体" w:cs="Times New Roman"/>
                <w:bCs/>
                <w:kern w:val="2"/>
                <w:sz w:val="24"/>
              </w:rPr>
            </w:pPr>
          </w:p>
        </w:tc>
        <w:tc>
          <w:tcPr>
            <w:tcW w:w="687" w:type="dxa"/>
            <w:tcBorders>
              <w:top w:val="single" w:color="auto" w:sz="4" w:space="0"/>
              <w:left w:val="single" w:color="auto" w:sz="4" w:space="0"/>
              <w:bottom w:val="single" w:color="auto" w:sz="4" w:space="0"/>
              <w:right w:val="single" w:color="auto" w:sz="4" w:space="0"/>
            </w:tcBorders>
            <w:vAlign w:val="center"/>
          </w:tcPr>
          <w:p w14:paraId="01645A73">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10</w:t>
            </w:r>
          </w:p>
        </w:tc>
        <w:tc>
          <w:tcPr>
            <w:tcW w:w="2613" w:type="dxa"/>
            <w:tcBorders>
              <w:top w:val="single" w:color="auto" w:sz="4" w:space="0"/>
              <w:left w:val="single" w:color="auto" w:sz="4" w:space="0"/>
              <w:bottom w:val="single" w:color="auto" w:sz="4" w:space="0"/>
              <w:right w:val="single" w:color="auto" w:sz="4" w:space="0"/>
            </w:tcBorders>
          </w:tcPr>
          <w:p w14:paraId="3711A972">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维修及时率达100％，并做好维修及回访记录。返修不得超过二次。</w:t>
            </w:r>
          </w:p>
        </w:tc>
        <w:tc>
          <w:tcPr>
            <w:tcW w:w="736" w:type="dxa"/>
            <w:tcBorders>
              <w:top w:val="single" w:color="auto" w:sz="4" w:space="0"/>
              <w:left w:val="single" w:color="auto" w:sz="4" w:space="0"/>
              <w:bottom w:val="single" w:color="auto" w:sz="4" w:space="0"/>
              <w:right w:val="single" w:color="auto" w:sz="4" w:space="0"/>
            </w:tcBorders>
            <w:vAlign w:val="center"/>
          </w:tcPr>
          <w:p w14:paraId="11394B3F">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3分</w:t>
            </w:r>
          </w:p>
        </w:tc>
        <w:tc>
          <w:tcPr>
            <w:tcW w:w="1882" w:type="dxa"/>
            <w:tcBorders>
              <w:top w:val="single" w:color="auto" w:sz="4" w:space="0"/>
              <w:left w:val="single" w:color="auto" w:sz="4" w:space="0"/>
              <w:bottom w:val="single" w:color="auto" w:sz="4" w:space="0"/>
              <w:right w:val="single" w:color="auto" w:sz="4" w:space="0"/>
            </w:tcBorders>
          </w:tcPr>
          <w:p w14:paraId="0F040D11">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维修不及时每一次扣1分，维修记录不完整或无回访记录扣0.5分。</w:t>
            </w:r>
          </w:p>
        </w:tc>
        <w:tc>
          <w:tcPr>
            <w:tcW w:w="1445" w:type="dxa"/>
            <w:tcBorders>
              <w:top w:val="single" w:color="auto" w:sz="4" w:space="0"/>
              <w:left w:val="single" w:color="auto" w:sz="4" w:space="0"/>
              <w:bottom w:val="single" w:color="auto" w:sz="4" w:space="0"/>
              <w:right w:val="single" w:color="auto" w:sz="4" w:space="0"/>
            </w:tcBorders>
          </w:tcPr>
          <w:p w14:paraId="0711DFD2">
            <w:pPr>
              <w:widowControl/>
              <w:spacing w:line="360" w:lineRule="auto"/>
              <w:ind w:firstLine="480" w:firstLineChars="200"/>
              <w:rPr>
                <w:rFonts w:ascii="宋体" w:hAnsi="宋体" w:eastAsia="宋体" w:cs="Times New Roman"/>
                <w:bCs/>
                <w:kern w:val="2"/>
                <w:sz w:val="24"/>
              </w:rPr>
            </w:pPr>
          </w:p>
        </w:tc>
      </w:tr>
      <w:tr w14:paraId="278A8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vMerge w:val="continue"/>
            <w:tcBorders>
              <w:top w:val="single" w:color="auto" w:sz="4" w:space="0"/>
              <w:left w:val="single" w:color="auto" w:sz="4" w:space="0"/>
              <w:bottom w:val="single" w:color="auto" w:sz="4" w:space="0"/>
              <w:right w:val="single" w:color="auto" w:sz="4" w:space="0"/>
            </w:tcBorders>
            <w:vAlign w:val="center"/>
          </w:tcPr>
          <w:p w14:paraId="728E085D">
            <w:pPr>
              <w:widowControl/>
              <w:spacing w:line="360" w:lineRule="auto"/>
              <w:ind w:firstLine="480" w:firstLineChars="200"/>
              <w:rPr>
                <w:rFonts w:ascii="宋体" w:hAnsi="宋体" w:eastAsia="宋体" w:cs="Times New Roman"/>
                <w:bCs/>
                <w:kern w:val="2"/>
                <w:sz w:val="24"/>
              </w:rPr>
            </w:pPr>
          </w:p>
        </w:tc>
        <w:tc>
          <w:tcPr>
            <w:tcW w:w="687" w:type="dxa"/>
            <w:tcBorders>
              <w:top w:val="single" w:color="auto" w:sz="4" w:space="0"/>
              <w:left w:val="single" w:color="auto" w:sz="4" w:space="0"/>
              <w:bottom w:val="single" w:color="auto" w:sz="4" w:space="0"/>
              <w:right w:val="single" w:color="auto" w:sz="4" w:space="0"/>
            </w:tcBorders>
            <w:vAlign w:val="center"/>
          </w:tcPr>
          <w:p w14:paraId="5D3F1AEA">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11</w:t>
            </w:r>
          </w:p>
        </w:tc>
        <w:tc>
          <w:tcPr>
            <w:tcW w:w="2613" w:type="dxa"/>
            <w:tcBorders>
              <w:top w:val="single" w:color="auto" w:sz="4" w:space="0"/>
              <w:left w:val="single" w:color="auto" w:sz="4" w:space="0"/>
              <w:bottom w:val="single" w:color="auto" w:sz="4" w:space="0"/>
              <w:right w:val="single" w:color="auto" w:sz="4" w:space="0"/>
            </w:tcBorders>
          </w:tcPr>
          <w:p w14:paraId="4392A1C5">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供电、供水、空调、电梯、等设备间干净整洁，维护记录健全，管线、开关、阀门光亮如新，无污渍、无灰尘。</w:t>
            </w:r>
          </w:p>
          <w:p w14:paraId="360E9246">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室外设备管线、开关、阀门无污溃、无明显灰尘，地面清洁，无杂物、无垃圾，车辆清洗服务无投诉</w:t>
            </w:r>
          </w:p>
        </w:tc>
        <w:tc>
          <w:tcPr>
            <w:tcW w:w="736" w:type="dxa"/>
            <w:tcBorders>
              <w:top w:val="single" w:color="auto" w:sz="4" w:space="0"/>
              <w:left w:val="single" w:color="auto" w:sz="4" w:space="0"/>
              <w:bottom w:val="single" w:color="auto" w:sz="4" w:space="0"/>
              <w:right w:val="single" w:color="auto" w:sz="4" w:space="0"/>
            </w:tcBorders>
            <w:vAlign w:val="center"/>
          </w:tcPr>
          <w:p w14:paraId="0BEFCEA5">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3分</w:t>
            </w:r>
          </w:p>
        </w:tc>
        <w:tc>
          <w:tcPr>
            <w:tcW w:w="1882" w:type="dxa"/>
            <w:tcBorders>
              <w:top w:val="single" w:color="auto" w:sz="4" w:space="0"/>
              <w:left w:val="single" w:color="auto" w:sz="4" w:space="0"/>
              <w:bottom w:val="single" w:color="auto" w:sz="4" w:space="0"/>
              <w:right w:val="single" w:color="auto" w:sz="4" w:space="0"/>
            </w:tcBorders>
          </w:tcPr>
          <w:p w14:paraId="311EDDB7">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每一处不合格扣0.5分。</w:t>
            </w:r>
          </w:p>
        </w:tc>
        <w:tc>
          <w:tcPr>
            <w:tcW w:w="1445" w:type="dxa"/>
            <w:tcBorders>
              <w:top w:val="single" w:color="auto" w:sz="4" w:space="0"/>
              <w:left w:val="single" w:color="auto" w:sz="4" w:space="0"/>
              <w:bottom w:val="single" w:color="auto" w:sz="4" w:space="0"/>
              <w:right w:val="single" w:color="auto" w:sz="4" w:space="0"/>
            </w:tcBorders>
          </w:tcPr>
          <w:p w14:paraId="2B7199D4">
            <w:pPr>
              <w:widowControl/>
              <w:spacing w:line="360" w:lineRule="auto"/>
              <w:ind w:firstLine="480" w:firstLineChars="200"/>
              <w:rPr>
                <w:rFonts w:ascii="宋体" w:hAnsi="宋体" w:eastAsia="宋体" w:cs="Times New Roman"/>
                <w:bCs/>
                <w:kern w:val="2"/>
                <w:sz w:val="24"/>
              </w:rPr>
            </w:pPr>
          </w:p>
        </w:tc>
      </w:tr>
      <w:tr w14:paraId="7A290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vMerge w:val="continue"/>
            <w:tcBorders>
              <w:top w:val="single" w:color="auto" w:sz="4" w:space="0"/>
              <w:left w:val="single" w:color="auto" w:sz="4" w:space="0"/>
              <w:bottom w:val="single" w:color="auto" w:sz="4" w:space="0"/>
              <w:right w:val="single" w:color="auto" w:sz="4" w:space="0"/>
            </w:tcBorders>
            <w:vAlign w:val="center"/>
          </w:tcPr>
          <w:p w14:paraId="2D3A7DCD">
            <w:pPr>
              <w:widowControl/>
              <w:spacing w:line="360" w:lineRule="auto"/>
              <w:ind w:firstLine="480" w:firstLineChars="200"/>
              <w:rPr>
                <w:rFonts w:ascii="宋体" w:hAnsi="宋体" w:eastAsia="宋体" w:cs="Times New Roman"/>
                <w:bCs/>
                <w:kern w:val="2"/>
                <w:sz w:val="24"/>
              </w:rPr>
            </w:pPr>
          </w:p>
        </w:tc>
        <w:tc>
          <w:tcPr>
            <w:tcW w:w="687" w:type="dxa"/>
            <w:tcBorders>
              <w:top w:val="single" w:color="auto" w:sz="4" w:space="0"/>
              <w:left w:val="single" w:color="auto" w:sz="4" w:space="0"/>
              <w:bottom w:val="single" w:color="auto" w:sz="4" w:space="0"/>
              <w:right w:val="single" w:color="auto" w:sz="4" w:space="0"/>
            </w:tcBorders>
            <w:vAlign w:val="center"/>
          </w:tcPr>
          <w:p w14:paraId="7E2B0B58">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12</w:t>
            </w:r>
          </w:p>
        </w:tc>
        <w:tc>
          <w:tcPr>
            <w:tcW w:w="2613" w:type="dxa"/>
            <w:tcBorders>
              <w:top w:val="single" w:color="auto" w:sz="4" w:space="0"/>
              <w:left w:val="single" w:color="auto" w:sz="4" w:space="0"/>
              <w:bottom w:val="single" w:color="auto" w:sz="4" w:space="0"/>
              <w:right w:val="single" w:color="auto" w:sz="4" w:space="0"/>
            </w:tcBorders>
          </w:tcPr>
          <w:p w14:paraId="45199328">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设备、管线、开关、阀门挂牌规范准确、健全。</w:t>
            </w:r>
          </w:p>
        </w:tc>
        <w:tc>
          <w:tcPr>
            <w:tcW w:w="736" w:type="dxa"/>
            <w:tcBorders>
              <w:top w:val="single" w:color="auto" w:sz="4" w:space="0"/>
              <w:left w:val="single" w:color="auto" w:sz="4" w:space="0"/>
              <w:bottom w:val="single" w:color="auto" w:sz="4" w:space="0"/>
              <w:right w:val="single" w:color="auto" w:sz="4" w:space="0"/>
            </w:tcBorders>
            <w:vAlign w:val="center"/>
          </w:tcPr>
          <w:p w14:paraId="00C31598">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3分</w:t>
            </w:r>
          </w:p>
        </w:tc>
        <w:tc>
          <w:tcPr>
            <w:tcW w:w="1882" w:type="dxa"/>
            <w:tcBorders>
              <w:top w:val="single" w:color="auto" w:sz="4" w:space="0"/>
              <w:left w:val="single" w:color="auto" w:sz="4" w:space="0"/>
              <w:bottom w:val="single" w:color="auto" w:sz="4" w:space="0"/>
              <w:right w:val="single" w:color="auto" w:sz="4" w:space="0"/>
            </w:tcBorders>
          </w:tcPr>
          <w:p w14:paraId="6B408D30">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每一处不合格扣0.5分。</w:t>
            </w:r>
          </w:p>
        </w:tc>
        <w:tc>
          <w:tcPr>
            <w:tcW w:w="1445" w:type="dxa"/>
            <w:tcBorders>
              <w:top w:val="single" w:color="auto" w:sz="4" w:space="0"/>
              <w:left w:val="single" w:color="auto" w:sz="4" w:space="0"/>
              <w:bottom w:val="single" w:color="auto" w:sz="4" w:space="0"/>
              <w:right w:val="single" w:color="auto" w:sz="4" w:space="0"/>
            </w:tcBorders>
          </w:tcPr>
          <w:p w14:paraId="23F5C440">
            <w:pPr>
              <w:widowControl/>
              <w:spacing w:line="360" w:lineRule="auto"/>
              <w:ind w:firstLine="480" w:firstLineChars="200"/>
              <w:rPr>
                <w:rFonts w:ascii="宋体" w:hAnsi="宋体" w:eastAsia="宋体" w:cs="Times New Roman"/>
                <w:bCs/>
                <w:kern w:val="2"/>
                <w:sz w:val="24"/>
              </w:rPr>
            </w:pPr>
          </w:p>
        </w:tc>
      </w:tr>
      <w:tr w14:paraId="29374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vMerge w:val="restart"/>
            <w:tcBorders>
              <w:top w:val="single" w:color="auto" w:sz="4" w:space="0"/>
              <w:left w:val="single" w:color="auto" w:sz="4" w:space="0"/>
              <w:right w:val="single" w:color="auto" w:sz="4" w:space="0"/>
            </w:tcBorders>
            <w:vAlign w:val="center"/>
          </w:tcPr>
          <w:p w14:paraId="6BAB75E2">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食堂管理20分</w:t>
            </w:r>
          </w:p>
        </w:tc>
        <w:tc>
          <w:tcPr>
            <w:tcW w:w="687" w:type="dxa"/>
            <w:tcBorders>
              <w:top w:val="single" w:color="auto" w:sz="4" w:space="0"/>
              <w:left w:val="single" w:color="auto" w:sz="4" w:space="0"/>
              <w:bottom w:val="single" w:color="auto" w:sz="4" w:space="0"/>
              <w:right w:val="single" w:color="auto" w:sz="4" w:space="0"/>
            </w:tcBorders>
            <w:vAlign w:val="center"/>
          </w:tcPr>
          <w:p w14:paraId="1344F5C1">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1</w:t>
            </w:r>
          </w:p>
        </w:tc>
        <w:tc>
          <w:tcPr>
            <w:tcW w:w="2613" w:type="dxa"/>
            <w:tcBorders>
              <w:top w:val="single" w:color="auto" w:sz="4" w:space="0"/>
              <w:left w:val="single" w:color="auto" w:sz="4" w:space="0"/>
              <w:bottom w:val="single" w:color="auto" w:sz="4" w:space="0"/>
              <w:right w:val="single" w:color="auto" w:sz="4" w:space="0"/>
            </w:tcBorders>
            <w:vAlign w:val="center"/>
          </w:tcPr>
          <w:p w14:paraId="6EFC2407">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从业人员要有高度的责任感，严格按食品安全卫生要求操作，服从管理和安排。</w:t>
            </w:r>
          </w:p>
        </w:tc>
        <w:tc>
          <w:tcPr>
            <w:tcW w:w="736" w:type="dxa"/>
            <w:tcBorders>
              <w:top w:val="single" w:color="auto" w:sz="4" w:space="0"/>
              <w:left w:val="single" w:color="auto" w:sz="4" w:space="0"/>
              <w:bottom w:val="single" w:color="auto" w:sz="4" w:space="0"/>
              <w:right w:val="single" w:color="auto" w:sz="4" w:space="0"/>
            </w:tcBorders>
            <w:vAlign w:val="center"/>
          </w:tcPr>
          <w:p w14:paraId="6C325BA3">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6分</w:t>
            </w:r>
          </w:p>
        </w:tc>
        <w:tc>
          <w:tcPr>
            <w:tcW w:w="1882" w:type="dxa"/>
            <w:tcBorders>
              <w:top w:val="single" w:color="auto" w:sz="4" w:space="0"/>
              <w:left w:val="single" w:color="auto" w:sz="4" w:space="0"/>
              <w:bottom w:val="single" w:color="auto" w:sz="4" w:space="0"/>
              <w:right w:val="single" w:color="auto" w:sz="4" w:space="0"/>
            </w:tcBorders>
          </w:tcPr>
          <w:p w14:paraId="38C006D0">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每发现一处未达标扣 0．5 分。</w:t>
            </w:r>
          </w:p>
        </w:tc>
        <w:tc>
          <w:tcPr>
            <w:tcW w:w="1445" w:type="dxa"/>
            <w:tcBorders>
              <w:top w:val="single" w:color="auto" w:sz="4" w:space="0"/>
              <w:left w:val="single" w:color="auto" w:sz="4" w:space="0"/>
              <w:bottom w:val="single" w:color="auto" w:sz="4" w:space="0"/>
              <w:right w:val="single" w:color="auto" w:sz="4" w:space="0"/>
            </w:tcBorders>
            <w:vAlign w:val="center"/>
          </w:tcPr>
          <w:p w14:paraId="75D78FDB">
            <w:pPr>
              <w:widowControl/>
              <w:spacing w:line="360" w:lineRule="auto"/>
              <w:ind w:firstLine="480" w:firstLineChars="200"/>
              <w:jc w:val="center"/>
              <w:rPr>
                <w:rFonts w:ascii="宋体" w:hAnsi="宋体" w:eastAsia="宋体" w:cs="Times New Roman"/>
                <w:bCs/>
                <w:kern w:val="2"/>
                <w:sz w:val="24"/>
                <w:highlight w:val="yellow"/>
              </w:rPr>
            </w:pPr>
          </w:p>
        </w:tc>
      </w:tr>
      <w:tr w14:paraId="70E46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vMerge w:val="continue"/>
            <w:tcBorders>
              <w:left w:val="single" w:color="auto" w:sz="4" w:space="0"/>
              <w:right w:val="single" w:color="auto" w:sz="4" w:space="0"/>
            </w:tcBorders>
            <w:vAlign w:val="center"/>
          </w:tcPr>
          <w:p w14:paraId="70E04477">
            <w:pPr>
              <w:widowControl/>
              <w:spacing w:line="360" w:lineRule="auto"/>
              <w:ind w:firstLine="480" w:firstLineChars="200"/>
              <w:rPr>
                <w:rFonts w:ascii="宋体" w:hAnsi="宋体" w:eastAsia="宋体" w:cs="Times New Roman"/>
                <w:bCs/>
                <w:kern w:val="2"/>
                <w:sz w:val="24"/>
              </w:rPr>
            </w:pPr>
          </w:p>
        </w:tc>
        <w:tc>
          <w:tcPr>
            <w:tcW w:w="687" w:type="dxa"/>
            <w:tcBorders>
              <w:top w:val="single" w:color="auto" w:sz="4" w:space="0"/>
              <w:left w:val="single" w:color="auto" w:sz="4" w:space="0"/>
              <w:bottom w:val="single" w:color="auto" w:sz="4" w:space="0"/>
              <w:right w:val="single" w:color="auto" w:sz="4" w:space="0"/>
            </w:tcBorders>
            <w:vAlign w:val="center"/>
          </w:tcPr>
          <w:p w14:paraId="04AF5203">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2</w:t>
            </w:r>
          </w:p>
        </w:tc>
        <w:tc>
          <w:tcPr>
            <w:tcW w:w="2613" w:type="dxa"/>
            <w:tcBorders>
              <w:top w:val="single" w:color="auto" w:sz="4" w:space="0"/>
              <w:left w:val="single" w:color="auto" w:sz="4" w:space="0"/>
              <w:bottom w:val="single" w:color="auto" w:sz="4" w:space="0"/>
              <w:right w:val="single" w:color="auto" w:sz="4" w:space="0"/>
            </w:tcBorders>
            <w:vAlign w:val="center"/>
          </w:tcPr>
          <w:p w14:paraId="5884F91A">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餐具及时清洗、消毒，餐后及时打扫。保持餐厅、厨房、整洁卫生，以及餐厅、食堂前后、门窗等责任区卫生，</w:t>
            </w:r>
          </w:p>
        </w:tc>
        <w:tc>
          <w:tcPr>
            <w:tcW w:w="736" w:type="dxa"/>
            <w:tcBorders>
              <w:top w:val="single" w:color="auto" w:sz="4" w:space="0"/>
              <w:left w:val="single" w:color="auto" w:sz="4" w:space="0"/>
              <w:bottom w:val="single" w:color="auto" w:sz="4" w:space="0"/>
              <w:right w:val="single" w:color="auto" w:sz="4" w:space="0"/>
            </w:tcBorders>
            <w:vAlign w:val="center"/>
          </w:tcPr>
          <w:p w14:paraId="51EBA326">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6分</w:t>
            </w:r>
          </w:p>
        </w:tc>
        <w:tc>
          <w:tcPr>
            <w:tcW w:w="1882" w:type="dxa"/>
            <w:tcBorders>
              <w:top w:val="single" w:color="auto" w:sz="4" w:space="0"/>
              <w:left w:val="single" w:color="auto" w:sz="4" w:space="0"/>
              <w:bottom w:val="single" w:color="auto" w:sz="4" w:space="0"/>
              <w:right w:val="single" w:color="auto" w:sz="4" w:space="0"/>
            </w:tcBorders>
          </w:tcPr>
          <w:p w14:paraId="07403B6D">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每发现一处未达标扣 0．5 分。</w:t>
            </w:r>
          </w:p>
        </w:tc>
        <w:tc>
          <w:tcPr>
            <w:tcW w:w="1445" w:type="dxa"/>
            <w:tcBorders>
              <w:top w:val="single" w:color="auto" w:sz="4" w:space="0"/>
              <w:left w:val="single" w:color="auto" w:sz="4" w:space="0"/>
              <w:bottom w:val="single" w:color="auto" w:sz="4" w:space="0"/>
              <w:right w:val="single" w:color="auto" w:sz="4" w:space="0"/>
            </w:tcBorders>
            <w:vAlign w:val="center"/>
          </w:tcPr>
          <w:p w14:paraId="1F30689D">
            <w:pPr>
              <w:widowControl/>
              <w:spacing w:line="360" w:lineRule="auto"/>
              <w:ind w:firstLine="480" w:firstLineChars="200"/>
              <w:jc w:val="center"/>
              <w:rPr>
                <w:rFonts w:ascii="宋体" w:hAnsi="宋体" w:eastAsia="宋体" w:cs="Times New Roman"/>
                <w:bCs/>
                <w:kern w:val="2"/>
                <w:sz w:val="24"/>
                <w:highlight w:val="yellow"/>
              </w:rPr>
            </w:pPr>
          </w:p>
        </w:tc>
      </w:tr>
      <w:tr w14:paraId="67B20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vMerge w:val="continue"/>
            <w:tcBorders>
              <w:left w:val="single" w:color="auto" w:sz="4" w:space="0"/>
              <w:right w:val="single" w:color="auto" w:sz="4" w:space="0"/>
            </w:tcBorders>
            <w:vAlign w:val="center"/>
          </w:tcPr>
          <w:p w14:paraId="04658E0D">
            <w:pPr>
              <w:widowControl/>
              <w:spacing w:line="360" w:lineRule="auto"/>
              <w:ind w:firstLine="480" w:firstLineChars="200"/>
              <w:rPr>
                <w:rFonts w:ascii="宋体" w:hAnsi="宋体" w:eastAsia="宋体" w:cs="Times New Roman"/>
                <w:bCs/>
                <w:kern w:val="2"/>
                <w:sz w:val="24"/>
              </w:rPr>
            </w:pPr>
          </w:p>
        </w:tc>
        <w:tc>
          <w:tcPr>
            <w:tcW w:w="687" w:type="dxa"/>
            <w:tcBorders>
              <w:top w:val="single" w:color="auto" w:sz="4" w:space="0"/>
              <w:left w:val="single" w:color="auto" w:sz="4" w:space="0"/>
              <w:bottom w:val="single" w:color="auto" w:sz="4" w:space="0"/>
              <w:right w:val="single" w:color="auto" w:sz="4" w:space="0"/>
            </w:tcBorders>
            <w:vAlign w:val="center"/>
          </w:tcPr>
          <w:p w14:paraId="5714080C">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3</w:t>
            </w:r>
          </w:p>
        </w:tc>
        <w:tc>
          <w:tcPr>
            <w:tcW w:w="2613" w:type="dxa"/>
            <w:tcBorders>
              <w:top w:val="single" w:color="auto" w:sz="4" w:space="0"/>
              <w:left w:val="single" w:color="auto" w:sz="4" w:space="0"/>
              <w:bottom w:val="single" w:color="auto" w:sz="4" w:space="0"/>
              <w:right w:val="single" w:color="auto" w:sz="4" w:space="0"/>
            </w:tcBorders>
            <w:vAlign w:val="center"/>
          </w:tcPr>
          <w:p w14:paraId="1B76768A">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保证饭菜新鲜、可口，建立反馈制度，及时沟通并不断改进伙食配餐，确保食品安全无事故，</w:t>
            </w:r>
          </w:p>
        </w:tc>
        <w:tc>
          <w:tcPr>
            <w:tcW w:w="736" w:type="dxa"/>
            <w:tcBorders>
              <w:top w:val="single" w:color="auto" w:sz="4" w:space="0"/>
              <w:left w:val="single" w:color="auto" w:sz="4" w:space="0"/>
              <w:bottom w:val="single" w:color="auto" w:sz="4" w:space="0"/>
              <w:right w:val="single" w:color="auto" w:sz="4" w:space="0"/>
            </w:tcBorders>
            <w:vAlign w:val="center"/>
          </w:tcPr>
          <w:p w14:paraId="660BDA3D">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5分</w:t>
            </w:r>
          </w:p>
        </w:tc>
        <w:tc>
          <w:tcPr>
            <w:tcW w:w="1882" w:type="dxa"/>
            <w:tcBorders>
              <w:top w:val="single" w:color="auto" w:sz="4" w:space="0"/>
              <w:left w:val="single" w:color="auto" w:sz="4" w:space="0"/>
              <w:bottom w:val="single" w:color="auto" w:sz="4" w:space="0"/>
              <w:right w:val="single" w:color="auto" w:sz="4" w:space="0"/>
            </w:tcBorders>
          </w:tcPr>
          <w:p w14:paraId="1CC29263">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 xml:space="preserve">无制度或不及时改进扣0.5分，满意度低于 90％，每低一个百分点扣 0.5 分。 </w:t>
            </w:r>
          </w:p>
          <w:p w14:paraId="4CA4132A">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若发生食品安全事故扣5分，并予以处罚。</w:t>
            </w:r>
          </w:p>
        </w:tc>
        <w:tc>
          <w:tcPr>
            <w:tcW w:w="1445" w:type="dxa"/>
            <w:tcBorders>
              <w:top w:val="single" w:color="auto" w:sz="4" w:space="0"/>
              <w:left w:val="single" w:color="auto" w:sz="4" w:space="0"/>
              <w:bottom w:val="single" w:color="auto" w:sz="4" w:space="0"/>
              <w:right w:val="single" w:color="auto" w:sz="4" w:space="0"/>
            </w:tcBorders>
            <w:vAlign w:val="center"/>
          </w:tcPr>
          <w:p w14:paraId="7C1102FC">
            <w:pPr>
              <w:widowControl/>
              <w:spacing w:line="360" w:lineRule="auto"/>
              <w:ind w:firstLine="480" w:firstLineChars="200"/>
              <w:jc w:val="center"/>
              <w:rPr>
                <w:rFonts w:ascii="宋体" w:hAnsi="宋体" w:eastAsia="宋体" w:cs="Times New Roman"/>
                <w:bCs/>
                <w:kern w:val="2"/>
                <w:sz w:val="24"/>
                <w:highlight w:val="yellow"/>
              </w:rPr>
            </w:pPr>
          </w:p>
        </w:tc>
      </w:tr>
      <w:tr w14:paraId="785EC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5" w:type="dxa"/>
            <w:vMerge w:val="continue"/>
            <w:tcBorders>
              <w:left w:val="single" w:color="auto" w:sz="4" w:space="0"/>
              <w:bottom w:val="single" w:color="auto" w:sz="4" w:space="0"/>
              <w:right w:val="single" w:color="auto" w:sz="4" w:space="0"/>
            </w:tcBorders>
            <w:vAlign w:val="center"/>
          </w:tcPr>
          <w:p w14:paraId="23874BC9">
            <w:pPr>
              <w:widowControl/>
              <w:spacing w:line="360" w:lineRule="auto"/>
              <w:ind w:firstLine="480" w:firstLineChars="200"/>
              <w:rPr>
                <w:rFonts w:ascii="宋体" w:hAnsi="宋体" w:eastAsia="宋体" w:cs="Times New Roman"/>
                <w:bCs/>
                <w:kern w:val="2"/>
                <w:sz w:val="24"/>
              </w:rPr>
            </w:pPr>
          </w:p>
        </w:tc>
        <w:tc>
          <w:tcPr>
            <w:tcW w:w="687" w:type="dxa"/>
            <w:tcBorders>
              <w:top w:val="single" w:color="auto" w:sz="4" w:space="0"/>
              <w:left w:val="single" w:color="auto" w:sz="4" w:space="0"/>
              <w:bottom w:val="single" w:color="auto" w:sz="4" w:space="0"/>
              <w:right w:val="single" w:color="auto" w:sz="4" w:space="0"/>
            </w:tcBorders>
            <w:vAlign w:val="center"/>
          </w:tcPr>
          <w:p w14:paraId="42D81215">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4</w:t>
            </w:r>
          </w:p>
        </w:tc>
        <w:tc>
          <w:tcPr>
            <w:tcW w:w="2613" w:type="dxa"/>
            <w:tcBorders>
              <w:top w:val="single" w:color="auto" w:sz="4" w:space="0"/>
              <w:left w:val="single" w:color="auto" w:sz="4" w:space="0"/>
              <w:bottom w:val="single" w:color="auto" w:sz="4" w:space="0"/>
              <w:right w:val="single" w:color="auto" w:sz="4" w:space="0"/>
            </w:tcBorders>
            <w:vAlign w:val="center"/>
          </w:tcPr>
          <w:p w14:paraId="0871B8B3">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从业人员每年至少体检一次。</w:t>
            </w:r>
          </w:p>
        </w:tc>
        <w:tc>
          <w:tcPr>
            <w:tcW w:w="736" w:type="dxa"/>
            <w:tcBorders>
              <w:top w:val="single" w:color="auto" w:sz="4" w:space="0"/>
              <w:left w:val="single" w:color="auto" w:sz="4" w:space="0"/>
              <w:bottom w:val="single" w:color="auto" w:sz="4" w:space="0"/>
              <w:right w:val="single" w:color="auto" w:sz="4" w:space="0"/>
            </w:tcBorders>
            <w:vAlign w:val="center"/>
          </w:tcPr>
          <w:p w14:paraId="66906859">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3分</w:t>
            </w:r>
          </w:p>
        </w:tc>
        <w:tc>
          <w:tcPr>
            <w:tcW w:w="1882" w:type="dxa"/>
            <w:tcBorders>
              <w:top w:val="single" w:color="auto" w:sz="4" w:space="0"/>
              <w:left w:val="single" w:color="auto" w:sz="4" w:space="0"/>
              <w:bottom w:val="single" w:color="auto" w:sz="4" w:space="0"/>
              <w:right w:val="single" w:color="auto" w:sz="4" w:space="0"/>
            </w:tcBorders>
          </w:tcPr>
          <w:p w14:paraId="50A2FC2E">
            <w:pPr>
              <w:widowControl/>
              <w:spacing w:line="360" w:lineRule="auto"/>
              <w:rPr>
                <w:rFonts w:ascii="宋体" w:hAnsi="宋体" w:eastAsia="宋体" w:cs="Times New Roman"/>
                <w:bCs/>
                <w:kern w:val="2"/>
                <w:sz w:val="24"/>
              </w:rPr>
            </w:pPr>
            <w:r>
              <w:rPr>
                <w:rFonts w:hint="eastAsia" w:ascii="宋体" w:hAnsi="宋体" w:eastAsia="宋体" w:cs="Times New Roman"/>
                <w:bCs/>
                <w:kern w:val="2"/>
                <w:sz w:val="24"/>
              </w:rPr>
              <w:t>不按时体检并提交相关证明材料扣3分。</w:t>
            </w:r>
          </w:p>
        </w:tc>
        <w:tc>
          <w:tcPr>
            <w:tcW w:w="1445" w:type="dxa"/>
            <w:tcBorders>
              <w:top w:val="single" w:color="auto" w:sz="4" w:space="0"/>
              <w:left w:val="single" w:color="auto" w:sz="4" w:space="0"/>
              <w:bottom w:val="single" w:color="auto" w:sz="4" w:space="0"/>
              <w:right w:val="single" w:color="auto" w:sz="4" w:space="0"/>
            </w:tcBorders>
            <w:vAlign w:val="center"/>
          </w:tcPr>
          <w:p w14:paraId="26F477D4">
            <w:pPr>
              <w:widowControl/>
              <w:spacing w:line="360" w:lineRule="auto"/>
              <w:ind w:firstLine="480" w:firstLineChars="200"/>
              <w:jc w:val="center"/>
              <w:rPr>
                <w:rFonts w:ascii="宋体" w:hAnsi="宋体" w:eastAsia="宋体" w:cs="Times New Roman"/>
                <w:bCs/>
                <w:kern w:val="2"/>
                <w:sz w:val="24"/>
                <w:highlight w:val="yellow"/>
              </w:rPr>
            </w:pPr>
          </w:p>
        </w:tc>
      </w:tr>
      <w:tr w14:paraId="7253E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875" w:type="dxa"/>
            <w:vMerge w:val="restart"/>
            <w:tcBorders>
              <w:top w:val="single" w:color="auto" w:sz="4" w:space="0"/>
              <w:left w:val="single" w:color="auto" w:sz="4" w:space="0"/>
              <w:right w:val="single" w:color="auto" w:sz="4" w:space="0"/>
            </w:tcBorders>
            <w:vAlign w:val="center"/>
          </w:tcPr>
          <w:p w14:paraId="35C1F252">
            <w:pPr>
              <w:spacing w:line="360" w:lineRule="auto"/>
              <w:jc w:val="center"/>
              <w:rPr>
                <w:rFonts w:ascii="宋体" w:hAnsi="宋体" w:eastAsia="宋体" w:cs="Times New Roman"/>
                <w:bCs/>
                <w:kern w:val="2"/>
                <w:sz w:val="24"/>
              </w:rPr>
            </w:pPr>
            <w:bookmarkStart w:id="62" w:name="OLE_LINK179"/>
            <w:r>
              <w:rPr>
                <w:rFonts w:hint="eastAsia" w:ascii="宋体" w:hAnsi="宋体" w:eastAsia="宋体" w:cs="Times New Roman"/>
                <w:bCs/>
                <w:kern w:val="2"/>
                <w:sz w:val="24"/>
              </w:rPr>
              <w:t>机械车位服务</w:t>
            </w:r>
            <w:bookmarkEnd w:id="62"/>
            <w:r>
              <w:rPr>
                <w:rFonts w:hint="eastAsia" w:ascii="宋体" w:hAnsi="宋体" w:eastAsia="宋体" w:cs="Times New Roman"/>
                <w:bCs/>
                <w:kern w:val="2"/>
                <w:sz w:val="24"/>
              </w:rPr>
              <w:t>10分</w:t>
            </w:r>
          </w:p>
        </w:tc>
        <w:tc>
          <w:tcPr>
            <w:tcW w:w="687" w:type="dxa"/>
            <w:tcBorders>
              <w:top w:val="single" w:color="auto" w:sz="4" w:space="0"/>
              <w:left w:val="single" w:color="auto" w:sz="4" w:space="0"/>
              <w:bottom w:val="single" w:color="auto" w:sz="4" w:space="0"/>
              <w:right w:val="single" w:color="auto" w:sz="4" w:space="0"/>
            </w:tcBorders>
            <w:vAlign w:val="center"/>
          </w:tcPr>
          <w:p w14:paraId="528F5820">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1</w:t>
            </w:r>
          </w:p>
        </w:tc>
        <w:tc>
          <w:tcPr>
            <w:tcW w:w="2613" w:type="dxa"/>
            <w:tcBorders>
              <w:top w:val="single" w:color="auto" w:sz="4" w:space="0"/>
              <w:left w:val="single" w:color="auto" w:sz="4" w:space="0"/>
              <w:bottom w:val="single" w:color="auto" w:sz="4" w:space="0"/>
              <w:right w:val="single" w:color="auto" w:sz="4" w:space="0"/>
            </w:tcBorders>
          </w:tcPr>
          <w:p w14:paraId="6D6FAE76">
            <w:pPr>
              <w:widowControl/>
              <w:spacing w:line="360" w:lineRule="auto"/>
              <w:textAlignment w:val="center"/>
              <w:rPr>
                <w:rFonts w:ascii="宋体" w:hAnsi="宋体" w:eastAsia="宋体" w:cs="Times New Roman"/>
                <w:bCs/>
                <w:kern w:val="2"/>
                <w:sz w:val="24"/>
              </w:rPr>
            </w:pPr>
            <w:r>
              <w:rPr>
                <w:rFonts w:hint="eastAsia" w:ascii="宋体" w:hAnsi="宋体" w:eastAsia="宋体" w:cs="Times New Roman"/>
                <w:bCs/>
                <w:kern w:val="2"/>
                <w:sz w:val="24"/>
              </w:rPr>
              <w:t>建立机械车位管理制度、做好</w:t>
            </w:r>
            <w:r>
              <w:rPr>
                <w:rFonts w:ascii="宋体" w:hAnsi="宋体" w:eastAsia="宋体" w:cs="Times New Roman"/>
                <w:bCs/>
                <w:kern w:val="2"/>
                <w:sz w:val="24"/>
              </w:rPr>
              <w:t>安全操作、服务规范、设备维护、应急处置、客户服务等。</w:t>
            </w:r>
          </w:p>
          <w:p w14:paraId="71D46A97">
            <w:pPr>
              <w:widowControl/>
              <w:spacing w:line="360" w:lineRule="auto"/>
              <w:textAlignment w:val="center"/>
              <w:rPr>
                <w:rFonts w:ascii="宋体" w:hAnsi="宋体" w:eastAsia="宋体" w:cs="Times New Roman"/>
                <w:bCs/>
                <w:kern w:val="2"/>
                <w:sz w:val="24"/>
              </w:rPr>
            </w:pPr>
          </w:p>
        </w:tc>
        <w:tc>
          <w:tcPr>
            <w:tcW w:w="736" w:type="dxa"/>
            <w:tcBorders>
              <w:top w:val="single" w:color="auto" w:sz="4" w:space="0"/>
              <w:left w:val="single" w:color="auto" w:sz="4" w:space="0"/>
              <w:bottom w:val="single" w:color="auto" w:sz="4" w:space="0"/>
              <w:right w:val="single" w:color="auto" w:sz="4" w:space="0"/>
            </w:tcBorders>
            <w:vAlign w:val="center"/>
          </w:tcPr>
          <w:p w14:paraId="40CFBF3C">
            <w:pPr>
              <w:widowControl/>
              <w:spacing w:line="360" w:lineRule="auto"/>
              <w:jc w:val="center"/>
              <w:textAlignment w:val="top"/>
              <w:rPr>
                <w:rFonts w:ascii="宋体" w:hAnsi="宋体" w:eastAsia="宋体" w:cs="Times New Roman"/>
                <w:bCs/>
                <w:kern w:val="2"/>
                <w:sz w:val="24"/>
              </w:rPr>
            </w:pPr>
            <w:r>
              <w:rPr>
                <w:rFonts w:hint="eastAsia" w:ascii="宋体" w:hAnsi="宋体" w:eastAsia="宋体" w:cs="Times New Roman"/>
                <w:bCs/>
                <w:kern w:val="2"/>
                <w:sz w:val="24"/>
              </w:rPr>
              <w:t>5分</w:t>
            </w:r>
          </w:p>
        </w:tc>
        <w:tc>
          <w:tcPr>
            <w:tcW w:w="1882" w:type="dxa"/>
            <w:tcBorders>
              <w:top w:val="single" w:color="auto" w:sz="4" w:space="0"/>
              <w:left w:val="single" w:color="auto" w:sz="4" w:space="0"/>
              <w:bottom w:val="single" w:color="auto" w:sz="4" w:space="0"/>
              <w:right w:val="single" w:color="auto" w:sz="4" w:space="0"/>
            </w:tcBorders>
          </w:tcPr>
          <w:p w14:paraId="0C961815">
            <w:pPr>
              <w:spacing w:line="360" w:lineRule="auto"/>
              <w:rPr>
                <w:rFonts w:ascii="宋体" w:hAnsi="宋体" w:eastAsia="宋体" w:cs="Times New Roman"/>
                <w:bCs/>
                <w:kern w:val="2"/>
                <w:sz w:val="24"/>
              </w:rPr>
            </w:pPr>
            <w:r>
              <w:rPr>
                <w:rFonts w:hint="eastAsia" w:ascii="宋体" w:hAnsi="宋体" w:eastAsia="宋体" w:cs="Times New Roman"/>
                <w:bCs/>
                <w:kern w:val="2"/>
                <w:sz w:val="24"/>
              </w:rPr>
              <w:t>无制度、无记录或不及时改进扣0.5分</w:t>
            </w:r>
          </w:p>
        </w:tc>
        <w:tc>
          <w:tcPr>
            <w:tcW w:w="1445" w:type="dxa"/>
            <w:tcBorders>
              <w:top w:val="single" w:color="auto" w:sz="4" w:space="0"/>
              <w:left w:val="single" w:color="auto" w:sz="4" w:space="0"/>
              <w:bottom w:val="single" w:color="auto" w:sz="4" w:space="0"/>
              <w:right w:val="single" w:color="auto" w:sz="4" w:space="0"/>
            </w:tcBorders>
            <w:vAlign w:val="center"/>
          </w:tcPr>
          <w:p w14:paraId="4EF07BA4">
            <w:pPr>
              <w:widowControl/>
              <w:spacing w:line="360" w:lineRule="auto"/>
              <w:ind w:firstLine="480" w:firstLineChars="200"/>
              <w:jc w:val="center"/>
              <w:rPr>
                <w:rFonts w:ascii="宋体" w:hAnsi="宋体" w:eastAsia="宋体" w:cs="Times New Roman"/>
                <w:bCs/>
                <w:kern w:val="2"/>
                <w:sz w:val="24"/>
              </w:rPr>
            </w:pPr>
          </w:p>
        </w:tc>
      </w:tr>
      <w:tr w14:paraId="3271A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875" w:type="dxa"/>
            <w:vMerge w:val="continue"/>
            <w:tcBorders>
              <w:left w:val="single" w:color="auto" w:sz="4" w:space="0"/>
              <w:bottom w:val="single" w:color="auto" w:sz="4" w:space="0"/>
              <w:right w:val="single" w:color="auto" w:sz="4" w:space="0"/>
            </w:tcBorders>
            <w:vAlign w:val="center"/>
          </w:tcPr>
          <w:p w14:paraId="32191221">
            <w:pPr>
              <w:spacing w:line="360" w:lineRule="auto"/>
              <w:jc w:val="center"/>
              <w:rPr>
                <w:rFonts w:ascii="宋体" w:hAnsi="宋体" w:eastAsia="宋体" w:cs="Times New Roman"/>
                <w:bCs/>
                <w:kern w:val="2"/>
                <w:sz w:val="24"/>
              </w:rPr>
            </w:pPr>
          </w:p>
        </w:tc>
        <w:tc>
          <w:tcPr>
            <w:tcW w:w="687" w:type="dxa"/>
            <w:tcBorders>
              <w:top w:val="single" w:color="auto" w:sz="4" w:space="0"/>
              <w:left w:val="single" w:color="auto" w:sz="4" w:space="0"/>
              <w:bottom w:val="single" w:color="auto" w:sz="4" w:space="0"/>
              <w:right w:val="single" w:color="auto" w:sz="4" w:space="0"/>
            </w:tcBorders>
            <w:vAlign w:val="center"/>
          </w:tcPr>
          <w:p w14:paraId="02B7B9D4">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2</w:t>
            </w:r>
          </w:p>
        </w:tc>
        <w:tc>
          <w:tcPr>
            <w:tcW w:w="2613" w:type="dxa"/>
            <w:tcBorders>
              <w:top w:val="single" w:color="auto" w:sz="4" w:space="0"/>
              <w:left w:val="single" w:color="auto" w:sz="4" w:space="0"/>
              <w:bottom w:val="single" w:color="auto" w:sz="4" w:space="0"/>
              <w:right w:val="single" w:color="auto" w:sz="4" w:space="0"/>
            </w:tcBorders>
          </w:tcPr>
          <w:p w14:paraId="4C8734D6">
            <w:pPr>
              <w:widowControl/>
              <w:spacing w:line="360" w:lineRule="auto"/>
              <w:textAlignment w:val="center"/>
              <w:rPr>
                <w:rFonts w:ascii="宋体" w:hAnsi="宋体" w:eastAsia="宋体" w:cs="Times New Roman"/>
                <w:bCs/>
                <w:kern w:val="2"/>
                <w:sz w:val="24"/>
              </w:rPr>
            </w:pPr>
            <w:r>
              <w:rPr>
                <w:rFonts w:hint="eastAsia" w:ascii="宋体" w:hAnsi="宋体" w:eastAsia="宋体" w:cs="Times New Roman"/>
                <w:bCs/>
                <w:kern w:val="2"/>
                <w:sz w:val="24"/>
              </w:rPr>
              <w:t>机械车位操作员严格按照服务标准日常巡检、故障初步判断</w:t>
            </w:r>
            <w:r>
              <w:rPr>
                <w:rFonts w:hint="eastAsia" w:ascii="MS Mincho" w:hAnsi="MS Mincho" w:eastAsia="MS Mincho" w:cs="MS Mincho"/>
                <w:bCs/>
                <w:kern w:val="2"/>
                <w:sz w:val="24"/>
              </w:rPr>
              <w:t>‌</w:t>
            </w:r>
            <w:r>
              <w:rPr>
                <w:rFonts w:hint="eastAsia" w:ascii="宋体" w:hAnsi="宋体" w:eastAsia="宋体" w:cs="Times New Roman"/>
                <w:bCs/>
                <w:kern w:val="2"/>
                <w:sz w:val="24"/>
              </w:rPr>
              <w:t>、配合维护保养、文明服务、车辆交接确认等。</w:t>
            </w:r>
          </w:p>
        </w:tc>
        <w:tc>
          <w:tcPr>
            <w:tcW w:w="736" w:type="dxa"/>
            <w:tcBorders>
              <w:top w:val="single" w:color="auto" w:sz="4" w:space="0"/>
              <w:left w:val="single" w:color="auto" w:sz="4" w:space="0"/>
              <w:bottom w:val="single" w:color="auto" w:sz="4" w:space="0"/>
              <w:right w:val="single" w:color="auto" w:sz="4" w:space="0"/>
            </w:tcBorders>
            <w:vAlign w:val="center"/>
          </w:tcPr>
          <w:p w14:paraId="0475754E">
            <w:pPr>
              <w:widowControl/>
              <w:spacing w:line="360" w:lineRule="auto"/>
              <w:jc w:val="center"/>
              <w:textAlignment w:val="top"/>
              <w:rPr>
                <w:rFonts w:ascii="宋体" w:hAnsi="宋体" w:eastAsia="宋体" w:cs="Times New Roman"/>
                <w:bCs/>
                <w:kern w:val="2"/>
                <w:sz w:val="24"/>
              </w:rPr>
            </w:pPr>
            <w:r>
              <w:rPr>
                <w:rFonts w:hint="eastAsia" w:ascii="宋体" w:hAnsi="宋体" w:eastAsia="宋体" w:cs="Times New Roman"/>
                <w:bCs/>
                <w:kern w:val="2"/>
                <w:sz w:val="24"/>
              </w:rPr>
              <w:t>5分</w:t>
            </w:r>
          </w:p>
        </w:tc>
        <w:tc>
          <w:tcPr>
            <w:tcW w:w="1882" w:type="dxa"/>
            <w:tcBorders>
              <w:top w:val="single" w:color="auto" w:sz="4" w:space="0"/>
              <w:left w:val="single" w:color="auto" w:sz="4" w:space="0"/>
              <w:bottom w:val="single" w:color="auto" w:sz="4" w:space="0"/>
              <w:right w:val="single" w:color="auto" w:sz="4" w:space="0"/>
            </w:tcBorders>
          </w:tcPr>
          <w:p w14:paraId="4131B1C3">
            <w:pPr>
              <w:spacing w:line="360" w:lineRule="auto"/>
              <w:rPr>
                <w:rFonts w:ascii="宋体" w:hAnsi="宋体" w:eastAsia="宋体" w:cs="Times New Roman"/>
                <w:bCs/>
                <w:kern w:val="2"/>
                <w:sz w:val="24"/>
              </w:rPr>
            </w:pPr>
            <w:r>
              <w:rPr>
                <w:rFonts w:hint="eastAsia" w:ascii="宋体" w:hAnsi="宋体" w:eastAsia="宋体" w:cs="Times New Roman"/>
                <w:bCs/>
                <w:kern w:val="2"/>
                <w:sz w:val="24"/>
              </w:rPr>
              <w:t>每发生违反服务标准行为一次扣1分；有危害车辆安全的行为，扣5分，并开除相关服务人员。</w:t>
            </w:r>
          </w:p>
        </w:tc>
        <w:tc>
          <w:tcPr>
            <w:tcW w:w="1445" w:type="dxa"/>
            <w:tcBorders>
              <w:top w:val="single" w:color="auto" w:sz="4" w:space="0"/>
              <w:left w:val="single" w:color="auto" w:sz="4" w:space="0"/>
              <w:bottom w:val="single" w:color="auto" w:sz="4" w:space="0"/>
              <w:right w:val="single" w:color="auto" w:sz="4" w:space="0"/>
            </w:tcBorders>
            <w:vAlign w:val="center"/>
          </w:tcPr>
          <w:p w14:paraId="28D4A121">
            <w:pPr>
              <w:widowControl/>
              <w:spacing w:line="360" w:lineRule="auto"/>
              <w:ind w:firstLine="480" w:firstLineChars="200"/>
              <w:jc w:val="center"/>
              <w:rPr>
                <w:rFonts w:ascii="宋体" w:hAnsi="宋体" w:eastAsia="宋体" w:cs="Times New Roman"/>
                <w:bCs/>
                <w:kern w:val="2"/>
                <w:sz w:val="24"/>
              </w:rPr>
            </w:pPr>
          </w:p>
        </w:tc>
      </w:tr>
      <w:tr w14:paraId="72FFD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62" w:type="dxa"/>
            <w:gridSpan w:val="2"/>
            <w:tcBorders>
              <w:top w:val="single" w:color="auto" w:sz="4" w:space="0"/>
              <w:left w:val="single" w:color="auto" w:sz="4" w:space="0"/>
              <w:bottom w:val="single" w:color="auto" w:sz="4" w:space="0"/>
              <w:right w:val="single" w:color="auto" w:sz="4" w:space="0"/>
            </w:tcBorders>
            <w:vAlign w:val="center"/>
          </w:tcPr>
          <w:p w14:paraId="3A1A425C">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考核人签名</w:t>
            </w:r>
          </w:p>
        </w:tc>
        <w:tc>
          <w:tcPr>
            <w:tcW w:w="2613" w:type="dxa"/>
            <w:tcBorders>
              <w:top w:val="single" w:color="auto" w:sz="4" w:space="0"/>
              <w:left w:val="single" w:color="auto" w:sz="4" w:space="0"/>
              <w:bottom w:val="single" w:color="auto" w:sz="4" w:space="0"/>
              <w:right w:val="single" w:color="auto" w:sz="4" w:space="0"/>
            </w:tcBorders>
            <w:vAlign w:val="center"/>
          </w:tcPr>
          <w:p w14:paraId="251F9194">
            <w:pPr>
              <w:widowControl/>
              <w:spacing w:line="360" w:lineRule="auto"/>
              <w:ind w:firstLine="480" w:firstLineChars="200"/>
              <w:jc w:val="center"/>
              <w:rPr>
                <w:rFonts w:ascii="宋体" w:hAnsi="宋体" w:eastAsia="宋体" w:cs="Times New Roman"/>
                <w:bCs/>
                <w:kern w:val="2"/>
                <w:sz w:val="24"/>
              </w:rPr>
            </w:pPr>
          </w:p>
        </w:tc>
        <w:tc>
          <w:tcPr>
            <w:tcW w:w="736" w:type="dxa"/>
            <w:tcBorders>
              <w:top w:val="single" w:color="auto" w:sz="4" w:space="0"/>
              <w:left w:val="single" w:color="auto" w:sz="4" w:space="0"/>
              <w:bottom w:val="single" w:color="auto" w:sz="4" w:space="0"/>
              <w:right w:val="single" w:color="auto" w:sz="4" w:space="0"/>
            </w:tcBorders>
            <w:vAlign w:val="center"/>
          </w:tcPr>
          <w:p w14:paraId="2728360E">
            <w:pPr>
              <w:widowControl/>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总得分</w:t>
            </w:r>
          </w:p>
        </w:tc>
        <w:tc>
          <w:tcPr>
            <w:tcW w:w="3327" w:type="dxa"/>
            <w:gridSpan w:val="2"/>
            <w:tcBorders>
              <w:top w:val="single" w:color="auto" w:sz="4" w:space="0"/>
              <w:left w:val="single" w:color="auto" w:sz="4" w:space="0"/>
              <w:bottom w:val="single" w:color="auto" w:sz="4" w:space="0"/>
              <w:right w:val="single" w:color="auto" w:sz="4" w:space="0"/>
            </w:tcBorders>
            <w:vAlign w:val="center"/>
          </w:tcPr>
          <w:p w14:paraId="7E6BA337">
            <w:pPr>
              <w:widowControl/>
              <w:spacing w:line="360" w:lineRule="auto"/>
              <w:ind w:firstLine="480" w:firstLineChars="200"/>
              <w:jc w:val="center"/>
              <w:rPr>
                <w:rFonts w:ascii="宋体" w:hAnsi="宋体" w:eastAsia="宋体" w:cs="Times New Roman"/>
                <w:bCs/>
                <w:kern w:val="2"/>
                <w:sz w:val="24"/>
              </w:rPr>
            </w:pPr>
          </w:p>
        </w:tc>
      </w:tr>
      <w:bookmarkEnd w:id="60"/>
    </w:tbl>
    <w:p w14:paraId="77C190FC">
      <w:pPr>
        <w:spacing w:line="360" w:lineRule="auto"/>
        <w:ind w:firstLine="482" w:firstLineChars="200"/>
        <w:rPr>
          <w:rFonts w:ascii="宋体" w:hAnsi="宋体" w:eastAsia="宋体" w:cs="Times New Roman"/>
          <w:b/>
          <w:kern w:val="2"/>
          <w:sz w:val="24"/>
        </w:rPr>
      </w:pPr>
    </w:p>
    <w:p w14:paraId="4D195F81">
      <w:pPr>
        <w:pStyle w:val="194"/>
        <w:spacing w:before="0" w:after="0" w:line="360" w:lineRule="auto"/>
        <w:ind w:firstLine="643"/>
        <w:rPr>
          <w:rFonts w:asciiTheme="minorEastAsia" w:hAnsiTheme="minorEastAsia" w:eastAsiaTheme="minorEastAsia"/>
        </w:rPr>
      </w:pPr>
      <w:r>
        <w:rPr>
          <w:rFonts w:hint="eastAsia" w:asciiTheme="minorEastAsia" w:hAnsiTheme="minorEastAsia" w:eastAsiaTheme="minorEastAsia"/>
        </w:rPr>
        <w:t>七、履约验收</w:t>
      </w:r>
    </w:p>
    <w:p w14:paraId="53798379">
      <w:pPr>
        <w:spacing w:line="360" w:lineRule="auto"/>
        <w:ind w:firstLine="482" w:firstLineChars="200"/>
        <w:rPr>
          <w:rFonts w:ascii="宋体" w:hAnsi="宋体" w:eastAsia="宋体" w:cs="Times New Roman"/>
          <w:b/>
          <w:kern w:val="2"/>
          <w:sz w:val="24"/>
        </w:rPr>
      </w:pPr>
      <w:bookmarkStart w:id="63" w:name="OLE_LINK35"/>
      <w:bookmarkStart w:id="64" w:name="OLE_LINK38"/>
      <w:r>
        <w:rPr>
          <w:rFonts w:hint="eastAsia" w:ascii="宋体" w:hAnsi="宋体" w:eastAsia="宋体" w:cs="Times New Roman"/>
          <w:b/>
          <w:kern w:val="2"/>
          <w:sz w:val="24"/>
        </w:rPr>
        <w:t>7.1采购人提出的具体分项指标要求：</w:t>
      </w:r>
    </w:p>
    <w:p w14:paraId="741BD2E0">
      <w:pPr>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1)各项物品、环境以及服务体现绿色环保要求；</w:t>
      </w:r>
    </w:p>
    <w:p w14:paraId="0D45277B">
      <w:pPr>
        <w:widowControl/>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2)工程零修、急修及时率100%；零修工程合格率100%；</w:t>
      </w:r>
    </w:p>
    <w:p w14:paraId="082E5798">
      <w:pPr>
        <w:widowControl/>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3</w:t>
      </w:r>
      <w:bookmarkStart w:id="65" w:name="OLE_LINK51"/>
      <w:bookmarkStart w:id="66" w:name="OLE_LINK50"/>
      <w:r>
        <w:rPr>
          <w:rFonts w:hint="eastAsia" w:ascii="宋体" w:hAnsi="宋体" w:eastAsia="宋体" w:cs="Times New Roman"/>
          <w:bCs/>
          <w:kern w:val="2"/>
          <w:sz w:val="24"/>
        </w:rPr>
        <w:t>)</w:t>
      </w:r>
      <w:bookmarkEnd w:id="65"/>
      <w:bookmarkEnd w:id="66"/>
      <w:r>
        <w:rPr>
          <w:rFonts w:hint="eastAsia" w:ascii="宋体" w:hAnsi="宋体" w:eastAsia="宋体" w:cs="Times New Roman"/>
          <w:bCs/>
          <w:kern w:val="2"/>
          <w:sz w:val="24"/>
        </w:rPr>
        <w:t>各类设施、设备完好、整洁、无污损，完好率、合格率均达到98％以上；垃圾日产日清，清运及时率100％；</w:t>
      </w:r>
    </w:p>
    <w:p w14:paraId="52A33406">
      <w:pPr>
        <w:widowControl/>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4)有效投诉办结率99%以上；</w:t>
      </w:r>
    </w:p>
    <w:p w14:paraId="63DF8FCA">
      <w:pPr>
        <w:widowControl/>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5)无乱停乱放各种车辆现象；</w:t>
      </w:r>
    </w:p>
    <w:p w14:paraId="04A1C621">
      <w:pPr>
        <w:widowControl/>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7)服务及时、到位，以人为本，凸显人性化服务，服务满意率达99%以上；</w:t>
      </w:r>
    </w:p>
    <w:p w14:paraId="0435A23A">
      <w:pPr>
        <w:widowControl/>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8)项目经理管理经验丰富，队伍年轻有青春活力，有亲和力；</w:t>
      </w:r>
    </w:p>
    <w:p w14:paraId="258564E4">
      <w:pPr>
        <w:widowControl/>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9)安全保障稳妥、及时、有力，无重大事故发生；</w:t>
      </w:r>
    </w:p>
    <w:p w14:paraId="0AC7F182">
      <w:pPr>
        <w:widowControl/>
        <w:spacing w:line="360" w:lineRule="auto"/>
        <w:ind w:firstLine="480" w:firstLineChars="200"/>
        <w:rPr>
          <w:rFonts w:ascii="宋体" w:hAnsi="宋体" w:eastAsia="宋体" w:cs="Times New Roman"/>
          <w:b/>
          <w:kern w:val="2"/>
          <w:sz w:val="24"/>
        </w:rPr>
      </w:pPr>
      <w:r>
        <w:rPr>
          <w:rFonts w:hint="eastAsia" w:ascii="宋体" w:hAnsi="宋体" w:eastAsia="宋体" w:cs="Times New Roman"/>
          <w:bCs/>
          <w:kern w:val="2"/>
          <w:sz w:val="24"/>
        </w:rPr>
        <w:t>10)处处维护业主方的良好形象。</w:t>
      </w:r>
    </w:p>
    <w:p w14:paraId="44CA925A">
      <w:pPr>
        <w:spacing w:line="360" w:lineRule="auto"/>
        <w:ind w:firstLine="482" w:firstLineChars="200"/>
        <w:rPr>
          <w:rFonts w:ascii="宋体" w:hAnsi="宋体" w:eastAsia="宋体" w:cs="Times New Roman"/>
          <w:b/>
          <w:kern w:val="2"/>
          <w:sz w:val="24"/>
        </w:rPr>
      </w:pPr>
      <w:r>
        <w:rPr>
          <w:rFonts w:hint="eastAsia" w:ascii="宋体" w:hAnsi="宋体" w:eastAsia="宋体" w:cs="Times New Roman"/>
          <w:b/>
          <w:kern w:val="2"/>
          <w:sz w:val="24"/>
        </w:rPr>
        <w:t>7.2秩序维护服务质量控制标准（见下表）</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1"/>
        <w:gridCol w:w="1355"/>
        <w:gridCol w:w="5387"/>
        <w:gridCol w:w="759"/>
      </w:tblGrid>
      <w:tr w14:paraId="57AD8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2376" w:type="dxa"/>
            <w:gridSpan w:val="2"/>
            <w:tcBorders>
              <w:top w:val="single" w:color="auto" w:sz="4" w:space="0"/>
              <w:left w:val="single" w:color="auto" w:sz="4" w:space="0"/>
              <w:bottom w:val="single" w:color="auto" w:sz="4" w:space="0"/>
              <w:right w:val="single" w:color="auto" w:sz="4" w:space="0"/>
            </w:tcBorders>
            <w:vAlign w:val="center"/>
          </w:tcPr>
          <w:p w14:paraId="4BCDB8BA">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项目</w:t>
            </w:r>
          </w:p>
        </w:tc>
        <w:tc>
          <w:tcPr>
            <w:tcW w:w="5387" w:type="dxa"/>
            <w:tcBorders>
              <w:top w:val="single" w:color="auto" w:sz="4" w:space="0"/>
              <w:left w:val="single" w:color="auto" w:sz="4" w:space="0"/>
              <w:bottom w:val="single" w:color="auto" w:sz="4" w:space="0"/>
              <w:right w:val="single" w:color="auto" w:sz="4" w:space="0"/>
            </w:tcBorders>
            <w:vAlign w:val="center"/>
          </w:tcPr>
          <w:p w14:paraId="2F5B8C8E">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验收标准</w:t>
            </w:r>
          </w:p>
        </w:tc>
        <w:tc>
          <w:tcPr>
            <w:tcW w:w="759" w:type="dxa"/>
            <w:tcBorders>
              <w:top w:val="single" w:color="auto" w:sz="4" w:space="0"/>
              <w:left w:val="single" w:color="auto" w:sz="4" w:space="0"/>
              <w:bottom w:val="single" w:color="auto" w:sz="4" w:space="0"/>
              <w:right w:val="single" w:color="auto" w:sz="4" w:space="0"/>
            </w:tcBorders>
            <w:vAlign w:val="center"/>
          </w:tcPr>
          <w:p w14:paraId="0F260D8E">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备注</w:t>
            </w:r>
          </w:p>
        </w:tc>
      </w:tr>
      <w:tr w14:paraId="30147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021" w:type="dxa"/>
            <w:vMerge w:val="restart"/>
            <w:tcBorders>
              <w:top w:val="single" w:color="auto" w:sz="4" w:space="0"/>
              <w:left w:val="single" w:color="auto" w:sz="4" w:space="0"/>
              <w:bottom w:val="single" w:color="auto" w:sz="4" w:space="0"/>
              <w:right w:val="single" w:color="auto" w:sz="4" w:space="0"/>
            </w:tcBorders>
            <w:vAlign w:val="center"/>
          </w:tcPr>
          <w:p w14:paraId="4F71C372">
            <w:pPr>
              <w:spacing w:line="360" w:lineRule="auto"/>
              <w:rPr>
                <w:rFonts w:ascii="宋体" w:hAnsi="宋体" w:eastAsia="宋体" w:cs="Times New Roman"/>
                <w:bCs/>
                <w:kern w:val="2"/>
                <w:sz w:val="24"/>
              </w:rPr>
            </w:pPr>
          </w:p>
          <w:p w14:paraId="27B86C59">
            <w:pPr>
              <w:spacing w:line="360" w:lineRule="auto"/>
              <w:jc w:val="center"/>
              <w:rPr>
                <w:rFonts w:ascii="宋体" w:hAnsi="宋体" w:eastAsia="宋体" w:cs="Times New Roman"/>
                <w:bCs/>
                <w:kern w:val="2"/>
                <w:sz w:val="24"/>
              </w:rPr>
            </w:pPr>
          </w:p>
          <w:p w14:paraId="0FDF5859">
            <w:pPr>
              <w:spacing w:line="360" w:lineRule="auto"/>
              <w:jc w:val="center"/>
              <w:rPr>
                <w:rFonts w:ascii="宋体" w:hAnsi="宋体" w:eastAsia="宋体" w:cs="Times New Roman"/>
                <w:bCs/>
                <w:kern w:val="2"/>
                <w:sz w:val="24"/>
              </w:rPr>
            </w:pPr>
          </w:p>
          <w:p w14:paraId="7B9365C5">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统</w:t>
            </w:r>
          </w:p>
          <w:p w14:paraId="065ACFE8">
            <w:pPr>
              <w:spacing w:line="360" w:lineRule="auto"/>
              <w:jc w:val="center"/>
              <w:rPr>
                <w:rFonts w:ascii="宋体" w:hAnsi="宋体" w:eastAsia="宋体" w:cs="Times New Roman"/>
                <w:bCs/>
                <w:kern w:val="2"/>
                <w:sz w:val="24"/>
              </w:rPr>
            </w:pPr>
          </w:p>
          <w:p w14:paraId="38487412">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一</w:t>
            </w:r>
          </w:p>
          <w:p w14:paraId="20891C1C">
            <w:pPr>
              <w:spacing w:line="360" w:lineRule="auto"/>
              <w:jc w:val="center"/>
              <w:rPr>
                <w:rFonts w:ascii="宋体" w:hAnsi="宋体" w:eastAsia="宋体" w:cs="Times New Roman"/>
                <w:bCs/>
                <w:kern w:val="2"/>
                <w:sz w:val="24"/>
              </w:rPr>
            </w:pPr>
          </w:p>
          <w:p w14:paraId="42DFE63E">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要</w:t>
            </w:r>
          </w:p>
          <w:p w14:paraId="428BC07F">
            <w:pPr>
              <w:spacing w:line="360" w:lineRule="auto"/>
              <w:jc w:val="center"/>
              <w:rPr>
                <w:rFonts w:ascii="宋体" w:hAnsi="宋体" w:eastAsia="宋体" w:cs="Times New Roman"/>
                <w:bCs/>
                <w:kern w:val="2"/>
                <w:sz w:val="24"/>
              </w:rPr>
            </w:pPr>
          </w:p>
          <w:p w14:paraId="08D86030">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求</w:t>
            </w:r>
          </w:p>
        </w:tc>
        <w:tc>
          <w:tcPr>
            <w:tcW w:w="1355" w:type="dxa"/>
            <w:tcBorders>
              <w:top w:val="single" w:color="auto" w:sz="4" w:space="0"/>
              <w:left w:val="single" w:color="auto" w:sz="4" w:space="0"/>
              <w:bottom w:val="single" w:color="auto" w:sz="4" w:space="0"/>
              <w:right w:val="single" w:color="auto" w:sz="4" w:space="0"/>
            </w:tcBorders>
            <w:vAlign w:val="center"/>
          </w:tcPr>
          <w:p w14:paraId="5E1BAE43">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基本条件</w:t>
            </w:r>
          </w:p>
        </w:tc>
        <w:tc>
          <w:tcPr>
            <w:tcW w:w="5387" w:type="dxa"/>
            <w:tcBorders>
              <w:top w:val="single" w:color="auto" w:sz="4" w:space="0"/>
              <w:left w:val="single" w:color="auto" w:sz="4" w:space="0"/>
              <w:bottom w:val="single" w:color="auto" w:sz="4" w:space="0"/>
              <w:right w:val="single" w:color="auto" w:sz="4" w:space="0"/>
            </w:tcBorders>
            <w:vAlign w:val="center"/>
          </w:tcPr>
          <w:p w14:paraId="0E1CA82C">
            <w:pPr>
              <w:spacing w:line="360" w:lineRule="auto"/>
              <w:rPr>
                <w:rFonts w:ascii="宋体" w:hAnsi="宋体" w:eastAsia="宋体" w:cs="Times New Roman"/>
                <w:bCs/>
                <w:kern w:val="2"/>
                <w:sz w:val="24"/>
              </w:rPr>
            </w:pPr>
            <w:r>
              <w:rPr>
                <w:rFonts w:hint="eastAsia" w:ascii="宋体" w:hAnsi="宋体" w:eastAsia="宋体" w:cs="Times New Roman"/>
                <w:bCs/>
                <w:kern w:val="2"/>
                <w:sz w:val="24"/>
              </w:rPr>
              <w:t>形象佳，综合素质过硬，处置问题能力强。</w:t>
            </w:r>
          </w:p>
        </w:tc>
        <w:tc>
          <w:tcPr>
            <w:tcW w:w="759" w:type="dxa"/>
            <w:tcBorders>
              <w:top w:val="single" w:color="auto" w:sz="4" w:space="0"/>
              <w:left w:val="single" w:color="auto" w:sz="4" w:space="0"/>
              <w:bottom w:val="single" w:color="auto" w:sz="4" w:space="0"/>
              <w:right w:val="single" w:color="auto" w:sz="4" w:space="0"/>
            </w:tcBorders>
            <w:vAlign w:val="center"/>
          </w:tcPr>
          <w:p w14:paraId="34A99571">
            <w:pPr>
              <w:spacing w:line="360" w:lineRule="auto"/>
              <w:jc w:val="center"/>
              <w:rPr>
                <w:rFonts w:ascii="宋体" w:hAnsi="宋体" w:eastAsia="宋体" w:cs="Times New Roman"/>
                <w:bCs/>
                <w:kern w:val="2"/>
                <w:sz w:val="24"/>
              </w:rPr>
            </w:pPr>
          </w:p>
        </w:tc>
      </w:tr>
      <w:tr w14:paraId="7013C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2376" w:type="dxa"/>
            <w:vMerge w:val="continue"/>
            <w:tcBorders>
              <w:top w:val="single" w:color="auto" w:sz="4" w:space="0"/>
              <w:left w:val="single" w:color="auto" w:sz="4" w:space="0"/>
              <w:bottom w:val="single" w:color="auto" w:sz="4" w:space="0"/>
              <w:right w:val="single" w:color="auto" w:sz="4" w:space="0"/>
            </w:tcBorders>
            <w:vAlign w:val="center"/>
          </w:tcPr>
          <w:p w14:paraId="50AC5466">
            <w:pPr>
              <w:widowControl/>
              <w:jc w:val="left"/>
              <w:rPr>
                <w:rFonts w:ascii="宋体" w:hAnsi="宋体" w:eastAsia="宋体" w:cs="Times New Roman"/>
                <w:bCs/>
                <w:kern w:val="2"/>
                <w:sz w:val="24"/>
              </w:rPr>
            </w:pPr>
          </w:p>
        </w:tc>
        <w:tc>
          <w:tcPr>
            <w:tcW w:w="1355" w:type="dxa"/>
            <w:tcBorders>
              <w:top w:val="single" w:color="auto" w:sz="4" w:space="0"/>
              <w:left w:val="single" w:color="auto" w:sz="4" w:space="0"/>
              <w:bottom w:val="single" w:color="auto" w:sz="4" w:space="0"/>
              <w:right w:val="single" w:color="auto" w:sz="4" w:space="0"/>
            </w:tcBorders>
            <w:vAlign w:val="center"/>
          </w:tcPr>
          <w:p w14:paraId="7AC7F915">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着装</w:t>
            </w:r>
          </w:p>
        </w:tc>
        <w:tc>
          <w:tcPr>
            <w:tcW w:w="5387" w:type="dxa"/>
            <w:tcBorders>
              <w:top w:val="single" w:color="auto" w:sz="4" w:space="0"/>
              <w:left w:val="single" w:color="auto" w:sz="4" w:space="0"/>
              <w:bottom w:val="single" w:color="auto" w:sz="4" w:space="0"/>
              <w:right w:val="single" w:color="auto" w:sz="4" w:space="0"/>
            </w:tcBorders>
            <w:vAlign w:val="center"/>
          </w:tcPr>
          <w:p w14:paraId="303D35C2">
            <w:pPr>
              <w:spacing w:line="360" w:lineRule="auto"/>
              <w:rPr>
                <w:rFonts w:ascii="宋体" w:hAnsi="宋体" w:eastAsia="宋体" w:cs="Times New Roman"/>
                <w:bCs/>
                <w:kern w:val="2"/>
                <w:sz w:val="24"/>
              </w:rPr>
            </w:pPr>
            <w:r>
              <w:rPr>
                <w:rFonts w:hint="eastAsia" w:ascii="宋体" w:hAnsi="宋体" w:eastAsia="宋体" w:cs="Times New Roman"/>
                <w:bCs/>
                <w:kern w:val="2"/>
                <w:sz w:val="24"/>
              </w:rPr>
              <w:t>着装统一制服，服装整洁合体，穿戴整齐（佩带工号牌或工作证）</w:t>
            </w:r>
          </w:p>
        </w:tc>
        <w:tc>
          <w:tcPr>
            <w:tcW w:w="759" w:type="dxa"/>
            <w:tcBorders>
              <w:top w:val="single" w:color="auto" w:sz="4" w:space="0"/>
              <w:left w:val="single" w:color="auto" w:sz="4" w:space="0"/>
              <w:bottom w:val="single" w:color="auto" w:sz="4" w:space="0"/>
              <w:right w:val="single" w:color="auto" w:sz="4" w:space="0"/>
            </w:tcBorders>
            <w:vAlign w:val="center"/>
          </w:tcPr>
          <w:p w14:paraId="5FDA2057">
            <w:pPr>
              <w:spacing w:line="360" w:lineRule="auto"/>
              <w:jc w:val="center"/>
              <w:rPr>
                <w:rFonts w:ascii="宋体" w:hAnsi="宋体" w:eastAsia="宋体" w:cs="Times New Roman"/>
                <w:bCs/>
                <w:kern w:val="2"/>
                <w:sz w:val="24"/>
              </w:rPr>
            </w:pPr>
          </w:p>
        </w:tc>
      </w:tr>
      <w:tr w14:paraId="2BEF1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2376" w:type="dxa"/>
            <w:vMerge w:val="continue"/>
            <w:tcBorders>
              <w:top w:val="single" w:color="auto" w:sz="4" w:space="0"/>
              <w:left w:val="single" w:color="auto" w:sz="4" w:space="0"/>
              <w:bottom w:val="single" w:color="auto" w:sz="4" w:space="0"/>
              <w:right w:val="single" w:color="auto" w:sz="4" w:space="0"/>
            </w:tcBorders>
            <w:vAlign w:val="center"/>
          </w:tcPr>
          <w:p w14:paraId="67342F8D">
            <w:pPr>
              <w:widowControl/>
              <w:jc w:val="left"/>
              <w:rPr>
                <w:rFonts w:ascii="宋体" w:hAnsi="宋体" w:eastAsia="宋体" w:cs="Times New Roman"/>
                <w:bCs/>
                <w:kern w:val="2"/>
                <w:sz w:val="24"/>
              </w:rPr>
            </w:pPr>
          </w:p>
        </w:tc>
        <w:tc>
          <w:tcPr>
            <w:tcW w:w="1355" w:type="dxa"/>
            <w:tcBorders>
              <w:top w:val="single" w:color="auto" w:sz="4" w:space="0"/>
              <w:left w:val="single" w:color="auto" w:sz="4" w:space="0"/>
              <w:bottom w:val="single" w:color="auto" w:sz="4" w:space="0"/>
              <w:right w:val="single" w:color="auto" w:sz="4" w:space="0"/>
            </w:tcBorders>
            <w:vAlign w:val="center"/>
          </w:tcPr>
          <w:p w14:paraId="6AFEB5A3">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仪容</w:t>
            </w:r>
          </w:p>
        </w:tc>
        <w:tc>
          <w:tcPr>
            <w:tcW w:w="5387" w:type="dxa"/>
            <w:tcBorders>
              <w:top w:val="single" w:color="auto" w:sz="4" w:space="0"/>
              <w:left w:val="single" w:color="auto" w:sz="4" w:space="0"/>
              <w:bottom w:val="single" w:color="auto" w:sz="4" w:space="0"/>
              <w:right w:val="single" w:color="auto" w:sz="4" w:space="0"/>
            </w:tcBorders>
            <w:vAlign w:val="center"/>
          </w:tcPr>
          <w:p w14:paraId="7BDEB118">
            <w:pPr>
              <w:spacing w:line="360" w:lineRule="auto"/>
              <w:rPr>
                <w:rFonts w:ascii="宋体" w:hAnsi="宋体" w:eastAsia="宋体" w:cs="Times New Roman"/>
                <w:bCs/>
                <w:kern w:val="2"/>
                <w:sz w:val="24"/>
              </w:rPr>
            </w:pPr>
            <w:r>
              <w:rPr>
                <w:rFonts w:hint="eastAsia" w:ascii="宋体" w:hAnsi="宋体" w:eastAsia="宋体" w:cs="Times New Roman"/>
                <w:bCs/>
                <w:kern w:val="2"/>
                <w:sz w:val="24"/>
              </w:rPr>
              <w:t>仪容端正，精神饱满，不留胡须，不留长发，头发整洁；</w:t>
            </w:r>
          </w:p>
        </w:tc>
        <w:tc>
          <w:tcPr>
            <w:tcW w:w="759" w:type="dxa"/>
            <w:tcBorders>
              <w:top w:val="single" w:color="auto" w:sz="4" w:space="0"/>
              <w:left w:val="single" w:color="auto" w:sz="4" w:space="0"/>
              <w:bottom w:val="single" w:color="auto" w:sz="4" w:space="0"/>
              <w:right w:val="single" w:color="auto" w:sz="4" w:space="0"/>
            </w:tcBorders>
            <w:vAlign w:val="center"/>
          </w:tcPr>
          <w:p w14:paraId="3336ACFA">
            <w:pPr>
              <w:spacing w:line="360" w:lineRule="auto"/>
              <w:jc w:val="center"/>
              <w:rPr>
                <w:rFonts w:ascii="宋体" w:hAnsi="宋体" w:eastAsia="宋体" w:cs="Times New Roman"/>
                <w:bCs/>
                <w:kern w:val="2"/>
                <w:sz w:val="24"/>
              </w:rPr>
            </w:pPr>
          </w:p>
        </w:tc>
      </w:tr>
      <w:tr w14:paraId="2915F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2376" w:type="dxa"/>
            <w:vMerge w:val="continue"/>
            <w:tcBorders>
              <w:top w:val="single" w:color="auto" w:sz="4" w:space="0"/>
              <w:left w:val="single" w:color="auto" w:sz="4" w:space="0"/>
              <w:bottom w:val="single" w:color="auto" w:sz="4" w:space="0"/>
              <w:right w:val="single" w:color="auto" w:sz="4" w:space="0"/>
            </w:tcBorders>
            <w:vAlign w:val="center"/>
          </w:tcPr>
          <w:p w14:paraId="05D14762">
            <w:pPr>
              <w:widowControl/>
              <w:jc w:val="left"/>
              <w:rPr>
                <w:rFonts w:ascii="宋体" w:hAnsi="宋体" w:eastAsia="宋体" w:cs="Times New Roman"/>
                <w:bCs/>
                <w:kern w:val="2"/>
                <w:sz w:val="24"/>
              </w:rPr>
            </w:pPr>
          </w:p>
        </w:tc>
        <w:tc>
          <w:tcPr>
            <w:tcW w:w="1355" w:type="dxa"/>
            <w:tcBorders>
              <w:top w:val="single" w:color="auto" w:sz="4" w:space="0"/>
              <w:left w:val="single" w:color="auto" w:sz="4" w:space="0"/>
              <w:bottom w:val="single" w:color="auto" w:sz="4" w:space="0"/>
              <w:right w:val="single" w:color="auto" w:sz="4" w:space="0"/>
            </w:tcBorders>
            <w:vAlign w:val="center"/>
          </w:tcPr>
          <w:p w14:paraId="12406FE9">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行为举止</w:t>
            </w:r>
          </w:p>
        </w:tc>
        <w:tc>
          <w:tcPr>
            <w:tcW w:w="5387" w:type="dxa"/>
            <w:tcBorders>
              <w:top w:val="single" w:color="auto" w:sz="4" w:space="0"/>
              <w:left w:val="single" w:color="auto" w:sz="4" w:space="0"/>
              <w:bottom w:val="single" w:color="auto" w:sz="4" w:space="0"/>
              <w:right w:val="single" w:color="auto" w:sz="4" w:space="0"/>
            </w:tcBorders>
            <w:vAlign w:val="center"/>
          </w:tcPr>
          <w:p w14:paraId="7843461E">
            <w:pPr>
              <w:spacing w:line="360" w:lineRule="auto"/>
              <w:rPr>
                <w:rFonts w:ascii="宋体" w:hAnsi="宋体" w:eastAsia="宋体" w:cs="Times New Roman"/>
                <w:bCs/>
                <w:kern w:val="2"/>
                <w:sz w:val="24"/>
              </w:rPr>
            </w:pPr>
            <w:r>
              <w:rPr>
                <w:rFonts w:hint="eastAsia" w:ascii="宋体" w:hAnsi="宋体" w:eastAsia="宋体" w:cs="Times New Roman"/>
                <w:bCs/>
                <w:kern w:val="2"/>
                <w:sz w:val="24"/>
              </w:rPr>
              <w:t>姿态良好，抬头挺胸，不弯腰驼背、前倾后靠、伸懒腰；不袖手、背手、插手或将手插入衣袋；不准在当班时吸烟、吃零食、玩手机（统一保管）、看报纸杂志，不得哼歌曲、吹口哨、不得在当班前及当班期间饮酒等影响值班的行为；注意检查和保持仪表，但不得当众整理个人衣物；</w:t>
            </w:r>
          </w:p>
        </w:tc>
        <w:tc>
          <w:tcPr>
            <w:tcW w:w="759" w:type="dxa"/>
            <w:tcBorders>
              <w:top w:val="single" w:color="auto" w:sz="4" w:space="0"/>
              <w:left w:val="single" w:color="auto" w:sz="4" w:space="0"/>
              <w:bottom w:val="single" w:color="auto" w:sz="4" w:space="0"/>
              <w:right w:val="single" w:color="auto" w:sz="4" w:space="0"/>
            </w:tcBorders>
            <w:vAlign w:val="center"/>
          </w:tcPr>
          <w:p w14:paraId="46DCED95">
            <w:pPr>
              <w:spacing w:line="360" w:lineRule="auto"/>
              <w:jc w:val="center"/>
              <w:rPr>
                <w:rFonts w:ascii="宋体" w:hAnsi="宋体" w:eastAsia="宋体" w:cs="Times New Roman"/>
                <w:bCs/>
                <w:kern w:val="2"/>
                <w:sz w:val="24"/>
              </w:rPr>
            </w:pPr>
          </w:p>
        </w:tc>
      </w:tr>
      <w:tr w14:paraId="6AE53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2376" w:type="dxa"/>
            <w:vMerge w:val="continue"/>
            <w:tcBorders>
              <w:top w:val="single" w:color="auto" w:sz="4" w:space="0"/>
              <w:left w:val="single" w:color="auto" w:sz="4" w:space="0"/>
              <w:bottom w:val="single" w:color="auto" w:sz="4" w:space="0"/>
              <w:right w:val="single" w:color="auto" w:sz="4" w:space="0"/>
            </w:tcBorders>
            <w:vAlign w:val="center"/>
          </w:tcPr>
          <w:p w14:paraId="09B0906D">
            <w:pPr>
              <w:widowControl/>
              <w:jc w:val="left"/>
              <w:rPr>
                <w:rFonts w:ascii="宋体" w:hAnsi="宋体" w:eastAsia="宋体" w:cs="Times New Roman"/>
                <w:bCs/>
                <w:kern w:val="2"/>
                <w:sz w:val="24"/>
              </w:rPr>
            </w:pPr>
          </w:p>
        </w:tc>
        <w:tc>
          <w:tcPr>
            <w:tcW w:w="1355" w:type="dxa"/>
            <w:tcBorders>
              <w:top w:val="single" w:color="auto" w:sz="4" w:space="0"/>
              <w:left w:val="single" w:color="auto" w:sz="4" w:space="0"/>
              <w:bottom w:val="single" w:color="auto" w:sz="4" w:space="0"/>
              <w:right w:val="single" w:color="auto" w:sz="4" w:space="0"/>
            </w:tcBorders>
            <w:vAlign w:val="center"/>
          </w:tcPr>
          <w:p w14:paraId="2A40AEF1">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技能状况</w:t>
            </w:r>
          </w:p>
        </w:tc>
        <w:tc>
          <w:tcPr>
            <w:tcW w:w="5387" w:type="dxa"/>
            <w:tcBorders>
              <w:top w:val="single" w:color="auto" w:sz="4" w:space="0"/>
              <w:left w:val="single" w:color="auto" w:sz="4" w:space="0"/>
              <w:bottom w:val="single" w:color="auto" w:sz="4" w:space="0"/>
              <w:right w:val="single" w:color="auto" w:sz="4" w:space="0"/>
            </w:tcBorders>
            <w:vAlign w:val="center"/>
          </w:tcPr>
          <w:p w14:paraId="6EBBF38D">
            <w:pPr>
              <w:spacing w:line="360" w:lineRule="auto"/>
              <w:rPr>
                <w:rFonts w:ascii="宋体" w:hAnsi="宋体" w:eastAsia="宋体" w:cs="Times New Roman"/>
                <w:bCs/>
                <w:kern w:val="2"/>
                <w:sz w:val="24"/>
              </w:rPr>
            </w:pPr>
            <w:r>
              <w:rPr>
                <w:rFonts w:hint="eastAsia" w:ascii="宋体" w:hAnsi="宋体" w:eastAsia="宋体" w:cs="Times New Roman"/>
                <w:bCs/>
                <w:kern w:val="2"/>
                <w:sz w:val="24"/>
              </w:rPr>
              <w:t>熟知并遵守规章制度；体能训练合格达标；熟知大楼各类设备，能正确使用消防设施。</w:t>
            </w:r>
          </w:p>
        </w:tc>
        <w:tc>
          <w:tcPr>
            <w:tcW w:w="759" w:type="dxa"/>
            <w:tcBorders>
              <w:top w:val="single" w:color="auto" w:sz="4" w:space="0"/>
              <w:left w:val="single" w:color="auto" w:sz="4" w:space="0"/>
              <w:bottom w:val="single" w:color="auto" w:sz="4" w:space="0"/>
              <w:right w:val="single" w:color="auto" w:sz="4" w:space="0"/>
            </w:tcBorders>
            <w:vAlign w:val="center"/>
          </w:tcPr>
          <w:p w14:paraId="317B94F6">
            <w:pPr>
              <w:spacing w:line="360" w:lineRule="auto"/>
              <w:jc w:val="center"/>
              <w:rPr>
                <w:rFonts w:ascii="宋体" w:hAnsi="宋体" w:eastAsia="宋体" w:cs="Times New Roman"/>
                <w:bCs/>
                <w:kern w:val="2"/>
                <w:sz w:val="24"/>
              </w:rPr>
            </w:pPr>
          </w:p>
        </w:tc>
      </w:tr>
      <w:tr w14:paraId="4447C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7" w:hRule="atLeast"/>
          <w:jc w:val="center"/>
        </w:trPr>
        <w:tc>
          <w:tcPr>
            <w:tcW w:w="2376" w:type="dxa"/>
            <w:vMerge w:val="continue"/>
            <w:tcBorders>
              <w:top w:val="single" w:color="auto" w:sz="4" w:space="0"/>
              <w:left w:val="single" w:color="auto" w:sz="4" w:space="0"/>
              <w:bottom w:val="single" w:color="auto" w:sz="4" w:space="0"/>
              <w:right w:val="single" w:color="auto" w:sz="4" w:space="0"/>
            </w:tcBorders>
            <w:vAlign w:val="center"/>
          </w:tcPr>
          <w:p w14:paraId="3D7AD1B3">
            <w:pPr>
              <w:widowControl/>
              <w:jc w:val="left"/>
              <w:rPr>
                <w:rFonts w:ascii="宋体" w:hAnsi="宋体" w:eastAsia="宋体" w:cs="Times New Roman"/>
                <w:bCs/>
                <w:kern w:val="2"/>
                <w:sz w:val="24"/>
              </w:rPr>
            </w:pPr>
          </w:p>
        </w:tc>
        <w:tc>
          <w:tcPr>
            <w:tcW w:w="1355" w:type="dxa"/>
            <w:tcBorders>
              <w:top w:val="single" w:color="auto" w:sz="4" w:space="0"/>
              <w:left w:val="single" w:color="auto" w:sz="4" w:space="0"/>
              <w:bottom w:val="single" w:color="auto" w:sz="4" w:space="0"/>
              <w:right w:val="single" w:color="auto" w:sz="4" w:space="0"/>
            </w:tcBorders>
            <w:vAlign w:val="center"/>
          </w:tcPr>
          <w:p w14:paraId="7C311CAE">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服务态度</w:t>
            </w:r>
          </w:p>
        </w:tc>
        <w:tc>
          <w:tcPr>
            <w:tcW w:w="5387" w:type="dxa"/>
            <w:tcBorders>
              <w:top w:val="single" w:color="auto" w:sz="4" w:space="0"/>
              <w:left w:val="single" w:color="auto" w:sz="4" w:space="0"/>
              <w:bottom w:val="single" w:color="auto" w:sz="4" w:space="0"/>
              <w:right w:val="single" w:color="auto" w:sz="4" w:space="0"/>
            </w:tcBorders>
            <w:vAlign w:val="center"/>
          </w:tcPr>
          <w:p w14:paraId="5D26EDCC">
            <w:pPr>
              <w:spacing w:line="360" w:lineRule="auto"/>
              <w:rPr>
                <w:rFonts w:ascii="宋体" w:hAnsi="宋体" w:eastAsia="宋体" w:cs="Times New Roman"/>
                <w:bCs/>
                <w:kern w:val="2"/>
                <w:sz w:val="24"/>
              </w:rPr>
            </w:pPr>
            <w:r>
              <w:rPr>
                <w:rFonts w:hint="eastAsia" w:ascii="宋体" w:hAnsi="宋体" w:eastAsia="宋体" w:cs="Times New Roman"/>
                <w:bCs/>
                <w:kern w:val="2"/>
                <w:sz w:val="24"/>
              </w:rPr>
              <w:t>说话和气，礼貌待人，使用服务用语与服务对象交流；微笑服务，主动、热情、耐心、周到；不发生争吵、打斗事件；处理违章，文明礼貌，及时有效，机动灵活，不失原则。</w:t>
            </w:r>
          </w:p>
        </w:tc>
        <w:tc>
          <w:tcPr>
            <w:tcW w:w="759" w:type="dxa"/>
            <w:tcBorders>
              <w:top w:val="single" w:color="auto" w:sz="4" w:space="0"/>
              <w:left w:val="single" w:color="auto" w:sz="4" w:space="0"/>
              <w:bottom w:val="single" w:color="auto" w:sz="4" w:space="0"/>
              <w:right w:val="single" w:color="auto" w:sz="4" w:space="0"/>
            </w:tcBorders>
            <w:vAlign w:val="center"/>
          </w:tcPr>
          <w:p w14:paraId="3B973305">
            <w:pPr>
              <w:spacing w:line="360" w:lineRule="auto"/>
              <w:jc w:val="center"/>
              <w:rPr>
                <w:rFonts w:ascii="宋体" w:hAnsi="宋体" w:eastAsia="宋体" w:cs="Times New Roman"/>
                <w:bCs/>
                <w:kern w:val="2"/>
                <w:sz w:val="24"/>
              </w:rPr>
            </w:pPr>
          </w:p>
        </w:tc>
      </w:tr>
    </w:tbl>
    <w:p w14:paraId="2718D387">
      <w:pPr>
        <w:autoSpaceDE w:val="0"/>
        <w:autoSpaceDN w:val="0"/>
        <w:adjustRightInd w:val="0"/>
        <w:spacing w:line="360" w:lineRule="auto"/>
        <w:jc w:val="left"/>
        <w:rPr>
          <w:rFonts w:ascii="宋体" w:hAnsi="宋体" w:eastAsia="宋体" w:cs="Times New Roman"/>
          <w:bCs/>
          <w:color w:val="000000"/>
          <w:sz w:val="24"/>
          <w:szCs w:val="24"/>
        </w:rPr>
      </w:pPr>
    </w:p>
    <w:p w14:paraId="23C8FB68">
      <w:pPr>
        <w:pStyle w:val="196"/>
      </w:pP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6174"/>
        <w:gridCol w:w="1503"/>
      </w:tblGrid>
      <w:tr w14:paraId="56D3D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14:paraId="6D96B2B7">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项目</w:t>
            </w:r>
          </w:p>
        </w:tc>
        <w:tc>
          <w:tcPr>
            <w:tcW w:w="6174" w:type="dxa"/>
            <w:tcBorders>
              <w:top w:val="single" w:color="auto" w:sz="4" w:space="0"/>
              <w:left w:val="single" w:color="auto" w:sz="4" w:space="0"/>
              <w:bottom w:val="single" w:color="auto" w:sz="4" w:space="0"/>
              <w:right w:val="single" w:color="auto" w:sz="4" w:space="0"/>
            </w:tcBorders>
            <w:vAlign w:val="center"/>
          </w:tcPr>
          <w:p w14:paraId="08D4B2F2">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验收标准</w:t>
            </w:r>
          </w:p>
        </w:tc>
        <w:tc>
          <w:tcPr>
            <w:tcW w:w="1503" w:type="dxa"/>
            <w:tcBorders>
              <w:top w:val="single" w:color="auto" w:sz="4" w:space="0"/>
              <w:left w:val="single" w:color="auto" w:sz="4" w:space="0"/>
              <w:bottom w:val="single" w:color="auto" w:sz="4" w:space="0"/>
              <w:right w:val="single" w:color="auto" w:sz="4" w:space="0"/>
            </w:tcBorders>
          </w:tcPr>
          <w:p w14:paraId="46999C55">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备注</w:t>
            </w:r>
          </w:p>
        </w:tc>
      </w:tr>
      <w:tr w14:paraId="5BA4B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789" w:type="dxa"/>
            <w:vMerge w:val="restart"/>
            <w:tcBorders>
              <w:top w:val="single" w:color="auto" w:sz="4" w:space="0"/>
              <w:left w:val="single" w:color="auto" w:sz="4" w:space="0"/>
              <w:bottom w:val="single" w:color="auto" w:sz="4" w:space="0"/>
              <w:right w:val="single" w:color="auto" w:sz="4" w:space="0"/>
            </w:tcBorders>
            <w:vAlign w:val="center"/>
          </w:tcPr>
          <w:p w14:paraId="55A9C4D1">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门</w:t>
            </w:r>
          </w:p>
          <w:p w14:paraId="03AC0F52">
            <w:pPr>
              <w:spacing w:line="360" w:lineRule="auto"/>
              <w:jc w:val="center"/>
              <w:rPr>
                <w:rFonts w:ascii="宋体" w:hAnsi="宋体" w:eastAsia="宋体" w:cs="Times New Roman"/>
                <w:bCs/>
                <w:kern w:val="2"/>
                <w:sz w:val="24"/>
              </w:rPr>
            </w:pPr>
          </w:p>
          <w:p w14:paraId="06D65A58">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岗</w:t>
            </w:r>
          </w:p>
          <w:p w14:paraId="591EB82F">
            <w:pPr>
              <w:spacing w:line="360" w:lineRule="auto"/>
              <w:rPr>
                <w:rFonts w:ascii="宋体" w:hAnsi="宋体" w:eastAsia="宋体" w:cs="Times New Roman"/>
                <w:bCs/>
                <w:kern w:val="2"/>
                <w:sz w:val="24"/>
              </w:rPr>
            </w:pPr>
          </w:p>
          <w:p w14:paraId="020D309B">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服</w:t>
            </w:r>
          </w:p>
          <w:p w14:paraId="1CE33D8F">
            <w:pPr>
              <w:spacing w:line="360" w:lineRule="auto"/>
              <w:jc w:val="center"/>
              <w:rPr>
                <w:rFonts w:ascii="宋体" w:hAnsi="宋体" w:eastAsia="宋体" w:cs="Times New Roman"/>
                <w:bCs/>
                <w:kern w:val="2"/>
                <w:sz w:val="24"/>
              </w:rPr>
            </w:pPr>
          </w:p>
          <w:p w14:paraId="449E06BA">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务</w:t>
            </w:r>
          </w:p>
          <w:p w14:paraId="0FDDDBA5">
            <w:pPr>
              <w:spacing w:line="360" w:lineRule="auto"/>
              <w:jc w:val="center"/>
              <w:rPr>
                <w:rFonts w:ascii="宋体" w:hAnsi="宋体" w:eastAsia="宋体" w:cs="Times New Roman"/>
                <w:bCs/>
                <w:kern w:val="2"/>
                <w:sz w:val="24"/>
              </w:rPr>
            </w:pPr>
          </w:p>
        </w:tc>
        <w:tc>
          <w:tcPr>
            <w:tcW w:w="6174" w:type="dxa"/>
            <w:tcBorders>
              <w:top w:val="single" w:color="auto" w:sz="4" w:space="0"/>
              <w:left w:val="single" w:color="auto" w:sz="4" w:space="0"/>
              <w:bottom w:val="single" w:color="auto" w:sz="4" w:space="0"/>
              <w:right w:val="single" w:color="auto" w:sz="4" w:space="0"/>
            </w:tcBorders>
            <w:vAlign w:val="center"/>
          </w:tcPr>
          <w:p w14:paraId="0DDE9CF7">
            <w:pPr>
              <w:spacing w:line="360" w:lineRule="auto"/>
              <w:rPr>
                <w:rFonts w:ascii="宋体" w:hAnsi="宋体" w:eastAsia="宋体" w:cs="Times New Roman"/>
                <w:bCs/>
                <w:kern w:val="2"/>
                <w:sz w:val="24"/>
              </w:rPr>
            </w:pPr>
            <w:r>
              <w:rPr>
                <w:rFonts w:hint="eastAsia" w:ascii="宋体" w:hAnsi="宋体" w:eastAsia="宋体" w:cs="Times New Roman"/>
                <w:bCs/>
                <w:kern w:val="2"/>
                <w:sz w:val="24"/>
              </w:rPr>
              <w:t>1.着装整齐、佩戴齐全，按规定时间上岗交接班。</w:t>
            </w:r>
          </w:p>
        </w:tc>
        <w:tc>
          <w:tcPr>
            <w:tcW w:w="1503" w:type="dxa"/>
            <w:tcBorders>
              <w:top w:val="single" w:color="auto" w:sz="4" w:space="0"/>
              <w:left w:val="single" w:color="auto" w:sz="4" w:space="0"/>
              <w:bottom w:val="single" w:color="auto" w:sz="4" w:space="0"/>
              <w:right w:val="single" w:color="auto" w:sz="4" w:space="0"/>
            </w:tcBorders>
          </w:tcPr>
          <w:p w14:paraId="3D8DC28A">
            <w:pPr>
              <w:spacing w:line="360" w:lineRule="auto"/>
              <w:rPr>
                <w:rFonts w:ascii="宋体" w:hAnsi="宋体" w:eastAsia="宋体" w:cs="Times New Roman"/>
                <w:bCs/>
                <w:kern w:val="2"/>
                <w:sz w:val="24"/>
              </w:rPr>
            </w:pPr>
            <w:r>
              <w:rPr>
                <w:rFonts w:hint="eastAsia" w:ascii="宋体" w:hAnsi="宋体" w:eastAsia="宋体" w:cs="Times New Roman"/>
                <w:bCs/>
                <w:kern w:val="2"/>
                <w:sz w:val="24"/>
              </w:rPr>
              <w:t>24小时值班，立岗时间7：30至18：30</w:t>
            </w:r>
          </w:p>
        </w:tc>
      </w:tr>
      <w:tr w14:paraId="50BB3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789" w:type="dxa"/>
            <w:vMerge w:val="continue"/>
            <w:tcBorders>
              <w:top w:val="single" w:color="auto" w:sz="4" w:space="0"/>
              <w:left w:val="single" w:color="auto" w:sz="4" w:space="0"/>
              <w:bottom w:val="single" w:color="auto" w:sz="4" w:space="0"/>
              <w:right w:val="single" w:color="auto" w:sz="4" w:space="0"/>
            </w:tcBorders>
            <w:vAlign w:val="center"/>
          </w:tcPr>
          <w:p w14:paraId="066E9CD0">
            <w:pPr>
              <w:widowControl/>
              <w:jc w:val="left"/>
              <w:rPr>
                <w:rFonts w:ascii="宋体" w:hAnsi="宋体" w:eastAsia="宋体" w:cs="Times New Roman"/>
                <w:bCs/>
                <w:kern w:val="2"/>
                <w:sz w:val="24"/>
              </w:rPr>
            </w:pPr>
          </w:p>
        </w:tc>
        <w:tc>
          <w:tcPr>
            <w:tcW w:w="6174" w:type="dxa"/>
            <w:tcBorders>
              <w:top w:val="single" w:color="auto" w:sz="4" w:space="0"/>
              <w:left w:val="single" w:color="auto" w:sz="4" w:space="0"/>
              <w:bottom w:val="single" w:color="auto" w:sz="4" w:space="0"/>
              <w:right w:val="single" w:color="auto" w:sz="4" w:space="0"/>
            </w:tcBorders>
            <w:vAlign w:val="center"/>
          </w:tcPr>
          <w:p w14:paraId="09863215">
            <w:pPr>
              <w:spacing w:line="360" w:lineRule="auto"/>
              <w:rPr>
                <w:rFonts w:ascii="宋体" w:hAnsi="宋体" w:eastAsia="宋体" w:cs="Times New Roman"/>
                <w:bCs/>
                <w:kern w:val="2"/>
                <w:sz w:val="24"/>
              </w:rPr>
            </w:pPr>
            <w:r>
              <w:rPr>
                <w:rFonts w:hint="eastAsia" w:ascii="宋体" w:hAnsi="宋体" w:eastAsia="宋体" w:cs="Times New Roman"/>
                <w:bCs/>
                <w:kern w:val="2"/>
                <w:sz w:val="24"/>
              </w:rPr>
              <w:t>2.交接班时应互相问候并敬礼，按正规交接形式交接班。</w:t>
            </w:r>
          </w:p>
        </w:tc>
        <w:tc>
          <w:tcPr>
            <w:tcW w:w="1503" w:type="dxa"/>
            <w:tcBorders>
              <w:top w:val="single" w:color="auto" w:sz="4" w:space="0"/>
              <w:left w:val="single" w:color="auto" w:sz="4" w:space="0"/>
              <w:bottom w:val="single" w:color="auto" w:sz="4" w:space="0"/>
              <w:right w:val="single" w:color="auto" w:sz="4" w:space="0"/>
            </w:tcBorders>
          </w:tcPr>
          <w:p w14:paraId="05EB5E98">
            <w:pPr>
              <w:spacing w:line="360" w:lineRule="auto"/>
              <w:rPr>
                <w:rFonts w:ascii="宋体" w:hAnsi="宋体" w:eastAsia="宋体" w:cs="Times New Roman"/>
                <w:bCs/>
                <w:kern w:val="2"/>
                <w:sz w:val="24"/>
              </w:rPr>
            </w:pPr>
          </w:p>
        </w:tc>
      </w:tr>
      <w:tr w14:paraId="734D5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jc w:val="center"/>
        </w:trPr>
        <w:tc>
          <w:tcPr>
            <w:tcW w:w="789" w:type="dxa"/>
            <w:vMerge w:val="continue"/>
            <w:tcBorders>
              <w:top w:val="single" w:color="auto" w:sz="4" w:space="0"/>
              <w:left w:val="single" w:color="auto" w:sz="4" w:space="0"/>
              <w:bottom w:val="single" w:color="auto" w:sz="4" w:space="0"/>
              <w:right w:val="single" w:color="auto" w:sz="4" w:space="0"/>
            </w:tcBorders>
            <w:vAlign w:val="center"/>
          </w:tcPr>
          <w:p w14:paraId="2992AAC8">
            <w:pPr>
              <w:widowControl/>
              <w:jc w:val="left"/>
              <w:rPr>
                <w:rFonts w:ascii="宋体" w:hAnsi="宋体" w:eastAsia="宋体" w:cs="Times New Roman"/>
                <w:bCs/>
                <w:kern w:val="2"/>
                <w:sz w:val="24"/>
              </w:rPr>
            </w:pPr>
          </w:p>
        </w:tc>
        <w:tc>
          <w:tcPr>
            <w:tcW w:w="6174" w:type="dxa"/>
            <w:tcBorders>
              <w:top w:val="single" w:color="auto" w:sz="4" w:space="0"/>
              <w:left w:val="single" w:color="auto" w:sz="4" w:space="0"/>
              <w:bottom w:val="single" w:color="auto" w:sz="4" w:space="0"/>
              <w:right w:val="single" w:color="auto" w:sz="4" w:space="0"/>
            </w:tcBorders>
            <w:vAlign w:val="center"/>
          </w:tcPr>
          <w:p w14:paraId="6728EF72">
            <w:pPr>
              <w:spacing w:line="360" w:lineRule="auto"/>
              <w:rPr>
                <w:rFonts w:ascii="宋体" w:hAnsi="宋体" w:eastAsia="宋体" w:cs="Times New Roman"/>
                <w:bCs/>
                <w:kern w:val="2"/>
                <w:sz w:val="24"/>
              </w:rPr>
            </w:pPr>
            <w:r>
              <w:rPr>
                <w:rFonts w:hint="eastAsia" w:ascii="宋体" w:hAnsi="宋体" w:eastAsia="宋体" w:cs="Times New Roman"/>
                <w:bCs/>
                <w:kern w:val="2"/>
                <w:sz w:val="24"/>
              </w:rPr>
              <w:t>3.站岗动作规范、注意力集中；指挥动作准确、到位。</w:t>
            </w:r>
          </w:p>
        </w:tc>
        <w:tc>
          <w:tcPr>
            <w:tcW w:w="1503" w:type="dxa"/>
            <w:tcBorders>
              <w:top w:val="single" w:color="auto" w:sz="4" w:space="0"/>
              <w:left w:val="single" w:color="auto" w:sz="4" w:space="0"/>
              <w:bottom w:val="single" w:color="auto" w:sz="4" w:space="0"/>
              <w:right w:val="single" w:color="auto" w:sz="4" w:space="0"/>
            </w:tcBorders>
          </w:tcPr>
          <w:p w14:paraId="60FA7DD4">
            <w:pPr>
              <w:spacing w:line="360" w:lineRule="auto"/>
              <w:rPr>
                <w:rFonts w:ascii="宋体" w:hAnsi="宋体" w:eastAsia="宋体" w:cs="Times New Roman"/>
                <w:bCs/>
                <w:kern w:val="2"/>
                <w:sz w:val="24"/>
              </w:rPr>
            </w:pPr>
          </w:p>
        </w:tc>
      </w:tr>
      <w:tr w14:paraId="13966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789" w:type="dxa"/>
            <w:vMerge w:val="continue"/>
            <w:tcBorders>
              <w:top w:val="single" w:color="auto" w:sz="4" w:space="0"/>
              <w:left w:val="single" w:color="auto" w:sz="4" w:space="0"/>
              <w:bottom w:val="single" w:color="auto" w:sz="4" w:space="0"/>
              <w:right w:val="single" w:color="auto" w:sz="4" w:space="0"/>
            </w:tcBorders>
            <w:vAlign w:val="center"/>
          </w:tcPr>
          <w:p w14:paraId="44A16EF7">
            <w:pPr>
              <w:widowControl/>
              <w:jc w:val="left"/>
              <w:rPr>
                <w:rFonts w:ascii="宋体" w:hAnsi="宋体" w:eastAsia="宋体" w:cs="Times New Roman"/>
                <w:bCs/>
                <w:kern w:val="2"/>
                <w:sz w:val="24"/>
              </w:rPr>
            </w:pPr>
          </w:p>
        </w:tc>
        <w:tc>
          <w:tcPr>
            <w:tcW w:w="6174" w:type="dxa"/>
            <w:tcBorders>
              <w:top w:val="single" w:color="auto" w:sz="4" w:space="0"/>
              <w:left w:val="single" w:color="auto" w:sz="4" w:space="0"/>
              <w:bottom w:val="single" w:color="auto" w:sz="4" w:space="0"/>
              <w:right w:val="single" w:color="auto" w:sz="4" w:space="0"/>
            </w:tcBorders>
            <w:vAlign w:val="center"/>
          </w:tcPr>
          <w:p w14:paraId="124020AD">
            <w:pPr>
              <w:spacing w:line="360" w:lineRule="auto"/>
              <w:rPr>
                <w:rFonts w:ascii="宋体" w:hAnsi="宋体" w:eastAsia="宋体" w:cs="Times New Roman"/>
                <w:bCs/>
                <w:kern w:val="2"/>
                <w:sz w:val="24"/>
              </w:rPr>
            </w:pPr>
            <w:r>
              <w:rPr>
                <w:rFonts w:hint="eastAsia" w:ascii="宋体" w:hAnsi="宋体" w:eastAsia="宋体" w:cs="Times New Roman"/>
                <w:bCs/>
                <w:kern w:val="2"/>
                <w:sz w:val="24"/>
              </w:rPr>
              <w:t>4.访客进入办公楼大厅时应主动热情询问，问清来访事由及被访者单位、姓名，填写会客单，与被访者联系确认，指引访客前往要到达的楼层。</w:t>
            </w:r>
          </w:p>
        </w:tc>
        <w:tc>
          <w:tcPr>
            <w:tcW w:w="1503" w:type="dxa"/>
            <w:tcBorders>
              <w:top w:val="single" w:color="auto" w:sz="4" w:space="0"/>
              <w:left w:val="single" w:color="auto" w:sz="4" w:space="0"/>
              <w:bottom w:val="single" w:color="auto" w:sz="4" w:space="0"/>
              <w:right w:val="single" w:color="auto" w:sz="4" w:space="0"/>
            </w:tcBorders>
          </w:tcPr>
          <w:p w14:paraId="0B0E17EB">
            <w:pPr>
              <w:spacing w:line="360" w:lineRule="auto"/>
              <w:rPr>
                <w:rFonts w:ascii="宋体" w:hAnsi="宋体" w:eastAsia="宋体" w:cs="Times New Roman"/>
                <w:bCs/>
                <w:kern w:val="2"/>
                <w:sz w:val="24"/>
              </w:rPr>
            </w:pPr>
          </w:p>
        </w:tc>
      </w:tr>
      <w:tr w14:paraId="6E607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jc w:val="center"/>
        </w:trPr>
        <w:tc>
          <w:tcPr>
            <w:tcW w:w="789" w:type="dxa"/>
            <w:vMerge w:val="continue"/>
            <w:tcBorders>
              <w:top w:val="single" w:color="auto" w:sz="4" w:space="0"/>
              <w:left w:val="single" w:color="auto" w:sz="4" w:space="0"/>
              <w:bottom w:val="single" w:color="auto" w:sz="4" w:space="0"/>
              <w:right w:val="single" w:color="auto" w:sz="4" w:space="0"/>
            </w:tcBorders>
            <w:vAlign w:val="center"/>
          </w:tcPr>
          <w:p w14:paraId="1CDCA9BD">
            <w:pPr>
              <w:widowControl/>
              <w:jc w:val="left"/>
              <w:rPr>
                <w:rFonts w:ascii="宋体" w:hAnsi="宋体" w:eastAsia="宋体" w:cs="Times New Roman"/>
                <w:bCs/>
                <w:kern w:val="2"/>
                <w:sz w:val="24"/>
              </w:rPr>
            </w:pPr>
          </w:p>
        </w:tc>
        <w:tc>
          <w:tcPr>
            <w:tcW w:w="6174" w:type="dxa"/>
            <w:tcBorders>
              <w:top w:val="single" w:color="auto" w:sz="4" w:space="0"/>
              <w:left w:val="single" w:color="auto" w:sz="4" w:space="0"/>
              <w:bottom w:val="single" w:color="auto" w:sz="4" w:space="0"/>
              <w:right w:val="single" w:color="auto" w:sz="4" w:space="0"/>
            </w:tcBorders>
            <w:vAlign w:val="center"/>
          </w:tcPr>
          <w:p w14:paraId="1F073F9D">
            <w:pPr>
              <w:spacing w:line="360" w:lineRule="auto"/>
              <w:rPr>
                <w:rFonts w:ascii="宋体" w:hAnsi="宋体" w:eastAsia="宋体" w:cs="Times New Roman"/>
                <w:bCs/>
                <w:kern w:val="2"/>
                <w:sz w:val="24"/>
              </w:rPr>
            </w:pPr>
            <w:r>
              <w:rPr>
                <w:rFonts w:hint="eastAsia" w:ascii="宋体" w:hAnsi="宋体" w:eastAsia="宋体" w:cs="Times New Roman"/>
                <w:bCs/>
                <w:kern w:val="2"/>
                <w:sz w:val="24"/>
              </w:rPr>
              <w:t>5.按《车辆停放管理规定》对进出大门车辆实管理，及时疏导门口车辆，清理无关人员，维持大门正常秩序。</w:t>
            </w:r>
          </w:p>
        </w:tc>
        <w:tc>
          <w:tcPr>
            <w:tcW w:w="1503" w:type="dxa"/>
            <w:tcBorders>
              <w:top w:val="single" w:color="auto" w:sz="4" w:space="0"/>
              <w:left w:val="single" w:color="auto" w:sz="4" w:space="0"/>
              <w:bottom w:val="single" w:color="auto" w:sz="4" w:space="0"/>
              <w:right w:val="single" w:color="auto" w:sz="4" w:space="0"/>
            </w:tcBorders>
          </w:tcPr>
          <w:p w14:paraId="1760D03B">
            <w:pPr>
              <w:spacing w:line="360" w:lineRule="auto"/>
              <w:rPr>
                <w:rFonts w:ascii="宋体" w:hAnsi="宋体" w:eastAsia="宋体" w:cs="Times New Roman"/>
                <w:bCs/>
                <w:kern w:val="2"/>
                <w:sz w:val="24"/>
              </w:rPr>
            </w:pPr>
          </w:p>
        </w:tc>
      </w:tr>
      <w:tr w14:paraId="462B0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jc w:val="center"/>
        </w:trPr>
        <w:tc>
          <w:tcPr>
            <w:tcW w:w="789" w:type="dxa"/>
            <w:vMerge w:val="continue"/>
            <w:tcBorders>
              <w:top w:val="single" w:color="auto" w:sz="4" w:space="0"/>
              <w:left w:val="single" w:color="auto" w:sz="4" w:space="0"/>
              <w:bottom w:val="single" w:color="auto" w:sz="4" w:space="0"/>
              <w:right w:val="single" w:color="auto" w:sz="4" w:space="0"/>
            </w:tcBorders>
            <w:vAlign w:val="center"/>
          </w:tcPr>
          <w:p w14:paraId="7AB8B607">
            <w:pPr>
              <w:widowControl/>
              <w:jc w:val="left"/>
              <w:rPr>
                <w:rFonts w:ascii="宋体" w:hAnsi="宋体" w:eastAsia="宋体" w:cs="Times New Roman"/>
                <w:bCs/>
                <w:kern w:val="2"/>
                <w:sz w:val="24"/>
              </w:rPr>
            </w:pPr>
          </w:p>
        </w:tc>
        <w:tc>
          <w:tcPr>
            <w:tcW w:w="6174" w:type="dxa"/>
            <w:tcBorders>
              <w:top w:val="single" w:color="auto" w:sz="4" w:space="0"/>
              <w:left w:val="single" w:color="auto" w:sz="4" w:space="0"/>
              <w:bottom w:val="single" w:color="auto" w:sz="4" w:space="0"/>
              <w:right w:val="single" w:color="auto" w:sz="4" w:space="0"/>
            </w:tcBorders>
            <w:vAlign w:val="center"/>
          </w:tcPr>
          <w:p w14:paraId="43B497B7">
            <w:pPr>
              <w:spacing w:line="360" w:lineRule="auto"/>
              <w:rPr>
                <w:rFonts w:ascii="宋体" w:hAnsi="宋体" w:eastAsia="宋体" w:cs="Times New Roman"/>
                <w:bCs/>
                <w:kern w:val="2"/>
                <w:sz w:val="24"/>
              </w:rPr>
            </w:pPr>
            <w:r>
              <w:rPr>
                <w:rFonts w:hint="eastAsia" w:ascii="宋体" w:hAnsi="宋体" w:eastAsia="宋体" w:cs="Times New Roman"/>
                <w:bCs/>
                <w:kern w:val="2"/>
                <w:sz w:val="24"/>
              </w:rPr>
              <w:t>6.注意观察进出门的可疑人员，查验其证件，制止未经许可人员、推销员进入大院；节假日期间和非工作时间对进出车辆和人员进行询问并登记。</w:t>
            </w:r>
          </w:p>
        </w:tc>
        <w:tc>
          <w:tcPr>
            <w:tcW w:w="1503" w:type="dxa"/>
            <w:tcBorders>
              <w:top w:val="single" w:color="auto" w:sz="4" w:space="0"/>
              <w:left w:val="single" w:color="auto" w:sz="4" w:space="0"/>
              <w:bottom w:val="single" w:color="auto" w:sz="4" w:space="0"/>
              <w:right w:val="single" w:color="auto" w:sz="4" w:space="0"/>
            </w:tcBorders>
          </w:tcPr>
          <w:p w14:paraId="1171E948">
            <w:pPr>
              <w:spacing w:line="360" w:lineRule="auto"/>
              <w:rPr>
                <w:rFonts w:ascii="宋体" w:hAnsi="宋体" w:eastAsia="宋体" w:cs="Times New Roman"/>
                <w:bCs/>
                <w:kern w:val="2"/>
                <w:sz w:val="24"/>
              </w:rPr>
            </w:pPr>
          </w:p>
        </w:tc>
      </w:tr>
      <w:tr w14:paraId="3B986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789" w:type="dxa"/>
            <w:vMerge w:val="continue"/>
            <w:tcBorders>
              <w:top w:val="single" w:color="auto" w:sz="4" w:space="0"/>
              <w:left w:val="single" w:color="auto" w:sz="4" w:space="0"/>
              <w:bottom w:val="single" w:color="auto" w:sz="4" w:space="0"/>
              <w:right w:val="single" w:color="auto" w:sz="4" w:space="0"/>
            </w:tcBorders>
            <w:vAlign w:val="center"/>
          </w:tcPr>
          <w:p w14:paraId="40EC75A3">
            <w:pPr>
              <w:widowControl/>
              <w:jc w:val="left"/>
              <w:rPr>
                <w:rFonts w:ascii="宋体" w:hAnsi="宋体" w:eastAsia="宋体" w:cs="Times New Roman"/>
                <w:bCs/>
                <w:kern w:val="2"/>
                <w:sz w:val="24"/>
              </w:rPr>
            </w:pPr>
          </w:p>
        </w:tc>
        <w:tc>
          <w:tcPr>
            <w:tcW w:w="6174" w:type="dxa"/>
            <w:tcBorders>
              <w:top w:val="single" w:color="auto" w:sz="4" w:space="0"/>
              <w:left w:val="single" w:color="auto" w:sz="4" w:space="0"/>
              <w:bottom w:val="single" w:color="auto" w:sz="4" w:space="0"/>
              <w:right w:val="single" w:color="auto" w:sz="4" w:space="0"/>
            </w:tcBorders>
            <w:vAlign w:val="center"/>
          </w:tcPr>
          <w:p w14:paraId="40F962D5">
            <w:pPr>
              <w:spacing w:line="360" w:lineRule="auto"/>
              <w:rPr>
                <w:rFonts w:ascii="宋体" w:hAnsi="宋体" w:eastAsia="宋体" w:cs="Times New Roman"/>
                <w:bCs/>
                <w:kern w:val="2"/>
                <w:sz w:val="24"/>
              </w:rPr>
            </w:pPr>
            <w:r>
              <w:rPr>
                <w:rFonts w:hint="eastAsia" w:ascii="宋体" w:hAnsi="宋体" w:eastAsia="宋体" w:cs="Times New Roman"/>
                <w:bCs/>
                <w:kern w:val="2"/>
                <w:sz w:val="24"/>
              </w:rPr>
              <w:t>7.物品出门，负责查验物品与《物品出门证》所列是否相符，无《物品出门证》或物证不符，应上报相关部门，查明原因后补齐手续再放行。</w:t>
            </w:r>
          </w:p>
        </w:tc>
        <w:tc>
          <w:tcPr>
            <w:tcW w:w="1503" w:type="dxa"/>
            <w:tcBorders>
              <w:top w:val="single" w:color="auto" w:sz="4" w:space="0"/>
              <w:left w:val="single" w:color="auto" w:sz="4" w:space="0"/>
              <w:bottom w:val="single" w:color="auto" w:sz="4" w:space="0"/>
              <w:right w:val="single" w:color="auto" w:sz="4" w:space="0"/>
            </w:tcBorders>
          </w:tcPr>
          <w:p w14:paraId="09D93FF4">
            <w:pPr>
              <w:spacing w:line="360" w:lineRule="auto"/>
              <w:rPr>
                <w:rFonts w:ascii="宋体" w:hAnsi="宋体" w:eastAsia="宋体" w:cs="Times New Roman"/>
                <w:bCs/>
                <w:kern w:val="2"/>
                <w:sz w:val="24"/>
              </w:rPr>
            </w:pPr>
          </w:p>
        </w:tc>
      </w:tr>
      <w:tr w14:paraId="6FEF8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789" w:type="dxa"/>
            <w:vMerge w:val="continue"/>
            <w:tcBorders>
              <w:top w:val="single" w:color="auto" w:sz="4" w:space="0"/>
              <w:left w:val="single" w:color="auto" w:sz="4" w:space="0"/>
              <w:bottom w:val="single" w:color="auto" w:sz="4" w:space="0"/>
              <w:right w:val="single" w:color="auto" w:sz="4" w:space="0"/>
            </w:tcBorders>
            <w:vAlign w:val="center"/>
          </w:tcPr>
          <w:p w14:paraId="47B558D8">
            <w:pPr>
              <w:widowControl/>
              <w:jc w:val="left"/>
              <w:rPr>
                <w:rFonts w:ascii="宋体" w:hAnsi="宋体" w:eastAsia="宋体" w:cs="Times New Roman"/>
                <w:bCs/>
                <w:kern w:val="2"/>
                <w:sz w:val="24"/>
              </w:rPr>
            </w:pPr>
          </w:p>
        </w:tc>
        <w:tc>
          <w:tcPr>
            <w:tcW w:w="6174" w:type="dxa"/>
            <w:tcBorders>
              <w:top w:val="single" w:color="auto" w:sz="4" w:space="0"/>
              <w:left w:val="single" w:color="auto" w:sz="4" w:space="0"/>
              <w:bottom w:val="single" w:color="auto" w:sz="4" w:space="0"/>
              <w:right w:val="single" w:color="auto" w:sz="4" w:space="0"/>
            </w:tcBorders>
            <w:vAlign w:val="center"/>
          </w:tcPr>
          <w:p w14:paraId="774830FA">
            <w:pPr>
              <w:spacing w:line="360" w:lineRule="auto"/>
              <w:rPr>
                <w:rFonts w:ascii="宋体" w:hAnsi="宋体" w:eastAsia="宋体" w:cs="Times New Roman"/>
                <w:bCs/>
                <w:kern w:val="2"/>
                <w:sz w:val="24"/>
              </w:rPr>
            </w:pPr>
            <w:r>
              <w:rPr>
                <w:rFonts w:hint="eastAsia" w:ascii="宋体" w:hAnsi="宋体" w:eastAsia="宋体" w:cs="Times New Roman"/>
                <w:bCs/>
                <w:kern w:val="2"/>
                <w:sz w:val="24"/>
              </w:rPr>
              <w:t>8.用户入门，行注目礼；遇重要领导或重要外来参访人员，敬礼问候。</w:t>
            </w:r>
          </w:p>
        </w:tc>
        <w:tc>
          <w:tcPr>
            <w:tcW w:w="1503" w:type="dxa"/>
            <w:tcBorders>
              <w:top w:val="single" w:color="auto" w:sz="4" w:space="0"/>
              <w:left w:val="single" w:color="auto" w:sz="4" w:space="0"/>
              <w:bottom w:val="single" w:color="auto" w:sz="4" w:space="0"/>
              <w:right w:val="single" w:color="auto" w:sz="4" w:space="0"/>
            </w:tcBorders>
          </w:tcPr>
          <w:p w14:paraId="57C19363">
            <w:pPr>
              <w:spacing w:line="360" w:lineRule="auto"/>
              <w:rPr>
                <w:rFonts w:ascii="宋体" w:hAnsi="宋体" w:eastAsia="宋体" w:cs="Times New Roman"/>
                <w:bCs/>
                <w:kern w:val="2"/>
                <w:sz w:val="24"/>
              </w:rPr>
            </w:pPr>
          </w:p>
        </w:tc>
      </w:tr>
      <w:tr w14:paraId="289F5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789" w:type="dxa"/>
            <w:vMerge w:val="continue"/>
            <w:tcBorders>
              <w:top w:val="single" w:color="auto" w:sz="4" w:space="0"/>
              <w:left w:val="single" w:color="auto" w:sz="4" w:space="0"/>
              <w:bottom w:val="single" w:color="auto" w:sz="4" w:space="0"/>
              <w:right w:val="single" w:color="auto" w:sz="4" w:space="0"/>
            </w:tcBorders>
            <w:vAlign w:val="center"/>
          </w:tcPr>
          <w:p w14:paraId="23F5B1A8">
            <w:pPr>
              <w:widowControl/>
              <w:jc w:val="left"/>
              <w:rPr>
                <w:rFonts w:ascii="宋体" w:hAnsi="宋体" w:eastAsia="宋体" w:cs="Times New Roman"/>
                <w:bCs/>
                <w:kern w:val="2"/>
                <w:sz w:val="24"/>
              </w:rPr>
            </w:pPr>
          </w:p>
        </w:tc>
        <w:tc>
          <w:tcPr>
            <w:tcW w:w="6174" w:type="dxa"/>
            <w:tcBorders>
              <w:top w:val="single" w:color="auto" w:sz="4" w:space="0"/>
              <w:left w:val="single" w:color="auto" w:sz="4" w:space="0"/>
              <w:bottom w:val="single" w:color="auto" w:sz="4" w:space="0"/>
              <w:right w:val="single" w:color="auto" w:sz="4" w:space="0"/>
            </w:tcBorders>
            <w:vAlign w:val="center"/>
          </w:tcPr>
          <w:p w14:paraId="31F12BD2">
            <w:pPr>
              <w:spacing w:line="360" w:lineRule="auto"/>
              <w:rPr>
                <w:rFonts w:ascii="宋体" w:hAnsi="宋体" w:eastAsia="宋体" w:cs="Times New Roman"/>
                <w:bCs/>
                <w:kern w:val="2"/>
                <w:sz w:val="24"/>
              </w:rPr>
            </w:pPr>
            <w:r>
              <w:rPr>
                <w:rFonts w:hint="eastAsia" w:ascii="宋体" w:hAnsi="宋体" w:eastAsia="宋体" w:cs="Times New Roman"/>
                <w:bCs/>
                <w:kern w:val="2"/>
                <w:sz w:val="24"/>
              </w:rPr>
              <w:t>9.了解查阅前班工作情况，准确记录当班情况并将未尽事宜及时转交下一班。</w:t>
            </w:r>
          </w:p>
        </w:tc>
        <w:tc>
          <w:tcPr>
            <w:tcW w:w="1503" w:type="dxa"/>
            <w:tcBorders>
              <w:top w:val="single" w:color="auto" w:sz="4" w:space="0"/>
              <w:left w:val="single" w:color="auto" w:sz="4" w:space="0"/>
              <w:bottom w:val="single" w:color="auto" w:sz="4" w:space="0"/>
              <w:right w:val="single" w:color="auto" w:sz="4" w:space="0"/>
            </w:tcBorders>
          </w:tcPr>
          <w:p w14:paraId="4E7FB6FB">
            <w:pPr>
              <w:spacing w:line="360" w:lineRule="auto"/>
              <w:rPr>
                <w:rFonts w:ascii="宋体" w:hAnsi="宋体" w:eastAsia="宋体" w:cs="Times New Roman"/>
                <w:bCs/>
                <w:kern w:val="2"/>
                <w:sz w:val="24"/>
              </w:rPr>
            </w:pPr>
          </w:p>
        </w:tc>
      </w:tr>
    </w:tbl>
    <w:p w14:paraId="6EA61E8A">
      <w:pPr>
        <w:autoSpaceDE w:val="0"/>
        <w:autoSpaceDN w:val="0"/>
        <w:adjustRightInd w:val="0"/>
        <w:spacing w:line="360" w:lineRule="auto"/>
        <w:jc w:val="left"/>
        <w:rPr>
          <w:rFonts w:ascii="宋体" w:hAnsi="宋体" w:eastAsia="宋体" w:cs="Times New Roman"/>
          <w:bCs/>
          <w:color w:val="000000"/>
          <w:sz w:val="24"/>
          <w:szCs w:val="24"/>
        </w:rPr>
      </w:pPr>
    </w:p>
    <w:p w14:paraId="56811CFE">
      <w:pPr>
        <w:autoSpaceDE w:val="0"/>
        <w:autoSpaceDN w:val="0"/>
        <w:adjustRightInd w:val="0"/>
        <w:spacing w:line="360" w:lineRule="auto"/>
        <w:jc w:val="left"/>
        <w:rPr>
          <w:rFonts w:ascii="宋体" w:hAnsi="宋体" w:eastAsia="宋体" w:cs="Times New Roman"/>
          <w:bCs/>
          <w:color w:val="000000"/>
          <w:sz w:val="24"/>
          <w:szCs w:val="24"/>
        </w:rPr>
      </w:pPr>
    </w:p>
    <w:p w14:paraId="20185B32">
      <w:pPr>
        <w:pStyle w:val="28"/>
      </w:pPr>
    </w:p>
    <w:p w14:paraId="791AE85F">
      <w:pPr>
        <w:pStyle w:val="28"/>
      </w:pPr>
    </w:p>
    <w:p w14:paraId="53D643DC">
      <w:pPr>
        <w:pStyle w:val="28"/>
      </w:pPr>
    </w:p>
    <w:p w14:paraId="015F4F27">
      <w:pPr>
        <w:pStyle w:val="28"/>
      </w:pPr>
    </w:p>
    <w:p w14:paraId="75248DA9">
      <w:pPr>
        <w:pStyle w:val="28"/>
      </w:pPr>
    </w:p>
    <w:p w14:paraId="4AE34CB2">
      <w:pPr>
        <w:pStyle w:val="28"/>
      </w:pP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8"/>
        <w:gridCol w:w="765"/>
        <w:gridCol w:w="6240"/>
        <w:gridCol w:w="873"/>
      </w:tblGrid>
      <w:tr w14:paraId="4558C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1353" w:type="dxa"/>
            <w:gridSpan w:val="2"/>
            <w:tcBorders>
              <w:top w:val="single" w:color="auto" w:sz="4" w:space="0"/>
              <w:left w:val="single" w:color="auto" w:sz="4" w:space="0"/>
              <w:bottom w:val="single" w:color="auto" w:sz="4" w:space="0"/>
              <w:right w:val="single" w:color="auto" w:sz="4" w:space="0"/>
            </w:tcBorders>
            <w:vAlign w:val="center"/>
          </w:tcPr>
          <w:p w14:paraId="1D7847CB">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项目</w:t>
            </w:r>
          </w:p>
        </w:tc>
        <w:tc>
          <w:tcPr>
            <w:tcW w:w="6240" w:type="dxa"/>
            <w:tcBorders>
              <w:top w:val="single" w:color="auto" w:sz="4" w:space="0"/>
              <w:left w:val="single" w:color="auto" w:sz="4" w:space="0"/>
              <w:bottom w:val="single" w:color="auto" w:sz="4" w:space="0"/>
              <w:right w:val="single" w:color="auto" w:sz="4" w:space="0"/>
            </w:tcBorders>
            <w:vAlign w:val="center"/>
          </w:tcPr>
          <w:p w14:paraId="6667EFEA">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验收标准</w:t>
            </w:r>
          </w:p>
        </w:tc>
        <w:tc>
          <w:tcPr>
            <w:tcW w:w="873" w:type="dxa"/>
            <w:tcBorders>
              <w:top w:val="single" w:color="auto" w:sz="4" w:space="0"/>
              <w:left w:val="single" w:color="auto" w:sz="4" w:space="0"/>
              <w:bottom w:val="single" w:color="auto" w:sz="4" w:space="0"/>
              <w:right w:val="single" w:color="auto" w:sz="4" w:space="0"/>
            </w:tcBorders>
            <w:vAlign w:val="center"/>
          </w:tcPr>
          <w:p w14:paraId="70379C1C">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备注</w:t>
            </w:r>
          </w:p>
        </w:tc>
      </w:tr>
      <w:tr w14:paraId="32522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jc w:val="center"/>
        </w:trPr>
        <w:tc>
          <w:tcPr>
            <w:tcW w:w="588" w:type="dxa"/>
            <w:vMerge w:val="restart"/>
            <w:tcBorders>
              <w:top w:val="single" w:color="auto" w:sz="4" w:space="0"/>
              <w:left w:val="single" w:color="auto" w:sz="4" w:space="0"/>
              <w:bottom w:val="single" w:color="auto" w:sz="4" w:space="0"/>
              <w:right w:val="single" w:color="auto" w:sz="4" w:space="0"/>
            </w:tcBorders>
            <w:vAlign w:val="center"/>
          </w:tcPr>
          <w:p w14:paraId="7E6E0D39">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日</w:t>
            </w:r>
          </w:p>
          <w:p w14:paraId="4C7A8D07">
            <w:pPr>
              <w:spacing w:line="360" w:lineRule="auto"/>
              <w:jc w:val="center"/>
              <w:rPr>
                <w:rFonts w:ascii="宋体" w:hAnsi="宋体" w:eastAsia="宋体" w:cs="Times New Roman"/>
                <w:bCs/>
                <w:kern w:val="2"/>
                <w:sz w:val="24"/>
              </w:rPr>
            </w:pPr>
          </w:p>
          <w:p w14:paraId="21868859">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常</w:t>
            </w:r>
          </w:p>
          <w:p w14:paraId="3AD904DE">
            <w:pPr>
              <w:spacing w:line="360" w:lineRule="auto"/>
              <w:jc w:val="center"/>
              <w:rPr>
                <w:rFonts w:ascii="宋体" w:hAnsi="宋体" w:eastAsia="宋体" w:cs="Times New Roman"/>
                <w:bCs/>
                <w:kern w:val="2"/>
                <w:sz w:val="24"/>
              </w:rPr>
            </w:pPr>
          </w:p>
          <w:p w14:paraId="12B9C274">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服</w:t>
            </w:r>
          </w:p>
          <w:p w14:paraId="67894F32">
            <w:pPr>
              <w:spacing w:line="360" w:lineRule="auto"/>
              <w:jc w:val="center"/>
              <w:rPr>
                <w:rFonts w:ascii="宋体" w:hAnsi="宋体" w:eastAsia="宋体" w:cs="Times New Roman"/>
                <w:bCs/>
                <w:kern w:val="2"/>
                <w:sz w:val="24"/>
              </w:rPr>
            </w:pPr>
          </w:p>
          <w:p w14:paraId="06AAEC31">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务</w:t>
            </w:r>
          </w:p>
        </w:tc>
        <w:tc>
          <w:tcPr>
            <w:tcW w:w="765" w:type="dxa"/>
            <w:vMerge w:val="restart"/>
            <w:tcBorders>
              <w:top w:val="single" w:color="auto" w:sz="4" w:space="0"/>
              <w:left w:val="single" w:color="auto" w:sz="4" w:space="0"/>
              <w:bottom w:val="single" w:color="auto" w:sz="4" w:space="0"/>
              <w:right w:val="single" w:color="auto" w:sz="4" w:space="0"/>
            </w:tcBorders>
            <w:vAlign w:val="center"/>
          </w:tcPr>
          <w:p w14:paraId="604A04DA">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巡</w:t>
            </w:r>
          </w:p>
          <w:p w14:paraId="29D4F9DA">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岗</w:t>
            </w:r>
          </w:p>
          <w:p w14:paraId="0BE0E4E8">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服</w:t>
            </w:r>
          </w:p>
          <w:p w14:paraId="1726906B">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务</w:t>
            </w:r>
          </w:p>
        </w:tc>
        <w:tc>
          <w:tcPr>
            <w:tcW w:w="6240" w:type="dxa"/>
            <w:tcBorders>
              <w:top w:val="single" w:color="auto" w:sz="4" w:space="0"/>
              <w:left w:val="single" w:color="auto" w:sz="4" w:space="0"/>
              <w:bottom w:val="single" w:color="auto" w:sz="4" w:space="0"/>
              <w:right w:val="single" w:color="auto" w:sz="4" w:space="0"/>
            </w:tcBorders>
          </w:tcPr>
          <w:p w14:paraId="7C1D6C7B">
            <w:pPr>
              <w:spacing w:line="360" w:lineRule="auto"/>
              <w:rPr>
                <w:rFonts w:ascii="宋体" w:hAnsi="宋体" w:eastAsia="宋体" w:cs="Times New Roman"/>
                <w:bCs/>
                <w:kern w:val="2"/>
                <w:sz w:val="24"/>
              </w:rPr>
            </w:pPr>
            <w:r>
              <w:rPr>
                <w:rFonts w:hint="eastAsia" w:ascii="宋体" w:hAnsi="宋体" w:eastAsia="宋体" w:cs="Times New Roman"/>
                <w:bCs/>
                <w:kern w:val="2"/>
                <w:sz w:val="24"/>
              </w:rPr>
              <w:t xml:space="preserve">1、指挥并监视好院内的行驶车辆，引导车辆按规定停放至地下车库规定区域，防止事故的发生。 </w:t>
            </w:r>
          </w:p>
        </w:tc>
        <w:tc>
          <w:tcPr>
            <w:tcW w:w="873" w:type="dxa"/>
            <w:tcBorders>
              <w:top w:val="single" w:color="auto" w:sz="4" w:space="0"/>
              <w:left w:val="single" w:color="auto" w:sz="4" w:space="0"/>
              <w:bottom w:val="single" w:color="auto" w:sz="4" w:space="0"/>
              <w:right w:val="single" w:color="auto" w:sz="4" w:space="0"/>
            </w:tcBorders>
          </w:tcPr>
          <w:p w14:paraId="307AC409">
            <w:pPr>
              <w:spacing w:line="360" w:lineRule="auto"/>
              <w:rPr>
                <w:rFonts w:ascii="宋体" w:hAnsi="宋体" w:eastAsia="宋体" w:cs="Times New Roman"/>
                <w:bCs/>
                <w:kern w:val="2"/>
                <w:sz w:val="24"/>
              </w:rPr>
            </w:pPr>
          </w:p>
        </w:tc>
      </w:tr>
      <w:tr w14:paraId="45380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jc w:val="center"/>
        </w:trPr>
        <w:tc>
          <w:tcPr>
            <w:tcW w:w="588" w:type="dxa"/>
            <w:vMerge w:val="continue"/>
            <w:tcBorders>
              <w:top w:val="single" w:color="auto" w:sz="4" w:space="0"/>
              <w:left w:val="single" w:color="auto" w:sz="4" w:space="0"/>
              <w:bottom w:val="single" w:color="auto" w:sz="4" w:space="0"/>
              <w:right w:val="single" w:color="auto" w:sz="4" w:space="0"/>
            </w:tcBorders>
            <w:vAlign w:val="center"/>
          </w:tcPr>
          <w:p w14:paraId="4AA18989">
            <w:pPr>
              <w:widowControl/>
              <w:jc w:val="left"/>
              <w:rPr>
                <w:rFonts w:ascii="宋体" w:hAnsi="宋体" w:eastAsia="宋体" w:cs="Times New Roman"/>
                <w:bCs/>
                <w:kern w:val="2"/>
                <w:sz w:val="24"/>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14:paraId="3CC66AA2">
            <w:pPr>
              <w:widowControl/>
              <w:jc w:val="left"/>
              <w:rPr>
                <w:rFonts w:ascii="宋体" w:hAnsi="宋体" w:eastAsia="宋体" w:cs="Times New Roman"/>
                <w:bCs/>
                <w:kern w:val="2"/>
                <w:sz w:val="24"/>
              </w:rPr>
            </w:pPr>
          </w:p>
        </w:tc>
        <w:tc>
          <w:tcPr>
            <w:tcW w:w="6240" w:type="dxa"/>
            <w:tcBorders>
              <w:top w:val="single" w:color="auto" w:sz="4" w:space="0"/>
              <w:left w:val="single" w:color="auto" w:sz="4" w:space="0"/>
              <w:bottom w:val="single" w:color="auto" w:sz="4" w:space="0"/>
              <w:right w:val="single" w:color="auto" w:sz="4" w:space="0"/>
            </w:tcBorders>
          </w:tcPr>
          <w:p w14:paraId="230F625E">
            <w:pPr>
              <w:spacing w:line="360" w:lineRule="auto"/>
              <w:rPr>
                <w:rFonts w:ascii="宋体" w:hAnsi="宋体" w:eastAsia="宋体" w:cs="Times New Roman"/>
                <w:bCs/>
                <w:kern w:val="2"/>
                <w:sz w:val="24"/>
              </w:rPr>
            </w:pPr>
            <w:r>
              <w:rPr>
                <w:rFonts w:hint="eastAsia" w:ascii="宋体" w:hAnsi="宋体" w:eastAsia="宋体" w:cs="Times New Roman"/>
                <w:bCs/>
                <w:kern w:val="2"/>
                <w:sz w:val="24"/>
              </w:rPr>
              <w:t xml:space="preserve">2、巡更打卡：按规定时间、线路巡查，不得漏查，巡查过程要仔细认真，以确保完成巡视工作任务；巡查过程中发现问题立即处理，并通知总监控室：按规定预案处理巡更过程中的突发情况。 </w:t>
            </w:r>
          </w:p>
        </w:tc>
        <w:tc>
          <w:tcPr>
            <w:tcW w:w="873" w:type="dxa"/>
            <w:tcBorders>
              <w:top w:val="single" w:color="auto" w:sz="4" w:space="0"/>
              <w:left w:val="single" w:color="auto" w:sz="4" w:space="0"/>
              <w:bottom w:val="single" w:color="auto" w:sz="4" w:space="0"/>
              <w:right w:val="single" w:color="auto" w:sz="4" w:space="0"/>
            </w:tcBorders>
          </w:tcPr>
          <w:p w14:paraId="02FBDABB">
            <w:pPr>
              <w:spacing w:line="360" w:lineRule="auto"/>
              <w:rPr>
                <w:rFonts w:ascii="宋体" w:hAnsi="宋体" w:eastAsia="宋体" w:cs="Times New Roman"/>
                <w:bCs/>
                <w:kern w:val="2"/>
                <w:sz w:val="24"/>
              </w:rPr>
            </w:pPr>
          </w:p>
        </w:tc>
      </w:tr>
      <w:tr w14:paraId="16F52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588" w:type="dxa"/>
            <w:vMerge w:val="continue"/>
            <w:tcBorders>
              <w:top w:val="single" w:color="auto" w:sz="4" w:space="0"/>
              <w:left w:val="single" w:color="auto" w:sz="4" w:space="0"/>
              <w:bottom w:val="single" w:color="auto" w:sz="4" w:space="0"/>
              <w:right w:val="single" w:color="auto" w:sz="4" w:space="0"/>
            </w:tcBorders>
            <w:vAlign w:val="center"/>
          </w:tcPr>
          <w:p w14:paraId="5508E8B3">
            <w:pPr>
              <w:widowControl/>
              <w:jc w:val="left"/>
              <w:rPr>
                <w:rFonts w:ascii="宋体" w:hAnsi="宋体" w:eastAsia="宋体" w:cs="Times New Roman"/>
                <w:bCs/>
                <w:kern w:val="2"/>
                <w:sz w:val="24"/>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14:paraId="6F2BAA03">
            <w:pPr>
              <w:widowControl/>
              <w:jc w:val="left"/>
              <w:rPr>
                <w:rFonts w:ascii="宋体" w:hAnsi="宋体" w:eastAsia="宋体" w:cs="Times New Roman"/>
                <w:bCs/>
                <w:kern w:val="2"/>
                <w:sz w:val="24"/>
              </w:rPr>
            </w:pPr>
          </w:p>
        </w:tc>
        <w:tc>
          <w:tcPr>
            <w:tcW w:w="6240" w:type="dxa"/>
            <w:tcBorders>
              <w:top w:val="single" w:color="auto" w:sz="4" w:space="0"/>
              <w:left w:val="single" w:color="auto" w:sz="4" w:space="0"/>
              <w:bottom w:val="single" w:color="auto" w:sz="4" w:space="0"/>
              <w:right w:val="single" w:color="auto" w:sz="4" w:space="0"/>
            </w:tcBorders>
          </w:tcPr>
          <w:p w14:paraId="129BEB93">
            <w:pPr>
              <w:spacing w:line="360" w:lineRule="auto"/>
              <w:rPr>
                <w:rFonts w:ascii="宋体" w:hAnsi="宋体" w:eastAsia="宋体" w:cs="Times New Roman"/>
                <w:bCs/>
                <w:kern w:val="2"/>
                <w:sz w:val="24"/>
              </w:rPr>
            </w:pPr>
            <w:r>
              <w:rPr>
                <w:rFonts w:hint="eastAsia" w:ascii="宋体" w:hAnsi="宋体" w:eastAsia="宋体" w:cs="Times New Roman"/>
                <w:bCs/>
                <w:kern w:val="2"/>
                <w:sz w:val="24"/>
              </w:rPr>
              <w:t>3、维护服务区域内的正常治安秩序，预防、发现、制止各种违法犯罪行为。</w:t>
            </w:r>
          </w:p>
        </w:tc>
        <w:tc>
          <w:tcPr>
            <w:tcW w:w="873" w:type="dxa"/>
            <w:tcBorders>
              <w:top w:val="single" w:color="auto" w:sz="4" w:space="0"/>
              <w:left w:val="single" w:color="auto" w:sz="4" w:space="0"/>
              <w:bottom w:val="single" w:color="auto" w:sz="4" w:space="0"/>
              <w:right w:val="single" w:color="auto" w:sz="4" w:space="0"/>
            </w:tcBorders>
          </w:tcPr>
          <w:p w14:paraId="274FC437">
            <w:pPr>
              <w:spacing w:line="360" w:lineRule="auto"/>
              <w:rPr>
                <w:rFonts w:ascii="宋体" w:hAnsi="宋体" w:eastAsia="宋体" w:cs="Times New Roman"/>
                <w:bCs/>
                <w:kern w:val="2"/>
                <w:sz w:val="24"/>
              </w:rPr>
            </w:pPr>
          </w:p>
        </w:tc>
      </w:tr>
      <w:tr w14:paraId="3C401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588" w:type="dxa"/>
            <w:vMerge w:val="continue"/>
            <w:tcBorders>
              <w:top w:val="single" w:color="auto" w:sz="4" w:space="0"/>
              <w:left w:val="single" w:color="auto" w:sz="4" w:space="0"/>
              <w:bottom w:val="single" w:color="auto" w:sz="4" w:space="0"/>
              <w:right w:val="single" w:color="auto" w:sz="4" w:space="0"/>
            </w:tcBorders>
            <w:vAlign w:val="center"/>
          </w:tcPr>
          <w:p w14:paraId="2F6EC2FD">
            <w:pPr>
              <w:widowControl/>
              <w:jc w:val="left"/>
              <w:rPr>
                <w:rFonts w:ascii="宋体" w:hAnsi="宋体" w:eastAsia="宋体" w:cs="Times New Roman"/>
                <w:bCs/>
                <w:kern w:val="2"/>
                <w:sz w:val="24"/>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14:paraId="615CE5BB">
            <w:pPr>
              <w:widowControl/>
              <w:jc w:val="left"/>
              <w:rPr>
                <w:rFonts w:ascii="宋体" w:hAnsi="宋体" w:eastAsia="宋体" w:cs="Times New Roman"/>
                <w:bCs/>
                <w:kern w:val="2"/>
                <w:sz w:val="24"/>
              </w:rPr>
            </w:pPr>
          </w:p>
        </w:tc>
        <w:tc>
          <w:tcPr>
            <w:tcW w:w="6240" w:type="dxa"/>
            <w:tcBorders>
              <w:top w:val="single" w:color="auto" w:sz="4" w:space="0"/>
              <w:left w:val="single" w:color="auto" w:sz="4" w:space="0"/>
              <w:bottom w:val="single" w:color="auto" w:sz="4" w:space="0"/>
              <w:right w:val="single" w:color="auto" w:sz="4" w:space="0"/>
            </w:tcBorders>
          </w:tcPr>
          <w:p w14:paraId="433BA91F">
            <w:pPr>
              <w:spacing w:line="360" w:lineRule="auto"/>
              <w:rPr>
                <w:rFonts w:ascii="宋体" w:hAnsi="宋体" w:eastAsia="宋体" w:cs="Times New Roman"/>
                <w:bCs/>
                <w:kern w:val="2"/>
                <w:sz w:val="24"/>
              </w:rPr>
            </w:pPr>
            <w:r>
              <w:rPr>
                <w:rFonts w:hint="eastAsia" w:ascii="宋体" w:hAnsi="宋体" w:eastAsia="宋体" w:cs="Times New Roman"/>
                <w:bCs/>
                <w:kern w:val="2"/>
                <w:sz w:val="24"/>
              </w:rPr>
              <w:t>4、检查发现防范方面的漏洞，并及时报总监控室。</w:t>
            </w:r>
          </w:p>
        </w:tc>
        <w:tc>
          <w:tcPr>
            <w:tcW w:w="873" w:type="dxa"/>
            <w:tcBorders>
              <w:top w:val="single" w:color="auto" w:sz="4" w:space="0"/>
              <w:left w:val="single" w:color="auto" w:sz="4" w:space="0"/>
              <w:bottom w:val="single" w:color="auto" w:sz="4" w:space="0"/>
              <w:right w:val="single" w:color="auto" w:sz="4" w:space="0"/>
            </w:tcBorders>
          </w:tcPr>
          <w:p w14:paraId="2D3C3E6A">
            <w:pPr>
              <w:spacing w:line="360" w:lineRule="auto"/>
              <w:rPr>
                <w:rFonts w:ascii="宋体" w:hAnsi="宋体" w:eastAsia="宋体" w:cs="Times New Roman"/>
                <w:bCs/>
                <w:kern w:val="2"/>
                <w:sz w:val="24"/>
              </w:rPr>
            </w:pPr>
          </w:p>
        </w:tc>
      </w:tr>
      <w:tr w14:paraId="32797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588" w:type="dxa"/>
            <w:vMerge w:val="continue"/>
            <w:tcBorders>
              <w:top w:val="single" w:color="auto" w:sz="4" w:space="0"/>
              <w:left w:val="single" w:color="auto" w:sz="4" w:space="0"/>
              <w:bottom w:val="single" w:color="auto" w:sz="4" w:space="0"/>
              <w:right w:val="single" w:color="auto" w:sz="4" w:space="0"/>
            </w:tcBorders>
            <w:vAlign w:val="center"/>
          </w:tcPr>
          <w:p w14:paraId="7EE131AB">
            <w:pPr>
              <w:widowControl/>
              <w:jc w:val="left"/>
              <w:rPr>
                <w:rFonts w:ascii="宋体" w:hAnsi="宋体" w:eastAsia="宋体" w:cs="Times New Roman"/>
                <w:bCs/>
                <w:kern w:val="2"/>
                <w:sz w:val="24"/>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14:paraId="5B579DE9">
            <w:pPr>
              <w:widowControl/>
              <w:jc w:val="left"/>
              <w:rPr>
                <w:rFonts w:ascii="宋体" w:hAnsi="宋体" w:eastAsia="宋体" w:cs="Times New Roman"/>
                <w:bCs/>
                <w:kern w:val="2"/>
                <w:sz w:val="24"/>
              </w:rPr>
            </w:pPr>
          </w:p>
        </w:tc>
        <w:tc>
          <w:tcPr>
            <w:tcW w:w="6240" w:type="dxa"/>
            <w:tcBorders>
              <w:top w:val="single" w:color="auto" w:sz="4" w:space="0"/>
              <w:left w:val="single" w:color="auto" w:sz="4" w:space="0"/>
              <w:bottom w:val="single" w:color="auto" w:sz="4" w:space="0"/>
              <w:right w:val="single" w:color="auto" w:sz="4" w:space="0"/>
            </w:tcBorders>
          </w:tcPr>
          <w:p w14:paraId="3434362B">
            <w:pPr>
              <w:spacing w:line="360" w:lineRule="auto"/>
              <w:rPr>
                <w:rFonts w:ascii="宋体" w:hAnsi="宋体" w:eastAsia="宋体" w:cs="Times New Roman"/>
                <w:bCs/>
                <w:kern w:val="2"/>
                <w:sz w:val="24"/>
              </w:rPr>
            </w:pPr>
            <w:r>
              <w:rPr>
                <w:rFonts w:hint="eastAsia" w:ascii="宋体" w:hAnsi="宋体" w:eastAsia="宋体" w:cs="Times New Roman"/>
                <w:bCs/>
                <w:kern w:val="2"/>
                <w:sz w:val="24"/>
              </w:rPr>
              <w:t>5、及时有效平息突发事件和意外事故并做好情况记录。</w:t>
            </w:r>
          </w:p>
        </w:tc>
        <w:tc>
          <w:tcPr>
            <w:tcW w:w="873" w:type="dxa"/>
            <w:tcBorders>
              <w:top w:val="single" w:color="auto" w:sz="4" w:space="0"/>
              <w:left w:val="single" w:color="auto" w:sz="4" w:space="0"/>
              <w:bottom w:val="single" w:color="auto" w:sz="4" w:space="0"/>
              <w:right w:val="single" w:color="auto" w:sz="4" w:space="0"/>
            </w:tcBorders>
          </w:tcPr>
          <w:p w14:paraId="1C8DBC87">
            <w:pPr>
              <w:spacing w:line="360" w:lineRule="auto"/>
              <w:rPr>
                <w:rFonts w:ascii="宋体" w:hAnsi="宋体" w:eastAsia="宋体" w:cs="Times New Roman"/>
                <w:bCs/>
                <w:kern w:val="2"/>
                <w:sz w:val="24"/>
              </w:rPr>
            </w:pPr>
          </w:p>
        </w:tc>
      </w:tr>
      <w:tr w14:paraId="1ABC5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588" w:type="dxa"/>
            <w:vMerge w:val="continue"/>
            <w:tcBorders>
              <w:top w:val="single" w:color="auto" w:sz="4" w:space="0"/>
              <w:left w:val="single" w:color="auto" w:sz="4" w:space="0"/>
              <w:bottom w:val="single" w:color="auto" w:sz="4" w:space="0"/>
              <w:right w:val="single" w:color="auto" w:sz="4" w:space="0"/>
            </w:tcBorders>
            <w:vAlign w:val="center"/>
          </w:tcPr>
          <w:p w14:paraId="294B13A2">
            <w:pPr>
              <w:widowControl/>
              <w:jc w:val="left"/>
              <w:rPr>
                <w:rFonts w:ascii="宋体" w:hAnsi="宋体" w:eastAsia="宋体" w:cs="Times New Roman"/>
                <w:bCs/>
                <w:kern w:val="2"/>
                <w:sz w:val="24"/>
              </w:rPr>
            </w:pPr>
          </w:p>
        </w:tc>
        <w:tc>
          <w:tcPr>
            <w:tcW w:w="765" w:type="dxa"/>
            <w:vMerge w:val="restart"/>
            <w:tcBorders>
              <w:top w:val="single" w:color="auto" w:sz="4" w:space="0"/>
              <w:left w:val="single" w:color="auto" w:sz="4" w:space="0"/>
              <w:bottom w:val="single" w:color="auto" w:sz="4" w:space="0"/>
              <w:right w:val="single" w:color="auto" w:sz="4" w:space="0"/>
            </w:tcBorders>
            <w:vAlign w:val="center"/>
          </w:tcPr>
          <w:p w14:paraId="27F022A5">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监</w:t>
            </w:r>
          </w:p>
          <w:p w14:paraId="1B498B84">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控</w:t>
            </w:r>
          </w:p>
          <w:p w14:paraId="31D13E5B">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室</w:t>
            </w:r>
          </w:p>
        </w:tc>
        <w:tc>
          <w:tcPr>
            <w:tcW w:w="6240" w:type="dxa"/>
            <w:tcBorders>
              <w:top w:val="single" w:color="auto" w:sz="4" w:space="0"/>
              <w:left w:val="single" w:color="auto" w:sz="4" w:space="0"/>
              <w:bottom w:val="single" w:color="auto" w:sz="4" w:space="0"/>
              <w:right w:val="single" w:color="auto" w:sz="4" w:space="0"/>
            </w:tcBorders>
          </w:tcPr>
          <w:p w14:paraId="7ED35602">
            <w:pPr>
              <w:spacing w:line="360" w:lineRule="auto"/>
              <w:rPr>
                <w:rFonts w:ascii="宋体" w:hAnsi="宋体" w:eastAsia="宋体" w:cs="Times New Roman"/>
                <w:bCs/>
                <w:kern w:val="2"/>
                <w:sz w:val="24"/>
              </w:rPr>
            </w:pPr>
            <w:r>
              <w:rPr>
                <w:rFonts w:hint="eastAsia" w:ascii="宋体" w:hAnsi="宋体" w:eastAsia="宋体" w:cs="Times New Roman"/>
                <w:bCs/>
                <w:kern w:val="2"/>
                <w:sz w:val="24"/>
              </w:rPr>
              <w:t>1、着装整齐、佩戴齐全，按规定时间上岗交接班。</w:t>
            </w:r>
          </w:p>
        </w:tc>
        <w:tc>
          <w:tcPr>
            <w:tcW w:w="873" w:type="dxa"/>
            <w:tcBorders>
              <w:top w:val="single" w:color="auto" w:sz="4" w:space="0"/>
              <w:left w:val="single" w:color="auto" w:sz="4" w:space="0"/>
              <w:bottom w:val="single" w:color="auto" w:sz="4" w:space="0"/>
              <w:right w:val="single" w:color="auto" w:sz="4" w:space="0"/>
            </w:tcBorders>
          </w:tcPr>
          <w:p w14:paraId="4D58FCFD">
            <w:pPr>
              <w:spacing w:line="360" w:lineRule="auto"/>
              <w:rPr>
                <w:rFonts w:ascii="宋体" w:hAnsi="宋体" w:eastAsia="宋体" w:cs="Times New Roman"/>
                <w:bCs/>
                <w:kern w:val="2"/>
                <w:sz w:val="24"/>
              </w:rPr>
            </w:pPr>
          </w:p>
        </w:tc>
      </w:tr>
      <w:tr w14:paraId="3C8A2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588" w:type="dxa"/>
            <w:vMerge w:val="continue"/>
            <w:tcBorders>
              <w:top w:val="single" w:color="auto" w:sz="4" w:space="0"/>
              <w:left w:val="single" w:color="auto" w:sz="4" w:space="0"/>
              <w:bottom w:val="single" w:color="auto" w:sz="4" w:space="0"/>
              <w:right w:val="single" w:color="auto" w:sz="4" w:space="0"/>
            </w:tcBorders>
            <w:vAlign w:val="center"/>
          </w:tcPr>
          <w:p w14:paraId="3E929715">
            <w:pPr>
              <w:widowControl/>
              <w:jc w:val="left"/>
              <w:rPr>
                <w:rFonts w:ascii="宋体" w:hAnsi="宋体" w:eastAsia="宋体" w:cs="Times New Roman"/>
                <w:bCs/>
                <w:kern w:val="2"/>
                <w:sz w:val="24"/>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14:paraId="63CBC54B">
            <w:pPr>
              <w:widowControl/>
              <w:jc w:val="left"/>
              <w:rPr>
                <w:rFonts w:ascii="宋体" w:hAnsi="宋体" w:eastAsia="宋体" w:cs="Times New Roman"/>
                <w:bCs/>
                <w:kern w:val="2"/>
                <w:sz w:val="24"/>
              </w:rPr>
            </w:pPr>
          </w:p>
        </w:tc>
        <w:tc>
          <w:tcPr>
            <w:tcW w:w="6240" w:type="dxa"/>
            <w:tcBorders>
              <w:top w:val="single" w:color="auto" w:sz="4" w:space="0"/>
              <w:left w:val="single" w:color="auto" w:sz="4" w:space="0"/>
              <w:bottom w:val="single" w:color="auto" w:sz="4" w:space="0"/>
              <w:right w:val="single" w:color="auto" w:sz="4" w:space="0"/>
            </w:tcBorders>
          </w:tcPr>
          <w:p w14:paraId="44212131">
            <w:pPr>
              <w:spacing w:line="360" w:lineRule="auto"/>
              <w:rPr>
                <w:rFonts w:ascii="宋体" w:hAnsi="宋体" w:eastAsia="宋体" w:cs="Times New Roman"/>
                <w:bCs/>
                <w:kern w:val="2"/>
                <w:sz w:val="24"/>
              </w:rPr>
            </w:pPr>
            <w:r>
              <w:rPr>
                <w:rFonts w:hint="eastAsia" w:ascii="宋体" w:hAnsi="宋体" w:eastAsia="宋体" w:cs="Times New Roman"/>
                <w:bCs/>
                <w:kern w:val="2"/>
                <w:sz w:val="24"/>
              </w:rPr>
              <w:t>2、查阅前班的记录和询问上班次的情况，将未尽事宜承接执行。</w:t>
            </w:r>
          </w:p>
        </w:tc>
        <w:tc>
          <w:tcPr>
            <w:tcW w:w="873" w:type="dxa"/>
            <w:tcBorders>
              <w:top w:val="single" w:color="auto" w:sz="4" w:space="0"/>
              <w:left w:val="single" w:color="auto" w:sz="4" w:space="0"/>
              <w:bottom w:val="single" w:color="auto" w:sz="4" w:space="0"/>
              <w:right w:val="single" w:color="auto" w:sz="4" w:space="0"/>
            </w:tcBorders>
          </w:tcPr>
          <w:p w14:paraId="2410E219">
            <w:pPr>
              <w:spacing w:line="360" w:lineRule="auto"/>
              <w:rPr>
                <w:rFonts w:ascii="宋体" w:hAnsi="宋体" w:eastAsia="宋体" w:cs="Times New Roman"/>
                <w:bCs/>
                <w:kern w:val="2"/>
                <w:sz w:val="24"/>
              </w:rPr>
            </w:pPr>
          </w:p>
        </w:tc>
      </w:tr>
      <w:tr w14:paraId="63BC3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588" w:type="dxa"/>
            <w:vMerge w:val="continue"/>
            <w:tcBorders>
              <w:top w:val="single" w:color="auto" w:sz="4" w:space="0"/>
              <w:left w:val="single" w:color="auto" w:sz="4" w:space="0"/>
              <w:bottom w:val="single" w:color="auto" w:sz="4" w:space="0"/>
              <w:right w:val="single" w:color="auto" w:sz="4" w:space="0"/>
            </w:tcBorders>
            <w:vAlign w:val="center"/>
          </w:tcPr>
          <w:p w14:paraId="49859CE9">
            <w:pPr>
              <w:widowControl/>
              <w:jc w:val="left"/>
              <w:rPr>
                <w:rFonts w:ascii="宋体" w:hAnsi="宋体" w:eastAsia="宋体" w:cs="Times New Roman"/>
                <w:bCs/>
                <w:kern w:val="2"/>
                <w:sz w:val="24"/>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14:paraId="4D90E6BA">
            <w:pPr>
              <w:widowControl/>
              <w:jc w:val="left"/>
              <w:rPr>
                <w:rFonts w:ascii="宋体" w:hAnsi="宋体" w:eastAsia="宋体" w:cs="Times New Roman"/>
                <w:bCs/>
                <w:kern w:val="2"/>
                <w:sz w:val="24"/>
              </w:rPr>
            </w:pPr>
          </w:p>
        </w:tc>
        <w:tc>
          <w:tcPr>
            <w:tcW w:w="6240" w:type="dxa"/>
            <w:tcBorders>
              <w:top w:val="single" w:color="auto" w:sz="4" w:space="0"/>
              <w:left w:val="single" w:color="auto" w:sz="4" w:space="0"/>
              <w:bottom w:val="single" w:color="auto" w:sz="4" w:space="0"/>
              <w:right w:val="single" w:color="auto" w:sz="4" w:space="0"/>
            </w:tcBorders>
          </w:tcPr>
          <w:p w14:paraId="292A25EB">
            <w:pPr>
              <w:spacing w:line="360" w:lineRule="auto"/>
              <w:rPr>
                <w:rFonts w:ascii="宋体" w:hAnsi="宋体" w:eastAsia="宋体" w:cs="Times New Roman"/>
                <w:bCs/>
                <w:kern w:val="2"/>
                <w:sz w:val="24"/>
              </w:rPr>
            </w:pPr>
            <w:r>
              <w:rPr>
                <w:rFonts w:hint="eastAsia" w:ascii="宋体" w:hAnsi="宋体" w:eastAsia="宋体" w:cs="Times New Roman"/>
                <w:bCs/>
                <w:kern w:val="2"/>
                <w:sz w:val="24"/>
              </w:rPr>
              <w:t>3、检查设备运行状况，填写交接班记录簿和总控室工作进程记录薄。</w:t>
            </w:r>
          </w:p>
        </w:tc>
        <w:tc>
          <w:tcPr>
            <w:tcW w:w="873" w:type="dxa"/>
            <w:tcBorders>
              <w:top w:val="single" w:color="auto" w:sz="4" w:space="0"/>
              <w:left w:val="single" w:color="auto" w:sz="4" w:space="0"/>
              <w:bottom w:val="single" w:color="auto" w:sz="4" w:space="0"/>
              <w:right w:val="single" w:color="auto" w:sz="4" w:space="0"/>
            </w:tcBorders>
          </w:tcPr>
          <w:p w14:paraId="7B5554BA">
            <w:pPr>
              <w:spacing w:line="360" w:lineRule="auto"/>
              <w:rPr>
                <w:rFonts w:ascii="宋体" w:hAnsi="宋体" w:eastAsia="宋体" w:cs="Times New Roman"/>
                <w:bCs/>
                <w:kern w:val="2"/>
                <w:sz w:val="24"/>
              </w:rPr>
            </w:pPr>
          </w:p>
        </w:tc>
      </w:tr>
      <w:tr w14:paraId="019F9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588" w:type="dxa"/>
            <w:vMerge w:val="continue"/>
            <w:tcBorders>
              <w:top w:val="single" w:color="auto" w:sz="4" w:space="0"/>
              <w:left w:val="single" w:color="auto" w:sz="4" w:space="0"/>
              <w:bottom w:val="single" w:color="auto" w:sz="4" w:space="0"/>
              <w:right w:val="single" w:color="auto" w:sz="4" w:space="0"/>
            </w:tcBorders>
            <w:vAlign w:val="center"/>
          </w:tcPr>
          <w:p w14:paraId="760F3860">
            <w:pPr>
              <w:widowControl/>
              <w:jc w:val="left"/>
              <w:rPr>
                <w:rFonts w:ascii="宋体" w:hAnsi="宋体" w:eastAsia="宋体" w:cs="Times New Roman"/>
                <w:bCs/>
                <w:kern w:val="2"/>
                <w:sz w:val="24"/>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14:paraId="2B88440D">
            <w:pPr>
              <w:widowControl/>
              <w:jc w:val="left"/>
              <w:rPr>
                <w:rFonts w:ascii="宋体" w:hAnsi="宋体" w:eastAsia="宋体" w:cs="Times New Roman"/>
                <w:bCs/>
                <w:kern w:val="2"/>
                <w:sz w:val="24"/>
              </w:rPr>
            </w:pPr>
          </w:p>
        </w:tc>
        <w:tc>
          <w:tcPr>
            <w:tcW w:w="6240" w:type="dxa"/>
            <w:tcBorders>
              <w:top w:val="single" w:color="auto" w:sz="4" w:space="0"/>
              <w:left w:val="single" w:color="auto" w:sz="4" w:space="0"/>
              <w:bottom w:val="single" w:color="auto" w:sz="4" w:space="0"/>
              <w:right w:val="single" w:color="auto" w:sz="4" w:space="0"/>
            </w:tcBorders>
          </w:tcPr>
          <w:p w14:paraId="7E1CEB8F">
            <w:pPr>
              <w:spacing w:line="360" w:lineRule="auto"/>
              <w:rPr>
                <w:rFonts w:ascii="宋体" w:hAnsi="宋体" w:eastAsia="宋体" w:cs="Times New Roman"/>
                <w:bCs/>
                <w:kern w:val="2"/>
                <w:sz w:val="24"/>
              </w:rPr>
            </w:pPr>
            <w:r>
              <w:rPr>
                <w:rFonts w:hint="eastAsia" w:ascii="宋体" w:hAnsi="宋体" w:eastAsia="宋体" w:cs="Times New Roman"/>
                <w:bCs/>
                <w:kern w:val="2"/>
                <w:sz w:val="24"/>
              </w:rPr>
              <w:t>4、观察监控摄像和消防警报设施，按要求和预案处理意外和突发事件。</w:t>
            </w:r>
          </w:p>
        </w:tc>
        <w:tc>
          <w:tcPr>
            <w:tcW w:w="873" w:type="dxa"/>
            <w:tcBorders>
              <w:top w:val="single" w:color="auto" w:sz="4" w:space="0"/>
              <w:left w:val="single" w:color="auto" w:sz="4" w:space="0"/>
              <w:bottom w:val="single" w:color="auto" w:sz="4" w:space="0"/>
              <w:right w:val="single" w:color="auto" w:sz="4" w:space="0"/>
            </w:tcBorders>
          </w:tcPr>
          <w:p w14:paraId="6020220C">
            <w:pPr>
              <w:spacing w:line="360" w:lineRule="auto"/>
              <w:rPr>
                <w:rFonts w:ascii="宋体" w:hAnsi="宋体" w:eastAsia="宋体" w:cs="Times New Roman"/>
                <w:bCs/>
                <w:kern w:val="2"/>
                <w:sz w:val="24"/>
              </w:rPr>
            </w:pPr>
          </w:p>
        </w:tc>
      </w:tr>
      <w:tr w14:paraId="07263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588" w:type="dxa"/>
            <w:vMerge w:val="continue"/>
            <w:tcBorders>
              <w:top w:val="single" w:color="auto" w:sz="4" w:space="0"/>
              <w:left w:val="single" w:color="auto" w:sz="4" w:space="0"/>
              <w:bottom w:val="single" w:color="auto" w:sz="4" w:space="0"/>
              <w:right w:val="single" w:color="auto" w:sz="4" w:space="0"/>
            </w:tcBorders>
            <w:vAlign w:val="center"/>
          </w:tcPr>
          <w:p w14:paraId="71864FFE">
            <w:pPr>
              <w:widowControl/>
              <w:jc w:val="left"/>
              <w:rPr>
                <w:rFonts w:ascii="宋体" w:hAnsi="宋体" w:eastAsia="宋体" w:cs="Times New Roman"/>
                <w:bCs/>
                <w:kern w:val="2"/>
                <w:sz w:val="24"/>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14:paraId="5CA64085">
            <w:pPr>
              <w:widowControl/>
              <w:jc w:val="left"/>
              <w:rPr>
                <w:rFonts w:ascii="宋体" w:hAnsi="宋体" w:eastAsia="宋体" w:cs="Times New Roman"/>
                <w:bCs/>
                <w:kern w:val="2"/>
                <w:sz w:val="24"/>
              </w:rPr>
            </w:pPr>
          </w:p>
        </w:tc>
        <w:tc>
          <w:tcPr>
            <w:tcW w:w="6240" w:type="dxa"/>
            <w:tcBorders>
              <w:top w:val="single" w:color="auto" w:sz="4" w:space="0"/>
              <w:left w:val="single" w:color="auto" w:sz="4" w:space="0"/>
              <w:bottom w:val="single" w:color="auto" w:sz="4" w:space="0"/>
              <w:right w:val="single" w:color="auto" w:sz="4" w:space="0"/>
            </w:tcBorders>
          </w:tcPr>
          <w:p w14:paraId="6E5E2E6E">
            <w:pPr>
              <w:spacing w:line="360" w:lineRule="auto"/>
              <w:rPr>
                <w:rFonts w:ascii="宋体" w:hAnsi="宋体" w:eastAsia="宋体" w:cs="Times New Roman"/>
                <w:bCs/>
                <w:kern w:val="2"/>
                <w:sz w:val="24"/>
              </w:rPr>
            </w:pPr>
            <w:r>
              <w:rPr>
                <w:rFonts w:hint="eastAsia" w:ascii="宋体" w:hAnsi="宋体" w:eastAsia="宋体" w:cs="Times New Roman"/>
                <w:bCs/>
                <w:kern w:val="2"/>
                <w:sz w:val="24"/>
              </w:rPr>
              <w:t>5、接听总控热线电话，填写值班记录，报修处理记录，及时通知当班工程人员处理。</w:t>
            </w:r>
          </w:p>
        </w:tc>
        <w:tc>
          <w:tcPr>
            <w:tcW w:w="873" w:type="dxa"/>
            <w:tcBorders>
              <w:top w:val="single" w:color="auto" w:sz="4" w:space="0"/>
              <w:left w:val="single" w:color="auto" w:sz="4" w:space="0"/>
              <w:bottom w:val="single" w:color="auto" w:sz="4" w:space="0"/>
              <w:right w:val="single" w:color="auto" w:sz="4" w:space="0"/>
            </w:tcBorders>
          </w:tcPr>
          <w:p w14:paraId="68539783">
            <w:pPr>
              <w:spacing w:line="360" w:lineRule="auto"/>
              <w:rPr>
                <w:rFonts w:ascii="宋体" w:hAnsi="宋体" w:eastAsia="宋体" w:cs="Times New Roman"/>
                <w:bCs/>
                <w:kern w:val="2"/>
                <w:sz w:val="24"/>
              </w:rPr>
            </w:pPr>
          </w:p>
        </w:tc>
      </w:tr>
      <w:tr w14:paraId="2F387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588" w:type="dxa"/>
            <w:vMerge w:val="continue"/>
            <w:tcBorders>
              <w:top w:val="single" w:color="auto" w:sz="4" w:space="0"/>
              <w:left w:val="single" w:color="auto" w:sz="4" w:space="0"/>
              <w:bottom w:val="single" w:color="auto" w:sz="4" w:space="0"/>
              <w:right w:val="single" w:color="auto" w:sz="4" w:space="0"/>
            </w:tcBorders>
            <w:vAlign w:val="center"/>
          </w:tcPr>
          <w:p w14:paraId="04F35503">
            <w:pPr>
              <w:widowControl/>
              <w:jc w:val="left"/>
              <w:rPr>
                <w:rFonts w:ascii="宋体" w:hAnsi="宋体" w:eastAsia="宋体" w:cs="Times New Roman"/>
                <w:bCs/>
                <w:kern w:val="2"/>
                <w:sz w:val="24"/>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14:paraId="44BF82ED">
            <w:pPr>
              <w:widowControl/>
              <w:jc w:val="left"/>
              <w:rPr>
                <w:rFonts w:ascii="宋体" w:hAnsi="宋体" w:eastAsia="宋体" w:cs="Times New Roman"/>
                <w:bCs/>
                <w:kern w:val="2"/>
                <w:sz w:val="24"/>
              </w:rPr>
            </w:pPr>
          </w:p>
        </w:tc>
        <w:tc>
          <w:tcPr>
            <w:tcW w:w="6240" w:type="dxa"/>
            <w:tcBorders>
              <w:top w:val="single" w:color="auto" w:sz="4" w:space="0"/>
              <w:left w:val="single" w:color="auto" w:sz="4" w:space="0"/>
              <w:bottom w:val="single" w:color="auto" w:sz="4" w:space="0"/>
              <w:right w:val="single" w:color="auto" w:sz="4" w:space="0"/>
            </w:tcBorders>
          </w:tcPr>
          <w:p w14:paraId="25C31A88">
            <w:pPr>
              <w:spacing w:line="360" w:lineRule="auto"/>
              <w:rPr>
                <w:rFonts w:ascii="宋体" w:hAnsi="宋体" w:eastAsia="宋体" w:cs="Times New Roman"/>
                <w:bCs/>
                <w:kern w:val="2"/>
                <w:sz w:val="24"/>
              </w:rPr>
            </w:pPr>
            <w:r>
              <w:rPr>
                <w:rFonts w:hint="eastAsia" w:ascii="宋体" w:hAnsi="宋体" w:eastAsia="宋体" w:cs="Times New Roman"/>
                <w:bCs/>
                <w:kern w:val="2"/>
                <w:sz w:val="24"/>
              </w:rPr>
              <w:t>6、值班期间不得擅自脱岗、离岗；不得睡觉，坐姿端正，面对画面分屏器，精神饱满；不得占用总控热线接打私人电话，不得玩手机、玩游戏看报纸杂志、抽烟，不得在上班前及值班期饮酒以及其他影响值班的行为。</w:t>
            </w:r>
          </w:p>
        </w:tc>
        <w:tc>
          <w:tcPr>
            <w:tcW w:w="873" w:type="dxa"/>
            <w:tcBorders>
              <w:top w:val="single" w:color="auto" w:sz="4" w:space="0"/>
              <w:left w:val="single" w:color="auto" w:sz="4" w:space="0"/>
              <w:bottom w:val="single" w:color="auto" w:sz="4" w:space="0"/>
              <w:right w:val="single" w:color="auto" w:sz="4" w:space="0"/>
            </w:tcBorders>
          </w:tcPr>
          <w:p w14:paraId="22C34FE5">
            <w:pPr>
              <w:spacing w:line="360" w:lineRule="auto"/>
              <w:rPr>
                <w:rFonts w:ascii="宋体" w:hAnsi="宋体" w:eastAsia="宋体" w:cs="Times New Roman"/>
                <w:bCs/>
                <w:kern w:val="2"/>
                <w:sz w:val="24"/>
              </w:rPr>
            </w:pPr>
          </w:p>
        </w:tc>
      </w:tr>
      <w:tr w14:paraId="77DFE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588" w:type="dxa"/>
            <w:vMerge w:val="continue"/>
            <w:tcBorders>
              <w:top w:val="single" w:color="auto" w:sz="4" w:space="0"/>
              <w:left w:val="single" w:color="auto" w:sz="4" w:space="0"/>
              <w:bottom w:val="single" w:color="auto" w:sz="4" w:space="0"/>
              <w:right w:val="single" w:color="auto" w:sz="4" w:space="0"/>
            </w:tcBorders>
            <w:vAlign w:val="center"/>
          </w:tcPr>
          <w:p w14:paraId="721A121E">
            <w:pPr>
              <w:widowControl/>
              <w:jc w:val="left"/>
              <w:rPr>
                <w:rFonts w:ascii="宋体" w:hAnsi="宋体" w:eastAsia="宋体" w:cs="Times New Roman"/>
                <w:bCs/>
                <w:kern w:val="2"/>
                <w:sz w:val="24"/>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14:paraId="2D2FF220">
            <w:pPr>
              <w:widowControl/>
              <w:jc w:val="left"/>
              <w:rPr>
                <w:rFonts w:ascii="宋体" w:hAnsi="宋体" w:eastAsia="宋体" w:cs="Times New Roman"/>
                <w:bCs/>
                <w:kern w:val="2"/>
                <w:sz w:val="24"/>
              </w:rPr>
            </w:pPr>
          </w:p>
        </w:tc>
        <w:tc>
          <w:tcPr>
            <w:tcW w:w="6240" w:type="dxa"/>
            <w:tcBorders>
              <w:top w:val="single" w:color="auto" w:sz="4" w:space="0"/>
              <w:left w:val="single" w:color="auto" w:sz="4" w:space="0"/>
              <w:bottom w:val="single" w:color="auto" w:sz="4" w:space="0"/>
              <w:right w:val="single" w:color="auto" w:sz="4" w:space="0"/>
            </w:tcBorders>
          </w:tcPr>
          <w:p w14:paraId="6AC550D3">
            <w:pPr>
              <w:spacing w:line="360" w:lineRule="auto"/>
              <w:rPr>
                <w:rFonts w:ascii="宋体" w:hAnsi="宋体" w:eastAsia="宋体" w:cs="Times New Roman"/>
                <w:bCs/>
                <w:kern w:val="2"/>
                <w:sz w:val="24"/>
              </w:rPr>
            </w:pPr>
            <w:r>
              <w:rPr>
                <w:rFonts w:hint="eastAsia" w:ascii="宋体" w:hAnsi="宋体" w:eastAsia="宋体" w:cs="Times New Roman"/>
                <w:bCs/>
                <w:kern w:val="2"/>
                <w:sz w:val="24"/>
              </w:rPr>
              <w:t>7、将当班设备运行情况、注意事宜、未尽事宜进行记录告知下次接班人员。</w:t>
            </w:r>
          </w:p>
        </w:tc>
        <w:tc>
          <w:tcPr>
            <w:tcW w:w="873" w:type="dxa"/>
            <w:tcBorders>
              <w:top w:val="single" w:color="auto" w:sz="4" w:space="0"/>
              <w:left w:val="single" w:color="auto" w:sz="4" w:space="0"/>
              <w:bottom w:val="single" w:color="auto" w:sz="4" w:space="0"/>
              <w:right w:val="single" w:color="auto" w:sz="4" w:space="0"/>
            </w:tcBorders>
          </w:tcPr>
          <w:p w14:paraId="007DEB51">
            <w:pPr>
              <w:spacing w:line="360" w:lineRule="auto"/>
              <w:rPr>
                <w:rFonts w:ascii="宋体" w:hAnsi="宋体" w:eastAsia="宋体" w:cs="Times New Roman"/>
                <w:bCs/>
                <w:kern w:val="2"/>
                <w:sz w:val="24"/>
              </w:rPr>
            </w:pPr>
          </w:p>
        </w:tc>
      </w:tr>
      <w:tr w14:paraId="6AEF7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588" w:type="dxa"/>
            <w:vMerge w:val="continue"/>
            <w:tcBorders>
              <w:top w:val="single" w:color="auto" w:sz="4" w:space="0"/>
              <w:left w:val="single" w:color="auto" w:sz="4" w:space="0"/>
              <w:bottom w:val="single" w:color="auto" w:sz="4" w:space="0"/>
              <w:right w:val="single" w:color="auto" w:sz="4" w:space="0"/>
            </w:tcBorders>
            <w:vAlign w:val="center"/>
          </w:tcPr>
          <w:p w14:paraId="409890AF">
            <w:pPr>
              <w:widowControl/>
              <w:jc w:val="left"/>
              <w:rPr>
                <w:rFonts w:ascii="宋体" w:hAnsi="宋体" w:eastAsia="宋体" w:cs="Times New Roman"/>
                <w:bCs/>
                <w:kern w:val="2"/>
                <w:sz w:val="24"/>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14:paraId="79230DE6">
            <w:pPr>
              <w:widowControl/>
              <w:jc w:val="left"/>
              <w:rPr>
                <w:rFonts w:ascii="宋体" w:hAnsi="宋体" w:eastAsia="宋体" w:cs="Times New Roman"/>
                <w:bCs/>
                <w:kern w:val="2"/>
                <w:sz w:val="24"/>
              </w:rPr>
            </w:pPr>
          </w:p>
        </w:tc>
        <w:tc>
          <w:tcPr>
            <w:tcW w:w="6240" w:type="dxa"/>
            <w:tcBorders>
              <w:top w:val="single" w:color="auto" w:sz="4" w:space="0"/>
              <w:left w:val="single" w:color="auto" w:sz="4" w:space="0"/>
              <w:bottom w:val="single" w:color="auto" w:sz="4" w:space="0"/>
              <w:right w:val="single" w:color="auto" w:sz="4" w:space="0"/>
            </w:tcBorders>
          </w:tcPr>
          <w:p w14:paraId="6CC329E1">
            <w:pPr>
              <w:spacing w:line="360" w:lineRule="auto"/>
              <w:rPr>
                <w:rFonts w:ascii="宋体" w:hAnsi="宋体" w:eastAsia="宋体" w:cs="Times New Roman"/>
                <w:bCs/>
                <w:kern w:val="2"/>
                <w:sz w:val="24"/>
              </w:rPr>
            </w:pPr>
            <w:r>
              <w:rPr>
                <w:rFonts w:hint="eastAsia" w:ascii="宋体" w:hAnsi="宋体" w:eastAsia="宋体" w:cs="Times New Roman"/>
                <w:bCs/>
                <w:kern w:val="2"/>
                <w:sz w:val="24"/>
              </w:rPr>
              <w:t>8、持证上岗、业务熟练、处置问题得当、爱岗敬业、责任心强。</w:t>
            </w:r>
          </w:p>
        </w:tc>
        <w:tc>
          <w:tcPr>
            <w:tcW w:w="873" w:type="dxa"/>
            <w:tcBorders>
              <w:top w:val="single" w:color="auto" w:sz="4" w:space="0"/>
              <w:left w:val="single" w:color="auto" w:sz="4" w:space="0"/>
              <w:bottom w:val="single" w:color="auto" w:sz="4" w:space="0"/>
              <w:right w:val="single" w:color="auto" w:sz="4" w:space="0"/>
            </w:tcBorders>
          </w:tcPr>
          <w:p w14:paraId="2AA4EB32">
            <w:pPr>
              <w:spacing w:line="360" w:lineRule="auto"/>
              <w:rPr>
                <w:rFonts w:ascii="宋体" w:hAnsi="宋体" w:eastAsia="宋体" w:cs="Times New Roman"/>
                <w:bCs/>
                <w:kern w:val="2"/>
                <w:sz w:val="24"/>
              </w:rPr>
            </w:pPr>
          </w:p>
        </w:tc>
      </w:tr>
    </w:tbl>
    <w:p w14:paraId="60FAEC9E">
      <w:pPr>
        <w:autoSpaceDE w:val="0"/>
        <w:autoSpaceDN w:val="0"/>
        <w:adjustRightInd w:val="0"/>
        <w:spacing w:line="360" w:lineRule="auto"/>
        <w:jc w:val="left"/>
        <w:rPr>
          <w:rFonts w:ascii="宋体" w:hAnsi="宋体" w:eastAsia="宋体" w:cs="Times New Roman"/>
          <w:bCs/>
          <w:color w:val="000000"/>
          <w:sz w:val="24"/>
          <w:szCs w:val="24"/>
        </w:rPr>
      </w:pPr>
    </w:p>
    <w:p w14:paraId="3867B5E7">
      <w:pPr>
        <w:pStyle w:val="196"/>
      </w:pP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8"/>
        <w:gridCol w:w="5925"/>
        <w:gridCol w:w="1473"/>
      </w:tblGrid>
      <w:tr w14:paraId="1E652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068" w:type="dxa"/>
            <w:tcBorders>
              <w:top w:val="single" w:color="auto" w:sz="4" w:space="0"/>
              <w:left w:val="single" w:color="auto" w:sz="4" w:space="0"/>
              <w:bottom w:val="single" w:color="auto" w:sz="4" w:space="0"/>
              <w:right w:val="single" w:color="auto" w:sz="4" w:space="0"/>
            </w:tcBorders>
            <w:vAlign w:val="center"/>
          </w:tcPr>
          <w:p w14:paraId="285C84A3">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项目</w:t>
            </w:r>
          </w:p>
        </w:tc>
        <w:tc>
          <w:tcPr>
            <w:tcW w:w="5925" w:type="dxa"/>
            <w:tcBorders>
              <w:top w:val="single" w:color="auto" w:sz="4" w:space="0"/>
              <w:left w:val="single" w:color="auto" w:sz="4" w:space="0"/>
              <w:bottom w:val="single" w:color="auto" w:sz="4" w:space="0"/>
              <w:right w:val="single" w:color="auto" w:sz="4" w:space="0"/>
            </w:tcBorders>
            <w:vAlign w:val="center"/>
          </w:tcPr>
          <w:p w14:paraId="5D81FE5F">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验收标准</w:t>
            </w:r>
          </w:p>
        </w:tc>
        <w:tc>
          <w:tcPr>
            <w:tcW w:w="1473" w:type="dxa"/>
            <w:tcBorders>
              <w:top w:val="single" w:color="auto" w:sz="4" w:space="0"/>
              <w:left w:val="single" w:color="auto" w:sz="4" w:space="0"/>
              <w:bottom w:val="single" w:color="auto" w:sz="4" w:space="0"/>
              <w:right w:val="single" w:color="auto" w:sz="4" w:space="0"/>
            </w:tcBorders>
            <w:vAlign w:val="center"/>
          </w:tcPr>
          <w:p w14:paraId="3734A5F7">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备注</w:t>
            </w:r>
          </w:p>
        </w:tc>
      </w:tr>
      <w:tr w14:paraId="3217E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068" w:type="dxa"/>
            <w:vMerge w:val="restart"/>
            <w:tcBorders>
              <w:top w:val="single" w:color="auto" w:sz="4" w:space="0"/>
              <w:left w:val="single" w:color="auto" w:sz="4" w:space="0"/>
              <w:bottom w:val="single" w:color="auto" w:sz="4" w:space="0"/>
              <w:right w:val="single" w:color="auto" w:sz="4" w:space="0"/>
            </w:tcBorders>
            <w:vAlign w:val="center"/>
          </w:tcPr>
          <w:p w14:paraId="02CE546A">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消</w:t>
            </w:r>
          </w:p>
          <w:p w14:paraId="5933DAE2">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防</w:t>
            </w:r>
          </w:p>
          <w:p w14:paraId="1DA3E835">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安</w:t>
            </w:r>
          </w:p>
          <w:p w14:paraId="775E7764">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全</w:t>
            </w:r>
          </w:p>
        </w:tc>
        <w:tc>
          <w:tcPr>
            <w:tcW w:w="5925" w:type="dxa"/>
            <w:tcBorders>
              <w:top w:val="single" w:color="auto" w:sz="4" w:space="0"/>
              <w:left w:val="single" w:color="auto" w:sz="4" w:space="0"/>
              <w:bottom w:val="single" w:color="auto" w:sz="4" w:space="0"/>
              <w:right w:val="single" w:color="auto" w:sz="4" w:space="0"/>
            </w:tcBorders>
          </w:tcPr>
          <w:p w14:paraId="0BD535C6">
            <w:pPr>
              <w:spacing w:line="360" w:lineRule="auto"/>
              <w:rPr>
                <w:rFonts w:ascii="宋体" w:hAnsi="宋体" w:eastAsia="宋体" w:cs="Times New Roman"/>
                <w:bCs/>
                <w:kern w:val="2"/>
                <w:sz w:val="24"/>
              </w:rPr>
            </w:pPr>
            <w:r>
              <w:rPr>
                <w:rFonts w:hint="eastAsia" w:ascii="宋体" w:hAnsi="宋体" w:eastAsia="宋体" w:cs="Times New Roman"/>
                <w:bCs/>
                <w:kern w:val="2"/>
                <w:sz w:val="24"/>
              </w:rPr>
              <w:t>1、协助做好消防器材、设备检查，保证设备处于完好状态，一旦发生火灾即可投入使用；检查消防通道是否畅通，并及时处理不畅情况。</w:t>
            </w:r>
          </w:p>
        </w:tc>
        <w:tc>
          <w:tcPr>
            <w:tcW w:w="1473" w:type="dxa"/>
            <w:tcBorders>
              <w:top w:val="single" w:color="auto" w:sz="4" w:space="0"/>
              <w:left w:val="single" w:color="auto" w:sz="4" w:space="0"/>
              <w:bottom w:val="single" w:color="auto" w:sz="4" w:space="0"/>
              <w:right w:val="single" w:color="auto" w:sz="4" w:space="0"/>
            </w:tcBorders>
          </w:tcPr>
          <w:p w14:paraId="2C6BC868">
            <w:pPr>
              <w:spacing w:line="360" w:lineRule="auto"/>
              <w:rPr>
                <w:rFonts w:ascii="宋体" w:hAnsi="宋体" w:eastAsia="宋体" w:cs="Times New Roman"/>
                <w:bCs/>
                <w:kern w:val="2"/>
                <w:sz w:val="24"/>
              </w:rPr>
            </w:pPr>
          </w:p>
        </w:tc>
      </w:tr>
      <w:tr w14:paraId="2688E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068" w:type="dxa"/>
            <w:vMerge w:val="continue"/>
            <w:tcBorders>
              <w:top w:val="single" w:color="auto" w:sz="4" w:space="0"/>
              <w:left w:val="single" w:color="auto" w:sz="4" w:space="0"/>
              <w:bottom w:val="single" w:color="auto" w:sz="4" w:space="0"/>
              <w:right w:val="single" w:color="auto" w:sz="4" w:space="0"/>
            </w:tcBorders>
            <w:vAlign w:val="center"/>
          </w:tcPr>
          <w:p w14:paraId="0C1CE69F">
            <w:pPr>
              <w:widowControl/>
              <w:jc w:val="left"/>
              <w:rPr>
                <w:rFonts w:ascii="宋体" w:hAnsi="宋体" w:eastAsia="宋体" w:cs="Times New Roman"/>
                <w:bCs/>
                <w:kern w:val="2"/>
                <w:sz w:val="24"/>
              </w:rPr>
            </w:pPr>
          </w:p>
        </w:tc>
        <w:tc>
          <w:tcPr>
            <w:tcW w:w="5925" w:type="dxa"/>
            <w:tcBorders>
              <w:top w:val="single" w:color="auto" w:sz="4" w:space="0"/>
              <w:left w:val="single" w:color="auto" w:sz="4" w:space="0"/>
              <w:bottom w:val="single" w:color="auto" w:sz="4" w:space="0"/>
              <w:right w:val="single" w:color="auto" w:sz="4" w:space="0"/>
            </w:tcBorders>
          </w:tcPr>
          <w:p w14:paraId="7CC26C85">
            <w:pPr>
              <w:spacing w:line="360" w:lineRule="auto"/>
              <w:rPr>
                <w:rFonts w:ascii="宋体" w:hAnsi="宋体" w:eastAsia="宋体" w:cs="Times New Roman"/>
                <w:bCs/>
                <w:kern w:val="2"/>
                <w:sz w:val="24"/>
              </w:rPr>
            </w:pPr>
            <w:r>
              <w:rPr>
                <w:rFonts w:hint="eastAsia" w:ascii="宋体" w:hAnsi="宋体" w:eastAsia="宋体" w:cs="Times New Roman"/>
                <w:bCs/>
                <w:kern w:val="2"/>
                <w:sz w:val="24"/>
              </w:rPr>
              <w:t>2、检查公共部位电器、电线、电梯、煤气管道等有无霉环、锈坏、氧化、溶化、堵塞情况，防止短路或爆炸引起火灾。</w:t>
            </w:r>
          </w:p>
        </w:tc>
        <w:tc>
          <w:tcPr>
            <w:tcW w:w="1473" w:type="dxa"/>
            <w:tcBorders>
              <w:top w:val="single" w:color="auto" w:sz="4" w:space="0"/>
              <w:left w:val="single" w:color="auto" w:sz="4" w:space="0"/>
              <w:bottom w:val="single" w:color="auto" w:sz="4" w:space="0"/>
              <w:right w:val="single" w:color="auto" w:sz="4" w:space="0"/>
            </w:tcBorders>
          </w:tcPr>
          <w:p w14:paraId="3676D170">
            <w:pPr>
              <w:spacing w:line="360" w:lineRule="auto"/>
              <w:rPr>
                <w:rFonts w:ascii="宋体" w:hAnsi="宋体" w:eastAsia="宋体" w:cs="Times New Roman"/>
                <w:bCs/>
                <w:kern w:val="2"/>
                <w:sz w:val="24"/>
              </w:rPr>
            </w:pPr>
          </w:p>
        </w:tc>
      </w:tr>
      <w:tr w14:paraId="0CD9E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1068" w:type="dxa"/>
            <w:vMerge w:val="continue"/>
            <w:tcBorders>
              <w:top w:val="single" w:color="auto" w:sz="4" w:space="0"/>
              <w:left w:val="single" w:color="auto" w:sz="4" w:space="0"/>
              <w:bottom w:val="single" w:color="auto" w:sz="4" w:space="0"/>
              <w:right w:val="single" w:color="auto" w:sz="4" w:space="0"/>
            </w:tcBorders>
            <w:vAlign w:val="center"/>
          </w:tcPr>
          <w:p w14:paraId="1C9509C3">
            <w:pPr>
              <w:widowControl/>
              <w:jc w:val="left"/>
              <w:rPr>
                <w:rFonts w:ascii="宋体" w:hAnsi="宋体" w:eastAsia="宋体" w:cs="Times New Roman"/>
                <w:bCs/>
                <w:kern w:val="2"/>
                <w:sz w:val="24"/>
              </w:rPr>
            </w:pPr>
          </w:p>
        </w:tc>
        <w:tc>
          <w:tcPr>
            <w:tcW w:w="5925" w:type="dxa"/>
            <w:tcBorders>
              <w:top w:val="single" w:color="auto" w:sz="4" w:space="0"/>
              <w:left w:val="single" w:color="auto" w:sz="4" w:space="0"/>
              <w:bottom w:val="single" w:color="auto" w:sz="4" w:space="0"/>
              <w:right w:val="single" w:color="auto" w:sz="4" w:space="0"/>
            </w:tcBorders>
          </w:tcPr>
          <w:p w14:paraId="32A8F3F3">
            <w:pPr>
              <w:spacing w:line="360" w:lineRule="auto"/>
              <w:rPr>
                <w:rFonts w:ascii="宋体" w:hAnsi="宋体" w:eastAsia="宋体" w:cs="Times New Roman"/>
                <w:bCs/>
                <w:kern w:val="2"/>
                <w:sz w:val="24"/>
              </w:rPr>
            </w:pPr>
            <w:r>
              <w:rPr>
                <w:rFonts w:hint="eastAsia" w:ascii="宋体" w:hAnsi="宋体" w:eastAsia="宋体" w:cs="Times New Roman"/>
                <w:bCs/>
                <w:kern w:val="2"/>
                <w:sz w:val="24"/>
              </w:rPr>
              <w:t>3、及时制止任何违反消防安全的行为。</w:t>
            </w:r>
          </w:p>
        </w:tc>
        <w:tc>
          <w:tcPr>
            <w:tcW w:w="1473" w:type="dxa"/>
            <w:tcBorders>
              <w:top w:val="single" w:color="auto" w:sz="4" w:space="0"/>
              <w:left w:val="single" w:color="auto" w:sz="4" w:space="0"/>
              <w:bottom w:val="single" w:color="auto" w:sz="4" w:space="0"/>
              <w:right w:val="single" w:color="auto" w:sz="4" w:space="0"/>
            </w:tcBorders>
          </w:tcPr>
          <w:p w14:paraId="335D6001">
            <w:pPr>
              <w:spacing w:line="360" w:lineRule="auto"/>
              <w:rPr>
                <w:rFonts w:ascii="宋体" w:hAnsi="宋体" w:eastAsia="宋体" w:cs="Times New Roman"/>
                <w:bCs/>
                <w:kern w:val="2"/>
                <w:sz w:val="24"/>
              </w:rPr>
            </w:pPr>
          </w:p>
        </w:tc>
      </w:tr>
      <w:tr w14:paraId="34849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068" w:type="dxa"/>
            <w:vMerge w:val="continue"/>
            <w:tcBorders>
              <w:top w:val="single" w:color="auto" w:sz="4" w:space="0"/>
              <w:left w:val="single" w:color="auto" w:sz="4" w:space="0"/>
              <w:bottom w:val="single" w:color="auto" w:sz="4" w:space="0"/>
              <w:right w:val="single" w:color="auto" w:sz="4" w:space="0"/>
            </w:tcBorders>
            <w:vAlign w:val="center"/>
          </w:tcPr>
          <w:p w14:paraId="35AB0CF4">
            <w:pPr>
              <w:widowControl/>
              <w:jc w:val="left"/>
              <w:rPr>
                <w:rFonts w:ascii="宋体" w:hAnsi="宋体" w:eastAsia="宋体" w:cs="Times New Roman"/>
                <w:bCs/>
                <w:kern w:val="2"/>
                <w:sz w:val="24"/>
              </w:rPr>
            </w:pPr>
          </w:p>
        </w:tc>
        <w:tc>
          <w:tcPr>
            <w:tcW w:w="5925" w:type="dxa"/>
            <w:tcBorders>
              <w:top w:val="single" w:color="auto" w:sz="4" w:space="0"/>
              <w:left w:val="single" w:color="auto" w:sz="4" w:space="0"/>
              <w:bottom w:val="single" w:color="auto" w:sz="4" w:space="0"/>
              <w:right w:val="single" w:color="auto" w:sz="4" w:space="0"/>
            </w:tcBorders>
          </w:tcPr>
          <w:p w14:paraId="49F86B9B">
            <w:pPr>
              <w:spacing w:line="360" w:lineRule="auto"/>
              <w:rPr>
                <w:rFonts w:ascii="宋体" w:hAnsi="宋体" w:eastAsia="宋体" w:cs="Times New Roman"/>
                <w:bCs/>
                <w:kern w:val="2"/>
                <w:sz w:val="24"/>
              </w:rPr>
            </w:pPr>
            <w:r>
              <w:rPr>
                <w:rFonts w:hint="eastAsia" w:ascii="宋体" w:hAnsi="宋体" w:eastAsia="宋体" w:cs="Times New Roman"/>
                <w:bCs/>
                <w:kern w:val="2"/>
                <w:sz w:val="24"/>
              </w:rPr>
              <w:t>4、发生火警时，及时按火警预案处理程序工作，尽量将损失和影响控制在最小范围。</w:t>
            </w:r>
          </w:p>
        </w:tc>
        <w:tc>
          <w:tcPr>
            <w:tcW w:w="1473" w:type="dxa"/>
            <w:tcBorders>
              <w:top w:val="single" w:color="auto" w:sz="4" w:space="0"/>
              <w:left w:val="single" w:color="auto" w:sz="4" w:space="0"/>
              <w:bottom w:val="single" w:color="auto" w:sz="4" w:space="0"/>
              <w:right w:val="single" w:color="auto" w:sz="4" w:space="0"/>
            </w:tcBorders>
          </w:tcPr>
          <w:p w14:paraId="6BD608B0">
            <w:pPr>
              <w:spacing w:line="360" w:lineRule="auto"/>
              <w:rPr>
                <w:rFonts w:ascii="宋体" w:hAnsi="宋体" w:eastAsia="宋体" w:cs="Times New Roman"/>
                <w:bCs/>
                <w:kern w:val="2"/>
                <w:sz w:val="24"/>
              </w:rPr>
            </w:pPr>
          </w:p>
        </w:tc>
      </w:tr>
      <w:tr w14:paraId="3FE62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jc w:val="center"/>
        </w:trPr>
        <w:tc>
          <w:tcPr>
            <w:tcW w:w="1068" w:type="dxa"/>
            <w:vMerge w:val="restart"/>
            <w:tcBorders>
              <w:top w:val="single" w:color="auto" w:sz="4" w:space="0"/>
              <w:left w:val="single" w:color="auto" w:sz="4" w:space="0"/>
              <w:bottom w:val="single" w:color="auto" w:sz="4" w:space="0"/>
              <w:right w:val="single" w:color="auto" w:sz="4" w:space="0"/>
            </w:tcBorders>
            <w:vAlign w:val="center"/>
          </w:tcPr>
          <w:p w14:paraId="19A0399C">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治</w:t>
            </w:r>
          </w:p>
          <w:p w14:paraId="2876606A">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安</w:t>
            </w:r>
          </w:p>
          <w:p w14:paraId="1BA242FB">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事</w:t>
            </w:r>
          </w:p>
          <w:p w14:paraId="597F36D2">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件</w:t>
            </w:r>
          </w:p>
        </w:tc>
        <w:tc>
          <w:tcPr>
            <w:tcW w:w="5925" w:type="dxa"/>
            <w:tcBorders>
              <w:top w:val="single" w:color="auto" w:sz="4" w:space="0"/>
              <w:left w:val="single" w:color="auto" w:sz="4" w:space="0"/>
              <w:bottom w:val="single" w:color="auto" w:sz="4" w:space="0"/>
              <w:right w:val="single" w:color="auto" w:sz="4" w:space="0"/>
            </w:tcBorders>
          </w:tcPr>
          <w:p w14:paraId="7F745739">
            <w:pPr>
              <w:spacing w:line="360" w:lineRule="auto"/>
              <w:rPr>
                <w:rFonts w:ascii="宋体" w:hAnsi="宋体" w:eastAsia="宋体" w:cs="Times New Roman"/>
                <w:bCs/>
                <w:kern w:val="2"/>
                <w:sz w:val="24"/>
              </w:rPr>
            </w:pPr>
            <w:r>
              <w:rPr>
                <w:rFonts w:hint="eastAsia" w:ascii="宋体" w:hAnsi="宋体" w:eastAsia="宋体" w:cs="Times New Roman"/>
                <w:bCs/>
                <w:kern w:val="2"/>
                <w:sz w:val="24"/>
              </w:rPr>
              <w:t>1、及时发现可疑情况，抓获现行违法犯罪分子</w:t>
            </w:r>
          </w:p>
        </w:tc>
        <w:tc>
          <w:tcPr>
            <w:tcW w:w="1473" w:type="dxa"/>
            <w:tcBorders>
              <w:top w:val="single" w:color="auto" w:sz="4" w:space="0"/>
              <w:left w:val="single" w:color="auto" w:sz="4" w:space="0"/>
              <w:bottom w:val="single" w:color="auto" w:sz="4" w:space="0"/>
              <w:right w:val="single" w:color="auto" w:sz="4" w:space="0"/>
            </w:tcBorders>
          </w:tcPr>
          <w:p w14:paraId="43A628FE">
            <w:pPr>
              <w:spacing w:line="360" w:lineRule="auto"/>
              <w:rPr>
                <w:rFonts w:ascii="宋体" w:hAnsi="宋体" w:eastAsia="宋体" w:cs="Times New Roman"/>
                <w:bCs/>
                <w:kern w:val="2"/>
                <w:sz w:val="24"/>
              </w:rPr>
            </w:pPr>
          </w:p>
        </w:tc>
      </w:tr>
      <w:tr w14:paraId="386D2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068" w:type="dxa"/>
            <w:vMerge w:val="continue"/>
            <w:tcBorders>
              <w:top w:val="single" w:color="auto" w:sz="4" w:space="0"/>
              <w:left w:val="single" w:color="auto" w:sz="4" w:space="0"/>
              <w:bottom w:val="single" w:color="auto" w:sz="4" w:space="0"/>
              <w:right w:val="single" w:color="auto" w:sz="4" w:space="0"/>
            </w:tcBorders>
            <w:vAlign w:val="center"/>
          </w:tcPr>
          <w:p w14:paraId="335DC689">
            <w:pPr>
              <w:widowControl/>
              <w:jc w:val="left"/>
              <w:rPr>
                <w:rFonts w:ascii="宋体" w:hAnsi="宋体" w:eastAsia="宋体" w:cs="Times New Roman"/>
                <w:bCs/>
                <w:kern w:val="2"/>
                <w:sz w:val="24"/>
              </w:rPr>
            </w:pPr>
          </w:p>
        </w:tc>
        <w:tc>
          <w:tcPr>
            <w:tcW w:w="5925" w:type="dxa"/>
            <w:tcBorders>
              <w:top w:val="single" w:color="auto" w:sz="4" w:space="0"/>
              <w:left w:val="single" w:color="auto" w:sz="4" w:space="0"/>
              <w:bottom w:val="single" w:color="auto" w:sz="4" w:space="0"/>
              <w:right w:val="single" w:color="auto" w:sz="4" w:space="0"/>
            </w:tcBorders>
          </w:tcPr>
          <w:p w14:paraId="03252E32">
            <w:pPr>
              <w:spacing w:line="360" w:lineRule="auto"/>
              <w:rPr>
                <w:rFonts w:ascii="宋体" w:hAnsi="宋体" w:eastAsia="宋体" w:cs="Times New Roman"/>
                <w:bCs/>
                <w:kern w:val="2"/>
                <w:sz w:val="24"/>
              </w:rPr>
            </w:pPr>
            <w:r>
              <w:rPr>
                <w:rFonts w:hint="eastAsia" w:ascii="宋体" w:hAnsi="宋体" w:eastAsia="宋体" w:cs="Times New Roman"/>
                <w:bCs/>
                <w:kern w:val="2"/>
                <w:sz w:val="24"/>
              </w:rPr>
              <w:t>2、注意警戒、保护刑事案件、治安案件和治安灾害事故现场</w:t>
            </w:r>
          </w:p>
        </w:tc>
        <w:tc>
          <w:tcPr>
            <w:tcW w:w="1473" w:type="dxa"/>
            <w:tcBorders>
              <w:top w:val="single" w:color="auto" w:sz="4" w:space="0"/>
              <w:left w:val="single" w:color="auto" w:sz="4" w:space="0"/>
              <w:bottom w:val="single" w:color="auto" w:sz="4" w:space="0"/>
              <w:right w:val="single" w:color="auto" w:sz="4" w:space="0"/>
            </w:tcBorders>
          </w:tcPr>
          <w:p w14:paraId="59D348DA">
            <w:pPr>
              <w:spacing w:line="360" w:lineRule="auto"/>
              <w:rPr>
                <w:rFonts w:ascii="宋体" w:hAnsi="宋体" w:eastAsia="宋体" w:cs="Times New Roman"/>
                <w:bCs/>
                <w:kern w:val="2"/>
                <w:sz w:val="24"/>
              </w:rPr>
            </w:pPr>
          </w:p>
        </w:tc>
      </w:tr>
      <w:tr w14:paraId="59C62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068" w:type="dxa"/>
            <w:vMerge w:val="continue"/>
            <w:tcBorders>
              <w:top w:val="single" w:color="auto" w:sz="4" w:space="0"/>
              <w:left w:val="single" w:color="auto" w:sz="4" w:space="0"/>
              <w:bottom w:val="single" w:color="auto" w:sz="4" w:space="0"/>
              <w:right w:val="single" w:color="auto" w:sz="4" w:space="0"/>
            </w:tcBorders>
            <w:vAlign w:val="center"/>
          </w:tcPr>
          <w:p w14:paraId="2AC12591">
            <w:pPr>
              <w:widowControl/>
              <w:jc w:val="left"/>
              <w:rPr>
                <w:rFonts w:ascii="宋体" w:hAnsi="宋体" w:eastAsia="宋体" w:cs="Times New Roman"/>
                <w:bCs/>
                <w:kern w:val="2"/>
                <w:sz w:val="24"/>
              </w:rPr>
            </w:pPr>
          </w:p>
        </w:tc>
        <w:tc>
          <w:tcPr>
            <w:tcW w:w="5925" w:type="dxa"/>
            <w:tcBorders>
              <w:top w:val="single" w:color="auto" w:sz="4" w:space="0"/>
              <w:left w:val="single" w:color="auto" w:sz="4" w:space="0"/>
              <w:bottom w:val="single" w:color="auto" w:sz="4" w:space="0"/>
              <w:right w:val="single" w:color="auto" w:sz="4" w:space="0"/>
            </w:tcBorders>
          </w:tcPr>
          <w:p w14:paraId="30E34206">
            <w:pPr>
              <w:spacing w:line="360" w:lineRule="auto"/>
              <w:rPr>
                <w:rFonts w:ascii="宋体" w:hAnsi="宋体" w:eastAsia="宋体" w:cs="Times New Roman"/>
                <w:bCs/>
                <w:kern w:val="2"/>
                <w:sz w:val="24"/>
              </w:rPr>
            </w:pPr>
            <w:r>
              <w:rPr>
                <w:rFonts w:hint="eastAsia" w:ascii="宋体" w:hAnsi="宋体" w:eastAsia="宋体" w:cs="Times New Roman"/>
                <w:bCs/>
                <w:kern w:val="2"/>
                <w:sz w:val="24"/>
              </w:rPr>
              <w:t>3、遇紧急情况，分别按盗窃匪警应急处理程序、可疑人员处理程序、斗殴处理程序、或精神病人处理程序、强制进入办公楼人员处理程序、可疑物件及恐吓电话处理规程等规定及时处理突发事件，遇无规程的紧急事件及时向上级汇报，并灵活采取措施，控制事态恶化。</w:t>
            </w:r>
          </w:p>
        </w:tc>
        <w:tc>
          <w:tcPr>
            <w:tcW w:w="1473" w:type="dxa"/>
            <w:tcBorders>
              <w:top w:val="single" w:color="auto" w:sz="4" w:space="0"/>
              <w:left w:val="single" w:color="auto" w:sz="4" w:space="0"/>
              <w:bottom w:val="single" w:color="auto" w:sz="4" w:space="0"/>
              <w:right w:val="single" w:color="auto" w:sz="4" w:space="0"/>
            </w:tcBorders>
          </w:tcPr>
          <w:p w14:paraId="5F31E1AB">
            <w:pPr>
              <w:spacing w:line="360" w:lineRule="auto"/>
              <w:rPr>
                <w:rFonts w:ascii="宋体" w:hAnsi="宋体" w:eastAsia="宋体" w:cs="Times New Roman"/>
                <w:bCs/>
                <w:kern w:val="2"/>
                <w:sz w:val="24"/>
              </w:rPr>
            </w:pPr>
          </w:p>
        </w:tc>
      </w:tr>
      <w:tr w14:paraId="02B75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068" w:type="dxa"/>
            <w:vMerge w:val="restart"/>
            <w:tcBorders>
              <w:top w:val="single" w:color="auto" w:sz="4" w:space="0"/>
              <w:left w:val="single" w:color="auto" w:sz="4" w:space="0"/>
              <w:bottom w:val="single" w:color="auto" w:sz="4" w:space="0"/>
              <w:right w:val="single" w:color="auto" w:sz="4" w:space="0"/>
            </w:tcBorders>
            <w:vAlign w:val="center"/>
          </w:tcPr>
          <w:p w14:paraId="6CF548D1">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其</w:t>
            </w:r>
          </w:p>
          <w:p w14:paraId="301097B0">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他</w:t>
            </w:r>
          </w:p>
        </w:tc>
        <w:tc>
          <w:tcPr>
            <w:tcW w:w="5925" w:type="dxa"/>
            <w:tcBorders>
              <w:top w:val="single" w:color="auto" w:sz="4" w:space="0"/>
              <w:left w:val="single" w:color="auto" w:sz="4" w:space="0"/>
              <w:bottom w:val="single" w:color="auto" w:sz="4" w:space="0"/>
              <w:right w:val="single" w:color="auto" w:sz="4" w:space="0"/>
            </w:tcBorders>
          </w:tcPr>
          <w:p w14:paraId="38F3AAC8">
            <w:pPr>
              <w:spacing w:line="360" w:lineRule="auto"/>
              <w:rPr>
                <w:rFonts w:ascii="宋体" w:hAnsi="宋体" w:eastAsia="宋体" w:cs="Times New Roman"/>
                <w:bCs/>
                <w:kern w:val="2"/>
                <w:sz w:val="24"/>
              </w:rPr>
            </w:pPr>
            <w:r>
              <w:rPr>
                <w:rFonts w:hint="eastAsia" w:ascii="宋体" w:hAnsi="宋体" w:eastAsia="宋体" w:cs="Times New Roman"/>
                <w:bCs/>
                <w:kern w:val="2"/>
                <w:sz w:val="24"/>
              </w:rPr>
              <w:t>1、及时完成业主需要保卫人员从事的其他工作。</w:t>
            </w:r>
          </w:p>
        </w:tc>
        <w:tc>
          <w:tcPr>
            <w:tcW w:w="1473" w:type="dxa"/>
            <w:tcBorders>
              <w:top w:val="single" w:color="auto" w:sz="4" w:space="0"/>
              <w:left w:val="single" w:color="auto" w:sz="4" w:space="0"/>
              <w:bottom w:val="single" w:color="auto" w:sz="4" w:space="0"/>
              <w:right w:val="single" w:color="auto" w:sz="4" w:space="0"/>
            </w:tcBorders>
          </w:tcPr>
          <w:p w14:paraId="2556BE75">
            <w:pPr>
              <w:spacing w:line="360" w:lineRule="auto"/>
              <w:rPr>
                <w:rFonts w:ascii="宋体" w:hAnsi="宋体" w:eastAsia="宋体" w:cs="Times New Roman"/>
                <w:bCs/>
                <w:kern w:val="2"/>
                <w:sz w:val="24"/>
              </w:rPr>
            </w:pPr>
          </w:p>
        </w:tc>
      </w:tr>
      <w:tr w14:paraId="4C05B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1068" w:type="dxa"/>
            <w:vMerge w:val="continue"/>
            <w:tcBorders>
              <w:top w:val="single" w:color="auto" w:sz="4" w:space="0"/>
              <w:left w:val="single" w:color="auto" w:sz="4" w:space="0"/>
              <w:bottom w:val="single" w:color="auto" w:sz="4" w:space="0"/>
              <w:right w:val="single" w:color="auto" w:sz="4" w:space="0"/>
            </w:tcBorders>
            <w:vAlign w:val="center"/>
          </w:tcPr>
          <w:p w14:paraId="4E794B6F">
            <w:pPr>
              <w:widowControl/>
              <w:jc w:val="left"/>
              <w:rPr>
                <w:rFonts w:ascii="宋体" w:hAnsi="宋体" w:eastAsia="宋体" w:cs="Times New Roman"/>
                <w:bCs/>
                <w:kern w:val="2"/>
                <w:sz w:val="24"/>
              </w:rPr>
            </w:pPr>
          </w:p>
        </w:tc>
        <w:tc>
          <w:tcPr>
            <w:tcW w:w="5925" w:type="dxa"/>
            <w:tcBorders>
              <w:top w:val="single" w:color="auto" w:sz="4" w:space="0"/>
              <w:left w:val="single" w:color="auto" w:sz="4" w:space="0"/>
              <w:bottom w:val="single" w:color="auto" w:sz="4" w:space="0"/>
              <w:right w:val="single" w:color="auto" w:sz="4" w:space="0"/>
            </w:tcBorders>
          </w:tcPr>
          <w:p w14:paraId="3E660617">
            <w:pPr>
              <w:spacing w:line="360" w:lineRule="auto"/>
              <w:rPr>
                <w:rFonts w:ascii="宋体" w:hAnsi="宋体" w:eastAsia="宋体" w:cs="Times New Roman"/>
                <w:bCs/>
                <w:kern w:val="2"/>
                <w:sz w:val="24"/>
              </w:rPr>
            </w:pPr>
            <w:r>
              <w:rPr>
                <w:rFonts w:hint="eastAsia" w:ascii="宋体" w:hAnsi="宋体" w:eastAsia="宋体" w:cs="Times New Roman"/>
                <w:bCs/>
                <w:kern w:val="2"/>
                <w:sz w:val="24"/>
              </w:rPr>
              <w:t>2、上述未列的保卫人员应承担的其他工作。</w:t>
            </w:r>
          </w:p>
        </w:tc>
        <w:tc>
          <w:tcPr>
            <w:tcW w:w="1473" w:type="dxa"/>
            <w:tcBorders>
              <w:top w:val="single" w:color="auto" w:sz="4" w:space="0"/>
              <w:left w:val="single" w:color="auto" w:sz="4" w:space="0"/>
              <w:bottom w:val="single" w:color="auto" w:sz="4" w:space="0"/>
              <w:right w:val="single" w:color="auto" w:sz="4" w:space="0"/>
            </w:tcBorders>
          </w:tcPr>
          <w:p w14:paraId="2BD71562">
            <w:pPr>
              <w:spacing w:line="360" w:lineRule="auto"/>
              <w:rPr>
                <w:rFonts w:ascii="宋体" w:hAnsi="宋体" w:eastAsia="宋体" w:cs="Times New Roman"/>
                <w:bCs/>
                <w:kern w:val="2"/>
                <w:sz w:val="24"/>
              </w:rPr>
            </w:pPr>
          </w:p>
        </w:tc>
      </w:tr>
    </w:tbl>
    <w:p w14:paraId="17BD9C6B">
      <w:pPr>
        <w:spacing w:line="360" w:lineRule="auto"/>
        <w:rPr>
          <w:rFonts w:ascii="宋体" w:hAnsi="宋体" w:eastAsia="宋体" w:cs="Times New Roman"/>
          <w:b/>
          <w:kern w:val="2"/>
          <w:sz w:val="24"/>
        </w:rPr>
      </w:pPr>
    </w:p>
    <w:p w14:paraId="5674AE9F">
      <w:pPr>
        <w:spacing w:line="360" w:lineRule="auto"/>
        <w:ind w:firstLine="482" w:firstLineChars="200"/>
        <w:rPr>
          <w:rFonts w:ascii="宋体" w:hAnsi="宋体" w:eastAsia="宋体" w:cs="Times New Roman"/>
          <w:b/>
          <w:kern w:val="2"/>
          <w:sz w:val="24"/>
        </w:rPr>
      </w:pPr>
      <w:r>
        <w:rPr>
          <w:rFonts w:hint="eastAsia" w:ascii="宋体" w:hAnsi="宋体" w:eastAsia="宋体" w:cs="Times New Roman"/>
          <w:b/>
          <w:kern w:val="2"/>
          <w:sz w:val="24"/>
        </w:rPr>
        <w:t>7.3保洁服务质量标准（见下表）</w:t>
      </w:r>
    </w:p>
    <w:p w14:paraId="42512675">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保洁服务质量标准</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8"/>
        <w:gridCol w:w="690"/>
        <w:gridCol w:w="5730"/>
        <w:gridCol w:w="1548"/>
      </w:tblGrid>
      <w:tr w14:paraId="6DED4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188" w:type="dxa"/>
            <w:gridSpan w:val="2"/>
            <w:tcBorders>
              <w:top w:val="single" w:color="auto" w:sz="4" w:space="0"/>
              <w:left w:val="single" w:color="auto" w:sz="4" w:space="0"/>
              <w:bottom w:val="single" w:color="auto" w:sz="4" w:space="0"/>
              <w:right w:val="single" w:color="auto" w:sz="4" w:space="0"/>
            </w:tcBorders>
          </w:tcPr>
          <w:p w14:paraId="12243F06">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保洁位置</w:t>
            </w:r>
          </w:p>
        </w:tc>
        <w:tc>
          <w:tcPr>
            <w:tcW w:w="5730" w:type="dxa"/>
            <w:tcBorders>
              <w:top w:val="single" w:color="auto" w:sz="4" w:space="0"/>
              <w:left w:val="single" w:color="auto" w:sz="4" w:space="0"/>
              <w:bottom w:val="single" w:color="auto" w:sz="4" w:space="0"/>
              <w:right w:val="single" w:color="auto" w:sz="4" w:space="0"/>
            </w:tcBorders>
          </w:tcPr>
          <w:p w14:paraId="518DFC03">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质量控制标准</w:t>
            </w:r>
          </w:p>
        </w:tc>
        <w:tc>
          <w:tcPr>
            <w:tcW w:w="1548" w:type="dxa"/>
            <w:tcBorders>
              <w:top w:val="single" w:color="auto" w:sz="4" w:space="0"/>
              <w:left w:val="single" w:color="auto" w:sz="4" w:space="0"/>
              <w:bottom w:val="single" w:color="auto" w:sz="4" w:space="0"/>
              <w:right w:val="single" w:color="auto" w:sz="4" w:space="0"/>
            </w:tcBorders>
          </w:tcPr>
          <w:p w14:paraId="6DB50E79">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保洁频次</w:t>
            </w:r>
          </w:p>
        </w:tc>
      </w:tr>
      <w:tr w14:paraId="31C29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498" w:type="dxa"/>
            <w:vMerge w:val="restart"/>
            <w:tcBorders>
              <w:top w:val="single" w:color="auto" w:sz="4" w:space="0"/>
              <w:left w:val="single" w:color="auto" w:sz="4" w:space="0"/>
              <w:bottom w:val="single" w:color="auto" w:sz="4" w:space="0"/>
              <w:right w:val="single" w:color="auto" w:sz="4" w:space="0"/>
            </w:tcBorders>
            <w:vAlign w:val="center"/>
          </w:tcPr>
          <w:p w14:paraId="0BB4DEDF">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标准楼层</w:t>
            </w:r>
          </w:p>
        </w:tc>
        <w:tc>
          <w:tcPr>
            <w:tcW w:w="690" w:type="dxa"/>
            <w:vMerge w:val="restart"/>
            <w:tcBorders>
              <w:top w:val="single" w:color="auto" w:sz="4" w:space="0"/>
              <w:left w:val="single" w:color="auto" w:sz="4" w:space="0"/>
              <w:bottom w:val="single" w:color="auto" w:sz="4" w:space="0"/>
              <w:right w:val="single" w:color="auto" w:sz="4" w:space="0"/>
            </w:tcBorders>
            <w:vAlign w:val="center"/>
          </w:tcPr>
          <w:p w14:paraId="6C2C1C8A">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公</w:t>
            </w:r>
          </w:p>
          <w:p w14:paraId="626CCF35">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共</w:t>
            </w:r>
          </w:p>
          <w:p w14:paraId="391A38C3">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区</w:t>
            </w:r>
          </w:p>
          <w:p w14:paraId="4F0D2FAD">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域</w:t>
            </w:r>
          </w:p>
        </w:tc>
        <w:tc>
          <w:tcPr>
            <w:tcW w:w="5730" w:type="dxa"/>
            <w:tcBorders>
              <w:top w:val="single" w:color="auto" w:sz="4" w:space="0"/>
              <w:left w:val="single" w:color="auto" w:sz="4" w:space="0"/>
              <w:bottom w:val="single" w:color="auto" w:sz="4" w:space="0"/>
              <w:right w:val="single" w:color="auto" w:sz="4" w:space="0"/>
            </w:tcBorders>
          </w:tcPr>
          <w:p w14:paraId="597F6223">
            <w:pPr>
              <w:spacing w:line="360" w:lineRule="auto"/>
              <w:rPr>
                <w:rFonts w:ascii="宋体" w:hAnsi="宋体" w:eastAsia="宋体" w:cs="Times New Roman"/>
                <w:bCs/>
                <w:kern w:val="2"/>
                <w:sz w:val="24"/>
              </w:rPr>
            </w:pPr>
            <w:r>
              <w:rPr>
                <w:rFonts w:hint="eastAsia" w:ascii="宋体" w:hAnsi="宋体" w:eastAsia="宋体" w:cs="Times New Roman"/>
                <w:bCs/>
                <w:kern w:val="2"/>
                <w:sz w:val="24"/>
              </w:rPr>
              <w:t>1、地面清洁无灰尘、杂物、水迹、黄斑。</w:t>
            </w:r>
          </w:p>
        </w:tc>
        <w:tc>
          <w:tcPr>
            <w:tcW w:w="1548" w:type="dxa"/>
            <w:tcBorders>
              <w:top w:val="single" w:color="auto" w:sz="4" w:space="0"/>
              <w:left w:val="single" w:color="auto" w:sz="4" w:space="0"/>
              <w:bottom w:val="single" w:color="auto" w:sz="4" w:space="0"/>
              <w:right w:val="single" w:color="auto" w:sz="4" w:space="0"/>
            </w:tcBorders>
          </w:tcPr>
          <w:p w14:paraId="5615DBE2">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34B68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188" w:type="dxa"/>
            <w:vMerge w:val="continue"/>
            <w:tcBorders>
              <w:top w:val="single" w:color="auto" w:sz="4" w:space="0"/>
              <w:left w:val="single" w:color="auto" w:sz="4" w:space="0"/>
              <w:bottom w:val="single" w:color="auto" w:sz="4" w:space="0"/>
              <w:right w:val="single" w:color="auto" w:sz="4" w:space="0"/>
            </w:tcBorders>
            <w:vAlign w:val="center"/>
          </w:tcPr>
          <w:p w14:paraId="5FE3E297">
            <w:pPr>
              <w:widowControl/>
              <w:jc w:val="left"/>
              <w:rPr>
                <w:rFonts w:ascii="宋体" w:hAnsi="宋体" w:eastAsia="宋体" w:cs="Times New Roman"/>
                <w:bCs/>
                <w:kern w:val="2"/>
                <w:sz w:val="24"/>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14:paraId="6EF89A20">
            <w:pPr>
              <w:widowControl/>
              <w:jc w:val="left"/>
              <w:rPr>
                <w:rFonts w:ascii="宋体" w:hAnsi="宋体" w:eastAsia="宋体" w:cs="Times New Roman"/>
                <w:bCs/>
                <w:kern w:val="2"/>
                <w:sz w:val="24"/>
              </w:rPr>
            </w:pPr>
          </w:p>
        </w:tc>
        <w:tc>
          <w:tcPr>
            <w:tcW w:w="5730" w:type="dxa"/>
            <w:tcBorders>
              <w:top w:val="single" w:color="auto" w:sz="4" w:space="0"/>
              <w:left w:val="single" w:color="auto" w:sz="4" w:space="0"/>
              <w:bottom w:val="single" w:color="auto" w:sz="4" w:space="0"/>
              <w:right w:val="single" w:color="auto" w:sz="4" w:space="0"/>
            </w:tcBorders>
          </w:tcPr>
          <w:p w14:paraId="3F18CFB1">
            <w:pPr>
              <w:spacing w:line="360" w:lineRule="auto"/>
              <w:rPr>
                <w:rFonts w:ascii="宋体" w:hAnsi="宋体" w:eastAsia="宋体" w:cs="Times New Roman"/>
                <w:bCs/>
                <w:kern w:val="2"/>
                <w:sz w:val="24"/>
              </w:rPr>
            </w:pPr>
            <w:r>
              <w:rPr>
                <w:rFonts w:hint="eastAsia" w:ascii="宋体" w:hAnsi="宋体" w:eastAsia="宋体" w:cs="Times New Roman"/>
                <w:bCs/>
                <w:kern w:val="2"/>
                <w:sz w:val="24"/>
              </w:rPr>
              <w:t>2、墙面清洁无污迹、灰尘、手印。</w:t>
            </w:r>
          </w:p>
        </w:tc>
        <w:tc>
          <w:tcPr>
            <w:tcW w:w="1548" w:type="dxa"/>
            <w:tcBorders>
              <w:top w:val="single" w:color="auto" w:sz="4" w:space="0"/>
              <w:left w:val="single" w:color="auto" w:sz="4" w:space="0"/>
              <w:bottom w:val="single" w:color="auto" w:sz="4" w:space="0"/>
              <w:right w:val="single" w:color="auto" w:sz="4" w:space="0"/>
            </w:tcBorders>
          </w:tcPr>
          <w:p w14:paraId="53F323C9">
            <w:pPr>
              <w:spacing w:line="360" w:lineRule="auto"/>
              <w:rPr>
                <w:rFonts w:ascii="宋体" w:hAnsi="宋体" w:eastAsia="宋体" w:cs="Times New Roman"/>
                <w:bCs/>
                <w:kern w:val="2"/>
                <w:sz w:val="24"/>
              </w:rPr>
            </w:pPr>
          </w:p>
        </w:tc>
      </w:tr>
      <w:tr w14:paraId="4F8EC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188" w:type="dxa"/>
            <w:vMerge w:val="continue"/>
            <w:tcBorders>
              <w:top w:val="single" w:color="auto" w:sz="4" w:space="0"/>
              <w:left w:val="single" w:color="auto" w:sz="4" w:space="0"/>
              <w:bottom w:val="single" w:color="auto" w:sz="4" w:space="0"/>
              <w:right w:val="single" w:color="auto" w:sz="4" w:space="0"/>
            </w:tcBorders>
            <w:vAlign w:val="center"/>
          </w:tcPr>
          <w:p w14:paraId="1F195B8B">
            <w:pPr>
              <w:widowControl/>
              <w:jc w:val="left"/>
              <w:rPr>
                <w:rFonts w:ascii="宋体" w:hAnsi="宋体" w:eastAsia="宋体" w:cs="Times New Roman"/>
                <w:bCs/>
                <w:kern w:val="2"/>
                <w:sz w:val="24"/>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14:paraId="4EBA1135">
            <w:pPr>
              <w:widowControl/>
              <w:jc w:val="left"/>
              <w:rPr>
                <w:rFonts w:ascii="宋体" w:hAnsi="宋体" w:eastAsia="宋体" w:cs="Times New Roman"/>
                <w:bCs/>
                <w:kern w:val="2"/>
                <w:sz w:val="24"/>
              </w:rPr>
            </w:pPr>
          </w:p>
        </w:tc>
        <w:tc>
          <w:tcPr>
            <w:tcW w:w="5730" w:type="dxa"/>
            <w:tcBorders>
              <w:top w:val="single" w:color="auto" w:sz="4" w:space="0"/>
              <w:left w:val="single" w:color="auto" w:sz="4" w:space="0"/>
              <w:bottom w:val="single" w:color="auto" w:sz="4" w:space="0"/>
              <w:right w:val="single" w:color="auto" w:sz="4" w:space="0"/>
            </w:tcBorders>
          </w:tcPr>
          <w:p w14:paraId="571DC3D7">
            <w:pPr>
              <w:spacing w:line="360" w:lineRule="auto"/>
              <w:rPr>
                <w:rFonts w:ascii="宋体" w:hAnsi="宋体" w:eastAsia="宋体" w:cs="Times New Roman"/>
                <w:bCs/>
                <w:kern w:val="2"/>
                <w:sz w:val="24"/>
              </w:rPr>
            </w:pPr>
            <w:r>
              <w:rPr>
                <w:rFonts w:hint="eastAsia" w:ascii="宋体" w:hAnsi="宋体" w:eastAsia="宋体" w:cs="Times New Roman"/>
                <w:bCs/>
                <w:kern w:val="2"/>
                <w:sz w:val="24"/>
              </w:rPr>
              <w:t>3、顶面清洁无积灰、手印。</w:t>
            </w:r>
          </w:p>
        </w:tc>
        <w:tc>
          <w:tcPr>
            <w:tcW w:w="1548" w:type="dxa"/>
            <w:tcBorders>
              <w:top w:val="single" w:color="auto" w:sz="4" w:space="0"/>
              <w:left w:val="single" w:color="auto" w:sz="4" w:space="0"/>
              <w:bottom w:val="single" w:color="auto" w:sz="4" w:space="0"/>
              <w:right w:val="single" w:color="auto" w:sz="4" w:space="0"/>
            </w:tcBorders>
          </w:tcPr>
          <w:p w14:paraId="62DE4812">
            <w:pPr>
              <w:spacing w:line="360" w:lineRule="auto"/>
              <w:rPr>
                <w:rFonts w:ascii="宋体" w:hAnsi="宋体" w:eastAsia="宋体" w:cs="Times New Roman"/>
                <w:bCs/>
                <w:kern w:val="2"/>
                <w:sz w:val="24"/>
              </w:rPr>
            </w:pPr>
          </w:p>
        </w:tc>
      </w:tr>
      <w:tr w14:paraId="6A7D7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188" w:type="dxa"/>
            <w:vMerge w:val="continue"/>
            <w:tcBorders>
              <w:top w:val="single" w:color="auto" w:sz="4" w:space="0"/>
              <w:left w:val="single" w:color="auto" w:sz="4" w:space="0"/>
              <w:bottom w:val="single" w:color="auto" w:sz="4" w:space="0"/>
              <w:right w:val="single" w:color="auto" w:sz="4" w:space="0"/>
            </w:tcBorders>
            <w:vAlign w:val="center"/>
          </w:tcPr>
          <w:p w14:paraId="17CC5F02">
            <w:pPr>
              <w:widowControl/>
              <w:jc w:val="left"/>
              <w:rPr>
                <w:rFonts w:ascii="宋体" w:hAnsi="宋体" w:eastAsia="宋体" w:cs="Times New Roman"/>
                <w:bCs/>
                <w:kern w:val="2"/>
                <w:sz w:val="24"/>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14:paraId="49AE0257">
            <w:pPr>
              <w:widowControl/>
              <w:jc w:val="left"/>
              <w:rPr>
                <w:rFonts w:ascii="宋体" w:hAnsi="宋体" w:eastAsia="宋体" w:cs="Times New Roman"/>
                <w:bCs/>
                <w:kern w:val="2"/>
                <w:sz w:val="24"/>
              </w:rPr>
            </w:pPr>
          </w:p>
        </w:tc>
        <w:tc>
          <w:tcPr>
            <w:tcW w:w="5730" w:type="dxa"/>
            <w:tcBorders>
              <w:top w:val="single" w:color="auto" w:sz="4" w:space="0"/>
              <w:left w:val="single" w:color="auto" w:sz="4" w:space="0"/>
              <w:bottom w:val="single" w:color="auto" w:sz="4" w:space="0"/>
              <w:right w:val="single" w:color="auto" w:sz="4" w:space="0"/>
            </w:tcBorders>
          </w:tcPr>
          <w:p w14:paraId="0EEA9D23">
            <w:pPr>
              <w:spacing w:line="360" w:lineRule="auto"/>
              <w:rPr>
                <w:rFonts w:ascii="宋体" w:hAnsi="宋体" w:eastAsia="宋体" w:cs="Times New Roman"/>
                <w:bCs/>
                <w:kern w:val="2"/>
                <w:sz w:val="24"/>
              </w:rPr>
            </w:pPr>
            <w:r>
              <w:rPr>
                <w:rFonts w:hint="eastAsia" w:ascii="宋体" w:hAnsi="宋体" w:eastAsia="宋体" w:cs="Times New Roman"/>
                <w:bCs/>
                <w:kern w:val="2"/>
                <w:sz w:val="24"/>
              </w:rPr>
              <w:t>4、踢脚线清洁无积尘。</w:t>
            </w:r>
          </w:p>
        </w:tc>
        <w:tc>
          <w:tcPr>
            <w:tcW w:w="1548" w:type="dxa"/>
            <w:tcBorders>
              <w:top w:val="single" w:color="auto" w:sz="4" w:space="0"/>
              <w:left w:val="single" w:color="auto" w:sz="4" w:space="0"/>
              <w:bottom w:val="single" w:color="auto" w:sz="4" w:space="0"/>
              <w:right w:val="single" w:color="auto" w:sz="4" w:space="0"/>
            </w:tcBorders>
          </w:tcPr>
          <w:p w14:paraId="6CC4484A">
            <w:pPr>
              <w:spacing w:line="360" w:lineRule="auto"/>
              <w:rPr>
                <w:rFonts w:ascii="宋体" w:hAnsi="宋体" w:eastAsia="宋体" w:cs="Times New Roman"/>
                <w:bCs/>
                <w:kern w:val="2"/>
                <w:sz w:val="24"/>
              </w:rPr>
            </w:pPr>
          </w:p>
        </w:tc>
      </w:tr>
      <w:tr w14:paraId="10E3D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188" w:type="dxa"/>
            <w:vMerge w:val="continue"/>
            <w:tcBorders>
              <w:top w:val="single" w:color="auto" w:sz="4" w:space="0"/>
              <w:left w:val="single" w:color="auto" w:sz="4" w:space="0"/>
              <w:bottom w:val="single" w:color="auto" w:sz="4" w:space="0"/>
              <w:right w:val="single" w:color="auto" w:sz="4" w:space="0"/>
            </w:tcBorders>
            <w:vAlign w:val="center"/>
          </w:tcPr>
          <w:p w14:paraId="0E4615AF">
            <w:pPr>
              <w:widowControl/>
              <w:jc w:val="left"/>
              <w:rPr>
                <w:rFonts w:ascii="宋体" w:hAnsi="宋体" w:eastAsia="宋体" w:cs="Times New Roman"/>
                <w:bCs/>
                <w:kern w:val="2"/>
                <w:sz w:val="24"/>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14:paraId="39C11354">
            <w:pPr>
              <w:widowControl/>
              <w:jc w:val="left"/>
              <w:rPr>
                <w:rFonts w:ascii="宋体" w:hAnsi="宋体" w:eastAsia="宋体" w:cs="Times New Roman"/>
                <w:bCs/>
                <w:kern w:val="2"/>
                <w:sz w:val="24"/>
              </w:rPr>
            </w:pPr>
          </w:p>
        </w:tc>
        <w:tc>
          <w:tcPr>
            <w:tcW w:w="5730" w:type="dxa"/>
            <w:tcBorders>
              <w:top w:val="single" w:color="auto" w:sz="4" w:space="0"/>
              <w:left w:val="single" w:color="auto" w:sz="4" w:space="0"/>
              <w:bottom w:val="single" w:color="auto" w:sz="4" w:space="0"/>
              <w:right w:val="single" w:color="auto" w:sz="4" w:space="0"/>
            </w:tcBorders>
          </w:tcPr>
          <w:p w14:paraId="50628E44">
            <w:pPr>
              <w:spacing w:line="360" w:lineRule="auto"/>
              <w:rPr>
                <w:rFonts w:ascii="宋体" w:hAnsi="宋体" w:eastAsia="宋体" w:cs="Times New Roman"/>
                <w:bCs/>
                <w:kern w:val="2"/>
                <w:sz w:val="24"/>
              </w:rPr>
            </w:pPr>
            <w:r>
              <w:rPr>
                <w:rFonts w:hint="eastAsia" w:ascii="宋体" w:hAnsi="宋体" w:eastAsia="宋体" w:cs="Times New Roman"/>
                <w:bCs/>
                <w:kern w:val="2"/>
                <w:sz w:val="24"/>
              </w:rPr>
              <w:t>5、电梯门套门缝、层显等清洁无明显污速、手印。</w:t>
            </w:r>
          </w:p>
        </w:tc>
        <w:tc>
          <w:tcPr>
            <w:tcW w:w="1548" w:type="dxa"/>
            <w:tcBorders>
              <w:top w:val="single" w:color="auto" w:sz="4" w:space="0"/>
              <w:left w:val="single" w:color="auto" w:sz="4" w:space="0"/>
              <w:bottom w:val="single" w:color="auto" w:sz="4" w:space="0"/>
              <w:right w:val="single" w:color="auto" w:sz="4" w:space="0"/>
            </w:tcBorders>
          </w:tcPr>
          <w:p w14:paraId="2DA5A5B7">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7D88F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188" w:type="dxa"/>
            <w:vMerge w:val="continue"/>
            <w:tcBorders>
              <w:top w:val="single" w:color="auto" w:sz="4" w:space="0"/>
              <w:left w:val="single" w:color="auto" w:sz="4" w:space="0"/>
              <w:bottom w:val="single" w:color="auto" w:sz="4" w:space="0"/>
              <w:right w:val="single" w:color="auto" w:sz="4" w:space="0"/>
            </w:tcBorders>
            <w:vAlign w:val="center"/>
          </w:tcPr>
          <w:p w14:paraId="3A08B4C1">
            <w:pPr>
              <w:widowControl/>
              <w:jc w:val="left"/>
              <w:rPr>
                <w:rFonts w:ascii="宋体" w:hAnsi="宋体" w:eastAsia="宋体" w:cs="Times New Roman"/>
                <w:bCs/>
                <w:kern w:val="2"/>
                <w:sz w:val="24"/>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14:paraId="43FF61AC">
            <w:pPr>
              <w:widowControl/>
              <w:jc w:val="left"/>
              <w:rPr>
                <w:rFonts w:ascii="宋体" w:hAnsi="宋体" w:eastAsia="宋体" w:cs="Times New Roman"/>
                <w:bCs/>
                <w:kern w:val="2"/>
                <w:sz w:val="24"/>
              </w:rPr>
            </w:pPr>
          </w:p>
        </w:tc>
        <w:tc>
          <w:tcPr>
            <w:tcW w:w="5730" w:type="dxa"/>
            <w:tcBorders>
              <w:top w:val="single" w:color="auto" w:sz="4" w:space="0"/>
              <w:left w:val="single" w:color="auto" w:sz="4" w:space="0"/>
              <w:bottom w:val="single" w:color="auto" w:sz="4" w:space="0"/>
              <w:right w:val="single" w:color="auto" w:sz="4" w:space="0"/>
            </w:tcBorders>
          </w:tcPr>
          <w:p w14:paraId="0BBABB1C">
            <w:pPr>
              <w:spacing w:line="360" w:lineRule="auto"/>
              <w:rPr>
                <w:rFonts w:ascii="宋体" w:hAnsi="宋体" w:eastAsia="宋体" w:cs="Times New Roman"/>
                <w:bCs/>
                <w:kern w:val="2"/>
                <w:sz w:val="24"/>
              </w:rPr>
            </w:pPr>
            <w:r>
              <w:rPr>
                <w:rFonts w:hint="eastAsia" w:ascii="宋体" w:hAnsi="宋体" w:eastAsia="宋体" w:cs="Times New Roman"/>
                <w:bCs/>
                <w:kern w:val="2"/>
                <w:sz w:val="24"/>
              </w:rPr>
              <w:t>6、电梯不锈钢饰面无灰尘手印、上油均匀不腻，镜面光亮无手印污迹，不锈钢饰面定期保养。</w:t>
            </w:r>
          </w:p>
        </w:tc>
        <w:tc>
          <w:tcPr>
            <w:tcW w:w="1548" w:type="dxa"/>
            <w:tcBorders>
              <w:top w:val="single" w:color="auto" w:sz="4" w:space="0"/>
              <w:left w:val="single" w:color="auto" w:sz="4" w:space="0"/>
              <w:bottom w:val="single" w:color="auto" w:sz="4" w:space="0"/>
              <w:right w:val="single" w:color="auto" w:sz="4" w:space="0"/>
            </w:tcBorders>
          </w:tcPr>
          <w:p w14:paraId="35567D77">
            <w:pPr>
              <w:spacing w:line="360" w:lineRule="auto"/>
              <w:rPr>
                <w:rFonts w:ascii="宋体" w:hAnsi="宋体" w:eastAsia="宋体" w:cs="Times New Roman"/>
                <w:bCs/>
                <w:kern w:val="2"/>
                <w:sz w:val="24"/>
              </w:rPr>
            </w:pPr>
          </w:p>
        </w:tc>
      </w:tr>
      <w:tr w14:paraId="497AA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188" w:type="dxa"/>
            <w:vMerge w:val="continue"/>
            <w:tcBorders>
              <w:top w:val="single" w:color="auto" w:sz="4" w:space="0"/>
              <w:left w:val="single" w:color="auto" w:sz="4" w:space="0"/>
              <w:bottom w:val="single" w:color="auto" w:sz="4" w:space="0"/>
              <w:right w:val="single" w:color="auto" w:sz="4" w:space="0"/>
            </w:tcBorders>
            <w:vAlign w:val="center"/>
          </w:tcPr>
          <w:p w14:paraId="08608C13">
            <w:pPr>
              <w:widowControl/>
              <w:jc w:val="left"/>
              <w:rPr>
                <w:rFonts w:ascii="宋体" w:hAnsi="宋体" w:eastAsia="宋体" w:cs="Times New Roman"/>
                <w:bCs/>
                <w:kern w:val="2"/>
                <w:sz w:val="24"/>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14:paraId="041B0ED5">
            <w:pPr>
              <w:widowControl/>
              <w:jc w:val="left"/>
              <w:rPr>
                <w:rFonts w:ascii="宋体" w:hAnsi="宋体" w:eastAsia="宋体" w:cs="Times New Roman"/>
                <w:bCs/>
                <w:kern w:val="2"/>
                <w:sz w:val="24"/>
              </w:rPr>
            </w:pPr>
          </w:p>
        </w:tc>
        <w:tc>
          <w:tcPr>
            <w:tcW w:w="5730" w:type="dxa"/>
            <w:tcBorders>
              <w:top w:val="single" w:color="auto" w:sz="4" w:space="0"/>
              <w:left w:val="single" w:color="auto" w:sz="4" w:space="0"/>
              <w:bottom w:val="single" w:color="auto" w:sz="4" w:space="0"/>
              <w:right w:val="single" w:color="auto" w:sz="4" w:space="0"/>
            </w:tcBorders>
          </w:tcPr>
          <w:p w14:paraId="4930C597">
            <w:pPr>
              <w:spacing w:line="360" w:lineRule="auto"/>
              <w:rPr>
                <w:rFonts w:ascii="宋体" w:hAnsi="宋体" w:eastAsia="宋体" w:cs="Times New Roman"/>
                <w:bCs/>
                <w:kern w:val="2"/>
                <w:sz w:val="24"/>
              </w:rPr>
            </w:pPr>
            <w:r>
              <w:rPr>
                <w:rFonts w:hint="eastAsia" w:ascii="宋体" w:hAnsi="宋体" w:eastAsia="宋体" w:cs="Times New Roman"/>
                <w:bCs/>
                <w:kern w:val="2"/>
                <w:sz w:val="24"/>
              </w:rPr>
              <w:t>7、垃圾桶外观清洁，吸烟石清洁保持原色，烟头清理及时，垃圾袋倾倒及时无积存垃极。（垃级积存不可超过桶的2/3）</w:t>
            </w:r>
          </w:p>
        </w:tc>
        <w:tc>
          <w:tcPr>
            <w:tcW w:w="1548" w:type="dxa"/>
            <w:tcBorders>
              <w:top w:val="single" w:color="auto" w:sz="4" w:space="0"/>
              <w:left w:val="single" w:color="auto" w:sz="4" w:space="0"/>
              <w:bottom w:val="single" w:color="auto" w:sz="4" w:space="0"/>
              <w:right w:val="single" w:color="auto" w:sz="4" w:space="0"/>
            </w:tcBorders>
          </w:tcPr>
          <w:p w14:paraId="5D772C7F">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7A470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188" w:type="dxa"/>
            <w:vMerge w:val="continue"/>
            <w:tcBorders>
              <w:top w:val="single" w:color="auto" w:sz="4" w:space="0"/>
              <w:left w:val="single" w:color="auto" w:sz="4" w:space="0"/>
              <w:bottom w:val="single" w:color="auto" w:sz="4" w:space="0"/>
              <w:right w:val="single" w:color="auto" w:sz="4" w:space="0"/>
            </w:tcBorders>
            <w:vAlign w:val="center"/>
          </w:tcPr>
          <w:p w14:paraId="165ECFD4">
            <w:pPr>
              <w:widowControl/>
              <w:jc w:val="left"/>
              <w:rPr>
                <w:rFonts w:ascii="宋体" w:hAnsi="宋体" w:eastAsia="宋体" w:cs="Times New Roman"/>
                <w:bCs/>
                <w:kern w:val="2"/>
                <w:sz w:val="24"/>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14:paraId="627FA58E">
            <w:pPr>
              <w:widowControl/>
              <w:jc w:val="left"/>
              <w:rPr>
                <w:rFonts w:ascii="宋体" w:hAnsi="宋体" w:eastAsia="宋体" w:cs="Times New Roman"/>
                <w:bCs/>
                <w:kern w:val="2"/>
                <w:sz w:val="24"/>
              </w:rPr>
            </w:pPr>
          </w:p>
        </w:tc>
        <w:tc>
          <w:tcPr>
            <w:tcW w:w="5730" w:type="dxa"/>
            <w:tcBorders>
              <w:top w:val="single" w:color="auto" w:sz="4" w:space="0"/>
              <w:left w:val="single" w:color="auto" w:sz="4" w:space="0"/>
              <w:bottom w:val="single" w:color="auto" w:sz="4" w:space="0"/>
              <w:right w:val="single" w:color="auto" w:sz="4" w:space="0"/>
            </w:tcBorders>
          </w:tcPr>
          <w:p w14:paraId="15D658DE">
            <w:pPr>
              <w:spacing w:line="360" w:lineRule="auto"/>
              <w:rPr>
                <w:rFonts w:ascii="宋体" w:hAnsi="宋体" w:eastAsia="宋体" w:cs="Times New Roman"/>
                <w:bCs/>
                <w:kern w:val="2"/>
                <w:sz w:val="24"/>
              </w:rPr>
            </w:pPr>
            <w:r>
              <w:rPr>
                <w:rFonts w:hint="eastAsia" w:ascii="宋体" w:hAnsi="宋体" w:eastAsia="宋体" w:cs="Times New Roman"/>
                <w:bCs/>
                <w:kern w:val="2"/>
                <w:sz w:val="24"/>
              </w:rPr>
              <w:t>8、各类标牌、开关、插座、巡更器等清洁无污迹、灰尘，边柜表面清洁无灰尘，空柜内无积灰，走道堆物无明显积灰。</w:t>
            </w:r>
          </w:p>
        </w:tc>
        <w:tc>
          <w:tcPr>
            <w:tcW w:w="1548" w:type="dxa"/>
            <w:tcBorders>
              <w:top w:val="single" w:color="auto" w:sz="4" w:space="0"/>
              <w:left w:val="single" w:color="auto" w:sz="4" w:space="0"/>
              <w:bottom w:val="single" w:color="auto" w:sz="4" w:space="0"/>
              <w:right w:val="single" w:color="auto" w:sz="4" w:space="0"/>
            </w:tcBorders>
          </w:tcPr>
          <w:p w14:paraId="75A88043">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2D0CC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188" w:type="dxa"/>
            <w:vMerge w:val="continue"/>
            <w:tcBorders>
              <w:top w:val="single" w:color="auto" w:sz="4" w:space="0"/>
              <w:left w:val="single" w:color="auto" w:sz="4" w:space="0"/>
              <w:bottom w:val="single" w:color="auto" w:sz="4" w:space="0"/>
              <w:right w:val="single" w:color="auto" w:sz="4" w:space="0"/>
            </w:tcBorders>
            <w:vAlign w:val="center"/>
          </w:tcPr>
          <w:p w14:paraId="36A164F4">
            <w:pPr>
              <w:widowControl/>
              <w:jc w:val="left"/>
              <w:rPr>
                <w:rFonts w:ascii="宋体" w:hAnsi="宋体" w:eastAsia="宋体" w:cs="Times New Roman"/>
                <w:bCs/>
                <w:kern w:val="2"/>
                <w:sz w:val="24"/>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14:paraId="34F5082E">
            <w:pPr>
              <w:widowControl/>
              <w:jc w:val="left"/>
              <w:rPr>
                <w:rFonts w:ascii="宋体" w:hAnsi="宋体" w:eastAsia="宋体" w:cs="Times New Roman"/>
                <w:bCs/>
                <w:kern w:val="2"/>
                <w:sz w:val="24"/>
              </w:rPr>
            </w:pPr>
          </w:p>
        </w:tc>
        <w:tc>
          <w:tcPr>
            <w:tcW w:w="5730" w:type="dxa"/>
            <w:tcBorders>
              <w:top w:val="single" w:color="auto" w:sz="4" w:space="0"/>
              <w:left w:val="single" w:color="auto" w:sz="4" w:space="0"/>
              <w:bottom w:val="single" w:color="auto" w:sz="4" w:space="0"/>
              <w:right w:val="single" w:color="auto" w:sz="4" w:space="0"/>
            </w:tcBorders>
          </w:tcPr>
          <w:p w14:paraId="653CC7F9">
            <w:pPr>
              <w:spacing w:line="360" w:lineRule="auto"/>
              <w:rPr>
                <w:rFonts w:ascii="宋体" w:hAnsi="宋体" w:eastAsia="宋体" w:cs="Times New Roman"/>
                <w:bCs/>
                <w:kern w:val="2"/>
                <w:sz w:val="24"/>
              </w:rPr>
            </w:pPr>
            <w:r>
              <w:rPr>
                <w:rFonts w:hint="eastAsia" w:ascii="宋体" w:hAnsi="宋体" w:eastAsia="宋体" w:cs="Times New Roman"/>
                <w:bCs/>
                <w:kern w:val="2"/>
                <w:sz w:val="24"/>
              </w:rPr>
              <w:t>9、消防箱（栓）、门框、门头、窗台清洁无积。</w:t>
            </w:r>
          </w:p>
        </w:tc>
        <w:tc>
          <w:tcPr>
            <w:tcW w:w="1548" w:type="dxa"/>
            <w:tcBorders>
              <w:top w:val="single" w:color="auto" w:sz="4" w:space="0"/>
              <w:left w:val="single" w:color="auto" w:sz="4" w:space="0"/>
              <w:bottom w:val="single" w:color="auto" w:sz="4" w:space="0"/>
              <w:right w:val="single" w:color="auto" w:sz="4" w:space="0"/>
            </w:tcBorders>
          </w:tcPr>
          <w:p w14:paraId="65571F54">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1F350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188" w:type="dxa"/>
            <w:vMerge w:val="continue"/>
            <w:tcBorders>
              <w:top w:val="single" w:color="auto" w:sz="4" w:space="0"/>
              <w:left w:val="single" w:color="auto" w:sz="4" w:space="0"/>
              <w:bottom w:val="single" w:color="auto" w:sz="4" w:space="0"/>
              <w:right w:val="single" w:color="auto" w:sz="4" w:space="0"/>
            </w:tcBorders>
            <w:vAlign w:val="center"/>
          </w:tcPr>
          <w:p w14:paraId="4065B521">
            <w:pPr>
              <w:widowControl/>
              <w:jc w:val="left"/>
              <w:rPr>
                <w:rFonts w:ascii="宋体" w:hAnsi="宋体" w:eastAsia="宋体" w:cs="Times New Roman"/>
                <w:bCs/>
                <w:kern w:val="2"/>
                <w:sz w:val="24"/>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14:paraId="2F83B9DB">
            <w:pPr>
              <w:widowControl/>
              <w:jc w:val="left"/>
              <w:rPr>
                <w:rFonts w:ascii="宋体" w:hAnsi="宋体" w:eastAsia="宋体" w:cs="Times New Roman"/>
                <w:bCs/>
                <w:kern w:val="2"/>
                <w:sz w:val="24"/>
              </w:rPr>
            </w:pPr>
          </w:p>
        </w:tc>
        <w:tc>
          <w:tcPr>
            <w:tcW w:w="5730" w:type="dxa"/>
            <w:tcBorders>
              <w:top w:val="single" w:color="auto" w:sz="4" w:space="0"/>
              <w:left w:val="single" w:color="auto" w:sz="4" w:space="0"/>
              <w:bottom w:val="single" w:color="auto" w:sz="4" w:space="0"/>
              <w:right w:val="single" w:color="auto" w:sz="4" w:space="0"/>
            </w:tcBorders>
          </w:tcPr>
          <w:p w14:paraId="5135D655">
            <w:pPr>
              <w:spacing w:line="360" w:lineRule="auto"/>
              <w:rPr>
                <w:rFonts w:ascii="宋体" w:hAnsi="宋体" w:eastAsia="宋体" w:cs="Times New Roman"/>
                <w:bCs/>
                <w:kern w:val="2"/>
                <w:sz w:val="24"/>
              </w:rPr>
            </w:pPr>
            <w:r>
              <w:rPr>
                <w:rFonts w:hint="eastAsia" w:ascii="宋体" w:hAnsi="宋体" w:eastAsia="宋体" w:cs="Times New Roman"/>
                <w:bCs/>
                <w:kern w:val="2"/>
                <w:sz w:val="24"/>
              </w:rPr>
              <w:t>10、植物盆体清洁，移位后及时复位。</w:t>
            </w:r>
          </w:p>
        </w:tc>
        <w:tc>
          <w:tcPr>
            <w:tcW w:w="1548" w:type="dxa"/>
            <w:tcBorders>
              <w:top w:val="single" w:color="auto" w:sz="4" w:space="0"/>
              <w:left w:val="single" w:color="auto" w:sz="4" w:space="0"/>
              <w:bottom w:val="single" w:color="auto" w:sz="4" w:space="0"/>
              <w:right w:val="single" w:color="auto" w:sz="4" w:space="0"/>
            </w:tcBorders>
          </w:tcPr>
          <w:p w14:paraId="5C1D06E5">
            <w:pPr>
              <w:spacing w:line="360" w:lineRule="auto"/>
              <w:rPr>
                <w:rFonts w:ascii="宋体" w:hAnsi="宋体" w:eastAsia="宋体" w:cs="Times New Roman"/>
                <w:bCs/>
                <w:kern w:val="2"/>
                <w:sz w:val="24"/>
              </w:rPr>
            </w:pPr>
          </w:p>
        </w:tc>
      </w:tr>
      <w:tr w14:paraId="5CD1E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188" w:type="dxa"/>
            <w:vMerge w:val="continue"/>
            <w:tcBorders>
              <w:top w:val="single" w:color="auto" w:sz="4" w:space="0"/>
              <w:left w:val="single" w:color="auto" w:sz="4" w:space="0"/>
              <w:bottom w:val="single" w:color="auto" w:sz="4" w:space="0"/>
              <w:right w:val="single" w:color="auto" w:sz="4" w:space="0"/>
            </w:tcBorders>
            <w:vAlign w:val="center"/>
          </w:tcPr>
          <w:p w14:paraId="759345CC">
            <w:pPr>
              <w:widowControl/>
              <w:jc w:val="left"/>
              <w:rPr>
                <w:rFonts w:ascii="宋体" w:hAnsi="宋体" w:eastAsia="宋体" w:cs="Times New Roman"/>
                <w:bCs/>
                <w:kern w:val="2"/>
                <w:sz w:val="24"/>
              </w:rPr>
            </w:pPr>
          </w:p>
        </w:tc>
        <w:tc>
          <w:tcPr>
            <w:tcW w:w="690" w:type="dxa"/>
            <w:vMerge w:val="restart"/>
            <w:tcBorders>
              <w:top w:val="single" w:color="auto" w:sz="4" w:space="0"/>
              <w:left w:val="single" w:color="auto" w:sz="4" w:space="0"/>
              <w:bottom w:val="single" w:color="auto" w:sz="4" w:space="0"/>
              <w:right w:val="single" w:color="auto" w:sz="4" w:space="0"/>
            </w:tcBorders>
            <w:vAlign w:val="center"/>
          </w:tcPr>
          <w:p w14:paraId="2D7A473F">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开</w:t>
            </w:r>
          </w:p>
          <w:p w14:paraId="293A007C">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水</w:t>
            </w:r>
          </w:p>
          <w:p w14:paraId="67BB89B9">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间</w:t>
            </w:r>
          </w:p>
        </w:tc>
        <w:tc>
          <w:tcPr>
            <w:tcW w:w="5730" w:type="dxa"/>
            <w:tcBorders>
              <w:top w:val="single" w:color="auto" w:sz="4" w:space="0"/>
              <w:left w:val="single" w:color="auto" w:sz="4" w:space="0"/>
              <w:bottom w:val="single" w:color="auto" w:sz="4" w:space="0"/>
              <w:right w:val="single" w:color="auto" w:sz="4" w:space="0"/>
            </w:tcBorders>
          </w:tcPr>
          <w:p w14:paraId="72C2FFEA">
            <w:pPr>
              <w:spacing w:line="360" w:lineRule="auto"/>
              <w:rPr>
                <w:rFonts w:ascii="宋体" w:hAnsi="宋体" w:eastAsia="宋体" w:cs="Times New Roman"/>
                <w:bCs/>
                <w:kern w:val="2"/>
                <w:sz w:val="24"/>
              </w:rPr>
            </w:pPr>
            <w:r>
              <w:rPr>
                <w:rFonts w:hint="eastAsia" w:ascii="宋体" w:hAnsi="宋体" w:eastAsia="宋体" w:cs="Times New Roman"/>
                <w:bCs/>
                <w:kern w:val="2"/>
                <w:sz w:val="24"/>
              </w:rPr>
              <w:t>1、地面清洁无水迹、拖痕。</w:t>
            </w:r>
          </w:p>
        </w:tc>
        <w:tc>
          <w:tcPr>
            <w:tcW w:w="1548" w:type="dxa"/>
            <w:tcBorders>
              <w:top w:val="single" w:color="auto" w:sz="4" w:space="0"/>
              <w:left w:val="single" w:color="auto" w:sz="4" w:space="0"/>
              <w:bottom w:val="single" w:color="auto" w:sz="4" w:space="0"/>
              <w:right w:val="single" w:color="auto" w:sz="4" w:space="0"/>
            </w:tcBorders>
          </w:tcPr>
          <w:p w14:paraId="33434C4D">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5FB85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188" w:type="dxa"/>
            <w:vMerge w:val="continue"/>
            <w:tcBorders>
              <w:top w:val="single" w:color="auto" w:sz="4" w:space="0"/>
              <w:left w:val="single" w:color="auto" w:sz="4" w:space="0"/>
              <w:bottom w:val="single" w:color="auto" w:sz="4" w:space="0"/>
              <w:right w:val="single" w:color="auto" w:sz="4" w:space="0"/>
            </w:tcBorders>
            <w:vAlign w:val="center"/>
          </w:tcPr>
          <w:p w14:paraId="19A0CF63">
            <w:pPr>
              <w:widowControl/>
              <w:jc w:val="left"/>
              <w:rPr>
                <w:rFonts w:ascii="宋体" w:hAnsi="宋体" w:eastAsia="宋体" w:cs="Times New Roman"/>
                <w:bCs/>
                <w:kern w:val="2"/>
                <w:sz w:val="24"/>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14:paraId="0EA7824A">
            <w:pPr>
              <w:widowControl/>
              <w:jc w:val="left"/>
              <w:rPr>
                <w:rFonts w:ascii="宋体" w:hAnsi="宋体" w:eastAsia="宋体" w:cs="Times New Roman"/>
                <w:bCs/>
                <w:kern w:val="2"/>
                <w:sz w:val="24"/>
              </w:rPr>
            </w:pPr>
          </w:p>
        </w:tc>
        <w:tc>
          <w:tcPr>
            <w:tcW w:w="5730" w:type="dxa"/>
            <w:tcBorders>
              <w:top w:val="single" w:color="auto" w:sz="4" w:space="0"/>
              <w:left w:val="single" w:color="auto" w:sz="4" w:space="0"/>
              <w:bottom w:val="single" w:color="auto" w:sz="4" w:space="0"/>
              <w:right w:val="single" w:color="auto" w:sz="4" w:space="0"/>
            </w:tcBorders>
          </w:tcPr>
          <w:p w14:paraId="7254EB60">
            <w:pPr>
              <w:spacing w:line="360" w:lineRule="auto"/>
              <w:rPr>
                <w:rFonts w:ascii="宋体" w:hAnsi="宋体" w:eastAsia="宋体" w:cs="Times New Roman"/>
                <w:bCs/>
                <w:kern w:val="2"/>
                <w:sz w:val="24"/>
              </w:rPr>
            </w:pPr>
            <w:r>
              <w:rPr>
                <w:rFonts w:hint="eastAsia" w:ascii="宋体" w:hAnsi="宋体" w:eastAsia="宋体" w:cs="Times New Roman"/>
                <w:bCs/>
                <w:kern w:val="2"/>
                <w:sz w:val="24"/>
              </w:rPr>
              <w:t>2、墙面瓷砖清洁无污迹。</w:t>
            </w:r>
          </w:p>
        </w:tc>
        <w:tc>
          <w:tcPr>
            <w:tcW w:w="1548" w:type="dxa"/>
            <w:tcBorders>
              <w:top w:val="single" w:color="auto" w:sz="4" w:space="0"/>
              <w:left w:val="single" w:color="auto" w:sz="4" w:space="0"/>
              <w:bottom w:val="single" w:color="auto" w:sz="4" w:space="0"/>
              <w:right w:val="single" w:color="auto" w:sz="4" w:space="0"/>
            </w:tcBorders>
          </w:tcPr>
          <w:p w14:paraId="045F91E0">
            <w:pPr>
              <w:spacing w:line="360" w:lineRule="auto"/>
              <w:rPr>
                <w:rFonts w:ascii="宋体" w:hAnsi="宋体" w:eastAsia="宋体" w:cs="Times New Roman"/>
                <w:bCs/>
                <w:kern w:val="2"/>
                <w:sz w:val="24"/>
              </w:rPr>
            </w:pPr>
          </w:p>
        </w:tc>
      </w:tr>
      <w:tr w14:paraId="1A2AF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188" w:type="dxa"/>
            <w:vMerge w:val="continue"/>
            <w:tcBorders>
              <w:top w:val="single" w:color="auto" w:sz="4" w:space="0"/>
              <w:left w:val="single" w:color="auto" w:sz="4" w:space="0"/>
              <w:bottom w:val="single" w:color="auto" w:sz="4" w:space="0"/>
              <w:right w:val="single" w:color="auto" w:sz="4" w:space="0"/>
            </w:tcBorders>
            <w:vAlign w:val="center"/>
          </w:tcPr>
          <w:p w14:paraId="466E4569">
            <w:pPr>
              <w:widowControl/>
              <w:jc w:val="left"/>
              <w:rPr>
                <w:rFonts w:ascii="宋体" w:hAnsi="宋体" w:eastAsia="宋体" w:cs="Times New Roman"/>
                <w:bCs/>
                <w:kern w:val="2"/>
                <w:sz w:val="24"/>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14:paraId="6D72A43F">
            <w:pPr>
              <w:widowControl/>
              <w:jc w:val="left"/>
              <w:rPr>
                <w:rFonts w:ascii="宋体" w:hAnsi="宋体" w:eastAsia="宋体" w:cs="Times New Roman"/>
                <w:bCs/>
                <w:kern w:val="2"/>
                <w:sz w:val="24"/>
              </w:rPr>
            </w:pPr>
          </w:p>
        </w:tc>
        <w:tc>
          <w:tcPr>
            <w:tcW w:w="5730" w:type="dxa"/>
            <w:tcBorders>
              <w:top w:val="single" w:color="auto" w:sz="4" w:space="0"/>
              <w:left w:val="single" w:color="auto" w:sz="4" w:space="0"/>
              <w:bottom w:val="single" w:color="auto" w:sz="4" w:space="0"/>
              <w:right w:val="single" w:color="auto" w:sz="4" w:space="0"/>
            </w:tcBorders>
          </w:tcPr>
          <w:p w14:paraId="6EBBCD24">
            <w:pPr>
              <w:spacing w:line="360" w:lineRule="auto"/>
              <w:rPr>
                <w:rFonts w:ascii="宋体" w:hAnsi="宋体" w:eastAsia="宋体" w:cs="Times New Roman"/>
                <w:bCs/>
                <w:kern w:val="2"/>
                <w:sz w:val="24"/>
              </w:rPr>
            </w:pPr>
            <w:r>
              <w:rPr>
                <w:rFonts w:hint="eastAsia" w:ascii="宋体" w:hAnsi="宋体" w:eastAsia="宋体" w:cs="Times New Roman"/>
                <w:bCs/>
                <w:kern w:val="2"/>
                <w:sz w:val="24"/>
              </w:rPr>
              <w:t>3、顶面清洁，沟缝无积灰，抽风机无明显积灰。</w:t>
            </w:r>
          </w:p>
        </w:tc>
        <w:tc>
          <w:tcPr>
            <w:tcW w:w="1548" w:type="dxa"/>
            <w:tcBorders>
              <w:top w:val="single" w:color="auto" w:sz="4" w:space="0"/>
              <w:left w:val="single" w:color="auto" w:sz="4" w:space="0"/>
              <w:bottom w:val="single" w:color="auto" w:sz="4" w:space="0"/>
              <w:right w:val="single" w:color="auto" w:sz="4" w:space="0"/>
            </w:tcBorders>
          </w:tcPr>
          <w:p w14:paraId="0CA4633F">
            <w:pPr>
              <w:spacing w:line="360" w:lineRule="auto"/>
              <w:rPr>
                <w:rFonts w:ascii="宋体" w:hAnsi="宋体" w:eastAsia="宋体" w:cs="Times New Roman"/>
                <w:bCs/>
                <w:kern w:val="2"/>
                <w:sz w:val="24"/>
              </w:rPr>
            </w:pPr>
          </w:p>
        </w:tc>
      </w:tr>
      <w:tr w14:paraId="371BF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188" w:type="dxa"/>
            <w:vMerge w:val="continue"/>
            <w:tcBorders>
              <w:top w:val="single" w:color="auto" w:sz="4" w:space="0"/>
              <w:left w:val="single" w:color="auto" w:sz="4" w:space="0"/>
              <w:bottom w:val="single" w:color="auto" w:sz="4" w:space="0"/>
              <w:right w:val="single" w:color="auto" w:sz="4" w:space="0"/>
            </w:tcBorders>
            <w:vAlign w:val="center"/>
          </w:tcPr>
          <w:p w14:paraId="6CA09DA7">
            <w:pPr>
              <w:widowControl/>
              <w:jc w:val="left"/>
              <w:rPr>
                <w:rFonts w:ascii="宋体" w:hAnsi="宋体" w:eastAsia="宋体" w:cs="Times New Roman"/>
                <w:bCs/>
                <w:kern w:val="2"/>
                <w:sz w:val="24"/>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14:paraId="66BC7763">
            <w:pPr>
              <w:widowControl/>
              <w:jc w:val="left"/>
              <w:rPr>
                <w:rFonts w:ascii="宋体" w:hAnsi="宋体" w:eastAsia="宋体" w:cs="Times New Roman"/>
                <w:bCs/>
                <w:kern w:val="2"/>
                <w:sz w:val="24"/>
              </w:rPr>
            </w:pPr>
          </w:p>
        </w:tc>
        <w:tc>
          <w:tcPr>
            <w:tcW w:w="5730" w:type="dxa"/>
            <w:tcBorders>
              <w:top w:val="single" w:color="auto" w:sz="4" w:space="0"/>
              <w:left w:val="single" w:color="auto" w:sz="4" w:space="0"/>
              <w:bottom w:val="single" w:color="auto" w:sz="4" w:space="0"/>
              <w:right w:val="single" w:color="auto" w:sz="4" w:space="0"/>
            </w:tcBorders>
          </w:tcPr>
          <w:p w14:paraId="19B7E37A">
            <w:pPr>
              <w:spacing w:line="360" w:lineRule="auto"/>
              <w:rPr>
                <w:rFonts w:ascii="宋体" w:hAnsi="宋体" w:eastAsia="宋体" w:cs="Times New Roman"/>
                <w:bCs/>
                <w:kern w:val="2"/>
                <w:sz w:val="24"/>
              </w:rPr>
            </w:pPr>
            <w:r>
              <w:rPr>
                <w:rFonts w:hint="eastAsia" w:ascii="宋体" w:hAnsi="宋体" w:eastAsia="宋体" w:cs="Times New Roman"/>
                <w:bCs/>
                <w:kern w:val="2"/>
                <w:sz w:val="24"/>
              </w:rPr>
              <w:t>4、台盆清洁干燥无污迹，下水口无积垢；水龙头表面光洁无水迹，水龙头把手摆放位置端正，下水管无积灰台面清洁无水迹、水垢：镜面光亮无水迹，污迹。</w:t>
            </w:r>
          </w:p>
        </w:tc>
        <w:tc>
          <w:tcPr>
            <w:tcW w:w="1548" w:type="dxa"/>
            <w:tcBorders>
              <w:top w:val="single" w:color="auto" w:sz="4" w:space="0"/>
              <w:left w:val="single" w:color="auto" w:sz="4" w:space="0"/>
              <w:bottom w:val="single" w:color="auto" w:sz="4" w:space="0"/>
              <w:right w:val="single" w:color="auto" w:sz="4" w:space="0"/>
            </w:tcBorders>
          </w:tcPr>
          <w:p w14:paraId="5A46E6CA">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770BE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188" w:type="dxa"/>
            <w:vMerge w:val="continue"/>
            <w:tcBorders>
              <w:top w:val="single" w:color="auto" w:sz="4" w:space="0"/>
              <w:left w:val="single" w:color="auto" w:sz="4" w:space="0"/>
              <w:bottom w:val="single" w:color="auto" w:sz="4" w:space="0"/>
              <w:right w:val="single" w:color="auto" w:sz="4" w:space="0"/>
            </w:tcBorders>
            <w:vAlign w:val="center"/>
          </w:tcPr>
          <w:p w14:paraId="0525CFCD">
            <w:pPr>
              <w:widowControl/>
              <w:jc w:val="left"/>
              <w:rPr>
                <w:rFonts w:ascii="宋体" w:hAnsi="宋体" w:eastAsia="宋体" w:cs="Times New Roman"/>
                <w:bCs/>
                <w:kern w:val="2"/>
                <w:sz w:val="24"/>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14:paraId="68FEEE4C">
            <w:pPr>
              <w:widowControl/>
              <w:jc w:val="left"/>
              <w:rPr>
                <w:rFonts w:ascii="宋体" w:hAnsi="宋体" w:eastAsia="宋体" w:cs="Times New Roman"/>
                <w:bCs/>
                <w:kern w:val="2"/>
                <w:sz w:val="24"/>
              </w:rPr>
            </w:pPr>
          </w:p>
        </w:tc>
        <w:tc>
          <w:tcPr>
            <w:tcW w:w="5730" w:type="dxa"/>
            <w:tcBorders>
              <w:top w:val="single" w:color="auto" w:sz="4" w:space="0"/>
              <w:left w:val="single" w:color="auto" w:sz="4" w:space="0"/>
              <w:bottom w:val="single" w:color="auto" w:sz="4" w:space="0"/>
              <w:right w:val="single" w:color="auto" w:sz="4" w:space="0"/>
            </w:tcBorders>
          </w:tcPr>
          <w:p w14:paraId="0E730594">
            <w:pPr>
              <w:spacing w:line="360" w:lineRule="auto"/>
              <w:rPr>
                <w:rFonts w:ascii="宋体" w:hAnsi="宋体" w:eastAsia="宋体" w:cs="Times New Roman"/>
                <w:bCs/>
                <w:kern w:val="2"/>
                <w:sz w:val="24"/>
              </w:rPr>
            </w:pPr>
            <w:r>
              <w:rPr>
                <w:rFonts w:hint="eastAsia" w:ascii="宋体" w:hAnsi="宋体" w:eastAsia="宋体" w:cs="Times New Roman"/>
                <w:bCs/>
                <w:kern w:val="2"/>
                <w:sz w:val="24"/>
              </w:rPr>
              <w:t>5.开水器表面、龙头清洁无水垢，柜顶无摆放杂物。</w:t>
            </w:r>
          </w:p>
        </w:tc>
        <w:tc>
          <w:tcPr>
            <w:tcW w:w="1548" w:type="dxa"/>
            <w:tcBorders>
              <w:top w:val="single" w:color="auto" w:sz="4" w:space="0"/>
              <w:left w:val="single" w:color="auto" w:sz="4" w:space="0"/>
              <w:bottom w:val="single" w:color="auto" w:sz="4" w:space="0"/>
              <w:right w:val="single" w:color="auto" w:sz="4" w:space="0"/>
            </w:tcBorders>
          </w:tcPr>
          <w:p w14:paraId="1FB801E2">
            <w:pPr>
              <w:spacing w:line="360" w:lineRule="auto"/>
              <w:rPr>
                <w:rFonts w:ascii="宋体" w:hAnsi="宋体" w:eastAsia="宋体" w:cs="Times New Roman"/>
                <w:bCs/>
                <w:kern w:val="2"/>
                <w:sz w:val="24"/>
              </w:rPr>
            </w:pPr>
          </w:p>
        </w:tc>
      </w:tr>
      <w:tr w14:paraId="4F34F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188" w:type="dxa"/>
            <w:vMerge w:val="continue"/>
            <w:tcBorders>
              <w:top w:val="single" w:color="auto" w:sz="4" w:space="0"/>
              <w:left w:val="single" w:color="auto" w:sz="4" w:space="0"/>
              <w:bottom w:val="single" w:color="auto" w:sz="4" w:space="0"/>
              <w:right w:val="single" w:color="auto" w:sz="4" w:space="0"/>
            </w:tcBorders>
            <w:vAlign w:val="center"/>
          </w:tcPr>
          <w:p w14:paraId="323C922A">
            <w:pPr>
              <w:widowControl/>
              <w:jc w:val="left"/>
              <w:rPr>
                <w:rFonts w:ascii="宋体" w:hAnsi="宋体" w:eastAsia="宋体" w:cs="Times New Roman"/>
                <w:bCs/>
                <w:kern w:val="2"/>
                <w:sz w:val="24"/>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14:paraId="0BA72A8C">
            <w:pPr>
              <w:widowControl/>
              <w:jc w:val="left"/>
              <w:rPr>
                <w:rFonts w:ascii="宋体" w:hAnsi="宋体" w:eastAsia="宋体" w:cs="Times New Roman"/>
                <w:bCs/>
                <w:kern w:val="2"/>
                <w:sz w:val="24"/>
              </w:rPr>
            </w:pPr>
          </w:p>
        </w:tc>
        <w:tc>
          <w:tcPr>
            <w:tcW w:w="5730" w:type="dxa"/>
            <w:tcBorders>
              <w:top w:val="single" w:color="auto" w:sz="4" w:space="0"/>
              <w:left w:val="single" w:color="auto" w:sz="4" w:space="0"/>
              <w:bottom w:val="single" w:color="auto" w:sz="4" w:space="0"/>
              <w:right w:val="single" w:color="auto" w:sz="4" w:space="0"/>
            </w:tcBorders>
          </w:tcPr>
          <w:p w14:paraId="21BA18E2">
            <w:pPr>
              <w:spacing w:line="360" w:lineRule="auto"/>
              <w:rPr>
                <w:rFonts w:ascii="宋体" w:hAnsi="宋体" w:eastAsia="宋体" w:cs="Times New Roman"/>
                <w:bCs/>
                <w:kern w:val="2"/>
                <w:sz w:val="24"/>
              </w:rPr>
            </w:pPr>
            <w:r>
              <w:rPr>
                <w:rFonts w:hint="eastAsia" w:ascii="宋体" w:hAnsi="宋体" w:eastAsia="宋体" w:cs="Times New Roman"/>
                <w:bCs/>
                <w:kern w:val="2"/>
                <w:sz w:val="24"/>
              </w:rPr>
              <w:t>6、拖把池用后及时清理无污垢，下水通畅，地漏清洁无积垢。</w:t>
            </w:r>
          </w:p>
        </w:tc>
        <w:tc>
          <w:tcPr>
            <w:tcW w:w="1548" w:type="dxa"/>
            <w:tcBorders>
              <w:top w:val="single" w:color="auto" w:sz="4" w:space="0"/>
              <w:left w:val="single" w:color="auto" w:sz="4" w:space="0"/>
              <w:bottom w:val="single" w:color="auto" w:sz="4" w:space="0"/>
              <w:right w:val="single" w:color="auto" w:sz="4" w:space="0"/>
            </w:tcBorders>
          </w:tcPr>
          <w:p w14:paraId="380FEA82">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0F382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188" w:type="dxa"/>
            <w:vMerge w:val="continue"/>
            <w:tcBorders>
              <w:top w:val="single" w:color="auto" w:sz="4" w:space="0"/>
              <w:left w:val="single" w:color="auto" w:sz="4" w:space="0"/>
              <w:bottom w:val="single" w:color="auto" w:sz="4" w:space="0"/>
              <w:right w:val="single" w:color="auto" w:sz="4" w:space="0"/>
            </w:tcBorders>
            <w:vAlign w:val="center"/>
          </w:tcPr>
          <w:p w14:paraId="3283FE88">
            <w:pPr>
              <w:widowControl/>
              <w:jc w:val="left"/>
              <w:rPr>
                <w:rFonts w:ascii="宋体" w:hAnsi="宋体" w:eastAsia="宋体" w:cs="Times New Roman"/>
                <w:bCs/>
                <w:kern w:val="2"/>
                <w:sz w:val="24"/>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14:paraId="4C3D65C1">
            <w:pPr>
              <w:widowControl/>
              <w:jc w:val="left"/>
              <w:rPr>
                <w:rFonts w:ascii="宋体" w:hAnsi="宋体" w:eastAsia="宋体" w:cs="Times New Roman"/>
                <w:bCs/>
                <w:kern w:val="2"/>
                <w:sz w:val="24"/>
              </w:rPr>
            </w:pPr>
          </w:p>
        </w:tc>
        <w:tc>
          <w:tcPr>
            <w:tcW w:w="5730" w:type="dxa"/>
            <w:tcBorders>
              <w:top w:val="single" w:color="auto" w:sz="4" w:space="0"/>
              <w:left w:val="single" w:color="auto" w:sz="4" w:space="0"/>
              <w:bottom w:val="single" w:color="auto" w:sz="4" w:space="0"/>
              <w:right w:val="single" w:color="auto" w:sz="4" w:space="0"/>
            </w:tcBorders>
          </w:tcPr>
          <w:p w14:paraId="1546AEC0">
            <w:pPr>
              <w:spacing w:line="360" w:lineRule="auto"/>
              <w:rPr>
                <w:rFonts w:ascii="宋体" w:hAnsi="宋体" w:eastAsia="宋体" w:cs="Times New Roman"/>
                <w:bCs/>
                <w:kern w:val="2"/>
                <w:sz w:val="24"/>
              </w:rPr>
            </w:pPr>
            <w:r>
              <w:rPr>
                <w:rFonts w:hint="eastAsia" w:ascii="宋体" w:hAnsi="宋体" w:eastAsia="宋体" w:cs="Times New Roman"/>
                <w:bCs/>
                <w:kern w:val="2"/>
                <w:sz w:val="24"/>
              </w:rPr>
              <w:t>7、拖把、抹布干净悬挂整齐，拖把池无污迹。</w:t>
            </w:r>
          </w:p>
        </w:tc>
        <w:tc>
          <w:tcPr>
            <w:tcW w:w="1548" w:type="dxa"/>
            <w:tcBorders>
              <w:top w:val="single" w:color="auto" w:sz="4" w:space="0"/>
              <w:left w:val="single" w:color="auto" w:sz="4" w:space="0"/>
              <w:bottom w:val="single" w:color="auto" w:sz="4" w:space="0"/>
              <w:right w:val="single" w:color="auto" w:sz="4" w:space="0"/>
            </w:tcBorders>
          </w:tcPr>
          <w:p w14:paraId="349E940B">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135DD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188" w:type="dxa"/>
            <w:vMerge w:val="continue"/>
            <w:tcBorders>
              <w:top w:val="single" w:color="auto" w:sz="4" w:space="0"/>
              <w:left w:val="single" w:color="auto" w:sz="4" w:space="0"/>
              <w:bottom w:val="single" w:color="auto" w:sz="4" w:space="0"/>
              <w:right w:val="single" w:color="auto" w:sz="4" w:space="0"/>
            </w:tcBorders>
            <w:vAlign w:val="center"/>
          </w:tcPr>
          <w:p w14:paraId="3E3E870A">
            <w:pPr>
              <w:widowControl/>
              <w:jc w:val="left"/>
              <w:rPr>
                <w:rFonts w:ascii="宋体" w:hAnsi="宋体" w:eastAsia="宋体" w:cs="Times New Roman"/>
                <w:bCs/>
                <w:kern w:val="2"/>
                <w:sz w:val="24"/>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14:paraId="3A018169">
            <w:pPr>
              <w:widowControl/>
              <w:jc w:val="left"/>
              <w:rPr>
                <w:rFonts w:ascii="宋体" w:hAnsi="宋体" w:eastAsia="宋体" w:cs="Times New Roman"/>
                <w:bCs/>
                <w:kern w:val="2"/>
                <w:sz w:val="24"/>
              </w:rPr>
            </w:pPr>
          </w:p>
        </w:tc>
        <w:tc>
          <w:tcPr>
            <w:tcW w:w="5730" w:type="dxa"/>
            <w:tcBorders>
              <w:top w:val="single" w:color="auto" w:sz="4" w:space="0"/>
              <w:left w:val="single" w:color="auto" w:sz="4" w:space="0"/>
              <w:bottom w:val="single" w:color="auto" w:sz="4" w:space="0"/>
              <w:right w:val="single" w:color="auto" w:sz="4" w:space="0"/>
            </w:tcBorders>
          </w:tcPr>
          <w:p w14:paraId="6F8665D4">
            <w:pPr>
              <w:spacing w:line="360" w:lineRule="auto"/>
              <w:rPr>
                <w:rFonts w:ascii="宋体" w:hAnsi="宋体" w:eastAsia="宋体" w:cs="Times New Roman"/>
                <w:bCs/>
                <w:kern w:val="2"/>
                <w:sz w:val="24"/>
              </w:rPr>
            </w:pPr>
            <w:r>
              <w:rPr>
                <w:rFonts w:hint="eastAsia" w:ascii="宋体" w:hAnsi="宋体" w:eastAsia="宋体" w:cs="Times New Roman"/>
                <w:bCs/>
                <w:kern w:val="2"/>
                <w:sz w:val="24"/>
              </w:rPr>
              <w:t>8、皂液盒表面清洁，洗手液添加及时。</w:t>
            </w:r>
          </w:p>
        </w:tc>
        <w:tc>
          <w:tcPr>
            <w:tcW w:w="1548" w:type="dxa"/>
            <w:tcBorders>
              <w:top w:val="single" w:color="auto" w:sz="4" w:space="0"/>
              <w:left w:val="single" w:color="auto" w:sz="4" w:space="0"/>
              <w:bottom w:val="single" w:color="auto" w:sz="4" w:space="0"/>
              <w:right w:val="single" w:color="auto" w:sz="4" w:space="0"/>
            </w:tcBorders>
          </w:tcPr>
          <w:p w14:paraId="451877E7">
            <w:pPr>
              <w:spacing w:line="360" w:lineRule="auto"/>
              <w:rPr>
                <w:rFonts w:ascii="宋体" w:hAnsi="宋体" w:eastAsia="宋体" w:cs="Times New Roman"/>
                <w:bCs/>
                <w:kern w:val="2"/>
                <w:sz w:val="24"/>
              </w:rPr>
            </w:pPr>
          </w:p>
        </w:tc>
      </w:tr>
      <w:tr w14:paraId="6D047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1188" w:type="dxa"/>
            <w:vMerge w:val="continue"/>
            <w:tcBorders>
              <w:top w:val="single" w:color="auto" w:sz="4" w:space="0"/>
              <w:left w:val="single" w:color="auto" w:sz="4" w:space="0"/>
              <w:bottom w:val="single" w:color="auto" w:sz="4" w:space="0"/>
              <w:right w:val="single" w:color="auto" w:sz="4" w:space="0"/>
            </w:tcBorders>
            <w:vAlign w:val="center"/>
          </w:tcPr>
          <w:p w14:paraId="39BD0AAD">
            <w:pPr>
              <w:widowControl/>
              <w:jc w:val="left"/>
              <w:rPr>
                <w:rFonts w:ascii="宋体" w:hAnsi="宋体" w:eastAsia="宋体" w:cs="Times New Roman"/>
                <w:bCs/>
                <w:kern w:val="2"/>
                <w:sz w:val="24"/>
              </w:rPr>
            </w:pPr>
          </w:p>
        </w:tc>
        <w:tc>
          <w:tcPr>
            <w:tcW w:w="690" w:type="dxa"/>
            <w:vMerge w:val="continue"/>
            <w:tcBorders>
              <w:top w:val="single" w:color="auto" w:sz="4" w:space="0"/>
              <w:left w:val="single" w:color="auto" w:sz="4" w:space="0"/>
              <w:bottom w:val="single" w:color="auto" w:sz="4" w:space="0"/>
              <w:right w:val="single" w:color="auto" w:sz="4" w:space="0"/>
            </w:tcBorders>
            <w:vAlign w:val="center"/>
          </w:tcPr>
          <w:p w14:paraId="14C9E500">
            <w:pPr>
              <w:widowControl/>
              <w:jc w:val="left"/>
              <w:rPr>
                <w:rFonts w:ascii="宋体" w:hAnsi="宋体" w:eastAsia="宋体" w:cs="Times New Roman"/>
                <w:bCs/>
                <w:kern w:val="2"/>
                <w:sz w:val="24"/>
              </w:rPr>
            </w:pPr>
          </w:p>
        </w:tc>
        <w:tc>
          <w:tcPr>
            <w:tcW w:w="5730" w:type="dxa"/>
            <w:tcBorders>
              <w:top w:val="single" w:color="auto" w:sz="4" w:space="0"/>
              <w:left w:val="single" w:color="auto" w:sz="4" w:space="0"/>
              <w:bottom w:val="single" w:color="auto" w:sz="4" w:space="0"/>
              <w:right w:val="single" w:color="auto" w:sz="4" w:space="0"/>
            </w:tcBorders>
          </w:tcPr>
          <w:p w14:paraId="1E26C59E">
            <w:pPr>
              <w:spacing w:line="360" w:lineRule="auto"/>
              <w:rPr>
                <w:rFonts w:ascii="宋体" w:hAnsi="宋体" w:eastAsia="宋体" w:cs="Times New Roman"/>
                <w:bCs/>
                <w:kern w:val="2"/>
                <w:sz w:val="24"/>
              </w:rPr>
            </w:pPr>
            <w:r>
              <w:rPr>
                <w:rFonts w:hint="eastAsia" w:ascii="宋体" w:hAnsi="宋体" w:eastAsia="宋体" w:cs="Times New Roman"/>
                <w:bCs/>
                <w:kern w:val="2"/>
                <w:sz w:val="24"/>
              </w:rPr>
              <w:t>9、茶叶桶及时倾倒无积存，茶叶篓和桶清洁无积垢，摆放规范。</w:t>
            </w:r>
          </w:p>
        </w:tc>
        <w:tc>
          <w:tcPr>
            <w:tcW w:w="1548" w:type="dxa"/>
            <w:tcBorders>
              <w:top w:val="single" w:color="auto" w:sz="4" w:space="0"/>
              <w:left w:val="single" w:color="auto" w:sz="4" w:space="0"/>
              <w:bottom w:val="single" w:color="auto" w:sz="4" w:space="0"/>
              <w:right w:val="single" w:color="auto" w:sz="4" w:space="0"/>
            </w:tcBorders>
          </w:tcPr>
          <w:p w14:paraId="7ED34EA7">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bl>
    <w:p w14:paraId="0CE42AC7">
      <w:pPr>
        <w:spacing w:line="360" w:lineRule="auto"/>
        <w:rPr>
          <w:rFonts w:ascii="宋体" w:hAnsi="宋体" w:eastAsia="宋体" w:cs="Times New Roman"/>
          <w:bCs/>
          <w:kern w:val="2"/>
          <w:sz w:val="24"/>
        </w:rPr>
      </w:pPr>
    </w:p>
    <w:p w14:paraId="0BE5EDB2">
      <w:pPr>
        <w:autoSpaceDE w:val="0"/>
        <w:autoSpaceDN w:val="0"/>
        <w:adjustRightInd w:val="0"/>
        <w:spacing w:line="360" w:lineRule="auto"/>
        <w:jc w:val="left"/>
        <w:rPr>
          <w:rFonts w:ascii="宋体" w:hAnsi="宋体" w:eastAsia="宋体" w:cs="Times New Roman"/>
          <w:bCs/>
          <w:color w:val="000000"/>
          <w:sz w:val="24"/>
          <w:szCs w:val="24"/>
        </w:rPr>
      </w:pP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3"/>
        <w:gridCol w:w="675"/>
        <w:gridCol w:w="6060"/>
        <w:gridCol w:w="1188"/>
      </w:tblGrid>
      <w:tr w14:paraId="74C1F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218" w:type="dxa"/>
            <w:gridSpan w:val="2"/>
            <w:tcBorders>
              <w:top w:val="single" w:color="auto" w:sz="4" w:space="0"/>
              <w:left w:val="single" w:color="auto" w:sz="4" w:space="0"/>
              <w:bottom w:val="single" w:color="auto" w:sz="4" w:space="0"/>
              <w:right w:val="single" w:color="auto" w:sz="4" w:space="0"/>
            </w:tcBorders>
            <w:vAlign w:val="center"/>
          </w:tcPr>
          <w:p w14:paraId="17427965">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保洁位置</w:t>
            </w:r>
          </w:p>
        </w:tc>
        <w:tc>
          <w:tcPr>
            <w:tcW w:w="6060" w:type="dxa"/>
            <w:tcBorders>
              <w:top w:val="single" w:color="auto" w:sz="4" w:space="0"/>
              <w:left w:val="single" w:color="auto" w:sz="4" w:space="0"/>
              <w:bottom w:val="single" w:color="auto" w:sz="4" w:space="0"/>
              <w:right w:val="single" w:color="auto" w:sz="4" w:space="0"/>
            </w:tcBorders>
            <w:vAlign w:val="center"/>
          </w:tcPr>
          <w:p w14:paraId="73083E89">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质量控制标准</w:t>
            </w:r>
          </w:p>
        </w:tc>
        <w:tc>
          <w:tcPr>
            <w:tcW w:w="1188" w:type="dxa"/>
            <w:tcBorders>
              <w:top w:val="single" w:color="auto" w:sz="4" w:space="0"/>
              <w:left w:val="single" w:color="auto" w:sz="4" w:space="0"/>
              <w:bottom w:val="single" w:color="auto" w:sz="4" w:space="0"/>
              <w:right w:val="single" w:color="auto" w:sz="4" w:space="0"/>
            </w:tcBorders>
            <w:vAlign w:val="center"/>
          </w:tcPr>
          <w:p w14:paraId="073FD394">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保洁频次</w:t>
            </w:r>
          </w:p>
        </w:tc>
      </w:tr>
      <w:tr w14:paraId="5C5C1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543" w:type="dxa"/>
            <w:vMerge w:val="restart"/>
            <w:tcBorders>
              <w:top w:val="single" w:color="auto" w:sz="4" w:space="0"/>
              <w:left w:val="single" w:color="auto" w:sz="4" w:space="0"/>
              <w:bottom w:val="single" w:color="auto" w:sz="4" w:space="0"/>
              <w:right w:val="single" w:color="auto" w:sz="4" w:space="0"/>
            </w:tcBorders>
            <w:vAlign w:val="center"/>
          </w:tcPr>
          <w:p w14:paraId="084455B5">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标准楼层</w:t>
            </w:r>
          </w:p>
        </w:tc>
        <w:tc>
          <w:tcPr>
            <w:tcW w:w="675" w:type="dxa"/>
            <w:vMerge w:val="restart"/>
            <w:tcBorders>
              <w:top w:val="single" w:color="auto" w:sz="4" w:space="0"/>
              <w:left w:val="single" w:color="auto" w:sz="4" w:space="0"/>
              <w:bottom w:val="single" w:color="auto" w:sz="4" w:space="0"/>
              <w:right w:val="single" w:color="auto" w:sz="4" w:space="0"/>
            </w:tcBorders>
            <w:vAlign w:val="center"/>
          </w:tcPr>
          <w:p w14:paraId="64B99F31">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洗</w:t>
            </w:r>
          </w:p>
          <w:p w14:paraId="7BEFFC3C">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手</w:t>
            </w:r>
          </w:p>
          <w:p w14:paraId="70B6F1F4">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间</w:t>
            </w:r>
          </w:p>
        </w:tc>
        <w:tc>
          <w:tcPr>
            <w:tcW w:w="6060" w:type="dxa"/>
            <w:tcBorders>
              <w:top w:val="single" w:color="auto" w:sz="4" w:space="0"/>
              <w:left w:val="single" w:color="auto" w:sz="4" w:space="0"/>
              <w:bottom w:val="single" w:color="auto" w:sz="4" w:space="0"/>
              <w:right w:val="single" w:color="auto" w:sz="4" w:space="0"/>
            </w:tcBorders>
          </w:tcPr>
          <w:p w14:paraId="2EBB12DC">
            <w:pPr>
              <w:spacing w:line="360" w:lineRule="auto"/>
              <w:rPr>
                <w:rFonts w:ascii="宋体" w:hAnsi="宋体" w:eastAsia="宋体" w:cs="Times New Roman"/>
                <w:bCs/>
                <w:kern w:val="2"/>
                <w:sz w:val="24"/>
              </w:rPr>
            </w:pPr>
            <w:r>
              <w:rPr>
                <w:rFonts w:hint="eastAsia" w:ascii="宋体" w:hAnsi="宋体" w:eastAsia="宋体" w:cs="Times New Roman"/>
                <w:bCs/>
                <w:kern w:val="2"/>
                <w:sz w:val="24"/>
              </w:rPr>
              <w:t>1、地面清洁无水迹、拖痕。</w:t>
            </w:r>
          </w:p>
        </w:tc>
        <w:tc>
          <w:tcPr>
            <w:tcW w:w="1188" w:type="dxa"/>
            <w:tcBorders>
              <w:top w:val="single" w:color="auto" w:sz="4" w:space="0"/>
              <w:left w:val="single" w:color="auto" w:sz="4" w:space="0"/>
              <w:bottom w:val="single" w:color="auto" w:sz="4" w:space="0"/>
              <w:right w:val="single" w:color="auto" w:sz="4" w:space="0"/>
            </w:tcBorders>
          </w:tcPr>
          <w:p w14:paraId="4B5A7C06">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3AAA9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1218" w:type="dxa"/>
            <w:vMerge w:val="continue"/>
            <w:tcBorders>
              <w:top w:val="single" w:color="auto" w:sz="4" w:space="0"/>
              <w:left w:val="single" w:color="auto" w:sz="4" w:space="0"/>
              <w:bottom w:val="single" w:color="auto" w:sz="4" w:space="0"/>
              <w:right w:val="single" w:color="auto" w:sz="4" w:space="0"/>
            </w:tcBorders>
            <w:vAlign w:val="center"/>
          </w:tcPr>
          <w:p w14:paraId="125E8464">
            <w:pPr>
              <w:widowControl/>
              <w:jc w:val="left"/>
              <w:rPr>
                <w:rFonts w:ascii="宋体" w:hAnsi="宋体" w:eastAsia="宋体" w:cs="Times New Roman"/>
                <w:bCs/>
                <w:kern w:val="2"/>
                <w:sz w:val="24"/>
              </w:rPr>
            </w:pPr>
          </w:p>
        </w:tc>
        <w:tc>
          <w:tcPr>
            <w:tcW w:w="675" w:type="dxa"/>
            <w:vMerge w:val="continue"/>
            <w:tcBorders>
              <w:top w:val="single" w:color="auto" w:sz="4" w:space="0"/>
              <w:left w:val="single" w:color="auto" w:sz="4" w:space="0"/>
              <w:bottom w:val="single" w:color="auto" w:sz="4" w:space="0"/>
              <w:right w:val="single" w:color="auto" w:sz="4" w:space="0"/>
            </w:tcBorders>
            <w:vAlign w:val="center"/>
          </w:tcPr>
          <w:p w14:paraId="239D9375">
            <w:pPr>
              <w:widowControl/>
              <w:jc w:val="left"/>
              <w:rPr>
                <w:rFonts w:ascii="宋体" w:hAnsi="宋体" w:eastAsia="宋体" w:cs="Times New Roman"/>
                <w:bCs/>
                <w:kern w:val="2"/>
                <w:sz w:val="24"/>
              </w:rPr>
            </w:pPr>
          </w:p>
        </w:tc>
        <w:tc>
          <w:tcPr>
            <w:tcW w:w="6060" w:type="dxa"/>
            <w:tcBorders>
              <w:top w:val="single" w:color="auto" w:sz="4" w:space="0"/>
              <w:left w:val="single" w:color="auto" w:sz="4" w:space="0"/>
              <w:bottom w:val="single" w:color="auto" w:sz="4" w:space="0"/>
              <w:right w:val="single" w:color="auto" w:sz="4" w:space="0"/>
            </w:tcBorders>
          </w:tcPr>
          <w:p w14:paraId="67FA5A86">
            <w:pPr>
              <w:spacing w:line="360" w:lineRule="auto"/>
              <w:rPr>
                <w:rFonts w:ascii="宋体" w:hAnsi="宋体" w:eastAsia="宋体" w:cs="Times New Roman"/>
                <w:bCs/>
                <w:kern w:val="2"/>
                <w:sz w:val="24"/>
              </w:rPr>
            </w:pPr>
            <w:r>
              <w:rPr>
                <w:rFonts w:hint="eastAsia" w:ascii="宋体" w:hAnsi="宋体" w:eastAsia="宋体" w:cs="Times New Roman"/>
                <w:bCs/>
                <w:kern w:val="2"/>
                <w:sz w:val="24"/>
              </w:rPr>
              <w:t>2、墙面瓷砖清洁无污迹、尿迹。</w:t>
            </w:r>
          </w:p>
        </w:tc>
        <w:tc>
          <w:tcPr>
            <w:tcW w:w="1188" w:type="dxa"/>
            <w:tcBorders>
              <w:top w:val="single" w:color="auto" w:sz="4" w:space="0"/>
              <w:left w:val="single" w:color="auto" w:sz="4" w:space="0"/>
              <w:bottom w:val="single" w:color="auto" w:sz="4" w:space="0"/>
              <w:right w:val="single" w:color="auto" w:sz="4" w:space="0"/>
            </w:tcBorders>
          </w:tcPr>
          <w:p w14:paraId="7A7F7846">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0ECCA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1218" w:type="dxa"/>
            <w:vMerge w:val="continue"/>
            <w:tcBorders>
              <w:top w:val="single" w:color="auto" w:sz="4" w:space="0"/>
              <w:left w:val="single" w:color="auto" w:sz="4" w:space="0"/>
              <w:bottom w:val="single" w:color="auto" w:sz="4" w:space="0"/>
              <w:right w:val="single" w:color="auto" w:sz="4" w:space="0"/>
            </w:tcBorders>
            <w:vAlign w:val="center"/>
          </w:tcPr>
          <w:p w14:paraId="32BF399D">
            <w:pPr>
              <w:widowControl/>
              <w:jc w:val="left"/>
              <w:rPr>
                <w:rFonts w:ascii="宋体" w:hAnsi="宋体" w:eastAsia="宋体" w:cs="Times New Roman"/>
                <w:bCs/>
                <w:kern w:val="2"/>
                <w:sz w:val="24"/>
              </w:rPr>
            </w:pPr>
          </w:p>
        </w:tc>
        <w:tc>
          <w:tcPr>
            <w:tcW w:w="675" w:type="dxa"/>
            <w:vMerge w:val="continue"/>
            <w:tcBorders>
              <w:top w:val="single" w:color="auto" w:sz="4" w:space="0"/>
              <w:left w:val="single" w:color="auto" w:sz="4" w:space="0"/>
              <w:bottom w:val="single" w:color="auto" w:sz="4" w:space="0"/>
              <w:right w:val="single" w:color="auto" w:sz="4" w:space="0"/>
            </w:tcBorders>
            <w:vAlign w:val="center"/>
          </w:tcPr>
          <w:p w14:paraId="657DD56A">
            <w:pPr>
              <w:widowControl/>
              <w:jc w:val="left"/>
              <w:rPr>
                <w:rFonts w:ascii="宋体" w:hAnsi="宋体" w:eastAsia="宋体" w:cs="Times New Roman"/>
                <w:bCs/>
                <w:kern w:val="2"/>
                <w:sz w:val="24"/>
              </w:rPr>
            </w:pPr>
          </w:p>
        </w:tc>
        <w:tc>
          <w:tcPr>
            <w:tcW w:w="6060" w:type="dxa"/>
            <w:tcBorders>
              <w:top w:val="single" w:color="auto" w:sz="4" w:space="0"/>
              <w:left w:val="single" w:color="auto" w:sz="4" w:space="0"/>
              <w:bottom w:val="single" w:color="auto" w:sz="4" w:space="0"/>
              <w:right w:val="single" w:color="auto" w:sz="4" w:space="0"/>
            </w:tcBorders>
          </w:tcPr>
          <w:p w14:paraId="71BF9471">
            <w:pPr>
              <w:spacing w:line="360" w:lineRule="auto"/>
              <w:rPr>
                <w:rFonts w:ascii="宋体" w:hAnsi="宋体" w:eastAsia="宋体" w:cs="Times New Roman"/>
                <w:bCs/>
                <w:kern w:val="2"/>
                <w:sz w:val="24"/>
              </w:rPr>
            </w:pPr>
            <w:r>
              <w:rPr>
                <w:rFonts w:hint="eastAsia" w:ascii="宋体" w:hAnsi="宋体" w:eastAsia="宋体" w:cs="Times New Roman"/>
                <w:bCs/>
                <w:kern w:val="2"/>
                <w:sz w:val="24"/>
              </w:rPr>
              <w:t>3、顶面清洁，沟缝无积灰，抽凤机清洁无积灰。</w:t>
            </w:r>
          </w:p>
        </w:tc>
        <w:tc>
          <w:tcPr>
            <w:tcW w:w="1188" w:type="dxa"/>
            <w:tcBorders>
              <w:top w:val="single" w:color="auto" w:sz="4" w:space="0"/>
              <w:left w:val="single" w:color="auto" w:sz="4" w:space="0"/>
              <w:bottom w:val="single" w:color="auto" w:sz="4" w:space="0"/>
              <w:right w:val="single" w:color="auto" w:sz="4" w:space="0"/>
            </w:tcBorders>
          </w:tcPr>
          <w:p w14:paraId="55052C2E">
            <w:pPr>
              <w:spacing w:line="360" w:lineRule="auto"/>
              <w:rPr>
                <w:rFonts w:ascii="宋体" w:hAnsi="宋体" w:eastAsia="宋体" w:cs="Times New Roman"/>
                <w:bCs/>
                <w:kern w:val="2"/>
                <w:sz w:val="24"/>
              </w:rPr>
            </w:pPr>
          </w:p>
        </w:tc>
      </w:tr>
      <w:tr w14:paraId="66B8B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218" w:type="dxa"/>
            <w:vMerge w:val="continue"/>
            <w:tcBorders>
              <w:top w:val="single" w:color="auto" w:sz="4" w:space="0"/>
              <w:left w:val="single" w:color="auto" w:sz="4" w:space="0"/>
              <w:bottom w:val="single" w:color="auto" w:sz="4" w:space="0"/>
              <w:right w:val="single" w:color="auto" w:sz="4" w:space="0"/>
            </w:tcBorders>
            <w:vAlign w:val="center"/>
          </w:tcPr>
          <w:p w14:paraId="6297AF9D">
            <w:pPr>
              <w:widowControl/>
              <w:jc w:val="left"/>
              <w:rPr>
                <w:rFonts w:ascii="宋体" w:hAnsi="宋体" w:eastAsia="宋体" w:cs="Times New Roman"/>
                <w:bCs/>
                <w:kern w:val="2"/>
                <w:sz w:val="24"/>
              </w:rPr>
            </w:pPr>
          </w:p>
        </w:tc>
        <w:tc>
          <w:tcPr>
            <w:tcW w:w="675" w:type="dxa"/>
            <w:vMerge w:val="continue"/>
            <w:tcBorders>
              <w:top w:val="single" w:color="auto" w:sz="4" w:space="0"/>
              <w:left w:val="single" w:color="auto" w:sz="4" w:space="0"/>
              <w:bottom w:val="single" w:color="auto" w:sz="4" w:space="0"/>
              <w:right w:val="single" w:color="auto" w:sz="4" w:space="0"/>
            </w:tcBorders>
            <w:vAlign w:val="center"/>
          </w:tcPr>
          <w:p w14:paraId="064D0480">
            <w:pPr>
              <w:widowControl/>
              <w:jc w:val="left"/>
              <w:rPr>
                <w:rFonts w:ascii="宋体" w:hAnsi="宋体" w:eastAsia="宋体" w:cs="Times New Roman"/>
                <w:bCs/>
                <w:kern w:val="2"/>
                <w:sz w:val="24"/>
              </w:rPr>
            </w:pPr>
          </w:p>
        </w:tc>
        <w:tc>
          <w:tcPr>
            <w:tcW w:w="6060" w:type="dxa"/>
            <w:tcBorders>
              <w:top w:val="single" w:color="auto" w:sz="4" w:space="0"/>
              <w:left w:val="single" w:color="auto" w:sz="4" w:space="0"/>
              <w:bottom w:val="single" w:color="auto" w:sz="4" w:space="0"/>
              <w:right w:val="single" w:color="auto" w:sz="4" w:space="0"/>
            </w:tcBorders>
          </w:tcPr>
          <w:p w14:paraId="2D9E1692">
            <w:pPr>
              <w:spacing w:line="360" w:lineRule="auto"/>
              <w:rPr>
                <w:rFonts w:ascii="宋体" w:hAnsi="宋体" w:eastAsia="宋体" w:cs="Times New Roman"/>
                <w:bCs/>
                <w:kern w:val="2"/>
                <w:sz w:val="24"/>
              </w:rPr>
            </w:pPr>
            <w:r>
              <w:rPr>
                <w:rFonts w:hint="eastAsia" w:ascii="宋体" w:hAnsi="宋体" w:eastAsia="宋体" w:cs="Times New Roman"/>
                <w:bCs/>
                <w:kern w:val="2"/>
                <w:sz w:val="24"/>
              </w:rPr>
              <w:t>4、台盆清洁干燥无污迹，下水口无积垢；水龙头表面光洁无水迹，水龙头把手摆放位置端正，下水管无积灰；台面清洁无水迹、水垢，花瓶摆放规范；镜面光亮无水迹、污迹。</w:t>
            </w:r>
          </w:p>
        </w:tc>
        <w:tc>
          <w:tcPr>
            <w:tcW w:w="1188" w:type="dxa"/>
            <w:tcBorders>
              <w:top w:val="single" w:color="auto" w:sz="4" w:space="0"/>
              <w:left w:val="single" w:color="auto" w:sz="4" w:space="0"/>
              <w:bottom w:val="single" w:color="auto" w:sz="4" w:space="0"/>
              <w:right w:val="single" w:color="auto" w:sz="4" w:space="0"/>
            </w:tcBorders>
          </w:tcPr>
          <w:p w14:paraId="4A4187F4">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6F70B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218" w:type="dxa"/>
            <w:vMerge w:val="continue"/>
            <w:tcBorders>
              <w:top w:val="single" w:color="auto" w:sz="4" w:space="0"/>
              <w:left w:val="single" w:color="auto" w:sz="4" w:space="0"/>
              <w:bottom w:val="single" w:color="auto" w:sz="4" w:space="0"/>
              <w:right w:val="single" w:color="auto" w:sz="4" w:space="0"/>
            </w:tcBorders>
            <w:vAlign w:val="center"/>
          </w:tcPr>
          <w:p w14:paraId="11FF4CBF">
            <w:pPr>
              <w:widowControl/>
              <w:jc w:val="left"/>
              <w:rPr>
                <w:rFonts w:ascii="宋体" w:hAnsi="宋体" w:eastAsia="宋体" w:cs="Times New Roman"/>
                <w:bCs/>
                <w:kern w:val="2"/>
                <w:sz w:val="24"/>
              </w:rPr>
            </w:pPr>
          </w:p>
        </w:tc>
        <w:tc>
          <w:tcPr>
            <w:tcW w:w="675" w:type="dxa"/>
            <w:vMerge w:val="continue"/>
            <w:tcBorders>
              <w:top w:val="single" w:color="auto" w:sz="4" w:space="0"/>
              <w:left w:val="single" w:color="auto" w:sz="4" w:space="0"/>
              <w:bottom w:val="single" w:color="auto" w:sz="4" w:space="0"/>
              <w:right w:val="single" w:color="auto" w:sz="4" w:space="0"/>
            </w:tcBorders>
            <w:vAlign w:val="center"/>
          </w:tcPr>
          <w:p w14:paraId="46DCD3E5">
            <w:pPr>
              <w:widowControl/>
              <w:jc w:val="left"/>
              <w:rPr>
                <w:rFonts w:ascii="宋体" w:hAnsi="宋体" w:eastAsia="宋体" w:cs="Times New Roman"/>
                <w:bCs/>
                <w:kern w:val="2"/>
                <w:sz w:val="24"/>
              </w:rPr>
            </w:pPr>
          </w:p>
        </w:tc>
        <w:tc>
          <w:tcPr>
            <w:tcW w:w="6060" w:type="dxa"/>
            <w:tcBorders>
              <w:top w:val="single" w:color="auto" w:sz="4" w:space="0"/>
              <w:left w:val="single" w:color="auto" w:sz="4" w:space="0"/>
              <w:bottom w:val="single" w:color="auto" w:sz="4" w:space="0"/>
              <w:right w:val="single" w:color="auto" w:sz="4" w:space="0"/>
            </w:tcBorders>
          </w:tcPr>
          <w:p w14:paraId="421CB733">
            <w:pPr>
              <w:spacing w:line="360" w:lineRule="auto"/>
              <w:rPr>
                <w:rFonts w:ascii="宋体" w:hAnsi="宋体" w:eastAsia="宋体" w:cs="Times New Roman"/>
                <w:bCs/>
                <w:kern w:val="2"/>
                <w:sz w:val="24"/>
              </w:rPr>
            </w:pPr>
            <w:r>
              <w:rPr>
                <w:rFonts w:hint="eastAsia" w:ascii="宋体" w:hAnsi="宋体" w:eastAsia="宋体" w:cs="Times New Roman"/>
                <w:bCs/>
                <w:kern w:val="2"/>
                <w:sz w:val="24"/>
              </w:rPr>
              <w:t>5、座便器、蹬位、尿斗表面清洁，无污渍、积垢，无异味；不锈钢水管光亮无锈迹；垃圾桶套袋摆放规范统ー（垃圾袋套入桶内后翻出袋边约2厘米，然后将袋口收紧，垃圾积存不能超过桶的2/3）；洁厕刷干净无积水，统一摆放于垃级桶后侧；门及隔断清洁无尿迹、污迹；空气清香剂、清洁球、卷纸等添加及时，卷纸擦手纸收放整齐，统一规范。</w:t>
            </w:r>
          </w:p>
        </w:tc>
        <w:tc>
          <w:tcPr>
            <w:tcW w:w="1188" w:type="dxa"/>
            <w:tcBorders>
              <w:top w:val="single" w:color="auto" w:sz="4" w:space="0"/>
              <w:left w:val="single" w:color="auto" w:sz="4" w:space="0"/>
              <w:bottom w:val="single" w:color="auto" w:sz="4" w:space="0"/>
              <w:right w:val="single" w:color="auto" w:sz="4" w:space="0"/>
            </w:tcBorders>
          </w:tcPr>
          <w:p w14:paraId="354EDB55">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4182B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1218" w:type="dxa"/>
            <w:vMerge w:val="continue"/>
            <w:tcBorders>
              <w:top w:val="single" w:color="auto" w:sz="4" w:space="0"/>
              <w:left w:val="single" w:color="auto" w:sz="4" w:space="0"/>
              <w:bottom w:val="single" w:color="auto" w:sz="4" w:space="0"/>
              <w:right w:val="single" w:color="auto" w:sz="4" w:space="0"/>
            </w:tcBorders>
            <w:vAlign w:val="center"/>
          </w:tcPr>
          <w:p w14:paraId="512E1930">
            <w:pPr>
              <w:widowControl/>
              <w:jc w:val="left"/>
              <w:rPr>
                <w:rFonts w:ascii="宋体" w:hAnsi="宋体" w:eastAsia="宋体" w:cs="Times New Roman"/>
                <w:bCs/>
                <w:kern w:val="2"/>
                <w:sz w:val="24"/>
              </w:rPr>
            </w:pPr>
          </w:p>
        </w:tc>
        <w:tc>
          <w:tcPr>
            <w:tcW w:w="675" w:type="dxa"/>
            <w:vMerge w:val="continue"/>
            <w:tcBorders>
              <w:top w:val="single" w:color="auto" w:sz="4" w:space="0"/>
              <w:left w:val="single" w:color="auto" w:sz="4" w:space="0"/>
              <w:bottom w:val="single" w:color="auto" w:sz="4" w:space="0"/>
              <w:right w:val="single" w:color="auto" w:sz="4" w:space="0"/>
            </w:tcBorders>
            <w:vAlign w:val="center"/>
          </w:tcPr>
          <w:p w14:paraId="07DC0A14">
            <w:pPr>
              <w:widowControl/>
              <w:jc w:val="left"/>
              <w:rPr>
                <w:rFonts w:ascii="宋体" w:hAnsi="宋体" w:eastAsia="宋体" w:cs="Times New Roman"/>
                <w:bCs/>
                <w:kern w:val="2"/>
                <w:sz w:val="24"/>
              </w:rPr>
            </w:pPr>
          </w:p>
        </w:tc>
        <w:tc>
          <w:tcPr>
            <w:tcW w:w="6060" w:type="dxa"/>
            <w:tcBorders>
              <w:top w:val="single" w:color="auto" w:sz="4" w:space="0"/>
              <w:left w:val="single" w:color="auto" w:sz="4" w:space="0"/>
              <w:bottom w:val="single" w:color="auto" w:sz="4" w:space="0"/>
              <w:right w:val="single" w:color="auto" w:sz="4" w:space="0"/>
            </w:tcBorders>
          </w:tcPr>
          <w:p w14:paraId="23B81E89">
            <w:pPr>
              <w:spacing w:line="360" w:lineRule="auto"/>
              <w:rPr>
                <w:rFonts w:ascii="宋体" w:hAnsi="宋体" w:eastAsia="宋体" w:cs="Times New Roman"/>
                <w:bCs/>
                <w:kern w:val="2"/>
                <w:sz w:val="24"/>
              </w:rPr>
            </w:pPr>
            <w:r>
              <w:rPr>
                <w:rFonts w:hint="eastAsia" w:ascii="宋体" w:hAnsi="宋体" w:eastAsia="宋体" w:cs="Times New Roman"/>
                <w:bCs/>
                <w:kern w:val="2"/>
                <w:sz w:val="24"/>
              </w:rPr>
              <w:t>6、擦手纸盒、皂液盒表面清洁无污迹、灰尘，添加及时</w:t>
            </w:r>
          </w:p>
        </w:tc>
        <w:tc>
          <w:tcPr>
            <w:tcW w:w="1188" w:type="dxa"/>
            <w:tcBorders>
              <w:top w:val="single" w:color="auto" w:sz="4" w:space="0"/>
              <w:left w:val="single" w:color="auto" w:sz="4" w:space="0"/>
              <w:bottom w:val="single" w:color="auto" w:sz="4" w:space="0"/>
              <w:right w:val="single" w:color="auto" w:sz="4" w:space="0"/>
            </w:tcBorders>
          </w:tcPr>
          <w:p w14:paraId="258941DC">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6DE7E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1218" w:type="dxa"/>
            <w:vMerge w:val="continue"/>
            <w:tcBorders>
              <w:top w:val="single" w:color="auto" w:sz="4" w:space="0"/>
              <w:left w:val="single" w:color="auto" w:sz="4" w:space="0"/>
              <w:bottom w:val="single" w:color="auto" w:sz="4" w:space="0"/>
              <w:right w:val="single" w:color="auto" w:sz="4" w:space="0"/>
            </w:tcBorders>
            <w:vAlign w:val="center"/>
          </w:tcPr>
          <w:p w14:paraId="24BBB0B9">
            <w:pPr>
              <w:widowControl/>
              <w:jc w:val="left"/>
              <w:rPr>
                <w:rFonts w:ascii="宋体" w:hAnsi="宋体" w:eastAsia="宋体" w:cs="Times New Roman"/>
                <w:bCs/>
                <w:kern w:val="2"/>
                <w:sz w:val="24"/>
              </w:rPr>
            </w:pPr>
          </w:p>
        </w:tc>
        <w:tc>
          <w:tcPr>
            <w:tcW w:w="675" w:type="dxa"/>
            <w:vMerge w:val="continue"/>
            <w:tcBorders>
              <w:top w:val="single" w:color="auto" w:sz="4" w:space="0"/>
              <w:left w:val="single" w:color="auto" w:sz="4" w:space="0"/>
              <w:bottom w:val="single" w:color="auto" w:sz="4" w:space="0"/>
              <w:right w:val="single" w:color="auto" w:sz="4" w:space="0"/>
            </w:tcBorders>
            <w:vAlign w:val="center"/>
          </w:tcPr>
          <w:p w14:paraId="682B6AF6">
            <w:pPr>
              <w:widowControl/>
              <w:jc w:val="left"/>
              <w:rPr>
                <w:rFonts w:ascii="宋体" w:hAnsi="宋体" w:eastAsia="宋体" w:cs="Times New Roman"/>
                <w:bCs/>
                <w:kern w:val="2"/>
                <w:sz w:val="24"/>
              </w:rPr>
            </w:pPr>
          </w:p>
        </w:tc>
        <w:tc>
          <w:tcPr>
            <w:tcW w:w="6060" w:type="dxa"/>
            <w:tcBorders>
              <w:top w:val="single" w:color="auto" w:sz="4" w:space="0"/>
              <w:left w:val="single" w:color="auto" w:sz="4" w:space="0"/>
              <w:bottom w:val="single" w:color="auto" w:sz="4" w:space="0"/>
              <w:right w:val="single" w:color="auto" w:sz="4" w:space="0"/>
            </w:tcBorders>
          </w:tcPr>
          <w:p w14:paraId="61AC088D">
            <w:pPr>
              <w:spacing w:line="360" w:lineRule="auto"/>
              <w:rPr>
                <w:rFonts w:ascii="宋体" w:hAnsi="宋体" w:eastAsia="宋体" w:cs="Times New Roman"/>
                <w:bCs/>
                <w:kern w:val="2"/>
                <w:sz w:val="24"/>
              </w:rPr>
            </w:pPr>
            <w:r>
              <w:rPr>
                <w:rFonts w:hint="eastAsia" w:ascii="宋体" w:hAnsi="宋体" w:eastAsia="宋体" w:cs="Times New Roman"/>
                <w:bCs/>
                <w:kern w:val="2"/>
                <w:sz w:val="24"/>
              </w:rPr>
              <w:t>7、开关、插座清洁无污迹。</w:t>
            </w:r>
          </w:p>
        </w:tc>
        <w:tc>
          <w:tcPr>
            <w:tcW w:w="1188" w:type="dxa"/>
            <w:tcBorders>
              <w:top w:val="single" w:color="auto" w:sz="4" w:space="0"/>
              <w:left w:val="single" w:color="auto" w:sz="4" w:space="0"/>
              <w:bottom w:val="single" w:color="auto" w:sz="4" w:space="0"/>
              <w:right w:val="single" w:color="auto" w:sz="4" w:space="0"/>
            </w:tcBorders>
          </w:tcPr>
          <w:p w14:paraId="3B306F5A">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30DB3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1218" w:type="dxa"/>
            <w:vMerge w:val="continue"/>
            <w:tcBorders>
              <w:top w:val="single" w:color="auto" w:sz="4" w:space="0"/>
              <w:left w:val="single" w:color="auto" w:sz="4" w:space="0"/>
              <w:bottom w:val="single" w:color="auto" w:sz="4" w:space="0"/>
              <w:right w:val="single" w:color="auto" w:sz="4" w:space="0"/>
            </w:tcBorders>
            <w:vAlign w:val="center"/>
          </w:tcPr>
          <w:p w14:paraId="7B83E21E">
            <w:pPr>
              <w:widowControl/>
              <w:jc w:val="left"/>
              <w:rPr>
                <w:rFonts w:ascii="宋体" w:hAnsi="宋体" w:eastAsia="宋体" w:cs="Times New Roman"/>
                <w:bCs/>
                <w:kern w:val="2"/>
                <w:sz w:val="24"/>
              </w:rPr>
            </w:pPr>
          </w:p>
        </w:tc>
        <w:tc>
          <w:tcPr>
            <w:tcW w:w="675" w:type="dxa"/>
            <w:vMerge w:val="continue"/>
            <w:tcBorders>
              <w:top w:val="single" w:color="auto" w:sz="4" w:space="0"/>
              <w:left w:val="single" w:color="auto" w:sz="4" w:space="0"/>
              <w:bottom w:val="single" w:color="auto" w:sz="4" w:space="0"/>
              <w:right w:val="single" w:color="auto" w:sz="4" w:space="0"/>
            </w:tcBorders>
            <w:vAlign w:val="center"/>
          </w:tcPr>
          <w:p w14:paraId="5AED5FC6">
            <w:pPr>
              <w:widowControl/>
              <w:jc w:val="left"/>
              <w:rPr>
                <w:rFonts w:ascii="宋体" w:hAnsi="宋体" w:eastAsia="宋体" w:cs="Times New Roman"/>
                <w:bCs/>
                <w:kern w:val="2"/>
                <w:sz w:val="24"/>
              </w:rPr>
            </w:pPr>
          </w:p>
        </w:tc>
        <w:tc>
          <w:tcPr>
            <w:tcW w:w="6060" w:type="dxa"/>
            <w:tcBorders>
              <w:top w:val="single" w:color="auto" w:sz="4" w:space="0"/>
              <w:left w:val="single" w:color="auto" w:sz="4" w:space="0"/>
              <w:bottom w:val="single" w:color="auto" w:sz="4" w:space="0"/>
              <w:right w:val="single" w:color="auto" w:sz="4" w:space="0"/>
            </w:tcBorders>
          </w:tcPr>
          <w:p w14:paraId="14D1D8E5">
            <w:pPr>
              <w:spacing w:line="360" w:lineRule="auto"/>
              <w:rPr>
                <w:rFonts w:ascii="宋体" w:hAnsi="宋体" w:eastAsia="宋体" w:cs="Times New Roman"/>
                <w:bCs/>
                <w:kern w:val="2"/>
                <w:sz w:val="24"/>
              </w:rPr>
            </w:pPr>
            <w:r>
              <w:rPr>
                <w:rFonts w:hint="eastAsia" w:ascii="宋体" w:hAnsi="宋体" w:eastAsia="宋体" w:cs="Times New Roman"/>
                <w:bCs/>
                <w:kern w:val="2"/>
                <w:sz w:val="24"/>
              </w:rPr>
              <w:t>8、门及门框清洁无积灰。</w:t>
            </w:r>
          </w:p>
        </w:tc>
        <w:tc>
          <w:tcPr>
            <w:tcW w:w="1188" w:type="dxa"/>
            <w:tcBorders>
              <w:top w:val="single" w:color="auto" w:sz="4" w:space="0"/>
              <w:left w:val="single" w:color="auto" w:sz="4" w:space="0"/>
              <w:bottom w:val="single" w:color="auto" w:sz="4" w:space="0"/>
              <w:right w:val="single" w:color="auto" w:sz="4" w:space="0"/>
            </w:tcBorders>
          </w:tcPr>
          <w:p w14:paraId="394783B4">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7E4FF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1218" w:type="dxa"/>
            <w:vMerge w:val="continue"/>
            <w:tcBorders>
              <w:top w:val="single" w:color="auto" w:sz="4" w:space="0"/>
              <w:left w:val="single" w:color="auto" w:sz="4" w:space="0"/>
              <w:bottom w:val="single" w:color="auto" w:sz="4" w:space="0"/>
              <w:right w:val="single" w:color="auto" w:sz="4" w:space="0"/>
            </w:tcBorders>
            <w:vAlign w:val="center"/>
          </w:tcPr>
          <w:p w14:paraId="7C6EE8C6">
            <w:pPr>
              <w:widowControl/>
              <w:jc w:val="left"/>
              <w:rPr>
                <w:rFonts w:ascii="宋体" w:hAnsi="宋体" w:eastAsia="宋体" w:cs="Times New Roman"/>
                <w:bCs/>
                <w:kern w:val="2"/>
                <w:sz w:val="24"/>
              </w:rPr>
            </w:pPr>
          </w:p>
        </w:tc>
        <w:tc>
          <w:tcPr>
            <w:tcW w:w="675" w:type="dxa"/>
            <w:vMerge w:val="restart"/>
            <w:tcBorders>
              <w:top w:val="single" w:color="auto" w:sz="4" w:space="0"/>
              <w:left w:val="single" w:color="auto" w:sz="4" w:space="0"/>
              <w:bottom w:val="single" w:color="auto" w:sz="4" w:space="0"/>
              <w:right w:val="single" w:color="auto" w:sz="4" w:space="0"/>
            </w:tcBorders>
            <w:vAlign w:val="center"/>
          </w:tcPr>
          <w:p w14:paraId="24CF7B74">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消</w:t>
            </w:r>
          </w:p>
          <w:p w14:paraId="64C205C1">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防</w:t>
            </w:r>
          </w:p>
          <w:p w14:paraId="5081271E">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通</w:t>
            </w:r>
          </w:p>
          <w:p w14:paraId="5A29FD48">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道</w:t>
            </w:r>
          </w:p>
        </w:tc>
        <w:tc>
          <w:tcPr>
            <w:tcW w:w="6060" w:type="dxa"/>
            <w:tcBorders>
              <w:top w:val="single" w:color="auto" w:sz="4" w:space="0"/>
              <w:left w:val="single" w:color="auto" w:sz="4" w:space="0"/>
              <w:bottom w:val="single" w:color="auto" w:sz="4" w:space="0"/>
              <w:right w:val="single" w:color="auto" w:sz="4" w:space="0"/>
            </w:tcBorders>
          </w:tcPr>
          <w:p w14:paraId="59089DA2">
            <w:pPr>
              <w:spacing w:line="360" w:lineRule="auto"/>
              <w:rPr>
                <w:rFonts w:ascii="宋体" w:hAnsi="宋体" w:eastAsia="宋体" w:cs="Times New Roman"/>
                <w:bCs/>
                <w:kern w:val="2"/>
                <w:sz w:val="24"/>
              </w:rPr>
            </w:pPr>
            <w:r>
              <w:rPr>
                <w:rFonts w:hint="eastAsia" w:ascii="宋体" w:hAnsi="宋体" w:eastAsia="宋体" w:cs="Times New Roman"/>
                <w:bCs/>
                <w:kern w:val="2"/>
                <w:sz w:val="24"/>
              </w:rPr>
              <w:t>1、地面清洁无灰尘、杂物、水迹、黄斑。</w:t>
            </w:r>
          </w:p>
        </w:tc>
        <w:tc>
          <w:tcPr>
            <w:tcW w:w="1188" w:type="dxa"/>
            <w:tcBorders>
              <w:top w:val="single" w:color="auto" w:sz="4" w:space="0"/>
              <w:left w:val="single" w:color="auto" w:sz="4" w:space="0"/>
              <w:bottom w:val="single" w:color="auto" w:sz="4" w:space="0"/>
              <w:right w:val="single" w:color="auto" w:sz="4" w:space="0"/>
            </w:tcBorders>
          </w:tcPr>
          <w:p w14:paraId="5AB76154">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0D30F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1218" w:type="dxa"/>
            <w:vMerge w:val="continue"/>
            <w:tcBorders>
              <w:top w:val="single" w:color="auto" w:sz="4" w:space="0"/>
              <w:left w:val="single" w:color="auto" w:sz="4" w:space="0"/>
              <w:bottom w:val="single" w:color="auto" w:sz="4" w:space="0"/>
              <w:right w:val="single" w:color="auto" w:sz="4" w:space="0"/>
            </w:tcBorders>
            <w:vAlign w:val="center"/>
          </w:tcPr>
          <w:p w14:paraId="06BD1BF5">
            <w:pPr>
              <w:widowControl/>
              <w:jc w:val="left"/>
              <w:rPr>
                <w:rFonts w:ascii="宋体" w:hAnsi="宋体" w:eastAsia="宋体" w:cs="Times New Roman"/>
                <w:bCs/>
                <w:kern w:val="2"/>
                <w:sz w:val="24"/>
              </w:rPr>
            </w:pPr>
          </w:p>
        </w:tc>
        <w:tc>
          <w:tcPr>
            <w:tcW w:w="675" w:type="dxa"/>
            <w:vMerge w:val="continue"/>
            <w:tcBorders>
              <w:top w:val="single" w:color="auto" w:sz="4" w:space="0"/>
              <w:left w:val="single" w:color="auto" w:sz="4" w:space="0"/>
              <w:bottom w:val="single" w:color="auto" w:sz="4" w:space="0"/>
              <w:right w:val="single" w:color="auto" w:sz="4" w:space="0"/>
            </w:tcBorders>
            <w:vAlign w:val="center"/>
          </w:tcPr>
          <w:p w14:paraId="3ED14C18">
            <w:pPr>
              <w:widowControl/>
              <w:jc w:val="left"/>
              <w:rPr>
                <w:rFonts w:ascii="宋体" w:hAnsi="宋体" w:eastAsia="宋体" w:cs="Times New Roman"/>
                <w:bCs/>
                <w:kern w:val="2"/>
                <w:sz w:val="24"/>
              </w:rPr>
            </w:pPr>
          </w:p>
        </w:tc>
        <w:tc>
          <w:tcPr>
            <w:tcW w:w="6060" w:type="dxa"/>
            <w:tcBorders>
              <w:top w:val="single" w:color="auto" w:sz="4" w:space="0"/>
              <w:left w:val="single" w:color="auto" w:sz="4" w:space="0"/>
              <w:bottom w:val="single" w:color="auto" w:sz="4" w:space="0"/>
              <w:right w:val="single" w:color="auto" w:sz="4" w:space="0"/>
            </w:tcBorders>
          </w:tcPr>
          <w:p w14:paraId="79B27216">
            <w:pPr>
              <w:spacing w:line="360" w:lineRule="auto"/>
              <w:rPr>
                <w:rFonts w:ascii="宋体" w:hAnsi="宋体" w:eastAsia="宋体" w:cs="Times New Roman"/>
                <w:bCs/>
                <w:kern w:val="2"/>
                <w:sz w:val="24"/>
              </w:rPr>
            </w:pPr>
            <w:r>
              <w:rPr>
                <w:rFonts w:hint="eastAsia" w:ascii="宋体" w:hAnsi="宋体" w:eastAsia="宋体" w:cs="Times New Roman"/>
                <w:bCs/>
                <w:kern w:val="2"/>
                <w:sz w:val="24"/>
              </w:rPr>
              <w:t>2、顶面清洁，沟无积灰，送风口（阀）清洁无积灰。</w:t>
            </w:r>
          </w:p>
        </w:tc>
        <w:tc>
          <w:tcPr>
            <w:tcW w:w="1188" w:type="dxa"/>
            <w:tcBorders>
              <w:top w:val="single" w:color="auto" w:sz="4" w:space="0"/>
              <w:left w:val="single" w:color="auto" w:sz="4" w:space="0"/>
              <w:bottom w:val="single" w:color="auto" w:sz="4" w:space="0"/>
              <w:right w:val="single" w:color="auto" w:sz="4" w:space="0"/>
            </w:tcBorders>
          </w:tcPr>
          <w:p w14:paraId="5D7C5270">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2C79B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1218" w:type="dxa"/>
            <w:vMerge w:val="continue"/>
            <w:tcBorders>
              <w:top w:val="single" w:color="auto" w:sz="4" w:space="0"/>
              <w:left w:val="single" w:color="auto" w:sz="4" w:space="0"/>
              <w:bottom w:val="single" w:color="auto" w:sz="4" w:space="0"/>
              <w:right w:val="single" w:color="auto" w:sz="4" w:space="0"/>
            </w:tcBorders>
            <w:vAlign w:val="center"/>
          </w:tcPr>
          <w:p w14:paraId="1B7B6AAB">
            <w:pPr>
              <w:widowControl/>
              <w:jc w:val="left"/>
              <w:rPr>
                <w:rFonts w:ascii="宋体" w:hAnsi="宋体" w:eastAsia="宋体" w:cs="Times New Roman"/>
                <w:bCs/>
                <w:kern w:val="2"/>
                <w:sz w:val="24"/>
              </w:rPr>
            </w:pPr>
          </w:p>
        </w:tc>
        <w:tc>
          <w:tcPr>
            <w:tcW w:w="675" w:type="dxa"/>
            <w:vMerge w:val="continue"/>
            <w:tcBorders>
              <w:top w:val="single" w:color="auto" w:sz="4" w:space="0"/>
              <w:left w:val="single" w:color="auto" w:sz="4" w:space="0"/>
              <w:bottom w:val="single" w:color="auto" w:sz="4" w:space="0"/>
              <w:right w:val="single" w:color="auto" w:sz="4" w:space="0"/>
            </w:tcBorders>
            <w:vAlign w:val="center"/>
          </w:tcPr>
          <w:p w14:paraId="6FEE0C4D">
            <w:pPr>
              <w:widowControl/>
              <w:jc w:val="left"/>
              <w:rPr>
                <w:rFonts w:ascii="宋体" w:hAnsi="宋体" w:eastAsia="宋体" w:cs="Times New Roman"/>
                <w:bCs/>
                <w:kern w:val="2"/>
                <w:sz w:val="24"/>
              </w:rPr>
            </w:pPr>
          </w:p>
        </w:tc>
        <w:tc>
          <w:tcPr>
            <w:tcW w:w="6060" w:type="dxa"/>
            <w:tcBorders>
              <w:top w:val="single" w:color="auto" w:sz="4" w:space="0"/>
              <w:left w:val="single" w:color="auto" w:sz="4" w:space="0"/>
              <w:bottom w:val="single" w:color="auto" w:sz="4" w:space="0"/>
              <w:right w:val="single" w:color="auto" w:sz="4" w:space="0"/>
            </w:tcBorders>
          </w:tcPr>
          <w:p w14:paraId="0F57A06D">
            <w:pPr>
              <w:spacing w:line="360" w:lineRule="auto"/>
              <w:rPr>
                <w:rFonts w:ascii="宋体" w:hAnsi="宋体" w:eastAsia="宋体" w:cs="Times New Roman"/>
                <w:bCs/>
                <w:kern w:val="2"/>
                <w:sz w:val="24"/>
              </w:rPr>
            </w:pPr>
            <w:r>
              <w:rPr>
                <w:rFonts w:hint="eastAsia" w:ascii="宋体" w:hAnsi="宋体" w:eastAsia="宋体" w:cs="Times New Roman"/>
                <w:bCs/>
                <w:kern w:val="2"/>
                <w:sz w:val="24"/>
              </w:rPr>
              <w:t>3、地面墙角无积灰，墙面无蜘蛛网。</w:t>
            </w:r>
          </w:p>
        </w:tc>
        <w:tc>
          <w:tcPr>
            <w:tcW w:w="1188" w:type="dxa"/>
            <w:tcBorders>
              <w:top w:val="single" w:color="auto" w:sz="4" w:space="0"/>
              <w:left w:val="single" w:color="auto" w:sz="4" w:space="0"/>
              <w:bottom w:val="single" w:color="auto" w:sz="4" w:space="0"/>
              <w:right w:val="single" w:color="auto" w:sz="4" w:space="0"/>
            </w:tcBorders>
          </w:tcPr>
          <w:p w14:paraId="559CF557">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6858B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1218" w:type="dxa"/>
            <w:vMerge w:val="continue"/>
            <w:tcBorders>
              <w:top w:val="single" w:color="auto" w:sz="4" w:space="0"/>
              <w:left w:val="single" w:color="auto" w:sz="4" w:space="0"/>
              <w:bottom w:val="single" w:color="auto" w:sz="4" w:space="0"/>
              <w:right w:val="single" w:color="auto" w:sz="4" w:space="0"/>
            </w:tcBorders>
            <w:vAlign w:val="center"/>
          </w:tcPr>
          <w:p w14:paraId="008CFD5D">
            <w:pPr>
              <w:widowControl/>
              <w:jc w:val="left"/>
              <w:rPr>
                <w:rFonts w:ascii="宋体" w:hAnsi="宋体" w:eastAsia="宋体" w:cs="Times New Roman"/>
                <w:bCs/>
                <w:kern w:val="2"/>
                <w:sz w:val="24"/>
              </w:rPr>
            </w:pPr>
          </w:p>
        </w:tc>
        <w:tc>
          <w:tcPr>
            <w:tcW w:w="675" w:type="dxa"/>
            <w:vMerge w:val="continue"/>
            <w:tcBorders>
              <w:top w:val="single" w:color="auto" w:sz="4" w:space="0"/>
              <w:left w:val="single" w:color="auto" w:sz="4" w:space="0"/>
              <w:bottom w:val="single" w:color="auto" w:sz="4" w:space="0"/>
              <w:right w:val="single" w:color="auto" w:sz="4" w:space="0"/>
            </w:tcBorders>
            <w:vAlign w:val="center"/>
          </w:tcPr>
          <w:p w14:paraId="3BDE72D8">
            <w:pPr>
              <w:widowControl/>
              <w:jc w:val="left"/>
              <w:rPr>
                <w:rFonts w:ascii="宋体" w:hAnsi="宋体" w:eastAsia="宋体" w:cs="Times New Roman"/>
                <w:bCs/>
                <w:kern w:val="2"/>
                <w:sz w:val="24"/>
              </w:rPr>
            </w:pPr>
          </w:p>
        </w:tc>
        <w:tc>
          <w:tcPr>
            <w:tcW w:w="6060" w:type="dxa"/>
            <w:tcBorders>
              <w:top w:val="single" w:color="auto" w:sz="4" w:space="0"/>
              <w:left w:val="single" w:color="auto" w:sz="4" w:space="0"/>
              <w:bottom w:val="single" w:color="auto" w:sz="4" w:space="0"/>
              <w:right w:val="single" w:color="auto" w:sz="4" w:space="0"/>
            </w:tcBorders>
          </w:tcPr>
          <w:p w14:paraId="412C7B33">
            <w:pPr>
              <w:spacing w:line="360" w:lineRule="auto"/>
              <w:rPr>
                <w:rFonts w:ascii="宋体" w:hAnsi="宋体" w:eastAsia="宋体" w:cs="Times New Roman"/>
                <w:bCs/>
                <w:kern w:val="2"/>
                <w:sz w:val="24"/>
              </w:rPr>
            </w:pPr>
            <w:r>
              <w:rPr>
                <w:rFonts w:hint="eastAsia" w:ascii="宋体" w:hAnsi="宋体" w:eastAsia="宋体" w:cs="Times New Roman"/>
                <w:bCs/>
                <w:kern w:val="2"/>
                <w:sz w:val="24"/>
              </w:rPr>
              <w:t>4、电梯门套、门缝、层显等清洁无明显污迹、手印。</w:t>
            </w:r>
          </w:p>
        </w:tc>
        <w:tc>
          <w:tcPr>
            <w:tcW w:w="1188" w:type="dxa"/>
            <w:tcBorders>
              <w:top w:val="single" w:color="auto" w:sz="4" w:space="0"/>
              <w:left w:val="single" w:color="auto" w:sz="4" w:space="0"/>
              <w:bottom w:val="single" w:color="auto" w:sz="4" w:space="0"/>
              <w:right w:val="single" w:color="auto" w:sz="4" w:space="0"/>
            </w:tcBorders>
          </w:tcPr>
          <w:p w14:paraId="66EA34FB">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42DBD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18" w:type="dxa"/>
            <w:vMerge w:val="continue"/>
            <w:tcBorders>
              <w:top w:val="single" w:color="auto" w:sz="4" w:space="0"/>
              <w:left w:val="single" w:color="auto" w:sz="4" w:space="0"/>
              <w:bottom w:val="single" w:color="auto" w:sz="4" w:space="0"/>
              <w:right w:val="single" w:color="auto" w:sz="4" w:space="0"/>
            </w:tcBorders>
            <w:vAlign w:val="center"/>
          </w:tcPr>
          <w:p w14:paraId="72C08E6E">
            <w:pPr>
              <w:widowControl/>
              <w:jc w:val="left"/>
              <w:rPr>
                <w:rFonts w:ascii="宋体" w:hAnsi="宋体" w:eastAsia="宋体" w:cs="Times New Roman"/>
                <w:bCs/>
                <w:kern w:val="2"/>
                <w:sz w:val="24"/>
              </w:rPr>
            </w:pPr>
          </w:p>
        </w:tc>
        <w:tc>
          <w:tcPr>
            <w:tcW w:w="675" w:type="dxa"/>
            <w:vMerge w:val="continue"/>
            <w:tcBorders>
              <w:top w:val="single" w:color="auto" w:sz="4" w:space="0"/>
              <w:left w:val="single" w:color="auto" w:sz="4" w:space="0"/>
              <w:bottom w:val="single" w:color="auto" w:sz="4" w:space="0"/>
              <w:right w:val="single" w:color="auto" w:sz="4" w:space="0"/>
            </w:tcBorders>
            <w:vAlign w:val="center"/>
          </w:tcPr>
          <w:p w14:paraId="2526D1C2">
            <w:pPr>
              <w:widowControl/>
              <w:jc w:val="left"/>
              <w:rPr>
                <w:rFonts w:ascii="宋体" w:hAnsi="宋体" w:eastAsia="宋体" w:cs="Times New Roman"/>
                <w:bCs/>
                <w:kern w:val="2"/>
                <w:sz w:val="24"/>
              </w:rPr>
            </w:pPr>
          </w:p>
        </w:tc>
        <w:tc>
          <w:tcPr>
            <w:tcW w:w="6060" w:type="dxa"/>
            <w:tcBorders>
              <w:top w:val="single" w:color="auto" w:sz="4" w:space="0"/>
              <w:left w:val="single" w:color="auto" w:sz="4" w:space="0"/>
              <w:bottom w:val="single" w:color="auto" w:sz="4" w:space="0"/>
              <w:right w:val="single" w:color="auto" w:sz="4" w:space="0"/>
            </w:tcBorders>
          </w:tcPr>
          <w:p w14:paraId="3C4C0A71">
            <w:pPr>
              <w:spacing w:line="360" w:lineRule="auto"/>
              <w:rPr>
                <w:rFonts w:ascii="宋体" w:hAnsi="宋体" w:eastAsia="宋体" w:cs="Times New Roman"/>
                <w:bCs/>
                <w:kern w:val="2"/>
                <w:sz w:val="24"/>
              </w:rPr>
            </w:pPr>
            <w:r>
              <w:rPr>
                <w:rFonts w:hint="eastAsia" w:ascii="宋体" w:hAnsi="宋体" w:eastAsia="宋体" w:cs="Times New Roman"/>
                <w:bCs/>
                <w:kern w:val="2"/>
                <w:sz w:val="24"/>
              </w:rPr>
              <w:t>5、电梯不锈钢饰面无灰尘手印、上油均匀不腻。</w:t>
            </w:r>
          </w:p>
        </w:tc>
        <w:tc>
          <w:tcPr>
            <w:tcW w:w="1188" w:type="dxa"/>
            <w:tcBorders>
              <w:top w:val="single" w:color="auto" w:sz="4" w:space="0"/>
              <w:left w:val="single" w:color="auto" w:sz="4" w:space="0"/>
              <w:bottom w:val="single" w:color="auto" w:sz="4" w:space="0"/>
              <w:right w:val="single" w:color="auto" w:sz="4" w:space="0"/>
            </w:tcBorders>
          </w:tcPr>
          <w:p w14:paraId="5651CCDF">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51EAF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218" w:type="dxa"/>
            <w:vMerge w:val="continue"/>
            <w:tcBorders>
              <w:top w:val="single" w:color="auto" w:sz="4" w:space="0"/>
              <w:left w:val="single" w:color="auto" w:sz="4" w:space="0"/>
              <w:bottom w:val="single" w:color="auto" w:sz="4" w:space="0"/>
              <w:right w:val="single" w:color="auto" w:sz="4" w:space="0"/>
            </w:tcBorders>
            <w:vAlign w:val="center"/>
          </w:tcPr>
          <w:p w14:paraId="2003D364">
            <w:pPr>
              <w:widowControl/>
              <w:jc w:val="left"/>
              <w:rPr>
                <w:rFonts w:ascii="宋体" w:hAnsi="宋体" w:eastAsia="宋体" w:cs="Times New Roman"/>
                <w:bCs/>
                <w:kern w:val="2"/>
                <w:sz w:val="24"/>
              </w:rPr>
            </w:pPr>
          </w:p>
        </w:tc>
        <w:tc>
          <w:tcPr>
            <w:tcW w:w="675" w:type="dxa"/>
            <w:vMerge w:val="continue"/>
            <w:tcBorders>
              <w:top w:val="single" w:color="auto" w:sz="4" w:space="0"/>
              <w:left w:val="single" w:color="auto" w:sz="4" w:space="0"/>
              <w:bottom w:val="single" w:color="auto" w:sz="4" w:space="0"/>
              <w:right w:val="single" w:color="auto" w:sz="4" w:space="0"/>
            </w:tcBorders>
            <w:vAlign w:val="center"/>
          </w:tcPr>
          <w:p w14:paraId="68CC596F">
            <w:pPr>
              <w:widowControl/>
              <w:jc w:val="left"/>
              <w:rPr>
                <w:rFonts w:ascii="宋体" w:hAnsi="宋体" w:eastAsia="宋体" w:cs="Times New Roman"/>
                <w:bCs/>
                <w:kern w:val="2"/>
                <w:sz w:val="24"/>
              </w:rPr>
            </w:pPr>
          </w:p>
        </w:tc>
        <w:tc>
          <w:tcPr>
            <w:tcW w:w="6060" w:type="dxa"/>
            <w:tcBorders>
              <w:top w:val="single" w:color="auto" w:sz="4" w:space="0"/>
              <w:left w:val="single" w:color="auto" w:sz="4" w:space="0"/>
              <w:bottom w:val="single" w:color="auto" w:sz="4" w:space="0"/>
              <w:right w:val="single" w:color="auto" w:sz="4" w:space="0"/>
            </w:tcBorders>
          </w:tcPr>
          <w:p w14:paraId="4D643FA8">
            <w:pPr>
              <w:spacing w:line="360" w:lineRule="auto"/>
              <w:rPr>
                <w:rFonts w:ascii="宋体" w:hAnsi="宋体" w:eastAsia="宋体" w:cs="Times New Roman"/>
                <w:bCs/>
                <w:kern w:val="2"/>
                <w:sz w:val="24"/>
              </w:rPr>
            </w:pPr>
            <w:r>
              <w:rPr>
                <w:rFonts w:hint="eastAsia" w:ascii="宋体" w:hAnsi="宋体" w:eastAsia="宋体" w:cs="Times New Roman"/>
                <w:bCs/>
                <w:kern w:val="2"/>
                <w:sz w:val="24"/>
              </w:rPr>
              <w:t>6、垃级桶内外观清洁无灰尘、垃级袋套装规范（垃圾袋套入桶内翻出袋边约2厘米，然后将袋口收紧），垃圾日产日清。</w:t>
            </w:r>
          </w:p>
        </w:tc>
        <w:tc>
          <w:tcPr>
            <w:tcW w:w="1188" w:type="dxa"/>
            <w:tcBorders>
              <w:top w:val="single" w:color="auto" w:sz="4" w:space="0"/>
              <w:left w:val="single" w:color="auto" w:sz="4" w:space="0"/>
              <w:bottom w:val="single" w:color="auto" w:sz="4" w:space="0"/>
              <w:right w:val="single" w:color="auto" w:sz="4" w:space="0"/>
            </w:tcBorders>
          </w:tcPr>
          <w:p w14:paraId="39BA719E">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0EEEE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1218" w:type="dxa"/>
            <w:vMerge w:val="continue"/>
            <w:tcBorders>
              <w:top w:val="single" w:color="auto" w:sz="4" w:space="0"/>
              <w:left w:val="single" w:color="auto" w:sz="4" w:space="0"/>
              <w:bottom w:val="single" w:color="auto" w:sz="4" w:space="0"/>
              <w:right w:val="single" w:color="auto" w:sz="4" w:space="0"/>
            </w:tcBorders>
            <w:vAlign w:val="center"/>
          </w:tcPr>
          <w:p w14:paraId="062F1E6C">
            <w:pPr>
              <w:widowControl/>
              <w:jc w:val="left"/>
              <w:rPr>
                <w:rFonts w:ascii="宋体" w:hAnsi="宋体" w:eastAsia="宋体" w:cs="Times New Roman"/>
                <w:bCs/>
                <w:kern w:val="2"/>
                <w:sz w:val="24"/>
              </w:rPr>
            </w:pPr>
          </w:p>
        </w:tc>
        <w:tc>
          <w:tcPr>
            <w:tcW w:w="675" w:type="dxa"/>
            <w:vMerge w:val="continue"/>
            <w:tcBorders>
              <w:top w:val="single" w:color="auto" w:sz="4" w:space="0"/>
              <w:left w:val="single" w:color="auto" w:sz="4" w:space="0"/>
              <w:bottom w:val="single" w:color="auto" w:sz="4" w:space="0"/>
              <w:right w:val="single" w:color="auto" w:sz="4" w:space="0"/>
            </w:tcBorders>
            <w:vAlign w:val="center"/>
          </w:tcPr>
          <w:p w14:paraId="58A58D8B">
            <w:pPr>
              <w:widowControl/>
              <w:jc w:val="left"/>
              <w:rPr>
                <w:rFonts w:ascii="宋体" w:hAnsi="宋体" w:eastAsia="宋体" w:cs="Times New Roman"/>
                <w:bCs/>
                <w:kern w:val="2"/>
                <w:sz w:val="24"/>
              </w:rPr>
            </w:pPr>
          </w:p>
        </w:tc>
        <w:tc>
          <w:tcPr>
            <w:tcW w:w="6060" w:type="dxa"/>
            <w:tcBorders>
              <w:top w:val="single" w:color="auto" w:sz="4" w:space="0"/>
              <w:left w:val="single" w:color="auto" w:sz="4" w:space="0"/>
              <w:bottom w:val="single" w:color="auto" w:sz="4" w:space="0"/>
              <w:right w:val="single" w:color="auto" w:sz="4" w:space="0"/>
            </w:tcBorders>
          </w:tcPr>
          <w:p w14:paraId="48B5E121">
            <w:pPr>
              <w:spacing w:line="360" w:lineRule="auto"/>
              <w:rPr>
                <w:rFonts w:ascii="宋体" w:hAnsi="宋体" w:eastAsia="宋体" w:cs="Times New Roman"/>
                <w:bCs/>
                <w:kern w:val="2"/>
                <w:sz w:val="24"/>
              </w:rPr>
            </w:pPr>
            <w:r>
              <w:rPr>
                <w:rFonts w:hint="eastAsia" w:ascii="宋体" w:hAnsi="宋体" w:eastAsia="宋体" w:cs="Times New Roman"/>
                <w:bCs/>
                <w:kern w:val="2"/>
                <w:sz w:val="24"/>
              </w:rPr>
              <w:t>7.各类示牌、开关、插座，巡更器等清洁无污迹，灰尘。</w:t>
            </w:r>
          </w:p>
        </w:tc>
        <w:tc>
          <w:tcPr>
            <w:tcW w:w="1188" w:type="dxa"/>
            <w:tcBorders>
              <w:top w:val="single" w:color="auto" w:sz="4" w:space="0"/>
              <w:left w:val="single" w:color="auto" w:sz="4" w:space="0"/>
              <w:bottom w:val="single" w:color="auto" w:sz="4" w:space="0"/>
              <w:right w:val="single" w:color="auto" w:sz="4" w:space="0"/>
            </w:tcBorders>
          </w:tcPr>
          <w:p w14:paraId="25898552">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527A0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1218" w:type="dxa"/>
            <w:vMerge w:val="continue"/>
            <w:tcBorders>
              <w:top w:val="single" w:color="auto" w:sz="4" w:space="0"/>
              <w:left w:val="single" w:color="auto" w:sz="4" w:space="0"/>
              <w:bottom w:val="single" w:color="auto" w:sz="4" w:space="0"/>
              <w:right w:val="single" w:color="auto" w:sz="4" w:space="0"/>
            </w:tcBorders>
            <w:vAlign w:val="center"/>
          </w:tcPr>
          <w:p w14:paraId="5496E301">
            <w:pPr>
              <w:widowControl/>
              <w:jc w:val="left"/>
              <w:rPr>
                <w:rFonts w:ascii="宋体" w:hAnsi="宋体" w:eastAsia="宋体" w:cs="Times New Roman"/>
                <w:bCs/>
                <w:kern w:val="2"/>
                <w:sz w:val="24"/>
              </w:rPr>
            </w:pPr>
          </w:p>
        </w:tc>
        <w:tc>
          <w:tcPr>
            <w:tcW w:w="675" w:type="dxa"/>
            <w:vMerge w:val="continue"/>
            <w:tcBorders>
              <w:top w:val="single" w:color="auto" w:sz="4" w:space="0"/>
              <w:left w:val="single" w:color="auto" w:sz="4" w:space="0"/>
              <w:bottom w:val="single" w:color="auto" w:sz="4" w:space="0"/>
              <w:right w:val="single" w:color="auto" w:sz="4" w:space="0"/>
            </w:tcBorders>
            <w:vAlign w:val="center"/>
          </w:tcPr>
          <w:p w14:paraId="290BE63D">
            <w:pPr>
              <w:widowControl/>
              <w:jc w:val="left"/>
              <w:rPr>
                <w:rFonts w:ascii="宋体" w:hAnsi="宋体" w:eastAsia="宋体" w:cs="Times New Roman"/>
                <w:bCs/>
                <w:kern w:val="2"/>
                <w:sz w:val="24"/>
              </w:rPr>
            </w:pPr>
          </w:p>
        </w:tc>
        <w:tc>
          <w:tcPr>
            <w:tcW w:w="6060" w:type="dxa"/>
            <w:tcBorders>
              <w:top w:val="single" w:color="auto" w:sz="4" w:space="0"/>
              <w:left w:val="single" w:color="auto" w:sz="4" w:space="0"/>
              <w:bottom w:val="single" w:color="auto" w:sz="4" w:space="0"/>
              <w:right w:val="single" w:color="auto" w:sz="4" w:space="0"/>
            </w:tcBorders>
          </w:tcPr>
          <w:p w14:paraId="2FE8B50B">
            <w:pPr>
              <w:spacing w:line="360" w:lineRule="auto"/>
              <w:rPr>
                <w:rFonts w:ascii="宋体" w:hAnsi="宋体" w:eastAsia="宋体" w:cs="Times New Roman"/>
                <w:bCs/>
                <w:kern w:val="2"/>
                <w:sz w:val="24"/>
              </w:rPr>
            </w:pPr>
            <w:r>
              <w:rPr>
                <w:rFonts w:hint="eastAsia" w:ascii="宋体" w:hAnsi="宋体" w:eastAsia="宋体" w:cs="Times New Roman"/>
                <w:bCs/>
                <w:kern w:val="2"/>
                <w:sz w:val="24"/>
              </w:rPr>
              <w:t>8、消防箱（栓）清洁无积灰。</w:t>
            </w:r>
          </w:p>
        </w:tc>
        <w:tc>
          <w:tcPr>
            <w:tcW w:w="1188" w:type="dxa"/>
            <w:tcBorders>
              <w:top w:val="single" w:color="auto" w:sz="4" w:space="0"/>
              <w:left w:val="single" w:color="auto" w:sz="4" w:space="0"/>
              <w:bottom w:val="single" w:color="auto" w:sz="4" w:space="0"/>
              <w:right w:val="single" w:color="auto" w:sz="4" w:space="0"/>
            </w:tcBorders>
          </w:tcPr>
          <w:p w14:paraId="7A0DB5A5">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0864A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218" w:type="dxa"/>
            <w:vMerge w:val="continue"/>
            <w:tcBorders>
              <w:top w:val="single" w:color="auto" w:sz="4" w:space="0"/>
              <w:left w:val="single" w:color="auto" w:sz="4" w:space="0"/>
              <w:bottom w:val="single" w:color="auto" w:sz="4" w:space="0"/>
              <w:right w:val="single" w:color="auto" w:sz="4" w:space="0"/>
            </w:tcBorders>
            <w:vAlign w:val="center"/>
          </w:tcPr>
          <w:p w14:paraId="1B386F50">
            <w:pPr>
              <w:widowControl/>
              <w:jc w:val="left"/>
              <w:rPr>
                <w:rFonts w:ascii="宋体" w:hAnsi="宋体" w:eastAsia="宋体" w:cs="Times New Roman"/>
                <w:bCs/>
                <w:kern w:val="2"/>
                <w:sz w:val="24"/>
              </w:rPr>
            </w:pPr>
          </w:p>
        </w:tc>
        <w:tc>
          <w:tcPr>
            <w:tcW w:w="675" w:type="dxa"/>
            <w:vMerge w:val="continue"/>
            <w:tcBorders>
              <w:top w:val="single" w:color="auto" w:sz="4" w:space="0"/>
              <w:left w:val="single" w:color="auto" w:sz="4" w:space="0"/>
              <w:bottom w:val="single" w:color="auto" w:sz="4" w:space="0"/>
              <w:right w:val="single" w:color="auto" w:sz="4" w:space="0"/>
            </w:tcBorders>
            <w:vAlign w:val="center"/>
          </w:tcPr>
          <w:p w14:paraId="541F31A9">
            <w:pPr>
              <w:widowControl/>
              <w:jc w:val="left"/>
              <w:rPr>
                <w:rFonts w:ascii="宋体" w:hAnsi="宋体" w:eastAsia="宋体" w:cs="Times New Roman"/>
                <w:bCs/>
                <w:kern w:val="2"/>
                <w:sz w:val="24"/>
              </w:rPr>
            </w:pPr>
          </w:p>
        </w:tc>
        <w:tc>
          <w:tcPr>
            <w:tcW w:w="6060" w:type="dxa"/>
            <w:tcBorders>
              <w:top w:val="single" w:color="auto" w:sz="4" w:space="0"/>
              <w:left w:val="single" w:color="auto" w:sz="4" w:space="0"/>
              <w:bottom w:val="single" w:color="auto" w:sz="4" w:space="0"/>
              <w:right w:val="single" w:color="auto" w:sz="4" w:space="0"/>
            </w:tcBorders>
          </w:tcPr>
          <w:p w14:paraId="0ED3153A">
            <w:pPr>
              <w:spacing w:line="360" w:lineRule="auto"/>
              <w:rPr>
                <w:rFonts w:ascii="宋体" w:hAnsi="宋体" w:eastAsia="宋体" w:cs="Times New Roman"/>
                <w:bCs/>
                <w:kern w:val="2"/>
                <w:sz w:val="24"/>
              </w:rPr>
            </w:pPr>
            <w:r>
              <w:rPr>
                <w:rFonts w:hint="eastAsia" w:ascii="宋体" w:hAnsi="宋体" w:eastAsia="宋体" w:cs="Times New Roman"/>
                <w:bCs/>
                <w:kern w:val="2"/>
                <w:sz w:val="24"/>
              </w:rPr>
              <w:t>9、楼梯、踢脚线清洁无杂物灰尘。</w:t>
            </w:r>
          </w:p>
        </w:tc>
        <w:tc>
          <w:tcPr>
            <w:tcW w:w="1188" w:type="dxa"/>
            <w:tcBorders>
              <w:top w:val="single" w:color="auto" w:sz="4" w:space="0"/>
              <w:left w:val="single" w:color="auto" w:sz="4" w:space="0"/>
              <w:bottom w:val="single" w:color="auto" w:sz="4" w:space="0"/>
              <w:right w:val="single" w:color="auto" w:sz="4" w:space="0"/>
            </w:tcBorders>
          </w:tcPr>
          <w:p w14:paraId="60C93AB8">
            <w:pPr>
              <w:spacing w:line="360" w:lineRule="auto"/>
              <w:rPr>
                <w:rFonts w:ascii="宋体" w:hAnsi="宋体" w:eastAsia="宋体" w:cs="Times New Roman"/>
                <w:bCs/>
                <w:kern w:val="2"/>
                <w:sz w:val="24"/>
              </w:rPr>
            </w:pPr>
          </w:p>
        </w:tc>
      </w:tr>
      <w:tr w14:paraId="08DAD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218" w:type="dxa"/>
            <w:vMerge w:val="continue"/>
            <w:tcBorders>
              <w:top w:val="single" w:color="auto" w:sz="4" w:space="0"/>
              <w:left w:val="single" w:color="auto" w:sz="4" w:space="0"/>
              <w:bottom w:val="single" w:color="auto" w:sz="4" w:space="0"/>
              <w:right w:val="single" w:color="auto" w:sz="4" w:space="0"/>
            </w:tcBorders>
            <w:vAlign w:val="center"/>
          </w:tcPr>
          <w:p w14:paraId="4C214CC9">
            <w:pPr>
              <w:widowControl/>
              <w:jc w:val="left"/>
              <w:rPr>
                <w:rFonts w:ascii="宋体" w:hAnsi="宋体" w:eastAsia="宋体" w:cs="Times New Roman"/>
                <w:bCs/>
                <w:kern w:val="2"/>
                <w:sz w:val="24"/>
              </w:rPr>
            </w:pPr>
          </w:p>
        </w:tc>
        <w:tc>
          <w:tcPr>
            <w:tcW w:w="675" w:type="dxa"/>
            <w:vMerge w:val="continue"/>
            <w:tcBorders>
              <w:top w:val="single" w:color="auto" w:sz="4" w:space="0"/>
              <w:left w:val="single" w:color="auto" w:sz="4" w:space="0"/>
              <w:bottom w:val="single" w:color="auto" w:sz="4" w:space="0"/>
              <w:right w:val="single" w:color="auto" w:sz="4" w:space="0"/>
            </w:tcBorders>
            <w:vAlign w:val="center"/>
          </w:tcPr>
          <w:p w14:paraId="08735D92">
            <w:pPr>
              <w:widowControl/>
              <w:jc w:val="left"/>
              <w:rPr>
                <w:rFonts w:ascii="宋体" w:hAnsi="宋体" w:eastAsia="宋体" w:cs="Times New Roman"/>
                <w:bCs/>
                <w:kern w:val="2"/>
                <w:sz w:val="24"/>
              </w:rPr>
            </w:pPr>
          </w:p>
        </w:tc>
        <w:tc>
          <w:tcPr>
            <w:tcW w:w="6060" w:type="dxa"/>
            <w:tcBorders>
              <w:top w:val="single" w:color="auto" w:sz="4" w:space="0"/>
              <w:left w:val="single" w:color="auto" w:sz="4" w:space="0"/>
              <w:bottom w:val="single" w:color="auto" w:sz="4" w:space="0"/>
              <w:right w:val="single" w:color="auto" w:sz="4" w:space="0"/>
            </w:tcBorders>
          </w:tcPr>
          <w:p w14:paraId="46693B3F">
            <w:pPr>
              <w:spacing w:line="360" w:lineRule="auto"/>
              <w:rPr>
                <w:rFonts w:ascii="宋体" w:hAnsi="宋体" w:eastAsia="宋体" w:cs="Times New Roman"/>
                <w:bCs/>
                <w:kern w:val="2"/>
                <w:sz w:val="24"/>
              </w:rPr>
            </w:pPr>
            <w:r>
              <w:rPr>
                <w:rFonts w:hint="eastAsia" w:ascii="宋体" w:hAnsi="宋体" w:eastAsia="宋体" w:cs="Times New Roman"/>
                <w:bCs/>
                <w:kern w:val="2"/>
                <w:sz w:val="24"/>
              </w:rPr>
              <w:t>10、栏杆清洁无污迹。</w:t>
            </w:r>
          </w:p>
        </w:tc>
        <w:tc>
          <w:tcPr>
            <w:tcW w:w="1188" w:type="dxa"/>
            <w:tcBorders>
              <w:top w:val="single" w:color="auto" w:sz="4" w:space="0"/>
              <w:left w:val="single" w:color="auto" w:sz="4" w:space="0"/>
              <w:bottom w:val="single" w:color="auto" w:sz="4" w:space="0"/>
              <w:right w:val="single" w:color="auto" w:sz="4" w:space="0"/>
            </w:tcBorders>
          </w:tcPr>
          <w:p w14:paraId="5275DA63">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7E5B8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218" w:type="dxa"/>
            <w:vMerge w:val="continue"/>
            <w:tcBorders>
              <w:top w:val="single" w:color="auto" w:sz="4" w:space="0"/>
              <w:left w:val="single" w:color="auto" w:sz="4" w:space="0"/>
              <w:bottom w:val="single" w:color="auto" w:sz="4" w:space="0"/>
              <w:right w:val="single" w:color="auto" w:sz="4" w:space="0"/>
            </w:tcBorders>
            <w:vAlign w:val="center"/>
          </w:tcPr>
          <w:p w14:paraId="5DD4C565">
            <w:pPr>
              <w:widowControl/>
              <w:jc w:val="left"/>
              <w:rPr>
                <w:rFonts w:ascii="宋体" w:hAnsi="宋体" w:eastAsia="宋体" w:cs="Times New Roman"/>
                <w:bCs/>
                <w:kern w:val="2"/>
                <w:sz w:val="24"/>
              </w:rPr>
            </w:pPr>
          </w:p>
        </w:tc>
        <w:tc>
          <w:tcPr>
            <w:tcW w:w="675" w:type="dxa"/>
            <w:vMerge w:val="continue"/>
            <w:tcBorders>
              <w:top w:val="single" w:color="auto" w:sz="4" w:space="0"/>
              <w:left w:val="single" w:color="auto" w:sz="4" w:space="0"/>
              <w:bottom w:val="single" w:color="auto" w:sz="4" w:space="0"/>
              <w:right w:val="single" w:color="auto" w:sz="4" w:space="0"/>
            </w:tcBorders>
            <w:vAlign w:val="center"/>
          </w:tcPr>
          <w:p w14:paraId="1DA2880D">
            <w:pPr>
              <w:widowControl/>
              <w:jc w:val="left"/>
              <w:rPr>
                <w:rFonts w:ascii="宋体" w:hAnsi="宋体" w:eastAsia="宋体" w:cs="Times New Roman"/>
                <w:bCs/>
                <w:kern w:val="2"/>
                <w:sz w:val="24"/>
              </w:rPr>
            </w:pPr>
          </w:p>
        </w:tc>
        <w:tc>
          <w:tcPr>
            <w:tcW w:w="6060" w:type="dxa"/>
            <w:tcBorders>
              <w:top w:val="single" w:color="auto" w:sz="4" w:space="0"/>
              <w:left w:val="single" w:color="auto" w:sz="4" w:space="0"/>
              <w:bottom w:val="single" w:color="auto" w:sz="4" w:space="0"/>
              <w:right w:val="single" w:color="auto" w:sz="4" w:space="0"/>
            </w:tcBorders>
          </w:tcPr>
          <w:p w14:paraId="5715FD53">
            <w:pPr>
              <w:spacing w:line="360" w:lineRule="auto"/>
              <w:rPr>
                <w:rFonts w:ascii="宋体" w:hAnsi="宋体" w:eastAsia="宋体" w:cs="Times New Roman"/>
                <w:bCs/>
                <w:kern w:val="2"/>
                <w:sz w:val="24"/>
              </w:rPr>
            </w:pPr>
            <w:r>
              <w:rPr>
                <w:rFonts w:hint="eastAsia" w:ascii="宋体" w:hAnsi="宋体" w:eastAsia="宋体" w:cs="Times New Roman"/>
                <w:bCs/>
                <w:kern w:val="2"/>
                <w:sz w:val="24"/>
              </w:rPr>
              <w:t>11、各类管道清洁无积灰。</w:t>
            </w:r>
          </w:p>
        </w:tc>
        <w:tc>
          <w:tcPr>
            <w:tcW w:w="1188" w:type="dxa"/>
            <w:tcBorders>
              <w:top w:val="single" w:color="auto" w:sz="4" w:space="0"/>
              <w:left w:val="single" w:color="auto" w:sz="4" w:space="0"/>
              <w:bottom w:val="single" w:color="auto" w:sz="4" w:space="0"/>
              <w:right w:val="single" w:color="auto" w:sz="4" w:space="0"/>
            </w:tcBorders>
          </w:tcPr>
          <w:p w14:paraId="16872672">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bl>
    <w:p w14:paraId="1B84E393">
      <w:pPr>
        <w:autoSpaceDE w:val="0"/>
        <w:autoSpaceDN w:val="0"/>
        <w:adjustRightInd w:val="0"/>
        <w:spacing w:line="360" w:lineRule="auto"/>
        <w:jc w:val="left"/>
        <w:rPr>
          <w:rFonts w:ascii="宋体" w:hAnsi="宋体" w:eastAsia="宋体" w:cs="Times New Roman"/>
          <w:bCs/>
          <w:color w:val="000000"/>
          <w:sz w:val="24"/>
          <w:szCs w:val="24"/>
        </w:rPr>
      </w:pPr>
    </w:p>
    <w:p w14:paraId="24E3DAE1">
      <w:pPr>
        <w:pStyle w:val="196"/>
      </w:pP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3"/>
        <w:gridCol w:w="585"/>
        <w:gridCol w:w="5895"/>
        <w:gridCol w:w="1353"/>
      </w:tblGrid>
      <w:tr w14:paraId="005EE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7" w:hRule="atLeast"/>
          <w:jc w:val="center"/>
        </w:trPr>
        <w:tc>
          <w:tcPr>
            <w:tcW w:w="1218" w:type="dxa"/>
            <w:gridSpan w:val="2"/>
            <w:tcBorders>
              <w:top w:val="single" w:color="auto" w:sz="4" w:space="0"/>
              <w:left w:val="single" w:color="auto" w:sz="4" w:space="0"/>
              <w:bottom w:val="single" w:color="auto" w:sz="4" w:space="0"/>
              <w:right w:val="single" w:color="auto" w:sz="4" w:space="0"/>
            </w:tcBorders>
            <w:vAlign w:val="center"/>
          </w:tcPr>
          <w:p w14:paraId="03E35F4F">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保洁位置</w:t>
            </w:r>
          </w:p>
        </w:tc>
        <w:tc>
          <w:tcPr>
            <w:tcW w:w="5895" w:type="dxa"/>
            <w:tcBorders>
              <w:top w:val="single" w:color="auto" w:sz="4" w:space="0"/>
              <w:left w:val="single" w:color="auto" w:sz="4" w:space="0"/>
              <w:bottom w:val="single" w:color="auto" w:sz="4" w:space="0"/>
              <w:right w:val="single" w:color="auto" w:sz="4" w:space="0"/>
            </w:tcBorders>
            <w:vAlign w:val="center"/>
          </w:tcPr>
          <w:p w14:paraId="4A9666A8">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质量控制标准</w:t>
            </w:r>
          </w:p>
        </w:tc>
        <w:tc>
          <w:tcPr>
            <w:tcW w:w="1353" w:type="dxa"/>
            <w:tcBorders>
              <w:top w:val="single" w:color="auto" w:sz="4" w:space="0"/>
              <w:left w:val="single" w:color="auto" w:sz="4" w:space="0"/>
              <w:bottom w:val="single" w:color="auto" w:sz="4" w:space="0"/>
              <w:right w:val="single" w:color="auto" w:sz="4" w:space="0"/>
            </w:tcBorders>
            <w:vAlign w:val="center"/>
          </w:tcPr>
          <w:p w14:paraId="696C108B">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保洁频次</w:t>
            </w:r>
          </w:p>
        </w:tc>
      </w:tr>
      <w:tr w14:paraId="0C0A0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633" w:type="dxa"/>
            <w:vMerge w:val="restart"/>
            <w:tcBorders>
              <w:top w:val="single" w:color="auto" w:sz="4" w:space="0"/>
              <w:left w:val="single" w:color="auto" w:sz="4" w:space="0"/>
              <w:bottom w:val="single" w:color="auto" w:sz="4" w:space="0"/>
              <w:right w:val="single" w:color="auto" w:sz="4" w:space="0"/>
            </w:tcBorders>
            <w:vAlign w:val="center"/>
          </w:tcPr>
          <w:p w14:paraId="38B8C7EB">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标准楼层</w:t>
            </w:r>
          </w:p>
        </w:tc>
        <w:tc>
          <w:tcPr>
            <w:tcW w:w="585" w:type="dxa"/>
            <w:vMerge w:val="restart"/>
            <w:tcBorders>
              <w:top w:val="single" w:color="auto" w:sz="4" w:space="0"/>
              <w:left w:val="single" w:color="auto" w:sz="4" w:space="0"/>
              <w:bottom w:val="single" w:color="auto" w:sz="4" w:space="0"/>
              <w:right w:val="single" w:color="auto" w:sz="4" w:space="0"/>
            </w:tcBorders>
            <w:vAlign w:val="center"/>
          </w:tcPr>
          <w:p w14:paraId="24783535">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大厅</w:t>
            </w:r>
          </w:p>
        </w:tc>
        <w:tc>
          <w:tcPr>
            <w:tcW w:w="5895" w:type="dxa"/>
            <w:tcBorders>
              <w:top w:val="single" w:color="auto" w:sz="4" w:space="0"/>
              <w:left w:val="single" w:color="auto" w:sz="4" w:space="0"/>
              <w:bottom w:val="single" w:color="auto" w:sz="4" w:space="0"/>
              <w:right w:val="single" w:color="auto" w:sz="4" w:space="0"/>
            </w:tcBorders>
          </w:tcPr>
          <w:p w14:paraId="38AC0489">
            <w:pPr>
              <w:spacing w:line="360" w:lineRule="auto"/>
              <w:rPr>
                <w:rFonts w:ascii="宋体" w:hAnsi="宋体" w:eastAsia="宋体" w:cs="Times New Roman"/>
                <w:bCs/>
                <w:kern w:val="2"/>
                <w:sz w:val="24"/>
              </w:rPr>
            </w:pPr>
            <w:r>
              <w:rPr>
                <w:rFonts w:hint="eastAsia" w:ascii="宋体" w:hAnsi="宋体" w:eastAsia="宋体" w:cs="Times New Roman"/>
                <w:bCs/>
                <w:kern w:val="2"/>
                <w:sz w:val="24"/>
              </w:rPr>
              <w:t>1、地面清洁无灰尘、杂物、水迹、黄斑。</w:t>
            </w:r>
          </w:p>
        </w:tc>
        <w:tc>
          <w:tcPr>
            <w:tcW w:w="1353" w:type="dxa"/>
            <w:tcBorders>
              <w:top w:val="single" w:color="auto" w:sz="4" w:space="0"/>
              <w:left w:val="single" w:color="auto" w:sz="4" w:space="0"/>
              <w:bottom w:val="single" w:color="auto" w:sz="4" w:space="0"/>
              <w:right w:val="single" w:color="auto" w:sz="4" w:space="0"/>
            </w:tcBorders>
          </w:tcPr>
          <w:p w14:paraId="13AEED82">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48C7F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218" w:type="dxa"/>
            <w:vMerge w:val="continue"/>
            <w:tcBorders>
              <w:top w:val="single" w:color="auto" w:sz="4" w:space="0"/>
              <w:left w:val="single" w:color="auto" w:sz="4" w:space="0"/>
              <w:bottom w:val="single" w:color="auto" w:sz="4" w:space="0"/>
              <w:right w:val="single" w:color="auto" w:sz="4" w:space="0"/>
            </w:tcBorders>
            <w:vAlign w:val="center"/>
          </w:tcPr>
          <w:p w14:paraId="404B6822">
            <w:pPr>
              <w:widowControl/>
              <w:jc w:val="left"/>
              <w:rPr>
                <w:rFonts w:ascii="宋体" w:hAnsi="宋体" w:eastAsia="宋体" w:cs="Times New Roman"/>
                <w:bCs/>
                <w:kern w:val="2"/>
                <w:sz w:val="24"/>
              </w:rPr>
            </w:pPr>
          </w:p>
        </w:tc>
        <w:tc>
          <w:tcPr>
            <w:tcW w:w="585" w:type="dxa"/>
            <w:vMerge w:val="continue"/>
            <w:tcBorders>
              <w:top w:val="single" w:color="auto" w:sz="4" w:space="0"/>
              <w:left w:val="single" w:color="auto" w:sz="4" w:space="0"/>
              <w:bottom w:val="single" w:color="auto" w:sz="4" w:space="0"/>
              <w:right w:val="single" w:color="auto" w:sz="4" w:space="0"/>
            </w:tcBorders>
            <w:vAlign w:val="center"/>
          </w:tcPr>
          <w:p w14:paraId="51700F33">
            <w:pPr>
              <w:widowControl/>
              <w:jc w:val="left"/>
              <w:rPr>
                <w:rFonts w:ascii="宋体" w:hAnsi="宋体" w:eastAsia="宋体" w:cs="Times New Roman"/>
                <w:bCs/>
                <w:kern w:val="2"/>
                <w:sz w:val="24"/>
              </w:rPr>
            </w:pPr>
          </w:p>
        </w:tc>
        <w:tc>
          <w:tcPr>
            <w:tcW w:w="5895" w:type="dxa"/>
            <w:tcBorders>
              <w:top w:val="single" w:color="auto" w:sz="4" w:space="0"/>
              <w:left w:val="single" w:color="auto" w:sz="4" w:space="0"/>
              <w:bottom w:val="single" w:color="auto" w:sz="4" w:space="0"/>
              <w:right w:val="single" w:color="auto" w:sz="4" w:space="0"/>
            </w:tcBorders>
          </w:tcPr>
          <w:p w14:paraId="43A1CC92">
            <w:pPr>
              <w:spacing w:line="360" w:lineRule="auto"/>
              <w:rPr>
                <w:rFonts w:ascii="宋体" w:hAnsi="宋体" w:eastAsia="宋体" w:cs="Times New Roman"/>
                <w:bCs/>
                <w:kern w:val="2"/>
                <w:sz w:val="24"/>
              </w:rPr>
            </w:pPr>
            <w:r>
              <w:rPr>
                <w:rFonts w:hint="eastAsia" w:ascii="宋体" w:hAnsi="宋体" w:eastAsia="宋体" w:cs="Times New Roman"/>
                <w:bCs/>
                <w:kern w:val="2"/>
                <w:sz w:val="24"/>
              </w:rPr>
              <w:t>2、墙面清洁无污迹，沟缝无积灰，不锈钢门套上油均匀，无污迹、积灰。</w:t>
            </w:r>
          </w:p>
        </w:tc>
        <w:tc>
          <w:tcPr>
            <w:tcW w:w="1353" w:type="dxa"/>
            <w:tcBorders>
              <w:top w:val="single" w:color="auto" w:sz="4" w:space="0"/>
              <w:left w:val="single" w:color="auto" w:sz="4" w:space="0"/>
              <w:bottom w:val="single" w:color="auto" w:sz="4" w:space="0"/>
              <w:right w:val="single" w:color="auto" w:sz="4" w:space="0"/>
            </w:tcBorders>
          </w:tcPr>
          <w:p w14:paraId="0A4842FE">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58A07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218" w:type="dxa"/>
            <w:vMerge w:val="continue"/>
            <w:tcBorders>
              <w:top w:val="single" w:color="auto" w:sz="4" w:space="0"/>
              <w:left w:val="single" w:color="auto" w:sz="4" w:space="0"/>
              <w:bottom w:val="single" w:color="auto" w:sz="4" w:space="0"/>
              <w:right w:val="single" w:color="auto" w:sz="4" w:space="0"/>
            </w:tcBorders>
            <w:vAlign w:val="center"/>
          </w:tcPr>
          <w:p w14:paraId="0FE5868F">
            <w:pPr>
              <w:widowControl/>
              <w:jc w:val="left"/>
              <w:rPr>
                <w:rFonts w:ascii="宋体" w:hAnsi="宋体" w:eastAsia="宋体" w:cs="Times New Roman"/>
                <w:bCs/>
                <w:kern w:val="2"/>
                <w:sz w:val="24"/>
              </w:rPr>
            </w:pPr>
          </w:p>
        </w:tc>
        <w:tc>
          <w:tcPr>
            <w:tcW w:w="585" w:type="dxa"/>
            <w:vMerge w:val="continue"/>
            <w:tcBorders>
              <w:top w:val="single" w:color="auto" w:sz="4" w:space="0"/>
              <w:left w:val="single" w:color="auto" w:sz="4" w:space="0"/>
              <w:bottom w:val="single" w:color="auto" w:sz="4" w:space="0"/>
              <w:right w:val="single" w:color="auto" w:sz="4" w:space="0"/>
            </w:tcBorders>
            <w:vAlign w:val="center"/>
          </w:tcPr>
          <w:p w14:paraId="55E48C47">
            <w:pPr>
              <w:widowControl/>
              <w:jc w:val="left"/>
              <w:rPr>
                <w:rFonts w:ascii="宋体" w:hAnsi="宋体" w:eastAsia="宋体" w:cs="Times New Roman"/>
                <w:bCs/>
                <w:kern w:val="2"/>
                <w:sz w:val="24"/>
              </w:rPr>
            </w:pPr>
          </w:p>
        </w:tc>
        <w:tc>
          <w:tcPr>
            <w:tcW w:w="5895" w:type="dxa"/>
            <w:tcBorders>
              <w:top w:val="single" w:color="auto" w:sz="4" w:space="0"/>
              <w:left w:val="single" w:color="auto" w:sz="4" w:space="0"/>
              <w:bottom w:val="single" w:color="auto" w:sz="4" w:space="0"/>
              <w:right w:val="single" w:color="auto" w:sz="4" w:space="0"/>
            </w:tcBorders>
          </w:tcPr>
          <w:p w14:paraId="2EFDF513">
            <w:pPr>
              <w:spacing w:line="360" w:lineRule="auto"/>
              <w:rPr>
                <w:rFonts w:ascii="宋体" w:hAnsi="宋体" w:eastAsia="宋体" w:cs="Times New Roman"/>
                <w:bCs/>
                <w:kern w:val="2"/>
                <w:sz w:val="24"/>
              </w:rPr>
            </w:pPr>
            <w:r>
              <w:rPr>
                <w:rFonts w:hint="eastAsia" w:ascii="宋体" w:hAnsi="宋体" w:eastAsia="宋体" w:cs="Times New Roman"/>
                <w:bCs/>
                <w:kern w:val="2"/>
                <w:sz w:val="24"/>
              </w:rPr>
              <w:t>3顶部风口清洁无积灰，不锈钢饰物等定期清洁保养。</w:t>
            </w:r>
          </w:p>
        </w:tc>
        <w:tc>
          <w:tcPr>
            <w:tcW w:w="1353" w:type="dxa"/>
            <w:tcBorders>
              <w:top w:val="single" w:color="auto" w:sz="4" w:space="0"/>
              <w:left w:val="single" w:color="auto" w:sz="4" w:space="0"/>
              <w:bottom w:val="single" w:color="auto" w:sz="4" w:space="0"/>
              <w:right w:val="single" w:color="auto" w:sz="4" w:space="0"/>
            </w:tcBorders>
          </w:tcPr>
          <w:p w14:paraId="0ED1B8F4">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7BBE0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218" w:type="dxa"/>
            <w:vMerge w:val="continue"/>
            <w:tcBorders>
              <w:top w:val="single" w:color="auto" w:sz="4" w:space="0"/>
              <w:left w:val="single" w:color="auto" w:sz="4" w:space="0"/>
              <w:bottom w:val="single" w:color="auto" w:sz="4" w:space="0"/>
              <w:right w:val="single" w:color="auto" w:sz="4" w:space="0"/>
            </w:tcBorders>
            <w:vAlign w:val="center"/>
          </w:tcPr>
          <w:p w14:paraId="63400AC1">
            <w:pPr>
              <w:widowControl/>
              <w:jc w:val="left"/>
              <w:rPr>
                <w:rFonts w:ascii="宋体" w:hAnsi="宋体" w:eastAsia="宋体" w:cs="Times New Roman"/>
                <w:bCs/>
                <w:kern w:val="2"/>
                <w:sz w:val="24"/>
              </w:rPr>
            </w:pPr>
          </w:p>
        </w:tc>
        <w:tc>
          <w:tcPr>
            <w:tcW w:w="585" w:type="dxa"/>
            <w:vMerge w:val="continue"/>
            <w:tcBorders>
              <w:top w:val="single" w:color="auto" w:sz="4" w:space="0"/>
              <w:left w:val="single" w:color="auto" w:sz="4" w:space="0"/>
              <w:bottom w:val="single" w:color="auto" w:sz="4" w:space="0"/>
              <w:right w:val="single" w:color="auto" w:sz="4" w:space="0"/>
            </w:tcBorders>
            <w:vAlign w:val="center"/>
          </w:tcPr>
          <w:p w14:paraId="786F71D1">
            <w:pPr>
              <w:widowControl/>
              <w:jc w:val="left"/>
              <w:rPr>
                <w:rFonts w:ascii="宋体" w:hAnsi="宋体" w:eastAsia="宋体" w:cs="Times New Roman"/>
                <w:bCs/>
                <w:kern w:val="2"/>
                <w:sz w:val="24"/>
              </w:rPr>
            </w:pPr>
          </w:p>
        </w:tc>
        <w:tc>
          <w:tcPr>
            <w:tcW w:w="5895" w:type="dxa"/>
            <w:tcBorders>
              <w:top w:val="single" w:color="auto" w:sz="4" w:space="0"/>
              <w:left w:val="single" w:color="auto" w:sz="4" w:space="0"/>
              <w:bottom w:val="single" w:color="auto" w:sz="4" w:space="0"/>
              <w:right w:val="single" w:color="auto" w:sz="4" w:space="0"/>
            </w:tcBorders>
          </w:tcPr>
          <w:p w14:paraId="3BDA8974">
            <w:pPr>
              <w:spacing w:line="360" w:lineRule="auto"/>
              <w:rPr>
                <w:rFonts w:ascii="宋体" w:hAnsi="宋体" w:eastAsia="宋体" w:cs="Times New Roman"/>
                <w:bCs/>
                <w:kern w:val="2"/>
                <w:sz w:val="24"/>
              </w:rPr>
            </w:pPr>
            <w:r>
              <w:rPr>
                <w:rFonts w:hint="eastAsia" w:ascii="宋体" w:hAnsi="宋体" w:eastAsia="宋体" w:cs="Times New Roman"/>
                <w:bCs/>
                <w:kern w:val="2"/>
                <w:sz w:val="24"/>
              </w:rPr>
              <w:t>4、电梯门套、门、层显等清洁无明显污迹、手印。</w:t>
            </w:r>
          </w:p>
        </w:tc>
        <w:tc>
          <w:tcPr>
            <w:tcW w:w="1353" w:type="dxa"/>
            <w:tcBorders>
              <w:top w:val="single" w:color="auto" w:sz="4" w:space="0"/>
              <w:left w:val="single" w:color="auto" w:sz="4" w:space="0"/>
              <w:bottom w:val="single" w:color="auto" w:sz="4" w:space="0"/>
              <w:right w:val="single" w:color="auto" w:sz="4" w:space="0"/>
            </w:tcBorders>
          </w:tcPr>
          <w:p w14:paraId="1C44C863">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18E1C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218" w:type="dxa"/>
            <w:vMerge w:val="continue"/>
            <w:tcBorders>
              <w:top w:val="single" w:color="auto" w:sz="4" w:space="0"/>
              <w:left w:val="single" w:color="auto" w:sz="4" w:space="0"/>
              <w:bottom w:val="single" w:color="auto" w:sz="4" w:space="0"/>
              <w:right w:val="single" w:color="auto" w:sz="4" w:space="0"/>
            </w:tcBorders>
            <w:vAlign w:val="center"/>
          </w:tcPr>
          <w:p w14:paraId="3F116438">
            <w:pPr>
              <w:widowControl/>
              <w:jc w:val="left"/>
              <w:rPr>
                <w:rFonts w:ascii="宋体" w:hAnsi="宋体" w:eastAsia="宋体" w:cs="Times New Roman"/>
                <w:bCs/>
                <w:kern w:val="2"/>
                <w:sz w:val="24"/>
              </w:rPr>
            </w:pPr>
          </w:p>
        </w:tc>
        <w:tc>
          <w:tcPr>
            <w:tcW w:w="585" w:type="dxa"/>
            <w:vMerge w:val="continue"/>
            <w:tcBorders>
              <w:top w:val="single" w:color="auto" w:sz="4" w:space="0"/>
              <w:left w:val="single" w:color="auto" w:sz="4" w:space="0"/>
              <w:bottom w:val="single" w:color="auto" w:sz="4" w:space="0"/>
              <w:right w:val="single" w:color="auto" w:sz="4" w:space="0"/>
            </w:tcBorders>
            <w:vAlign w:val="center"/>
          </w:tcPr>
          <w:p w14:paraId="7B6F1119">
            <w:pPr>
              <w:widowControl/>
              <w:jc w:val="left"/>
              <w:rPr>
                <w:rFonts w:ascii="宋体" w:hAnsi="宋体" w:eastAsia="宋体" w:cs="Times New Roman"/>
                <w:bCs/>
                <w:kern w:val="2"/>
                <w:sz w:val="24"/>
              </w:rPr>
            </w:pPr>
          </w:p>
        </w:tc>
        <w:tc>
          <w:tcPr>
            <w:tcW w:w="5895" w:type="dxa"/>
            <w:tcBorders>
              <w:top w:val="single" w:color="auto" w:sz="4" w:space="0"/>
              <w:left w:val="single" w:color="auto" w:sz="4" w:space="0"/>
              <w:bottom w:val="single" w:color="auto" w:sz="4" w:space="0"/>
              <w:right w:val="single" w:color="auto" w:sz="4" w:space="0"/>
            </w:tcBorders>
          </w:tcPr>
          <w:p w14:paraId="1CD257C9">
            <w:pPr>
              <w:spacing w:line="360" w:lineRule="auto"/>
              <w:rPr>
                <w:rFonts w:ascii="宋体" w:hAnsi="宋体" w:eastAsia="宋体" w:cs="Times New Roman"/>
                <w:bCs/>
                <w:kern w:val="2"/>
                <w:sz w:val="24"/>
              </w:rPr>
            </w:pPr>
            <w:r>
              <w:rPr>
                <w:rFonts w:hint="eastAsia" w:ascii="宋体" w:hAnsi="宋体" w:eastAsia="宋体" w:cs="Times New Roman"/>
                <w:bCs/>
                <w:kern w:val="2"/>
                <w:sz w:val="24"/>
              </w:rPr>
              <w:t>5、电梯不锈钢饰面无灰尘手印、上油均匀不腻。</w:t>
            </w:r>
          </w:p>
        </w:tc>
        <w:tc>
          <w:tcPr>
            <w:tcW w:w="1353" w:type="dxa"/>
            <w:tcBorders>
              <w:top w:val="single" w:color="auto" w:sz="4" w:space="0"/>
              <w:left w:val="single" w:color="auto" w:sz="4" w:space="0"/>
              <w:bottom w:val="single" w:color="auto" w:sz="4" w:space="0"/>
              <w:right w:val="single" w:color="auto" w:sz="4" w:space="0"/>
            </w:tcBorders>
          </w:tcPr>
          <w:p w14:paraId="3B27221A">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72B5E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218" w:type="dxa"/>
            <w:vMerge w:val="continue"/>
            <w:tcBorders>
              <w:top w:val="single" w:color="auto" w:sz="4" w:space="0"/>
              <w:left w:val="single" w:color="auto" w:sz="4" w:space="0"/>
              <w:bottom w:val="single" w:color="auto" w:sz="4" w:space="0"/>
              <w:right w:val="single" w:color="auto" w:sz="4" w:space="0"/>
            </w:tcBorders>
            <w:vAlign w:val="center"/>
          </w:tcPr>
          <w:p w14:paraId="03C77BFE">
            <w:pPr>
              <w:widowControl/>
              <w:jc w:val="left"/>
              <w:rPr>
                <w:rFonts w:ascii="宋体" w:hAnsi="宋体" w:eastAsia="宋体" w:cs="Times New Roman"/>
                <w:bCs/>
                <w:kern w:val="2"/>
                <w:sz w:val="24"/>
              </w:rPr>
            </w:pPr>
          </w:p>
        </w:tc>
        <w:tc>
          <w:tcPr>
            <w:tcW w:w="585" w:type="dxa"/>
            <w:vMerge w:val="continue"/>
            <w:tcBorders>
              <w:top w:val="single" w:color="auto" w:sz="4" w:space="0"/>
              <w:left w:val="single" w:color="auto" w:sz="4" w:space="0"/>
              <w:bottom w:val="single" w:color="auto" w:sz="4" w:space="0"/>
              <w:right w:val="single" w:color="auto" w:sz="4" w:space="0"/>
            </w:tcBorders>
            <w:vAlign w:val="center"/>
          </w:tcPr>
          <w:p w14:paraId="15C187BB">
            <w:pPr>
              <w:widowControl/>
              <w:jc w:val="left"/>
              <w:rPr>
                <w:rFonts w:ascii="宋体" w:hAnsi="宋体" w:eastAsia="宋体" w:cs="Times New Roman"/>
                <w:bCs/>
                <w:kern w:val="2"/>
                <w:sz w:val="24"/>
              </w:rPr>
            </w:pPr>
          </w:p>
        </w:tc>
        <w:tc>
          <w:tcPr>
            <w:tcW w:w="5895" w:type="dxa"/>
            <w:tcBorders>
              <w:top w:val="single" w:color="auto" w:sz="4" w:space="0"/>
              <w:left w:val="single" w:color="auto" w:sz="4" w:space="0"/>
              <w:bottom w:val="single" w:color="auto" w:sz="4" w:space="0"/>
              <w:right w:val="single" w:color="auto" w:sz="4" w:space="0"/>
            </w:tcBorders>
          </w:tcPr>
          <w:p w14:paraId="2ECBC79F">
            <w:pPr>
              <w:spacing w:line="360" w:lineRule="auto"/>
              <w:rPr>
                <w:rFonts w:ascii="宋体" w:hAnsi="宋体" w:eastAsia="宋体" w:cs="Times New Roman"/>
                <w:bCs/>
                <w:kern w:val="2"/>
                <w:sz w:val="24"/>
              </w:rPr>
            </w:pPr>
            <w:r>
              <w:rPr>
                <w:rFonts w:hint="eastAsia" w:ascii="宋体" w:hAnsi="宋体" w:eastAsia="宋体" w:cs="Times New Roman"/>
                <w:bCs/>
                <w:kern w:val="2"/>
                <w:sz w:val="24"/>
              </w:rPr>
              <w:t>6、垃圾桶外观清洁，吸烟石清洁保持原色，烟头清理及时（不超过4个），垃级袋倾倒及时无积存垃级（垃圾袋套入桶内后翻出袋边约2厘米，然后将袋口收紧，垃吸积存不可超过桶的2/3），垃级日产日清。</w:t>
            </w:r>
          </w:p>
        </w:tc>
        <w:tc>
          <w:tcPr>
            <w:tcW w:w="1353" w:type="dxa"/>
            <w:tcBorders>
              <w:top w:val="single" w:color="auto" w:sz="4" w:space="0"/>
              <w:left w:val="single" w:color="auto" w:sz="4" w:space="0"/>
              <w:bottom w:val="single" w:color="auto" w:sz="4" w:space="0"/>
              <w:right w:val="single" w:color="auto" w:sz="4" w:space="0"/>
            </w:tcBorders>
          </w:tcPr>
          <w:p w14:paraId="5ADFEC02">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7F8BD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218" w:type="dxa"/>
            <w:vMerge w:val="continue"/>
            <w:tcBorders>
              <w:top w:val="single" w:color="auto" w:sz="4" w:space="0"/>
              <w:left w:val="single" w:color="auto" w:sz="4" w:space="0"/>
              <w:bottom w:val="single" w:color="auto" w:sz="4" w:space="0"/>
              <w:right w:val="single" w:color="auto" w:sz="4" w:space="0"/>
            </w:tcBorders>
            <w:vAlign w:val="center"/>
          </w:tcPr>
          <w:p w14:paraId="462FCCE2">
            <w:pPr>
              <w:widowControl/>
              <w:jc w:val="left"/>
              <w:rPr>
                <w:rFonts w:ascii="宋体" w:hAnsi="宋体" w:eastAsia="宋体" w:cs="Times New Roman"/>
                <w:bCs/>
                <w:kern w:val="2"/>
                <w:sz w:val="24"/>
              </w:rPr>
            </w:pPr>
          </w:p>
        </w:tc>
        <w:tc>
          <w:tcPr>
            <w:tcW w:w="585" w:type="dxa"/>
            <w:vMerge w:val="continue"/>
            <w:tcBorders>
              <w:top w:val="single" w:color="auto" w:sz="4" w:space="0"/>
              <w:left w:val="single" w:color="auto" w:sz="4" w:space="0"/>
              <w:bottom w:val="single" w:color="auto" w:sz="4" w:space="0"/>
              <w:right w:val="single" w:color="auto" w:sz="4" w:space="0"/>
            </w:tcBorders>
            <w:vAlign w:val="center"/>
          </w:tcPr>
          <w:p w14:paraId="31FDB3BB">
            <w:pPr>
              <w:widowControl/>
              <w:jc w:val="left"/>
              <w:rPr>
                <w:rFonts w:ascii="宋体" w:hAnsi="宋体" w:eastAsia="宋体" w:cs="Times New Roman"/>
                <w:bCs/>
                <w:kern w:val="2"/>
                <w:sz w:val="24"/>
              </w:rPr>
            </w:pPr>
          </w:p>
        </w:tc>
        <w:tc>
          <w:tcPr>
            <w:tcW w:w="5895" w:type="dxa"/>
            <w:tcBorders>
              <w:top w:val="single" w:color="auto" w:sz="4" w:space="0"/>
              <w:left w:val="single" w:color="auto" w:sz="4" w:space="0"/>
              <w:bottom w:val="single" w:color="auto" w:sz="4" w:space="0"/>
              <w:right w:val="single" w:color="auto" w:sz="4" w:space="0"/>
            </w:tcBorders>
          </w:tcPr>
          <w:p w14:paraId="0488256C">
            <w:pPr>
              <w:spacing w:line="360" w:lineRule="auto"/>
              <w:rPr>
                <w:rFonts w:ascii="宋体" w:hAnsi="宋体" w:eastAsia="宋体" w:cs="Times New Roman"/>
                <w:bCs/>
                <w:kern w:val="2"/>
                <w:sz w:val="24"/>
              </w:rPr>
            </w:pPr>
            <w:r>
              <w:rPr>
                <w:rFonts w:hint="eastAsia" w:ascii="宋体" w:hAnsi="宋体" w:eastAsia="宋体" w:cs="Times New Roman"/>
                <w:bCs/>
                <w:kern w:val="2"/>
                <w:sz w:val="24"/>
              </w:rPr>
              <w:t>7、装饰物品清洁无积尘，消防箱（栓）门、门框等清洁无积灰。</w:t>
            </w:r>
          </w:p>
        </w:tc>
        <w:tc>
          <w:tcPr>
            <w:tcW w:w="1353" w:type="dxa"/>
            <w:tcBorders>
              <w:top w:val="single" w:color="auto" w:sz="4" w:space="0"/>
              <w:left w:val="single" w:color="auto" w:sz="4" w:space="0"/>
              <w:bottom w:val="single" w:color="auto" w:sz="4" w:space="0"/>
              <w:right w:val="single" w:color="auto" w:sz="4" w:space="0"/>
            </w:tcBorders>
          </w:tcPr>
          <w:p w14:paraId="13DBD7FC">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2277F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218" w:type="dxa"/>
            <w:vMerge w:val="continue"/>
            <w:tcBorders>
              <w:top w:val="single" w:color="auto" w:sz="4" w:space="0"/>
              <w:left w:val="single" w:color="auto" w:sz="4" w:space="0"/>
              <w:bottom w:val="single" w:color="auto" w:sz="4" w:space="0"/>
              <w:right w:val="single" w:color="auto" w:sz="4" w:space="0"/>
            </w:tcBorders>
            <w:vAlign w:val="center"/>
          </w:tcPr>
          <w:p w14:paraId="4B8C28A3">
            <w:pPr>
              <w:widowControl/>
              <w:jc w:val="left"/>
              <w:rPr>
                <w:rFonts w:ascii="宋体" w:hAnsi="宋体" w:eastAsia="宋体" w:cs="Times New Roman"/>
                <w:bCs/>
                <w:kern w:val="2"/>
                <w:sz w:val="24"/>
              </w:rPr>
            </w:pPr>
          </w:p>
        </w:tc>
        <w:tc>
          <w:tcPr>
            <w:tcW w:w="585" w:type="dxa"/>
            <w:vMerge w:val="continue"/>
            <w:tcBorders>
              <w:top w:val="single" w:color="auto" w:sz="4" w:space="0"/>
              <w:left w:val="single" w:color="auto" w:sz="4" w:space="0"/>
              <w:bottom w:val="single" w:color="auto" w:sz="4" w:space="0"/>
              <w:right w:val="single" w:color="auto" w:sz="4" w:space="0"/>
            </w:tcBorders>
            <w:vAlign w:val="center"/>
          </w:tcPr>
          <w:p w14:paraId="2A0751EB">
            <w:pPr>
              <w:widowControl/>
              <w:jc w:val="left"/>
              <w:rPr>
                <w:rFonts w:ascii="宋体" w:hAnsi="宋体" w:eastAsia="宋体" w:cs="Times New Roman"/>
                <w:bCs/>
                <w:kern w:val="2"/>
                <w:sz w:val="24"/>
              </w:rPr>
            </w:pPr>
          </w:p>
        </w:tc>
        <w:tc>
          <w:tcPr>
            <w:tcW w:w="5895" w:type="dxa"/>
            <w:tcBorders>
              <w:top w:val="single" w:color="auto" w:sz="4" w:space="0"/>
              <w:left w:val="single" w:color="auto" w:sz="4" w:space="0"/>
              <w:bottom w:val="single" w:color="auto" w:sz="4" w:space="0"/>
              <w:right w:val="single" w:color="auto" w:sz="4" w:space="0"/>
            </w:tcBorders>
          </w:tcPr>
          <w:p w14:paraId="0E4D1766">
            <w:pPr>
              <w:spacing w:line="360" w:lineRule="auto"/>
              <w:rPr>
                <w:rFonts w:ascii="宋体" w:hAnsi="宋体" w:eastAsia="宋体" w:cs="Times New Roman"/>
                <w:bCs/>
                <w:kern w:val="2"/>
                <w:sz w:val="24"/>
              </w:rPr>
            </w:pPr>
            <w:r>
              <w:rPr>
                <w:rFonts w:hint="eastAsia" w:ascii="宋体" w:hAnsi="宋体" w:eastAsia="宋体" w:cs="Times New Roman"/>
                <w:bCs/>
                <w:kern w:val="2"/>
                <w:sz w:val="24"/>
              </w:rPr>
              <w:t>8、各类告示牌、标牌、开关、插座、巡更器、显示屏等清洁无污迹，灰尘。</w:t>
            </w:r>
          </w:p>
        </w:tc>
        <w:tc>
          <w:tcPr>
            <w:tcW w:w="1353" w:type="dxa"/>
            <w:tcBorders>
              <w:top w:val="single" w:color="auto" w:sz="4" w:space="0"/>
              <w:left w:val="single" w:color="auto" w:sz="4" w:space="0"/>
              <w:bottom w:val="single" w:color="auto" w:sz="4" w:space="0"/>
              <w:right w:val="single" w:color="auto" w:sz="4" w:space="0"/>
            </w:tcBorders>
          </w:tcPr>
          <w:p w14:paraId="232E91AC">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69CBA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218" w:type="dxa"/>
            <w:vMerge w:val="continue"/>
            <w:tcBorders>
              <w:top w:val="single" w:color="auto" w:sz="4" w:space="0"/>
              <w:left w:val="single" w:color="auto" w:sz="4" w:space="0"/>
              <w:bottom w:val="single" w:color="auto" w:sz="4" w:space="0"/>
              <w:right w:val="single" w:color="auto" w:sz="4" w:space="0"/>
            </w:tcBorders>
            <w:vAlign w:val="center"/>
          </w:tcPr>
          <w:p w14:paraId="59333B9E">
            <w:pPr>
              <w:widowControl/>
              <w:jc w:val="left"/>
              <w:rPr>
                <w:rFonts w:ascii="宋体" w:hAnsi="宋体" w:eastAsia="宋体" w:cs="Times New Roman"/>
                <w:bCs/>
                <w:kern w:val="2"/>
                <w:sz w:val="24"/>
              </w:rPr>
            </w:pPr>
          </w:p>
        </w:tc>
        <w:tc>
          <w:tcPr>
            <w:tcW w:w="585" w:type="dxa"/>
            <w:vMerge w:val="continue"/>
            <w:tcBorders>
              <w:top w:val="single" w:color="auto" w:sz="4" w:space="0"/>
              <w:left w:val="single" w:color="auto" w:sz="4" w:space="0"/>
              <w:bottom w:val="single" w:color="auto" w:sz="4" w:space="0"/>
              <w:right w:val="single" w:color="auto" w:sz="4" w:space="0"/>
            </w:tcBorders>
            <w:vAlign w:val="center"/>
          </w:tcPr>
          <w:p w14:paraId="3BB0E0CA">
            <w:pPr>
              <w:widowControl/>
              <w:jc w:val="left"/>
              <w:rPr>
                <w:rFonts w:ascii="宋体" w:hAnsi="宋体" w:eastAsia="宋体" w:cs="Times New Roman"/>
                <w:bCs/>
                <w:kern w:val="2"/>
                <w:sz w:val="24"/>
              </w:rPr>
            </w:pPr>
          </w:p>
        </w:tc>
        <w:tc>
          <w:tcPr>
            <w:tcW w:w="5895" w:type="dxa"/>
            <w:tcBorders>
              <w:top w:val="single" w:color="auto" w:sz="4" w:space="0"/>
              <w:left w:val="single" w:color="auto" w:sz="4" w:space="0"/>
              <w:bottom w:val="single" w:color="auto" w:sz="4" w:space="0"/>
              <w:right w:val="single" w:color="auto" w:sz="4" w:space="0"/>
            </w:tcBorders>
          </w:tcPr>
          <w:p w14:paraId="3E22AE21">
            <w:pPr>
              <w:spacing w:line="360" w:lineRule="auto"/>
              <w:rPr>
                <w:rFonts w:ascii="宋体" w:hAnsi="宋体" w:eastAsia="宋体" w:cs="Times New Roman"/>
                <w:bCs/>
                <w:kern w:val="2"/>
                <w:sz w:val="24"/>
              </w:rPr>
            </w:pPr>
            <w:r>
              <w:rPr>
                <w:rFonts w:hint="eastAsia" w:ascii="宋体" w:hAnsi="宋体" w:eastAsia="宋体" w:cs="Times New Roman"/>
                <w:bCs/>
                <w:kern w:val="2"/>
                <w:sz w:val="24"/>
              </w:rPr>
              <w:t>9、玻璃门及玻璃光洁明亮无明显污迹、手印。</w:t>
            </w:r>
          </w:p>
        </w:tc>
        <w:tc>
          <w:tcPr>
            <w:tcW w:w="1353" w:type="dxa"/>
            <w:tcBorders>
              <w:top w:val="single" w:color="auto" w:sz="4" w:space="0"/>
              <w:left w:val="single" w:color="auto" w:sz="4" w:space="0"/>
              <w:bottom w:val="single" w:color="auto" w:sz="4" w:space="0"/>
              <w:right w:val="single" w:color="auto" w:sz="4" w:space="0"/>
            </w:tcBorders>
          </w:tcPr>
          <w:p w14:paraId="7D8E0A6C">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089D3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218" w:type="dxa"/>
            <w:vMerge w:val="continue"/>
            <w:tcBorders>
              <w:top w:val="single" w:color="auto" w:sz="4" w:space="0"/>
              <w:left w:val="single" w:color="auto" w:sz="4" w:space="0"/>
              <w:bottom w:val="single" w:color="auto" w:sz="4" w:space="0"/>
              <w:right w:val="single" w:color="auto" w:sz="4" w:space="0"/>
            </w:tcBorders>
            <w:vAlign w:val="center"/>
          </w:tcPr>
          <w:p w14:paraId="00CBAB9B">
            <w:pPr>
              <w:widowControl/>
              <w:jc w:val="left"/>
              <w:rPr>
                <w:rFonts w:ascii="宋体" w:hAnsi="宋体" w:eastAsia="宋体" w:cs="Times New Roman"/>
                <w:bCs/>
                <w:kern w:val="2"/>
                <w:sz w:val="24"/>
              </w:rPr>
            </w:pPr>
          </w:p>
        </w:tc>
        <w:tc>
          <w:tcPr>
            <w:tcW w:w="585" w:type="dxa"/>
            <w:vMerge w:val="continue"/>
            <w:tcBorders>
              <w:top w:val="single" w:color="auto" w:sz="4" w:space="0"/>
              <w:left w:val="single" w:color="auto" w:sz="4" w:space="0"/>
              <w:bottom w:val="single" w:color="auto" w:sz="4" w:space="0"/>
              <w:right w:val="single" w:color="auto" w:sz="4" w:space="0"/>
            </w:tcBorders>
            <w:vAlign w:val="center"/>
          </w:tcPr>
          <w:p w14:paraId="485BF38A">
            <w:pPr>
              <w:widowControl/>
              <w:jc w:val="left"/>
              <w:rPr>
                <w:rFonts w:ascii="宋体" w:hAnsi="宋体" w:eastAsia="宋体" w:cs="Times New Roman"/>
                <w:bCs/>
                <w:kern w:val="2"/>
                <w:sz w:val="24"/>
              </w:rPr>
            </w:pPr>
          </w:p>
        </w:tc>
        <w:tc>
          <w:tcPr>
            <w:tcW w:w="5895" w:type="dxa"/>
            <w:tcBorders>
              <w:top w:val="single" w:color="auto" w:sz="4" w:space="0"/>
              <w:left w:val="single" w:color="auto" w:sz="4" w:space="0"/>
              <w:bottom w:val="single" w:color="auto" w:sz="4" w:space="0"/>
              <w:right w:val="single" w:color="auto" w:sz="4" w:space="0"/>
            </w:tcBorders>
          </w:tcPr>
          <w:p w14:paraId="4C6FBF4E">
            <w:pPr>
              <w:spacing w:line="360" w:lineRule="auto"/>
              <w:rPr>
                <w:rFonts w:ascii="宋体" w:hAnsi="宋体" w:eastAsia="宋体" w:cs="Times New Roman"/>
                <w:bCs/>
                <w:kern w:val="2"/>
                <w:sz w:val="24"/>
              </w:rPr>
            </w:pPr>
            <w:r>
              <w:rPr>
                <w:rFonts w:hint="eastAsia" w:ascii="宋体" w:hAnsi="宋体" w:eastAsia="宋体" w:cs="Times New Roman"/>
                <w:bCs/>
                <w:kern w:val="2"/>
                <w:sz w:val="24"/>
              </w:rPr>
              <w:t>10、出入口台阶清洁无明显污迹。</w:t>
            </w:r>
          </w:p>
        </w:tc>
        <w:tc>
          <w:tcPr>
            <w:tcW w:w="1353" w:type="dxa"/>
            <w:tcBorders>
              <w:top w:val="single" w:color="auto" w:sz="4" w:space="0"/>
              <w:left w:val="single" w:color="auto" w:sz="4" w:space="0"/>
              <w:bottom w:val="single" w:color="auto" w:sz="4" w:space="0"/>
              <w:right w:val="single" w:color="auto" w:sz="4" w:space="0"/>
            </w:tcBorders>
          </w:tcPr>
          <w:p w14:paraId="490CC2C5">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44856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1218" w:type="dxa"/>
            <w:vMerge w:val="continue"/>
            <w:tcBorders>
              <w:top w:val="single" w:color="auto" w:sz="4" w:space="0"/>
              <w:left w:val="single" w:color="auto" w:sz="4" w:space="0"/>
              <w:bottom w:val="single" w:color="auto" w:sz="4" w:space="0"/>
              <w:right w:val="single" w:color="auto" w:sz="4" w:space="0"/>
            </w:tcBorders>
            <w:vAlign w:val="center"/>
          </w:tcPr>
          <w:p w14:paraId="6638B23A">
            <w:pPr>
              <w:widowControl/>
              <w:jc w:val="left"/>
              <w:rPr>
                <w:rFonts w:ascii="宋体" w:hAnsi="宋体" w:eastAsia="宋体" w:cs="Times New Roman"/>
                <w:bCs/>
                <w:kern w:val="2"/>
                <w:sz w:val="24"/>
              </w:rPr>
            </w:pPr>
          </w:p>
        </w:tc>
        <w:tc>
          <w:tcPr>
            <w:tcW w:w="585" w:type="dxa"/>
            <w:vMerge w:val="continue"/>
            <w:tcBorders>
              <w:top w:val="single" w:color="auto" w:sz="4" w:space="0"/>
              <w:left w:val="single" w:color="auto" w:sz="4" w:space="0"/>
              <w:bottom w:val="single" w:color="auto" w:sz="4" w:space="0"/>
              <w:right w:val="single" w:color="auto" w:sz="4" w:space="0"/>
            </w:tcBorders>
            <w:vAlign w:val="center"/>
          </w:tcPr>
          <w:p w14:paraId="5077AE4E">
            <w:pPr>
              <w:widowControl/>
              <w:jc w:val="left"/>
              <w:rPr>
                <w:rFonts w:ascii="宋体" w:hAnsi="宋体" w:eastAsia="宋体" w:cs="Times New Roman"/>
                <w:bCs/>
                <w:kern w:val="2"/>
                <w:sz w:val="24"/>
              </w:rPr>
            </w:pPr>
          </w:p>
        </w:tc>
        <w:tc>
          <w:tcPr>
            <w:tcW w:w="5895" w:type="dxa"/>
            <w:tcBorders>
              <w:top w:val="single" w:color="auto" w:sz="4" w:space="0"/>
              <w:left w:val="single" w:color="auto" w:sz="4" w:space="0"/>
              <w:bottom w:val="single" w:color="auto" w:sz="4" w:space="0"/>
              <w:right w:val="single" w:color="auto" w:sz="4" w:space="0"/>
            </w:tcBorders>
          </w:tcPr>
          <w:p w14:paraId="39C5285D">
            <w:pPr>
              <w:spacing w:line="360" w:lineRule="auto"/>
              <w:rPr>
                <w:rFonts w:ascii="宋体" w:hAnsi="宋体" w:eastAsia="宋体" w:cs="Times New Roman"/>
                <w:bCs/>
                <w:kern w:val="2"/>
                <w:sz w:val="24"/>
              </w:rPr>
            </w:pPr>
            <w:r>
              <w:rPr>
                <w:rFonts w:hint="eastAsia" w:ascii="宋体" w:hAnsi="宋体" w:eastAsia="宋体" w:cs="Times New Roman"/>
                <w:bCs/>
                <w:kern w:val="2"/>
                <w:sz w:val="24"/>
              </w:rPr>
              <w:t>11、大厅及电梯大理石地面定期进行打磨处理。</w:t>
            </w:r>
          </w:p>
        </w:tc>
        <w:tc>
          <w:tcPr>
            <w:tcW w:w="1353" w:type="dxa"/>
            <w:tcBorders>
              <w:top w:val="single" w:color="auto" w:sz="4" w:space="0"/>
              <w:left w:val="single" w:color="auto" w:sz="4" w:space="0"/>
              <w:bottom w:val="single" w:color="auto" w:sz="4" w:space="0"/>
              <w:right w:val="single" w:color="auto" w:sz="4" w:space="0"/>
            </w:tcBorders>
          </w:tcPr>
          <w:p w14:paraId="402C506D">
            <w:pPr>
              <w:spacing w:line="360" w:lineRule="auto"/>
              <w:rPr>
                <w:rFonts w:ascii="宋体" w:hAnsi="宋体" w:eastAsia="宋体" w:cs="Times New Roman"/>
                <w:bCs/>
                <w:kern w:val="2"/>
                <w:sz w:val="24"/>
              </w:rPr>
            </w:pPr>
            <w:r>
              <w:rPr>
                <w:rFonts w:hint="eastAsia" w:ascii="宋体" w:hAnsi="宋体" w:eastAsia="宋体" w:cs="Times New Roman"/>
                <w:bCs/>
                <w:kern w:val="2"/>
                <w:sz w:val="24"/>
              </w:rPr>
              <w:t>每月一次</w:t>
            </w:r>
          </w:p>
        </w:tc>
      </w:tr>
      <w:tr w14:paraId="728DE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218" w:type="dxa"/>
            <w:vMerge w:val="continue"/>
            <w:tcBorders>
              <w:top w:val="single" w:color="auto" w:sz="4" w:space="0"/>
              <w:left w:val="single" w:color="auto" w:sz="4" w:space="0"/>
              <w:bottom w:val="single" w:color="auto" w:sz="4" w:space="0"/>
              <w:right w:val="single" w:color="auto" w:sz="4" w:space="0"/>
            </w:tcBorders>
            <w:vAlign w:val="center"/>
          </w:tcPr>
          <w:p w14:paraId="4D75E2B1">
            <w:pPr>
              <w:widowControl/>
              <w:jc w:val="left"/>
              <w:rPr>
                <w:rFonts w:ascii="宋体" w:hAnsi="宋体" w:eastAsia="宋体" w:cs="Times New Roman"/>
                <w:bCs/>
                <w:kern w:val="2"/>
                <w:sz w:val="24"/>
              </w:rPr>
            </w:pPr>
          </w:p>
        </w:tc>
        <w:tc>
          <w:tcPr>
            <w:tcW w:w="585" w:type="dxa"/>
            <w:vMerge w:val="restart"/>
            <w:tcBorders>
              <w:top w:val="single" w:color="auto" w:sz="4" w:space="0"/>
              <w:left w:val="single" w:color="auto" w:sz="4" w:space="0"/>
              <w:bottom w:val="single" w:color="auto" w:sz="4" w:space="0"/>
              <w:right w:val="single" w:color="auto" w:sz="4" w:space="0"/>
            </w:tcBorders>
            <w:vAlign w:val="center"/>
          </w:tcPr>
          <w:p w14:paraId="7CCDF5F8">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会议室</w:t>
            </w:r>
          </w:p>
          <w:p w14:paraId="660D2D95">
            <w:pPr>
              <w:spacing w:line="360" w:lineRule="auto"/>
              <w:jc w:val="center"/>
              <w:rPr>
                <w:rFonts w:ascii="宋体" w:hAnsi="宋体" w:eastAsia="宋体" w:cs="Times New Roman"/>
                <w:bCs/>
                <w:kern w:val="2"/>
                <w:sz w:val="24"/>
              </w:rPr>
            </w:pPr>
          </w:p>
        </w:tc>
        <w:tc>
          <w:tcPr>
            <w:tcW w:w="5895" w:type="dxa"/>
            <w:tcBorders>
              <w:top w:val="single" w:color="auto" w:sz="4" w:space="0"/>
              <w:left w:val="single" w:color="auto" w:sz="4" w:space="0"/>
              <w:bottom w:val="single" w:color="auto" w:sz="4" w:space="0"/>
              <w:right w:val="single" w:color="auto" w:sz="4" w:space="0"/>
            </w:tcBorders>
          </w:tcPr>
          <w:p w14:paraId="12D93E36">
            <w:pPr>
              <w:spacing w:line="360" w:lineRule="auto"/>
              <w:rPr>
                <w:rFonts w:ascii="宋体" w:hAnsi="宋体" w:eastAsia="宋体" w:cs="Times New Roman"/>
                <w:bCs/>
                <w:kern w:val="2"/>
                <w:sz w:val="24"/>
              </w:rPr>
            </w:pPr>
            <w:r>
              <w:rPr>
                <w:rFonts w:hint="eastAsia" w:ascii="宋体" w:hAnsi="宋体" w:eastAsia="宋体" w:cs="Times New Roman"/>
                <w:bCs/>
                <w:kern w:val="2"/>
                <w:sz w:val="24"/>
              </w:rPr>
              <w:t>1、地面清洁无灰尘、杂物、水迹、黄斑。</w:t>
            </w:r>
          </w:p>
        </w:tc>
        <w:tc>
          <w:tcPr>
            <w:tcW w:w="1353" w:type="dxa"/>
            <w:tcBorders>
              <w:top w:val="single" w:color="auto" w:sz="4" w:space="0"/>
              <w:left w:val="single" w:color="auto" w:sz="4" w:space="0"/>
              <w:bottom w:val="single" w:color="auto" w:sz="4" w:space="0"/>
              <w:right w:val="single" w:color="auto" w:sz="4" w:space="0"/>
            </w:tcBorders>
          </w:tcPr>
          <w:p w14:paraId="5450B415">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7F0DF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218" w:type="dxa"/>
            <w:vMerge w:val="continue"/>
            <w:tcBorders>
              <w:top w:val="single" w:color="auto" w:sz="4" w:space="0"/>
              <w:left w:val="single" w:color="auto" w:sz="4" w:space="0"/>
              <w:bottom w:val="single" w:color="auto" w:sz="4" w:space="0"/>
              <w:right w:val="single" w:color="auto" w:sz="4" w:space="0"/>
            </w:tcBorders>
            <w:vAlign w:val="center"/>
          </w:tcPr>
          <w:p w14:paraId="4E3DE900">
            <w:pPr>
              <w:widowControl/>
              <w:jc w:val="left"/>
              <w:rPr>
                <w:rFonts w:ascii="宋体" w:hAnsi="宋体" w:eastAsia="宋体" w:cs="Times New Roman"/>
                <w:bCs/>
                <w:kern w:val="2"/>
                <w:sz w:val="24"/>
              </w:rPr>
            </w:pPr>
          </w:p>
        </w:tc>
        <w:tc>
          <w:tcPr>
            <w:tcW w:w="585" w:type="dxa"/>
            <w:vMerge w:val="continue"/>
            <w:tcBorders>
              <w:top w:val="single" w:color="auto" w:sz="4" w:space="0"/>
              <w:left w:val="single" w:color="auto" w:sz="4" w:space="0"/>
              <w:bottom w:val="single" w:color="auto" w:sz="4" w:space="0"/>
              <w:right w:val="single" w:color="auto" w:sz="4" w:space="0"/>
            </w:tcBorders>
            <w:vAlign w:val="center"/>
          </w:tcPr>
          <w:p w14:paraId="30B6A9CE">
            <w:pPr>
              <w:widowControl/>
              <w:jc w:val="left"/>
              <w:rPr>
                <w:rFonts w:ascii="宋体" w:hAnsi="宋体" w:eastAsia="宋体" w:cs="Times New Roman"/>
                <w:bCs/>
                <w:kern w:val="2"/>
                <w:sz w:val="24"/>
              </w:rPr>
            </w:pPr>
          </w:p>
        </w:tc>
        <w:tc>
          <w:tcPr>
            <w:tcW w:w="5895" w:type="dxa"/>
            <w:tcBorders>
              <w:top w:val="single" w:color="auto" w:sz="4" w:space="0"/>
              <w:left w:val="single" w:color="auto" w:sz="4" w:space="0"/>
              <w:bottom w:val="single" w:color="auto" w:sz="4" w:space="0"/>
              <w:right w:val="single" w:color="auto" w:sz="4" w:space="0"/>
            </w:tcBorders>
          </w:tcPr>
          <w:p w14:paraId="7F6F4973">
            <w:pPr>
              <w:spacing w:line="360" w:lineRule="auto"/>
              <w:rPr>
                <w:rFonts w:ascii="宋体" w:hAnsi="宋体" w:eastAsia="宋体" w:cs="Times New Roman"/>
                <w:bCs/>
                <w:kern w:val="2"/>
                <w:sz w:val="24"/>
              </w:rPr>
            </w:pPr>
            <w:r>
              <w:rPr>
                <w:rFonts w:hint="eastAsia" w:ascii="宋体" w:hAnsi="宋体" w:eastAsia="宋体" w:cs="Times New Roman"/>
                <w:bCs/>
                <w:kern w:val="2"/>
                <w:sz w:val="24"/>
              </w:rPr>
              <w:t>2、顶面清洁，沟无积灰，风口清洁无积灰。</w:t>
            </w:r>
          </w:p>
        </w:tc>
        <w:tc>
          <w:tcPr>
            <w:tcW w:w="1353" w:type="dxa"/>
            <w:tcBorders>
              <w:top w:val="single" w:color="auto" w:sz="4" w:space="0"/>
              <w:left w:val="single" w:color="auto" w:sz="4" w:space="0"/>
              <w:bottom w:val="single" w:color="auto" w:sz="4" w:space="0"/>
              <w:right w:val="single" w:color="auto" w:sz="4" w:space="0"/>
            </w:tcBorders>
          </w:tcPr>
          <w:p w14:paraId="11A80B82">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405DE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218" w:type="dxa"/>
            <w:vMerge w:val="continue"/>
            <w:tcBorders>
              <w:top w:val="single" w:color="auto" w:sz="4" w:space="0"/>
              <w:left w:val="single" w:color="auto" w:sz="4" w:space="0"/>
              <w:bottom w:val="single" w:color="auto" w:sz="4" w:space="0"/>
              <w:right w:val="single" w:color="auto" w:sz="4" w:space="0"/>
            </w:tcBorders>
            <w:vAlign w:val="center"/>
          </w:tcPr>
          <w:p w14:paraId="76D2EF12">
            <w:pPr>
              <w:widowControl/>
              <w:jc w:val="left"/>
              <w:rPr>
                <w:rFonts w:ascii="宋体" w:hAnsi="宋体" w:eastAsia="宋体" w:cs="Times New Roman"/>
                <w:bCs/>
                <w:kern w:val="2"/>
                <w:sz w:val="24"/>
              </w:rPr>
            </w:pPr>
          </w:p>
        </w:tc>
        <w:tc>
          <w:tcPr>
            <w:tcW w:w="585" w:type="dxa"/>
            <w:vMerge w:val="continue"/>
            <w:tcBorders>
              <w:top w:val="single" w:color="auto" w:sz="4" w:space="0"/>
              <w:left w:val="single" w:color="auto" w:sz="4" w:space="0"/>
              <w:bottom w:val="single" w:color="auto" w:sz="4" w:space="0"/>
              <w:right w:val="single" w:color="auto" w:sz="4" w:space="0"/>
            </w:tcBorders>
            <w:vAlign w:val="center"/>
          </w:tcPr>
          <w:p w14:paraId="599B6A94">
            <w:pPr>
              <w:widowControl/>
              <w:jc w:val="left"/>
              <w:rPr>
                <w:rFonts w:ascii="宋体" w:hAnsi="宋体" w:eastAsia="宋体" w:cs="Times New Roman"/>
                <w:bCs/>
                <w:kern w:val="2"/>
                <w:sz w:val="24"/>
              </w:rPr>
            </w:pPr>
          </w:p>
        </w:tc>
        <w:tc>
          <w:tcPr>
            <w:tcW w:w="5895" w:type="dxa"/>
            <w:tcBorders>
              <w:top w:val="single" w:color="auto" w:sz="4" w:space="0"/>
              <w:left w:val="single" w:color="auto" w:sz="4" w:space="0"/>
              <w:bottom w:val="single" w:color="auto" w:sz="4" w:space="0"/>
              <w:right w:val="single" w:color="auto" w:sz="4" w:space="0"/>
            </w:tcBorders>
          </w:tcPr>
          <w:p w14:paraId="7800E916">
            <w:pPr>
              <w:spacing w:line="360" w:lineRule="auto"/>
              <w:rPr>
                <w:rFonts w:ascii="宋体" w:hAnsi="宋体" w:eastAsia="宋体" w:cs="Times New Roman"/>
                <w:bCs/>
                <w:kern w:val="2"/>
                <w:sz w:val="24"/>
              </w:rPr>
            </w:pPr>
            <w:r>
              <w:rPr>
                <w:rFonts w:hint="eastAsia" w:ascii="宋体" w:hAnsi="宋体" w:eastAsia="宋体" w:cs="Times New Roman"/>
                <w:bCs/>
                <w:kern w:val="2"/>
                <w:sz w:val="24"/>
              </w:rPr>
              <w:t>3．墙角无积灰，墙面无蜘蛛网。</w:t>
            </w:r>
          </w:p>
        </w:tc>
        <w:tc>
          <w:tcPr>
            <w:tcW w:w="1353" w:type="dxa"/>
            <w:tcBorders>
              <w:top w:val="single" w:color="auto" w:sz="4" w:space="0"/>
              <w:left w:val="single" w:color="auto" w:sz="4" w:space="0"/>
              <w:bottom w:val="single" w:color="auto" w:sz="4" w:space="0"/>
              <w:right w:val="single" w:color="auto" w:sz="4" w:space="0"/>
            </w:tcBorders>
          </w:tcPr>
          <w:p w14:paraId="7C4ED6BE">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0A426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218" w:type="dxa"/>
            <w:vMerge w:val="continue"/>
            <w:tcBorders>
              <w:top w:val="single" w:color="auto" w:sz="4" w:space="0"/>
              <w:left w:val="single" w:color="auto" w:sz="4" w:space="0"/>
              <w:bottom w:val="single" w:color="auto" w:sz="4" w:space="0"/>
              <w:right w:val="single" w:color="auto" w:sz="4" w:space="0"/>
            </w:tcBorders>
            <w:vAlign w:val="center"/>
          </w:tcPr>
          <w:p w14:paraId="10719994">
            <w:pPr>
              <w:widowControl/>
              <w:jc w:val="left"/>
              <w:rPr>
                <w:rFonts w:ascii="宋体" w:hAnsi="宋体" w:eastAsia="宋体" w:cs="Times New Roman"/>
                <w:bCs/>
                <w:kern w:val="2"/>
                <w:sz w:val="24"/>
              </w:rPr>
            </w:pPr>
          </w:p>
        </w:tc>
        <w:tc>
          <w:tcPr>
            <w:tcW w:w="585" w:type="dxa"/>
            <w:vMerge w:val="continue"/>
            <w:tcBorders>
              <w:top w:val="single" w:color="auto" w:sz="4" w:space="0"/>
              <w:left w:val="single" w:color="auto" w:sz="4" w:space="0"/>
              <w:bottom w:val="single" w:color="auto" w:sz="4" w:space="0"/>
              <w:right w:val="single" w:color="auto" w:sz="4" w:space="0"/>
            </w:tcBorders>
            <w:vAlign w:val="center"/>
          </w:tcPr>
          <w:p w14:paraId="223924EA">
            <w:pPr>
              <w:widowControl/>
              <w:jc w:val="left"/>
              <w:rPr>
                <w:rFonts w:ascii="宋体" w:hAnsi="宋体" w:eastAsia="宋体" w:cs="Times New Roman"/>
                <w:bCs/>
                <w:kern w:val="2"/>
                <w:sz w:val="24"/>
              </w:rPr>
            </w:pPr>
          </w:p>
        </w:tc>
        <w:tc>
          <w:tcPr>
            <w:tcW w:w="5895" w:type="dxa"/>
            <w:tcBorders>
              <w:top w:val="single" w:color="auto" w:sz="4" w:space="0"/>
              <w:left w:val="single" w:color="auto" w:sz="4" w:space="0"/>
              <w:bottom w:val="single" w:color="auto" w:sz="4" w:space="0"/>
              <w:right w:val="single" w:color="auto" w:sz="4" w:space="0"/>
            </w:tcBorders>
          </w:tcPr>
          <w:p w14:paraId="3A589935">
            <w:pPr>
              <w:spacing w:line="360" w:lineRule="auto"/>
              <w:rPr>
                <w:rFonts w:ascii="宋体" w:hAnsi="宋体" w:eastAsia="宋体" w:cs="Times New Roman"/>
                <w:bCs/>
                <w:kern w:val="2"/>
                <w:sz w:val="24"/>
              </w:rPr>
            </w:pPr>
            <w:r>
              <w:rPr>
                <w:rFonts w:hint="eastAsia" w:ascii="宋体" w:hAnsi="宋体" w:eastAsia="宋体" w:cs="Times New Roman"/>
                <w:bCs/>
                <w:kern w:val="2"/>
                <w:sz w:val="24"/>
              </w:rPr>
              <w:t>4、桌椅清洁无灰尘。</w:t>
            </w:r>
          </w:p>
        </w:tc>
        <w:tc>
          <w:tcPr>
            <w:tcW w:w="1353" w:type="dxa"/>
            <w:tcBorders>
              <w:top w:val="single" w:color="auto" w:sz="4" w:space="0"/>
              <w:left w:val="single" w:color="auto" w:sz="4" w:space="0"/>
              <w:bottom w:val="single" w:color="auto" w:sz="4" w:space="0"/>
              <w:right w:val="single" w:color="auto" w:sz="4" w:space="0"/>
            </w:tcBorders>
          </w:tcPr>
          <w:p w14:paraId="7A62379F">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69339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218" w:type="dxa"/>
            <w:vMerge w:val="continue"/>
            <w:tcBorders>
              <w:top w:val="single" w:color="auto" w:sz="4" w:space="0"/>
              <w:left w:val="single" w:color="auto" w:sz="4" w:space="0"/>
              <w:bottom w:val="single" w:color="auto" w:sz="4" w:space="0"/>
              <w:right w:val="single" w:color="auto" w:sz="4" w:space="0"/>
            </w:tcBorders>
            <w:vAlign w:val="center"/>
          </w:tcPr>
          <w:p w14:paraId="486246B9">
            <w:pPr>
              <w:widowControl/>
              <w:jc w:val="left"/>
              <w:rPr>
                <w:rFonts w:ascii="宋体" w:hAnsi="宋体" w:eastAsia="宋体" w:cs="Times New Roman"/>
                <w:bCs/>
                <w:kern w:val="2"/>
                <w:sz w:val="24"/>
              </w:rPr>
            </w:pPr>
          </w:p>
        </w:tc>
        <w:tc>
          <w:tcPr>
            <w:tcW w:w="585" w:type="dxa"/>
            <w:vMerge w:val="continue"/>
            <w:tcBorders>
              <w:top w:val="single" w:color="auto" w:sz="4" w:space="0"/>
              <w:left w:val="single" w:color="auto" w:sz="4" w:space="0"/>
              <w:bottom w:val="single" w:color="auto" w:sz="4" w:space="0"/>
              <w:right w:val="single" w:color="auto" w:sz="4" w:space="0"/>
            </w:tcBorders>
            <w:vAlign w:val="center"/>
          </w:tcPr>
          <w:p w14:paraId="6A06DEF8">
            <w:pPr>
              <w:widowControl/>
              <w:jc w:val="left"/>
              <w:rPr>
                <w:rFonts w:ascii="宋体" w:hAnsi="宋体" w:eastAsia="宋体" w:cs="Times New Roman"/>
                <w:bCs/>
                <w:kern w:val="2"/>
                <w:sz w:val="24"/>
              </w:rPr>
            </w:pPr>
          </w:p>
        </w:tc>
        <w:tc>
          <w:tcPr>
            <w:tcW w:w="5895" w:type="dxa"/>
            <w:tcBorders>
              <w:top w:val="single" w:color="auto" w:sz="4" w:space="0"/>
              <w:left w:val="single" w:color="auto" w:sz="4" w:space="0"/>
              <w:bottom w:val="single" w:color="auto" w:sz="4" w:space="0"/>
              <w:right w:val="single" w:color="auto" w:sz="4" w:space="0"/>
            </w:tcBorders>
          </w:tcPr>
          <w:p w14:paraId="4F171B57">
            <w:pPr>
              <w:spacing w:line="360" w:lineRule="auto"/>
              <w:rPr>
                <w:rFonts w:ascii="宋体" w:hAnsi="宋体" w:eastAsia="宋体" w:cs="Times New Roman"/>
                <w:bCs/>
                <w:kern w:val="2"/>
                <w:sz w:val="24"/>
              </w:rPr>
            </w:pPr>
            <w:r>
              <w:rPr>
                <w:rFonts w:hint="eastAsia" w:ascii="宋体" w:hAnsi="宋体" w:eastAsia="宋体" w:cs="Times New Roman"/>
                <w:bCs/>
                <w:kern w:val="2"/>
                <w:sz w:val="24"/>
              </w:rPr>
              <w:t>5．展览物品摆放整齐、清洁无灰尘。</w:t>
            </w:r>
          </w:p>
        </w:tc>
        <w:tc>
          <w:tcPr>
            <w:tcW w:w="1353" w:type="dxa"/>
            <w:tcBorders>
              <w:top w:val="single" w:color="auto" w:sz="4" w:space="0"/>
              <w:left w:val="single" w:color="auto" w:sz="4" w:space="0"/>
              <w:bottom w:val="single" w:color="auto" w:sz="4" w:space="0"/>
              <w:right w:val="single" w:color="auto" w:sz="4" w:space="0"/>
            </w:tcBorders>
          </w:tcPr>
          <w:p w14:paraId="5D536CF5">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5D495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218" w:type="dxa"/>
            <w:vMerge w:val="continue"/>
            <w:tcBorders>
              <w:top w:val="single" w:color="auto" w:sz="4" w:space="0"/>
              <w:left w:val="single" w:color="auto" w:sz="4" w:space="0"/>
              <w:bottom w:val="single" w:color="auto" w:sz="4" w:space="0"/>
              <w:right w:val="single" w:color="auto" w:sz="4" w:space="0"/>
            </w:tcBorders>
            <w:vAlign w:val="center"/>
          </w:tcPr>
          <w:p w14:paraId="550B1215">
            <w:pPr>
              <w:widowControl/>
              <w:jc w:val="left"/>
              <w:rPr>
                <w:rFonts w:ascii="宋体" w:hAnsi="宋体" w:eastAsia="宋体" w:cs="Times New Roman"/>
                <w:bCs/>
                <w:kern w:val="2"/>
                <w:sz w:val="24"/>
              </w:rPr>
            </w:pPr>
          </w:p>
        </w:tc>
        <w:tc>
          <w:tcPr>
            <w:tcW w:w="585" w:type="dxa"/>
            <w:vMerge w:val="continue"/>
            <w:tcBorders>
              <w:top w:val="single" w:color="auto" w:sz="4" w:space="0"/>
              <w:left w:val="single" w:color="auto" w:sz="4" w:space="0"/>
              <w:bottom w:val="single" w:color="auto" w:sz="4" w:space="0"/>
              <w:right w:val="single" w:color="auto" w:sz="4" w:space="0"/>
            </w:tcBorders>
            <w:vAlign w:val="center"/>
          </w:tcPr>
          <w:p w14:paraId="6F93CE44">
            <w:pPr>
              <w:widowControl/>
              <w:jc w:val="left"/>
              <w:rPr>
                <w:rFonts w:ascii="宋体" w:hAnsi="宋体" w:eastAsia="宋体" w:cs="Times New Roman"/>
                <w:bCs/>
                <w:kern w:val="2"/>
                <w:sz w:val="24"/>
              </w:rPr>
            </w:pPr>
          </w:p>
        </w:tc>
        <w:tc>
          <w:tcPr>
            <w:tcW w:w="5895" w:type="dxa"/>
            <w:tcBorders>
              <w:top w:val="single" w:color="auto" w:sz="4" w:space="0"/>
              <w:left w:val="single" w:color="auto" w:sz="4" w:space="0"/>
              <w:bottom w:val="single" w:color="auto" w:sz="4" w:space="0"/>
              <w:right w:val="single" w:color="auto" w:sz="4" w:space="0"/>
            </w:tcBorders>
          </w:tcPr>
          <w:p w14:paraId="421D074F">
            <w:pPr>
              <w:spacing w:line="360" w:lineRule="auto"/>
              <w:rPr>
                <w:rFonts w:ascii="宋体" w:hAnsi="宋体" w:eastAsia="宋体" w:cs="Times New Roman"/>
                <w:bCs/>
                <w:kern w:val="2"/>
                <w:sz w:val="24"/>
              </w:rPr>
            </w:pPr>
            <w:r>
              <w:rPr>
                <w:rFonts w:hint="eastAsia" w:ascii="宋体" w:hAnsi="宋体" w:eastAsia="宋体" w:cs="Times New Roman"/>
                <w:bCs/>
                <w:kern w:val="2"/>
                <w:sz w:val="24"/>
              </w:rPr>
              <w:t>6、沙发、茶几清洁无积灰，沙发定期保养。</w:t>
            </w:r>
          </w:p>
        </w:tc>
        <w:tc>
          <w:tcPr>
            <w:tcW w:w="1353" w:type="dxa"/>
            <w:tcBorders>
              <w:top w:val="single" w:color="auto" w:sz="4" w:space="0"/>
              <w:left w:val="single" w:color="auto" w:sz="4" w:space="0"/>
              <w:bottom w:val="single" w:color="auto" w:sz="4" w:space="0"/>
              <w:right w:val="single" w:color="auto" w:sz="4" w:space="0"/>
            </w:tcBorders>
          </w:tcPr>
          <w:p w14:paraId="67EE1007">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5B57A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218" w:type="dxa"/>
            <w:vMerge w:val="continue"/>
            <w:tcBorders>
              <w:top w:val="single" w:color="auto" w:sz="4" w:space="0"/>
              <w:left w:val="single" w:color="auto" w:sz="4" w:space="0"/>
              <w:bottom w:val="single" w:color="auto" w:sz="4" w:space="0"/>
              <w:right w:val="single" w:color="auto" w:sz="4" w:space="0"/>
            </w:tcBorders>
            <w:vAlign w:val="center"/>
          </w:tcPr>
          <w:p w14:paraId="182D5AA8">
            <w:pPr>
              <w:widowControl/>
              <w:jc w:val="left"/>
              <w:rPr>
                <w:rFonts w:ascii="宋体" w:hAnsi="宋体" w:eastAsia="宋体" w:cs="Times New Roman"/>
                <w:bCs/>
                <w:kern w:val="2"/>
                <w:sz w:val="24"/>
              </w:rPr>
            </w:pPr>
          </w:p>
        </w:tc>
        <w:tc>
          <w:tcPr>
            <w:tcW w:w="585" w:type="dxa"/>
            <w:vMerge w:val="continue"/>
            <w:tcBorders>
              <w:top w:val="single" w:color="auto" w:sz="4" w:space="0"/>
              <w:left w:val="single" w:color="auto" w:sz="4" w:space="0"/>
              <w:bottom w:val="single" w:color="auto" w:sz="4" w:space="0"/>
              <w:right w:val="single" w:color="auto" w:sz="4" w:space="0"/>
            </w:tcBorders>
            <w:vAlign w:val="center"/>
          </w:tcPr>
          <w:p w14:paraId="68BA1B9A">
            <w:pPr>
              <w:widowControl/>
              <w:jc w:val="left"/>
              <w:rPr>
                <w:rFonts w:ascii="宋体" w:hAnsi="宋体" w:eastAsia="宋体" w:cs="Times New Roman"/>
                <w:bCs/>
                <w:kern w:val="2"/>
                <w:sz w:val="24"/>
              </w:rPr>
            </w:pPr>
          </w:p>
        </w:tc>
        <w:tc>
          <w:tcPr>
            <w:tcW w:w="5895" w:type="dxa"/>
            <w:tcBorders>
              <w:top w:val="single" w:color="auto" w:sz="4" w:space="0"/>
              <w:left w:val="single" w:color="auto" w:sz="4" w:space="0"/>
              <w:bottom w:val="single" w:color="auto" w:sz="4" w:space="0"/>
              <w:right w:val="single" w:color="auto" w:sz="4" w:space="0"/>
            </w:tcBorders>
          </w:tcPr>
          <w:p w14:paraId="1CE2D30F">
            <w:pPr>
              <w:spacing w:line="360" w:lineRule="auto"/>
              <w:rPr>
                <w:rFonts w:ascii="宋体" w:hAnsi="宋体" w:eastAsia="宋体" w:cs="Times New Roman"/>
                <w:bCs/>
                <w:kern w:val="2"/>
                <w:sz w:val="24"/>
              </w:rPr>
            </w:pPr>
            <w:r>
              <w:rPr>
                <w:rFonts w:hint="eastAsia" w:ascii="宋体" w:hAnsi="宋体" w:eastAsia="宋体" w:cs="Times New Roman"/>
                <w:bCs/>
                <w:kern w:val="2"/>
                <w:sz w:val="24"/>
              </w:rPr>
              <w:t>7、保持地毯、墙面软包清洁，定期吸尘。</w:t>
            </w:r>
          </w:p>
        </w:tc>
        <w:tc>
          <w:tcPr>
            <w:tcW w:w="1353" w:type="dxa"/>
            <w:tcBorders>
              <w:top w:val="single" w:color="auto" w:sz="4" w:space="0"/>
              <w:left w:val="single" w:color="auto" w:sz="4" w:space="0"/>
              <w:bottom w:val="single" w:color="auto" w:sz="4" w:space="0"/>
              <w:right w:val="single" w:color="auto" w:sz="4" w:space="0"/>
            </w:tcBorders>
          </w:tcPr>
          <w:p w14:paraId="092A1C65">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7173C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218" w:type="dxa"/>
            <w:vMerge w:val="continue"/>
            <w:tcBorders>
              <w:top w:val="single" w:color="auto" w:sz="4" w:space="0"/>
              <w:left w:val="single" w:color="auto" w:sz="4" w:space="0"/>
              <w:bottom w:val="single" w:color="auto" w:sz="4" w:space="0"/>
              <w:right w:val="single" w:color="auto" w:sz="4" w:space="0"/>
            </w:tcBorders>
            <w:vAlign w:val="center"/>
          </w:tcPr>
          <w:p w14:paraId="426D44F3">
            <w:pPr>
              <w:widowControl/>
              <w:jc w:val="left"/>
              <w:rPr>
                <w:rFonts w:ascii="宋体" w:hAnsi="宋体" w:eastAsia="宋体" w:cs="Times New Roman"/>
                <w:bCs/>
                <w:kern w:val="2"/>
                <w:sz w:val="24"/>
              </w:rPr>
            </w:pPr>
          </w:p>
        </w:tc>
        <w:tc>
          <w:tcPr>
            <w:tcW w:w="585" w:type="dxa"/>
            <w:vMerge w:val="continue"/>
            <w:tcBorders>
              <w:top w:val="single" w:color="auto" w:sz="4" w:space="0"/>
              <w:left w:val="single" w:color="auto" w:sz="4" w:space="0"/>
              <w:bottom w:val="single" w:color="auto" w:sz="4" w:space="0"/>
              <w:right w:val="single" w:color="auto" w:sz="4" w:space="0"/>
            </w:tcBorders>
            <w:vAlign w:val="center"/>
          </w:tcPr>
          <w:p w14:paraId="25F673B3">
            <w:pPr>
              <w:widowControl/>
              <w:jc w:val="left"/>
              <w:rPr>
                <w:rFonts w:ascii="宋体" w:hAnsi="宋体" w:eastAsia="宋体" w:cs="Times New Roman"/>
                <w:bCs/>
                <w:kern w:val="2"/>
                <w:sz w:val="24"/>
              </w:rPr>
            </w:pPr>
          </w:p>
        </w:tc>
        <w:tc>
          <w:tcPr>
            <w:tcW w:w="5895" w:type="dxa"/>
            <w:tcBorders>
              <w:top w:val="single" w:color="auto" w:sz="4" w:space="0"/>
              <w:left w:val="single" w:color="auto" w:sz="4" w:space="0"/>
              <w:bottom w:val="single" w:color="auto" w:sz="4" w:space="0"/>
              <w:right w:val="single" w:color="auto" w:sz="4" w:space="0"/>
            </w:tcBorders>
          </w:tcPr>
          <w:p w14:paraId="63C44226">
            <w:pPr>
              <w:spacing w:line="360" w:lineRule="auto"/>
              <w:rPr>
                <w:rFonts w:ascii="宋体" w:hAnsi="宋体" w:eastAsia="宋体" w:cs="Times New Roman"/>
                <w:bCs/>
                <w:kern w:val="2"/>
                <w:sz w:val="24"/>
              </w:rPr>
            </w:pPr>
            <w:r>
              <w:rPr>
                <w:rFonts w:hint="eastAsia" w:ascii="宋体" w:hAnsi="宋体" w:eastAsia="宋体" w:cs="Times New Roman"/>
                <w:bCs/>
                <w:kern w:val="2"/>
                <w:sz w:val="24"/>
              </w:rPr>
              <w:t>8、话筒摆放高度整齐统一，椅子摆放整齐。（开会时椅背拉开距会议桌边70厘米）。</w:t>
            </w:r>
          </w:p>
        </w:tc>
        <w:tc>
          <w:tcPr>
            <w:tcW w:w="1353" w:type="dxa"/>
            <w:tcBorders>
              <w:top w:val="single" w:color="auto" w:sz="4" w:space="0"/>
              <w:left w:val="single" w:color="auto" w:sz="4" w:space="0"/>
              <w:bottom w:val="single" w:color="auto" w:sz="4" w:space="0"/>
              <w:right w:val="single" w:color="auto" w:sz="4" w:space="0"/>
            </w:tcBorders>
          </w:tcPr>
          <w:p w14:paraId="3089D60E">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0FEF3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218" w:type="dxa"/>
            <w:vMerge w:val="continue"/>
            <w:tcBorders>
              <w:top w:val="single" w:color="auto" w:sz="4" w:space="0"/>
              <w:left w:val="single" w:color="auto" w:sz="4" w:space="0"/>
              <w:bottom w:val="single" w:color="auto" w:sz="4" w:space="0"/>
              <w:right w:val="single" w:color="auto" w:sz="4" w:space="0"/>
            </w:tcBorders>
            <w:vAlign w:val="center"/>
          </w:tcPr>
          <w:p w14:paraId="3FF91EFC">
            <w:pPr>
              <w:widowControl/>
              <w:jc w:val="left"/>
              <w:rPr>
                <w:rFonts w:ascii="宋体" w:hAnsi="宋体" w:eastAsia="宋体" w:cs="Times New Roman"/>
                <w:bCs/>
                <w:kern w:val="2"/>
                <w:sz w:val="24"/>
              </w:rPr>
            </w:pPr>
          </w:p>
        </w:tc>
        <w:tc>
          <w:tcPr>
            <w:tcW w:w="585" w:type="dxa"/>
            <w:vMerge w:val="continue"/>
            <w:tcBorders>
              <w:top w:val="single" w:color="auto" w:sz="4" w:space="0"/>
              <w:left w:val="single" w:color="auto" w:sz="4" w:space="0"/>
              <w:bottom w:val="single" w:color="auto" w:sz="4" w:space="0"/>
              <w:right w:val="single" w:color="auto" w:sz="4" w:space="0"/>
            </w:tcBorders>
            <w:vAlign w:val="center"/>
          </w:tcPr>
          <w:p w14:paraId="5371CAF9">
            <w:pPr>
              <w:widowControl/>
              <w:jc w:val="left"/>
              <w:rPr>
                <w:rFonts w:ascii="宋体" w:hAnsi="宋体" w:eastAsia="宋体" w:cs="Times New Roman"/>
                <w:bCs/>
                <w:kern w:val="2"/>
                <w:sz w:val="24"/>
              </w:rPr>
            </w:pPr>
          </w:p>
        </w:tc>
        <w:tc>
          <w:tcPr>
            <w:tcW w:w="5895" w:type="dxa"/>
            <w:tcBorders>
              <w:top w:val="single" w:color="auto" w:sz="4" w:space="0"/>
              <w:left w:val="single" w:color="auto" w:sz="4" w:space="0"/>
              <w:bottom w:val="single" w:color="auto" w:sz="4" w:space="0"/>
              <w:right w:val="single" w:color="auto" w:sz="4" w:space="0"/>
            </w:tcBorders>
          </w:tcPr>
          <w:p w14:paraId="4B4F4EED">
            <w:pPr>
              <w:spacing w:line="360" w:lineRule="auto"/>
              <w:rPr>
                <w:rFonts w:ascii="宋体" w:hAnsi="宋体" w:eastAsia="宋体" w:cs="Times New Roman"/>
                <w:bCs/>
                <w:kern w:val="2"/>
                <w:sz w:val="24"/>
              </w:rPr>
            </w:pPr>
            <w:r>
              <w:rPr>
                <w:rFonts w:hint="eastAsia" w:ascii="宋体" w:hAnsi="宋体" w:eastAsia="宋体" w:cs="Times New Roman"/>
                <w:bCs/>
                <w:kern w:val="2"/>
                <w:sz w:val="24"/>
              </w:rPr>
              <w:t>9、装饰物品表面清洁无积灰。</w:t>
            </w:r>
          </w:p>
        </w:tc>
        <w:tc>
          <w:tcPr>
            <w:tcW w:w="1353" w:type="dxa"/>
            <w:tcBorders>
              <w:top w:val="single" w:color="auto" w:sz="4" w:space="0"/>
              <w:left w:val="single" w:color="auto" w:sz="4" w:space="0"/>
              <w:bottom w:val="single" w:color="auto" w:sz="4" w:space="0"/>
              <w:right w:val="single" w:color="auto" w:sz="4" w:space="0"/>
            </w:tcBorders>
          </w:tcPr>
          <w:p w14:paraId="1FD3B174">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26870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218" w:type="dxa"/>
            <w:vMerge w:val="continue"/>
            <w:tcBorders>
              <w:top w:val="single" w:color="auto" w:sz="4" w:space="0"/>
              <w:left w:val="single" w:color="auto" w:sz="4" w:space="0"/>
              <w:bottom w:val="single" w:color="auto" w:sz="4" w:space="0"/>
              <w:right w:val="single" w:color="auto" w:sz="4" w:space="0"/>
            </w:tcBorders>
            <w:vAlign w:val="center"/>
          </w:tcPr>
          <w:p w14:paraId="63A4F9D8">
            <w:pPr>
              <w:widowControl/>
              <w:jc w:val="left"/>
              <w:rPr>
                <w:rFonts w:ascii="宋体" w:hAnsi="宋体" w:eastAsia="宋体" w:cs="Times New Roman"/>
                <w:bCs/>
                <w:kern w:val="2"/>
                <w:sz w:val="24"/>
              </w:rPr>
            </w:pPr>
          </w:p>
        </w:tc>
        <w:tc>
          <w:tcPr>
            <w:tcW w:w="585" w:type="dxa"/>
            <w:vMerge w:val="continue"/>
            <w:tcBorders>
              <w:top w:val="single" w:color="auto" w:sz="4" w:space="0"/>
              <w:left w:val="single" w:color="auto" w:sz="4" w:space="0"/>
              <w:bottom w:val="single" w:color="auto" w:sz="4" w:space="0"/>
              <w:right w:val="single" w:color="auto" w:sz="4" w:space="0"/>
            </w:tcBorders>
            <w:vAlign w:val="center"/>
          </w:tcPr>
          <w:p w14:paraId="7D0B15CB">
            <w:pPr>
              <w:widowControl/>
              <w:jc w:val="left"/>
              <w:rPr>
                <w:rFonts w:ascii="宋体" w:hAnsi="宋体" w:eastAsia="宋体" w:cs="Times New Roman"/>
                <w:bCs/>
                <w:kern w:val="2"/>
                <w:sz w:val="24"/>
              </w:rPr>
            </w:pPr>
          </w:p>
        </w:tc>
        <w:tc>
          <w:tcPr>
            <w:tcW w:w="5895" w:type="dxa"/>
            <w:tcBorders>
              <w:top w:val="single" w:color="auto" w:sz="4" w:space="0"/>
              <w:left w:val="single" w:color="auto" w:sz="4" w:space="0"/>
              <w:bottom w:val="single" w:color="auto" w:sz="4" w:space="0"/>
              <w:right w:val="single" w:color="auto" w:sz="4" w:space="0"/>
            </w:tcBorders>
          </w:tcPr>
          <w:p w14:paraId="1C03CC95">
            <w:pPr>
              <w:spacing w:line="360" w:lineRule="auto"/>
              <w:rPr>
                <w:rFonts w:ascii="宋体" w:hAnsi="宋体" w:eastAsia="宋体" w:cs="Times New Roman"/>
                <w:bCs/>
                <w:kern w:val="2"/>
                <w:sz w:val="24"/>
              </w:rPr>
            </w:pPr>
            <w:r>
              <w:rPr>
                <w:rFonts w:hint="eastAsia" w:ascii="宋体" w:hAnsi="宋体" w:eastAsia="宋体" w:cs="Times New Roman"/>
                <w:bCs/>
                <w:kern w:val="2"/>
                <w:sz w:val="24"/>
              </w:rPr>
              <w:t>10、植物盆体清洁摆放整齐，残破叶植物及时提醒更换。</w:t>
            </w:r>
          </w:p>
        </w:tc>
        <w:tc>
          <w:tcPr>
            <w:tcW w:w="1353" w:type="dxa"/>
            <w:tcBorders>
              <w:top w:val="single" w:color="auto" w:sz="4" w:space="0"/>
              <w:left w:val="single" w:color="auto" w:sz="4" w:space="0"/>
              <w:bottom w:val="single" w:color="auto" w:sz="4" w:space="0"/>
              <w:right w:val="single" w:color="auto" w:sz="4" w:space="0"/>
            </w:tcBorders>
          </w:tcPr>
          <w:p w14:paraId="35738257">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223FE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218" w:type="dxa"/>
            <w:vMerge w:val="continue"/>
            <w:tcBorders>
              <w:top w:val="single" w:color="auto" w:sz="4" w:space="0"/>
              <w:left w:val="single" w:color="auto" w:sz="4" w:space="0"/>
              <w:bottom w:val="single" w:color="auto" w:sz="4" w:space="0"/>
              <w:right w:val="single" w:color="auto" w:sz="4" w:space="0"/>
            </w:tcBorders>
            <w:vAlign w:val="center"/>
          </w:tcPr>
          <w:p w14:paraId="0DDE969C">
            <w:pPr>
              <w:widowControl/>
              <w:jc w:val="left"/>
              <w:rPr>
                <w:rFonts w:ascii="宋体" w:hAnsi="宋体" w:eastAsia="宋体" w:cs="Times New Roman"/>
                <w:bCs/>
                <w:kern w:val="2"/>
                <w:sz w:val="24"/>
              </w:rPr>
            </w:pPr>
          </w:p>
        </w:tc>
        <w:tc>
          <w:tcPr>
            <w:tcW w:w="585" w:type="dxa"/>
            <w:vMerge w:val="continue"/>
            <w:tcBorders>
              <w:top w:val="single" w:color="auto" w:sz="4" w:space="0"/>
              <w:left w:val="single" w:color="auto" w:sz="4" w:space="0"/>
              <w:bottom w:val="single" w:color="auto" w:sz="4" w:space="0"/>
              <w:right w:val="single" w:color="auto" w:sz="4" w:space="0"/>
            </w:tcBorders>
            <w:vAlign w:val="center"/>
          </w:tcPr>
          <w:p w14:paraId="0B34A4C9">
            <w:pPr>
              <w:widowControl/>
              <w:jc w:val="left"/>
              <w:rPr>
                <w:rFonts w:ascii="宋体" w:hAnsi="宋体" w:eastAsia="宋体" w:cs="Times New Roman"/>
                <w:bCs/>
                <w:kern w:val="2"/>
                <w:sz w:val="24"/>
              </w:rPr>
            </w:pPr>
          </w:p>
        </w:tc>
        <w:tc>
          <w:tcPr>
            <w:tcW w:w="5895" w:type="dxa"/>
            <w:tcBorders>
              <w:top w:val="single" w:color="auto" w:sz="4" w:space="0"/>
              <w:left w:val="single" w:color="auto" w:sz="4" w:space="0"/>
              <w:bottom w:val="single" w:color="auto" w:sz="4" w:space="0"/>
              <w:right w:val="single" w:color="auto" w:sz="4" w:space="0"/>
            </w:tcBorders>
          </w:tcPr>
          <w:p w14:paraId="2870D906">
            <w:pPr>
              <w:spacing w:line="360" w:lineRule="auto"/>
              <w:rPr>
                <w:rFonts w:ascii="宋体" w:hAnsi="宋体" w:eastAsia="宋体" w:cs="Times New Roman"/>
                <w:bCs/>
                <w:kern w:val="2"/>
                <w:sz w:val="24"/>
              </w:rPr>
            </w:pPr>
            <w:r>
              <w:rPr>
                <w:rFonts w:hint="eastAsia" w:ascii="宋体" w:hAnsi="宋体" w:eastAsia="宋体" w:cs="Times New Roman"/>
                <w:bCs/>
                <w:kern w:val="2"/>
                <w:sz w:val="24"/>
              </w:rPr>
              <w:t>11、各类开关、插座、指示牌清洁无污迹。</w:t>
            </w:r>
          </w:p>
        </w:tc>
        <w:tc>
          <w:tcPr>
            <w:tcW w:w="1353" w:type="dxa"/>
            <w:tcBorders>
              <w:top w:val="single" w:color="auto" w:sz="4" w:space="0"/>
              <w:left w:val="single" w:color="auto" w:sz="4" w:space="0"/>
              <w:bottom w:val="single" w:color="auto" w:sz="4" w:space="0"/>
              <w:right w:val="single" w:color="auto" w:sz="4" w:space="0"/>
            </w:tcBorders>
          </w:tcPr>
          <w:p w14:paraId="63610620">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bl>
    <w:p w14:paraId="57BF1025">
      <w:pPr>
        <w:autoSpaceDE w:val="0"/>
        <w:autoSpaceDN w:val="0"/>
        <w:adjustRightInd w:val="0"/>
        <w:spacing w:line="360" w:lineRule="auto"/>
        <w:jc w:val="left"/>
        <w:rPr>
          <w:rFonts w:ascii="宋体" w:hAnsi="宋体" w:eastAsia="宋体" w:cs="Times New Roman"/>
          <w:bCs/>
          <w:color w:val="000000"/>
          <w:sz w:val="24"/>
          <w:szCs w:val="24"/>
        </w:rPr>
      </w:pP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8"/>
        <w:gridCol w:w="675"/>
        <w:gridCol w:w="5925"/>
        <w:gridCol w:w="1248"/>
      </w:tblGrid>
      <w:tr w14:paraId="5EB4E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293" w:type="dxa"/>
            <w:gridSpan w:val="2"/>
            <w:tcBorders>
              <w:top w:val="single" w:color="auto" w:sz="4" w:space="0"/>
              <w:left w:val="single" w:color="auto" w:sz="4" w:space="0"/>
              <w:bottom w:val="single" w:color="auto" w:sz="4" w:space="0"/>
              <w:right w:val="single" w:color="auto" w:sz="4" w:space="0"/>
            </w:tcBorders>
            <w:vAlign w:val="center"/>
          </w:tcPr>
          <w:p w14:paraId="0D331D77">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保洁位置</w:t>
            </w:r>
          </w:p>
        </w:tc>
        <w:tc>
          <w:tcPr>
            <w:tcW w:w="5925" w:type="dxa"/>
            <w:tcBorders>
              <w:top w:val="single" w:color="auto" w:sz="4" w:space="0"/>
              <w:left w:val="single" w:color="auto" w:sz="4" w:space="0"/>
              <w:bottom w:val="single" w:color="auto" w:sz="4" w:space="0"/>
              <w:right w:val="single" w:color="auto" w:sz="4" w:space="0"/>
            </w:tcBorders>
            <w:vAlign w:val="center"/>
          </w:tcPr>
          <w:p w14:paraId="1DDE123B">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质量控制标准</w:t>
            </w:r>
          </w:p>
        </w:tc>
        <w:tc>
          <w:tcPr>
            <w:tcW w:w="1248" w:type="dxa"/>
            <w:tcBorders>
              <w:top w:val="single" w:color="auto" w:sz="4" w:space="0"/>
              <w:left w:val="single" w:color="auto" w:sz="4" w:space="0"/>
              <w:bottom w:val="single" w:color="auto" w:sz="4" w:space="0"/>
              <w:right w:val="single" w:color="auto" w:sz="4" w:space="0"/>
            </w:tcBorders>
            <w:vAlign w:val="center"/>
          </w:tcPr>
          <w:p w14:paraId="4EB9D9D5">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保洁频次</w:t>
            </w:r>
          </w:p>
        </w:tc>
      </w:tr>
      <w:tr w14:paraId="15EF3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618" w:type="dxa"/>
            <w:vMerge w:val="restart"/>
            <w:tcBorders>
              <w:top w:val="single" w:color="auto" w:sz="4" w:space="0"/>
              <w:left w:val="single" w:color="auto" w:sz="4" w:space="0"/>
              <w:bottom w:val="single" w:color="auto" w:sz="4" w:space="0"/>
              <w:right w:val="single" w:color="auto" w:sz="4" w:space="0"/>
            </w:tcBorders>
            <w:vAlign w:val="center"/>
          </w:tcPr>
          <w:p w14:paraId="3F5C534F">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室外</w:t>
            </w:r>
          </w:p>
        </w:tc>
        <w:tc>
          <w:tcPr>
            <w:tcW w:w="675" w:type="dxa"/>
            <w:vMerge w:val="restart"/>
            <w:tcBorders>
              <w:top w:val="single" w:color="auto" w:sz="4" w:space="0"/>
              <w:left w:val="single" w:color="auto" w:sz="4" w:space="0"/>
              <w:bottom w:val="single" w:color="auto" w:sz="4" w:space="0"/>
              <w:right w:val="single" w:color="auto" w:sz="4" w:space="0"/>
            </w:tcBorders>
            <w:vAlign w:val="center"/>
          </w:tcPr>
          <w:p w14:paraId="76CEE630">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庭</w:t>
            </w:r>
          </w:p>
          <w:p w14:paraId="0834693F">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院</w:t>
            </w:r>
          </w:p>
        </w:tc>
        <w:tc>
          <w:tcPr>
            <w:tcW w:w="5925" w:type="dxa"/>
            <w:tcBorders>
              <w:top w:val="single" w:color="auto" w:sz="4" w:space="0"/>
              <w:left w:val="single" w:color="auto" w:sz="4" w:space="0"/>
              <w:bottom w:val="single" w:color="auto" w:sz="4" w:space="0"/>
              <w:right w:val="single" w:color="auto" w:sz="4" w:space="0"/>
            </w:tcBorders>
          </w:tcPr>
          <w:p w14:paraId="541512D2">
            <w:pPr>
              <w:spacing w:line="360" w:lineRule="auto"/>
              <w:rPr>
                <w:rFonts w:ascii="宋体" w:hAnsi="宋体" w:eastAsia="宋体" w:cs="Times New Roman"/>
                <w:bCs/>
                <w:kern w:val="2"/>
                <w:sz w:val="24"/>
              </w:rPr>
            </w:pPr>
            <w:r>
              <w:rPr>
                <w:rFonts w:hint="eastAsia" w:ascii="宋体" w:hAnsi="宋体" w:eastAsia="宋体" w:cs="Times New Roman"/>
                <w:bCs/>
                <w:kern w:val="2"/>
                <w:sz w:val="24"/>
              </w:rPr>
              <w:t>1、地面清洁无垃圾、烟蒂、落叶等杂物（每两周洗刷地面1次）。</w:t>
            </w:r>
          </w:p>
        </w:tc>
        <w:tc>
          <w:tcPr>
            <w:tcW w:w="1248" w:type="dxa"/>
            <w:tcBorders>
              <w:top w:val="single" w:color="auto" w:sz="4" w:space="0"/>
              <w:left w:val="single" w:color="auto" w:sz="4" w:space="0"/>
              <w:bottom w:val="single" w:color="auto" w:sz="4" w:space="0"/>
              <w:right w:val="single" w:color="auto" w:sz="4" w:space="0"/>
            </w:tcBorders>
          </w:tcPr>
          <w:p w14:paraId="5A2193EB">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1BA8D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293" w:type="dxa"/>
            <w:vMerge w:val="continue"/>
            <w:tcBorders>
              <w:top w:val="single" w:color="auto" w:sz="4" w:space="0"/>
              <w:left w:val="single" w:color="auto" w:sz="4" w:space="0"/>
              <w:bottom w:val="single" w:color="auto" w:sz="4" w:space="0"/>
              <w:right w:val="single" w:color="auto" w:sz="4" w:space="0"/>
            </w:tcBorders>
            <w:vAlign w:val="center"/>
          </w:tcPr>
          <w:p w14:paraId="5407A211">
            <w:pPr>
              <w:widowControl/>
              <w:jc w:val="left"/>
              <w:rPr>
                <w:rFonts w:ascii="宋体" w:hAnsi="宋体" w:eastAsia="宋体" w:cs="Times New Roman"/>
                <w:bCs/>
                <w:kern w:val="2"/>
                <w:sz w:val="24"/>
              </w:rPr>
            </w:pPr>
          </w:p>
        </w:tc>
        <w:tc>
          <w:tcPr>
            <w:tcW w:w="675" w:type="dxa"/>
            <w:vMerge w:val="continue"/>
            <w:tcBorders>
              <w:top w:val="single" w:color="auto" w:sz="4" w:space="0"/>
              <w:left w:val="single" w:color="auto" w:sz="4" w:space="0"/>
              <w:bottom w:val="single" w:color="auto" w:sz="4" w:space="0"/>
              <w:right w:val="single" w:color="auto" w:sz="4" w:space="0"/>
            </w:tcBorders>
            <w:vAlign w:val="center"/>
          </w:tcPr>
          <w:p w14:paraId="1D64B76A">
            <w:pPr>
              <w:widowControl/>
              <w:jc w:val="left"/>
              <w:rPr>
                <w:rFonts w:ascii="宋体" w:hAnsi="宋体" w:eastAsia="宋体" w:cs="Times New Roman"/>
                <w:bCs/>
                <w:kern w:val="2"/>
                <w:sz w:val="24"/>
              </w:rPr>
            </w:pPr>
          </w:p>
        </w:tc>
        <w:tc>
          <w:tcPr>
            <w:tcW w:w="5925" w:type="dxa"/>
            <w:tcBorders>
              <w:top w:val="single" w:color="auto" w:sz="4" w:space="0"/>
              <w:left w:val="single" w:color="auto" w:sz="4" w:space="0"/>
              <w:bottom w:val="single" w:color="auto" w:sz="4" w:space="0"/>
              <w:right w:val="single" w:color="auto" w:sz="4" w:space="0"/>
            </w:tcBorders>
          </w:tcPr>
          <w:p w14:paraId="0E740A52">
            <w:pPr>
              <w:spacing w:line="360" w:lineRule="auto"/>
              <w:rPr>
                <w:rFonts w:ascii="宋体" w:hAnsi="宋体" w:eastAsia="宋体" w:cs="Times New Roman"/>
                <w:bCs/>
                <w:kern w:val="2"/>
                <w:sz w:val="24"/>
              </w:rPr>
            </w:pPr>
            <w:r>
              <w:rPr>
                <w:rFonts w:hint="eastAsia" w:ascii="宋体" w:hAnsi="宋体" w:eastAsia="宋体" w:cs="Times New Roman"/>
                <w:bCs/>
                <w:kern w:val="2"/>
                <w:sz w:val="24"/>
              </w:rPr>
              <w:t>2、栏杆清洁无明显积灰污迹。</w:t>
            </w:r>
          </w:p>
        </w:tc>
        <w:tc>
          <w:tcPr>
            <w:tcW w:w="1248" w:type="dxa"/>
            <w:tcBorders>
              <w:top w:val="single" w:color="auto" w:sz="4" w:space="0"/>
              <w:left w:val="single" w:color="auto" w:sz="4" w:space="0"/>
              <w:bottom w:val="single" w:color="auto" w:sz="4" w:space="0"/>
              <w:right w:val="single" w:color="auto" w:sz="4" w:space="0"/>
            </w:tcBorders>
          </w:tcPr>
          <w:p w14:paraId="10F71C29">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2C46B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293" w:type="dxa"/>
            <w:vMerge w:val="continue"/>
            <w:tcBorders>
              <w:top w:val="single" w:color="auto" w:sz="4" w:space="0"/>
              <w:left w:val="single" w:color="auto" w:sz="4" w:space="0"/>
              <w:bottom w:val="single" w:color="auto" w:sz="4" w:space="0"/>
              <w:right w:val="single" w:color="auto" w:sz="4" w:space="0"/>
            </w:tcBorders>
            <w:vAlign w:val="center"/>
          </w:tcPr>
          <w:p w14:paraId="2BB0819E">
            <w:pPr>
              <w:widowControl/>
              <w:jc w:val="left"/>
              <w:rPr>
                <w:rFonts w:ascii="宋体" w:hAnsi="宋体" w:eastAsia="宋体" w:cs="Times New Roman"/>
                <w:bCs/>
                <w:kern w:val="2"/>
                <w:sz w:val="24"/>
              </w:rPr>
            </w:pPr>
          </w:p>
        </w:tc>
        <w:tc>
          <w:tcPr>
            <w:tcW w:w="675" w:type="dxa"/>
            <w:vMerge w:val="continue"/>
            <w:tcBorders>
              <w:top w:val="single" w:color="auto" w:sz="4" w:space="0"/>
              <w:left w:val="single" w:color="auto" w:sz="4" w:space="0"/>
              <w:bottom w:val="single" w:color="auto" w:sz="4" w:space="0"/>
              <w:right w:val="single" w:color="auto" w:sz="4" w:space="0"/>
            </w:tcBorders>
            <w:vAlign w:val="center"/>
          </w:tcPr>
          <w:p w14:paraId="55F56CBB">
            <w:pPr>
              <w:widowControl/>
              <w:jc w:val="left"/>
              <w:rPr>
                <w:rFonts w:ascii="宋体" w:hAnsi="宋体" w:eastAsia="宋体" w:cs="Times New Roman"/>
                <w:bCs/>
                <w:kern w:val="2"/>
                <w:sz w:val="24"/>
              </w:rPr>
            </w:pPr>
          </w:p>
        </w:tc>
        <w:tc>
          <w:tcPr>
            <w:tcW w:w="5925" w:type="dxa"/>
            <w:tcBorders>
              <w:top w:val="single" w:color="auto" w:sz="4" w:space="0"/>
              <w:left w:val="single" w:color="auto" w:sz="4" w:space="0"/>
              <w:bottom w:val="single" w:color="auto" w:sz="4" w:space="0"/>
              <w:right w:val="single" w:color="auto" w:sz="4" w:space="0"/>
            </w:tcBorders>
          </w:tcPr>
          <w:p w14:paraId="4A418B3A">
            <w:pPr>
              <w:spacing w:line="360" w:lineRule="auto"/>
              <w:rPr>
                <w:rFonts w:ascii="宋体" w:hAnsi="宋体" w:eastAsia="宋体" w:cs="Times New Roman"/>
                <w:bCs/>
                <w:kern w:val="2"/>
                <w:sz w:val="24"/>
              </w:rPr>
            </w:pPr>
            <w:r>
              <w:rPr>
                <w:rFonts w:hint="eastAsia" w:ascii="宋体" w:hAnsi="宋体" w:eastAsia="宋体" w:cs="Times New Roman"/>
                <w:bCs/>
                <w:kern w:val="2"/>
                <w:sz w:val="24"/>
              </w:rPr>
              <w:t>3．花坛内外清洁无杂物，各类台面清洁无积灰。</w:t>
            </w:r>
          </w:p>
        </w:tc>
        <w:tc>
          <w:tcPr>
            <w:tcW w:w="1248" w:type="dxa"/>
            <w:tcBorders>
              <w:top w:val="single" w:color="auto" w:sz="4" w:space="0"/>
              <w:left w:val="single" w:color="auto" w:sz="4" w:space="0"/>
              <w:bottom w:val="single" w:color="auto" w:sz="4" w:space="0"/>
              <w:right w:val="single" w:color="auto" w:sz="4" w:space="0"/>
            </w:tcBorders>
          </w:tcPr>
          <w:p w14:paraId="7C8374FA">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75BCB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293" w:type="dxa"/>
            <w:vMerge w:val="continue"/>
            <w:tcBorders>
              <w:top w:val="single" w:color="auto" w:sz="4" w:space="0"/>
              <w:left w:val="single" w:color="auto" w:sz="4" w:space="0"/>
              <w:bottom w:val="single" w:color="auto" w:sz="4" w:space="0"/>
              <w:right w:val="single" w:color="auto" w:sz="4" w:space="0"/>
            </w:tcBorders>
            <w:vAlign w:val="center"/>
          </w:tcPr>
          <w:p w14:paraId="1F6D37C9">
            <w:pPr>
              <w:widowControl/>
              <w:jc w:val="left"/>
              <w:rPr>
                <w:rFonts w:ascii="宋体" w:hAnsi="宋体" w:eastAsia="宋体" w:cs="Times New Roman"/>
                <w:bCs/>
                <w:kern w:val="2"/>
                <w:sz w:val="24"/>
              </w:rPr>
            </w:pPr>
          </w:p>
        </w:tc>
        <w:tc>
          <w:tcPr>
            <w:tcW w:w="675" w:type="dxa"/>
            <w:vMerge w:val="continue"/>
            <w:tcBorders>
              <w:top w:val="single" w:color="auto" w:sz="4" w:space="0"/>
              <w:left w:val="single" w:color="auto" w:sz="4" w:space="0"/>
              <w:bottom w:val="single" w:color="auto" w:sz="4" w:space="0"/>
              <w:right w:val="single" w:color="auto" w:sz="4" w:space="0"/>
            </w:tcBorders>
            <w:vAlign w:val="center"/>
          </w:tcPr>
          <w:p w14:paraId="67BA98AD">
            <w:pPr>
              <w:widowControl/>
              <w:jc w:val="left"/>
              <w:rPr>
                <w:rFonts w:ascii="宋体" w:hAnsi="宋体" w:eastAsia="宋体" w:cs="Times New Roman"/>
                <w:bCs/>
                <w:kern w:val="2"/>
                <w:sz w:val="24"/>
              </w:rPr>
            </w:pPr>
          </w:p>
        </w:tc>
        <w:tc>
          <w:tcPr>
            <w:tcW w:w="5925" w:type="dxa"/>
            <w:tcBorders>
              <w:top w:val="single" w:color="auto" w:sz="4" w:space="0"/>
              <w:left w:val="single" w:color="auto" w:sz="4" w:space="0"/>
              <w:bottom w:val="single" w:color="auto" w:sz="4" w:space="0"/>
              <w:right w:val="single" w:color="auto" w:sz="4" w:space="0"/>
            </w:tcBorders>
          </w:tcPr>
          <w:p w14:paraId="7F456F4B">
            <w:pPr>
              <w:spacing w:line="360" w:lineRule="auto"/>
              <w:rPr>
                <w:rFonts w:ascii="宋体" w:hAnsi="宋体" w:eastAsia="宋体" w:cs="Times New Roman"/>
                <w:bCs/>
                <w:kern w:val="2"/>
                <w:sz w:val="24"/>
              </w:rPr>
            </w:pPr>
            <w:r>
              <w:rPr>
                <w:rFonts w:hint="eastAsia" w:ascii="宋体" w:hAnsi="宋体" w:eastAsia="宋体" w:cs="Times New Roman"/>
                <w:bCs/>
                <w:kern w:val="2"/>
                <w:sz w:val="24"/>
              </w:rPr>
              <w:t>4、室外壁灯定期保养擦拭，无明显污迹。</w:t>
            </w:r>
          </w:p>
        </w:tc>
        <w:tc>
          <w:tcPr>
            <w:tcW w:w="1248" w:type="dxa"/>
            <w:tcBorders>
              <w:top w:val="single" w:color="auto" w:sz="4" w:space="0"/>
              <w:left w:val="single" w:color="auto" w:sz="4" w:space="0"/>
              <w:bottom w:val="single" w:color="auto" w:sz="4" w:space="0"/>
              <w:right w:val="single" w:color="auto" w:sz="4" w:space="0"/>
            </w:tcBorders>
          </w:tcPr>
          <w:p w14:paraId="5DF80C20">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45B54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293" w:type="dxa"/>
            <w:vMerge w:val="continue"/>
            <w:tcBorders>
              <w:top w:val="single" w:color="auto" w:sz="4" w:space="0"/>
              <w:left w:val="single" w:color="auto" w:sz="4" w:space="0"/>
              <w:bottom w:val="single" w:color="auto" w:sz="4" w:space="0"/>
              <w:right w:val="single" w:color="auto" w:sz="4" w:space="0"/>
            </w:tcBorders>
            <w:vAlign w:val="center"/>
          </w:tcPr>
          <w:p w14:paraId="26F9EB4F">
            <w:pPr>
              <w:widowControl/>
              <w:jc w:val="left"/>
              <w:rPr>
                <w:rFonts w:ascii="宋体" w:hAnsi="宋体" w:eastAsia="宋体" w:cs="Times New Roman"/>
                <w:bCs/>
                <w:kern w:val="2"/>
                <w:sz w:val="24"/>
              </w:rPr>
            </w:pPr>
          </w:p>
        </w:tc>
        <w:tc>
          <w:tcPr>
            <w:tcW w:w="675" w:type="dxa"/>
            <w:vMerge w:val="continue"/>
            <w:tcBorders>
              <w:top w:val="single" w:color="auto" w:sz="4" w:space="0"/>
              <w:left w:val="single" w:color="auto" w:sz="4" w:space="0"/>
              <w:bottom w:val="single" w:color="auto" w:sz="4" w:space="0"/>
              <w:right w:val="single" w:color="auto" w:sz="4" w:space="0"/>
            </w:tcBorders>
            <w:vAlign w:val="center"/>
          </w:tcPr>
          <w:p w14:paraId="6F9B0029">
            <w:pPr>
              <w:widowControl/>
              <w:jc w:val="left"/>
              <w:rPr>
                <w:rFonts w:ascii="宋体" w:hAnsi="宋体" w:eastAsia="宋体" w:cs="Times New Roman"/>
                <w:bCs/>
                <w:kern w:val="2"/>
                <w:sz w:val="24"/>
              </w:rPr>
            </w:pPr>
          </w:p>
        </w:tc>
        <w:tc>
          <w:tcPr>
            <w:tcW w:w="5925" w:type="dxa"/>
            <w:tcBorders>
              <w:top w:val="single" w:color="auto" w:sz="4" w:space="0"/>
              <w:left w:val="single" w:color="auto" w:sz="4" w:space="0"/>
              <w:bottom w:val="single" w:color="auto" w:sz="4" w:space="0"/>
              <w:right w:val="single" w:color="auto" w:sz="4" w:space="0"/>
            </w:tcBorders>
          </w:tcPr>
          <w:p w14:paraId="720DFDB7">
            <w:pPr>
              <w:spacing w:line="360" w:lineRule="auto"/>
              <w:rPr>
                <w:rFonts w:ascii="宋体" w:hAnsi="宋体" w:eastAsia="宋体" w:cs="Times New Roman"/>
                <w:bCs/>
                <w:kern w:val="2"/>
                <w:sz w:val="24"/>
              </w:rPr>
            </w:pPr>
            <w:r>
              <w:rPr>
                <w:rFonts w:hint="eastAsia" w:ascii="宋体" w:hAnsi="宋体" w:eastAsia="宋体" w:cs="Times New Roman"/>
                <w:bCs/>
                <w:kern w:val="2"/>
                <w:sz w:val="24"/>
              </w:rPr>
              <w:t>5、各类标牌、消防栓、灯拄、拉圾桶等清洁无积灰。</w:t>
            </w:r>
          </w:p>
        </w:tc>
        <w:tc>
          <w:tcPr>
            <w:tcW w:w="1248" w:type="dxa"/>
            <w:tcBorders>
              <w:top w:val="single" w:color="auto" w:sz="4" w:space="0"/>
              <w:left w:val="single" w:color="auto" w:sz="4" w:space="0"/>
              <w:bottom w:val="single" w:color="auto" w:sz="4" w:space="0"/>
              <w:right w:val="single" w:color="auto" w:sz="4" w:space="0"/>
            </w:tcBorders>
          </w:tcPr>
          <w:p w14:paraId="43FCD1F0">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5F2C2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293" w:type="dxa"/>
            <w:vMerge w:val="continue"/>
            <w:tcBorders>
              <w:top w:val="single" w:color="auto" w:sz="4" w:space="0"/>
              <w:left w:val="single" w:color="auto" w:sz="4" w:space="0"/>
              <w:bottom w:val="single" w:color="auto" w:sz="4" w:space="0"/>
              <w:right w:val="single" w:color="auto" w:sz="4" w:space="0"/>
            </w:tcBorders>
            <w:vAlign w:val="center"/>
          </w:tcPr>
          <w:p w14:paraId="52A971D7">
            <w:pPr>
              <w:widowControl/>
              <w:jc w:val="left"/>
              <w:rPr>
                <w:rFonts w:ascii="宋体" w:hAnsi="宋体" w:eastAsia="宋体" w:cs="Times New Roman"/>
                <w:bCs/>
                <w:kern w:val="2"/>
                <w:sz w:val="24"/>
              </w:rPr>
            </w:pPr>
          </w:p>
        </w:tc>
        <w:tc>
          <w:tcPr>
            <w:tcW w:w="675" w:type="dxa"/>
            <w:vMerge w:val="continue"/>
            <w:tcBorders>
              <w:top w:val="single" w:color="auto" w:sz="4" w:space="0"/>
              <w:left w:val="single" w:color="auto" w:sz="4" w:space="0"/>
              <w:bottom w:val="single" w:color="auto" w:sz="4" w:space="0"/>
              <w:right w:val="single" w:color="auto" w:sz="4" w:space="0"/>
            </w:tcBorders>
            <w:vAlign w:val="center"/>
          </w:tcPr>
          <w:p w14:paraId="61EF9276">
            <w:pPr>
              <w:widowControl/>
              <w:jc w:val="left"/>
              <w:rPr>
                <w:rFonts w:ascii="宋体" w:hAnsi="宋体" w:eastAsia="宋体" w:cs="Times New Roman"/>
                <w:bCs/>
                <w:kern w:val="2"/>
                <w:sz w:val="24"/>
              </w:rPr>
            </w:pPr>
          </w:p>
        </w:tc>
        <w:tc>
          <w:tcPr>
            <w:tcW w:w="5925" w:type="dxa"/>
            <w:tcBorders>
              <w:top w:val="single" w:color="auto" w:sz="4" w:space="0"/>
              <w:left w:val="single" w:color="auto" w:sz="4" w:space="0"/>
              <w:bottom w:val="single" w:color="auto" w:sz="4" w:space="0"/>
              <w:right w:val="single" w:color="auto" w:sz="4" w:space="0"/>
            </w:tcBorders>
          </w:tcPr>
          <w:p w14:paraId="5163F24D">
            <w:pPr>
              <w:spacing w:line="360" w:lineRule="auto"/>
              <w:rPr>
                <w:rFonts w:ascii="宋体" w:hAnsi="宋体" w:eastAsia="宋体" w:cs="Times New Roman"/>
                <w:bCs/>
                <w:kern w:val="2"/>
                <w:sz w:val="24"/>
              </w:rPr>
            </w:pPr>
            <w:r>
              <w:rPr>
                <w:rFonts w:hint="eastAsia" w:ascii="宋体" w:hAnsi="宋体" w:eastAsia="宋体" w:cs="Times New Roman"/>
                <w:bCs/>
                <w:kern w:val="2"/>
                <w:sz w:val="24"/>
              </w:rPr>
              <w:t>6、垃吸桶摆放整齐，外观清洁，垃圾箱加盖并袋装化，日产日清，无堆放（垃级桶每周六清洗）。</w:t>
            </w:r>
          </w:p>
        </w:tc>
        <w:tc>
          <w:tcPr>
            <w:tcW w:w="1248" w:type="dxa"/>
            <w:tcBorders>
              <w:top w:val="single" w:color="auto" w:sz="4" w:space="0"/>
              <w:left w:val="single" w:color="auto" w:sz="4" w:space="0"/>
              <w:bottom w:val="single" w:color="auto" w:sz="4" w:space="0"/>
              <w:right w:val="single" w:color="auto" w:sz="4" w:space="0"/>
            </w:tcBorders>
          </w:tcPr>
          <w:p w14:paraId="43C94E6D">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44B42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293" w:type="dxa"/>
            <w:vMerge w:val="continue"/>
            <w:tcBorders>
              <w:top w:val="single" w:color="auto" w:sz="4" w:space="0"/>
              <w:left w:val="single" w:color="auto" w:sz="4" w:space="0"/>
              <w:bottom w:val="single" w:color="auto" w:sz="4" w:space="0"/>
              <w:right w:val="single" w:color="auto" w:sz="4" w:space="0"/>
            </w:tcBorders>
            <w:vAlign w:val="center"/>
          </w:tcPr>
          <w:p w14:paraId="041A36D6">
            <w:pPr>
              <w:widowControl/>
              <w:jc w:val="left"/>
              <w:rPr>
                <w:rFonts w:ascii="宋体" w:hAnsi="宋体" w:eastAsia="宋体" w:cs="Times New Roman"/>
                <w:bCs/>
                <w:kern w:val="2"/>
                <w:sz w:val="24"/>
              </w:rPr>
            </w:pPr>
          </w:p>
        </w:tc>
        <w:tc>
          <w:tcPr>
            <w:tcW w:w="675" w:type="dxa"/>
            <w:vMerge w:val="continue"/>
            <w:tcBorders>
              <w:top w:val="single" w:color="auto" w:sz="4" w:space="0"/>
              <w:left w:val="single" w:color="auto" w:sz="4" w:space="0"/>
              <w:bottom w:val="single" w:color="auto" w:sz="4" w:space="0"/>
              <w:right w:val="single" w:color="auto" w:sz="4" w:space="0"/>
            </w:tcBorders>
            <w:vAlign w:val="center"/>
          </w:tcPr>
          <w:p w14:paraId="768EDE7E">
            <w:pPr>
              <w:widowControl/>
              <w:jc w:val="left"/>
              <w:rPr>
                <w:rFonts w:ascii="宋体" w:hAnsi="宋体" w:eastAsia="宋体" w:cs="Times New Roman"/>
                <w:bCs/>
                <w:kern w:val="2"/>
                <w:sz w:val="24"/>
              </w:rPr>
            </w:pPr>
          </w:p>
        </w:tc>
        <w:tc>
          <w:tcPr>
            <w:tcW w:w="5925" w:type="dxa"/>
            <w:tcBorders>
              <w:top w:val="single" w:color="auto" w:sz="4" w:space="0"/>
              <w:left w:val="single" w:color="auto" w:sz="4" w:space="0"/>
              <w:bottom w:val="single" w:color="auto" w:sz="4" w:space="0"/>
              <w:right w:val="single" w:color="auto" w:sz="4" w:space="0"/>
            </w:tcBorders>
          </w:tcPr>
          <w:p w14:paraId="06B4A915">
            <w:pPr>
              <w:spacing w:line="360" w:lineRule="auto"/>
              <w:rPr>
                <w:rFonts w:ascii="宋体" w:hAnsi="宋体" w:eastAsia="宋体" w:cs="Times New Roman"/>
                <w:bCs/>
                <w:kern w:val="2"/>
                <w:sz w:val="24"/>
              </w:rPr>
            </w:pPr>
            <w:r>
              <w:rPr>
                <w:rFonts w:hint="eastAsia" w:ascii="宋体" w:hAnsi="宋体" w:eastAsia="宋体" w:cs="Times New Roman"/>
                <w:bCs/>
                <w:kern w:val="2"/>
                <w:sz w:val="24"/>
              </w:rPr>
              <w:t>7、台阶、内外墙面清洁无积灰。</w:t>
            </w:r>
          </w:p>
        </w:tc>
        <w:tc>
          <w:tcPr>
            <w:tcW w:w="1248" w:type="dxa"/>
            <w:tcBorders>
              <w:top w:val="single" w:color="auto" w:sz="4" w:space="0"/>
              <w:left w:val="single" w:color="auto" w:sz="4" w:space="0"/>
              <w:bottom w:val="single" w:color="auto" w:sz="4" w:space="0"/>
              <w:right w:val="single" w:color="auto" w:sz="4" w:space="0"/>
            </w:tcBorders>
          </w:tcPr>
          <w:p w14:paraId="5825EF2D">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707AA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8" w:type="dxa"/>
            <w:vMerge w:val="restart"/>
            <w:tcBorders>
              <w:top w:val="single" w:color="auto" w:sz="4" w:space="0"/>
              <w:left w:val="single" w:color="auto" w:sz="4" w:space="0"/>
              <w:bottom w:val="single" w:color="auto" w:sz="4" w:space="0"/>
              <w:right w:val="single" w:color="auto" w:sz="4" w:space="0"/>
            </w:tcBorders>
            <w:vAlign w:val="center"/>
          </w:tcPr>
          <w:p w14:paraId="10F356EC">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地下室</w:t>
            </w:r>
          </w:p>
        </w:tc>
        <w:tc>
          <w:tcPr>
            <w:tcW w:w="675" w:type="dxa"/>
            <w:vMerge w:val="restart"/>
            <w:tcBorders>
              <w:top w:val="single" w:color="auto" w:sz="4" w:space="0"/>
              <w:left w:val="single" w:color="auto" w:sz="4" w:space="0"/>
              <w:bottom w:val="single" w:color="auto" w:sz="4" w:space="0"/>
              <w:right w:val="single" w:color="auto" w:sz="4" w:space="0"/>
            </w:tcBorders>
            <w:vAlign w:val="center"/>
          </w:tcPr>
          <w:p w14:paraId="49EF1E46">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车</w:t>
            </w:r>
          </w:p>
          <w:p w14:paraId="64F43170">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库</w:t>
            </w:r>
          </w:p>
        </w:tc>
        <w:tc>
          <w:tcPr>
            <w:tcW w:w="5925" w:type="dxa"/>
            <w:tcBorders>
              <w:top w:val="single" w:color="auto" w:sz="4" w:space="0"/>
              <w:left w:val="single" w:color="auto" w:sz="4" w:space="0"/>
              <w:bottom w:val="single" w:color="auto" w:sz="4" w:space="0"/>
              <w:right w:val="single" w:color="auto" w:sz="4" w:space="0"/>
            </w:tcBorders>
          </w:tcPr>
          <w:p w14:paraId="76E38D09">
            <w:pPr>
              <w:spacing w:line="360" w:lineRule="auto"/>
              <w:rPr>
                <w:rFonts w:ascii="宋体" w:hAnsi="宋体" w:eastAsia="宋体" w:cs="Times New Roman"/>
                <w:bCs/>
                <w:kern w:val="2"/>
                <w:sz w:val="24"/>
              </w:rPr>
            </w:pPr>
            <w:r>
              <w:rPr>
                <w:rFonts w:hint="eastAsia" w:ascii="宋体" w:hAnsi="宋体" w:eastAsia="宋体" w:cs="Times New Roman"/>
                <w:bCs/>
                <w:kern w:val="2"/>
                <w:sz w:val="24"/>
              </w:rPr>
              <w:t>1、车道清洁、通畅无明显泥沙、垃吸、落叶、烟蒂等。</w:t>
            </w:r>
          </w:p>
        </w:tc>
        <w:tc>
          <w:tcPr>
            <w:tcW w:w="1248" w:type="dxa"/>
            <w:tcBorders>
              <w:top w:val="single" w:color="auto" w:sz="4" w:space="0"/>
              <w:left w:val="single" w:color="auto" w:sz="4" w:space="0"/>
              <w:bottom w:val="single" w:color="auto" w:sz="4" w:space="0"/>
              <w:right w:val="single" w:color="auto" w:sz="4" w:space="0"/>
            </w:tcBorders>
          </w:tcPr>
          <w:p w14:paraId="19DC6495">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75FC6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293" w:type="dxa"/>
            <w:vMerge w:val="continue"/>
            <w:tcBorders>
              <w:top w:val="single" w:color="auto" w:sz="4" w:space="0"/>
              <w:left w:val="single" w:color="auto" w:sz="4" w:space="0"/>
              <w:bottom w:val="single" w:color="auto" w:sz="4" w:space="0"/>
              <w:right w:val="single" w:color="auto" w:sz="4" w:space="0"/>
            </w:tcBorders>
            <w:vAlign w:val="center"/>
          </w:tcPr>
          <w:p w14:paraId="7C2BDC0A">
            <w:pPr>
              <w:widowControl/>
              <w:jc w:val="left"/>
              <w:rPr>
                <w:rFonts w:ascii="宋体" w:hAnsi="宋体" w:eastAsia="宋体" w:cs="Times New Roman"/>
                <w:bCs/>
                <w:kern w:val="2"/>
                <w:sz w:val="24"/>
              </w:rPr>
            </w:pPr>
          </w:p>
        </w:tc>
        <w:tc>
          <w:tcPr>
            <w:tcW w:w="675" w:type="dxa"/>
            <w:vMerge w:val="continue"/>
            <w:tcBorders>
              <w:top w:val="single" w:color="auto" w:sz="4" w:space="0"/>
              <w:left w:val="single" w:color="auto" w:sz="4" w:space="0"/>
              <w:bottom w:val="single" w:color="auto" w:sz="4" w:space="0"/>
              <w:right w:val="single" w:color="auto" w:sz="4" w:space="0"/>
            </w:tcBorders>
            <w:vAlign w:val="center"/>
          </w:tcPr>
          <w:p w14:paraId="660004DF">
            <w:pPr>
              <w:widowControl/>
              <w:jc w:val="left"/>
              <w:rPr>
                <w:rFonts w:ascii="宋体" w:hAnsi="宋体" w:eastAsia="宋体" w:cs="Times New Roman"/>
                <w:bCs/>
                <w:kern w:val="2"/>
                <w:sz w:val="24"/>
              </w:rPr>
            </w:pPr>
          </w:p>
        </w:tc>
        <w:tc>
          <w:tcPr>
            <w:tcW w:w="5925" w:type="dxa"/>
            <w:tcBorders>
              <w:top w:val="single" w:color="auto" w:sz="4" w:space="0"/>
              <w:left w:val="single" w:color="auto" w:sz="4" w:space="0"/>
              <w:bottom w:val="single" w:color="auto" w:sz="4" w:space="0"/>
              <w:right w:val="single" w:color="auto" w:sz="4" w:space="0"/>
            </w:tcBorders>
          </w:tcPr>
          <w:p w14:paraId="471A8EFE">
            <w:pPr>
              <w:spacing w:line="360" w:lineRule="auto"/>
              <w:rPr>
                <w:rFonts w:ascii="宋体" w:hAnsi="宋体" w:eastAsia="宋体" w:cs="Times New Roman"/>
                <w:bCs/>
                <w:kern w:val="2"/>
                <w:sz w:val="24"/>
              </w:rPr>
            </w:pPr>
            <w:r>
              <w:rPr>
                <w:rFonts w:hint="eastAsia" w:ascii="宋体" w:hAnsi="宋体" w:eastAsia="宋体" w:cs="Times New Roman"/>
                <w:bCs/>
                <w:kern w:val="2"/>
                <w:sz w:val="24"/>
              </w:rPr>
              <w:t>2、车位和自行车库地面清洁无垃圾、纸屑、烟蒂等杂物。</w:t>
            </w:r>
          </w:p>
        </w:tc>
        <w:tc>
          <w:tcPr>
            <w:tcW w:w="1248" w:type="dxa"/>
            <w:tcBorders>
              <w:top w:val="single" w:color="auto" w:sz="4" w:space="0"/>
              <w:left w:val="single" w:color="auto" w:sz="4" w:space="0"/>
              <w:bottom w:val="single" w:color="auto" w:sz="4" w:space="0"/>
              <w:right w:val="single" w:color="auto" w:sz="4" w:space="0"/>
            </w:tcBorders>
          </w:tcPr>
          <w:p w14:paraId="73B49BAD">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069E5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293" w:type="dxa"/>
            <w:vMerge w:val="continue"/>
            <w:tcBorders>
              <w:top w:val="single" w:color="auto" w:sz="4" w:space="0"/>
              <w:left w:val="single" w:color="auto" w:sz="4" w:space="0"/>
              <w:bottom w:val="single" w:color="auto" w:sz="4" w:space="0"/>
              <w:right w:val="single" w:color="auto" w:sz="4" w:space="0"/>
            </w:tcBorders>
            <w:vAlign w:val="center"/>
          </w:tcPr>
          <w:p w14:paraId="2A33EBB2">
            <w:pPr>
              <w:widowControl/>
              <w:jc w:val="left"/>
              <w:rPr>
                <w:rFonts w:ascii="宋体" w:hAnsi="宋体" w:eastAsia="宋体" w:cs="Times New Roman"/>
                <w:bCs/>
                <w:kern w:val="2"/>
                <w:sz w:val="24"/>
              </w:rPr>
            </w:pPr>
          </w:p>
        </w:tc>
        <w:tc>
          <w:tcPr>
            <w:tcW w:w="675" w:type="dxa"/>
            <w:vMerge w:val="continue"/>
            <w:tcBorders>
              <w:top w:val="single" w:color="auto" w:sz="4" w:space="0"/>
              <w:left w:val="single" w:color="auto" w:sz="4" w:space="0"/>
              <w:bottom w:val="single" w:color="auto" w:sz="4" w:space="0"/>
              <w:right w:val="single" w:color="auto" w:sz="4" w:space="0"/>
            </w:tcBorders>
            <w:vAlign w:val="center"/>
          </w:tcPr>
          <w:p w14:paraId="68CE4DAD">
            <w:pPr>
              <w:widowControl/>
              <w:jc w:val="left"/>
              <w:rPr>
                <w:rFonts w:ascii="宋体" w:hAnsi="宋体" w:eastAsia="宋体" w:cs="Times New Roman"/>
                <w:bCs/>
                <w:kern w:val="2"/>
                <w:sz w:val="24"/>
              </w:rPr>
            </w:pPr>
          </w:p>
        </w:tc>
        <w:tc>
          <w:tcPr>
            <w:tcW w:w="5925" w:type="dxa"/>
            <w:tcBorders>
              <w:top w:val="single" w:color="auto" w:sz="4" w:space="0"/>
              <w:left w:val="single" w:color="auto" w:sz="4" w:space="0"/>
              <w:bottom w:val="single" w:color="auto" w:sz="4" w:space="0"/>
              <w:right w:val="single" w:color="auto" w:sz="4" w:space="0"/>
            </w:tcBorders>
          </w:tcPr>
          <w:p w14:paraId="33A07ACA">
            <w:pPr>
              <w:spacing w:line="360" w:lineRule="auto"/>
              <w:rPr>
                <w:rFonts w:ascii="宋体" w:hAnsi="宋体" w:eastAsia="宋体" w:cs="Times New Roman"/>
                <w:bCs/>
                <w:kern w:val="2"/>
                <w:sz w:val="24"/>
              </w:rPr>
            </w:pPr>
            <w:r>
              <w:rPr>
                <w:rFonts w:hint="eastAsia" w:ascii="宋体" w:hAnsi="宋体" w:eastAsia="宋体" w:cs="Times New Roman"/>
                <w:bCs/>
                <w:kern w:val="2"/>
                <w:sz w:val="24"/>
              </w:rPr>
              <w:t>3、墙面清洁无积灰、蜘蛛网。</w:t>
            </w:r>
          </w:p>
        </w:tc>
        <w:tc>
          <w:tcPr>
            <w:tcW w:w="1248" w:type="dxa"/>
            <w:tcBorders>
              <w:top w:val="single" w:color="auto" w:sz="4" w:space="0"/>
              <w:left w:val="single" w:color="auto" w:sz="4" w:space="0"/>
              <w:bottom w:val="single" w:color="auto" w:sz="4" w:space="0"/>
              <w:right w:val="single" w:color="auto" w:sz="4" w:space="0"/>
            </w:tcBorders>
          </w:tcPr>
          <w:p w14:paraId="777DD4FA">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25357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293" w:type="dxa"/>
            <w:vMerge w:val="continue"/>
            <w:tcBorders>
              <w:top w:val="single" w:color="auto" w:sz="4" w:space="0"/>
              <w:left w:val="single" w:color="auto" w:sz="4" w:space="0"/>
              <w:bottom w:val="single" w:color="auto" w:sz="4" w:space="0"/>
              <w:right w:val="single" w:color="auto" w:sz="4" w:space="0"/>
            </w:tcBorders>
            <w:vAlign w:val="center"/>
          </w:tcPr>
          <w:p w14:paraId="467217C8">
            <w:pPr>
              <w:widowControl/>
              <w:jc w:val="left"/>
              <w:rPr>
                <w:rFonts w:ascii="宋体" w:hAnsi="宋体" w:eastAsia="宋体" w:cs="Times New Roman"/>
                <w:bCs/>
                <w:kern w:val="2"/>
                <w:sz w:val="24"/>
              </w:rPr>
            </w:pPr>
          </w:p>
        </w:tc>
        <w:tc>
          <w:tcPr>
            <w:tcW w:w="675" w:type="dxa"/>
            <w:vMerge w:val="continue"/>
            <w:tcBorders>
              <w:top w:val="single" w:color="auto" w:sz="4" w:space="0"/>
              <w:left w:val="single" w:color="auto" w:sz="4" w:space="0"/>
              <w:bottom w:val="single" w:color="auto" w:sz="4" w:space="0"/>
              <w:right w:val="single" w:color="auto" w:sz="4" w:space="0"/>
            </w:tcBorders>
            <w:vAlign w:val="center"/>
          </w:tcPr>
          <w:p w14:paraId="470B4B35">
            <w:pPr>
              <w:widowControl/>
              <w:jc w:val="left"/>
              <w:rPr>
                <w:rFonts w:ascii="宋体" w:hAnsi="宋体" w:eastAsia="宋体" w:cs="Times New Roman"/>
                <w:bCs/>
                <w:kern w:val="2"/>
                <w:sz w:val="24"/>
              </w:rPr>
            </w:pPr>
          </w:p>
        </w:tc>
        <w:tc>
          <w:tcPr>
            <w:tcW w:w="5925" w:type="dxa"/>
            <w:tcBorders>
              <w:top w:val="single" w:color="auto" w:sz="4" w:space="0"/>
              <w:left w:val="single" w:color="auto" w:sz="4" w:space="0"/>
              <w:bottom w:val="single" w:color="auto" w:sz="4" w:space="0"/>
              <w:right w:val="single" w:color="auto" w:sz="4" w:space="0"/>
            </w:tcBorders>
          </w:tcPr>
          <w:p w14:paraId="6D77BC03">
            <w:pPr>
              <w:spacing w:line="360" w:lineRule="auto"/>
              <w:rPr>
                <w:rFonts w:ascii="宋体" w:hAnsi="宋体" w:eastAsia="宋体" w:cs="Times New Roman"/>
                <w:bCs/>
                <w:kern w:val="2"/>
                <w:sz w:val="24"/>
              </w:rPr>
            </w:pPr>
            <w:r>
              <w:rPr>
                <w:rFonts w:hint="eastAsia" w:ascii="宋体" w:hAnsi="宋体" w:eastAsia="宋体" w:cs="Times New Roman"/>
                <w:bCs/>
                <w:kern w:val="2"/>
                <w:sz w:val="24"/>
              </w:rPr>
              <w:t>4、各类管道清洁无明显积灰。</w:t>
            </w:r>
          </w:p>
        </w:tc>
        <w:tc>
          <w:tcPr>
            <w:tcW w:w="1248" w:type="dxa"/>
            <w:tcBorders>
              <w:top w:val="single" w:color="auto" w:sz="4" w:space="0"/>
              <w:left w:val="single" w:color="auto" w:sz="4" w:space="0"/>
              <w:bottom w:val="single" w:color="auto" w:sz="4" w:space="0"/>
              <w:right w:val="single" w:color="auto" w:sz="4" w:space="0"/>
            </w:tcBorders>
          </w:tcPr>
          <w:p w14:paraId="3DB5C840">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03623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293" w:type="dxa"/>
            <w:vMerge w:val="continue"/>
            <w:tcBorders>
              <w:top w:val="single" w:color="auto" w:sz="4" w:space="0"/>
              <w:left w:val="single" w:color="auto" w:sz="4" w:space="0"/>
              <w:bottom w:val="single" w:color="auto" w:sz="4" w:space="0"/>
              <w:right w:val="single" w:color="auto" w:sz="4" w:space="0"/>
            </w:tcBorders>
            <w:vAlign w:val="center"/>
          </w:tcPr>
          <w:p w14:paraId="4C084528">
            <w:pPr>
              <w:widowControl/>
              <w:jc w:val="left"/>
              <w:rPr>
                <w:rFonts w:ascii="宋体" w:hAnsi="宋体" w:eastAsia="宋体" w:cs="Times New Roman"/>
                <w:bCs/>
                <w:kern w:val="2"/>
                <w:sz w:val="24"/>
              </w:rPr>
            </w:pPr>
          </w:p>
        </w:tc>
        <w:tc>
          <w:tcPr>
            <w:tcW w:w="675" w:type="dxa"/>
            <w:vMerge w:val="continue"/>
            <w:tcBorders>
              <w:top w:val="single" w:color="auto" w:sz="4" w:space="0"/>
              <w:left w:val="single" w:color="auto" w:sz="4" w:space="0"/>
              <w:bottom w:val="single" w:color="auto" w:sz="4" w:space="0"/>
              <w:right w:val="single" w:color="auto" w:sz="4" w:space="0"/>
            </w:tcBorders>
            <w:vAlign w:val="center"/>
          </w:tcPr>
          <w:p w14:paraId="76B5FC98">
            <w:pPr>
              <w:widowControl/>
              <w:jc w:val="left"/>
              <w:rPr>
                <w:rFonts w:ascii="宋体" w:hAnsi="宋体" w:eastAsia="宋体" w:cs="Times New Roman"/>
                <w:bCs/>
                <w:kern w:val="2"/>
                <w:sz w:val="24"/>
              </w:rPr>
            </w:pPr>
          </w:p>
        </w:tc>
        <w:tc>
          <w:tcPr>
            <w:tcW w:w="5925" w:type="dxa"/>
            <w:tcBorders>
              <w:top w:val="single" w:color="auto" w:sz="4" w:space="0"/>
              <w:left w:val="single" w:color="auto" w:sz="4" w:space="0"/>
              <w:bottom w:val="single" w:color="auto" w:sz="4" w:space="0"/>
              <w:right w:val="single" w:color="auto" w:sz="4" w:space="0"/>
            </w:tcBorders>
          </w:tcPr>
          <w:p w14:paraId="0C6AC911">
            <w:pPr>
              <w:spacing w:line="360" w:lineRule="auto"/>
              <w:rPr>
                <w:rFonts w:ascii="宋体" w:hAnsi="宋体" w:eastAsia="宋体" w:cs="Times New Roman"/>
                <w:bCs/>
                <w:kern w:val="2"/>
                <w:sz w:val="24"/>
              </w:rPr>
            </w:pPr>
            <w:r>
              <w:rPr>
                <w:rFonts w:hint="eastAsia" w:ascii="宋体" w:hAnsi="宋体" w:eastAsia="宋体" w:cs="Times New Roman"/>
                <w:bCs/>
                <w:kern w:val="2"/>
                <w:sz w:val="24"/>
              </w:rPr>
              <w:t>5、消防箱（栓）等消防设备外观清洁无积灰。</w:t>
            </w:r>
          </w:p>
        </w:tc>
        <w:tc>
          <w:tcPr>
            <w:tcW w:w="1248" w:type="dxa"/>
            <w:tcBorders>
              <w:top w:val="single" w:color="auto" w:sz="4" w:space="0"/>
              <w:left w:val="single" w:color="auto" w:sz="4" w:space="0"/>
              <w:bottom w:val="single" w:color="auto" w:sz="4" w:space="0"/>
              <w:right w:val="single" w:color="auto" w:sz="4" w:space="0"/>
            </w:tcBorders>
          </w:tcPr>
          <w:p w14:paraId="0D9205D3">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772C1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293" w:type="dxa"/>
            <w:vMerge w:val="continue"/>
            <w:tcBorders>
              <w:top w:val="single" w:color="auto" w:sz="4" w:space="0"/>
              <w:left w:val="single" w:color="auto" w:sz="4" w:space="0"/>
              <w:bottom w:val="single" w:color="auto" w:sz="4" w:space="0"/>
              <w:right w:val="single" w:color="auto" w:sz="4" w:space="0"/>
            </w:tcBorders>
            <w:vAlign w:val="center"/>
          </w:tcPr>
          <w:p w14:paraId="7A13A76C">
            <w:pPr>
              <w:widowControl/>
              <w:jc w:val="left"/>
              <w:rPr>
                <w:rFonts w:ascii="宋体" w:hAnsi="宋体" w:eastAsia="宋体" w:cs="Times New Roman"/>
                <w:bCs/>
                <w:kern w:val="2"/>
                <w:sz w:val="24"/>
              </w:rPr>
            </w:pPr>
          </w:p>
        </w:tc>
        <w:tc>
          <w:tcPr>
            <w:tcW w:w="675" w:type="dxa"/>
            <w:vMerge w:val="continue"/>
            <w:tcBorders>
              <w:top w:val="single" w:color="auto" w:sz="4" w:space="0"/>
              <w:left w:val="single" w:color="auto" w:sz="4" w:space="0"/>
              <w:bottom w:val="single" w:color="auto" w:sz="4" w:space="0"/>
              <w:right w:val="single" w:color="auto" w:sz="4" w:space="0"/>
            </w:tcBorders>
            <w:vAlign w:val="center"/>
          </w:tcPr>
          <w:p w14:paraId="28046E42">
            <w:pPr>
              <w:widowControl/>
              <w:jc w:val="left"/>
              <w:rPr>
                <w:rFonts w:ascii="宋体" w:hAnsi="宋体" w:eastAsia="宋体" w:cs="Times New Roman"/>
                <w:bCs/>
                <w:kern w:val="2"/>
                <w:sz w:val="24"/>
              </w:rPr>
            </w:pPr>
          </w:p>
        </w:tc>
        <w:tc>
          <w:tcPr>
            <w:tcW w:w="5925" w:type="dxa"/>
            <w:tcBorders>
              <w:top w:val="single" w:color="auto" w:sz="4" w:space="0"/>
              <w:left w:val="single" w:color="auto" w:sz="4" w:space="0"/>
              <w:bottom w:val="single" w:color="auto" w:sz="4" w:space="0"/>
              <w:right w:val="single" w:color="auto" w:sz="4" w:space="0"/>
            </w:tcBorders>
          </w:tcPr>
          <w:p w14:paraId="50F7937F">
            <w:pPr>
              <w:spacing w:line="360" w:lineRule="auto"/>
              <w:rPr>
                <w:rFonts w:ascii="宋体" w:hAnsi="宋体" w:eastAsia="宋体" w:cs="Times New Roman"/>
                <w:bCs/>
                <w:kern w:val="2"/>
                <w:sz w:val="24"/>
              </w:rPr>
            </w:pPr>
            <w:r>
              <w:rPr>
                <w:rFonts w:hint="eastAsia" w:ascii="宋体" w:hAnsi="宋体" w:eastAsia="宋体" w:cs="Times New Roman"/>
                <w:bCs/>
                <w:kern w:val="2"/>
                <w:sz w:val="24"/>
              </w:rPr>
              <w:t>6、各类开关等设备清洁无浮灰。</w:t>
            </w:r>
          </w:p>
        </w:tc>
        <w:tc>
          <w:tcPr>
            <w:tcW w:w="1248" w:type="dxa"/>
            <w:tcBorders>
              <w:top w:val="single" w:color="auto" w:sz="4" w:space="0"/>
              <w:left w:val="single" w:color="auto" w:sz="4" w:space="0"/>
              <w:bottom w:val="single" w:color="auto" w:sz="4" w:space="0"/>
              <w:right w:val="single" w:color="auto" w:sz="4" w:space="0"/>
            </w:tcBorders>
          </w:tcPr>
          <w:p w14:paraId="092216F1">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0E1B4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293" w:type="dxa"/>
            <w:vMerge w:val="continue"/>
            <w:tcBorders>
              <w:top w:val="single" w:color="auto" w:sz="4" w:space="0"/>
              <w:left w:val="single" w:color="auto" w:sz="4" w:space="0"/>
              <w:bottom w:val="single" w:color="auto" w:sz="4" w:space="0"/>
              <w:right w:val="single" w:color="auto" w:sz="4" w:space="0"/>
            </w:tcBorders>
            <w:vAlign w:val="center"/>
          </w:tcPr>
          <w:p w14:paraId="5CED5B70">
            <w:pPr>
              <w:widowControl/>
              <w:jc w:val="left"/>
              <w:rPr>
                <w:rFonts w:ascii="宋体" w:hAnsi="宋体" w:eastAsia="宋体" w:cs="Times New Roman"/>
                <w:bCs/>
                <w:kern w:val="2"/>
                <w:sz w:val="24"/>
              </w:rPr>
            </w:pPr>
          </w:p>
        </w:tc>
        <w:tc>
          <w:tcPr>
            <w:tcW w:w="675" w:type="dxa"/>
            <w:vMerge w:val="restart"/>
            <w:tcBorders>
              <w:top w:val="single" w:color="auto" w:sz="4" w:space="0"/>
              <w:left w:val="single" w:color="auto" w:sz="4" w:space="0"/>
              <w:bottom w:val="single" w:color="auto" w:sz="4" w:space="0"/>
              <w:right w:val="single" w:color="auto" w:sz="4" w:space="0"/>
            </w:tcBorders>
            <w:vAlign w:val="center"/>
          </w:tcPr>
          <w:p w14:paraId="1AAEF1A0">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通</w:t>
            </w:r>
          </w:p>
          <w:p w14:paraId="12846B7B">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道</w:t>
            </w:r>
          </w:p>
        </w:tc>
        <w:tc>
          <w:tcPr>
            <w:tcW w:w="5925" w:type="dxa"/>
            <w:tcBorders>
              <w:top w:val="single" w:color="auto" w:sz="4" w:space="0"/>
              <w:left w:val="single" w:color="auto" w:sz="4" w:space="0"/>
              <w:bottom w:val="single" w:color="auto" w:sz="4" w:space="0"/>
              <w:right w:val="single" w:color="auto" w:sz="4" w:space="0"/>
            </w:tcBorders>
          </w:tcPr>
          <w:p w14:paraId="368D02AD">
            <w:pPr>
              <w:spacing w:line="360" w:lineRule="auto"/>
              <w:rPr>
                <w:rFonts w:ascii="宋体" w:hAnsi="宋体" w:eastAsia="宋体" w:cs="Times New Roman"/>
                <w:bCs/>
                <w:kern w:val="2"/>
                <w:sz w:val="24"/>
              </w:rPr>
            </w:pPr>
            <w:r>
              <w:rPr>
                <w:rFonts w:hint="eastAsia" w:ascii="宋体" w:hAnsi="宋体" w:eastAsia="宋体" w:cs="Times New Roman"/>
                <w:bCs/>
                <w:kern w:val="2"/>
                <w:sz w:val="24"/>
              </w:rPr>
              <w:t>1、地面清洁无污迹。</w:t>
            </w:r>
          </w:p>
        </w:tc>
        <w:tc>
          <w:tcPr>
            <w:tcW w:w="1248" w:type="dxa"/>
            <w:tcBorders>
              <w:top w:val="single" w:color="auto" w:sz="4" w:space="0"/>
              <w:left w:val="single" w:color="auto" w:sz="4" w:space="0"/>
              <w:bottom w:val="single" w:color="auto" w:sz="4" w:space="0"/>
              <w:right w:val="single" w:color="auto" w:sz="4" w:space="0"/>
            </w:tcBorders>
          </w:tcPr>
          <w:p w14:paraId="50F667D6">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40F8C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293" w:type="dxa"/>
            <w:vMerge w:val="continue"/>
            <w:tcBorders>
              <w:top w:val="single" w:color="auto" w:sz="4" w:space="0"/>
              <w:left w:val="single" w:color="auto" w:sz="4" w:space="0"/>
              <w:bottom w:val="single" w:color="auto" w:sz="4" w:space="0"/>
              <w:right w:val="single" w:color="auto" w:sz="4" w:space="0"/>
            </w:tcBorders>
            <w:vAlign w:val="center"/>
          </w:tcPr>
          <w:p w14:paraId="44D5B983">
            <w:pPr>
              <w:widowControl/>
              <w:jc w:val="left"/>
              <w:rPr>
                <w:rFonts w:ascii="宋体" w:hAnsi="宋体" w:eastAsia="宋体" w:cs="Times New Roman"/>
                <w:bCs/>
                <w:kern w:val="2"/>
                <w:sz w:val="24"/>
              </w:rPr>
            </w:pPr>
          </w:p>
        </w:tc>
        <w:tc>
          <w:tcPr>
            <w:tcW w:w="675" w:type="dxa"/>
            <w:vMerge w:val="continue"/>
            <w:tcBorders>
              <w:top w:val="single" w:color="auto" w:sz="4" w:space="0"/>
              <w:left w:val="single" w:color="auto" w:sz="4" w:space="0"/>
              <w:bottom w:val="single" w:color="auto" w:sz="4" w:space="0"/>
              <w:right w:val="single" w:color="auto" w:sz="4" w:space="0"/>
            </w:tcBorders>
            <w:vAlign w:val="center"/>
          </w:tcPr>
          <w:p w14:paraId="21F0E6AA">
            <w:pPr>
              <w:widowControl/>
              <w:jc w:val="left"/>
              <w:rPr>
                <w:rFonts w:ascii="宋体" w:hAnsi="宋体" w:eastAsia="宋体" w:cs="Times New Roman"/>
                <w:bCs/>
                <w:kern w:val="2"/>
                <w:sz w:val="24"/>
              </w:rPr>
            </w:pPr>
          </w:p>
        </w:tc>
        <w:tc>
          <w:tcPr>
            <w:tcW w:w="5925" w:type="dxa"/>
            <w:tcBorders>
              <w:top w:val="single" w:color="auto" w:sz="4" w:space="0"/>
              <w:left w:val="single" w:color="auto" w:sz="4" w:space="0"/>
              <w:bottom w:val="single" w:color="auto" w:sz="4" w:space="0"/>
              <w:right w:val="single" w:color="auto" w:sz="4" w:space="0"/>
            </w:tcBorders>
          </w:tcPr>
          <w:p w14:paraId="1D509DE7">
            <w:pPr>
              <w:spacing w:line="360" w:lineRule="auto"/>
              <w:rPr>
                <w:rFonts w:ascii="宋体" w:hAnsi="宋体" w:eastAsia="宋体" w:cs="Times New Roman"/>
                <w:bCs/>
                <w:kern w:val="2"/>
                <w:sz w:val="24"/>
              </w:rPr>
            </w:pPr>
            <w:r>
              <w:rPr>
                <w:rFonts w:hint="eastAsia" w:ascii="宋体" w:hAnsi="宋体" w:eastAsia="宋体" w:cs="Times New Roman"/>
                <w:bCs/>
                <w:kern w:val="2"/>
                <w:sz w:val="24"/>
              </w:rPr>
              <w:t>2、电梯门、门套、门缝清洁无污迹，不锈钢饰面上油均匀。</w:t>
            </w:r>
          </w:p>
        </w:tc>
        <w:tc>
          <w:tcPr>
            <w:tcW w:w="1248" w:type="dxa"/>
            <w:tcBorders>
              <w:top w:val="single" w:color="auto" w:sz="4" w:space="0"/>
              <w:left w:val="single" w:color="auto" w:sz="4" w:space="0"/>
              <w:bottom w:val="single" w:color="auto" w:sz="4" w:space="0"/>
              <w:right w:val="single" w:color="auto" w:sz="4" w:space="0"/>
            </w:tcBorders>
          </w:tcPr>
          <w:p w14:paraId="0756643E">
            <w:pPr>
              <w:spacing w:line="360" w:lineRule="auto"/>
              <w:rPr>
                <w:rFonts w:ascii="宋体" w:hAnsi="宋体" w:eastAsia="宋体" w:cs="Times New Roman"/>
                <w:bCs/>
                <w:kern w:val="2"/>
                <w:sz w:val="24"/>
              </w:rPr>
            </w:pPr>
            <w:r>
              <w:rPr>
                <w:rFonts w:hint="eastAsia" w:ascii="宋体" w:hAnsi="宋体" w:eastAsia="宋体" w:cs="Times New Roman"/>
                <w:bCs/>
                <w:kern w:val="2"/>
                <w:sz w:val="24"/>
              </w:rPr>
              <w:t>不少于4次/日</w:t>
            </w:r>
          </w:p>
        </w:tc>
      </w:tr>
      <w:tr w14:paraId="1EF17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293" w:type="dxa"/>
            <w:vMerge w:val="continue"/>
            <w:tcBorders>
              <w:top w:val="single" w:color="auto" w:sz="4" w:space="0"/>
              <w:left w:val="single" w:color="auto" w:sz="4" w:space="0"/>
              <w:bottom w:val="single" w:color="auto" w:sz="4" w:space="0"/>
              <w:right w:val="single" w:color="auto" w:sz="4" w:space="0"/>
            </w:tcBorders>
            <w:vAlign w:val="center"/>
          </w:tcPr>
          <w:p w14:paraId="6A67C70A">
            <w:pPr>
              <w:widowControl/>
              <w:jc w:val="left"/>
              <w:rPr>
                <w:rFonts w:ascii="宋体" w:hAnsi="宋体" w:eastAsia="宋体" w:cs="Times New Roman"/>
                <w:bCs/>
                <w:kern w:val="2"/>
                <w:sz w:val="24"/>
              </w:rPr>
            </w:pPr>
          </w:p>
        </w:tc>
        <w:tc>
          <w:tcPr>
            <w:tcW w:w="675" w:type="dxa"/>
            <w:vMerge w:val="continue"/>
            <w:tcBorders>
              <w:top w:val="single" w:color="auto" w:sz="4" w:space="0"/>
              <w:left w:val="single" w:color="auto" w:sz="4" w:space="0"/>
              <w:bottom w:val="single" w:color="auto" w:sz="4" w:space="0"/>
              <w:right w:val="single" w:color="auto" w:sz="4" w:space="0"/>
            </w:tcBorders>
            <w:vAlign w:val="center"/>
          </w:tcPr>
          <w:p w14:paraId="35B0FF14">
            <w:pPr>
              <w:widowControl/>
              <w:jc w:val="left"/>
              <w:rPr>
                <w:rFonts w:ascii="宋体" w:hAnsi="宋体" w:eastAsia="宋体" w:cs="Times New Roman"/>
                <w:bCs/>
                <w:kern w:val="2"/>
                <w:sz w:val="24"/>
              </w:rPr>
            </w:pPr>
          </w:p>
        </w:tc>
        <w:tc>
          <w:tcPr>
            <w:tcW w:w="5925" w:type="dxa"/>
            <w:tcBorders>
              <w:top w:val="single" w:color="auto" w:sz="4" w:space="0"/>
              <w:left w:val="single" w:color="auto" w:sz="4" w:space="0"/>
              <w:bottom w:val="single" w:color="auto" w:sz="4" w:space="0"/>
              <w:right w:val="single" w:color="auto" w:sz="4" w:space="0"/>
            </w:tcBorders>
          </w:tcPr>
          <w:p w14:paraId="099FAF04">
            <w:pPr>
              <w:spacing w:line="360" w:lineRule="auto"/>
              <w:rPr>
                <w:rFonts w:ascii="宋体" w:hAnsi="宋体" w:eastAsia="宋体" w:cs="Times New Roman"/>
                <w:bCs/>
                <w:kern w:val="2"/>
                <w:sz w:val="24"/>
              </w:rPr>
            </w:pPr>
            <w:r>
              <w:rPr>
                <w:rFonts w:hint="eastAsia" w:ascii="宋体" w:hAnsi="宋体" w:eastAsia="宋体" w:cs="Times New Roman"/>
                <w:bCs/>
                <w:kern w:val="2"/>
                <w:sz w:val="24"/>
              </w:rPr>
              <w:t>3、库房整洁，物品堆放整齐。</w:t>
            </w:r>
          </w:p>
          <w:p w14:paraId="1B30297B">
            <w:pPr>
              <w:spacing w:line="360" w:lineRule="auto"/>
              <w:rPr>
                <w:rFonts w:ascii="宋体" w:hAnsi="宋体" w:eastAsia="宋体" w:cs="Times New Roman"/>
                <w:bCs/>
                <w:kern w:val="2"/>
                <w:sz w:val="24"/>
              </w:rPr>
            </w:pPr>
          </w:p>
        </w:tc>
        <w:tc>
          <w:tcPr>
            <w:tcW w:w="1248" w:type="dxa"/>
            <w:tcBorders>
              <w:top w:val="single" w:color="auto" w:sz="4" w:space="0"/>
              <w:left w:val="single" w:color="auto" w:sz="4" w:space="0"/>
              <w:bottom w:val="single" w:color="auto" w:sz="4" w:space="0"/>
              <w:right w:val="single" w:color="auto" w:sz="4" w:space="0"/>
            </w:tcBorders>
          </w:tcPr>
          <w:p w14:paraId="1141EE5A">
            <w:pPr>
              <w:spacing w:line="360" w:lineRule="auto"/>
              <w:rPr>
                <w:rFonts w:ascii="宋体" w:hAnsi="宋体" w:eastAsia="宋体" w:cs="Times New Roman"/>
                <w:bCs/>
                <w:kern w:val="2"/>
                <w:sz w:val="24"/>
              </w:rPr>
            </w:pPr>
          </w:p>
        </w:tc>
      </w:tr>
      <w:tr w14:paraId="3C817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293" w:type="dxa"/>
            <w:vMerge w:val="continue"/>
            <w:tcBorders>
              <w:top w:val="single" w:color="auto" w:sz="4" w:space="0"/>
              <w:left w:val="single" w:color="auto" w:sz="4" w:space="0"/>
              <w:bottom w:val="single" w:color="auto" w:sz="4" w:space="0"/>
              <w:right w:val="single" w:color="auto" w:sz="4" w:space="0"/>
            </w:tcBorders>
            <w:vAlign w:val="center"/>
          </w:tcPr>
          <w:p w14:paraId="58594C0E">
            <w:pPr>
              <w:widowControl/>
              <w:jc w:val="left"/>
              <w:rPr>
                <w:rFonts w:ascii="宋体" w:hAnsi="宋体" w:eastAsia="宋体" w:cs="Times New Roman"/>
                <w:bCs/>
                <w:kern w:val="2"/>
                <w:sz w:val="24"/>
              </w:rPr>
            </w:pPr>
          </w:p>
        </w:tc>
        <w:tc>
          <w:tcPr>
            <w:tcW w:w="675" w:type="dxa"/>
            <w:vMerge w:val="continue"/>
            <w:tcBorders>
              <w:top w:val="single" w:color="auto" w:sz="4" w:space="0"/>
              <w:left w:val="single" w:color="auto" w:sz="4" w:space="0"/>
              <w:bottom w:val="single" w:color="auto" w:sz="4" w:space="0"/>
              <w:right w:val="single" w:color="auto" w:sz="4" w:space="0"/>
            </w:tcBorders>
            <w:vAlign w:val="center"/>
          </w:tcPr>
          <w:p w14:paraId="0876757A">
            <w:pPr>
              <w:widowControl/>
              <w:jc w:val="left"/>
              <w:rPr>
                <w:rFonts w:ascii="宋体" w:hAnsi="宋体" w:eastAsia="宋体" w:cs="Times New Roman"/>
                <w:bCs/>
                <w:kern w:val="2"/>
                <w:sz w:val="24"/>
              </w:rPr>
            </w:pPr>
          </w:p>
        </w:tc>
        <w:tc>
          <w:tcPr>
            <w:tcW w:w="5925" w:type="dxa"/>
            <w:tcBorders>
              <w:top w:val="single" w:color="auto" w:sz="4" w:space="0"/>
              <w:left w:val="single" w:color="auto" w:sz="4" w:space="0"/>
              <w:bottom w:val="single" w:color="auto" w:sz="4" w:space="0"/>
              <w:right w:val="single" w:color="auto" w:sz="4" w:space="0"/>
            </w:tcBorders>
          </w:tcPr>
          <w:p w14:paraId="27CE9A33">
            <w:pPr>
              <w:spacing w:line="360" w:lineRule="auto"/>
              <w:rPr>
                <w:rFonts w:ascii="宋体" w:hAnsi="宋体" w:eastAsia="宋体" w:cs="Times New Roman"/>
                <w:bCs/>
                <w:kern w:val="2"/>
                <w:sz w:val="24"/>
              </w:rPr>
            </w:pPr>
            <w:r>
              <w:rPr>
                <w:rFonts w:hint="eastAsia" w:ascii="宋体" w:hAnsi="宋体" w:eastAsia="宋体" w:cs="Times New Roman"/>
                <w:bCs/>
                <w:kern w:val="2"/>
                <w:sz w:val="24"/>
              </w:rPr>
              <w:t>4、门、门头清洁无积灰。</w:t>
            </w:r>
          </w:p>
        </w:tc>
        <w:tc>
          <w:tcPr>
            <w:tcW w:w="1248" w:type="dxa"/>
            <w:tcBorders>
              <w:top w:val="single" w:color="auto" w:sz="4" w:space="0"/>
              <w:left w:val="single" w:color="auto" w:sz="4" w:space="0"/>
              <w:bottom w:val="single" w:color="auto" w:sz="4" w:space="0"/>
              <w:right w:val="single" w:color="auto" w:sz="4" w:space="0"/>
            </w:tcBorders>
          </w:tcPr>
          <w:p w14:paraId="4731958C">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r w14:paraId="6EA25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293" w:type="dxa"/>
            <w:gridSpan w:val="2"/>
            <w:tcBorders>
              <w:top w:val="single" w:color="auto" w:sz="4" w:space="0"/>
              <w:left w:val="single" w:color="auto" w:sz="4" w:space="0"/>
              <w:bottom w:val="single" w:color="auto" w:sz="4" w:space="0"/>
              <w:right w:val="single" w:color="auto" w:sz="4" w:space="0"/>
            </w:tcBorders>
            <w:vAlign w:val="center"/>
          </w:tcPr>
          <w:p w14:paraId="24F75C9F">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设备机房</w:t>
            </w:r>
          </w:p>
        </w:tc>
        <w:tc>
          <w:tcPr>
            <w:tcW w:w="5925" w:type="dxa"/>
            <w:tcBorders>
              <w:top w:val="single" w:color="auto" w:sz="4" w:space="0"/>
              <w:left w:val="single" w:color="auto" w:sz="4" w:space="0"/>
              <w:bottom w:val="single" w:color="auto" w:sz="4" w:space="0"/>
              <w:right w:val="single" w:color="auto" w:sz="4" w:space="0"/>
            </w:tcBorders>
          </w:tcPr>
          <w:p w14:paraId="71804F3E">
            <w:pPr>
              <w:spacing w:line="360" w:lineRule="auto"/>
              <w:rPr>
                <w:rFonts w:ascii="宋体" w:hAnsi="宋体" w:eastAsia="宋体" w:cs="Times New Roman"/>
                <w:bCs/>
                <w:kern w:val="2"/>
                <w:sz w:val="24"/>
              </w:rPr>
            </w:pPr>
            <w:r>
              <w:rPr>
                <w:rFonts w:hint="eastAsia" w:ascii="宋体" w:hAnsi="宋体" w:eastAsia="宋体" w:cs="Times New Roman"/>
                <w:bCs/>
                <w:kern w:val="2"/>
                <w:sz w:val="24"/>
              </w:rPr>
              <w:t>根据相关人员要求协助进行。</w:t>
            </w:r>
          </w:p>
        </w:tc>
        <w:tc>
          <w:tcPr>
            <w:tcW w:w="1248" w:type="dxa"/>
            <w:tcBorders>
              <w:top w:val="single" w:color="auto" w:sz="4" w:space="0"/>
              <w:left w:val="single" w:color="auto" w:sz="4" w:space="0"/>
              <w:bottom w:val="single" w:color="auto" w:sz="4" w:space="0"/>
              <w:right w:val="single" w:color="auto" w:sz="4" w:space="0"/>
            </w:tcBorders>
          </w:tcPr>
          <w:p w14:paraId="22705437">
            <w:pPr>
              <w:spacing w:line="360" w:lineRule="auto"/>
              <w:rPr>
                <w:rFonts w:ascii="宋体" w:hAnsi="宋体" w:eastAsia="宋体" w:cs="Times New Roman"/>
                <w:bCs/>
                <w:kern w:val="2"/>
                <w:sz w:val="24"/>
              </w:rPr>
            </w:pPr>
            <w:r>
              <w:rPr>
                <w:rFonts w:hint="eastAsia" w:ascii="宋体" w:hAnsi="宋体" w:eastAsia="宋体" w:cs="Times New Roman"/>
                <w:bCs/>
                <w:kern w:val="2"/>
                <w:sz w:val="24"/>
              </w:rPr>
              <w:t>必要时</w:t>
            </w:r>
          </w:p>
        </w:tc>
      </w:tr>
      <w:tr w14:paraId="1C4E4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1293" w:type="dxa"/>
            <w:gridSpan w:val="2"/>
            <w:tcBorders>
              <w:top w:val="single" w:color="auto" w:sz="4" w:space="0"/>
              <w:left w:val="single" w:color="auto" w:sz="4" w:space="0"/>
              <w:bottom w:val="single" w:color="auto" w:sz="4" w:space="0"/>
              <w:right w:val="single" w:color="auto" w:sz="4" w:space="0"/>
            </w:tcBorders>
            <w:vAlign w:val="center"/>
          </w:tcPr>
          <w:p w14:paraId="0B0225D4">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节假日</w:t>
            </w:r>
          </w:p>
          <w:p w14:paraId="3A553DC0">
            <w:pPr>
              <w:spacing w:line="360" w:lineRule="auto"/>
              <w:jc w:val="center"/>
              <w:rPr>
                <w:rFonts w:ascii="宋体" w:hAnsi="宋体" w:eastAsia="宋体" w:cs="Times New Roman"/>
                <w:bCs/>
                <w:kern w:val="2"/>
                <w:sz w:val="24"/>
              </w:rPr>
            </w:pPr>
            <w:r>
              <w:rPr>
                <w:rFonts w:hint="eastAsia" w:ascii="宋体" w:hAnsi="宋体" w:eastAsia="宋体" w:cs="Times New Roman"/>
                <w:bCs/>
                <w:kern w:val="2"/>
                <w:sz w:val="24"/>
              </w:rPr>
              <w:t>值班</w:t>
            </w:r>
          </w:p>
        </w:tc>
        <w:tc>
          <w:tcPr>
            <w:tcW w:w="5925" w:type="dxa"/>
            <w:tcBorders>
              <w:top w:val="single" w:color="auto" w:sz="4" w:space="0"/>
              <w:left w:val="single" w:color="auto" w:sz="4" w:space="0"/>
              <w:bottom w:val="single" w:color="auto" w:sz="4" w:space="0"/>
              <w:right w:val="single" w:color="auto" w:sz="4" w:space="0"/>
            </w:tcBorders>
          </w:tcPr>
          <w:p w14:paraId="6885E020">
            <w:pPr>
              <w:spacing w:line="360" w:lineRule="auto"/>
              <w:rPr>
                <w:rFonts w:ascii="宋体" w:hAnsi="宋体" w:eastAsia="宋体" w:cs="Times New Roman"/>
                <w:bCs/>
                <w:kern w:val="2"/>
                <w:sz w:val="24"/>
              </w:rPr>
            </w:pPr>
            <w:r>
              <w:rPr>
                <w:rFonts w:hint="eastAsia" w:ascii="宋体" w:hAnsi="宋体" w:eastAsia="宋体" w:cs="Times New Roman"/>
                <w:bCs/>
                <w:kern w:val="2"/>
                <w:sz w:val="24"/>
              </w:rPr>
              <w:t>各层（含大厅、地下室）地面、开水间、洗手间巡视，垃圾清运庭院地面保洁、垃圾桶清洁、垃圾清运。</w:t>
            </w:r>
          </w:p>
        </w:tc>
        <w:tc>
          <w:tcPr>
            <w:tcW w:w="1248" w:type="dxa"/>
            <w:tcBorders>
              <w:top w:val="single" w:color="auto" w:sz="4" w:space="0"/>
              <w:left w:val="single" w:color="auto" w:sz="4" w:space="0"/>
              <w:bottom w:val="single" w:color="auto" w:sz="4" w:space="0"/>
              <w:right w:val="single" w:color="auto" w:sz="4" w:space="0"/>
            </w:tcBorders>
          </w:tcPr>
          <w:p w14:paraId="067A2F40">
            <w:pPr>
              <w:spacing w:line="360" w:lineRule="auto"/>
              <w:rPr>
                <w:rFonts w:ascii="宋体" w:hAnsi="宋体" w:eastAsia="宋体" w:cs="Times New Roman"/>
                <w:bCs/>
                <w:kern w:val="2"/>
                <w:sz w:val="24"/>
              </w:rPr>
            </w:pPr>
            <w:r>
              <w:rPr>
                <w:rFonts w:hint="eastAsia" w:ascii="宋体" w:hAnsi="宋体" w:eastAsia="宋体" w:cs="Times New Roman"/>
                <w:bCs/>
                <w:kern w:val="2"/>
                <w:sz w:val="24"/>
              </w:rPr>
              <w:t>巡视保洁</w:t>
            </w:r>
          </w:p>
        </w:tc>
      </w:tr>
    </w:tbl>
    <w:p w14:paraId="6D87779C">
      <w:pPr>
        <w:rPr>
          <w:rFonts w:ascii="宋体" w:hAnsi="宋体" w:eastAsia="宋体" w:cs="Times New Roman"/>
          <w:bCs/>
          <w:kern w:val="2"/>
          <w:sz w:val="24"/>
        </w:rPr>
      </w:pPr>
    </w:p>
    <w:p w14:paraId="7BBCC329">
      <w:pPr>
        <w:widowControl/>
        <w:spacing w:line="360" w:lineRule="auto"/>
        <w:ind w:firstLine="482" w:firstLineChars="200"/>
        <w:rPr>
          <w:rFonts w:ascii="宋体" w:hAnsi="宋体" w:eastAsia="宋体" w:cs="Times New Roman"/>
          <w:b/>
          <w:kern w:val="2"/>
          <w:sz w:val="24"/>
        </w:rPr>
      </w:pPr>
      <w:r>
        <w:rPr>
          <w:rFonts w:hint="eastAsia" w:ascii="宋体" w:hAnsi="宋体" w:eastAsia="宋体" w:cs="Times New Roman"/>
          <w:b/>
          <w:kern w:val="2"/>
          <w:sz w:val="24"/>
        </w:rPr>
        <w:t>7.4设备、设施的运行、管理和维护服务标准</w:t>
      </w:r>
    </w:p>
    <w:p w14:paraId="49C8599B">
      <w:pPr>
        <w:widowControl/>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1）负责对所管辖区域内所有设施设备的日常运行管理、检查保养和维修，由采购人委托专业维保单位负责的除外，做到服务热情、操作规范、检查及时、保养到位、修复如新、运行保障有力；确保工程设施、设备的正常运行、使用。</w:t>
      </w:r>
    </w:p>
    <w:p w14:paraId="08DB3142">
      <w:pPr>
        <w:widowControl/>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2）对消防、监控、电梯、空调等委托专业维保单位负责维修保养的设备设施，要加强安全使用管理，遇有故障及时报修，协调专业维保人员及时到场修复，积极协调各专业维保单位对相关设备进行定期保养与维护、检测与年检，督促专业维保单位按时、保质保量地开展维保工作。</w:t>
      </w:r>
    </w:p>
    <w:p w14:paraId="7C185261">
      <w:pPr>
        <w:widowControl/>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3）工程管理技术人员在检查保养维修过程中，要严格按照安全操作规程操作，要具有相应的专业技术水平和动手操作维修保养的经验及能力。</w:t>
      </w:r>
    </w:p>
    <w:p w14:paraId="36B5E8D1">
      <w:pPr>
        <w:widowControl/>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4）对配电房、消防泵房、安防监控室等重点部位和消火栓及灭火器等重点设备，要加强日常管理检查和维护保养；要定期检查消防器材，对需更新的消防器材及时提交书面报告；要定期对配电房内的电器设备、仪器仪表除尘、紧固和检测；要定期对主、备电源进行切换；要对应急电源，每月充电、放电试验一次；确保供电系统安全运行；确保消防、安全监控设施始终处于完好状态。</w:t>
      </w:r>
    </w:p>
    <w:p w14:paraId="2264A2B6">
      <w:pPr>
        <w:widowControl/>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5）按时采集区域内各类水、电、气表消耗数据，分析能耗状况，冒、滴、漏、长明灯、长流水等浪费现象；协助做好节电、节水节气等能工作。</w:t>
      </w:r>
    </w:p>
    <w:p w14:paraId="148D82E4">
      <w:pPr>
        <w:widowControl/>
        <w:spacing w:line="360" w:lineRule="auto"/>
        <w:ind w:firstLine="482" w:firstLineChars="200"/>
        <w:rPr>
          <w:rFonts w:ascii="宋体" w:hAnsi="宋体" w:eastAsia="宋体" w:cs="Times New Roman"/>
          <w:b/>
          <w:kern w:val="2"/>
          <w:sz w:val="24"/>
        </w:rPr>
      </w:pPr>
      <w:r>
        <w:rPr>
          <w:rFonts w:hint="eastAsia" w:ascii="宋体" w:hAnsi="宋体" w:eastAsia="宋体" w:cs="Times New Roman"/>
          <w:b/>
          <w:kern w:val="2"/>
          <w:sz w:val="24"/>
        </w:rPr>
        <w:t>7.5会务服务标准</w:t>
      </w:r>
    </w:p>
    <w:p w14:paraId="71FA56E4">
      <w:pPr>
        <w:widowControl/>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1）服务人员要统一着装、仪容得体、姿态端正、举止大方、精神饱满、微笑服务，随叫随应、耐心细致、热情周到、按服务规程做好各项保障工作。</w:t>
      </w:r>
    </w:p>
    <w:p w14:paraId="5F969A4D">
      <w:pPr>
        <w:widowControl/>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 xml:space="preserve">2）各会务、接待、引导等场所内所有物品应摆放整齐，洁净美观，所需物品（资料）准备齐全；                                                                                                                              </w:t>
      </w:r>
    </w:p>
    <w:p w14:paraId="539AA0B7">
      <w:pPr>
        <w:widowControl/>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3）进行参观接待时，在门口、电梯口等场所根据业主的需要，设置告示牌，进行引导接待；</w:t>
      </w:r>
    </w:p>
    <w:p w14:paraId="26279F92">
      <w:pPr>
        <w:widowControl/>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4）做好会议前的准备、会中的茶水供应和定时续水等具体服务及台后的清场、保洁和安全检查等整理工作；</w:t>
      </w:r>
    </w:p>
    <w:p w14:paraId="75AA82F0">
      <w:pPr>
        <w:widowControl/>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5）做好报刊邮件分发工作，按相关要求分类、分项、分发投递，准确无误及时送达；</w:t>
      </w:r>
    </w:p>
    <w:p w14:paraId="5F9ACB6C">
      <w:pPr>
        <w:widowControl/>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6）认真做好采购人赋予的其他临时性工作。</w:t>
      </w:r>
      <w:bookmarkEnd w:id="63"/>
      <w:bookmarkEnd w:id="64"/>
    </w:p>
    <w:p w14:paraId="03B08079">
      <w:pPr>
        <w:pStyle w:val="194"/>
        <w:spacing w:before="0" w:after="0" w:line="360" w:lineRule="auto"/>
        <w:ind w:firstLine="643"/>
        <w:rPr>
          <w:rFonts w:asciiTheme="minorEastAsia" w:hAnsiTheme="minorEastAsia" w:eastAsiaTheme="minorEastAsia"/>
        </w:rPr>
      </w:pPr>
      <w:r>
        <w:rPr>
          <w:rFonts w:hint="eastAsia" w:asciiTheme="minorEastAsia" w:hAnsiTheme="minorEastAsia" w:eastAsiaTheme="minorEastAsia"/>
        </w:rPr>
        <w:t>八、付款方式与履约保证金</w:t>
      </w:r>
    </w:p>
    <w:p w14:paraId="0C3EF31A">
      <w:pPr>
        <w:spacing w:line="360" w:lineRule="auto"/>
        <w:ind w:firstLine="480" w:firstLineChars="200"/>
        <w:rPr>
          <w:rFonts w:ascii="Calibri" w:hAnsi="Calibri" w:eastAsia="宋体" w:cs="Times New Roman"/>
          <w:kern w:val="2"/>
          <w:szCs w:val="21"/>
        </w:rPr>
      </w:pPr>
      <w:r>
        <w:rPr>
          <w:rFonts w:hint="eastAsia" w:ascii="Calibri" w:hAnsi="Calibri" w:eastAsia="宋体" w:cs="Times New Roman"/>
          <w:kern w:val="2"/>
          <w:sz w:val="24"/>
        </w:rPr>
        <w:t>1、付款方式</w:t>
      </w:r>
    </w:p>
    <w:p w14:paraId="67D315BD">
      <w:pPr>
        <w:spacing w:line="360" w:lineRule="auto"/>
        <w:ind w:firstLine="475" w:firstLineChars="198"/>
        <w:rPr>
          <w:rFonts w:ascii="宋体" w:hAnsi="宋体" w:eastAsia="宋体" w:cs="Times New Roman"/>
          <w:kern w:val="2"/>
          <w:sz w:val="24"/>
        </w:rPr>
      </w:pPr>
      <w:r>
        <w:rPr>
          <w:rFonts w:hint="eastAsia" w:ascii="宋体" w:hAnsi="宋体" w:eastAsia="宋体" w:cs="Times New Roman"/>
          <w:kern w:val="2"/>
          <w:sz w:val="24"/>
        </w:rPr>
        <w:t>按月考核，根据考核结果支付月度管理服务费。（提交支付申请时中标人应同时提供为本项目工作人员缴纳社会保险的证明）</w:t>
      </w:r>
    </w:p>
    <w:p w14:paraId="2009314C">
      <w:pPr>
        <w:spacing w:line="360" w:lineRule="auto"/>
        <w:ind w:firstLine="480"/>
        <w:rPr>
          <w:rFonts w:ascii="Times New Roman" w:hAnsi="Times New Roman" w:eastAsia="宋体" w:cs="Times New Roman"/>
          <w:sz w:val="24"/>
          <w:szCs w:val="24"/>
        </w:rPr>
      </w:pPr>
      <w:r>
        <w:rPr>
          <w:rFonts w:hint="eastAsia" w:ascii="Times New Roman" w:hAnsi="Times New Roman" w:eastAsia="宋体" w:cs="Times New Roman"/>
          <w:sz w:val="24"/>
          <w:szCs w:val="24"/>
        </w:rPr>
        <w:t>每次付款前中标人应向采购人开具正规增值税发票，采购人原则上应自收到发票后10个工作日内支付款项。</w:t>
      </w:r>
    </w:p>
    <w:p w14:paraId="0EB58824">
      <w:pPr>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1.1每月进行一次对物业服务进行考核，综合考核得分达85分，每月物业费全额支付，低于85分的每少1分，扣20000元。</w:t>
      </w:r>
    </w:p>
    <w:p w14:paraId="38544193">
      <w:pPr>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1.2如发生合同外服务事项，由双方协商相应费用，并由中标单位开具发票，采购人统一支付，中标单位需按时将费用发放给相应人员。</w:t>
      </w:r>
    </w:p>
    <w:p w14:paraId="3B692A1F">
      <w:pPr>
        <w:spacing w:line="360" w:lineRule="auto"/>
        <w:ind w:firstLine="480" w:firstLineChars="200"/>
        <w:rPr>
          <w:rFonts w:ascii="Calibri" w:hAnsi="Calibri" w:eastAsia="宋体" w:cs="Times New Roman"/>
          <w:kern w:val="2"/>
          <w:sz w:val="24"/>
        </w:rPr>
      </w:pPr>
      <w:r>
        <w:rPr>
          <w:rFonts w:hint="eastAsia" w:ascii="宋体" w:hAnsi="宋体" w:eastAsia="宋体" w:cs="Times New Roman"/>
          <w:bCs/>
          <w:kern w:val="2"/>
          <w:sz w:val="24"/>
        </w:rPr>
        <w:t>1.3合同到期时，中标人必须支持采购人工作，协助做好新旧两家服务单位的平稳过渡和交接工作。合同结束交接顺利完成后十五天内，付清全部尾款。连续三个月中标供应商考核不合格（考核评分低于75分），采购人有权取消合同。日常工作中因中标方工作失职的原因，发生重、特大安全责任事故，除赔偿损失外，采购人也有权取消合同。</w:t>
      </w:r>
    </w:p>
    <w:p w14:paraId="0BE114CB">
      <w:pPr>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2、履约保证金</w:t>
      </w:r>
    </w:p>
    <w:p w14:paraId="733373A2">
      <w:pPr>
        <w:spacing w:line="360" w:lineRule="auto"/>
        <w:ind w:firstLine="480" w:firstLineChars="200"/>
        <w:rPr>
          <w:rFonts w:ascii="宋体" w:hAnsi="宋体" w:eastAsia="宋体" w:cs="Times New Roman"/>
          <w:b/>
          <w:kern w:val="2"/>
          <w:sz w:val="24"/>
        </w:rPr>
      </w:pPr>
      <w:r>
        <w:rPr>
          <w:rFonts w:hint="eastAsia" w:ascii="宋体" w:hAnsi="宋体" w:eastAsia="宋体" w:cs="Times New Roman"/>
          <w:bCs/>
          <w:kern w:val="2"/>
          <w:sz w:val="24"/>
        </w:rPr>
        <w:t>2.1本项目收取履约保证金，</w:t>
      </w:r>
      <w:r>
        <w:rPr>
          <w:rFonts w:hint="eastAsia" w:ascii="宋体" w:hAnsi="宋体" w:eastAsia="宋体" w:cs="Times New Roman"/>
          <w:b/>
          <w:kern w:val="2"/>
          <w:sz w:val="24"/>
        </w:rPr>
        <w:t>金额为合同金额的3%。</w:t>
      </w:r>
    </w:p>
    <w:p w14:paraId="06ACA14B">
      <w:pPr>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2.2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p>
    <w:p w14:paraId="297D6FA4">
      <w:pPr>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中标人违约的，采购人将按照合同约定扣除其全部或部分履约保证金。如中标人违约给采购人造成的损失超过履约保证金的，应当依法赔偿超过部分的损失。</w:t>
      </w:r>
    </w:p>
    <w:p w14:paraId="0D061E33">
      <w:pPr>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履约保证金自合同生效之日起至合同约定的中标人主要义务履行完毕止，采购人应当按合同约定及时退还履约保证金。</w:t>
      </w:r>
    </w:p>
    <w:p w14:paraId="07CA0E9B">
      <w:pPr>
        <w:spacing w:line="360" w:lineRule="auto"/>
        <w:ind w:firstLine="480" w:firstLineChars="200"/>
        <w:rPr>
          <w:rFonts w:ascii="宋体" w:hAnsi="宋体" w:eastAsia="宋体" w:cs="Times New Roman"/>
          <w:bCs/>
          <w:kern w:val="2"/>
          <w:sz w:val="24"/>
        </w:rPr>
      </w:pPr>
      <w:r>
        <w:rPr>
          <w:rFonts w:hint="eastAsia" w:ascii="宋体" w:hAnsi="宋体" w:eastAsia="宋体" w:cs="Times New Roman"/>
          <w:bCs/>
          <w:kern w:val="2"/>
          <w:sz w:val="24"/>
        </w:rPr>
        <w:t>逾期退还履约保证金的采购人承担违约责任，按照</w:t>
      </w:r>
      <w:r>
        <w:rPr>
          <w:rFonts w:hint="eastAsia" w:ascii="宋体" w:hAnsi="宋体" w:eastAsia="宋体" w:cs="Times New Roman"/>
          <w:kern w:val="2"/>
          <w:sz w:val="24"/>
          <w:szCs w:val="24"/>
        </w:rPr>
        <w:t>中国人民银行同期贷款市场报价利率</w:t>
      </w:r>
      <w:r>
        <w:rPr>
          <w:rFonts w:hint="eastAsia" w:ascii="宋体" w:hAnsi="宋体" w:eastAsia="宋体" w:cs="Times New Roman"/>
          <w:bCs/>
          <w:kern w:val="2"/>
          <w:sz w:val="24"/>
        </w:rPr>
        <w:t>向中标人支付超期资金占用费。</w:t>
      </w:r>
    </w:p>
    <w:p w14:paraId="38317122">
      <w:pPr>
        <w:pStyle w:val="194"/>
        <w:spacing w:before="0" w:after="0" w:line="360" w:lineRule="auto"/>
        <w:ind w:firstLine="643"/>
        <w:rPr>
          <w:rFonts w:asciiTheme="minorEastAsia" w:hAnsiTheme="minorEastAsia" w:eastAsiaTheme="minorEastAsia"/>
        </w:rPr>
      </w:pPr>
      <w:r>
        <w:rPr>
          <w:rFonts w:hint="eastAsia" w:asciiTheme="minorEastAsia" w:hAnsiTheme="minorEastAsia" w:eastAsiaTheme="minorEastAsia"/>
        </w:rPr>
        <w:t>九、报价要求</w:t>
      </w:r>
    </w:p>
    <w:p w14:paraId="570150D9">
      <w:pPr>
        <w:spacing w:line="360" w:lineRule="auto"/>
        <w:ind w:firstLine="482"/>
        <w:rPr>
          <w:bCs/>
          <w:iCs/>
        </w:rPr>
      </w:pPr>
      <w:r>
        <w:rPr>
          <w:rFonts w:hint="eastAsia" w:ascii="宋体" w:hAnsi="宋体" w:eastAsia="宋体" w:cs="Times New Roman"/>
          <w:bCs/>
          <w:iCs/>
          <w:color w:val="000000"/>
          <w:sz w:val="24"/>
          <w:szCs w:val="24"/>
        </w:rPr>
        <w:t>1.投标人应采用分项报价最终汇总的方式进行，标明拟提供服务的单价和总价，详细分析各项费用组成。如若中标，将作为后期履约付款依据。</w:t>
      </w:r>
    </w:p>
    <w:p w14:paraId="100CF085">
      <w:pPr>
        <w:pStyle w:val="10"/>
        <w:spacing w:line="360" w:lineRule="auto"/>
        <w:ind w:firstLine="480" w:firstLineChars="200"/>
        <w:rPr>
          <w:rFonts w:ascii="Times New Roman" w:hAnsi="Times New Roman"/>
          <w:sz w:val="24"/>
          <w:szCs w:val="24"/>
        </w:rPr>
      </w:pPr>
      <w:r>
        <w:rPr>
          <w:rFonts w:hint="eastAsia" w:ascii="Times New Roman" w:hAnsi="Times New Roman"/>
          <w:sz w:val="24"/>
          <w:szCs w:val="24"/>
        </w:rPr>
        <w:t>2.本次投标报价为包干制。本合同期内服务费以报实价为准，</w:t>
      </w:r>
      <w:bookmarkStart w:id="67" w:name="OLE_LINK103"/>
      <w:bookmarkStart w:id="68" w:name="OLE_LINK104"/>
      <w:r>
        <w:rPr>
          <w:rFonts w:hint="eastAsia" w:ascii="Times New Roman" w:hAnsi="Times New Roman"/>
          <w:sz w:val="24"/>
          <w:szCs w:val="24"/>
        </w:rPr>
        <w:t>投标报价时应考虑所有可能影响到报价的价格因素，一旦投标最终中标，总价将包定，合同期内不予调整。</w:t>
      </w:r>
      <w:bookmarkStart w:id="69" w:name="OLE_LINK101"/>
      <w:bookmarkStart w:id="70" w:name="OLE_LINK102"/>
      <w:r>
        <w:rPr>
          <w:rFonts w:hint="eastAsia" w:ascii="Times New Roman" w:hAnsi="Times New Roman"/>
          <w:sz w:val="24"/>
          <w:szCs w:val="24"/>
        </w:rPr>
        <w:t>如遇国家出台提高最低工资和最低社会保险缴纳基数标准规定，物业费也不予调整。</w:t>
      </w:r>
      <w:bookmarkEnd w:id="67"/>
      <w:bookmarkEnd w:id="68"/>
      <w:bookmarkEnd w:id="69"/>
      <w:bookmarkEnd w:id="70"/>
    </w:p>
    <w:p w14:paraId="630793AD">
      <w:pPr>
        <w:spacing w:line="360" w:lineRule="auto"/>
        <w:ind w:firstLine="480"/>
        <w:rPr>
          <w:rFonts w:ascii="Times New Roman" w:hAnsi="Times New Roman"/>
          <w:sz w:val="24"/>
          <w:szCs w:val="24"/>
        </w:rPr>
      </w:pPr>
      <w:r>
        <w:rPr>
          <w:rFonts w:hint="eastAsia" w:asciiTheme="minorEastAsia" w:hAnsiTheme="minorEastAsia"/>
          <w:sz w:val="24"/>
          <w:szCs w:val="24"/>
        </w:rPr>
        <w:t>3.</w:t>
      </w:r>
      <w:r>
        <w:rPr>
          <w:rFonts w:hint="eastAsia" w:ascii="Times New Roman" w:hAnsi="Times New Roman"/>
          <w:sz w:val="24"/>
          <w:szCs w:val="24"/>
        </w:rPr>
        <w:t>本项目投标报价包含管理人员和服务人员的工资、</w:t>
      </w:r>
      <w:bookmarkStart w:id="71" w:name="OLE_LINK78"/>
      <w:bookmarkStart w:id="72" w:name="OLE_LINK77"/>
      <w:r>
        <w:rPr>
          <w:rFonts w:hint="eastAsia" w:asciiTheme="minorEastAsia" w:hAnsiTheme="minorEastAsia"/>
          <w:sz w:val="24"/>
          <w:szCs w:val="24"/>
        </w:rPr>
        <w:t>社会保险费</w:t>
      </w:r>
      <w:bookmarkEnd w:id="71"/>
      <w:bookmarkEnd w:id="72"/>
      <w:r>
        <w:rPr>
          <w:rFonts w:hint="eastAsia" w:asciiTheme="minorEastAsia" w:hAnsiTheme="minorEastAsia"/>
          <w:sz w:val="24"/>
          <w:szCs w:val="24"/>
        </w:rPr>
        <w:t>、公积金</w:t>
      </w:r>
      <w:r>
        <w:rPr>
          <w:rFonts w:hint="eastAsia" w:ascii="Times New Roman" w:hAnsi="Times New Roman"/>
          <w:sz w:val="24"/>
          <w:szCs w:val="24"/>
        </w:rPr>
        <w:t>（工资及</w:t>
      </w:r>
      <w:r>
        <w:rPr>
          <w:rFonts w:hint="eastAsia" w:asciiTheme="minorEastAsia" w:hAnsiTheme="minorEastAsia"/>
          <w:sz w:val="24"/>
          <w:szCs w:val="24"/>
        </w:rPr>
        <w:t>社会保险费、公积金</w:t>
      </w:r>
      <w:r>
        <w:rPr>
          <w:rFonts w:hint="eastAsia" w:ascii="Times New Roman" w:hAnsi="Times New Roman"/>
          <w:sz w:val="24"/>
          <w:szCs w:val="24"/>
        </w:rPr>
        <w:t>不得低于连云港市最低工资标准）、福利（每年应为员工安排一次体检）、部分岗位的零星耗材、绿植租赁费、</w:t>
      </w:r>
      <w:r>
        <w:rPr>
          <w:rFonts w:hint="eastAsia" w:asciiTheme="minorEastAsia" w:hAnsiTheme="minorEastAsia"/>
          <w:sz w:val="24"/>
          <w:szCs w:val="24"/>
        </w:rPr>
        <w:t>管理费、利润、税费、政策性文件规定</w:t>
      </w:r>
      <w:r>
        <w:rPr>
          <w:rFonts w:hint="eastAsia" w:ascii="Times New Roman" w:hAnsi="Times New Roman"/>
          <w:sz w:val="24"/>
          <w:szCs w:val="24"/>
        </w:rPr>
        <w:t>、各种相关风险因素（风险因素包括遇重大活动、检查、突发情况、最低工资调整、物价调整、税费调整、误餐补助、过节费、服装费、体检费、加班费用等）以及</w:t>
      </w:r>
      <w:bookmarkStart w:id="73" w:name="OLE_LINK84"/>
      <w:bookmarkStart w:id="74" w:name="OLE_LINK86"/>
      <w:r>
        <w:rPr>
          <w:rFonts w:hint="eastAsia" w:ascii="Times New Roman" w:hAnsi="Times New Roman"/>
          <w:sz w:val="24"/>
          <w:szCs w:val="24"/>
        </w:rPr>
        <w:t>完成招标文件规定的服务工作所涉及到的一切相关费用</w:t>
      </w:r>
      <w:bookmarkEnd w:id="73"/>
      <w:bookmarkEnd w:id="74"/>
      <w:r>
        <w:rPr>
          <w:rFonts w:hint="eastAsia" w:ascii="Times New Roman" w:hAnsi="Times New Roman"/>
          <w:sz w:val="24"/>
          <w:szCs w:val="24"/>
        </w:rPr>
        <w:t>。</w:t>
      </w:r>
    </w:p>
    <w:p w14:paraId="2394B2B1">
      <w:pPr>
        <w:spacing w:line="360" w:lineRule="auto"/>
        <w:ind w:firstLine="480" w:firstLineChars="200"/>
        <w:rPr>
          <w:rFonts w:ascii="Calibri" w:hAnsi="Calibri" w:eastAsia="宋体" w:cs="Times New Roman"/>
          <w:kern w:val="2"/>
          <w:sz w:val="24"/>
        </w:rPr>
      </w:pPr>
      <w:r>
        <w:rPr>
          <w:rFonts w:hint="eastAsia" w:ascii="Calibri" w:hAnsi="Calibri" w:eastAsia="宋体" w:cs="Times New Roman"/>
          <w:kern w:val="2"/>
          <w:sz w:val="24"/>
        </w:rPr>
        <w:t>4.中标人的用工要符合国家的相关规定，必须与招聘人员签订用工合同，并将合同复印件报给采购人，中标人派遣外包人员到采购人工作要出具介绍信或派工单，不得派遣内病退、退休人员，中标人要按照国家相关法律规定为招聘人员缴纳各项社会保险及住房公积金，每月缴纳的各项保险复印件要报给采购人；如未按照国家相关法律规定为招聘人员缴纳各项保险，发生任何的经济、法律纠纷和人身损害赔偿等，由中标人自行解决。</w:t>
      </w:r>
    </w:p>
    <w:p w14:paraId="1F487031">
      <w:pPr>
        <w:pStyle w:val="196"/>
        <w:spacing w:line="360" w:lineRule="auto"/>
        <w:ind w:firstLine="480" w:firstLineChars="200"/>
        <w:rPr>
          <w:rFonts w:ascii="Times New Roman" w:hAnsi="Times New Roman"/>
          <w:color w:val="auto"/>
          <w:sz w:val="24"/>
        </w:rPr>
      </w:pPr>
      <w:r>
        <w:rPr>
          <w:rFonts w:hint="eastAsia" w:ascii="Times New Roman" w:hAnsi="Times New Roman"/>
          <w:color w:val="auto"/>
          <w:sz w:val="24"/>
        </w:rPr>
        <w:t>因物业外包人员的责任造成业主财产损失的，由中标人负责赔偿。</w:t>
      </w:r>
    </w:p>
    <w:p w14:paraId="73FEAC67">
      <w:pPr>
        <w:pStyle w:val="196"/>
        <w:spacing w:line="360" w:lineRule="auto"/>
        <w:ind w:firstLine="482" w:firstLineChars="200"/>
        <w:rPr>
          <w:rFonts w:ascii="Times New Roman" w:hAnsi="Times New Roman"/>
          <w:color w:val="auto"/>
          <w:sz w:val="24"/>
        </w:rPr>
      </w:pPr>
      <w:r>
        <w:rPr>
          <w:rFonts w:hint="eastAsia" w:ascii="宋体" w:hAnsi="宋体" w:cs="宋体"/>
          <w:b/>
          <w:bCs/>
          <w:sz w:val="24"/>
        </w:rPr>
        <w:t>注：日常物业用品(厕纸、擦手抽纸及洗手液等日常物业用品)；维修耗材；</w:t>
      </w:r>
      <w:r>
        <w:rPr>
          <w:rFonts w:hint="eastAsia" w:ascii="宋体" w:hAnsi="宋体"/>
          <w:b/>
          <w:bCs/>
          <w:sz w:val="24"/>
        </w:rPr>
        <w:t>食堂、餐厅的食材采购由</w:t>
      </w:r>
      <w:r>
        <w:rPr>
          <w:rFonts w:hint="eastAsia" w:ascii="宋体" w:hAnsi="宋体" w:cs="宋体"/>
          <w:b/>
          <w:bCs/>
          <w:sz w:val="24"/>
        </w:rPr>
        <w:t>采购人负责。</w:t>
      </w:r>
    </w:p>
    <w:p w14:paraId="64BC7D60">
      <w:pPr>
        <w:pStyle w:val="194"/>
        <w:spacing w:before="0" w:after="0" w:line="360" w:lineRule="auto"/>
        <w:ind w:firstLine="643"/>
        <w:rPr>
          <w:rFonts w:asciiTheme="minorEastAsia" w:hAnsiTheme="minorEastAsia" w:eastAsiaTheme="minorEastAsia"/>
        </w:rPr>
      </w:pPr>
      <w:r>
        <w:rPr>
          <w:rFonts w:hint="eastAsia" w:asciiTheme="minorEastAsia" w:hAnsiTheme="minorEastAsia" w:eastAsiaTheme="minorEastAsia"/>
        </w:rPr>
        <w:t>十、其他</w:t>
      </w:r>
    </w:p>
    <w:p w14:paraId="1985E6CB">
      <w:pPr>
        <w:spacing w:line="360" w:lineRule="auto"/>
        <w:ind w:firstLine="480" w:firstLineChars="200"/>
        <w:rPr>
          <w:rFonts w:ascii="Calibri" w:hAnsi="Calibri" w:eastAsia="宋体" w:cs="Times New Roman"/>
          <w:kern w:val="2"/>
          <w:sz w:val="24"/>
        </w:rPr>
      </w:pPr>
      <w:r>
        <w:rPr>
          <w:rFonts w:hint="eastAsia" w:ascii="Calibri" w:hAnsi="Calibri" w:eastAsia="宋体" w:cs="Times New Roman"/>
          <w:kern w:val="2"/>
          <w:sz w:val="24"/>
        </w:rPr>
        <w:t>本项目报价不得超过预算价（最高限价）。</w:t>
      </w:r>
    </w:p>
    <w:p w14:paraId="2A899F65">
      <w:pPr>
        <w:spacing w:line="360" w:lineRule="auto"/>
        <w:ind w:firstLine="480" w:firstLineChars="200"/>
        <w:rPr>
          <w:rFonts w:ascii="Calibri" w:hAnsi="Calibri" w:eastAsia="宋体" w:cs="Times New Roman"/>
          <w:kern w:val="2"/>
          <w:sz w:val="24"/>
        </w:rPr>
      </w:pPr>
      <w:r>
        <w:rPr>
          <w:rFonts w:hint="eastAsia" w:ascii="Calibri" w:hAnsi="Calibri" w:eastAsia="宋体" w:cs="Times New Roman"/>
          <w:kern w:val="2"/>
          <w:sz w:val="24"/>
        </w:rPr>
        <w:t>特别提醒投标人：应根据国家收费标准并结合市场实际进行报价，总价包干。</w:t>
      </w:r>
    </w:p>
    <w:p w14:paraId="76DD7707">
      <w:pPr>
        <w:spacing w:line="360" w:lineRule="auto"/>
        <w:ind w:firstLine="480" w:firstLineChars="200"/>
        <w:rPr>
          <w:rFonts w:ascii="Calibri" w:hAnsi="Calibri" w:eastAsia="宋体" w:cs="Times New Roman"/>
          <w:kern w:val="2"/>
          <w:sz w:val="24"/>
        </w:rPr>
      </w:pPr>
      <w:r>
        <w:rPr>
          <w:rFonts w:hint="eastAsia" w:ascii="Calibri" w:hAnsi="Calibri" w:eastAsia="宋体" w:cs="Times New Roman"/>
          <w:kern w:val="2"/>
          <w:sz w:val="24"/>
        </w:rPr>
        <w:t>工作中涉及的敏感资料、电子数据等相关信息，中标供应商应严格执行保密的相关规定，不得以任何方式向任何第三人披露、泄露或许可第三人使用，否则追究其相应法律责任。</w:t>
      </w:r>
    </w:p>
    <w:p w14:paraId="7880B578">
      <w:pPr>
        <w:spacing w:line="500" w:lineRule="exact"/>
        <w:jc w:val="left"/>
        <w:rPr>
          <w:rFonts w:ascii="宋体" w:hAnsi="宋体" w:eastAsia="宋体" w:cs="宋体"/>
          <w:b/>
          <w:color w:val="000000"/>
          <w:kern w:val="2"/>
          <w:sz w:val="24"/>
          <w:szCs w:val="24"/>
        </w:rPr>
      </w:pPr>
      <w:r>
        <w:rPr>
          <w:rFonts w:hint="eastAsia" w:ascii="宋体" w:hAnsi="宋体" w:eastAsia="宋体" w:cs="宋体"/>
          <w:b/>
          <w:color w:val="000000"/>
          <w:kern w:val="2"/>
          <w:sz w:val="24"/>
          <w:szCs w:val="24"/>
        </w:rPr>
        <w:t>注：下表为本项目采购需求中须满足的实质性要求和条件，请供应商逐条明确响应，并按照要求提供证明材料（如有），否则投标无效。本表格仅供提醒作用。</w:t>
      </w:r>
    </w:p>
    <w:p w14:paraId="04CDA236"/>
    <w:p w14:paraId="3FC3A54D">
      <w:pPr>
        <w:pStyle w:val="196"/>
        <w:rPr>
          <w:sz w:val="24"/>
        </w:rPr>
      </w:pPr>
      <w:bookmarkStart w:id="75" w:name="_Toc162361614"/>
    </w:p>
    <w:tbl>
      <w:tblPr>
        <w:tblStyle w:val="2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16"/>
        <w:gridCol w:w="7689"/>
      </w:tblGrid>
      <w:tr w14:paraId="1CEB26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05" w:type="dxa"/>
            <w:gridSpan w:val="2"/>
            <w:vAlign w:val="center"/>
          </w:tcPr>
          <w:p w14:paraId="56DA9A6F">
            <w:pPr>
              <w:spacing w:line="500" w:lineRule="exact"/>
              <w:jc w:val="center"/>
              <w:rPr>
                <w:rFonts w:ascii="黑体" w:hAnsi="黑体" w:eastAsia="黑体"/>
                <w:color w:val="FF0000"/>
                <w:sz w:val="24"/>
                <w:szCs w:val="24"/>
              </w:rPr>
            </w:pPr>
            <w:r>
              <w:rPr>
                <w:rFonts w:ascii="黑体" w:hAnsi="黑体" w:eastAsia="黑体"/>
                <w:sz w:val="24"/>
                <w:szCs w:val="24"/>
              </w:rPr>
              <w:t>采购需求中须满足的实质性要求和条件</w:t>
            </w:r>
          </w:p>
        </w:tc>
      </w:tr>
      <w:tr w14:paraId="561C37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tcPr>
          <w:p w14:paraId="3022FD0D">
            <w:pPr>
              <w:spacing w:line="500" w:lineRule="exact"/>
              <w:jc w:val="center"/>
              <w:rPr>
                <w:b/>
                <w:sz w:val="24"/>
                <w:szCs w:val="24"/>
              </w:rPr>
            </w:pPr>
            <w:r>
              <w:rPr>
                <w:b/>
                <w:sz w:val="24"/>
                <w:szCs w:val="24"/>
              </w:rPr>
              <w:t>序号</w:t>
            </w:r>
          </w:p>
        </w:tc>
        <w:tc>
          <w:tcPr>
            <w:tcW w:w="7689" w:type="dxa"/>
          </w:tcPr>
          <w:p w14:paraId="29B1FD1D">
            <w:pPr>
              <w:spacing w:line="500" w:lineRule="exact"/>
              <w:jc w:val="center"/>
              <w:rPr>
                <w:b/>
                <w:sz w:val="24"/>
                <w:szCs w:val="24"/>
              </w:rPr>
            </w:pPr>
            <w:r>
              <w:rPr>
                <w:b/>
                <w:sz w:val="24"/>
                <w:szCs w:val="24"/>
              </w:rPr>
              <w:t>实质性要求和条件</w:t>
            </w:r>
          </w:p>
        </w:tc>
      </w:tr>
      <w:tr w14:paraId="3982EE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vAlign w:val="center"/>
          </w:tcPr>
          <w:p w14:paraId="568216ED">
            <w:pPr>
              <w:spacing w:line="500" w:lineRule="exact"/>
              <w:jc w:val="center"/>
              <w:rPr>
                <w:sz w:val="24"/>
                <w:szCs w:val="24"/>
              </w:rPr>
            </w:pPr>
            <w:r>
              <w:rPr>
                <w:rFonts w:hint="eastAsia"/>
                <w:sz w:val="24"/>
                <w:szCs w:val="24"/>
              </w:rPr>
              <w:t>1</w:t>
            </w:r>
          </w:p>
        </w:tc>
        <w:tc>
          <w:tcPr>
            <w:tcW w:w="7689" w:type="dxa"/>
            <w:vAlign w:val="center"/>
          </w:tcPr>
          <w:p w14:paraId="0A437CB9">
            <w:pPr>
              <w:widowControl/>
              <w:adjustRightInd w:val="0"/>
              <w:snapToGrid w:val="0"/>
              <w:spacing w:line="360" w:lineRule="auto"/>
              <w:rPr>
                <w:rFonts w:ascii="宋体" w:hAnsi="宋体" w:eastAsia="宋体" w:cs="宋体"/>
                <w:b/>
                <w:i/>
                <w:kern w:val="2"/>
                <w:sz w:val="24"/>
              </w:rPr>
            </w:pPr>
            <w:r>
              <w:rPr>
                <w:rFonts w:hint="eastAsia" w:ascii="宋体" w:hAnsi="宋体" w:eastAsia="宋体" w:cs="宋体"/>
                <w:bCs/>
                <w:i/>
                <w:kern w:val="2"/>
                <w:sz w:val="24"/>
                <w:u w:val="single"/>
              </w:rPr>
              <w:t>国家税务总局连云港市税务局物业管理服务项目最低配备人员58人。其中：国家税务总局连云港市税务局办公大楼不少于52人，连云港市连云区税务局不少于6人，详见《岗位设置明细表》。本项目服务人员最低配置58人，各岗位设置服务人数为最低要求，符合岗位设置明细表要求，投标人必须书面承诺（格式自拟）不少于各岗位最低配备人数和岗位要求。（投标文件中提供承诺函并加盖投标人公章，否则投标无效）</w:t>
            </w:r>
          </w:p>
        </w:tc>
      </w:tr>
      <w:tr w14:paraId="22414D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6" w:type="dxa"/>
            <w:vAlign w:val="center"/>
          </w:tcPr>
          <w:p w14:paraId="221FC20F">
            <w:pPr>
              <w:spacing w:line="500" w:lineRule="exact"/>
              <w:jc w:val="center"/>
              <w:rPr>
                <w:sz w:val="24"/>
                <w:szCs w:val="24"/>
              </w:rPr>
            </w:pPr>
            <w:r>
              <w:rPr>
                <w:rFonts w:hint="eastAsia"/>
                <w:sz w:val="24"/>
                <w:szCs w:val="24"/>
              </w:rPr>
              <w:t>2</w:t>
            </w:r>
          </w:p>
        </w:tc>
        <w:tc>
          <w:tcPr>
            <w:tcW w:w="7689" w:type="dxa"/>
            <w:vAlign w:val="center"/>
          </w:tcPr>
          <w:p w14:paraId="51A4C45F">
            <w:pPr>
              <w:widowControl/>
              <w:adjustRightInd w:val="0"/>
              <w:snapToGrid w:val="0"/>
              <w:spacing w:line="360" w:lineRule="auto"/>
              <w:rPr>
                <w:b/>
                <w:i/>
                <w:sz w:val="24"/>
                <w:szCs w:val="24"/>
                <w:u w:val="single"/>
              </w:rPr>
            </w:pPr>
            <w:r>
              <w:rPr>
                <w:rFonts w:hint="eastAsia" w:ascii="宋体" w:hAnsi="宋体" w:eastAsia="宋体" w:cs="宋体"/>
                <w:bCs/>
                <w:i/>
                <w:kern w:val="2"/>
                <w:sz w:val="24"/>
                <w:u w:val="single"/>
              </w:rPr>
              <w:t xml:space="preserve">服务期限：三年(合同约定时间起算)。本项目一招三年，合同一年一签，如能达到采购人的服务要求，考核合格后续签下年合同。 </w:t>
            </w:r>
          </w:p>
        </w:tc>
      </w:tr>
    </w:tbl>
    <w:p w14:paraId="33B5BC27">
      <w:pPr>
        <w:pStyle w:val="196"/>
        <w:rPr>
          <w:sz w:val="24"/>
        </w:rPr>
      </w:pPr>
    </w:p>
    <w:p w14:paraId="06123D02">
      <w:pPr>
        <w:pStyle w:val="196"/>
        <w:rPr>
          <w:sz w:val="24"/>
        </w:rPr>
      </w:pPr>
    </w:p>
    <w:p w14:paraId="12435E09">
      <w:pPr>
        <w:widowControl/>
        <w:jc w:val="left"/>
        <w:rPr>
          <w:rFonts w:ascii="黑体" w:hAnsi="黑体" w:eastAsia="黑体"/>
          <w:bCs/>
          <w:sz w:val="44"/>
          <w:szCs w:val="44"/>
        </w:rPr>
      </w:pPr>
      <w:r>
        <w:rPr>
          <w:rFonts w:ascii="黑体" w:hAnsi="黑体" w:eastAsia="黑体"/>
          <w:b/>
        </w:rPr>
        <w:br w:type="page"/>
      </w:r>
    </w:p>
    <w:p w14:paraId="5151F6FE">
      <w:pPr>
        <w:pStyle w:val="193"/>
        <w:spacing w:line="360" w:lineRule="auto"/>
        <w:jc w:val="center"/>
        <w:rPr>
          <w:rFonts w:ascii="黑体" w:hAnsi="黑体" w:eastAsia="黑体"/>
          <w:b w:val="0"/>
        </w:rPr>
      </w:pPr>
      <w:r>
        <w:rPr>
          <w:rFonts w:ascii="黑体" w:hAnsi="黑体" w:eastAsia="黑体"/>
          <w:b w:val="0"/>
        </w:rPr>
        <w:t>第五章</w:t>
      </w:r>
      <w:r>
        <w:rPr>
          <w:rFonts w:hint="eastAsia" w:ascii="黑体" w:hAnsi="黑体" w:eastAsia="黑体"/>
          <w:b w:val="0"/>
        </w:rPr>
        <w:t xml:space="preserve">  评标方法与评标标准</w:t>
      </w:r>
      <w:bookmarkEnd w:id="75"/>
    </w:p>
    <w:p w14:paraId="49493734">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一、评标方法</w:t>
      </w:r>
    </w:p>
    <w:p w14:paraId="430F1E84">
      <w:pPr>
        <w:spacing w:line="500" w:lineRule="exact"/>
        <w:ind w:firstLine="480"/>
        <w:jc w:val="left"/>
        <w:rPr>
          <w:rFonts w:asciiTheme="minorEastAsia" w:hAnsiTheme="minorEastAsia"/>
          <w:sz w:val="24"/>
          <w:szCs w:val="24"/>
        </w:rPr>
      </w:pPr>
      <w:r>
        <w:rPr>
          <w:rFonts w:hint="eastAsia" w:asciiTheme="minorEastAsia" w:hAnsiTheme="minorEastAsia"/>
          <w:sz w:val="24"/>
          <w:szCs w:val="24"/>
        </w:rPr>
        <w:t>综合评分法：是指投标文件满足招标文件全部实质性要求，且按照评审因素的量化指标评审得分最高的投标人为中标候选人的评标办法。</w:t>
      </w:r>
    </w:p>
    <w:p w14:paraId="5B54101A">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二、评标标准</w:t>
      </w:r>
    </w:p>
    <w:p w14:paraId="19D20432">
      <w:pPr>
        <w:spacing w:line="500" w:lineRule="exact"/>
        <w:ind w:firstLine="480"/>
        <w:jc w:val="left"/>
        <w:rPr>
          <w:rFonts w:asciiTheme="minorEastAsia" w:hAnsiTheme="minorEastAsia"/>
          <w:sz w:val="24"/>
          <w:szCs w:val="24"/>
        </w:rPr>
      </w:pPr>
      <w:r>
        <w:rPr>
          <w:rFonts w:hint="eastAsia" w:asciiTheme="minorEastAsia" w:hAnsiTheme="minorEastAsia"/>
          <w:sz w:val="24"/>
          <w:szCs w:val="24"/>
        </w:rPr>
        <w:t>（1）评标时，评委会以招标文件为评标依据，评委会各成员独立对每个投标人的投标文件进行评价，并汇总每个投标人的得分。评标过程中，不得去掉报价中的最高报价和最低报价。</w:t>
      </w:r>
    </w:p>
    <w:p w14:paraId="3BA41F13">
      <w:pPr>
        <w:spacing w:line="500" w:lineRule="exact"/>
        <w:ind w:firstLine="480"/>
        <w:jc w:val="left"/>
        <w:rPr>
          <w:rFonts w:asciiTheme="minorEastAsia" w:hAnsiTheme="minorEastAsia"/>
          <w:sz w:val="24"/>
          <w:szCs w:val="24"/>
        </w:rPr>
      </w:pPr>
      <w:r>
        <w:rPr>
          <w:rFonts w:hint="eastAsia" w:asciiTheme="minorEastAsia" w:hAnsiTheme="minorEastAsia"/>
          <w:sz w:val="24"/>
          <w:szCs w:val="24"/>
        </w:rPr>
        <w:t>（2）本项目评分总分为100分，按四舍五入取至小数点后两位。</w:t>
      </w:r>
    </w:p>
    <w:p w14:paraId="3CF8D435">
      <w:pPr>
        <w:spacing w:line="500" w:lineRule="exact"/>
        <w:ind w:firstLine="480"/>
        <w:jc w:val="left"/>
        <w:rPr>
          <w:rFonts w:asciiTheme="minorEastAsia" w:hAnsiTheme="minorEastAsia"/>
          <w:sz w:val="24"/>
          <w:szCs w:val="24"/>
        </w:rPr>
      </w:pPr>
      <w:r>
        <w:rPr>
          <w:rFonts w:hint="eastAsia" w:asciiTheme="minorEastAsia" w:hAnsiTheme="minorEastAsia"/>
          <w:sz w:val="24"/>
          <w:szCs w:val="24"/>
        </w:rPr>
        <w:t>（3）总得分=价格分+技术分+商务分。</w:t>
      </w:r>
    </w:p>
    <w:p w14:paraId="319CE84E">
      <w:pPr>
        <w:spacing w:line="500" w:lineRule="exact"/>
        <w:ind w:firstLine="482"/>
        <w:jc w:val="left"/>
        <w:rPr>
          <w:rFonts w:asciiTheme="minorEastAsia" w:hAnsiTheme="minorEastAsia"/>
          <w:b/>
          <w:sz w:val="24"/>
          <w:szCs w:val="24"/>
        </w:rPr>
      </w:pPr>
      <w:r>
        <w:rPr>
          <w:rFonts w:hint="eastAsia" w:asciiTheme="minorEastAsia" w:hAnsiTheme="minorEastAsia"/>
          <w:b/>
          <w:sz w:val="24"/>
          <w:szCs w:val="24"/>
        </w:rPr>
        <w:t>三、中标标准</w:t>
      </w:r>
    </w:p>
    <w:p w14:paraId="3104D319">
      <w:pPr>
        <w:spacing w:line="500" w:lineRule="exact"/>
        <w:ind w:firstLine="480" w:firstLineChars="200"/>
        <w:jc w:val="left"/>
        <w:rPr>
          <w:rFonts w:asciiTheme="minorEastAsia" w:hAnsiTheme="minorEastAsia"/>
          <w:sz w:val="24"/>
          <w:szCs w:val="24"/>
        </w:rPr>
      </w:pPr>
      <w:r>
        <w:rPr>
          <w:rFonts w:hint="eastAsia" w:asciiTheme="minorEastAsia" w:hAnsiTheme="minorEastAsia"/>
          <w:sz w:val="24"/>
          <w:szCs w:val="24"/>
        </w:rPr>
        <w:t>评标结果按评审后得分由高到低顺序排列。得分相同的，按投标报价由低到高顺序排列。得分且投标报价相同的并列。评标委员会按照评审得分由高到低顺序推荐3名中标候选人。</w:t>
      </w:r>
    </w:p>
    <w:p w14:paraId="50217A58">
      <w:pPr>
        <w:spacing w:line="500" w:lineRule="exact"/>
        <w:jc w:val="center"/>
        <w:rPr>
          <w:rFonts w:ascii="黑体" w:hAnsi="黑体" w:eastAsia="黑体"/>
          <w:sz w:val="32"/>
          <w:szCs w:val="24"/>
        </w:rPr>
      </w:pPr>
      <w:r>
        <w:rPr>
          <w:rFonts w:hint="eastAsia" w:ascii="黑体" w:hAnsi="黑体" w:eastAsia="黑体"/>
          <w:sz w:val="32"/>
          <w:szCs w:val="24"/>
        </w:rPr>
        <w:t>综合评分法</w:t>
      </w:r>
    </w:p>
    <w:p w14:paraId="0DA02860">
      <w:pPr>
        <w:pStyle w:val="196"/>
      </w:pPr>
    </w:p>
    <w:p w14:paraId="056D44BB">
      <w:pPr>
        <w:spacing w:line="500" w:lineRule="exact"/>
        <w:ind w:firstLine="482" w:firstLineChars="200"/>
        <w:jc w:val="left"/>
        <w:rPr>
          <w:rFonts w:ascii="Calibri" w:hAnsi="Calibri" w:eastAsia="宋体" w:cs="Times New Roman"/>
          <w:b/>
          <w:kern w:val="2"/>
          <w:sz w:val="24"/>
          <w:szCs w:val="24"/>
        </w:rPr>
      </w:pPr>
      <w:r>
        <w:rPr>
          <w:rFonts w:hint="eastAsia" w:ascii="宋体" w:hAnsi="宋体" w:eastAsia="宋体" w:cs="Times New Roman"/>
          <w:b/>
          <w:kern w:val="2"/>
          <w:sz w:val="24"/>
          <w:szCs w:val="24"/>
        </w:rPr>
        <w:t>1.价格分（10分）</w:t>
      </w:r>
    </w:p>
    <w:p w14:paraId="3998BA28">
      <w:pPr>
        <w:spacing w:line="500" w:lineRule="exact"/>
        <w:ind w:firstLine="480" w:firstLineChars="200"/>
        <w:jc w:val="left"/>
        <w:rPr>
          <w:rFonts w:ascii="Calibri" w:hAnsi="Calibri" w:eastAsia="宋体" w:cs="Times New Roman"/>
          <w:kern w:val="2"/>
          <w:sz w:val="24"/>
          <w:szCs w:val="24"/>
        </w:rPr>
      </w:pPr>
      <w:r>
        <w:rPr>
          <w:rFonts w:hint="eastAsia" w:ascii="Calibri" w:hAnsi="Calibri" w:eastAsia="宋体" w:cs="Times New Roman"/>
          <w:kern w:val="2"/>
          <w:sz w:val="24"/>
          <w:szCs w:val="24"/>
        </w:rPr>
        <w:t>采用低价优先法计算，即满足招标文件要求且投标价格最低的投标报价为评标基准价，其价格分为满分。其他投标人的价格分统一按照下列公式计算：</w:t>
      </w:r>
    </w:p>
    <w:p w14:paraId="5B32BE54">
      <w:pPr>
        <w:spacing w:line="500" w:lineRule="exact"/>
        <w:ind w:firstLine="480" w:firstLineChars="200"/>
        <w:jc w:val="left"/>
        <w:rPr>
          <w:rFonts w:ascii="Calibri" w:hAnsi="Calibri" w:eastAsia="宋体" w:cs="Times New Roman"/>
          <w:kern w:val="2"/>
          <w:sz w:val="24"/>
          <w:szCs w:val="24"/>
        </w:rPr>
      </w:pPr>
      <w:r>
        <w:rPr>
          <w:rFonts w:hint="eastAsia" w:ascii="Calibri" w:hAnsi="Calibri" w:eastAsia="宋体" w:cs="Times New Roman"/>
          <w:kern w:val="2"/>
          <w:sz w:val="24"/>
          <w:szCs w:val="24"/>
        </w:rPr>
        <w:t>投标报价得分=（评标基准价/投标报价）×10分。</w:t>
      </w:r>
    </w:p>
    <w:p w14:paraId="00731E56">
      <w:pPr>
        <w:pStyle w:val="196"/>
      </w:pPr>
    </w:p>
    <w:p w14:paraId="4210E811">
      <w:pPr>
        <w:spacing w:line="360" w:lineRule="auto"/>
        <w:ind w:firstLine="482" w:firstLineChars="200"/>
        <w:jc w:val="left"/>
        <w:rPr>
          <w:rFonts w:ascii="宋体" w:hAnsi="宋体" w:eastAsia="宋体" w:cs="宋体"/>
          <w:b/>
          <w:kern w:val="2"/>
          <w:sz w:val="24"/>
          <w:szCs w:val="24"/>
        </w:rPr>
      </w:pPr>
      <w:r>
        <w:rPr>
          <w:rFonts w:hint="eastAsia" w:ascii="宋体" w:hAnsi="宋体" w:eastAsia="宋体" w:cs="宋体"/>
          <w:b/>
          <w:kern w:val="2"/>
          <w:sz w:val="24"/>
          <w:szCs w:val="24"/>
        </w:rPr>
        <w:t>2.商务分（54分）</w:t>
      </w:r>
    </w:p>
    <w:tbl>
      <w:tblPr>
        <w:tblStyle w:val="29"/>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04"/>
        <w:gridCol w:w="6493"/>
      </w:tblGrid>
      <w:tr w14:paraId="2DAB2D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04" w:type="dxa"/>
            <w:vAlign w:val="center"/>
          </w:tcPr>
          <w:p w14:paraId="4883BFE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eastAsia="宋体" w:cs="Times New Roman"/>
                <w:b/>
                <w:color w:val="000000"/>
                <w:kern w:val="2"/>
                <w:sz w:val="24"/>
                <w:szCs w:val="24"/>
              </w:rPr>
            </w:pPr>
            <w:r>
              <w:rPr>
                <w:rFonts w:hint="eastAsia" w:ascii="宋体" w:hAnsi="宋体" w:eastAsia="宋体" w:cs="Times New Roman"/>
                <w:b/>
                <w:color w:val="000000"/>
                <w:kern w:val="2"/>
                <w:sz w:val="24"/>
                <w:szCs w:val="24"/>
              </w:rPr>
              <w:t>评审因素</w:t>
            </w:r>
          </w:p>
        </w:tc>
        <w:tc>
          <w:tcPr>
            <w:tcW w:w="6493" w:type="dxa"/>
            <w:vAlign w:val="center"/>
          </w:tcPr>
          <w:p w14:paraId="7EBFCF04">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eastAsia="宋体" w:cs="Times New Roman"/>
                <w:b/>
                <w:color w:val="000000"/>
                <w:kern w:val="2"/>
                <w:sz w:val="24"/>
                <w:szCs w:val="24"/>
              </w:rPr>
            </w:pPr>
            <w:r>
              <w:rPr>
                <w:rFonts w:hint="eastAsia" w:ascii="宋体" w:hAnsi="宋体" w:eastAsia="宋体" w:cs="Times New Roman"/>
                <w:b/>
                <w:color w:val="000000"/>
                <w:kern w:val="2"/>
                <w:sz w:val="24"/>
                <w:szCs w:val="24"/>
              </w:rPr>
              <w:t>评审标准</w:t>
            </w:r>
          </w:p>
        </w:tc>
      </w:tr>
      <w:tr w14:paraId="4D6D6F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04" w:type="dxa"/>
            <w:vAlign w:val="center"/>
          </w:tcPr>
          <w:p w14:paraId="57329B93">
            <w:pPr>
              <w:spacing w:line="500" w:lineRule="exact"/>
              <w:jc w:val="center"/>
              <w:rPr>
                <w:rFonts w:ascii="宋体" w:hAnsi="宋体" w:eastAsia="宋体" w:cs="宋体"/>
                <w:kern w:val="2"/>
                <w:sz w:val="24"/>
                <w:szCs w:val="24"/>
              </w:rPr>
            </w:pPr>
            <w:r>
              <w:rPr>
                <w:rFonts w:hint="eastAsia" w:ascii="宋体" w:hAnsi="宋体" w:eastAsia="宋体" w:cs="宋体"/>
                <w:kern w:val="2"/>
                <w:sz w:val="24"/>
                <w:szCs w:val="24"/>
              </w:rPr>
              <w:t>服务团队</w:t>
            </w:r>
          </w:p>
          <w:p w14:paraId="118476E9">
            <w:pPr>
              <w:spacing w:line="500" w:lineRule="exact"/>
              <w:jc w:val="center"/>
              <w:rPr>
                <w:rFonts w:ascii="宋体" w:hAnsi="宋体" w:eastAsia="宋体" w:cs="宋体"/>
                <w:kern w:val="2"/>
                <w:sz w:val="24"/>
                <w:szCs w:val="24"/>
              </w:rPr>
            </w:pPr>
            <w:r>
              <w:rPr>
                <w:rFonts w:hint="eastAsia" w:ascii="宋体" w:hAnsi="宋体" w:eastAsia="宋体" w:cs="宋体"/>
                <w:kern w:val="2"/>
                <w:sz w:val="24"/>
                <w:szCs w:val="24"/>
              </w:rPr>
              <w:t>（3</w:t>
            </w:r>
            <w:r>
              <w:rPr>
                <w:rFonts w:hint="eastAsia" w:ascii="宋体" w:hAnsi="宋体" w:eastAsia="宋体" w:cs="宋体"/>
                <w:kern w:val="2"/>
                <w:sz w:val="24"/>
                <w:szCs w:val="24"/>
                <w:lang w:val="en-US" w:eastAsia="zh-CN"/>
              </w:rPr>
              <w:t>2</w:t>
            </w:r>
            <w:r>
              <w:rPr>
                <w:rFonts w:hint="eastAsia" w:ascii="宋体" w:hAnsi="宋体" w:eastAsia="宋体" w:cs="宋体"/>
                <w:kern w:val="2"/>
                <w:sz w:val="24"/>
                <w:szCs w:val="24"/>
              </w:rPr>
              <w:t>分）</w:t>
            </w:r>
          </w:p>
        </w:tc>
        <w:tc>
          <w:tcPr>
            <w:tcW w:w="6493" w:type="dxa"/>
          </w:tcPr>
          <w:p w14:paraId="260C2EF1">
            <w:pPr>
              <w:spacing w:line="500" w:lineRule="exact"/>
              <w:jc w:val="left"/>
              <w:rPr>
                <w:rFonts w:ascii="宋体" w:hAnsi="宋体" w:eastAsia="宋体" w:cs="宋体"/>
                <w:kern w:val="2"/>
                <w:sz w:val="24"/>
                <w:szCs w:val="24"/>
              </w:rPr>
            </w:pPr>
            <w:r>
              <w:rPr>
                <w:rFonts w:hint="eastAsia" w:ascii="宋体" w:hAnsi="宋体" w:eastAsia="宋体" w:cs="宋体"/>
                <w:kern w:val="2"/>
                <w:sz w:val="24"/>
                <w:szCs w:val="24"/>
              </w:rPr>
              <w:t>根据投标人拟在本项目中安排的服务团队的人员（不含项目经理）、岗位职责、团队能力等内容进行打分。</w:t>
            </w:r>
          </w:p>
          <w:p w14:paraId="40D9A1C0">
            <w:pPr>
              <w:spacing w:line="500" w:lineRule="exact"/>
              <w:jc w:val="left"/>
              <w:rPr>
                <w:rFonts w:ascii="宋体" w:hAnsi="宋体" w:eastAsia="宋体" w:cs="宋体"/>
                <w:b/>
                <w:bCs/>
                <w:kern w:val="2"/>
                <w:sz w:val="24"/>
                <w:szCs w:val="24"/>
              </w:rPr>
            </w:pPr>
            <w:r>
              <w:rPr>
                <w:rFonts w:hint="eastAsia" w:ascii="宋体" w:hAnsi="宋体" w:eastAsia="宋体" w:cs="宋体"/>
                <w:kern w:val="2"/>
                <w:sz w:val="24"/>
                <w:szCs w:val="24"/>
              </w:rPr>
              <w:t>1、拟派工程主管具有特种作业操作证（低压电工作业证）得 1分，具有特种作业操作证（高压电工证）得2分，</w:t>
            </w:r>
            <w:r>
              <w:rPr>
                <w:rFonts w:hint="eastAsia" w:ascii="宋体" w:hAnsi="宋体" w:eastAsia="宋体" w:cs="宋体"/>
                <w:b/>
                <w:bCs/>
                <w:kern w:val="2"/>
                <w:sz w:val="24"/>
                <w:szCs w:val="24"/>
                <w:lang w:val="en-US" w:eastAsia="zh-CN"/>
              </w:rPr>
              <w:t>本项</w:t>
            </w:r>
            <w:r>
              <w:rPr>
                <w:rFonts w:hint="eastAsia" w:ascii="宋体" w:hAnsi="宋体" w:eastAsia="宋体" w:cs="宋体"/>
                <w:b/>
                <w:bCs/>
                <w:kern w:val="2"/>
                <w:sz w:val="24"/>
                <w:szCs w:val="24"/>
              </w:rPr>
              <w:t>最</w:t>
            </w:r>
            <w:r>
              <w:rPr>
                <w:rFonts w:hint="eastAsia" w:ascii="宋体" w:hAnsi="宋体" w:eastAsia="宋体" w:cs="宋体"/>
                <w:b/>
                <w:bCs/>
                <w:kern w:val="2"/>
                <w:sz w:val="24"/>
                <w:szCs w:val="24"/>
                <w:lang w:val="en-US" w:eastAsia="zh-CN"/>
              </w:rPr>
              <w:t>高</w:t>
            </w:r>
            <w:r>
              <w:rPr>
                <w:rFonts w:hint="eastAsia" w:ascii="宋体" w:hAnsi="宋体" w:eastAsia="宋体" w:cs="宋体"/>
                <w:b/>
                <w:bCs/>
                <w:kern w:val="2"/>
                <w:sz w:val="24"/>
                <w:szCs w:val="24"/>
              </w:rPr>
              <w:t>得2分。</w:t>
            </w:r>
          </w:p>
          <w:p w14:paraId="7843EE80">
            <w:pPr>
              <w:spacing w:line="500" w:lineRule="exact"/>
              <w:jc w:val="left"/>
              <w:rPr>
                <w:rFonts w:ascii="宋体" w:hAnsi="宋体" w:eastAsia="宋体" w:cs="宋体"/>
                <w:kern w:val="2"/>
                <w:sz w:val="24"/>
                <w:szCs w:val="24"/>
              </w:rPr>
            </w:pPr>
            <w:r>
              <w:rPr>
                <w:rFonts w:hint="eastAsia" w:ascii="宋体" w:hAnsi="宋体" w:eastAsia="宋体" w:cs="宋体"/>
                <w:kern w:val="2"/>
                <w:sz w:val="24"/>
                <w:szCs w:val="24"/>
              </w:rPr>
              <w:t>2、拟派工程维修人员具有高压电工作业或涉氨制冷设备运行、维修操作作业（制冷与空调）特种作业操作证的，有一人得2分，</w:t>
            </w:r>
            <w:r>
              <w:rPr>
                <w:rFonts w:hint="eastAsia" w:ascii="宋体" w:hAnsi="宋体" w:eastAsia="宋体" w:cs="宋体"/>
                <w:b/>
                <w:bCs/>
                <w:kern w:val="2"/>
                <w:sz w:val="24"/>
                <w:szCs w:val="24"/>
                <w:lang w:val="en-US" w:eastAsia="zh-CN"/>
              </w:rPr>
              <w:t>本项</w:t>
            </w:r>
            <w:r>
              <w:rPr>
                <w:rFonts w:hint="eastAsia" w:ascii="宋体" w:hAnsi="宋体" w:eastAsia="宋体" w:cs="宋体"/>
                <w:b/>
                <w:bCs/>
                <w:kern w:val="2"/>
                <w:sz w:val="24"/>
                <w:szCs w:val="24"/>
              </w:rPr>
              <w:t>最高得4分。</w:t>
            </w:r>
            <w:r>
              <w:rPr>
                <w:rFonts w:hint="eastAsia" w:ascii="宋体" w:hAnsi="宋体" w:eastAsia="宋体" w:cs="宋体"/>
                <w:kern w:val="2"/>
                <w:sz w:val="24"/>
                <w:szCs w:val="24"/>
              </w:rPr>
              <w:t>（一人多证或多人同证不重复计分）</w:t>
            </w:r>
          </w:p>
          <w:p w14:paraId="3593C564">
            <w:pPr>
              <w:spacing w:line="500" w:lineRule="exact"/>
              <w:jc w:val="left"/>
              <w:rPr>
                <w:rFonts w:ascii="宋体" w:hAnsi="宋体" w:eastAsia="宋体" w:cs="宋体"/>
                <w:color w:val="auto"/>
                <w:kern w:val="2"/>
                <w:sz w:val="24"/>
                <w:szCs w:val="24"/>
              </w:rPr>
            </w:pPr>
            <w:r>
              <w:rPr>
                <w:rFonts w:hint="eastAsia" w:ascii="宋体" w:hAnsi="宋体" w:eastAsia="宋体" w:cs="宋体"/>
                <w:kern w:val="2"/>
                <w:sz w:val="24"/>
                <w:szCs w:val="24"/>
              </w:rPr>
              <w:t>3、</w:t>
            </w:r>
            <w:r>
              <w:rPr>
                <w:rFonts w:hint="eastAsia" w:ascii="宋体" w:hAnsi="宋体" w:eastAsia="宋体" w:cs="宋体"/>
                <w:color w:val="auto"/>
                <w:kern w:val="2"/>
                <w:sz w:val="24"/>
                <w:szCs w:val="24"/>
              </w:rPr>
              <w:t>拟派驻秩序维护队长</w:t>
            </w:r>
            <w:r>
              <w:rPr>
                <w:rFonts w:hint="eastAsia" w:ascii="宋体" w:hAnsi="宋体" w:eastAsia="宋体" w:cs="宋体"/>
                <w:color w:val="auto"/>
                <w:kern w:val="2"/>
                <w:sz w:val="24"/>
                <w:szCs w:val="24"/>
                <w:lang w:eastAsia="zh-CN"/>
              </w:rPr>
              <w:t>和</w:t>
            </w:r>
            <w:r>
              <w:rPr>
                <w:rFonts w:hint="eastAsia" w:ascii="宋体" w:hAnsi="宋体" w:eastAsia="宋体" w:cs="宋体"/>
                <w:color w:val="auto"/>
                <w:kern w:val="2"/>
                <w:sz w:val="24"/>
                <w:szCs w:val="24"/>
              </w:rPr>
              <w:t>门岗人员具有保安员</w:t>
            </w:r>
            <w:r>
              <w:rPr>
                <w:rFonts w:hint="eastAsia" w:ascii="宋体" w:hAnsi="宋体" w:eastAsia="宋体" w:cs="宋体"/>
                <w:color w:val="auto"/>
                <w:kern w:val="2"/>
                <w:sz w:val="24"/>
                <w:szCs w:val="24"/>
                <w:lang w:eastAsia="zh-CN"/>
              </w:rPr>
              <w:t>相关</w:t>
            </w:r>
            <w:r>
              <w:rPr>
                <w:rFonts w:hint="eastAsia" w:ascii="宋体" w:hAnsi="宋体" w:eastAsia="宋体" w:cs="宋体"/>
                <w:color w:val="auto"/>
                <w:kern w:val="2"/>
                <w:sz w:val="24"/>
                <w:szCs w:val="24"/>
              </w:rPr>
              <w:t>职业资格证书的</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rPr>
              <w:t>每有一人得 2分，</w:t>
            </w:r>
            <w:r>
              <w:rPr>
                <w:rFonts w:hint="eastAsia" w:ascii="宋体" w:hAnsi="宋体" w:eastAsia="宋体" w:cs="宋体"/>
                <w:b/>
                <w:bCs/>
                <w:color w:val="auto"/>
                <w:kern w:val="2"/>
                <w:sz w:val="24"/>
                <w:szCs w:val="24"/>
              </w:rPr>
              <w:t>本项最高得</w:t>
            </w:r>
            <w:r>
              <w:rPr>
                <w:rFonts w:hint="eastAsia" w:ascii="宋体" w:hAnsi="宋体" w:eastAsia="宋体" w:cs="宋体"/>
                <w:b/>
                <w:bCs/>
                <w:color w:val="auto"/>
                <w:kern w:val="2"/>
                <w:sz w:val="24"/>
                <w:szCs w:val="24"/>
                <w:lang w:val="en-US" w:eastAsia="zh-CN"/>
              </w:rPr>
              <w:t>14</w:t>
            </w:r>
            <w:r>
              <w:rPr>
                <w:rFonts w:hint="eastAsia" w:ascii="宋体" w:hAnsi="宋体" w:eastAsia="宋体" w:cs="宋体"/>
                <w:b/>
                <w:bCs/>
                <w:color w:val="auto"/>
                <w:kern w:val="2"/>
                <w:sz w:val="24"/>
                <w:szCs w:val="24"/>
              </w:rPr>
              <w:t>分。</w:t>
            </w:r>
          </w:p>
          <w:p w14:paraId="7E6B17C7">
            <w:pPr>
              <w:spacing w:line="500" w:lineRule="exact"/>
              <w:jc w:val="left"/>
              <w:rPr>
                <w:rFonts w:ascii="宋体" w:hAnsi="宋体" w:eastAsia="宋体" w:cs="宋体"/>
                <w:kern w:val="2"/>
                <w:sz w:val="24"/>
                <w:szCs w:val="24"/>
              </w:rPr>
            </w:pPr>
            <w:r>
              <w:rPr>
                <w:rFonts w:hint="eastAsia" w:ascii="宋体" w:hAnsi="宋体" w:eastAsia="宋体" w:cs="宋体"/>
                <w:kern w:val="2"/>
                <w:sz w:val="24"/>
                <w:szCs w:val="24"/>
                <w:lang w:val="en-US" w:eastAsia="zh-CN"/>
              </w:rPr>
              <w:t>4</w:t>
            </w:r>
            <w:r>
              <w:rPr>
                <w:rFonts w:hint="eastAsia" w:ascii="宋体" w:hAnsi="宋体" w:eastAsia="宋体" w:cs="宋体"/>
                <w:kern w:val="2"/>
                <w:sz w:val="24"/>
                <w:szCs w:val="24"/>
              </w:rPr>
              <w:t>、拟派消防监控人员具有</w:t>
            </w:r>
            <w:bookmarkStart w:id="76" w:name="OLE_LINK62"/>
            <w:bookmarkStart w:id="77" w:name="OLE_LINK64"/>
            <w:bookmarkStart w:id="78" w:name="OLE_LINK63"/>
            <w:r>
              <w:rPr>
                <w:rFonts w:hint="eastAsia" w:ascii="宋体" w:hAnsi="宋体" w:eastAsia="宋体" w:cs="宋体"/>
                <w:kern w:val="2"/>
                <w:sz w:val="24"/>
                <w:szCs w:val="24"/>
              </w:rPr>
              <w:t>消防设施操作员</w:t>
            </w:r>
            <w:bookmarkEnd w:id="76"/>
            <w:r>
              <w:rPr>
                <w:rFonts w:hint="eastAsia" w:ascii="宋体" w:hAnsi="宋体" w:eastAsia="宋体" w:cs="宋体"/>
                <w:kern w:val="2"/>
                <w:sz w:val="24"/>
                <w:szCs w:val="24"/>
              </w:rPr>
              <w:t>（中级/四级及以上）资格证书</w:t>
            </w:r>
            <w:bookmarkEnd w:id="77"/>
            <w:bookmarkEnd w:id="78"/>
            <w:r>
              <w:rPr>
                <w:rFonts w:hint="eastAsia" w:ascii="宋体" w:hAnsi="宋体" w:eastAsia="宋体" w:cs="宋体"/>
                <w:kern w:val="2"/>
                <w:sz w:val="24"/>
                <w:szCs w:val="24"/>
              </w:rPr>
              <w:t>的，每有一人得2分，</w:t>
            </w:r>
            <w:r>
              <w:rPr>
                <w:rFonts w:hint="eastAsia" w:ascii="宋体" w:hAnsi="宋体" w:eastAsia="宋体" w:cs="宋体"/>
                <w:b/>
                <w:bCs/>
                <w:kern w:val="2"/>
                <w:sz w:val="24"/>
                <w:szCs w:val="24"/>
              </w:rPr>
              <w:t>本项最高得10分。</w:t>
            </w:r>
          </w:p>
          <w:p w14:paraId="5DBD39D1">
            <w:pPr>
              <w:spacing w:line="500" w:lineRule="exact"/>
              <w:jc w:val="left"/>
              <w:rPr>
                <w:rFonts w:ascii="宋体" w:hAnsi="宋体" w:eastAsia="宋体" w:cs="宋体"/>
                <w:b/>
                <w:bCs/>
                <w:kern w:val="2"/>
                <w:sz w:val="24"/>
                <w:szCs w:val="24"/>
              </w:rPr>
            </w:pPr>
            <w:r>
              <w:rPr>
                <w:rFonts w:hint="eastAsia" w:ascii="宋体" w:hAnsi="宋体" w:eastAsia="宋体" w:cs="宋体"/>
                <w:kern w:val="2"/>
                <w:sz w:val="24"/>
                <w:szCs w:val="24"/>
                <w:lang w:val="en-US" w:eastAsia="zh-CN"/>
              </w:rPr>
              <w:t>5</w:t>
            </w:r>
            <w:r>
              <w:rPr>
                <w:rFonts w:hint="eastAsia" w:ascii="宋体" w:hAnsi="宋体" w:eastAsia="宋体" w:cs="宋体"/>
                <w:kern w:val="2"/>
                <w:sz w:val="24"/>
                <w:szCs w:val="24"/>
              </w:rPr>
              <w:t>、拟派保洁人员具有</w:t>
            </w:r>
            <w:r>
              <w:rPr>
                <w:rFonts w:hint="eastAsia" w:ascii="宋体" w:hAnsi="宋体" w:cs="宋体"/>
                <w:bCs/>
                <w:sz w:val="24"/>
              </w:rPr>
              <w:t>垃圾处理或垃圾分类相关证书</w:t>
            </w:r>
            <w:r>
              <w:rPr>
                <w:rFonts w:hint="eastAsia" w:ascii="宋体" w:hAnsi="宋体" w:cs="宋体"/>
                <w:bCs/>
                <w:sz w:val="24"/>
                <w:lang w:val="en-US" w:eastAsia="zh-CN"/>
              </w:rPr>
              <w:t>的</w:t>
            </w:r>
            <w:r>
              <w:rPr>
                <w:rFonts w:hint="eastAsia" w:ascii="宋体" w:hAnsi="宋体" w:eastAsia="宋体" w:cs="宋体"/>
                <w:b/>
                <w:bCs/>
                <w:kern w:val="2"/>
                <w:sz w:val="24"/>
                <w:szCs w:val="24"/>
              </w:rPr>
              <w:t>得</w:t>
            </w:r>
            <w:r>
              <w:rPr>
                <w:rFonts w:hint="eastAsia" w:ascii="宋体" w:hAnsi="宋体" w:eastAsia="宋体" w:cs="宋体"/>
                <w:b/>
                <w:bCs/>
                <w:kern w:val="2"/>
                <w:sz w:val="24"/>
                <w:szCs w:val="24"/>
                <w:lang w:val="en-US" w:eastAsia="zh-CN"/>
              </w:rPr>
              <w:t>2</w:t>
            </w:r>
            <w:r>
              <w:rPr>
                <w:rFonts w:hint="eastAsia" w:ascii="宋体" w:hAnsi="宋体" w:eastAsia="宋体" w:cs="宋体"/>
                <w:b/>
                <w:bCs/>
                <w:kern w:val="2"/>
                <w:sz w:val="24"/>
                <w:szCs w:val="24"/>
              </w:rPr>
              <w:t>分。</w:t>
            </w:r>
          </w:p>
          <w:p w14:paraId="2C347FD1">
            <w:pPr>
              <w:spacing w:line="500" w:lineRule="exact"/>
              <w:jc w:val="left"/>
              <w:rPr>
                <w:rFonts w:ascii="宋体" w:hAnsi="宋体" w:eastAsia="宋体" w:cs="宋体"/>
                <w:kern w:val="2"/>
                <w:sz w:val="24"/>
                <w:szCs w:val="24"/>
              </w:rPr>
            </w:pPr>
            <w:r>
              <w:rPr>
                <w:rFonts w:hint="eastAsia" w:ascii="宋体" w:hAnsi="宋体" w:eastAsia="宋体" w:cs="宋体"/>
                <w:b/>
                <w:bCs/>
                <w:kern w:val="2"/>
                <w:sz w:val="24"/>
                <w:szCs w:val="24"/>
              </w:rPr>
              <w:t>（上述1-</w:t>
            </w:r>
            <w:r>
              <w:rPr>
                <w:rFonts w:hint="eastAsia" w:ascii="宋体" w:hAnsi="宋体" w:eastAsia="宋体" w:cs="宋体"/>
                <w:b/>
                <w:bCs/>
                <w:kern w:val="2"/>
                <w:sz w:val="24"/>
                <w:szCs w:val="24"/>
                <w:lang w:val="en-US" w:eastAsia="zh-CN"/>
              </w:rPr>
              <w:t>5</w:t>
            </w:r>
            <w:r>
              <w:rPr>
                <w:rFonts w:hint="eastAsia" w:ascii="宋体" w:hAnsi="宋体" w:eastAsia="宋体" w:cs="宋体"/>
                <w:b/>
                <w:bCs/>
                <w:kern w:val="2"/>
                <w:sz w:val="24"/>
                <w:szCs w:val="24"/>
              </w:rPr>
              <w:t>项投标文件中同时提供相关有效证书材料的扫描件及投标人为以上人员缴纳</w:t>
            </w:r>
            <w:r>
              <w:rPr>
                <w:rFonts w:hint="eastAsia" w:ascii="宋体" w:hAnsi="宋体" w:cs="宋体"/>
                <w:b/>
                <w:bCs/>
                <w:color w:val="000000"/>
                <w:sz w:val="24"/>
                <w:szCs w:val="24"/>
                <w:lang w:val="zh-CN"/>
              </w:rPr>
              <w:t>20</w:t>
            </w:r>
            <w:r>
              <w:rPr>
                <w:rFonts w:hint="eastAsia" w:ascii="宋体" w:hAnsi="宋体" w:cs="宋体"/>
                <w:b/>
                <w:bCs/>
                <w:color w:val="000000"/>
                <w:sz w:val="24"/>
                <w:szCs w:val="24"/>
              </w:rPr>
              <w:t>26</w:t>
            </w:r>
            <w:r>
              <w:rPr>
                <w:rFonts w:hint="eastAsia" w:ascii="宋体" w:hAnsi="宋体" w:cs="宋体"/>
                <w:b/>
                <w:bCs/>
                <w:color w:val="000000"/>
                <w:sz w:val="24"/>
                <w:szCs w:val="24"/>
                <w:lang w:val="zh-CN"/>
              </w:rPr>
              <w:t>年</w:t>
            </w:r>
            <w:r>
              <w:rPr>
                <w:rFonts w:hint="eastAsia" w:ascii="宋体" w:hAnsi="宋体" w:cs="宋体"/>
                <w:b/>
                <w:bCs/>
                <w:color w:val="000000"/>
                <w:sz w:val="24"/>
                <w:szCs w:val="24"/>
              </w:rPr>
              <w:t>1</w:t>
            </w:r>
            <w:r>
              <w:rPr>
                <w:rFonts w:hint="eastAsia" w:ascii="宋体" w:hAnsi="宋体" w:cs="宋体"/>
                <w:b/>
                <w:bCs/>
                <w:color w:val="000000"/>
                <w:sz w:val="24"/>
                <w:szCs w:val="24"/>
                <w:lang w:val="zh-CN"/>
              </w:rPr>
              <w:t>月（含）以来任意</w:t>
            </w:r>
            <w:r>
              <w:rPr>
                <w:rFonts w:hint="eastAsia" w:ascii="宋体" w:hAnsi="宋体" w:cs="宋体"/>
                <w:b/>
                <w:bCs/>
                <w:color w:val="000000"/>
                <w:sz w:val="24"/>
                <w:szCs w:val="24"/>
              </w:rPr>
              <w:t>1</w:t>
            </w:r>
            <w:r>
              <w:rPr>
                <w:rFonts w:hint="eastAsia" w:ascii="宋体" w:hAnsi="宋体" w:cs="宋体"/>
                <w:b/>
                <w:bCs/>
                <w:color w:val="000000"/>
                <w:sz w:val="24"/>
                <w:szCs w:val="24"/>
                <w:lang w:val="zh-CN"/>
              </w:rPr>
              <w:t>个月由社保证明材料</w:t>
            </w:r>
            <w:r>
              <w:rPr>
                <w:rFonts w:hint="eastAsia" w:ascii="宋体" w:hAnsi="宋体" w:cs="宋体"/>
                <w:b/>
                <w:bCs/>
                <w:color w:val="000000"/>
                <w:sz w:val="24"/>
                <w:szCs w:val="24"/>
              </w:rPr>
              <w:t>（加盖社保中心章或社保中心参保缴费证明电子专用章），</w:t>
            </w:r>
            <w:r>
              <w:rPr>
                <w:rFonts w:hint="eastAsia" w:ascii="宋体" w:hAnsi="宋体" w:eastAsia="宋体" w:cs="宋体"/>
                <w:b/>
                <w:bCs/>
                <w:kern w:val="2"/>
                <w:sz w:val="24"/>
                <w:szCs w:val="24"/>
              </w:rPr>
              <w:t>否则不得分）</w:t>
            </w:r>
          </w:p>
        </w:tc>
      </w:tr>
      <w:tr w14:paraId="622C4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04" w:type="dxa"/>
            <w:vAlign w:val="center"/>
          </w:tcPr>
          <w:p w14:paraId="01BADD9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jc w:val="center"/>
              <w:rPr>
                <w:rFonts w:ascii="宋体" w:hAnsi="宋体" w:eastAsia="宋体" w:cs="宋体"/>
                <w:kern w:val="2"/>
                <w:sz w:val="24"/>
              </w:rPr>
            </w:pPr>
            <w:r>
              <w:rPr>
                <w:rFonts w:hint="eastAsia" w:ascii="宋体" w:hAnsi="宋体" w:eastAsia="宋体" w:cs="宋体"/>
                <w:kern w:val="2"/>
                <w:sz w:val="24"/>
              </w:rPr>
              <w:t>项目经理</w:t>
            </w:r>
          </w:p>
          <w:p w14:paraId="638BDD22">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jc w:val="center"/>
              <w:rPr>
                <w:rFonts w:ascii="宋体" w:hAnsi="宋体" w:eastAsia="宋体" w:cs="宋体"/>
                <w:kern w:val="2"/>
                <w:sz w:val="24"/>
              </w:rPr>
            </w:pPr>
            <w:r>
              <w:rPr>
                <w:rFonts w:hint="eastAsia" w:ascii="宋体" w:hAnsi="宋体" w:eastAsia="宋体" w:cs="宋体"/>
                <w:kern w:val="2"/>
                <w:sz w:val="24"/>
              </w:rPr>
              <w:t>（</w:t>
            </w:r>
            <w:r>
              <w:rPr>
                <w:rFonts w:hint="eastAsia" w:ascii="宋体" w:hAnsi="宋体" w:eastAsia="宋体" w:cs="宋体"/>
                <w:kern w:val="2"/>
                <w:sz w:val="24"/>
                <w:lang w:val="en-US" w:eastAsia="zh-CN"/>
              </w:rPr>
              <w:t>10</w:t>
            </w:r>
            <w:r>
              <w:rPr>
                <w:rFonts w:hint="eastAsia" w:ascii="宋体" w:hAnsi="宋体" w:eastAsia="宋体" w:cs="宋体"/>
                <w:kern w:val="2"/>
                <w:sz w:val="24"/>
              </w:rPr>
              <w:t>分）</w:t>
            </w:r>
          </w:p>
        </w:tc>
        <w:tc>
          <w:tcPr>
            <w:tcW w:w="6493" w:type="dxa"/>
          </w:tcPr>
          <w:p w14:paraId="2525E4E5">
            <w:pPr>
              <w:spacing w:line="500" w:lineRule="exact"/>
              <w:rPr>
                <w:rFonts w:ascii="宋体" w:hAnsi="宋体" w:eastAsia="宋体" w:cs="宋体"/>
                <w:b/>
                <w:bCs/>
                <w:kern w:val="2"/>
                <w:sz w:val="24"/>
                <w:szCs w:val="24"/>
              </w:rPr>
            </w:pPr>
            <w:r>
              <w:rPr>
                <w:rFonts w:hint="eastAsia" w:ascii="宋体" w:hAnsi="宋体" w:eastAsia="宋体" w:cs="宋体"/>
                <w:kern w:val="2"/>
                <w:sz w:val="24"/>
                <w:szCs w:val="24"/>
              </w:rPr>
              <w:t>1、拟派项目经理具有3年（含）以上</w:t>
            </w:r>
            <w:r>
              <w:rPr>
                <w:rFonts w:hint="eastAsia" w:ascii="宋体" w:hAnsi="宋体" w:eastAsia="宋体" w:cs="宋体"/>
                <w:kern w:val="2"/>
                <w:sz w:val="24"/>
                <w:szCs w:val="24"/>
                <w:lang w:eastAsia="zh-CN"/>
              </w:rPr>
              <w:t>（</w:t>
            </w:r>
            <w:r>
              <w:rPr>
                <w:rFonts w:hint="eastAsia" w:ascii="宋体" w:hAnsi="宋体" w:eastAsia="宋体" w:cs="宋体"/>
                <w:kern w:val="2"/>
                <w:sz w:val="24"/>
                <w:szCs w:val="24"/>
                <w:lang w:val="en-US" w:eastAsia="zh-CN"/>
              </w:rPr>
              <w:t>5年以下</w:t>
            </w:r>
            <w:r>
              <w:rPr>
                <w:rFonts w:hint="eastAsia" w:ascii="宋体" w:hAnsi="宋体" w:eastAsia="宋体" w:cs="宋体"/>
                <w:kern w:val="2"/>
                <w:sz w:val="24"/>
                <w:szCs w:val="24"/>
                <w:lang w:eastAsia="zh-CN"/>
              </w:rPr>
              <w:t>）</w:t>
            </w:r>
            <w:r>
              <w:rPr>
                <w:rFonts w:hint="eastAsia" w:ascii="宋体" w:hAnsi="宋体" w:eastAsia="宋体" w:cs="宋体"/>
                <w:kern w:val="2"/>
                <w:sz w:val="24"/>
                <w:szCs w:val="24"/>
              </w:rPr>
              <w:t>物业项目经理经验得</w:t>
            </w:r>
            <w:r>
              <w:rPr>
                <w:rFonts w:hint="eastAsia" w:ascii="宋体" w:hAnsi="宋体" w:eastAsia="宋体" w:cs="宋体"/>
                <w:kern w:val="2"/>
                <w:sz w:val="24"/>
                <w:szCs w:val="24"/>
                <w:lang w:val="en-US" w:eastAsia="zh-CN"/>
              </w:rPr>
              <w:t>3</w:t>
            </w:r>
            <w:r>
              <w:rPr>
                <w:rFonts w:hint="eastAsia" w:ascii="宋体" w:hAnsi="宋体" w:eastAsia="宋体" w:cs="宋体"/>
                <w:kern w:val="2"/>
                <w:sz w:val="24"/>
                <w:szCs w:val="24"/>
              </w:rPr>
              <w:t>分；具有5年（含）以上物业项目经理经验得</w:t>
            </w:r>
            <w:r>
              <w:rPr>
                <w:rFonts w:hint="eastAsia" w:ascii="宋体" w:hAnsi="宋体" w:eastAsia="宋体" w:cs="宋体"/>
                <w:kern w:val="2"/>
                <w:sz w:val="24"/>
                <w:szCs w:val="24"/>
                <w:lang w:val="en-US" w:eastAsia="zh-CN"/>
              </w:rPr>
              <w:t>5</w:t>
            </w:r>
            <w:r>
              <w:rPr>
                <w:rFonts w:hint="eastAsia" w:ascii="宋体" w:hAnsi="宋体" w:eastAsia="宋体" w:cs="宋体"/>
                <w:kern w:val="2"/>
                <w:sz w:val="24"/>
                <w:szCs w:val="24"/>
              </w:rPr>
              <w:t>分，</w:t>
            </w:r>
            <w:r>
              <w:rPr>
                <w:rFonts w:hint="eastAsia" w:ascii="宋体" w:hAnsi="宋体" w:eastAsia="宋体" w:cs="宋体"/>
                <w:b/>
                <w:bCs/>
                <w:kern w:val="2"/>
                <w:sz w:val="24"/>
                <w:szCs w:val="24"/>
              </w:rPr>
              <w:t>本项最高得</w:t>
            </w:r>
            <w:r>
              <w:rPr>
                <w:rFonts w:hint="eastAsia" w:ascii="宋体" w:hAnsi="宋体" w:eastAsia="宋体" w:cs="宋体"/>
                <w:b/>
                <w:bCs/>
                <w:kern w:val="2"/>
                <w:sz w:val="24"/>
                <w:szCs w:val="24"/>
                <w:lang w:val="en-US" w:eastAsia="zh-CN"/>
              </w:rPr>
              <w:t>5</w:t>
            </w:r>
            <w:r>
              <w:rPr>
                <w:rFonts w:hint="eastAsia" w:ascii="宋体" w:hAnsi="宋体" w:eastAsia="宋体" w:cs="宋体"/>
                <w:b/>
                <w:bCs/>
                <w:kern w:val="2"/>
                <w:sz w:val="24"/>
                <w:szCs w:val="24"/>
              </w:rPr>
              <w:t>分。</w:t>
            </w:r>
          </w:p>
          <w:p w14:paraId="204DDE4C">
            <w:pPr>
              <w:spacing w:line="500" w:lineRule="exact"/>
              <w:rPr>
                <w:rFonts w:hint="eastAsia" w:ascii="宋体" w:hAnsi="宋体" w:cs="宋体" w:eastAsiaTheme="minorEastAsia"/>
                <w:b/>
                <w:bCs/>
                <w:kern w:val="2"/>
                <w:sz w:val="24"/>
                <w:szCs w:val="24"/>
                <w:lang w:val="en-US" w:eastAsia="zh-CN"/>
              </w:rPr>
            </w:pPr>
            <w:r>
              <w:rPr>
                <w:rFonts w:hint="eastAsia" w:ascii="宋体" w:hAnsi="宋体" w:eastAsia="宋体" w:cs="宋体"/>
                <w:b/>
                <w:bCs/>
                <w:kern w:val="2"/>
                <w:sz w:val="24"/>
                <w:szCs w:val="24"/>
              </w:rPr>
              <w:t>（投标文件中</w:t>
            </w:r>
            <w:r>
              <w:rPr>
                <w:rFonts w:hint="eastAsia" w:asciiTheme="minorEastAsia" w:hAnsiTheme="minorEastAsia" w:cstheme="minorEastAsia"/>
                <w:b/>
                <w:bCs/>
                <w:sz w:val="24"/>
                <w:szCs w:val="24"/>
              </w:rPr>
              <w:t>提供相关工作经验证明（包含工作履历或相关工作任命或其他可以证明工作经验的材料</w:t>
            </w:r>
            <w:r>
              <w:rPr>
                <w:rFonts w:hint="eastAsia" w:asciiTheme="minorEastAsia" w:hAnsiTheme="minorEastAsia" w:cstheme="minorEastAsia"/>
                <w:b/>
                <w:bCs/>
                <w:sz w:val="24"/>
                <w:szCs w:val="24"/>
                <w:lang w:eastAsia="zh-CN"/>
              </w:rPr>
              <w:t>，加盖投标人公章</w:t>
            </w:r>
            <w:r>
              <w:rPr>
                <w:rFonts w:hint="eastAsia" w:asciiTheme="minorEastAsia" w:hAnsiTheme="minorEastAsia" w:cstheme="minorEastAsia"/>
                <w:b/>
                <w:bCs/>
                <w:sz w:val="24"/>
                <w:szCs w:val="24"/>
              </w:rPr>
              <w:t>）</w:t>
            </w:r>
            <w:r>
              <w:rPr>
                <w:rFonts w:hint="eastAsia" w:asciiTheme="minorEastAsia" w:hAnsiTheme="minorEastAsia" w:cstheme="minorEastAsia"/>
                <w:b/>
                <w:bCs/>
                <w:sz w:val="24"/>
                <w:szCs w:val="24"/>
                <w:lang w:val="en-US" w:eastAsia="zh-CN"/>
              </w:rPr>
              <w:t>)</w:t>
            </w:r>
          </w:p>
          <w:p w14:paraId="27A91920">
            <w:pPr>
              <w:spacing w:line="500" w:lineRule="exact"/>
              <w:rPr>
                <w:rFonts w:ascii="宋体" w:hAnsi="宋体" w:eastAsia="宋体" w:cs="宋体"/>
                <w:color w:val="auto"/>
                <w:kern w:val="2"/>
                <w:sz w:val="24"/>
                <w:szCs w:val="24"/>
              </w:rPr>
            </w:pPr>
            <w:r>
              <w:rPr>
                <w:rFonts w:hint="eastAsia" w:ascii="宋体" w:hAnsi="宋体" w:eastAsia="宋体" w:cs="宋体"/>
                <w:kern w:val="2"/>
                <w:sz w:val="24"/>
                <w:szCs w:val="24"/>
              </w:rPr>
              <w:t>2、拟派项目经理</w:t>
            </w:r>
            <w:r>
              <w:rPr>
                <w:rFonts w:hint="eastAsia" w:ascii="宋体" w:hAnsi="宋体" w:eastAsia="宋体" w:cs="宋体"/>
                <w:color w:val="auto"/>
                <w:kern w:val="2"/>
                <w:sz w:val="24"/>
                <w:szCs w:val="24"/>
              </w:rPr>
              <w:t>具有三级</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rPr>
              <w:t>高级</w:t>
            </w:r>
            <w:r>
              <w:rPr>
                <w:rFonts w:hint="eastAsia" w:ascii="宋体" w:hAnsi="宋体" w:eastAsia="宋体" w:cs="宋体"/>
                <w:color w:val="auto"/>
                <w:kern w:val="2"/>
                <w:sz w:val="24"/>
                <w:szCs w:val="24"/>
                <w:lang w:eastAsia="zh-CN"/>
              </w:rPr>
              <w:t>工）</w:t>
            </w:r>
            <w:r>
              <w:rPr>
                <w:rFonts w:hint="eastAsia" w:ascii="宋体" w:hAnsi="宋体" w:eastAsia="宋体" w:cs="宋体"/>
                <w:color w:val="auto"/>
                <w:kern w:val="2"/>
                <w:sz w:val="24"/>
                <w:szCs w:val="24"/>
              </w:rPr>
              <w:t>及以上物业管理师证书</w:t>
            </w:r>
            <w:r>
              <w:rPr>
                <w:rFonts w:hint="eastAsia" w:ascii="MS Mincho" w:hAnsi="MS Mincho" w:eastAsia="MS Mincho" w:cs="MS Mincho"/>
                <w:color w:val="auto"/>
                <w:kern w:val="2"/>
                <w:sz w:val="24"/>
                <w:szCs w:val="24"/>
              </w:rPr>
              <w:t>‌</w:t>
            </w:r>
            <w:r>
              <w:rPr>
                <w:rFonts w:hint="eastAsia" w:ascii="宋体" w:hAnsi="宋体" w:eastAsia="宋体" w:cs="宋体"/>
                <w:color w:val="auto"/>
                <w:kern w:val="2"/>
                <w:sz w:val="24"/>
                <w:szCs w:val="24"/>
              </w:rPr>
              <w:t>的</w:t>
            </w:r>
            <w:r>
              <w:rPr>
                <w:rFonts w:hint="eastAsia" w:ascii="宋体" w:hAnsi="宋体" w:eastAsia="宋体" w:cs="宋体"/>
                <w:b/>
                <w:bCs/>
                <w:color w:val="auto"/>
                <w:kern w:val="2"/>
                <w:sz w:val="24"/>
                <w:szCs w:val="24"/>
              </w:rPr>
              <w:t>得5分。</w:t>
            </w:r>
          </w:p>
          <w:p w14:paraId="4840C0C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jc w:val="left"/>
              <w:rPr>
                <w:rFonts w:ascii="宋体" w:hAnsi="宋体" w:eastAsia="宋体" w:cs="宋体"/>
                <w:kern w:val="2"/>
                <w:sz w:val="24"/>
              </w:rPr>
            </w:pPr>
            <w:r>
              <w:rPr>
                <w:rFonts w:hint="eastAsia" w:ascii="宋体" w:hAnsi="宋体" w:eastAsia="宋体" w:cs="宋体"/>
                <w:b/>
                <w:bCs/>
                <w:kern w:val="2"/>
                <w:sz w:val="24"/>
              </w:rPr>
              <w:t>（投标文件中</w:t>
            </w:r>
            <w:r>
              <w:rPr>
                <w:rFonts w:hint="eastAsia" w:ascii="宋体" w:hAnsi="宋体"/>
                <w:b/>
                <w:bCs/>
                <w:sz w:val="24"/>
              </w:rPr>
              <w:t>提供相关有效证书扫描件</w:t>
            </w:r>
            <w:r>
              <w:rPr>
                <w:rFonts w:hint="eastAsia" w:ascii="宋体" w:hAnsi="宋体" w:eastAsia="宋体" w:cs="宋体"/>
                <w:b/>
                <w:bCs/>
                <w:kern w:val="2"/>
                <w:sz w:val="24"/>
              </w:rPr>
              <w:t>及</w:t>
            </w:r>
            <w:r>
              <w:rPr>
                <w:rFonts w:hint="eastAsia" w:ascii="宋体" w:hAnsi="宋体" w:eastAsia="宋体" w:cs="宋体"/>
                <w:b/>
                <w:bCs/>
                <w:kern w:val="2"/>
                <w:sz w:val="24"/>
                <w:szCs w:val="24"/>
              </w:rPr>
              <w:t>由投标人为其缴纳</w:t>
            </w:r>
            <w:r>
              <w:rPr>
                <w:rFonts w:hint="eastAsia" w:ascii="宋体" w:hAnsi="宋体" w:cs="宋体"/>
                <w:b/>
                <w:bCs/>
                <w:color w:val="000000"/>
                <w:sz w:val="24"/>
                <w:szCs w:val="24"/>
                <w:lang w:val="zh-CN"/>
              </w:rPr>
              <w:t>20</w:t>
            </w:r>
            <w:r>
              <w:rPr>
                <w:rFonts w:hint="eastAsia" w:ascii="宋体" w:hAnsi="宋体" w:cs="宋体"/>
                <w:b/>
                <w:bCs/>
                <w:color w:val="000000"/>
                <w:sz w:val="24"/>
                <w:szCs w:val="24"/>
              </w:rPr>
              <w:t>26</w:t>
            </w:r>
            <w:r>
              <w:rPr>
                <w:rFonts w:hint="eastAsia" w:ascii="宋体" w:hAnsi="宋体" w:cs="宋体"/>
                <w:b/>
                <w:bCs/>
                <w:color w:val="000000"/>
                <w:sz w:val="24"/>
                <w:szCs w:val="24"/>
                <w:lang w:val="zh-CN"/>
              </w:rPr>
              <w:t>年</w:t>
            </w:r>
            <w:r>
              <w:rPr>
                <w:rFonts w:hint="eastAsia" w:ascii="宋体" w:hAnsi="宋体" w:cs="宋体"/>
                <w:b/>
                <w:bCs/>
                <w:color w:val="000000"/>
                <w:sz w:val="24"/>
                <w:szCs w:val="24"/>
              </w:rPr>
              <w:t>1</w:t>
            </w:r>
            <w:r>
              <w:rPr>
                <w:rFonts w:hint="eastAsia" w:ascii="宋体" w:hAnsi="宋体" w:cs="宋体"/>
                <w:b/>
                <w:bCs/>
                <w:color w:val="000000"/>
                <w:sz w:val="24"/>
                <w:szCs w:val="24"/>
                <w:lang w:val="zh-CN"/>
              </w:rPr>
              <w:t>月（含）以来任意</w:t>
            </w:r>
            <w:r>
              <w:rPr>
                <w:rFonts w:hint="eastAsia" w:ascii="宋体" w:hAnsi="宋体" w:cs="宋体"/>
                <w:b/>
                <w:bCs/>
                <w:color w:val="000000"/>
                <w:sz w:val="24"/>
                <w:szCs w:val="24"/>
              </w:rPr>
              <w:t>1</w:t>
            </w:r>
            <w:r>
              <w:rPr>
                <w:rFonts w:hint="eastAsia" w:ascii="宋体" w:hAnsi="宋体" w:cs="宋体"/>
                <w:b/>
                <w:bCs/>
                <w:color w:val="000000"/>
                <w:sz w:val="24"/>
                <w:szCs w:val="24"/>
                <w:lang w:val="zh-CN"/>
              </w:rPr>
              <w:t>个月由社保证明材料</w:t>
            </w:r>
            <w:r>
              <w:rPr>
                <w:rFonts w:hint="eastAsia" w:ascii="宋体" w:hAnsi="宋体" w:cs="宋体"/>
                <w:b/>
                <w:bCs/>
                <w:color w:val="000000"/>
                <w:sz w:val="24"/>
                <w:szCs w:val="24"/>
              </w:rPr>
              <w:t>（加盖社保中心章或社保中心参保缴费证明电子专用章）</w:t>
            </w:r>
            <w:r>
              <w:rPr>
                <w:rFonts w:hint="eastAsia" w:ascii="宋体" w:hAnsi="宋体" w:eastAsia="宋体" w:cs="宋体"/>
                <w:b/>
                <w:bCs/>
                <w:kern w:val="2"/>
                <w:sz w:val="24"/>
                <w:szCs w:val="24"/>
              </w:rPr>
              <w:t>，否则不得分。</w:t>
            </w:r>
            <w:r>
              <w:rPr>
                <w:rFonts w:hint="eastAsia" w:ascii="宋体" w:hAnsi="宋体" w:eastAsia="宋体" w:cs="宋体"/>
                <w:b/>
                <w:bCs/>
                <w:kern w:val="2"/>
                <w:sz w:val="24"/>
              </w:rPr>
              <w:t>）</w:t>
            </w:r>
          </w:p>
        </w:tc>
      </w:tr>
      <w:tr w14:paraId="47AB18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1804" w:type="dxa"/>
            <w:vAlign w:val="center"/>
          </w:tcPr>
          <w:p w14:paraId="6BB0F9ED">
            <w:pPr>
              <w:spacing w:line="500" w:lineRule="exact"/>
              <w:jc w:val="center"/>
              <w:rPr>
                <w:rFonts w:ascii="宋体" w:hAnsi="宋体" w:eastAsia="宋体" w:cs="宋体"/>
                <w:kern w:val="2"/>
                <w:sz w:val="24"/>
                <w:szCs w:val="24"/>
              </w:rPr>
            </w:pPr>
            <w:r>
              <w:rPr>
                <w:rFonts w:hint="eastAsia" w:ascii="宋体" w:hAnsi="宋体" w:eastAsia="宋体" w:cs="宋体"/>
                <w:kern w:val="2"/>
                <w:sz w:val="24"/>
                <w:szCs w:val="24"/>
              </w:rPr>
              <w:t>类似业绩</w:t>
            </w:r>
          </w:p>
          <w:p w14:paraId="3C22D51E">
            <w:pPr>
              <w:spacing w:line="500" w:lineRule="exact"/>
              <w:jc w:val="center"/>
              <w:rPr>
                <w:rFonts w:ascii="宋体" w:hAnsi="宋体" w:eastAsia="宋体" w:cs="宋体"/>
                <w:kern w:val="2"/>
                <w:sz w:val="24"/>
                <w:szCs w:val="24"/>
              </w:rPr>
            </w:pPr>
            <w:r>
              <w:rPr>
                <w:rFonts w:hint="eastAsia" w:ascii="宋体" w:hAnsi="宋体" w:eastAsia="宋体" w:cs="宋体"/>
                <w:kern w:val="2"/>
                <w:sz w:val="24"/>
                <w:szCs w:val="24"/>
              </w:rPr>
              <w:t>（1</w:t>
            </w:r>
            <w:r>
              <w:rPr>
                <w:rFonts w:hint="eastAsia" w:ascii="宋体" w:hAnsi="宋体" w:eastAsia="宋体" w:cs="宋体"/>
                <w:kern w:val="2"/>
                <w:sz w:val="24"/>
                <w:szCs w:val="24"/>
                <w:lang w:val="en-US" w:eastAsia="zh-CN"/>
              </w:rPr>
              <w:t>2</w:t>
            </w:r>
            <w:r>
              <w:rPr>
                <w:rFonts w:hint="eastAsia" w:ascii="宋体" w:hAnsi="宋体" w:eastAsia="宋体" w:cs="宋体"/>
                <w:kern w:val="2"/>
                <w:sz w:val="24"/>
                <w:szCs w:val="24"/>
              </w:rPr>
              <w:t>分）</w:t>
            </w:r>
          </w:p>
        </w:tc>
        <w:tc>
          <w:tcPr>
            <w:tcW w:w="6493" w:type="dxa"/>
          </w:tcPr>
          <w:p w14:paraId="7228FF1E">
            <w:pPr>
              <w:spacing w:line="500" w:lineRule="exact"/>
              <w:rPr>
                <w:rFonts w:ascii="宋体" w:hAnsi="宋体" w:eastAsia="宋体" w:cs="宋体"/>
                <w:b/>
                <w:bCs/>
                <w:kern w:val="2"/>
                <w:sz w:val="24"/>
                <w:szCs w:val="24"/>
              </w:rPr>
            </w:pPr>
            <w:r>
              <w:rPr>
                <w:rFonts w:hint="eastAsia" w:ascii="宋体" w:hAnsi="宋体" w:eastAsia="宋体" w:cs="宋体"/>
                <w:kern w:val="2"/>
                <w:sz w:val="24"/>
                <w:szCs w:val="24"/>
              </w:rPr>
              <w:t>自2023年1月1日（含）以来（以合同为准） ，投标人具有类似物业（非住宅）管理服务项目业绩，每提供一个得</w:t>
            </w:r>
            <w:r>
              <w:rPr>
                <w:rFonts w:hint="eastAsia" w:ascii="宋体" w:hAnsi="宋体" w:eastAsia="宋体" w:cs="宋体"/>
                <w:kern w:val="2"/>
                <w:sz w:val="24"/>
                <w:szCs w:val="24"/>
                <w:lang w:val="en-US" w:eastAsia="zh-CN"/>
              </w:rPr>
              <w:t>4</w:t>
            </w:r>
            <w:r>
              <w:rPr>
                <w:rFonts w:hint="eastAsia" w:ascii="宋体" w:hAnsi="宋体" w:eastAsia="宋体" w:cs="宋体"/>
                <w:kern w:val="2"/>
                <w:sz w:val="24"/>
                <w:szCs w:val="24"/>
              </w:rPr>
              <w:t>分，</w:t>
            </w:r>
            <w:r>
              <w:rPr>
                <w:rFonts w:hint="eastAsia" w:ascii="宋体" w:hAnsi="宋体" w:eastAsia="宋体" w:cs="宋体"/>
                <w:b/>
                <w:bCs/>
                <w:kern w:val="2"/>
                <w:sz w:val="24"/>
                <w:szCs w:val="24"/>
              </w:rPr>
              <w:t>本项最高得</w:t>
            </w:r>
            <w:r>
              <w:rPr>
                <w:rFonts w:hint="eastAsia" w:ascii="宋体" w:hAnsi="宋体" w:eastAsia="宋体" w:cs="宋体"/>
                <w:b/>
                <w:bCs/>
                <w:kern w:val="2"/>
                <w:sz w:val="24"/>
                <w:szCs w:val="24"/>
                <w:lang w:val="en-US" w:eastAsia="zh-CN"/>
              </w:rPr>
              <w:t>12</w:t>
            </w:r>
            <w:r>
              <w:rPr>
                <w:rFonts w:hint="eastAsia" w:ascii="宋体" w:hAnsi="宋体" w:eastAsia="宋体" w:cs="宋体"/>
                <w:b/>
                <w:bCs/>
                <w:kern w:val="2"/>
                <w:sz w:val="24"/>
                <w:szCs w:val="24"/>
              </w:rPr>
              <w:t>分。</w:t>
            </w:r>
          </w:p>
          <w:p w14:paraId="6CE421FB">
            <w:pPr>
              <w:spacing w:line="500" w:lineRule="exact"/>
              <w:rPr>
                <w:rFonts w:asciiTheme="minorEastAsia" w:hAnsiTheme="minorEastAsia"/>
                <w:b/>
                <w:color w:val="000000"/>
                <w:sz w:val="24"/>
                <w:szCs w:val="24"/>
              </w:rPr>
            </w:pPr>
            <w:r>
              <w:rPr>
                <w:rFonts w:hint="eastAsia" w:asciiTheme="minorEastAsia" w:hAnsiTheme="minorEastAsia"/>
                <w:b/>
                <w:color w:val="000000"/>
                <w:sz w:val="24"/>
                <w:szCs w:val="24"/>
              </w:rPr>
              <w:t>（投标文件中提供合同扫描件并加盖投标人公章，时间、标的内容以合同为准，否则不得分）</w:t>
            </w:r>
          </w:p>
          <w:p w14:paraId="69CD0F88">
            <w:pPr>
              <w:spacing w:line="500" w:lineRule="exact"/>
            </w:pPr>
            <w:r>
              <w:rPr>
                <w:rFonts w:hint="eastAsia" w:ascii="宋体" w:hAnsi="宋体" w:eastAsia="宋体" w:cs="宋体"/>
                <w:b/>
                <w:bCs/>
                <w:kern w:val="2"/>
                <w:sz w:val="24"/>
                <w:szCs w:val="24"/>
              </w:rPr>
              <w:t>（同一服务对象（单位）同一采购项目项下的业绩不可重复得分）</w:t>
            </w:r>
          </w:p>
        </w:tc>
      </w:tr>
    </w:tbl>
    <w:p w14:paraId="18635292">
      <w:pPr>
        <w:spacing w:line="400" w:lineRule="exact"/>
        <w:ind w:left="420" w:leftChars="200"/>
        <w:rPr>
          <w:rFonts w:ascii="Calibri" w:hAnsi="Calibri" w:eastAsia="宋体" w:cs="Times New Roman"/>
          <w:kern w:val="2"/>
          <w:sz w:val="24"/>
        </w:rPr>
      </w:pPr>
      <w:r>
        <w:rPr>
          <w:rFonts w:hint="eastAsia" w:ascii="宋体" w:hAnsi="宋体" w:eastAsia="宋体" w:cs="Times New Roman"/>
          <w:b/>
          <w:color w:val="000000"/>
          <w:kern w:val="2"/>
          <w:sz w:val="24"/>
        </w:rPr>
        <w:t>3.</w:t>
      </w:r>
      <w:r>
        <w:rPr>
          <w:rFonts w:hint="eastAsia" w:ascii="宋体" w:hAnsi="宋体" w:eastAsia="宋体" w:cs="宋体"/>
          <w:b/>
          <w:sz w:val="24"/>
          <w:szCs w:val="24"/>
        </w:rPr>
        <w:t xml:space="preserve"> 技术分（36分）（本部分</w:t>
      </w:r>
      <w:r>
        <w:rPr>
          <w:rFonts w:hint="eastAsia" w:ascii="宋体" w:hAnsi="宋体" w:cs="Calibri"/>
          <w:b/>
          <w:color w:val="000000"/>
          <w:sz w:val="24"/>
          <w:szCs w:val="24"/>
        </w:rPr>
        <w:t>采用暗标方式进行评审）</w:t>
      </w:r>
    </w:p>
    <w:tbl>
      <w:tblPr>
        <w:tblStyle w:val="29"/>
        <w:tblW w:w="89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04"/>
        <w:gridCol w:w="7018"/>
      </w:tblGrid>
      <w:tr w14:paraId="533B10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04" w:type="dxa"/>
            <w:vAlign w:val="center"/>
          </w:tcPr>
          <w:p w14:paraId="1472653E">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eastAsia="宋体" w:cs="Times New Roman"/>
                <w:b/>
                <w:color w:val="000000"/>
                <w:kern w:val="2"/>
                <w:sz w:val="24"/>
              </w:rPr>
            </w:pPr>
            <w:r>
              <w:rPr>
                <w:rFonts w:hint="eastAsia" w:ascii="宋体" w:hAnsi="宋体" w:eastAsia="宋体" w:cs="Times New Roman"/>
                <w:b/>
                <w:color w:val="000000"/>
                <w:kern w:val="2"/>
                <w:sz w:val="24"/>
              </w:rPr>
              <w:t>评审因素</w:t>
            </w:r>
          </w:p>
        </w:tc>
        <w:tc>
          <w:tcPr>
            <w:tcW w:w="7018" w:type="dxa"/>
            <w:vAlign w:val="center"/>
          </w:tcPr>
          <w:p w14:paraId="06B73D5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宋体" w:hAnsi="宋体" w:eastAsia="宋体" w:cs="Times New Roman"/>
                <w:b/>
                <w:color w:val="000000"/>
                <w:kern w:val="2"/>
                <w:sz w:val="24"/>
              </w:rPr>
            </w:pPr>
            <w:r>
              <w:rPr>
                <w:rFonts w:hint="eastAsia" w:ascii="宋体" w:hAnsi="宋体" w:eastAsia="宋体" w:cs="Times New Roman"/>
                <w:b/>
                <w:color w:val="000000"/>
                <w:kern w:val="2"/>
                <w:sz w:val="24"/>
              </w:rPr>
              <w:t>评审标准</w:t>
            </w:r>
          </w:p>
        </w:tc>
      </w:tr>
      <w:tr w14:paraId="3CDB03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1904" w:type="dxa"/>
            <w:vAlign w:val="center"/>
          </w:tcPr>
          <w:p w14:paraId="1A68C735">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jc w:val="center"/>
              <w:rPr>
                <w:rFonts w:ascii="宋体" w:hAnsi="宋体" w:eastAsia="Arial" w:cs="Arial"/>
                <w:color w:val="000000"/>
                <w:sz w:val="24"/>
                <w:szCs w:val="24"/>
              </w:rPr>
            </w:pPr>
            <w:r>
              <w:rPr>
                <w:rFonts w:hint="eastAsia" w:ascii="宋体" w:hAnsi="宋体" w:eastAsia="宋体" w:cs="宋体"/>
                <w:color w:val="000000"/>
                <w:sz w:val="24"/>
                <w:szCs w:val="24"/>
              </w:rPr>
              <w:t>整体设想及服务方案</w:t>
            </w:r>
            <w:r>
              <w:rPr>
                <w:rFonts w:hint="eastAsia" w:ascii="宋体" w:hAnsi="宋体" w:eastAsia="宋体" w:cs="宋体"/>
                <w:kern w:val="2"/>
                <w:sz w:val="24"/>
                <w:szCs w:val="24"/>
              </w:rPr>
              <w:t>（6分）</w:t>
            </w:r>
          </w:p>
        </w:tc>
        <w:tc>
          <w:tcPr>
            <w:tcW w:w="7018" w:type="dxa"/>
          </w:tcPr>
          <w:p w14:paraId="5737A490">
            <w:pPr>
              <w:spacing w:line="500" w:lineRule="exact"/>
              <w:jc w:val="left"/>
              <w:rPr>
                <w:rFonts w:ascii="宋体" w:hAnsi="宋体" w:eastAsia="宋体" w:cs="宋体"/>
                <w:b/>
                <w:bCs/>
                <w:kern w:val="2"/>
                <w:sz w:val="24"/>
                <w:szCs w:val="24"/>
              </w:rPr>
            </w:pPr>
            <w:r>
              <w:rPr>
                <w:rFonts w:hint="eastAsia" w:ascii="宋体" w:hAnsi="宋体" w:cs="宋体"/>
                <w:sz w:val="24"/>
                <w:szCs w:val="24"/>
              </w:rPr>
              <w:t>投标文件中提供项目的整体设想及策划方案，方案包含但不限于对项目总体理解定位、针对性，重难点分析及合理化建议等内容：</w:t>
            </w:r>
            <w:r>
              <w:rPr>
                <w:rFonts w:hint="eastAsia" w:ascii="宋体" w:hAnsi="宋体" w:eastAsia="宋体" w:cs="宋体"/>
                <w:kern w:val="2"/>
                <w:sz w:val="24"/>
                <w:szCs w:val="24"/>
              </w:rPr>
              <w:t>能够非常清楚明晰阐述管理理念及方案，重点、难点分析准确全面，协调性强，应对措施有力</w:t>
            </w:r>
            <w:r>
              <w:rPr>
                <w:rFonts w:hint="eastAsia" w:ascii="宋体" w:hAnsi="宋体" w:eastAsia="宋体" w:cs="宋体"/>
                <w:b/>
                <w:kern w:val="2"/>
                <w:sz w:val="24"/>
                <w:szCs w:val="24"/>
              </w:rPr>
              <w:t>得6分</w:t>
            </w:r>
            <w:r>
              <w:rPr>
                <w:rFonts w:hint="eastAsia" w:ascii="宋体" w:hAnsi="宋体" w:eastAsia="宋体" w:cs="宋体"/>
                <w:kern w:val="2"/>
                <w:sz w:val="24"/>
                <w:szCs w:val="24"/>
              </w:rPr>
              <w:t>；</w:t>
            </w:r>
          </w:p>
          <w:p w14:paraId="31007E50">
            <w:pPr>
              <w:spacing w:line="500" w:lineRule="exact"/>
              <w:jc w:val="left"/>
              <w:rPr>
                <w:rFonts w:ascii="宋体" w:hAnsi="宋体" w:eastAsia="宋体" w:cs="宋体"/>
                <w:b/>
                <w:bCs/>
                <w:kern w:val="2"/>
                <w:sz w:val="24"/>
                <w:szCs w:val="24"/>
              </w:rPr>
            </w:pPr>
            <w:r>
              <w:rPr>
                <w:rFonts w:hint="eastAsia" w:ascii="宋体" w:hAnsi="宋体" w:eastAsia="宋体" w:cs="宋体"/>
                <w:kern w:val="2"/>
                <w:sz w:val="24"/>
                <w:szCs w:val="24"/>
              </w:rPr>
              <w:t>管理理念和方案阐述较为清楚明晰，重点、难点分析较准确，协调性较强，应对措施较合理</w:t>
            </w:r>
            <w:r>
              <w:rPr>
                <w:rFonts w:hint="eastAsia" w:ascii="宋体" w:hAnsi="宋体" w:eastAsia="宋体" w:cs="宋体"/>
                <w:b/>
                <w:kern w:val="2"/>
                <w:sz w:val="24"/>
                <w:szCs w:val="24"/>
              </w:rPr>
              <w:t>得4分</w:t>
            </w:r>
            <w:r>
              <w:rPr>
                <w:rFonts w:hint="eastAsia" w:ascii="宋体" w:hAnsi="宋体" w:eastAsia="宋体" w:cs="宋体"/>
                <w:kern w:val="2"/>
                <w:sz w:val="24"/>
                <w:szCs w:val="24"/>
              </w:rPr>
              <w:t>；</w:t>
            </w:r>
          </w:p>
          <w:p w14:paraId="2AE5CCE1">
            <w:pPr>
              <w:spacing w:line="500" w:lineRule="exact"/>
              <w:jc w:val="left"/>
              <w:rPr>
                <w:rFonts w:ascii="宋体" w:hAnsi="宋体" w:eastAsia="宋体" w:cs="宋体"/>
                <w:b/>
                <w:bCs/>
                <w:kern w:val="2"/>
                <w:sz w:val="24"/>
                <w:szCs w:val="24"/>
              </w:rPr>
            </w:pPr>
            <w:r>
              <w:rPr>
                <w:rFonts w:hint="eastAsia" w:ascii="宋体" w:hAnsi="宋体" w:eastAsia="宋体" w:cs="宋体"/>
                <w:kern w:val="2"/>
                <w:sz w:val="24"/>
                <w:szCs w:val="24"/>
              </w:rPr>
              <w:t>对管理理念和方案的阐述基本清晰，重点、难点分析不全面，协调性一般，应对措施合理性一般</w:t>
            </w:r>
            <w:r>
              <w:rPr>
                <w:rFonts w:hint="eastAsia" w:ascii="宋体" w:hAnsi="宋体" w:eastAsia="宋体" w:cs="宋体"/>
                <w:b/>
                <w:kern w:val="2"/>
                <w:sz w:val="24"/>
                <w:szCs w:val="24"/>
              </w:rPr>
              <w:t>得2分</w:t>
            </w:r>
            <w:r>
              <w:rPr>
                <w:rFonts w:hint="eastAsia" w:ascii="宋体" w:hAnsi="宋体" w:eastAsia="宋体" w:cs="宋体"/>
                <w:kern w:val="2"/>
                <w:sz w:val="24"/>
                <w:szCs w:val="24"/>
              </w:rPr>
              <w:t>；</w:t>
            </w:r>
          </w:p>
          <w:p w14:paraId="1C67BA18">
            <w:pPr>
              <w:spacing w:line="500" w:lineRule="exact"/>
              <w:jc w:val="left"/>
              <w:rPr>
                <w:rFonts w:ascii="宋体" w:hAnsi="宋体" w:eastAsia="宋体" w:cs="宋体"/>
                <w:b/>
                <w:bCs/>
                <w:color w:val="000000"/>
                <w:kern w:val="2"/>
                <w:sz w:val="24"/>
                <w:szCs w:val="24"/>
              </w:rPr>
            </w:pPr>
            <w:r>
              <w:rPr>
                <w:rFonts w:hint="eastAsia" w:ascii="宋体" w:hAnsi="宋体" w:cs="宋体"/>
                <w:b/>
                <w:bCs/>
                <w:sz w:val="24"/>
                <w:szCs w:val="24"/>
              </w:rPr>
              <w:t>该项未见阐述不得分。</w:t>
            </w:r>
          </w:p>
        </w:tc>
      </w:tr>
      <w:tr w14:paraId="689075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04" w:type="dxa"/>
            <w:vAlign w:val="center"/>
          </w:tcPr>
          <w:p w14:paraId="09A903D0">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jc w:val="center"/>
              <w:rPr>
                <w:rFonts w:ascii="宋体" w:hAnsi="宋体" w:eastAsia="宋体" w:cs="宋体"/>
                <w:color w:val="000000"/>
                <w:kern w:val="2"/>
                <w:sz w:val="24"/>
                <w:szCs w:val="24"/>
              </w:rPr>
            </w:pPr>
            <w:r>
              <w:rPr>
                <w:rFonts w:hint="eastAsia" w:ascii="宋体" w:hAnsi="宋体" w:eastAsia="宋体" w:cs="宋体"/>
                <w:color w:val="000000"/>
                <w:sz w:val="24"/>
                <w:szCs w:val="24"/>
              </w:rPr>
              <w:t>管理规章制度</w:t>
            </w:r>
            <w:r>
              <w:rPr>
                <w:rFonts w:hint="eastAsia" w:ascii="宋体" w:hAnsi="宋体" w:cs="Arial"/>
                <w:color w:val="000000"/>
                <w:sz w:val="24"/>
                <w:szCs w:val="24"/>
              </w:rPr>
              <w:t>方案</w:t>
            </w:r>
            <w:r>
              <w:rPr>
                <w:rFonts w:hint="eastAsia" w:ascii="宋体" w:hAnsi="宋体" w:eastAsia="宋体" w:cs="宋体"/>
                <w:kern w:val="2"/>
                <w:sz w:val="24"/>
                <w:szCs w:val="24"/>
              </w:rPr>
              <w:t>（6分）</w:t>
            </w:r>
          </w:p>
        </w:tc>
        <w:tc>
          <w:tcPr>
            <w:tcW w:w="7018" w:type="dxa"/>
          </w:tcPr>
          <w:p w14:paraId="5458A45C">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rPr>
                <w:rFonts w:ascii="宋体" w:hAnsi="宋体" w:cs="宋体"/>
                <w:sz w:val="24"/>
                <w:szCs w:val="24"/>
              </w:rPr>
            </w:pPr>
            <w:r>
              <w:rPr>
                <w:rFonts w:hint="eastAsia" w:ascii="宋体" w:hAnsi="宋体" w:cs="宋体"/>
                <w:sz w:val="24"/>
                <w:szCs w:val="24"/>
              </w:rPr>
              <w:t>投标文件中提供管理规章制度方案,方案包含但不限于对项目制定的组织架构及部门岗位职责、工作流程、规章制度等内容：</w:t>
            </w:r>
          </w:p>
          <w:p w14:paraId="09FD9B2A">
            <w:pPr>
              <w:spacing w:line="500" w:lineRule="exact"/>
              <w:rPr>
                <w:rFonts w:ascii="宋体" w:hAnsi="宋体" w:cs="宋体"/>
                <w:sz w:val="24"/>
                <w:szCs w:val="24"/>
              </w:rPr>
            </w:pPr>
            <w:r>
              <w:rPr>
                <w:rFonts w:hint="eastAsia" w:ascii="宋体" w:hAnsi="宋体" w:cs="宋体"/>
                <w:sz w:val="24"/>
                <w:szCs w:val="24"/>
              </w:rPr>
              <w:t>制度完善严谨，组织结构及部门职责清晰，工作流程合理，规则制度可实施性强的</w:t>
            </w:r>
            <w:r>
              <w:rPr>
                <w:rFonts w:hint="eastAsia" w:ascii="宋体" w:hAnsi="宋体" w:cs="宋体"/>
                <w:b/>
                <w:bCs/>
                <w:sz w:val="24"/>
                <w:szCs w:val="24"/>
              </w:rPr>
              <w:t>得6分；</w:t>
            </w:r>
          </w:p>
          <w:p w14:paraId="5E910BD5">
            <w:pPr>
              <w:spacing w:line="500" w:lineRule="exact"/>
              <w:rPr>
                <w:rFonts w:ascii="宋体" w:hAnsi="宋体" w:cs="宋体"/>
                <w:sz w:val="24"/>
                <w:szCs w:val="24"/>
              </w:rPr>
            </w:pPr>
            <w:r>
              <w:rPr>
                <w:rFonts w:hint="eastAsia" w:ascii="宋体" w:hAnsi="宋体" w:cs="宋体"/>
                <w:sz w:val="24"/>
                <w:szCs w:val="24"/>
              </w:rPr>
              <w:t>制度较为完善，组织结构及部门职责较为清晰，工作流程较为合理，规则制度可实施性较强的</w:t>
            </w:r>
            <w:r>
              <w:rPr>
                <w:rFonts w:hint="eastAsia" w:ascii="宋体" w:hAnsi="宋体" w:cs="宋体"/>
                <w:b/>
                <w:bCs/>
                <w:sz w:val="24"/>
                <w:szCs w:val="24"/>
              </w:rPr>
              <w:t>得4分；</w:t>
            </w:r>
          </w:p>
          <w:p w14:paraId="76C3D9CE">
            <w:pPr>
              <w:spacing w:line="500" w:lineRule="exact"/>
              <w:rPr>
                <w:rFonts w:ascii="宋体" w:hAnsi="宋体" w:cs="宋体"/>
                <w:sz w:val="24"/>
                <w:szCs w:val="24"/>
              </w:rPr>
            </w:pPr>
            <w:r>
              <w:rPr>
                <w:rFonts w:hint="eastAsia" w:ascii="宋体" w:hAnsi="宋体" w:cs="宋体"/>
                <w:sz w:val="24"/>
                <w:szCs w:val="24"/>
              </w:rPr>
              <w:t>制度不完善，组织结构及部门职责模糊，工作流程一般，规则制度可实施性一般的</w:t>
            </w:r>
            <w:r>
              <w:rPr>
                <w:rFonts w:hint="eastAsia" w:ascii="宋体" w:hAnsi="宋体" w:cs="宋体"/>
                <w:b/>
                <w:bCs/>
                <w:sz w:val="24"/>
                <w:szCs w:val="24"/>
              </w:rPr>
              <w:t>得2分；</w:t>
            </w:r>
          </w:p>
          <w:p w14:paraId="5C7AD574">
            <w:pPr>
              <w:spacing w:line="500" w:lineRule="exact"/>
              <w:jc w:val="left"/>
              <w:rPr>
                <w:rFonts w:ascii="宋体" w:hAnsi="宋体" w:eastAsia="宋体" w:cs="宋体"/>
                <w:color w:val="000000"/>
                <w:kern w:val="2"/>
                <w:sz w:val="24"/>
                <w:szCs w:val="24"/>
              </w:rPr>
            </w:pPr>
            <w:bookmarkStart w:id="79" w:name="OLE_LINK130"/>
            <w:r>
              <w:rPr>
                <w:rFonts w:hint="eastAsia" w:ascii="宋体" w:hAnsi="宋体" w:cs="宋体"/>
                <w:b/>
                <w:bCs/>
                <w:sz w:val="24"/>
                <w:szCs w:val="24"/>
              </w:rPr>
              <w:t>该项未见阐述不得分。</w:t>
            </w:r>
            <w:bookmarkEnd w:id="79"/>
          </w:p>
        </w:tc>
      </w:tr>
      <w:tr w14:paraId="4EE439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04" w:type="dxa"/>
            <w:vAlign w:val="center"/>
          </w:tcPr>
          <w:p w14:paraId="7F67A606">
            <w:pPr>
              <w:spacing w:line="500" w:lineRule="exact"/>
              <w:jc w:val="center"/>
              <w:rPr>
                <w:rFonts w:ascii="宋体" w:hAnsi="宋体" w:eastAsia="宋体" w:cs="宋体"/>
                <w:kern w:val="2"/>
                <w:sz w:val="24"/>
                <w:szCs w:val="24"/>
              </w:rPr>
            </w:pPr>
            <w:r>
              <w:rPr>
                <w:rFonts w:hint="eastAsia" w:ascii="宋体" w:hAnsi="宋体" w:eastAsia="宋体" w:cs="宋体"/>
                <w:color w:val="000000"/>
                <w:sz w:val="24"/>
                <w:szCs w:val="24"/>
                <w:lang w:eastAsia="en-US"/>
              </w:rPr>
              <w:t>日常管理方案</w:t>
            </w:r>
            <w:r>
              <w:rPr>
                <w:rFonts w:hint="eastAsia" w:ascii="宋体" w:hAnsi="宋体" w:eastAsia="宋体" w:cs="宋体"/>
                <w:kern w:val="2"/>
                <w:sz w:val="24"/>
                <w:szCs w:val="24"/>
              </w:rPr>
              <w:t>（6分）</w:t>
            </w:r>
          </w:p>
        </w:tc>
        <w:tc>
          <w:tcPr>
            <w:tcW w:w="7018" w:type="dxa"/>
          </w:tcPr>
          <w:p w14:paraId="2109A552">
            <w:pPr>
              <w:widowControl/>
              <w:spacing w:line="500" w:lineRule="exact"/>
              <w:jc w:val="left"/>
              <w:rPr>
                <w:rFonts w:ascii="宋体" w:hAnsi="宋体" w:eastAsia="宋体" w:cs="宋体"/>
                <w:bCs/>
                <w:color w:val="000000"/>
                <w:sz w:val="24"/>
                <w:szCs w:val="24"/>
              </w:rPr>
            </w:pPr>
            <w:r>
              <w:rPr>
                <w:rFonts w:hint="eastAsia" w:ascii="宋体" w:hAnsi="宋体" w:eastAsia="宋体" w:cs="宋体"/>
                <w:bCs/>
                <w:color w:val="000000"/>
                <w:sz w:val="24"/>
                <w:szCs w:val="24"/>
              </w:rPr>
              <w:t>投标</w:t>
            </w:r>
            <w:r>
              <w:rPr>
                <w:rFonts w:hint="eastAsia" w:ascii="宋体" w:hAnsi="宋体" w:eastAsia="宋体" w:cs="Arial"/>
                <w:bCs/>
                <w:color w:val="000000"/>
                <w:sz w:val="24"/>
                <w:szCs w:val="24"/>
              </w:rPr>
              <w:t>文件中</w:t>
            </w:r>
            <w:r>
              <w:rPr>
                <w:rFonts w:hint="eastAsia" w:ascii="宋体" w:hAnsi="宋体" w:eastAsia="宋体" w:cs="宋体"/>
                <w:bCs/>
                <w:color w:val="000000"/>
                <w:sz w:val="24"/>
                <w:szCs w:val="24"/>
              </w:rPr>
              <w:t>提供日常管理方案</w:t>
            </w:r>
            <w:r>
              <w:rPr>
                <w:rFonts w:hint="eastAsia" w:ascii="宋体" w:hAnsi="宋体" w:eastAsia="宋体" w:cs="Arial"/>
                <w:bCs/>
                <w:color w:val="000000"/>
                <w:sz w:val="24"/>
                <w:szCs w:val="24"/>
              </w:rPr>
              <w:t>，方案</w:t>
            </w:r>
            <w:r>
              <w:rPr>
                <w:rFonts w:hint="eastAsia" w:ascii="宋体" w:hAnsi="宋体" w:eastAsia="宋体" w:cs="宋体"/>
                <w:bCs/>
                <w:color w:val="000000"/>
                <w:sz w:val="24"/>
                <w:szCs w:val="24"/>
              </w:rPr>
              <w:t>包含但不限于保洁服务、秩序维护和</w:t>
            </w:r>
            <w:r>
              <w:rPr>
                <w:rFonts w:hint="eastAsia" w:ascii="宋体" w:hAnsi="宋体" w:eastAsia="宋体" w:cs="Arial"/>
                <w:bCs/>
                <w:color w:val="000000"/>
                <w:sz w:val="24"/>
                <w:szCs w:val="24"/>
              </w:rPr>
              <w:t>运行</w:t>
            </w:r>
            <w:r>
              <w:rPr>
                <w:rFonts w:hint="eastAsia" w:ascii="宋体" w:hAnsi="宋体" w:eastAsia="宋体" w:cs="宋体"/>
                <w:bCs/>
                <w:color w:val="000000"/>
                <w:sz w:val="24"/>
                <w:szCs w:val="24"/>
              </w:rPr>
              <w:t>、岗位履责考核管理等内容：</w:t>
            </w:r>
          </w:p>
          <w:p w14:paraId="2D93551B">
            <w:pPr>
              <w:tabs>
                <w:tab w:val="left" w:pos="360"/>
                <w:tab w:val="left" w:pos="2155"/>
              </w:tabs>
              <w:spacing w:line="500" w:lineRule="exact"/>
              <w:rPr>
                <w:rFonts w:ascii="宋体" w:hAnsi="宋体" w:eastAsia="宋体" w:cs="宋体"/>
                <w:bCs/>
                <w:sz w:val="24"/>
                <w:szCs w:val="24"/>
              </w:rPr>
            </w:pPr>
            <w:r>
              <w:rPr>
                <w:rFonts w:hint="eastAsia" w:ascii="宋体" w:hAnsi="宋体" w:eastAsia="宋体" w:cs="宋体"/>
                <w:bCs/>
                <w:sz w:val="24"/>
                <w:szCs w:val="24"/>
              </w:rPr>
              <w:t>日常管理方案完整，保洁服务内容全面、</w:t>
            </w:r>
            <w:r>
              <w:rPr>
                <w:rFonts w:ascii="宋体" w:hAnsi="宋体" w:eastAsia="宋体" w:cs="宋体"/>
                <w:bCs/>
                <w:sz w:val="24"/>
                <w:szCs w:val="24"/>
              </w:rPr>
              <w:t>秩序维护和</w:t>
            </w:r>
            <w:r>
              <w:rPr>
                <w:rFonts w:hint="eastAsia" w:ascii="宋体" w:hAnsi="宋体" w:eastAsia="宋体" w:cs="宋体"/>
                <w:bCs/>
                <w:sz w:val="24"/>
                <w:szCs w:val="24"/>
              </w:rPr>
              <w:t>运行服务</w:t>
            </w:r>
            <w:r>
              <w:rPr>
                <w:rFonts w:ascii="宋体" w:hAnsi="宋体" w:eastAsia="宋体" w:cs="宋体"/>
                <w:bCs/>
                <w:sz w:val="24"/>
                <w:szCs w:val="24"/>
              </w:rPr>
              <w:t>安排合理</w:t>
            </w:r>
            <w:r>
              <w:rPr>
                <w:rFonts w:hint="eastAsia" w:ascii="宋体" w:hAnsi="宋体" w:eastAsia="宋体" w:cs="宋体"/>
                <w:bCs/>
                <w:sz w:val="24"/>
                <w:szCs w:val="24"/>
              </w:rPr>
              <w:t>、岗位履责考核管理制度完善的</w:t>
            </w:r>
            <w:r>
              <w:rPr>
                <w:rFonts w:hint="eastAsia" w:ascii="宋体" w:hAnsi="宋体" w:eastAsia="宋体" w:cs="宋体"/>
                <w:b/>
                <w:sz w:val="24"/>
                <w:szCs w:val="24"/>
              </w:rPr>
              <w:t>得6分</w:t>
            </w:r>
            <w:r>
              <w:rPr>
                <w:rFonts w:hint="eastAsia" w:ascii="宋体" w:hAnsi="宋体" w:eastAsia="宋体" w:cs="宋体"/>
                <w:bCs/>
                <w:sz w:val="24"/>
                <w:szCs w:val="24"/>
              </w:rPr>
              <w:t>；</w:t>
            </w:r>
          </w:p>
          <w:p w14:paraId="30E0D2D4">
            <w:pPr>
              <w:tabs>
                <w:tab w:val="left" w:pos="360"/>
                <w:tab w:val="left" w:pos="2155"/>
              </w:tabs>
              <w:spacing w:line="500" w:lineRule="exact"/>
              <w:rPr>
                <w:rFonts w:ascii="宋体" w:hAnsi="宋体" w:eastAsia="宋体" w:cs="宋体"/>
                <w:bCs/>
                <w:sz w:val="24"/>
                <w:szCs w:val="24"/>
              </w:rPr>
            </w:pPr>
            <w:r>
              <w:rPr>
                <w:rFonts w:hint="eastAsia" w:ascii="宋体" w:hAnsi="宋体" w:eastAsia="宋体" w:cs="宋体"/>
                <w:bCs/>
                <w:sz w:val="24"/>
                <w:szCs w:val="24"/>
              </w:rPr>
              <w:t>日常管理方案比较完整，保洁服务内容比较全面、</w:t>
            </w:r>
            <w:r>
              <w:rPr>
                <w:rFonts w:ascii="宋体" w:hAnsi="宋体" w:eastAsia="宋体" w:cs="宋体"/>
                <w:bCs/>
                <w:sz w:val="24"/>
                <w:szCs w:val="24"/>
              </w:rPr>
              <w:t>秩序维护和</w:t>
            </w:r>
            <w:r>
              <w:rPr>
                <w:rFonts w:hint="eastAsia" w:ascii="宋体" w:hAnsi="宋体" w:eastAsia="宋体" w:cs="宋体"/>
                <w:bCs/>
                <w:sz w:val="24"/>
                <w:szCs w:val="24"/>
              </w:rPr>
              <w:t>运行服务</w:t>
            </w:r>
            <w:r>
              <w:rPr>
                <w:rFonts w:ascii="宋体" w:hAnsi="宋体" w:eastAsia="宋体" w:cs="宋体"/>
                <w:bCs/>
                <w:sz w:val="24"/>
                <w:szCs w:val="24"/>
              </w:rPr>
              <w:t>安排</w:t>
            </w:r>
            <w:r>
              <w:rPr>
                <w:rFonts w:hint="eastAsia" w:ascii="宋体" w:hAnsi="宋体" w:eastAsia="宋体" w:cs="宋体"/>
                <w:bCs/>
                <w:sz w:val="24"/>
                <w:szCs w:val="24"/>
              </w:rPr>
              <w:t>比较</w:t>
            </w:r>
            <w:r>
              <w:rPr>
                <w:rFonts w:ascii="宋体" w:hAnsi="宋体" w:eastAsia="宋体" w:cs="宋体"/>
                <w:bCs/>
                <w:sz w:val="24"/>
                <w:szCs w:val="24"/>
              </w:rPr>
              <w:t>合理</w:t>
            </w:r>
            <w:r>
              <w:rPr>
                <w:rFonts w:hint="eastAsia" w:ascii="宋体" w:hAnsi="宋体" w:eastAsia="宋体" w:cs="宋体"/>
                <w:bCs/>
                <w:sz w:val="24"/>
                <w:szCs w:val="24"/>
              </w:rPr>
              <w:t>、岗位履责考核管理制度比较完善的</w:t>
            </w:r>
            <w:r>
              <w:rPr>
                <w:rFonts w:hint="eastAsia" w:ascii="宋体" w:hAnsi="宋体" w:eastAsia="宋体" w:cs="宋体"/>
                <w:b/>
                <w:sz w:val="24"/>
                <w:szCs w:val="24"/>
              </w:rPr>
              <w:t>得4分</w:t>
            </w:r>
            <w:r>
              <w:rPr>
                <w:rFonts w:hint="eastAsia" w:ascii="宋体" w:hAnsi="宋体" w:eastAsia="宋体" w:cs="宋体"/>
                <w:bCs/>
                <w:sz w:val="24"/>
                <w:szCs w:val="24"/>
              </w:rPr>
              <w:t>；</w:t>
            </w:r>
          </w:p>
          <w:p w14:paraId="10C7CFD7">
            <w:pPr>
              <w:tabs>
                <w:tab w:val="left" w:pos="360"/>
                <w:tab w:val="left" w:pos="2155"/>
              </w:tabs>
              <w:spacing w:line="500" w:lineRule="exact"/>
              <w:rPr>
                <w:rFonts w:ascii="宋体" w:hAnsi="宋体" w:eastAsia="宋体" w:cs="宋体"/>
                <w:bCs/>
                <w:sz w:val="24"/>
                <w:szCs w:val="24"/>
              </w:rPr>
            </w:pPr>
            <w:r>
              <w:rPr>
                <w:rFonts w:hint="eastAsia" w:ascii="宋体" w:hAnsi="宋体" w:eastAsia="宋体" w:cs="宋体"/>
                <w:bCs/>
                <w:sz w:val="24"/>
                <w:szCs w:val="24"/>
              </w:rPr>
              <w:t>日常管理方案内容一般，保洁服务内容简单、</w:t>
            </w:r>
            <w:r>
              <w:rPr>
                <w:rFonts w:ascii="宋体" w:hAnsi="宋体" w:eastAsia="宋体" w:cs="宋体"/>
                <w:bCs/>
                <w:sz w:val="24"/>
                <w:szCs w:val="24"/>
              </w:rPr>
              <w:t>秩序维护和</w:t>
            </w:r>
            <w:r>
              <w:rPr>
                <w:rFonts w:hint="eastAsia" w:ascii="宋体" w:hAnsi="宋体" w:eastAsia="宋体" w:cs="宋体"/>
                <w:bCs/>
                <w:sz w:val="24"/>
                <w:szCs w:val="24"/>
              </w:rPr>
              <w:t>运行服务</w:t>
            </w:r>
            <w:r>
              <w:rPr>
                <w:rFonts w:ascii="宋体" w:hAnsi="宋体" w:eastAsia="宋体" w:cs="宋体"/>
                <w:bCs/>
                <w:sz w:val="24"/>
                <w:szCs w:val="24"/>
              </w:rPr>
              <w:t>安排合理</w:t>
            </w:r>
            <w:r>
              <w:rPr>
                <w:rFonts w:hint="eastAsia" w:ascii="宋体" w:hAnsi="宋体" w:eastAsia="宋体" w:cs="宋体"/>
                <w:bCs/>
                <w:sz w:val="24"/>
                <w:szCs w:val="24"/>
              </w:rPr>
              <w:t>性一般、岗位履责考核管理制度完善程度一般的</w:t>
            </w:r>
            <w:r>
              <w:rPr>
                <w:rFonts w:hint="eastAsia" w:ascii="宋体" w:hAnsi="宋体" w:eastAsia="宋体" w:cs="宋体"/>
                <w:b/>
                <w:sz w:val="24"/>
                <w:szCs w:val="24"/>
              </w:rPr>
              <w:t>得2分</w:t>
            </w:r>
            <w:r>
              <w:rPr>
                <w:rFonts w:hint="eastAsia" w:ascii="宋体" w:hAnsi="宋体" w:eastAsia="宋体" w:cs="宋体"/>
                <w:bCs/>
                <w:sz w:val="24"/>
                <w:szCs w:val="24"/>
              </w:rPr>
              <w:t>；</w:t>
            </w:r>
          </w:p>
          <w:p w14:paraId="3ED26084">
            <w:pPr>
              <w:spacing w:line="500" w:lineRule="exact"/>
              <w:jc w:val="left"/>
              <w:rPr>
                <w:rFonts w:ascii="宋体" w:hAnsi="宋体" w:eastAsia="宋体" w:cs="宋体"/>
                <w:kern w:val="2"/>
                <w:sz w:val="24"/>
                <w:szCs w:val="24"/>
              </w:rPr>
            </w:pPr>
            <w:r>
              <w:rPr>
                <w:rFonts w:hint="eastAsia" w:ascii="宋体" w:hAnsi="宋体" w:eastAsia="宋体" w:cs="宋体"/>
                <w:b/>
                <w:bCs/>
                <w:sz w:val="24"/>
                <w:szCs w:val="24"/>
              </w:rPr>
              <w:t>该项未见阐述不得分</w:t>
            </w:r>
            <w:r>
              <w:rPr>
                <w:rFonts w:hint="eastAsia" w:ascii="宋体" w:hAnsi="宋体" w:eastAsia="宋体" w:cs="宋体"/>
                <w:sz w:val="24"/>
                <w:szCs w:val="24"/>
              </w:rPr>
              <w:t>。</w:t>
            </w:r>
          </w:p>
        </w:tc>
      </w:tr>
      <w:tr w14:paraId="3CAEAE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04" w:type="dxa"/>
            <w:vAlign w:val="center"/>
          </w:tcPr>
          <w:p w14:paraId="14E52C2C">
            <w:pPr>
              <w:spacing w:line="500" w:lineRule="exact"/>
              <w:jc w:val="center"/>
              <w:rPr>
                <w:rFonts w:ascii="宋体" w:hAnsi="宋体" w:eastAsia="宋体" w:cs="宋体"/>
                <w:kern w:val="2"/>
                <w:sz w:val="24"/>
                <w:szCs w:val="24"/>
              </w:rPr>
            </w:pPr>
            <w:r>
              <w:rPr>
                <w:rFonts w:hint="eastAsia" w:ascii="宋体" w:hAnsi="宋体" w:eastAsia="宋体" w:cs="宋体"/>
                <w:sz w:val="24"/>
                <w:szCs w:val="24"/>
              </w:rPr>
              <w:t>培训计划、安全文明作业</w:t>
            </w:r>
            <w:r>
              <w:rPr>
                <w:rFonts w:hint="eastAsia" w:ascii="宋体" w:hAnsi="宋体" w:eastAsia="宋体" w:cs="宋体"/>
                <w:bCs/>
                <w:sz w:val="24"/>
                <w:szCs w:val="24"/>
              </w:rPr>
              <w:t>措施</w:t>
            </w:r>
            <w:r>
              <w:rPr>
                <w:rFonts w:hint="eastAsia" w:ascii="宋体" w:hAnsi="宋体" w:eastAsia="宋体" w:cs="宋体"/>
                <w:kern w:val="2"/>
                <w:sz w:val="24"/>
                <w:szCs w:val="24"/>
              </w:rPr>
              <w:t>（6分）</w:t>
            </w:r>
          </w:p>
        </w:tc>
        <w:tc>
          <w:tcPr>
            <w:tcW w:w="7018" w:type="dxa"/>
          </w:tcPr>
          <w:p w14:paraId="52D29F46">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rPr>
                <w:rFonts w:ascii="宋体" w:hAnsi="宋体" w:cs="宋体"/>
                <w:sz w:val="24"/>
                <w:szCs w:val="24"/>
                <w:lang w:val="zh-CN"/>
              </w:rPr>
            </w:pPr>
            <w:r>
              <w:rPr>
                <w:rFonts w:hint="eastAsia" w:ascii="宋体" w:hAnsi="宋体" w:cs="宋体"/>
                <w:sz w:val="24"/>
                <w:szCs w:val="24"/>
              </w:rPr>
              <w:t>投标文件中提供</w:t>
            </w:r>
            <w:r>
              <w:rPr>
                <w:rFonts w:hint="eastAsia" w:ascii="宋体" w:hAnsi="宋体" w:cs="宋体"/>
                <w:sz w:val="24"/>
                <w:szCs w:val="24"/>
                <w:lang w:val="zh-CN"/>
              </w:rPr>
              <w:t>针对本项目人员</w:t>
            </w:r>
            <w:r>
              <w:rPr>
                <w:rFonts w:hint="eastAsia" w:ascii="宋体" w:hAnsi="宋体" w:cs="宋体"/>
                <w:sz w:val="24"/>
                <w:szCs w:val="24"/>
              </w:rPr>
              <w:t>的</w:t>
            </w:r>
            <w:r>
              <w:rPr>
                <w:rFonts w:hint="eastAsia" w:ascii="宋体" w:hAnsi="宋体" w:cs="宋体"/>
                <w:sz w:val="24"/>
                <w:szCs w:val="24"/>
                <w:lang w:val="zh-CN"/>
              </w:rPr>
              <w:t>培训</w:t>
            </w:r>
            <w:r>
              <w:rPr>
                <w:rFonts w:hint="eastAsia" w:ascii="宋体" w:hAnsi="宋体" w:cs="宋体"/>
                <w:sz w:val="24"/>
                <w:szCs w:val="24"/>
              </w:rPr>
              <w:t>及</w:t>
            </w:r>
            <w:r>
              <w:rPr>
                <w:rFonts w:hint="eastAsia" w:ascii="宋体" w:hAnsi="宋体" w:cs="宋体"/>
                <w:sz w:val="24"/>
                <w:szCs w:val="24"/>
                <w:lang w:val="zh-CN"/>
              </w:rPr>
              <w:t>安全、文明作业</w:t>
            </w:r>
            <w:r>
              <w:rPr>
                <w:rFonts w:hint="eastAsia" w:ascii="宋体" w:hAnsi="宋体" w:cs="宋体"/>
                <w:sz w:val="24"/>
                <w:szCs w:val="24"/>
              </w:rPr>
              <w:t>方案</w:t>
            </w:r>
            <w:r>
              <w:rPr>
                <w:rFonts w:hint="eastAsia" w:ascii="宋体" w:hAnsi="宋体" w:cs="宋体"/>
                <w:sz w:val="24"/>
                <w:szCs w:val="24"/>
                <w:lang w:val="zh-CN"/>
              </w:rPr>
              <w:t>，</w:t>
            </w:r>
            <w:r>
              <w:rPr>
                <w:rFonts w:hint="eastAsia" w:ascii="宋体" w:hAnsi="宋体" w:cs="宋体"/>
                <w:sz w:val="24"/>
                <w:szCs w:val="24"/>
              </w:rPr>
              <w:t>方案包含</w:t>
            </w:r>
            <w:r>
              <w:rPr>
                <w:rFonts w:hint="eastAsia" w:ascii="宋体" w:hAnsi="宋体" w:cs="宋体"/>
                <w:sz w:val="24"/>
                <w:szCs w:val="24"/>
                <w:lang w:val="zh-CN"/>
              </w:rPr>
              <w:t>但不限于各类人员的培训计划、方式、目标及言行规范、仪容仪表、公众形象、技术能力</w:t>
            </w:r>
            <w:r>
              <w:rPr>
                <w:rFonts w:hint="eastAsia" w:ascii="宋体" w:hAnsi="宋体" w:cs="宋体"/>
                <w:sz w:val="24"/>
                <w:szCs w:val="24"/>
              </w:rPr>
              <w:t>等内容</w:t>
            </w:r>
            <w:r>
              <w:rPr>
                <w:rFonts w:hint="eastAsia" w:ascii="宋体" w:hAnsi="宋体" w:cs="宋体"/>
                <w:sz w:val="24"/>
                <w:szCs w:val="24"/>
                <w:lang w:val="zh-CN"/>
              </w:rPr>
              <w:t>：</w:t>
            </w:r>
          </w:p>
          <w:p w14:paraId="68D9ADBE">
            <w:pPr>
              <w:spacing w:line="500" w:lineRule="exact"/>
              <w:rPr>
                <w:rFonts w:ascii="宋体" w:hAnsi="宋体" w:cs="宋体"/>
                <w:sz w:val="24"/>
                <w:szCs w:val="24"/>
              </w:rPr>
            </w:pPr>
            <w:r>
              <w:rPr>
                <w:rFonts w:hint="eastAsia" w:ascii="宋体" w:hAnsi="宋体" w:cs="宋体"/>
                <w:sz w:val="24"/>
                <w:szCs w:val="24"/>
              </w:rPr>
              <w:t>方案内容详尽完善，培训计划安排优于招标需求、安全文明作业措施切实可行的</w:t>
            </w:r>
            <w:r>
              <w:rPr>
                <w:rFonts w:hint="eastAsia" w:ascii="宋体" w:hAnsi="宋体" w:cs="宋体"/>
                <w:b/>
                <w:bCs/>
                <w:sz w:val="24"/>
                <w:szCs w:val="24"/>
              </w:rPr>
              <w:t>得6分；</w:t>
            </w:r>
          </w:p>
          <w:p w14:paraId="05549681">
            <w:pPr>
              <w:spacing w:line="500" w:lineRule="exact"/>
              <w:rPr>
                <w:rFonts w:ascii="宋体" w:hAnsi="宋体" w:cs="宋体"/>
                <w:sz w:val="24"/>
                <w:szCs w:val="24"/>
              </w:rPr>
            </w:pPr>
            <w:r>
              <w:rPr>
                <w:rFonts w:hint="eastAsia" w:ascii="宋体" w:hAnsi="宋体" w:cs="宋体"/>
                <w:sz w:val="24"/>
                <w:szCs w:val="24"/>
              </w:rPr>
              <w:t>方案内容比较完善，培训计划安排满足招标需求、安全文明作业措施可行性较强的</w:t>
            </w:r>
            <w:r>
              <w:rPr>
                <w:rFonts w:hint="eastAsia" w:ascii="宋体" w:hAnsi="宋体" w:cs="宋体"/>
                <w:b/>
                <w:bCs/>
                <w:sz w:val="24"/>
                <w:szCs w:val="24"/>
              </w:rPr>
              <w:t>得4分；</w:t>
            </w:r>
          </w:p>
          <w:p w14:paraId="56D1ADD1">
            <w:pPr>
              <w:spacing w:line="500" w:lineRule="exact"/>
              <w:rPr>
                <w:rFonts w:ascii="宋体" w:hAnsi="宋体" w:cs="宋体"/>
                <w:sz w:val="24"/>
                <w:szCs w:val="24"/>
              </w:rPr>
            </w:pPr>
            <w:r>
              <w:rPr>
                <w:rFonts w:hint="eastAsia" w:ascii="宋体" w:hAnsi="宋体" w:cs="宋体"/>
                <w:sz w:val="24"/>
                <w:szCs w:val="24"/>
              </w:rPr>
              <w:t>方案内容简单，培训计划安排基本满足招标需求、安全文明作业措施可行性一般的</w:t>
            </w:r>
            <w:r>
              <w:rPr>
                <w:rFonts w:hint="eastAsia" w:ascii="宋体" w:hAnsi="宋体" w:cs="宋体"/>
                <w:b/>
                <w:bCs/>
                <w:sz w:val="24"/>
                <w:szCs w:val="24"/>
              </w:rPr>
              <w:t>得2分；</w:t>
            </w:r>
          </w:p>
          <w:p w14:paraId="761D348F">
            <w:pPr>
              <w:spacing w:line="500" w:lineRule="exact"/>
              <w:jc w:val="left"/>
              <w:rPr>
                <w:rFonts w:ascii="宋体" w:hAnsi="宋体" w:eastAsia="宋体" w:cs="宋体"/>
                <w:kern w:val="2"/>
                <w:sz w:val="24"/>
                <w:szCs w:val="24"/>
              </w:rPr>
            </w:pPr>
            <w:r>
              <w:rPr>
                <w:rFonts w:hint="eastAsia" w:ascii="宋体" w:hAnsi="宋体" w:cs="宋体"/>
                <w:b/>
                <w:bCs/>
                <w:sz w:val="24"/>
                <w:szCs w:val="24"/>
              </w:rPr>
              <w:t>该项未见阐述不得分。</w:t>
            </w:r>
          </w:p>
        </w:tc>
      </w:tr>
      <w:tr w14:paraId="5DF219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04" w:type="dxa"/>
            <w:vAlign w:val="center"/>
          </w:tcPr>
          <w:p w14:paraId="6D170608">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jc w:val="center"/>
              <w:rPr>
                <w:rFonts w:ascii="宋体" w:hAnsi="宋体" w:eastAsia="Arial" w:cs="Arial"/>
                <w:color w:val="000000"/>
                <w:sz w:val="24"/>
                <w:szCs w:val="24"/>
                <w:lang w:eastAsia="en-US"/>
              </w:rPr>
            </w:pPr>
            <w:bookmarkStart w:id="80" w:name="OLE_LINK123"/>
            <w:r>
              <w:rPr>
                <w:rFonts w:hint="eastAsia" w:ascii="宋体" w:hAnsi="宋体" w:eastAsia="宋体" w:cs="宋体"/>
                <w:color w:val="000000"/>
                <w:sz w:val="24"/>
                <w:szCs w:val="24"/>
                <w:lang w:eastAsia="en-US"/>
              </w:rPr>
              <w:t>人员稳定方案</w:t>
            </w:r>
          </w:p>
          <w:bookmarkEnd w:id="80"/>
          <w:p w14:paraId="469B5399">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jc w:val="center"/>
              <w:rPr>
                <w:rFonts w:ascii="宋体" w:hAnsi="宋体" w:eastAsia="宋体" w:cs="宋体"/>
                <w:sz w:val="24"/>
                <w:szCs w:val="24"/>
              </w:rPr>
            </w:pPr>
            <w:r>
              <w:rPr>
                <w:rFonts w:hint="eastAsia" w:ascii="宋体" w:hAnsi="宋体" w:eastAsia="Arial" w:cs="Arial"/>
                <w:color w:val="000000"/>
                <w:sz w:val="24"/>
                <w:szCs w:val="24"/>
                <w:lang w:eastAsia="en-US"/>
              </w:rPr>
              <w:t>（</w:t>
            </w:r>
            <w:r>
              <w:rPr>
                <w:rFonts w:hint="eastAsia" w:ascii="宋体" w:hAnsi="宋体" w:eastAsia="宋体" w:cs="Arial"/>
                <w:color w:val="000000"/>
                <w:sz w:val="24"/>
                <w:szCs w:val="24"/>
              </w:rPr>
              <w:t>6</w:t>
            </w:r>
            <w:r>
              <w:rPr>
                <w:rFonts w:hint="eastAsia" w:ascii="宋体" w:hAnsi="宋体" w:eastAsia="Arial" w:cs="Arial"/>
                <w:color w:val="000000"/>
                <w:sz w:val="24"/>
                <w:szCs w:val="24"/>
                <w:lang w:eastAsia="en-US"/>
              </w:rPr>
              <w:t>分）</w:t>
            </w:r>
          </w:p>
        </w:tc>
        <w:tc>
          <w:tcPr>
            <w:tcW w:w="7018" w:type="dxa"/>
          </w:tcPr>
          <w:p w14:paraId="735F64F1">
            <w:pPr>
              <w:widowControl/>
              <w:spacing w:line="500" w:lineRule="exact"/>
              <w:jc w:val="left"/>
              <w:rPr>
                <w:rFonts w:ascii="Times New Roman" w:hAnsi="Times New Roman" w:eastAsia="Arial" w:cs="Arial"/>
                <w:color w:val="000000"/>
                <w:sz w:val="24"/>
                <w:szCs w:val="24"/>
              </w:rPr>
            </w:pPr>
            <w:bookmarkStart w:id="81" w:name="OLE_LINK124"/>
            <w:r>
              <w:rPr>
                <w:rFonts w:hint="eastAsia" w:ascii="宋体" w:hAnsi="宋体" w:eastAsia="宋体" w:cs="宋体"/>
                <w:color w:val="000000"/>
                <w:sz w:val="24"/>
                <w:szCs w:val="24"/>
              </w:rPr>
              <w:t>投标文件中</w:t>
            </w:r>
            <w:r>
              <w:rPr>
                <w:rFonts w:hint="eastAsia" w:ascii="宋体" w:hAnsi="宋体" w:eastAsia="宋体" w:cs="宋体"/>
                <w:bCs/>
                <w:sz w:val="24"/>
                <w:szCs w:val="24"/>
              </w:rPr>
              <w:t>提供</w:t>
            </w:r>
            <w:r>
              <w:rPr>
                <w:rFonts w:hint="eastAsia" w:ascii="宋体" w:hAnsi="宋体" w:eastAsia="宋体" w:cs="宋体"/>
                <w:color w:val="000000"/>
                <w:sz w:val="24"/>
                <w:szCs w:val="24"/>
              </w:rPr>
              <w:t>服务人员稳定方案,方案</w:t>
            </w:r>
            <w:r>
              <w:rPr>
                <w:rFonts w:hint="eastAsia" w:ascii="宋体" w:hAnsi="宋体" w:eastAsia="宋体" w:cs="宋体"/>
                <w:sz w:val="24"/>
                <w:szCs w:val="24"/>
              </w:rPr>
              <w:t>包含</w:t>
            </w:r>
            <w:r>
              <w:rPr>
                <w:rFonts w:hint="eastAsia" w:ascii="宋体" w:hAnsi="宋体" w:eastAsia="宋体" w:cs="宋体"/>
                <w:color w:val="000000"/>
                <w:sz w:val="24"/>
                <w:szCs w:val="24"/>
              </w:rPr>
              <w:t>但不限于人员安排、调动人员工作积极性的方法及措施等内容：</w:t>
            </w:r>
          </w:p>
          <w:p w14:paraId="5B82A1E0">
            <w:pPr>
              <w:widowControl/>
              <w:spacing w:line="500" w:lineRule="exact"/>
              <w:rPr>
                <w:rFonts w:ascii="宋体" w:hAnsi="宋体" w:eastAsia="宋体" w:cs="宋体"/>
                <w:sz w:val="24"/>
                <w:szCs w:val="24"/>
              </w:rPr>
            </w:pPr>
            <w:r>
              <w:rPr>
                <w:rFonts w:hint="eastAsia" w:ascii="宋体" w:hAnsi="宋体" w:eastAsia="宋体" w:cs="宋体"/>
                <w:color w:val="000000"/>
                <w:sz w:val="24"/>
                <w:szCs w:val="24"/>
              </w:rPr>
              <w:t>方案包含上述内容，条理清晰，措施贴合实际，可行性强</w:t>
            </w:r>
            <w:r>
              <w:rPr>
                <w:rFonts w:hint="eastAsia" w:ascii="宋体" w:hAnsi="宋体" w:eastAsia="宋体" w:cs="宋体"/>
                <w:bCs/>
                <w:sz w:val="24"/>
                <w:szCs w:val="24"/>
              </w:rPr>
              <w:t>的</w:t>
            </w:r>
            <w:r>
              <w:rPr>
                <w:rFonts w:hint="eastAsia" w:ascii="宋体" w:hAnsi="宋体" w:eastAsia="宋体" w:cs="宋体"/>
                <w:b/>
                <w:bCs/>
                <w:color w:val="000000"/>
                <w:sz w:val="24"/>
                <w:szCs w:val="24"/>
              </w:rPr>
              <w:t>得6分；</w:t>
            </w:r>
          </w:p>
          <w:p w14:paraId="51985D76">
            <w:pPr>
              <w:widowControl/>
              <w:spacing w:line="500" w:lineRule="exact"/>
              <w:rPr>
                <w:rFonts w:ascii="宋体" w:hAnsi="宋体" w:eastAsia="宋体" w:cs="宋体"/>
                <w:sz w:val="24"/>
                <w:szCs w:val="24"/>
              </w:rPr>
            </w:pPr>
            <w:r>
              <w:rPr>
                <w:rFonts w:hint="eastAsia" w:ascii="宋体" w:hAnsi="宋体" w:eastAsia="宋体" w:cs="宋体"/>
                <w:color w:val="000000"/>
                <w:sz w:val="24"/>
                <w:szCs w:val="24"/>
              </w:rPr>
              <w:t>方案较完整，基本包含上述内容，条理较清晰，措施较贴合实际，可行性较强</w:t>
            </w:r>
            <w:r>
              <w:rPr>
                <w:rFonts w:hint="eastAsia" w:ascii="宋体" w:hAnsi="宋体" w:eastAsia="宋体" w:cs="宋体"/>
                <w:bCs/>
                <w:sz w:val="24"/>
                <w:szCs w:val="24"/>
              </w:rPr>
              <w:t>的</w:t>
            </w:r>
            <w:r>
              <w:rPr>
                <w:rFonts w:hint="eastAsia" w:ascii="宋体" w:hAnsi="宋体" w:eastAsia="宋体" w:cs="宋体"/>
                <w:b/>
                <w:bCs/>
                <w:color w:val="000000"/>
                <w:sz w:val="24"/>
                <w:szCs w:val="24"/>
              </w:rPr>
              <w:t>得4分；</w:t>
            </w:r>
          </w:p>
          <w:p w14:paraId="5E26DC9E">
            <w:pPr>
              <w:widowControl/>
              <w:spacing w:line="500" w:lineRule="exact"/>
              <w:rPr>
                <w:rFonts w:ascii="Times New Roman" w:hAnsi="Times New Roman" w:eastAsia="宋体" w:cs="Arial"/>
                <w:sz w:val="24"/>
                <w:szCs w:val="24"/>
              </w:rPr>
            </w:pPr>
            <w:r>
              <w:rPr>
                <w:rFonts w:hint="eastAsia" w:ascii="宋体" w:hAnsi="宋体" w:eastAsia="宋体" w:cs="宋体"/>
                <w:color w:val="000000"/>
                <w:sz w:val="24"/>
                <w:szCs w:val="24"/>
              </w:rPr>
              <w:t>方案基本包含上述内容，内容简单，条理性一般，措施可行性一般的</w:t>
            </w:r>
            <w:r>
              <w:rPr>
                <w:rFonts w:hint="eastAsia" w:ascii="宋体" w:hAnsi="宋体" w:eastAsia="宋体" w:cs="宋体"/>
                <w:b/>
                <w:bCs/>
                <w:color w:val="000000"/>
                <w:sz w:val="24"/>
                <w:szCs w:val="24"/>
              </w:rPr>
              <w:t>得2分；</w:t>
            </w:r>
          </w:p>
          <w:p w14:paraId="087A194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rPr>
                <w:rFonts w:ascii="宋体" w:hAnsi="宋体" w:cs="宋体"/>
                <w:sz w:val="24"/>
                <w:szCs w:val="24"/>
              </w:rPr>
            </w:pPr>
            <w:bookmarkStart w:id="82" w:name="OLE_LINK58"/>
            <w:bookmarkStart w:id="83" w:name="OLE_LINK57"/>
            <w:r>
              <w:rPr>
                <w:rFonts w:hint="eastAsia" w:ascii="宋体" w:hAnsi="宋体" w:eastAsia="宋体" w:cs="宋体"/>
                <w:b/>
                <w:bCs/>
                <w:sz w:val="24"/>
                <w:szCs w:val="24"/>
              </w:rPr>
              <w:t>该项</w:t>
            </w:r>
            <w:r>
              <w:rPr>
                <w:rFonts w:ascii="宋体" w:hAnsi="宋体" w:eastAsia="Arial" w:cs="Arial"/>
                <w:b/>
                <w:bCs/>
                <w:sz w:val="24"/>
                <w:szCs w:val="24"/>
              </w:rPr>
              <w:t>未</w:t>
            </w:r>
            <w:r>
              <w:rPr>
                <w:rFonts w:hint="eastAsia" w:ascii="宋体" w:hAnsi="宋体" w:eastAsia="Arial" w:cs="Arial"/>
                <w:b/>
                <w:bCs/>
                <w:sz w:val="24"/>
                <w:szCs w:val="24"/>
              </w:rPr>
              <w:t>见</w:t>
            </w:r>
            <w:r>
              <w:rPr>
                <w:rFonts w:ascii="宋体" w:hAnsi="宋体" w:eastAsia="Arial" w:cs="Arial"/>
                <w:b/>
                <w:bCs/>
                <w:sz w:val="24"/>
                <w:szCs w:val="24"/>
              </w:rPr>
              <w:t>阐述不得分。</w:t>
            </w:r>
            <w:bookmarkEnd w:id="81"/>
            <w:bookmarkEnd w:id="82"/>
            <w:bookmarkEnd w:id="83"/>
          </w:p>
        </w:tc>
      </w:tr>
      <w:tr w14:paraId="205318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4" w:hRule="atLeast"/>
          <w:jc w:val="center"/>
        </w:trPr>
        <w:tc>
          <w:tcPr>
            <w:tcW w:w="1904" w:type="dxa"/>
            <w:vAlign w:val="center"/>
          </w:tcPr>
          <w:p w14:paraId="38573CDB">
            <w:pPr>
              <w:spacing w:line="500" w:lineRule="exact"/>
              <w:jc w:val="center"/>
              <w:rPr>
                <w:rFonts w:ascii="宋体" w:hAnsi="宋体" w:eastAsia="宋体" w:cs="宋体"/>
                <w:kern w:val="2"/>
                <w:sz w:val="24"/>
                <w:szCs w:val="24"/>
              </w:rPr>
            </w:pPr>
            <w:r>
              <w:rPr>
                <w:rFonts w:hint="eastAsia" w:ascii="宋体" w:hAnsi="宋体" w:eastAsia="宋体" w:cs="宋体"/>
                <w:kern w:val="2"/>
                <w:sz w:val="24"/>
                <w:szCs w:val="24"/>
              </w:rPr>
              <w:t>应急处理预案</w:t>
            </w:r>
          </w:p>
          <w:p w14:paraId="05F909F4">
            <w:pPr>
              <w:spacing w:line="500" w:lineRule="exact"/>
              <w:jc w:val="center"/>
              <w:rPr>
                <w:rFonts w:ascii="宋体" w:hAnsi="宋体" w:eastAsia="宋体" w:cs="宋体"/>
                <w:kern w:val="2"/>
                <w:sz w:val="24"/>
                <w:szCs w:val="24"/>
              </w:rPr>
            </w:pPr>
            <w:r>
              <w:rPr>
                <w:rFonts w:hint="eastAsia" w:ascii="宋体" w:hAnsi="宋体" w:eastAsia="宋体" w:cs="宋体"/>
                <w:kern w:val="2"/>
                <w:sz w:val="24"/>
                <w:szCs w:val="24"/>
              </w:rPr>
              <w:t>（6分）</w:t>
            </w:r>
          </w:p>
        </w:tc>
        <w:tc>
          <w:tcPr>
            <w:tcW w:w="7018" w:type="dxa"/>
          </w:tcPr>
          <w:p w14:paraId="355B5B60">
            <w:pPr>
              <w:spacing w:line="500" w:lineRule="exact"/>
              <w:jc w:val="left"/>
              <w:rPr>
                <w:rFonts w:ascii="宋体" w:hAnsi="宋体" w:eastAsia="宋体" w:cs="宋体"/>
                <w:kern w:val="2"/>
                <w:sz w:val="24"/>
                <w:szCs w:val="24"/>
              </w:rPr>
            </w:pPr>
            <w:r>
              <w:rPr>
                <w:rFonts w:hint="eastAsia" w:ascii="宋体" w:hAnsi="宋体" w:eastAsia="宋体" w:cs="宋体"/>
                <w:kern w:val="2"/>
                <w:sz w:val="24"/>
                <w:szCs w:val="24"/>
              </w:rPr>
              <w:t>根据各投标人对本项目包括停水、停电、防台风防汛预案；治安应急预案及消防应急预案；食品安全防范预案；车辆安全应急保障预案（含机械车位应急处理）等进行打分。</w:t>
            </w:r>
          </w:p>
          <w:p w14:paraId="6CF3FB86">
            <w:pPr>
              <w:spacing w:line="500" w:lineRule="exact"/>
              <w:jc w:val="left"/>
              <w:rPr>
                <w:rFonts w:ascii="宋体" w:hAnsi="宋体" w:eastAsia="宋体" w:cs="宋体"/>
                <w:kern w:val="2"/>
                <w:sz w:val="24"/>
                <w:szCs w:val="24"/>
              </w:rPr>
            </w:pPr>
            <w:r>
              <w:rPr>
                <w:rFonts w:hint="eastAsia" w:ascii="宋体" w:hAnsi="宋体" w:eastAsia="宋体" w:cs="宋体"/>
                <w:kern w:val="2"/>
                <w:sz w:val="24"/>
                <w:szCs w:val="24"/>
              </w:rPr>
              <w:t>预案内容完整、措施有效、责任清晰，且针对强的</w:t>
            </w:r>
            <w:r>
              <w:rPr>
                <w:rFonts w:hint="eastAsia" w:ascii="宋体" w:hAnsi="宋体" w:eastAsia="宋体" w:cs="宋体"/>
                <w:b/>
                <w:kern w:val="2"/>
                <w:sz w:val="24"/>
                <w:szCs w:val="24"/>
              </w:rPr>
              <w:t>得6分</w:t>
            </w:r>
            <w:r>
              <w:rPr>
                <w:rFonts w:hint="eastAsia" w:ascii="宋体" w:hAnsi="宋体" w:eastAsia="宋体" w:cs="宋体"/>
                <w:kern w:val="2"/>
                <w:sz w:val="24"/>
                <w:szCs w:val="24"/>
              </w:rPr>
              <w:t>；</w:t>
            </w:r>
          </w:p>
          <w:p w14:paraId="639C04CD">
            <w:pPr>
              <w:spacing w:line="500" w:lineRule="exact"/>
              <w:jc w:val="left"/>
              <w:rPr>
                <w:rFonts w:ascii="宋体" w:hAnsi="宋体" w:eastAsia="宋体" w:cs="宋体"/>
                <w:kern w:val="2"/>
                <w:sz w:val="24"/>
                <w:szCs w:val="24"/>
              </w:rPr>
            </w:pPr>
            <w:r>
              <w:rPr>
                <w:rFonts w:hint="eastAsia" w:ascii="宋体" w:hAnsi="宋体" w:eastAsia="宋体" w:cs="宋体"/>
                <w:kern w:val="2"/>
                <w:sz w:val="24"/>
                <w:szCs w:val="24"/>
              </w:rPr>
              <w:t>预案内容比较齐全、提供了比较合理的工作预案，具有一定可行性的</w:t>
            </w:r>
            <w:r>
              <w:rPr>
                <w:rFonts w:hint="eastAsia" w:ascii="宋体" w:hAnsi="宋体" w:eastAsia="宋体" w:cs="宋体"/>
                <w:b/>
                <w:kern w:val="2"/>
                <w:sz w:val="24"/>
                <w:szCs w:val="24"/>
              </w:rPr>
              <w:t>得4分</w:t>
            </w:r>
            <w:r>
              <w:rPr>
                <w:rFonts w:hint="eastAsia" w:ascii="宋体" w:hAnsi="宋体" w:eastAsia="宋体" w:cs="宋体"/>
                <w:kern w:val="2"/>
                <w:sz w:val="24"/>
                <w:szCs w:val="24"/>
              </w:rPr>
              <w:t>；</w:t>
            </w:r>
          </w:p>
          <w:p w14:paraId="5DB34CC4">
            <w:pPr>
              <w:spacing w:line="500" w:lineRule="exact"/>
              <w:jc w:val="left"/>
              <w:rPr>
                <w:rFonts w:ascii="宋体" w:hAnsi="宋体" w:eastAsia="宋体" w:cs="宋体"/>
                <w:kern w:val="2"/>
                <w:sz w:val="24"/>
                <w:szCs w:val="24"/>
              </w:rPr>
            </w:pPr>
            <w:r>
              <w:rPr>
                <w:rFonts w:hint="eastAsia" w:ascii="宋体" w:hAnsi="宋体" w:eastAsia="宋体" w:cs="宋体"/>
                <w:kern w:val="2"/>
                <w:sz w:val="24"/>
                <w:szCs w:val="24"/>
              </w:rPr>
              <w:t>预案内容一般或可行性一般的</w:t>
            </w:r>
            <w:r>
              <w:rPr>
                <w:rFonts w:hint="eastAsia" w:ascii="宋体" w:hAnsi="宋体" w:eastAsia="宋体" w:cs="宋体"/>
                <w:b/>
                <w:kern w:val="2"/>
                <w:sz w:val="24"/>
                <w:szCs w:val="24"/>
              </w:rPr>
              <w:t>得2分</w:t>
            </w:r>
            <w:r>
              <w:rPr>
                <w:rFonts w:hint="eastAsia" w:ascii="宋体" w:hAnsi="宋体" w:eastAsia="宋体" w:cs="宋体"/>
                <w:kern w:val="2"/>
                <w:sz w:val="24"/>
                <w:szCs w:val="24"/>
              </w:rPr>
              <w:t>；</w:t>
            </w:r>
          </w:p>
          <w:p w14:paraId="38856807">
            <w:pPr>
              <w:spacing w:line="500" w:lineRule="exact"/>
              <w:jc w:val="left"/>
              <w:rPr>
                <w:rFonts w:ascii="宋体" w:hAnsi="宋体" w:eastAsia="宋体" w:cs="宋体"/>
                <w:kern w:val="2"/>
                <w:sz w:val="24"/>
                <w:szCs w:val="24"/>
              </w:rPr>
            </w:pPr>
            <w:r>
              <w:rPr>
                <w:rFonts w:hint="eastAsia" w:ascii="宋体" w:hAnsi="宋体" w:eastAsia="宋体" w:cs="宋体"/>
                <w:b/>
                <w:bCs/>
                <w:sz w:val="24"/>
                <w:szCs w:val="24"/>
              </w:rPr>
              <w:t>该项未见阐述不得分。</w:t>
            </w:r>
          </w:p>
        </w:tc>
      </w:tr>
    </w:tbl>
    <w:p w14:paraId="47989A7D">
      <w:pPr>
        <w:pStyle w:val="196"/>
      </w:pPr>
    </w:p>
    <w:p w14:paraId="77DAF95B">
      <w:pPr>
        <w:widowControl/>
        <w:spacing w:line="360" w:lineRule="auto"/>
        <w:jc w:val="left"/>
      </w:pPr>
      <w:r>
        <w:rPr>
          <w:rFonts w:hint="eastAsia" w:ascii="宋体" w:hAnsi="宋体" w:eastAsia="宋体" w:cs="Times New Roman"/>
          <w:b/>
          <w:sz w:val="24"/>
          <w:szCs w:val="24"/>
        </w:rPr>
        <w:t>注：</w:t>
      </w:r>
      <w:r>
        <w:rPr>
          <w:rFonts w:hint="eastAsia" w:ascii="Times New Roman" w:hAnsi="Times New Roman" w:eastAsia="宋体" w:cs="Times New Roman"/>
          <w:b/>
          <w:sz w:val="24"/>
          <w:szCs w:val="24"/>
        </w:rPr>
        <w:t>投标文件中所提供的全部证明材料，评审结束后采购人有权进行核实，如有不实，将按照相关法律法规规定进行处理。</w:t>
      </w:r>
    </w:p>
    <w:p w14:paraId="3FE6F181">
      <w:pPr>
        <w:spacing w:line="360" w:lineRule="auto"/>
        <w:rPr>
          <w:rFonts w:ascii="宋体" w:hAnsi="宋体" w:cs="Calibri"/>
          <w:b/>
          <w:color w:val="000000"/>
          <w:sz w:val="24"/>
          <w:szCs w:val="24"/>
        </w:rPr>
      </w:pPr>
      <w:r>
        <w:rPr>
          <w:rFonts w:hint="eastAsia" w:ascii="宋体" w:hAnsi="宋体" w:cs="Calibri"/>
          <w:b/>
          <w:color w:val="000000"/>
          <w:sz w:val="24"/>
          <w:szCs w:val="24"/>
        </w:rPr>
        <w:t>1.本项目评标标准中的技术分采用暗标方式进行评审。</w:t>
      </w:r>
    </w:p>
    <w:p w14:paraId="5F92E4FF">
      <w:pPr>
        <w:spacing w:line="360" w:lineRule="auto"/>
        <w:rPr>
          <w:rFonts w:ascii="宋体" w:hAnsi="宋体" w:cs="Calibri"/>
          <w:b/>
          <w:color w:val="000000"/>
          <w:sz w:val="24"/>
          <w:szCs w:val="24"/>
        </w:rPr>
      </w:pPr>
      <w:r>
        <w:rPr>
          <w:rFonts w:hint="eastAsia" w:ascii="宋体" w:hAnsi="宋体" w:cs="Calibri"/>
          <w:b/>
          <w:color w:val="000000"/>
          <w:sz w:val="24"/>
          <w:szCs w:val="24"/>
        </w:rPr>
        <w:t>2.编制要求：</w:t>
      </w:r>
    </w:p>
    <w:p w14:paraId="4C93AC7D">
      <w:pPr>
        <w:spacing w:line="400" w:lineRule="exact"/>
        <w:rPr>
          <w:rFonts w:ascii="宋体" w:hAnsi="宋体" w:cs="Calibri"/>
          <w:b/>
          <w:color w:val="000000"/>
          <w:sz w:val="24"/>
          <w:szCs w:val="24"/>
        </w:rPr>
      </w:pPr>
      <w:r>
        <w:rPr>
          <w:rFonts w:hint="eastAsia" w:ascii="宋体" w:hAnsi="宋体" w:cs="Calibri"/>
          <w:b/>
          <w:color w:val="000000"/>
          <w:sz w:val="24"/>
          <w:szCs w:val="24"/>
        </w:rPr>
        <w:t>2.1方案内容、文字、各类型图表、框图均不得出现供应商名称、相关人员姓名和其他可识别供应商身份的字符、徽标、人员名称、</w:t>
      </w:r>
      <w:r>
        <w:rPr>
          <w:rFonts w:ascii="宋体" w:hAnsi="宋体" w:cs="Calibri"/>
          <w:b/>
          <w:color w:val="000000"/>
          <w:sz w:val="24"/>
          <w:szCs w:val="24"/>
        </w:rPr>
        <w:t>投标人独享的企业标准或编号</w:t>
      </w:r>
      <w:r>
        <w:rPr>
          <w:rFonts w:hint="eastAsia" w:ascii="宋体" w:hAnsi="宋体" w:cs="Calibri"/>
          <w:b/>
          <w:color w:val="000000"/>
          <w:sz w:val="24"/>
          <w:szCs w:val="24"/>
        </w:rPr>
        <w:t>等内容；不得出现能显示企业特征或批注、底纹、阴影、水印等提示性的标记或标识；不得出现以前所承担过的项目名称，不得作任何标识或暗示该供应商单位名称或人员姓名的标记，</w:t>
      </w:r>
      <w:r>
        <w:rPr>
          <w:rFonts w:ascii="宋体" w:hAnsi="宋体" w:cs="Calibri"/>
          <w:b/>
          <w:color w:val="000000"/>
          <w:sz w:val="24"/>
          <w:szCs w:val="24"/>
        </w:rPr>
        <w:t>相关人员姓名应以职务或职称代替</w:t>
      </w:r>
      <w:r>
        <w:rPr>
          <w:rFonts w:hint="eastAsia" w:ascii="宋体" w:hAnsi="宋体" w:cs="Calibri"/>
          <w:b/>
          <w:color w:val="000000"/>
          <w:sz w:val="24"/>
          <w:szCs w:val="24"/>
        </w:rPr>
        <w:t>。</w:t>
      </w:r>
    </w:p>
    <w:p w14:paraId="7B3394AA">
      <w:pPr>
        <w:widowControl/>
        <w:spacing w:line="360" w:lineRule="auto"/>
        <w:jc w:val="left"/>
        <w:rPr>
          <w:rFonts w:ascii="宋体" w:hAnsi="宋体" w:cs="Calibri"/>
          <w:b/>
          <w:bCs/>
          <w:color w:val="000000"/>
          <w:sz w:val="24"/>
          <w:szCs w:val="24"/>
        </w:rPr>
      </w:pPr>
      <w:r>
        <w:rPr>
          <w:rFonts w:hint="eastAsia" w:ascii="宋体" w:hAnsi="宋体" w:cs="Calibri"/>
          <w:b/>
          <w:color w:val="000000"/>
          <w:sz w:val="24"/>
          <w:szCs w:val="24"/>
        </w:rPr>
        <w:t>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p>
    <w:p w14:paraId="7DA6399F">
      <w:pPr>
        <w:widowControl/>
        <w:spacing w:line="360" w:lineRule="auto"/>
        <w:jc w:val="left"/>
        <w:rPr>
          <w:rFonts w:ascii="宋体" w:hAnsi="宋体" w:cs="Calibri"/>
          <w:b/>
          <w:color w:val="000000"/>
          <w:sz w:val="24"/>
          <w:szCs w:val="24"/>
        </w:rPr>
      </w:pPr>
      <w:r>
        <w:rPr>
          <w:rFonts w:hint="eastAsia" w:ascii="宋体" w:hAnsi="宋体" w:cs="Calibri"/>
          <w:b/>
          <w:color w:val="000000"/>
          <w:sz w:val="24"/>
          <w:szCs w:val="24"/>
        </w:rPr>
        <w:t>2.3供应商需按照上述要求编制方案，未按要求编制的本项不得分。</w:t>
      </w:r>
    </w:p>
    <w:p w14:paraId="7A195A55">
      <w:pPr>
        <w:pStyle w:val="196"/>
      </w:pPr>
    </w:p>
    <w:p w14:paraId="240A3D51">
      <w:pPr>
        <w:widowControl/>
        <w:jc w:val="left"/>
        <w:rPr>
          <w:sz w:val="24"/>
          <w:szCs w:val="24"/>
        </w:rPr>
      </w:pPr>
    </w:p>
    <w:p w14:paraId="3AA46010">
      <w:pPr>
        <w:rPr>
          <w:rFonts w:ascii="黑体" w:hAnsi="黑体" w:eastAsia="黑体"/>
        </w:rPr>
      </w:pPr>
      <w:bookmarkStart w:id="84" w:name="_Toc162361615"/>
      <w:r>
        <w:rPr>
          <w:rFonts w:hint="eastAsia" w:ascii="黑体" w:hAnsi="黑体" w:eastAsia="黑体"/>
        </w:rPr>
        <w:br w:type="page" w:clear="all"/>
      </w:r>
    </w:p>
    <w:p w14:paraId="35A43847">
      <w:pPr>
        <w:pStyle w:val="196"/>
        <w:rPr>
          <w:rFonts w:ascii="黑体" w:hAnsi="黑体" w:eastAsia="黑体"/>
        </w:rPr>
      </w:pPr>
    </w:p>
    <w:p w14:paraId="71BF1549">
      <w:pPr>
        <w:pStyle w:val="196"/>
        <w:rPr>
          <w:rFonts w:ascii="黑体" w:hAnsi="黑体" w:eastAsia="黑体"/>
        </w:rPr>
      </w:pPr>
    </w:p>
    <w:p w14:paraId="28617A0D">
      <w:pPr>
        <w:pStyle w:val="196"/>
        <w:rPr>
          <w:rFonts w:ascii="黑体" w:hAnsi="黑体" w:eastAsia="黑体"/>
        </w:rPr>
      </w:pPr>
    </w:p>
    <w:p w14:paraId="3ED7B820">
      <w:pPr>
        <w:pStyle w:val="196"/>
        <w:rPr>
          <w:rFonts w:ascii="黑体" w:hAnsi="黑体" w:eastAsia="黑体"/>
        </w:rPr>
      </w:pPr>
    </w:p>
    <w:p w14:paraId="6C9F058C">
      <w:pPr>
        <w:pStyle w:val="193"/>
        <w:spacing w:line="360" w:lineRule="auto"/>
        <w:jc w:val="center"/>
        <w:rPr>
          <w:rFonts w:ascii="黑体" w:hAnsi="黑体" w:eastAsia="黑体"/>
          <w:b w:val="0"/>
        </w:rPr>
      </w:pPr>
      <w:r>
        <w:rPr>
          <w:rFonts w:hint="eastAsia" w:ascii="黑体" w:hAnsi="黑体" w:eastAsia="黑体"/>
          <w:b w:val="0"/>
        </w:rPr>
        <w:t>第六章  投标文件格式</w:t>
      </w:r>
      <w:bookmarkEnd w:id="84"/>
    </w:p>
    <w:p w14:paraId="14839B35">
      <w:pPr>
        <w:spacing w:line="500" w:lineRule="exact"/>
        <w:jc w:val="left"/>
        <w:rPr>
          <w:sz w:val="24"/>
          <w:szCs w:val="24"/>
        </w:rPr>
      </w:pPr>
    </w:p>
    <w:p w14:paraId="0D985A4D">
      <w:pPr>
        <w:jc w:val="center"/>
        <w:rPr>
          <w:rFonts w:ascii="宋体" w:hAnsi="宋体" w:eastAsia="宋体" w:cs="Times New Roman"/>
          <w:b/>
          <w:color w:val="000000"/>
          <w:sz w:val="72"/>
          <w:szCs w:val="21"/>
        </w:rPr>
      </w:pPr>
    </w:p>
    <w:p w14:paraId="2085CA6C">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投  标  文  件</w:t>
      </w:r>
    </w:p>
    <w:p w14:paraId="70E65B96">
      <w:pPr>
        <w:jc w:val="center"/>
        <w:rPr>
          <w:rFonts w:ascii="宋体" w:hAnsi="宋体" w:eastAsia="宋体" w:cs="Times New Roman"/>
          <w:b/>
          <w:color w:val="000000"/>
          <w:sz w:val="72"/>
          <w:szCs w:val="21"/>
        </w:rPr>
      </w:pPr>
    </w:p>
    <w:p w14:paraId="26DED947">
      <w:pPr>
        <w:jc w:val="center"/>
        <w:rPr>
          <w:rFonts w:ascii="宋体" w:hAnsi="宋体" w:eastAsia="宋体" w:cs="Times New Roman"/>
          <w:b/>
          <w:color w:val="000000"/>
          <w:sz w:val="72"/>
          <w:szCs w:val="21"/>
        </w:rPr>
      </w:pPr>
    </w:p>
    <w:p w14:paraId="4456CEB5">
      <w:pPr>
        <w:jc w:val="center"/>
        <w:rPr>
          <w:rFonts w:ascii="宋体" w:hAnsi="宋体" w:eastAsia="宋体" w:cs="Times New Roman"/>
          <w:b/>
          <w:color w:val="000000"/>
          <w:sz w:val="36"/>
          <w:szCs w:val="21"/>
        </w:rPr>
      </w:pPr>
    </w:p>
    <w:p w14:paraId="22DE4DC5">
      <w:pPr>
        <w:jc w:val="center"/>
        <w:rPr>
          <w:rFonts w:ascii="宋体" w:hAnsi="宋体" w:eastAsia="宋体" w:cs="Times New Roman"/>
          <w:b/>
          <w:color w:val="000000"/>
          <w:sz w:val="36"/>
          <w:szCs w:val="21"/>
        </w:rPr>
      </w:pPr>
    </w:p>
    <w:p w14:paraId="6EDE193A">
      <w:pPr>
        <w:jc w:val="center"/>
        <w:rPr>
          <w:rFonts w:ascii="宋体" w:hAnsi="宋体" w:eastAsia="宋体" w:cs="Times New Roman"/>
          <w:b/>
          <w:color w:val="000000"/>
          <w:sz w:val="36"/>
          <w:szCs w:val="21"/>
        </w:rPr>
      </w:pPr>
    </w:p>
    <w:p w14:paraId="468777E5">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项 目 名 称：</w:t>
      </w:r>
      <w:r>
        <w:rPr>
          <w:rFonts w:hint="eastAsia" w:ascii="宋体" w:hAnsi="宋体" w:eastAsia="宋体" w:cs="Times New Roman"/>
          <w:b/>
          <w:color w:val="000000"/>
          <w:sz w:val="36"/>
          <w:szCs w:val="21"/>
          <w:u w:val="single"/>
        </w:rPr>
        <w:t xml:space="preserve">                   </w:t>
      </w:r>
    </w:p>
    <w:p w14:paraId="3A2698F1">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项 目 编 号：</w:t>
      </w:r>
      <w:r>
        <w:rPr>
          <w:rFonts w:hint="eastAsia" w:ascii="宋体" w:hAnsi="宋体" w:eastAsia="宋体" w:cs="Times New Roman"/>
          <w:b/>
          <w:color w:val="000000"/>
          <w:sz w:val="36"/>
          <w:szCs w:val="21"/>
          <w:u w:val="single"/>
        </w:rPr>
        <w:t xml:space="preserve">                   </w:t>
      </w:r>
    </w:p>
    <w:p w14:paraId="0AD31964">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（加盖CA电子公章）</w:t>
      </w:r>
    </w:p>
    <w:p w14:paraId="54AEEAC9">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p>
    <w:p w14:paraId="78BAE74D">
      <w:pPr>
        <w:spacing w:line="440" w:lineRule="exact"/>
        <w:jc w:val="center"/>
        <w:rPr>
          <w:rFonts w:ascii="宋体" w:hAnsi="宋体" w:eastAsia="宋体" w:cs="Times New Roman"/>
          <w:b/>
          <w:bCs/>
          <w:color w:val="000000"/>
          <w:sz w:val="32"/>
          <w:szCs w:val="32"/>
        </w:rPr>
      </w:pPr>
    </w:p>
    <w:p w14:paraId="5F3065BC">
      <w:pPr>
        <w:spacing w:line="440" w:lineRule="exact"/>
        <w:rPr>
          <w:rFonts w:ascii="宋体" w:hAnsi="宋体" w:eastAsia="宋体" w:cs="Times New Roman"/>
          <w:color w:val="000000"/>
          <w:szCs w:val="21"/>
        </w:rPr>
      </w:pPr>
    </w:p>
    <w:p w14:paraId="69831440">
      <w:pPr>
        <w:spacing w:line="500" w:lineRule="exact"/>
        <w:jc w:val="left"/>
        <w:rPr>
          <w:sz w:val="24"/>
          <w:szCs w:val="24"/>
        </w:rPr>
      </w:pPr>
    </w:p>
    <w:p w14:paraId="647C853A">
      <w:pPr>
        <w:spacing w:line="500" w:lineRule="exact"/>
        <w:jc w:val="left"/>
        <w:rPr>
          <w:sz w:val="24"/>
          <w:szCs w:val="24"/>
        </w:rPr>
      </w:pPr>
    </w:p>
    <w:p w14:paraId="4BCCAD14">
      <w:pPr>
        <w:spacing w:line="500" w:lineRule="exact"/>
        <w:jc w:val="left"/>
        <w:rPr>
          <w:sz w:val="24"/>
          <w:szCs w:val="24"/>
        </w:rPr>
      </w:pPr>
    </w:p>
    <w:p w14:paraId="326A2542">
      <w:pPr>
        <w:widowControl/>
        <w:jc w:val="left"/>
        <w:rPr>
          <w:sz w:val="24"/>
          <w:szCs w:val="24"/>
        </w:rPr>
      </w:pPr>
      <w:r>
        <w:rPr>
          <w:sz w:val="24"/>
          <w:szCs w:val="24"/>
        </w:rPr>
        <w:br w:type="page" w:clear="all"/>
      </w:r>
    </w:p>
    <w:p w14:paraId="6CD1570A">
      <w:pPr>
        <w:keepNext/>
        <w:keepLines/>
        <w:spacing w:before="360" w:after="200" w:line="360" w:lineRule="auto"/>
        <w:jc w:val="left"/>
        <w:outlineLvl w:val="1"/>
        <w:rPr>
          <w:rFonts w:ascii="宋体" w:hAnsi="宋体" w:eastAsia="宋体" w:cs="宋体"/>
          <w:b/>
          <w:sz w:val="36"/>
          <w:szCs w:val="36"/>
        </w:rPr>
      </w:pPr>
      <w:r>
        <w:rPr>
          <w:rFonts w:hint="eastAsia" w:ascii="宋体" w:hAnsi="宋体" w:eastAsia="宋体" w:cs="宋体"/>
          <w:b/>
          <w:sz w:val="36"/>
          <w:szCs w:val="36"/>
        </w:rPr>
        <w:t>一、法人或者其他组织的营业执照等证明文件，自然人的身份证明</w:t>
      </w:r>
    </w:p>
    <w:p w14:paraId="25C557A0"/>
    <w:p w14:paraId="37C2B48C"/>
    <w:p w14:paraId="7069F155"/>
    <w:p w14:paraId="3952F541"/>
    <w:p w14:paraId="09243962">
      <w:pPr>
        <w:keepNext/>
        <w:keepLines/>
        <w:spacing w:before="360" w:after="200" w:line="360" w:lineRule="auto"/>
        <w:jc w:val="left"/>
        <w:outlineLvl w:val="1"/>
        <w:rPr>
          <w:rFonts w:ascii="宋体" w:hAnsi="宋体" w:eastAsia="宋体" w:cs="宋体"/>
          <w:b/>
          <w:sz w:val="36"/>
          <w:szCs w:val="36"/>
        </w:rPr>
      </w:pPr>
      <w:r>
        <w:rPr>
          <w:rFonts w:hint="eastAsia" w:ascii="宋体" w:hAnsi="宋体" w:eastAsia="宋体" w:cs="宋体"/>
          <w:b/>
          <w:sz w:val="36"/>
          <w:szCs w:val="36"/>
        </w:rPr>
        <w:t>二、上一年度的财务状况报告（成立不满一年无需提供）</w:t>
      </w:r>
    </w:p>
    <w:p w14:paraId="2B20A50B"/>
    <w:p w14:paraId="10FD07FB">
      <w:pPr>
        <w:spacing w:line="360" w:lineRule="auto"/>
        <w:ind w:firstLine="480"/>
        <w:rPr>
          <w:rFonts w:asciiTheme="minorEastAsia" w:hAnsiTheme="minorEastAsia"/>
          <w:sz w:val="24"/>
          <w:szCs w:val="24"/>
        </w:rPr>
      </w:pPr>
      <w:r>
        <w:rPr>
          <w:rFonts w:hint="eastAsia" w:asciiTheme="minorEastAsia" w:hAnsiTheme="minorEastAsia"/>
          <w:sz w:val="24"/>
          <w:szCs w:val="24"/>
        </w:rPr>
        <w:t>根据连财购〔2023〕4号文件精神，可以提供《财务状况报告及税收、社会保障资金缴纳情况承诺函》</w:t>
      </w:r>
    </w:p>
    <w:p w14:paraId="7FC4D621">
      <w:pPr>
        <w:spacing w:line="360" w:lineRule="auto"/>
        <w:rPr>
          <w:rFonts w:asciiTheme="minorEastAsia" w:hAnsiTheme="minorEastAsia"/>
          <w:sz w:val="24"/>
          <w:szCs w:val="24"/>
        </w:rPr>
      </w:pPr>
    </w:p>
    <w:p w14:paraId="1B5664A3"/>
    <w:p w14:paraId="254CE7E7">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三、依法缴纳税收和社会保障资金的相关材料</w:t>
      </w:r>
    </w:p>
    <w:p w14:paraId="147D3001">
      <w:pPr>
        <w:spacing w:line="360" w:lineRule="auto"/>
        <w:ind w:firstLine="480"/>
        <w:rPr>
          <w:rFonts w:asciiTheme="minorEastAsia" w:hAnsiTheme="minorEastAsia"/>
          <w:sz w:val="24"/>
          <w:szCs w:val="24"/>
        </w:rPr>
      </w:pPr>
      <w:r>
        <w:rPr>
          <w:rFonts w:hint="eastAsia"/>
          <w:sz w:val="24"/>
          <w:szCs w:val="24"/>
        </w:rPr>
        <w:t>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rPr>
        <w:t>根据连财购〔2023〕4号文件精神，提供《财务状况报告及税收、社会保障资金缴纳情况承诺函》。</w:t>
      </w:r>
    </w:p>
    <w:p w14:paraId="679F4146">
      <w:pPr>
        <w:spacing w:line="500" w:lineRule="exact"/>
        <w:ind w:firstLine="480"/>
        <w:jc w:val="left"/>
        <w:rPr>
          <w:sz w:val="24"/>
          <w:szCs w:val="24"/>
        </w:rPr>
      </w:pPr>
    </w:p>
    <w:p w14:paraId="790DA57F"/>
    <w:p w14:paraId="16D5B5E3">
      <w:pPr>
        <w:rPr>
          <w:b/>
          <w:sz w:val="24"/>
        </w:rPr>
      </w:pPr>
    </w:p>
    <w:p w14:paraId="61FCEF02">
      <w:pPr>
        <w:spacing w:line="360" w:lineRule="auto"/>
        <w:jc w:val="left"/>
        <w:rPr>
          <w:rFonts w:ascii="黑体" w:hAnsi="黑体" w:eastAsia="黑体" w:cs="宋体"/>
          <w:bCs/>
          <w:sz w:val="36"/>
          <w:szCs w:val="28"/>
        </w:rPr>
      </w:pPr>
      <w:r>
        <w:rPr>
          <w:rFonts w:hint="eastAsia" w:ascii="黑体" w:hAnsi="黑体" w:eastAsia="黑体" w:cs="宋体"/>
          <w:bCs/>
          <w:sz w:val="36"/>
          <w:szCs w:val="28"/>
        </w:rPr>
        <w:t>承诺函：</w:t>
      </w:r>
    </w:p>
    <w:p w14:paraId="03A25BE1">
      <w:pPr>
        <w:spacing w:line="360" w:lineRule="auto"/>
        <w:jc w:val="center"/>
        <w:rPr>
          <w:rFonts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14:paraId="6BD82BA0">
      <w:pPr>
        <w:jc w:val="left"/>
        <w:rPr>
          <w:rFonts w:ascii="MS Mincho" w:hAnsi="Calibri" w:eastAsia="宋体" w:cs="Times New Roman"/>
          <w:color w:val="000000"/>
          <w:szCs w:val="24"/>
        </w:rPr>
      </w:pPr>
    </w:p>
    <w:p w14:paraId="065CE91A">
      <w:pPr>
        <w:spacing w:line="500" w:lineRule="exact"/>
        <w:jc w:val="left"/>
        <w:rPr>
          <w:rFonts w:ascii="Calibri" w:hAnsi="Calibri" w:eastAsia="宋体" w:cs="Times New Roman"/>
          <w:sz w:val="24"/>
          <w:szCs w:val="24"/>
        </w:rPr>
      </w:pPr>
      <w:r>
        <w:rPr>
          <w:rFonts w:hint="eastAsia" w:ascii="Calibri" w:hAnsi="Calibri" w:eastAsia="宋体" w:cs="Times New Roman"/>
          <w:sz w:val="24"/>
          <w:szCs w:val="24"/>
        </w:rPr>
        <w:t>致：</w:t>
      </w:r>
      <w:r>
        <w:rPr>
          <w:rFonts w:hint="eastAsia" w:ascii="Calibri" w:hAnsi="Calibri" w:eastAsia="宋体" w:cs="Times New Roman"/>
          <w:sz w:val="24"/>
          <w:szCs w:val="24"/>
          <w:u w:val="single"/>
        </w:rPr>
        <w:t>采购人名称</w:t>
      </w:r>
    </w:p>
    <w:p w14:paraId="58D7BBF9">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w:t>
      </w:r>
      <w:r>
        <w:rPr>
          <w:rFonts w:hint="eastAsia"/>
          <w:sz w:val="24"/>
          <w:szCs w:val="24"/>
          <w:u w:val="single"/>
        </w:rPr>
        <w:t>供应商</w:t>
      </w:r>
      <w:r>
        <w:rPr>
          <w:rFonts w:hint="eastAsia" w:ascii="Calibri" w:hAnsi="Calibri" w:eastAsia="宋体" w:cs="Times New Roman"/>
          <w:sz w:val="24"/>
          <w:szCs w:val="24"/>
          <w:u w:val="single"/>
        </w:rPr>
        <w:t>名称</w:t>
      </w:r>
      <w:r>
        <w:rPr>
          <w:rFonts w:hint="eastAsia" w:ascii="Calibri" w:hAnsi="Calibri" w:eastAsia="宋体" w:cs="Times New Roman"/>
          <w:sz w:val="24"/>
          <w:szCs w:val="24"/>
        </w:rPr>
        <w:t>参加国家税务总局连云港市税务局2026-2029年物业管理服务项目（项目编号：</w:t>
      </w:r>
      <w:r>
        <w:rPr>
          <w:rFonts w:hint="eastAsia" w:ascii="Calibri" w:hAnsi="Calibri" w:eastAsia="宋体" w:cs="Times New Roman"/>
          <w:sz w:val="24"/>
          <w:szCs w:val="24"/>
          <w:u w:val="single"/>
        </w:rPr>
        <w:t>项目编号</w:t>
      </w:r>
      <w:r>
        <w:rPr>
          <w:rFonts w:hint="eastAsia" w:ascii="Calibri" w:hAnsi="Calibri" w:eastAsia="宋体" w:cs="Times New Roman"/>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551EAD01">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（1）具有良好的商业信誉和健全的财务会计制度（财务状况报告）；</w:t>
      </w:r>
    </w:p>
    <w:p w14:paraId="1B4EE106">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（2）有依法缴纳税收和社会保障资金的良好记录。</w:t>
      </w:r>
    </w:p>
    <w:p w14:paraId="2FCFEB72">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我方对上述承诺的真实性负责，如有虚假，将依法承担提供虚假材料谋取中标、成交责任，同时同意有关主管部门将相关失信信息记入公共信用信息系统并在相关政府门户网站公开。</w:t>
      </w:r>
    </w:p>
    <w:p w14:paraId="4F9DEC34">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特此承诺</w:t>
      </w:r>
    </w:p>
    <w:p w14:paraId="5FFC0B2E">
      <w:pPr>
        <w:spacing w:line="500" w:lineRule="exact"/>
        <w:ind w:firstLine="480"/>
        <w:jc w:val="left"/>
        <w:rPr>
          <w:rFonts w:ascii="Calibri" w:hAnsi="Calibri" w:eastAsia="宋体" w:cs="Times New Roman"/>
          <w:sz w:val="24"/>
          <w:szCs w:val="24"/>
        </w:rPr>
      </w:pPr>
    </w:p>
    <w:p w14:paraId="54EFB989">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投标人（公章）：</w:t>
      </w:r>
    </w:p>
    <w:p w14:paraId="530F1FF2">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或委托代理人（签名或签章）：</w:t>
      </w:r>
    </w:p>
    <w:p w14:paraId="63CC9C46">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0615E20D"/>
    <w:p w14:paraId="6429D4A2"/>
    <w:p w14:paraId="3642A0B4">
      <w:pPr>
        <w:widowControl/>
        <w:jc w:val="left"/>
        <w:rPr>
          <w:rFonts w:ascii="Arial" w:hAnsi="Arial" w:eastAsia="宋体" w:cs="Arial"/>
          <w:b/>
          <w:iCs/>
          <w:sz w:val="36"/>
        </w:rPr>
      </w:pPr>
      <w:r>
        <w:rPr>
          <w:rFonts w:ascii="Arial" w:hAnsi="Arial" w:eastAsia="宋体" w:cs="Arial"/>
          <w:b/>
          <w:iCs/>
          <w:sz w:val="36"/>
        </w:rPr>
        <w:br w:type="page"/>
      </w:r>
    </w:p>
    <w:p w14:paraId="227A9592">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四、具备履行合同所必需的设备和专业技术能力的声明及证明材料</w:t>
      </w:r>
    </w:p>
    <w:p w14:paraId="43E7544E">
      <w:pPr>
        <w:spacing w:line="460" w:lineRule="exact"/>
        <w:jc w:val="center"/>
        <w:rPr>
          <w:rFonts w:ascii="黑体" w:hAnsi="黑体" w:eastAsia="黑体" w:cs="宋体"/>
          <w:bCs/>
          <w:sz w:val="36"/>
          <w:szCs w:val="28"/>
        </w:rPr>
      </w:pPr>
      <w:r>
        <w:rPr>
          <w:rFonts w:hint="eastAsia" w:ascii="黑体" w:hAnsi="黑体" w:eastAsia="黑体" w:cs="宋体"/>
          <w:bCs/>
          <w:sz w:val="36"/>
          <w:szCs w:val="28"/>
        </w:rPr>
        <w:t>具备履行合同所必需的设备和专业技术能力的声明及证明材料</w:t>
      </w:r>
    </w:p>
    <w:p w14:paraId="2EEA251A">
      <w:pPr>
        <w:spacing w:line="460" w:lineRule="exact"/>
        <w:jc w:val="center"/>
        <w:rPr>
          <w:rFonts w:ascii="Calibri" w:hAnsi="Calibri" w:eastAsia="宋体" w:cs="Times New Roman"/>
          <w:sz w:val="24"/>
          <w:szCs w:val="24"/>
        </w:rPr>
      </w:pPr>
    </w:p>
    <w:p w14:paraId="5F25B924">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我单位郑重声明：我单位具备履行本项采购合同所必需的设备和专业技术能力，为履行本项采购合同我公司具备如下主要设备和主要专业技术能力：</w:t>
      </w:r>
    </w:p>
    <w:p w14:paraId="6A71B185">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14:paraId="0BFFBB71">
      <w:pPr>
        <w:jc w:val="left"/>
        <w:rPr>
          <w:rFonts w:ascii="Calibri" w:hAnsi="Calibri" w:eastAsia="宋体" w:cs="Times New Roman"/>
          <w:sz w:val="24"/>
          <w:szCs w:val="24"/>
        </w:rPr>
      </w:pPr>
    </w:p>
    <w:p w14:paraId="110011B0">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14:paraId="77C9AD87">
      <w:pPr>
        <w:spacing w:line="360" w:lineRule="auto"/>
        <w:ind w:firstLine="480"/>
        <w:rPr>
          <w:rFonts w:ascii="Calibri" w:hAnsi="Calibri" w:eastAsia="宋体" w:cs="Times New Roman"/>
          <w:sz w:val="24"/>
          <w:szCs w:val="24"/>
        </w:rPr>
      </w:pPr>
    </w:p>
    <w:p w14:paraId="4B8F779B">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附主要设备和主要专业技术能力的证明材料如下：</w:t>
      </w:r>
    </w:p>
    <w:p w14:paraId="06A44C2E">
      <w:pPr>
        <w:spacing w:line="360" w:lineRule="auto"/>
        <w:rPr>
          <w:rFonts w:ascii="Calibri" w:hAnsi="Calibri" w:eastAsia="宋体" w:cs="Times New Roman"/>
          <w:sz w:val="24"/>
          <w:szCs w:val="24"/>
        </w:rPr>
      </w:pPr>
    </w:p>
    <w:p w14:paraId="5C699595">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投标人（盖章）：</w:t>
      </w:r>
    </w:p>
    <w:p w14:paraId="420F626C">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3D955700">
      <w:pPr>
        <w:spacing w:line="360" w:lineRule="auto"/>
        <w:ind w:firstLine="480"/>
        <w:rPr>
          <w:rFonts w:ascii="Times New Roman" w:hAnsi="Times New Roman" w:eastAsia="宋体" w:cs="Times New Roman"/>
          <w:color w:val="000000"/>
          <w:sz w:val="24"/>
          <w:szCs w:val="24"/>
        </w:rPr>
      </w:pPr>
      <w:r>
        <w:rPr>
          <w:rFonts w:hint="eastAsia" w:ascii="Calibri" w:hAnsi="Calibri" w:eastAsia="宋体" w:cs="Times New Roman"/>
          <w:sz w:val="24"/>
          <w:szCs w:val="24"/>
        </w:rPr>
        <w:t>日期：    年     月     日</w:t>
      </w:r>
    </w:p>
    <w:p w14:paraId="695B0906">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五、参加政府采购活动前3年内在经营活动中没有重大违法记录的书面声明</w:t>
      </w:r>
    </w:p>
    <w:p w14:paraId="69FDFBCC">
      <w:pPr>
        <w:spacing w:line="460" w:lineRule="exact"/>
        <w:jc w:val="center"/>
        <w:rPr>
          <w:rFonts w:ascii="宋体" w:hAnsi="宋体" w:eastAsia="宋体" w:cs="Times New Roman"/>
          <w:b/>
          <w:bCs/>
          <w:color w:val="000000"/>
          <w:sz w:val="44"/>
          <w:szCs w:val="44"/>
        </w:rPr>
      </w:pPr>
      <w:r>
        <w:rPr>
          <w:rFonts w:hint="eastAsia" w:ascii="黑体" w:hAnsi="黑体" w:eastAsia="黑体" w:cs="宋体"/>
          <w:bCs/>
          <w:sz w:val="36"/>
          <w:szCs w:val="28"/>
        </w:rPr>
        <w:t>声  明</w:t>
      </w:r>
    </w:p>
    <w:p w14:paraId="02975782">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我单位郑重声明：参加本次政府采购活动前 3 年内，我单位在经营活动中没有因违法经营受到刑事处罚或者责令停产停业、吊销许可证或者执照、较大数额罚款等行政处罚。</w:t>
      </w:r>
    </w:p>
    <w:p w14:paraId="7D254DE5">
      <w:pPr>
        <w:spacing w:line="500" w:lineRule="exact"/>
        <w:ind w:firstLine="480"/>
        <w:jc w:val="left"/>
        <w:rPr>
          <w:rFonts w:ascii="Calibri" w:hAnsi="Calibri" w:eastAsia="宋体" w:cs="Times New Roman"/>
          <w:sz w:val="24"/>
          <w:szCs w:val="24"/>
        </w:rPr>
      </w:pPr>
    </w:p>
    <w:p w14:paraId="0E530F40">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投标人（盖章）：</w:t>
      </w:r>
    </w:p>
    <w:p w14:paraId="20965876">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294361D0">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1977F36A">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六、落实政府采购政策需满足的资格要求的证明文件</w:t>
      </w:r>
    </w:p>
    <w:p w14:paraId="19094FBB">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0DFDFDB3"/>
    <w:p w14:paraId="0D4A1A0A"/>
    <w:p w14:paraId="30612C0B"/>
    <w:p w14:paraId="27B7A7A9">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七、特定资格要求的证明文件</w:t>
      </w:r>
    </w:p>
    <w:p w14:paraId="42EA0857">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3D72EE04"/>
    <w:p w14:paraId="1DB75BCA"/>
    <w:p w14:paraId="0571B0E3"/>
    <w:p w14:paraId="58B5D344">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八、法律、行政法规规定的其他条件的证明文件</w:t>
      </w:r>
    </w:p>
    <w:p w14:paraId="5839024B">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1B98E615"/>
    <w:p w14:paraId="0FB021F7">
      <w:pPr>
        <w:widowControl/>
        <w:jc w:val="left"/>
        <w:rPr>
          <w:rFonts w:ascii="Arial" w:hAnsi="Arial" w:eastAsia="宋体" w:cs="Arial"/>
          <w:b/>
          <w:iCs/>
          <w:sz w:val="36"/>
        </w:rPr>
      </w:pPr>
      <w:r>
        <w:rPr>
          <w:rFonts w:ascii="Arial" w:hAnsi="Arial" w:eastAsia="宋体" w:cs="Arial"/>
          <w:b/>
          <w:iCs/>
          <w:sz w:val="36"/>
        </w:rPr>
        <w:br w:type="page"/>
      </w:r>
    </w:p>
    <w:p w14:paraId="2E9C90E0">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九、授权委托书与法定代表人（单位负责人）身份证明</w:t>
      </w:r>
    </w:p>
    <w:p w14:paraId="51D8D338">
      <w:pPr>
        <w:spacing w:line="360" w:lineRule="exact"/>
        <w:jc w:val="center"/>
        <w:rPr>
          <w:rFonts w:ascii="宋体" w:hAnsi="宋体" w:eastAsia="宋体" w:cs="Times New Roman"/>
          <w:b/>
          <w:color w:val="000000"/>
          <w:sz w:val="36"/>
          <w:szCs w:val="36"/>
        </w:rPr>
      </w:pPr>
    </w:p>
    <w:p w14:paraId="26423DD4">
      <w:pPr>
        <w:spacing w:line="360" w:lineRule="exact"/>
        <w:jc w:val="center"/>
        <w:rPr>
          <w:rFonts w:ascii="宋体" w:hAnsi="宋体" w:eastAsia="宋体" w:cs="Times New Roman"/>
          <w:b/>
          <w:color w:val="000000"/>
          <w:sz w:val="36"/>
          <w:szCs w:val="36"/>
        </w:rPr>
      </w:pPr>
      <w:r>
        <w:rPr>
          <w:rFonts w:hint="eastAsia" w:ascii="宋体" w:hAnsi="宋体" w:eastAsia="宋体" w:cs="Times New Roman"/>
          <w:b/>
          <w:color w:val="000000"/>
          <w:sz w:val="36"/>
          <w:szCs w:val="36"/>
        </w:rPr>
        <w:t>授权委托书</w:t>
      </w:r>
    </w:p>
    <w:p w14:paraId="6884EC7F">
      <w:pPr>
        <w:spacing w:line="360" w:lineRule="auto"/>
        <w:rPr>
          <w:rFonts w:ascii="Calibri" w:hAnsi="Calibri" w:eastAsia="宋体" w:cs="Times New Roman"/>
          <w:sz w:val="24"/>
          <w:szCs w:val="24"/>
        </w:rPr>
      </w:pPr>
      <w:r>
        <w:rPr>
          <w:rFonts w:ascii="Calibri" w:hAnsi="Calibri" w:eastAsia="宋体" w:cs="Times New Roman"/>
          <w:sz w:val="24"/>
          <w:szCs w:val="24"/>
        </w:rPr>
        <w:t>致：</w:t>
      </w:r>
      <w:r>
        <w:rPr>
          <w:rFonts w:hint="eastAsia" w:ascii="Calibri" w:hAnsi="Calibri" w:eastAsia="宋体" w:cs="Times New Roman"/>
          <w:sz w:val="24"/>
          <w:szCs w:val="24"/>
          <w:u w:val="single"/>
        </w:rPr>
        <w:t>采购单位</w:t>
      </w:r>
    </w:p>
    <w:p w14:paraId="13849825">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姓名</w:t>
      </w:r>
      <w:r>
        <w:rPr>
          <w:rFonts w:ascii="Calibri" w:hAnsi="Calibri" w:eastAsia="宋体" w:cs="Times New Roman"/>
          <w:sz w:val="24"/>
          <w:szCs w:val="24"/>
          <w:u w:val="single"/>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投标人</w:t>
      </w:r>
      <w:r>
        <w:rPr>
          <w:rFonts w:ascii="Calibri" w:hAnsi="Calibri" w:eastAsia="宋体" w:cs="Times New Roman"/>
          <w:sz w:val="24"/>
          <w:szCs w:val="24"/>
          <w:u w:val="single"/>
        </w:rPr>
        <w:t>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的</w:t>
      </w:r>
      <w:r>
        <w:rPr>
          <w:rFonts w:ascii="Calibri" w:hAnsi="Calibri" w:eastAsia="宋体" w:cs="Times New Roman"/>
          <w:sz w:val="24"/>
          <w:szCs w:val="24"/>
        </w:rPr>
        <w:t>法定代表人（</w:t>
      </w:r>
      <w:r>
        <w:rPr>
          <w:rFonts w:hint="eastAsia" w:ascii="Calibri" w:hAnsi="Calibri" w:eastAsia="宋体" w:cs="Times New Roman"/>
          <w:sz w:val="24"/>
          <w:szCs w:val="24"/>
        </w:rPr>
        <w:t>单位</w:t>
      </w:r>
      <w:r>
        <w:rPr>
          <w:rFonts w:ascii="Calibri" w:hAnsi="Calibri" w:eastAsia="宋体" w:cs="Times New Roman"/>
          <w:sz w:val="24"/>
          <w:szCs w:val="24"/>
        </w:rPr>
        <w:t>负责人）</w:t>
      </w:r>
      <w:r>
        <w:rPr>
          <w:rFonts w:hint="eastAsia" w:ascii="Calibri" w:hAnsi="Calibri" w:eastAsia="宋体" w:cs="Times New Roman"/>
          <w:sz w:val="24"/>
          <w:szCs w:val="24"/>
        </w:rPr>
        <w:t>，</w:t>
      </w:r>
      <w:r>
        <w:rPr>
          <w:rFonts w:ascii="Calibri" w:hAnsi="Calibri" w:eastAsia="宋体" w:cs="Times New Roman"/>
          <w:sz w:val="24"/>
          <w:szCs w:val="24"/>
        </w:rPr>
        <w:t>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为</w:t>
      </w:r>
      <w:r>
        <w:rPr>
          <w:rFonts w:ascii="Calibri" w:hAnsi="Calibri" w:eastAsia="宋体" w:cs="Times New Roman"/>
          <w:sz w:val="24"/>
          <w:szCs w:val="24"/>
        </w:rPr>
        <w:t>我方代理人，联系电话：</w:t>
      </w:r>
      <w:r>
        <w:rPr>
          <w:rFonts w:hint="eastAsia" w:ascii="Calibri" w:hAnsi="Calibri" w:eastAsia="宋体" w:cs="Times New Roman"/>
          <w:sz w:val="24"/>
          <w:szCs w:val="24"/>
          <w:u w:val="single"/>
        </w:rPr>
        <w:t xml:space="preserve">         </w:t>
      </w:r>
      <w:r>
        <w:rPr>
          <w:rFonts w:ascii="Calibri" w:hAnsi="Calibri" w:eastAsia="宋体" w:cs="Times New Roman"/>
          <w:sz w:val="24"/>
          <w:szCs w:val="24"/>
        </w:rPr>
        <w:t>。</w:t>
      </w:r>
      <w:r>
        <w:rPr>
          <w:rFonts w:hint="eastAsia" w:ascii="Calibri" w:hAnsi="Calibri" w:eastAsia="宋体" w:cs="Times New Roman"/>
          <w:sz w:val="24"/>
          <w:szCs w:val="24"/>
        </w:rPr>
        <w:t>代理人根据</w:t>
      </w:r>
      <w:r>
        <w:rPr>
          <w:rFonts w:ascii="Calibri" w:hAnsi="Calibri" w:eastAsia="宋体" w:cs="Times New Roman"/>
          <w:sz w:val="24"/>
          <w:szCs w:val="24"/>
        </w:rPr>
        <w:t>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）投标</w:t>
      </w:r>
      <w:r>
        <w:rPr>
          <w:rFonts w:ascii="Calibri" w:hAnsi="Calibri" w:eastAsia="宋体" w:cs="Times New Roman"/>
          <w:sz w:val="24"/>
          <w:szCs w:val="24"/>
        </w:rPr>
        <w:t>文件</w:t>
      </w:r>
      <w:r>
        <w:rPr>
          <w:rFonts w:hint="eastAsia" w:ascii="Calibri" w:hAnsi="Calibri" w:eastAsia="宋体" w:cs="Times New Roman"/>
          <w:sz w:val="24"/>
          <w:szCs w:val="24"/>
        </w:rPr>
        <w:t>和</w:t>
      </w:r>
      <w:r>
        <w:rPr>
          <w:rFonts w:ascii="Calibri" w:hAnsi="Calibri" w:eastAsia="宋体" w:cs="Times New Roman"/>
          <w:sz w:val="24"/>
          <w:szCs w:val="24"/>
        </w:rPr>
        <w:t>处理有关事宜，其法律后果由我方承担。</w:t>
      </w:r>
    </w:p>
    <w:p w14:paraId="5A625B9E">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委托</w:t>
      </w:r>
      <w:r>
        <w:rPr>
          <w:rFonts w:ascii="Calibri" w:hAnsi="Calibri" w:eastAsia="宋体" w:cs="Times New Roman"/>
          <w:sz w:val="24"/>
          <w:szCs w:val="24"/>
        </w:rPr>
        <w:t>期限：自本</w:t>
      </w:r>
      <w:r>
        <w:rPr>
          <w:rFonts w:hint="eastAsia" w:ascii="Calibri" w:hAnsi="Calibri" w:eastAsia="宋体" w:cs="Times New Roman"/>
          <w:sz w:val="24"/>
          <w:szCs w:val="24"/>
        </w:rPr>
        <w:t>授权</w:t>
      </w:r>
      <w:r>
        <w:rPr>
          <w:rFonts w:ascii="Calibri" w:hAnsi="Calibri" w:eastAsia="宋体" w:cs="Times New Roman"/>
          <w:sz w:val="24"/>
          <w:szCs w:val="24"/>
        </w:rPr>
        <w:t>委托书签署之日起至</w:t>
      </w:r>
      <w:r>
        <w:rPr>
          <w:rFonts w:hint="eastAsia" w:ascii="Calibri" w:hAnsi="Calibri" w:eastAsia="宋体" w:cs="Times New Roman"/>
          <w:sz w:val="24"/>
          <w:szCs w:val="24"/>
        </w:rPr>
        <w:t>响应</w:t>
      </w:r>
      <w:r>
        <w:rPr>
          <w:rFonts w:ascii="Calibri" w:hAnsi="Calibri" w:eastAsia="宋体" w:cs="Times New Roman"/>
          <w:sz w:val="24"/>
          <w:szCs w:val="24"/>
        </w:rPr>
        <w:t>有效期</w:t>
      </w:r>
      <w:r>
        <w:rPr>
          <w:rFonts w:hint="eastAsia" w:ascii="Calibri" w:hAnsi="Calibri" w:eastAsia="宋体" w:cs="Times New Roman"/>
          <w:sz w:val="24"/>
          <w:szCs w:val="24"/>
        </w:rPr>
        <w:t>届满</w:t>
      </w:r>
      <w:r>
        <w:rPr>
          <w:rFonts w:ascii="Calibri" w:hAnsi="Calibri" w:eastAsia="宋体" w:cs="Times New Roman"/>
          <w:sz w:val="24"/>
          <w:szCs w:val="24"/>
        </w:rPr>
        <w:t>之日止。</w:t>
      </w:r>
    </w:p>
    <w:p w14:paraId="4C7BC0B7">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代理人</w:t>
      </w:r>
      <w:r>
        <w:rPr>
          <w:rFonts w:ascii="Calibri" w:hAnsi="Calibri" w:eastAsia="宋体" w:cs="Times New Roman"/>
          <w:sz w:val="24"/>
          <w:szCs w:val="24"/>
        </w:rPr>
        <w:t>无转委托权。</w:t>
      </w:r>
      <w:r>
        <w:rPr>
          <w:rFonts w:ascii="Calibri" w:hAnsi="Calibri" w:eastAsia="宋体" w:cs="Times New Roman"/>
          <w:sz w:val="24"/>
          <w:szCs w:val="24"/>
        </w:rPr>
        <w:br w:type="textWrapping"/>
      </w:r>
    </w:p>
    <w:p w14:paraId="2FCB2B06">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投标人</w:t>
      </w:r>
      <w:r>
        <w:rPr>
          <w:rFonts w:ascii="Calibri" w:hAnsi="Calibri" w:eastAsia="宋体" w:cs="Times New Roman"/>
          <w:sz w:val="24"/>
          <w:szCs w:val="24"/>
        </w:rPr>
        <w:t>名称（加盖公章）：</w:t>
      </w:r>
      <w:r>
        <w:rPr>
          <w:rFonts w:hint="eastAsia" w:ascii="Calibri" w:hAnsi="Calibri" w:eastAsia="宋体" w:cs="Times New Roman"/>
          <w:sz w:val="24"/>
          <w:szCs w:val="24"/>
          <w:u w:val="single"/>
        </w:rPr>
        <w:t xml:space="preserve">             </w:t>
      </w:r>
    </w:p>
    <w:p w14:paraId="6D25D3EC">
      <w:pPr>
        <w:spacing w:line="360" w:lineRule="auto"/>
        <w:ind w:firstLine="480"/>
        <w:rPr>
          <w:rFonts w:ascii="Calibri" w:hAnsi="Calibri" w:eastAsia="宋体" w:cs="Times New Roman"/>
          <w:sz w:val="24"/>
          <w:szCs w:val="24"/>
        </w:rPr>
      </w:pPr>
      <w:r>
        <w:rPr>
          <w:rFonts w:ascii="Calibri" w:hAnsi="Calibri" w:eastAsia="宋体" w:cs="Times New Roman"/>
          <w:sz w:val="24"/>
          <w:szCs w:val="24"/>
        </w:rPr>
        <w:t>法定代表人（单位负责人）（签字</w:t>
      </w:r>
      <w:r>
        <w:rPr>
          <w:rFonts w:hint="eastAsia" w:ascii="Calibri" w:hAnsi="Calibri" w:eastAsia="宋体" w:cs="Times New Roman"/>
          <w:sz w:val="24"/>
          <w:szCs w:val="24"/>
        </w:rPr>
        <w:t>、签章</w:t>
      </w:r>
      <w:r>
        <w:rPr>
          <w:rFonts w:ascii="Calibri" w:hAnsi="Calibri" w:eastAsia="宋体" w:cs="Times New Roman"/>
          <w:sz w:val="24"/>
          <w:szCs w:val="24"/>
        </w:rPr>
        <w:t>或</w:t>
      </w:r>
      <w:r>
        <w:rPr>
          <w:rFonts w:hint="eastAsia" w:ascii="Calibri" w:hAnsi="Calibri" w:eastAsia="宋体" w:cs="Times New Roman"/>
          <w:sz w:val="24"/>
          <w:szCs w:val="24"/>
        </w:rPr>
        <w:t>印鉴）</w:t>
      </w:r>
      <w:r>
        <w:rPr>
          <w:rFonts w:ascii="Calibri" w:hAnsi="Calibri" w:eastAsia="宋体" w:cs="Times New Roman"/>
          <w:sz w:val="24"/>
          <w:szCs w:val="24"/>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，联系电话：</w:t>
      </w:r>
      <w:r>
        <w:rPr>
          <w:rFonts w:hint="eastAsia" w:ascii="Calibri" w:hAnsi="Calibri" w:eastAsia="宋体" w:cs="Times New Roman"/>
          <w:sz w:val="24"/>
          <w:szCs w:val="24"/>
          <w:u w:val="single"/>
        </w:rPr>
        <w:t xml:space="preserve">         </w:t>
      </w:r>
    </w:p>
    <w:p w14:paraId="5A5418F6">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委托代理</w:t>
      </w:r>
      <w:r>
        <w:rPr>
          <w:rFonts w:ascii="Calibri" w:hAnsi="Calibri" w:eastAsia="宋体" w:cs="Times New Roman"/>
          <w:sz w:val="24"/>
          <w:szCs w:val="24"/>
        </w:rPr>
        <w:t>人（签字</w:t>
      </w:r>
      <w:r>
        <w:rPr>
          <w:rFonts w:hint="eastAsia" w:ascii="Calibri" w:hAnsi="Calibri" w:eastAsia="宋体" w:cs="Times New Roman"/>
          <w:sz w:val="24"/>
          <w:szCs w:val="24"/>
        </w:rPr>
        <w:t>/签章</w:t>
      </w:r>
      <w:r>
        <w:rPr>
          <w:rFonts w:ascii="Calibri" w:hAnsi="Calibri" w:eastAsia="宋体" w:cs="Times New Roman"/>
          <w:sz w:val="24"/>
          <w:szCs w:val="24"/>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，联系电话：</w:t>
      </w:r>
      <w:r>
        <w:rPr>
          <w:rFonts w:hint="eastAsia" w:ascii="Calibri" w:hAnsi="Calibri" w:eastAsia="宋体" w:cs="Times New Roman"/>
          <w:sz w:val="24"/>
          <w:szCs w:val="24"/>
          <w:u w:val="single"/>
        </w:rPr>
        <w:t xml:space="preserve">               </w:t>
      </w:r>
    </w:p>
    <w:p w14:paraId="6E2CE339">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日期：    年     月     日</w:t>
      </w:r>
    </w:p>
    <w:p w14:paraId="7FCE2DAC">
      <w:pPr>
        <w:tabs>
          <w:tab w:val="left" w:pos="5580"/>
        </w:tabs>
        <w:spacing w:line="360" w:lineRule="auto"/>
        <w:ind w:firstLine="480"/>
        <w:rPr>
          <w:rFonts w:ascii="宋体" w:hAnsi="宋体" w:eastAsia="宋体" w:cs="Times New Roman"/>
          <w:color w:val="000000"/>
          <w:sz w:val="24"/>
          <w:szCs w:val="20"/>
        </w:rPr>
      </w:pPr>
    </w:p>
    <w:p w14:paraId="4C913849">
      <w:pPr>
        <w:tabs>
          <w:tab w:val="left" w:pos="5580"/>
        </w:tabs>
        <w:spacing w:line="360" w:lineRule="auto"/>
        <w:jc w:val="left"/>
        <w:rPr>
          <w:rFonts w:ascii="宋体" w:hAnsi="宋体" w:eastAsia="宋体" w:cs="Times New Roman"/>
          <w:color w:val="000000"/>
          <w:sz w:val="24"/>
          <w:szCs w:val="20"/>
        </w:rPr>
      </w:pPr>
      <w:r>
        <w:rPr>
          <w:rFonts w:ascii="宋体" w:hAnsi="宋体" w:eastAsia="宋体" w:cs="Times New Roman"/>
          <w:color w:val="000000"/>
          <w:sz w:val="24"/>
          <w:szCs w:val="20"/>
        </w:rPr>
        <w:t>法定代表人（单位负责人）有效期内的身份证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2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DD311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3AF3058F">
            <w:pPr>
              <w:tabs>
                <w:tab w:val="left" w:pos="5580"/>
              </w:tabs>
              <w:spacing w:line="360" w:lineRule="auto"/>
              <w:jc w:val="left"/>
              <w:rPr>
                <w:rFonts w:ascii="宋体" w:hAnsi="宋体" w:eastAsia="宋体" w:cs="Times New Roman"/>
                <w:color w:val="000000"/>
                <w:sz w:val="24"/>
                <w:szCs w:val="20"/>
              </w:rPr>
            </w:pPr>
          </w:p>
          <w:p w14:paraId="14C85924">
            <w:pPr>
              <w:tabs>
                <w:tab w:val="left" w:pos="5580"/>
              </w:tabs>
              <w:spacing w:line="360" w:lineRule="auto"/>
              <w:jc w:val="left"/>
              <w:rPr>
                <w:rFonts w:ascii="宋体" w:hAnsi="宋体" w:eastAsia="宋体" w:cs="Times New Roman"/>
                <w:color w:val="000000"/>
                <w:sz w:val="24"/>
                <w:szCs w:val="20"/>
              </w:rPr>
            </w:pPr>
          </w:p>
          <w:p w14:paraId="32EDEAD0">
            <w:pPr>
              <w:tabs>
                <w:tab w:val="left" w:pos="5580"/>
              </w:tabs>
              <w:spacing w:line="360" w:lineRule="auto"/>
              <w:jc w:val="left"/>
              <w:rPr>
                <w:rFonts w:ascii="宋体" w:hAnsi="宋体" w:eastAsia="宋体" w:cs="Times New Roman"/>
                <w:color w:val="000000"/>
                <w:sz w:val="24"/>
                <w:szCs w:val="20"/>
              </w:rPr>
            </w:pPr>
          </w:p>
        </w:tc>
        <w:tc>
          <w:tcPr>
            <w:tcW w:w="4536" w:type="dxa"/>
          </w:tcPr>
          <w:p w14:paraId="7DE71347">
            <w:pPr>
              <w:tabs>
                <w:tab w:val="left" w:pos="5580"/>
              </w:tabs>
              <w:spacing w:line="360" w:lineRule="auto"/>
              <w:jc w:val="left"/>
              <w:rPr>
                <w:rFonts w:ascii="宋体" w:hAnsi="宋体" w:eastAsia="宋体" w:cs="Times New Roman"/>
                <w:color w:val="000000"/>
                <w:sz w:val="24"/>
                <w:szCs w:val="20"/>
              </w:rPr>
            </w:pPr>
          </w:p>
          <w:p w14:paraId="0E0F77C3">
            <w:pPr>
              <w:tabs>
                <w:tab w:val="left" w:pos="5580"/>
              </w:tabs>
              <w:spacing w:line="360" w:lineRule="auto"/>
              <w:jc w:val="left"/>
              <w:rPr>
                <w:rFonts w:ascii="宋体" w:hAnsi="宋体" w:eastAsia="宋体" w:cs="Times New Roman"/>
                <w:color w:val="000000"/>
                <w:sz w:val="24"/>
                <w:szCs w:val="20"/>
              </w:rPr>
            </w:pPr>
          </w:p>
          <w:p w14:paraId="1D5B80B2">
            <w:pPr>
              <w:tabs>
                <w:tab w:val="left" w:pos="5580"/>
              </w:tabs>
              <w:spacing w:line="360" w:lineRule="auto"/>
              <w:jc w:val="left"/>
              <w:rPr>
                <w:rFonts w:ascii="宋体" w:hAnsi="宋体" w:eastAsia="宋体" w:cs="Times New Roman"/>
                <w:color w:val="000000"/>
                <w:sz w:val="24"/>
                <w:szCs w:val="20"/>
              </w:rPr>
            </w:pPr>
          </w:p>
        </w:tc>
      </w:tr>
    </w:tbl>
    <w:p w14:paraId="74B7D98F">
      <w:pPr>
        <w:tabs>
          <w:tab w:val="left" w:pos="5580"/>
        </w:tabs>
        <w:spacing w:line="360" w:lineRule="auto"/>
        <w:jc w:val="left"/>
        <w:rPr>
          <w:rFonts w:ascii="宋体" w:hAnsi="宋体" w:eastAsia="宋体" w:cs="Times New Roman"/>
          <w:color w:val="000000"/>
          <w:sz w:val="24"/>
          <w:szCs w:val="20"/>
        </w:rPr>
      </w:pPr>
      <w:r>
        <w:rPr>
          <w:rFonts w:hint="eastAsia" w:ascii="宋体" w:hAnsi="宋体" w:eastAsia="宋体" w:cs="Times New Roman"/>
          <w:color w:val="000000"/>
          <w:sz w:val="24"/>
          <w:szCs w:val="20"/>
        </w:rPr>
        <w:t>委托代理人</w:t>
      </w:r>
      <w:r>
        <w:rPr>
          <w:rFonts w:ascii="宋体" w:hAnsi="宋体" w:eastAsia="宋体" w:cs="Times New Roman"/>
          <w:color w:val="000000"/>
          <w:sz w:val="24"/>
          <w:szCs w:val="20"/>
        </w:rPr>
        <w:t>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2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466B2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718CAFDB">
            <w:pPr>
              <w:tabs>
                <w:tab w:val="left" w:pos="5580"/>
              </w:tabs>
              <w:spacing w:line="360" w:lineRule="auto"/>
              <w:jc w:val="left"/>
              <w:rPr>
                <w:rFonts w:ascii="宋体" w:hAnsi="宋体" w:eastAsia="宋体" w:cs="Times New Roman"/>
                <w:color w:val="000000"/>
                <w:sz w:val="24"/>
                <w:szCs w:val="20"/>
              </w:rPr>
            </w:pPr>
          </w:p>
          <w:p w14:paraId="7A172E48">
            <w:pPr>
              <w:tabs>
                <w:tab w:val="left" w:pos="5580"/>
              </w:tabs>
              <w:spacing w:line="360" w:lineRule="auto"/>
              <w:jc w:val="left"/>
              <w:rPr>
                <w:rFonts w:ascii="宋体" w:hAnsi="宋体" w:eastAsia="宋体" w:cs="Times New Roman"/>
                <w:color w:val="000000"/>
                <w:sz w:val="24"/>
                <w:szCs w:val="20"/>
              </w:rPr>
            </w:pPr>
          </w:p>
          <w:p w14:paraId="215FBFE1">
            <w:pPr>
              <w:tabs>
                <w:tab w:val="left" w:pos="5580"/>
              </w:tabs>
              <w:spacing w:line="360" w:lineRule="auto"/>
              <w:jc w:val="left"/>
              <w:rPr>
                <w:rFonts w:ascii="宋体" w:hAnsi="宋体" w:eastAsia="宋体" w:cs="Times New Roman"/>
                <w:color w:val="000000"/>
                <w:sz w:val="24"/>
                <w:szCs w:val="20"/>
              </w:rPr>
            </w:pPr>
          </w:p>
        </w:tc>
        <w:tc>
          <w:tcPr>
            <w:tcW w:w="4536" w:type="dxa"/>
          </w:tcPr>
          <w:p w14:paraId="157B8635">
            <w:pPr>
              <w:tabs>
                <w:tab w:val="left" w:pos="5580"/>
              </w:tabs>
              <w:spacing w:line="360" w:lineRule="auto"/>
              <w:jc w:val="left"/>
              <w:rPr>
                <w:rFonts w:ascii="宋体" w:hAnsi="宋体" w:eastAsia="宋体" w:cs="Times New Roman"/>
                <w:color w:val="000000"/>
                <w:sz w:val="24"/>
                <w:szCs w:val="20"/>
              </w:rPr>
            </w:pPr>
          </w:p>
          <w:p w14:paraId="068EBCF7">
            <w:pPr>
              <w:tabs>
                <w:tab w:val="left" w:pos="5580"/>
              </w:tabs>
              <w:spacing w:line="360" w:lineRule="auto"/>
              <w:jc w:val="left"/>
              <w:rPr>
                <w:rFonts w:ascii="宋体" w:hAnsi="宋体" w:eastAsia="宋体" w:cs="Times New Roman"/>
                <w:color w:val="000000"/>
                <w:sz w:val="24"/>
                <w:szCs w:val="20"/>
              </w:rPr>
            </w:pPr>
          </w:p>
          <w:p w14:paraId="13B97D45">
            <w:pPr>
              <w:tabs>
                <w:tab w:val="left" w:pos="5580"/>
              </w:tabs>
              <w:spacing w:line="360" w:lineRule="auto"/>
              <w:jc w:val="left"/>
              <w:rPr>
                <w:rFonts w:ascii="宋体" w:hAnsi="宋体" w:eastAsia="宋体" w:cs="Times New Roman"/>
                <w:color w:val="000000"/>
                <w:sz w:val="24"/>
                <w:szCs w:val="20"/>
              </w:rPr>
            </w:pPr>
          </w:p>
        </w:tc>
      </w:tr>
    </w:tbl>
    <w:p w14:paraId="30BBFA33">
      <w:pPr>
        <w:tabs>
          <w:tab w:val="left" w:pos="5580"/>
        </w:tabs>
        <w:spacing w:line="360" w:lineRule="auto"/>
        <w:jc w:val="left"/>
        <w:rPr>
          <w:rFonts w:ascii="Calibri" w:hAnsi="Calibri" w:eastAsia="宋体" w:cs="Times New Roman"/>
          <w:sz w:val="24"/>
          <w:szCs w:val="24"/>
        </w:rPr>
      </w:pPr>
      <w:r>
        <w:rPr>
          <w:rFonts w:hint="eastAsia" w:ascii="Calibri" w:hAnsi="Calibri" w:eastAsia="宋体" w:cs="Times New Roman"/>
          <w:sz w:val="24"/>
          <w:szCs w:val="24"/>
        </w:rPr>
        <w:t>填报说明</w:t>
      </w:r>
      <w:r>
        <w:rPr>
          <w:rFonts w:ascii="Calibri" w:hAnsi="Calibri" w:eastAsia="宋体" w:cs="Times New Roman"/>
          <w:sz w:val="24"/>
          <w:szCs w:val="24"/>
        </w:rPr>
        <w:t>：</w:t>
      </w:r>
    </w:p>
    <w:p w14:paraId="3F5256E6">
      <w:pPr>
        <w:tabs>
          <w:tab w:val="left" w:pos="5580"/>
        </w:tabs>
        <w:spacing w:line="360" w:lineRule="auto"/>
        <w:ind w:firstLine="480"/>
        <w:jc w:val="left"/>
        <w:rPr>
          <w:rFonts w:ascii="Calibri" w:hAnsi="Calibri" w:eastAsia="宋体" w:cs="Times New Roman"/>
          <w:sz w:val="24"/>
          <w:szCs w:val="24"/>
        </w:rPr>
      </w:pPr>
      <w:r>
        <w:rPr>
          <w:rFonts w:ascii="Calibri" w:hAnsi="Calibri" w:eastAsia="宋体" w:cs="Times New Roman"/>
          <w:sz w:val="24"/>
          <w:szCs w:val="24"/>
        </w:rPr>
        <w:t>1、若供应商为事业单位或其他组织或分支机构（仅当</w:t>
      </w:r>
      <w:r>
        <w:rPr>
          <w:rFonts w:hint="eastAsia" w:ascii="Calibri" w:hAnsi="Calibri" w:eastAsia="宋体" w:cs="Times New Roman"/>
          <w:sz w:val="24"/>
          <w:szCs w:val="24"/>
        </w:rPr>
        <w:t>招标</w:t>
      </w:r>
      <w:r>
        <w:rPr>
          <w:rFonts w:ascii="Calibri" w:hAnsi="Calibri" w:eastAsia="宋体" w:cs="Times New Roman"/>
          <w:sz w:val="24"/>
          <w:szCs w:val="24"/>
        </w:rPr>
        <w:t>文件注明允许分支机构</w:t>
      </w:r>
      <w:r>
        <w:rPr>
          <w:rFonts w:hint="eastAsia" w:ascii="Calibri" w:hAnsi="Calibri" w:eastAsia="宋体" w:cs="Times New Roman"/>
          <w:sz w:val="24"/>
          <w:szCs w:val="24"/>
        </w:rPr>
        <w:t>投标</w:t>
      </w:r>
      <w:r>
        <w:rPr>
          <w:rFonts w:ascii="Calibri" w:hAnsi="Calibri" w:eastAsia="宋体" w:cs="Times New Roman"/>
          <w:sz w:val="24"/>
          <w:szCs w:val="24"/>
        </w:rPr>
        <w:t>的），则法定代表人（单位负责人）</w:t>
      </w:r>
      <w:r>
        <w:rPr>
          <w:rFonts w:hint="eastAsia" w:ascii="Calibri" w:hAnsi="Calibri" w:eastAsia="宋体" w:cs="Times New Roman"/>
          <w:sz w:val="24"/>
          <w:szCs w:val="24"/>
        </w:rPr>
        <w:t>处</w:t>
      </w:r>
      <w:r>
        <w:rPr>
          <w:rFonts w:ascii="Calibri" w:hAnsi="Calibri" w:eastAsia="宋体" w:cs="Times New Roman"/>
          <w:sz w:val="24"/>
          <w:szCs w:val="24"/>
        </w:rPr>
        <w:t>的签署人可为单位负责人</w:t>
      </w:r>
      <w:r>
        <w:rPr>
          <w:rFonts w:hint="eastAsia" w:ascii="Calibri" w:hAnsi="Calibri" w:eastAsia="宋体" w:cs="Times New Roman"/>
          <w:sz w:val="24"/>
          <w:szCs w:val="24"/>
        </w:rPr>
        <w:t>。</w:t>
      </w:r>
    </w:p>
    <w:p w14:paraId="2041A2D8">
      <w:pPr>
        <w:tabs>
          <w:tab w:val="left" w:pos="5580"/>
        </w:tabs>
        <w:spacing w:line="360" w:lineRule="auto"/>
        <w:ind w:firstLine="480"/>
        <w:jc w:val="left"/>
        <w:rPr>
          <w:rFonts w:ascii="Calibri" w:hAnsi="Calibri" w:eastAsia="宋体" w:cs="Times New Roman"/>
          <w:sz w:val="24"/>
          <w:szCs w:val="24"/>
        </w:rPr>
      </w:pPr>
      <w:r>
        <w:rPr>
          <w:rFonts w:hint="eastAsia" w:ascii="Calibri" w:hAnsi="Calibri" w:eastAsia="宋体" w:cs="Times New Roman"/>
          <w:sz w:val="24"/>
          <w:szCs w:val="24"/>
        </w:rPr>
        <w:t>2、</w:t>
      </w:r>
      <w:r>
        <w:rPr>
          <w:rFonts w:ascii="Calibri" w:hAnsi="Calibri" w:eastAsia="宋体" w:cs="Times New Roman"/>
          <w:sz w:val="24"/>
          <w:szCs w:val="24"/>
        </w:rPr>
        <w:t>若</w:t>
      </w:r>
      <w:r>
        <w:rPr>
          <w:rFonts w:hint="eastAsia" w:ascii="Calibri" w:hAnsi="Calibri" w:eastAsia="宋体" w:cs="Times New Roman"/>
          <w:sz w:val="24"/>
          <w:szCs w:val="24"/>
        </w:rPr>
        <w:t>投标</w:t>
      </w:r>
      <w:r>
        <w:rPr>
          <w:rFonts w:ascii="Calibri" w:hAnsi="Calibri" w:eastAsia="宋体" w:cs="Times New Roman"/>
          <w:sz w:val="24"/>
          <w:szCs w:val="24"/>
        </w:rPr>
        <w:t>文件中全部签字之处均为法定代表人（单位负责人）本人签署，则可不提供本《</w:t>
      </w:r>
      <w:r>
        <w:rPr>
          <w:rFonts w:hint="eastAsia" w:ascii="Calibri" w:hAnsi="Calibri" w:eastAsia="宋体" w:cs="Times New Roman"/>
          <w:sz w:val="24"/>
          <w:szCs w:val="24"/>
        </w:rPr>
        <w:t>授权委托书</w:t>
      </w:r>
      <w:r>
        <w:rPr>
          <w:rFonts w:ascii="Calibri" w:hAnsi="Calibri" w:eastAsia="宋体" w:cs="Times New Roman"/>
          <w:sz w:val="24"/>
          <w:szCs w:val="24"/>
        </w:rPr>
        <w:t>》，但须提供</w:t>
      </w:r>
      <w:r>
        <w:rPr>
          <w:rFonts w:hint="eastAsia" w:ascii="Calibri" w:hAnsi="Calibri" w:eastAsia="宋体" w:cs="Times New Roman"/>
          <w:sz w:val="24"/>
          <w:szCs w:val="24"/>
        </w:rPr>
        <w:t>《</w:t>
      </w:r>
      <w:r>
        <w:rPr>
          <w:rFonts w:ascii="Calibri" w:hAnsi="Calibri" w:eastAsia="宋体" w:cs="Times New Roman"/>
          <w:sz w:val="24"/>
          <w:szCs w:val="24"/>
        </w:rPr>
        <w:t>法定代表人（单位负责人）身份证</w:t>
      </w:r>
      <w:r>
        <w:rPr>
          <w:rFonts w:hint="eastAsia" w:ascii="Calibri" w:hAnsi="Calibri" w:eastAsia="宋体" w:cs="Times New Roman"/>
          <w:sz w:val="24"/>
          <w:szCs w:val="24"/>
        </w:rPr>
        <w:t>明》</w:t>
      </w:r>
      <w:r>
        <w:rPr>
          <w:rFonts w:ascii="Calibri" w:hAnsi="Calibri" w:eastAsia="宋体" w:cs="Times New Roman"/>
          <w:sz w:val="24"/>
          <w:szCs w:val="24"/>
        </w:rPr>
        <w:t>。</w:t>
      </w:r>
    </w:p>
    <w:p w14:paraId="54C47F24">
      <w:pPr>
        <w:tabs>
          <w:tab w:val="left" w:pos="5580"/>
        </w:tabs>
        <w:spacing w:line="360" w:lineRule="auto"/>
        <w:ind w:firstLine="480"/>
        <w:jc w:val="left"/>
        <w:rPr>
          <w:rFonts w:ascii="Calibri" w:hAnsi="Calibri" w:eastAsia="宋体" w:cs="Times New Roman"/>
          <w:sz w:val="24"/>
          <w:szCs w:val="24"/>
        </w:rPr>
      </w:pPr>
      <w:r>
        <w:rPr>
          <w:rFonts w:ascii="Calibri" w:hAnsi="Calibri" w:eastAsia="宋体" w:cs="Times New Roman"/>
          <w:sz w:val="24"/>
          <w:szCs w:val="24"/>
        </w:rPr>
        <w:t>3、</w:t>
      </w:r>
      <w:r>
        <w:rPr>
          <w:rFonts w:hint="eastAsia" w:ascii="Calibri" w:hAnsi="Calibri" w:eastAsia="宋体" w:cs="Times New Roman"/>
          <w:sz w:val="24"/>
          <w:szCs w:val="24"/>
        </w:rPr>
        <w:t>供应商为自然人的情形，可不提供本</w:t>
      </w:r>
      <w:r>
        <w:rPr>
          <w:rFonts w:ascii="Calibri" w:hAnsi="Calibri" w:eastAsia="宋体" w:cs="Times New Roman"/>
          <w:sz w:val="24"/>
          <w:szCs w:val="24"/>
        </w:rPr>
        <w:t>《</w:t>
      </w:r>
      <w:r>
        <w:rPr>
          <w:rFonts w:hint="eastAsia" w:ascii="Calibri" w:hAnsi="Calibri" w:eastAsia="宋体" w:cs="Times New Roman"/>
          <w:sz w:val="24"/>
          <w:szCs w:val="24"/>
        </w:rPr>
        <w:t>授权委托书</w:t>
      </w:r>
      <w:r>
        <w:rPr>
          <w:rFonts w:ascii="Calibri" w:hAnsi="Calibri" w:eastAsia="宋体" w:cs="Times New Roman"/>
          <w:sz w:val="24"/>
          <w:szCs w:val="24"/>
        </w:rPr>
        <w:t>》</w:t>
      </w:r>
      <w:r>
        <w:rPr>
          <w:rFonts w:hint="eastAsia" w:ascii="Calibri" w:hAnsi="Calibri" w:eastAsia="宋体" w:cs="Times New Roman"/>
          <w:sz w:val="24"/>
          <w:szCs w:val="24"/>
        </w:rPr>
        <w:t>。</w:t>
      </w:r>
    </w:p>
    <w:p w14:paraId="4840E0E7">
      <w:pPr>
        <w:tabs>
          <w:tab w:val="left" w:pos="5580"/>
        </w:tabs>
        <w:spacing w:line="360" w:lineRule="auto"/>
        <w:ind w:firstLine="480"/>
        <w:jc w:val="left"/>
        <w:rPr>
          <w:sz w:val="24"/>
          <w:szCs w:val="24"/>
        </w:rPr>
      </w:pPr>
      <w:r>
        <w:rPr>
          <w:rFonts w:hint="eastAsia" w:ascii="Calibri" w:hAnsi="Calibri" w:eastAsia="宋体" w:cs="Times New Roman"/>
          <w:sz w:val="24"/>
          <w:szCs w:val="24"/>
        </w:rPr>
        <w:t>4.</w:t>
      </w:r>
      <w:r>
        <w:rPr>
          <w:rFonts w:hint="eastAsia"/>
          <w:sz w:val="24"/>
          <w:szCs w:val="24"/>
        </w:rPr>
        <w:t xml:space="preserve"> 请供应商如实填写联系方式并在评审过程中保持联系方式畅通，评审过程中如联系不上，由供应商承担一切不利后果。</w:t>
      </w:r>
    </w:p>
    <w:p w14:paraId="0A22EE51">
      <w:pPr>
        <w:tabs>
          <w:tab w:val="left" w:pos="5580"/>
        </w:tabs>
        <w:spacing w:line="360" w:lineRule="auto"/>
        <w:ind w:firstLine="480"/>
        <w:jc w:val="left"/>
        <w:rPr>
          <w:sz w:val="24"/>
          <w:szCs w:val="24"/>
        </w:rPr>
      </w:pPr>
    </w:p>
    <w:p w14:paraId="75DA980D">
      <w:pPr>
        <w:tabs>
          <w:tab w:val="left" w:pos="5580"/>
        </w:tabs>
        <w:spacing w:line="360" w:lineRule="auto"/>
        <w:ind w:firstLine="480"/>
        <w:jc w:val="left"/>
        <w:rPr>
          <w:rFonts w:ascii="Calibri" w:hAnsi="Calibri" w:eastAsia="宋体" w:cs="Times New Roman"/>
          <w:sz w:val="24"/>
          <w:szCs w:val="24"/>
        </w:rPr>
      </w:pPr>
    </w:p>
    <w:p w14:paraId="44B032C8">
      <w:pPr>
        <w:spacing w:line="360" w:lineRule="exact"/>
        <w:jc w:val="center"/>
        <w:rPr>
          <w:rFonts w:ascii="宋体" w:hAnsi="宋体" w:eastAsia="宋体" w:cs="Times New Roman"/>
          <w:b/>
          <w:color w:val="000000"/>
          <w:sz w:val="36"/>
          <w:szCs w:val="36"/>
        </w:rPr>
      </w:pPr>
      <w:r>
        <w:rPr>
          <w:rFonts w:ascii="宋体" w:hAnsi="宋体" w:eastAsia="宋体" w:cs="Times New Roman"/>
          <w:b/>
          <w:color w:val="000000"/>
          <w:sz w:val="36"/>
          <w:szCs w:val="36"/>
        </w:rPr>
        <w:t>法定代表人（单位负责人）身份证明</w:t>
      </w:r>
    </w:p>
    <w:p w14:paraId="1CDF443E">
      <w:pPr>
        <w:spacing w:line="200" w:lineRule="exact"/>
        <w:rPr>
          <w:rFonts w:ascii="宋体" w:hAnsi="宋体" w:eastAsia="宋体" w:cs="Times New Roman"/>
          <w:sz w:val="20"/>
          <w:szCs w:val="20"/>
        </w:rPr>
      </w:pPr>
    </w:p>
    <w:p w14:paraId="3F74A2CB">
      <w:pPr>
        <w:tabs>
          <w:tab w:val="left" w:pos="5580"/>
        </w:tabs>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t>致：</w:t>
      </w:r>
      <w:r>
        <w:rPr>
          <w:rFonts w:hint="eastAsia" w:ascii="Times New Roman" w:hAnsi="Times New Roman" w:eastAsia="宋体" w:cs="Times New Roman"/>
          <w:sz w:val="24"/>
          <w:szCs w:val="24"/>
          <w:u w:val="single"/>
        </w:rPr>
        <w:t xml:space="preserve"> 采购单位 </w:t>
      </w:r>
    </w:p>
    <w:p w14:paraId="5B699EAA">
      <w:pPr>
        <w:tabs>
          <w:tab w:val="left" w:pos="567"/>
          <w:tab w:val="left" w:pos="2412"/>
          <w:tab w:val="left" w:pos="3883"/>
          <w:tab w:val="left" w:pos="5352"/>
          <w:tab w:val="left" w:pos="6821"/>
        </w:tabs>
        <w:spacing w:before="120" w:line="360" w:lineRule="auto"/>
        <w:ind w:firstLine="480"/>
        <w:rPr>
          <w:rFonts w:ascii="宋体" w:hAnsi="宋体" w:eastAsia="宋体" w:cs="Times New Roman"/>
          <w:sz w:val="24"/>
          <w:szCs w:val="24"/>
        </w:rPr>
      </w:pPr>
    </w:p>
    <w:p w14:paraId="02E39397">
      <w:pPr>
        <w:tabs>
          <w:tab w:val="left" w:pos="567"/>
          <w:tab w:val="left" w:pos="2412"/>
          <w:tab w:val="left" w:pos="3883"/>
          <w:tab w:val="left" w:pos="5352"/>
          <w:tab w:val="left" w:pos="6821"/>
        </w:tabs>
        <w:spacing w:before="120" w:line="360" w:lineRule="auto"/>
        <w:ind w:firstLine="480"/>
        <w:rPr>
          <w:rFonts w:ascii="宋体" w:hAnsi="宋体" w:eastAsia="宋体" w:cs="Times New Roman"/>
          <w:sz w:val="24"/>
          <w:szCs w:val="24"/>
        </w:rPr>
      </w:pPr>
      <w:r>
        <w:rPr>
          <w:rFonts w:hint="eastAsia" w:ascii="宋体" w:hAnsi="宋体" w:eastAsia="宋体" w:cs="Times New Roman"/>
          <w:sz w:val="24"/>
          <w:szCs w:val="24"/>
        </w:rPr>
        <w:t>兹证明，</w:t>
      </w:r>
      <w:r>
        <w:rPr>
          <w:rFonts w:ascii="宋体" w:hAnsi="宋体" w:eastAsia="宋体" w:cs="Times New Roman"/>
          <w:sz w:val="24"/>
          <w:szCs w:val="24"/>
        </w:rPr>
        <w:t>姓名</w:t>
      </w:r>
      <w:r>
        <w:rPr>
          <w:rFonts w:hint="eastAsia" w:ascii="宋体" w:hAnsi="宋体" w:eastAsia="宋体" w:cs="Times New Roman"/>
          <w:sz w:val="24"/>
          <w:szCs w:val="24"/>
        </w:rPr>
        <w:t>：</w:t>
      </w:r>
      <w:r>
        <w:rPr>
          <w:rFonts w:hint="eastAsia" w:ascii="宋体" w:hAnsi="宋体" w:eastAsia="宋体" w:cs="Times New Roman"/>
          <w:sz w:val="24"/>
          <w:szCs w:val="24"/>
          <w:u w:val="single"/>
        </w:rPr>
        <w:t xml:space="preserve">        </w:t>
      </w:r>
      <w:r>
        <w:rPr>
          <w:rFonts w:ascii="宋体" w:hAnsi="宋体" w:eastAsia="宋体" w:cs="Times New Roman"/>
          <w:sz w:val="24"/>
          <w:szCs w:val="24"/>
        </w:rPr>
        <w:t>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职务：</w:t>
      </w:r>
      <w:r>
        <w:rPr>
          <w:rFonts w:hint="eastAsia" w:ascii="宋体" w:hAnsi="宋体" w:eastAsia="宋体" w:cs="Times New Roman"/>
          <w:sz w:val="24"/>
          <w:szCs w:val="24"/>
          <w:u w:val="single"/>
        </w:rPr>
        <w:t xml:space="preserve">        </w:t>
      </w:r>
      <w:r>
        <w:rPr>
          <w:rFonts w:ascii="宋体" w:hAnsi="宋体" w:eastAsia="宋体" w:cs="Times New Roman"/>
          <w:sz w:val="24"/>
          <w:szCs w:val="24"/>
        </w:rPr>
        <w:t>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投标人</w:t>
      </w:r>
      <w:r>
        <w:rPr>
          <w:rFonts w:ascii="Calibri" w:hAnsi="Calibri" w:eastAsia="宋体" w:cs="Times New Roman"/>
          <w:sz w:val="24"/>
          <w:szCs w:val="24"/>
          <w:u w:val="single"/>
        </w:rPr>
        <w:t>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的法定代表人（单位负责人）。</w:t>
      </w:r>
    </w:p>
    <w:p w14:paraId="1E4541E9">
      <w:pPr>
        <w:tabs>
          <w:tab w:val="left" w:pos="567"/>
          <w:tab w:val="left" w:pos="2412"/>
          <w:tab w:val="left" w:pos="3883"/>
          <w:tab w:val="left" w:pos="5352"/>
          <w:tab w:val="left" w:pos="6821"/>
        </w:tabs>
        <w:spacing w:before="120" w:line="335" w:lineRule="exact"/>
        <w:rPr>
          <w:rFonts w:ascii="宋体" w:hAnsi="宋体" w:eastAsia="宋体" w:cs="Times New Roman"/>
          <w:sz w:val="24"/>
          <w:szCs w:val="24"/>
        </w:rPr>
      </w:pPr>
    </w:p>
    <w:p w14:paraId="7F85A04D">
      <w:pPr>
        <w:tabs>
          <w:tab w:val="left" w:pos="567"/>
        </w:tabs>
        <w:spacing w:before="120" w:line="583" w:lineRule="auto"/>
        <w:ind w:right="-46"/>
        <w:rPr>
          <w:rFonts w:ascii="宋体" w:hAnsi="宋体" w:eastAsia="宋体" w:cs="Times New Roman"/>
          <w:spacing w:val="-3"/>
          <w:sz w:val="24"/>
          <w:szCs w:val="24"/>
        </w:rPr>
      </w:pPr>
      <w:r>
        <w:rPr>
          <w:rFonts w:ascii="宋体" w:hAnsi="宋体" w:eastAsia="宋体" w:cs="Times New Roman"/>
          <w:sz w:val="24"/>
          <w:szCs w:val="24"/>
        </w:rPr>
        <w:t>附：</w:t>
      </w:r>
      <w:r>
        <w:rPr>
          <w:rFonts w:ascii="宋体" w:hAnsi="宋体" w:eastAsia="宋体" w:cs="Times New Roman"/>
          <w:spacing w:val="-3"/>
          <w:sz w:val="24"/>
          <w:szCs w:val="24"/>
        </w:rPr>
        <w:t>法</w:t>
      </w:r>
      <w:r>
        <w:rPr>
          <w:rFonts w:ascii="宋体" w:hAnsi="宋体" w:eastAsia="宋体" w:cs="Times New Roman"/>
          <w:sz w:val="24"/>
          <w:szCs w:val="24"/>
        </w:rPr>
        <w:t>定</w:t>
      </w:r>
      <w:r>
        <w:rPr>
          <w:rFonts w:ascii="宋体" w:hAnsi="宋体" w:eastAsia="宋体" w:cs="Times New Roman"/>
          <w:spacing w:val="-3"/>
          <w:sz w:val="24"/>
          <w:szCs w:val="24"/>
        </w:rPr>
        <w:t>代</w:t>
      </w:r>
      <w:r>
        <w:rPr>
          <w:rFonts w:ascii="宋体" w:hAnsi="宋体" w:eastAsia="宋体" w:cs="Times New Roman"/>
          <w:sz w:val="24"/>
          <w:szCs w:val="24"/>
        </w:rPr>
        <w:t>表</w:t>
      </w:r>
      <w:r>
        <w:rPr>
          <w:rFonts w:ascii="宋体" w:hAnsi="宋体" w:eastAsia="宋体" w:cs="Times New Roman"/>
          <w:spacing w:val="-3"/>
          <w:sz w:val="24"/>
          <w:szCs w:val="24"/>
        </w:rPr>
        <w:t>人</w:t>
      </w:r>
      <w:r>
        <w:rPr>
          <w:rFonts w:ascii="宋体" w:hAnsi="宋体" w:eastAsia="宋体" w:cs="Times New Roman"/>
          <w:sz w:val="24"/>
          <w:szCs w:val="24"/>
        </w:rPr>
        <w:t>（</w:t>
      </w:r>
      <w:r>
        <w:rPr>
          <w:rFonts w:ascii="宋体" w:hAnsi="宋体" w:eastAsia="宋体" w:cs="Times New Roman"/>
          <w:spacing w:val="-3"/>
          <w:sz w:val="24"/>
          <w:szCs w:val="24"/>
        </w:rPr>
        <w:t>单</w:t>
      </w:r>
      <w:r>
        <w:rPr>
          <w:rFonts w:ascii="宋体" w:hAnsi="宋体" w:eastAsia="宋体" w:cs="Times New Roman"/>
          <w:sz w:val="24"/>
          <w:szCs w:val="24"/>
        </w:rPr>
        <w:t>位</w:t>
      </w:r>
      <w:r>
        <w:rPr>
          <w:rFonts w:ascii="宋体" w:hAnsi="宋体" w:eastAsia="宋体" w:cs="Times New Roman"/>
          <w:spacing w:val="-3"/>
          <w:sz w:val="24"/>
          <w:szCs w:val="24"/>
        </w:rPr>
        <w:t>负</w:t>
      </w:r>
      <w:r>
        <w:rPr>
          <w:rFonts w:ascii="宋体" w:hAnsi="宋体" w:eastAsia="宋体" w:cs="Times New Roman"/>
          <w:sz w:val="24"/>
          <w:szCs w:val="24"/>
        </w:rPr>
        <w:t>责人</w:t>
      </w:r>
      <w:r>
        <w:rPr>
          <w:rFonts w:ascii="宋体" w:hAnsi="宋体" w:eastAsia="宋体" w:cs="Times New Roman"/>
          <w:spacing w:val="-3"/>
          <w:sz w:val="24"/>
          <w:szCs w:val="24"/>
        </w:rPr>
        <w:t>）有效期内的身</w:t>
      </w:r>
      <w:r>
        <w:rPr>
          <w:rFonts w:hint="eastAsia" w:ascii="宋体" w:hAnsi="宋体" w:eastAsia="宋体" w:cs="Times New Roman"/>
          <w:spacing w:val="-3"/>
          <w:sz w:val="24"/>
          <w:szCs w:val="24"/>
        </w:rPr>
        <w:t>份</w:t>
      </w:r>
      <w:r>
        <w:rPr>
          <w:rFonts w:ascii="宋体" w:hAnsi="宋体" w:eastAsia="宋体" w:cs="Times New Roman"/>
          <w:spacing w:val="-3"/>
          <w:sz w:val="24"/>
          <w:szCs w:val="24"/>
        </w:rPr>
        <w:t>证正反面</w:t>
      </w:r>
      <w:r>
        <w:rPr>
          <w:rFonts w:hint="eastAsia" w:ascii="宋体" w:hAnsi="宋体" w:eastAsia="宋体" w:cs="Times New Roman"/>
          <w:spacing w:val="-3"/>
          <w:sz w:val="24"/>
          <w:szCs w:val="24"/>
        </w:rPr>
        <w:t>电子</w:t>
      </w:r>
      <w:r>
        <w:rPr>
          <w:rFonts w:ascii="宋体" w:hAnsi="宋体" w:eastAsia="宋体" w:cs="Times New Roman"/>
          <w:spacing w:val="-3"/>
          <w:sz w:val="24"/>
          <w:szCs w:val="24"/>
        </w:rPr>
        <w:t>件</w:t>
      </w:r>
      <w:r>
        <w:rPr>
          <w:rFonts w:hint="eastAsia" w:ascii="宋体" w:hAnsi="宋体" w:eastAsia="宋体" w:cs="Times New Roman"/>
          <w:spacing w:val="-3"/>
          <w:sz w:val="24"/>
          <w:szCs w:val="24"/>
        </w:rPr>
        <w:t>。</w:t>
      </w:r>
    </w:p>
    <w:tbl>
      <w:tblPr>
        <w:tblStyle w:val="2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4B797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7669D629">
            <w:pPr>
              <w:tabs>
                <w:tab w:val="left" w:pos="5580"/>
              </w:tabs>
              <w:spacing w:line="360" w:lineRule="auto"/>
              <w:jc w:val="left"/>
              <w:rPr>
                <w:rFonts w:ascii="宋体" w:hAnsi="宋体" w:eastAsia="宋体" w:cs="Times New Roman"/>
                <w:color w:val="000000"/>
                <w:sz w:val="24"/>
                <w:szCs w:val="20"/>
              </w:rPr>
            </w:pPr>
          </w:p>
          <w:p w14:paraId="1D3E805D">
            <w:pPr>
              <w:tabs>
                <w:tab w:val="left" w:pos="5580"/>
              </w:tabs>
              <w:spacing w:line="360" w:lineRule="auto"/>
              <w:jc w:val="left"/>
              <w:rPr>
                <w:rFonts w:ascii="宋体" w:hAnsi="宋体" w:eastAsia="宋体" w:cs="Times New Roman"/>
                <w:color w:val="000000"/>
                <w:sz w:val="24"/>
                <w:szCs w:val="20"/>
              </w:rPr>
            </w:pPr>
          </w:p>
          <w:p w14:paraId="1DD526FA">
            <w:pPr>
              <w:tabs>
                <w:tab w:val="left" w:pos="5580"/>
              </w:tabs>
              <w:spacing w:line="360" w:lineRule="auto"/>
              <w:jc w:val="left"/>
              <w:rPr>
                <w:rFonts w:ascii="宋体" w:hAnsi="宋体" w:eastAsia="宋体" w:cs="Times New Roman"/>
                <w:color w:val="000000"/>
                <w:sz w:val="24"/>
                <w:szCs w:val="20"/>
              </w:rPr>
            </w:pPr>
          </w:p>
        </w:tc>
        <w:tc>
          <w:tcPr>
            <w:tcW w:w="4536" w:type="dxa"/>
          </w:tcPr>
          <w:p w14:paraId="50428110">
            <w:pPr>
              <w:tabs>
                <w:tab w:val="left" w:pos="5580"/>
              </w:tabs>
              <w:spacing w:line="360" w:lineRule="auto"/>
              <w:jc w:val="left"/>
              <w:rPr>
                <w:rFonts w:ascii="宋体" w:hAnsi="宋体" w:eastAsia="宋体" w:cs="Times New Roman"/>
                <w:color w:val="000000"/>
                <w:sz w:val="24"/>
                <w:szCs w:val="20"/>
              </w:rPr>
            </w:pPr>
          </w:p>
          <w:p w14:paraId="33CB3BD8">
            <w:pPr>
              <w:tabs>
                <w:tab w:val="left" w:pos="5580"/>
              </w:tabs>
              <w:spacing w:line="360" w:lineRule="auto"/>
              <w:jc w:val="left"/>
              <w:rPr>
                <w:rFonts w:ascii="宋体" w:hAnsi="宋体" w:eastAsia="宋体" w:cs="Times New Roman"/>
                <w:color w:val="000000"/>
                <w:sz w:val="24"/>
                <w:szCs w:val="20"/>
              </w:rPr>
            </w:pPr>
          </w:p>
          <w:p w14:paraId="7159A58C">
            <w:pPr>
              <w:tabs>
                <w:tab w:val="left" w:pos="5580"/>
              </w:tabs>
              <w:spacing w:line="360" w:lineRule="auto"/>
              <w:jc w:val="left"/>
              <w:rPr>
                <w:rFonts w:ascii="宋体" w:hAnsi="宋体" w:eastAsia="宋体" w:cs="Times New Roman"/>
                <w:color w:val="000000"/>
                <w:sz w:val="24"/>
                <w:szCs w:val="20"/>
              </w:rPr>
            </w:pPr>
          </w:p>
        </w:tc>
      </w:tr>
    </w:tbl>
    <w:p w14:paraId="70D013BE">
      <w:pPr>
        <w:tabs>
          <w:tab w:val="left" w:pos="567"/>
        </w:tabs>
        <w:spacing w:before="120" w:line="583" w:lineRule="auto"/>
        <w:ind w:right="4305"/>
        <w:rPr>
          <w:rFonts w:ascii="宋体" w:hAnsi="宋体" w:eastAsia="宋体" w:cs="Times New Roman"/>
          <w:spacing w:val="-3"/>
          <w:sz w:val="24"/>
          <w:szCs w:val="24"/>
        </w:rPr>
      </w:pPr>
    </w:p>
    <w:p w14:paraId="2044F277">
      <w:pPr>
        <w:spacing w:line="360" w:lineRule="auto"/>
        <w:ind w:firstLine="480"/>
        <w:rPr>
          <w:rFonts w:ascii="Calibri" w:hAnsi="Calibri" w:eastAsia="宋体" w:cs="Times New Roman"/>
          <w:sz w:val="24"/>
          <w:szCs w:val="24"/>
        </w:rPr>
      </w:pPr>
      <w:r>
        <w:rPr>
          <w:rFonts w:hint="eastAsia" w:ascii="宋体" w:hAnsi="宋体" w:eastAsia="宋体" w:cs="Times New Roman"/>
          <w:color w:val="000000"/>
          <w:sz w:val="24"/>
          <w:szCs w:val="24"/>
        </w:rPr>
        <w:t>投标人</w:t>
      </w:r>
      <w:r>
        <w:rPr>
          <w:rFonts w:ascii="宋体" w:hAnsi="宋体" w:eastAsia="宋体" w:cs="Times New Roman"/>
          <w:color w:val="000000"/>
          <w:sz w:val="24"/>
          <w:szCs w:val="24"/>
        </w:rPr>
        <w:t>名称（加盖公章）</w:t>
      </w:r>
      <w:r>
        <w:rPr>
          <w:rFonts w:ascii="宋体" w:hAnsi="宋体" w:eastAsia="宋体" w:cs="Times New Roman"/>
          <w:color w:val="000000"/>
          <w:sz w:val="24"/>
          <w:szCs w:val="24"/>
          <w:lang w:val="zh-CN"/>
        </w:rPr>
        <w:t>：</w:t>
      </w:r>
      <w:r>
        <w:rPr>
          <w:rFonts w:hint="eastAsia" w:ascii="Calibri" w:hAnsi="Calibri" w:eastAsia="宋体" w:cs="Times New Roman"/>
          <w:sz w:val="24"/>
          <w:szCs w:val="24"/>
          <w:u w:val="single"/>
        </w:rPr>
        <w:t xml:space="preserve">             </w:t>
      </w:r>
    </w:p>
    <w:p w14:paraId="6826C87D">
      <w:pPr>
        <w:spacing w:line="360" w:lineRule="auto"/>
        <w:ind w:firstLine="468"/>
        <w:rPr>
          <w:rFonts w:ascii="Calibri" w:hAnsi="Calibri" w:eastAsia="宋体" w:cs="Times New Roman"/>
          <w:sz w:val="24"/>
          <w:szCs w:val="24"/>
        </w:rPr>
      </w:pPr>
      <w:r>
        <w:rPr>
          <w:rFonts w:hint="eastAsia" w:ascii="宋体" w:hAnsi="宋体" w:eastAsia="宋体" w:cs="Times New Roman"/>
          <w:spacing w:val="-3"/>
          <w:sz w:val="24"/>
          <w:szCs w:val="24"/>
        </w:rPr>
        <w:t>法定代表人（</w:t>
      </w:r>
      <w:r>
        <w:rPr>
          <w:rFonts w:ascii="宋体" w:hAnsi="宋体" w:eastAsia="宋体" w:cs="Times New Roman"/>
          <w:sz w:val="24"/>
          <w:szCs w:val="24"/>
        </w:rPr>
        <w:t>单位负责人</w:t>
      </w:r>
      <w:r>
        <w:rPr>
          <w:rFonts w:hint="eastAsia" w:ascii="宋体" w:hAnsi="宋体" w:eastAsia="宋体" w:cs="Times New Roman"/>
          <w:spacing w:val="-3"/>
          <w:sz w:val="24"/>
          <w:szCs w:val="24"/>
        </w:rPr>
        <w:t>）（签字、签章或印鉴）：</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，联系电话：</w:t>
      </w:r>
      <w:r>
        <w:rPr>
          <w:rFonts w:hint="eastAsia" w:ascii="Calibri" w:hAnsi="Calibri" w:eastAsia="宋体" w:cs="Times New Roman"/>
          <w:sz w:val="24"/>
          <w:szCs w:val="24"/>
          <w:u w:val="single"/>
        </w:rPr>
        <w:t xml:space="preserve">         </w:t>
      </w:r>
    </w:p>
    <w:p w14:paraId="36DC4899">
      <w:pPr>
        <w:spacing w:line="360" w:lineRule="auto"/>
        <w:ind w:firstLine="480"/>
        <w:rPr>
          <w:rFonts w:ascii="Calibri" w:hAnsi="Calibri" w:eastAsia="宋体" w:cs="Times New Roman"/>
          <w:sz w:val="24"/>
          <w:szCs w:val="24"/>
        </w:rPr>
      </w:pPr>
    </w:p>
    <w:p w14:paraId="66836B50">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日期：    年     月     日</w:t>
      </w:r>
    </w:p>
    <w:p w14:paraId="276868A9">
      <w:pPr>
        <w:tabs>
          <w:tab w:val="left" w:pos="5580"/>
        </w:tabs>
        <w:spacing w:line="360" w:lineRule="auto"/>
        <w:ind w:firstLine="480"/>
        <w:jc w:val="left"/>
        <w:rPr>
          <w:sz w:val="24"/>
          <w:szCs w:val="24"/>
        </w:rPr>
      </w:pPr>
    </w:p>
    <w:p w14:paraId="0086631B">
      <w:pPr>
        <w:tabs>
          <w:tab w:val="left" w:pos="5580"/>
        </w:tabs>
        <w:spacing w:line="360" w:lineRule="auto"/>
        <w:ind w:firstLine="480"/>
        <w:jc w:val="left"/>
        <w:rPr>
          <w:sz w:val="24"/>
          <w:szCs w:val="24"/>
        </w:rPr>
      </w:pPr>
      <w:r>
        <w:rPr>
          <w:rFonts w:hint="eastAsia"/>
          <w:sz w:val="24"/>
          <w:szCs w:val="24"/>
        </w:rPr>
        <w:t>注：请供应商如实填写联系方式并在评审过程中保持联系方式畅通，评审过程中如联系不上，由供应商承担一切不利后果。</w:t>
      </w:r>
    </w:p>
    <w:p w14:paraId="1E3671D1">
      <w:pPr>
        <w:spacing w:line="360" w:lineRule="auto"/>
        <w:rPr>
          <w:rFonts w:ascii="Calibri" w:hAnsi="Calibri" w:eastAsia="宋体" w:cs="Times New Roman"/>
          <w:sz w:val="24"/>
          <w:szCs w:val="24"/>
        </w:rPr>
      </w:pPr>
    </w:p>
    <w:p w14:paraId="5BF245B3"/>
    <w:p w14:paraId="1D20FEBB">
      <w:pPr>
        <w:keepNext/>
        <w:keepLines/>
        <w:spacing w:before="120" w:after="120" w:line="360" w:lineRule="auto"/>
        <w:jc w:val="left"/>
        <w:outlineLvl w:val="1"/>
        <w:rPr>
          <w:rFonts w:ascii="黑体" w:hAnsi="黑体" w:eastAsia="黑体" w:cs="Times New Roman"/>
          <w:b/>
          <w:color w:val="000000"/>
          <w:sz w:val="32"/>
          <w:szCs w:val="32"/>
        </w:rPr>
      </w:pPr>
      <w:r>
        <w:rPr>
          <w:rFonts w:hint="eastAsia" w:ascii="Arial" w:hAnsi="Arial" w:eastAsia="宋体" w:cs="Arial"/>
          <w:b/>
          <w:iCs/>
          <w:sz w:val="36"/>
        </w:rPr>
        <w:t>十、投标函</w:t>
      </w:r>
    </w:p>
    <w:p w14:paraId="0EF15295">
      <w:pPr>
        <w:tabs>
          <w:tab w:val="left" w:pos="360"/>
        </w:tabs>
        <w:spacing w:line="360" w:lineRule="auto"/>
        <w:jc w:val="center"/>
        <w:rPr>
          <w:rFonts w:ascii="Times New Roman" w:hAnsi="Times New Roman" w:eastAsia="宋体" w:cs="Times New Roman"/>
          <w:color w:val="000000"/>
          <w:sz w:val="24"/>
          <w:szCs w:val="24"/>
        </w:rPr>
      </w:pPr>
      <w:r>
        <w:rPr>
          <w:rFonts w:hint="eastAsia" w:ascii="黑体" w:hAnsi="黑体" w:eastAsia="黑体" w:cs="宋体"/>
          <w:bCs/>
          <w:sz w:val="36"/>
          <w:szCs w:val="28"/>
        </w:rPr>
        <w:t>投标函</w:t>
      </w:r>
    </w:p>
    <w:p w14:paraId="47E9F1B3">
      <w:pPr>
        <w:spacing w:line="500" w:lineRule="exact"/>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致：连云港市公共资源交易中心</w:t>
      </w:r>
    </w:p>
    <w:p w14:paraId="5EAF1266">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根据贵方的JSZC-________号招标文件，正式授权下述签字人______(姓名)代表我方__________（投标人的名称），全权处理本次项目投标的有关事宜。</w:t>
      </w:r>
    </w:p>
    <w:p w14:paraId="6FD26010">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据此函，__________签字人兹宣布同意如下：</w:t>
      </w:r>
    </w:p>
    <w:p w14:paraId="6EAF459F">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1.按招标文件规定的各项要求，向买方提供所需服务（包含与服务相关的货物等）。</w:t>
      </w:r>
    </w:p>
    <w:p w14:paraId="652C59ED">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2.我们完全理解贵方不一定将合同授予最低报价的投标人。</w:t>
      </w:r>
    </w:p>
    <w:p w14:paraId="10F0F150">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3.我们已详细审核全部招标文件及其有效补充文件，我们知道必须放弃提出含糊不清或误解问题的权利。</w:t>
      </w:r>
    </w:p>
    <w:p w14:paraId="707B68D2">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4.我们同意从规定的开标日期起遵循本投标文件，并在规定的投标有效期期满之前均具有约束力。</w:t>
      </w:r>
    </w:p>
    <w:p w14:paraId="2BA32185">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5</w:t>
      </w:r>
      <w:r>
        <w:rPr>
          <w:rFonts w:hint="eastAsia" w:ascii="宋体" w:hAnsi="宋体" w:eastAsia="宋体" w:cs="Times New Roman"/>
          <w:color w:val="000000"/>
          <w:sz w:val="24"/>
          <w:szCs w:val="21"/>
        </w:rPr>
        <w:t>.同意向贵方提供贵方可能另外要求的与投标有关的任何证据或资料，并保证我方已提供和将要提供的文件是真实的、准确的。</w:t>
      </w:r>
    </w:p>
    <w:p w14:paraId="3FBCE6CC">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6</w:t>
      </w:r>
      <w:r>
        <w:rPr>
          <w:rFonts w:hint="eastAsia" w:ascii="宋体" w:hAnsi="宋体" w:eastAsia="宋体" w:cs="Times New Roman"/>
          <w:color w:val="000000"/>
          <w:sz w:val="24"/>
          <w:szCs w:val="21"/>
        </w:rPr>
        <w:t>.一旦我方中标,我方将根据招标文件的规定，严格履行合同的责任和义务,并保证在招标文件规定的时间完成项目，交付买方验收、使用。</w:t>
      </w:r>
    </w:p>
    <w:p w14:paraId="4F7E801E">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7</w:t>
      </w:r>
      <w:r>
        <w:rPr>
          <w:rFonts w:hint="eastAsia" w:ascii="宋体" w:hAnsi="宋体" w:eastAsia="宋体" w:cs="Times New Roman"/>
          <w:color w:val="000000"/>
          <w:sz w:val="24"/>
          <w:szCs w:val="21"/>
        </w:rPr>
        <w:t>.与本投标有关的正式通讯地址为：</w:t>
      </w:r>
    </w:p>
    <w:p w14:paraId="32F2D49B">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地        址：</w:t>
      </w:r>
    </w:p>
    <w:p w14:paraId="6555DA57">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邮        编：</w:t>
      </w:r>
    </w:p>
    <w:p w14:paraId="083B2FEB">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电        话：</w:t>
      </w:r>
    </w:p>
    <w:p w14:paraId="5F01A64F">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传        真：</w:t>
      </w:r>
    </w:p>
    <w:p w14:paraId="5589DD40">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投标人开户行：</w:t>
      </w:r>
    </w:p>
    <w:p w14:paraId="0EA04CC6">
      <w:pPr>
        <w:spacing w:line="500" w:lineRule="exact"/>
        <w:ind w:firstLine="480"/>
        <w:jc w:val="left"/>
      </w:pPr>
      <w:r>
        <w:rPr>
          <w:rFonts w:hint="eastAsia" w:ascii="宋体" w:hAnsi="宋体" w:eastAsia="宋体" w:cs="Times New Roman"/>
          <w:color w:val="000000"/>
          <w:sz w:val="24"/>
          <w:szCs w:val="21"/>
        </w:rPr>
        <w:t xml:space="preserve">账        号： </w:t>
      </w:r>
    </w:p>
    <w:p w14:paraId="0B72013A">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4CC4AFAA">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56F18DA8">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0A599AF7">
      <w:pPr>
        <w:keepNext/>
        <w:keepLines/>
        <w:spacing w:before="360" w:after="200" w:line="360" w:lineRule="auto"/>
        <w:jc w:val="left"/>
        <w:outlineLvl w:val="1"/>
        <w:rPr>
          <w:rFonts w:ascii="Arial" w:hAnsi="Arial" w:eastAsia="宋体" w:cs="Arial"/>
          <w:b/>
          <w:sz w:val="36"/>
        </w:rPr>
      </w:pPr>
      <w:r>
        <w:rPr>
          <w:rFonts w:hint="eastAsia" w:ascii="Arial" w:hAnsi="Arial" w:eastAsia="宋体" w:cs="Arial"/>
          <w:b/>
          <w:sz w:val="36"/>
        </w:rPr>
        <w:t>十一、中小企业声明函（服务）（分包号：**）</w:t>
      </w:r>
    </w:p>
    <w:p w14:paraId="235E7AFD">
      <w:pPr>
        <w:tabs>
          <w:tab w:val="left" w:pos="360"/>
        </w:tabs>
        <w:spacing w:line="360" w:lineRule="auto"/>
        <w:jc w:val="center"/>
        <w:rPr>
          <w:rFonts w:ascii="宋体" w:hAnsi="宋体" w:eastAsia="宋体" w:cs="Times New Roman"/>
          <w:color w:val="000000"/>
          <w:sz w:val="24"/>
          <w:szCs w:val="24"/>
        </w:rPr>
      </w:pPr>
      <w:r>
        <w:rPr>
          <w:rFonts w:hint="eastAsia" w:ascii="黑体" w:hAnsi="黑体" w:eastAsia="黑体" w:cs="宋体"/>
          <w:bCs/>
          <w:sz w:val="36"/>
          <w:szCs w:val="28"/>
        </w:rPr>
        <w:t>中小企业声明函</w:t>
      </w:r>
    </w:p>
    <w:p w14:paraId="6B84186C">
      <w:pPr>
        <w:spacing w:line="500" w:lineRule="exact"/>
        <w:ind w:firstLine="480"/>
        <w:rPr>
          <w:rFonts w:ascii="宋体" w:hAnsi="宋体"/>
          <w:sz w:val="24"/>
        </w:rPr>
      </w:pPr>
      <w:r>
        <w:rPr>
          <w:rFonts w:hint="eastAsia" w:ascii="宋体" w:hAnsi="宋体" w:eastAsia="宋体" w:cs="Times New Roman"/>
          <w:color w:val="000000"/>
          <w:sz w:val="24"/>
          <w:szCs w:val="24"/>
        </w:rPr>
        <w:t>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（单位名称）</w:t>
      </w:r>
      <w:r>
        <w:rPr>
          <w:rFonts w:hint="eastAsia" w:ascii="宋体" w:hAnsi="宋体" w:eastAsia="宋体" w:cs="Times New Roman"/>
          <w:color w:val="000000"/>
          <w:sz w:val="24"/>
          <w:szCs w:val="24"/>
        </w:rPr>
        <w:t>的</w:t>
      </w:r>
      <w:r>
        <w:rPr>
          <w:rFonts w:hint="eastAsia" w:ascii="宋体" w:hAnsi="宋体" w:eastAsia="宋体" w:cs="Times New Roman"/>
          <w:color w:val="000000"/>
          <w:sz w:val="24"/>
          <w:szCs w:val="24"/>
          <w:u w:val="single"/>
        </w:rPr>
        <w:t>（项目名称）</w:t>
      </w:r>
      <w:r>
        <w:rPr>
          <w:rFonts w:hint="eastAsia" w:ascii="宋体" w:hAnsi="宋体" w:eastAsia="宋体" w:cs="Times New Roman"/>
          <w:color w:val="000000"/>
          <w:sz w:val="24"/>
          <w:szCs w:val="24"/>
        </w:rPr>
        <w:t>（项目编号：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）采购活动，提供的</w:t>
      </w:r>
      <w:r>
        <w:rPr>
          <w:rFonts w:ascii="宋体" w:hAnsi="宋体"/>
          <w:sz w:val="24"/>
        </w:rPr>
        <w:t>服务全部由符合政策要求的中小企业承接。</w:t>
      </w:r>
    </w:p>
    <w:p w14:paraId="6650DB78">
      <w:pPr>
        <w:spacing w:line="500" w:lineRule="exact"/>
        <w:ind w:firstLine="480"/>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（标的名称）</w:t>
      </w:r>
      <w:r>
        <w:rPr>
          <w:rFonts w:hint="eastAsia" w:ascii="宋体" w:hAnsi="宋体" w:eastAsia="宋体" w:cs="Times New Roman"/>
          <w:color w:val="000000"/>
          <w:sz w:val="24"/>
          <w:szCs w:val="24"/>
        </w:rPr>
        <w:t>，属于</w:t>
      </w:r>
      <w:r>
        <w:rPr>
          <w:rFonts w:hint="eastAsia" w:ascii="宋体" w:hAnsi="宋体" w:eastAsia="宋体" w:cs="Times New Roman"/>
          <w:color w:val="000000"/>
          <w:sz w:val="24"/>
          <w:szCs w:val="24"/>
          <w:u w:val="single"/>
        </w:rPr>
        <w:t>（采购文件中明确的所属行业）</w:t>
      </w:r>
      <w:r>
        <w:rPr>
          <w:rFonts w:hint="eastAsia" w:ascii="宋体" w:hAnsi="宋体" w:eastAsia="宋体" w:cs="Times New Roman"/>
          <w:color w:val="000000"/>
          <w:sz w:val="24"/>
          <w:szCs w:val="24"/>
        </w:rPr>
        <w:t>行业；承接企业为</w:t>
      </w:r>
      <w:r>
        <w:rPr>
          <w:rFonts w:hint="eastAsia" w:ascii="宋体" w:hAnsi="宋体" w:eastAsia="宋体" w:cs="Times New Roman"/>
          <w:color w:val="000000"/>
          <w:sz w:val="24"/>
          <w:szCs w:val="24"/>
          <w:u w:val="single"/>
        </w:rPr>
        <w:t>（企业名称）</w:t>
      </w:r>
      <w:r>
        <w:rPr>
          <w:rFonts w:hint="eastAsia" w:ascii="宋体" w:hAnsi="宋体" w:eastAsia="宋体" w:cs="Times New Roman"/>
          <w:color w:val="000000"/>
          <w:sz w:val="24"/>
          <w:szCs w:val="24"/>
        </w:rPr>
        <w:t>，从业人员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万元，属于</w:t>
      </w:r>
      <w:r>
        <w:rPr>
          <w:rFonts w:hint="eastAsia" w:ascii="宋体" w:hAnsi="宋体" w:eastAsia="宋体" w:cs="Times New Roman"/>
          <w:color w:val="000000"/>
          <w:sz w:val="24"/>
          <w:szCs w:val="24"/>
          <w:u w:val="single"/>
        </w:rPr>
        <w:t>（中型企业、小型企业、微型企业）</w:t>
      </w:r>
      <w:r>
        <w:rPr>
          <w:rFonts w:hint="eastAsia" w:ascii="宋体" w:hAnsi="宋体" w:eastAsia="宋体" w:cs="Times New Roman"/>
          <w:color w:val="000000"/>
          <w:sz w:val="24"/>
          <w:szCs w:val="24"/>
        </w:rPr>
        <w:t>；</w:t>
      </w:r>
    </w:p>
    <w:p w14:paraId="4525FA69">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以上企业，不属于大企业的分支机构，不存在控股股东为大企业的情形，也不存在与大企业的负责人为同一人的情形。</w:t>
      </w:r>
    </w:p>
    <w:p w14:paraId="6E3747B5">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本企业对上述声明内容的真实性负责。如有虚假，将依法承担相应责任。</w:t>
      </w:r>
    </w:p>
    <w:p w14:paraId="4193583B">
      <w:pPr>
        <w:spacing w:line="560" w:lineRule="exact"/>
        <w:ind w:right="1620"/>
        <w:rPr>
          <w:rFonts w:ascii="宋体" w:hAnsi="宋体" w:eastAsia="宋体" w:cs="Times New Roman"/>
          <w:color w:val="000000"/>
          <w:sz w:val="24"/>
          <w:szCs w:val="24"/>
        </w:rPr>
      </w:pPr>
    </w:p>
    <w:p w14:paraId="17FB300D">
      <w:pPr>
        <w:spacing w:line="560" w:lineRule="exact"/>
        <w:ind w:right="162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企业名称（盖章）：</w:t>
      </w:r>
    </w:p>
    <w:p w14:paraId="36B8E94D">
      <w:pPr>
        <w:spacing w:line="560" w:lineRule="exact"/>
        <w:ind w:right="114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日   期：</w:t>
      </w:r>
    </w:p>
    <w:p w14:paraId="2245F5CF">
      <w:pPr>
        <w:spacing w:line="360" w:lineRule="auto"/>
        <w:ind w:right="480"/>
        <w:jc w:val="left"/>
        <w:rPr>
          <w:rFonts w:ascii="宋体" w:hAnsi="宋体" w:eastAsia="宋体" w:cs="Times New Roman"/>
          <w:sz w:val="24"/>
          <w:szCs w:val="24"/>
        </w:rPr>
      </w:pPr>
    </w:p>
    <w:p w14:paraId="08CAFEE9">
      <w:pPr>
        <w:spacing w:line="360" w:lineRule="auto"/>
        <w:ind w:right="480"/>
        <w:jc w:val="left"/>
        <w:rPr>
          <w:rFonts w:ascii="宋体" w:hAnsi="宋体" w:eastAsia="宋体" w:cs="Times New Roman"/>
          <w:sz w:val="24"/>
          <w:szCs w:val="24"/>
        </w:rPr>
      </w:pPr>
    </w:p>
    <w:p w14:paraId="38ED944A">
      <w:pPr>
        <w:spacing w:line="360" w:lineRule="auto"/>
        <w:ind w:right="480"/>
        <w:jc w:val="left"/>
        <w:rPr>
          <w:rFonts w:ascii="宋体" w:hAnsi="宋体" w:eastAsia="宋体" w:cs="Times New Roman"/>
          <w:sz w:val="24"/>
          <w:szCs w:val="24"/>
        </w:rPr>
      </w:pPr>
      <w:r>
        <w:rPr>
          <w:rFonts w:hint="eastAsia" w:ascii="宋体" w:hAnsi="宋体" w:eastAsia="宋体" w:cs="Times New Roman"/>
          <w:sz w:val="24"/>
          <w:szCs w:val="24"/>
        </w:rPr>
        <w:t>填报说明：</w:t>
      </w:r>
    </w:p>
    <w:p w14:paraId="0099859A">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w:t>
      </w:r>
      <w:r>
        <w:rPr>
          <w:rFonts w:ascii="宋体" w:hAnsi="宋体" w:eastAsia="宋体" w:cs="Times New Roman"/>
          <w:sz w:val="24"/>
          <w:szCs w:val="24"/>
        </w:rPr>
        <w:t>从业人员、营业收入、资产总额填报上一年度数据，无上一年度数据的新成立企业可不填报。</w:t>
      </w:r>
    </w:p>
    <w:p w14:paraId="74CB30A0">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2、请供应商如实填写，</w:t>
      </w:r>
      <w:r>
        <w:rPr>
          <w:rFonts w:hint="eastAsia" w:ascii="宋体" w:hAnsi="宋体"/>
          <w:sz w:val="24"/>
        </w:rPr>
        <w:t>所填内容将作为评审的依据</w:t>
      </w:r>
      <w:r>
        <w:rPr>
          <w:rFonts w:hint="eastAsia" w:ascii="宋体" w:hAnsi="宋体" w:eastAsia="宋体" w:cs="Times New Roman"/>
          <w:sz w:val="24"/>
          <w:szCs w:val="24"/>
        </w:rPr>
        <w:t>，如填写不完整或不一致或填写有误，将承担一切不利后果。</w:t>
      </w:r>
    </w:p>
    <w:p w14:paraId="39F7D7ED">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3、中标人的《中小企业声明函》随中标结果公开。</w:t>
      </w:r>
    </w:p>
    <w:p w14:paraId="65DC780E"/>
    <w:p w14:paraId="7A2B88DC"/>
    <w:p w14:paraId="1E0DBCFD">
      <w:pPr>
        <w:keepNext/>
        <w:keepLines/>
        <w:spacing w:before="360" w:after="200" w:line="360" w:lineRule="auto"/>
        <w:jc w:val="left"/>
        <w:outlineLvl w:val="1"/>
        <w:rPr>
          <w:rFonts w:ascii="Arial" w:hAnsi="Arial" w:eastAsia="宋体" w:cs="Arial"/>
          <w:b/>
          <w:sz w:val="36"/>
        </w:rPr>
      </w:pPr>
      <w:r>
        <w:rPr>
          <w:rFonts w:hint="eastAsia" w:ascii="Arial" w:hAnsi="Arial" w:eastAsia="宋体" w:cs="Arial"/>
          <w:b/>
          <w:sz w:val="36"/>
        </w:rPr>
        <w:t>十二、残疾人福利性单位声明函（分包号：**）</w:t>
      </w:r>
    </w:p>
    <w:p w14:paraId="50E8E765">
      <w:pPr>
        <w:tabs>
          <w:tab w:val="left" w:pos="360"/>
        </w:tabs>
        <w:spacing w:line="360" w:lineRule="auto"/>
        <w:jc w:val="center"/>
        <w:rPr>
          <w:rFonts w:ascii="宋体" w:hAnsi="宋体" w:eastAsia="宋体" w:cs="Times New Roman"/>
          <w:color w:val="000000"/>
          <w:sz w:val="24"/>
          <w:szCs w:val="21"/>
        </w:rPr>
      </w:pPr>
      <w:r>
        <w:rPr>
          <w:rFonts w:hint="eastAsia" w:ascii="黑体" w:hAnsi="黑体" w:eastAsia="黑体" w:cs="宋体"/>
          <w:bCs/>
          <w:sz w:val="36"/>
          <w:szCs w:val="28"/>
        </w:rPr>
        <w:t>残疾人福利性单位声明函</w:t>
      </w:r>
    </w:p>
    <w:p w14:paraId="61B3CD23">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本单位郑重声明，根据《财政部 民政部 中国残疾人联合会关于促进残疾人就业政府采购政策的通知》（财库</w:t>
      </w:r>
      <w:r>
        <w:rPr>
          <w:rFonts w:hint="eastAsia" w:ascii="宋体" w:hAnsi="宋体" w:eastAsia="宋体" w:cs="Times New Roman"/>
          <w:color w:val="000000"/>
          <w:sz w:val="24"/>
          <w:szCs w:val="24"/>
        </w:rPr>
        <w:t>〔2017〕</w:t>
      </w:r>
      <w:r>
        <w:rPr>
          <w:rFonts w:hint="eastAsia" w:ascii="宋体" w:hAnsi="宋体" w:eastAsia="宋体" w:cs="Times New Roman"/>
          <w:color w:val="000000"/>
          <w:sz w:val="24"/>
          <w:szCs w:val="21"/>
        </w:rPr>
        <w:t>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项目（</w:t>
      </w:r>
      <w:r>
        <w:rPr>
          <w:rFonts w:hint="eastAsia" w:ascii="宋体" w:hAnsi="宋体" w:eastAsia="宋体" w:cs="Times New Roman"/>
          <w:color w:val="000000"/>
          <w:sz w:val="24"/>
          <w:szCs w:val="24"/>
        </w:rPr>
        <w:t>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）采购活动由本单位提供全部服务。</w:t>
      </w:r>
    </w:p>
    <w:p w14:paraId="2A300AF1">
      <w:pPr>
        <w:spacing w:line="500" w:lineRule="exact"/>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本单位对上述声明的真实性负责。如有虚假，将依法承担相应责任。</w:t>
      </w:r>
    </w:p>
    <w:p w14:paraId="24A13FBB">
      <w:pPr>
        <w:spacing w:line="500" w:lineRule="exact"/>
        <w:ind w:firstLine="480"/>
        <w:rPr>
          <w:rFonts w:ascii="宋体" w:hAnsi="宋体" w:eastAsia="宋体" w:cs="Times New Roman"/>
          <w:color w:val="000000"/>
          <w:sz w:val="24"/>
          <w:szCs w:val="21"/>
        </w:rPr>
      </w:pPr>
    </w:p>
    <w:p w14:paraId="4EE7763A">
      <w:pPr>
        <w:spacing w:line="560" w:lineRule="exact"/>
        <w:ind w:right="162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单位名称（盖章）：</w:t>
      </w:r>
    </w:p>
    <w:p w14:paraId="250725B7">
      <w:pPr>
        <w:spacing w:line="560" w:lineRule="exact"/>
        <w:ind w:right="114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日   期：</w:t>
      </w:r>
    </w:p>
    <w:p w14:paraId="183037ED"/>
    <w:p w14:paraId="527022C2"/>
    <w:p w14:paraId="65E6C24C">
      <w:pPr>
        <w:spacing w:line="360" w:lineRule="auto"/>
        <w:rPr>
          <w:rFonts w:ascii="宋体" w:hAnsi="宋体" w:eastAsia="宋体" w:cs="Times New Roman"/>
          <w:bCs/>
          <w:sz w:val="24"/>
          <w:szCs w:val="24"/>
        </w:rPr>
      </w:pPr>
      <w:r>
        <w:rPr>
          <w:rFonts w:hint="eastAsia" w:ascii="宋体" w:hAnsi="宋体" w:eastAsia="宋体" w:cs="Times New Roman"/>
          <w:bCs/>
          <w:sz w:val="24"/>
          <w:szCs w:val="24"/>
        </w:rPr>
        <w:t>填报说明：</w:t>
      </w:r>
    </w:p>
    <w:p w14:paraId="7D704093">
      <w:pPr>
        <w:spacing w:line="360" w:lineRule="auto"/>
        <w:ind w:firstLine="480"/>
        <w:jc w:val="left"/>
        <w:rPr>
          <w:rFonts w:ascii="宋体" w:hAnsi="宋体" w:eastAsia="宋体" w:cs="Times New Roman"/>
          <w:sz w:val="24"/>
          <w:szCs w:val="24"/>
        </w:rPr>
      </w:pPr>
      <w:r>
        <w:rPr>
          <w:rFonts w:hint="eastAsia" w:ascii="宋体" w:hAnsi="宋体" w:eastAsia="宋体" w:cs="Times New Roman"/>
          <w:bCs/>
          <w:sz w:val="24"/>
          <w:szCs w:val="24"/>
        </w:rPr>
        <w:t>1、</w:t>
      </w:r>
      <w:r>
        <w:rPr>
          <w:rFonts w:hint="eastAsia" w:ascii="宋体" w:hAnsi="宋体" w:eastAsia="宋体" w:cs="Times New Roman"/>
          <w:sz w:val="24"/>
          <w:szCs w:val="24"/>
        </w:rPr>
        <w:t>请供应商如实填写，</w:t>
      </w:r>
      <w:r>
        <w:rPr>
          <w:rFonts w:hint="eastAsia" w:ascii="宋体" w:hAnsi="宋体"/>
          <w:bCs/>
          <w:sz w:val="24"/>
        </w:rPr>
        <w:t>所填内容将作为评审的依据</w:t>
      </w:r>
      <w:r>
        <w:rPr>
          <w:rFonts w:hint="eastAsia" w:ascii="宋体" w:hAnsi="宋体" w:eastAsia="宋体" w:cs="Times New Roman"/>
          <w:sz w:val="24"/>
          <w:szCs w:val="24"/>
        </w:rPr>
        <w:t>，如填写不完整或不一致或填写有误，将承担一切不利后果。</w:t>
      </w:r>
    </w:p>
    <w:p w14:paraId="3C75B036">
      <w:pPr>
        <w:spacing w:line="360" w:lineRule="auto"/>
        <w:ind w:firstLine="480"/>
        <w:jc w:val="left"/>
        <w:rPr>
          <w:rFonts w:ascii="Times New Roman" w:hAnsi="Times New Roman" w:eastAsia="宋体" w:cs="Times New Roman"/>
          <w:sz w:val="24"/>
          <w:szCs w:val="24"/>
        </w:rPr>
      </w:pPr>
      <w:r>
        <w:rPr>
          <w:rFonts w:hint="eastAsia" w:ascii="宋体" w:hAnsi="宋体" w:eastAsia="宋体" w:cs="Times New Roman"/>
          <w:bCs/>
          <w:sz w:val="24"/>
          <w:szCs w:val="24"/>
        </w:rPr>
        <w:t>2、中标人的《残疾人福利性单位声明函》随中标结果公开。</w:t>
      </w:r>
    </w:p>
    <w:p w14:paraId="7861C2ED"/>
    <w:p w14:paraId="07E323D2"/>
    <w:p w14:paraId="6F61F678"/>
    <w:p w14:paraId="129F720A"/>
    <w:p w14:paraId="2564A136"/>
    <w:p w14:paraId="718BB45A"/>
    <w:p w14:paraId="63915AF0"/>
    <w:p w14:paraId="351B243A"/>
    <w:p w14:paraId="58B124F6">
      <w:pPr>
        <w:widowControl/>
        <w:jc w:val="left"/>
        <w:rPr>
          <w:rFonts w:ascii="Arial" w:hAnsi="Arial" w:eastAsia="宋体" w:cs="Arial"/>
          <w:b/>
          <w:sz w:val="36"/>
        </w:rPr>
      </w:pPr>
      <w:r>
        <w:rPr>
          <w:rFonts w:ascii="Arial" w:hAnsi="Arial" w:eastAsia="宋体" w:cs="Arial"/>
          <w:b/>
          <w:sz w:val="36"/>
        </w:rPr>
        <w:br w:type="page"/>
      </w:r>
    </w:p>
    <w:p w14:paraId="0E2272A6">
      <w:pPr>
        <w:keepNext/>
        <w:keepLines/>
        <w:spacing w:before="360" w:after="200" w:line="360" w:lineRule="auto"/>
        <w:jc w:val="left"/>
        <w:outlineLvl w:val="1"/>
        <w:rPr>
          <w:rFonts w:ascii="Arial" w:hAnsi="Arial" w:eastAsia="宋体" w:cs="Arial"/>
          <w:b/>
          <w:sz w:val="36"/>
        </w:rPr>
      </w:pPr>
      <w:r>
        <w:rPr>
          <w:rFonts w:hint="eastAsia" w:ascii="Arial" w:hAnsi="Arial" w:eastAsia="宋体" w:cs="Arial"/>
          <w:b/>
          <w:sz w:val="36"/>
        </w:rPr>
        <w:t>十三、联合体协议（参考格式）</w:t>
      </w:r>
      <w:r>
        <w:rPr>
          <w:rFonts w:hint="eastAsia" w:ascii="Arial" w:hAnsi="Arial" w:eastAsia="宋体" w:cs="Arial"/>
          <w:b/>
          <w:sz w:val="36"/>
          <w:highlight w:val="yellow"/>
        </w:rPr>
        <w:t>（分包号：</w:t>
      </w:r>
      <w:r>
        <w:rPr>
          <w:rFonts w:ascii="Arial" w:hAnsi="Arial" w:eastAsia="宋体" w:cs="Arial"/>
          <w:b/>
          <w:sz w:val="36"/>
          <w:highlight w:val="yellow"/>
        </w:rPr>
        <w:t>**</w:t>
      </w:r>
      <w:r>
        <w:rPr>
          <w:rFonts w:hint="eastAsia" w:ascii="Arial" w:hAnsi="Arial" w:eastAsia="宋体" w:cs="Arial"/>
          <w:b/>
          <w:sz w:val="36"/>
          <w:highlight w:val="yellow"/>
        </w:rPr>
        <w:t>）</w:t>
      </w:r>
    </w:p>
    <w:p w14:paraId="45DD34A0">
      <w:pPr>
        <w:tabs>
          <w:tab w:val="left" w:pos="360"/>
        </w:tabs>
        <w:spacing w:line="360" w:lineRule="auto"/>
        <w:jc w:val="center"/>
        <w:rPr>
          <w:rFonts w:ascii="宋体" w:hAnsi="宋体" w:eastAsia="宋体" w:cs="Times New Roman"/>
          <w:color w:val="000000"/>
          <w:sz w:val="24"/>
          <w:szCs w:val="21"/>
          <w:u w:val="single"/>
        </w:rPr>
      </w:pPr>
      <w:r>
        <w:rPr>
          <w:rFonts w:hint="eastAsia" w:ascii="黑体" w:hAnsi="黑体" w:eastAsia="黑体" w:cs="宋体"/>
          <w:bCs/>
          <w:sz w:val="36"/>
          <w:szCs w:val="28"/>
        </w:rPr>
        <w:t>联合体协议</w:t>
      </w:r>
    </w:p>
    <w:p w14:paraId="11ABC1DB">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（联合体中各供应商全称）</w:t>
      </w:r>
      <w:r>
        <w:rPr>
          <w:rFonts w:hint="eastAsia" w:ascii="宋体" w:hAnsi="宋体" w:eastAsia="宋体" w:cs="Times New Roman"/>
          <w:color w:val="000000"/>
          <w:sz w:val="24"/>
          <w:szCs w:val="21"/>
        </w:rPr>
        <w:t>在此达成以下协议：</w:t>
      </w:r>
    </w:p>
    <w:p w14:paraId="4A5561C6">
      <w:pPr>
        <w:spacing w:line="500" w:lineRule="exact"/>
        <w:ind w:firstLine="480" w:firstLineChars="200"/>
        <w:rPr>
          <w:rFonts w:ascii="宋体" w:hAnsi="宋体" w:eastAsia="宋体" w:cs="Times New Roman"/>
          <w:color w:val="000000"/>
          <w:sz w:val="24"/>
          <w:szCs w:val="21"/>
        </w:rPr>
      </w:pPr>
      <w:r>
        <w:rPr>
          <w:rFonts w:hint="eastAsia" w:ascii="宋体" w:hAnsi="宋体" w:eastAsia="宋体" w:cs="Times New Roman"/>
          <w:color w:val="000000"/>
          <w:sz w:val="24"/>
          <w:szCs w:val="21"/>
        </w:rPr>
        <w:t>1、我们</w:t>
      </w:r>
      <w:r>
        <w:rPr>
          <w:rFonts w:hint="eastAsia" w:ascii="宋体" w:hAnsi="宋体" w:eastAsia="宋体" w:cs="Times New Roman"/>
          <w:color w:val="000000"/>
          <w:sz w:val="24"/>
          <w:szCs w:val="21"/>
          <w:u w:val="single"/>
        </w:rPr>
        <w:t xml:space="preserve"> （供应商1），（供应商2） ，……</w:t>
      </w:r>
      <w:r>
        <w:rPr>
          <w:rFonts w:hint="eastAsia" w:ascii="宋体" w:hAnsi="宋体" w:eastAsia="宋体" w:cs="Times New Roman"/>
          <w:color w:val="000000"/>
          <w:sz w:val="24"/>
          <w:szCs w:val="21"/>
        </w:rPr>
        <w:t>自愿组成联合体，参加</w:t>
      </w:r>
      <w:r>
        <w:rPr>
          <w:rFonts w:hint="eastAsia" w:ascii="宋体" w:hAnsi="宋体" w:eastAsia="宋体" w:cs="Times New Roman"/>
          <w:color w:val="000000"/>
          <w:sz w:val="24"/>
          <w:szCs w:val="24"/>
        </w:rPr>
        <w:t>连云港市公共资源交易中心</w:t>
      </w:r>
      <w:r>
        <w:rPr>
          <w:rFonts w:hint="eastAsia" w:ascii="宋体" w:hAnsi="宋体" w:eastAsia="宋体" w:cs="Times New Roman"/>
          <w:color w:val="000000"/>
          <w:sz w:val="24"/>
          <w:szCs w:val="21"/>
        </w:rPr>
        <w:t>组织的</w:t>
      </w:r>
      <w:r>
        <w:rPr>
          <w:rFonts w:hint="eastAsia" w:ascii="宋体" w:hAnsi="宋体" w:eastAsia="宋体" w:cs="Times New Roman"/>
          <w:color w:val="000000"/>
          <w:sz w:val="24"/>
          <w:szCs w:val="24"/>
          <w:u w:val="single"/>
        </w:rPr>
        <w:t>（项目名称）</w:t>
      </w:r>
      <w:r>
        <w:rPr>
          <w:rFonts w:hint="eastAsia" w:ascii="宋体" w:hAnsi="宋体" w:eastAsia="宋体" w:cs="Times New Roman"/>
          <w:color w:val="000000"/>
          <w:sz w:val="24"/>
          <w:szCs w:val="24"/>
        </w:rPr>
        <w:t>（项目编号：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w:t>
      </w:r>
      <w:r>
        <w:rPr>
          <w:rFonts w:hint="eastAsia" w:ascii="宋体" w:hAnsi="宋体" w:eastAsia="宋体" w:cs="Times New Roman"/>
          <w:color w:val="000000"/>
          <w:sz w:val="24"/>
          <w:szCs w:val="21"/>
        </w:rPr>
        <w:t>的政府采购活动，我联合体指定</w:t>
      </w:r>
      <w:r>
        <w:rPr>
          <w:rFonts w:hint="eastAsia" w:ascii="宋体" w:hAnsi="宋体" w:eastAsia="宋体" w:cs="Times New Roman"/>
          <w:color w:val="000000"/>
          <w:sz w:val="24"/>
          <w:szCs w:val="21"/>
          <w:u w:val="single"/>
        </w:rPr>
        <w:t>（供应商*）</w:t>
      </w:r>
      <w:r>
        <w:rPr>
          <w:rFonts w:hint="eastAsia" w:ascii="宋体" w:hAnsi="宋体" w:eastAsia="宋体" w:cs="Times New Roman"/>
          <w:color w:val="000000"/>
          <w:sz w:val="24"/>
          <w:szCs w:val="21"/>
        </w:rPr>
        <w:t>为牵头单位（牵头单位必须为联合体成员）。</w:t>
      </w:r>
    </w:p>
    <w:p w14:paraId="76A7336D">
      <w:pPr>
        <w:spacing w:line="500" w:lineRule="exact"/>
        <w:ind w:firstLine="480" w:firstLineChars="200"/>
        <w:rPr>
          <w:rFonts w:ascii="宋体" w:hAnsi="宋体" w:eastAsia="宋体" w:cs="Times New Roman"/>
          <w:color w:val="000000"/>
          <w:sz w:val="24"/>
          <w:szCs w:val="21"/>
        </w:rPr>
      </w:pPr>
      <w:r>
        <w:rPr>
          <w:rFonts w:hint="eastAsia" w:ascii="宋体" w:hAnsi="宋体" w:eastAsia="宋体" w:cs="Times New Roman"/>
          <w:color w:val="000000"/>
          <w:sz w:val="24"/>
          <w:szCs w:val="21"/>
        </w:rPr>
        <w:t>2、若我们联合中标、成交，</w:t>
      </w:r>
      <w:r>
        <w:rPr>
          <w:rFonts w:hint="eastAsia" w:ascii="宋体" w:hAnsi="宋体" w:eastAsia="宋体" w:cs="Times New Roman"/>
          <w:color w:val="000000"/>
          <w:sz w:val="24"/>
          <w:szCs w:val="21"/>
          <w:u w:val="single"/>
        </w:rPr>
        <w:t>（供应商单位1全称）</w:t>
      </w:r>
      <w:r>
        <w:rPr>
          <w:rFonts w:hint="eastAsia" w:ascii="宋体" w:hAnsi="宋体" w:eastAsia="宋体" w:cs="Times New Roman"/>
          <w:color w:val="000000"/>
          <w:sz w:val="24"/>
          <w:szCs w:val="21"/>
        </w:rPr>
        <w:t>实施项目中</w:t>
      </w:r>
      <w:r>
        <w:rPr>
          <w:rFonts w:hint="eastAsia" w:ascii="宋体" w:hAnsi="宋体" w:eastAsia="宋体" w:cs="Times New Roman"/>
          <w:color w:val="000000"/>
          <w:sz w:val="24"/>
          <w:szCs w:val="21"/>
          <w:u w:val="single"/>
        </w:rPr>
        <w:t>（工作内容）</w:t>
      </w:r>
      <w:r>
        <w:rPr>
          <w:rFonts w:hint="eastAsia" w:ascii="宋体" w:hAnsi="宋体" w:eastAsia="宋体" w:cs="Times New Roman"/>
          <w:color w:val="000000"/>
          <w:sz w:val="24"/>
          <w:szCs w:val="21"/>
        </w:rPr>
        <w:t>部分工作，并承担相应的责任。</w:t>
      </w:r>
      <w:r>
        <w:rPr>
          <w:rFonts w:hint="eastAsia" w:ascii="宋体" w:hAnsi="宋体" w:eastAsia="宋体" w:cs="Times New Roman"/>
          <w:color w:val="000000"/>
          <w:sz w:val="24"/>
          <w:szCs w:val="21"/>
          <w:u w:val="single"/>
        </w:rPr>
        <w:t>（供应商单位2全称）</w:t>
      </w:r>
      <w:r>
        <w:rPr>
          <w:rFonts w:hint="eastAsia" w:ascii="宋体" w:hAnsi="宋体" w:eastAsia="宋体" w:cs="Times New Roman"/>
          <w:color w:val="000000"/>
          <w:sz w:val="24"/>
          <w:szCs w:val="21"/>
        </w:rPr>
        <w:t>实施项目中</w:t>
      </w:r>
      <w:r>
        <w:rPr>
          <w:rFonts w:hint="eastAsia" w:ascii="宋体" w:hAnsi="宋体" w:eastAsia="宋体" w:cs="Times New Roman"/>
          <w:color w:val="000000"/>
          <w:sz w:val="24"/>
          <w:szCs w:val="21"/>
          <w:u w:val="single"/>
        </w:rPr>
        <w:t>（工作内容）</w:t>
      </w:r>
      <w:r>
        <w:rPr>
          <w:rFonts w:hint="eastAsia" w:ascii="宋体" w:hAnsi="宋体" w:eastAsia="宋体" w:cs="Times New Roman"/>
          <w:color w:val="000000"/>
          <w:sz w:val="24"/>
          <w:szCs w:val="21"/>
        </w:rPr>
        <w:t>部分工作，并承担相应的责任……。（注：联合体中各供应商都应明示所承担的工作和相应的责任）。</w:t>
      </w:r>
    </w:p>
    <w:p w14:paraId="503F04B6">
      <w:pPr>
        <w:spacing w:line="500" w:lineRule="exact"/>
        <w:ind w:firstLine="480" w:firstLineChars="200"/>
        <w:rPr>
          <w:rFonts w:ascii="宋体" w:hAnsi="宋体" w:eastAsia="宋体" w:cs="Times New Roman"/>
          <w:color w:val="000000"/>
          <w:sz w:val="24"/>
          <w:szCs w:val="21"/>
        </w:rPr>
      </w:pPr>
      <w:r>
        <w:rPr>
          <w:rFonts w:hint="eastAsia" w:ascii="宋体" w:hAnsi="宋体" w:eastAsia="宋体" w:cs="Times New Roman"/>
          <w:color w:val="000000"/>
          <w:sz w:val="24"/>
          <w:szCs w:val="21"/>
        </w:rPr>
        <w:t>3、其中</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（小型、微型企业/残疾人福利性单位/监狱企业全称）为</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（小型、微型企业/残疾人福利性单位/监狱企业）企业，且我们约定该公司/单位所承担的合同金额将占本项目合同总金额的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%。（可选）</w:t>
      </w:r>
    </w:p>
    <w:p w14:paraId="68DDA7CD">
      <w:pPr>
        <w:spacing w:line="500" w:lineRule="exact"/>
        <w:ind w:firstLine="480" w:firstLineChars="200"/>
        <w:rPr>
          <w:rFonts w:ascii="宋体" w:hAnsi="宋体" w:eastAsia="宋体" w:cs="Times New Roman"/>
          <w:color w:val="000000"/>
          <w:sz w:val="24"/>
          <w:szCs w:val="21"/>
        </w:rPr>
      </w:pPr>
    </w:p>
    <w:p w14:paraId="175E29D5">
      <w:pPr>
        <w:spacing w:line="500" w:lineRule="exact"/>
        <w:ind w:firstLine="480" w:firstLineChars="200"/>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                                          </w:t>
      </w:r>
    </w:p>
    <w:p w14:paraId="45EB0E74">
      <w:pPr>
        <w:spacing w:line="360" w:lineRule="auto"/>
        <w:ind w:firstLine="480" w:firstLineChars="200"/>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     </w:t>
      </w:r>
    </w:p>
    <w:p w14:paraId="382FC2CA">
      <w:pPr>
        <w:spacing w:line="360" w:lineRule="auto"/>
        <w:ind w:firstLine="480" w:firstLineChars="200"/>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法定代表人（单位负责人）或委托代理人（签字或盖章）：  </w:t>
      </w:r>
    </w:p>
    <w:p w14:paraId="31105F69">
      <w:pPr>
        <w:spacing w:line="360" w:lineRule="auto"/>
        <w:ind w:firstLine="480" w:firstLineChars="200"/>
        <w:rPr>
          <w:rFonts w:ascii="宋体" w:hAnsi="宋体" w:eastAsia="宋体" w:cs="Times New Roman"/>
          <w:color w:val="000000"/>
          <w:sz w:val="24"/>
          <w:szCs w:val="21"/>
        </w:rPr>
      </w:pPr>
      <w:r>
        <w:rPr>
          <w:rFonts w:hint="eastAsia" w:ascii="宋体" w:hAnsi="宋体" w:eastAsia="宋体" w:cs="Times New Roman"/>
          <w:color w:val="000000"/>
          <w:sz w:val="24"/>
          <w:szCs w:val="21"/>
        </w:rPr>
        <w:t>日期：     年   月   日</w:t>
      </w:r>
    </w:p>
    <w:p w14:paraId="40BE9A39">
      <w:pPr>
        <w:spacing w:line="360" w:lineRule="auto"/>
        <w:ind w:firstLine="480" w:firstLineChars="200"/>
        <w:rPr>
          <w:rFonts w:ascii="宋体" w:hAnsi="宋体" w:eastAsia="宋体" w:cs="Times New Roman"/>
          <w:kern w:val="2"/>
          <w:sz w:val="24"/>
          <w:szCs w:val="24"/>
        </w:rPr>
      </w:pPr>
    </w:p>
    <w:p w14:paraId="366B1720">
      <w:pPr>
        <w:spacing w:line="360" w:lineRule="auto"/>
        <w:ind w:firstLine="480" w:firstLineChars="200"/>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     </w:t>
      </w:r>
    </w:p>
    <w:p w14:paraId="2145DF39">
      <w:pPr>
        <w:spacing w:line="360" w:lineRule="auto"/>
        <w:ind w:firstLine="480" w:firstLineChars="200"/>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法定代表人（单位负责人）或委托代理人（签字或盖章）：  </w:t>
      </w:r>
    </w:p>
    <w:p w14:paraId="00F63E9C">
      <w:pPr>
        <w:spacing w:line="360" w:lineRule="auto"/>
        <w:ind w:firstLine="480" w:firstLineChars="200"/>
        <w:rPr>
          <w:rFonts w:ascii="宋体" w:hAnsi="宋体" w:eastAsia="宋体" w:cs="Times New Roman"/>
          <w:color w:val="000000"/>
          <w:sz w:val="24"/>
          <w:szCs w:val="21"/>
        </w:rPr>
      </w:pPr>
      <w:r>
        <w:rPr>
          <w:rFonts w:hint="eastAsia" w:ascii="宋体" w:hAnsi="宋体" w:eastAsia="宋体" w:cs="Times New Roman"/>
          <w:color w:val="000000"/>
          <w:sz w:val="24"/>
          <w:szCs w:val="21"/>
        </w:rPr>
        <w:t>日期：     年   月   日</w:t>
      </w:r>
    </w:p>
    <w:p w14:paraId="5900BD61">
      <w:pPr>
        <w:spacing w:line="360" w:lineRule="auto"/>
        <w:ind w:firstLine="480" w:firstLineChars="200"/>
        <w:rPr>
          <w:rFonts w:ascii="宋体" w:hAnsi="宋体" w:eastAsia="宋体" w:cs="Times New Roman"/>
          <w:kern w:val="2"/>
          <w:sz w:val="24"/>
          <w:szCs w:val="24"/>
        </w:rPr>
      </w:pPr>
    </w:p>
    <w:p w14:paraId="008A4B37">
      <w:pPr>
        <w:spacing w:line="5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w:t>
      </w:r>
    </w:p>
    <w:p w14:paraId="1363E904">
      <w:pPr>
        <w:spacing w:line="500" w:lineRule="exact"/>
        <w:ind w:firstLine="480" w:firstLineChars="200"/>
        <w:rPr>
          <w:rFonts w:ascii="宋体" w:hAnsi="宋体" w:eastAsia="宋体" w:cs="Times New Roman"/>
          <w:sz w:val="24"/>
          <w:szCs w:val="24"/>
        </w:rPr>
      </w:pPr>
    </w:p>
    <w:p w14:paraId="0A0837F2">
      <w:pPr>
        <w:spacing w:line="500" w:lineRule="exact"/>
        <w:ind w:firstLine="480" w:firstLineChars="200"/>
      </w:pPr>
      <w:r>
        <w:rPr>
          <w:rFonts w:hint="eastAsia" w:ascii="宋体" w:hAnsi="宋体" w:eastAsia="宋体" w:cs="Times New Roman"/>
          <w:color w:val="000000"/>
          <w:sz w:val="24"/>
          <w:szCs w:val="21"/>
        </w:rPr>
        <w:t>备注：本招标文件中要求加盖公章的地方，仅需加盖牵头单位的公章。</w:t>
      </w:r>
    </w:p>
    <w:p w14:paraId="4AE8BD6E">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十四、投标分项报价表（分包号：**）</w:t>
      </w:r>
    </w:p>
    <w:p w14:paraId="1C5975AF">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投标分项报价表</w:t>
      </w:r>
    </w:p>
    <w:p w14:paraId="6311AAAC">
      <w:pPr>
        <w:spacing w:line="360" w:lineRule="auto"/>
        <w:jc w:val="left"/>
        <w:rPr>
          <w:rFonts w:ascii="宋体" w:hAnsi="宋体" w:eastAsia="宋体" w:cs="Times New Roman"/>
          <w:bCs/>
          <w:color w:val="000000"/>
          <w:sz w:val="24"/>
          <w:szCs w:val="24"/>
        </w:rPr>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p w14:paraId="6594DACC">
      <w:pPr>
        <w:spacing w:line="360" w:lineRule="auto"/>
        <w:jc w:val="right"/>
        <w:rPr>
          <w:rFonts w:ascii="宋体" w:hAnsi="宋体" w:eastAsia="宋体" w:cs="Times New Roman"/>
          <w:color w:val="000000"/>
          <w:sz w:val="24"/>
          <w:szCs w:val="24"/>
        </w:rPr>
      </w:pPr>
      <w:r>
        <w:rPr>
          <w:rFonts w:hint="eastAsia" w:ascii="宋体" w:hAnsi="宋体" w:eastAsia="宋体" w:cs="Times New Roman"/>
          <w:color w:val="000000"/>
          <w:sz w:val="24"/>
          <w:szCs w:val="24"/>
        </w:rPr>
        <w:t>单位：元</w:t>
      </w:r>
    </w:p>
    <w:tbl>
      <w:tblPr>
        <w:tblStyle w:val="29"/>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3"/>
        <w:gridCol w:w="2083"/>
        <w:gridCol w:w="1461"/>
        <w:gridCol w:w="1134"/>
        <w:gridCol w:w="1134"/>
        <w:gridCol w:w="1491"/>
      </w:tblGrid>
      <w:tr w14:paraId="7C4F0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8" w:hRule="atLeast"/>
          <w:jc w:val="center"/>
        </w:trPr>
        <w:tc>
          <w:tcPr>
            <w:tcW w:w="1063" w:type="dxa"/>
            <w:vAlign w:val="center"/>
          </w:tcPr>
          <w:p w14:paraId="473BF21D">
            <w:pPr>
              <w:spacing w:line="560" w:lineRule="exact"/>
              <w:jc w:val="center"/>
              <w:rPr>
                <w:rFonts w:ascii="宋体" w:hAnsi="宋体"/>
                <w:color w:val="000000"/>
                <w:sz w:val="24"/>
              </w:rPr>
            </w:pPr>
            <w:r>
              <w:rPr>
                <w:rFonts w:hint="eastAsia" w:ascii="宋体" w:hAnsi="宋体"/>
                <w:color w:val="000000"/>
                <w:sz w:val="24"/>
              </w:rPr>
              <w:t>序号</w:t>
            </w:r>
          </w:p>
        </w:tc>
        <w:tc>
          <w:tcPr>
            <w:tcW w:w="2083" w:type="dxa"/>
            <w:vAlign w:val="center"/>
          </w:tcPr>
          <w:p w14:paraId="471A0719">
            <w:pPr>
              <w:spacing w:line="560" w:lineRule="exact"/>
              <w:jc w:val="center"/>
              <w:rPr>
                <w:rFonts w:ascii="宋体" w:hAnsi="宋体"/>
                <w:color w:val="000000"/>
                <w:sz w:val="24"/>
              </w:rPr>
            </w:pPr>
            <w:r>
              <w:rPr>
                <w:rFonts w:hint="eastAsia" w:ascii="宋体" w:hAnsi="宋体"/>
                <w:color w:val="000000"/>
                <w:sz w:val="24"/>
              </w:rPr>
              <w:t>产品、服务（标的）名称</w:t>
            </w:r>
          </w:p>
        </w:tc>
        <w:tc>
          <w:tcPr>
            <w:tcW w:w="1461" w:type="dxa"/>
            <w:vAlign w:val="center"/>
          </w:tcPr>
          <w:p w14:paraId="39EA4E92">
            <w:pPr>
              <w:spacing w:line="560" w:lineRule="exact"/>
              <w:jc w:val="center"/>
              <w:rPr>
                <w:rFonts w:ascii="宋体" w:hAnsi="宋体"/>
                <w:color w:val="000000"/>
                <w:sz w:val="24"/>
              </w:rPr>
            </w:pPr>
            <w:r>
              <w:rPr>
                <w:rFonts w:hint="eastAsia" w:ascii="宋体" w:hAnsi="宋体"/>
                <w:color w:val="000000"/>
                <w:sz w:val="24"/>
              </w:rPr>
              <w:t>分项单位</w:t>
            </w:r>
          </w:p>
        </w:tc>
        <w:tc>
          <w:tcPr>
            <w:tcW w:w="1134" w:type="dxa"/>
            <w:vAlign w:val="center"/>
          </w:tcPr>
          <w:p w14:paraId="15BF360C">
            <w:pPr>
              <w:spacing w:line="560" w:lineRule="exact"/>
              <w:jc w:val="center"/>
              <w:rPr>
                <w:rFonts w:ascii="宋体" w:hAnsi="宋体"/>
                <w:color w:val="000000"/>
                <w:sz w:val="24"/>
              </w:rPr>
            </w:pPr>
            <w:r>
              <w:rPr>
                <w:rFonts w:hint="eastAsia" w:ascii="宋体" w:hAnsi="宋体"/>
                <w:color w:val="000000"/>
                <w:sz w:val="24"/>
              </w:rPr>
              <w:t>数量</w:t>
            </w:r>
          </w:p>
        </w:tc>
        <w:tc>
          <w:tcPr>
            <w:tcW w:w="1134" w:type="dxa"/>
            <w:vAlign w:val="center"/>
          </w:tcPr>
          <w:p w14:paraId="65A38EDB">
            <w:pPr>
              <w:spacing w:line="560" w:lineRule="exact"/>
              <w:jc w:val="center"/>
              <w:rPr>
                <w:rFonts w:ascii="宋体" w:hAnsi="宋体"/>
                <w:color w:val="000000"/>
                <w:sz w:val="24"/>
              </w:rPr>
            </w:pPr>
            <w:r>
              <w:rPr>
                <w:rFonts w:hint="eastAsia" w:ascii="宋体" w:hAnsi="宋体"/>
                <w:color w:val="000000"/>
                <w:sz w:val="24"/>
              </w:rPr>
              <w:t>单价</w:t>
            </w:r>
          </w:p>
        </w:tc>
        <w:tc>
          <w:tcPr>
            <w:tcW w:w="1491" w:type="dxa"/>
            <w:vAlign w:val="center"/>
          </w:tcPr>
          <w:p w14:paraId="34A56A2E">
            <w:pPr>
              <w:spacing w:line="560" w:lineRule="exact"/>
              <w:jc w:val="center"/>
              <w:rPr>
                <w:rFonts w:ascii="宋体" w:hAnsi="宋体"/>
                <w:color w:val="000000"/>
                <w:sz w:val="24"/>
              </w:rPr>
            </w:pPr>
            <w:r>
              <w:rPr>
                <w:rFonts w:hint="eastAsia" w:ascii="宋体" w:hAnsi="宋体"/>
                <w:color w:val="000000"/>
                <w:sz w:val="24"/>
              </w:rPr>
              <w:t>单项</w:t>
            </w:r>
          </w:p>
          <w:p w14:paraId="674F29C4">
            <w:pPr>
              <w:spacing w:line="560" w:lineRule="exact"/>
              <w:jc w:val="center"/>
              <w:rPr>
                <w:rFonts w:ascii="宋体" w:hAnsi="宋体"/>
                <w:color w:val="000000"/>
                <w:sz w:val="24"/>
              </w:rPr>
            </w:pPr>
            <w:r>
              <w:rPr>
                <w:rFonts w:hint="eastAsia" w:ascii="宋体" w:hAnsi="宋体"/>
                <w:color w:val="000000"/>
                <w:sz w:val="24"/>
              </w:rPr>
              <w:t>合计价</w:t>
            </w:r>
          </w:p>
        </w:tc>
      </w:tr>
      <w:tr w14:paraId="5D77D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1063" w:type="dxa"/>
            <w:vAlign w:val="center"/>
          </w:tcPr>
          <w:p w14:paraId="36E2BD37">
            <w:pPr>
              <w:spacing w:line="560" w:lineRule="exact"/>
              <w:jc w:val="center"/>
              <w:rPr>
                <w:rFonts w:ascii="宋体" w:hAnsi="宋体"/>
                <w:color w:val="000000"/>
                <w:sz w:val="24"/>
              </w:rPr>
            </w:pPr>
          </w:p>
        </w:tc>
        <w:tc>
          <w:tcPr>
            <w:tcW w:w="2083" w:type="dxa"/>
            <w:vAlign w:val="center"/>
          </w:tcPr>
          <w:p w14:paraId="1E509D95">
            <w:pPr>
              <w:spacing w:line="560" w:lineRule="exact"/>
              <w:jc w:val="center"/>
              <w:rPr>
                <w:rFonts w:ascii="宋体" w:hAnsi="宋体"/>
                <w:color w:val="000000"/>
                <w:sz w:val="24"/>
              </w:rPr>
            </w:pPr>
          </w:p>
        </w:tc>
        <w:tc>
          <w:tcPr>
            <w:tcW w:w="1461" w:type="dxa"/>
            <w:vAlign w:val="center"/>
          </w:tcPr>
          <w:p w14:paraId="76E08A8D">
            <w:pPr>
              <w:spacing w:line="560" w:lineRule="exact"/>
              <w:jc w:val="center"/>
              <w:rPr>
                <w:rFonts w:ascii="宋体" w:hAnsi="宋体"/>
                <w:color w:val="000000"/>
                <w:sz w:val="24"/>
              </w:rPr>
            </w:pPr>
          </w:p>
        </w:tc>
        <w:tc>
          <w:tcPr>
            <w:tcW w:w="1134" w:type="dxa"/>
            <w:vAlign w:val="center"/>
          </w:tcPr>
          <w:p w14:paraId="44CEFC2D">
            <w:pPr>
              <w:spacing w:line="560" w:lineRule="exact"/>
              <w:jc w:val="center"/>
              <w:rPr>
                <w:rFonts w:ascii="宋体" w:hAnsi="宋体"/>
                <w:color w:val="000000"/>
                <w:sz w:val="24"/>
              </w:rPr>
            </w:pPr>
          </w:p>
        </w:tc>
        <w:tc>
          <w:tcPr>
            <w:tcW w:w="1134" w:type="dxa"/>
            <w:vAlign w:val="center"/>
          </w:tcPr>
          <w:p w14:paraId="441FC511">
            <w:pPr>
              <w:spacing w:line="560" w:lineRule="exact"/>
              <w:jc w:val="center"/>
              <w:rPr>
                <w:rFonts w:ascii="宋体" w:hAnsi="宋体"/>
                <w:color w:val="000000"/>
                <w:sz w:val="24"/>
              </w:rPr>
            </w:pPr>
          </w:p>
        </w:tc>
        <w:tc>
          <w:tcPr>
            <w:tcW w:w="1491" w:type="dxa"/>
            <w:vAlign w:val="center"/>
          </w:tcPr>
          <w:p w14:paraId="69E99F9F">
            <w:pPr>
              <w:spacing w:line="560" w:lineRule="exact"/>
              <w:jc w:val="center"/>
              <w:rPr>
                <w:rFonts w:ascii="宋体" w:hAnsi="宋体"/>
                <w:color w:val="000000"/>
                <w:sz w:val="24"/>
              </w:rPr>
            </w:pPr>
          </w:p>
        </w:tc>
      </w:tr>
      <w:tr w14:paraId="25571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1063" w:type="dxa"/>
            <w:vAlign w:val="center"/>
          </w:tcPr>
          <w:p w14:paraId="667256F3">
            <w:pPr>
              <w:spacing w:line="560" w:lineRule="exact"/>
              <w:jc w:val="center"/>
              <w:rPr>
                <w:rFonts w:ascii="宋体" w:hAnsi="宋体"/>
                <w:color w:val="000000"/>
                <w:sz w:val="24"/>
              </w:rPr>
            </w:pPr>
          </w:p>
        </w:tc>
        <w:tc>
          <w:tcPr>
            <w:tcW w:w="2083" w:type="dxa"/>
            <w:vAlign w:val="center"/>
          </w:tcPr>
          <w:p w14:paraId="2E02F487">
            <w:pPr>
              <w:spacing w:line="560" w:lineRule="exact"/>
              <w:jc w:val="center"/>
              <w:rPr>
                <w:rFonts w:ascii="宋体" w:hAnsi="宋体"/>
                <w:color w:val="000000"/>
                <w:sz w:val="24"/>
              </w:rPr>
            </w:pPr>
          </w:p>
        </w:tc>
        <w:tc>
          <w:tcPr>
            <w:tcW w:w="1461" w:type="dxa"/>
            <w:vAlign w:val="center"/>
          </w:tcPr>
          <w:p w14:paraId="5A9A01BB">
            <w:pPr>
              <w:spacing w:line="560" w:lineRule="exact"/>
              <w:jc w:val="center"/>
              <w:rPr>
                <w:rFonts w:ascii="宋体" w:hAnsi="宋体"/>
                <w:color w:val="000000"/>
                <w:sz w:val="24"/>
              </w:rPr>
            </w:pPr>
          </w:p>
        </w:tc>
        <w:tc>
          <w:tcPr>
            <w:tcW w:w="1134" w:type="dxa"/>
            <w:vAlign w:val="center"/>
          </w:tcPr>
          <w:p w14:paraId="1268E206">
            <w:pPr>
              <w:spacing w:line="560" w:lineRule="exact"/>
              <w:jc w:val="center"/>
              <w:rPr>
                <w:rFonts w:ascii="宋体" w:hAnsi="宋体"/>
                <w:color w:val="000000"/>
                <w:sz w:val="24"/>
              </w:rPr>
            </w:pPr>
          </w:p>
        </w:tc>
        <w:tc>
          <w:tcPr>
            <w:tcW w:w="1134" w:type="dxa"/>
            <w:vAlign w:val="center"/>
          </w:tcPr>
          <w:p w14:paraId="3555F86B">
            <w:pPr>
              <w:spacing w:line="560" w:lineRule="exact"/>
              <w:jc w:val="center"/>
              <w:rPr>
                <w:rFonts w:ascii="宋体" w:hAnsi="宋体"/>
                <w:color w:val="000000"/>
                <w:sz w:val="24"/>
              </w:rPr>
            </w:pPr>
          </w:p>
        </w:tc>
        <w:tc>
          <w:tcPr>
            <w:tcW w:w="1491" w:type="dxa"/>
            <w:vAlign w:val="center"/>
          </w:tcPr>
          <w:p w14:paraId="7BBD1240">
            <w:pPr>
              <w:spacing w:line="560" w:lineRule="exact"/>
              <w:jc w:val="center"/>
              <w:rPr>
                <w:rFonts w:ascii="宋体" w:hAnsi="宋体"/>
                <w:color w:val="000000"/>
                <w:sz w:val="24"/>
              </w:rPr>
            </w:pPr>
          </w:p>
        </w:tc>
      </w:tr>
      <w:tr w14:paraId="182AA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1063" w:type="dxa"/>
            <w:vAlign w:val="center"/>
          </w:tcPr>
          <w:p w14:paraId="2AD3C4D5">
            <w:pPr>
              <w:spacing w:line="560" w:lineRule="exact"/>
              <w:jc w:val="center"/>
              <w:rPr>
                <w:rFonts w:ascii="宋体" w:hAnsi="宋体"/>
                <w:color w:val="000000"/>
                <w:sz w:val="24"/>
              </w:rPr>
            </w:pPr>
          </w:p>
        </w:tc>
        <w:tc>
          <w:tcPr>
            <w:tcW w:w="2083" w:type="dxa"/>
            <w:vAlign w:val="center"/>
          </w:tcPr>
          <w:p w14:paraId="198B351D">
            <w:pPr>
              <w:spacing w:line="560" w:lineRule="exact"/>
              <w:jc w:val="center"/>
              <w:rPr>
                <w:rFonts w:ascii="宋体" w:hAnsi="宋体"/>
                <w:color w:val="000000"/>
                <w:sz w:val="24"/>
              </w:rPr>
            </w:pPr>
          </w:p>
        </w:tc>
        <w:tc>
          <w:tcPr>
            <w:tcW w:w="1461" w:type="dxa"/>
            <w:vAlign w:val="center"/>
          </w:tcPr>
          <w:p w14:paraId="17A84FE5">
            <w:pPr>
              <w:spacing w:line="560" w:lineRule="exact"/>
              <w:jc w:val="center"/>
              <w:rPr>
                <w:rFonts w:ascii="宋体" w:hAnsi="宋体"/>
                <w:color w:val="000000"/>
                <w:sz w:val="24"/>
              </w:rPr>
            </w:pPr>
          </w:p>
        </w:tc>
        <w:tc>
          <w:tcPr>
            <w:tcW w:w="1134" w:type="dxa"/>
            <w:vAlign w:val="center"/>
          </w:tcPr>
          <w:p w14:paraId="5AF770BE">
            <w:pPr>
              <w:spacing w:line="560" w:lineRule="exact"/>
              <w:jc w:val="center"/>
              <w:rPr>
                <w:rFonts w:ascii="宋体" w:hAnsi="宋体"/>
                <w:color w:val="000000"/>
                <w:sz w:val="24"/>
              </w:rPr>
            </w:pPr>
          </w:p>
        </w:tc>
        <w:tc>
          <w:tcPr>
            <w:tcW w:w="1134" w:type="dxa"/>
            <w:vAlign w:val="center"/>
          </w:tcPr>
          <w:p w14:paraId="3A5982F5">
            <w:pPr>
              <w:spacing w:line="560" w:lineRule="exact"/>
              <w:jc w:val="center"/>
              <w:rPr>
                <w:rFonts w:ascii="宋体" w:hAnsi="宋体"/>
                <w:color w:val="000000"/>
                <w:sz w:val="24"/>
              </w:rPr>
            </w:pPr>
          </w:p>
        </w:tc>
        <w:tc>
          <w:tcPr>
            <w:tcW w:w="1491" w:type="dxa"/>
            <w:vAlign w:val="center"/>
          </w:tcPr>
          <w:p w14:paraId="4AFC1ABE">
            <w:pPr>
              <w:spacing w:line="560" w:lineRule="exact"/>
              <w:jc w:val="center"/>
              <w:rPr>
                <w:rFonts w:ascii="宋体" w:hAnsi="宋体"/>
                <w:color w:val="000000"/>
                <w:sz w:val="24"/>
              </w:rPr>
            </w:pPr>
          </w:p>
        </w:tc>
      </w:tr>
      <w:tr w14:paraId="02885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6875" w:type="dxa"/>
            <w:gridSpan w:val="5"/>
            <w:vAlign w:val="center"/>
          </w:tcPr>
          <w:p w14:paraId="7841701A">
            <w:pPr>
              <w:spacing w:line="560" w:lineRule="exact"/>
              <w:jc w:val="center"/>
              <w:rPr>
                <w:rFonts w:ascii="宋体" w:hAnsi="宋体"/>
                <w:color w:val="000000"/>
                <w:sz w:val="24"/>
              </w:rPr>
            </w:pPr>
            <w:r>
              <w:rPr>
                <w:rFonts w:hint="eastAsia" w:ascii="宋体" w:hAnsi="宋体"/>
                <w:color w:val="000000"/>
                <w:sz w:val="24"/>
              </w:rPr>
              <w:t>总计（元）</w:t>
            </w:r>
          </w:p>
        </w:tc>
        <w:tc>
          <w:tcPr>
            <w:tcW w:w="1491" w:type="dxa"/>
            <w:vAlign w:val="center"/>
          </w:tcPr>
          <w:p w14:paraId="14A8BC23">
            <w:pPr>
              <w:spacing w:line="560" w:lineRule="exact"/>
              <w:jc w:val="center"/>
              <w:rPr>
                <w:rFonts w:ascii="宋体" w:hAnsi="宋体"/>
                <w:color w:val="000000"/>
                <w:sz w:val="24"/>
              </w:rPr>
            </w:pPr>
          </w:p>
        </w:tc>
      </w:tr>
    </w:tbl>
    <w:p w14:paraId="43D910DE">
      <w:pPr>
        <w:spacing w:line="360" w:lineRule="auto"/>
        <w:ind w:firstLine="420"/>
        <w:rPr>
          <w:rFonts w:ascii="Times New Roman" w:hAnsi="Times New Roman" w:eastAsia="宋体" w:cs="Times New Roman"/>
          <w:color w:val="000000"/>
          <w:szCs w:val="24"/>
        </w:rPr>
      </w:pPr>
    </w:p>
    <w:p w14:paraId="6E4605DC">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32EC9B68">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Times New Roman" w:hAnsi="Times New Roman" w:eastAsia="宋体" w:cs="Times New Roman"/>
          <w:color w:val="000000"/>
          <w:sz w:val="24"/>
          <w:szCs w:val="24"/>
        </w:rPr>
        <w:t>（单位负责人）</w:t>
      </w:r>
      <w:r>
        <w:rPr>
          <w:rFonts w:hint="eastAsia" w:ascii="Times New Roman" w:hAnsi="Times New Roman" w:eastAsia="宋体" w:cs="Times New Roman"/>
          <w:color w:val="000000"/>
          <w:sz w:val="24"/>
          <w:szCs w:val="24"/>
        </w:rPr>
        <w:t>或委托代理人（签字或盖章）：</w:t>
      </w:r>
    </w:p>
    <w:p w14:paraId="251B5FC3">
      <w:pPr>
        <w:spacing w:line="360" w:lineRule="auto"/>
        <w:ind w:firstLine="480"/>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5BA2EF6A">
      <w:pPr>
        <w:spacing w:line="500" w:lineRule="exact"/>
        <w:ind w:firstLine="480"/>
        <w:rPr>
          <w:rFonts w:ascii="宋体" w:hAnsi="宋体" w:eastAsia="宋体" w:cs="Times New Roman"/>
          <w:color w:val="000000"/>
          <w:sz w:val="24"/>
          <w:szCs w:val="24"/>
        </w:rPr>
      </w:pPr>
    </w:p>
    <w:p w14:paraId="7D4A9C0B"/>
    <w:p w14:paraId="47A8DA32"/>
    <w:p w14:paraId="5A0B5B88"/>
    <w:p w14:paraId="60CA9317"/>
    <w:p w14:paraId="0812E352"/>
    <w:p w14:paraId="76457B74"/>
    <w:p w14:paraId="3BF0BA42"/>
    <w:p w14:paraId="5D32B9B8"/>
    <w:p w14:paraId="600F0A05"/>
    <w:p w14:paraId="79C91F47"/>
    <w:p w14:paraId="32DEC8E4"/>
    <w:p w14:paraId="26337E54">
      <w:pPr>
        <w:widowControl/>
        <w:jc w:val="left"/>
        <w:rPr>
          <w:rFonts w:ascii="Arial" w:hAnsi="Arial" w:eastAsia="宋体" w:cs="Arial"/>
          <w:b/>
          <w:iCs/>
          <w:sz w:val="36"/>
        </w:rPr>
      </w:pPr>
      <w:r>
        <w:rPr>
          <w:rFonts w:ascii="Arial" w:hAnsi="Arial" w:eastAsia="宋体" w:cs="Arial"/>
          <w:b/>
          <w:iCs/>
          <w:sz w:val="36"/>
        </w:rPr>
        <w:br w:type="page"/>
      </w:r>
    </w:p>
    <w:p w14:paraId="46ACC4B8">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十五、技术要求响应及偏离表（分包号：**）（如有请提供）</w:t>
      </w:r>
    </w:p>
    <w:p w14:paraId="47D5F6CF">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技术要求响应及偏离表</w:t>
      </w:r>
    </w:p>
    <w:p w14:paraId="77001217">
      <w:pPr>
        <w:spacing w:line="360" w:lineRule="auto"/>
        <w:jc w:val="left"/>
        <w:rPr>
          <w:rFonts w:ascii="Arial" w:hAnsi="Arial" w:eastAsia="宋体" w:cs="Arial"/>
          <w:sz w:val="36"/>
        </w:rPr>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tbl>
      <w:tblPr>
        <w:tblStyle w:val="29"/>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3"/>
        <w:gridCol w:w="2541"/>
        <w:gridCol w:w="3261"/>
        <w:gridCol w:w="1595"/>
      </w:tblGrid>
      <w:tr w14:paraId="239F19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43" w:type="dxa"/>
            <w:vAlign w:val="center"/>
          </w:tcPr>
          <w:p w14:paraId="7BDDE9DE">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序号</w:t>
            </w:r>
          </w:p>
        </w:tc>
        <w:tc>
          <w:tcPr>
            <w:tcW w:w="2541" w:type="dxa"/>
            <w:vAlign w:val="center"/>
          </w:tcPr>
          <w:p w14:paraId="4EFF3BCC">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招标文件要求</w:t>
            </w:r>
          </w:p>
        </w:tc>
        <w:tc>
          <w:tcPr>
            <w:tcW w:w="3261" w:type="dxa"/>
            <w:vAlign w:val="center"/>
          </w:tcPr>
          <w:p w14:paraId="01480E2C">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投标响应情况</w:t>
            </w:r>
          </w:p>
        </w:tc>
        <w:tc>
          <w:tcPr>
            <w:tcW w:w="1595" w:type="dxa"/>
            <w:vAlign w:val="center"/>
          </w:tcPr>
          <w:p w14:paraId="2EF5299E">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超出、符合或偏离</w:t>
            </w:r>
          </w:p>
        </w:tc>
      </w:tr>
      <w:tr w14:paraId="6AFCA2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43" w:type="dxa"/>
            <w:vAlign w:val="center"/>
          </w:tcPr>
          <w:p w14:paraId="4003BF58">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2541" w:type="dxa"/>
            <w:vAlign w:val="center"/>
          </w:tcPr>
          <w:p w14:paraId="71511793">
            <w:pPr>
              <w:jc w:val="center"/>
              <w:rPr>
                <w:rFonts w:ascii="宋体" w:hAnsi="宋体" w:eastAsia="宋体" w:cs="Times New Roman"/>
                <w:color w:val="000000"/>
                <w:sz w:val="24"/>
                <w:szCs w:val="24"/>
              </w:rPr>
            </w:pPr>
          </w:p>
        </w:tc>
        <w:tc>
          <w:tcPr>
            <w:tcW w:w="3261" w:type="dxa"/>
            <w:vAlign w:val="center"/>
          </w:tcPr>
          <w:p w14:paraId="21EF2EF2">
            <w:pPr>
              <w:jc w:val="center"/>
              <w:rPr>
                <w:rFonts w:ascii="宋体" w:hAnsi="宋体" w:eastAsia="宋体" w:cs="Times New Roman"/>
                <w:color w:val="000000"/>
                <w:sz w:val="24"/>
                <w:szCs w:val="24"/>
              </w:rPr>
            </w:pPr>
          </w:p>
        </w:tc>
        <w:tc>
          <w:tcPr>
            <w:tcW w:w="1595" w:type="dxa"/>
            <w:vAlign w:val="center"/>
          </w:tcPr>
          <w:p w14:paraId="31A5BBC3">
            <w:pPr>
              <w:jc w:val="center"/>
              <w:rPr>
                <w:rFonts w:ascii="宋体" w:hAnsi="宋体" w:eastAsia="宋体" w:cs="Times New Roman"/>
                <w:color w:val="000000"/>
                <w:sz w:val="24"/>
                <w:szCs w:val="24"/>
              </w:rPr>
            </w:pPr>
          </w:p>
        </w:tc>
      </w:tr>
      <w:tr w14:paraId="55B370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43" w:type="dxa"/>
            <w:vAlign w:val="center"/>
          </w:tcPr>
          <w:p w14:paraId="2BC461F4">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2541" w:type="dxa"/>
            <w:vAlign w:val="center"/>
          </w:tcPr>
          <w:p w14:paraId="0F67FC57">
            <w:pPr>
              <w:jc w:val="center"/>
              <w:rPr>
                <w:rFonts w:ascii="宋体" w:hAnsi="宋体" w:eastAsia="宋体" w:cs="Times New Roman"/>
                <w:color w:val="000000"/>
                <w:sz w:val="24"/>
                <w:szCs w:val="24"/>
              </w:rPr>
            </w:pPr>
          </w:p>
        </w:tc>
        <w:tc>
          <w:tcPr>
            <w:tcW w:w="3261" w:type="dxa"/>
            <w:vAlign w:val="center"/>
          </w:tcPr>
          <w:p w14:paraId="69C10787">
            <w:pPr>
              <w:jc w:val="center"/>
              <w:rPr>
                <w:rFonts w:ascii="宋体" w:hAnsi="宋体" w:eastAsia="宋体" w:cs="Times New Roman"/>
                <w:color w:val="000000"/>
                <w:sz w:val="24"/>
                <w:szCs w:val="24"/>
              </w:rPr>
            </w:pPr>
          </w:p>
        </w:tc>
        <w:tc>
          <w:tcPr>
            <w:tcW w:w="1595" w:type="dxa"/>
            <w:vAlign w:val="center"/>
          </w:tcPr>
          <w:p w14:paraId="595878E3">
            <w:pPr>
              <w:jc w:val="center"/>
              <w:rPr>
                <w:rFonts w:ascii="宋体" w:hAnsi="宋体" w:eastAsia="宋体" w:cs="Times New Roman"/>
                <w:color w:val="000000"/>
                <w:sz w:val="24"/>
                <w:szCs w:val="24"/>
              </w:rPr>
            </w:pPr>
          </w:p>
        </w:tc>
      </w:tr>
      <w:tr w14:paraId="5EA637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43" w:type="dxa"/>
            <w:vAlign w:val="center"/>
          </w:tcPr>
          <w:p w14:paraId="38E9EB2F">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2541" w:type="dxa"/>
            <w:vAlign w:val="center"/>
          </w:tcPr>
          <w:p w14:paraId="5440691F">
            <w:pPr>
              <w:jc w:val="center"/>
              <w:rPr>
                <w:rFonts w:ascii="宋体" w:hAnsi="宋体" w:eastAsia="宋体" w:cs="Times New Roman"/>
                <w:color w:val="000000"/>
                <w:sz w:val="24"/>
                <w:szCs w:val="24"/>
              </w:rPr>
            </w:pPr>
          </w:p>
        </w:tc>
        <w:tc>
          <w:tcPr>
            <w:tcW w:w="3261" w:type="dxa"/>
            <w:vAlign w:val="center"/>
          </w:tcPr>
          <w:p w14:paraId="4A97D1C8">
            <w:pPr>
              <w:jc w:val="center"/>
              <w:rPr>
                <w:rFonts w:ascii="宋体" w:hAnsi="宋体" w:eastAsia="宋体" w:cs="Times New Roman"/>
                <w:color w:val="000000"/>
                <w:sz w:val="24"/>
                <w:szCs w:val="24"/>
              </w:rPr>
            </w:pPr>
          </w:p>
        </w:tc>
        <w:tc>
          <w:tcPr>
            <w:tcW w:w="1595" w:type="dxa"/>
            <w:vAlign w:val="center"/>
          </w:tcPr>
          <w:p w14:paraId="6E6BBA63">
            <w:pPr>
              <w:jc w:val="center"/>
              <w:rPr>
                <w:rFonts w:ascii="宋体" w:hAnsi="宋体" w:eastAsia="宋体" w:cs="Times New Roman"/>
                <w:color w:val="000000"/>
                <w:sz w:val="24"/>
                <w:szCs w:val="24"/>
              </w:rPr>
            </w:pPr>
          </w:p>
        </w:tc>
      </w:tr>
      <w:tr w14:paraId="62564D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43" w:type="dxa"/>
            <w:vAlign w:val="center"/>
          </w:tcPr>
          <w:p w14:paraId="5719AEF0">
            <w:pPr>
              <w:jc w:val="center"/>
              <w:rPr>
                <w:rFonts w:ascii="宋体" w:hAnsi="宋体" w:eastAsia="宋体" w:cs="Times New Roman"/>
                <w:color w:val="000000"/>
                <w:sz w:val="24"/>
                <w:szCs w:val="24"/>
              </w:rPr>
            </w:pPr>
            <w:r>
              <w:rPr>
                <w:rFonts w:ascii="宋体" w:hAnsi="宋体" w:eastAsia="宋体" w:cs="Times New Roman"/>
                <w:color w:val="000000"/>
                <w:sz w:val="24"/>
                <w:szCs w:val="24"/>
              </w:rPr>
              <w:t>…</w:t>
            </w:r>
          </w:p>
        </w:tc>
        <w:tc>
          <w:tcPr>
            <w:tcW w:w="2541" w:type="dxa"/>
            <w:vAlign w:val="center"/>
          </w:tcPr>
          <w:p w14:paraId="338D38DD">
            <w:pPr>
              <w:jc w:val="center"/>
              <w:rPr>
                <w:rFonts w:ascii="宋体" w:hAnsi="宋体" w:eastAsia="宋体" w:cs="Times New Roman"/>
                <w:color w:val="000000"/>
                <w:sz w:val="24"/>
                <w:szCs w:val="24"/>
              </w:rPr>
            </w:pPr>
          </w:p>
        </w:tc>
        <w:tc>
          <w:tcPr>
            <w:tcW w:w="3261" w:type="dxa"/>
            <w:vAlign w:val="center"/>
          </w:tcPr>
          <w:p w14:paraId="0E897BAE">
            <w:pPr>
              <w:jc w:val="center"/>
              <w:rPr>
                <w:rFonts w:ascii="宋体" w:hAnsi="宋体" w:eastAsia="宋体" w:cs="Times New Roman"/>
                <w:color w:val="000000"/>
                <w:sz w:val="24"/>
                <w:szCs w:val="24"/>
              </w:rPr>
            </w:pPr>
          </w:p>
        </w:tc>
        <w:tc>
          <w:tcPr>
            <w:tcW w:w="1595" w:type="dxa"/>
            <w:vAlign w:val="center"/>
          </w:tcPr>
          <w:p w14:paraId="17F98FBD">
            <w:pPr>
              <w:jc w:val="center"/>
              <w:rPr>
                <w:rFonts w:ascii="宋体" w:hAnsi="宋体" w:eastAsia="宋体" w:cs="Times New Roman"/>
                <w:color w:val="000000"/>
                <w:sz w:val="24"/>
                <w:szCs w:val="24"/>
              </w:rPr>
            </w:pPr>
          </w:p>
        </w:tc>
      </w:tr>
    </w:tbl>
    <w:p w14:paraId="4AED6F6C">
      <w:pPr>
        <w:spacing w:line="500" w:lineRule="exact"/>
        <w:ind w:firstLine="480"/>
        <w:rPr>
          <w:rFonts w:ascii="宋体" w:hAnsi="宋体" w:eastAsia="宋体" w:cs="Times New Roman"/>
          <w:color w:val="000000"/>
          <w:sz w:val="24"/>
          <w:szCs w:val="24"/>
        </w:rPr>
      </w:pPr>
    </w:p>
    <w:p w14:paraId="3F7F5BCF">
      <w:pPr>
        <w:spacing w:line="500" w:lineRule="exact"/>
        <w:ind w:firstLine="480"/>
        <w:rPr>
          <w:rFonts w:ascii="宋体" w:hAnsi="宋体" w:eastAsia="宋体" w:cs="Times New Roman"/>
          <w:color w:val="000000"/>
          <w:sz w:val="24"/>
          <w:szCs w:val="24"/>
        </w:rPr>
      </w:pPr>
    </w:p>
    <w:p w14:paraId="6E7DBFD9">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3CBE3A9A">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76D6199D">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4C39DEA7"/>
    <w:p w14:paraId="7E8B57D6"/>
    <w:p w14:paraId="1868A71F"/>
    <w:p w14:paraId="2F8BAA0F"/>
    <w:p w14:paraId="667B6625"/>
    <w:p w14:paraId="6A94724A"/>
    <w:p w14:paraId="1EEC56E3"/>
    <w:p w14:paraId="7FA0C9E7"/>
    <w:p w14:paraId="7F71CC8F"/>
    <w:p w14:paraId="2CA73251"/>
    <w:p w14:paraId="387F6197"/>
    <w:p w14:paraId="0595BCD9"/>
    <w:p w14:paraId="60169F8F"/>
    <w:p w14:paraId="6750FE10"/>
    <w:p w14:paraId="510D561C"/>
    <w:p w14:paraId="4F863F4C">
      <w:pPr>
        <w:keepNext/>
        <w:keepLines/>
        <w:spacing w:before="360" w:after="200" w:line="360" w:lineRule="auto"/>
        <w:jc w:val="left"/>
        <w:outlineLvl w:val="1"/>
        <w:rPr>
          <w:rFonts w:ascii="Arial" w:hAnsi="Arial" w:eastAsia="宋体" w:cs="Arial"/>
          <w:b/>
          <w:iCs/>
          <w:sz w:val="36"/>
        </w:rPr>
      </w:pPr>
      <w:bookmarkStart w:id="85" w:name="_Hlt26955054"/>
      <w:bookmarkEnd w:id="85"/>
      <w:r>
        <w:rPr>
          <w:rFonts w:hint="eastAsia" w:ascii="Arial" w:hAnsi="Arial" w:eastAsia="宋体" w:cs="Arial"/>
          <w:b/>
          <w:iCs/>
          <w:sz w:val="36"/>
        </w:rPr>
        <w:t>十六、商务要求响应及偏离表（分包号：**）</w:t>
      </w:r>
    </w:p>
    <w:p w14:paraId="0F36023C">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商务要求响应及偏离表</w:t>
      </w:r>
    </w:p>
    <w:p w14:paraId="11240479">
      <w:pPr>
        <w:spacing w:line="360" w:lineRule="auto"/>
        <w:jc w:val="left"/>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tbl>
      <w:tblPr>
        <w:tblStyle w:val="29"/>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28"/>
        <w:gridCol w:w="2607"/>
        <w:gridCol w:w="2460"/>
        <w:gridCol w:w="2085"/>
      </w:tblGrid>
      <w:tr w14:paraId="2AF580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1128" w:type="dxa"/>
            <w:vAlign w:val="center"/>
          </w:tcPr>
          <w:p w14:paraId="181B3239">
            <w:pPr>
              <w:spacing w:line="360" w:lineRule="auto"/>
              <w:jc w:val="center"/>
              <w:rPr>
                <w:rFonts w:ascii="宋体" w:hAnsi="宋体" w:eastAsia="宋体" w:cs="Times New Roman"/>
                <w:color w:val="000000"/>
                <w:sz w:val="24"/>
                <w:szCs w:val="24"/>
              </w:rPr>
            </w:pPr>
            <w:bookmarkStart w:id="86" w:name="_Hlt24879081"/>
            <w:bookmarkEnd w:id="86"/>
            <w:bookmarkStart w:id="87" w:name="_Hlt26782999"/>
            <w:bookmarkEnd w:id="87"/>
            <w:bookmarkStart w:id="88" w:name="_Hlt26671343"/>
            <w:bookmarkEnd w:id="88"/>
            <w:bookmarkStart w:id="89" w:name="_Hlt26580838"/>
            <w:bookmarkEnd w:id="89"/>
            <w:bookmarkStart w:id="90" w:name="_Hlt26955064"/>
            <w:bookmarkEnd w:id="90"/>
            <w:bookmarkStart w:id="91" w:name="_Hlt26671372"/>
            <w:bookmarkEnd w:id="91"/>
            <w:bookmarkStart w:id="92" w:name="_Hlt26609391"/>
            <w:bookmarkEnd w:id="92"/>
            <w:bookmarkStart w:id="93" w:name="_Hlt26955056"/>
            <w:bookmarkEnd w:id="93"/>
            <w:r>
              <w:rPr>
                <w:rFonts w:hint="eastAsia" w:ascii="宋体" w:hAnsi="宋体" w:eastAsia="宋体" w:cs="Times New Roman"/>
                <w:color w:val="000000"/>
                <w:sz w:val="24"/>
                <w:szCs w:val="24"/>
              </w:rPr>
              <w:t>序号</w:t>
            </w:r>
          </w:p>
        </w:tc>
        <w:tc>
          <w:tcPr>
            <w:tcW w:w="2607" w:type="dxa"/>
            <w:vAlign w:val="center"/>
          </w:tcPr>
          <w:p w14:paraId="11ADD06B">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招标文件要求</w:t>
            </w:r>
          </w:p>
        </w:tc>
        <w:tc>
          <w:tcPr>
            <w:tcW w:w="2460" w:type="dxa"/>
            <w:vAlign w:val="center"/>
          </w:tcPr>
          <w:p w14:paraId="3A961511">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投标响应情况</w:t>
            </w:r>
          </w:p>
        </w:tc>
        <w:tc>
          <w:tcPr>
            <w:tcW w:w="2085" w:type="dxa"/>
            <w:vAlign w:val="center"/>
          </w:tcPr>
          <w:p w14:paraId="71477394">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超出、符合或偏离</w:t>
            </w:r>
          </w:p>
        </w:tc>
      </w:tr>
      <w:tr w14:paraId="13B23F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28" w:type="dxa"/>
            <w:vAlign w:val="center"/>
          </w:tcPr>
          <w:p w14:paraId="72631274">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2607" w:type="dxa"/>
            <w:vAlign w:val="center"/>
          </w:tcPr>
          <w:p w14:paraId="5A7912DB">
            <w:pPr>
              <w:jc w:val="center"/>
              <w:rPr>
                <w:rFonts w:ascii="宋体" w:hAnsi="宋体" w:eastAsia="宋体" w:cs="Times New Roman"/>
                <w:color w:val="000000"/>
                <w:sz w:val="24"/>
                <w:szCs w:val="24"/>
              </w:rPr>
            </w:pPr>
          </w:p>
        </w:tc>
        <w:tc>
          <w:tcPr>
            <w:tcW w:w="2460" w:type="dxa"/>
            <w:vAlign w:val="center"/>
          </w:tcPr>
          <w:p w14:paraId="36EC9496">
            <w:pPr>
              <w:jc w:val="center"/>
              <w:rPr>
                <w:rFonts w:ascii="宋体" w:hAnsi="宋体" w:eastAsia="宋体" w:cs="Times New Roman"/>
                <w:color w:val="000000"/>
                <w:sz w:val="24"/>
                <w:szCs w:val="24"/>
              </w:rPr>
            </w:pPr>
          </w:p>
        </w:tc>
        <w:tc>
          <w:tcPr>
            <w:tcW w:w="2085" w:type="dxa"/>
            <w:vAlign w:val="center"/>
          </w:tcPr>
          <w:p w14:paraId="61742765">
            <w:pPr>
              <w:jc w:val="center"/>
              <w:rPr>
                <w:rFonts w:ascii="宋体" w:hAnsi="宋体" w:eastAsia="宋体" w:cs="Times New Roman"/>
                <w:color w:val="000000"/>
                <w:sz w:val="24"/>
                <w:szCs w:val="24"/>
              </w:rPr>
            </w:pPr>
          </w:p>
        </w:tc>
      </w:tr>
      <w:tr w14:paraId="49C518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28" w:type="dxa"/>
            <w:vAlign w:val="center"/>
          </w:tcPr>
          <w:p w14:paraId="525BA072">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2607" w:type="dxa"/>
            <w:vAlign w:val="center"/>
          </w:tcPr>
          <w:p w14:paraId="4A45BCF0">
            <w:pPr>
              <w:jc w:val="center"/>
              <w:rPr>
                <w:rFonts w:ascii="宋体" w:hAnsi="宋体" w:eastAsia="宋体" w:cs="Times New Roman"/>
                <w:color w:val="000000"/>
                <w:sz w:val="24"/>
                <w:szCs w:val="24"/>
              </w:rPr>
            </w:pPr>
          </w:p>
        </w:tc>
        <w:tc>
          <w:tcPr>
            <w:tcW w:w="2460" w:type="dxa"/>
            <w:vAlign w:val="center"/>
          </w:tcPr>
          <w:p w14:paraId="2FA07AFD">
            <w:pPr>
              <w:jc w:val="center"/>
              <w:rPr>
                <w:rFonts w:ascii="宋体" w:hAnsi="宋体" w:eastAsia="宋体" w:cs="Times New Roman"/>
                <w:color w:val="000000"/>
                <w:sz w:val="24"/>
                <w:szCs w:val="24"/>
              </w:rPr>
            </w:pPr>
          </w:p>
        </w:tc>
        <w:tc>
          <w:tcPr>
            <w:tcW w:w="2085" w:type="dxa"/>
            <w:vAlign w:val="center"/>
          </w:tcPr>
          <w:p w14:paraId="42720854">
            <w:pPr>
              <w:jc w:val="center"/>
              <w:rPr>
                <w:rFonts w:ascii="宋体" w:hAnsi="宋体" w:eastAsia="宋体" w:cs="Times New Roman"/>
                <w:color w:val="000000"/>
                <w:sz w:val="24"/>
                <w:szCs w:val="24"/>
              </w:rPr>
            </w:pPr>
          </w:p>
        </w:tc>
      </w:tr>
      <w:tr w14:paraId="68C9D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28" w:type="dxa"/>
            <w:vAlign w:val="center"/>
          </w:tcPr>
          <w:p w14:paraId="3DA54842">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2607" w:type="dxa"/>
            <w:vAlign w:val="center"/>
          </w:tcPr>
          <w:p w14:paraId="64DF141E">
            <w:pPr>
              <w:jc w:val="center"/>
              <w:rPr>
                <w:rFonts w:ascii="宋体" w:hAnsi="宋体" w:eastAsia="宋体" w:cs="Times New Roman"/>
                <w:color w:val="000000"/>
                <w:sz w:val="24"/>
                <w:szCs w:val="24"/>
              </w:rPr>
            </w:pPr>
          </w:p>
        </w:tc>
        <w:tc>
          <w:tcPr>
            <w:tcW w:w="2460" w:type="dxa"/>
            <w:vAlign w:val="center"/>
          </w:tcPr>
          <w:p w14:paraId="28CDEBB6">
            <w:pPr>
              <w:jc w:val="center"/>
              <w:rPr>
                <w:rFonts w:ascii="宋体" w:hAnsi="宋体" w:eastAsia="宋体" w:cs="Times New Roman"/>
                <w:color w:val="000000"/>
                <w:sz w:val="24"/>
                <w:szCs w:val="24"/>
              </w:rPr>
            </w:pPr>
          </w:p>
        </w:tc>
        <w:tc>
          <w:tcPr>
            <w:tcW w:w="2085" w:type="dxa"/>
            <w:vAlign w:val="center"/>
          </w:tcPr>
          <w:p w14:paraId="41A9F75B">
            <w:pPr>
              <w:jc w:val="center"/>
              <w:rPr>
                <w:rFonts w:ascii="宋体" w:hAnsi="宋体" w:eastAsia="宋体" w:cs="Times New Roman"/>
                <w:color w:val="000000"/>
                <w:sz w:val="24"/>
                <w:szCs w:val="24"/>
              </w:rPr>
            </w:pPr>
          </w:p>
        </w:tc>
      </w:tr>
      <w:tr w14:paraId="1C3E97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1128" w:type="dxa"/>
            <w:vAlign w:val="center"/>
          </w:tcPr>
          <w:p w14:paraId="79373C36">
            <w:pPr>
              <w:jc w:val="center"/>
              <w:rPr>
                <w:rFonts w:ascii="宋体" w:hAnsi="宋体" w:eastAsia="宋体" w:cs="Times New Roman"/>
                <w:color w:val="000000"/>
                <w:sz w:val="24"/>
                <w:szCs w:val="24"/>
              </w:rPr>
            </w:pPr>
            <w:r>
              <w:rPr>
                <w:rFonts w:ascii="宋体" w:hAnsi="宋体" w:eastAsia="宋体" w:cs="Times New Roman"/>
                <w:color w:val="000000"/>
                <w:sz w:val="24"/>
                <w:szCs w:val="24"/>
              </w:rPr>
              <w:t>…</w:t>
            </w:r>
          </w:p>
        </w:tc>
        <w:tc>
          <w:tcPr>
            <w:tcW w:w="2607" w:type="dxa"/>
            <w:vAlign w:val="center"/>
          </w:tcPr>
          <w:p w14:paraId="028756E3">
            <w:pPr>
              <w:jc w:val="center"/>
              <w:rPr>
                <w:rFonts w:ascii="宋体" w:hAnsi="宋体" w:eastAsia="宋体" w:cs="Times New Roman"/>
                <w:color w:val="000000"/>
                <w:sz w:val="24"/>
                <w:szCs w:val="24"/>
              </w:rPr>
            </w:pPr>
          </w:p>
        </w:tc>
        <w:tc>
          <w:tcPr>
            <w:tcW w:w="2460" w:type="dxa"/>
            <w:vAlign w:val="center"/>
          </w:tcPr>
          <w:p w14:paraId="222066AB">
            <w:pPr>
              <w:jc w:val="center"/>
              <w:rPr>
                <w:rFonts w:ascii="宋体" w:hAnsi="宋体" w:eastAsia="宋体" w:cs="Times New Roman"/>
                <w:color w:val="000000"/>
                <w:sz w:val="24"/>
                <w:szCs w:val="24"/>
              </w:rPr>
            </w:pPr>
          </w:p>
        </w:tc>
        <w:tc>
          <w:tcPr>
            <w:tcW w:w="2085" w:type="dxa"/>
            <w:vAlign w:val="center"/>
          </w:tcPr>
          <w:p w14:paraId="58142AA3">
            <w:pPr>
              <w:jc w:val="center"/>
              <w:rPr>
                <w:rFonts w:ascii="宋体" w:hAnsi="宋体" w:eastAsia="宋体" w:cs="Times New Roman"/>
                <w:color w:val="000000"/>
                <w:sz w:val="24"/>
                <w:szCs w:val="24"/>
              </w:rPr>
            </w:pPr>
          </w:p>
        </w:tc>
      </w:tr>
    </w:tbl>
    <w:p w14:paraId="237CFEAE">
      <w:pPr>
        <w:spacing w:line="500" w:lineRule="exact"/>
        <w:ind w:firstLine="480"/>
        <w:rPr>
          <w:rFonts w:ascii="宋体" w:hAnsi="宋体" w:eastAsia="宋体" w:cs="Times New Roman"/>
          <w:color w:val="000000"/>
          <w:sz w:val="24"/>
          <w:szCs w:val="24"/>
        </w:rPr>
      </w:pPr>
    </w:p>
    <w:p w14:paraId="0F15546C">
      <w:pPr>
        <w:spacing w:line="500" w:lineRule="exact"/>
        <w:ind w:firstLine="480"/>
        <w:rPr>
          <w:rFonts w:ascii="宋体" w:hAnsi="宋体" w:eastAsia="宋体" w:cs="Times New Roman"/>
          <w:color w:val="000000"/>
          <w:sz w:val="24"/>
          <w:szCs w:val="24"/>
        </w:rPr>
      </w:pPr>
    </w:p>
    <w:p w14:paraId="1C63D882">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01D1F157">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78C5445C">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6F5858E0">
      <w:bookmarkStart w:id="94" w:name="_Hlt26671374"/>
      <w:bookmarkEnd w:id="94"/>
      <w:bookmarkStart w:id="95" w:name="_Hlt26955066"/>
      <w:bookmarkEnd w:id="95"/>
      <w:bookmarkStart w:id="96" w:name="_格式2__法定代表人授权书"/>
      <w:bookmarkEnd w:id="96"/>
      <w:bookmarkStart w:id="97" w:name="_Hlt26609389"/>
      <w:bookmarkEnd w:id="97"/>
    </w:p>
    <w:p w14:paraId="50F3C69F"/>
    <w:p w14:paraId="12EDD804"/>
    <w:p w14:paraId="322EC3F5"/>
    <w:p w14:paraId="5FEC61C3"/>
    <w:p w14:paraId="05412E73"/>
    <w:p w14:paraId="218F5AB7"/>
    <w:p w14:paraId="317F585A"/>
    <w:p w14:paraId="418487FB"/>
    <w:p w14:paraId="29ED31EF"/>
    <w:p w14:paraId="32F552EA"/>
    <w:p w14:paraId="0B975953"/>
    <w:p w14:paraId="36DF994C"/>
    <w:p w14:paraId="6AF7153F"/>
    <w:p w14:paraId="478FB10C"/>
    <w:p w14:paraId="65D0B82A"/>
    <w:p w14:paraId="4E4760B3">
      <w:pPr>
        <w:widowControl/>
        <w:jc w:val="left"/>
        <w:rPr>
          <w:rFonts w:ascii="Arial" w:hAnsi="Arial" w:eastAsia="宋体" w:cs="Arial"/>
          <w:b/>
          <w:iCs/>
          <w:sz w:val="36"/>
        </w:rPr>
      </w:pPr>
      <w:r>
        <w:rPr>
          <w:rFonts w:ascii="Arial" w:hAnsi="Arial" w:eastAsia="宋体" w:cs="Arial"/>
          <w:b/>
          <w:iCs/>
          <w:sz w:val="36"/>
        </w:rPr>
        <w:br w:type="page"/>
      </w:r>
    </w:p>
    <w:p w14:paraId="2C276F4F">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十七、类似项目业绩一览表（分包号：**）</w:t>
      </w:r>
    </w:p>
    <w:p w14:paraId="48B79DAD">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类似项目业绩一览表</w:t>
      </w:r>
    </w:p>
    <w:p w14:paraId="42762CFE">
      <w:pPr>
        <w:spacing w:line="360" w:lineRule="auto"/>
        <w:ind w:firstLine="240"/>
        <w:jc w:val="left"/>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tbl>
      <w:tblPr>
        <w:tblStyle w:val="29"/>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5"/>
        <w:gridCol w:w="2226"/>
        <w:gridCol w:w="1890"/>
        <w:gridCol w:w="1755"/>
        <w:gridCol w:w="1713"/>
      </w:tblGrid>
      <w:tr w14:paraId="7890F8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85" w:type="dxa"/>
            <w:vAlign w:val="center"/>
          </w:tcPr>
          <w:p w14:paraId="76D58D2D">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序号</w:t>
            </w:r>
          </w:p>
        </w:tc>
        <w:tc>
          <w:tcPr>
            <w:tcW w:w="2226" w:type="dxa"/>
            <w:vAlign w:val="center"/>
          </w:tcPr>
          <w:p w14:paraId="34A6E262">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项目名称</w:t>
            </w:r>
          </w:p>
        </w:tc>
        <w:tc>
          <w:tcPr>
            <w:tcW w:w="1890" w:type="dxa"/>
            <w:vAlign w:val="center"/>
          </w:tcPr>
          <w:p w14:paraId="06A7A3DC">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签订时间</w:t>
            </w:r>
          </w:p>
        </w:tc>
        <w:tc>
          <w:tcPr>
            <w:tcW w:w="1755" w:type="dxa"/>
            <w:vAlign w:val="center"/>
          </w:tcPr>
          <w:p w14:paraId="65EA0F9B">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采购单位</w:t>
            </w:r>
          </w:p>
        </w:tc>
        <w:tc>
          <w:tcPr>
            <w:tcW w:w="1713" w:type="dxa"/>
            <w:vAlign w:val="center"/>
          </w:tcPr>
          <w:p w14:paraId="541601B9">
            <w:pPr>
              <w:spacing w:line="360" w:lineRule="auto"/>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主要标的</w:t>
            </w:r>
          </w:p>
        </w:tc>
      </w:tr>
      <w:tr w14:paraId="4E9D53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85" w:type="dxa"/>
            <w:vAlign w:val="center"/>
          </w:tcPr>
          <w:p w14:paraId="671BDA5F">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2226" w:type="dxa"/>
            <w:vAlign w:val="center"/>
          </w:tcPr>
          <w:p w14:paraId="6ADB5058">
            <w:pPr>
              <w:jc w:val="center"/>
              <w:rPr>
                <w:rFonts w:ascii="宋体" w:hAnsi="宋体" w:eastAsia="宋体" w:cs="Times New Roman"/>
                <w:color w:val="000000"/>
                <w:sz w:val="24"/>
                <w:szCs w:val="24"/>
              </w:rPr>
            </w:pPr>
          </w:p>
        </w:tc>
        <w:tc>
          <w:tcPr>
            <w:tcW w:w="1890" w:type="dxa"/>
          </w:tcPr>
          <w:p w14:paraId="103B59FB">
            <w:pPr>
              <w:jc w:val="center"/>
              <w:rPr>
                <w:rFonts w:ascii="宋体" w:hAnsi="宋体" w:eastAsia="宋体" w:cs="Times New Roman"/>
                <w:color w:val="000000"/>
                <w:sz w:val="24"/>
                <w:szCs w:val="24"/>
              </w:rPr>
            </w:pPr>
          </w:p>
        </w:tc>
        <w:tc>
          <w:tcPr>
            <w:tcW w:w="1755" w:type="dxa"/>
            <w:vAlign w:val="center"/>
          </w:tcPr>
          <w:p w14:paraId="484C4FDE">
            <w:pPr>
              <w:jc w:val="center"/>
              <w:rPr>
                <w:rFonts w:ascii="宋体" w:hAnsi="宋体" w:eastAsia="宋体" w:cs="Times New Roman"/>
                <w:color w:val="000000"/>
                <w:sz w:val="24"/>
                <w:szCs w:val="24"/>
              </w:rPr>
            </w:pPr>
          </w:p>
        </w:tc>
        <w:tc>
          <w:tcPr>
            <w:tcW w:w="1713" w:type="dxa"/>
            <w:vAlign w:val="center"/>
          </w:tcPr>
          <w:p w14:paraId="63396A64">
            <w:pPr>
              <w:jc w:val="center"/>
              <w:rPr>
                <w:rFonts w:ascii="宋体" w:hAnsi="宋体" w:eastAsia="宋体" w:cs="Times New Roman"/>
                <w:color w:val="000000"/>
                <w:sz w:val="24"/>
                <w:szCs w:val="24"/>
              </w:rPr>
            </w:pPr>
          </w:p>
        </w:tc>
      </w:tr>
      <w:tr w14:paraId="4997EF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85" w:type="dxa"/>
            <w:vAlign w:val="center"/>
          </w:tcPr>
          <w:p w14:paraId="642B5FE8">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2226" w:type="dxa"/>
            <w:vAlign w:val="center"/>
          </w:tcPr>
          <w:p w14:paraId="7A86C626">
            <w:pPr>
              <w:jc w:val="center"/>
              <w:rPr>
                <w:rFonts w:ascii="宋体" w:hAnsi="宋体" w:eastAsia="宋体" w:cs="Times New Roman"/>
                <w:color w:val="000000"/>
                <w:sz w:val="24"/>
                <w:szCs w:val="24"/>
              </w:rPr>
            </w:pPr>
          </w:p>
        </w:tc>
        <w:tc>
          <w:tcPr>
            <w:tcW w:w="1890" w:type="dxa"/>
          </w:tcPr>
          <w:p w14:paraId="1928C070">
            <w:pPr>
              <w:jc w:val="center"/>
              <w:rPr>
                <w:rFonts w:ascii="宋体" w:hAnsi="宋体" w:eastAsia="宋体" w:cs="Times New Roman"/>
                <w:color w:val="000000"/>
                <w:sz w:val="24"/>
                <w:szCs w:val="24"/>
              </w:rPr>
            </w:pPr>
          </w:p>
        </w:tc>
        <w:tc>
          <w:tcPr>
            <w:tcW w:w="1755" w:type="dxa"/>
            <w:vAlign w:val="center"/>
          </w:tcPr>
          <w:p w14:paraId="34C495A7">
            <w:pPr>
              <w:jc w:val="center"/>
              <w:rPr>
                <w:rFonts w:ascii="宋体" w:hAnsi="宋体" w:eastAsia="宋体" w:cs="Times New Roman"/>
                <w:color w:val="000000"/>
                <w:sz w:val="24"/>
                <w:szCs w:val="24"/>
              </w:rPr>
            </w:pPr>
          </w:p>
        </w:tc>
        <w:tc>
          <w:tcPr>
            <w:tcW w:w="1713" w:type="dxa"/>
            <w:vAlign w:val="center"/>
          </w:tcPr>
          <w:p w14:paraId="125AABAA">
            <w:pPr>
              <w:jc w:val="center"/>
              <w:rPr>
                <w:rFonts w:ascii="宋体" w:hAnsi="宋体" w:eastAsia="宋体" w:cs="Times New Roman"/>
                <w:color w:val="000000"/>
                <w:sz w:val="24"/>
                <w:szCs w:val="24"/>
              </w:rPr>
            </w:pPr>
          </w:p>
        </w:tc>
      </w:tr>
      <w:tr w14:paraId="3F5F81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85" w:type="dxa"/>
            <w:vAlign w:val="center"/>
          </w:tcPr>
          <w:p w14:paraId="607DA647">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2226" w:type="dxa"/>
            <w:vAlign w:val="center"/>
          </w:tcPr>
          <w:p w14:paraId="1BDEEC9A">
            <w:pPr>
              <w:jc w:val="center"/>
              <w:rPr>
                <w:rFonts w:ascii="宋体" w:hAnsi="宋体" w:eastAsia="宋体" w:cs="Times New Roman"/>
                <w:color w:val="000000"/>
                <w:sz w:val="24"/>
                <w:szCs w:val="24"/>
              </w:rPr>
            </w:pPr>
          </w:p>
        </w:tc>
        <w:tc>
          <w:tcPr>
            <w:tcW w:w="1890" w:type="dxa"/>
          </w:tcPr>
          <w:p w14:paraId="0A626405">
            <w:pPr>
              <w:jc w:val="center"/>
              <w:rPr>
                <w:rFonts w:ascii="宋体" w:hAnsi="宋体" w:eastAsia="宋体" w:cs="Times New Roman"/>
                <w:color w:val="000000"/>
                <w:sz w:val="24"/>
                <w:szCs w:val="24"/>
              </w:rPr>
            </w:pPr>
          </w:p>
        </w:tc>
        <w:tc>
          <w:tcPr>
            <w:tcW w:w="1755" w:type="dxa"/>
            <w:vAlign w:val="center"/>
          </w:tcPr>
          <w:p w14:paraId="7792ABBA">
            <w:pPr>
              <w:jc w:val="center"/>
              <w:rPr>
                <w:rFonts w:ascii="宋体" w:hAnsi="宋体" w:eastAsia="宋体" w:cs="Times New Roman"/>
                <w:color w:val="000000"/>
                <w:sz w:val="24"/>
                <w:szCs w:val="24"/>
              </w:rPr>
            </w:pPr>
          </w:p>
        </w:tc>
        <w:tc>
          <w:tcPr>
            <w:tcW w:w="1713" w:type="dxa"/>
            <w:vAlign w:val="center"/>
          </w:tcPr>
          <w:p w14:paraId="13C93C68">
            <w:pPr>
              <w:jc w:val="center"/>
              <w:rPr>
                <w:rFonts w:ascii="宋体" w:hAnsi="宋体" w:eastAsia="宋体" w:cs="Times New Roman"/>
                <w:color w:val="000000"/>
                <w:sz w:val="24"/>
                <w:szCs w:val="24"/>
              </w:rPr>
            </w:pPr>
          </w:p>
        </w:tc>
      </w:tr>
      <w:tr w14:paraId="137F49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85" w:type="dxa"/>
            <w:vAlign w:val="center"/>
          </w:tcPr>
          <w:p w14:paraId="0194AAF1">
            <w:pPr>
              <w:jc w:val="center"/>
              <w:rPr>
                <w:rFonts w:ascii="宋体" w:hAnsi="宋体" w:eastAsia="宋体" w:cs="Times New Roman"/>
                <w:color w:val="000000"/>
                <w:sz w:val="24"/>
                <w:szCs w:val="24"/>
              </w:rPr>
            </w:pPr>
            <w:r>
              <w:rPr>
                <w:rFonts w:ascii="宋体" w:hAnsi="宋体" w:eastAsia="宋体" w:cs="Times New Roman"/>
                <w:color w:val="000000"/>
                <w:sz w:val="24"/>
                <w:szCs w:val="24"/>
              </w:rPr>
              <w:t>…</w:t>
            </w:r>
          </w:p>
        </w:tc>
        <w:tc>
          <w:tcPr>
            <w:tcW w:w="2226" w:type="dxa"/>
            <w:vAlign w:val="center"/>
          </w:tcPr>
          <w:p w14:paraId="4D56D2D9">
            <w:pPr>
              <w:jc w:val="center"/>
              <w:rPr>
                <w:rFonts w:ascii="宋体" w:hAnsi="宋体" w:eastAsia="宋体" w:cs="Times New Roman"/>
                <w:color w:val="000000"/>
                <w:sz w:val="24"/>
                <w:szCs w:val="24"/>
              </w:rPr>
            </w:pPr>
          </w:p>
        </w:tc>
        <w:tc>
          <w:tcPr>
            <w:tcW w:w="1890" w:type="dxa"/>
          </w:tcPr>
          <w:p w14:paraId="47EBD67F">
            <w:pPr>
              <w:jc w:val="center"/>
              <w:rPr>
                <w:rFonts w:ascii="宋体" w:hAnsi="宋体" w:eastAsia="宋体" w:cs="Times New Roman"/>
                <w:color w:val="000000"/>
                <w:sz w:val="24"/>
                <w:szCs w:val="24"/>
              </w:rPr>
            </w:pPr>
          </w:p>
        </w:tc>
        <w:tc>
          <w:tcPr>
            <w:tcW w:w="1755" w:type="dxa"/>
            <w:vAlign w:val="center"/>
          </w:tcPr>
          <w:p w14:paraId="7243B306">
            <w:pPr>
              <w:jc w:val="center"/>
              <w:rPr>
                <w:rFonts w:ascii="宋体" w:hAnsi="宋体" w:eastAsia="宋体" w:cs="Times New Roman"/>
                <w:color w:val="000000"/>
                <w:sz w:val="24"/>
                <w:szCs w:val="24"/>
              </w:rPr>
            </w:pPr>
          </w:p>
        </w:tc>
        <w:tc>
          <w:tcPr>
            <w:tcW w:w="1713" w:type="dxa"/>
            <w:vAlign w:val="center"/>
          </w:tcPr>
          <w:p w14:paraId="2954750B">
            <w:pPr>
              <w:jc w:val="center"/>
              <w:rPr>
                <w:rFonts w:ascii="宋体" w:hAnsi="宋体" w:eastAsia="宋体" w:cs="Times New Roman"/>
                <w:color w:val="000000"/>
                <w:sz w:val="24"/>
                <w:szCs w:val="24"/>
              </w:rPr>
            </w:pPr>
          </w:p>
        </w:tc>
      </w:tr>
    </w:tbl>
    <w:p w14:paraId="3C9E8958">
      <w:pPr>
        <w:spacing w:line="500" w:lineRule="exact"/>
        <w:ind w:firstLine="480"/>
        <w:rPr>
          <w:rFonts w:ascii="宋体" w:hAnsi="宋体" w:eastAsia="宋体" w:cs="Times New Roman"/>
          <w:color w:val="000000"/>
          <w:sz w:val="24"/>
          <w:szCs w:val="24"/>
        </w:rPr>
      </w:pPr>
    </w:p>
    <w:p w14:paraId="321FD430">
      <w:pPr>
        <w:spacing w:line="500" w:lineRule="exact"/>
        <w:ind w:firstLine="480"/>
        <w:rPr>
          <w:rFonts w:ascii="宋体" w:hAnsi="宋体" w:eastAsia="宋体" w:cs="Times New Roman"/>
          <w:color w:val="000000"/>
          <w:sz w:val="24"/>
          <w:szCs w:val="24"/>
        </w:rPr>
      </w:pPr>
    </w:p>
    <w:p w14:paraId="7920F19E">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5B9C9A31">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23E11594">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2EA281A1"/>
    <w:p w14:paraId="52EFE647"/>
    <w:p w14:paraId="0523180E">
      <w:pPr>
        <w:rPr>
          <w:rFonts w:ascii="Arial" w:hAnsi="Arial" w:eastAsia="宋体" w:cs="Arial"/>
          <w:iCs/>
          <w:sz w:val="36"/>
        </w:rPr>
      </w:pPr>
    </w:p>
    <w:p w14:paraId="5F13BA4D">
      <w:pPr>
        <w:rPr>
          <w:rFonts w:ascii="Arial" w:hAnsi="Arial" w:eastAsia="宋体" w:cs="Arial"/>
          <w:iCs/>
          <w:sz w:val="36"/>
        </w:rPr>
      </w:pPr>
    </w:p>
    <w:p w14:paraId="12F9E7FC">
      <w:pPr>
        <w:rPr>
          <w:rFonts w:ascii="Arial" w:hAnsi="Arial" w:eastAsia="宋体" w:cs="Arial"/>
          <w:iCs/>
          <w:sz w:val="36"/>
        </w:rPr>
      </w:pPr>
    </w:p>
    <w:p w14:paraId="7A8D3233">
      <w:pPr>
        <w:rPr>
          <w:rFonts w:ascii="Arial" w:hAnsi="Arial" w:eastAsia="宋体" w:cs="Arial"/>
          <w:iCs/>
          <w:sz w:val="36"/>
        </w:rPr>
      </w:pPr>
    </w:p>
    <w:p w14:paraId="7F8A7C9E">
      <w:pPr>
        <w:rPr>
          <w:rFonts w:ascii="Arial" w:hAnsi="Arial" w:eastAsia="宋体" w:cs="Arial"/>
          <w:iCs/>
          <w:sz w:val="36"/>
        </w:rPr>
      </w:pPr>
    </w:p>
    <w:p w14:paraId="4FE59E3A">
      <w:pPr>
        <w:rPr>
          <w:rFonts w:ascii="Arial" w:hAnsi="Arial" w:eastAsia="宋体" w:cs="Arial"/>
          <w:iCs/>
          <w:sz w:val="36"/>
        </w:rPr>
      </w:pPr>
    </w:p>
    <w:p w14:paraId="0B9307D2">
      <w:pPr>
        <w:rPr>
          <w:rFonts w:ascii="Arial" w:hAnsi="Arial" w:eastAsia="宋体" w:cs="Arial"/>
          <w:iCs/>
          <w:sz w:val="36"/>
        </w:rPr>
      </w:pPr>
    </w:p>
    <w:p w14:paraId="17E5B178">
      <w:pPr>
        <w:rPr>
          <w:rFonts w:ascii="Arial" w:hAnsi="Arial" w:eastAsia="宋体" w:cs="Arial"/>
          <w:iCs/>
          <w:sz w:val="36"/>
        </w:rPr>
      </w:pPr>
    </w:p>
    <w:p w14:paraId="0C9D3A4A">
      <w:pPr>
        <w:widowControl/>
        <w:jc w:val="left"/>
        <w:rPr>
          <w:rFonts w:ascii="Arial" w:hAnsi="Arial" w:eastAsia="宋体" w:cs="Arial"/>
          <w:b/>
          <w:iCs/>
          <w:sz w:val="36"/>
        </w:rPr>
      </w:pPr>
      <w:r>
        <w:rPr>
          <w:rFonts w:ascii="Arial" w:hAnsi="Arial" w:eastAsia="宋体" w:cs="Arial"/>
          <w:b/>
          <w:iCs/>
          <w:sz w:val="36"/>
        </w:rPr>
        <w:br w:type="page"/>
      </w:r>
    </w:p>
    <w:p w14:paraId="30B61762">
      <w:pPr>
        <w:keepNext/>
        <w:keepLines/>
        <w:spacing w:before="360" w:after="200" w:line="360" w:lineRule="auto"/>
        <w:jc w:val="left"/>
        <w:outlineLvl w:val="1"/>
        <w:rPr>
          <w:rFonts w:ascii="Arial" w:hAnsi="Arial" w:eastAsia="宋体" w:cs="Arial"/>
          <w:b/>
          <w:iCs/>
          <w:sz w:val="36"/>
        </w:rPr>
      </w:pPr>
      <w:r>
        <w:rPr>
          <w:rFonts w:hint="eastAsia" w:ascii="Arial" w:hAnsi="Arial" w:eastAsia="宋体" w:cs="Arial"/>
          <w:b/>
          <w:iCs/>
          <w:sz w:val="36"/>
        </w:rPr>
        <w:t>十八、项目团队人员一览表（分包号：**）</w:t>
      </w:r>
    </w:p>
    <w:p w14:paraId="359B99A1">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项目团队人员一览表</w:t>
      </w:r>
    </w:p>
    <w:p w14:paraId="60EA9C03">
      <w:pPr>
        <w:spacing w:line="360" w:lineRule="auto"/>
        <w:ind w:firstLine="600"/>
        <w:jc w:val="left"/>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tbl>
      <w:tblPr>
        <w:tblStyle w:val="29"/>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1"/>
        <w:gridCol w:w="1470"/>
        <w:gridCol w:w="1626"/>
        <w:gridCol w:w="1560"/>
        <w:gridCol w:w="1338"/>
        <w:gridCol w:w="1497"/>
      </w:tblGrid>
      <w:tr w14:paraId="38166F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781" w:type="dxa"/>
            <w:vAlign w:val="center"/>
          </w:tcPr>
          <w:p w14:paraId="528CA2BA">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姓名</w:t>
            </w:r>
          </w:p>
        </w:tc>
        <w:tc>
          <w:tcPr>
            <w:tcW w:w="1470" w:type="dxa"/>
            <w:vAlign w:val="center"/>
          </w:tcPr>
          <w:p w14:paraId="199630CA">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本项目拟担任职务</w:t>
            </w:r>
          </w:p>
        </w:tc>
        <w:tc>
          <w:tcPr>
            <w:tcW w:w="1626" w:type="dxa"/>
            <w:vAlign w:val="center"/>
          </w:tcPr>
          <w:p w14:paraId="27D5F5EC">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技术职称、专业资质</w:t>
            </w:r>
          </w:p>
        </w:tc>
        <w:tc>
          <w:tcPr>
            <w:tcW w:w="1560" w:type="dxa"/>
            <w:vAlign w:val="center"/>
          </w:tcPr>
          <w:p w14:paraId="5B3B079E">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学历</w:t>
            </w:r>
          </w:p>
        </w:tc>
        <w:tc>
          <w:tcPr>
            <w:tcW w:w="1338" w:type="dxa"/>
            <w:vAlign w:val="center"/>
          </w:tcPr>
          <w:p w14:paraId="77F05E6D">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年龄</w:t>
            </w:r>
          </w:p>
        </w:tc>
        <w:tc>
          <w:tcPr>
            <w:tcW w:w="1497" w:type="dxa"/>
            <w:vAlign w:val="center"/>
          </w:tcPr>
          <w:p w14:paraId="1C0863E9">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主要资历及担任过的职务</w:t>
            </w:r>
          </w:p>
        </w:tc>
      </w:tr>
      <w:tr w14:paraId="067803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81" w:type="dxa"/>
            <w:vAlign w:val="center"/>
          </w:tcPr>
          <w:p w14:paraId="28F93EF7">
            <w:pPr>
              <w:jc w:val="center"/>
              <w:rPr>
                <w:rFonts w:ascii="宋体" w:hAnsi="宋体" w:eastAsia="宋体" w:cs="Times New Roman"/>
                <w:color w:val="000000"/>
                <w:sz w:val="24"/>
                <w:szCs w:val="24"/>
              </w:rPr>
            </w:pPr>
          </w:p>
        </w:tc>
        <w:tc>
          <w:tcPr>
            <w:tcW w:w="1470" w:type="dxa"/>
            <w:vAlign w:val="center"/>
          </w:tcPr>
          <w:p w14:paraId="28D286A7">
            <w:pPr>
              <w:jc w:val="center"/>
              <w:rPr>
                <w:rFonts w:ascii="宋体" w:hAnsi="宋体" w:eastAsia="宋体" w:cs="Times New Roman"/>
                <w:color w:val="000000"/>
                <w:sz w:val="24"/>
                <w:szCs w:val="24"/>
              </w:rPr>
            </w:pPr>
          </w:p>
        </w:tc>
        <w:tc>
          <w:tcPr>
            <w:tcW w:w="1626" w:type="dxa"/>
          </w:tcPr>
          <w:p w14:paraId="09AF9E01">
            <w:pPr>
              <w:jc w:val="center"/>
              <w:rPr>
                <w:rFonts w:ascii="宋体" w:hAnsi="宋体" w:eastAsia="宋体" w:cs="Times New Roman"/>
                <w:color w:val="000000"/>
                <w:sz w:val="24"/>
                <w:szCs w:val="24"/>
              </w:rPr>
            </w:pPr>
          </w:p>
        </w:tc>
        <w:tc>
          <w:tcPr>
            <w:tcW w:w="1560" w:type="dxa"/>
          </w:tcPr>
          <w:p w14:paraId="75EA6CD1">
            <w:pPr>
              <w:jc w:val="center"/>
              <w:rPr>
                <w:rFonts w:ascii="宋体" w:hAnsi="宋体" w:eastAsia="宋体" w:cs="Times New Roman"/>
                <w:color w:val="000000"/>
                <w:sz w:val="24"/>
                <w:szCs w:val="24"/>
              </w:rPr>
            </w:pPr>
            <w:r>
              <w:rPr>
                <w:rFonts w:ascii="宋体" w:hAnsi="宋体" w:eastAsia="宋体" w:cs="Times New Roman"/>
                <w:color w:val="000000"/>
                <w:sz w:val="24"/>
                <w:szCs w:val="24"/>
              </w:rPr>
              <w:t>根据项目需求、评分办法确定一览表格式</w:t>
            </w:r>
          </w:p>
        </w:tc>
        <w:tc>
          <w:tcPr>
            <w:tcW w:w="1338" w:type="dxa"/>
            <w:vAlign w:val="center"/>
          </w:tcPr>
          <w:p w14:paraId="0D6B582E">
            <w:pPr>
              <w:jc w:val="center"/>
              <w:rPr>
                <w:rFonts w:ascii="宋体" w:hAnsi="宋体" w:eastAsia="宋体" w:cs="Times New Roman"/>
                <w:color w:val="000000"/>
                <w:sz w:val="24"/>
                <w:szCs w:val="24"/>
              </w:rPr>
            </w:pPr>
            <w:r>
              <w:rPr>
                <w:rFonts w:ascii="宋体" w:hAnsi="宋体" w:eastAsia="宋体" w:cs="Times New Roman"/>
                <w:color w:val="000000"/>
                <w:sz w:val="24"/>
                <w:szCs w:val="24"/>
              </w:rPr>
              <w:t>根据项目需求、评分办法确定一览表格式</w:t>
            </w:r>
          </w:p>
        </w:tc>
        <w:tc>
          <w:tcPr>
            <w:tcW w:w="1497" w:type="dxa"/>
            <w:vAlign w:val="center"/>
          </w:tcPr>
          <w:p w14:paraId="0A75629D">
            <w:pPr>
              <w:jc w:val="center"/>
              <w:rPr>
                <w:rFonts w:ascii="宋体" w:hAnsi="宋体" w:eastAsia="宋体" w:cs="Times New Roman"/>
                <w:color w:val="000000"/>
                <w:sz w:val="24"/>
                <w:szCs w:val="24"/>
              </w:rPr>
            </w:pPr>
          </w:p>
        </w:tc>
      </w:tr>
      <w:tr w14:paraId="6C551F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81" w:type="dxa"/>
            <w:vAlign w:val="center"/>
          </w:tcPr>
          <w:p w14:paraId="333917C1">
            <w:pPr>
              <w:jc w:val="center"/>
              <w:rPr>
                <w:rFonts w:ascii="宋体" w:hAnsi="宋体" w:eastAsia="宋体" w:cs="Times New Roman"/>
                <w:color w:val="000000"/>
                <w:sz w:val="24"/>
                <w:szCs w:val="24"/>
              </w:rPr>
            </w:pPr>
          </w:p>
        </w:tc>
        <w:tc>
          <w:tcPr>
            <w:tcW w:w="1470" w:type="dxa"/>
            <w:vAlign w:val="center"/>
          </w:tcPr>
          <w:p w14:paraId="43F52BCC">
            <w:pPr>
              <w:jc w:val="center"/>
              <w:rPr>
                <w:rFonts w:ascii="宋体" w:hAnsi="宋体" w:eastAsia="宋体" w:cs="Times New Roman"/>
                <w:color w:val="000000"/>
                <w:sz w:val="24"/>
                <w:szCs w:val="24"/>
              </w:rPr>
            </w:pPr>
          </w:p>
        </w:tc>
        <w:tc>
          <w:tcPr>
            <w:tcW w:w="1626" w:type="dxa"/>
          </w:tcPr>
          <w:p w14:paraId="4FA9722C">
            <w:pPr>
              <w:jc w:val="center"/>
              <w:rPr>
                <w:rFonts w:ascii="宋体" w:hAnsi="宋体" w:eastAsia="宋体" w:cs="Times New Roman"/>
                <w:color w:val="000000"/>
                <w:sz w:val="24"/>
                <w:szCs w:val="24"/>
              </w:rPr>
            </w:pPr>
          </w:p>
        </w:tc>
        <w:tc>
          <w:tcPr>
            <w:tcW w:w="1560" w:type="dxa"/>
          </w:tcPr>
          <w:p w14:paraId="7C8E359C">
            <w:pPr>
              <w:jc w:val="center"/>
              <w:rPr>
                <w:rFonts w:ascii="宋体" w:hAnsi="宋体" w:eastAsia="宋体" w:cs="Times New Roman"/>
                <w:color w:val="000000"/>
                <w:sz w:val="24"/>
                <w:szCs w:val="24"/>
              </w:rPr>
            </w:pPr>
          </w:p>
        </w:tc>
        <w:tc>
          <w:tcPr>
            <w:tcW w:w="1338" w:type="dxa"/>
            <w:vAlign w:val="center"/>
          </w:tcPr>
          <w:p w14:paraId="6AF4A3C4">
            <w:pPr>
              <w:jc w:val="center"/>
              <w:rPr>
                <w:rFonts w:ascii="宋体" w:hAnsi="宋体" w:eastAsia="宋体" w:cs="Times New Roman"/>
                <w:color w:val="000000"/>
                <w:sz w:val="24"/>
                <w:szCs w:val="24"/>
              </w:rPr>
            </w:pPr>
          </w:p>
        </w:tc>
        <w:tc>
          <w:tcPr>
            <w:tcW w:w="1497" w:type="dxa"/>
            <w:vAlign w:val="center"/>
          </w:tcPr>
          <w:p w14:paraId="689E3EF3">
            <w:pPr>
              <w:jc w:val="center"/>
              <w:rPr>
                <w:rFonts w:ascii="宋体" w:hAnsi="宋体" w:eastAsia="宋体" w:cs="Times New Roman"/>
                <w:color w:val="000000"/>
                <w:sz w:val="24"/>
                <w:szCs w:val="24"/>
              </w:rPr>
            </w:pPr>
          </w:p>
        </w:tc>
      </w:tr>
      <w:tr w14:paraId="41D52C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81" w:type="dxa"/>
            <w:vAlign w:val="center"/>
          </w:tcPr>
          <w:p w14:paraId="2E00A22B">
            <w:pPr>
              <w:jc w:val="center"/>
              <w:rPr>
                <w:rFonts w:ascii="宋体" w:hAnsi="宋体" w:eastAsia="宋体" w:cs="Times New Roman"/>
                <w:color w:val="000000"/>
                <w:sz w:val="24"/>
                <w:szCs w:val="24"/>
              </w:rPr>
            </w:pPr>
          </w:p>
        </w:tc>
        <w:tc>
          <w:tcPr>
            <w:tcW w:w="1470" w:type="dxa"/>
            <w:vAlign w:val="center"/>
          </w:tcPr>
          <w:p w14:paraId="57069B61">
            <w:pPr>
              <w:jc w:val="center"/>
              <w:rPr>
                <w:rFonts w:ascii="宋体" w:hAnsi="宋体" w:eastAsia="宋体" w:cs="Times New Roman"/>
                <w:color w:val="000000"/>
                <w:sz w:val="24"/>
                <w:szCs w:val="24"/>
              </w:rPr>
            </w:pPr>
          </w:p>
        </w:tc>
        <w:tc>
          <w:tcPr>
            <w:tcW w:w="1626" w:type="dxa"/>
          </w:tcPr>
          <w:p w14:paraId="4DEB0744">
            <w:pPr>
              <w:jc w:val="center"/>
              <w:rPr>
                <w:rFonts w:ascii="宋体" w:hAnsi="宋体" w:eastAsia="宋体" w:cs="Times New Roman"/>
                <w:color w:val="000000"/>
                <w:sz w:val="24"/>
                <w:szCs w:val="24"/>
              </w:rPr>
            </w:pPr>
          </w:p>
        </w:tc>
        <w:tc>
          <w:tcPr>
            <w:tcW w:w="1560" w:type="dxa"/>
          </w:tcPr>
          <w:p w14:paraId="5F080F09">
            <w:pPr>
              <w:jc w:val="center"/>
              <w:rPr>
                <w:rFonts w:ascii="宋体" w:hAnsi="宋体" w:eastAsia="宋体" w:cs="Times New Roman"/>
                <w:color w:val="000000"/>
                <w:sz w:val="24"/>
                <w:szCs w:val="24"/>
              </w:rPr>
            </w:pPr>
          </w:p>
        </w:tc>
        <w:tc>
          <w:tcPr>
            <w:tcW w:w="1338" w:type="dxa"/>
            <w:vAlign w:val="center"/>
          </w:tcPr>
          <w:p w14:paraId="27316F9E">
            <w:pPr>
              <w:jc w:val="center"/>
              <w:rPr>
                <w:rFonts w:ascii="宋体" w:hAnsi="宋体" w:eastAsia="宋体" w:cs="Times New Roman"/>
                <w:color w:val="000000"/>
                <w:sz w:val="24"/>
                <w:szCs w:val="24"/>
              </w:rPr>
            </w:pPr>
          </w:p>
        </w:tc>
        <w:tc>
          <w:tcPr>
            <w:tcW w:w="1497" w:type="dxa"/>
            <w:vAlign w:val="center"/>
          </w:tcPr>
          <w:p w14:paraId="6D299E16">
            <w:pPr>
              <w:jc w:val="center"/>
              <w:rPr>
                <w:rFonts w:ascii="宋体" w:hAnsi="宋体" w:eastAsia="宋体" w:cs="Times New Roman"/>
                <w:color w:val="000000"/>
                <w:sz w:val="24"/>
                <w:szCs w:val="24"/>
              </w:rPr>
            </w:pPr>
          </w:p>
        </w:tc>
      </w:tr>
      <w:tr w14:paraId="2BBD29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781" w:type="dxa"/>
            <w:vAlign w:val="center"/>
          </w:tcPr>
          <w:p w14:paraId="65CD94DA">
            <w:pPr>
              <w:jc w:val="center"/>
              <w:rPr>
                <w:rFonts w:ascii="宋体" w:hAnsi="宋体" w:eastAsia="宋体" w:cs="Times New Roman"/>
                <w:color w:val="000000"/>
                <w:sz w:val="24"/>
                <w:szCs w:val="24"/>
              </w:rPr>
            </w:pPr>
          </w:p>
        </w:tc>
        <w:tc>
          <w:tcPr>
            <w:tcW w:w="1470" w:type="dxa"/>
            <w:vAlign w:val="center"/>
          </w:tcPr>
          <w:p w14:paraId="52EE3863">
            <w:pPr>
              <w:jc w:val="center"/>
              <w:rPr>
                <w:rFonts w:ascii="宋体" w:hAnsi="宋体" w:eastAsia="宋体" w:cs="Times New Roman"/>
                <w:color w:val="000000"/>
                <w:sz w:val="24"/>
                <w:szCs w:val="24"/>
              </w:rPr>
            </w:pPr>
          </w:p>
        </w:tc>
        <w:tc>
          <w:tcPr>
            <w:tcW w:w="1626" w:type="dxa"/>
          </w:tcPr>
          <w:p w14:paraId="35E338B0">
            <w:pPr>
              <w:jc w:val="center"/>
              <w:rPr>
                <w:rFonts w:ascii="宋体" w:hAnsi="宋体" w:eastAsia="宋体" w:cs="Times New Roman"/>
                <w:color w:val="000000"/>
                <w:sz w:val="24"/>
                <w:szCs w:val="24"/>
              </w:rPr>
            </w:pPr>
          </w:p>
        </w:tc>
        <w:tc>
          <w:tcPr>
            <w:tcW w:w="1560" w:type="dxa"/>
          </w:tcPr>
          <w:p w14:paraId="630B0477">
            <w:pPr>
              <w:jc w:val="center"/>
              <w:rPr>
                <w:rFonts w:ascii="宋体" w:hAnsi="宋体" w:eastAsia="宋体" w:cs="Times New Roman"/>
                <w:color w:val="000000"/>
                <w:sz w:val="24"/>
                <w:szCs w:val="24"/>
              </w:rPr>
            </w:pPr>
          </w:p>
        </w:tc>
        <w:tc>
          <w:tcPr>
            <w:tcW w:w="1338" w:type="dxa"/>
            <w:vAlign w:val="center"/>
          </w:tcPr>
          <w:p w14:paraId="70548267">
            <w:pPr>
              <w:jc w:val="center"/>
              <w:rPr>
                <w:rFonts w:ascii="宋体" w:hAnsi="宋体" w:eastAsia="宋体" w:cs="Times New Roman"/>
                <w:color w:val="000000"/>
                <w:sz w:val="24"/>
                <w:szCs w:val="24"/>
              </w:rPr>
            </w:pPr>
          </w:p>
        </w:tc>
        <w:tc>
          <w:tcPr>
            <w:tcW w:w="1497" w:type="dxa"/>
            <w:vAlign w:val="center"/>
          </w:tcPr>
          <w:p w14:paraId="79BD4BE6">
            <w:pPr>
              <w:jc w:val="center"/>
              <w:rPr>
                <w:rFonts w:ascii="宋体" w:hAnsi="宋体" w:eastAsia="宋体" w:cs="Times New Roman"/>
                <w:color w:val="000000"/>
                <w:sz w:val="24"/>
                <w:szCs w:val="24"/>
              </w:rPr>
            </w:pPr>
          </w:p>
        </w:tc>
      </w:tr>
    </w:tbl>
    <w:p w14:paraId="1118D817">
      <w:pPr>
        <w:spacing w:line="500" w:lineRule="exact"/>
        <w:ind w:firstLine="480"/>
        <w:rPr>
          <w:rFonts w:ascii="宋体" w:hAnsi="宋体" w:eastAsia="宋体" w:cs="Times New Roman"/>
          <w:color w:val="000000"/>
          <w:sz w:val="24"/>
          <w:szCs w:val="24"/>
        </w:rPr>
      </w:pPr>
    </w:p>
    <w:p w14:paraId="2AEE203D">
      <w:pPr>
        <w:spacing w:line="500" w:lineRule="exact"/>
        <w:ind w:firstLine="480"/>
        <w:rPr>
          <w:rFonts w:ascii="宋体" w:hAnsi="宋体" w:eastAsia="宋体" w:cs="Times New Roman"/>
          <w:color w:val="000000"/>
          <w:sz w:val="24"/>
          <w:szCs w:val="24"/>
        </w:rPr>
      </w:pPr>
    </w:p>
    <w:p w14:paraId="7F858EC1">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投标人（盖章）：</w:t>
      </w:r>
    </w:p>
    <w:p w14:paraId="08991CAA">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343E56D7">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105329BD"/>
    <w:p w14:paraId="3C59F06D"/>
    <w:p w14:paraId="003BBDEF"/>
    <w:p w14:paraId="34888D58">
      <w:pPr>
        <w:rPr>
          <w:sz w:val="24"/>
          <w:szCs w:val="24"/>
        </w:rPr>
      </w:pPr>
      <w:r>
        <w:rPr>
          <w:rFonts w:hint="eastAsia"/>
          <w:sz w:val="24"/>
          <w:szCs w:val="24"/>
        </w:rPr>
        <w:t xml:space="preserve">    </w:t>
      </w:r>
      <w:r>
        <w:rPr>
          <w:sz w:val="24"/>
          <w:szCs w:val="24"/>
        </w:rPr>
        <w:t>注：表格格式不为固定格式，请各投标人根据招标文件具体内容自行编制。</w:t>
      </w:r>
    </w:p>
    <w:p w14:paraId="653CBD6F">
      <w:pPr>
        <w:rPr>
          <w:sz w:val="24"/>
          <w:szCs w:val="24"/>
        </w:rPr>
      </w:pPr>
    </w:p>
    <w:p w14:paraId="4F80000B"/>
    <w:p w14:paraId="7389981E"/>
    <w:p w14:paraId="66559B65"/>
    <w:p w14:paraId="4FD5EA44"/>
    <w:p w14:paraId="3EC8A7D2"/>
    <w:p w14:paraId="231B1536"/>
    <w:p w14:paraId="5563E3D6"/>
    <w:p w14:paraId="4BF9153A"/>
    <w:p w14:paraId="497BCEAF">
      <w:pPr>
        <w:keepNext/>
        <w:keepLines/>
        <w:spacing w:before="360" w:after="200" w:line="360" w:lineRule="auto"/>
        <w:jc w:val="left"/>
        <w:outlineLvl w:val="1"/>
        <w:rPr>
          <w:rFonts w:ascii="Arial" w:hAnsi="Arial" w:eastAsia="宋体" w:cs="Arial"/>
          <w:b/>
          <w:sz w:val="36"/>
        </w:rPr>
      </w:pPr>
      <w:r>
        <w:rPr>
          <w:rFonts w:hint="eastAsia" w:ascii="Arial" w:hAnsi="Arial" w:eastAsia="宋体" w:cs="Arial"/>
          <w:b/>
          <w:sz w:val="36"/>
        </w:rPr>
        <w:t>十九、开标一览表</w:t>
      </w:r>
    </w:p>
    <w:p w14:paraId="7BCD2CA9">
      <w:pPr>
        <w:spacing w:line="360" w:lineRule="auto"/>
        <w:jc w:val="left"/>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项目编号：      分包号：</w:t>
      </w:r>
      <w:r>
        <w:rPr>
          <w:rFonts w:ascii="宋体" w:hAnsi="宋体" w:eastAsia="宋体" w:cs="Times New Roman"/>
          <w:bCs/>
          <w:color w:val="000000" w:themeColor="text1"/>
          <w:sz w:val="24"/>
          <w:szCs w:val="24"/>
          <w14:textFill>
            <w14:solidFill>
              <w14:schemeClr w14:val="tx1"/>
            </w14:solidFill>
          </w14:textFill>
        </w:rPr>
        <w:t xml:space="preserve"> </w:t>
      </w:r>
    </w:p>
    <w:p w14:paraId="22921CF8">
      <w:pPr>
        <w:spacing w:line="500" w:lineRule="exact"/>
        <w:ind w:firstLine="480"/>
        <w:jc w:val="righ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货币单位：人民币元</w:t>
      </w:r>
    </w:p>
    <w:tbl>
      <w:tblPr>
        <w:tblStyle w:val="30"/>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4"/>
        <w:gridCol w:w="2471"/>
        <w:gridCol w:w="3460"/>
      </w:tblGrid>
      <w:tr w14:paraId="6DF1E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4" w:type="dxa"/>
          </w:tcPr>
          <w:p w14:paraId="4A55796E">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项目名称</w:t>
            </w:r>
          </w:p>
        </w:tc>
        <w:tc>
          <w:tcPr>
            <w:tcW w:w="2471" w:type="dxa"/>
          </w:tcPr>
          <w:p w14:paraId="25D73A61">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项目内容</w:t>
            </w:r>
          </w:p>
        </w:tc>
        <w:tc>
          <w:tcPr>
            <w:tcW w:w="3460" w:type="dxa"/>
          </w:tcPr>
          <w:p w14:paraId="336D7041">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总价</w:t>
            </w:r>
            <w:r>
              <w:rPr>
                <w:rFonts w:hint="eastAsia" w:ascii="Times New Roman" w:hAnsi="Times New Roman" w:eastAsia="宋体" w:cs="Times New Roman"/>
                <w:color w:val="000000" w:themeColor="text1"/>
                <w:sz w:val="24"/>
                <w:szCs w:val="24"/>
                <w14:textFill>
                  <w14:solidFill>
                    <w14:schemeClr w14:val="tx1"/>
                  </w14:solidFill>
                </w14:textFill>
              </w:rPr>
              <w:t>（小写）</w:t>
            </w:r>
          </w:p>
        </w:tc>
      </w:tr>
      <w:tr w14:paraId="6095F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4" w:type="dxa"/>
          </w:tcPr>
          <w:p w14:paraId="1E870EA4">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p>
        </w:tc>
        <w:tc>
          <w:tcPr>
            <w:tcW w:w="2471" w:type="dxa"/>
          </w:tcPr>
          <w:p w14:paraId="1B4C0851">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详见投标文件</w:t>
            </w:r>
          </w:p>
        </w:tc>
        <w:tc>
          <w:tcPr>
            <w:tcW w:w="3460" w:type="dxa"/>
          </w:tcPr>
          <w:p w14:paraId="76591FD1">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               元</w:t>
            </w:r>
          </w:p>
        </w:tc>
      </w:tr>
      <w:tr w14:paraId="2BBD0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94" w:type="dxa"/>
          </w:tcPr>
          <w:p w14:paraId="5C7C9CB4">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总价（大写）</w:t>
            </w:r>
          </w:p>
        </w:tc>
        <w:tc>
          <w:tcPr>
            <w:tcW w:w="5931" w:type="dxa"/>
            <w:gridSpan w:val="2"/>
          </w:tcPr>
          <w:p w14:paraId="2EB21099">
            <w:pPr>
              <w:spacing w:line="500" w:lineRule="exact"/>
              <w:jc w:val="center"/>
              <w:rPr>
                <w:rFonts w:ascii="Times New Roman" w:hAnsi="Times New Roman" w:eastAsia="宋体" w:cs="Times New Roman"/>
                <w:color w:val="000000" w:themeColor="text1"/>
                <w:sz w:val="24"/>
                <w:szCs w:val="24"/>
                <w14:textFill>
                  <w14:solidFill>
                    <w14:schemeClr w14:val="tx1"/>
                  </w14:solidFill>
                </w14:textFill>
              </w:rPr>
            </w:pPr>
          </w:p>
        </w:tc>
      </w:tr>
    </w:tbl>
    <w:p w14:paraId="1E1C2952">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p>
    <w:p w14:paraId="65EBCE0C">
      <w:pPr>
        <w:spacing w:line="500" w:lineRule="exact"/>
        <w:rPr>
          <w:rFonts w:ascii="Times New Roman" w:hAnsi="Times New Roman" w:eastAsia="宋体" w:cs="Times New Roman"/>
          <w:color w:val="000000" w:themeColor="text1"/>
          <w:sz w:val="24"/>
          <w:szCs w:val="24"/>
          <w14:textFill>
            <w14:solidFill>
              <w14:schemeClr w14:val="tx1"/>
            </w14:solidFill>
          </w14:textFill>
        </w:rPr>
      </w:pPr>
    </w:p>
    <w:p w14:paraId="54B52735">
      <w:pPr>
        <w:widowControl/>
        <w:jc w:val="lef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br w:type="page"/>
      </w:r>
    </w:p>
    <w:p w14:paraId="0F17C4E5">
      <w:pPr>
        <w:keepNext/>
        <w:keepLines/>
        <w:spacing w:before="360" w:after="200" w:line="360" w:lineRule="auto"/>
        <w:jc w:val="left"/>
        <w:outlineLvl w:val="1"/>
        <w:rPr>
          <w:rFonts w:ascii="Arial" w:hAnsi="Arial" w:eastAsia="宋体" w:cs="Arial"/>
          <w:b/>
          <w:sz w:val="36"/>
        </w:rPr>
      </w:pPr>
      <w:bookmarkStart w:id="98" w:name="OLE_LINK44"/>
      <w:bookmarkStart w:id="99" w:name="OLE_LINK175"/>
      <w:bookmarkStart w:id="100" w:name="OLE_LINK176"/>
      <w:bookmarkStart w:id="101" w:name="OLE_LINK280"/>
      <w:r>
        <w:rPr>
          <w:rFonts w:hint="eastAsia" w:ascii="Arial" w:hAnsi="Arial" w:eastAsia="宋体" w:cs="Arial"/>
          <w:b/>
          <w:sz w:val="36"/>
        </w:rPr>
        <w:t>二十、</w:t>
      </w:r>
      <w:bookmarkStart w:id="102" w:name="OLE_LINK85"/>
      <w:r>
        <w:rPr>
          <w:rFonts w:hint="eastAsia" w:ascii="Arial" w:hAnsi="Arial" w:eastAsia="宋体" w:cs="Arial"/>
          <w:b/>
          <w:sz w:val="36"/>
        </w:rPr>
        <w:t>供应商公平参与市场竞争承诺函</w:t>
      </w:r>
      <w:bookmarkEnd w:id="98"/>
      <w:bookmarkEnd w:id="102"/>
    </w:p>
    <w:p w14:paraId="2370F39E">
      <w:pPr>
        <w:ind w:firstLine="420"/>
        <w:rPr>
          <w:rFonts w:ascii="宋体" w:hAnsi="宋体" w:eastAsia="宋体" w:cs="宋体"/>
          <w:bCs/>
          <w:kern w:val="2"/>
          <w:sz w:val="24"/>
          <w:szCs w:val="28"/>
        </w:rPr>
      </w:pPr>
    </w:p>
    <w:p w14:paraId="7881EE4E">
      <w:pPr>
        <w:topLinePunct/>
        <w:autoSpaceDE w:val="0"/>
        <w:autoSpaceDN w:val="0"/>
        <w:adjustRightInd w:val="0"/>
        <w:snapToGrid w:val="0"/>
        <w:spacing w:line="360" w:lineRule="auto"/>
        <w:ind w:firstLine="560" w:firstLineChars="200"/>
        <w:jc w:val="center"/>
        <w:rPr>
          <w:rFonts w:ascii="宋体" w:hAnsi="宋体" w:eastAsia="宋体" w:cs="宋体"/>
          <w:color w:val="000000"/>
          <w:sz w:val="28"/>
          <w:szCs w:val="24"/>
        </w:rPr>
      </w:pPr>
      <w:bookmarkStart w:id="103" w:name="OLE_LINK73"/>
      <w:r>
        <w:rPr>
          <w:rFonts w:hint="eastAsia" w:ascii="宋体" w:hAnsi="宋体" w:eastAsia="宋体" w:cs="方正小标宋简体"/>
          <w:color w:val="000000"/>
          <w:sz w:val="28"/>
          <w:szCs w:val="24"/>
        </w:rPr>
        <w:t>供应商公平参与市场竞争承诺函</w:t>
      </w:r>
    </w:p>
    <w:bookmarkEnd w:id="103"/>
    <w:p w14:paraId="67D4D379">
      <w:pPr>
        <w:topLinePunct/>
        <w:autoSpaceDE w:val="0"/>
        <w:autoSpaceDN w:val="0"/>
        <w:adjustRightInd w:val="0"/>
        <w:snapToGrid w:val="0"/>
        <w:spacing w:line="360" w:lineRule="auto"/>
        <w:rPr>
          <w:rFonts w:ascii="宋体" w:hAnsi="宋体" w:eastAsia="宋体" w:cs="仿宋_GB2312"/>
          <w:szCs w:val="24"/>
        </w:rPr>
      </w:pPr>
      <w:r>
        <w:rPr>
          <w:rFonts w:hint="eastAsia" w:ascii="宋体" w:hAnsi="宋体" w:eastAsia="宋体" w:cs="仿宋_GB2312"/>
          <w:color w:val="000000"/>
          <w:szCs w:val="24"/>
        </w:rPr>
        <w:t>致：</w:t>
      </w:r>
      <w:r>
        <w:rPr>
          <w:rFonts w:hint="eastAsia" w:ascii="宋体" w:hAnsi="宋体" w:eastAsia="宋体" w:cs="仿宋_GB2312"/>
          <w:color w:val="000000"/>
          <w:szCs w:val="24"/>
          <w:u w:val="single"/>
        </w:rPr>
        <w:t xml:space="preserve">        </w:t>
      </w:r>
      <w:r>
        <w:rPr>
          <w:rFonts w:hint="eastAsia" w:ascii="宋体" w:hAnsi="宋体" w:eastAsia="宋体" w:cs="仿宋_GB2312"/>
          <w:color w:val="000000"/>
          <w:szCs w:val="24"/>
        </w:rPr>
        <w:t>（采购人名称）</w:t>
      </w:r>
    </w:p>
    <w:p w14:paraId="37C83EEA">
      <w:pPr>
        <w:topLinePunct/>
        <w:autoSpaceDE w:val="0"/>
        <w:autoSpaceDN w:val="0"/>
        <w:adjustRightInd w:val="0"/>
        <w:snapToGrid w:val="0"/>
        <w:spacing w:line="360" w:lineRule="auto"/>
        <w:ind w:firstLine="420" w:firstLineChars="200"/>
        <w:rPr>
          <w:rFonts w:ascii="宋体" w:hAnsi="宋体" w:eastAsia="宋体" w:cs="仿宋_GB2312"/>
          <w:color w:val="000000"/>
          <w:szCs w:val="24"/>
        </w:rPr>
      </w:pPr>
      <w:r>
        <w:rPr>
          <w:rFonts w:hint="eastAsia" w:ascii="宋体" w:hAnsi="宋体" w:eastAsia="宋体" w:cs="仿宋_GB2312"/>
          <w:color w:val="000000"/>
          <w:szCs w:val="24"/>
        </w:rPr>
        <w:t>根据</w:t>
      </w:r>
      <w:r>
        <w:rPr>
          <w:rFonts w:hint="eastAsia" w:ascii="宋体" w:hAnsi="宋体" w:eastAsia="宋体" w:cs="仿宋_GB2312"/>
          <w:color w:val="000000"/>
          <w:szCs w:val="24"/>
          <w:u w:val="single"/>
        </w:rPr>
        <w:t xml:space="preserve">         </w:t>
      </w:r>
      <w:r>
        <w:rPr>
          <w:rFonts w:hint="eastAsia" w:ascii="宋体" w:hAnsi="宋体" w:eastAsia="宋体" w:cs="仿宋_GB2312"/>
          <w:color w:val="000000"/>
          <w:szCs w:val="24"/>
        </w:rPr>
        <w:t>（项目名称）（项目编号：</w:t>
      </w:r>
      <w:r>
        <w:rPr>
          <w:rFonts w:hint="eastAsia" w:ascii="宋体" w:hAnsi="宋体" w:eastAsia="宋体" w:cs="仿宋_GB2312"/>
          <w:color w:val="000000"/>
          <w:szCs w:val="24"/>
          <w:u w:val="single"/>
        </w:rPr>
        <w:t xml:space="preserve">          </w:t>
      </w:r>
      <w:r>
        <w:rPr>
          <w:rFonts w:hint="eastAsia" w:ascii="宋体" w:hAnsi="宋体" w:eastAsia="宋体" w:cs="仿宋_GB2312"/>
          <w:color w:val="000000"/>
          <w:szCs w:val="24"/>
        </w:rPr>
        <w:t>）的招标公告，</w:t>
      </w:r>
      <w:r>
        <w:rPr>
          <w:rFonts w:hint="eastAsia" w:ascii="宋体" w:hAnsi="宋体" w:eastAsia="宋体" w:cs="仿宋_GB2312"/>
          <w:color w:val="000000"/>
          <w:szCs w:val="24"/>
          <w:u w:val="single"/>
        </w:rPr>
        <w:t xml:space="preserve">            </w:t>
      </w:r>
      <w:r>
        <w:rPr>
          <w:rFonts w:hint="eastAsia" w:ascii="宋体" w:hAnsi="宋体" w:eastAsia="宋体" w:cs="仿宋_GB2312"/>
          <w:color w:val="000000"/>
          <w:szCs w:val="24"/>
        </w:rPr>
        <w:t>（供应商名称，以下简称“我单位”）参加本项目招标活动。现就有关情况进行说明，并就公平参与市场竞争作如下承诺：</w:t>
      </w:r>
    </w:p>
    <w:p w14:paraId="2416E7B2">
      <w:pPr>
        <w:topLinePunct/>
        <w:autoSpaceDE w:val="0"/>
        <w:autoSpaceDN w:val="0"/>
        <w:adjustRightInd w:val="0"/>
        <w:snapToGrid w:val="0"/>
        <w:spacing w:line="360" w:lineRule="auto"/>
        <w:ind w:firstLine="420" w:firstLineChars="200"/>
        <w:rPr>
          <w:rFonts w:ascii="宋体" w:hAnsi="宋体" w:eastAsia="宋体" w:cs="仿宋_GB2312"/>
          <w:szCs w:val="24"/>
        </w:rPr>
      </w:pPr>
      <w:r>
        <w:rPr>
          <w:rFonts w:hint="eastAsia" w:ascii="宋体" w:hAnsi="宋体" w:eastAsia="宋体" w:cs="仿宋_GB2312"/>
          <w:color w:val="000000"/>
          <w:szCs w:val="24"/>
        </w:rPr>
        <w:t>1.我单位</w:t>
      </w:r>
      <w:r>
        <w:rPr>
          <w:rFonts w:hint="eastAsia" w:ascii="宋体" w:hAnsi="宋体" w:eastAsia="宋体" w:cs="仿宋_GB2312"/>
          <w:szCs w:val="24"/>
        </w:rPr>
        <w:t>被</w:t>
      </w:r>
      <w:r>
        <w:rPr>
          <w:rFonts w:hint="eastAsia" w:ascii="宋体" w:hAnsi="宋体" w:eastAsia="宋体" w:cs="仿宋_GB2312"/>
          <w:color w:val="000000"/>
          <w:szCs w:val="24"/>
        </w:rPr>
        <w:t>授权代表</w:t>
      </w:r>
      <w:r>
        <w:rPr>
          <w:rFonts w:hint="eastAsia" w:ascii="宋体" w:hAnsi="宋体" w:eastAsia="宋体" w:cs="仿宋_GB2312"/>
          <w:color w:val="000000"/>
          <w:szCs w:val="24"/>
          <w:u w:val="single"/>
        </w:rPr>
        <w:t xml:space="preserve">           </w:t>
      </w:r>
      <w:r>
        <w:rPr>
          <w:rFonts w:hint="eastAsia" w:ascii="宋体" w:hAnsi="宋体" w:eastAsia="宋体" w:cs="仿宋_GB2312"/>
          <w:color w:val="000000"/>
          <w:szCs w:val="24"/>
        </w:rPr>
        <w:t>（被授权代表姓名）为</w:t>
      </w:r>
      <w:r>
        <w:rPr>
          <w:rFonts w:hint="eastAsia" w:ascii="宋体" w:hAnsi="宋体" w:eastAsia="宋体" w:cs="仿宋_GB2312"/>
          <w:color w:val="000000"/>
          <w:szCs w:val="24"/>
          <w:u w:val="single"/>
        </w:rPr>
        <w:t xml:space="preserve">       </w:t>
      </w:r>
      <w:r>
        <w:rPr>
          <w:rFonts w:hint="eastAsia" w:ascii="宋体" w:hAnsi="宋体" w:eastAsia="宋体" w:cs="仿宋_GB2312"/>
          <w:color w:val="000000"/>
          <w:szCs w:val="24"/>
        </w:rPr>
        <w:t>（被授权代表所在单位名称）员工，其由</w:t>
      </w:r>
      <w:r>
        <w:rPr>
          <w:rFonts w:hint="eastAsia" w:ascii="宋体" w:hAnsi="宋体" w:eastAsia="宋体" w:cs="仿宋_GB2312"/>
          <w:color w:val="000000"/>
          <w:szCs w:val="24"/>
          <w:u w:val="single"/>
        </w:rPr>
        <w:t xml:space="preserve">      </w:t>
      </w:r>
      <w:r>
        <w:rPr>
          <w:rFonts w:hint="eastAsia" w:ascii="宋体" w:hAnsi="宋体" w:eastAsia="宋体" w:cs="仿宋_GB2312"/>
          <w:color w:val="000000"/>
          <w:szCs w:val="24"/>
        </w:rPr>
        <w:t>（为被授权代表缴纳社保费和个人所得税的单位名称）统一缴纳社保费和办理个人所得税代扣代缴申报。我单位承诺：不存在与其他参与本项目的供应商委托同一单位或者个人办</w:t>
      </w:r>
      <w:r>
        <w:rPr>
          <w:rFonts w:hint="eastAsia" w:ascii="宋体" w:hAnsi="宋体" w:eastAsia="宋体" w:cs="仿宋_GB2312"/>
          <w:szCs w:val="24"/>
        </w:rPr>
        <w:t>理投标事宜的情况，也不存在接受其他供应商委托办理投标事宜的情况。如我单位被授权代表与参与该项目的其他供应商被授权代表为同一单位员工，或者由同一单位缴纳社保费或办理个人所得税代扣代缴申报；或者我单位被授权代表由参与本项目的其他供应商缴纳社保费或办理个人所得税代扣代缴申报，我单位同意按无效投标处理。</w:t>
      </w:r>
    </w:p>
    <w:p w14:paraId="761C9647">
      <w:pPr>
        <w:topLinePunct/>
        <w:autoSpaceDE w:val="0"/>
        <w:autoSpaceDN w:val="0"/>
        <w:adjustRightInd w:val="0"/>
        <w:snapToGrid w:val="0"/>
        <w:spacing w:line="360" w:lineRule="auto"/>
        <w:ind w:firstLine="420" w:firstLineChars="200"/>
        <w:rPr>
          <w:rFonts w:ascii="宋体" w:hAnsi="宋体" w:eastAsia="宋体" w:cs="仿宋_GB2312"/>
          <w:color w:val="000000"/>
          <w:szCs w:val="24"/>
        </w:rPr>
      </w:pPr>
      <w:r>
        <w:rPr>
          <w:rFonts w:hint="eastAsia" w:ascii="宋体" w:hAnsi="宋体" w:eastAsia="宋体" w:cs="仿宋_GB2312"/>
          <w:color w:val="000000"/>
          <w:szCs w:val="24"/>
        </w:rPr>
        <w:t>2.我单位承诺诚信参与政府采购活动，投标文件中所有资料均合法、真实，不存在下列情形：（1）提供虚假材料；（2）《政府采购法实施条例》第七十四条规定的恶意串通行为；（3）《政府采购货物和服务招标投标管理办法》（财政部令第87号）第三十七条规定的串通投标行为；（4）与其他参与本项目的供应商具有关联关系（包括：单位负责人、实际控制人为同一人，存在直接控股、管理关系）。</w:t>
      </w:r>
    </w:p>
    <w:p w14:paraId="4DBA2D2A">
      <w:pPr>
        <w:tabs>
          <w:tab w:val="left" w:pos="420"/>
        </w:tabs>
        <w:topLinePunct/>
        <w:autoSpaceDE w:val="0"/>
        <w:autoSpaceDN w:val="0"/>
        <w:adjustRightInd w:val="0"/>
        <w:snapToGrid w:val="0"/>
        <w:spacing w:line="360" w:lineRule="auto"/>
        <w:ind w:firstLine="428" w:firstLineChars="204"/>
        <w:rPr>
          <w:rFonts w:ascii="宋体" w:hAnsi="宋体" w:eastAsia="宋体" w:cs="仿宋_GB2312"/>
          <w:color w:val="000000"/>
          <w:szCs w:val="24"/>
        </w:rPr>
      </w:pPr>
    </w:p>
    <w:p w14:paraId="0BE85692">
      <w:pPr>
        <w:tabs>
          <w:tab w:val="left" w:pos="420"/>
        </w:tabs>
        <w:topLinePunct/>
        <w:autoSpaceDE w:val="0"/>
        <w:autoSpaceDN w:val="0"/>
        <w:adjustRightInd w:val="0"/>
        <w:snapToGrid w:val="0"/>
        <w:spacing w:line="360" w:lineRule="auto"/>
        <w:ind w:firstLine="420" w:firstLineChars="200"/>
        <w:rPr>
          <w:rFonts w:ascii="宋体" w:hAnsi="宋体" w:eastAsia="宋体" w:cs="仿宋_GB2312"/>
          <w:szCs w:val="24"/>
        </w:rPr>
      </w:pPr>
      <w:r>
        <w:rPr>
          <w:rFonts w:hint="eastAsia" w:ascii="宋体" w:hAnsi="宋体" w:eastAsia="宋体" w:cs="仿宋_GB2312"/>
          <w:color w:val="000000"/>
          <w:szCs w:val="24"/>
        </w:rPr>
        <w:t>供应商名称（公章）：</w:t>
      </w:r>
      <w:r>
        <w:rPr>
          <w:rFonts w:hint="eastAsia" w:ascii="宋体" w:hAnsi="宋体" w:eastAsia="宋体" w:cs="仿宋_GB2312"/>
          <w:color w:val="000000"/>
          <w:szCs w:val="24"/>
          <w:u w:val="single"/>
        </w:rPr>
        <w:t xml:space="preserve">            </w:t>
      </w:r>
    </w:p>
    <w:p w14:paraId="568CB15A">
      <w:pPr>
        <w:tabs>
          <w:tab w:val="left" w:pos="420"/>
        </w:tabs>
        <w:topLinePunct/>
        <w:autoSpaceDE w:val="0"/>
        <w:autoSpaceDN w:val="0"/>
        <w:adjustRightInd w:val="0"/>
        <w:snapToGrid w:val="0"/>
        <w:spacing w:line="360" w:lineRule="auto"/>
        <w:ind w:firstLine="420" w:firstLineChars="200"/>
        <w:rPr>
          <w:rFonts w:ascii="宋体" w:hAnsi="宋体" w:eastAsia="宋体" w:cs="仿宋_GB2312"/>
          <w:color w:val="000000"/>
          <w:szCs w:val="24"/>
        </w:rPr>
      </w:pPr>
      <w:r>
        <w:rPr>
          <w:rFonts w:hint="eastAsia" w:ascii="宋体" w:hAnsi="宋体" w:eastAsia="宋体" w:cs="仿宋_GB2312"/>
          <w:color w:val="000000"/>
          <w:szCs w:val="24"/>
        </w:rPr>
        <w:t>法定代表人（签字或签章）/被授权投标代表（签字）：</w:t>
      </w:r>
    </w:p>
    <w:p w14:paraId="533B3B2C">
      <w:pPr>
        <w:tabs>
          <w:tab w:val="left" w:pos="420"/>
          <w:tab w:val="left" w:pos="3030"/>
        </w:tabs>
        <w:topLinePunct/>
        <w:autoSpaceDE w:val="0"/>
        <w:autoSpaceDN w:val="0"/>
        <w:adjustRightInd w:val="0"/>
        <w:snapToGrid w:val="0"/>
        <w:spacing w:line="360" w:lineRule="auto"/>
        <w:ind w:firstLine="420" w:firstLineChars="200"/>
        <w:rPr>
          <w:rFonts w:ascii="宋体" w:hAnsi="宋体" w:eastAsia="宋体" w:cs="仿宋_GB2312"/>
          <w:szCs w:val="24"/>
        </w:rPr>
      </w:pPr>
      <w:r>
        <w:rPr>
          <w:rFonts w:hint="eastAsia" w:ascii="宋体" w:hAnsi="宋体" w:eastAsia="宋体" w:cs="仿宋_GB2312"/>
          <w:color w:val="000000"/>
          <w:szCs w:val="24"/>
          <w:u w:val="single"/>
        </w:rPr>
        <w:t xml:space="preserve">               </w:t>
      </w:r>
      <w:r>
        <w:rPr>
          <w:rFonts w:ascii="宋体" w:hAnsi="宋体" w:eastAsia="宋体" w:cs="仿宋_GB2312"/>
          <w:color w:val="000000"/>
          <w:szCs w:val="24"/>
          <w:u w:val="single"/>
        </w:rPr>
        <w:tab/>
      </w:r>
    </w:p>
    <w:p w14:paraId="21B3068D">
      <w:pPr>
        <w:tabs>
          <w:tab w:val="left" w:pos="420"/>
        </w:tabs>
        <w:topLinePunct/>
        <w:autoSpaceDE w:val="0"/>
        <w:autoSpaceDN w:val="0"/>
        <w:adjustRightInd w:val="0"/>
        <w:snapToGrid w:val="0"/>
        <w:spacing w:line="360" w:lineRule="auto"/>
        <w:ind w:firstLine="428" w:firstLineChars="204"/>
        <w:rPr>
          <w:rFonts w:ascii="宋体" w:hAnsi="宋体" w:eastAsia="宋体" w:cs="仿宋_GB2312"/>
          <w:szCs w:val="24"/>
        </w:rPr>
      </w:pPr>
      <w:r>
        <w:rPr>
          <w:rFonts w:hint="eastAsia" w:ascii="宋体" w:hAnsi="宋体" w:eastAsia="宋体" w:cs="仿宋_GB2312"/>
          <w:color w:val="000000"/>
          <w:szCs w:val="24"/>
        </w:rPr>
        <w:t>供应商地址：</w:t>
      </w:r>
      <w:r>
        <w:rPr>
          <w:rFonts w:hint="eastAsia" w:ascii="宋体" w:hAnsi="宋体" w:eastAsia="宋体" w:cs="仿宋_GB2312"/>
          <w:color w:val="000000"/>
          <w:szCs w:val="24"/>
          <w:u w:val="single"/>
        </w:rPr>
        <w:t xml:space="preserve">            </w:t>
      </w:r>
    </w:p>
    <w:p w14:paraId="4F8817ED">
      <w:pPr>
        <w:tabs>
          <w:tab w:val="left" w:pos="420"/>
        </w:tabs>
        <w:topLinePunct/>
        <w:autoSpaceDE w:val="0"/>
        <w:autoSpaceDN w:val="0"/>
        <w:adjustRightInd w:val="0"/>
        <w:snapToGrid w:val="0"/>
        <w:spacing w:line="360" w:lineRule="auto"/>
        <w:ind w:firstLine="428" w:firstLineChars="204"/>
        <w:rPr>
          <w:rFonts w:ascii="宋体" w:hAnsi="宋体" w:eastAsia="宋体" w:cs="仿宋_GB2312"/>
          <w:szCs w:val="24"/>
        </w:rPr>
      </w:pPr>
      <w:r>
        <w:rPr>
          <w:rFonts w:hint="eastAsia" w:ascii="宋体" w:hAnsi="宋体" w:eastAsia="宋体" w:cs="仿宋_GB2312"/>
          <w:color w:val="000000"/>
          <w:szCs w:val="24"/>
        </w:rPr>
        <w:t>邮编：</w:t>
      </w:r>
      <w:r>
        <w:rPr>
          <w:rFonts w:hint="eastAsia" w:ascii="宋体" w:hAnsi="宋体" w:eastAsia="宋体" w:cs="仿宋_GB2312"/>
          <w:color w:val="000000"/>
          <w:szCs w:val="24"/>
          <w:u w:val="single"/>
        </w:rPr>
        <w:t xml:space="preserve">            </w:t>
      </w:r>
    </w:p>
    <w:p w14:paraId="015CFC39">
      <w:pPr>
        <w:tabs>
          <w:tab w:val="left" w:pos="420"/>
        </w:tabs>
        <w:topLinePunct/>
        <w:autoSpaceDE w:val="0"/>
        <w:autoSpaceDN w:val="0"/>
        <w:adjustRightInd w:val="0"/>
        <w:snapToGrid w:val="0"/>
        <w:spacing w:line="360" w:lineRule="auto"/>
        <w:ind w:firstLine="428" w:firstLineChars="204"/>
        <w:rPr>
          <w:rFonts w:ascii="宋体" w:hAnsi="宋体" w:eastAsia="宋体" w:cs="仿宋_GB2312"/>
          <w:szCs w:val="24"/>
        </w:rPr>
      </w:pPr>
      <w:r>
        <w:rPr>
          <w:rFonts w:hint="eastAsia" w:ascii="宋体" w:hAnsi="宋体" w:eastAsia="宋体" w:cs="仿宋_GB2312"/>
          <w:color w:val="000000"/>
          <w:szCs w:val="24"/>
        </w:rPr>
        <w:t>电话：</w:t>
      </w:r>
      <w:r>
        <w:rPr>
          <w:rFonts w:hint="eastAsia" w:ascii="宋体" w:hAnsi="宋体" w:eastAsia="宋体" w:cs="仿宋_GB2312"/>
          <w:color w:val="000000"/>
          <w:szCs w:val="24"/>
          <w:u w:val="single"/>
        </w:rPr>
        <w:t xml:space="preserve">            </w:t>
      </w:r>
    </w:p>
    <w:p w14:paraId="39FD05F9">
      <w:pPr>
        <w:tabs>
          <w:tab w:val="left" w:pos="420"/>
        </w:tabs>
        <w:topLinePunct/>
        <w:autoSpaceDE w:val="0"/>
        <w:autoSpaceDN w:val="0"/>
        <w:adjustRightInd w:val="0"/>
        <w:snapToGrid w:val="0"/>
        <w:spacing w:line="360" w:lineRule="auto"/>
        <w:ind w:firstLine="428" w:firstLineChars="204"/>
        <w:rPr>
          <w:rFonts w:ascii="宋体" w:hAnsi="宋体" w:eastAsia="宋体" w:cs="仿宋_GB2312"/>
          <w:color w:val="000000"/>
          <w:szCs w:val="24"/>
          <w:u w:val="single"/>
        </w:rPr>
      </w:pPr>
      <w:r>
        <w:rPr>
          <w:rFonts w:hint="eastAsia" w:ascii="宋体" w:hAnsi="宋体" w:eastAsia="宋体" w:cs="仿宋_GB2312"/>
          <w:color w:val="000000"/>
          <w:szCs w:val="24"/>
        </w:rPr>
        <w:t>传真：</w:t>
      </w:r>
      <w:r>
        <w:rPr>
          <w:rFonts w:hint="eastAsia" w:ascii="宋体" w:hAnsi="宋体" w:eastAsia="宋体" w:cs="仿宋_GB2312"/>
          <w:color w:val="000000"/>
          <w:szCs w:val="24"/>
          <w:u w:val="single"/>
        </w:rPr>
        <w:t xml:space="preserve">            </w:t>
      </w:r>
    </w:p>
    <w:p w14:paraId="1BEF8635">
      <w:pPr>
        <w:tabs>
          <w:tab w:val="left" w:pos="420"/>
        </w:tabs>
        <w:topLinePunct/>
        <w:autoSpaceDE w:val="0"/>
        <w:autoSpaceDN w:val="0"/>
        <w:adjustRightInd w:val="0"/>
        <w:snapToGrid w:val="0"/>
        <w:spacing w:line="360" w:lineRule="auto"/>
        <w:ind w:firstLine="428" w:firstLineChars="204"/>
        <w:rPr>
          <w:rFonts w:ascii="宋体" w:hAnsi="宋体" w:eastAsia="宋体" w:cs="仿宋_GB2312"/>
          <w:szCs w:val="24"/>
        </w:rPr>
      </w:pPr>
      <w:r>
        <w:rPr>
          <w:rFonts w:hint="eastAsia" w:ascii="宋体" w:hAnsi="宋体" w:eastAsia="宋体" w:cs="仿宋_GB2312"/>
          <w:color w:val="000000"/>
          <w:szCs w:val="24"/>
        </w:rPr>
        <w:t>日期：</w:t>
      </w:r>
      <w:r>
        <w:rPr>
          <w:rFonts w:hint="eastAsia" w:ascii="宋体" w:hAnsi="宋体" w:eastAsia="宋体" w:cs="仿宋_GB2312"/>
          <w:color w:val="000000"/>
          <w:szCs w:val="24"/>
          <w:u w:val="single"/>
        </w:rPr>
        <w:t xml:space="preserve">            </w:t>
      </w:r>
      <w:r>
        <w:rPr>
          <w:rFonts w:hint="eastAsia" w:ascii="宋体" w:hAnsi="宋体" w:eastAsia="宋体" w:cs="仿宋_GB2312"/>
          <w:color w:val="000000"/>
          <w:szCs w:val="24"/>
        </w:rPr>
        <w:t xml:space="preserve">          </w:t>
      </w:r>
    </w:p>
    <w:p w14:paraId="011AB649">
      <w:pPr>
        <w:adjustRightInd w:val="0"/>
        <w:snapToGrid w:val="0"/>
        <w:spacing w:line="360" w:lineRule="auto"/>
        <w:rPr>
          <w:rFonts w:ascii="宋体" w:hAnsi="宋体" w:eastAsia="宋体" w:cs="仿宋_GB2312"/>
          <w:kern w:val="2"/>
          <w:szCs w:val="24"/>
        </w:rPr>
      </w:pPr>
      <w:r>
        <w:rPr>
          <w:rFonts w:hint="eastAsia" w:ascii="宋体" w:hAnsi="宋体" w:eastAsia="宋体" w:cs="仿宋_GB2312"/>
          <w:color w:val="000000"/>
          <w:kern w:val="2"/>
          <w:szCs w:val="24"/>
        </w:rPr>
        <w:t>特别说明：</w:t>
      </w:r>
    </w:p>
    <w:p w14:paraId="49D42C5F">
      <w:pPr>
        <w:adjustRightInd w:val="0"/>
        <w:snapToGrid w:val="0"/>
        <w:spacing w:line="360" w:lineRule="auto"/>
        <w:ind w:firstLine="420" w:firstLineChars="200"/>
        <w:jc w:val="left"/>
        <w:rPr>
          <w:rFonts w:ascii="宋体" w:hAnsi="宋体" w:eastAsia="宋体" w:cs="仿宋_GB2312"/>
          <w:kern w:val="2"/>
          <w:szCs w:val="24"/>
        </w:rPr>
      </w:pPr>
      <w:r>
        <w:rPr>
          <w:rFonts w:hint="eastAsia" w:ascii="宋体" w:hAnsi="宋体" w:eastAsia="宋体" w:cs="仿宋_GB2312"/>
          <w:color w:val="000000"/>
          <w:kern w:val="2"/>
          <w:szCs w:val="24"/>
        </w:rPr>
        <w:t>供应商应当按上述格式要求加盖与供应商名称全称一致的标准公章，并签署法定代表人或</w:t>
      </w:r>
      <w:r>
        <w:rPr>
          <w:rFonts w:hint="eastAsia" w:ascii="宋体" w:hAnsi="宋体" w:eastAsia="宋体" w:cs="仿宋_GB2312"/>
          <w:bCs/>
          <w:color w:val="000000"/>
          <w:kern w:val="2"/>
          <w:szCs w:val="24"/>
        </w:rPr>
        <w:t>被授权投标代表</w:t>
      </w:r>
      <w:r>
        <w:rPr>
          <w:rFonts w:hint="eastAsia" w:ascii="宋体" w:hAnsi="宋体" w:eastAsia="宋体" w:cs="仿宋_GB2312"/>
          <w:color w:val="000000"/>
          <w:kern w:val="2"/>
          <w:szCs w:val="24"/>
        </w:rPr>
        <w:t>的全名或加盖名章。</w:t>
      </w:r>
    </w:p>
    <w:bookmarkEnd w:id="99"/>
    <w:bookmarkEnd w:id="100"/>
    <w:p w14:paraId="51CFDB65">
      <w:pPr>
        <w:spacing w:line="360" w:lineRule="auto"/>
        <w:jc w:val="center"/>
        <w:rPr>
          <w:rFonts w:ascii="宋体" w:hAnsi="宋体" w:eastAsia="宋体" w:cs="Times New Roman"/>
          <w:kern w:val="2"/>
          <w:szCs w:val="24"/>
        </w:rPr>
      </w:pPr>
    </w:p>
    <w:bookmarkEnd w:id="101"/>
    <w:p w14:paraId="38C0ADD5">
      <w:pPr>
        <w:pStyle w:val="5"/>
        <w:outlineLvl w:val="1"/>
        <w:rPr>
          <w:rFonts w:ascii="Arial" w:hAnsi="Arial" w:eastAsia="宋体" w:cs="Arial"/>
          <w:b/>
          <w:sz w:val="36"/>
        </w:rPr>
      </w:pPr>
      <w:r>
        <w:rPr>
          <w:rFonts w:hint="eastAsia" w:ascii="Arial" w:hAnsi="Arial" w:eastAsia="宋体" w:cs="Arial"/>
          <w:b/>
          <w:sz w:val="36"/>
        </w:rPr>
        <w:t>二十一、</w:t>
      </w:r>
      <w:bookmarkStart w:id="104" w:name="OLE_LINK41"/>
      <w:bookmarkStart w:id="105" w:name="OLE_LINK40"/>
      <w:r>
        <w:rPr>
          <w:rFonts w:hint="eastAsia" w:ascii="Arial" w:hAnsi="Arial" w:eastAsia="宋体" w:cs="Arial"/>
          <w:b/>
          <w:sz w:val="36"/>
        </w:rPr>
        <w:t>拟分包项目情况表</w:t>
      </w:r>
      <w:bookmarkEnd w:id="104"/>
      <w:bookmarkEnd w:id="105"/>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6"/>
        <w:gridCol w:w="2336"/>
        <w:gridCol w:w="2336"/>
        <w:gridCol w:w="2100"/>
      </w:tblGrid>
      <w:tr w14:paraId="5B9D6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336" w:type="dxa"/>
            <w:tcBorders>
              <w:top w:val="single" w:color="auto" w:sz="4" w:space="0"/>
              <w:left w:val="single" w:color="auto" w:sz="4" w:space="0"/>
              <w:bottom w:val="single" w:color="auto" w:sz="4" w:space="0"/>
              <w:right w:val="single" w:color="auto" w:sz="4" w:space="0"/>
            </w:tcBorders>
            <w:vAlign w:val="center"/>
          </w:tcPr>
          <w:p w14:paraId="3E3C4A39">
            <w:pPr>
              <w:jc w:val="center"/>
              <w:rPr>
                <w:rFonts w:ascii="宋体" w:hAnsi="宋体" w:cs="宋体"/>
                <w:kern w:val="2"/>
              </w:rPr>
            </w:pPr>
            <w:r>
              <w:rPr>
                <w:rFonts w:hint="eastAsia" w:ascii="宋体" w:hAnsi="宋体" w:cs="宋体"/>
              </w:rPr>
              <w:t>分包的品目</w:t>
            </w:r>
          </w:p>
        </w:tc>
        <w:tc>
          <w:tcPr>
            <w:tcW w:w="2336" w:type="dxa"/>
            <w:tcBorders>
              <w:top w:val="single" w:color="auto" w:sz="4" w:space="0"/>
              <w:left w:val="single" w:color="auto" w:sz="4" w:space="0"/>
              <w:bottom w:val="single" w:color="auto" w:sz="4" w:space="0"/>
              <w:right w:val="single" w:color="auto" w:sz="4" w:space="0"/>
            </w:tcBorders>
            <w:vAlign w:val="center"/>
          </w:tcPr>
          <w:p w14:paraId="5789AFA1">
            <w:pPr>
              <w:jc w:val="center"/>
              <w:rPr>
                <w:rFonts w:ascii="宋体" w:hAnsi="宋体" w:cs="宋体"/>
                <w:kern w:val="2"/>
              </w:rPr>
            </w:pPr>
            <w:r>
              <w:rPr>
                <w:rFonts w:hint="eastAsia" w:ascii="宋体" w:hAnsi="宋体" w:cs="宋体"/>
              </w:rPr>
              <w:t>主要服务内容</w:t>
            </w:r>
          </w:p>
        </w:tc>
        <w:tc>
          <w:tcPr>
            <w:tcW w:w="2336" w:type="dxa"/>
            <w:tcBorders>
              <w:top w:val="single" w:color="auto" w:sz="4" w:space="0"/>
              <w:left w:val="single" w:color="auto" w:sz="4" w:space="0"/>
              <w:bottom w:val="single" w:color="auto" w:sz="4" w:space="0"/>
              <w:right w:val="single" w:color="auto" w:sz="4" w:space="0"/>
            </w:tcBorders>
            <w:vAlign w:val="center"/>
          </w:tcPr>
          <w:p w14:paraId="237D4766">
            <w:pPr>
              <w:jc w:val="center"/>
              <w:rPr>
                <w:rFonts w:ascii="宋体" w:hAnsi="宋体" w:cs="宋体"/>
                <w:kern w:val="2"/>
              </w:rPr>
            </w:pPr>
            <w:r>
              <w:rPr>
                <w:rFonts w:hint="eastAsia" w:ascii="宋体" w:hAnsi="宋体" w:cs="宋体"/>
              </w:rPr>
              <w:t>预计分包金额（万元）</w:t>
            </w:r>
          </w:p>
        </w:tc>
        <w:tc>
          <w:tcPr>
            <w:tcW w:w="2100" w:type="dxa"/>
            <w:vMerge w:val="restart"/>
            <w:tcBorders>
              <w:top w:val="single" w:color="auto" w:sz="4" w:space="0"/>
              <w:left w:val="single" w:color="auto" w:sz="4" w:space="0"/>
              <w:bottom w:val="single" w:color="auto" w:sz="4" w:space="0"/>
              <w:right w:val="single" w:color="auto" w:sz="4" w:space="0"/>
            </w:tcBorders>
            <w:vAlign w:val="center"/>
          </w:tcPr>
          <w:p w14:paraId="6D3BAC34">
            <w:pPr>
              <w:widowControl/>
              <w:rPr>
                <w:rFonts w:ascii="宋体" w:hAnsi="宋体" w:cs="宋体"/>
                <w:szCs w:val="21"/>
              </w:rPr>
            </w:pPr>
          </w:p>
        </w:tc>
      </w:tr>
      <w:tr w14:paraId="2BCDF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336" w:type="dxa"/>
            <w:tcBorders>
              <w:top w:val="single" w:color="auto" w:sz="4" w:space="0"/>
              <w:left w:val="single" w:color="auto" w:sz="4" w:space="0"/>
              <w:bottom w:val="single" w:color="auto" w:sz="4" w:space="0"/>
              <w:right w:val="single" w:color="auto" w:sz="4" w:space="0"/>
            </w:tcBorders>
            <w:vAlign w:val="center"/>
          </w:tcPr>
          <w:p w14:paraId="0606F49B">
            <w:pPr>
              <w:widowControl/>
              <w:jc w:val="center"/>
              <w:rPr>
                <w:rFonts w:ascii="宋体" w:hAnsi="宋体" w:cs="宋体"/>
                <w:szCs w:val="21"/>
              </w:rPr>
            </w:pPr>
          </w:p>
        </w:tc>
        <w:tc>
          <w:tcPr>
            <w:tcW w:w="2336" w:type="dxa"/>
            <w:tcBorders>
              <w:top w:val="single" w:color="auto" w:sz="4" w:space="0"/>
              <w:left w:val="single" w:color="auto" w:sz="4" w:space="0"/>
              <w:bottom w:val="single" w:color="auto" w:sz="4" w:space="0"/>
              <w:right w:val="single" w:color="auto" w:sz="4" w:space="0"/>
            </w:tcBorders>
            <w:vAlign w:val="center"/>
          </w:tcPr>
          <w:p w14:paraId="53FAEE89">
            <w:pPr>
              <w:widowControl/>
              <w:rPr>
                <w:rFonts w:ascii="宋体" w:hAnsi="宋体" w:cs="宋体"/>
                <w:szCs w:val="21"/>
              </w:rPr>
            </w:pPr>
          </w:p>
        </w:tc>
        <w:tc>
          <w:tcPr>
            <w:tcW w:w="2336" w:type="dxa"/>
            <w:tcBorders>
              <w:top w:val="single" w:color="auto" w:sz="4" w:space="0"/>
              <w:left w:val="single" w:color="auto" w:sz="4" w:space="0"/>
              <w:bottom w:val="single" w:color="auto" w:sz="4" w:space="0"/>
              <w:right w:val="single" w:color="auto" w:sz="4" w:space="0"/>
            </w:tcBorders>
            <w:vAlign w:val="center"/>
          </w:tcPr>
          <w:p w14:paraId="0500828A">
            <w:pPr>
              <w:widowControl/>
              <w:rPr>
                <w:rFonts w:ascii="宋体" w:hAnsi="宋体" w:cs="宋体"/>
                <w:szCs w:val="21"/>
              </w:rPr>
            </w:pPr>
          </w:p>
        </w:tc>
        <w:tc>
          <w:tcPr>
            <w:tcW w:w="2100" w:type="dxa"/>
            <w:vMerge w:val="continue"/>
            <w:tcBorders>
              <w:top w:val="single" w:color="auto" w:sz="4" w:space="0"/>
              <w:left w:val="single" w:color="auto" w:sz="4" w:space="0"/>
              <w:bottom w:val="single" w:color="auto" w:sz="4" w:space="0"/>
              <w:right w:val="single" w:color="auto" w:sz="4" w:space="0"/>
            </w:tcBorders>
            <w:vAlign w:val="center"/>
          </w:tcPr>
          <w:p w14:paraId="5833F9AD">
            <w:pPr>
              <w:widowControl/>
              <w:jc w:val="left"/>
              <w:rPr>
                <w:rFonts w:ascii="宋体" w:hAnsi="宋体" w:cs="宋体"/>
                <w:szCs w:val="21"/>
              </w:rPr>
            </w:pPr>
          </w:p>
        </w:tc>
      </w:tr>
      <w:tr w14:paraId="7EF17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336" w:type="dxa"/>
            <w:tcBorders>
              <w:top w:val="single" w:color="auto" w:sz="4" w:space="0"/>
              <w:left w:val="single" w:color="auto" w:sz="4" w:space="0"/>
              <w:bottom w:val="single" w:color="auto" w:sz="4" w:space="0"/>
              <w:right w:val="single" w:color="auto" w:sz="4" w:space="0"/>
            </w:tcBorders>
            <w:vAlign w:val="center"/>
          </w:tcPr>
          <w:p w14:paraId="110949BE">
            <w:pPr>
              <w:widowControl/>
              <w:rPr>
                <w:rFonts w:ascii="宋体" w:hAnsi="宋体" w:cs="宋体"/>
                <w:szCs w:val="21"/>
              </w:rPr>
            </w:pPr>
          </w:p>
        </w:tc>
        <w:tc>
          <w:tcPr>
            <w:tcW w:w="2336" w:type="dxa"/>
            <w:tcBorders>
              <w:top w:val="single" w:color="auto" w:sz="4" w:space="0"/>
              <w:left w:val="single" w:color="auto" w:sz="4" w:space="0"/>
              <w:bottom w:val="single" w:color="auto" w:sz="4" w:space="0"/>
              <w:right w:val="single" w:color="auto" w:sz="4" w:space="0"/>
            </w:tcBorders>
            <w:vAlign w:val="center"/>
          </w:tcPr>
          <w:p w14:paraId="1667ED03">
            <w:pPr>
              <w:widowControl/>
              <w:rPr>
                <w:rFonts w:ascii="宋体" w:hAnsi="宋体" w:cs="宋体"/>
                <w:szCs w:val="21"/>
              </w:rPr>
            </w:pPr>
          </w:p>
        </w:tc>
        <w:tc>
          <w:tcPr>
            <w:tcW w:w="2336" w:type="dxa"/>
            <w:tcBorders>
              <w:top w:val="single" w:color="auto" w:sz="4" w:space="0"/>
              <w:left w:val="single" w:color="auto" w:sz="4" w:space="0"/>
              <w:bottom w:val="single" w:color="auto" w:sz="4" w:space="0"/>
              <w:right w:val="single" w:color="auto" w:sz="4" w:space="0"/>
            </w:tcBorders>
            <w:vAlign w:val="center"/>
          </w:tcPr>
          <w:p w14:paraId="7712285E">
            <w:pPr>
              <w:widowControl/>
              <w:rPr>
                <w:rFonts w:ascii="宋体" w:hAnsi="宋体" w:cs="宋体"/>
                <w:szCs w:val="21"/>
              </w:rPr>
            </w:pPr>
          </w:p>
        </w:tc>
        <w:tc>
          <w:tcPr>
            <w:tcW w:w="2100" w:type="dxa"/>
            <w:vMerge w:val="continue"/>
            <w:tcBorders>
              <w:top w:val="single" w:color="auto" w:sz="4" w:space="0"/>
              <w:left w:val="single" w:color="auto" w:sz="4" w:space="0"/>
              <w:bottom w:val="single" w:color="auto" w:sz="4" w:space="0"/>
              <w:right w:val="single" w:color="auto" w:sz="4" w:space="0"/>
            </w:tcBorders>
            <w:vAlign w:val="center"/>
          </w:tcPr>
          <w:p w14:paraId="190ACFC3">
            <w:pPr>
              <w:widowControl/>
              <w:jc w:val="left"/>
              <w:rPr>
                <w:rFonts w:ascii="宋体" w:hAnsi="宋体" w:cs="宋体"/>
                <w:szCs w:val="21"/>
              </w:rPr>
            </w:pPr>
          </w:p>
        </w:tc>
      </w:tr>
      <w:tr w14:paraId="55E16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336" w:type="dxa"/>
            <w:tcBorders>
              <w:top w:val="single" w:color="auto" w:sz="4" w:space="0"/>
              <w:left w:val="single" w:color="auto" w:sz="4" w:space="0"/>
              <w:bottom w:val="single" w:color="auto" w:sz="4" w:space="0"/>
              <w:right w:val="single" w:color="auto" w:sz="4" w:space="0"/>
            </w:tcBorders>
            <w:vAlign w:val="center"/>
          </w:tcPr>
          <w:p w14:paraId="0A3D516E">
            <w:pPr>
              <w:widowControl/>
              <w:rPr>
                <w:rFonts w:ascii="宋体" w:hAnsi="宋体" w:cs="宋体"/>
                <w:szCs w:val="21"/>
              </w:rPr>
            </w:pPr>
          </w:p>
        </w:tc>
        <w:tc>
          <w:tcPr>
            <w:tcW w:w="2336" w:type="dxa"/>
            <w:tcBorders>
              <w:top w:val="single" w:color="auto" w:sz="4" w:space="0"/>
              <w:left w:val="single" w:color="auto" w:sz="4" w:space="0"/>
              <w:bottom w:val="single" w:color="auto" w:sz="4" w:space="0"/>
              <w:right w:val="single" w:color="auto" w:sz="4" w:space="0"/>
            </w:tcBorders>
            <w:vAlign w:val="center"/>
          </w:tcPr>
          <w:p w14:paraId="3449BDBA">
            <w:pPr>
              <w:widowControl/>
              <w:rPr>
                <w:rFonts w:ascii="宋体" w:hAnsi="宋体" w:cs="宋体"/>
                <w:szCs w:val="21"/>
              </w:rPr>
            </w:pPr>
          </w:p>
        </w:tc>
        <w:tc>
          <w:tcPr>
            <w:tcW w:w="2336" w:type="dxa"/>
            <w:tcBorders>
              <w:top w:val="single" w:color="auto" w:sz="4" w:space="0"/>
              <w:left w:val="single" w:color="auto" w:sz="4" w:space="0"/>
              <w:bottom w:val="single" w:color="auto" w:sz="4" w:space="0"/>
              <w:right w:val="single" w:color="auto" w:sz="4" w:space="0"/>
            </w:tcBorders>
            <w:vAlign w:val="center"/>
          </w:tcPr>
          <w:p w14:paraId="04429A5D">
            <w:pPr>
              <w:widowControl/>
              <w:rPr>
                <w:rFonts w:ascii="宋体" w:hAnsi="宋体" w:cs="宋体"/>
                <w:szCs w:val="21"/>
              </w:rPr>
            </w:pPr>
          </w:p>
        </w:tc>
        <w:tc>
          <w:tcPr>
            <w:tcW w:w="2100" w:type="dxa"/>
            <w:vMerge w:val="continue"/>
            <w:tcBorders>
              <w:top w:val="single" w:color="auto" w:sz="4" w:space="0"/>
              <w:left w:val="single" w:color="auto" w:sz="4" w:space="0"/>
              <w:bottom w:val="single" w:color="auto" w:sz="4" w:space="0"/>
              <w:right w:val="single" w:color="auto" w:sz="4" w:space="0"/>
            </w:tcBorders>
            <w:vAlign w:val="center"/>
          </w:tcPr>
          <w:p w14:paraId="531AFE59">
            <w:pPr>
              <w:widowControl/>
              <w:jc w:val="left"/>
              <w:rPr>
                <w:rFonts w:ascii="宋体" w:hAnsi="宋体" w:cs="宋体"/>
                <w:szCs w:val="21"/>
              </w:rPr>
            </w:pPr>
          </w:p>
        </w:tc>
      </w:tr>
      <w:tr w14:paraId="4E428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336" w:type="dxa"/>
            <w:tcBorders>
              <w:top w:val="single" w:color="auto" w:sz="4" w:space="0"/>
              <w:left w:val="single" w:color="auto" w:sz="4" w:space="0"/>
              <w:bottom w:val="single" w:color="auto" w:sz="4" w:space="0"/>
              <w:right w:val="single" w:color="auto" w:sz="4" w:space="0"/>
            </w:tcBorders>
            <w:vAlign w:val="center"/>
          </w:tcPr>
          <w:p w14:paraId="4A86B65E">
            <w:pPr>
              <w:widowControl/>
              <w:rPr>
                <w:rFonts w:ascii="宋体" w:hAnsi="宋体" w:cs="宋体"/>
                <w:szCs w:val="21"/>
              </w:rPr>
            </w:pPr>
          </w:p>
        </w:tc>
        <w:tc>
          <w:tcPr>
            <w:tcW w:w="2336" w:type="dxa"/>
            <w:tcBorders>
              <w:top w:val="single" w:color="auto" w:sz="4" w:space="0"/>
              <w:left w:val="single" w:color="auto" w:sz="4" w:space="0"/>
              <w:bottom w:val="single" w:color="auto" w:sz="4" w:space="0"/>
              <w:right w:val="single" w:color="auto" w:sz="4" w:space="0"/>
            </w:tcBorders>
            <w:vAlign w:val="center"/>
          </w:tcPr>
          <w:p w14:paraId="6DAD9571">
            <w:pPr>
              <w:widowControl/>
              <w:rPr>
                <w:rFonts w:ascii="宋体" w:hAnsi="宋体" w:cs="宋体"/>
                <w:szCs w:val="21"/>
              </w:rPr>
            </w:pPr>
          </w:p>
        </w:tc>
        <w:tc>
          <w:tcPr>
            <w:tcW w:w="2336" w:type="dxa"/>
            <w:tcBorders>
              <w:top w:val="single" w:color="auto" w:sz="4" w:space="0"/>
              <w:left w:val="single" w:color="auto" w:sz="4" w:space="0"/>
              <w:bottom w:val="single" w:color="auto" w:sz="4" w:space="0"/>
              <w:right w:val="single" w:color="auto" w:sz="4" w:space="0"/>
            </w:tcBorders>
          </w:tcPr>
          <w:p w14:paraId="5BF5037E">
            <w:pPr>
              <w:widowControl/>
              <w:ind w:firstLine="420" w:firstLineChars="200"/>
              <w:rPr>
                <w:rFonts w:ascii="宋体" w:hAnsi="宋体" w:cs="宋体"/>
                <w:szCs w:val="21"/>
              </w:rPr>
            </w:pPr>
          </w:p>
        </w:tc>
        <w:tc>
          <w:tcPr>
            <w:tcW w:w="2100" w:type="dxa"/>
            <w:vMerge w:val="continue"/>
            <w:tcBorders>
              <w:top w:val="single" w:color="auto" w:sz="4" w:space="0"/>
              <w:left w:val="single" w:color="auto" w:sz="4" w:space="0"/>
              <w:bottom w:val="single" w:color="auto" w:sz="4" w:space="0"/>
              <w:right w:val="single" w:color="auto" w:sz="4" w:space="0"/>
            </w:tcBorders>
            <w:vAlign w:val="center"/>
          </w:tcPr>
          <w:p w14:paraId="3B37ADEA">
            <w:pPr>
              <w:widowControl/>
              <w:jc w:val="left"/>
              <w:rPr>
                <w:rFonts w:ascii="宋体" w:hAnsi="宋体" w:cs="宋体"/>
                <w:szCs w:val="21"/>
              </w:rPr>
            </w:pPr>
          </w:p>
        </w:tc>
      </w:tr>
      <w:tr w14:paraId="67425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336" w:type="dxa"/>
            <w:tcBorders>
              <w:top w:val="single" w:color="auto" w:sz="4" w:space="0"/>
              <w:left w:val="single" w:color="auto" w:sz="4" w:space="0"/>
              <w:bottom w:val="single" w:color="auto" w:sz="4" w:space="0"/>
              <w:right w:val="single" w:color="auto" w:sz="4" w:space="0"/>
            </w:tcBorders>
            <w:vAlign w:val="center"/>
          </w:tcPr>
          <w:p w14:paraId="321EEB5B">
            <w:pPr>
              <w:widowControl/>
              <w:rPr>
                <w:rFonts w:ascii="宋体" w:hAnsi="宋体" w:cs="宋体"/>
                <w:szCs w:val="21"/>
              </w:rPr>
            </w:pPr>
          </w:p>
        </w:tc>
        <w:tc>
          <w:tcPr>
            <w:tcW w:w="2336" w:type="dxa"/>
            <w:tcBorders>
              <w:top w:val="single" w:color="auto" w:sz="4" w:space="0"/>
              <w:left w:val="single" w:color="auto" w:sz="4" w:space="0"/>
              <w:bottom w:val="single" w:color="auto" w:sz="4" w:space="0"/>
              <w:right w:val="single" w:color="auto" w:sz="4" w:space="0"/>
            </w:tcBorders>
            <w:vAlign w:val="center"/>
          </w:tcPr>
          <w:p w14:paraId="5FA0E7AF">
            <w:pPr>
              <w:widowControl/>
              <w:rPr>
                <w:rFonts w:ascii="宋体" w:hAnsi="宋体" w:cs="宋体"/>
                <w:szCs w:val="21"/>
              </w:rPr>
            </w:pPr>
          </w:p>
        </w:tc>
        <w:tc>
          <w:tcPr>
            <w:tcW w:w="2336" w:type="dxa"/>
            <w:tcBorders>
              <w:top w:val="single" w:color="auto" w:sz="4" w:space="0"/>
              <w:left w:val="single" w:color="auto" w:sz="4" w:space="0"/>
              <w:bottom w:val="single" w:color="auto" w:sz="4" w:space="0"/>
              <w:right w:val="single" w:color="auto" w:sz="4" w:space="0"/>
            </w:tcBorders>
          </w:tcPr>
          <w:p w14:paraId="5402F2E6">
            <w:pPr>
              <w:widowControl/>
              <w:rPr>
                <w:rFonts w:ascii="宋体" w:hAnsi="宋体" w:cs="宋体"/>
                <w:szCs w:val="21"/>
              </w:rPr>
            </w:pPr>
          </w:p>
        </w:tc>
        <w:tc>
          <w:tcPr>
            <w:tcW w:w="2100" w:type="dxa"/>
            <w:vMerge w:val="continue"/>
            <w:tcBorders>
              <w:top w:val="single" w:color="auto" w:sz="4" w:space="0"/>
              <w:left w:val="single" w:color="auto" w:sz="4" w:space="0"/>
              <w:bottom w:val="single" w:color="auto" w:sz="4" w:space="0"/>
              <w:right w:val="single" w:color="auto" w:sz="4" w:space="0"/>
            </w:tcBorders>
            <w:vAlign w:val="center"/>
          </w:tcPr>
          <w:p w14:paraId="07F336DC">
            <w:pPr>
              <w:widowControl/>
              <w:jc w:val="left"/>
              <w:rPr>
                <w:rFonts w:ascii="宋体" w:hAnsi="宋体" w:cs="宋体"/>
                <w:szCs w:val="21"/>
              </w:rPr>
            </w:pPr>
          </w:p>
        </w:tc>
      </w:tr>
      <w:tr w14:paraId="7152A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336" w:type="dxa"/>
            <w:tcBorders>
              <w:top w:val="single" w:color="auto" w:sz="4" w:space="0"/>
              <w:left w:val="single" w:color="auto" w:sz="4" w:space="0"/>
              <w:bottom w:val="single" w:color="auto" w:sz="4" w:space="0"/>
              <w:right w:val="single" w:color="auto" w:sz="4" w:space="0"/>
            </w:tcBorders>
            <w:vAlign w:val="center"/>
          </w:tcPr>
          <w:p w14:paraId="7B3274CD">
            <w:pPr>
              <w:widowControl/>
              <w:rPr>
                <w:rFonts w:ascii="宋体" w:hAnsi="宋体" w:cs="宋体"/>
                <w:szCs w:val="21"/>
              </w:rPr>
            </w:pPr>
          </w:p>
        </w:tc>
        <w:tc>
          <w:tcPr>
            <w:tcW w:w="2336" w:type="dxa"/>
            <w:tcBorders>
              <w:top w:val="single" w:color="auto" w:sz="4" w:space="0"/>
              <w:left w:val="single" w:color="auto" w:sz="4" w:space="0"/>
              <w:bottom w:val="single" w:color="auto" w:sz="4" w:space="0"/>
              <w:right w:val="single" w:color="auto" w:sz="4" w:space="0"/>
            </w:tcBorders>
            <w:vAlign w:val="center"/>
          </w:tcPr>
          <w:p w14:paraId="52105D39">
            <w:pPr>
              <w:widowControl/>
              <w:rPr>
                <w:rFonts w:ascii="宋体" w:hAnsi="宋体" w:cs="宋体"/>
                <w:szCs w:val="21"/>
              </w:rPr>
            </w:pPr>
          </w:p>
        </w:tc>
        <w:tc>
          <w:tcPr>
            <w:tcW w:w="2336" w:type="dxa"/>
            <w:tcBorders>
              <w:top w:val="single" w:color="auto" w:sz="4" w:space="0"/>
              <w:left w:val="single" w:color="auto" w:sz="4" w:space="0"/>
              <w:bottom w:val="single" w:color="auto" w:sz="4" w:space="0"/>
              <w:right w:val="single" w:color="auto" w:sz="4" w:space="0"/>
            </w:tcBorders>
          </w:tcPr>
          <w:p w14:paraId="50E4CA2C">
            <w:pPr>
              <w:widowControl/>
              <w:rPr>
                <w:rFonts w:ascii="宋体" w:hAnsi="宋体" w:cs="宋体"/>
                <w:szCs w:val="21"/>
              </w:rPr>
            </w:pPr>
          </w:p>
        </w:tc>
        <w:tc>
          <w:tcPr>
            <w:tcW w:w="2100" w:type="dxa"/>
            <w:vMerge w:val="continue"/>
            <w:tcBorders>
              <w:top w:val="single" w:color="auto" w:sz="4" w:space="0"/>
              <w:left w:val="single" w:color="auto" w:sz="4" w:space="0"/>
              <w:bottom w:val="single" w:color="auto" w:sz="4" w:space="0"/>
              <w:right w:val="single" w:color="auto" w:sz="4" w:space="0"/>
            </w:tcBorders>
            <w:vAlign w:val="center"/>
          </w:tcPr>
          <w:p w14:paraId="094ED43E">
            <w:pPr>
              <w:widowControl/>
              <w:jc w:val="left"/>
              <w:rPr>
                <w:rFonts w:ascii="宋体" w:hAnsi="宋体" w:cs="宋体"/>
                <w:szCs w:val="21"/>
              </w:rPr>
            </w:pPr>
          </w:p>
        </w:tc>
      </w:tr>
      <w:tr w14:paraId="1B68D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336" w:type="dxa"/>
            <w:tcBorders>
              <w:top w:val="single" w:color="auto" w:sz="4" w:space="0"/>
              <w:left w:val="single" w:color="auto" w:sz="4" w:space="0"/>
              <w:bottom w:val="single" w:color="auto" w:sz="4" w:space="0"/>
              <w:right w:val="single" w:color="auto" w:sz="4" w:space="0"/>
            </w:tcBorders>
            <w:vAlign w:val="center"/>
          </w:tcPr>
          <w:p w14:paraId="7A93378D">
            <w:pPr>
              <w:widowControl/>
              <w:rPr>
                <w:rFonts w:ascii="宋体" w:hAnsi="宋体" w:cs="宋体"/>
                <w:szCs w:val="21"/>
              </w:rPr>
            </w:pPr>
          </w:p>
        </w:tc>
        <w:tc>
          <w:tcPr>
            <w:tcW w:w="2336" w:type="dxa"/>
            <w:tcBorders>
              <w:top w:val="single" w:color="auto" w:sz="4" w:space="0"/>
              <w:left w:val="single" w:color="auto" w:sz="4" w:space="0"/>
              <w:bottom w:val="single" w:color="auto" w:sz="4" w:space="0"/>
              <w:right w:val="single" w:color="auto" w:sz="4" w:space="0"/>
            </w:tcBorders>
            <w:vAlign w:val="center"/>
          </w:tcPr>
          <w:p w14:paraId="175FCD2A">
            <w:pPr>
              <w:widowControl/>
              <w:rPr>
                <w:rFonts w:ascii="宋体" w:hAnsi="宋体" w:cs="宋体"/>
                <w:szCs w:val="21"/>
              </w:rPr>
            </w:pPr>
          </w:p>
        </w:tc>
        <w:tc>
          <w:tcPr>
            <w:tcW w:w="2336" w:type="dxa"/>
            <w:tcBorders>
              <w:top w:val="single" w:color="auto" w:sz="4" w:space="0"/>
              <w:left w:val="single" w:color="auto" w:sz="4" w:space="0"/>
              <w:bottom w:val="single" w:color="auto" w:sz="4" w:space="0"/>
              <w:right w:val="single" w:color="auto" w:sz="4" w:space="0"/>
            </w:tcBorders>
          </w:tcPr>
          <w:p w14:paraId="46DAC79E">
            <w:pPr>
              <w:widowControl/>
              <w:rPr>
                <w:rFonts w:ascii="宋体" w:hAnsi="宋体" w:cs="宋体"/>
                <w:szCs w:val="21"/>
              </w:rPr>
            </w:pPr>
          </w:p>
        </w:tc>
        <w:tc>
          <w:tcPr>
            <w:tcW w:w="2100" w:type="dxa"/>
            <w:vMerge w:val="continue"/>
            <w:tcBorders>
              <w:top w:val="single" w:color="auto" w:sz="4" w:space="0"/>
              <w:left w:val="single" w:color="auto" w:sz="4" w:space="0"/>
              <w:bottom w:val="single" w:color="auto" w:sz="4" w:space="0"/>
              <w:right w:val="single" w:color="auto" w:sz="4" w:space="0"/>
            </w:tcBorders>
            <w:vAlign w:val="center"/>
          </w:tcPr>
          <w:p w14:paraId="60E933BC">
            <w:pPr>
              <w:widowControl/>
              <w:jc w:val="left"/>
              <w:rPr>
                <w:rFonts w:ascii="宋体" w:hAnsi="宋体" w:cs="宋体"/>
                <w:szCs w:val="21"/>
              </w:rPr>
            </w:pPr>
          </w:p>
        </w:tc>
      </w:tr>
      <w:tr w14:paraId="7A62D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336" w:type="dxa"/>
            <w:tcBorders>
              <w:top w:val="single" w:color="auto" w:sz="4" w:space="0"/>
              <w:left w:val="single" w:color="auto" w:sz="4" w:space="0"/>
              <w:bottom w:val="single" w:color="auto" w:sz="4" w:space="0"/>
              <w:right w:val="single" w:color="auto" w:sz="4" w:space="0"/>
            </w:tcBorders>
            <w:vAlign w:val="center"/>
          </w:tcPr>
          <w:p w14:paraId="0FD09951">
            <w:pPr>
              <w:widowControl/>
              <w:rPr>
                <w:rFonts w:ascii="宋体" w:hAnsi="宋体" w:cs="宋体"/>
                <w:szCs w:val="21"/>
              </w:rPr>
            </w:pPr>
          </w:p>
        </w:tc>
        <w:tc>
          <w:tcPr>
            <w:tcW w:w="2336" w:type="dxa"/>
            <w:tcBorders>
              <w:top w:val="single" w:color="auto" w:sz="4" w:space="0"/>
              <w:left w:val="single" w:color="auto" w:sz="4" w:space="0"/>
              <w:bottom w:val="single" w:color="auto" w:sz="4" w:space="0"/>
              <w:right w:val="single" w:color="auto" w:sz="4" w:space="0"/>
            </w:tcBorders>
            <w:vAlign w:val="center"/>
          </w:tcPr>
          <w:p w14:paraId="0D920164">
            <w:pPr>
              <w:widowControl/>
              <w:rPr>
                <w:rFonts w:ascii="宋体" w:hAnsi="宋体" w:cs="宋体"/>
                <w:szCs w:val="21"/>
              </w:rPr>
            </w:pPr>
          </w:p>
        </w:tc>
        <w:tc>
          <w:tcPr>
            <w:tcW w:w="2336" w:type="dxa"/>
            <w:tcBorders>
              <w:top w:val="single" w:color="auto" w:sz="4" w:space="0"/>
              <w:left w:val="single" w:color="auto" w:sz="4" w:space="0"/>
              <w:bottom w:val="single" w:color="auto" w:sz="4" w:space="0"/>
              <w:right w:val="single" w:color="auto" w:sz="4" w:space="0"/>
            </w:tcBorders>
          </w:tcPr>
          <w:p w14:paraId="759AEAB0">
            <w:pPr>
              <w:widowControl/>
              <w:rPr>
                <w:rFonts w:ascii="宋体" w:hAnsi="宋体" w:cs="宋体"/>
                <w:szCs w:val="21"/>
              </w:rPr>
            </w:pPr>
          </w:p>
        </w:tc>
        <w:tc>
          <w:tcPr>
            <w:tcW w:w="2100" w:type="dxa"/>
            <w:vMerge w:val="continue"/>
            <w:tcBorders>
              <w:top w:val="single" w:color="auto" w:sz="4" w:space="0"/>
              <w:left w:val="single" w:color="auto" w:sz="4" w:space="0"/>
              <w:bottom w:val="single" w:color="auto" w:sz="4" w:space="0"/>
              <w:right w:val="single" w:color="auto" w:sz="4" w:space="0"/>
            </w:tcBorders>
            <w:vAlign w:val="center"/>
          </w:tcPr>
          <w:p w14:paraId="0C3BBF73">
            <w:pPr>
              <w:widowControl/>
              <w:jc w:val="left"/>
              <w:rPr>
                <w:rFonts w:ascii="宋体" w:hAnsi="宋体" w:cs="宋体"/>
                <w:szCs w:val="21"/>
              </w:rPr>
            </w:pPr>
          </w:p>
        </w:tc>
      </w:tr>
      <w:tr w14:paraId="07B07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336" w:type="dxa"/>
            <w:tcBorders>
              <w:top w:val="single" w:color="auto" w:sz="4" w:space="0"/>
              <w:left w:val="single" w:color="auto" w:sz="4" w:space="0"/>
              <w:bottom w:val="single" w:color="auto" w:sz="4" w:space="0"/>
              <w:right w:val="single" w:color="auto" w:sz="4" w:space="0"/>
            </w:tcBorders>
            <w:vAlign w:val="center"/>
          </w:tcPr>
          <w:p w14:paraId="550EA90E">
            <w:pPr>
              <w:widowControl/>
              <w:rPr>
                <w:rFonts w:ascii="宋体" w:hAnsi="宋体" w:cs="宋体"/>
                <w:szCs w:val="21"/>
              </w:rPr>
            </w:pPr>
          </w:p>
        </w:tc>
        <w:tc>
          <w:tcPr>
            <w:tcW w:w="2336" w:type="dxa"/>
            <w:tcBorders>
              <w:top w:val="single" w:color="auto" w:sz="4" w:space="0"/>
              <w:left w:val="single" w:color="auto" w:sz="4" w:space="0"/>
              <w:bottom w:val="single" w:color="auto" w:sz="4" w:space="0"/>
              <w:right w:val="single" w:color="auto" w:sz="4" w:space="0"/>
            </w:tcBorders>
            <w:vAlign w:val="center"/>
          </w:tcPr>
          <w:p w14:paraId="1ADD651C">
            <w:pPr>
              <w:widowControl/>
              <w:rPr>
                <w:rFonts w:ascii="宋体" w:hAnsi="宋体" w:cs="宋体"/>
                <w:szCs w:val="21"/>
              </w:rPr>
            </w:pPr>
          </w:p>
        </w:tc>
        <w:tc>
          <w:tcPr>
            <w:tcW w:w="2336" w:type="dxa"/>
            <w:tcBorders>
              <w:top w:val="single" w:color="auto" w:sz="4" w:space="0"/>
              <w:left w:val="single" w:color="auto" w:sz="4" w:space="0"/>
              <w:bottom w:val="single" w:color="auto" w:sz="4" w:space="0"/>
              <w:right w:val="single" w:color="auto" w:sz="4" w:space="0"/>
            </w:tcBorders>
          </w:tcPr>
          <w:p w14:paraId="54E3D0FE">
            <w:pPr>
              <w:widowControl/>
              <w:rPr>
                <w:rFonts w:ascii="宋体" w:hAnsi="宋体" w:cs="宋体"/>
                <w:szCs w:val="21"/>
              </w:rPr>
            </w:pPr>
          </w:p>
        </w:tc>
        <w:tc>
          <w:tcPr>
            <w:tcW w:w="2100" w:type="dxa"/>
            <w:vMerge w:val="continue"/>
            <w:tcBorders>
              <w:top w:val="single" w:color="auto" w:sz="4" w:space="0"/>
              <w:left w:val="single" w:color="auto" w:sz="4" w:space="0"/>
              <w:bottom w:val="single" w:color="auto" w:sz="4" w:space="0"/>
              <w:right w:val="single" w:color="auto" w:sz="4" w:space="0"/>
            </w:tcBorders>
            <w:vAlign w:val="center"/>
          </w:tcPr>
          <w:p w14:paraId="0FCDBF28">
            <w:pPr>
              <w:widowControl/>
              <w:jc w:val="left"/>
              <w:rPr>
                <w:rFonts w:ascii="宋体" w:hAnsi="宋体" w:cs="宋体"/>
                <w:szCs w:val="21"/>
              </w:rPr>
            </w:pPr>
          </w:p>
        </w:tc>
      </w:tr>
      <w:tr w14:paraId="36AE4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336" w:type="dxa"/>
            <w:tcBorders>
              <w:top w:val="single" w:color="auto" w:sz="4" w:space="0"/>
              <w:left w:val="single" w:color="auto" w:sz="4" w:space="0"/>
              <w:bottom w:val="single" w:color="auto" w:sz="4" w:space="0"/>
              <w:right w:val="single" w:color="auto" w:sz="4" w:space="0"/>
            </w:tcBorders>
            <w:vAlign w:val="center"/>
          </w:tcPr>
          <w:p w14:paraId="765061FA">
            <w:pPr>
              <w:pStyle w:val="5"/>
              <w:ind w:firstLine="602"/>
              <w:rPr>
                <w:rFonts w:ascii="宋体" w:hAnsi="宋体" w:cs="宋体"/>
                <w:b/>
                <w:color w:val="auto"/>
                <w:sz w:val="30"/>
                <w:szCs w:val="30"/>
              </w:rPr>
            </w:pPr>
          </w:p>
        </w:tc>
        <w:tc>
          <w:tcPr>
            <w:tcW w:w="2336" w:type="dxa"/>
            <w:tcBorders>
              <w:top w:val="single" w:color="auto" w:sz="4" w:space="0"/>
              <w:left w:val="single" w:color="auto" w:sz="4" w:space="0"/>
              <w:bottom w:val="single" w:color="auto" w:sz="4" w:space="0"/>
              <w:right w:val="single" w:color="auto" w:sz="4" w:space="0"/>
            </w:tcBorders>
            <w:vAlign w:val="center"/>
          </w:tcPr>
          <w:p w14:paraId="3D3D77B1">
            <w:pPr>
              <w:pStyle w:val="5"/>
              <w:ind w:firstLine="602"/>
              <w:rPr>
                <w:rFonts w:ascii="宋体" w:hAnsi="宋体" w:cs="宋体"/>
                <w:b/>
                <w:color w:val="auto"/>
                <w:sz w:val="30"/>
                <w:szCs w:val="30"/>
              </w:rPr>
            </w:pPr>
          </w:p>
        </w:tc>
        <w:tc>
          <w:tcPr>
            <w:tcW w:w="2336" w:type="dxa"/>
            <w:tcBorders>
              <w:top w:val="single" w:color="auto" w:sz="4" w:space="0"/>
              <w:left w:val="single" w:color="auto" w:sz="4" w:space="0"/>
              <w:bottom w:val="single" w:color="auto" w:sz="4" w:space="0"/>
              <w:right w:val="single" w:color="auto" w:sz="4" w:space="0"/>
            </w:tcBorders>
          </w:tcPr>
          <w:p w14:paraId="42955003">
            <w:pPr>
              <w:pStyle w:val="5"/>
              <w:ind w:firstLine="602"/>
              <w:rPr>
                <w:rFonts w:ascii="宋体" w:hAnsi="宋体" w:cs="宋体"/>
                <w:b/>
                <w:color w:val="auto"/>
                <w:sz w:val="30"/>
                <w:szCs w:val="30"/>
              </w:rPr>
            </w:pPr>
          </w:p>
        </w:tc>
        <w:tc>
          <w:tcPr>
            <w:tcW w:w="2100" w:type="dxa"/>
            <w:vMerge w:val="continue"/>
            <w:tcBorders>
              <w:top w:val="single" w:color="auto" w:sz="4" w:space="0"/>
              <w:left w:val="single" w:color="auto" w:sz="4" w:space="0"/>
              <w:bottom w:val="single" w:color="auto" w:sz="4" w:space="0"/>
              <w:right w:val="single" w:color="auto" w:sz="4" w:space="0"/>
            </w:tcBorders>
            <w:vAlign w:val="center"/>
          </w:tcPr>
          <w:p w14:paraId="313285B3">
            <w:pPr>
              <w:widowControl/>
              <w:jc w:val="left"/>
              <w:rPr>
                <w:rFonts w:ascii="宋体" w:hAnsi="宋体" w:cs="宋体"/>
                <w:szCs w:val="21"/>
              </w:rPr>
            </w:pPr>
          </w:p>
        </w:tc>
      </w:tr>
      <w:tr w14:paraId="421BB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336" w:type="dxa"/>
            <w:tcBorders>
              <w:top w:val="single" w:color="auto" w:sz="4" w:space="0"/>
              <w:left w:val="single" w:color="auto" w:sz="4" w:space="0"/>
              <w:bottom w:val="single" w:color="auto" w:sz="4" w:space="0"/>
              <w:right w:val="single" w:color="auto" w:sz="4" w:space="0"/>
            </w:tcBorders>
            <w:vAlign w:val="center"/>
          </w:tcPr>
          <w:p w14:paraId="5A11A0EF">
            <w:pPr>
              <w:pStyle w:val="5"/>
              <w:ind w:firstLine="602"/>
              <w:rPr>
                <w:rFonts w:ascii="宋体" w:hAnsi="宋体" w:cs="宋体"/>
                <w:b/>
                <w:color w:val="auto"/>
                <w:sz w:val="30"/>
                <w:szCs w:val="30"/>
              </w:rPr>
            </w:pPr>
          </w:p>
        </w:tc>
        <w:tc>
          <w:tcPr>
            <w:tcW w:w="2336" w:type="dxa"/>
            <w:tcBorders>
              <w:top w:val="single" w:color="auto" w:sz="4" w:space="0"/>
              <w:left w:val="single" w:color="auto" w:sz="4" w:space="0"/>
              <w:bottom w:val="single" w:color="auto" w:sz="4" w:space="0"/>
              <w:right w:val="single" w:color="auto" w:sz="4" w:space="0"/>
            </w:tcBorders>
            <w:vAlign w:val="center"/>
          </w:tcPr>
          <w:p w14:paraId="0B707FEC">
            <w:pPr>
              <w:pStyle w:val="5"/>
              <w:ind w:firstLine="602"/>
              <w:rPr>
                <w:rFonts w:ascii="宋体" w:hAnsi="宋体" w:cs="宋体"/>
                <w:b/>
                <w:color w:val="auto"/>
                <w:sz w:val="30"/>
                <w:szCs w:val="30"/>
              </w:rPr>
            </w:pPr>
          </w:p>
        </w:tc>
        <w:tc>
          <w:tcPr>
            <w:tcW w:w="2336" w:type="dxa"/>
            <w:tcBorders>
              <w:top w:val="single" w:color="auto" w:sz="4" w:space="0"/>
              <w:left w:val="single" w:color="auto" w:sz="4" w:space="0"/>
              <w:bottom w:val="single" w:color="auto" w:sz="4" w:space="0"/>
              <w:right w:val="single" w:color="auto" w:sz="4" w:space="0"/>
            </w:tcBorders>
          </w:tcPr>
          <w:p w14:paraId="7D71EAE9">
            <w:pPr>
              <w:pStyle w:val="5"/>
              <w:ind w:firstLine="602"/>
              <w:rPr>
                <w:rFonts w:ascii="宋体" w:hAnsi="宋体" w:cs="宋体"/>
                <w:b/>
                <w:color w:val="auto"/>
                <w:sz w:val="30"/>
                <w:szCs w:val="30"/>
              </w:rPr>
            </w:pPr>
          </w:p>
        </w:tc>
        <w:tc>
          <w:tcPr>
            <w:tcW w:w="2100" w:type="dxa"/>
            <w:vMerge w:val="continue"/>
            <w:tcBorders>
              <w:top w:val="single" w:color="auto" w:sz="4" w:space="0"/>
              <w:left w:val="single" w:color="auto" w:sz="4" w:space="0"/>
              <w:bottom w:val="single" w:color="auto" w:sz="4" w:space="0"/>
              <w:right w:val="single" w:color="auto" w:sz="4" w:space="0"/>
            </w:tcBorders>
            <w:vAlign w:val="center"/>
          </w:tcPr>
          <w:p w14:paraId="5AEC8E54">
            <w:pPr>
              <w:widowControl/>
              <w:jc w:val="left"/>
              <w:rPr>
                <w:rFonts w:ascii="宋体" w:hAnsi="宋体" w:cs="宋体"/>
                <w:szCs w:val="21"/>
              </w:rPr>
            </w:pPr>
          </w:p>
        </w:tc>
      </w:tr>
      <w:tr w14:paraId="69145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336" w:type="dxa"/>
            <w:tcBorders>
              <w:top w:val="single" w:color="auto" w:sz="4" w:space="0"/>
              <w:left w:val="single" w:color="auto" w:sz="4" w:space="0"/>
              <w:bottom w:val="single" w:color="auto" w:sz="4" w:space="0"/>
              <w:right w:val="single" w:color="auto" w:sz="4" w:space="0"/>
            </w:tcBorders>
            <w:vAlign w:val="center"/>
          </w:tcPr>
          <w:p w14:paraId="3E068FAF">
            <w:pPr>
              <w:pStyle w:val="5"/>
              <w:ind w:firstLine="602"/>
              <w:rPr>
                <w:rFonts w:ascii="宋体" w:hAnsi="宋体" w:cs="宋体"/>
                <w:b/>
                <w:color w:val="auto"/>
                <w:sz w:val="30"/>
                <w:szCs w:val="30"/>
              </w:rPr>
            </w:pPr>
          </w:p>
        </w:tc>
        <w:tc>
          <w:tcPr>
            <w:tcW w:w="2336" w:type="dxa"/>
            <w:tcBorders>
              <w:top w:val="single" w:color="auto" w:sz="4" w:space="0"/>
              <w:left w:val="single" w:color="auto" w:sz="4" w:space="0"/>
              <w:bottom w:val="single" w:color="auto" w:sz="4" w:space="0"/>
              <w:right w:val="single" w:color="auto" w:sz="4" w:space="0"/>
            </w:tcBorders>
            <w:vAlign w:val="center"/>
          </w:tcPr>
          <w:p w14:paraId="3A859418">
            <w:pPr>
              <w:pStyle w:val="5"/>
              <w:ind w:firstLine="602"/>
              <w:rPr>
                <w:rFonts w:ascii="宋体" w:hAnsi="宋体" w:cs="宋体"/>
                <w:b/>
                <w:color w:val="auto"/>
                <w:sz w:val="30"/>
                <w:szCs w:val="30"/>
              </w:rPr>
            </w:pPr>
          </w:p>
        </w:tc>
        <w:tc>
          <w:tcPr>
            <w:tcW w:w="2336" w:type="dxa"/>
            <w:tcBorders>
              <w:top w:val="single" w:color="auto" w:sz="4" w:space="0"/>
              <w:left w:val="single" w:color="auto" w:sz="4" w:space="0"/>
              <w:bottom w:val="single" w:color="auto" w:sz="4" w:space="0"/>
              <w:right w:val="single" w:color="auto" w:sz="4" w:space="0"/>
            </w:tcBorders>
          </w:tcPr>
          <w:p w14:paraId="4529C795">
            <w:pPr>
              <w:pStyle w:val="5"/>
              <w:ind w:firstLine="602"/>
              <w:rPr>
                <w:rFonts w:ascii="宋体" w:hAnsi="宋体" w:cs="宋体"/>
                <w:b/>
                <w:color w:val="auto"/>
                <w:sz w:val="30"/>
                <w:szCs w:val="30"/>
              </w:rPr>
            </w:pPr>
          </w:p>
        </w:tc>
        <w:tc>
          <w:tcPr>
            <w:tcW w:w="2100" w:type="dxa"/>
            <w:vMerge w:val="continue"/>
            <w:tcBorders>
              <w:top w:val="single" w:color="auto" w:sz="4" w:space="0"/>
              <w:left w:val="single" w:color="auto" w:sz="4" w:space="0"/>
              <w:bottom w:val="single" w:color="auto" w:sz="4" w:space="0"/>
              <w:right w:val="single" w:color="auto" w:sz="4" w:space="0"/>
            </w:tcBorders>
            <w:vAlign w:val="center"/>
          </w:tcPr>
          <w:p w14:paraId="20D12CA0">
            <w:pPr>
              <w:widowControl/>
              <w:jc w:val="left"/>
              <w:rPr>
                <w:rFonts w:ascii="宋体" w:hAnsi="宋体" w:cs="宋体"/>
                <w:szCs w:val="21"/>
              </w:rPr>
            </w:pPr>
          </w:p>
        </w:tc>
      </w:tr>
      <w:tr w14:paraId="0B279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336" w:type="dxa"/>
            <w:tcBorders>
              <w:top w:val="single" w:color="auto" w:sz="4" w:space="0"/>
              <w:left w:val="single" w:color="auto" w:sz="4" w:space="0"/>
              <w:bottom w:val="single" w:color="auto" w:sz="4" w:space="0"/>
              <w:right w:val="single" w:color="auto" w:sz="4" w:space="0"/>
            </w:tcBorders>
            <w:vAlign w:val="center"/>
          </w:tcPr>
          <w:p w14:paraId="6F13265B">
            <w:pPr>
              <w:pStyle w:val="5"/>
              <w:ind w:firstLine="602"/>
              <w:rPr>
                <w:rFonts w:ascii="宋体" w:hAnsi="宋体" w:cs="宋体"/>
                <w:b/>
                <w:color w:val="auto"/>
                <w:sz w:val="30"/>
                <w:szCs w:val="30"/>
              </w:rPr>
            </w:pPr>
          </w:p>
        </w:tc>
        <w:tc>
          <w:tcPr>
            <w:tcW w:w="2336" w:type="dxa"/>
            <w:tcBorders>
              <w:top w:val="single" w:color="auto" w:sz="4" w:space="0"/>
              <w:left w:val="single" w:color="auto" w:sz="4" w:space="0"/>
              <w:bottom w:val="single" w:color="auto" w:sz="4" w:space="0"/>
              <w:right w:val="single" w:color="auto" w:sz="4" w:space="0"/>
            </w:tcBorders>
            <w:vAlign w:val="center"/>
          </w:tcPr>
          <w:p w14:paraId="5FD7B4DA">
            <w:pPr>
              <w:pStyle w:val="5"/>
              <w:ind w:firstLine="602"/>
              <w:rPr>
                <w:rFonts w:ascii="宋体" w:hAnsi="宋体" w:cs="宋体"/>
                <w:b/>
                <w:color w:val="auto"/>
                <w:sz w:val="30"/>
                <w:szCs w:val="30"/>
              </w:rPr>
            </w:pPr>
          </w:p>
        </w:tc>
        <w:tc>
          <w:tcPr>
            <w:tcW w:w="2336" w:type="dxa"/>
            <w:tcBorders>
              <w:top w:val="single" w:color="auto" w:sz="4" w:space="0"/>
              <w:left w:val="single" w:color="auto" w:sz="4" w:space="0"/>
              <w:bottom w:val="single" w:color="auto" w:sz="4" w:space="0"/>
              <w:right w:val="single" w:color="auto" w:sz="4" w:space="0"/>
            </w:tcBorders>
          </w:tcPr>
          <w:p w14:paraId="647A3FFA">
            <w:pPr>
              <w:pStyle w:val="5"/>
              <w:ind w:firstLine="602"/>
              <w:rPr>
                <w:rFonts w:ascii="宋体" w:hAnsi="宋体" w:cs="宋体"/>
                <w:b/>
                <w:color w:val="auto"/>
                <w:sz w:val="30"/>
                <w:szCs w:val="30"/>
              </w:rPr>
            </w:pPr>
          </w:p>
        </w:tc>
        <w:tc>
          <w:tcPr>
            <w:tcW w:w="2100" w:type="dxa"/>
            <w:vMerge w:val="continue"/>
            <w:tcBorders>
              <w:top w:val="single" w:color="auto" w:sz="4" w:space="0"/>
              <w:left w:val="single" w:color="auto" w:sz="4" w:space="0"/>
              <w:bottom w:val="single" w:color="auto" w:sz="4" w:space="0"/>
              <w:right w:val="single" w:color="auto" w:sz="4" w:space="0"/>
            </w:tcBorders>
            <w:vAlign w:val="center"/>
          </w:tcPr>
          <w:p w14:paraId="46D6112C">
            <w:pPr>
              <w:widowControl/>
              <w:jc w:val="left"/>
              <w:rPr>
                <w:rFonts w:ascii="宋体" w:hAnsi="宋体" w:cs="宋体"/>
                <w:szCs w:val="21"/>
              </w:rPr>
            </w:pPr>
          </w:p>
        </w:tc>
      </w:tr>
      <w:tr w14:paraId="28B27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336" w:type="dxa"/>
            <w:tcBorders>
              <w:top w:val="single" w:color="auto" w:sz="4" w:space="0"/>
              <w:left w:val="single" w:color="auto" w:sz="4" w:space="0"/>
              <w:bottom w:val="single" w:color="auto" w:sz="4" w:space="0"/>
              <w:right w:val="single" w:color="auto" w:sz="4" w:space="0"/>
            </w:tcBorders>
            <w:vAlign w:val="center"/>
          </w:tcPr>
          <w:p w14:paraId="0AECC8BA">
            <w:pPr>
              <w:pStyle w:val="5"/>
              <w:ind w:firstLine="602"/>
              <w:rPr>
                <w:rFonts w:ascii="宋体" w:hAnsi="宋体" w:cs="宋体"/>
                <w:b/>
                <w:color w:val="auto"/>
                <w:sz w:val="30"/>
                <w:szCs w:val="30"/>
              </w:rPr>
            </w:pPr>
          </w:p>
        </w:tc>
        <w:tc>
          <w:tcPr>
            <w:tcW w:w="2336" w:type="dxa"/>
            <w:tcBorders>
              <w:top w:val="single" w:color="auto" w:sz="4" w:space="0"/>
              <w:left w:val="single" w:color="auto" w:sz="4" w:space="0"/>
              <w:bottom w:val="single" w:color="auto" w:sz="4" w:space="0"/>
              <w:right w:val="single" w:color="auto" w:sz="4" w:space="0"/>
            </w:tcBorders>
            <w:vAlign w:val="center"/>
          </w:tcPr>
          <w:p w14:paraId="1F5C30E4">
            <w:pPr>
              <w:pStyle w:val="5"/>
              <w:ind w:firstLine="602"/>
              <w:rPr>
                <w:rFonts w:ascii="宋体" w:hAnsi="宋体" w:cs="宋体"/>
                <w:b/>
                <w:color w:val="auto"/>
                <w:sz w:val="30"/>
                <w:szCs w:val="30"/>
              </w:rPr>
            </w:pPr>
          </w:p>
        </w:tc>
        <w:tc>
          <w:tcPr>
            <w:tcW w:w="2336" w:type="dxa"/>
            <w:tcBorders>
              <w:top w:val="single" w:color="auto" w:sz="4" w:space="0"/>
              <w:left w:val="single" w:color="auto" w:sz="4" w:space="0"/>
              <w:bottom w:val="single" w:color="auto" w:sz="4" w:space="0"/>
              <w:right w:val="single" w:color="auto" w:sz="4" w:space="0"/>
            </w:tcBorders>
          </w:tcPr>
          <w:p w14:paraId="3BF209E2">
            <w:pPr>
              <w:pStyle w:val="5"/>
              <w:ind w:firstLine="602"/>
              <w:rPr>
                <w:rFonts w:ascii="宋体" w:hAnsi="宋体" w:cs="宋体"/>
                <w:b/>
                <w:color w:val="auto"/>
                <w:sz w:val="30"/>
                <w:szCs w:val="30"/>
              </w:rPr>
            </w:pPr>
          </w:p>
        </w:tc>
        <w:tc>
          <w:tcPr>
            <w:tcW w:w="2100" w:type="dxa"/>
            <w:vMerge w:val="continue"/>
            <w:tcBorders>
              <w:top w:val="single" w:color="auto" w:sz="4" w:space="0"/>
              <w:left w:val="single" w:color="auto" w:sz="4" w:space="0"/>
              <w:bottom w:val="single" w:color="auto" w:sz="4" w:space="0"/>
              <w:right w:val="single" w:color="auto" w:sz="4" w:space="0"/>
            </w:tcBorders>
            <w:vAlign w:val="center"/>
          </w:tcPr>
          <w:p w14:paraId="700208D3">
            <w:pPr>
              <w:widowControl/>
              <w:jc w:val="left"/>
              <w:rPr>
                <w:rFonts w:ascii="宋体" w:hAnsi="宋体" w:cs="宋体"/>
                <w:szCs w:val="21"/>
              </w:rPr>
            </w:pPr>
          </w:p>
        </w:tc>
      </w:tr>
      <w:tr w14:paraId="49EB3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336" w:type="dxa"/>
            <w:tcBorders>
              <w:top w:val="single" w:color="auto" w:sz="4" w:space="0"/>
              <w:left w:val="single" w:color="auto" w:sz="4" w:space="0"/>
              <w:bottom w:val="single" w:color="auto" w:sz="4" w:space="0"/>
              <w:right w:val="single" w:color="auto" w:sz="4" w:space="0"/>
            </w:tcBorders>
            <w:vAlign w:val="center"/>
          </w:tcPr>
          <w:p w14:paraId="7B80F85B">
            <w:pPr>
              <w:pStyle w:val="5"/>
              <w:ind w:firstLine="602"/>
              <w:rPr>
                <w:rFonts w:ascii="宋体" w:hAnsi="宋体" w:cs="宋体"/>
                <w:b/>
                <w:color w:val="auto"/>
                <w:sz w:val="30"/>
                <w:szCs w:val="30"/>
              </w:rPr>
            </w:pPr>
          </w:p>
        </w:tc>
        <w:tc>
          <w:tcPr>
            <w:tcW w:w="2336" w:type="dxa"/>
            <w:tcBorders>
              <w:top w:val="single" w:color="auto" w:sz="4" w:space="0"/>
              <w:left w:val="single" w:color="auto" w:sz="4" w:space="0"/>
              <w:bottom w:val="single" w:color="auto" w:sz="4" w:space="0"/>
              <w:right w:val="single" w:color="auto" w:sz="4" w:space="0"/>
            </w:tcBorders>
            <w:vAlign w:val="center"/>
          </w:tcPr>
          <w:p w14:paraId="1E88F9E6">
            <w:pPr>
              <w:pStyle w:val="5"/>
              <w:ind w:firstLine="602"/>
              <w:rPr>
                <w:rFonts w:ascii="宋体" w:hAnsi="宋体" w:cs="宋体"/>
                <w:b/>
                <w:color w:val="auto"/>
                <w:sz w:val="30"/>
                <w:szCs w:val="30"/>
              </w:rPr>
            </w:pPr>
          </w:p>
        </w:tc>
        <w:tc>
          <w:tcPr>
            <w:tcW w:w="2336" w:type="dxa"/>
            <w:tcBorders>
              <w:top w:val="single" w:color="auto" w:sz="4" w:space="0"/>
              <w:left w:val="single" w:color="auto" w:sz="4" w:space="0"/>
              <w:bottom w:val="single" w:color="auto" w:sz="4" w:space="0"/>
              <w:right w:val="single" w:color="auto" w:sz="4" w:space="0"/>
            </w:tcBorders>
          </w:tcPr>
          <w:p w14:paraId="55B55D5A">
            <w:pPr>
              <w:pStyle w:val="5"/>
              <w:ind w:firstLine="602"/>
              <w:rPr>
                <w:rFonts w:ascii="宋体" w:hAnsi="宋体" w:cs="宋体"/>
                <w:b/>
                <w:color w:val="auto"/>
                <w:sz w:val="30"/>
                <w:szCs w:val="30"/>
              </w:rPr>
            </w:pPr>
          </w:p>
        </w:tc>
        <w:tc>
          <w:tcPr>
            <w:tcW w:w="2100" w:type="dxa"/>
            <w:vMerge w:val="continue"/>
            <w:tcBorders>
              <w:top w:val="single" w:color="auto" w:sz="4" w:space="0"/>
              <w:left w:val="single" w:color="auto" w:sz="4" w:space="0"/>
              <w:bottom w:val="single" w:color="auto" w:sz="4" w:space="0"/>
              <w:right w:val="single" w:color="auto" w:sz="4" w:space="0"/>
            </w:tcBorders>
            <w:vAlign w:val="center"/>
          </w:tcPr>
          <w:p w14:paraId="47C339FE">
            <w:pPr>
              <w:widowControl/>
              <w:jc w:val="left"/>
              <w:rPr>
                <w:rFonts w:ascii="宋体" w:hAnsi="宋体" w:cs="宋体"/>
                <w:szCs w:val="21"/>
              </w:rPr>
            </w:pPr>
          </w:p>
        </w:tc>
      </w:tr>
      <w:tr w14:paraId="55B9A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336" w:type="dxa"/>
            <w:tcBorders>
              <w:top w:val="single" w:color="auto" w:sz="4" w:space="0"/>
              <w:left w:val="single" w:color="auto" w:sz="4" w:space="0"/>
              <w:bottom w:val="single" w:color="auto" w:sz="4" w:space="0"/>
              <w:right w:val="single" w:color="auto" w:sz="4" w:space="0"/>
            </w:tcBorders>
            <w:vAlign w:val="center"/>
          </w:tcPr>
          <w:p w14:paraId="5D057C03">
            <w:pPr>
              <w:pStyle w:val="5"/>
              <w:ind w:firstLine="602"/>
              <w:rPr>
                <w:rFonts w:ascii="宋体" w:hAnsi="宋体" w:cs="宋体"/>
                <w:b/>
                <w:color w:val="auto"/>
                <w:sz w:val="30"/>
                <w:szCs w:val="30"/>
              </w:rPr>
            </w:pPr>
          </w:p>
        </w:tc>
        <w:tc>
          <w:tcPr>
            <w:tcW w:w="2336" w:type="dxa"/>
            <w:tcBorders>
              <w:top w:val="single" w:color="auto" w:sz="4" w:space="0"/>
              <w:left w:val="single" w:color="auto" w:sz="4" w:space="0"/>
              <w:bottom w:val="single" w:color="auto" w:sz="4" w:space="0"/>
              <w:right w:val="single" w:color="auto" w:sz="4" w:space="0"/>
            </w:tcBorders>
            <w:vAlign w:val="center"/>
          </w:tcPr>
          <w:p w14:paraId="7503E47A">
            <w:pPr>
              <w:pStyle w:val="5"/>
              <w:ind w:firstLine="602"/>
              <w:rPr>
                <w:rFonts w:ascii="宋体" w:hAnsi="宋体" w:cs="宋体"/>
                <w:b/>
                <w:color w:val="auto"/>
                <w:sz w:val="30"/>
                <w:szCs w:val="30"/>
              </w:rPr>
            </w:pPr>
          </w:p>
        </w:tc>
        <w:tc>
          <w:tcPr>
            <w:tcW w:w="2336" w:type="dxa"/>
            <w:tcBorders>
              <w:top w:val="single" w:color="auto" w:sz="4" w:space="0"/>
              <w:left w:val="single" w:color="auto" w:sz="4" w:space="0"/>
              <w:bottom w:val="single" w:color="auto" w:sz="4" w:space="0"/>
              <w:right w:val="single" w:color="auto" w:sz="4" w:space="0"/>
            </w:tcBorders>
          </w:tcPr>
          <w:p w14:paraId="29C62C87">
            <w:pPr>
              <w:pStyle w:val="5"/>
              <w:ind w:firstLine="602"/>
              <w:rPr>
                <w:rFonts w:ascii="宋体" w:hAnsi="宋体" w:cs="宋体"/>
                <w:b/>
                <w:color w:val="auto"/>
                <w:sz w:val="30"/>
                <w:szCs w:val="30"/>
              </w:rPr>
            </w:pPr>
          </w:p>
        </w:tc>
        <w:tc>
          <w:tcPr>
            <w:tcW w:w="2100" w:type="dxa"/>
            <w:vMerge w:val="continue"/>
            <w:tcBorders>
              <w:top w:val="single" w:color="auto" w:sz="4" w:space="0"/>
              <w:left w:val="single" w:color="auto" w:sz="4" w:space="0"/>
              <w:bottom w:val="single" w:color="auto" w:sz="4" w:space="0"/>
              <w:right w:val="single" w:color="auto" w:sz="4" w:space="0"/>
            </w:tcBorders>
            <w:vAlign w:val="center"/>
          </w:tcPr>
          <w:p w14:paraId="7A7C3D59">
            <w:pPr>
              <w:widowControl/>
              <w:jc w:val="left"/>
              <w:rPr>
                <w:rFonts w:ascii="宋体" w:hAnsi="宋体" w:cs="宋体"/>
                <w:szCs w:val="21"/>
              </w:rPr>
            </w:pPr>
          </w:p>
        </w:tc>
      </w:tr>
      <w:tr w14:paraId="34791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672" w:type="dxa"/>
            <w:gridSpan w:val="2"/>
            <w:tcBorders>
              <w:top w:val="single" w:color="auto" w:sz="4" w:space="0"/>
              <w:left w:val="single" w:color="auto" w:sz="4" w:space="0"/>
              <w:bottom w:val="single" w:color="auto" w:sz="4" w:space="0"/>
              <w:right w:val="single" w:color="auto" w:sz="4" w:space="0"/>
            </w:tcBorders>
            <w:vAlign w:val="center"/>
          </w:tcPr>
          <w:p w14:paraId="14DCD56D">
            <w:pPr>
              <w:widowControl/>
              <w:rPr>
                <w:rFonts w:ascii="宋体" w:hAnsi="宋体" w:cs="宋体"/>
                <w:szCs w:val="21"/>
              </w:rPr>
            </w:pPr>
            <w:r>
              <w:rPr>
                <w:rFonts w:hint="eastAsia" w:ascii="宋体" w:hAnsi="宋体" w:cs="宋体"/>
                <w:szCs w:val="21"/>
              </w:rPr>
              <w:t>拟分包金额合计（万元）</w:t>
            </w:r>
          </w:p>
        </w:tc>
        <w:tc>
          <w:tcPr>
            <w:tcW w:w="2336" w:type="dxa"/>
            <w:tcBorders>
              <w:top w:val="single" w:color="auto" w:sz="4" w:space="0"/>
              <w:left w:val="single" w:color="auto" w:sz="4" w:space="0"/>
              <w:bottom w:val="single" w:color="auto" w:sz="4" w:space="0"/>
              <w:right w:val="single" w:color="auto" w:sz="4" w:space="0"/>
            </w:tcBorders>
          </w:tcPr>
          <w:p w14:paraId="456B24D5">
            <w:pPr>
              <w:pStyle w:val="5"/>
              <w:ind w:firstLine="602"/>
              <w:rPr>
                <w:rFonts w:ascii="宋体" w:hAnsi="宋体" w:cs="宋体"/>
                <w:b/>
                <w:color w:val="auto"/>
                <w:sz w:val="30"/>
                <w:szCs w:val="30"/>
              </w:rPr>
            </w:pPr>
          </w:p>
        </w:tc>
        <w:tc>
          <w:tcPr>
            <w:tcW w:w="2100" w:type="dxa"/>
            <w:vMerge w:val="continue"/>
            <w:tcBorders>
              <w:top w:val="single" w:color="auto" w:sz="4" w:space="0"/>
              <w:left w:val="single" w:color="auto" w:sz="4" w:space="0"/>
              <w:bottom w:val="single" w:color="auto" w:sz="4" w:space="0"/>
              <w:right w:val="single" w:color="auto" w:sz="4" w:space="0"/>
            </w:tcBorders>
            <w:vAlign w:val="center"/>
          </w:tcPr>
          <w:p w14:paraId="00A89F34">
            <w:pPr>
              <w:widowControl/>
              <w:jc w:val="left"/>
              <w:rPr>
                <w:rFonts w:ascii="宋体" w:hAnsi="宋体" w:cs="宋体"/>
                <w:szCs w:val="21"/>
              </w:rPr>
            </w:pPr>
          </w:p>
        </w:tc>
      </w:tr>
    </w:tbl>
    <w:p w14:paraId="26B13B2C"/>
    <w:p w14:paraId="75953C79">
      <w:pPr>
        <w:keepNext/>
        <w:keepLines/>
        <w:spacing w:before="360" w:after="200" w:line="360" w:lineRule="auto"/>
        <w:jc w:val="left"/>
        <w:outlineLvl w:val="1"/>
        <w:rPr>
          <w:rFonts w:ascii="Arial" w:hAnsi="Arial" w:eastAsia="宋体" w:cs="Arial"/>
          <w:b/>
          <w:sz w:val="36"/>
        </w:rPr>
      </w:pPr>
    </w:p>
    <w:p w14:paraId="06D2BEE0">
      <w:pPr>
        <w:widowControl/>
        <w:jc w:val="left"/>
        <w:rPr>
          <w:rFonts w:ascii="Arial" w:hAnsi="Arial" w:eastAsia="宋体" w:cs="Arial"/>
          <w:b/>
          <w:sz w:val="36"/>
        </w:rPr>
      </w:pPr>
      <w:r>
        <w:rPr>
          <w:rFonts w:ascii="Arial" w:hAnsi="Arial" w:eastAsia="宋体" w:cs="Arial"/>
          <w:b/>
          <w:sz w:val="36"/>
        </w:rPr>
        <w:br w:type="page"/>
      </w:r>
    </w:p>
    <w:p w14:paraId="25617E67">
      <w:pPr>
        <w:keepNext/>
        <w:keepLines/>
        <w:spacing w:before="360" w:after="200" w:line="360" w:lineRule="auto"/>
        <w:jc w:val="left"/>
        <w:outlineLvl w:val="1"/>
        <w:rPr>
          <w:rFonts w:ascii="Arial" w:hAnsi="Arial" w:eastAsia="宋体" w:cs="Arial"/>
          <w:b/>
          <w:sz w:val="36"/>
        </w:rPr>
      </w:pPr>
      <w:r>
        <w:rPr>
          <w:rFonts w:hint="eastAsia" w:ascii="Arial" w:hAnsi="Arial" w:eastAsia="宋体" w:cs="Arial"/>
          <w:b/>
          <w:sz w:val="36"/>
        </w:rPr>
        <w:t>分包意向协议书</w:t>
      </w:r>
    </w:p>
    <w:p w14:paraId="79CC64C3">
      <w:pPr>
        <w:spacing w:line="264" w:lineRule="auto"/>
        <w:jc w:val="center"/>
        <w:rPr>
          <w:sz w:val="29"/>
        </w:rPr>
      </w:pPr>
      <w:r>
        <w:rPr>
          <w:rFonts w:hint="eastAsia" w:ascii="宋体" w:hAnsi="宋体" w:eastAsia="宋体"/>
          <w:b/>
          <w:color w:val="000000"/>
          <w:sz w:val="29"/>
        </w:rPr>
        <w:t>分包意向协议书</w:t>
      </w:r>
    </w:p>
    <w:p w14:paraId="7FA7B098">
      <w:pPr>
        <w:rPr>
          <w:rFonts w:ascii="宋体" w:hAnsi="宋体" w:eastAsia="宋体"/>
          <w:color w:val="000000"/>
        </w:rPr>
      </w:pPr>
    </w:p>
    <w:p w14:paraId="48EFE224">
      <w:pPr>
        <w:spacing w:line="360" w:lineRule="auto"/>
        <w:ind w:firstLine="120"/>
        <w:rPr>
          <w:rFonts w:ascii="宋体" w:hAnsi="宋体"/>
          <w:sz w:val="24"/>
          <w:szCs w:val="24"/>
        </w:rPr>
      </w:pPr>
    </w:p>
    <w:p w14:paraId="7C32F984">
      <w:pPr>
        <w:spacing w:line="360" w:lineRule="auto"/>
        <w:ind w:firstLine="120"/>
        <w:rPr>
          <w:rFonts w:ascii="宋体" w:hAnsi="宋体"/>
          <w:color w:val="000000"/>
          <w:sz w:val="24"/>
          <w:szCs w:val="24"/>
          <w:u w:val="single"/>
        </w:rPr>
      </w:pPr>
      <w:r>
        <w:rPr>
          <w:rFonts w:hint="eastAsia" w:ascii="宋体" w:hAnsi="宋体"/>
          <w:color w:val="000000"/>
          <w:sz w:val="24"/>
          <w:szCs w:val="24"/>
        </w:rPr>
        <w:t>立约方</w:t>
      </w:r>
      <w:r>
        <w:rPr>
          <w:rFonts w:hint="eastAsia" w:ascii="宋体" w:hAnsi="宋体"/>
          <w:color w:val="000000"/>
          <w:sz w:val="24"/>
          <w:szCs w:val="24"/>
          <w:u w:val="single"/>
        </w:rPr>
        <w:t>：（甲公司全称）</w:t>
      </w:r>
    </w:p>
    <w:p w14:paraId="7A1E6621">
      <w:pPr>
        <w:spacing w:line="360" w:lineRule="auto"/>
        <w:ind w:firstLine="1118"/>
        <w:rPr>
          <w:rFonts w:ascii="宋体" w:hAnsi="宋体"/>
          <w:sz w:val="24"/>
          <w:szCs w:val="24"/>
        </w:rPr>
      </w:pPr>
      <w:r>
        <w:rPr>
          <w:rFonts w:hint="eastAsia" w:ascii="宋体" w:hAnsi="宋体"/>
          <w:color w:val="000000"/>
          <w:sz w:val="24"/>
          <w:szCs w:val="24"/>
          <w:u w:val="single"/>
        </w:rPr>
        <w:t>（乙公司全称）</w:t>
      </w:r>
    </w:p>
    <w:p w14:paraId="1F77FFC9">
      <w:pPr>
        <w:spacing w:line="360" w:lineRule="auto"/>
        <w:ind w:firstLine="1100"/>
        <w:rPr>
          <w:rFonts w:ascii="宋体" w:hAnsi="宋体"/>
          <w:sz w:val="24"/>
          <w:szCs w:val="24"/>
        </w:rPr>
      </w:pPr>
      <w:r>
        <w:rPr>
          <w:rFonts w:hint="eastAsia" w:ascii="宋体" w:hAnsi="宋体"/>
          <w:color w:val="000000"/>
          <w:sz w:val="24"/>
          <w:szCs w:val="24"/>
          <w:u w:val="single"/>
        </w:rPr>
        <w:t>（······公司全称）</w:t>
      </w:r>
    </w:p>
    <w:p w14:paraId="6CB54FFC">
      <w:pPr>
        <w:spacing w:line="500" w:lineRule="exact"/>
        <w:ind w:firstLine="480" w:firstLineChars="20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甲公司全称）、（乙公司全称）、（······公司全称）自愿达成分包意向，参加（采购项目名称）（采购项目编号）的响应活动。经各方充分协商一致，就项目的响应和合同实施阶段的有关事务协商一致订立意向如下：</w:t>
      </w:r>
    </w:p>
    <w:p w14:paraId="7199DB0C">
      <w:pPr>
        <w:spacing w:line="360" w:lineRule="auto"/>
        <w:ind w:firstLine="520"/>
        <w:rPr>
          <w:rFonts w:ascii="宋体" w:hAnsi="宋体"/>
          <w:b/>
          <w:sz w:val="24"/>
          <w:szCs w:val="24"/>
        </w:rPr>
      </w:pPr>
      <w:r>
        <w:rPr>
          <w:rFonts w:hint="eastAsia" w:ascii="宋体" w:hAnsi="宋体"/>
          <w:b/>
          <w:color w:val="000000"/>
          <w:sz w:val="24"/>
          <w:szCs w:val="24"/>
        </w:rPr>
        <w:t>一、分包意向各方关系</w:t>
      </w:r>
    </w:p>
    <w:p w14:paraId="7C0D8676">
      <w:pPr>
        <w:spacing w:line="500" w:lineRule="exact"/>
        <w:ind w:firstLine="480" w:firstLineChars="20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甲公司全称）为投标方、（乙公司全称）、（······公司全称）为分包意向供应商，（甲公司全称）以投标供应商的身份参加本项目的响应。若中标，（甲公司全称）与采购人签订政府采购合同。承接分包意向的各供应商与（甲公司全称）签订分包合同。（甲公司全称）就采购项目和分包项目向采购人负责，分包供应商就分包项目承担责任。</w:t>
      </w:r>
    </w:p>
    <w:p w14:paraId="23815BBB">
      <w:pPr>
        <w:spacing w:line="360" w:lineRule="auto"/>
        <w:ind w:firstLine="520"/>
        <w:rPr>
          <w:rFonts w:ascii="宋体" w:hAnsi="宋体"/>
          <w:b/>
          <w:sz w:val="24"/>
          <w:szCs w:val="24"/>
        </w:rPr>
      </w:pPr>
      <w:r>
        <w:rPr>
          <w:rFonts w:hint="eastAsia" w:ascii="宋体" w:hAnsi="宋体"/>
          <w:b/>
          <w:color w:val="000000"/>
          <w:sz w:val="24"/>
          <w:szCs w:val="24"/>
        </w:rPr>
        <w:t>二、有关事项约定如下：</w:t>
      </w:r>
    </w:p>
    <w:p w14:paraId="0D24D812">
      <w:pPr>
        <w:spacing w:line="500" w:lineRule="exact"/>
        <w:ind w:firstLine="480" w:firstLineChars="20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1．如中标，分包供应商分别与（甲公司全称）签订合同书，并就中标项目分包部分承担法律责任；</w:t>
      </w:r>
    </w:p>
    <w:p w14:paraId="326B633E">
      <w:pPr>
        <w:spacing w:line="500" w:lineRule="exact"/>
        <w:ind w:firstLine="480" w:firstLineChars="20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2．分包意向供应商（公司全称）为（请填写：大型、中型、小型、微型）企业，将承担适宜分包部分（具体分包内容）占合同总金额＿％的工作内容。</w:t>
      </w:r>
    </w:p>
    <w:p w14:paraId="51CEE02F">
      <w:pPr>
        <w:spacing w:line="360" w:lineRule="auto"/>
        <w:ind w:firstLine="520"/>
        <w:rPr>
          <w:rFonts w:ascii="宋体" w:hAnsi="宋体"/>
          <w:sz w:val="24"/>
          <w:szCs w:val="24"/>
        </w:rPr>
      </w:pPr>
      <w:r>
        <w:rPr>
          <w:rFonts w:hint="eastAsia" w:ascii="宋体" w:hAnsi="宋体"/>
          <w:color w:val="000000"/>
          <w:sz w:val="24"/>
          <w:szCs w:val="24"/>
        </w:rPr>
        <w:t>···</w:t>
      </w:r>
    </w:p>
    <w:p w14:paraId="23C33D6A">
      <w:pPr>
        <w:spacing w:before="34" w:line="360" w:lineRule="auto"/>
        <w:ind w:firstLine="500"/>
        <w:rPr>
          <w:rFonts w:ascii="宋体" w:hAnsi="宋体"/>
          <w:b/>
          <w:sz w:val="24"/>
          <w:szCs w:val="24"/>
        </w:rPr>
      </w:pPr>
      <w:r>
        <w:rPr>
          <w:rFonts w:hint="eastAsia" w:ascii="宋体" w:hAnsi="宋体"/>
          <w:b/>
          <w:color w:val="000000"/>
          <w:sz w:val="24"/>
          <w:szCs w:val="24"/>
        </w:rPr>
        <w:t>三、接受分包的企业与分包企业之间的关系：</w:t>
      </w:r>
    </w:p>
    <w:p w14:paraId="56AE6482">
      <w:pPr>
        <w:spacing w:line="500" w:lineRule="exact"/>
        <w:ind w:firstLine="480" w:firstLineChars="20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1．分包意向供应商（公司全称）与分包企业之间（请填写：是否存在）直接控股、管理关系的情形。</w:t>
      </w:r>
    </w:p>
    <w:p w14:paraId="45BCC791">
      <w:pPr>
        <w:spacing w:line="500" w:lineRule="exact"/>
        <w:ind w:firstLine="480" w:firstLineChars="20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四、如因违约过失责任而导致采购人经济损失或被索赔时，（甲公司全称）同意无条件优先清偿采购人的一切债务和经济赔偿。</w:t>
      </w:r>
    </w:p>
    <w:p w14:paraId="0AA01022">
      <w:pPr>
        <w:spacing w:line="500" w:lineRule="exact"/>
        <w:ind w:firstLine="480" w:firstLineChars="20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五、如中标，分包意向供应商不得以任何理由提出终止本意向协议。</w:t>
      </w:r>
    </w:p>
    <w:p w14:paraId="19021771">
      <w:pPr>
        <w:spacing w:line="500" w:lineRule="exact"/>
        <w:ind w:firstLine="480" w:firstLineChars="20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六、本意向书在自签署之日起生效，有效期内有效，如获中标资格，有效期延续至合同履行完毕之日。</w:t>
      </w:r>
    </w:p>
    <w:p w14:paraId="55092C56">
      <w:pPr>
        <w:spacing w:line="360" w:lineRule="auto"/>
        <w:rPr>
          <w:rFonts w:ascii="宋体" w:hAnsi="宋体"/>
          <w:color w:val="000000"/>
          <w:sz w:val="24"/>
          <w:szCs w:val="24"/>
        </w:rPr>
      </w:pPr>
    </w:p>
    <w:p w14:paraId="0F137FE9">
      <w:pPr>
        <w:spacing w:line="360" w:lineRule="auto"/>
        <w:rPr>
          <w:rFonts w:ascii="宋体" w:hAnsi="宋体"/>
          <w:color w:val="000000"/>
          <w:sz w:val="24"/>
          <w:szCs w:val="24"/>
        </w:rPr>
      </w:pPr>
    </w:p>
    <w:p w14:paraId="548F5A29">
      <w:pPr>
        <w:spacing w:line="360" w:lineRule="auto"/>
        <w:ind w:firstLine="480"/>
        <w:rPr>
          <w:rFonts w:ascii="宋体" w:hAnsi="宋体"/>
          <w:sz w:val="24"/>
          <w:szCs w:val="24"/>
        </w:rPr>
      </w:pPr>
      <w:r>
        <w:rPr>
          <w:rFonts w:hint="eastAsia" w:ascii="宋体" w:hAnsi="宋体"/>
          <w:color w:val="000000"/>
          <w:sz w:val="24"/>
          <w:szCs w:val="24"/>
        </w:rPr>
        <w:t>甲公司全称：（盖章）</w:t>
      </w:r>
    </w:p>
    <w:p w14:paraId="780B04FD">
      <w:pPr>
        <w:spacing w:line="360" w:lineRule="auto"/>
        <w:ind w:firstLine="480"/>
        <w:rPr>
          <w:rFonts w:ascii="宋体" w:hAnsi="宋体"/>
          <w:sz w:val="24"/>
          <w:szCs w:val="24"/>
        </w:rPr>
      </w:pPr>
      <w:r>
        <w:rPr>
          <w:rFonts w:hint="eastAsia" w:ascii="宋体" w:hAnsi="宋体"/>
          <w:color w:val="000000"/>
          <w:sz w:val="24"/>
          <w:szCs w:val="24"/>
        </w:rPr>
        <w:t>法定代表人（签字或盖章）</w:t>
      </w:r>
    </w:p>
    <w:p w14:paraId="6934C7C4">
      <w:pPr>
        <w:spacing w:line="360" w:lineRule="auto"/>
        <w:ind w:firstLine="1680"/>
        <w:rPr>
          <w:rFonts w:ascii="宋体" w:hAnsi="宋体"/>
          <w:sz w:val="24"/>
          <w:szCs w:val="24"/>
        </w:rPr>
      </w:pPr>
      <w:r>
        <w:rPr>
          <w:rFonts w:hint="eastAsia" w:ascii="宋体" w:hAnsi="宋体"/>
          <w:color w:val="000000"/>
          <w:sz w:val="24"/>
          <w:szCs w:val="24"/>
        </w:rPr>
        <w:t>年 月 日</w:t>
      </w:r>
    </w:p>
    <w:p w14:paraId="1004AC19">
      <w:pPr>
        <w:spacing w:line="360" w:lineRule="auto"/>
        <w:rPr>
          <w:rFonts w:ascii="宋体" w:hAnsi="宋体"/>
          <w:color w:val="000000"/>
          <w:sz w:val="24"/>
          <w:szCs w:val="24"/>
        </w:rPr>
      </w:pPr>
    </w:p>
    <w:p w14:paraId="5EE05ECA">
      <w:pPr>
        <w:spacing w:line="360" w:lineRule="auto"/>
        <w:ind w:firstLine="480"/>
        <w:rPr>
          <w:rFonts w:ascii="宋体" w:hAnsi="宋体"/>
          <w:sz w:val="24"/>
          <w:szCs w:val="24"/>
        </w:rPr>
      </w:pPr>
      <w:r>
        <w:rPr>
          <w:rFonts w:hint="eastAsia" w:ascii="宋体" w:hAnsi="宋体"/>
          <w:color w:val="000000"/>
          <w:sz w:val="24"/>
          <w:szCs w:val="24"/>
        </w:rPr>
        <w:t>乙公司全称：（盖章）</w:t>
      </w:r>
    </w:p>
    <w:p w14:paraId="2ACB4DDA">
      <w:pPr>
        <w:spacing w:line="360" w:lineRule="auto"/>
        <w:ind w:firstLine="480"/>
        <w:rPr>
          <w:rFonts w:ascii="宋体" w:hAnsi="宋体"/>
          <w:sz w:val="24"/>
          <w:szCs w:val="24"/>
        </w:rPr>
      </w:pPr>
      <w:r>
        <w:rPr>
          <w:rFonts w:hint="eastAsia" w:ascii="宋体" w:hAnsi="宋体"/>
          <w:color w:val="000000"/>
          <w:sz w:val="24"/>
          <w:szCs w:val="24"/>
        </w:rPr>
        <w:t>法定代表人（签字或盖章）</w:t>
      </w:r>
    </w:p>
    <w:p w14:paraId="419E1115">
      <w:pPr>
        <w:spacing w:line="360" w:lineRule="auto"/>
        <w:ind w:firstLine="1680"/>
        <w:rPr>
          <w:rFonts w:ascii="宋体" w:hAnsi="宋体"/>
          <w:sz w:val="24"/>
          <w:szCs w:val="24"/>
        </w:rPr>
      </w:pPr>
      <w:r>
        <w:rPr>
          <w:rFonts w:hint="eastAsia" w:ascii="宋体" w:hAnsi="宋体"/>
          <w:color w:val="000000"/>
          <w:sz w:val="24"/>
          <w:szCs w:val="24"/>
        </w:rPr>
        <w:t>年 月 日</w:t>
      </w:r>
    </w:p>
    <w:p w14:paraId="44B754C2">
      <w:pPr>
        <w:spacing w:line="360" w:lineRule="auto"/>
        <w:rPr>
          <w:rFonts w:ascii="宋体" w:hAnsi="宋体"/>
          <w:color w:val="000000"/>
          <w:sz w:val="24"/>
          <w:szCs w:val="24"/>
        </w:rPr>
      </w:pPr>
    </w:p>
    <w:p w14:paraId="48DA65CB">
      <w:pPr>
        <w:spacing w:line="360" w:lineRule="auto"/>
        <w:ind w:firstLine="480"/>
        <w:rPr>
          <w:rFonts w:ascii="宋体" w:hAnsi="宋体"/>
          <w:sz w:val="24"/>
          <w:szCs w:val="24"/>
        </w:rPr>
      </w:pPr>
      <w:r>
        <w:rPr>
          <w:rFonts w:hint="eastAsia" w:ascii="宋体" w:hAnsi="宋体"/>
          <w:color w:val="000000"/>
          <w:sz w:val="24"/>
          <w:szCs w:val="24"/>
        </w:rPr>
        <w:t>······公司全称（盖章）</w:t>
      </w:r>
    </w:p>
    <w:p w14:paraId="6DB8BFE8">
      <w:pPr>
        <w:spacing w:before="14" w:line="360" w:lineRule="auto"/>
        <w:ind w:firstLine="480"/>
        <w:rPr>
          <w:rFonts w:ascii="宋体" w:hAnsi="宋体"/>
          <w:sz w:val="24"/>
          <w:szCs w:val="24"/>
        </w:rPr>
      </w:pPr>
      <w:r>
        <w:rPr>
          <w:rFonts w:hint="eastAsia" w:ascii="宋体" w:hAnsi="宋体"/>
          <w:color w:val="000000"/>
          <w:sz w:val="24"/>
          <w:szCs w:val="24"/>
        </w:rPr>
        <w:t>法定代表人：（签字或盖章）</w:t>
      </w:r>
    </w:p>
    <w:p w14:paraId="2353549B">
      <w:pPr>
        <w:spacing w:before="12" w:line="360" w:lineRule="auto"/>
        <w:ind w:firstLine="1920"/>
        <w:rPr>
          <w:rFonts w:ascii="宋体" w:hAnsi="宋体"/>
          <w:sz w:val="24"/>
          <w:szCs w:val="24"/>
        </w:rPr>
      </w:pPr>
      <w:r>
        <w:rPr>
          <w:rFonts w:hint="eastAsia" w:ascii="宋体" w:hAnsi="宋体"/>
          <w:color w:val="000000"/>
          <w:sz w:val="24"/>
          <w:szCs w:val="24"/>
        </w:rPr>
        <w:t>年 月 日</w:t>
      </w:r>
    </w:p>
    <w:p w14:paraId="23EC12C9">
      <w:pPr>
        <w:spacing w:line="360" w:lineRule="auto"/>
        <w:rPr>
          <w:rFonts w:ascii="宋体" w:hAnsi="宋体"/>
          <w:color w:val="000000"/>
          <w:sz w:val="24"/>
          <w:szCs w:val="24"/>
        </w:rPr>
      </w:pPr>
    </w:p>
    <w:p w14:paraId="4E341526">
      <w:pPr>
        <w:spacing w:line="360" w:lineRule="auto"/>
        <w:rPr>
          <w:rFonts w:ascii="宋体" w:hAnsi="宋体"/>
          <w:color w:val="000000"/>
          <w:sz w:val="24"/>
          <w:szCs w:val="24"/>
        </w:rPr>
      </w:pPr>
    </w:p>
    <w:p w14:paraId="7170250C">
      <w:pPr>
        <w:spacing w:line="360" w:lineRule="auto"/>
        <w:ind w:firstLine="20"/>
        <w:rPr>
          <w:rFonts w:ascii="宋体" w:hAnsi="宋体"/>
          <w:b/>
          <w:color w:val="000000"/>
          <w:sz w:val="24"/>
          <w:szCs w:val="24"/>
        </w:rPr>
      </w:pPr>
      <w:r>
        <w:rPr>
          <w:rFonts w:hint="eastAsia" w:ascii="宋体" w:hAnsi="宋体"/>
          <w:b/>
          <w:color w:val="000000"/>
          <w:sz w:val="24"/>
          <w:szCs w:val="24"/>
        </w:rPr>
        <w:t>注：</w:t>
      </w:r>
    </w:p>
    <w:p w14:paraId="782A59CB">
      <w:pPr>
        <w:spacing w:line="360" w:lineRule="auto"/>
        <w:ind w:firstLine="494"/>
        <w:rPr>
          <w:rFonts w:ascii="宋体" w:hAnsi="宋体"/>
          <w:b/>
          <w:color w:val="000000"/>
          <w:sz w:val="24"/>
          <w:szCs w:val="24"/>
        </w:rPr>
      </w:pPr>
      <w:r>
        <w:rPr>
          <w:rFonts w:hint="eastAsia" w:ascii="宋体" w:hAnsi="宋体"/>
          <w:b/>
          <w:color w:val="000000"/>
          <w:sz w:val="24"/>
          <w:szCs w:val="24"/>
        </w:rPr>
        <w:t>1.各方成员应在本意向书上共同盖章确认。</w:t>
      </w:r>
    </w:p>
    <w:p w14:paraId="58D63406">
      <w:pPr>
        <w:spacing w:line="360" w:lineRule="auto"/>
        <w:ind w:firstLine="494"/>
        <w:rPr>
          <w:rFonts w:ascii="宋体" w:hAnsi="宋体"/>
          <w:b/>
          <w:color w:val="000000"/>
          <w:sz w:val="24"/>
          <w:szCs w:val="24"/>
        </w:rPr>
      </w:pPr>
      <w:r>
        <w:rPr>
          <w:rFonts w:hint="eastAsia" w:ascii="宋体" w:hAnsi="宋体"/>
          <w:b/>
          <w:color w:val="000000"/>
          <w:sz w:val="24"/>
          <w:szCs w:val="24"/>
        </w:rPr>
        <w:t>2.本意向书内容将作为签订合同的附件之一。</w:t>
      </w:r>
    </w:p>
    <w:p w14:paraId="472A7218">
      <w:pPr>
        <w:spacing w:line="360" w:lineRule="auto"/>
        <w:ind w:firstLine="482"/>
        <w:rPr>
          <w:rFonts w:ascii="宋体" w:hAnsi="宋体"/>
          <w:b/>
          <w:bCs/>
          <w:sz w:val="24"/>
          <w:szCs w:val="24"/>
          <w:highlight w:val="yellow"/>
        </w:rPr>
      </w:pPr>
      <w:r>
        <w:rPr>
          <w:rFonts w:hint="eastAsia" w:ascii="宋体" w:hAnsi="宋体"/>
          <w:b/>
          <w:color w:val="000000"/>
          <w:sz w:val="24"/>
          <w:szCs w:val="24"/>
          <w:highlight w:val="yellow"/>
        </w:rPr>
        <w:t>3.按照第一章 投标邀请 资格条件：</w:t>
      </w:r>
      <w:r>
        <w:rPr>
          <w:rFonts w:hint="eastAsia" w:ascii="宋体" w:hAnsi="宋体"/>
          <w:b/>
          <w:sz w:val="24"/>
          <w:szCs w:val="24"/>
          <w:highlight w:val="yellow"/>
        </w:rPr>
        <w:t>（二）落实政府采购政策需满足的资格要求，提供对应的《中小企业声明函》等证明材料。</w:t>
      </w:r>
    </w:p>
    <w:p w14:paraId="74907504">
      <w:pPr>
        <w:spacing w:line="360" w:lineRule="auto"/>
        <w:ind w:firstLine="482"/>
        <w:rPr>
          <w:rFonts w:ascii="宋体" w:hAnsi="宋体"/>
          <w:b/>
          <w:bCs/>
          <w:sz w:val="24"/>
          <w:szCs w:val="24"/>
        </w:rPr>
      </w:pPr>
      <w:r>
        <w:rPr>
          <w:rFonts w:hint="eastAsia" w:ascii="宋体" w:hAnsi="宋体"/>
          <w:b/>
          <w:bCs/>
          <w:sz w:val="24"/>
          <w:szCs w:val="24"/>
        </w:rPr>
        <w:t>4.分包协议中：适宜分包部分（具体分包内容）由投标人自行确认并填写。</w:t>
      </w:r>
    </w:p>
    <w:p w14:paraId="6FFD7D7E"/>
    <w:p w14:paraId="13152EF6">
      <w:pPr>
        <w:widowControl/>
        <w:jc w:val="center"/>
        <w:rPr>
          <w:rFonts w:ascii="黑体" w:hAnsi="黑体" w:eastAsia="黑体" w:cs="仿宋"/>
          <w:bCs/>
          <w:color w:val="000000"/>
          <w:sz w:val="40"/>
          <w:szCs w:val="32"/>
        </w:rPr>
      </w:pPr>
      <w:r>
        <w:rPr>
          <w:rFonts w:cs="宋体"/>
          <w:b/>
          <w:u w:val="single"/>
        </w:rPr>
        <w:br w:type="page"/>
      </w:r>
      <w:r>
        <w:rPr>
          <w:rFonts w:hint="eastAsia" w:ascii="黑体" w:hAnsi="黑体" w:eastAsia="黑体" w:cs="仿宋"/>
          <w:bCs/>
          <w:color w:val="000000"/>
          <w:sz w:val="40"/>
          <w:szCs w:val="32"/>
        </w:rPr>
        <w:t>质疑函范本</w:t>
      </w:r>
    </w:p>
    <w:p w14:paraId="00F77363">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致：</w:t>
      </w:r>
      <w:r>
        <w:rPr>
          <w:rFonts w:hint="eastAsia" w:ascii="宋体" w:hAnsi="宋体" w:eastAsia="宋体" w:cs="仿宋"/>
          <w:color w:val="000000"/>
          <w:sz w:val="24"/>
          <w:szCs w:val="24"/>
          <w:u w:val="single"/>
        </w:rPr>
        <w:t xml:space="preserve">                                                                 </w:t>
      </w:r>
    </w:p>
    <w:p w14:paraId="0FE237AF">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一、质疑供应商基本信息</w:t>
      </w:r>
    </w:p>
    <w:p w14:paraId="1474DDD0">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质疑供应商：</w:t>
      </w:r>
      <w:r>
        <w:rPr>
          <w:rFonts w:hint="eastAsia" w:ascii="宋体" w:hAnsi="宋体" w:eastAsia="宋体" w:cs="仿宋"/>
          <w:color w:val="000000"/>
          <w:sz w:val="24"/>
          <w:szCs w:val="24"/>
          <w:u w:val="single"/>
        </w:rPr>
        <w:t xml:space="preserve">                                                         </w:t>
      </w:r>
    </w:p>
    <w:p w14:paraId="3D03CD1D">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邮编：</w:t>
      </w:r>
      <w:r>
        <w:rPr>
          <w:rFonts w:hint="eastAsia" w:ascii="宋体" w:hAnsi="宋体" w:eastAsia="宋体" w:cs="仿宋"/>
          <w:color w:val="000000"/>
          <w:sz w:val="24"/>
          <w:szCs w:val="24"/>
          <w:u w:val="single"/>
        </w:rPr>
        <w:t xml:space="preserve">                            </w:t>
      </w:r>
    </w:p>
    <w:p w14:paraId="3C0D47A9">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联系电话：</w:t>
      </w:r>
      <w:r>
        <w:rPr>
          <w:rFonts w:hint="eastAsia" w:ascii="宋体" w:hAnsi="宋体" w:eastAsia="宋体" w:cs="仿宋"/>
          <w:color w:val="000000"/>
          <w:sz w:val="24"/>
          <w:szCs w:val="24"/>
          <w:u w:val="single"/>
        </w:rPr>
        <w:t xml:space="preserve">                             </w:t>
      </w:r>
    </w:p>
    <w:p w14:paraId="63CC0B82">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授权代表：</w:t>
      </w:r>
      <w:r>
        <w:rPr>
          <w:rFonts w:hint="eastAsia" w:ascii="宋体" w:hAnsi="宋体" w:eastAsia="宋体" w:cs="仿宋"/>
          <w:color w:val="000000"/>
          <w:sz w:val="24"/>
          <w:szCs w:val="24"/>
          <w:u w:val="single"/>
        </w:rPr>
        <w:t xml:space="preserve">                                                           </w:t>
      </w:r>
    </w:p>
    <w:p w14:paraId="7780AD45">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联系电话：</w:t>
      </w:r>
      <w:r>
        <w:rPr>
          <w:rFonts w:hint="eastAsia" w:ascii="宋体" w:hAnsi="宋体" w:eastAsia="宋体" w:cs="仿宋"/>
          <w:color w:val="000000"/>
          <w:sz w:val="24"/>
          <w:szCs w:val="24"/>
          <w:u w:val="single"/>
        </w:rPr>
        <w:t xml:space="preserve">                                                           </w:t>
      </w:r>
    </w:p>
    <w:p w14:paraId="1F05907C">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邮编：</w:t>
      </w:r>
      <w:r>
        <w:rPr>
          <w:rFonts w:hint="eastAsia" w:ascii="宋体" w:hAnsi="宋体" w:eastAsia="宋体" w:cs="仿宋"/>
          <w:color w:val="000000"/>
          <w:sz w:val="24"/>
          <w:szCs w:val="24"/>
          <w:u w:val="single"/>
        </w:rPr>
        <w:t xml:space="preserve">                                </w:t>
      </w:r>
    </w:p>
    <w:p w14:paraId="27F6ABF0">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二、质疑项目基本情况</w:t>
      </w:r>
    </w:p>
    <w:p w14:paraId="6BD00763">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质疑项目的名称：</w:t>
      </w:r>
      <w:r>
        <w:rPr>
          <w:rFonts w:hint="eastAsia" w:ascii="宋体" w:hAnsi="宋体" w:eastAsia="宋体" w:cs="仿宋"/>
          <w:color w:val="000000"/>
          <w:sz w:val="24"/>
          <w:szCs w:val="24"/>
          <w:u w:val="single"/>
        </w:rPr>
        <w:t xml:space="preserve">                                                     </w:t>
      </w:r>
    </w:p>
    <w:p w14:paraId="44DDAC24">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包号：</w:t>
      </w:r>
      <w:r>
        <w:rPr>
          <w:rFonts w:hint="eastAsia" w:ascii="宋体" w:hAnsi="宋体" w:eastAsia="宋体" w:cs="仿宋"/>
          <w:color w:val="000000"/>
          <w:sz w:val="24"/>
          <w:szCs w:val="24"/>
          <w:u w:val="single"/>
        </w:rPr>
        <w:t xml:space="preserve">                      </w:t>
      </w:r>
    </w:p>
    <w:p w14:paraId="6C7F2F62">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采购人名称：</w:t>
      </w:r>
      <w:r>
        <w:rPr>
          <w:rFonts w:hint="eastAsia" w:ascii="宋体" w:hAnsi="宋体" w:eastAsia="宋体" w:cs="仿宋"/>
          <w:color w:val="000000"/>
          <w:sz w:val="24"/>
          <w:szCs w:val="24"/>
          <w:u w:val="single"/>
        </w:rPr>
        <w:t xml:space="preserve">                                                         </w:t>
      </w:r>
    </w:p>
    <w:p w14:paraId="2914CFEC">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采购文件获取日期：</w:t>
      </w:r>
      <w:r>
        <w:rPr>
          <w:rFonts w:hint="eastAsia" w:ascii="宋体" w:hAnsi="宋体" w:eastAsia="宋体" w:cs="仿宋"/>
          <w:color w:val="000000"/>
          <w:sz w:val="24"/>
          <w:szCs w:val="24"/>
          <w:u w:val="single"/>
        </w:rPr>
        <w:t xml:space="preserve">                                                   </w:t>
      </w:r>
    </w:p>
    <w:p w14:paraId="5F141AC5">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三、质疑事项具体内容</w:t>
      </w:r>
    </w:p>
    <w:p w14:paraId="74E7221F">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质疑事项1：</w:t>
      </w:r>
      <w:r>
        <w:rPr>
          <w:rFonts w:hint="eastAsia" w:ascii="宋体" w:hAnsi="宋体" w:eastAsia="宋体" w:cs="仿宋"/>
          <w:color w:val="000000"/>
          <w:sz w:val="24"/>
          <w:szCs w:val="24"/>
          <w:u w:val="single"/>
        </w:rPr>
        <w:t xml:space="preserve">                                                          </w:t>
      </w:r>
    </w:p>
    <w:p w14:paraId="30C2D6BC">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事实依据：</w:t>
      </w:r>
      <w:r>
        <w:rPr>
          <w:rFonts w:hint="eastAsia" w:ascii="宋体" w:hAnsi="宋体" w:eastAsia="宋体" w:cs="仿宋"/>
          <w:color w:val="000000"/>
          <w:sz w:val="24"/>
          <w:szCs w:val="24"/>
          <w:u w:val="single"/>
        </w:rPr>
        <w:t xml:space="preserve">                                                            </w:t>
      </w:r>
    </w:p>
    <w:p w14:paraId="0F712DA5">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p>
    <w:p w14:paraId="773E3399">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法律依据：</w:t>
      </w:r>
      <w:r>
        <w:rPr>
          <w:rFonts w:hint="eastAsia" w:ascii="宋体" w:hAnsi="宋体" w:eastAsia="宋体" w:cs="仿宋"/>
          <w:color w:val="000000"/>
          <w:sz w:val="24"/>
          <w:szCs w:val="24"/>
          <w:u w:val="single"/>
        </w:rPr>
        <w:t xml:space="preserve">                                                            </w:t>
      </w:r>
    </w:p>
    <w:p w14:paraId="7074E904">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p>
    <w:p w14:paraId="33948F4E">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质疑事项2</w:t>
      </w:r>
    </w:p>
    <w:p w14:paraId="5195909C">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w:t>
      </w:r>
    </w:p>
    <w:p w14:paraId="51F002D7">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四、与质疑事项相关的质疑请求</w:t>
      </w:r>
    </w:p>
    <w:p w14:paraId="4A1E2D9B">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请求：</w:t>
      </w:r>
      <w:r>
        <w:rPr>
          <w:rFonts w:hint="eastAsia" w:ascii="宋体" w:hAnsi="宋体" w:eastAsia="宋体" w:cs="仿宋"/>
          <w:color w:val="000000"/>
          <w:sz w:val="24"/>
          <w:szCs w:val="24"/>
          <w:u w:val="single"/>
        </w:rPr>
        <w:t xml:space="preserve">                                                                </w:t>
      </w:r>
    </w:p>
    <w:p w14:paraId="1E8E4C51">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p>
    <w:p w14:paraId="0B84600D">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p>
    <w:p w14:paraId="04302FCA">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质疑函制作说明：</w:t>
      </w:r>
    </w:p>
    <w:p w14:paraId="74002E1E">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1.供应商提出质疑时，应提交质疑函和必要的证明材料。</w:t>
      </w:r>
    </w:p>
    <w:p w14:paraId="2121468A">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1FCC8464">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3.质疑供应商若对项目的某一分包进行质疑，质疑函中应列明具体分包号。</w:t>
      </w:r>
    </w:p>
    <w:p w14:paraId="0103C542">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4.质疑函的质疑事项应具体、明确，并有必要的事实依据和法律依据。</w:t>
      </w:r>
    </w:p>
    <w:p w14:paraId="7AC6D800">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5.质疑函的质疑请求应与质疑事项相关。</w:t>
      </w:r>
    </w:p>
    <w:p w14:paraId="4AE79040">
      <w:pPr>
        <w:widowControl/>
        <w:spacing w:line="500" w:lineRule="exact"/>
        <w:ind w:firstLine="480"/>
        <w:jc w:val="left"/>
        <w:rPr>
          <w:rFonts w:ascii="宋体" w:hAnsi="宋体" w:eastAsia="宋体" w:cs="Times New Roman"/>
          <w:sz w:val="24"/>
          <w:szCs w:val="24"/>
        </w:rPr>
      </w:pPr>
      <w:r>
        <w:rPr>
          <w:rFonts w:hint="eastAsia" w:ascii="宋体" w:hAnsi="宋体" w:eastAsia="宋体" w:cs="Times New Roman"/>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0BCD2F3D">
      <w:pPr>
        <w:widowControl/>
        <w:spacing w:line="500" w:lineRule="exact"/>
        <w:ind w:firstLine="480"/>
        <w:jc w:val="left"/>
        <w:rPr>
          <w:sz w:val="24"/>
          <w:szCs w:val="24"/>
        </w:rPr>
      </w:pPr>
      <w:r>
        <w:rPr>
          <w:rFonts w:hint="eastAsia" w:ascii="宋体" w:hAnsi="宋体" w:eastAsia="宋体" w:cs="Times New Roman"/>
          <w:sz w:val="24"/>
          <w:szCs w:val="24"/>
        </w:rPr>
        <w:t>具体要求详见第二章 投标人须知 八、询问与质疑。</w:t>
      </w:r>
    </w:p>
    <w:p w14:paraId="5DBE1124">
      <w:pPr>
        <w:pStyle w:val="10"/>
      </w:pPr>
    </w:p>
    <w:p w14:paraId="3722456D">
      <w:pPr>
        <w:widowControl/>
        <w:spacing w:line="500" w:lineRule="exact"/>
        <w:ind w:firstLine="480"/>
        <w:jc w:val="left"/>
        <w:rPr>
          <w:sz w:val="24"/>
          <w:szCs w:val="24"/>
        </w:rPr>
      </w:pPr>
    </w:p>
    <w:sectPr>
      <w:footerReference r:id="rId4" w:type="default"/>
      <w:pgSz w:w="11906" w:h="16838"/>
      <w:pgMar w:top="1440" w:right="1800" w:bottom="1440" w:left="1800"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方正楷体_GBK">
    <w:altName w:val="微软雅黑"/>
    <w:panose1 w:val="02000000000000000000"/>
    <w:charset w:val="86"/>
    <w:family w:val="auto"/>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MS Mincho">
    <w:altName w:val="Yu Gothic UI"/>
    <w:panose1 w:val="02020609040205080304"/>
    <w:charset w:val="80"/>
    <w:family w:val="modern"/>
    <w:pitch w:val="default"/>
    <w:sig w:usb0="00000000" w:usb1="00000000" w:usb2="00000010" w:usb3="00000000" w:csb0="0002009F" w:csb1="00000000"/>
  </w:font>
  <w:font w:name="方正书宋_GBK">
    <w:altName w:val="微软雅黑"/>
    <w:panose1 w:val="02000000000000000000"/>
    <w:charset w:val="86"/>
    <w:family w:val="auto"/>
    <w:pitch w:val="default"/>
    <w:sig w:usb0="00000000" w:usb1="00000000" w:usb2="00000000" w:usb3="00000000" w:csb0="00040000" w:csb1="00000000"/>
  </w:font>
  <w:font w:name="方正仿宋_GBK">
    <w:altName w:val="微软雅黑"/>
    <w:panose1 w:val="02000000000000000000"/>
    <w:charset w:val="86"/>
    <w:family w:val="script"/>
    <w:pitch w:val="default"/>
    <w:sig w:usb0="00000000" w:usb1="0000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Yu Gothic UI">
    <w:panose1 w:val="020B0500000000000000"/>
    <w:charset w:val="80"/>
    <w:family w:val="auto"/>
    <w:pitch w:val="default"/>
    <w:sig w:usb0="E00002FF" w:usb1="2AC7FDFF" w:usb2="00000016" w:usb3="00000000" w:csb0="2002009F" w:csb1="0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37382B">
    <w:pPr>
      <w:pStyle w:val="197"/>
      <w:jc w:val="center"/>
    </w:pPr>
  </w:p>
  <w:p w14:paraId="104E38CE">
    <w:pPr>
      <w:pStyle w:val="19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270858"/>
    </w:sdtPr>
    <w:sdtContent>
      <w:p w14:paraId="078EEC11">
        <w:pPr>
          <w:pStyle w:val="197"/>
          <w:jc w:val="center"/>
        </w:pPr>
        <w:r>
          <w:fldChar w:fldCharType="begin"/>
        </w:r>
        <w:r>
          <w:instrText xml:space="preserve"> PAGE   \* MERGEFORMAT </w:instrText>
        </w:r>
        <w:r>
          <w:fldChar w:fldCharType="separate"/>
        </w:r>
        <w:r>
          <w:rPr>
            <w:lang w:val="zh-CN"/>
          </w:rPr>
          <w:t>72</w:t>
        </w:r>
        <w:r>
          <w:rPr>
            <w:lang w:val="zh-CN"/>
          </w:rPr>
          <w:fldChar w:fldCharType="end"/>
        </w:r>
      </w:p>
    </w:sdtContent>
  </w:sdt>
  <w:p w14:paraId="0457D817">
    <w:pPr>
      <w:pStyle w:val="19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noPunctuationKerning w:val="1"/>
  <w:characterSpacingControl w:val="doNotCompress"/>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6ADE"/>
    <w:rsid w:val="00025BC0"/>
    <w:rsid w:val="000544ED"/>
    <w:rsid w:val="000B4D56"/>
    <w:rsid w:val="000E32D5"/>
    <w:rsid w:val="00100AC4"/>
    <w:rsid w:val="00134247"/>
    <w:rsid w:val="00163E66"/>
    <w:rsid w:val="00183D0A"/>
    <w:rsid w:val="001A064E"/>
    <w:rsid w:val="001D2195"/>
    <w:rsid w:val="001F6A27"/>
    <w:rsid w:val="001F7F1F"/>
    <w:rsid w:val="00203CA8"/>
    <w:rsid w:val="0022394C"/>
    <w:rsid w:val="0026661A"/>
    <w:rsid w:val="0027161C"/>
    <w:rsid w:val="00286F52"/>
    <w:rsid w:val="002A2466"/>
    <w:rsid w:val="002E67E0"/>
    <w:rsid w:val="002F7638"/>
    <w:rsid w:val="00310FAA"/>
    <w:rsid w:val="003337C2"/>
    <w:rsid w:val="0037261C"/>
    <w:rsid w:val="00382EBC"/>
    <w:rsid w:val="003D280D"/>
    <w:rsid w:val="003E6DBB"/>
    <w:rsid w:val="00400D84"/>
    <w:rsid w:val="004013B8"/>
    <w:rsid w:val="00404D06"/>
    <w:rsid w:val="00413986"/>
    <w:rsid w:val="00430608"/>
    <w:rsid w:val="00454C1F"/>
    <w:rsid w:val="004724EB"/>
    <w:rsid w:val="00494120"/>
    <w:rsid w:val="004D49C9"/>
    <w:rsid w:val="004F4B93"/>
    <w:rsid w:val="004F6486"/>
    <w:rsid w:val="00513A86"/>
    <w:rsid w:val="005144F4"/>
    <w:rsid w:val="00556A5A"/>
    <w:rsid w:val="005B7025"/>
    <w:rsid w:val="005C3DD1"/>
    <w:rsid w:val="005C4D6E"/>
    <w:rsid w:val="005E3E9C"/>
    <w:rsid w:val="00605078"/>
    <w:rsid w:val="00611514"/>
    <w:rsid w:val="00614160"/>
    <w:rsid w:val="00640733"/>
    <w:rsid w:val="006656E9"/>
    <w:rsid w:val="00665B36"/>
    <w:rsid w:val="00671132"/>
    <w:rsid w:val="0067253D"/>
    <w:rsid w:val="00677B08"/>
    <w:rsid w:val="0069201B"/>
    <w:rsid w:val="0069582D"/>
    <w:rsid w:val="006B009C"/>
    <w:rsid w:val="006B472F"/>
    <w:rsid w:val="006B6CBA"/>
    <w:rsid w:val="006B7480"/>
    <w:rsid w:val="006D255B"/>
    <w:rsid w:val="006F2298"/>
    <w:rsid w:val="006F725E"/>
    <w:rsid w:val="00720C2A"/>
    <w:rsid w:val="00725B6C"/>
    <w:rsid w:val="00741C0A"/>
    <w:rsid w:val="007B6ADE"/>
    <w:rsid w:val="007C74C1"/>
    <w:rsid w:val="00825D03"/>
    <w:rsid w:val="00826F52"/>
    <w:rsid w:val="0086763A"/>
    <w:rsid w:val="008A069D"/>
    <w:rsid w:val="008B0604"/>
    <w:rsid w:val="008D65B7"/>
    <w:rsid w:val="008F613C"/>
    <w:rsid w:val="0091658A"/>
    <w:rsid w:val="00926CB1"/>
    <w:rsid w:val="009377BB"/>
    <w:rsid w:val="00974AF0"/>
    <w:rsid w:val="009975A9"/>
    <w:rsid w:val="009D06AE"/>
    <w:rsid w:val="009F0305"/>
    <w:rsid w:val="009F29A0"/>
    <w:rsid w:val="009F7B53"/>
    <w:rsid w:val="00A02946"/>
    <w:rsid w:val="00A045D2"/>
    <w:rsid w:val="00A1000E"/>
    <w:rsid w:val="00A1504C"/>
    <w:rsid w:val="00A15EAA"/>
    <w:rsid w:val="00A37562"/>
    <w:rsid w:val="00A77BDB"/>
    <w:rsid w:val="00A8445B"/>
    <w:rsid w:val="00A914AD"/>
    <w:rsid w:val="00A94828"/>
    <w:rsid w:val="00A97918"/>
    <w:rsid w:val="00AA4BD4"/>
    <w:rsid w:val="00AD59BC"/>
    <w:rsid w:val="00B2647B"/>
    <w:rsid w:val="00B51325"/>
    <w:rsid w:val="00B772A7"/>
    <w:rsid w:val="00B9461D"/>
    <w:rsid w:val="00BA05FE"/>
    <w:rsid w:val="00BB44CE"/>
    <w:rsid w:val="00BB67F3"/>
    <w:rsid w:val="00BD27DC"/>
    <w:rsid w:val="00BD420D"/>
    <w:rsid w:val="00C22528"/>
    <w:rsid w:val="00C342CA"/>
    <w:rsid w:val="00C434D4"/>
    <w:rsid w:val="00C5592D"/>
    <w:rsid w:val="00C6041A"/>
    <w:rsid w:val="00C74DE8"/>
    <w:rsid w:val="00C76685"/>
    <w:rsid w:val="00CA65E7"/>
    <w:rsid w:val="00CD4124"/>
    <w:rsid w:val="00CD6949"/>
    <w:rsid w:val="00CE2AD9"/>
    <w:rsid w:val="00CE31A3"/>
    <w:rsid w:val="00CF0D35"/>
    <w:rsid w:val="00CF46EB"/>
    <w:rsid w:val="00D01BDF"/>
    <w:rsid w:val="00D156D3"/>
    <w:rsid w:val="00D31658"/>
    <w:rsid w:val="00D36CAD"/>
    <w:rsid w:val="00D56E9C"/>
    <w:rsid w:val="00D745B6"/>
    <w:rsid w:val="00E2115C"/>
    <w:rsid w:val="00E3352B"/>
    <w:rsid w:val="00E71965"/>
    <w:rsid w:val="00ED0C80"/>
    <w:rsid w:val="00F462B7"/>
    <w:rsid w:val="00F90680"/>
    <w:rsid w:val="00FF6485"/>
    <w:rsid w:val="1998697F"/>
    <w:rsid w:val="1F1B1E73"/>
    <w:rsid w:val="1FCB8122"/>
    <w:rsid w:val="26FC8DDB"/>
    <w:rsid w:val="31BD62B4"/>
    <w:rsid w:val="34C21A2E"/>
    <w:rsid w:val="39E906DA"/>
    <w:rsid w:val="3DFA4B9B"/>
    <w:rsid w:val="3F756C46"/>
    <w:rsid w:val="48874163"/>
    <w:rsid w:val="4F882A95"/>
    <w:rsid w:val="533A70DE"/>
    <w:rsid w:val="58E640F0"/>
    <w:rsid w:val="6A785B18"/>
    <w:rsid w:val="6DBCBD88"/>
    <w:rsid w:val="70AD69B0"/>
    <w:rsid w:val="7BD72410"/>
    <w:rsid w:val="7FCDDA37"/>
    <w:rsid w:val="7FCF3E06"/>
    <w:rsid w:val="BCF79876"/>
    <w:rsid w:val="BFEEBB9D"/>
    <w:rsid w:val="DBF97A85"/>
    <w:rsid w:val="DEEF9750"/>
    <w:rsid w:val="DF9F76C4"/>
    <w:rsid w:val="EEBA4E0A"/>
    <w:rsid w:val="EFA79ACA"/>
    <w:rsid w:val="F57FB414"/>
    <w:rsid w:val="FEB75E66"/>
    <w:rsid w:val="FF3BB622"/>
    <w:rsid w:val="FFB7A9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name="header"/>
    <w:lsdException w:qFormat="1" w:uiPriority="99"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nhideWhenUsed="0" w:uiPriority="99"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lang w:val="en-US" w:eastAsia="zh-CN" w:bidi="ar-SA"/>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toc 7"/>
    <w:basedOn w:val="1"/>
    <w:next w:val="1"/>
    <w:unhideWhenUsed/>
    <w:qFormat/>
    <w:uiPriority w:val="39"/>
    <w:pPr>
      <w:spacing w:after="57"/>
      <w:ind w:left="1701"/>
    </w:pPr>
  </w:style>
  <w:style w:type="paragraph" w:styleId="3">
    <w:name w:val="Document Map"/>
    <w:basedOn w:val="1"/>
    <w:link w:val="202"/>
    <w:semiHidden/>
    <w:unhideWhenUsed/>
    <w:qFormat/>
    <w:uiPriority w:val="99"/>
    <w:rPr>
      <w:rFonts w:ascii="宋体" w:eastAsia="宋体"/>
      <w:sz w:val="18"/>
      <w:szCs w:val="18"/>
    </w:rPr>
  </w:style>
  <w:style w:type="paragraph" w:styleId="4">
    <w:name w:val="annotation text"/>
    <w:basedOn w:val="1"/>
    <w:link w:val="206"/>
    <w:qFormat/>
    <w:uiPriority w:val="0"/>
    <w:pPr>
      <w:spacing w:line="360" w:lineRule="auto"/>
      <w:ind w:firstLine="922"/>
      <w:jc w:val="left"/>
    </w:pPr>
    <w:rPr>
      <w:rFonts w:ascii="Times New Roman" w:hAnsi="Times New Roman" w:eastAsia="宋体" w:cs="Times New Roman"/>
      <w:szCs w:val="24"/>
    </w:rPr>
  </w:style>
  <w:style w:type="paragraph" w:styleId="5">
    <w:name w:val="Body Text"/>
    <w:basedOn w:val="1"/>
    <w:next w:val="1"/>
    <w:link w:val="220"/>
    <w:unhideWhenUsed/>
    <w:qFormat/>
    <w:uiPriority w:val="0"/>
    <w:pPr>
      <w:spacing w:line="360" w:lineRule="auto"/>
    </w:pPr>
    <w:rPr>
      <w:rFonts w:ascii="楷体_GB2312" w:hAnsi="Times New Roman" w:eastAsia="楷体_GB2312" w:cs="Times New Roman"/>
      <w:color w:val="000000"/>
      <w:kern w:val="2"/>
      <w:sz w:val="24"/>
      <w:szCs w:val="20"/>
    </w:rPr>
  </w:style>
  <w:style w:type="paragraph" w:styleId="6">
    <w:name w:val="Body Text Indent"/>
    <w:basedOn w:val="1"/>
    <w:next w:val="7"/>
    <w:qFormat/>
    <w:uiPriority w:val="99"/>
    <w:pPr>
      <w:spacing w:after="120"/>
      <w:ind w:left="420"/>
    </w:pPr>
  </w:style>
  <w:style w:type="paragraph" w:styleId="7">
    <w:name w:val="envelope return"/>
    <w:basedOn w:val="1"/>
    <w:unhideWhenUsed/>
    <w:qFormat/>
    <w:uiPriority w:val="99"/>
    <w:rPr>
      <w:rFonts w:ascii="Arial" w:hAnsi="Arial"/>
    </w:rPr>
  </w:style>
  <w:style w:type="paragraph" w:styleId="8">
    <w:name w:val="toc 5"/>
    <w:basedOn w:val="1"/>
    <w:next w:val="1"/>
    <w:unhideWhenUsed/>
    <w:qFormat/>
    <w:uiPriority w:val="39"/>
    <w:pPr>
      <w:spacing w:after="57"/>
      <w:ind w:left="1134"/>
    </w:pPr>
  </w:style>
  <w:style w:type="paragraph" w:styleId="9">
    <w:name w:val="toc 3"/>
    <w:basedOn w:val="1"/>
    <w:next w:val="1"/>
    <w:unhideWhenUsed/>
    <w:qFormat/>
    <w:uiPriority w:val="39"/>
    <w:pPr>
      <w:spacing w:after="57"/>
      <w:ind w:left="567"/>
    </w:pPr>
  </w:style>
  <w:style w:type="paragraph" w:styleId="10">
    <w:name w:val="Plain Text"/>
    <w:basedOn w:val="1"/>
    <w:link w:val="209"/>
    <w:qFormat/>
    <w:uiPriority w:val="0"/>
    <w:rPr>
      <w:rFonts w:ascii="宋体" w:hAnsi="Courier New" w:eastAsia="宋体" w:cs="Times New Roman"/>
      <w:szCs w:val="20"/>
    </w:rPr>
  </w:style>
  <w:style w:type="paragraph" w:styleId="11">
    <w:name w:val="toc 8"/>
    <w:basedOn w:val="1"/>
    <w:next w:val="1"/>
    <w:unhideWhenUsed/>
    <w:qFormat/>
    <w:uiPriority w:val="39"/>
    <w:pPr>
      <w:spacing w:after="57"/>
      <w:ind w:left="1984"/>
    </w:pPr>
  </w:style>
  <w:style w:type="paragraph" w:styleId="12">
    <w:name w:val="Date"/>
    <w:basedOn w:val="1"/>
    <w:next w:val="1"/>
    <w:link w:val="205"/>
    <w:semiHidden/>
    <w:unhideWhenUsed/>
    <w:qFormat/>
    <w:uiPriority w:val="99"/>
    <w:pPr>
      <w:ind w:left="100"/>
    </w:pPr>
  </w:style>
  <w:style w:type="paragraph" w:styleId="13">
    <w:name w:val="endnote text"/>
    <w:basedOn w:val="1"/>
    <w:link w:val="191"/>
    <w:semiHidden/>
    <w:unhideWhenUsed/>
    <w:qFormat/>
    <w:uiPriority w:val="99"/>
    <w:rPr>
      <w:sz w:val="20"/>
    </w:rPr>
  </w:style>
  <w:style w:type="paragraph" w:styleId="14">
    <w:name w:val="Balloon Text"/>
    <w:basedOn w:val="1"/>
    <w:link w:val="207"/>
    <w:semiHidden/>
    <w:unhideWhenUsed/>
    <w:qFormat/>
    <w:uiPriority w:val="99"/>
    <w:rPr>
      <w:sz w:val="18"/>
      <w:szCs w:val="18"/>
    </w:rPr>
  </w:style>
  <w:style w:type="paragraph" w:styleId="15">
    <w:name w:val="footer"/>
    <w:basedOn w:val="1"/>
    <w:link w:val="216"/>
    <w:semiHidden/>
    <w:unhideWhenUsed/>
    <w:qFormat/>
    <w:uiPriority w:val="99"/>
    <w:pPr>
      <w:tabs>
        <w:tab w:val="center" w:pos="4153"/>
        <w:tab w:val="right" w:pos="8306"/>
      </w:tabs>
      <w:snapToGrid w:val="0"/>
      <w:jc w:val="left"/>
    </w:pPr>
    <w:rPr>
      <w:sz w:val="18"/>
      <w:szCs w:val="18"/>
    </w:rPr>
  </w:style>
  <w:style w:type="paragraph" w:styleId="16">
    <w:name w:val="header"/>
    <w:basedOn w:val="1"/>
    <w:link w:val="215"/>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unhideWhenUsed/>
    <w:qFormat/>
    <w:uiPriority w:val="39"/>
    <w:pPr>
      <w:tabs>
        <w:tab w:val="right" w:leader="dot" w:pos="9628"/>
      </w:tabs>
      <w:spacing w:line="360" w:lineRule="auto"/>
      <w:jc w:val="center"/>
    </w:pPr>
    <w:rPr>
      <w:sz w:val="32"/>
    </w:rPr>
  </w:style>
  <w:style w:type="paragraph" w:styleId="18">
    <w:name w:val="toc 4"/>
    <w:basedOn w:val="1"/>
    <w:next w:val="1"/>
    <w:unhideWhenUsed/>
    <w:qFormat/>
    <w:uiPriority w:val="39"/>
    <w:pPr>
      <w:spacing w:after="57"/>
      <w:ind w:left="850"/>
    </w:pPr>
  </w:style>
  <w:style w:type="paragraph" w:styleId="19">
    <w:name w:val="Subtitle"/>
    <w:basedOn w:val="1"/>
    <w:next w:val="1"/>
    <w:link w:val="56"/>
    <w:qFormat/>
    <w:uiPriority w:val="11"/>
    <w:pPr>
      <w:spacing w:before="200" w:after="200"/>
    </w:pPr>
    <w:rPr>
      <w:sz w:val="24"/>
      <w:szCs w:val="24"/>
    </w:rPr>
  </w:style>
  <w:style w:type="paragraph" w:styleId="20">
    <w:name w:val="footnote text"/>
    <w:basedOn w:val="1"/>
    <w:link w:val="190"/>
    <w:semiHidden/>
    <w:unhideWhenUsed/>
    <w:qFormat/>
    <w:uiPriority w:val="99"/>
    <w:pPr>
      <w:spacing w:after="40"/>
    </w:pPr>
    <w:rPr>
      <w:sz w:val="18"/>
    </w:rPr>
  </w:style>
  <w:style w:type="paragraph" w:styleId="21">
    <w:name w:val="toc 6"/>
    <w:basedOn w:val="1"/>
    <w:next w:val="1"/>
    <w:unhideWhenUsed/>
    <w:qFormat/>
    <w:uiPriority w:val="39"/>
    <w:pPr>
      <w:spacing w:after="57"/>
      <w:ind w:left="1417"/>
    </w:pPr>
  </w:style>
  <w:style w:type="paragraph" w:styleId="22">
    <w:name w:val="table of figures"/>
    <w:basedOn w:val="1"/>
    <w:next w:val="1"/>
    <w:unhideWhenUsed/>
    <w:qFormat/>
    <w:uiPriority w:val="99"/>
  </w:style>
  <w:style w:type="paragraph" w:styleId="23">
    <w:name w:val="toc 2"/>
    <w:basedOn w:val="1"/>
    <w:next w:val="1"/>
    <w:unhideWhenUsed/>
    <w:qFormat/>
    <w:uiPriority w:val="39"/>
    <w:pPr>
      <w:spacing w:after="57"/>
      <w:ind w:left="283"/>
    </w:pPr>
  </w:style>
  <w:style w:type="paragraph" w:styleId="24">
    <w:name w:val="toc 9"/>
    <w:basedOn w:val="1"/>
    <w:next w:val="1"/>
    <w:unhideWhenUsed/>
    <w:qFormat/>
    <w:uiPriority w:val="39"/>
    <w:pPr>
      <w:spacing w:after="57"/>
      <w:ind w:left="2268"/>
    </w:pPr>
  </w:style>
  <w:style w:type="paragraph" w:styleId="25">
    <w:name w:val="Normal (Web)"/>
    <w:basedOn w:val="1"/>
    <w:semiHidden/>
    <w:unhideWhenUsed/>
    <w:qFormat/>
    <w:uiPriority w:val="99"/>
    <w:pPr>
      <w:spacing w:beforeAutospacing="1" w:afterAutospacing="1"/>
      <w:jc w:val="left"/>
    </w:pPr>
    <w:rPr>
      <w:rFonts w:cs="Times New Roman"/>
      <w:sz w:val="24"/>
    </w:rPr>
  </w:style>
  <w:style w:type="paragraph" w:styleId="26">
    <w:name w:val="Title"/>
    <w:basedOn w:val="1"/>
    <w:next w:val="1"/>
    <w:link w:val="55"/>
    <w:qFormat/>
    <w:uiPriority w:val="10"/>
    <w:pPr>
      <w:spacing w:before="300" w:after="200"/>
      <w:contextualSpacing/>
    </w:pPr>
    <w:rPr>
      <w:sz w:val="48"/>
      <w:szCs w:val="48"/>
    </w:rPr>
  </w:style>
  <w:style w:type="paragraph" w:styleId="27">
    <w:name w:val="annotation subject"/>
    <w:basedOn w:val="4"/>
    <w:next w:val="4"/>
    <w:link w:val="217"/>
    <w:semiHidden/>
    <w:unhideWhenUsed/>
    <w:qFormat/>
    <w:uiPriority w:val="99"/>
    <w:pPr>
      <w:spacing w:line="240" w:lineRule="auto"/>
      <w:ind w:firstLine="0"/>
    </w:pPr>
    <w:rPr>
      <w:rFonts w:asciiTheme="minorHAnsi" w:hAnsiTheme="minorHAnsi" w:eastAsiaTheme="minorEastAsia" w:cstheme="minorBidi"/>
      <w:b/>
      <w:bCs/>
      <w:szCs w:val="22"/>
    </w:rPr>
  </w:style>
  <w:style w:type="paragraph" w:styleId="28">
    <w:name w:val="Body Text First Indent 2"/>
    <w:basedOn w:val="6"/>
    <w:qFormat/>
    <w:uiPriority w:val="99"/>
    <w:pPr>
      <w:ind w:firstLine="420"/>
    </w:pPr>
  </w:style>
  <w:style w:type="table" w:styleId="30">
    <w:name w:val="Table Grid"/>
    <w:basedOn w:val="29"/>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Strong"/>
    <w:basedOn w:val="31"/>
    <w:qFormat/>
    <w:uiPriority w:val="0"/>
    <w:rPr>
      <w:b/>
    </w:rPr>
  </w:style>
  <w:style w:type="character" w:styleId="33">
    <w:name w:val="endnote reference"/>
    <w:basedOn w:val="31"/>
    <w:semiHidden/>
    <w:unhideWhenUsed/>
    <w:qFormat/>
    <w:uiPriority w:val="99"/>
    <w:rPr>
      <w:vertAlign w:val="superscript"/>
    </w:rPr>
  </w:style>
  <w:style w:type="character" w:styleId="34">
    <w:name w:val="Emphasis"/>
    <w:qFormat/>
    <w:uiPriority w:val="0"/>
    <w:rPr>
      <w:i/>
    </w:rPr>
  </w:style>
  <w:style w:type="character" w:styleId="35">
    <w:name w:val="Hyperlink"/>
    <w:basedOn w:val="31"/>
    <w:qFormat/>
    <w:uiPriority w:val="99"/>
    <w:rPr>
      <w:color w:val="0000FF"/>
      <w:u w:val="none"/>
    </w:rPr>
  </w:style>
  <w:style w:type="character" w:styleId="36">
    <w:name w:val="annotation reference"/>
    <w:qFormat/>
    <w:uiPriority w:val="99"/>
    <w:rPr>
      <w:sz w:val="21"/>
      <w:szCs w:val="21"/>
    </w:rPr>
  </w:style>
  <w:style w:type="character" w:styleId="37">
    <w:name w:val="footnote reference"/>
    <w:basedOn w:val="31"/>
    <w:unhideWhenUsed/>
    <w:qFormat/>
    <w:uiPriority w:val="99"/>
    <w:rPr>
      <w:vertAlign w:val="superscript"/>
    </w:rPr>
  </w:style>
  <w:style w:type="character" w:customStyle="1" w:styleId="38">
    <w:name w:val="Heading 1 Char"/>
    <w:basedOn w:val="31"/>
    <w:qFormat/>
    <w:uiPriority w:val="9"/>
    <w:rPr>
      <w:rFonts w:ascii="Arial" w:hAnsi="Arial" w:eastAsia="Arial" w:cs="Arial"/>
      <w:sz w:val="40"/>
      <w:szCs w:val="40"/>
    </w:rPr>
  </w:style>
  <w:style w:type="character" w:customStyle="1" w:styleId="39">
    <w:name w:val="Heading 2 Char"/>
    <w:basedOn w:val="31"/>
    <w:qFormat/>
    <w:uiPriority w:val="9"/>
    <w:rPr>
      <w:rFonts w:ascii="Arial" w:hAnsi="Arial" w:eastAsia="Arial" w:cs="Arial"/>
      <w:sz w:val="34"/>
    </w:rPr>
  </w:style>
  <w:style w:type="character" w:customStyle="1" w:styleId="40">
    <w:name w:val="Heading 3 Char"/>
    <w:basedOn w:val="31"/>
    <w:qFormat/>
    <w:uiPriority w:val="9"/>
    <w:rPr>
      <w:rFonts w:ascii="Arial" w:hAnsi="Arial" w:eastAsia="Arial" w:cs="Arial"/>
      <w:sz w:val="30"/>
      <w:szCs w:val="30"/>
    </w:rPr>
  </w:style>
  <w:style w:type="paragraph" w:customStyle="1" w:styleId="41">
    <w:name w:val="Heading 4"/>
    <w:basedOn w:val="1"/>
    <w:next w:val="1"/>
    <w:link w:val="42"/>
    <w:unhideWhenUsed/>
    <w:qFormat/>
    <w:uiPriority w:val="9"/>
    <w:pPr>
      <w:keepNext/>
      <w:keepLines/>
      <w:spacing w:before="320" w:after="200"/>
      <w:outlineLvl w:val="3"/>
    </w:pPr>
    <w:rPr>
      <w:rFonts w:ascii="Arial" w:hAnsi="Arial" w:eastAsia="Arial" w:cs="Arial"/>
      <w:b/>
      <w:bCs/>
      <w:sz w:val="26"/>
      <w:szCs w:val="26"/>
    </w:rPr>
  </w:style>
  <w:style w:type="character" w:customStyle="1" w:styleId="42">
    <w:name w:val="Heading 4 Char"/>
    <w:basedOn w:val="31"/>
    <w:link w:val="41"/>
    <w:qFormat/>
    <w:uiPriority w:val="9"/>
    <w:rPr>
      <w:rFonts w:ascii="Arial" w:hAnsi="Arial" w:eastAsia="Arial" w:cs="Arial"/>
      <w:b/>
      <w:bCs/>
      <w:sz w:val="26"/>
      <w:szCs w:val="26"/>
    </w:rPr>
  </w:style>
  <w:style w:type="paragraph" w:customStyle="1" w:styleId="43">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character" w:customStyle="1" w:styleId="44">
    <w:name w:val="Heading 5 Char"/>
    <w:basedOn w:val="31"/>
    <w:link w:val="43"/>
    <w:qFormat/>
    <w:uiPriority w:val="9"/>
    <w:rPr>
      <w:rFonts w:ascii="Arial" w:hAnsi="Arial" w:eastAsia="Arial" w:cs="Arial"/>
      <w:b/>
      <w:bCs/>
      <w:sz w:val="24"/>
      <w:szCs w:val="24"/>
    </w:rPr>
  </w:style>
  <w:style w:type="paragraph" w:customStyle="1" w:styleId="45">
    <w:name w:val="Heading 6"/>
    <w:basedOn w:val="1"/>
    <w:next w:val="1"/>
    <w:link w:val="46"/>
    <w:unhideWhenUsed/>
    <w:qFormat/>
    <w:uiPriority w:val="9"/>
    <w:pPr>
      <w:keepNext/>
      <w:keepLines/>
      <w:spacing w:before="320" w:after="200"/>
      <w:outlineLvl w:val="5"/>
    </w:pPr>
    <w:rPr>
      <w:rFonts w:ascii="Arial" w:hAnsi="Arial" w:eastAsia="Arial" w:cs="Arial"/>
      <w:b/>
      <w:bCs/>
      <w:sz w:val="22"/>
    </w:rPr>
  </w:style>
  <w:style w:type="character" w:customStyle="1" w:styleId="46">
    <w:name w:val="Heading 6 Char"/>
    <w:basedOn w:val="31"/>
    <w:link w:val="45"/>
    <w:qFormat/>
    <w:uiPriority w:val="9"/>
    <w:rPr>
      <w:rFonts w:ascii="Arial" w:hAnsi="Arial" w:eastAsia="Arial" w:cs="Arial"/>
      <w:b/>
      <w:bCs/>
      <w:sz w:val="22"/>
      <w:szCs w:val="22"/>
    </w:rPr>
  </w:style>
  <w:style w:type="paragraph" w:customStyle="1" w:styleId="47">
    <w:name w:val="Heading 7"/>
    <w:basedOn w:val="1"/>
    <w:next w:val="1"/>
    <w:link w:val="48"/>
    <w:unhideWhenUsed/>
    <w:qFormat/>
    <w:uiPriority w:val="9"/>
    <w:pPr>
      <w:keepNext/>
      <w:keepLines/>
      <w:spacing w:before="320" w:after="200"/>
      <w:outlineLvl w:val="6"/>
    </w:pPr>
    <w:rPr>
      <w:rFonts w:ascii="Arial" w:hAnsi="Arial" w:eastAsia="Arial" w:cs="Arial"/>
      <w:b/>
      <w:bCs/>
      <w:i/>
      <w:iCs/>
      <w:sz w:val="22"/>
    </w:rPr>
  </w:style>
  <w:style w:type="character" w:customStyle="1" w:styleId="48">
    <w:name w:val="Heading 7 Char"/>
    <w:basedOn w:val="31"/>
    <w:link w:val="47"/>
    <w:qFormat/>
    <w:uiPriority w:val="9"/>
    <w:rPr>
      <w:rFonts w:ascii="Arial" w:hAnsi="Arial" w:eastAsia="Arial" w:cs="Arial"/>
      <w:b/>
      <w:bCs/>
      <w:i/>
      <w:iCs/>
      <w:sz w:val="22"/>
      <w:szCs w:val="22"/>
    </w:rPr>
  </w:style>
  <w:style w:type="paragraph" w:customStyle="1" w:styleId="49">
    <w:name w:val="Heading 8"/>
    <w:basedOn w:val="1"/>
    <w:next w:val="1"/>
    <w:link w:val="50"/>
    <w:unhideWhenUsed/>
    <w:qFormat/>
    <w:uiPriority w:val="9"/>
    <w:pPr>
      <w:keepNext/>
      <w:keepLines/>
      <w:spacing w:before="320" w:after="200"/>
      <w:outlineLvl w:val="7"/>
    </w:pPr>
    <w:rPr>
      <w:rFonts w:ascii="Arial" w:hAnsi="Arial" w:eastAsia="Arial" w:cs="Arial"/>
      <w:i/>
      <w:iCs/>
      <w:sz w:val="22"/>
    </w:rPr>
  </w:style>
  <w:style w:type="character" w:customStyle="1" w:styleId="50">
    <w:name w:val="Heading 8 Char"/>
    <w:basedOn w:val="31"/>
    <w:link w:val="49"/>
    <w:qFormat/>
    <w:uiPriority w:val="9"/>
    <w:rPr>
      <w:rFonts w:ascii="Arial" w:hAnsi="Arial" w:eastAsia="Arial" w:cs="Arial"/>
      <w:i/>
      <w:iCs/>
      <w:sz w:val="22"/>
      <w:szCs w:val="22"/>
    </w:rPr>
  </w:style>
  <w:style w:type="paragraph" w:customStyle="1" w:styleId="51">
    <w:name w:val="Heading 9"/>
    <w:basedOn w:val="1"/>
    <w:next w:val="1"/>
    <w:link w:val="52"/>
    <w:unhideWhenUsed/>
    <w:qFormat/>
    <w:uiPriority w:val="9"/>
    <w:pPr>
      <w:keepNext/>
      <w:keepLines/>
      <w:spacing w:before="320" w:after="200"/>
      <w:outlineLvl w:val="8"/>
    </w:pPr>
    <w:rPr>
      <w:rFonts w:ascii="Arial" w:hAnsi="Arial" w:eastAsia="Arial" w:cs="Arial"/>
      <w:i/>
      <w:iCs/>
      <w:szCs w:val="21"/>
    </w:rPr>
  </w:style>
  <w:style w:type="character" w:customStyle="1" w:styleId="52">
    <w:name w:val="Heading 9 Char"/>
    <w:basedOn w:val="31"/>
    <w:link w:val="51"/>
    <w:qFormat/>
    <w:uiPriority w:val="9"/>
    <w:rPr>
      <w:rFonts w:ascii="Arial" w:hAnsi="Arial" w:eastAsia="Arial" w:cs="Arial"/>
      <w:i/>
      <w:iCs/>
      <w:sz w:val="21"/>
      <w:szCs w:val="21"/>
    </w:rPr>
  </w:style>
  <w:style w:type="paragraph" w:styleId="53">
    <w:name w:val="List Paragraph"/>
    <w:basedOn w:val="1"/>
    <w:qFormat/>
    <w:uiPriority w:val="34"/>
    <w:pPr>
      <w:ind w:left="720"/>
      <w:contextualSpacing/>
    </w:pPr>
  </w:style>
  <w:style w:type="paragraph" w:styleId="54">
    <w:name w:val="No Spacing"/>
    <w:qFormat/>
    <w:uiPriority w:val="1"/>
    <w:rPr>
      <w:rFonts w:ascii="Times New Roman" w:hAnsi="Times New Roman" w:eastAsia="宋体" w:cs="Times New Roman"/>
      <w:lang w:val="en-US" w:eastAsia="zh-CN" w:bidi="ar-SA"/>
    </w:rPr>
  </w:style>
  <w:style w:type="character" w:customStyle="1" w:styleId="55">
    <w:name w:val="标题 Char"/>
    <w:basedOn w:val="31"/>
    <w:link w:val="26"/>
    <w:qFormat/>
    <w:uiPriority w:val="10"/>
    <w:rPr>
      <w:sz w:val="48"/>
      <w:szCs w:val="48"/>
    </w:rPr>
  </w:style>
  <w:style w:type="character" w:customStyle="1" w:styleId="56">
    <w:name w:val="副标题 Char"/>
    <w:basedOn w:val="31"/>
    <w:link w:val="19"/>
    <w:qFormat/>
    <w:uiPriority w:val="11"/>
    <w:rPr>
      <w:sz w:val="24"/>
      <w:szCs w:val="24"/>
    </w:rPr>
  </w:style>
  <w:style w:type="paragraph" w:styleId="57">
    <w:name w:val="Quote"/>
    <w:basedOn w:val="1"/>
    <w:next w:val="1"/>
    <w:link w:val="58"/>
    <w:qFormat/>
    <w:uiPriority w:val="29"/>
    <w:pPr>
      <w:ind w:left="720" w:right="720"/>
    </w:pPr>
    <w:rPr>
      <w:i/>
    </w:rPr>
  </w:style>
  <w:style w:type="character" w:customStyle="1" w:styleId="58">
    <w:name w:val="引用 Char"/>
    <w:link w:val="57"/>
    <w:qFormat/>
    <w:uiPriority w:val="29"/>
    <w:rPr>
      <w:i/>
    </w:rPr>
  </w:style>
  <w:style w:type="paragraph" w:styleId="59">
    <w:name w:val="Intense Quote"/>
    <w:basedOn w:val="1"/>
    <w:next w:val="1"/>
    <w:link w:val="6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0">
    <w:name w:val="明显引用 Char"/>
    <w:link w:val="59"/>
    <w:qFormat/>
    <w:uiPriority w:val="30"/>
    <w:rPr>
      <w:i/>
    </w:rPr>
  </w:style>
  <w:style w:type="character" w:customStyle="1" w:styleId="61">
    <w:name w:val="Header Char"/>
    <w:basedOn w:val="31"/>
    <w:qFormat/>
    <w:uiPriority w:val="99"/>
  </w:style>
  <w:style w:type="character" w:customStyle="1" w:styleId="62">
    <w:name w:val="Footer Char"/>
    <w:basedOn w:val="31"/>
    <w:qFormat/>
    <w:uiPriority w:val="99"/>
  </w:style>
  <w:style w:type="paragraph" w:customStyle="1" w:styleId="6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character" w:customStyle="1" w:styleId="64">
    <w:name w:val="Caption Char"/>
    <w:qFormat/>
    <w:uiPriority w:val="99"/>
  </w:style>
  <w:style w:type="table" w:customStyle="1" w:styleId="65">
    <w:name w:val="Table Grid Light"/>
    <w:basedOn w:val="2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Plain Table 1"/>
    <w:basedOn w:val="2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Plain Table 2"/>
    <w:basedOn w:val="29"/>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Plain Table 3"/>
    <w:basedOn w:val="29"/>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Plain Table 4"/>
    <w:basedOn w:val="29"/>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5"/>
    <w:basedOn w:val="29"/>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Grid Table 1 Light"/>
    <w:basedOn w:val="29"/>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basedOn w:val="29"/>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3">
    <w:name w:val="Grid Table 1 Light - Accent 2"/>
    <w:basedOn w:val="29"/>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4">
    <w:name w:val="Grid Table 1 Light - Accent 3"/>
    <w:basedOn w:val="29"/>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5">
    <w:name w:val="Grid Table 1 Light - Accent 4"/>
    <w:basedOn w:val="29"/>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6">
    <w:name w:val="Grid Table 1 Light - Accent 5"/>
    <w:basedOn w:val="29"/>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7">
    <w:name w:val="Grid Table 1 Light - Accent 6"/>
    <w:basedOn w:val="29"/>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8">
    <w:name w:val="Grid Table 2"/>
    <w:basedOn w:val="2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basedOn w:val="29"/>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2 - Accent 2"/>
    <w:basedOn w:val="29"/>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2 - Accent 3"/>
    <w:basedOn w:val="29"/>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2 - Accent 4"/>
    <w:basedOn w:val="29"/>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2 - Accent 5"/>
    <w:basedOn w:val="29"/>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2 - Accent 6"/>
    <w:basedOn w:val="29"/>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3"/>
    <w:basedOn w:val="2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basedOn w:val="29"/>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3 - Accent 2"/>
    <w:basedOn w:val="29"/>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3 - Accent 3"/>
    <w:basedOn w:val="29"/>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3 - Accent 4"/>
    <w:basedOn w:val="29"/>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3 - Accent 5"/>
    <w:basedOn w:val="29"/>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3 - Accent 6"/>
    <w:basedOn w:val="29"/>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4"/>
    <w:basedOn w:val="29"/>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basedOn w:val="29"/>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4">
    <w:name w:val="Grid Table 4 - Accent 2"/>
    <w:basedOn w:val="29"/>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4 - Accent 3"/>
    <w:basedOn w:val="29"/>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4 - Accent 4"/>
    <w:basedOn w:val="29"/>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4 - Accent 5"/>
    <w:basedOn w:val="29"/>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4 - Accent 6"/>
    <w:basedOn w:val="29"/>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Grid Table 5 Dark"/>
    <w:basedOn w:val="2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basedOn w:val="2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1">
    <w:name w:val="Grid Table 5 Dark - Accent 2"/>
    <w:basedOn w:val="2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2">
    <w:name w:val="Grid Table 5 Dark - Accent 3"/>
    <w:basedOn w:val="2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3">
    <w:name w:val="Grid Table 5 Dark- Accent 4"/>
    <w:basedOn w:val="2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4">
    <w:name w:val="Grid Table 5 Dark - Accent 5"/>
    <w:basedOn w:val="2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5">
    <w:name w:val="Grid Table 5 Dark - Accent 6"/>
    <w:basedOn w:val="2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6">
    <w:name w:val="Grid Table 6 Colorful"/>
    <w:basedOn w:val="29"/>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6 Colorful - Accent 1"/>
    <w:basedOn w:val="29"/>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6 Colorful - Accent 2"/>
    <w:basedOn w:val="29"/>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6 Colorful - Accent 3"/>
    <w:basedOn w:val="29"/>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0">
    <w:name w:val="Grid Table 6 Colorful - Accent 4"/>
    <w:basedOn w:val="29"/>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6 Colorful - Accent 5"/>
    <w:basedOn w:val="29"/>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6 Colorful - Accent 6"/>
    <w:basedOn w:val="29"/>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3">
    <w:name w:val="Grid Table 7 Colorful"/>
    <w:basedOn w:val="29"/>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7 Colorful - Accent 1"/>
    <w:basedOn w:val="29"/>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5">
    <w:name w:val="Grid Table 7 Colorful - Accent 2"/>
    <w:basedOn w:val="29"/>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6">
    <w:name w:val="Grid Table 7 Colorful - Accent 3"/>
    <w:basedOn w:val="29"/>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7">
    <w:name w:val="Grid Table 7 Colorful - Accent 4"/>
    <w:basedOn w:val="29"/>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8">
    <w:name w:val="Grid Table 7 Colorful - Accent 5"/>
    <w:basedOn w:val="29"/>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9">
    <w:name w:val="Grid Table 7 Colorful - Accent 6"/>
    <w:basedOn w:val="29"/>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0">
    <w:name w:val="List Table 1 Light"/>
    <w:basedOn w:val="29"/>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basedOn w:val="29"/>
    <w:qFormat/>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2">
    <w:name w:val="List Table 1 Light - Accent 2"/>
    <w:basedOn w:val="29"/>
    <w:qFormat/>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3">
    <w:name w:val="List Table 1 Light - Accent 3"/>
    <w:basedOn w:val="29"/>
    <w:qFormat/>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4">
    <w:name w:val="List Table 1 Light - Accent 4"/>
    <w:basedOn w:val="29"/>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5">
    <w:name w:val="List Table 1 Light - Accent 5"/>
    <w:basedOn w:val="29"/>
    <w:qFormat/>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6">
    <w:name w:val="List Table 1 Light - Accent 6"/>
    <w:basedOn w:val="29"/>
    <w:qFormat/>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7">
    <w:name w:val="List Table 2"/>
    <w:basedOn w:val="29"/>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basedOn w:val="29"/>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9">
    <w:name w:val="List Table 2 - Accent 2"/>
    <w:basedOn w:val="29"/>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0">
    <w:name w:val="List Table 2 - Accent 3"/>
    <w:basedOn w:val="29"/>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1">
    <w:name w:val="List Table 2 - Accent 4"/>
    <w:basedOn w:val="29"/>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2">
    <w:name w:val="List Table 2 - Accent 5"/>
    <w:basedOn w:val="29"/>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3">
    <w:name w:val="List Table 2 - Accent 6"/>
    <w:basedOn w:val="29"/>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4">
    <w:name w:val="List Table 3"/>
    <w:basedOn w:val="2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basedOn w:val="29"/>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6">
    <w:name w:val="List Table 3 - Accent 2"/>
    <w:basedOn w:val="29"/>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7">
    <w:name w:val="List Table 3 - Accent 3"/>
    <w:basedOn w:val="29"/>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8">
    <w:name w:val="List Table 3 - Accent 4"/>
    <w:basedOn w:val="29"/>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9">
    <w:name w:val="List Table 3 - Accent 5"/>
    <w:basedOn w:val="29"/>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0">
    <w:name w:val="List Table 3 - Accent 6"/>
    <w:basedOn w:val="29"/>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1">
    <w:name w:val="List Table 4"/>
    <w:basedOn w:val="2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basedOn w:val="29"/>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4 - Accent 2"/>
    <w:basedOn w:val="29"/>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4 - Accent 3"/>
    <w:basedOn w:val="29"/>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4 - Accent 4"/>
    <w:basedOn w:val="29"/>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4 - Accent 5"/>
    <w:basedOn w:val="29"/>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4 - Accent 6"/>
    <w:basedOn w:val="29"/>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List Table 5 Dark"/>
    <w:basedOn w:val="29"/>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basedOn w:val="29"/>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0">
    <w:name w:val="List Table 5 Dark - Accent 2"/>
    <w:basedOn w:val="29"/>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1">
    <w:name w:val="List Table 5 Dark - Accent 3"/>
    <w:basedOn w:val="29"/>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2">
    <w:name w:val="List Table 5 Dark - Accent 4"/>
    <w:basedOn w:val="29"/>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3">
    <w:name w:val="List Table 5 Dark - Accent 5"/>
    <w:basedOn w:val="29"/>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4">
    <w:name w:val="List Table 5 Dark - Accent 6"/>
    <w:basedOn w:val="29"/>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5">
    <w:name w:val="List Table 6 Colorful"/>
    <w:basedOn w:val="29"/>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6">
    <w:name w:val="List Table 6 Colorful - Accent 1"/>
    <w:basedOn w:val="29"/>
    <w:qFormat/>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6 Colorful - Accent 2"/>
    <w:basedOn w:val="29"/>
    <w:qFormat/>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6 Colorful - Accent 3"/>
    <w:basedOn w:val="29"/>
    <w:qFormat/>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6 Colorful - Accent 4"/>
    <w:basedOn w:val="29"/>
    <w:qFormat/>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6 Colorful - Accent 5"/>
    <w:basedOn w:val="29"/>
    <w:qFormat/>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6 Colorful - Accent 6"/>
    <w:basedOn w:val="29"/>
    <w:qFormat/>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List Table 7 Colorful"/>
    <w:basedOn w:val="29"/>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List Table 7 Colorful - Accent 1"/>
    <w:basedOn w:val="29"/>
    <w:qFormat/>
    <w:uiPriority w:val="99"/>
    <w:tblPr>
      <w:tblBorders>
        <w:right w:val="single" w:color="4F81BD" w:themeColor="accent1" w:sz="4" w:space="0"/>
      </w:tblBorders>
      <w:tblCellMar>
        <w:top w:w="0" w:type="dxa"/>
        <w:left w:w="108" w:type="dxa"/>
        <w:bottom w:w="0" w:type="dxa"/>
        <w:right w:w="108"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4">
    <w:name w:val="List Table 7 Colorful - Accent 2"/>
    <w:basedOn w:val="29"/>
    <w:qFormat/>
    <w:uiPriority w:val="99"/>
    <w:tblPr>
      <w:tblBorders>
        <w:right w:val="single" w:color="D99795" w:themeColor="accent2" w:themeTint="97" w:sz="4" w:space="0"/>
      </w:tblBorders>
      <w:tblCellMar>
        <w:top w:w="0" w:type="dxa"/>
        <w:left w:w="108" w:type="dxa"/>
        <w:bottom w:w="0" w:type="dxa"/>
        <w:right w:w="108"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List Table 7 Colorful - Accent 3"/>
    <w:basedOn w:val="29"/>
    <w:qFormat/>
    <w:uiPriority w:val="99"/>
    <w:tblPr>
      <w:tblBorders>
        <w:right w:val="single" w:color="C3D69C" w:themeColor="accent3" w:themeTint="98" w:sz="4" w:space="0"/>
      </w:tblBorders>
      <w:tblCellMar>
        <w:top w:w="0" w:type="dxa"/>
        <w:left w:w="108" w:type="dxa"/>
        <w:bottom w:w="0" w:type="dxa"/>
        <w:right w:w="108"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6">
    <w:name w:val="List Table 7 Colorful - Accent 4"/>
    <w:basedOn w:val="29"/>
    <w:qFormat/>
    <w:uiPriority w:val="99"/>
    <w:tblPr>
      <w:tblBorders>
        <w:right w:val="single" w:color="B2A1C6" w:themeColor="accent4" w:themeTint="9A" w:sz="4" w:space="0"/>
      </w:tblBorders>
      <w:tblCellMar>
        <w:top w:w="0" w:type="dxa"/>
        <w:left w:w="108" w:type="dxa"/>
        <w:bottom w:w="0" w:type="dxa"/>
        <w:right w:w="108"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List Table 7 Colorful - Accent 5"/>
    <w:basedOn w:val="29"/>
    <w:qFormat/>
    <w:uiPriority w:val="99"/>
    <w:tblPr>
      <w:tblBorders>
        <w:right w:val="single" w:color="92CCDC" w:themeColor="accent5" w:themeTint="9A" w:sz="4" w:space="0"/>
      </w:tblBorders>
      <w:tblCellMar>
        <w:top w:w="0" w:type="dxa"/>
        <w:left w:w="108" w:type="dxa"/>
        <w:bottom w:w="0" w:type="dxa"/>
        <w:right w:w="108"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8">
    <w:name w:val="List Table 7 Colorful - Accent 6"/>
    <w:basedOn w:val="29"/>
    <w:qFormat/>
    <w:uiPriority w:val="99"/>
    <w:tblPr>
      <w:tblBorders>
        <w:right w:val="single" w:color="FAC090" w:themeColor="accent6" w:themeTint="98" w:sz="4" w:space="0"/>
      </w:tblBorders>
      <w:tblCellMar>
        <w:top w:w="0" w:type="dxa"/>
        <w:left w:w="108" w:type="dxa"/>
        <w:bottom w:w="0" w:type="dxa"/>
        <w:right w:w="108"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9">
    <w:name w:val="Lined - Accent"/>
    <w:basedOn w:val="2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basedOn w:val="2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Lined - Accent 2"/>
    <w:basedOn w:val="2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Lined - Accent 3"/>
    <w:basedOn w:val="2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Lined - Accent 4"/>
    <w:basedOn w:val="2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Lined - Accent 5"/>
    <w:basedOn w:val="2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Lined - Accent 6"/>
    <w:basedOn w:val="29"/>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amp; Lined - Accent"/>
    <w:basedOn w:val="29"/>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basedOn w:val="29"/>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Bordered &amp; Lined - Accent 2"/>
    <w:basedOn w:val="29"/>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Bordered &amp; Lined - Accent 3"/>
    <w:basedOn w:val="29"/>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Bordered &amp; Lined - Accent 4"/>
    <w:basedOn w:val="29"/>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Bordered &amp; Lined - Accent 5"/>
    <w:basedOn w:val="29"/>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Bordered &amp; Lined - Accent 6"/>
    <w:basedOn w:val="29"/>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w:basedOn w:val="29"/>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basedOn w:val="29"/>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5">
    <w:name w:val="Bordered - Accent 2"/>
    <w:basedOn w:val="29"/>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6">
    <w:name w:val="Bordered - Accent 3"/>
    <w:basedOn w:val="29"/>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7">
    <w:name w:val="Bordered - Accent 4"/>
    <w:basedOn w:val="29"/>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8">
    <w:name w:val="Bordered - Accent 5"/>
    <w:basedOn w:val="29"/>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9">
    <w:name w:val="Bordered - Accent 6"/>
    <w:basedOn w:val="29"/>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0">
    <w:name w:val="脚注文本 Char"/>
    <w:link w:val="20"/>
    <w:qFormat/>
    <w:uiPriority w:val="99"/>
    <w:rPr>
      <w:sz w:val="18"/>
    </w:rPr>
  </w:style>
  <w:style w:type="character" w:customStyle="1" w:styleId="191">
    <w:name w:val="尾注文本 Char"/>
    <w:link w:val="13"/>
    <w:qFormat/>
    <w:uiPriority w:val="99"/>
    <w:rPr>
      <w:sz w:val="20"/>
    </w:rPr>
  </w:style>
  <w:style w:type="paragraph" w:customStyle="1" w:styleId="192">
    <w:name w:val="TOC 标题1"/>
    <w:unhideWhenUsed/>
    <w:qFormat/>
    <w:uiPriority w:val="39"/>
    <w:rPr>
      <w:rFonts w:ascii="Times New Roman" w:hAnsi="Times New Roman" w:eastAsia="宋体" w:cs="Times New Roman"/>
      <w:lang w:val="en-US" w:eastAsia="zh-CN" w:bidi="ar-SA"/>
    </w:rPr>
  </w:style>
  <w:style w:type="paragraph" w:customStyle="1" w:styleId="193">
    <w:name w:val="Heading 1"/>
    <w:basedOn w:val="1"/>
    <w:next w:val="1"/>
    <w:link w:val="201"/>
    <w:qFormat/>
    <w:uiPriority w:val="9"/>
    <w:pPr>
      <w:keepNext/>
      <w:keepLines/>
      <w:spacing w:before="340" w:after="330" w:line="578" w:lineRule="auto"/>
      <w:outlineLvl w:val="0"/>
    </w:pPr>
    <w:rPr>
      <w:b/>
      <w:bCs/>
      <w:sz w:val="44"/>
      <w:szCs w:val="44"/>
    </w:rPr>
  </w:style>
  <w:style w:type="paragraph" w:customStyle="1" w:styleId="194">
    <w:name w:val="Heading 2"/>
    <w:basedOn w:val="1"/>
    <w:next w:val="1"/>
    <w:link w:val="20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customStyle="1" w:styleId="195">
    <w:name w:val="Heading 3"/>
    <w:basedOn w:val="1"/>
    <w:next w:val="1"/>
    <w:link w:val="204"/>
    <w:unhideWhenUsed/>
    <w:qFormat/>
    <w:uiPriority w:val="9"/>
    <w:pPr>
      <w:keepNext/>
      <w:keepLines/>
      <w:spacing w:before="260" w:after="260" w:line="416" w:lineRule="auto"/>
      <w:outlineLvl w:val="2"/>
    </w:pPr>
    <w:rPr>
      <w:b/>
      <w:bCs/>
      <w:sz w:val="32"/>
      <w:szCs w:val="32"/>
    </w:rPr>
  </w:style>
  <w:style w:type="paragraph" w:customStyle="1" w:styleId="196">
    <w:name w:val="Default"/>
    <w:link w:val="208"/>
    <w:qFormat/>
    <w:uiPriority w:val="99"/>
    <w:pPr>
      <w:widowControl w:val="0"/>
    </w:pPr>
    <w:rPr>
      <w:rFonts w:ascii="MS Mincho" w:hAnsi="Calibri" w:eastAsia="宋体" w:cs="Times New Roman"/>
      <w:color w:val="000000"/>
      <w:sz w:val="21"/>
      <w:szCs w:val="24"/>
      <w:lang w:val="en-US" w:eastAsia="zh-CN" w:bidi="ar-SA"/>
    </w:rPr>
  </w:style>
  <w:style w:type="paragraph" w:customStyle="1" w:styleId="197">
    <w:name w:val="Footer"/>
    <w:basedOn w:val="1"/>
    <w:link w:val="200"/>
    <w:unhideWhenUsed/>
    <w:qFormat/>
    <w:uiPriority w:val="99"/>
    <w:pPr>
      <w:tabs>
        <w:tab w:val="center" w:pos="4153"/>
        <w:tab w:val="right" w:pos="8306"/>
      </w:tabs>
      <w:jc w:val="left"/>
    </w:pPr>
    <w:rPr>
      <w:sz w:val="18"/>
      <w:szCs w:val="18"/>
    </w:rPr>
  </w:style>
  <w:style w:type="paragraph" w:customStyle="1" w:styleId="198">
    <w:name w:val="Header"/>
    <w:basedOn w:val="1"/>
    <w:link w:val="199"/>
    <w:semiHidden/>
    <w:unhideWhenUsed/>
    <w:qFormat/>
    <w:uiPriority w:val="99"/>
    <w:pPr>
      <w:pBdr>
        <w:bottom w:val="single" w:color="auto" w:sz="6" w:space="1"/>
      </w:pBdr>
      <w:tabs>
        <w:tab w:val="center" w:pos="4153"/>
        <w:tab w:val="right" w:pos="8306"/>
      </w:tabs>
      <w:jc w:val="center"/>
    </w:pPr>
    <w:rPr>
      <w:sz w:val="18"/>
      <w:szCs w:val="18"/>
    </w:rPr>
  </w:style>
  <w:style w:type="character" w:customStyle="1" w:styleId="199">
    <w:name w:val="页眉 Char"/>
    <w:basedOn w:val="31"/>
    <w:link w:val="198"/>
    <w:semiHidden/>
    <w:qFormat/>
    <w:uiPriority w:val="99"/>
    <w:rPr>
      <w:sz w:val="18"/>
      <w:szCs w:val="18"/>
    </w:rPr>
  </w:style>
  <w:style w:type="character" w:customStyle="1" w:styleId="200">
    <w:name w:val="页脚 Char"/>
    <w:basedOn w:val="31"/>
    <w:link w:val="197"/>
    <w:qFormat/>
    <w:uiPriority w:val="99"/>
    <w:rPr>
      <w:sz w:val="18"/>
      <w:szCs w:val="18"/>
    </w:rPr>
  </w:style>
  <w:style w:type="character" w:customStyle="1" w:styleId="201">
    <w:name w:val="标题 1 Char"/>
    <w:basedOn w:val="31"/>
    <w:link w:val="193"/>
    <w:qFormat/>
    <w:uiPriority w:val="9"/>
    <w:rPr>
      <w:b/>
      <w:bCs/>
      <w:sz w:val="44"/>
      <w:szCs w:val="44"/>
    </w:rPr>
  </w:style>
  <w:style w:type="character" w:customStyle="1" w:styleId="202">
    <w:name w:val="文档结构图 Char"/>
    <w:basedOn w:val="31"/>
    <w:link w:val="3"/>
    <w:semiHidden/>
    <w:qFormat/>
    <w:uiPriority w:val="99"/>
    <w:rPr>
      <w:rFonts w:ascii="宋体" w:eastAsia="宋体"/>
      <w:sz w:val="18"/>
      <w:szCs w:val="18"/>
    </w:rPr>
  </w:style>
  <w:style w:type="character" w:customStyle="1" w:styleId="203">
    <w:name w:val="标题 2 Char"/>
    <w:basedOn w:val="31"/>
    <w:link w:val="194"/>
    <w:qFormat/>
    <w:uiPriority w:val="9"/>
    <w:rPr>
      <w:rFonts w:asciiTheme="majorHAnsi" w:hAnsiTheme="majorHAnsi" w:eastAsiaTheme="majorEastAsia" w:cstheme="majorBidi"/>
      <w:b/>
      <w:bCs/>
      <w:sz w:val="32"/>
      <w:szCs w:val="32"/>
    </w:rPr>
  </w:style>
  <w:style w:type="character" w:customStyle="1" w:styleId="204">
    <w:name w:val="标题 3 Char"/>
    <w:basedOn w:val="31"/>
    <w:link w:val="195"/>
    <w:qFormat/>
    <w:uiPriority w:val="9"/>
    <w:rPr>
      <w:b/>
      <w:bCs/>
      <w:sz w:val="32"/>
      <w:szCs w:val="32"/>
    </w:rPr>
  </w:style>
  <w:style w:type="character" w:customStyle="1" w:styleId="205">
    <w:name w:val="日期 Char"/>
    <w:basedOn w:val="31"/>
    <w:link w:val="12"/>
    <w:semiHidden/>
    <w:qFormat/>
    <w:uiPriority w:val="99"/>
  </w:style>
  <w:style w:type="character" w:customStyle="1" w:styleId="206">
    <w:name w:val="批注文字 Char"/>
    <w:basedOn w:val="31"/>
    <w:link w:val="4"/>
    <w:qFormat/>
    <w:uiPriority w:val="0"/>
    <w:rPr>
      <w:rFonts w:ascii="Times New Roman" w:hAnsi="Times New Roman" w:eastAsia="宋体" w:cs="Times New Roman"/>
      <w:szCs w:val="24"/>
    </w:rPr>
  </w:style>
  <w:style w:type="character" w:customStyle="1" w:styleId="207">
    <w:name w:val="批注框文本 Char"/>
    <w:basedOn w:val="31"/>
    <w:link w:val="14"/>
    <w:semiHidden/>
    <w:qFormat/>
    <w:uiPriority w:val="99"/>
    <w:rPr>
      <w:sz w:val="18"/>
      <w:szCs w:val="18"/>
    </w:rPr>
  </w:style>
  <w:style w:type="character" w:customStyle="1" w:styleId="208">
    <w:name w:val="Default Char"/>
    <w:link w:val="196"/>
    <w:qFormat/>
    <w:uiPriority w:val="99"/>
    <w:rPr>
      <w:rFonts w:ascii="MS Mincho" w:hAnsi="Calibri" w:eastAsia="宋体" w:cs="Times New Roman"/>
      <w:color w:val="000000"/>
      <w:szCs w:val="24"/>
    </w:rPr>
  </w:style>
  <w:style w:type="character" w:customStyle="1" w:styleId="209">
    <w:name w:val="纯文本 Char"/>
    <w:basedOn w:val="31"/>
    <w:link w:val="10"/>
    <w:qFormat/>
    <w:uiPriority w:val="0"/>
    <w:rPr>
      <w:rFonts w:ascii="宋体" w:hAnsi="Courier New" w:eastAsia="宋体" w:cs="Times New Roman"/>
      <w:szCs w:val="20"/>
    </w:rPr>
  </w:style>
  <w:style w:type="paragraph" w:customStyle="1" w:styleId="210">
    <w:name w:val="纯文本1"/>
    <w:basedOn w:val="1"/>
    <w:qFormat/>
    <w:uiPriority w:val="0"/>
    <w:rPr>
      <w:rFonts w:ascii="宋体" w:hAnsi="Courier New" w:eastAsia="宋体" w:cs="Times New Roman"/>
      <w:szCs w:val="20"/>
    </w:rPr>
  </w:style>
  <w:style w:type="paragraph" w:customStyle="1" w:styleId="211">
    <w:name w:val="BodyText1I2"/>
    <w:basedOn w:val="1"/>
    <w:qFormat/>
    <w:uiPriority w:val="0"/>
    <w:pPr>
      <w:spacing w:after="120"/>
      <w:ind w:left="420" w:firstLine="420"/>
    </w:pPr>
  </w:style>
  <w:style w:type="character" w:customStyle="1" w:styleId="212">
    <w:name w:val="NormalCharacter"/>
    <w:qFormat/>
    <w:uiPriority w:val="0"/>
  </w:style>
  <w:style w:type="paragraph" w:customStyle="1" w:styleId="213">
    <w:name w:val="普通(网站)1"/>
    <w:basedOn w:val="1"/>
    <w:qFormat/>
    <w:uiPriority w:val="0"/>
    <w:rPr>
      <w:sz w:val="24"/>
    </w:rPr>
  </w:style>
  <w:style w:type="paragraph" w:customStyle="1" w:styleId="214">
    <w:name w:val="标题 31"/>
    <w:basedOn w:val="1"/>
    <w:next w:val="1"/>
    <w:qFormat/>
    <w:uiPriority w:val="9"/>
    <w:pPr>
      <w:keepNext/>
      <w:keepLines/>
      <w:spacing w:before="260" w:after="260" w:line="416" w:lineRule="auto"/>
      <w:outlineLvl w:val="2"/>
    </w:pPr>
    <w:rPr>
      <w:b/>
      <w:bCs/>
      <w:sz w:val="32"/>
      <w:szCs w:val="32"/>
    </w:rPr>
  </w:style>
  <w:style w:type="character" w:customStyle="1" w:styleId="215">
    <w:name w:val="页眉 Char1"/>
    <w:basedOn w:val="31"/>
    <w:link w:val="16"/>
    <w:semiHidden/>
    <w:qFormat/>
    <w:uiPriority w:val="99"/>
    <w:rPr>
      <w:rFonts w:asciiTheme="minorHAnsi" w:hAnsiTheme="minorHAnsi" w:eastAsiaTheme="minorEastAsia" w:cstheme="minorBidi"/>
      <w:sz w:val="18"/>
      <w:szCs w:val="18"/>
    </w:rPr>
  </w:style>
  <w:style w:type="character" w:customStyle="1" w:styleId="216">
    <w:name w:val="页脚 Char1"/>
    <w:basedOn w:val="31"/>
    <w:link w:val="15"/>
    <w:semiHidden/>
    <w:qFormat/>
    <w:uiPriority w:val="99"/>
    <w:rPr>
      <w:rFonts w:asciiTheme="minorHAnsi" w:hAnsiTheme="minorHAnsi" w:eastAsiaTheme="minorEastAsia" w:cstheme="minorBidi"/>
      <w:sz w:val="18"/>
      <w:szCs w:val="18"/>
    </w:rPr>
  </w:style>
  <w:style w:type="character" w:customStyle="1" w:styleId="217">
    <w:name w:val="批注主题 Char"/>
    <w:basedOn w:val="206"/>
    <w:link w:val="27"/>
    <w:semiHidden/>
    <w:qFormat/>
    <w:uiPriority w:val="99"/>
    <w:rPr>
      <w:rFonts w:asciiTheme="minorHAnsi" w:hAnsiTheme="minorHAnsi" w:eastAsiaTheme="minorEastAsia" w:cstheme="minorBidi"/>
      <w:b/>
      <w:bCs/>
      <w:sz w:val="21"/>
      <w:szCs w:val="22"/>
    </w:rPr>
  </w:style>
  <w:style w:type="character" w:customStyle="1" w:styleId="218">
    <w:name w:val="text_yybqd"/>
    <w:basedOn w:val="31"/>
    <w:qFormat/>
    <w:uiPriority w:val="0"/>
  </w:style>
  <w:style w:type="paragraph" w:customStyle="1" w:styleId="219">
    <w:name w:val="修订1"/>
    <w:hidden/>
    <w:semiHidden/>
    <w:qFormat/>
    <w:uiPriority w:val="99"/>
    <w:rPr>
      <w:rFonts w:asciiTheme="minorHAnsi" w:hAnsiTheme="minorHAnsi" w:eastAsiaTheme="minorEastAsia" w:cstheme="minorBidi"/>
      <w:sz w:val="21"/>
      <w:szCs w:val="22"/>
      <w:lang w:val="en-US" w:eastAsia="zh-CN" w:bidi="ar-SA"/>
    </w:rPr>
  </w:style>
  <w:style w:type="character" w:customStyle="1" w:styleId="220">
    <w:name w:val="正文文本 Char"/>
    <w:basedOn w:val="31"/>
    <w:link w:val="5"/>
    <w:qFormat/>
    <w:uiPriority w:val="0"/>
    <w:rPr>
      <w:rFonts w:ascii="楷体_GB2312" w:eastAsia="楷体_GB2312"/>
      <w:color w:val="000000"/>
      <w:kern w:val="2"/>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fth Edition"/>
</file>

<file path=customXml/itemProps1.xml><?xml version="1.0" encoding="utf-8"?>
<ds:datastoreItem xmlns:ds="http://schemas.openxmlformats.org/officeDocument/2006/customXml" ds:itemID="{F89A3204-70E2-4E90-BF60-811644A5E289}">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93</Pages>
  <Words>112</Words>
  <Characters>516</Characters>
  <Lines>365</Lines>
  <Paragraphs>102</Paragraphs>
  <TotalTime>52</TotalTime>
  <ScaleCrop>false</ScaleCrop>
  <LinksUpToDate>false</LinksUpToDate>
  <CharactersWithSpaces>537</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“苏采云”公开招标服务范本</cp:category>
  <dcterms:created xsi:type="dcterms:W3CDTF">2026-10-28T14:38:00Z</dcterms:created>
  <dc:creator>连云港市公共资源交易中心</dc:creator>
  <dc:description>2024年3月11日修订</dc:description>
  <cp:lastModifiedBy>CY</cp:lastModifiedBy>
  <dcterms:modified xsi:type="dcterms:W3CDTF">2026-11-03T03:46:14Z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eyJoZGlkIjoiODUzYmFhYjRkNDhlOTg1M2IwNjdlYzFlZmYyMDhiODIiLCJ1c2VySWQiOiIxMDQyMDAzNTU1In0=</vt:lpwstr>
  </property>
  <property fmtid="{D5CDD505-2E9C-101B-9397-08002B2CF9AE}" pid="3" name="KSOProductBuildVer">
    <vt:lpwstr>2052-12.1.0.29161</vt:lpwstr>
  </property>
  <property fmtid="{D5CDD505-2E9C-101B-9397-08002B2CF9AE}" pid="4" name="ICV">
    <vt:lpwstr>C4FB502D41EC41298418AFE8794630C6_13</vt:lpwstr>
  </property>
</Properties>
</file>