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color w:val="auto"/>
          <w:highlight w:val="none"/>
        </w:rPr>
      </w:pPr>
      <w:r>
        <w:rPr>
          <w:color w:val="auto"/>
          <w:highlight w:val="none"/>
        </w:rPr>
      </w:r>
      <w:r/>
    </w:p>
    <w:p>
      <w:pPr>
        <w:jc w:val="left"/>
        <w:spacing w:before="120" w:after="120" w:line="360" w:lineRule="auto"/>
        <w:rPr>
          <w:color w:val="auto"/>
          <w:highlight w:val="none"/>
        </w:rPr>
      </w:pPr>
      <w:r>
        <w:rPr>
          <w:color w:val="auto"/>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w:t>
      </w:r>
      <w:bookmarkStart w:id="310" w:name="_GoBack"/>
      <w:r/>
      <w:bookmarkEnd w:id="310"/>
      <w:r>
        <w:rPr>
          <w:rFonts w:hint="eastAsia" w:ascii="Arial" w:hAnsi="Arial" w:eastAsia="黑体"/>
          <w:b/>
          <w:bCs/>
          <w:color w:val="auto"/>
          <w:sz w:val="84"/>
          <w:szCs w:val="24"/>
          <w:highlight w:val="none"/>
        </w:rPr>
        <w:t xml:space="preserve">商文件</w:t>
      </w:r>
      <w:r/>
    </w:p>
    <w:p>
      <w:pPr>
        <w:jc w:val="center"/>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ind w:firstLine="643"/>
        <w:jc w:val="left"/>
        <w:keepLines w:val="0"/>
        <w:keepNext w:val="0"/>
        <w:pageBreakBefore w:val="0"/>
        <w:spacing w:before="120" w:after="120" w:line="360" w:lineRule="auto"/>
        <w:widowControl w:val="off"/>
        <w:rPr>
          <w:rFonts w:hint="eastAsia" w:ascii="Arial" w:hAnsi="Arial" w:eastAsia="宋体"/>
          <w:b/>
          <w:bCs/>
          <w:color w:val="auto"/>
          <w:sz w:val="32"/>
          <w:szCs w:val="24"/>
          <w:highlight w:val="none"/>
          <w:u w:val="single"/>
          <w:lang w:eastAsia="zh-CN"/>
        </w:rPr>
      </w:pPr>
      <w:r>
        <w:rPr>
          <w:rFonts w:hint="eastAsia" w:ascii="Arial" w:hAnsi="Arial"/>
          <w:b/>
          <w:bCs/>
          <w:color w:val="auto"/>
          <w:sz w:val="32"/>
          <w:szCs w:val="24"/>
          <w:highlight w:val="none"/>
        </w:rPr>
        <w:t xml:space="preserve">项目名称：</w:t>
      </w:r>
      <w:r>
        <w:rPr>
          <w:rFonts w:hint="eastAsia" w:ascii="Arial" w:hAnsi="Arial"/>
          <w:b/>
          <w:bCs/>
          <w:color w:val="auto"/>
          <w:spacing w:val="0"/>
          <w:sz w:val="32"/>
          <w:szCs w:val="24"/>
          <w:highlight w:val="none"/>
          <w:u w:val="single"/>
          <w:lang w:eastAsia="zh-CN"/>
        </w:rPr>
        <w:t xml:space="preserve">东海县2026年灌区骨干工程维修养护项目施工标(政府采购工程）（专门面向中小企业）</w:t>
      </w:r>
      <w:r/>
    </w:p>
    <w:p>
      <w:pPr>
        <w:ind w:firstLine="643"/>
        <w:jc w:val="left"/>
        <w:keepLines w:val="0"/>
        <w:keepNext w:val="0"/>
        <w:pageBreakBefore w:val="0"/>
        <w:spacing w:before="120" w:after="120" w:line="360" w:lineRule="auto"/>
        <w:widowControl w:val="off"/>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JSZC-320722-LYGZ-C2026-0006</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77"/>
        <w:ind w:right="-993"/>
        <w:rPr>
          <w:rFonts w:hAnsi="宋体"/>
          <w:color w:val="auto"/>
          <w:highlight w:val="none"/>
        </w:rPr>
      </w:pPr>
      <w:r>
        <w:rPr>
          <w:rFonts w:hAnsi="宋体"/>
          <w:color w:val="auto"/>
          <w:highlight w:val="none"/>
        </w:rPr>
      </w:r>
      <w:r/>
    </w:p>
    <w:p>
      <w:pPr>
        <w:ind w:firstLine="643"/>
        <w:jc w:val="left"/>
        <w:keepLines w:val="0"/>
        <w:keepNext w:val="0"/>
        <w:pageBreakBefore w:val="0"/>
        <w:spacing w:before="120" w:after="120" w:line="360" w:lineRule="auto"/>
        <w:widowControl w:val="off"/>
        <w:rPr>
          <w:rFonts w:hint="eastAsia" w:ascii="Arial" w:hAnsi="Arial" w:eastAsia="宋体" w:cs="Times New Roman"/>
          <w:b/>
          <w:bCs/>
          <w:color w:val="auto"/>
          <w:sz w:val="32"/>
          <w:szCs w:val="24"/>
          <w:highlight w:val="none"/>
          <w:lang w:eastAsia="zh-CN"/>
        </w:rPr>
      </w:pPr>
      <w:r>
        <w:rPr>
          <w:rFonts w:hint="eastAsia" w:ascii="Arial" w:hAnsi="Arial" w:cs="Times New Roman"/>
          <w:b/>
          <w:bCs/>
          <w:color w:val="auto"/>
          <w:sz w:val="32"/>
          <w:szCs w:val="24"/>
          <w:highlight w:val="none"/>
        </w:rPr>
        <w:t xml:space="preserve">采   购   人：</w:t>
      </w:r>
      <w:r>
        <w:rPr>
          <w:rFonts w:hint="eastAsia" w:ascii="Arial" w:hAnsi="Arial" w:cs="Times New Roman"/>
          <w:b/>
          <w:bCs/>
          <w:color w:val="auto"/>
          <w:sz w:val="32"/>
          <w:szCs w:val="24"/>
          <w:highlight w:val="none"/>
          <w:lang w:eastAsia="zh-CN"/>
        </w:rPr>
        <w:t xml:space="preserve">东海县水务局</w:t>
      </w:r>
      <w:r/>
    </w:p>
    <w:p>
      <w:pPr>
        <w:ind w:firstLine="643"/>
        <w:jc w:val="left"/>
        <w:keepLines w:val="0"/>
        <w:keepNext w:val="0"/>
        <w:pageBreakBefore w:val="0"/>
        <w:spacing w:before="120" w:after="120" w:line="360" w:lineRule="auto"/>
        <w:widowControl w:val="off"/>
        <w:rPr>
          <w:color w:val="auto"/>
          <w:highlight w:val="none"/>
        </w:rPr>
      </w:pPr>
      <w:r>
        <w:rPr>
          <w:rFonts w:hint="eastAsia" w:ascii="Arial" w:hAnsi="Arial" w:cs="Times New Roman"/>
          <w:b/>
          <w:bCs/>
          <w:color w:val="auto"/>
          <w:sz w:val="32"/>
          <w:szCs w:val="24"/>
          <w:highlight w:val="none"/>
        </w:rPr>
        <w:t xml:space="preserve">采购代理机构：连云港市正源招标代理有限公司</w:t>
      </w:r>
      <w:r/>
    </w:p>
    <w:p>
      <w:pPr>
        <w:jc w:val="center"/>
        <w:spacing w:before="120" w:after="120" w:line="360" w:lineRule="auto"/>
        <w:rPr>
          <w:rFonts w:hint="eastAsia" w:ascii="Arial" w:hAnsi="Arial" w:eastAsia="宋体"/>
          <w:b/>
          <w:bCs/>
          <w:color w:val="auto"/>
          <w:sz w:val="32"/>
          <w:szCs w:val="24"/>
          <w:highlight w:val="none"/>
          <w:lang w:eastAsia="zh-CN"/>
        </w:rPr>
      </w:pPr>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ascii="Arial" w:hAnsi="Arial"/>
          <w:b/>
          <w:bCs/>
          <w:color w:val="auto"/>
          <w:sz w:val="32"/>
          <w:szCs w:val="24"/>
          <w:highlight w:val="none"/>
          <w:u w:val="single"/>
          <w:lang w:eastAsia="zh-CN"/>
        </w:rPr>
        <w:t xml:space="preserve">2026年1</w:t>
      </w:r>
      <w:r>
        <w:rPr>
          <w:rFonts w:hint="eastAsia" w:ascii="Arial" w:hAnsi="Arial"/>
          <w:b/>
          <w:bCs/>
          <w:color w:val="auto"/>
          <w:sz w:val="32"/>
          <w:szCs w:val="24"/>
          <w:highlight w:val="none"/>
          <w:u w:val="single"/>
          <w:lang w:val="en-US" w:eastAsia="zh-CN"/>
        </w:rPr>
        <w:t xml:space="preserve">1</w:t>
      </w:r>
      <w:r>
        <w:rPr>
          <w:rFonts w:hint="eastAsia" w:ascii="Arial" w:hAnsi="Arial"/>
          <w:b/>
          <w:bCs/>
          <w:color w:val="auto"/>
          <w:sz w:val="32"/>
          <w:szCs w:val="24"/>
          <w:highlight w:val="none"/>
          <w:u w:val="single"/>
          <w:lang w:eastAsia="zh-CN"/>
        </w:rPr>
        <w:t xml:space="preserve">月</w:t>
      </w:r>
      <w:r/>
    </w:p>
    <w:p>
      <w:pPr>
        <w:rPr>
          <w:rFonts w:hint="eastAsia" w:ascii="黑体" w:hAnsi="Arial" w:eastAsia="黑体"/>
          <w:b/>
          <w:color w:val="auto"/>
          <w:sz w:val="44"/>
          <w:szCs w:val="21"/>
          <w:highlight w:val="none"/>
        </w:rPr>
        <w:sectPr>
          <w:headerReference w:type="default" r:id="rId9"/>
          <w:footerReference w:type="default" r:id="rId11"/>
          <w:footerReference w:type="even" r:id="rId12"/>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黑体" w:hAnsi="Arial" w:eastAsia="黑体"/>
          <w:b/>
          <w:color w:val="auto"/>
          <w:sz w:val="44"/>
          <w:szCs w:val="21"/>
          <w:highlight w:val="none"/>
        </w:rPr>
      </w:r>
      <w:r/>
    </w:p>
    <w:p>
      <w:pPr>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r>
      <w:r/>
    </w:p>
    <w:sdt>
      <w:sdtPr>
        <w15:appearance w15:val="boundingBox"/>
        <w15:color w:val="dbdbdb"/>
        <w:id w:val="147481466"/>
        <w:docPartObj>
          <w:docPartGallery w:val="Table of Contents"/>
          <w:docPartUnique w:val="true"/>
        </w:docPartObj>
        <w:rPr>
          <w:rFonts w:ascii="宋体" w:hAnsi="宋体" w:eastAsia="宋体" w:cs="Times New Roman"/>
          <w:color w:val="auto"/>
          <w:sz w:val="48"/>
          <w:szCs w:val="52"/>
          <w:highlight w:val="none"/>
          <w:lang w:val="en-US" w:eastAsia="zh-CN" w:bidi="ar-SA"/>
        </w:rPr>
      </w:sdtPr>
      <w:sdtContent>
        <w:p>
          <w:pPr>
            <w:ind w:left="0" w:right="0" w:firstLine="0"/>
            <w:jc w:val="center"/>
            <w:spacing w:before="0" w:after="0" w:line="240" w:lineRule="auto"/>
            <w:rPr>
              <w:color w:val="auto"/>
              <w:sz w:val="48"/>
              <w:szCs w:val="52"/>
              <w:highlight w:val="none"/>
            </w:rPr>
          </w:pPr>
          <w:r>
            <w:rPr>
              <w:rFonts w:ascii="宋体" w:hAnsi="宋体" w:eastAsia="宋体"/>
              <w:color w:val="auto"/>
              <w:sz w:val="48"/>
              <w:szCs w:val="52"/>
              <w:highlight w:val="none"/>
            </w:rPr>
            <w:t xml:space="preserve">目</w:t>
          </w:r>
          <w:r>
            <w:rPr>
              <w:rFonts w:hint="eastAsia" w:ascii="宋体" w:hAnsi="宋体" w:eastAsia="宋体"/>
              <w:color w:val="auto"/>
              <w:sz w:val="48"/>
              <w:szCs w:val="52"/>
              <w:highlight w:val="none"/>
              <w:lang w:val="en-US" w:eastAsia="zh-CN"/>
            </w:rPr>
            <w:t xml:space="preserve">   </w:t>
          </w:r>
          <w:r>
            <w:rPr>
              <w:rFonts w:ascii="宋体" w:hAnsi="宋体" w:eastAsia="宋体"/>
              <w:color w:val="auto"/>
              <w:sz w:val="48"/>
              <w:szCs w:val="52"/>
              <w:highlight w:val="none"/>
            </w:rPr>
            <w:t xml:space="preserve">录</w:t>
          </w:r>
          <w:r/>
        </w:p>
        <w:p>
          <w:pPr>
            <w:pStyle w:val="801"/>
            <w:tabs>
              <w:tab w:val="right" w:pos="8958" w:leader="dot"/>
            </w:tabs>
            <w:rPr>
              <w:color w:val="auto"/>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_Toc4464 </w:instrText>
          </w:r>
          <w:r>
            <w:rPr>
              <w:color w:val="auto"/>
              <w:highlight w:val="none"/>
            </w:rPr>
            <w:fldChar w:fldCharType="separate"/>
          </w:r>
          <w:r>
            <w:rPr>
              <w:rFonts w:hint="eastAsia" w:ascii="黑体" w:eastAsia="黑体"/>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_Toc4464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807"/>
            <w:ind w:left="0" w:firstLine="0"/>
            <w:tabs>
              <w:tab w:val="right" w:pos="8958" w:leader="dot"/>
            </w:tabs>
            <w:rPr>
              <w:color w:val="auto"/>
              <w:highlight w:val="none"/>
            </w:rPr>
          </w:pPr>
          <w:r>
            <w:rPr>
              <w:color w:val="auto"/>
              <w:highlight w:val="none"/>
            </w:rPr>
            <w:fldChar w:fldCharType="begin"/>
          </w:r>
          <w:r>
            <w:rPr>
              <w:color w:val="auto"/>
              <w:highlight w:val="none"/>
            </w:rPr>
            <w:instrText xml:space="preserve"> HYPERLINK \l _Toc32188 </w:instrText>
          </w:r>
          <w:r>
            <w:rPr>
              <w:color w:val="auto"/>
              <w:highlight w:val="none"/>
            </w:rPr>
            <w:fldChar w:fldCharType="separate"/>
          </w:r>
          <w:r>
            <w:rPr>
              <w:rFonts w:hint="eastAsia" w:ascii="黑体" w:hAnsi="Arial" w:eastAsia="黑体" w:cs="Arial"/>
              <w:bCs/>
              <w:color w:val="auto"/>
              <w:szCs w:val="44"/>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_Toc32188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1"/>
            <w:tabs>
              <w:tab w:val="right" w:pos="8958" w:leader="dot"/>
            </w:tabs>
            <w:rPr>
              <w:color w:val="auto"/>
              <w:highlight w:val="none"/>
            </w:rPr>
          </w:pPr>
          <w:r>
            <w:rPr>
              <w:color w:val="auto"/>
              <w:highlight w:val="none"/>
            </w:rPr>
            <w:fldChar w:fldCharType="begin"/>
          </w:r>
          <w:r>
            <w:rPr>
              <w:color w:val="auto"/>
              <w:highlight w:val="none"/>
            </w:rPr>
            <w:instrText xml:space="preserve"> HYPERLINK \l _Toc28770 </w:instrText>
          </w:r>
          <w:r>
            <w:rPr>
              <w:color w:val="auto"/>
              <w:highlight w:val="none"/>
            </w:rPr>
            <w:fldChar w:fldCharType="separate"/>
          </w:r>
          <w:r>
            <w:rPr>
              <w:rFonts w:hint="eastAsia" w:ascii="黑体" w:eastAsia="黑体"/>
              <w:bCs/>
              <w:color w:val="auto"/>
              <w:szCs w:val="28"/>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_Toc28770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01"/>
            <w:tabs>
              <w:tab w:val="right" w:pos="8958" w:leader="dot"/>
            </w:tabs>
            <w:rPr>
              <w:color w:val="auto"/>
              <w:highlight w:val="none"/>
            </w:rPr>
          </w:pPr>
          <w:r>
            <w:rPr>
              <w:color w:val="auto"/>
              <w:highlight w:val="none"/>
            </w:rPr>
            <w:fldChar w:fldCharType="begin"/>
          </w:r>
          <w:r>
            <w:rPr>
              <w:color w:val="auto"/>
              <w:highlight w:val="none"/>
            </w:rPr>
            <w:instrText xml:space="preserve"> HYPERLINK \l _Toc2689 </w:instrText>
          </w:r>
          <w:r>
            <w:rPr>
              <w:color w:val="auto"/>
              <w:highlight w:val="none"/>
            </w:rPr>
            <w:fldChar w:fldCharType="separate"/>
          </w:r>
          <w:r>
            <w:rPr>
              <w:rFonts w:hint="eastAsia" w:ascii="黑体" w:eastAsia="黑体"/>
              <w:bCs/>
              <w:color w:val="auto"/>
              <w:szCs w:val="28"/>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_Toc2689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01"/>
            <w:tabs>
              <w:tab w:val="right" w:pos="8958" w:leader="dot"/>
            </w:tabs>
            <w:rPr>
              <w:color w:val="auto"/>
              <w:highlight w:val="none"/>
            </w:rPr>
          </w:pPr>
          <w:r>
            <w:rPr>
              <w:color w:val="auto"/>
              <w:highlight w:val="none"/>
            </w:rPr>
            <w:fldChar w:fldCharType="begin"/>
          </w:r>
          <w:r>
            <w:rPr>
              <w:color w:val="auto"/>
              <w:highlight w:val="none"/>
            </w:rPr>
            <w:instrText xml:space="preserve"> HYPERLINK \l _Toc4459 </w:instrText>
          </w:r>
          <w:r>
            <w:rPr>
              <w:color w:val="auto"/>
              <w:highlight w:val="none"/>
            </w:rPr>
            <w:fldChar w:fldCharType="separate"/>
          </w:r>
          <w:r>
            <w:rPr>
              <w:rFonts w:hint="eastAsia" w:ascii="黑体" w:eastAsia="黑体"/>
              <w:bCs/>
              <w:color w:val="auto"/>
              <w:szCs w:val="28"/>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_Toc4459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ind w:left="0" w:firstLine="0"/>
        <w:jc w:val="center"/>
        <w:keepNext/>
        <w:pageBreakBefore w:val="0"/>
        <w:spacing w:line="360" w:lineRule="auto"/>
        <w:widowControl w:val="off"/>
        <w:rPr>
          <w:rFonts w:hint="eastAsia" w:ascii="黑体" w:eastAsia="黑体"/>
          <w:color w:val="auto"/>
          <w:sz w:val="44"/>
          <w:szCs w:val="44"/>
          <w:highlight w:val="none"/>
        </w:rPr>
        <w:sectPr>
          <w:footnotePr/>
          <w:endnotePr/>
          <w:type w:val="nextPage"/>
          <w:pgSz w:w="11906" w:h="16838" w:orient="portrait"/>
          <w:pgMar w:top="1417" w:right="1474" w:bottom="1417" w:left="1474" w:header="850" w:footer="907" w:gutter="0"/>
          <w:cols w:num="1" w:sep="0" w:space="0" w:equalWidth="1"/>
          <w:docGrid w:linePitch="360"/>
          <w:titlePg/>
        </w:sectPr>
        <w:outlineLvl w:val="0"/>
      </w:pPr>
      <w:r>
        <w:rPr>
          <w:rFonts w:hint="eastAsia" w:ascii="黑体" w:eastAsia="黑体"/>
          <w:color w:val="auto"/>
          <w:sz w:val="44"/>
          <w:szCs w:val="44"/>
          <w:highlight w:val="none"/>
        </w:rPr>
      </w:r>
      <w:r/>
    </w:p>
    <w:p>
      <w:pPr>
        <w:ind w:left="0" w:firstLine="0"/>
        <w:jc w:val="center"/>
        <w:keepNext/>
        <w:pageBreakBefore w:val="0"/>
        <w:spacing w:line="360" w:lineRule="auto"/>
        <w:widowControl w:val="off"/>
        <w:rPr>
          <w:rFonts w:ascii="黑体" w:eastAsia="黑体"/>
          <w:bCs/>
          <w:color w:val="auto"/>
          <w:sz w:val="44"/>
          <w:szCs w:val="44"/>
          <w:highlight w:val="none"/>
        </w:rPr>
        <w:outlineLvl w:val="0"/>
      </w:pPr>
      <w:r/>
      <w:bookmarkStart w:id="6" w:name="_Toc4464"/>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磋商邀请</w:t>
      </w:r>
      <w:bookmarkEnd w:id="6"/>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东海县水务局</w:t>
      </w:r>
      <w:r>
        <w:rPr>
          <w:rFonts w:hint="eastAsia" w:ascii="宋体" w:hAnsi="宋体"/>
          <w:color w:val="auto"/>
          <w:sz w:val="24"/>
          <w:szCs w:val="24"/>
          <w:highlight w:val="none"/>
        </w:rPr>
        <w:t xml:space="preserve">的委托，连云港市正源招标代理有限公司就</w:t>
      </w:r>
      <w:r>
        <w:rPr>
          <w:rFonts w:hint="eastAsia" w:ascii="宋体" w:hAnsi="宋体"/>
          <w:color w:val="auto"/>
          <w:sz w:val="24"/>
          <w:szCs w:val="24"/>
          <w:highlight w:val="none"/>
          <w:lang w:eastAsia="zh-CN"/>
        </w:rPr>
        <w:t xml:space="preserve">东海县2026年灌区骨干工程维修养护项目施工标(政府采购工程）（专门面向中小企业）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项目编号</w:t>
      </w:r>
      <w:r>
        <w:rPr>
          <w:rFonts w:hint="eastAsia" w:ascii="宋体" w:hAnsi="宋体"/>
          <w:color w:val="auto"/>
          <w:sz w:val="24"/>
          <w:szCs w:val="24"/>
          <w:highlight w:val="none"/>
          <w:lang w:eastAsia="zh-CN"/>
        </w:rPr>
        <w:t xml:space="preserve">JSZC-320722-LYGZ-C2026-0006</w:t>
      </w:r>
      <w:r>
        <w:rPr>
          <w:rFonts w:hint="eastAsia" w:ascii="宋体" w:hAnsi="宋体"/>
          <w:color w:val="auto"/>
          <w:sz w:val="24"/>
          <w:szCs w:val="24"/>
          <w:highlight w:val="none"/>
        </w:rPr>
        <w:t xml:space="preserve">)项目进行竞争性磋商采购，欢迎符合条件的供应商参加磋商。</w:t>
      </w:r>
      <w:r/>
    </w:p>
    <w:p>
      <w:pPr>
        <w:ind w:left="0" w:firstLine="0"/>
        <w:jc w:val="both"/>
        <w:pageBreakBefore w:val="0"/>
        <w:spacing w:line="360" w:lineRule="auto"/>
        <w:widowControl w:val="off"/>
        <w:rPr>
          <w:rFonts w:hint="eastAsia" w:ascii="宋体" w:hAnsi="宋体" w:eastAsia="宋体"/>
          <w:color w:val="auto"/>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hint="eastAsia" w:ascii="宋体" w:hAnsi="宋体"/>
          <w:color w:val="auto"/>
          <w:sz w:val="24"/>
          <w:szCs w:val="24"/>
          <w:highlight w:val="none"/>
          <w:lang w:eastAsia="zh-CN"/>
        </w:rPr>
        <w:t xml:space="preserve">：</w:t>
      </w:r>
      <w:r/>
    </w:p>
    <w:p>
      <w:pPr>
        <w:ind w:left="0" w:firstLine="0"/>
        <w:jc w:val="both"/>
        <w:pageBreakBefore w:val="0"/>
        <w:spacing w:line="360" w:lineRule="auto"/>
        <w:widowControl w:val="off"/>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东海县2026年灌区骨干工程维修养护项目施工标(政府采购工程）（专门面向中小企业）</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lang w:eastAsia="zh-CN"/>
        </w:rPr>
        <w:t xml:space="preserve">2026年11月13</w:t>
      </w:r>
      <w:r>
        <w:rPr>
          <w:rFonts w:hint="eastAsia" w:ascii="宋体" w:hAnsi="宋体"/>
          <w:color w:val="auto"/>
          <w:sz w:val="24"/>
          <w:szCs w:val="24"/>
          <w:highlight w:val="none"/>
          <w:u w:val="single"/>
          <w:lang w:eastAsia="zh-CN"/>
        </w:rPr>
        <w:t xml:space="preserve">日</w:t>
      </w:r>
      <w:r>
        <w:rPr>
          <w:rFonts w:hint="eastAsia" w:ascii="宋体" w:hAnsi="宋体"/>
          <w:bCs/>
          <w:color w:val="auto"/>
          <w:sz w:val="24"/>
          <w:szCs w:val="24"/>
          <w:highlight w:val="none"/>
          <w:u w:val="single"/>
          <w:lang w:val="en-US" w:eastAsia="zh-CN"/>
        </w:rPr>
        <w:t xml:space="preserve">10</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left="0" w:firstLine="643"/>
        <w:jc w:val="both"/>
        <w:keepLines/>
        <w:keepNext/>
        <w:pageBreakBefore w:val="0"/>
        <w:spacing w:line="360" w:lineRule="auto"/>
        <w:widowControl w:val="off"/>
        <w:rPr>
          <w:b/>
          <w:bCs/>
          <w:color w:val="auto"/>
          <w:sz w:val="32"/>
          <w:szCs w:val="32"/>
          <w:highlight w:val="none"/>
        </w:rPr>
        <w:outlineLvl w:val="2"/>
      </w:pPr>
      <w:r/>
      <w:bookmarkStart w:id="7" w:name="_Toc38985263"/>
      <w:r/>
      <w:bookmarkStart w:id="8" w:name="_Toc35393621"/>
      <w:r/>
      <w:bookmarkStart w:id="9" w:name="_Toc28359002"/>
      <w:r/>
      <w:bookmarkStart w:id="10" w:name="_Toc1619"/>
      <w:r/>
      <w:bookmarkStart w:id="11" w:name="_Toc28359079"/>
      <w:r/>
      <w:bookmarkStart w:id="12" w:name="_Toc35393790"/>
      <w:r/>
      <w:bookmarkStart w:id="13" w:name="_Hlk24379207"/>
      <w:r>
        <w:rPr>
          <w:rFonts w:hint="eastAsia"/>
          <w:b/>
          <w:bCs/>
          <w:color w:val="auto"/>
          <w:sz w:val="32"/>
          <w:szCs w:val="32"/>
          <w:highlight w:val="none"/>
        </w:rPr>
        <w:t xml:space="preserve">一、项目基本情况</w:t>
      </w:r>
      <w:bookmarkEnd w:id="7"/>
      <w:r/>
      <w:bookmarkEnd w:id="8"/>
      <w:r/>
      <w:bookmarkEnd w:id="9"/>
      <w:r/>
      <w:bookmarkEnd w:id="10"/>
      <w:r/>
      <w:bookmarkEnd w:id="11"/>
      <w:r/>
      <w:bookmarkEnd w:id="12"/>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JSZC-320722-LYGZ-C2026-0006</w:t>
      </w:r>
      <w:r>
        <w:rPr>
          <w:rFonts w:hint="eastAsia" w:ascii="宋体" w:hAnsi="宋体"/>
          <w:color w:val="auto"/>
          <w:sz w:val="24"/>
          <w:szCs w:val="24"/>
          <w:highlight w:val="none"/>
        </w:rPr>
        <w:t xml:space="preserve"> </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东海县2026年灌区骨干工程维修养护项目施工标(政府采购工程）（专门面向中小企业）</w:t>
      </w:r>
      <w:bookmarkEnd w:id="13"/>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预算金额</w:t>
      </w:r>
      <w:r>
        <w:rPr>
          <w:rFonts w:hint="eastAsia" w:ascii="宋体" w:hAnsi="宋体"/>
          <w:color w:val="auto"/>
          <w:sz w:val="24"/>
          <w:highlight w:val="none"/>
        </w:rPr>
        <w:t xml:space="preserve">：人民币</w:t>
      </w:r>
      <w:r>
        <w:rPr>
          <w:rFonts w:hint="eastAsia" w:ascii="宋体" w:hAnsi="宋体"/>
          <w:color w:val="auto"/>
          <w:sz w:val="24"/>
          <w:highlight w:val="none"/>
          <w:lang w:val="en-US" w:eastAsia="zh-CN"/>
        </w:rPr>
        <w:t xml:space="preserve">1988900.00</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最高限价</w:t>
      </w:r>
      <w:r>
        <w:rPr>
          <w:rFonts w:hint="eastAsia" w:ascii="宋体" w:hAnsi="宋体"/>
          <w:color w:val="auto"/>
          <w:sz w:val="24"/>
          <w:highlight w:val="none"/>
        </w:rPr>
        <w:t xml:space="preserve">：人民币</w:t>
      </w:r>
      <w:r>
        <w:rPr>
          <w:rFonts w:hint="eastAsia" w:ascii="宋体" w:hAnsi="宋体"/>
          <w:color w:val="auto"/>
          <w:sz w:val="24"/>
          <w:highlight w:val="none"/>
          <w:lang w:val="en-US" w:eastAsia="zh-CN"/>
        </w:rPr>
        <w:t xml:space="preserve">1960220.00</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响应</w:t>
      </w:r>
      <w:r>
        <w:rPr>
          <w:rFonts w:hint="eastAsia" w:ascii="宋体" w:hAnsi="宋体"/>
          <w:color w:val="auto"/>
          <w:sz w:val="24"/>
          <w:highlight w:val="none"/>
        </w:rPr>
        <w:t xml:space="preserve">报价超过</w:t>
      </w:r>
      <w:r>
        <w:rPr>
          <w:rFonts w:hint="eastAsia" w:ascii="宋体" w:hAnsi="宋体"/>
          <w:color w:val="auto"/>
          <w:sz w:val="24"/>
          <w:highlight w:val="none"/>
          <w:lang w:val="en-US" w:eastAsia="zh-CN"/>
        </w:rPr>
        <w:t xml:space="preserve">最高限价</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响应</w:t>
      </w:r>
      <w:r>
        <w:rPr>
          <w:rFonts w:hint="eastAsia" w:ascii="宋体" w:hAnsi="宋体"/>
          <w:color w:val="auto"/>
          <w:sz w:val="24"/>
          <w:highlight w:val="none"/>
        </w:rPr>
        <w:t xml:space="preserve">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维修泵站 </w:t>
      </w:r>
      <w:r>
        <w:rPr>
          <w:rFonts w:hint="default" w:ascii="宋体" w:hAnsi="宋体"/>
          <w:color w:val="auto"/>
          <w:sz w:val="24"/>
          <w:highlight w:val="none"/>
          <w:lang w:val="en-US" w:eastAsia="zh-CN"/>
        </w:rPr>
        <w:t xml:space="preserve">5 </w:t>
      </w:r>
      <w:r>
        <w:rPr>
          <w:rFonts w:hint="eastAsia" w:ascii="宋体" w:hAnsi="宋体"/>
          <w:color w:val="auto"/>
          <w:sz w:val="24"/>
          <w:highlight w:val="none"/>
          <w:lang w:val="en-US" w:eastAsia="zh-CN"/>
        </w:rPr>
        <w:t xml:space="preserve">座，维修渠首及各类闸涵 </w:t>
      </w:r>
      <w:r>
        <w:rPr>
          <w:rFonts w:hint="default" w:ascii="宋体" w:hAnsi="宋体"/>
          <w:color w:val="auto"/>
          <w:sz w:val="24"/>
          <w:highlight w:val="none"/>
          <w:lang w:val="en-US" w:eastAsia="zh-CN"/>
        </w:rPr>
        <w:t xml:space="preserve">29 </w:t>
      </w:r>
      <w:r>
        <w:rPr>
          <w:rFonts w:hint="eastAsia" w:ascii="宋体" w:hAnsi="宋体"/>
          <w:color w:val="auto"/>
          <w:sz w:val="24"/>
          <w:highlight w:val="none"/>
          <w:lang w:val="en-US" w:eastAsia="zh-CN"/>
        </w:rPr>
        <w:t xml:space="preserve">座，维修骨干渠道 </w:t>
      </w:r>
      <w:r>
        <w:rPr>
          <w:rFonts w:hint="default" w:ascii="宋体" w:hAnsi="宋体"/>
          <w:color w:val="auto"/>
          <w:sz w:val="24"/>
          <w:highlight w:val="none"/>
          <w:lang w:val="en-US" w:eastAsia="zh-CN"/>
        </w:rPr>
        <w:t xml:space="preserve">6 </w:t>
      </w:r>
      <w:r>
        <w:rPr>
          <w:rFonts w:hint="eastAsia" w:ascii="宋体" w:hAnsi="宋体"/>
          <w:color w:val="auto"/>
          <w:sz w:val="24"/>
          <w:highlight w:val="none"/>
          <w:lang w:val="en-US" w:eastAsia="zh-CN"/>
        </w:rPr>
        <w:t xml:space="preserve">条，维修地涵 </w:t>
      </w:r>
      <w:r>
        <w:rPr>
          <w:rFonts w:hint="default" w:ascii="宋体" w:hAnsi="宋体"/>
          <w:color w:val="auto"/>
          <w:sz w:val="24"/>
          <w:highlight w:val="none"/>
          <w:lang w:val="en-US" w:eastAsia="zh-CN"/>
        </w:rPr>
        <w:t xml:space="preserve">4 </w:t>
      </w:r>
      <w:r>
        <w:rPr>
          <w:rFonts w:hint="eastAsia" w:ascii="宋体" w:hAnsi="宋体"/>
          <w:color w:val="auto"/>
          <w:sz w:val="24"/>
          <w:highlight w:val="none"/>
          <w:lang w:val="en-US" w:eastAsia="zh-CN"/>
        </w:rPr>
        <w:t xml:space="preserve">座。</w:t>
      </w:r>
      <w:r/>
    </w:p>
    <w:p>
      <w:pPr>
        <w:numPr>
          <w:ilvl w:val="0"/>
          <w:numId w:val="0"/>
        </w:numPr>
        <w:jc w:val="both"/>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工期</w:t>
      </w:r>
      <w:r>
        <w:rPr>
          <w:rFonts w:hint="eastAsia" w:ascii="宋体" w:hAnsi="宋体"/>
          <w:color w:val="auto"/>
          <w:sz w:val="24"/>
          <w:highlight w:val="none"/>
        </w:rPr>
        <w:t xml:space="preserve">：</w:t>
      </w:r>
      <w:r>
        <w:rPr>
          <w:rFonts w:hint="eastAsia"/>
          <w:color w:val="auto"/>
          <w:sz w:val="24"/>
          <w:highlight w:val="none"/>
          <w:lang w:val="en-US" w:eastAsia="zh-CN"/>
        </w:rPr>
        <w:t xml:space="preserve">60日历天，具体开工时间以监理出具的开工批复为准</w:t>
      </w:r>
      <w:r>
        <w:rPr>
          <w:rFonts w:hint="eastAsia" w:ascii="宋体" w:hAnsi="宋体"/>
          <w:color w:val="auto"/>
          <w:sz w:val="24"/>
          <w:highlight w:val="none"/>
        </w:rPr>
        <w:t xml:space="preserve">。</w:t>
      </w:r>
      <w:r/>
    </w:p>
    <w:p>
      <w:pPr>
        <w:numPr>
          <w:ilvl w:val="0"/>
          <w:numId w:val="0"/>
        </w:numPr>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是/否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接受联合体</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否</w:t>
      </w:r>
      <w:r>
        <w:rPr>
          <w:rFonts w:hint="eastAsia" w:ascii="宋体" w:hAnsi="宋体"/>
          <w:color w:val="auto"/>
          <w:sz w:val="24"/>
          <w:szCs w:val="24"/>
          <w:highlight w:val="none"/>
        </w:rPr>
        <w:t xml:space="preserve">。</w:t>
      </w:r>
      <w:r/>
    </w:p>
    <w:p>
      <w:pPr>
        <w:ind w:left="0" w:firstLine="643"/>
        <w:jc w:val="both"/>
        <w:keepLines/>
        <w:keepNext/>
        <w:pageBreakBefore w:val="0"/>
        <w:spacing w:line="360" w:lineRule="auto"/>
        <w:widowControl w:val="off"/>
        <w:rPr>
          <w:b/>
          <w:bCs/>
          <w:color w:val="auto"/>
          <w:sz w:val="32"/>
          <w:szCs w:val="32"/>
          <w:highlight w:val="none"/>
        </w:rPr>
        <w:outlineLvl w:val="2"/>
      </w:pPr>
      <w:r/>
      <w:bookmarkStart w:id="14" w:name="_Toc28359080"/>
      <w:r/>
      <w:bookmarkStart w:id="15" w:name="_Toc38985264"/>
      <w:r/>
      <w:bookmarkStart w:id="16" w:name="_Toc35393791"/>
      <w:r/>
      <w:bookmarkStart w:id="17" w:name="_Toc8194"/>
      <w:r/>
      <w:bookmarkStart w:id="18" w:name="_Toc35393622"/>
      <w:r/>
      <w:bookmarkStart w:id="19" w:name="_Toc28359003"/>
      <w:r>
        <w:rPr>
          <w:rFonts w:hint="eastAsia"/>
          <w:b/>
          <w:bCs/>
          <w:color w:val="auto"/>
          <w:sz w:val="32"/>
          <w:szCs w:val="32"/>
          <w:highlight w:val="none"/>
        </w:rPr>
        <w:t xml:space="preserve">二、申请人的资格要求：</w:t>
      </w:r>
      <w:bookmarkEnd w:id="14"/>
      <w:r/>
      <w:bookmarkEnd w:id="15"/>
      <w:r/>
      <w:bookmarkEnd w:id="16"/>
      <w:r/>
      <w:bookmarkEnd w:id="17"/>
      <w:r/>
      <w:bookmarkEnd w:id="18"/>
      <w:r/>
      <w:bookmarkEnd w:id="19"/>
      <w:r/>
      <w:r/>
    </w:p>
    <w:p>
      <w:pPr>
        <w:ind w:left="0" w:firstLine="480"/>
        <w:jc w:val="both"/>
        <w:pageBreakBefore w:val="0"/>
        <w:spacing w:line="360" w:lineRule="auto"/>
        <w:widowControl w:val="off"/>
        <w:rPr>
          <w:rFonts w:hint="eastAsia" w:ascii="宋体" w:hAnsi="宋体"/>
          <w:color w:val="auto"/>
          <w:sz w:val="24"/>
          <w:szCs w:val="24"/>
          <w:highlight w:val="none"/>
        </w:rPr>
      </w:pPr>
      <w:r/>
      <w:bookmarkStart w:id="20" w:name="OLE_LINK10"/>
      <w:r/>
      <w:bookmarkStart w:id="21" w:name="_Toc35393792"/>
      <w:r/>
      <w:bookmarkStart w:id="22" w:name="_Toc28359081"/>
      <w:r/>
      <w:bookmarkStart w:id="23" w:name="_Toc35393623"/>
      <w:r/>
      <w:bookmarkStart w:id="24" w:name="_Toc28359004"/>
      <w:r/>
      <w:bookmarkStart w:id="25"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满足《中华人民共和国政府采购法》第二十二条规定，并提供下列材料：</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(1）法人或者其他组织的营业执照等证明文件，自然人的身份证明</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(2）上一年度的财务状况报告（成立不满一年无需提供）</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(4）具备履行合同所必需的设备和专业技术能力的书面声明</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注：根据连财购〔2023〕4号文件精神，第（1.2）、（1.3）项可以提供《财务状况报告及税收、社会保障资金缴纳情况承诺函》，详见采购文件</w:t>
      </w:r>
      <w:r>
        <w:rPr>
          <w:rFonts w:hint="eastAsia" w:ascii="宋体" w:hAnsi="宋体"/>
          <w:color w:val="auto"/>
          <w:sz w:val="24"/>
          <w:szCs w:val="24"/>
          <w:highlight w:val="none"/>
          <w:lang w:eastAsia="zh-CN"/>
        </w:rPr>
        <w:t xml:space="preserve">响应文件格式</w:t>
      </w:r>
      <w:r>
        <w:rPr>
          <w:rFonts w:hint="eastAsia" w:ascii="宋体" w:hAnsi="宋体"/>
          <w:color w:val="auto"/>
          <w:sz w:val="24"/>
          <w:szCs w:val="24"/>
          <w:highlight w:val="none"/>
        </w:rPr>
        <w:t xml:space="preserve">。</w:t>
      </w:r>
      <w:r/>
    </w:p>
    <w:p>
      <w:pPr>
        <w:ind w:left="0" w:firstLine="480"/>
        <w:jc w:val="both"/>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spacing w:line="360" w:lineRule="auto"/>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lang w:val="en-US" w:eastAsia="zh-CN"/>
        </w:rPr>
        <w:t xml:space="preserve">本项目专门面向中小微企业。</w:t>
      </w:r>
      <w:r/>
    </w:p>
    <w:p>
      <w:pPr>
        <w:ind w:left="0" w:firstLine="480"/>
        <w:jc w:val="both"/>
        <w:pageBreakBefore w:val="0"/>
        <w:spacing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（三）本项目的其他资格要求</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文件递交截止前，被信用中国、中国政府采购网列入失信被执行人、重大税收违法案件当事人名单、政府采购严重违法失信行为记录名单的供应商，拒绝其参与政府采购活动。</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备注：采购人或采购代理机构通过信用中国网站（www.creditchina.gov.cn）、中国政府采购网（www.ccgp.gov.cn），对供应商信用记录情况进行查询，查询结果页面打印留存。</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（2）若</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的法定代表人参与</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，需提供</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法定代表人身份证；若授权代表参与</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，需提供企业法人授权委托书及代理人身份证</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具有企业基本户开户许可证或企业基本存款账户信息证明</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（4）参加该招</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活动中无弄虚作假或串通</w:t>
      </w: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等违法行为、</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无借牌挂靠行为的承诺</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6" w:name="OLE_LINK2"/>
      <w:r>
        <w:rPr>
          <w:rFonts w:hint="eastAsia" w:ascii="宋体" w:hAnsi="宋体"/>
          <w:color w:val="auto"/>
          <w:sz w:val="24"/>
          <w:szCs w:val="24"/>
          <w:highlight w:val="none"/>
        </w:rPr>
        <w:t xml:space="preserve">（5）</w:t>
      </w:r>
      <w:bookmarkEnd w:id="26"/>
      <w:r>
        <w:rPr>
          <w:rFonts w:hint="eastAsia" w:ascii="宋体" w:hAnsi="宋体"/>
          <w:color w:val="auto"/>
          <w:sz w:val="24"/>
          <w:szCs w:val="24"/>
          <w:highlight w:val="none"/>
        </w:rPr>
        <w:t xml:space="preserve">本项目中标后不得分包或者转包；单位负责人为同一人或者存在直接控股、管理关系的不同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，不得参加同一合同项下的政府采购活动</w:t>
      </w:r>
      <w:r>
        <w:rPr>
          <w:rFonts w:hint="eastAsia" w:ascii="宋体" w:hAnsi="宋体"/>
          <w:color w:val="auto"/>
          <w:sz w:val="24"/>
          <w:szCs w:val="24"/>
          <w:highlight w:val="none"/>
          <w:lang w:eastAsia="zh-CN"/>
        </w:rPr>
        <w:t xml:space="preserve">。</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（6）具备法律、行政法规规定的其他条件的证明材料。</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资质类别和等级：水利水电工程施工总承包三级及以上资质，具有省、部级建设行政</w:t>
      </w:r>
      <w:r>
        <w:rPr>
          <w:rFonts w:hint="eastAsia" w:ascii="宋体" w:hAnsi="宋体"/>
          <w:color w:val="auto"/>
          <w:sz w:val="24"/>
          <w:highlight w:val="none"/>
          <w:lang w:val="en-US" w:eastAsia="zh-CN"/>
        </w:rPr>
        <w:t xml:space="preserve">主管</w:t>
      </w:r>
      <w:r>
        <w:rPr>
          <w:rFonts w:hint="eastAsia" w:ascii="宋体" w:hAnsi="宋体"/>
          <w:color w:val="auto"/>
          <w:sz w:val="24"/>
          <w:highlight w:val="none"/>
        </w:rPr>
        <w:t xml:space="preserve">部门颁发的安全生产许可证的企业法人</w:t>
      </w:r>
      <w:r>
        <w:rPr>
          <w:rFonts w:hint="eastAsia" w:ascii="宋体" w:hAnsi="宋体"/>
          <w:color w:val="auto"/>
          <w:sz w:val="24"/>
          <w:highlight w:val="none"/>
          <w:lang w:eastAsia="zh-CN"/>
        </w:rPr>
        <w:t xml:space="preserve">。</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项目经理须具备水利水电工程专业二级及以上注册建造师资格</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供应商须提供签订的劳动合同、社保机构出具的近三个月（2026年08月至2026年10月）任意一个月供应商为其缴纳社保的证明材料上传至响应文件中</w:t>
      </w:r>
      <w:r>
        <w:rPr>
          <w:rFonts w:hint="eastAsia" w:ascii="宋体" w:hAnsi="宋体"/>
          <w:color w:val="auto"/>
          <w:sz w:val="24"/>
          <w:highlight w:val="none"/>
          <w:lang w:eastAsia="zh-CN"/>
        </w:rPr>
        <w:t xml:space="preserve">）。</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法定代表人、项目经理和专职安全管理人员必须持有有效的水行政主管部门颁发的安全生产考核合格证书（分别为A、B、C三类）</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供应商须提供签订的劳动合同、社保机构出具的近三个月（2026年08月至2026年10月）任意一个月供应商为其缴纳社保的证明材料上传至响应文件中</w:t>
      </w:r>
      <w:r>
        <w:rPr>
          <w:rFonts w:hint="eastAsia" w:ascii="宋体" w:hAnsi="宋体"/>
          <w:color w:val="auto"/>
          <w:sz w:val="24"/>
          <w:highlight w:val="none"/>
          <w:lang w:eastAsia="zh-CN"/>
        </w:rPr>
        <w:t xml:space="preserve">）。</w:t>
      </w:r>
      <w:bookmarkEnd w:id="20"/>
      <w:r/>
    </w:p>
    <w:p>
      <w:pPr>
        <w:ind w:left="0" w:firstLine="643"/>
        <w:jc w:val="both"/>
        <w:pageBreakBefore w:val="0"/>
        <w:spacing w:line="360" w:lineRule="auto"/>
        <w:widowControl w:val="off"/>
        <w:rPr>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b/>
          <w:bCs/>
          <w:color w:val="auto"/>
          <w:sz w:val="32"/>
          <w:szCs w:val="32"/>
          <w:highlight w:val="none"/>
        </w:rPr>
        <w:t xml:space="preserve">三、获取</w:t>
      </w:r>
      <w:bookmarkEnd w:id="21"/>
      <w:r/>
      <w:bookmarkEnd w:id="22"/>
      <w:r/>
      <w:bookmarkEnd w:id="23"/>
      <w:r/>
      <w:bookmarkEnd w:id="24"/>
      <w:r/>
      <w:bookmarkEnd w:id="25"/>
      <w:r>
        <w:rPr>
          <w:rFonts w:hint="eastAsia"/>
          <w:b/>
          <w:bCs/>
          <w:color w:val="auto"/>
          <w:sz w:val="32"/>
          <w:szCs w:val="32"/>
          <w:highlight w:val="none"/>
        </w:rPr>
        <w:t xml:space="preserve">磋商文件</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bookmarkStart w:id="27" w:name="_Toc28359005"/>
      <w:r/>
      <w:bookmarkStart w:id="28" w:name="_Toc28359082"/>
      <w:r/>
      <w:bookmarkStart w:id="29" w:name="_Toc35393793"/>
      <w:r/>
      <w:bookmarkStart w:id="30" w:name="_Toc35393624"/>
      <w:r/>
      <w:bookmarkStart w:id="31" w:name="_Toc38985266"/>
      <w:r>
        <w:rPr>
          <w:rFonts w:hint="eastAsia" w:ascii="宋体" w:hAnsi="宋体"/>
          <w:color w:val="auto"/>
          <w:sz w:val="24"/>
          <w:szCs w:val="24"/>
          <w:highlight w:val="none"/>
        </w:rPr>
        <w:t xml:space="preserve">1.时间：自磋商文件公告发布之日起5个工作日</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2.方式：在“江苏政府采购网”自行免费下载磋商文件。</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获取方法及步骤（供参考）：</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）潜在供应商访问“苏采云”系统的网络地址和方法：</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“苏采云”系统的网址：http://jszfcg.jsczt.cn/。</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（3）“CA数字证书”的获取：</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（4）采购文件（后缀名为“.kedt”）、供应商操作手册及政府采购客户端工具可通过“苏采云”系统--已报名项目--报名详情页面内相应链接进行下载。 </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（5）采购代理机构将数据电文形式的采购文件加载至“苏采云”系统，供潜在供应商下载或者查阅。</w:t>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（6）请潜在供应商提前安装相应的控件(详见《江苏省政府采购管理交易系统(苏采云)供应商操作手册&gt;)并使用谷歌浏览器登录“苏采云”系统参与不见面开评标。</w:t>
      </w:r>
      <w:r/>
    </w:p>
    <w:p>
      <w:pPr>
        <w:ind w:left="0" w:firstLine="643"/>
        <w:jc w:val="both"/>
        <w:keepLines/>
        <w:keepNext/>
        <w:pageBreakBefore w:val="0"/>
        <w:spacing w:line="360" w:lineRule="auto"/>
        <w:widowControl w:val="off"/>
        <w:rPr>
          <w:b/>
          <w:bCs/>
          <w:color w:val="auto"/>
          <w:sz w:val="32"/>
          <w:szCs w:val="32"/>
          <w:highlight w:val="none"/>
        </w:rPr>
        <w:outlineLvl w:val="2"/>
      </w:pPr>
      <w:r/>
      <w:bookmarkStart w:id="32" w:name="_Toc17567"/>
      <w:r>
        <w:rPr>
          <w:rFonts w:hint="eastAsia"/>
          <w:b/>
          <w:bCs/>
          <w:color w:val="auto"/>
          <w:sz w:val="32"/>
          <w:szCs w:val="32"/>
          <w:highlight w:val="none"/>
        </w:rPr>
        <w:t xml:space="preserve">四、提交</w:t>
      </w:r>
      <w:bookmarkEnd w:id="27"/>
      <w:r/>
      <w:bookmarkEnd w:id="28"/>
      <w:r>
        <w:rPr>
          <w:rFonts w:hint="eastAsia"/>
          <w:b/>
          <w:bCs/>
          <w:color w:val="auto"/>
          <w:sz w:val="32"/>
          <w:szCs w:val="32"/>
          <w:highlight w:val="none"/>
        </w:rPr>
        <w:t xml:space="preserve">响应文件截止时间</w:t>
      </w:r>
      <w:bookmarkEnd w:id="29"/>
      <w:r/>
      <w:bookmarkEnd w:id="30"/>
      <w:r/>
      <w:bookmarkEnd w:id="31"/>
      <w:r/>
      <w:bookmarkEnd w:id="32"/>
      <w:r/>
      <w:r/>
    </w:p>
    <w:p>
      <w:pPr>
        <w:ind w:left="0" w:firstLine="482"/>
        <w:jc w:val="both"/>
        <w:pageBreakBefore w:val="0"/>
        <w:spacing w:line="360" w:lineRule="auto"/>
        <w:widowControl w:val="off"/>
        <w:rPr>
          <w:rFonts w:hint="eastAsia" w:ascii="宋体" w:hAnsi="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1. </w:t>
      </w:r>
      <w:r>
        <w:rPr>
          <w:rFonts w:hint="eastAsia" w:ascii="宋体" w:hAnsi="宋体"/>
          <w:b/>
          <w:bCs/>
          <w:color w:val="auto"/>
          <w:sz w:val="24"/>
          <w:szCs w:val="24"/>
          <w:highlight w:val="none"/>
          <w:lang w:eastAsia="zh-CN"/>
        </w:rPr>
        <w:t xml:space="preserve">2026年11月13</w:t>
      </w:r>
      <w:r>
        <w:rPr>
          <w:rFonts w:hint="eastAsia" w:ascii="宋体" w:hAnsi="宋体"/>
          <w:b/>
          <w:bCs/>
          <w:color w:val="auto"/>
          <w:sz w:val="24"/>
          <w:szCs w:val="24"/>
          <w:highlight w:val="none"/>
          <w:lang w:eastAsia="zh-CN"/>
        </w:rPr>
        <w:t xml:space="preserve">日</w:t>
      </w:r>
      <w:r>
        <w:rPr>
          <w:rFonts w:hint="eastAsia" w:ascii="宋体" w:hAnsi="宋体"/>
          <w:b/>
          <w:bCs/>
          <w:color w:val="auto"/>
          <w:sz w:val="24"/>
          <w:szCs w:val="24"/>
          <w:highlight w:val="none"/>
          <w:lang w:val="en-US" w:eastAsia="zh-CN"/>
        </w:rPr>
        <w:t xml:space="preserve">10</w:t>
      </w:r>
      <w:r>
        <w:rPr>
          <w:rFonts w:hint="eastAsia" w:ascii="宋体" w:hAnsi="宋体"/>
          <w:b/>
          <w:bCs/>
          <w:color w:val="auto"/>
          <w:sz w:val="24"/>
          <w:szCs w:val="24"/>
          <w:highlight w:val="none"/>
        </w:rPr>
        <w:t xml:space="preserve">点00分（北京时间）。</w:t>
      </w:r>
      <w:r/>
    </w:p>
    <w:p>
      <w:pPr>
        <w:ind w:left="0" w:firstLine="482"/>
        <w:jc w:val="both"/>
        <w:pageBreakBefore w:val="0"/>
        <w:spacing w:line="360" w:lineRule="auto"/>
        <w:widowControl w:val="off"/>
        <w:rPr>
          <w:rFonts w:hint="eastAsia" w:ascii="宋体" w:hAnsi="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2.地点：“苏采云”政府采购交易系统网上开标大厅。</w:t>
      </w:r>
      <w:r/>
    </w:p>
    <w:p>
      <w:pPr>
        <w:ind w:left="0" w:firstLine="643"/>
        <w:jc w:val="both"/>
        <w:keepLines/>
        <w:keepNext/>
        <w:pageBreakBefore w:val="0"/>
        <w:spacing w:line="360" w:lineRule="auto"/>
        <w:widowControl w:val="off"/>
        <w:rPr>
          <w:b/>
          <w:bCs/>
          <w:color w:val="auto"/>
          <w:sz w:val="32"/>
          <w:szCs w:val="32"/>
          <w:highlight w:val="none"/>
        </w:rPr>
        <w:outlineLvl w:val="2"/>
      </w:pPr>
      <w:r/>
      <w:bookmarkStart w:id="33" w:name="_Toc28359007"/>
      <w:r/>
      <w:bookmarkStart w:id="34" w:name="_Toc12728"/>
      <w:r/>
      <w:bookmarkStart w:id="35" w:name="_Toc38985267"/>
      <w:r/>
      <w:bookmarkStart w:id="36" w:name="_Toc35393625"/>
      <w:r/>
      <w:bookmarkStart w:id="37" w:name="_Toc35393794"/>
      <w:r/>
      <w:bookmarkStart w:id="38" w:name="_Toc28359084"/>
      <w:r>
        <w:rPr>
          <w:rFonts w:hint="eastAsia"/>
          <w:b/>
          <w:bCs/>
          <w:color w:val="auto"/>
          <w:sz w:val="32"/>
          <w:szCs w:val="32"/>
          <w:highlight w:val="none"/>
        </w:rPr>
        <w:t xml:space="preserve">五、公告期限</w:t>
      </w:r>
      <w:bookmarkEnd w:id="33"/>
      <w:r/>
      <w:bookmarkEnd w:id="34"/>
      <w:r/>
      <w:bookmarkEnd w:id="35"/>
      <w:r/>
      <w:bookmarkEnd w:id="36"/>
      <w:r/>
      <w:bookmarkEnd w:id="37"/>
      <w:r/>
      <w:bookmarkEnd w:id="38"/>
      <w:r/>
      <w:r/>
    </w:p>
    <w:p>
      <w:pPr>
        <w:ind w:left="0" w:firstLine="480"/>
        <w:jc w:val="both"/>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bookmarkStart w:id="39" w:name="_Toc38985268"/>
      <w:r/>
      <w:bookmarkStart w:id="40" w:name="_Toc35393626"/>
      <w:r/>
      <w:bookmarkStart w:id="41" w:name="_Toc35393795"/>
      <w:r>
        <w:rPr>
          <w:rFonts w:hint="eastAsia" w:ascii="宋体" w:hAnsi="宋体"/>
          <w:color w:val="auto"/>
          <w:sz w:val="24"/>
          <w:szCs w:val="24"/>
          <w:highlight w:val="none"/>
        </w:rPr>
        <w:t xml:space="preserve">磋商公告及磋商文件公告期限为自本公告发布之日起3个工作日。</w:t>
      </w:r>
      <w:r/>
    </w:p>
    <w:p>
      <w:pPr>
        <w:ind w:left="0" w:firstLine="643"/>
        <w:jc w:val="both"/>
        <w:keepLines/>
        <w:keepNext/>
        <w:pageBreakBefore w:val="0"/>
        <w:spacing w:line="360" w:lineRule="auto"/>
        <w:widowControl w:val="off"/>
        <w:rPr>
          <w:b/>
          <w:bCs/>
          <w:color w:val="auto"/>
          <w:sz w:val="32"/>
          <w:szCs w:val="32"/>
          <w:highlight w:val="none"/>
        </w:rPr>
        <w:outlineLvl w:val="2"/>
      </w:pPr>
      <w:r/>
      <w:bookmarkStart w:id="42" w:name="_Toc2514"/>
      <w:r>
        <w:rPr>
          <w:rFonts w:hint="eastAsia"/>
          <w:b/>
          <w:bCs/>
          <w:color w:val="auto"/>
          <w:sz w:val="32"/>
          <w:szCs w:val="32"/>
          <w:highlight w:val="none"/>
        </w:rPr>
        <w:t xml:space="preserve">六、其他补充事宜</w:t>
      </w:r>
      <w:bookmarkEnd w:id="39"/>
      <w:r/>
      <w:bookmarkEnd w:id="40"/>
      <w:r/>
      <w:bookmarkEnd w:id="41"/>
      <w:r/>
      <w:bookmarkEnd w:id="42"/>
      <w:r/>
      <w:r/>
    </w:p>
    <w:p>
      <w:pPr>
        <w:ind w:left="0" w:firstLine="480"/>
        <w:jc w:val="both"/>
        <w:keepLines w:val="0"/>
        <w:keepNext w:val="0"/>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bookmarkStart w:id="43" w:name="_Toc493497017"/>
      <w:r/>
      <w:bookmarkStart w:id="44" w:name="_Toc35393796"/>
      <w:r/>
      <w:bookmarkStart w:id="45" w:name="_Toc28359008"/>
      <w:r/>
      <w:bookmarkStart w:id="46" w:name="_Toc28359085"/>
      <w:r/>
      <w:bookmarkStart w:id="47" w:name="_Toc38985269"/>
      <w:r/>
      <w:bookmarkStart w:id="48" w:name="_Toc35393627"/>
      <w:r>
        <w:rPr>
          <w:rFonts w:hint="eastAsia" w:ascii="宋体" w:hAnsi="宋体"/>
          <w:color w:val="auto"/>
          <w:sz w:val="24"/>
          <w:szCs w:val="24"/>
          <w:highlight w:val="none"/>
        </w:rPr>
        <w:t xml:space="preserve">1.</w:t>
      </w:r>
      <w:bookmarkEnd w:id="43"/>
      <w:r>
        <w:rPr>
          <w:rFonts w:hint="eastAsia" w:ascii="宋体" w:hAnsi="宋体"/>
          <w:color w:val="auto"/>
          <w:sz w:val="24"/>
          <w:szCs w:val="24"/>
          <w:highlight w:val="none"/>
        </w:rPr>
        <w:t xml:space="preserve">本项目不收取磋商保证金。</w:t>
      </w:r>
      <w:r/>
    </w:p>
    <w:p>
      <w:pPr>
        <w:ind w:left="0" w:firstLine="480"/>
        <w:jc w:val="both"/>
        <w:keepLines w:val="0"/>
        <w:keepNext w:val="0"/>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firstLine="480"/>
        <w:jc w:val="both"/>
        <w:keepLines w:val="0"/>
        <w:keepNext w:val="0"/>
        <w:pageBreakBefore w:val="0"/>
        <w:spacing w:line="360" w:lineRule="auto"/>
        <w:widowControl w:val="off"/>
        <w:rPr>
          <w:rFonts w:hint="default" w:ascii="宋体" w:hAnsi="宋体" w:eastAsia="宋体"/>
          <w:b/>
          <w:bCs/>
          <w:color w:val="auto"/>
          <w:sz w:val="24"/>
          <w:highlight w:val="none"/>
          <w:lang w:val="en-US" w:eastAsia="zh-CN"/>
        </w:rPr>
      </w:pPr>
      <w:r>
        <w:rPr>
          <w:rFonts w:hint="eastAsia" w:hAnsi="宋体" w:cs="宋体"/>
          <w:color w:val="auto"/>
          <w:sz w:val="24"/>
          <w:szCs w:val="24"/>
          <w:highlight w:val="none"/>
        </w:rPr>
        <w:t xml:space="preserve">3.</w:t>
      </w:r>
      <w:r>
        <w:rPr>
          <w:rFonts w:hint="eastAsia" w:ascii="宋体" w:hAnsi="宋体"/>
          <w:b/>
          <w:bCs/>
          <w:color w:val="auto"/>
          <w:sz w:val="24"/>
          <w:highlight w:val="none"/>
        </w:rPr>
        <w:t xml:space="preserve">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责任自负。</w:t>
      </w:r>
      <w:r>
        <w:rPr>
          <w:rFonts w:hint="eastAsia" w:ascii="宋体" w:hAnsi="宋体"/>
          <w:b/>
          <w:bCs/>
          <w:color w:val="auto"/>
          <w:sz w:val="24"/>
          <w:highlight w:val="none"/>
          <w:lang w:val="en-US" w:eastAsia="zh-CN"/>
        </w:rPr>
        <w:t xml:space="preserve">(二次报给予供应商</w:t>
      </w:r>
      <w:r>
        <w:rPr>
          <w:rFonts w:hint="eastAsia" w:ascii="宋体" w:hAnsi="宋体"/>
          <w:b/>
          <w:bCs/>
          <w:color w:val="auto"/>
          <w:sz w:val="24"/>
          <w:highlight w:val="none"/>
          <w:lang w:val="en-US" w:eastAsia="zh-CN"/>
        </w:rPr>
        <w:t xml:space="preserve">20分钟，二次报价必须要低于一次报价，不报或没有低于一次报价响应文件做未响应处理</w:t>
      </w:r>
      <w:r>
        <w:rPr>
          <w:rFonts w:hint="eastAsia" w:ascii="宋体" w:hAnsi="宋体"/>
          <w:b/>
          <w:bCs/>
          <w:color w:val="auto"/>
          <w:sz w:val="24"/>
          <w:highlight w:val="none"/>
          <w:lang w:val="en-US" w:eastAsia="zh-CN"/>
        </w:rPr>
        <w:t xml:space="preserve">)（二次报价只报总价，清单中单项价格等比例下调）</w:t>
      </w:r>
      <w:r/>
    </w:p>
    <w:p>
      <w:pPr>
        <w:ind w:left="0" w:firstLine="480"/>
        <w:jc w:val="both"/>
        <w:keepLines w:val="0"/>
        <w:keepNext w:val="0"/>
        <w:pageBreakBefore w:val="0"/>
        <w:spacing w:line="360" w:lineRule="auto"/>
        <w:widowControl w:val="off"/>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4、对于制作工具中要求的且必填的项目，请供应商按实填写；供应商制作响应文件时如遇工具中响应格式与磋商文件不一致，请供应商给按照采购文件中响应文件的格式要求编制，添加在工具的【其他文件】中作为评审依据。如因供应商未按要求执行造成的一切后果（包括废标）均由供应商自行承担。</w:t>
      </w:r>
      <w:r/>
    </w:p>
    <w:p>
      <w:pPr>
        <w:ind w:left="0" w:firstLine="643"/>
        <w:jc w:val="both"/>
        <w:keepLines/>
        <w:keepNext/>
        <w:pageBreakBefore w:val="0"/>
        <w:spacing w:line="360" w:lineRule="auto"/>
        <w:widowControl w:val="off"/>
        <w:rPr>
          <w:b/>
          <w:bCs/>
          <w:color w:val="auto"/>
          <w:sz w:val="32"/>
          <w:szCs w:val="32"/>
          <w:highlight w:val="none"/>
        </w:rPr>
        <w:outlineLvl w:val="2"/>
      </w:pPr>
      <w:r/>
      <w:bookmarkStart w:id="49" w:name="_Toc21188"/>
      <w:r>
        <w:rPr>
          <w:rFonts w:hint="eastAsia"/>
          <w:b/>
          <w:bCs/>
          <w:color w:val="auto"/>
          <w:sz w:val="32"/>
          <w:szCs w:val="32"/>
          <w:highlight w:val="none"/>
        </w:rPr>
        <w:t xml:space="preserve">七、本次磋商联系方式</w:t>
      </w:r>
      <w:bookmarkEnd w:id="44"/>
      <w:r/>
      <w:bookmarkEnd w:id="45"/>
      <w:r/>
      <w:bookmarkEnd w:id="46"/>
      <w:r/>
      <w:bookmarkEnd w:id="47"/>
      <w:r/>
      <w:bookmarkEnd w:id="48"/>
      <w:r/>
      <w:bookmarkEnd w:id="49"/>
      <w:r/>
      <w:r/>
    </w:p>
    <w:p>
      <w:pPr>
        <w:ind w:left="0" w:firstLine="480"/>
        <w:jc w:val="both"/>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1.采购人信息</w:t>
      </w:r>
      <w:r/>
    </w:p>
    <w:p>
      <w:pPr>
        <w:ind w:left="0" w:firstLine="480"/>
        <w:jc w:val="both"/>
        <w:pageBreakBefore w:val="0"/>
        <w:spacing w:line="360" w:lineRule="auto"/>
        <w:widowControl w:val="off"/>
        <w:rPr>
          <w:rFonts w:hint="eastAsia" w:ascii="Times New Roman" w:hAnsi="宋体" w:cs="宋体"/>
          <w:color w:val="auto"/>
          <w:sz w:val="24"/>
          <w:highlight w:val="none"/>
          <w:lang w:eastAsia="zh-CN"/>
        </w:rPr>
      </w:pPr>
      <w:r>
        <w:rPr>
          <w:rFonts w:hint="eastAsia" w:ascii="Times New Roman" w:hAnsi="宋体" w:cs="宋体"/>
          <w:color w:val="auto"/>
          <w:sz w:val="24"/>
          <w:highlight w:val="none"/>
        </w:rPr>
        <w:t xml:space="preserve">名    称：</w:t>
      </w:r>
      <w:r>
        <w:rPr>
          <w:rFonts w:hint="eastAsia" w:hAnsi="宋体" w:cs="宋体"/>
          <w:color w:val="auto"/>
          <w:sz w:val="24"/>
          <w:highlight w:val="none"/>
          <w:lang w:eastAsia="zh-CN"/>
        </w:rPr>
        <w:t xml:space="preserve">东海县水务局</w:t>
      </w:r>
      <w:r/>
    </w:p>
    <w:p>
      <w:pPr>
        <w:ind w:left="0" w:firstLine="480"/>
        <w:jc w:val="both"/>
        <w:pageBreakBefore w:val="0"/>
        <w:spacing w:line="360" w:lineRule="auto"/>
        <w:widowControl w:val="off"/>
        <w:rPr>
          <w:rFonts w:hint="eastAsia" w:ascii="Times New Roman" w:hAnsi="宋体" w:eastAsia="宋体" w:cs="宋体"/>
          <w:color w:val="auto"/>
          <w:sz w:val="24"/>
          <w:highlight w:val="none"/>
          <w:lang w:eastAsia="zh-CN"/>
        </w:rPr>
      </w:pPr>
      <w:r>
        <w:rPr>
          <w:rFonts w:hint="eastAsia" w:ascii="Times New Roman" w:hAnsi="宋体" w:cs="宋体"/>
          <w:color w:val="auto"/>
          <w:sz w:val="24"/>
          <w:highlight w:val="none"/>
        </w:rPr>
        <w:t xml:space="preserve">地    址：</w:t>
      </w:r>
      <w:r>
        <w:rPr>
          <w:rFonts w:hint="eastAsia" w:hAnsi="宋体" w:cs="宋体"/>
          <w:color w:val="auto"/>
          <w:sz w:val="24"/>
          <w:highlight w:val="none"/>
          <w:lang w:eastAsia="zh-CN"/>
        </w:rPr>
        <w:t xml:space="preserve">江苏省连云港市东海县牛山街道幸福南路16号</w:t>
      </w:r>
      <w:r/>
    </w:p>
    <w:p>
      <w:pPr>
        <w:ind w:left="0" w:firstLine="480"/>
        <w:jc w:val="both"/>
        <w:pageBreakBefore w:val="0"/>
        <w:spacing w:line="360" w:lineRule="auto"/>
        <w:widowControl w:val="off"/>
        <w:rPr>
          <w:rFonts w:hint="eastAsia" w:ascii="Times New Roman" w:hAnsi="宋体" w:cs="宋体"/>
          <w:color w:val="auto"/>
          <w:sz w:val="24"/>
          <w:highlight w:val="none"/>
        </w:rPr>
      </w:pPr>
      <w:r/>
      <w:bookmarkStart w:id="50" w:name="_Toc28359009"/>
      <w:r/>
      <w:bookmarkStart w:id="51" w:name="_Toc28359086"/>
      <w:r>
        <w:rPr>
          <w:rFonts w:hint="eastAsia" w:ascii="Times New Roman" w:hAnsi="宋体" w:cs="宋体"/>
          <w:color w:val="auto"/>
          <w:sz w:val="24"/>
          <w:highlight w:val="none"/>
        </w:rPr>
        <w:t xml:space="preserve">联 系 人：</w:t>
      </w:r>
      <w:r>
        <w:rPr>
          <w:rFonts w:hint="eastAsia" w:hAnsi="宋体" w:cs="宋体"/>
          <w:color w:val="auto"/>
          <w:sz w:val="24"/>
          <w:highlight w:val="none"/>
          <w:lang w:val="en-US" w:eastAsia="zh-CN"/>
        </w:rPr>
        <w:t xml:space="preserve"> 张主任</w:t>
      </w:r>
      <w:r>
        <w:rPr>
          <w:rFonts w:hint="eastAsia" w:ascii="Times New Roman" w:hAnsi="宋体" w:cs="宋体"/>
          <w:color w:val="auto"/>
          <w:sz w:val="24"/>
          <w:highlight w:val="none"/>
        </w:rPr>
        <w:t xml:space="preserve"> </w:t>
      </w:r>
      <w:r/>
    </w:p>
    <w:p>
      <w:pPr>
        <w:ind w:left="0" w:firstLine="480"/>
        <w:jc w:val="both"/>
        <w:pageBreakBefore w:val="0"/>
        <w:spacing w:line="360" w:lineRule="auto"/>
        <w:widowControl w:val="off"/>
        <w:rPr>
          <w:rFonts w:hint="eastAsia" w:ascii="Times New Roman" w:hAnsi="宋体" w:cs="宋体"/>
          <w:color w:val="auto"/>
          <w:sz w:val="24"/>
          <w:highlight w:val="none"/>
          <w:lang w:eastAsia="zh-CN"/>
        </w:rPr>
      </w:pPr>
      <w:r>
        <w:rPr>
          <w:rFonts w:hint="eastAsia" w:ascii="Times New Roman" w:hAnsi="宋体" w:cs="宋体"/>
          <w:color w:val="auto"/>
          <w:sz w:val="24"/>
          <w:highlight w:val="none"/>
        </w:rPr>
        <w:t xml:space="preserve">联系方式：</w:t>
      </w:r>
      <w:r>
        <w:rPr>
          <w:rFonts w:hint="eastAsia" w:hAnsi="宋体" w:cs="宋体"/>
          <w:color w:val="auto"/>
          <w:sz w:val="24"/>
          <w:highlight w:val="none"/>
          <w:lang w:val="en-US" w:eastAsia="zh-CN"/>
        </w:rPr>
        <w:t xml:space="preserve"> 0518-80301033</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lang w:val="en-US" w:eastAsia="zh-CN"/>
        </w:rPr>
        <w:t xml:space="preserve">2.</w:t>
      </w:r>
      <w:r>
        <w:rPr>
          <w:rFonts w:hint="eastAsia" w:ascii="Times New Roman" w:hAnsi="宋体" w:cs="宋体"/>
          <w:color w:val="auto"/>
          <w:sz w:val="24"/>
          <w:highlight w:val="none"/>
        </w:rPr>
        <w:t xml:space="preserve">采购代理机构信息</w:t>
      </w:r>
      <w:bookmarkEnd w:id="50"/>
      <w:r/>
      <w:bookmarkEnd w:id="51"/>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名 </w:t>
      </w:r>
      <w:r>
        <w:rPr>
          <w:rFonts w:hint="eastAsia" w:ascii="Times New Roman" w:hAnsi="宋体" w:cs="宋体"/>
          <w:color w:val="auto"/>
          <w:sz w:val="24"/>
          <w:highlight w:val="none"/>
          <w:lang w:val="en-US" w:eastAsia="zh-CN"/>
        </w:rPr>
        <w:t xml:space="preserve">   </w:t>
      </w:r>
      <w:r>
        <w:rPr>
          <w:rFonts w:hint="eastAsia" w:ascii="Times New Roman" w:hAnsi="宋体" w:cs="宋体"/>
          <w:color w:val="auto"/>
          <w:sz w:val="24"/>
          <w:highlight w:val="none"/>
        </w:rPr>
        <w:t xml:space="preserve">称：连云港市正源招标代理有限公司</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地　  址：江苏省连云港市秦东门大街382号兴亿达大厦12楼1211室</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联 系 人：秦工</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联系方式</w:t>
      </w:r>
      <w:bookmarkStart w:id="52" w:name="_Toc28359087"/>
      <w:r/>
      <w:bookmarkStart w:id="53" w:name="_Toc28359010"/>
      <w:r>
        <w:rPr>
          <w:rFonts w:hint="eastAsia" w:ascii="Times New Roman" w:hAnsi="宋体" w:cs="宋体"/>
          <w:color w:val="auto"/>
          <w:sz w:val="24"/>
          <w:highlight w:val="none"/>
        </w:rPr>
        <w:t xml:space="preserve">：18896626767</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3.项目联系方式</w:t>
      </w:r>
      <w:r/>
    </w:p>
    <w:p>
      <w:pPr>
        <w:ind w:left="0" w:firstLine="480"/>
        <w:jc w:val="both"/>
        <w:pageBreakBefore w:val="0"/>
        <w:spacing w:line="360" w:lineRule="auto"/>
        <w:widowControl w:val="off"/>
        <w:rPr>
          <w:rFonts w:hint="eastAsia" w:ascii="Times New Roman" w:hAnsi="宋体" w:cs="宋体"/>
          <w:color w:val="auto"/>
          <w:sz w:val="24"/>
          <w:highlight w:val="none"/>
        </w:rPr>
      </w:pPr>
      <w:r>
        <w:rPr>
          <w:rFonts w:hint="eastAsia" w:ascii="Times New Roman" w:hAnsi="宋体" w:cs="宋体"/>
          <w:color w:val="auto"/>
          <w:sz w:val="24"/>
          <w:highlight w:val="none"/>
        </w:rPr>
        <w:t xml:space="preserve">联 系 人：</w:t>
      </w:r>
      <w:r>
        <w:rPr>
          <w:rFonts w:hint="eastAsia" w:hAnsi="宋体" w:cs="宋体"/>
          <w:color w:val="auto"/>
          <w:sz w:val="24"/>
          <w:highlight w:val="none"/>
          <w:lang w:val="en-US" w:eastAsia="zh-CN"/>
        </w:rPr>
        <w:t xml:space="preserve"> 张主任</w:t>
      </w:r>
      <w:r>
        <w:rPr>
          <w:rFonts w:hint="eastAsia" w:ascii="Times New Roman" w:hAnsi="宋体" w:cs="宋体"/>
          <w:color w:val="auto"/>
          <w:sz w:val="24"/>
          <w:highlight w:val="none"/>
        </w:rPr>
        <w:t xml:space="preserve"> </w:t>
      </w:r>
      <w:r/>
    </w:p>
    <w:p>
      <w:pPr>
        <w:ind w:left="0" w:firstLine="480"/>
        <w:jc w:val="both"/>
        <w:pageBreakBefore w:val="0"/>
        <w:spacing w:line="360" w:lineRule="auto"/>
        <w:widowControl w:val="off"/>
        <w:rPr>
          <w:rFonts w:hint="default" w:ascii="Times New Roman" w:hAnsi="宋体" w:cs="宋体"/>
          <w:color w:val="auto"/>
          <w:sz w:val="24"/>
          <w:highlight w:val="none"/>
          <w:lang w:val="en-US" w:eastAsia="zh-CN"/>
        </w:rPr>
      </w:pPr>
      <w:r>
        <w:rPr>
          <w:rFonts w:hint="eastAsia" w:ascii="Times New Roman" w:hAnsi="宋体" w:cs="宋体"/>
          <w:color w:val="auto"/>
          <w:sz w:val="24"/>
          <w:highlight w:val="none"/>
        </w:rPr>
        <w:t xml:space="preserve">联系方式：</w:t>
      </w:r>
      <w:r>
        <w:rPr>
          <w:rFonts w:hint="eastAsia" w:hAnsi="宋体" w:cs="宋体"/>
          <w:color w:val="auto"/>
          <w:sz w:val="24"/>
          <w:highlight w:val="none"/>
          <w:lang w:val="en-US" w:eastAsia="zh-CN"/>
        </w:rPr>
        <w:t xml:space="preserve"> 0518-80301033</w:t>
      </w:r>
      <w:bookmarkEnd w:id="52"/>
      <w:bookmarkEnd w:id="53"/>
      <w:r/>
    </w:p>
    <w:p>
      <w:pPr>
        <w:ind w:left="0" w:firstLine="643"/>
        <w:jc w:val="both"/>
        <w:keepLines/>
        <w:keepNext/>
        <w:pageBreakBefore w:val="0"/>
        <w:spacing w:line="360" w:lineRule="auto"/>
        <w:widowControl w:val="off"/>
        <w:rPr>
          <w:b/>
          <w:bCs/>
          <w:color w:val="auto"/>
          <w:sz w:val="32"/>
          <w:szCs w:val="32"/>
          <w:highlight w:val="none"/>
        </w:rPr>
        <w:outlineLvl w:val="2"/>
      </w:pPr>
      <w:r/>
      <w:bookmarkStart w:id="54" w:name="_Toc13787"/>
      <w:r>
        <w:rPr>
          <w:rFonts w:hint="eastAsia"/>
          <w:b/>
          <w:bCs/>
          <w:color w:val="auto"/>
          <w:sz w:val="32"/>
          <w:szCs w:val="32"/>
          <w:highlight w:val="none"/>
        </w:rPr>
        <w:t xml:space="preserve">八、其他</w:t>
      </w:r>
      <w:bookmarkEnd w:id="54"/>
      <w:r/>
      <w:r/>
    </w:p>
    <w:p>
      <w:pPr>
        <w:ind w:left="0" w:firstLine="480"/>
        <w:jc w:val="both"/>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领取CA和办理电子签章，具体联系方式见《苏采云系统供应商操作手册》（以下简称《操作手册》））、进行注册并按《操作手册》要求制作、上传电子响应文件。</w:t>
      </w:r>
      <w:r/>
    </w:p>
    <w:p>
      <w:pPr>
        <w:ind w:left="0" w:firstLine="480"/>
        <w:jc w:val="both"/>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有关本次磋商的事项若存在变动或修改，敬请及时关注连云港市正源招标代理有限公司在“江苏政府采购网”发布的更正公告。</w:t>
      </w:r>
      <w:r/>
    </w:p>
    <w:p>
      <w:pPr>
        <w:ind w:left="0" w:firstLine="480"/>
        <w:jc w:val="both"/>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本次磋商不收取磋商保证金。</w:t>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before="260" w:after="260" w:line="416" w:lineRule="auto"/>
        <w:rPr>
          <w:rFonts w:ascii="黑体" w:hAnsi="Arial" w:eastAsia="黑体" w:cs="Arial"/>
          <w:b/>
          <w:bCs/>
          <w:color w:val="auto"/>
          <w:sz w:val="44"/>
          <w:szCs w:val="44"/>
          <w:highlight w:val="none"/>
        </w:rPr>
        <w:sectPr>
          <w:footerReference w:type="default" r:id="rId13"/>
          <w:footerReference w:type="first" r:id="rId14"/>
          <w:footnotePr/>
          <w:endnotePr/>
          <w:type w:val="nextPage"/>
          <w:pgSz w:w="11906" w:h="16838" w:orient="portrait"/>
          <w:pgMar w:top="1417" w:right="1474" w:bottom="1417" w:left="1474" w:header="850" w:footer="907" w:gutter="0"/>
          <w:pgNumType w:start="1"/>
          <w:cols w:num="1" w:sep="0" w:space="0" w:equalWidth="1"/>
          <w:docGrid w:linePitch="360"/>
          <w:titlePg/>
        </w:sectPr>
        <w:outlineLvl w:val="1"/>
      </w:pPr>
      <w:r/>
      <w:bookmarkStart w:id="55" w:name="_Toc120614211"/>
      <w:r/>
      <w:r/>
    </w:p>
    <w:p>
      <w:pPr>
        <w:jc w:val="center"/>
        <w:keepLines/>
        <w:keepNext/>
        <w:spacing w:before="260" w:after="260" w:line="416" w:lineRule="auto"/>
        <w:rPr>
          <w:rFonts w:ascii="黑体" w:hAnsi="Arial" w:eastAsia="黑体" w:cs="Arial"/>
          <w:color w:val="auto"/>
          <w:sz w:val="44"/>
          <w:szCs w:val="44"/>
          <w:highlight w:val="none"/>
        </w:rPr>
        <w:outlineLvl w:val="1"/>
      </w:pPr>
      <w:r/>
      <w:bookmarkStart w:id="56" w:name="_Toc32188"/>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55"/>
      <w:r>
        <w:rPr>
          <w:rFonts w:hint="eastAsia" w:ascii="黑体" w:hAnsi="Arial" w:eastAsia="黑体" w:cs="Arial"/>
          <w:b/>
          <w:bCs/>
          <w:color w:val="auto"/>
          <w:sz w:val="44"/>
          <w:szCs w:val="44"/>
          <w:highlight w:val="none"/>
        </w:rPr>
        <w:t xml:space="preserve">供应商须知</w:t>
      </w:r>
      <w:bookmarkEnd w:id="56"/>
      <w:r/>
      <w:r/>
    </w:p>
    <w:p>
      <w:pPr>
        <w:ind w:left="0" w:right="0"/>
        <w:keepLines/>
        <w:keepNext/>
        <w:pageBreakBefore w:val="0"/>
        <w:spacing w:line="560" w:lineRule="exact"/>
        <w:widowControl w:val="off"/>
        <w:rPr>
          <w:b/>
          <w:bCs/>
          <w:color w:val="auto"/>
          <w:sz w:val="32"/>
          <w:szCs w:val="32"/>
          <w:highlight w:val="none"/>
        </w:rPr>
        <w:outlineLvl w:val="2"/>
      </w:pPr>
      <w:r/>
      <w:bookmarkStart w:id="57" w:name="_Toc513029203"/>
      <w:r/>
      <w:bookmarkStart w:id="58" w:name="_Toc120614214"/>
      <w:r/>
      <w:bookmarkStart w:id="59" w:name="_Toc16938519"/>
      <w:r/>
      <w:bookmarkStart w:id="60" w:name="_Toc4568"/>
      <w:r/>
      <w:bookmarkStart w:id="61" w:name="_Toc20823275"/>
      <w:r>
        <w:rPr>
          <w:rFonts w:hint="eastAsia"/>
          <w:b/>
          <w:bCs/>
          <w:color w:val="auto"/>
          <w:sz w:val="32"/>
          <w:szCs w:val="32"/>
          <w:highlight w:val="none"/>
        </w:rPr>
        <w:t xml:space="preserve">一、总则</w:t>
      </w:r>
      <w:bookmarkEnd w:id="57"/>
      <w:r/>
      <w:bookmarkEnd w:id="58"/>
      <w:r/>
      <w:bookmarkEnd w:id="59"/>
      <w:r/>
      <w:bookmarkEnd w:id="60"/>
      <w:r/>
      <w:bookmarkEnd w:id="61"/>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2" w:name="_Hlt16619475"/>
      <w:r/>
      <w:bookmarkEnd w:id="62"/>
      <w:r/>
      <w:bookmarkStart w:id="63" w:name="_Toc458694821"/>
      <w:r/>
      <w:bookmarkStart w:id="64" w:name="_Toc20823276"/>
      <w:r/>
      <w:bookmarkStart w:id="65" w:name="_Toc513029204"/>
      <w:r/>
      <w:bookmarkStart w:id="66" w:name="_Toc16938520"/>
      <w:r>
        <w:rPr>
          <w:rFonts w:hint="eastAsia" w:ascii="Arial" w:hAnsi="Arial" w:eastAsia="黑体" w:cs="Arial"/>
          <w:color w:val="auto"/>
          <w:sz w:val="28"/>
          <w:szCs w:val="28"/>
          <w:highlight w:val="none"/>
        </w:rPr>
        <w:t xml:space="preserve">1</w:t>
      </w:r>
      <w:bookmarkEnd w:id="63"/>
      <w:r>
        <w:rPr>
          <w:rFonts w:hint="eastAsia" w:ascii="Arial" w:hAnsi="Arial" w:eastAsia="黑体" w:cs="Arial"/>
          <w:color w:val="auto"/>
          <w:sz w:val="28"/>
          <w:szCs w:val="28"/>
          <w:highlight w:val="none"/>
        </w:rPr>
        <w:t xml:space="preserve">、采购方式</w:t>
      </w:r>
      <w:bookmarkEnd w:id="64"/>
      <w:r/>
      <w:bookmarkEnd w:id="65"/>
      <w:r/>
      <w:bookmarkEnd w:id="6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7" w:name="_Toc20823277"/>
      <w:r/>
      <w:bookmarkStart w:id="68" w:name="_Toc16938521"/>
      <w:r/>
      <w:bookmarkStart w:id="69" w:name="_Toc513029205"/>
      <w:r>
        <w:rPr>
          <w:rFonts w:hint="eastAsia" w:ascii="Arial" w:hAnsi="Arial" w:eastAsia="黑体" w:cs="Arial"/>
          <w:color w:val="auto"/>
          <w:sz w:val="28"/>
          <w:szCs w:val="28"/>
          <w:highlight w:val="none"/>
        </w:rPr>
        <w:t xml:space="preserve">2、合格的</w:t>
      </w:r>
      <w:bookmarkEnd w:id="67"/>
      <w:r/>
      <w:bookmarkEnd w:id="68"/>
      <w:r/>
      <w:bookmarkEnd w:id="69"/>
      <w:r>
        <w:rPr>
          <w:rFonts w:hint="eastAsia" w:ascii="Arial" w:hAnsi="Arial" w:eastAsia="黑体" w:cs="Arial"/>
          <w:color w:val="auto"/>
          <w:sz w:val="28"/>
          <w:szCs w:val="28"/>
          <w:highlight w:val="none"/>
        </w:rPr>
        <w:t xml:space="preserve">供应商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2.1满足磋商公告中供应商资格要求的规定。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2.2 满足本磋商文件实质性要求和条件的规定。</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70" w:name="_Toc513029206"/>
      <w:r/>
      <w:bookmarkStart w:id="71" w:name="_Toc16938522"/>
      <w:r/>
      <w:bookmarkStart w:id="72" w:name="_Toc20823278"/>
      <w:r>
        <w:rPr>
          <w:rFonts w:hint="eastAsia" w:ascii="Arial" w:hAnsi="Arial" w:eastAsia="黑体" w:cs="Arial"/>
          <w:color w:val="auto"/>
          <w:sz w:val="28"/>
          <w:szCs w:val="28"/>
          <w:highlight w:val="none"/>
        </w:rPr>
        <w:t xml:space="preserve">3、适用法律</w:t>
      </w:r>
      <w:bookmarkEnd w:id="70"/>
      <w:r/>
      <w:bookmarkEnd w:id="71"/>
      <w:r/>
      <w:bookmarkEnd w:id="72"/>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3.2 在本项目政府采购活动过程中，如果所执行的标准有更新的，按照最新标准执行。</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73" w:name="_Toc513029207"/>
      <w:r/>
      <w:bookmarkStart w:id="74" w:name="_Toc462564067"/>
      <w:r/>
      <w:bookmarkStart w:id="75" w:name="_Toc20823279"/>
      <w:r/>
      <w:bookmarkStart w:id="76" w:name="_Toc16938523"/>
      <w:r>
        <w:rPr>
          <w:rFonts w:hint="eastAsia" w:ascii="Arial" w:hAnsi="Arial" w:eastAsia="黑体" w:cs="Arial"/>
          <w:color w:val="auto"/>
          <w:sz w:val="28"/>
          <w:szCs w:val="28"/>
          <w:highlight w:val="none"/>
        </w:rPr>
        <w:t xml:space="preserve">4、磋商费用</w:t>
      </w:r>
      <w:bookmarkEnd w:id="73"/>
      <w:r/>
      <w:bookmarkEnd w:id="74"/>
      <w:r/>
      <w:bookmarkEnd w:id="75"/>
      <w:r/>
      <w:bookmarkEnd w:id="7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4.1供应商应自行承担所有与参加本次磋商有关的费用，无论磋商过程中的做法和结果如何，连云港市正源招标代理有限公司（以下简称代理机构）在任何情况下均无义务和责任承担这些费用。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szCs w:val="21"/>
          <w:highlight w:val="none"/>
        </w:rPr>
        <w:t xml:space="preserve">4.2本次磋商</w:t>
      </w:r>
      <w:r>
        <w:rPr>
          <w:rFonts w:hint="eastAsia" w:ascii="宋体" w:hAnsi="宋体"/>
          <w:color w:val="auto"/>
          <w:sz w:val="24"/>
          <w:szCs w:val="21"/>
          <w:highlight w:val="none"/>
          <w:lang w:val="en-US" w:eastAsia="zh-CN"/>
        </w:rPr>
        <w:t xml:space="preserve">代理费由采购人支付。</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5、磋商文件的约束力</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5.1供应商一旦参加本项目采购活动，即被认为接受了本磋商文件的规定和约束。</w:t>
      </w:r>
      <w:r/>
    </w:p>
    <w:p>
      <w:pPr>
        <w:ind w:left="0" w:right="0"/>
        <w:keepLines/>
        <w:keepNext/>
        <w:pageBreakBefore w:val="0"/>
        <w:spacing w:line="560" w:lineRule="exact"/>
        <w:widowControl w:val="off"/>
        <w:rPr>
          <w:b/>
          <w:bCs/>
          <w:color w:val="auto"/>
          <w:sz w:val="32"/>
          <w:szCs w:val="32"/>
          <w:highlight w:val="none"/>
        </w:rPr>
        <w:outlineLvl w:val="2"/>
      </w:pPr>
      <w:r/>
      <w:bookmarkStart w:id="77" w:name="_Toc16938525"/>
      <w:r/>
      <w:bookmarkStart w:id="78" w:name="_Toc513029209"/>
      <w:r/>
      <w:bookmarkStart w:id="79" w:name="_Toc20823281"/>
      <w:r/>
      <w:bookmarkStart w:id="80" w:name="_Toc120614215"/>
      <w:r/>
      <w:bookmarkStart w:id="81" w:name="_Toc5307"/>
      <w:r>
        <w:rPr>
          <w:rFonts w:hint="eastAsia"/>
          <w:b/>
          <w:bCs/>
          <w:color w:val="auto"/>
          <w:sz w:val="32"/>
          <w:szCs w:val="32"/>
          <w:highlight w:val="none"/>
        </w:rPr>
        <w:t xml:space="preserve">二、</w:t>
      </w:r>
      <w:bookmarkEnd w:id="77"/>
      <w:r/>
      <w:bookmarkEnd w:id="78"/>
      <w:r/>
      <w:bookmarkEnd w:id="79"/>
      <w:r/>
      <w:bookmarkEnd w:id="80"/>
      <w:r>
        <w:rPr>
          <w:rFonts w:hint="eastAsia"/>
          <w:b/>
          <w:bCs/>
          <w:color w:val="auto"/>
          <w:sz w:val="32"/>
          <w:szCs w:val="32"/>
          <w:highlight w:val="none"/>
        </w:rPr>
        <w:t xml:space="preserve">磋商文件</w:t>
      </w:r>
      <w:bookmarkEnd w:id="81"/>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82" w:name="_Toc20823282"/>
      <w:r/>
      <w:bookmarkStart w:id="83" w:name="_Toc16938526"/>
      <w:r/>
      <w:bookmarkStart w:id="84" w:name="_Toc513029210"/>
      <w:r>
        <w:rPr>
          <w:rFonts w:hint="eastAsia" w:ascii="Arial" w:hAnsi="Arial" w:eastAsia="黑体" w:cs="Arial"/>
          <w:color w:val="auto"/>
          <w:sz w:val="28"/>
          <w:szCs w:val="28"/>
          <w:highlight w:val="none"/>
        </w:rPr>
        <w:t xml:space="preserve">6、磋商文件构成</w:t>
      </w:r>
      <w:bookmarkEnd w:id="82"/>
      <w:r/>
      <w:bookmarkEnd w:id="83"/>
      <w:r/>
      <w:bookmarkEnd w:id="84"/>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6.1磋商文件由以下部分组成：</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（1）磋商邀请</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（2）供应商须知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（3）合同文本</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（4）采购需求</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（5）评审方法与评审标准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（6）响应文件格式</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请仔细检查磋商文件是否齐全，如有缺漏请立即与代理机构联系解决。</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5" w:name="_Toc462564070"/>
      <w:r/>
      <w:bookmarkStart w:id="86" w:name="_Toc16938527"/>
      <w:r/>
      <w:bookmarkStart w:id="87" w:name="_Toc20823283"/>
      <w:r/>
      <w:bookmarkStart w:id="88" w:name="_Toc513029211"/>
      <w:r>
        <w:rPr>
          <w:rFonts w:hint="eastAsia" w:ascii="Arial" w:hAnsi="Arial" w:eastAsia="黑体" w:cs="Arial"/>
          <w:color w:val="auto"/>
          <w:sz w:val="28"/>
          <w:szCs w:val="28"/>
          <w:highlight w:val="none"/>
        </w:rPr>
        <w:t xml:space="preserve">7、磋商文件的澄清</w:t>
      </w:r>
      <w:bookmarkEnd w:id="85"/>
      <w:r/>
      <w:bookmarkEnd w:id="86"/>
      <w:r/>
      <w:bookmarkEnd w:id="87"/>
      <w:r/>
      <w:bookmarkEnd w:id="88"/>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7.1 任何要求对磋商文件进行澄清的供应商，应在磋商截止期5日前按磋商公告中的通讯地址，以书面形式通知代理机构。</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9" w:name="_Toc513029212"/>
      <w:r/>
      <w:bookmarkStart w:id="90" w:name="_Toc462564071"/>
      <w:r/>
      <w:bookmarkStart w:id="91" w:name="_Toc16938528"/>
      <w:r/>
      <w:bookmarkStart w:id="92" w:name="_Toc20823284"/>
      <w:r>
        <w:rPr>
          <w:rFonts w:hint="eastAsia" w:ascii="Arial" w:hAnsi="Arial" w:eastAsia="黑体" w:cs="Arial"/>
          <w:color w:val="auto"/>
          <w:sz w:val="28"/>
          <w:szCs w:val="28"/>
          <w:highlight w:val="none"/>
        </w:rPr>
        <w:t xml:space="preserve">8、磋商文件的澄清和修改</w:t>
      </w:r>
      <w:bookmarkEnd w:id="89"/>
      <w:r/>
      <w:bookmarkEnd w:id="90"/>
      <w:r/>
      <w:bookmarkEnd w:id="91"/>
      <w:r/>
      <w:bookmarkEnd w:id="92"/>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8.2代理机构</w:t>
      </w:r>
      <w:r>
        <w:rPr>
          <w:rFonts w:hint="eastAsia" w:ascii="宋体" w:hAnsi="宋体"/>
          <w:color w:val="auto"/>
          <w:sz w:val="24"/>
          <w:szCs w:val="21"/>
          <w:highlight w:val="none"/>
          <w:lang w:val="en-US" w:eastAsia="zh-CN"/>
        </w:rPr>
        <w:t xml:space="preserve">不</w:t>
      </w:r>
      <w:r>
        <w:rPr>
          <w:rFonts w:hint="eastAsia" w:ascii="宋体" w:hAnsi="宋体"/>
          <w:color w:val="auto"/>
          <w:sz w:val="24"/>
          <w:szCs w:val="21"/>
          <w:highlight w:val="none"/>
        </w:rPr>
        <w:t xml:space="preserve">组织供应商进行现场考察或召开磋商前答疑会。</w:t>
      </w:r>
      <w:r/>
    </w:p>
    <w:p>
      <w:pPr>
        <w:ind w:left="0" w:right="0"/>
        <w:keepLines/>
        <w:keepNext/>
        <w:pageBreakBefore w:val="0"/>
        <w:spacing w:line="560" w:lineRule="exact"/>
        <w:widowControl w:val="off"/>
        <w:rPr>
          <w:b/>
          <w:bCs/>
          <w:color w:val="auto"/>
          <w:sz w:val="32"/>
          <w:szCs w:val="32"/>
          <w:highlight w:val="none"/>
        </w:rPr>
        <w:outlineLvl w:val="2"/>
      </w:pPr>
      <w:r/>
      <w:bookmarkStart w:id="93" w:name="_Toc513029213"/>
      <w:r/>
      <w:bookmarkStart w:id="94" w:name="_Toc462564072"/>
      <w:r/>
      <w:bookmarkStart w:id="95" w:name="_Toc120614216"/>
      <w:r/>
      <w:bookmarkStart w:id="96" w:name="_Toc16938529"/>
      <w:r/>
      <w:bookmarkStart w:id="97" w:name="_Toc20823285"/>
      <w:r/>
      <w:bookmarkStart w:id="98" w:name="_Toc1821"/>
      <w:r>
        <w:rPr>
          <w:rFonts w:hint="eastAsia"/>
          <w:b/>
          <w:bCs/>
          <w:color w:val="auto"/>
          <w:sz w:val="32"/>
          <w:szCs w:val="32"/>
          <w:highlight w:val="none"/>
        </w:rPr>
        <w:t xml:space="preserve">三、响应文件的编制</w:t>
      </w:r>
      <w:bookmarkEnd w:id="93"/>
      <w:r/>
      <w:bookmarkEnd w:id="94"/>
      <w:r/>
      <w:bookmarkEnd w:id="95"/>
      <w:r/>
      <w:bookmarkEnd w:id="96"/>
      <w:r/>
      <w:bookmarkEnd w:id="97"/>
      <w:r/>
      <w:bookmarkEnd w:id="98"/>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99" w:name="_Toc20823286"/>
      <w:r/>
      <w:bookmarkStart w:id="100" w:name="_Toc462564073"/>
      <w:r/>
      <w:bookmarkStart w:id="101" w:name="_Toc16938530"/>
      <w:r/>
      <w:bookmarkStart w:id="102" w:name="_Toc513029214"/>
      <w:r>
        <w:rPr>
          <w:rFonts w:hint="eastAsia" w:ascii="Arial" w:hAnsi="Arial" w:eastAsia="黑体" w:cs="Arial"/>
          <w:color w:val="auto"/>
          <w:sz w:val="28"/>
          <w:szCs w:val="28"/>
          <w:highlight w:val="none"/>
        </w:rPr>
        <w:t xml:space="preserve">9、响应文件的语言及度量衡单位</w:t>
      </w:r>
      <w:bookmarkEnd w:id="99"/>
      <w:r/>
      <w:bookmarkEnd w:id="100"/>
      <w:r/>
      <w:bookmarkEnd w:id="101"/>
      <w:r/>
      <w:bookmarkEnd w:id="102"/>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9.1供应商提交的响应文件以及供应商与代理机构就有关磋商的所有来往通知、函件和文件均应使用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9.2 除技术性能另有规定外，响应文件所使用的度量衡单位，均须采用国家法定计量单位。</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03" w:name="_Toc20823287"/>
      <w:r/>
      <w:bookmarkStart w:id="104" w:name="_Toc16938531"/>
      <w:r/>
      <w:bookmarkStart w:id="105" w:name="_Toc513029215"/>
      <w:r/>
      <w:bookmarkStart w:id="106" w:name="_Toc462564074"/>
      <w:r>
        <w:rPr>
          <w:rFonts w:hint="eastAsia" w:ascii="Arial" w:hAnsi="Arial" w:eastAsia="黑体" w:cs="Arial"/>
          <w:color w:val="auto"/>
          <w:sz w:val="28"/>
          <w:szCs w:val="28"/>
          <w:highlight w:val="none"/>
        </w:rPr>
        <w:t xml:space="preserve">10、响应文件构成</w:t>
      </w:r>
      <w:bookmarkEnd w:id="103"/>
      <w:r/>
      <w:bookmarkEnd w:id="104"/>
      <w:r/>
      <w:bookmarkEnd w:id="105"/>
      <w:r/>
      <w:bookmarkEnd w:id="10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07" w:name="_Hlt26954838"/>
      <w:r/>
      <w:bookmarkEnd w:id="107"/>
      <w:r/>
      <w:bookmarkStart w:id="108" w:name="_Hlt26670360"/>
      <w:r/>
      <w:bookmarkEnd w:id="108"/>
      <w:r/>
      <w:bookmarkStart w:id="109" w:name="_Hlt26668975"/>
      <w:r/>
      <w:bookmarkEnd w:id="109"/>
      <w:r/>
      <w:bookmarkStart w:id="110" w:name="_Toc14577357"/>
      <w:r/>
      <w:bookmarkStart w:id="111" w:name="_Toc49090509"/>
      <w:r/>
      <w:bookmarkStart w:id="112" w:name="_Toc513029219"/>
      <w:r/>
      <w:bookmarkStart w:id="113" w:name="_Toc14577354"/>
      <w:r/>
      <w:bookmarkStart w:id="114" w:name="_Toc513029216"/>
      <w:r/>
      <w:bookmarkStart w:id="115" w:name="_Toc49090507"/>
      <w:r/>
      <w:bookmarkStart w:id="116" w:name="_Toc49090508"/>
      <w:r/>
      <w:bookmarkStart w:id="117" w:name="_Toc14577355"/>
      <w:r>
        <w:rPr>
          <w:rFonts w:hint="eastAsia" w:ascii="Arial" w:hAnsi="Arial" w:eastAsia="黑体" w:cs="Arial"/>
          <w:color w:val="auto"/>
          <w:sz w:val="28"/>
          <w:szCs w:val="28"/>
          <w:highlight w:val="none"/>
        </w:rPr>
        <w:t xml:space="preserve">11、证明磋商响应标的符合磋商文件规定的文件</w:t>
      </w:r>
      <w:bookmarkEnd w:id="110"/>
      <w:r/>
      <w:bookmarkEnd w:id="111"/>
      <w:r/>
      <w:bookmarkEnd w:id="112"/>
      <w:r/>
      <w:bookmarkEnd w:id="113"/>
      <w:bookmarkEnd w:id="114"/>
      <w:bookmarkEnd w:id="115"/>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11.1供应商应按照磋商文件要求提交证明文件，证明其及磋商响应标的符合磋商文件规定。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11.2磋商文件对证明文件无明确形式要求的，证明文件可以以文字资料、图纸和数据等形式提交。</w:t>
      </w:r>
      <w:bookmarkEnd w:id="116"/>
      <w:bookmarkEnd w:id="117"/>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12.1供应商应按照磋商文件规定格式填报分项报价表。</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12.2磋商货币。响应文件中的单价和总价无特殊规定的采用人民币报价，以元为单位标注。磋商文件中另有规定的按规定执行。</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18" w:name="_Hlt26954731"/>
      <w:r/>
      <w:bookmarkEnd w:id="118"/>
      <w:r/>
      <w:bookmarkStart w:id="119" w:name="_Hlt26954846"/>
      <w:r/>
      <w:bookmarkEnd w:id="119"/>
      <w:r/>
      <w:bookmarkStart w:id="120" w:name="_Hlt26670486"/>
      <w:r/>
      <w:bookmarkEnd w:id="120"/>
      <w:r/>
      <w:bookmarkStart w:id="121" w:name="_Hlt26670482"/>
      <w:r/>
      <w:bookmarkEnd w:id="121"/>
      <w:r/>
      <w:bookmarkStart w:id="122" w:name="_Hlt26954848"/>
      <w:r/>
      <w:bookmarkEnd w:id="122"/>
      <w:r>
        <w:rPr>
          <w:rFonts w:hint="eastAsia" w:ascii="Arial" w:hAnsi="Arial" w:eastAsia="黑体" w:cs="Arial"/>
          <w:color w:val="auto"/>
          <w:sz w:val="28"/>
          <w:szCs w:val="28"/>
          <w:highlight w:val="none"/>
        </w:rPr>
        <w:t xml:space="preserve">13、技术要求响应及偏离表、商务要求响应及偏离表</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13.1供应商需对磋商文件中的技术要求与商务要求逐项作出响应或偏离，并说明原因。</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13.2供应商可在响应文件中提供认为需要的其他技术文件或说明。</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14.1供应商需</w:t>
      </w:r>
      <w:r>
        <w:rPr>
          <w:rFonts w:hint="eastAsia" w:ascii="宋体" w:hAnsi="宋体"/>
          <w:color w:val="auto"/>
          <w:sz w:val="24"/>
          <w:szCs w:val="21"/>
          <w:highlight w:val="none"/>
          <w:lang w:val="en-US" w:eastAsia="zh-CN"/>
        </w:rPr>
        <w:t xml:space="preserve">在质保期内继续提供相应服务</w:t>
      </w:r>
      <w:r>
        <w:rPr>
          <w:rFonts w:hint="eastAsia" w:ascii="宋体" w:hAnsi="宋体"/>
          <w:color w:val="auto"/>
          <w:sz w:val="24"/>
          <w:szCs w:val="21"/>
          <w:highlight w:val="none"/>
          <w:lang w:val="zh-CN"/>
        </w:rPr>
        <w:t xml:space="preserve">。</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23" w:name="_Toc14577359"/>
      <w:r/>
      <w:bookmarkStart w:id="124" w:name="_Toc49090510"/>
      <w:r>
        <w:rPr>
          <w:rFonts w:hint="eastAsia" w:ascii="Arial" w:hAnsi="Arial" w:eastAsia="黑体" w:cs="Arial"/>
          <w:color w:val="auto"/>
          <w:sz w:val="28"/>
          <w:szCs w:val="28"/>
          <w:highlight w:val="none"/>
        </w:rPr>
        <w:t xml:space="preserve">15、磋商响应函</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15.1供应商应按照磋商文件中提供的格式完整、正确填写磋商响应函。</w:t>
      </w:r>
      <w:bookmarkEnd w:id="123"/>
      <w:bookmarkEnd w:id="124"/>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25" w:name="_Toc49090511"/>
      <w:r/>
      <w:bookmarkStart w:id="126" w:name="_Toc14577360"/>
      <w:r>
        <w:rPr>
          <w:rFonts w:hint="eastAsia" w:ascii="Arial" w:hAnsi="Arial" w:eastAsia="黑体" w:cs="Arial"/>
          <w:color w:val="auto"/>
          <w:sz w:val="28"/>
          <w:szCs w:val="28"/>
          <w:highlight w:val="none"/>
        </w:rPr>
        <w:t xml:space="preserve">16、磋商有效期</w:t>
      </w:r>
      <w:bookmarkEnd w:id="125"/>
      <w:r/>
      <w:bookmarkEnd w:id="126"/>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16.1磋商有效期为采购代理机构规定的提交响应文件截止之日后</w:t>
      </w:r>
      <w:r>
        <w:rPr>
          <w:rFonts w:hint="eastAsia" w:ascii="宋体" w:hAnsi="宋体"/>
          <w:b/>
          <w:bCs/>
          <w:color w:val="auto"/>
          <w:sz w:val="24"/>
          <w:szCs w:val="21"/>
          <w:highlight w:val="none"/>
          <w:u w:val="single"/>
          <w:lang w:val="zh-CN"/>
        </w:rPr>
        <w:t xml:space="preserve">六十（60）天</w:t>
      </w:r>
      <w:r>
        <w:rPr>
          <w:rFonts w:hint="eastAsia" w:ascii="宋体" w:hAnsi="宋体"/>
          <w:color w:val="auto"/>
          <w:sz w:val="24"/>
          <w:szCs w:val="21"/>
          <w:highlight w:val="none"/>
          <w:lang w:val="zh-CN"/>
        </w:rPr>
        <w:t xml:space="preserve">。磋商有效期比规定短的将被视为非实质性响应磋商文件而予以拒绝。</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17.1在特殊情况下，采购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left="0" w:right="0"/>
        <w:keepLines/>
        <w:keepNext/>
        <w:pageBreakBefore w:val="0"/>
        <w:spacing w:line="560" w:lineRule="exact"/>
        <w:widowControl w:val="off"/>
        <w:rPr>
          <w:b/>
          <w:bCs/>
          <w:color w:val="auto"/>
          <w:sz w:val="32"/>
          <w:szCs w:val="32"/>
          <w:highlight w:val="none"/>
        </w:rPr>
        <w:outlineLvl w:val="2"/>
      </w:pPr>
      <w:r/>
      <w:bookmarkStart w:id="127" w:name="_Hlt26954852"/>
      <w:r/>
      <w:bookmarkEnd w:id="127"/>
      <w:r/>
      <w:bookmarkStart w:id="128" w:name="_Hlt26954739"/>
      <w:r/>
      <w:bookmarkEnd w:id="128"/>
      <w:r/>
      <w:bookmarkStart w:id="129" w:name="_Toc21697"/>
      <w:r/>
      <w:bookmarkStart w:id="130" w:name="_Toc20823296"/>
      <w:r/>
      <w:bookmarkStart w:id="131" w:name="_Toc16938540"/>
      <w:r/>
      <w:bookmarkStart w:id="132" w:name="_Toc513029224"/>
      <w:r/>
      <w:bookmarkStart w:id="133" w:name="_Toc120614217"/>
      <w:r>
        <w:rPr>
          <w:rFonts w:hint="eastAsia"/>
          <w:b/>
          <w:bCs/>
          <w:color w:val="auto"/>
          <w:sz w:val="32"/>
          <w:szCs w:val="32"/>
          <w:highlight w:val="none"/>
        </w:rPr>
        <w:t xml:space="preserve">四、响应文件的递交</w:t>
      </w:r>
      <w:bookmarkEnd w:id="129"/>
      <w:r/>
      <w:bookmarkEnd w:id="130"/>
      <w:r/>
      <w:bookmarkEnd w:id="131"/>
      <w:r/>
      <w:bookmarkEnd w:id="132"/>
      <w:r/>
      <w:bookmarkEnd w:id="133"/>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34" w:name="_Toc20823297"/>
      <w:r/>
      <w:bookmarkStart w:id="135" w:name="_Toc513029225"/>
      <w:r/>
      <w:bookmarkStart w:id="136" w:name="_Toc462564084"/>
      <w:r/>
      <w:bookmarkStart w:id="137" w:name="_Toc16938541"/>
      <w:r>
        <w:rPr>
          <w:rFonts w:hint="eastAsia" w:ascii="Arial" w:hAnsi="Arial" w:eastAsia="黑体" w:cs="Arial"/>
          <w:color w:val="auto"/>
          <w:sz w:val="28"/>
          <w:szCs w:val="28"/>
          <w:highlight w:val="none"/>
        </w:rPr>
        <w:t xml:space="preserve">18、电子磋商</w:t>
      </w:r>
      <w:bookmarkEnd w:id="134"/>
      <w:r/>
      <w:bookmarkEnd w:id="135"/>
      <w:r/>
      <w:bookmarkEnd w:id="136"/>
      <w:r/>
      <w:bookmarkEnd w:id="137"/>
      <w:r>
        <w:rPr>
          <w:rFonts w:hint="eastAsia" w:ascii="Arial" w:hAnsi="Arial" w:eastAsia="黑体" w:cs="Arial"/>
          <w:color w:val="auto"/>
          <w:sz w:val="28"/>
          <w:szCs w:val="28"/>
          <w:highlight w:val="none"/>
        </w:rPr>
        <w:t xml:space="preserve">响应文件的递交</w:t>
      </w:r>
      <w:r/>
    </w:p>
    <w:p>
      <w:pPr>
        <w:ind w:left="0" w:right="0" w:firstLine="420"/>
        <w:pageBreakBefore w:val="0"/>
        <w:spacing w:line="560" w:lineRule="exact"/>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18.1供应商应当按照《操作手册》规定，在提交响应文件截止时间前制作并上传电子响应文件。</w:t>
      </w:r>
      <w:bookmarkStart w:id="138" w:name="_Toc16938542"/>
      <w:r/>
      <w:bookmarkStart w:id="139" w:name="_Toc513029226"/>
      <w:r/>
      <w:bookmarkStart w:id="140" w:name="_Toc20823298"/>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19、提交响应文件截止时间</w:t>
      </w:r>
      <w:bookmarkEnd w:id="138"/>
      <w:r/>
      <w:bookmarkEnd w:id="139"/>
      <w:r/>
      <w:bookmarkEnd w:id="140"/>
      <w:r/>
      <w:r/>
    </w:p>
    <w:p>
      <w:pPr>
        <w:ind w:left="0" w:right="0" w:firstLine="420"/>
        <w:pageBreakBefore w:val="0"/>
        <w:spacing w:line="560" w:lineRule="exact"/>
        <w:widowControl w:val="off"/>
        <w:rPr>
          <w:rFonts w:hint="eastAsia" w:ascii="宋体" w:hAnsi="宋体"/>
          <w:b/>
          <w:bCs/>
          <w:i w:val="0"/>
          <w:iCs w:val="0"/>
          <w:color w:val="auto"/>
          <w:sz w:val="24"/>
          <w:szCs w:val="21"/>
          <w:highlight w:val="none"/>
        </w:rPr>
      </w:pPr>
      <w:r>
        <w:rPr>
          <w:rFonts w:hint="eastAsia" w:ascii="宋体" w:hAnsi="宋体"/>
          <w:b/>
          <w:bCs/>
          <w:i w:val="0"/>
          <w:iCs w:val="0"/>
          <w:color w:val="auto"/>
          <w:sz w:val="24"/>
          <w:szCs w:val="21"/>
          <w:highlight w:val="none"/>
        </w:rPr>
        <w:t xml:space="preserve">19.1供应商上传电子响应文件的时间不得迟于磋商公告中规定的提交响应文件截止时间。</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19.2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41" w:name="_Toc20823299"/>
      <w:r/>
      <w:bookmarkStart w:id="142" w:name="_Toc16938543"/>
      <w:r/>
      <w:bookmarkStart w:id="143"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41"/>
      <w:r/>
      <w:bookmarkEnd w:id="142"/>
      <w:r/>
      <w:bookmarkEnd w:id="143"/>
      <w:r>
        <w:rPr>
          <w:rFonts w:hint="eastAsia" w:ascii="Arial" w:hAnsi="Arial" w:eastAsia="黑体" w:cs="Arial"/>
          <w:color w:val="auto"/>
          <w:sz w:val="28"/>
          <w:szCs w:val="28"/>
          <w:highlight w:val="none"/>
        </w:rPr>
        <w:t xml:space="preserve">的拒收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20.1 代理机构拒绝接收在其规定的提交响应文件截止时间后上传的任何电子响应文件。</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44" w:name="_Toc513029228"/>
      <w:r/>
      <w:bookmarkStart w:id="145" w:name="_Toc20823300"/>
      <w:r/>
      <w:bookmarkStart w:id="146" w:name="_Toc1693854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44"/>
      <w:r/>
      <w:bookmarkEnd w:id="145"/>
      <w:r/>
      <w:bookmarkEnd w:id="146"/>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21.1响应文件的撤回</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21.1.1 电子响应文件的撤回</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供应商可在提交响应文件截止时间前，撤回其电子响应文件，具体操作方法见《操作手册》。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21.1.2供应商撤回电子响应文件，则认为其不再参与本项目磋商活动。</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21.2响应文件的修改</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供应商可在提交响应文件截止时间前，对其电子响应文件进行修改，具体操作方法见《操作手册》。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21.3 在提交响应文件截止时间之后，供应商不得对其电子响应文件作任何修改。</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21.4 在提交响应文件截止时间至磋商文件中规定的磋商有效期满之间的这段时间内，供应商不得撤回其响应文件。</w:t>
      </w:r>
      <w:r/>
    </w:p>
    <w:p>
      <w:pPr>
        <w:ind w:left="0" w:right="0"/>
        <w:keepLines/>
        <w:keepNext/>
        <w:pageBreakBefore w:val="0"/>
        <w:spacing w:line="560" w:lineRule="exact"/>
        <w:widowControl w:val="off"/>
        <w:rPr>
          <w:b/>
          <w:bCs/>
          <w:color w:val="auto"/>
          <w:sz w:val="32"/>
          <w:szCs w:val="32"/>
          <w:highlight w:val="none"/>
        </w:rPr>
        <w:outlineLvl w:val="2"/>
      </w:pPr>
      <w:r/>
      <w:bookmarkStart w:id="147" w:name="_Toc31658"/>
      <w:r/>
      <w:bookmarkStart w:id="148" w:name="_Toc16938545"/>
      <w:r/>
      <w:bookmarkStart w:id="149" w:name="_Toc513029229"/>
      <w:r/>
      <w:bookmarkStart w:id="150" w:name="_Toc120614218"/>
      <w:r/>
      <w:bookmarkStart w:id="151" w:name="_Toc20823301"/>
      <w:r>
        <w:rPr>
          <w:rFonts w:hint="eastAsia"/>
          <w:b/>
          <w:bCs/>
          <w:color w:val="auto"/>
          <w:sz w:val="32"/>
          <w:szCs w:val="32"/>
          <w:highlight w:val="none"/>
        </w:rPr>
        <w:t xml:space="preserve">五、响应文件的解密与评审</w:t>
      </w:r>
      <w:bookmarkEnd w:id="147"/>
      <w:r/>
      <w:bookmarkEnd w:id="148"/>
      <w:r/>
      <w:bookmarkEnd w:id="149"/>
      <w:r/>
      <w:bookmarkEnd w:id="150"/>
      <w:r/>
      <w:bookmarkEnd w:id="151"/>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52" w:name="_Toc20823302"/>
      <w:r/>
      <w:bookmarkStart w:id="153" w:name="_Toc16938546"/>
      <w:r/>
      <w:bookmarkStart w:id="154" w:name="_Toc513029230"/>
      <w:r>
        <w:rPr>
          <w:rFonts w:hint="eastAsia" w:ascii="Arial" w:hAnsi="Arial" w:eastAsia="黑体" w:cs="Arial"/>
          <w:color w:val="auto"/>
          <w:sz w:val="28"/>
          <w:szCs w:val="28"/>
          <w:highlight w:val="none"/>
        </w:rPr>
        <w:t xml:space="preserve">22、</w:t>
      </w:r>
      <w:bookmarkEnd w:id="152"/>
      <w:r/>
      <w:bookmarkEnd w:id="153"/>
      <w:r/>
      <w:bookmarkEnd w:id="154"/>
      <w:r>
        <w:rPr>
          <w:rFonts w:hint="eastAsia" w:ascii="Arial" w:hAnsi="Arial" w:eastAsia="黑体" w:cs="Arial"/>
          <w:color w:val="auto"/>
          <w:sz w:val="28"/>
          <w:szCs w:val="28"/>
          <w:highlight w:val="none"/>
        </w:rPr>
        <w:t xml:space="preserve">响应文件解密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22.1供应商应当按照《操作手册》规定，在苏采云系统规定的时间内对磋商响应文件进行解密。</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55" w:name="_Toc20823303"/>
      <w:r/>
      <w:bookmarkStart w:id="156" w:name="_Toc16938547"/>
      <w:r/>
      <w:bookmarkStart w:id="157" w:name="_Toc513029231"/>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23.1代理机构将组织磋商小组对响应文件进行评审。磋商小组由采购人代表和有关技术、经济等方面的专家组成，且人员构成符合政府采购有关规定。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23.2磋商小组独立工作，负责评审所有响应文件并确定成交侯选人。</w:t>
      </w:r>
      <w:r/>
    </w:p>
    <w:p>
      <w:pPr>
        <w:ind w:left="0" w:right="0" w:firstLine="420"/>
        <w:keepLines/>
        <w:keepNext/>
        <w:pageBreakBefore w:val="0"/>
        <w:spacing w:line="560" w:lineRule="exact"/>
        <w:widowControl w:val="off"/>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、评审过程的保密与公正</w:t>
      </w:r>
      <w:bookmarkEnd w:id="155"/>
      <w:bookmarkEnd w:id="156"/>
      <w:bookmarkEnd w:id="157"/>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24.1磋商小组、采购人和采购代理机构工作人员、相关监督人员等与评审工作有关的人员，对评审情况以及在评审过程中获悉的国家秘密、商业秘密负有保密责任。</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24.2在评审过程中，供应商不得以任何行为影响磋商评审过程，否则其响应文件将被作为无效响应文件。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24.3在项目评审期间，代理机构将设专门人员与供应商联系。</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24.4 代理机构和磋商小组不向未成交的供应商解释未成交原因，也不公布评审过程中的相关细节。</w:t>
      </w:r>
      <w:r/>
    </w:p>
    <w:p>
      <w:pPr>
        <w:ind w:left="0" w:right="0" w:firstLine="420"/>
        <w:keepLines/>
        <w:keepNext/>
        <w:pageBreakBefore w:val="0"/>
        <w:spacing w:line="560" w:lineRule="exact"/>
        <w:widowControl w:val="off"/>
        <w:rPr>
          <w:rFonts w:ascii="Arial" w:hAnsi="Arial" w:eastAsia="黑体" w:cs="Arial"/>
          <w:color w:val="auto"/>
          <w:sz w:val="28"/>
          <w:szCs w:val="28"/>
          <w:highlight w:val="none"/>
        </w:rPr>
        <w:outlineLvl w:val="3"/>
      </w:pPr>
      <w:r/>
      <w:bookmarkStart w:id="158" w:name="_Toc20823304"/>
      <w:r/>
      <w:bookmarkStart w:id="159" w:name="_Toc513029232"/>
      <w:r/>
      <w:bookmarkStart w:id="160"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58"/>
      <w:r/>
      <w:bookmarkEnd w:id="159"/>
      <w:r/>
      <w:bookmarkEnd w:id="160"/>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磋商小组并非对每个供应商都作澄清要求。</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25.3 接到磋商小组澄清、说明和更正要求的供应商如未按规定做出澄清、说明和 更正，其风险由供应商自行承担。</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61" w:name="_Toc16938549"/>
      <w:r/>
      <w:bookmarkStart w:id="162" w:name="_Toc513029233"/>
      <w:r/>
      <w:bookmarkStart w:id="163" w:name="_Toc20823305"/>
      <w:r>
        <w:rPr>
          <w:rFonts w:hint="eastAsia" w:ascii="Arial" w:hAnsi="Arial" w:eastAsia="黑体" w:cs="Arial"/>
          <w:color w:val="auto"/>
          <w:sz w:val="28"/>
          <w:szCs w:val="28"/>
          <w:highlight w:val="none"/>
        </w:rPr>
        <w:t xml:space="preserve">26、对响应文件的审</w:t>
      </w:r>
      <w:bookmarkEnd w:id="161"/>
      <w:r/>
      <w:bookmarkEnd w:id="162"/>
      <w:r/>
      <w:bookmarkEnd w:id="163"/>
      <w:r>
        <w:rPr>
          <w:rFonts w:hint="eastAsia" w:ascii="Arial" w:hAnsi="Arial" w:eastAsia="黑体" w:cs="Arial"/>
          <w:color w:val="auto"/>
          <w:sz w:val="28"/>
          <w:szCs w:val="28"/>
          <w:highlight w:val="none"/>
        </w:rPr>
        <w:t xml:space="preserve">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26.1响应文件审查分为资格审查和符合性审查。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26.3未实质性响应磋商文件的情形</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26.3.1供应商在苏采云系统规定的时间内未成功解密电子响应文件的。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26.3.2供应商未按照磋商文件要求上传电子响应文件的。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26.3.3同一供应商提交两个（含两个）以上不同的响应文件或者最后报价的。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26.3.4供应商不具备磋商文件中规定资格要求的。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26.3.5供应商的最后报价超过了采购</w:t>
      </w:r>
      <w:r>
        <w:rPr>
          <w:rFonts w:hint="eastAsia" w:ascii="宋体" w:hAnsi="宋体"/>
          <w:color w:val="auto"/>
          <w:sz w:val="24"/>
          <w:szCs w:val="21"/>
          <w:highlight w:val="none"/>
          <w:lang w:val="en-US" w:eastAsia="zh-CN"/>
        </w:rPr>
        <w:t xml:space="preserve">最高限价</w:t>
      </w:r>
      <w:r>
        <w:rPr>
          <w:rFonts w:hint="eastAsia" w:ascii="宋体" w:hAnsi="宋体"/>
          <w:color w:val="auto"/>
          <w:sz w:val="24"/>
          <w:szCs w:val="21"/>
          <w:highlight w:val="none"/>
        </w:rPr>
        <w:t xml:space="preserve">。</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26.3.6不符合磋商文件中规定的实质性要求和条件的（本磋商文件中斜体且有下划线部分为实质性要求和条件）。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26.3.8  响应文件含有采购人不能接受的附加条件的。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26.3.10响应文件未按照磋商文件要求加盖CA电子公章的。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26.4未实质性响应磋商文件的响应文件按无效响应处理。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26.5如果响应文件实质上没有响应磋商文件的要求，磋商小组将予以拒绝，供应商不得通过修改或撤销不合要求的偏离或保留而使其成为实质性响应的文件。</w:t>
      </w:r>
      <w:r/>
    </w:p>
    <w:p>
      <w:pPr>
        <w:ind w:left="0" w:right="0" w:firstLine="420"/>
        <w:pageBreakBefore w:val="0"/>
        <w:spacing w:line="560" w:lineRule="exact"/>
        <w:widowControl w:val="off"/>
        <w:rPr>
          <w:rFonts w:hint="eastAsia" w:ascii="宋体" w:hAnsi="宋体"/>
          <w:color w:val="auto"/>
          <w:sz w:val="24"/>
          <w:szCs w:val="21"/>
          <w:highlight w:val="none"/>
        </w:rPr>
      </w:pPr>
      <w:r/>
      <w:bookmarkStart w:id="164" w:name="_Toc513029234"/>
      <w:r/>
      <w:bookmarkStart w:id="165" w:name="_Toc20823306"/>
      <w:r/>
      <w:bookmarkStart w:id="166" w:name="_Toc16938550"/>
      <w:r>
        <w:rPr>
          <w:rFonts w:hint="eastAsia" w:ascii="宋体" w:hAnsi="宋体"/>
          <w:color w:val="auto"/>
          <w:sz w:val="24"/>
          <w:szCs w:val="21"/>
          <w:highlight w:val="none"/>
        </w:rPr>
        <w:t xml:space="preserve">26.6供应商在项目评审全过程中应保持通讯畅通，并安排专人与代理机构及磋商小组联系。</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27、</w:t>
      </w:r>
      <w:bookmarkEnd w:id="164"/>
      <w:r/>
      <w:bookmarkEnd w:id="165"/>
      <w:r/>
      <w:bookmarkEnd w:id="166"/>
      <w:r>
        <w:rPr>
          <w:rFonts w:hint="eastAsia" w:ascii="Arial" w:hAnsi="Arial" w:eastAsia="黑体" w:cs="Arial"/>
          <w:color w:val="auto"/>
          <w:sz w:val="28"/>
          <w:szCs w:val="28"/>
          <w:highlight w:val="none"/>
        </w:rPr>
        <w:t xml:space="preserve">磋商程序及评审方法和评审标准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27.1磋商程序</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27.2 评审方法和评审标准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27.2.2评审标准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见本磋商文件第五章规定。</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27.3采购活动终止的情况</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出现下列情形之一的，本次竞争性磋商采购活动将被终止：</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27.3.1因情况变化，不再符合规定的竞争性磋商采购方式适用情形的。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27.3.2出现影响采购公正的违法、违规行为的。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27.3.3除本磋商文件第二章第27.1.2条第三款规定的情形外，在采购过程中符合要求的供应商或者最后报价未超过采购</w:t>
      </w:r>
      <w:r>
        <w:rPr>
          <w:rFonts w:hint="eastAsia" w:ascii="宋体" w:hAnsi="宋体"/>
          <w:color w:val="auto"/>
          <w:sz w:val="24"/>
          <w:szCs w:val="21"/>
          <w:highlight w:val="none"/>
          <w:lang w:val="en-US" w:eastAsia="zh-CN"/>
        </w:rPr>
        <w:t xml:space="preserve">最高限价</w:t>
      </w:r>
      <w:r>
        <w:rPr>
          <w:rFonts w:hint="eastAsia" w:ascii="宋体" w:hAnsi="宋体"/>
          <w:color w:val="auto"/>
          <w:sz w:val="24"/>
          <w:szCs w:val="21"/>
          <w:highlight w:val="none"/>
        </w:rPr>
        <w:t xml:space="preserve">的供应商不足3家的。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27.3.4在苏采云系统规定时间内成功解密电子响应文件的供应商不足3家的。</w:t>
      </w:r>
      <w:r/>
    </w:p>
    <w:p>
      <w:pPr>
        <w:ind w:left="0" w:right="0"/>
        <w:keepLines/>
        <w:keepNext/>
        <w:pageBreakBefore w:val="0"/>
        <w:spacing w:line="560" w:lineRule="exact"/>
        <w:widowControl w:val="off"/>
        <w:rPr>
          <w:b/>
          <w:bCs/>
          <w:color w:val="auto"/>
          <w:sz w:val="32"/>
          <w:szCs w:val="32"/>
          <w:highlight w:val="none"/>
        </w:rPr>
        <w:outlineLvl w:val="2"/>
      </w:pPr>
      <w:r/>
      <w:bookmarkStart w:id="167" w:name="_Toc513029235"/>
      <w:r/>
      <w:bookmarkStart w:id="168" w:name="_Toc120614219"/>
      <w:r/>
      <w:bookmarkStart w:id="169" w:name="_Toc16938551"/>
      <w:r/>
      <w:bookmarkStart w:id="170" w:name="_Toc20823307"/>
      <w:r/>
      <w:bookmarkStart w:id="171" w:name="_Toc7399"/>
      <w:r>
        <w:rPr>
          <w:rFonts w:hint="eastAsia"/>
          <w:b/>
          <w:bCs/>
          <w:color w:val="auto"/>
          <w:sz w:val="32"/>
          <w:szCs w:val="32"/>
          <w:highlight w:val="none"/>
        </w:rPr>
        <w:t xml:space="preserve">六、</w:t>
      </w:r>
      <w:bookmarkEnd w:id="167"/>
      <w:r/>
      <w:bookmarkEnd w:id="168"/>
      <w:r/>
      <w:bookmarkEnd w:id="169"/>
      <w:r/>
      <w:bookmarkEnd w:id="170"/>
      <w:r>
        <w:rPr>
          <w:rFonts w:hint="eastAsia"/>
          <w:b/>
          <w:bCs/>
          <w:color w:val="auto"/>
          <w:sz w:val="32"/>
          <w:szCs w:val="32"/>
          <w:highlight w:val="none"/>
        </w:rPr>
        <w:t xml:space="preserve">成交</w:t>
      </w:r>
      <w:bookmarkEnd w:id="171"/>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72" w:name="_Toc513029238"/>
      <w:r/>
      <w:bookmarkStart w:id="173" w:name="_Toc20823310"/>
      <w:r/>
      <w:bookmarkStart w:id="174" w:name="_Toc16938554"/>
      <w:r>
        <w:rPr>
          <w:rFonts w:hint="eastAsia" w:ascii="Arial" w:hAnsi="Arial" w:eastAsia="黑体" w:cs="Arial"/>
          <w:color w:val="auto"/>
          <w:sz w:val="28"/>
          <w:szCs w:val="28"/>
          <w:highlight w:val="none"/>
        </w:rPr>
        <w:t xml:space="preserve">28、</w:t>
      </w:r>
      <w:bookmarkEnd w:id="172"/>
      <w:r>
        <w:rPr>
          <w:rFonts w:hint="eastAsia" w:ascii="Arial" w:hAnsi="Arial" w:eastAsia="黑体" w:cs="Arial"/>
          <w:color w:val="auto"/>
          <w:sz w:val="28"/>
          <w:szCs w:val="28"/>
          <w:highlight w:val="none"/>
        </w:rPr>
        <w:t xml:space="preserve">确定</w:t>
      </w:r>
      <w:bookmarkEnd w:id="173"/>
      <w:r/>
      <w:bookmarkEnd w:id="174"/>
      <w:r>
        <w:rPr>
          <w:rFonts w:hint="eastAsia" w:ascii="Arial" w:hAnsi="Arial" w:eastAsia="黑体" w:cs="Arial"/>
          <w:color w:val="auto"/>
          <w:sz w:val="28"/>
          <w:szCs w:val="28"/>
          <w:highlight w:val="none"/>
        </w:rPr>
        <w:t xml:space="preserve">成交单位</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28.2采购人从评审报告提出的成交候选供应商中，按照排序由高到低的原则确定成交供应商。采购人确定成交供应商后，将在“江苏政府采购网”发布成交结果公告，公告期限为1个工作日。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28.3若有充分证据证明，成交供应商出现下列情况之一的，一经查实，将被取消成交资格：</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28.3.1提供虚假材料谋取成交的。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28.3.2与评审专家、采购人、其他供应商或者</w:t>
      </w:r>
      <w:r>
        <w:rPr>
          <w:rFonts w:hint="eastAsia" w:ascii="宋体" w:hAnsi="宋体"/>
          <w:color w:val="auto"/>
          <w:sz w:val="24"/>
          <w:szCs w:val="21"/>
          <w:highlight w:val="none"/>
          <w:lang w:eastAsia="zh-CN"/>
        </w:rPr>
        <w:t xml:space="preserve">招标代理</w:t>
      </w:r>
      <w:r>
        <w:rPr>
          <w:rFonts w:hint="eastAsia" w:ascii="宋体" w:hAnsi="宋体"/>
          <w:color w:val="auto"/>
          <w:sz w:val="24"/>
          <w:szCs w:val="21"/>
          <w:highlight w:val="none"/>
        </w:rPr>
        <w:t xml:space="preserve">工作人员恶意串通的。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28.3.3向评审专家、采购人或</w:t>
      </w:r>
      <w:r>
        <w:rPr>
          <w:rFonts w:hint="eastAsia" w:ascii="宋体" w:hAnsi="宋体"/>
          <w:color w:val="auto"/>
          <w:sz w:val="24"/>
          <w:szCs w:val="21"/>
          <w:highlight w:val="none"/>
          <w:lang w:eastAsia="zh-CN"/>
        </w:rPr>
        <w:t xml:space="preserve">招标代理</w:t>
      </w:r>
      <w:r>
        <w:rPr>
          <w:rFonts w:hint="eastAsia" w:ascii="宋体" w:hAnsi="宋体"/>
          <w:color w:val="auto"/>
          <w:sz w:val="24"/>
          <w:szCs w:val="21"/>
          <w:highlight w:val="none"/>
        </w:rPr>
        <w:t xml:space="preserve">工作人员行贿或者提供其他不正当利益的。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28.3.4恶意竞争，最后报价明显低于其自身合理成本且又无法提供证明的。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28.3.5不满足本磋商文件规定的实质性要求，但在评审过程中又未被磋商小组发现的。</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28.3.6成交后无正当理由拒不与采购人签订政府采购合同或者未按照磋商文件确定的事项签订政府采购合同的。</w:t>
      </w:r>
      <w:r/>
    </w:p>
    <w:p>
      <w:pPr>
        <w:ind w:left="0" w:right="0" w:firstLine="420"/>
        <w:pageBreakBefore w:val="0"/>
        <w:spacing w:line="5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28.3.7将政府采购合同转包的。</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75" w:name="_Toc200451960"/>
      <w:r>
        <w:rPr>
          <w:rFonts w:hint="eastAsia" w:ascii="Arial" w:hAnsi="Arial" w:eastAsia="黑体" w:cs="Arial"/>
          <w:color w:val="auto"/>
          <w:sz w:val="28"/>
          <w:szCs w:val="28"/>
          <w:highlight w:val="none"/>
        </w:rPr>
        <w:t xml:space="preserve">29、质疑处理</w:t>
      </w:r>
      <w:bookmarkEnd w:id="175"/>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29.1 提出质疑的供应商应当是参与所质疑项目采购活动的供应商。潜在供应商依法获取其可质疑的采购文件的，可以对采购文件提出质疑。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1"/>
          <w:highlight w:val="none"/>
          <w:lang w:eastAsia="zh-CN"/>
        </w:rPr>
        <w:t xml:space="preserve">招标代理</w:t>
      </w:r>
      <w:r>
        <w:rPr>
          <w:rFonts w:hint="eastAsia" w:ascii="宋体" w:hAnsi="宋体"/>
          <w:color w:val="auto"/>
          <w:sz w:val="24"/>
          <w:szCs w:val="21"/>
          <w:highlight w:val="none"/>
        </w:rPr>
        <w:t xml:space="preserve">或采购人提出质疑。上述应知其权益受到损害之日，是指：</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29.2.1对可以质疑的采购文件提出质疑的，为收到采购文件之日或者采购文件公告期限届满之日。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29.2.2对采购过程提出质疑的，为各采购程序环节结束之日。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29.2.3对成交结果提出质疑的，为成交结果公告期限届满之日。</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29.3质疑函必须按照本磋商文件中《质疑函范本》要求的格式和内容进行填写。</w:t>
      </w:r>
      <w:r>
        <w:rPr>
          <w:rFonts w:hint="eastAsia" w:ascii="宋体" w:hAnsi="宋体"/>
          <w:color w:val="auto"/>
          <w:sz w:val="24"/>
          <w:szCs w:val="21"/>
          <w:highlight w:val="none"/>
          <w:lang w:val="en-US" w:eastAsia="zh-CN"/>
        </w:rPr>
        <w:tab/>
      </w:r>
      <w:r>
        <w:rPr>
          <w:rFonts w:hint="eastAsia" w:ascii="宋体" w:hAnsi="宋体"/>
          <w:color w:val="auto"/>
          <w:sz w:val="24"/>
          <w:szCs w:val="21"/>
          <w:highlight w:val="none"/>
        </w:rPr>
        <w:t xml:space="preserve">29.4 供应商（含潜在供应商）对与本项目有关的所有询问、质疑均请向采购人提出，由采购人负责答复。</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采购人及代理机构只接收以纸质原件形式送达的质疑,建议供应商尽量通过邮寄方式提交质疑（采购人和代理机构不接受未填写快递运单的快件）。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采购人质疑接收人及联系方式见本磋商文件第一章。</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 以下情形的质疑不予受理</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29.5.1 内容不符合《政府采购质疑和投诉办法》第十二条规定的质疑。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29.5.2 超出政府采购法定期限的质疑。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29.5.3 以传真、电子邮件等方式递交的非原件形式的质疑。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29.5.4 未参加磋商活动的供应商或在磋商活动中自身权益未受到损害的供应商所提出的质疑。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30、成交通知书</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keepLines/>
        <w:keepNext/>
        <w:pageBreakBefore w:val="0"/>
        <w:spacing w:line="560" w:lineRule="exact"/>
        <w:widowControl w:val="off"/>
        <w:rPr>
          <w:b/>
          <w:bCs/>
          <w:color w:val="auto"/>
          <w:sz w:val="32"/>
          <w:szCs w:val="32"/>
          <w:highlight w:val="none"/>
        </w:rPr>
        <w:outlineLvl w:val="2"/>
      </w:pPr>
      <w:r/>
      <w:bookmarkStart w:id="176" w:name="_Toc26358"/>
      <w:r/>
      <w:bookmarkStart w:id="177" w:name="_Toc120614220"/>
      <w:r/>
      <w:bookmarkStart w:id="178" w:name="_Toc20823308"/>
      <w:r/>
      <w:bookmarkStart w:id="179" w:name="_Toc16938552"/>
      <w:r/>
      <w:bookmarkStart w:id="180" w:name="_Toc513029236"/>
      <w:r>
        <w:rPr>
          <w:rFonts w:hint="eastAsia"/>
          <w:b/>
          <w:bCs/>
          <w:color w:val="auto"/>
          <w:sz w:val="32"/>
          <w:szCs w:val="32"/>
          <w:highlight w:val="none"/>
        </w:rPr>
        <w:t xml:space="preserve">七、授予合同</w:t>
      </w:r>
      <w:bookmarkEnd w:id="176"/>
      <w:r/>
      <w:bookmarkEnd w:id="177"/>
      <w:r/>
      <w:bookmarkEnd w:id="178"/>
      <w:bookmarkEnd w:id="179"/>
      <w:bookmarkEnd w:id="180"/>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81" w:name="_Toc16938553"/>
      <w:r/>
      <w:bookmarkStart w:id="182" w:name="_Toc513029237"/>
      <w:r/>
      <w:bookmarkStart w:id="183" w:name="_Toc20823309"/>
      <w:r>
        <w:rPr>
          <w:rFonts w:hint="eastAsia" w:ascii="Arial" w:hAnsi="Arial" w:eastAsia="黑体" w:cs="Arial"/>
          <w:color w:val="auto"/>
          <w:sz w:val="28"/>
          <w:szCs w:val="28"/>
          <w:highlight w:val="none"/>
        </w:rPr>
        <w:t xml:space="preserve">31. 签订合同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31.l成交供应商应当在成交通知书发出之日起三十日内，按照磋商文件确定的事项与采购人签订政府采购合同。</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31.2磋商文件、成交供应商的响应文件及磋商过程中有关澄清、承诺文件均应作为合同附件。</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w:t>
      </w:r>
      <w:r>
        <w:rPr>
          <w:rFonts w:hint="eastAsia" w:ascii="宋体" w:hAnsi="宋体"/>
          <w:color w:val="auto"/>
          <w:sz w:val="24"/>
          <w:szCs w:val="21"/>
          <w:highlight w:val="none"/>
          <w:lang w:val="en-US" w:eastAsia="zh-CN"/>
        </w:rPr>
        <w:t xml:space="preserve">4</w:t>
      </w:r>
      <w:r>
        <w:rPr>
          <w:rFonts w:hint="eastAsia" w:ascii="宋体" w:hAnsi="宋体"/>
          <w:color w:val="auto"/>
          <w:sz w:val="24"/>
          <w:szCs w:val="21"/>
          <w:highlight w:val="none"/>
        </w:rPr>
        <w:t xml:space="preserve"> 采购人自采购合同签订之日起2个工作日内（以合同的签订日期计算），将政府采购合同在指定的媒体上公告。</w:t>
      </w:r>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32、履约保证金</w:t>
      </w:r>
      <w:r/>
    </w:p>
    <w:p>
      <w:pPr>
        <w:ind w:left="0" w:right="0" w:firstLine="420"/>
        <w:pageBreakBefore w:val="0"/>
        <w:spacing w:line="5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32.1 </w:t>
      </w:r>
      <w:r>
        <w:rPr>
          <w:rFonts w:hint="eastAsia" w:ascii="宋体" w:hAnsi="宋体"/>
          <w:color w:val="auto"/>
          <w:sz w:val="24"/>
          <w:szCs w:val="21"/>
          <w:highlight w:val="none"/>
          <w:lang w:val="en-US" w:eastAsia="zh-CN"/>
        </w:rPr>
        <w:t xml:space="preserve">本项目不收取履约保证金。</w:t>
      </w:r>
      <w:bookmarkEnd w:id="181"/>
      <w:bookmarkEnd w:id="182"/>
      <w:bookmarkEnd w:id="183"/>
      <w:r/>
    </w:p>
    <w:p>
      <w:pPr>
        <w:ind w:left="0" w:right="0"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84" w:name="_Toc120614221"/>
      <w:r/>
      <w:bookmarkStart w:id="185" w:name="_Toc513029242"/>
      <w:r/>
      <w:bookmarkStart w:id="186" w:name="_Toc16938558"/>
      <w:r/>
      <w:bookmarkStart w:id="187" w:name="_Toc479757207"/>
      <w:r/>
      <w:bookmarkStart w:id="188" w:name="_Toc20823314"/>
      <w:r>
        <w:rPr>
          <w:rFonts w:hint="eastAsia" w:ascii="Arial" w:hAnsi="Arial" w:eastAsia="黑体" w:cs="Arial"/>
          <w:color w:val="auto"/>
          <w:sz w:val="28"/>
          <w:szCs w:val="28"/>
          <w:highlight w:val="none"/>
        </w:rPr>
        <w:t xml:space="preserve">33、政府采购履约资金扶持政策</w:t>
      </w:r>
      <w:r/>
    </w:p>
    <w:p>
      <w:pPr>
        <w:ind w:firstLine="480"/>
        <w:jc w:val="left"/>
        <w:spacing w:line="360" w:lineRule="auto"/>
        <w:rPr>
          <w:color w:val="auto"/>
          <w:sz w:val="24"/>
          <w:highlight w:val="none"/>
        </w:rPr>
      </w:pPr>
      <w:r>
        <w:rPr>
          <w:rFonts w:hint="eastAsia"/>
          <w:color w:val="auto"/>
          <w:sz w:val="24"/>
          <w:highlight w:val="none"/>
        </w:rPr>
        <w:t xml:space="preserve">33.1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b/>
          <w:bCs/>
          <w:color w:val="auto"/>
          <w:sz w:val="24"/>
          <w:highlight w:val="none"/>
        </w:rPr>
      </w:pPr>
      <w:r>
        <w:rPr>
          <w:rFonts w:hint="eastAsia"/>
          <w:color w:val="auto"/>
          <w:sz w:val="24"/>
          <w:highlight w:val="none"/>
        </w:rPr>
        <w:t xml:space="preserve">33.2</w:t>
      </w:r>
      <w:r>
        <w:rPr>
          <w:rFonts w:hint="eastAsia"/>
          <w:b/>
          <w:bCs/>
          <w:color w:val="auto"/>
          <w:sz w:val="24"/>
          <w:highlight w:val="none"/>
        </w:rPr>
        <w:t xml:space="preserve"> 参加本项目政府采购活动的供应商应当提供的材料： </w:t>
      </w:r>
      <w:r/>
    </w:p>
    <w:p>
      <w:pPr>
        <w:ind w:firstLine="480"/>
        <w:jc w:val="left"/>
        <w:spacing w:line="360" w:lineRule="auto"/>
        <w:rPr>
          <w:b/>
          <w:bCs/>
          <w:color w:val="auto"/>
          <w:sz w:val="24"/>
          <w:highlight w:val="none"/>
        </w:rPr>
      </w:pPr>
      <w:r>
        <w:rPr>
          <w:rFonts w:hint="eastAsia"/>
          <w:b/>
          <w:bCs/>
          <w:color w:val="auto"/>
          <w:sz w:val="24"/>
          <w:highlight w:val="none"/>
        </w:rPr>
        <w:t xml:space="preserve">（1）</w:t>
      </w:r>
      <w:r>
        <w:rPr>
          <w:rFonts w:hint="eastAsia"/>
          <w:b/>
          <w:bCs/>
          <w:color w:val="auto"/>
          <w:sz w:val="24"/>
          <w:highlight w:val="none"/>
          <w:lang w:eastAsia="zh-CN"/>
        </w:rPr>
        <w:t xml:space="preserve">供应商</w:t>
      </w:r>
      <w:r>
        <w:rPr>
          <w:rFonts w:hint="eastAsia"/>
          <w:b/>
          <w:bCs/>
          <w:color w:val="auto"/>
          <w:sz w:val="24"/>
          <w:highlight w:val="none"/>
        </w:rPr>
        <w:t xml:space="preserve">为中型企业、小型企业、微型企业的，提供《中小企业声明函》（第六章 </w:t>
      </w:r>
      <w:r>
        <w:rPr>
          <w:rFonts w:hint="eastAsia"/>
          <w:b/>
          <w:bCs/>
          <w:color w:val="auto"/>
          <w:sz w:val="24"/>
          <w:highlight w:val="none"/>
          <w:lang w:eastAsia="zh-CN"/>
        </w:rPr>
        <w:t xml:space="preserve">响应文件格式</w:t>
      </w:r>
      <w:r>
        <w:rPr>
          <w:rFonts w:hint="eastAsia"/>
          <w:b/>
          <w:bCs/>
          <w:color w:val="auto"/>
          <w:sz w:val="24"/>
          <w:highlight w:val="none"/>
        </w:rPr>
        <w:t xml:space="preserve">）。</w:t>
      </w:r>
      <w:r/>
    </w:p>
    <w:p>
      <w:pPr>
        <w:ind w:firstLine="480"/>
        <w:jc w:val="left"/>
        <w:spacing w:line="360" w:lineRule="auto"/>
        <w:rPr>
          <w:color w:val="auto"/>
          <w:sz w:val="24"/>
          <w:highlight w:val="none"/>
        </w:rPr>
      </w:pPr>
      <w:r>
        <w:rPr>
          <w:rFonts w:hint="eastAsia"/>
          <w:color w:val="auto"/>
          <w:sz w:val="24"/>
          <w:highlight w:val="none"/>
        </w:rPr>
        <w:t xml:space="preserve">（2）符合《关于促进残疾人就业政府采购政策的通知》（财库〔2017〕141号）规定的条件并提供《残疾人福利性单位声明函》（第六章 </w:t>
      </w:r>
      <w:r>
        <w:rPr>
          <w:rFonts w:hint="eastAsia"/>
          <w:color w:val="auto"/>
          <w:sz w:val="24"/>
          <w:highlight w:val="none"/>
          <w:lang w:eastAsia="zh-CN"/>
        </w:rPr>
        <w:t xml:space="preserve">响应文件格式</w:t>
      </w:r>
      <w:r>
        <w:rPr>
          <w:rFonts w:hint="eastAsia"/>
          <w:color w:val="auto"/>
          <w:sz w:val="24"/>
          <w:highlight w:val="none"/>
        </w:rPr>
        <w:t xml:space="preserve">）的残疾人福利性单位视同小型、微型企业。</w:t>
      </w:r>
      <w:r/>
    </w:p>
    <w:p>
      <w:pPr>
        <w:ind w:firstLine="480"/>
        <w:jc w:val="left"/>
        <w:spacing w:line="360" w:lineRule="auto"/>
        <w:rPr>
          <w:color w:val="auto"/>
          <w:sz w:val="24"/>
          <w:highlight w:val="none"/>
        </w:rPr>
      </w:pPr>
      <w:r>
        <w:rPr>
          <w:rFonts w:hint="eastAsia"/>
          <w:color w:val="auto"/>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color w:val="auto"/>
          <w:sz w:val="24"/>
          <w:highlight w:val="none"/>
        </w:rPr>
      </w:pPr>
      <w:r>
        <w:rPr>
          <w:rFonts w:hint="eastAsia"/>
          <w:color w:val="auto"/>
          <w:sz w:val="24"/>
          <w:highlight w:val="none"/>
        </w:rPr>
        <w:t xml:space="preserve">33.3 享受扶持政策获得政府采购合同的，小微型企业不得将合同分包给大中型企业，中型企业不得将合同分包给大型企业。</w:t>
      </w:r>
      <w:r/>
    </w:p>
    <w:p>
      <w:pPr>
        <w:ind w:firstLine="480"/>
        <w:jc w:val="left"/>
        <w:spacing w:line="360" w:lineRule="auto"/>
        <w:rPr>
          <w:color w:val="auto"/>
          <w:sz w:val="24"/>
          <w:highlight w:val="none"/>
        </w:rPr>
      </w:pPr>
      <w:r>
        <w:rPr>
          <w:rFonts w:hint="eastAsia"/>
          <w:color w:val="auto"/>
          <w:sz w:val="24"/>
          <w:highlight w:val="none"/>
        </w:rPr>
        <w:t xml:space="preserve">33.4 </w:t>
      </w:r>
      <w:r>
        <w:rPr>
          <w:rFonts w:hint="eastAsia"/>
          <w:color w:val="auto"/>
          <w:sz w:val="24"/>
          <w:highlight w:val="none"/>
          <w:lang w:val="en-US" w:eastAsia="zh-CN"/>
        </w:rPr>
        <w:t xml:space="preserve">(本项目不适用)</w:t>
      </w:r>
      <w:r>
        <w:rPr>
          <w:rFonts w:hint="eastAsia"/>
          <w:color w:val="auto"/>
          <w:sz w:val="24"/>
          <w:highlight w:val="none"/>
        </w:rPr>
        <w:t xml:space="preserve">《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color w:val="auto"/>
          <w:sz w:val="24"/>
          <w:highlight w:val="none"/>
          <w:lang w:eastAsia="zh-CN"/>
        </w:rPr>
        <w:t xml:space="preserve">供应商</w:t>
      </w:r>
      <w:r>
        <w:rPr>
          <w:rFonts w:hint="eastAsia"/>
          <w:color w:val="auto"/>
          <w:sz w:val="24"/>
          <w:highlight w:val="none"/>
        </w:rPr>
        <w:t xml:space="preserve">须按招标文件要求提供相关产品认证证书。</w:t>
      </w:r>
      <w:r/>
    </w:p>
    <w:p>
      <w:pPr>
        <w:ind w:firstLine="480"/>
        <w:jc w:val="left"/>
        <w:spacing w:line="360" w:lineRule="auto"/>
        <w:rPr>
          <w:color w:val="auto"/>
          <w:sz w:val="24"/>
          <w:highlight w:val="none"/>
        </w:rPr>
      </w:pPr>
      <w:r>
        <w:rPr>
          <w:rFonts w:hint="eastAsia"/>
          <w:color w:val="auto"/>
          <w:sz w:val="24"/>
          <w:highlight w:val="none"/>
        </w:rPr>
        <w:t xml:space="preserve">33.5 </w:t>
      </w:r>
      <w:r>
        <w:rPr>
          <w:rFonts w:hint="eastAsia"/>
          <w:color w:val="auto"/>
          <w:sz w:val="24"/>
          <w:highlight w:val="none"/>
          <w:lang w:val="en-US" w:eastAsia="zh-CN"/>
        </w:rPr>
        <w:t xml:space="preserve">(本项目不适用)</w:t>
      </w:r>
      <w:r>
        <w:rPr>
          <w:rFonts w:hint="eastAsia"/>
          <w:color w:val="auto"/>
          <w:sz w:val="24"/>
          <w:highlight w:val="none"/>
        </w:rPr>
        <w:t xml:space="preserve">为助力打好污染防治攻坚战，推广使用绿色包装，政府采购货物、工程和服务项目中涉及商品包装和快递包装的，</w:t>
      </w:r>
      <w:r>
        <w:rPr>
          <w:rFonts w:hint="eastAsia"/>
          <w:color w:val="auto"/>
          <w:sz w:val="24"/>
          <w:highlight w:val="none"/>
          <w:lang w:eastAsia="zh-CN"/>
        </w:rPr>
        <w:t xml:space="preserve">供应商</w:t>
      </w:r>
      <w:r>
        <w:rPr>
          <w:rFonts w:hint="eastAsia"/>
          <w:color w:val="auto"/>
          <w:sz w:val="24"/>
          <w:highlight w:val="none"/>
        </w:rPr>
        <w:t xml:space="preserve">提供产品及相关快递服务的具体包装要求要参考《商品包装政府采购需求标准（试行）》、《快递包装政府采购需求标准（试行）》。</w:t>
      </w:r>
      <w:r/>
    </w:p>
    <w:p>
      <w:pPr>
        <w:ind w:firstLine="480"/>
        <w:jc w:val="left"/>
        <w:spacing w:line="360" w:lineRule="auto"/>
        <w:rPr>
          <w:color w:val="auto"/>
          <w:sz w:val="24"/>
          <w:highlight w:val="none"/>
        </w:rPr>
      </w:pPr>
      <w:r>
        <w:rPr>
          <w:rFonts w:hint="eastAsia"/>
          <w:color w:val="auto"/>
          <w:sz w:val="24"/>
          <w:highlight w:val="none"/>
        </w:rPr>
        <w:t xml:space="preserve">33.6 </w:t>
      </w:r>
      <w:r>
        <w:rPr>
          <w:rFonts w:hint="eastAsia"/>
          <w:color w:val="auto"/>
          <w:sz w:val="24"/>
          <w:highlight w:val="none"/>
          <w:lang w:val="en-US" w:eastAsia="zh-CN"/>
        </w:rPr>
        <w:t xml:space="preserve">(本项目不适用)</w:t>
      </w:r>
      <w:r>
        <w:rPr>
          <w:rFonts w:hint="eastAsia"/>
          <w:color w:val="auto"/>
          <w:sz w:val="24"/>
          <w:highlight w:val="none"/>
        </w:rPr>
        <w:t xml:space="preserve">落实挥发性有机化合物（VOCs）治理要求，政府采购项目中涉及涂料、胶黏剂、油墨、清洗剂等挥发性有机物产品的，属于强制性标准的，</w:t>
      </w:r>
      <w:r>
        <w:rPr>
          <w:rFonts w:hint="eastAsia"/>
          <w:color w:val="auto"/>
          <w:sz w:val="24"/>
          <w:highlight w:val="none"/>
          <w:lang w:eastAsia="zh-CN"/>
        </w:rPr>
        <w:t xml:space="preserve">供应商</w:t>
      </w:r>
      <w:r>
        <w:rPr>
          <w:rFonts w:hint="eastAsia"/>
          <w:color w:val="auto"/>
          <w:sz w:val="24"/>
          <w:highlight w:val="none"/>
        </w:rPr>
        <w:t xml:space="preserve">须执行国家和我省 VOCs含量限制标准；</w:t>
      </w:r>
      <w:r>
        <w:rPr>
          <w:rFonts w:hint="eastAsia"/>
          <w:color w:val="auto"/>
          <w:sz w:val="24"/>
          <w:highlight w:val="none"/>
          <w:lang w:eastAsia="zh-CN"/>
        </w:rPr>
        <w:t xml:space="preserve">供应商</w:t>
      </w:r>
      <w:r>
        <w:rPr>
          <w:rFonts w:hint="eastAsia"/>
          <w:color w:val="auto"/>
          <w:sz w:val="24"/>
          <w:highlight w:val="none"/>
        </w:rPr>
        <w:t xml:space="preserve">优先使用低挥发性原辅材料，将使用低 VOCs 含量的涂料、胶黏剂等纳入政府采购合同条款。</w:t>
      </w:r>
      <w:r/>
    </w:p>
    <w:p>
      <w:pPr>
        <w:ind w:firstLine="480"/>
        <w:jc w:val="left"/>
        <w:spacing w:line="360" w:lineRule="auto"/>
        <w:rPr>
          <w:rFonts w:hint="eastAsia" w:ascii="Times New Roman" w:hAnsi="Times New Roman" w:eastAsia="宋体" w:cs="Times New Roman"/>
          <w:color w:val="auto"/>
          <w:sz w:val="24"/>
          <w:highlight w:val="none"/>
        </w:rPr>
      </w:pPr>
      <w:r>
        <w:rPr>
          <w:rFonts w:hint="eastAsia"/>
          <w:color w:val="auto"/>
          <w:sz w:val="24"/>
          <w:highlight w:val="none"/>
        </w:rPr>
        <w:t xml:space="preserve">33.7 </w:t>
      </w:r>
      <w:r>
        <w:rPr>
          <w:rFonts w:hint="eastAsia"/>
          <w:color w:val="auto"/>
          <w:sz w:val="24"/>
          <w:highlight w:val="none"/>
          <w:lang w:val="en-US" w:eastAsia="zh-CN"/>
        </w:rPr>
        <w:t xml:space="preserve">(本项目不适用)</w:t>
      </w:r>
      <w:r>
        <w:rPr>
          <w:rFonts w:hint="eastAsia"/>
          <w:color w:val="auto"/>
          <w:sz w:val="24"/>
          <w:highlight w:val="none"/>
        </w:rPr>
        <w:t xml:space="preserve">《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w:t>
      </w:r>
      <w:r>
        <w:rPr>
          <w:rFonts w:hint="eastAsia" w:ascii="Times New Roman" w:hAnsi="Times New Roman" w:eastAsia="宋体" w:cs="Times New Roman"/>
          <w:color w:val="auto"/>
          <w:sz w:val="24"/>
          <w:highlight w:val="none"/>
        </w:rPr>
        <w:t xml:space="preserve">用服务器、操作系统、数据库的，执行相关政府采购需求标准。</w:t>
      </w:r>
      <w:r/>
    </w:p>
    <w:p>
      <w:pPr>
        <w:ind w:firstLine="480"/>
        <w:jc w:val="left"/>
        <w:spacing w:line="360" w:lineRule="auto"/>
        <w:rPr>
          <w:rFonts w:hint="eastAsia" w:eastAsia="宋体"/>
          <w:color w:val="auto"/>
          <w:sz w:val="24"/>
          <w:highlight w:val="none"/>
          <w:lang w:val="en-US" w:eastAsia="zh-CN"/>
        </w:rPr>
      </w:pPr>
      <w:r>
        <w:rPr>
          <w:rFonts w:hint="eastAsia" w:eastAsia="宋体"/>
          <w:color w:val="auto"/>
          <w:sz w:val="24"/>
          <w:highlight w:val="none"/>
          <w:lang w:val="en-US" w:eastAsia="zh-CN"/>
        </w:rPr>
        <w:t xml:space="preserve">33.8 (本项目不适用)</w:t>
      </w:r>
      <w:r>
        <w:rPr>
          <w:rFonts w:hint="eastAsia" w:eastAsia="宋体"/>
          <w:color w:val="auto"/>
          <w:sz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pStyle w:val="1050"/>
        <w:ind w:firstLine="480"/>
        <w:spacing w:before="0" w:after="0" w:line="560" w:lineRule="exact"/>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33.9根据《关于推动解决政府采购异常低价问题的通知》（连财购〔2026〕7号）和《江苏省财政厅转发财政部关于推动解决政府采购异常低价问题的通知》（苏财购〔2026〕36号），在评审过程中出现下列情形之一的，评审委员会</w:t>
      </w:r>
      <w:r>
        <w:rPr>
          <w:rFonts w:hint="eastAsia" w:ascii="Times New Roman" w:hAnsi="Times New Roman"/>
          <w:color w:val="auto"/>
          <w:szCs w:val="22"/>
          <w:highlight w:val="none"/>
          <w:lang w:val="zh-CN"/>
        </w:rPr>
        <w:t xml:space="preserve">（</w:t>
      </w:r>
      <w:r>
        <w:rPr>
          <w:rFonts w:hint="eastAsia" w:ascii="宋体" w:hAnsi="宋体"/>
          <w:color w:val="auto"/>
          <w:szCs w:val="21"/>
          <w:highlight w:val="none"/>
        </w:rPr>
        <w:t xml:space="preserve">磋商小组）</w:t>
      </w:r>
      <w:r>
        <w:rPr>
          <w:rFonts w:hint="eastAsia" w:ascii="Times New Roman" w:hAnsi="Times New Roman" w:eastAsia="宋体" w:cs="Times New Roman"/>
          <w:color w:val="auto"/>
          <w:sz w:val="24"/>
          <w:szCs w:val="22"/>
          <w:highlight w:val="none"/>
          <w:lang w:val="en-US" w:eastAsia="zh-CN" w:bidi="ar-SA"/>
        </w:rPr>
        <w:t xml:space="preserve">应当启动异常低价投标（响应）审查程序：</w:t>
      </w:r>
      <w:r/>
    </w:p>
    <w:p>
      <w:pPr>
        <w:pStyle w:val="1050"/>
        <w:ind w:firstLine="480"/>
        <w:spacing w:before="0" w:after="0" w:line="560" w:lineRule="exact"/>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zh-CN" w:eastAsia="zh-CN" w:bidi="ar-SA"/>
        </w:rPr>
        <w:t xml:space="preserve">1.投标（响应）报价低于</w:t>
      </w:r>
      <w:r>
        <w:rPr>
          <w:rFonts w:hint="eastAsia" w:ascii="Times New Roman" w:hAnsi="Times New Roman" w:eastAsia="宋体" w:cs="Times New Roman"/>
          <w:color w:val="auto"/>
          <w:sz w:val="24"/>
          <w:szCs w:val="22"/>
          <w:highlight w:val="none"/>
          <w:lang w:val="en-US" w:eastAsia="zh-CN" w:bidi="ar-SA"/>
        </w:rPr>
        <w:t xml:space="preserve">全部通过符合性审查供应商投标（响应）报价平均值</w:t>
      </w:r>
      <w:r>
        <w:rPr>
          <w:rFonts w:hint="eastAsia" w:ascii="Times New Roman" w:hAnsi="Times New Roman" w:cs="Times New Roman"/>
          <w:b/>
          <w:bCs/>
          <w:color w:val="auto"/>
          <w:sz w:val="24"/>
          <w:szCs w:val="22"/>
          <w:highlight w:val="none"/>
          <w:lang w:val="en-US" w:eastAsia="zh-CN" w:bidi="ar-SA"/>
        </w:rPr>
        <w:t xml:space="preserve">65</w:t>
      </w:r>
      <w:r>
        <w:rPr>
          <w:rFonts w:hint="eastAsia" w:ascii="Times New Roman" w:hAnsi="Times New Roman" w:eastAsia="宋体" w:cs="Times New Roman"/>
          <w:b/>
          <w:bCs/>
          <w:color w:val="auto"/>
          <w:sz w:val="24"/>
          <w:szCs w:val="22"/>
          <w:highlight w:val="none"/>
          <w:lang w:val="en-US" w:eastAsia="zh-CN" w:bidi="ar-SA"/>
        </w:rPr>
        <w:t xml:space="preserve">%</w:t>
      </w:r>
      <w:r>
        <w:rPr>
          <w:rFonts w:hint="eastAsia" w:ascii="Times New Roman" w:hAnsi="Times New Roman" w:eastAsia="宋体" w:cs="Times New Roman"/>
          <w:color w:val="auto"/>
          <w:sz w:val="24"/>
          <w:szCs w:val="22"/>
          <w:highlight w:val="none"/>
          <w:lang w:val="en-US" w:eastAsia="zh-CN" w:bidi="ar-SA"/>
        </w:rPr>
        <w:t xml:space="preserve">的，即投标（响应）报价&lt;全部通过符合性审查供应商投标（响应）报价平均值</w:t>
      </w:r>
      <w:r>
        <w:rPr>
          <w:rFonts w:hint="eastAsia" w:ascii="Times New Roman" w:hAnsi="Times New Roman" w:eastAsia="宋体" w:cs="Times New Roman"/>
          <w:b/>
          <w:bCs/>
          <w:color w:val="auto"/>
          <w:sz w:val="24"/>
          <w:szCs w:val="22"/>
          <w:highlight w:val="none"/>
          <w:lang w:val="en-US" w:eastAsia="zh-CN" w:bidi="ar-SA"/>
        </w:rPr>
        <w:t xml:space="preserve">×</w:t>
      </w:r>
      <w:r>
        <w:rPr>
          <w:rFonts w:hint="eastAsia" w:ascii="Times New Roman" w:hAnsi="Times New Roman" w:cs="Times New Roman"/>
          <w:b/>
          <w:bCs/>
          <w:color w:val="auto"/>
          <w:sz w:val="24"/>
          <w:szCs w:val="22"/>
          <w:highlight w:val="none"/>
          <w:lang w:val="en-US" w:eastAsia="zh-CN" w:bidi="ar-SA"/>
        </w:rPr>
        <w:t xml:space="preserve">65</w:t>
      </w:r>
      <w:r>
        <w:rPr>
          <w:rFonts w:hint="eastAsia" w:ascii="Times New Roman" w:hAnsi="Times New Roman" w:eastAsia="宋体" w:cs="Times New Roman"/>
          <w:b/>
          <w:bCs/>
          <w:color w:val="auto"/>
          <w:sz w:val="24"/>
          <w:szCs w:val="22"/>
          <w:highlight w:val="none"/>
          <w:lang w:val="en-US" w:eastAsia="zh-CN" w:bidi="ar-SA"/>
        </w:rPr>
        <w:t xml:space="preserve">%</w:t>
      </w:r>
      <w:r>
        <w:rPr>
          <w:rFonts w:hint="eastAsia" w:ascii="Times New Roman" w:hAnsi="Times New Roman" w:eastAsia="宋体" w:cs="Times New Roman"/>
          <w:color w:val="auto"/>
          <w:sz w:val="24"/>
          <w:szCs w:val="22"/>
          <w:highlight w:val="none"/>
          <w:lang w:val="zh-CN" w:eastAsia="zh-CN" w:bidi="ar-SA"/>
        </w:rPr>
        <w:t xml:space="preserve">；</w:t>
      </w:r>
      <w:r/>
    </w:p>
    <w:p>
      <w:pPr>
        <w:pStyle w:val="1050"/>
        <w:ind w:firstLine="480"/>
        <w:spacing w:before="0" w:after="0" w:line="560" w:lineRule="exact"/>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zh-CN" w:eastAsia="zh-CN" w:bidi="ar-SA"/>
        </w:rPr>
        <w:t xml:space="preserve">2.投标（响应）报价低于</w:t>
      </w:r>
      <w:r>
        <w:rPr>
          <w:rFonts w:hint="eastAsia" w:ascii="Times New Roman" w:hAnsi="Times New Roman" w:eastAsia="宋体" w:cs="Times New Roman"/>
          <w:color w:val="auto"/>
          <w:sz w:val="24"/>
          <w:szCs w:val="22"/>
          <w:highlight w:val="none"/>
          <w:lang w:val="en-US" w:eastAsia="zh-CN" w:bidi="ar-SA"/>
        </w:rPr>
        <w:t xml:space="preserve">通过符合性审查的次低价供应商投标（响应）报价</w:t>
      </w:r>
      <w:r>
        <w:rPr>
          <w:rFonts w:hint="eastAsia" w:ascii="Times New Roman" w:hAnsi="Times New Roman" w:cs="Times New Roman"/>
          <w:b/>
          <w:bCs/>
          <w:color w:val="auto"/>
          <w:sz w:val="24"/>
          <w:szCs w:val="22"/>
          <w:highlight w:val="none"/>
          <w:lang w:val="en-US" w:eastAsia="zh-CN" w:bidi="ar-SA"/>
        </w:rPr>
        <w:t xml:space="preserve">65</w:t>
      </w:r>
      <w:r>
        <w:rPr>
          <w:rFonts w:hint="eastAsia" w:ascii="Times New Roman" w:hAnsi="Times New Roman" w:eastAsia="宋体" w:cs="Times New Roman"/>
          <w:b/>
          <w:bCs/>
          <w:color w:val="auto"/>
          <w:sz w:val="24"/>
          <w:szCs w:val="22"/>
          <w:highlight w:val="none"/>
          <w:lang w:val="en-US" w:eastAsia="zh-CN" w:bidi="ar-SA"/>
        </w:rPr>
        <w:t xml:space="preserve">%</w:t>
      </w:r>
      <w:r>
        <w:rPr>
          <w:rFonts w:hint="eastAsia" w:ascii="Times New Roman" w:hAnsi="Times New Roman" w:eastAsia="宋体" w:cs="Times New Roman"/>
          <w:color w:val="auto"/>
          <w:sz w:val="24"/>
          <w:szCs w:val="22"/>
          <w:highlight w:val="none"/>
          <w:lang w:val="en-US" w:eastAsia="zh-CN" w:bidi="ar-SA"/>
        </w:rPr>
        <w:t xml:space="preserve">的，即投标（响应）报价&lt;通过符合性审查的次低价供应商投标（响应）报价×</w:t>
      </w:r>
      <w:r>
        <w:rPr>
          <w:rFonts w:hint="eastAsia" w:ascii="Times New Roman" w:hAnsi="Times New Roman" w:cs="Times New Roman"/>
          <w:b/>
          <w:bCs/>
          <w:color w:val="auto"/>
          <w:sz w:val="24"/>
          <w:szCs w:val="22"/>
          <w:highlight w:val="none"/>
          <w:lang w:val="en-US" w:eastAsia="zh-CN" w:bidi="ar-SA"/>
        </w:rPr>
        <w:t xml:space="preserve">65</w:t>
      </w:r>
      <w:r>
        <w:rPr>
          <w:rFonts w:hint="eastAsia" w:ascii="Times New Roman" w:hAnsi="Times New Roman" w:eastAsia="宋体" w:cs="Times New Roman"/>
          <w:b/>
          <w:bCs/>
          <w:color w:val="auto"/>
          <w:sz w:val="24"/>
          <w:szCs w:val="22"/>
          <w:highlight w:val="none"/>
          <w:lang w:val="en-US" w:eastAsia="zh-CN" w:bidi="ar-SA"/>
        </w:rPr>
        <w:t xml:space="preserve">%</w:t>
      </w:r>
      <w:r/>
    </w:p>
    <w:p>
      <w:pPr>
        <w:pStyle w:val="1050"/>
        <w:ind w:firstLine="480"/>
        <w:spacing w:before="0" w:after="0" w:line="560" w:lineRule="exact"/>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zh-CN" w:eastAsia="zh-CN" w:bidi="ar-SA"/>
        </w:rPr>
        <w:t xml:space="preserve">3.投标（响应）报价低于采购项目最高限价</w:t>
      </w:r>
      <w:r>
        <w:rPr>
          <w:rFonts w:hint="eastAsia" w:ascii="Times New Roman" w:hAnsi="Times New Roman" w:cs="Times New Roman"/>
          <w:b/>
          <w:bCs/>
          <w:color w:val="auto"/>
          <w:sz w:val="24"/>
          <w:szCs w:val="22"/>
          <w:highlight w:val="none"/>
          <w:lang w:val="en-US" w:eastAsia="zh-CN" w:bidi="ar-SA"/>
        </w:rPr>
        <w:t xml:space="preserve">65</w:t>
      </w:r>
      <w:r>
        <w:rPr>
          <w:rFonts w:hint="eastAsia" w:ascii="Times New Roman" w:hAnsi="Times New Roman" w:eastAsia="宋体" w:cs="Times New Roman"/>
          <w:b/>
          <w:bCs/>
          <w:color w:val="auto"/>
          <w:sz w:val="24"/>
          <w:szCs w:val="22"/>
          <w:highlight w:val="none"/>
          <w:lang w:val="zh-CN" w:eastAsia="zh-CN" w:bidi="ar-SA"/>
        </w:rPr>
        <w:t xml:space="preserve">%</w:t>
      </w:r>
      <w:r>
        <w:rPr>
          <w:rFonts w:hint="eastAsia" w:ascii="Times New Roman" w:hAnsi="Times New Roman" w:eastAsia="宋体" w:cs="Times New Roman"/>
          <w:color w:val="auto"/>
          <w:sz w:val="24"/>
          <w:szCs w:val="22"/>
          <w:highlight w:val="none"/>
          <w:lang w:val="zh-CN" w:eastAsia="zh-CN" w:bidi="ar-SA"/>
        </w:rPr>
        <w:t xml:space="preserve">的，即投标（响应）报价&lt;采购项目最高限价×</w:t>
      </w:r>
      <w:r>
        <w:rPr>
          <w:rFonts w:hint="eastAsia" w:ascii="Times New Roman" w:hAnsi="Times New Roman" w:cs="Times New Roman"/>
          <w:b/>
          <w:bCs/>
          <w:color w:val="auto"/>
          <w:sz w:val="24"/>
          <w:szCs w:val="22"/>
          <w:highlight w:val="none"/>
          <w:lang w:val="en-US" w:eastAsia="zh-CN" w:bidi="ar-SA"/>
        </w:rPr>
        <w:t xml:space="preserve">65</w:t>
      </w:r>
      <w:r>
        <w:rPr>
          <w:rFonts w:hint="eastAsia" w:ascii="Times New Roman" w:hAnsi="Times New Roman" w:eastAsia="宋体" w:cs="Times New Roman"/>
          <w:color w:val="auto"/>
          <w:sz w:val="24"/>
          <w:szCs w:val="22"/>
          <w:highlight w:val="none"/>
          <w:lang w:val="zh-CN" w:eastAsia="zh-CN" w:bidi="ar-SA"/>
        </w:rPr>
        <w:t xml:space="preserve">%；</w:t>
      </w:r>
      <w:r/>
    </w:p>
    <w:p>
      <w:pPr>
        <w:pStyle w:val="1050"/>
        <w:ind w:firstLine="480"/>
        <w:spacing w:before="0" w:after="0" w:line="560" w:lineRule="exact"/>
        <w:rPr>
          <w:rFonts w:hint="eastAsia" w:ascii="Times New Roman" w:hAnsi="Times New Roman" w:eastAsia="宋体" w:cs="Times New Roman"/>
          <w:color w:val="auto"/>
          <w:sz w:val="24"/>
          <w:szCs w:val="22"/>
          <w:highlight w:val="none"/>
          <w:lang w:val="zh-CN" w:eastAsia="zh-CN" w:bidi="ar-SA"/>
        </w:rPr>
      </w:pPr>
      <w:r>
        <w:rPr>
          <w:rFonts w:hint="eastAsia" w:ascii="Times New Roman" w:hAnsi="Times New Roman" w:eastAsia="宋体" w:cs="Times New Roman"/>
          <w:color w:val="auto"/>
          <w:sz w:val="24"/>
          <w:szCs w:val="22"/>
          <w:highlight w:val="none"/>
          <w:lang w:val="en-US" w:eastAsia="zh-CN" w:bidi="ar-SA"/>
        </w:rPr>
        <w:t xml:space="preserve">4.</w:t>
      </w:r>
      <w:r>
        <w:rPr>
          <w:rFonts w:hint="eastAsia" w:ascii="Times New Roman" w:hAnsi="Times New Roman" w:eastAsia="宋体" w:cs="Times New Roman"/>
          <w:color w:val="auto"/>
          <w:sz w:val="24"/>
          <w:szCs w:val="22"/>
          <w:highlight w:val="none"/>
          <w:lang w:val="zh-CN" w:eastAsia="zh-CN" w:bidi="ar-SA"/>
        </w:rPr>
        <w:t xml:space="preserve">评审委员会</w:t>
      </w:r>
      <w:r>
        <w:rPr>
          <w:rFonts w:hint="eastAsia" w:ascii="Times New Roman" w:hAnsi="Times New Roman"/>
          <w:color w:val="auto"/>
          <w:szCs w:val="22"/>
          <w:highlight w:val="none"/>
          <w:lang w:val="zh-CN"/>
        </w:rPr>
        <w:t xml:space="preserve">（</w:t>
      </w:r>
      <w:r>
        <w:rPr>
          <w:rFonts w:hint="eastAsia" w:ascii="宋体" w:hAnsi="宋体"/>
          <w:color w:val="auto"/>
          <w:szCs w:val="21"/>
          <w:highlight w:val="none"/>
        </w:rPr>
        <w:t xml:space="preserve">磋商小组）</w:t>
      </w:r>
      <w:r>
        <w:rPr>
          <w:rFonts w:hint="eastAsia" w:ascii="Times New Roman" w:hAnsi="Times New Roman" w:eastAsia="宋体" w:cs="Times New Roman"/>
          <w:color w:val="auto"/>
          <w:sz w:val="24"/>
          <w:szCs w:val="22"/>
          <w:highlight w:val="none"/>
          <w:lang w:val="en-US" w:eastAsia="zh-CN" w:bidi="ar-SA"/>
        </w:rPr>
        <w:t xml:space="preserve">基于专业判断，认为供应商报价过低，</w:t>
      </w:r>
      <w:r>
        <w:rPr>
          <w:rFonts w:hint="eastAsia" w:ascii="Times New Roman" w:hAnsi="Times New Roman" w:eastAsia="宋体" w:cs="Times New Roman"/>
          <w:color w:val="auto"/>
          <w:sz w:val="24"/>
          <w:szCs w:val="22"/>
          <w:highlight w:val="none"/>
          <w:lang w:val="zh-CN" w:eastAsia="zh-CN" w:bidi="ar-SA"/>
        </w:rPr>
        <w:t xml:space="preserve">有可能影响产品质量或者不能诚信履约的其他情形。</w:t>
      </w:r>
      <w:r/>
    </w:p>
    <w:p>
      <w:pPr>
        <w:ind w:firstLine="480"/>
        <w:jc w:val="left"/>
        <w:spacing w:line="360" w:lineRule="auto"/>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采购人可以结合具体项目实际情况，提高上述第1项至第3项中启动异常低价投标（响应）审查的数值标准，但是最高不得超过65%。</w:t>
      </w:r>
      <w:r/>
    </w:p>
    <w:p>
      <w:pPr>
        <w:ind w:left="420" w:right="420" w:firstLine="600"/>
        <w:pageBreakBefore w:val="0"/>
        <w:spacing w:line="560" w:lineRule="exact"/>
        <w:widowControl w:val="off"/>
        <w:rPr>
          <w:rFonts w:hint="eastAsia" w:ascii="Times New Roman" w:hAnsi="Times New Roman" w:eastAsia="宋体" w:cs="Times New Roman"/>
          <w:color w:val="auto"/>
          <w:sz w:val="24"/>
          <w:szCs w:val="22"/>
          <w:highlight w:val="none"/>
          <w:lang w:val="en-US" w:eastAsia="zh-CN" w:bidi="ar-SA"/>
        </w:rP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Times New Roman" w:hAnsi="Times New Roman" w:eastAsia="宋体" w:cs="Times New Roman"/>
          <w:color w:val="auto"/>
          <w:sz w:val="24"/>
          <w:szCs w:val="22"/>
          <w:highlight w:val="none"/>
          <w:lang w:val="en-US" w:eastAsia="zh-CN" w:bidi="ar-SA"/>
        </w:rPr>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2640"/>
        <w:keepNext/>
        <w:rPr>
          <w:rFonts w:ascii="黑体" w:eastAsia="黑体"/>
          <w:bCs/>
          <w:color w:val="auto"/>
          <w:sz w:val="44"/>
          <w:szCs w:val="28"/>
          <w:highlight w:val="none"/>
        </w:rPr>
        <w:outlineLvl w:val="0"/>
      </w:pPr>
      <w:r/>
      <w:bookmarkStart w:id="189" w:name="_Toc28770"/>
      <w:r>
        <w:rPr>
          <w:rFonts w:hint="eastAsia" w:ascii="黑体" w:eastAsia="黑体"/>
          <w:bCs/>
          <w:color w:val="auto"/>
          <w:sz w:val="44"/>
          <w:szCs w:val="28"/>
          <w:highlight w:val="none"/>
        </w:rPr>
        <w:t xml:space="preserve">第三章  合同</w:t>
      </w:r>
      <w:bookmarkEnd w:id="184"/>
      <w:r/>
      <w:bookmarkEnd w:id="185"/>
      <w:r/>
      <w:bookmarkEnd w:id="186"/>
      <w:r/>
      <w:bookmarkEnd w:id="187"/>
      <w:r/>
      <w:bookmarkEnd w:id="188"/>
      <w:r>
        <w:rPr>
          <w:rFonts w:hint="eastAsia" w:ascii="黑体" w:eastAsia="黑体"/>
          <w:bCs/>
          <w:color w:val="auto"/>
          <w:sz w:val="44"/>
          <w:szCs w:val="28"/>
          <w:highlight w:val="none"/>
        </w:rPr>
        <w:t xml:space="preserve">文本</w:t>
      </w:r>
      <w:bookmarkEnd w:id="189"/>
      <w:r/>
      <w:r/>
    </w:p>
    <w:p>
      <w:pPr>
        <w:ind w:firstLine="480"/>
        <w:spacing w:line="500" w:lineRule="exact"/>
        <w:rPr>
          <w:rFonts w:hint="eastAsia" w:ascii="宋体" w:hAnsi="宋体"/>
          <w:bCs/>
          <w:color w:val="auto"/>
          <w:sz w:val="24"/>
          <w:szCs w:val="21"/>
          <w:highlight w:val="none"/>
        </w:rPr>
      </w:pPr>
      <w:r/>
      <w:bookmarkStart w:id="190" w:name="_Toc16938559"/>
      <w:r/>
      <w:bookmarkStart w:id="191" w:name="_Toc20823315"/>
      <w:r/>
      <w:bookmarkStart w:id="192" w:name="_Toc513029243"/>
      <w:r>
        <w:rPr>
          <w:rFonts w:hint="eastAsia" w:ascii="宋体" w:hAnsi="宋体"/>
          <w:bCs/>
          <w:color w:val="auto"/>
          <w:sz w:val="24"/>
          <w:szCs w:val="21"/>
          <w:highlight w:val="none"/>
        </w:rPr>
        <w:t xml:space="preserve">以下为成交后签定本项目合同的通用条款，成交供应商不得提出实质性的修改。</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bookmarkEnd w:id="190"/>
      <w:bookmarkEnd w:id="191"/>
      <w:bookmarkEnd w:id="192"/>
      <w:r/>
    </w:p>
    <w:p>
      <w:pPr>
        <w:ind w:firstLine="2078"/>
        <w:spacing w:line="360" w:lineRule="auto"/>
        <w:rPr>
          <w:rFonts w:ascii="宋体" w:hAnsi="宋体"/>
          <w:b/>
          <w:bCs/>
          <w:color w:val="auto"/>
          <w:sz w:val="52"/>
          <w:highlight w:val="none"/>
        </w:rPr>
      </w:pPr>
      <w:r/>
      <w:bookmarkStart w:id="193" w:name="_Hlt16619350"/>
      <w:r/>
      <w:bookmarkStart w:id="194" w:name="_Toc16938590"/>
      <w:r/>
      <w:bookmarkStart w:id="195" w:name="_Toc20823346"/>
      <w:r/>
      <w:bookmarkStart w:id="196" w:name="_Toc120614244"/>
      <w:r/>
      <w:bookmarkStart w:id="197" w:name="_Toc462564139"/>
      <w:r/>
      <w:bookmarkStart w:id="198" w:name="_Toc479757211"/>
      <w:r>
        <w:rPr>
          <w:rFonts w:hint="eastAsia" w:ascii="宋体" w:hAnsi="宋体"/>
          <w:b/>
          <w:bCs/>
          <w:color w:val="auto"/>
          <w:sz w:val="52"/>
          <w:highlight w:val="none"/>
          <w:lang w:val="en-US" w:eastAsia="zh-CN"/>
        </w:rPr>
        <w:t xml:space="preserve">        </w:t>
      </w:r>
      <w:r>
        <w:rPr>
          <w:rFonts w:hint="eastAsia" w:ascii="宋体" w:hAnsi="宋体"/>
          <w:b/>
          <w:bCs/>
          <w:color w:val="auto"/>
          <w:sz w:val="52"/>
          <w:highlight w:val="none"/>
        </w:rPr>
        <w:t xml:space="preserve">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jc w:val="center"/>
        <w:spacing w:line="360" w:lineRule="auto"/>
        <w:rPr>
          <w:rFonts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 xml:space="preserve">合同</w:t>
      </w:r>
      <w:r/>
    </w:p>
    <w:p>
      <w:pPr>
        <w:ind w:firstLine="420"/>
        <w:spacing w:line="360" w:lineRule="auto"/>
        <w:rPr>
          <w:rFonts w:ascii="宋体" w:hAnsi="宋体"/>
          <w:color w:val="auto"/>
          <w:highlight w:val="none"/>
        </w:rPr>
      </w:pPr>
      <w:r>
        <w:rPr>
          <w:rFonts w:ascii="宋体" w:hAnsi="宋体"/>
          <w:color w:val="auto"/>
          <w:highlight w:val="none"/>
        </w:rPr>
      </w:r>
      <w:r/>
    </w:p>
    <w:p>
      <w:pPr>
        <w:ind w:firstLine="3070"/>
        <w:spacing w:line="360" w:lineRule="auto"/>
        <w:rPr>
          <w:rFonts w:ascii="宋体" w:hAnsi="宋体"/>
          <w:b/>
          <w:bCs/>
          <w:color w:val="auto"/>
          <w:sz w:val="44"/>
          <w:szCs w:val="44"/>
          <w:highlight w:val="none"/>
        </w:rPr>
      </w:pPr>
      <w:r>
        <w:rPr>
          <w:rFonts w:ascii="宋体" w:hAnsi="宋体"/>
          <w:b/>
          <w:bCs/>
          <w:color w:val="auto"/>
          <w:sz w:val="44"/>
          <w:szCs w:val="44"/>
          <w:highlight w:val="none"/>
        </w:rPr>
      </w:r>
      <w:r/>
    </w:p>
    <w:p>
      <w:pPr>
        <w:ind w:firstLine="880"/>
        <w:spacing w:line="360" w:lineRule="auto"/>
        <w:rPr>
          <w:rFonts w:ascii="宋体" w:hAnsi="宋体"/>
          <w:color w:val="auto"/>
          <w:sz w:val="44"/>
          <w:szCs w:val="44"/>
          <w:highlight w:val="none"/>
        </w:rPr>
      </w:pPr>
      <w:r>
        <w:rPr>
          <w:rFonts w:ascii="宋体" w:hAnsi="宋体"/>
          <w:color w:val="auto"/>
          <w:sz w:val="44"/>
          <w:szCs w:val="44"/>
          <w:highlight w:val="none"/>
        </w:rPr>
      </w:r>
      <w:r/>
    </w:p>
    <w:p>
      <w:pPr>
        <w:ind w:firstLine="1966"/>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采购人：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lang w:eastAsia="zh-CN"/>
        </w:rPr>
        <w:t xml:space="preserve">承包人</w:t>
      </w:r>
      <w:r>
        <w:rPr>
          <w:rFonts w:hint="eastAsia" w:ascii="宋体" w:hAnsi="宋体"/>
          <w:b/>
          <w:bCs/>
          <w:color w:val="auto"/>
          <w:sz w:val="44"/>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r>
      <w:r/>
    </w:p>
    <w:p>
      <w:pPr>
        <w:pStyle w:val="796"/>
        <w:ind w:firstLine="480"/>
        <w:jc w:val="left"/>
        <w:spacing w:line="560" w:lineRule="exact"/>
        <w:rPr>
          <w:rFonts w:hAnsi="宋体"/>
          <w:color w:val="auto"/>
          <w:sz w:val="24"/>
          <w:szCs w:val="24"/>
          <w:highlight w:val="none"/>
        </w:rPr>
      </w:pPr>
      <w:r>
        <w:rPr>
          <w:rFonts w:ascii="宋体" w:hAnsi="宋体"/>
          <w:color w:val="auto"/>
          <w:highlight w:val="none"/>
        </w:rPr>
        <w:br w:type="page" w:clear="all"/>
      </w:r>
      <w:r/>
    </w:p>
    <w:p>
      <w:pPr>
        <w:pStyle w:val="965"/>
        <w:numPr>
          <w:ilvl w:val="0"/>
          <w:numId w:val="0"/>
        </w:numPr>
        <w:jc w:val="both"/>
        <w:keepLines/>
        <w:spacing w:line="360" w:lineRule="auto"/>
        <w:rPr>
          <w:rFonts w:ascii="Times New Roman" w:hAnsi="宋体" w:eastAsia="黑体"/>
          <w:color w:val="auto"/>
          <w:sz w:val="36"/>
          <w:szCs w:val="20"/>
          <w:highlight w:val="none"/>
        </w:rPr>
      </w:pPr>
      <w:r>
        <w:rPr>
          <w:rFonts w:ascii="Times New Roman" w:hAnsi="宋体" w:eastAsia="黑体"/>
          <w:color w:val="auto"/>
          <w:sz w:val="36"/>
          <w:szCs w:val="20"/>
          <w:highlight w:val="none"/>
        </w:rPr>
      </w:r>
      <w:r/>
    </w:p>
    <w:p>
      <w:pPr>
        <w:rPr>
          <w:rFonts w:hAnsi="宋体" w:eastAsia="黑体"/>
          <w:color w:val="auto"/>
          <w:sz w:val="36"/>
          <w:szCs w:val="20"/>
          <w:highlight w:val="none"/>
        </w:rPr>
      </w:pPr>
      <w:r>
        <w:rPr>
          <w:rFonts w:hAnsi="宋体" w:eastAsia="黑体"/>
          <w:color w:val="auto"/>
          <w:sz w:val="36"/>
          <w:szCs w:val="20"/>
          <w:highlight w:val="none"/>
        </w:rPr>
      </w:r>
      <w:r/>
    </w:p>
    <w:p>
      <w:pPr>
        <w:pStyle w:val="779"/>
        <w:numPr>
          <w:ilvl w:val="0"/>
          <w:numId w:val="4"/>
        </w:numPr>
        <w:jc w:val="center"/>
        <w:keepLines w:val="0"/>
        <w:keepNext w:val="0"/>
        <w:spacing w:before="120" w:after="120" w:line="400" w:lineRule="exact"/>
        <w:rPr>
          <w:rFonts w:hint="eastAsia" w:ascii="宋体" w:hAnsi="宋体" w:eastAsia="宋体" w:cs="宋体"/>
          <w:b/>
          <w:bCs/>
          <w:color w:val="auto"/>
          <w:sz w:val="30"/>
          <w:szCs w:val="30"/>
          <w:highlight w:val="none"/>
          <w:lang w:eastAsia="zh-CN"/>
        </w:rPr>
      </w:pPr>
      <w:r/>
      <w:bookmarkStart w:id="199" w:name="_Toc237153045"/>
      <w:r/>
      <w:bookmarkStart w:id="200" w:name="_Toc222290012"/>
      <w:r/>
      <w:bookmarkStart w:id="201" w:name="_Toc168476127"/>
      <w:r/>
      <w:bookmarkStart w:id="202" w:name="_Toc168475724"/>
      <w:r/>
      <w:bookmarkStart w:id="203" w:name="_Toc237078373"/>
      <w:r/>
      <w:bookmarkStart w:id="204" w:name="_Toc144974577"/>
      <w:r/>
      <w:bookmarkStart w:id="205" w:name="_Toc237013243"/>
      <w:r/>
      <w:bookmarkStart w:id="206" w:name="_Toc28613752"/>
      <w:r/>
      <w:bookmarkStart w:id="207" w:name="_Toc222303203"/>
      <w:r/>
      <w:bookmarkStart w:id="208" w:name="_Toc502674979"/>
      <w:r>
        <w:rPr>
          <w:rFonts w:hint="eastAsia" w:ascii="宋体" w:hAnsi="宋体" w:eastAsia="宋体" w:cs="宋体"/>
          <w:b/>
          <w:bCs/>
          <w:color w:val="auto"/>
          <w:sz w:val="30"/>
          <w:szCs w:val="30"/>
          <w:highlight w:val="none"/>
        </w:rPr>
        <w:t xml:space="preserve"> 合同条款及格式</w:t>
      </w:r>
      <w:bookmarkEnd w:id="199"/>
      <w:r/>
      <w:bookmarkEnd w:id="200"/>
      <w:r/>
      <w:bookmarkEnd w:id="201"/>
      <w:r/>
      <w:bookmarkEnd w:id="202"/>
      <w:r/>
      <w:bookmarkEnd w:id="203"/>
      <w:r/>
      <w:bookmarkEnd w:id="204"/>
      <w:r/>
      <w:bookmarkEnd w:id="205"/>
      <w:r/>
      <w:bookmarkEnd w:id="206"/>
      <w:r/>
      <w:bookmarkEnd w:id="207"/>
      <w:r/>
      <w:bookmarkEnd w:id="208"/>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jc w:val="center"/>
        <w:spacing w:before="0" w:after="0" w:line="360" w:lineRule="auto"/>
        <w:rPr>
          <w:rFonts w:hint="eastAsia" w:ascii="宋体" w:hAnsi="宋体" w:eastAsia="宋体" w:cs="宋体"/>
          <w:b w:val="0"/>
          <w:bCs w:val="0"/>
          <w:color w:val="auto"/>
          <w:sz w:val="32"/>
          <w:highlight w:val="none"/>
        </w:rPr>
        <w:sectPr>
          <w:headerReference w:type="default" r:id="rId10"/>
          <w:footerReference w:type="default" r:id="rId15"/>
          <w:footnotePr/>
          <w:endnotePr/>
          <w:type w:val="nextPage"/>
          <w:pgSz w:w="11906" w:h="16838" w:orient="portrait"/>
          <w:pgMar w:top="1213" w:right="1134" w:bottom="1213" w:left="1134" w:header="851" w:footer="992" w:gutter="0"/>
          <w:cols w:num="1" w:sep="0" w:space="1701" w:equalWidth="1"/>
          <w:docGrid w:linePitch="360"/>
          <w:titlePg/>
        </w:sectPr>
      </w:pPr>
      <w:r/>
      <w:bookmarkStart w:id="209" w:name="_Toc222290318"/>
      <w:r/>
      <w:bookmarkStart w:id="210" w:name="_Toc237078376"/>
      <w:r/>
      <w:bookmarkStart w:id="211" w:name="_Toc28613829"/>
      <w:r/>
      <w:bookmarkStart w:id="212" w:name="_Toc502675028"/>
      <w:r/>
      <w:bookmarkStart w:id="213" w:name="_Toc237013246"/>
      <w:r/>
      <w:bookmarkStart w:id="214" w:name="_Toc237153203"/>
      <w:r/>
      <w:bookmarkStart w:id="215" w:name="_Toc222303359"/>
      <w:r/>
      <w:bookmarkEnd w:id="209"/>
      <w:bookmarkEnd w:id="210"/>
      <w:bookmarkEnd w:id="211"/>
      <w:bookmarkEnd w:id="212"/>
      <w:bookmarkEnd w:id="213"/>
      <w:bookmarkEnd w:id="214"/>
      <w:bookmarkEnd w:id="215"/>
      <w:r/>
    </w:p>
    <w:p>
      <w:pPr>
        <w:pStyle w:val="1092"/>
        <w:keepLines w:val="0"/>
        <w:keepNext w:val="0"/>
        <w:rPr>
          <w:rFonts w:hint="eastAsia" w:ascii="宋体" w:hAnsi="宋体" w:eastAsia="宋体" w:cs="宋体"/>
          <w:color w:val="auto"/>
          <w:highlight w:val="none"/>
        </w:rPr>
      </w:pPr>
      <w:r/>
      <w:bookmarkStart w:id="216" w:name="_Toc28613830"/>
      <w:r/>
      <w:bookmarkStart w:id="217" w:name="_Toc144974827"/>
      <w:r/>
      <w:bookmarkStart w:id="218" w:name="_Toc168475884"/>
      <w:r/>
      <w:bookmarkStart w:id="219" w:name="_Toc502675029"/>
      <w:r/>
      <w:bookmarkStart w:id="220" w:name="_Toc168476287"/>
      <w:r/>
      <w:bookmarkStart w:id="221" w:name="_Toc222303360"/>
      <w:r/>
      <w:bookmarkStart w:id="222" w:name="_Toc237153204"/>
      <w:r>
        <w:rPr>
          <w:rFonts w:hint="eastAsia" w:ascii="宋体" w:hAnsi="宋体" w:eastAsia="宋体" w:cs="宋体"/>
          <w:color w:val="auto"/>
          <w:highlight w:val="none"/>
        </w:rPr>
        <w:t xml:space="preserve">附件一：合同协议书</w:t>
      </w:r>
      <w:bookmarkEnd w:id="216"/>
      <w:r/>
      <w:bookmarkEnd w:id="217"/>
      <w:r/>
      <w:bookmarkEnd w:id="218"/>
      <w:r/>
      <w:bookmarkEnd w:id="219"/>
      <w:r/>
      <w:bookmarkEnd w:id="220"/>
      <w:r/>
      <w:bookmarkEnd w:id="221"/>
      <w:r/>
      <w:bookmarkEnd w:id="222"/>
      <w:r/>
      <w:r/>
    </w:p>
    <w:p>
      <w:pPr>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合同协议书</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6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（发包人名称，以下简称“发包人”）为实施</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（工程项目名称），已接受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（承包人名称，以下简称“承包人”）对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（标段名称）的投标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，并确定其为</w:t>
      </w:r>
      <w:r>
        <w:rPr>
          <w:rFonts w:hint="eastAsia" w:ascii="宋体" w:hAnsi="宋体" w:cs="宋体"/>
          <w:color w:val="auto"/>
          <w:szCs w:val="21"/>
          <w:highlight w:val="none"/>
          <w:lang w:eastAsia="zh-CN"/>
        </w:rPr>
        <w:t xml:space="preserve">承包人</w:t>
      </w:r>
      <w:r>
        <w:rPr>
          <w:rFonts w:hint="eastAsia" w:ascii="宋体" w:hAnsi="宋体" w:eastAsia="宋体" w:cs="宋体"/>
          <w:color w:val="auto"/>
          <w:szCs w:val="21"/>
          <w:highlight w:val="none"/>
        </w:rPr>
        <w:t xml:space="preserve">，发包人和承包人共同达成如下协议：</w:t>
      </w:r>
      <w:r/>
    </w:p>
    <w:p>
      <w:pPr>
        <w:ind w:firstLine="420"/>
        <w:spacing w:line="360" w:lineRule="auto"/>
        <w:rPr>
          <w:rFonts w:hint="eastAsia" w:ascii="宋体" w:hAnsi="宋体" w:eastAsia="宋体" w:cs="宋体"/>
          <w:color w:val="auto"/>
          <w:szCs w:val="21"/>
          <w:highlight w:val="none"/>
        </w:rPr>
      </w:pPr>
      <w:r/>
      <w:bookmarkStart w:id="223" w:name="_Toc168476288"/>
      <w:r/>
      <w:bookmarkStart w:id="224" w:name="_Toc168475885"/>
      <w:r/>
      <w:bookmarkStart w:id="225" w:name="_Toc144974828"/>
      <w:r>
        <w:rPr>
          <w:rFonts w:hint="eastAsia" w:ascii="宋体" w:hAnsi="宋体" w:eastAsia="宋体" w:cs="宋体"/>
          <w:color w:val="auto"/>
          <w:szCs w:val="21"/>
          <w:highlight w:val="none"/>
        </w:rPr>
        <w:t xml:space="preserve">1.本协议书与下列文件一起构成合同文件：</w:t>
      </w:r>
      <w:bookmarkEnd w:id="223"/>
      <w:r/>
      <w:bookmarkEnd w:id="224"/>
      <w:r/>
      <w:bookmarkEnd w:id="225"/>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函及投标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函附录；</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）技术标准和要求（合同技术条款）;</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）图纸；</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）已标价工程量清单；</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）其他合同文件。</w:t>
      </w:r>
      <w:r/>
    </w:p>
    <w:p>
      <w:pPr>
        <w:ind w:firstLine="420"/>
        <w:spacing w:line="360" w:lineRule="auto"/>
        <w:rPr>
          <w:rFonts w:hint="eastAsia" w:ascii="宋体" w:hAnsi="宋体" w:eastAsia="宋体" w:cs="宋体"/>
          <w:color w:val="auto"/>
          <w:highlight w:val="none"/>
        </w:rPr>
      </w:pPr>
      <w:r/>
      <w:bookmarkStart w:id="226" w:name="_Toc168475886"/>
      <w:r/>
      <w:bookmarkStart w:id="227" w:name="_Toc168476289"/>
      <w:r/>
      <w:bookmarkStart w:id="228" w:name="_Toc144974829"/>
      <w:r>
        <w:rPr>
          <w:rFonts w:hint="eastAsia" w:ascii="宋体" w:hAnsi="宋体" w:eastAsia="宋体" w:cs="宋体"/>
          <w:color w:val="auto"/>
          <w:highlight w:val="none"/>
        </w:rPr>
        <w:t xml:space="preserve">2.上述文件互相补充和解释，如有不明确或不一致之处，以合同约定次序在先者为准。</w:t>
      </w:r>
      <w:bookmarkEnd w:id="226"/>
      <w:r/>
      <w:bookmarkEnd w:id="227"/>
      <w:r/>
      <w:bookmarkEnd w:id="22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3.签约合同价：人民币（大写）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4.承包人项目负责人（项目经理）姓名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5.工程质量符合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6.承包人承诺按合同约定承担工程的实施、完成及缺陷修复。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7.发包人承诺按合同约定的条件、时间和方式向承包人支付合同价款。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8.承包人承诺执行监理人开工通知，计划工期为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9.本协议书一式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份，合同双方各执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份。</w:t>
      </w:r>
      <w:r/>
    </w:p>
    <w:p>
      <w:pPr>
        <w:ind w:firstLine="420"/>
        <w:spacing w:line="360" w:lineRule="auto"/>
        <w:rPr>
          <w:rFonts w:hint="eastAsia" w:ascii="宋体" w:hAnsi="宋体" w:eastAsia="宋体" w:cs="宋体"/>
          <w:color w:val="auto"/>
          <w:highlight w:val="none"/>
        </w:rPr>
      </w:pPr>
      <w:r/>
      <w:bookmarkStart w:id="229" w:name="_Toc168476290"/>
      <w:r/>
      <w:bookmarkStart w:id="230" w:name="_Toc168475887"/>
      <w:r/>
      <w:bookmarkStart w:id="231" w:name="_Toc144974830"/>
      <w:r>
        <w:rPr>
          <w:rFonts w:hint="eastAsia" w:ascii="宋体" w:hAnsi="宋体" w:eastAsia="宋体" w:cs="宋体"/>
          <w:color w:val="auto"/>
          <w:highlight w:val="none"/>
        </w:rPr>
        <w:t xml:space="preserve">10.合同未尽事宜，双方另行签订补充协议。补充协议是合同的组成部分。</w:t>
      </w:r>
      <w:bookmarkEnd w:id="229"/>
      <w:r/>
      <w:bookmarkEnd w:id="230"/>
      <w:r/>
      <w:bookmarkEnd w:id="231"/>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highlight w:val="none"/>
        </w:rPr>
        <w:t xml:space="preserve">发包人</w:t>
      </w:r>
      <w:r>
        <w:rPr>
          <w:rFonts w:hint="eastAsia" w:ascii="宋体" w:hAnsi="宋体" w:eastAsia="宋体" w:cs="宋体"/>
          <w:color w:val="auto"/>
          <w:position w:val="2"/>
          <w:highlight w:val="none"/>
        </w:rPr>
        <w:t xml:space="preserve">：</w:t>
      </w:r>
      <w:r>
        <w:rPr>
          <w:rFonts w:hint="eastAsia" w:ascii="宋体" w:hAnsi="宋体" w:eastAsia="宋体" w:cs="宋体"/>
          <w:color w:val="auto"/>
          <w:position w:val="2"/>
          <w:highlight w:val="none"/>
          <w:u w:val="single"/>
        </w:rPr>
        <w:t xml:space="preserve">      （名称） </w:t>
      </w:r>
      <w:r>
        <w:rPr>
          <w:rFonts w:hint="eastAsia" w:ascii="宋体" w:hAnsi="宋体" w:eastAsia="宋体" w:cs="宋体"/>
          <w:color w:val="auto"/>
          <w:position w:val="2"/>
          <w:highlight w:val="none"/>
        </w:rPr>
        <w:t xml:space="preserve"> （盖单位公章）        </w:t>
      </w:r>
      <w:r>
        <w:rPr>
          <w:rFonts w:hint="eastAsia" w:ascii="宋体" w:hAnsi="宋体" w:eastAsia="宋体" w:cs="宋体"/>
          <w:color w:val="auto"/>
          <w:highlight w:val="none"/>
        </w:rPr>
        <w:t xml:space="preserve">承包人</w:t>
      </w:r>
      <w:r>
        <w:rPr>
          <w:rFonts w:hint="eastAsia" w:ascii="宋体" w:hAnsi="宋体" w:eastAsia="宋体" w:cs="宋体"/>
          <w:color w:val="auto"/>
          <w:position w:val="2"/>
          <w:highlight w:val="none"/>
        </w:rPr>
        <w:t xml:space="preserve">：</w:t>
      </w:r>
      <w:r>
        <w:rPr>
          <w:rFonts w:hint="eastAsia" w:ascii="宋体" w:hAnsi="宋体" w:eastAsia="宋体" w:cs="宋体"/>
          <w:color w:val="auto"/>
          <w:position w:val="2"/>
          <w:highlight w:val="none"/>
          <w:u w:val="single"/>
        </w:rPr>
        <w:t xml:space="preserve">    （名称） </w:t>
      </w:r>
      <w:r>
        <w:rPr>
          <w:rFonts w:hint="eastAsia" w:ascii="宋体" w:hAnsi="宋体" w:eastAsia="宋体" w:cs="宋体"/>
          <w:color w:val="auto"/>
          <w:position w:val="2"/>
          <w:highlight w:val="none"/>
        </w:rPr>
        <w:t xml:space="preserve"> （盖单位章）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法定代表人：</w:t>
      </w:r>
      <w:r>
        <w:rPr>
          <w:rFonts w:hint="eastAsia" w:ascii="宋体" w:hAnsi="宋体" w:eastAsia="宋体" w:cs="宋体"/>
          <w:color w:val="auto"/>
          <w:position w:val="2"/>
          <w:highlight w:val="none"/>
          <w:u w:val="single"/>
        </w:rPr>
        <w:t xml:space="preserve">  （姓名）</w:t>
      </w:r>
      <w:r>
        <w:rPr>
          <w:rFonts w:hint="eastAsia" w:ascii="宋体" w:hAnsi="宋体" w:eastAsia="宋体" w:cs="宋体"/>
          <w:color w:val="auto"/>
          <w:position w:val="2"/>
          <w:highlight w:val="none"/>
        </w:rPr>
        <w:t xml:space="preserve">（签名）                 法定代表人：</w:t>
      </w:r>
      <w:r>
        <w:rPr>
          <w:rFonts w:hint="eastAsia" w:ascii="宋体" w:hAnsi="宋体" w:eastAsia="宋体" w:cs="宋体"/>
          <w:color w:val="auto"/>
          <w:position w:val="2"/>
          <w:highlight w:val="none"/>
          <w:u w:val="single"/>
        </w:rPr>
        <w:t xml:space="preserve">  （姓名）</w:t>
      </w:r>
      <w:r>
        <w:rPr>
          <w:rFonts w:hint="eastAsia" w:ascii="宋体" w:hAnsi="宋体" w:eastAsia="宋体" w:cs="宋体"/>
          <w:color w:val="auto"/>
          <w:position w:val="2"/>
          <w:highlight w:val="none"/>
        </w:rPr>
        <w:t xml:space="preserve">（签名）</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（或其委托代理人）：</w:t>
      </w:r>
      <w:r>
        <w:rPr>
          <w:rFonts w:hint="eastAsia" w:ascii="宋体" w:hAnsi="宋体" w:eastAsia="宋体" w:cs="宋体"/>
          <w:color w:val="auto"/>
          <w:position w:val="2"/>
          <w:highlight w:val="none"/>
          <w:u w:val="single"/>
        </w:rPr>
        <w:t xml:space="preserve"> （姓名）</w:t>
      </w:r>
      <w:r>
        <w:rPr>
          <w:rFonts w:hint="eastAsia" w:ascii="宋体" w:hAnsi="宋体" w:eastAsia="宋体" w:cs="宋体"/>
          <w:color w:val="auto"/>
          <w:position w:val="2"/>
          <w:highlight w:val="none"/>
        </w:rPr>
        <w:t xml:space="preserve">（签名）          （或其委托代理人）：</w:t>
      </w:r>
      <w:r>
        <w:rPr>
          <w:rFonts w:hint="eastAsia" w:ascii="宋体" w:hAnsi="宋体" w:eastAsia="宋体" w:cs="宋体"/>
          <w:color w:val="auto"/>
          <w:position w:val="2"/>
          <w:highlight w:val="none"/>
          <w:u w:val="single"/>
        </w:rPr>
        <w:t xml:space="preserve">（姓名）</w:t>
      </w:r>
      <w:r>
        <w:rPr>
          <w:rFonts w:hint="eastAsia" w:ascii="宋体" w:hAnsi="宋体" w:eastAsia="宋体" w:cs="宋体"/>
          <w:color w:val="auto"/>
          <w:position w:val="2"/>
          <w:highlight w:val="none"/>
        </w:rPr>
        <w:t xml:space="preserve">（签名）</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地    址：</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地    址：</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电    话：</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电    话：</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rPr>
          <w:rFonts w:hint="eastAsia" w:ascii="宋体" w:hAnsi="宋体" w:eastAsia="宋体" w:cs="宋体"/>
          <w:color w:val="auto"/>
          <w:highlight w:val="none"/>
        </w:rPr>
        <w:t xml:space="preserve">          传    真：</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highlight w:val="none"/>
        </w:rPr>
        <w:t xml:space="preserve">邮政</w:t>
      </w:r>
      <w:r>
        <w:rPr>
          <w:rFonts w:hint="eastAsia" w:ascii="宋体" w:hAnsi="宋体" w:eastAsia="宋体" w:cs="宋体"/>
          <w:color w:val="auto"/>
          <w:position w:val="2"/>
          <w:highlight w:val="none"/>
        </w:rPr>
        <w:t xml:space="preserve">编码：</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rPr>
          <w:rFonts w:hint="eastAsia" w:ascii="宋体" w:hAnsi="宋体" w:eastAsia="宋体" w:cs="宋体"/>
          <w:color w:val="auto"/>
          <w:highlight w:val="none"/>
        </w:rPr>
        <w:t xml:space="preserve">邮政</w:t>
      </w:r>
      <w:r>
        <w:rPr>
          <w:rFonts w:hint="eastAsia" w:ascii="宋体" w:hAnsi="宋体" w:eastAsia="宋体" w:cs="宋体"/>
          <w:color w:val="auto"/>
          <w:position w:val="2"/>
          <w:highlight w:val="none"/>
        </w:rPr>
        <w:t xml:space="preserve">编码：</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highlight w:val="none"/>
        </w:rPr>
        <w:t xml:space="preserve">开户</w:t>
      </w:r>
      <w:r>
        <w:rPr>
          <w:rFonts w:hint="eastAsia" w:ascii="宋体" w:hAnsi="宋体" w:eastAsia="宋体" w:cs="宋体"/>
          <w:color w:val="auto"/>
          <w:position w:val="2"/>
          <w:highlight w:val="none"/>
        </w:rPr>
        <w:t xml:space="preserve">银行：</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w:t>
      </w:r>
      <w:r>
        <w:rPr>
          <w:rFonts w:hint="eastAsia" w:ascii="宋体" w:hAnsi="宋体" w:eastAsia="宋体" w:cs="宋体"/>
          <w:color w:val="auto"/>
          <w:highlight w:val="none"/>
        </w:rPr>
        <w:t xml:space="preserve">开户</w:t>
      </w:r>
      <w:r>
        <w:rPr>
          <w:rFonts w:hint="eastAsia" w:ascii="宋体" w:hAnsi="宋体" w:eastAsia="宋体" w:cs="宋体"/>
          <w:color w:val="auto"/>
          <w:position w:val="2"/>
          <w:highlight w:val="none"/>
        </w:rPr>
        <w:t xml:space="preserve">银行：</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帐    号：</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            帐    号：</w:t>
      </w:r>
      <w:r>
        <w:rPr>
          <w:rFonts w:hint="eastAsia" w:ascii="宋体" w:hAnsi="宋体" w:eastAsia="宋体" w:cs="宋体"/>
          <w:color w:val="auto"/>
          <w:position w:val="2"/>
          <w:highlight w:val="none"/>
          <w:u w:val="single"/>
        </w:rPr>
        <w:t xml:space="preserve">                         </w:t>
      </w:r>
      <w:r/>
    </w:p>
    <w:p>
      <w:pPr>
        <w:spacing w:line="360" w:lineRule="auto"/>
        <w:rPr>
          <w:rFonts w:hint="eastAsia" w:ascii="宋体" w:hAnsi="宋体" w:eastAsia="宋体" w:cs="宋体"/>
          <w:color w:val="auto"/>
          <w:position w:val="2"/>
          <w:highlight w:val="none"/>
          <w:u w:val="single"/>
        </w:rPr>
      </w:pP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年</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月</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日             </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年</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月</w:t>
      </w:r>
      <w:r>
        <w:rPr>
          <w:rFonts w:hint="eastAsia" w:ascii="宋体" w:hAnsi="宋体" w:eastAsia="宋体" w:cs="宋体"/>
          <w:color w:val="auto"/>
          <w:position w:val="2"/>
          <w:highlight w:val="none"/>
          <w:u w:val="single"/>
        </w:rPr>
        <w:t xml:space="preserve">         </w:t>
      </w:r>
      <w:r>
        <w:rPr>
          <w:rFonts w:hint="eastAsia" w:ascii="宋体" w:hAnsi="宋体" w:eastAsia="宋体" w:cs="宋体"/>
          <w:color w:val="auto"/>
          <w:position w:val="2"/>
          <w:highlight w:val="none"/>
        </w:rPr>
        <w:t xml:space="preserve">日</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注：联合体中标的，承包方签字、盖章格式须增加联合体其他成员，并标明联合体牵头人和联合体成员单位。</w:t>
      </w:r>
      <w:r/>
    </w:p>
    <w:p>
      <w:pPr>
        <w:spacing w:line="360" w:lineRule="auto"/>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 xml:space="preserve">    代建人也应当在本合同协议书中签字盖章。</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92"/>
        <w:rPr>
          <w:rFonts w:hint="eastAsia" w:ascii="宋体" w:hAnsi="宋体" w:eastAsia="宋体" w:cs="宋体"/>
          <w:color w:val="auto"/>
          <w:highlight w:val="none"/>
          <w:lang w:eastAsia="zh-CN"/>
        </w:rPr>
      </w:pPr>
      <w:r/>
      <w:bookmarkStart w:id="232" w:name="_Toc502675030"/>
      <w:r/>
      <w:bookmarkStart w:id="233" w:name="_Toc222303361"/>
      <w:r/>
      <w:bookmarkStart w:id="234" w:name="_Toc168475888"/>
      <w:r/>
      <w:bookmarkStart w:id="235" w:name="_Toc237153205"/>
      <w:r/>
      <w:bookmarkStart w:id="236" w:name="_Toc144974831"/>
      <w:r/>
      <w:bookmarkStart w:id="237" w:name="_Toc168476291"/>
      <w:r/>
      <w:bookmarkStart w:id="238" w:name="_Toc28613831"/>
      <w:r>
        <w:rPr>
          <w:rFonts w:hint="eastAsia" w:ascii="宋体" w:hAnsi="宋体" w:eastAsia="宋体" w:cs="宋体"/>
          <w:color w:val="auto"/>
          <w:highlight w:val="none"/>
        </w:rPr>
        <w:t xml:space="preserve">附件二：履约</w:t>
      </w:r>
      <w:bookmarkEnd w:id="232"/>
      <w:r/>
      <w:bookmarkEnd w:id="233"/>
      <w:r/>
      <w:bookmarkEnd w:id="234"/>
      <w:r/>
      <w:bookmarkEnd w:id="235"/>
      <w:r/>
      <w:bookmarkEnd w:id="236"/>
      <w:r/>
      <w:bookmarkEnd w:id="237"/>
      <w:r/>
      <w:bookmarkEnd w:id="238"/>
      <w:r>
        <w:rPr>
          <w:rFonts w:hint="eastAsia" w:ascii="宋体" w:hAnsi="宋体" w:eastAsia="宋体" w:cs="宋体"/>
          <w:color w:val="auto"/>
          <w:highlight w:val="none"/>
          <w:lang w:val="en-US" w:eastAsia="zh-CN"/>
        </w:rPr>
        <w:t xml:space="preserve">保证金（本项目不收取履约保证金）</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440" w:lineRule="exact"/>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p>
      <w:pPr>
        <w:pStyle w:val="1092"/>
        <w:rPr>
          <w:rFonts w:hint="eastAsia" w:ascii="宋体" w:hAnsi="宋体" w:eastAsia="宋体" w:cs="宋体"/>
          <w:color w:val="auto"/>
          <w:sz w:val="24"/>
          <w:highlight w:val="none"/>
          <w:u w:val="single"/>
          <w:lang w:eastAsia="zh-CN"/>
        </w:rPr>
      </w:pPr>
      <w:r/>
      <w:bookmarkStart w:id="239" w:name="_Toc28613832"/>
      <w:r/>
      <w:bookmarkStart w:id="240" w:name="_Toc144974833"/>
      <w:r/>
      <w:bookmarkStart w:id="241" w:name="_Toc502675031"/>
      <w:r/>
      <w:bookmarkStart w:id="242" w:name="_Toc168476292"/>
      <w:r/>
      <w:bookmarkStart w:id="243" w:name="_Toc168475889"/>
      <w:r/>
      <w:bookmarkStart w:id="244" w:name="_Toc237153206"/>
      <w:r/>
      <w:bookmarkStart w:id="245" w:name="_Toc222303362"/>
      <w:r/>
      <w:r/>
    </w:p>
    <w:p>
      <w:pPr>
        <w:pStyle w:val="1092"/>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1092"/>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1092"/>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239"/>
      <w:bookmarkEnd w:id="240"/>
      <w:bookmarkEnd w:id="241"/>
      <w:bookmarkEnd w:id="242"/>
      <w:bookmarkEnd w:id="243"/>
      <w:bookmarkEnd w:id="244"/>
      <w:bookmarkEnd w:id="245"/>
      <w:r/>
    </w:p>
    <w:p>
      <w:pPr>
        <w:pStyle w:val="1092"/>
        <w:rPr>
          <w:rFonts w:hint="eastAsia" w:ascii="宋体" w:hAnsi="宋体" w:eastAsia="宋体" w:cs="宋体"/>
          <w:color w:val="auto"/>
          <w:highlight w:val="none"/>
        </w:rPr>
      </w:pPr>
      <w:r/>
      <w:bookmarkStart w:id="246" w:name="_Toc237153207"/>
      <w:r/>
      <w:bookmarkStart w:id="247" w:name="_Toc28613833"/>
      <w:r/>
      <w:bookmarkStart w:id="248" w:name="_Toc502675032"/>
      <w:r/>
      <w:bookmarkStart w:id="249" w:name="_Toc22230336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：廉政合同</w:t>
      </w:r>
      <w:bookmarkEnd w:id="246"/>
      <w:r/>
      <w:bookmarkEnd w:id="247"/>
      <w:r/>
      <w:bookmarkEnd w:id="248"/>
      <w:r/>
      <w:bookmarkEnd w:id="249"/>
      <w:r/>
      <w:r/>
    </w:p>
    <w:p>
      <w:pPr>
        <w:ind w:left="2" w:firstLine="789"/>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 w:firstLine="789"/>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工程廉政合同一(格式)</w:t>
      </w:r>
      <w:r/>
    </w:p>
    <w:p>
      <w:pPr>
        <w:ind w:left="2" w:firstLine="55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（建设单位与施工单位）</w:t>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为贯彻落实党中央、国务院《关于实行党风廉政建设责任制的规定》，进一步加强水利工程建设中的党风廉政建设，保证工程建设优质、高效、有序地进行，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以下简称“甲方”），与承担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的施工单位（以下简称“乙方”），经双方协商一致，自愿签订以下廉政合同。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p>
    <w:p>
      <w:pPr>
        <w:ind w:left="2" w:hanging="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第一条：甲乙双方的权利和义务</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（施工合同）各项规定，自觉按合同办事。</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（三）双方的业务活动坚持公开、公正、公平、诚信的原则（除法律认定的商业秘密和合同文件另有规定之外），严禁损害国家和集体利益，违反工程建设管理规章制度。</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（四）建立健全党风廉政建设各项制度，开展党风廉政建设宣传教育，加强对本方工作人员的监督检查。</w:t>
      </w:r>
      <w:r/>
    </w:p>
    <w:p>
      <w:pPr>
        <w:ind w:left="2" w:firstLine="5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（五）发现对方在业务活动中有违反廉政规定的行为，有及时提醒和督促对方纠正的权利和义务，并严肃查处本方工作人员的违纪行为。</w:t>
      </w:r>
      <w:r/>
    </w:p>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第二条：甲方在廉政建设方面的义务</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（一）甲方及其工作人员不准在施工单位安插亲友及介绍销售工程材料，不得指定需购物资设备的销售单位或部门；不得挤占、截留、挪用工程款或超进度拨付工程款。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（二）甲方及其工作人员不准索要或接受乙方的礼金，有价证券、支付凭证、物品等财物。</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（三）甲方及其工作人员不准在乙方报销应由甲方或个人支付的费用。</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（四）甲方工作人员不准参加乙方组织的吃请、娱乐活动；不准要求乙方提供交通工具、通讯工具、办公用品等。</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（五）甲方及其工作人员不准要求或者接受乙方为其住房装修、婚丧嫁娶、配偶、子女、亲友出国（境）旅游提供方便。</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（七）甲方不得为任何单位或个人提供资金担保。</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（八）执行中央、省、市关于改进工作作风、密切联系群众的规定及《连云港市机关作风建设十条禁令》。</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第三条：乙方在廉政建设方面的义务</w:t>
      </w:r>
      <w:r/>
    </w:p>
    <w:p>
      <w:pPr>
        <w:ind w:left="1" w:firstLine="52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（一）乙方不准以任何形式向甲方及其工作人员馈赠礼金、礼品、有价证券、支付凭证、物品等财物；</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（二）乙方不准以任何名义为甲方及其工作人员报销应由甲方或个人支付的费用。</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 乙方不准以任何理由邀请甲方工作人员参加对承建的施工项目的吃请及娱乐活动；不准为其提供通讯工具、交通工具、办公用品等。</w:t>
      </w:r>
      <w:r/>
    </w:p>
    <w:p>
      <w:pPr>
        <w:ind w:firstLine="54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（四）乙方不准为甲方工作人员住房装修、婚丧嫁娶、配偶、子女、亲友出国（境）旅游提供方便；不准为甲方工作人员的配偶、子女及有利害关系的人员安排工作或劳务。</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（五）乙方不准违反规定将承建的施工项目分包或转包。</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（六）乙方及其工作人员不准与该工程的监理单位串通，违反工程计量、资金支付、质量验评、竣工验收等有关规定和程序，损害甲方利益，影响工程质量、进度和安全。</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（七）乙方不得以任何理由拖欠克扣聘用人员的工资。</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第四条：违约责任</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(一)甲方有严重违反本《廉政合同》有关规定的，对违法乱纪人员，由甲方主管部门依据有关规定查处，给乙方造成的损失，按有关规定予以赔偿。</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（二）乙方有违反本《廉政合同》有关规定的，对违法乱纪人员，由乙方主管部门或行业主管部门依据有关规定查处，构成犯罪的移交司法机关处理，给甲方造成的损失，按有关规定予以赔偿。</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第五条：督查单位</w:t>
      </w:r>
      <w:r/>
    </w:p>
    <w:p>
      <w:pPr>
        <w:ind w:left="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双方约定：</w:t>
      </w:r>
      <w:r>
        <w:rPr>
          <w:rFonts w:hint="eastAsia" w:ascii="宋体" w:hAnsi="宋体" w:eastAsia="宋体" w:cs="宋体"/>
          <w:color w:val="auto"/>
          <w:szCs w:val="28"/>
          <w:highlight w:val="none"/>
        </w:rPr>
        <w:t xml:space="preserve">双方各自在接受本单位上级主管部门或行业主管部门监督检查的同时，</w:t>
      </w:r>
      <w:r>
        <w:rPr>
          <w:rFonts w:hint="eastAsia" w:ascii="宋体" w:hAnsi="宋体" w:eastAsia="宋体" w:cs="宋体"/>
          <w:color w:val="auto"/>
          <w:szCs w:val="21"/>
          <w:highlight w:val="none"/>
        </w:rPr>
        <w:t xml:space="preserve">自愿接受纪检、监察部门对合同执行情况的监督检查。</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第六条：检查方式</w:t>
      </w:r>
      <w:r/>
    </w:p>
    <w:p>
      <w:pPr>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甲、乙双方应自觉提供财务资料，配合有关单位监督，如无法达成一致的，由督查单位依据事实裁定。</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第七条：本合同有效期为工程开工之日起至该合同段工程项目竣工验收后止。</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第八条：本合同甲、乙双方各执一份，送交督查单位一份。</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甲方单位：（盖章）                        </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乙方单位：（盖章）</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督查单位：（盖章）</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    期：     年    月    日</w:t>
      </w:r>
      <w:bookmarkStart w:id="250" w:name="_Toc94001966"/>
      <w:r/>
      <w:bookmarkStart w:id="251" w:name="_Toc111456132"/>
      <w:r/>
      <w:r/>
    </w:p>
    <w:p>
      <w:pPr>
        <w:pStyle w:val="1092"/>
        <w:rPr>
          <w:rFonts w:hint="eastAsia" w:ascii="宋体" w:hAnsi="宋体" w:eastAsia="宋体" w:cs="宋体"/>
          <w:color w:val="auto"/>
          <w:highlight w:val="none"/>
        </w:rPr>
      </w:pPr>
      <w:r/>
      <w:bookmarkStart w:id="252" w:name="_Toc218097324"/>
      <w:r/>
      <w:bookmarkStart w:id="253" w:name="_Toc267381104"/>
      <w:r/>
      <w:bookmarkStart w:id="254" w:name="_Toc299525415"/>
      <w:r/>
      <w:bookmarkStart w:id="255" w:name="_Toc300831764"/>
      <w:r/>
      <w:bookmarkStart w:id="256" w:name="_Toc218097613"/>
      <w:r/>
      <w:bookmarkStart w:id="257" w:name="_Toc273385656"/>
      <w:r/>
      <w:bookmarkStart w:id="258" w:name="_Toc272835266"/>
      <w:r/>
      <w:bookmarkStart w:id="259" w:name="_Toc267465570"/>
      <w:r/>
      <w:bookmarkStart w:id="260" w:name="_Toc292099713"/>
      <w:r/>
      <w:bookmarkStart w:id="261" w:name="_Toc272835655"/>
      <w:r/>
      <w:bookmarkStart w:id="262" w:name="_Toc267926097"/>
      <w:r/>
      <w:bookmarkStart w:id="263" w:name="_Toc267382519"/>
      <w:r>
        <w:rPr>
          <w:rFonts w:hint="eastAsia" w:ascii="宋体" w:hAnsi="宋体" w:eastAsia="宋体" w:cs="宋体"/>
          <w:color w:val="auto"/>
          <w:highlight w:val="none"/>
        </w:rPr>
        <w:br w:type="page" w:clear="all"/>
      </w:r>
      <w:bookmarkStart w:id="264" w:name="_Toc386274262"/>
      <w:r/>
      <w:bookmarkStart w:id="265" w:name="_Toc378180127"/>
      <w:r/>
      <w:bookmarkStart w:id="266" w:name="_Toc346814872"/>
      <w:r/>
      <w:bookmarkStart w:id="267" w:name="_Toc306804489"/>
      <w:r/>
      <w:bookmarkStart w:id="268" w:name="_Toc352098774"/>
      <w:r/>
      <w:bookmarkStart w:id="269" w:name="_Toc363840984"/>
      <w:r/>
      <w:bookmarkStart w:id="270" w:name="_Toc304821020"/>
      <w:r/>
      <w:bookmarkStart w:id="271" w:name="_Toc341791609"/>
      <w:r/>
      <w:bookmarkStart w:id="272" w:name="_Toc335222664"/>
      <w:r/>
      <w:bookmarkStart w:id="273" w:name="_Toc329160804"/>
      <w:r/>
      <w:bookmarkStart w:id="274" w:name="_Toc353087986"/>
      <w:r/>
      <w:bookmarkStart w:id="275" w:name="_Toc332201094"/>
      <w:r/>
      <w:bookmarkStart w:id="276" w:name="_Toc335209351"/>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：工程廉政合同二（格式）</w:t>
      </w:r>
      <w:bookmarkEnd w:id="264"/>
      <w:r/>
      <w:bookmarkEnd w:id="265"/>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工程廉政合同二</w:t>
      </w:r>
      <w:bookmarkEnd w:id="250"/>
      <w:r/>
      <w:bookmarkEnd w:id="251"/>
      <w:r>
        <w:rPr>
          <w:rFonts w:hint="eastAsia" w:ascii="宋体" w:hAnsi="宋体" w:eastAsia="宋体" w:cs="宋体"/>
          <w:color w:val="auto"/>
          <w:sz w:val="30"/>
          <w:szCs w:val="30"/>
          <w:highlight w:val="none"/>
        </w:rPr>
        <w:t xml:space="preserve">（格式）</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7"/>
      <w:r/>
      <w:bookmarkEnd w:id="268"/>
      <w:r/>
      <w:bookmarkEnd w:id="269"/>
      <w:r/>
      <w:bookmarkEnd w:id="270"/>
      <w:r/>
      <w:bookmarkEnd w:id="271"/>
      <w:r/>
      <w:bookmarkEnd w:id="272"/>
      <w:r/>
      <w:bookmarkEnd w:id="273"/>
      <w:r/>
      <w:bookmarkEnd w:id="274"/>
      <w:r/>
      <w:bookmarkEnd w:id="275"/>
      <w:r/>
      <w:bookmarkEnd w:id="276"/>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（监理单位与施工单位）</w:t>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甲方：（监理单位）</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 (施工单位) </w:t>
      </w:r>
      <w:r/>
    </w:p>
    <w:p>
      <w:pPr>
        <w:ind w:firstLine="52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为贯彻落实党中央、国务院《关于实行党风廉政建设责任制的规定》，进一步加强水利工程建设中的党风廉政建设，保证工程施工优质、高效、有序地进行，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的监理单位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（以下简称“甲方”），与承建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（以下简称“乙方”），经双方协商一致，自愿签订以下廉政合同。</w:t>
      </w:r>
      <w:r/>
    </w:p>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第一条：甲乙双方的权利和义务</w:t>
      </w:r>
      <w:r>
        <w:rPr>
          <w:rFonts w:hint="eastAsia" w:ascii="宋体" w:hAnsi="宋体" w:eastAsia="宋体" w:cs="宋体"/>
          <w:b/>
          <w:color w:val="auto"/>
          <w:szCs w:val="21"/>
          <w:highlight w:val="none"/>
        </w:rPr>
        <w:br/>
      </w:r>
      <w:r>
        <w:rPr>
          <w:rFonts w:hint="eastAsia" w:ascii="宋体" w:hAnsi="宋体" w:eastAsia="宋体" w:cs="宋体"/>
          <w:color w:val="auto"/>
          <w:szCs w:val="21"/>
          <w:highlight w:val="none"/>
        </w:rPr>
        <w:t xml:space="preserve">  （一）严格遵守党和国家有关法律法规及党风廉政建设的各项规定。</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（二）严格执行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（合同编号）工程监理、施工合同文件，自觉按合同办事。</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（三）双方的业务活动坚持公开、公正、公平、诚信的原则（除法律认定的商业秘密和合同文件另有规定之外），不得损害国家、集体和业主的利益，违反工程建设管理规章制度。</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（四）建立健全党风廉政建设各项制度，开展党风廉政建设宣传教育，加强对本方工作人员的监督检查。</w:t>
      </w:r>
      <w:r/>
    </w:p>
    <w:p>
      <w:pPr>
        <w:ind w:left="1"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（五）发现对方工作人员在业务活动中有违反廉政规定的行为，有及时提醒和督促对方纠正的权利和义务，并严肃查处本方工作人员的违纪行为。</w:t>
      </w:r>
      <w:r>
        <w:rPr>
          <w:rFonts w:hint="eastAsia" w:ascii="宋体" w:hAnsi="宋体" w:eastAsia="宋体" w:cs="宋体"/>
          <w:color w:val="auto"/>
          <w:szCs w:val="21"/>
          <w:highlight w:val="none"/>
        </w:rPr>
        <w:br/>
      </w:r>
      <w:r>
        <w:rPr>
          <w:rFonts w:hint="eastAsia" w:ascii="宋体" w:hAnsi="宋体" w:eastAsia="宋体" w:cs="宋体"/>
          <w:b/>
          <w:color w:val="auto"/>
          <w:szCs w:val="21"/>
          <w:highlight w:val="none"/>
        </w:rPr>
        <w:t xml:space="preserve">第二条：甲方在廉政建设方面的义务</w:t>
      </w:r>
      <w:r>
        <w:rPr>
          <w:rFonts w:hint="eastAsia" w:ascii="宋体" w:hAnsi="宋体" w:eastAsia="宋体" w:cs="宋体"/>
          <w:b/>
          <w:color w:val="auto"/>
          <w:szCs w:val="21"/>
          <w:highlight w:val="none"/>
        </w:rPr>
        <w:br/>
      </w:r>
      <w:r>
        <w:rPr>
          <w:rFonts w:hint="eastAsia" w:ascii="宋体" w:hAnsi="宋体" w:eastAsia="宋体" w:cs="宋体"/>
          <w:color w:val="auto"/>
          <w:szCs w:val="21"/>
          <w:highlight w:val="none"/>
        </w:rPr>
        <w:t xml:space="preserve"> 　（一）甲方及其工作人员不准以任何形式向乙方索要或接受现金、有价证券、支付凭证、物品等财物。</w:t>
      </w:r>
      <w:r/>
    </w:p>
    <w:p>
      <w:pPr>
        <w:ind w:left="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（二）甲方及其工作人员不准在乙方报销应由甲方或个人支付的费用。</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（三）甲方及其工作人员不准参加对乙方承建的施工项目的吃请、娱乐活动；不准要求乙方提供交通工具、通讯工具、办公用品等。</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（四）甲方及其工作人员不准要求或者接受乙方为其住房装修、婚丧嫁娶、配偶、子女、亲友出国（境）旅游提供方便。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（五）甲方工作人员的配偶、子女、亲友不准从事与其监理业务有关的材料设备供应、工程分包等经济活动。</w:t>
      </w:r>
      <w:r/>
    </w:p>
    <w:p>
      <w:pPr>
        <w:ind w:firstLine="36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（六）甲方及其工作人员不准无正当理由拖延签发工程量清单、资金支付，损害乙方利益，影响工程质量、进度和安全。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（七）执行中央、省、市关于改进工作作风、密切联系群众的规定及《连云港市机关作风建设十条禁令》。</w:t>
      </w:r>
      <w:r/>
    </w:p>
    <w:p>
      <w:pPr>
        <w:ind w:left="316" w:hanging="31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第三条：乙方在廉政建设方面的义务</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（一）乙方不准以任何形式向甲方及其工作人员馈赠礼金、礼品、有价证券、支付凭证、物品等财物。</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（二）乙方不准以任何名义为甲方及其工作人员报销应由甲方或个人支付的费用。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（三）乙方不准以任何理由邀请甲方工作人员参加可能对公正执行监理业务的宴请、娱乐活动；不准为甲方及其工作人员提供交通工具、通讯工具、办公用品等。</w:t>
      </w:r>
      <w:r/>
    </w:p>
    <w:p>
      <w:pPr>
        <w:ind w:left="105" w:firstLine="23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（四）乙方不准为甲方及其工作人员住房装修、婚丧嫁娶、配偶、子女、亲友出国（境）旅游提供方便。</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（五）乙方不准为甲方工作人员的配偶、子女、亲友安排工作或劳务。</w:t>
      </w:r>
      <w:r/>
    </w:p>
    <w:p>
      <w:pPr>
        <w:ind w:firstLine="315"/>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（六）乙方及其工作人员必须严格履行施工合同条款，不准与甲方串通，损害业主的利益。</w:t>
      </w:r>
      <w:r>
        <w:rPr>
          <w:rFonts w:hint="eastAsia" w:ascii="宋体" w:hAnsi="宋体" w:eastAsia="宋体" w:cs="宋体"/>
          <w:color w:val="auto"/>
          <w:szCs w:val="21"/>
          <w:highlight w:val="none"/>
        </w:rPr>
        <w:br/>
      </w:r>
      <w:r>
        <w:rPr>
          <w:rFonts w:hint="eastAsia" w:ascii="宋体" w:hAnsi="宋体" w:eastAsia="宋体" w:cs="宋体"/>
          <w:b/>
          <w:color w:val="auto"/>
          <w:szCs w:val="21"/>
          <w:highlight w:val="none"/>
        </w:rPr>
        <w:t xml:space="preserve">第四条：违约责任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（一）甲方违反本《廉政合同》有关条款的，对违纪人员，由甲方主管部门或行业主管部门依据有关规定查处，给乙方造成的损失，按有关规定予以赔偿。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（二）乙方违反本《廉政合同》有关条款的，对违纪人员，由乙方主管部门或行业主管部门依据有关规定查处，构成犯罪的移交司法机关处理，给甲方造成的损失，按有关规定予以赔偿。 </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第五条：督查单位</w:t>
      </w:r>
      <w:r/>
    </w:p>
    <w:p>
      <w:pPr>
        <w:ind w:left="2"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双方约定：</w:t>
      </w:r>
      <w:r>
        <w:rPr>
          <w:rFonts w:hint="eastAsia" w:ascii="宋体" w:hAnsi="宋体" w:eastAsia="宋体" w:cs="宋体"/>
          <w:color w:val="auto"/>
          <w:szCs w:val="28"/>
          <w:highlight w:val="none"/>
        </w:rPr>
        <w:t xml:space="preserve">双方各自在接受本单位上级主管部门或行业主管部门监督检查的同时，</w:t>
      </w:r>
      <w:r>
        <w:rPr>
          <w:rFonts w:hint="eastAsia" w:ascii="宋体" w:hAnsi="宋体" w:eastAsia="宋体" w:cs="宋体"/>
          <w:color w:val="auto"/>
          <w:szCs w:val="21"/>
          <w:highlight w:val="none"/>
        </w:rPr>
        <w:t xml:space="preserve">自愿接受纪检、监察部门对合同执行情况的监督检查。</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第六条：检查方式</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本合同的履约情况由督查单位主持，甲乙双方共同派人参加，检查方式为座谈、问卷调查、查看资料或由各方约定的其他方式等。检查时间、次数、方式、检查结论和执行违约责任等由双方协商确定，甲、乙双方应自觉提供财务资料，配合有关单位监督，如无法达成一致的，由督查单位依据事实裁定。</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第七条：本合同有效期为甲乙双方签署之日起至该工程项目竣工验收后止。</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第八条：本合同甲、乙双方各执一份，送督查单位一份。</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25"/>
        <w:rPr>
          <w:rFonts w:hint="eastAsia" w:ascii="宋体" w:hAnsi="宋体" w:eastAsia="宋体" w:cs="宋体"/>
          <w:color w:val="auto"/>
          <w:sz w:val="28"/>
          <w:szCs w:val="28"/>
          <w:highlight w:val="none"/>
        </w:rPr>
      </w:pPr>
      <w:r>
        <w:rPr>
          <w:rFonts w:hint="eastAsia" w:ascii="宋体" w:hAnsi="宋体" w:eastAsia="宋体" w:cs="宋体"/>
          <w:color w:val="auto"/>
          <w:highlight w:val="none"/>
        </w:rPr>
        <w:t xml:space="preserve">日    期：     年    月    日</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rPr>
        <w:br w:type="page" w:clear="all"/>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92"/>
        <w:rPr>
          <w:rFonts w:hint="eastAsia" w:ascii="宋体" w:hAnsi="宋体" w:eastAsia="宋体" w:cs="宋体"/>
          <w:color w:val="auto"/>
          <w:highlight w:val="none"/>
        </w:rPr>
      </w:pPr>
      <w:r/>
      <w:bookmarkStart w:id="277" w:name="_Toc28613834"/>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：资金安全合同</w:t>
      </w:r>
      <w:bookmarkEnd w:id="277"/>
      <w:r/>
      <w:r/>
    </w:p>
    <w:p>
      <w:pPr>
        <w:ind w:firstLine="452"/>
        <w:jc w:val="center"/>
        <w:rPr>
          <w:rFonts w:hint="eastAsia" w:ascii="宋体" w:hAnsi="宋体" w:eastAsia="宋体" w:cs="宋体"/>
          <w:b/>
          <w:color w:val="auto"/>
          <w:sz w:val="30"/>
          <w:szCs w:val="30"/>
          <w:highlight w:val="none"/>
        </w:rPr>
      </w:pPr>
      <w:r/>
      <w:bookmarkStart w:id="278" w:name="_Toc28613835"/>
      <w:r>
        <w:rPr>
          <w:rFonts w:hint="eastAsia" w:ascii="宋体" w:hAnsi="宋体" w:eastAsia="宋体" w:cs="宋体"/>
          <w:b/>
          <w:color w:val="auto"/>
          <w:sz w:val="30"/>
          <w:szCs w:val="30"/>
          <w:highlight w:val="none"/>
        </w:rPr>
        <w:t xml:space="preserve">资金安全合同(格式)</w:t>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（建设单位与施工单位）</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为贯彻落实财政部、水利部《水利基本建设资金管理办法》、国家四部委《关于加强公益性水利工程建设管理的若干意见》，确保实现江苏省水利厅党组要求的“三个安全”目标，</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（以下简称“甲方”），与</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（以下简称“乙方”）协商一致，自愿签订以下资金安全合同。</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第一条：甲方的权利和义务</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（一）严格执行财政部、水利部《水利基本建设资金管理办法》中规定的水利基本建设资金管理原则，即分级管理、分级负责，专款专用，效益原则。</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（二）严格执行合同各项规定，自觉按合同办事，按照合同条款规定的时间和方式，及时支付预付款、工程进度款和保留金等。</w:t>
      </w:r>
      <w:r/>
    </w:p>
    <w:p>
      <w:pPr>
        <w:ind w:left="141" w:firstLine="29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（三）对乙方申报的经济合同结算审核坚持公开、公正、公平、诚信的原则，严禁损害国家和集体利益，严禁违反工程建设管理规章制度。</w:t>
      </w:r>
      <w:r/>
    </w:p>
    <w:p>
      <w:pPr>
        <w:ind w:left="1" w:firstLine="50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（四）甲方不为乙方指定分包单位或指定原材料、设备供应商。</w:t>
      </w:r>
      <w:r/>
    </w:p>
    <w:p>
      <w:pPr>
        <w:ind w:left="178"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（五）严格执行国家四部委《关于加强公益性水利工程建设管理的若干意见》规定，项目法人“负责对工程质量、进度、资金等进行管理、检查和监督”，加强对施工合同专项资金安全的监督。</w:t>
      </w:r>
      <w:r/>
    </w:p>
    <w:p>
      <w:pPr>
        <w:ind w:left="1" w:firstLine="50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（六）发现乙方在业务活动中有违反资金安全的行为，及时提醒和督促乙方纠正，必要时停止资金支付，并向双方的主管单位或行业管理部门通报。</w:t>
      </w:r>
      <w:r/>
    </w:p>
    <w:p>
      <w:pPr>
        <w:ind w:left="1" w:firstLine="50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（七）不得为任何单位或个人提供资金担保。</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第二条：乙方的权利和义务</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（一）乙方从甲方取得的资金必须用于</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工程，专款专用，专户存储，单独建帐。</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（二）乙方从甲方取得的银行汇票、本票、支票不得转让给其他单位。</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（三）乙方保证不外借、挪用、转移专项资金；不通过权益转让、抵押、质押、担保等任何其他方式使用专项资金，确保资金安全。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（四）乙方专项资金支出的各项费用必须真实、合理并依据充分。费用支出要严格按内部相互牵制的审批流程操作，报销凭证要合法合理。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（五）专项资金支出结算应该用银行转账,不得以大额现金支付。</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在施工过程中如使用农民工的，要保证不拖欠农民工工资，并将合同价款的1.0％作为不拖欠农民工工资的保证金，工程通过单位工程验收后未发现拖欠农民工工资的予以退还。如甲方收到对乙方拖欠农民工工资的举报，甲方有权从保证金中直接支付。</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（七）乙方不得违规分包和违法转包工程项目，否则甲方有权停止支付工程款。</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（八）乙方资金收支使用情况接受甲方、甲方主管部门及纪检监察部门监督。</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第三条：违约责任</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（一）甲方若违反本《资金安全合同》有关规定的，对违纪人员，由甲方主管部门依据有关规定查处，给乙方造成损失的，按有关规定予以赔偿。</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（二）乙方若违反本《资金安全合同》有关规定的，对违纪人员，由乙方主管部门或行业管理部门依据有关规定查处，给甲方造成损失的，按有关规定予以赔偿。</w:t>
      </w:r>
      <w:r/>
    </w:p>
    <w:p>
      <w:pPr>
        <w:ind w:left="1"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（三）甲、乙双方都应履行保密责任，不得将业务支出具体情况透露给本合同双方以外的其他单位或个人，否则受害方将依法追究相关责任。</w:t>
      </w:r>
      <w:r/>
    </w:p>
    <w:p>
      <w:pPr>
        <w:ind w:firstLine="422"/>
        <w:spacing w:before="40" w:after="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第四条：本合同有效期为工程合同签字之日起至该合同段工程项目竣工验收后止。</w:t>
      </w:r>
      <w:r/>
    </w:p>
    <w:p>
      <w:pPr>
        <w:ind w:firstLine="41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第五条：本合同甲、乙双方各执一份，送督查单位一份。</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督查单位：（盖章）</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法定代表人（或授权代理人）签字：</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55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92"/>
        <w:rPr>
          <w:rFonts w:hint="eastAsia" w:ascii="宋体" w:hAnsi="宋体" w:eastAsia="宋体" w:cs="宋体"/>
          <w:color w:val="auto"/>
          <w:highlight w:val="none"/>
        </w:rPr>
      </w:pP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：安全生产合同</w:t>
      </w:r>
      <w:bookmarkEnd w:id="278"/>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安全生产合同</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（建设单位与施工单位）</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before="1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为在                                                   施工合同的实施过程中创造安全、高效的施工环境，切实搞好本项目的安全管理工作，特此签订安全生产合同。具体如下：</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一、甲方职责</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1．严格遵守国家有关安全生产的法律法规，认真执行工程承包合同中的有关安全要求。</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2．按照“安全第一、预防为主”和坚持“管生产必须管安全”的原则进行安全生产管理，做到生产与安全工作同时计划、布置、检查、总结和评比。</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3．定期召开安全生产协调会，及时传达中央及地方有关安全生产的精神。</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4．组织对乙方施工现场安全生产检查，建立安全生产责任制网络、监督乙方及时处理发现的各种安全隐患。</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二、乙方职责</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1．严格遵守国家有关安全生产的法律法规、有关安全生产的规定，认真执行工程承包合同中的有关安全要求，接受甲方和监理工程师对安全生产工作的指导。</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3．建立健全安全生产责任制网络。从负责项</w:t>
      </w:r>
      <w:r>
        <w:rPr>
          <w:rFonts w:hint="eastAsia" w:ascii="宋体" w:hAnsi="宋体" w:eastAsia="宋体" w:cs="宋体"/>
          <w:color w:val="auto"/>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4．乙方在任何时侯都应采取各种合理的预防措施，防止其人员发生任何违法、违禁、暴力、违规或妨碍治安的行为。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6．加强施工中的交通运输安全管理。</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7．对于易燃易爆的材料除应专门妥善保管之外，还应配备有足够的消防设施，所有施工人员都应熟悉消防设备的性能和使用方法。</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8．操作人员上岗，必须按规定穿戴防护用品。施工负责人和安全检查员应随时检查劳动防护用品的穿戴情况，不按规定穿戴防护用品的人员不得上岗。</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9．所有施工机具设备均应定期检查，并有安全员的签字记录，保证其处于完好状态；不合格的机具、设备和劳动保护用品严禁使用。</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10．施工中采用新技术、新工艺、新设备、新材料时，必须制定相应的安全技术措施，施工现场必须具有相关的安全标志牌。</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11．建立主要危险源备案制度，要明确潜在隐患、防范措施和落实责任人。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三、违约责任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如因甲方或乙方违约造成安全事故，将报请有关部门依法追究责任。</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本合同一式二份，由双方法定代表人或其授权的代理人签署和加盖公章后生效，全部工程竣工验收后失效。</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      方：                         乙    方：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法定代表人（或授权代理人）：         法定代表人（或授权代理人）：</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地     址：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              </w:t>
      </w:r>
      <w:r/>
    </w:p>
    <w:p>
      <w:pPr>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日     期：</w:t>
      </w:r>
      <w:r/>
    </w:p>
    <w:p>
      <w:pPr>
        <w:jc w:val="center"/>
        <w:spacing w:line="360" w:lineRule="auto"/>
        <w:rPr>
          <w:rFonts w:hint="eastAsia" w:ascii="宋体" w:hAnsi="宋体"/>
          <w:b/>
          <w:bCs/>
          <w:color w:val="auto"/>
          <w:sz w:val="52"/>
          <w:szCs w:val="24"/>
          <w:highlight w:val="none"/>
        </w:rP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Times New Roman" w:hAnsi="宋体" w:eastAsia="黑体"/>
          <w:color w:val="auto"/>
          <w:sz w:val="36"/>
          <w:szCs w:val="20"/>
          <w:highlight w:val="none"/>
        </w:rPr>
        <w:br w:type="page" w:clear="all"/>
      </w:r>
      <w:r/>
    </w:p>
    <w:p>
      <w:pPr>
        <w:jc w:val="center"/>
        <w:spacing w:before="120" w:after="120" w:line="0" w:lineRule="atLeast"/>
        <w:rPr>
          <w:rFonts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 xml:space="preserve">第</w:t>
      </w:r>
      <w:bookmarkEnd w:id="193"/>
      <w:r>
        <w:rPr>
          <w:rFonts w:hint="eastAsia" w:ascii="黑体" w:hAnsi="Courier New" w:eastAsia="黑体" w:cs="Courier New"/>
          <w:bCs/>
          <w:color w:val="auto"/>
          <w:sz w:val="44"/>
          <w:szCs w:val="21"/>
          <w:highlight w:val="none"/>
        </w:rPr>
        <w:t xml:space="preserve">四章 采购需求</w:t>
      </w:r>
      <w:bookmarkEnd w:id="194"/>
      <w:r/>
      <w:bookmarkEnd w:id="195"/>
      <w:r/>
      <w:bookmarkEnd w:id="196"/>
      <w:r/>
      <w:bookmarkStart w:id="279" w:name="_Toc49090575"/>
      <w:r/>
      <w:bookmarkStart w:id="280" w:name="_Toc26554093"/>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color w:val="auto"/>
          <w:sz w:val="24"/>
          <w:szCs w:val="24"/>
          <w:highlight w:val="none"/>
        </w:rPr>
        <w:t xml:space="preserve">说明：</w:t>
      </w:r>
      <w:r>
        <w:rPr>
          <w:rFonts w:hint="eastAsia" w:ascii="宋体" w:hAnsi="宋体"/>
          <w:color w:val="auto"/>
          <w:sz w:val="24"/>
          <w:szCs w:val="24"/>
          <w:highlight w:val="none"/>
        </w:rPr>
        <w:t xml:space="preserve">本项目采购方式为竞争性磋商，项目属性为</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采购标的对应的中小企业划分标准所属行业为</w:t>
      </w:r>
      <w:r>
        <w:rPr>
          <w:rFonts w:hint="eastAsia" w:ascii="宋体" w:hAnsi="宋体"/>
          <w:b/>
          <w:bCs/>
          <w:color w:val="auto"/>
          <w:sz w:val="24"/>
          <w:szCs w:val="24"/>
          <w:highlight w:val="none"/>
          <w:u w:val="single"/>
        </w:rPr>
        <w:t xml:space="preserve">其他未列明行业</w:t>
      </w:r>
      <w:r>
        <w:rPr>
          <w:rFonts w:hint="eastAsia" w:ascii="宋体" w:hAnsi="宋体"/>
          <w:color w:val="auto"/>
          <w:sz w:val="24"/>
          <w:szCs w:val="24"/>
          <w:highlight w:val="none"/>
        </w:rPr>
        <w:t xml:space="preserve">。</w:t>
      </w:r>
      <w:r/>
    </w:p>
    <w:p>
      <w:pPr>
        <w:numPr>
          <w:ilvl w:val="0"/>
          <w:numId w:val="5"/>
        </w:numPr>
        <w:ind w:firstLine="482"/>
        <w:keepLines w:val="0"/>
        <w:keepNext w:val="0"/>
        <w:pageBreakBefore w:val="0"/>
        <w:spacing w:line="360" w:lineRule="auto"/>
        <w:widowControl w:val="off"/>
        <w:rPr>
          <w:b/>
          <w:bCs/>
          <w:color w:val="auto"/>
          <w:sz w:val="24"/>
          <w:szCs w:val="24"/>
          <w:highlight w:val="none"/>
        </w:rPr>
      </w:pPr>
      <w:r>
        <w:rPr>
          <w:rFonts w:hint="eastAsia"/>
          <w:b/>
          <w:bCs/>
          <w:color w:val="auto"/>
          <w:sz w:val="24"/>
          <w:szCs w:val="24"/>
          <w:highlight w:val="none"/>
        </w:rPr>
        <w:t xml:space="preserve">建设内容</w:t>
      </w:r>
      <w:r/>
    </w:p>
    <w:p>
      <w:pPr>
        <w:ind w:firstLine="480"/>
        <w:spacing w:line="360" w:lineRule="auto"/>
        <w:tabs>
          <w:tab w:val="left" w:pos="2625" w:leader="none"/>
        </w:tabs>
        <w:rPr>
          <w:rFonts w:hint="eastAsia"/>
          <w:color w:val="auto"/>
          <w:sz w:val="24"/>
          <w:highlight w:val="none"/>
        </w:rPr>
      </w:pPr>
      <w:r>
        <w:rPr>
          <w:rFonts w:hint="eastAsia"/>
          <w:color w:val="auto"/>
          <w:sz w:val="24"/>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根据《江苏省财政厅 江苏省水利厅关于下达 </w:t>
      </w:r>
      <w:r>
        <w:rPr>
          <w:rFonts w:hint="default" w:ascii="宋体" w:hAnsi="宋体"/>
          <w:color w:val="auto"/>
          <w:sz w:val="24"/>
          <w:highlight w:val="none"/>
          <w:lang w:val="en-US" w:eastAsia="zh-CN"/>
        </w:rPr>
        <w:t xml:space="preserve">2026 </w:t>
      </w:r>
      <w:r>
        <w:rPr>
          <w:rFonts w:hint="eastAsia" w:ascii="宋体" w:hAnsi="宋体"/>
          <w:color w:val="auto"/>
          <w:sz w:val="24"/>
          <w:highlight w:val="none"/>
          <w:lang w:val="en-US" w:eastAsia="zh-CN"/>
        </w:rPr>
        <w:t xml:space="preserve">年省级水利建设和发展专项资金预算（第一批水利发展）的通知》（苏财农〔</w:t>
      </w:r>
      <w:r>
        <w:rPr>
          <w:rFonts w:hint="default" w:ascii="宋体" w:hAnsi="宋体"/>
          <w:color w:val="auto"/>
          <w:sz w:val="24"/>
          <w:highlight w:val="none"/>
          <w:lang w:val="en-US" w:eastAsia="zh-CN"/>
        </w:rPr>
        <w:t xml:space="preserve">2026</w:t>
      </w:r>
      <w:r>
        <w:rPr>
          <w:rFonts w:hint="eastAsia" w:ascii="宋体" w:hAnsi="宋体"/>
          <w:color w:val="auto"/>
          <w:sz w:val="24"/>
          <w:highlight w:val="none"/>
          <w:lang w:val="en-US" w:eastAsia="zh-CN"/>
        </w:rPr>
        <w:t xml:space="preserve">〕</w:t>
      </w:r>
      <w:r>
        <w:rPr>
          <w:rFonts w:hint="default" w:ascii="宋体" w:hAnsi="宋体"/>
          <w:color w:val="auto"/>
          <w:sz w:val="24"/>
          <w:highlight w:val="none"/>
          <w:lang w:val="en-US" w:eastAsia="zh-CN"/>
        </w:rPr>
        <w:t xml:space="preserve">36 </w:t>
      </w:r>
      <w:r>
        <w:rPr>
          <w:rFonts w:hint="eastAsia" w:ascii="宋体" w:hAnsi="宋体"/>
          <w:color w:val="auto"/>
          <w:sz w:val="24"/>
          <w:highlight w:val="none"/>
          <w:lang w:val="en-US" w:eastAsia="zh-CN"/>
        </w:rPr>
        <w:t xml:space="preserve">号）文件要求，本项目为灌区骨干小型工程维修养护项目。实施范围及建设内容见下表。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本次工程主要对辖区内破损骨干渠道、渠首闸涵、泵站、渡槽、地涵、生产桥等灌区骨干工程维修养护。主要建设内容为：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维修泵站 </w:t>
      </w:r>
      <w:r>
        <w:rPr>
          <w:rFonts w:hint="default" w:ascii="宋体" w:hAnsi="宋体"/>
          <w:color w:val="auto"/>
          <w:sz w:val="24"/>
          <w:highlight w:val="none"/>
          <w:lang w:val="en-US" w:eastAsia="zh-CN"/>
        </w:rPr>
        <w:t xml:space="preserve">5 </w:t>
      </w:r>
      <w:r>
        <w:rPr>
          <w:rFonts w:hint="eastAsia" w:ascii="宋体" w:hAnsi="宋体"/>
          <w:color w:val="auto"/>
          <w:sz w:val="24"/>
          <w:highlight w:val="none"/>
          <w:lang w:val="en-US" w:eastAsia="zh-CN"/>
        </w:rPr>
        <w:t xml:space="preserve">座，维修渠首及各类闸涵 </w:t>
      </w:r>
      <w:r>
        <w:rPr>
          <w:rFonts w:hint="default" w:ascii="宋体" w:hAnsi="宋体"/>
          <w:color w:val="auto"/>
          <w:sz w:val="24"/>
          <w:highlight w:val="none"/>
          <w:lang w:val="en-US" w:eastAsia="zh-CN"/>
        </w:rPr>
        <w:t xml:space="preserve">29 </w:t>
      </w:r>
      <w:r>
        <w:rPr>
          <w:rFonts w:hint="eastAsia" w:ascii="宋体" w:hAnsi="宋体"/>
          <w:color w:val="auto"/>
          <w:sz w:val="24"/>
          <w:highlight w:val="none"/>
          <w:lang w:val="en-US" w:eastAsia="zh-CN"/>
        </w:rPr>
        <w:t xml:space="preserve">座，维修骨干渠道 </w:t>
      </w:r>
      <w:r>
        <w:rPr>
          <w:rFonts w:hint="default" w:ascii="宋体" w:hAnsi="宋体"/>
          <w:color w:val="auto"/>
          <w:sz w:val="24"/>
          <w:highlight w:val="none"/>
          <w:lang w:val="en-US" w:eastAsia="zh-CN"/>
        </w:rPr>
        <w:t xml:space="preserve">6 </w:t>
      </w:r>
      <w:r>
        <w:rPr>
          <w:rFonts w:hint="eastAsia" w:ascii="宋体" w:hAnsi="宋体"/>
          <w:color w:val="auto"/>
          <w:sz w:val="24"/>
          <w:highlight w:val="none"/>
          <w:lang w:val="en-US" w:eastAsia="zh-CN"/>
        </w:rPr>
        <w:t xml:space="preserve">条，维修地涵 </w:t>
      </w:r>
      <w:r>
        <w:rPr>
          <w:rFonts w:hint="default" w:ascii="宋体" w:hAnsi="宋体"/>
          <w:color w:val="auto"/>
          <w:sz w:val="24"/>
          <w:highlight w:val="none"/>
          <w:lang w:val="en-US" w:eastAsia="zh-CN"/>
        </w:rPr>
        <w:t xml:space="preserve">4 </w:t>
      </w:r>
      <w:r>
        <w:rPr>
          <w:rFonts w:hint="eastAsia" w:ascii="宋体" w:hAnsi="宋体"/>
          <w:color w:val="auto"/>
          <w:sz w:val="24"/>
          <w:highlight w:val="none"/>
          <w:lang w:val="en-US" w:eastAsia="zh-CN"/>
        </w:rPr>
        <w:t xml:space="preserve">座等。</w:t>
      </w:r>
      <w:r/>
    </w:p>
    <w:p>
      <w:pPr>
        <w:ind w:left="0" w:firstLine="0"/>
        <w:jc w:val="center"/>
        <w:keepLines w:val="0"/>
        <w:keepNext w:val="0"/>
        <w:pageBreakBefore w:val="0"/>
        <w:spacing w:line="240" w:lineRule="auto"/>
        <w:widowControl/>
        <w:rPr>
          <w:rFonts w:hint="default" w:ascii="Times New Roman" w:hAnsi="Times New Roman" w:eastAsia="宋体" w:cs="Times New Roman"/>
          <w:b/>
          <w:bCs/>
          <w:color w:val="auto"/>
          <w:highlight w:val="none"/>
          <w:lang w:eastAsia="zh-CN"/>
        </w:rPr>
      </w:pPr>
      <w:r>
        <w:rPr>
          <w:rFonts w:hint="default" w:ascii="Times New Roman" w:hAnsi="Times New Roman" w:eastAsia="宋体" w:cs="Times New Roman"/>
          <w:b/>
          <w:bCs/>
          <w:color w:val="auto"/>
          <w:highlight w:val="none"/>
          <w:lang w:val="en-US" w:eastAsia="zh-CN"/>
        </w:rPr>
        <w:t xml:space="preserve"> 东海县2026年灌区骨干工程维修养护项目</w:t>
      </w:r>
      <w:r>
        <w:rPr>
          <w:rFonts w:hint="default" w:ascii="Times New Roman" w:hAnsi="Times New Roman" w:eastAsia="宋体" w:cs="Times New Roman"/>
          <w:b/>
          <w:bCs/>
          <w:color w:val="auto"/>
          <w:highlight w:val="none"/>
          <w:lang w:eastAsia="zh-CN"/>
        </w:rPr>
        <w:t xml:space="preserve">建设内容表</w:t>
      </w:r>
      <w:r/>
    </w:p>
    <w:tbl>
      <w:tblPr>
        <w:tblStyle w:val="789"/>
        <w:tblW w:w="1022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67"/>
        <w:gridCol w:w="1713"/>
        <w:gridCol w:w="1582"/>
        <w:gridCol w:w="6266"/>
      </w:tblGrid>
      <w:tr>
        <w:trPr>
          <w:jc w:val="center"/>
          <w:trHeight w:val="325"/>
          <w:tblHeader/>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bCs/>
                <w:i w:val="0"/>
                <w:color w:val="auto"/>
                <w:sz w:val="21"/>
                <w:szCs w:val="21"/>
                <w:highlight w:val="none"/>
                <w:u w:val="none"/>
                <w:lang w:val="en-US" w:eastAsia="zh-CN" w:bidi="ar"/>
              </w:rPr>
              <w:suppressLineNumbers w:val="0"/>
            </w:pPr>
            <w:r/>
            <w:bookmarkStart w:id="281" w:name="_Toc16479"/>
            <w:r/>
            <w:bookmarkStart w:id="282" w:name="_Toc13235"/>
            <w:r/>
            <w:bookmarkStart w:id="283" w:name="_Toc30321"/>
            <w:r/>
            <w:bookmarkStart w:id="284" w:name="_Toc22538"/>
            <w:r/>
            <w:bookmarkStart w:id="285" w:name="_Toc2818"/>
            <w:r>
              <w:rPr>
                <w:rFonts w:hint="default" w:ascii="Times New Roman" w:hAnsi="Times New Roman" w:eastAsia="宋体" w:cs="Times New Roman"/>
                <w:b/>
                <w:bCs/>
                <w:i w:val="0"/>
                <w:iCs w:val="0"/>
                <w:color w:val="auto"/>
                <w:sz w:val="20"/>
                <w:szCs w:val="20"/>
                <w:highlight w:val="none"/>
                <w:u w:val="none"/>
                <w:lang w:val="en-US" w:eastAsia="zh-CN" w:bidi="ar"/>
              </w:rPr>
              <w:t xml:space="preserve">序号</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bCs/>
                <w:i w:val="0"/>
                <w:color w:val="auto"/>
                <w:sz w:val="21"/>
                <w:szCs w:val="21"/>
                <w:highlight w:val="none"/>
                <w:u w:val="none"/>
                <w:lang w:val="en-US" w:eastAsia="zh-CN" w:bidi="ar"/>
              </w:rPr>
              <w:suppressLineNumbers w:val="0"/>
            </w:pPr>
            <w:r>
              <w:rPr>
                <w:rFonts w:hint="eastAsia" w:cs="Times New Roman"/>
                <w:b/>
                <w:bCs/>
                <w:i w:val="0"/>
                <w:iCs w:val="0"/>
                <w:color w:val="auto"/>
                <w:sz w:val="20"/>
                <w:szCs w:val="20"/>
                <w:highlight w:val="none"/>
                <w:u w:val="none"/>
                <w:lang w:val="en-US" w:eastAsia="zh-CN" w:bidi="ar"/>
              </w:rPr>
              <w:t xml:space="preserve">建设地点</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所在灌区</w:t>
            </w:r>
            <w:r/>
          </w:p>
        </w:tc>
        <w:tc>
          <w:tcPr>
            <w:tcW w:w="6266" w:type="dxa"/>
            <w:vAlign w:val="center"/>
            <w:textDirection w:val="lrTb"/>
            <w:noWrap w:val="false"/>
          </w:tcPr>
          <w:p>
            <w:pPr>
              <w:jc w:val="center"/>
              <w:keepLines w:val="0"/>
              <w:keepNext w:val="0"/>
              <w:widowControl/>
              <w:rPr>
                <w:rFonts w:hint="default" w:ascii="Times New Roman" w:hAnsi="Times New Roman" w:eastAsia="宋体" w:cs="Times New Roman"/>
                <w:b/>
                <w:bCs/>
                <w:i w:val="0"/>
                <w:color w:val="auto"/>
                <w:sz w:val="21"/>
                <w:szCs w:val="21"/>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建设内容</w:t>
            </w:r>
            <w:r/>
          </w:p>
        </w:tc>
      </w:tr>
      <w:tr>
        <w:trPr>
          <w:jc w:val="center"/>
          <w:trHeight w:val="527"/>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一                                                                                                                                                                           </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山左口镇</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红石渠灌区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维修黑埠水库灌溉渠道</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260m</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，黑埠水库砖砌渠道维修170m</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，黑埠水库浆砌石渠道维修285m</w:t>
            </w:r>
            <w:r/>
          </w:p>
        </w:tc>
      </w:tr>
      <w:tr>
        <w:trPr>
          <w:jc w:val="center"/>
          <w:trHeight w:val="527"/>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二 </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石梁河</w:t>
            </w:r>
            <w:r>
              <w:rPr>
                <w:rFonts w:hint="eastAsia" w:cs="Times New Roman"/>
                <w:b w:val="0"/>
                <w:bCs w:val="0"/>
                <w:i w:val="0"/>
                <w:iCs w:val="0"/>
                <w:color w:val="auto"/>
                <w:sz w:val="21"/>
                <w:szCs w:val="21"/>
                <w:highlight w:val="none"/>
                <w:u w:val="none"/>
                <w:lang w:val="en-US" w:eastAsia="zh-CN" w:bidi="ar"/>
              </w:rPr>
              <w:t xml:space="preserve">镇</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沭南灌区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维修石梁河电站干渠254m，维修石梁河一级站</w:t>
            </w:r>
            <w:r>
              <w:rPr>
                <w:rFonts w:hint="eastAsia" w:ascii="Times New Roman" w:hAnsi="Times New Roman" w:eastAsia="宋体" w:cs="Times New Roman"/>
                <w:i w:val="0"/>
                <w:iCs w:val="0"/>
                <w:color w:val="auto"/>
                <w:sz w:val="21"/>
                <w:szCs w:val="21"/>
                <w:highlight w:val="none"/>
                <w:u w:val="none"/>
                <w:lang w:val="en-US" w:eastAsia="zh-CN" w:bidi="ar"/>
              </w:rPr>
              <w:t xml:space="preserve">（机组维修保养、上油养护）</w:t>
            </w:r>
            <w:r>
              <w:rPr>
                <w:rFonts w:hint="default" w:ascii="Times New Roman" w:hAnsi="Times New Roman" w:eastAsia="宋体" w:cs="Times New Roman"/>
                <w:i w:val="0"/>
                <w:iCs w:val="0"/>
                <w:color w:val="auto"/>
                <w:sz w:val="21"/>
                <w:szCs w:val="21"/>
                <w:highlight w:val="none"/>
                <w:u w:val="none"/>
                <w:lang w:val="en-US" w:eastAsia="zh-CN" w:bidi="ar"/>
              </w:rPr>
              <w:t xml:space="preserve">、瓜安一级站</w:t>
            </w:r>
            <w:r>
              <w:rPr>
                <w:rFonts w:hint="eastAsia" w:ascii="Times New Roman" w:hAnsi="Times New Roman" w:eastAsia="宋体" w:cs="Times New Roman"/>
                <w:i w:val="0"/>
                <w:iCs w:val="0"/>
                <w:color w:val="auto"/>
                <w:sz w:val="21"/>
                <w:szCs w:val="21"/>
                <w:highlight w:val="none"/>
                <w:u w:val="none"/>
                <w:lang w:val="en-US" w:eastAsia="zh-CN" w:bidi="ar"/>
              </w:rPr>
              <w:t xml:space="preserve">（4套14寸混流泵维修，30千瓦电机维修及调试，55KW启动柜维修安装、调试）</w:t>
            </w:r>
            <w:r>
              <w:rPr>
                <w:rFonts w:hint="default" w:ascii="Times New Roman" w:hAnsi="Times New Roman" w:eastAsia="宋体" w:cs="Times New Roman"/>
                <w:i w:val="0"/>
                <w:iCs w:val="0"/>
                <w:color w:val="auto"/>
                <w:sz w:val="21"/>
                <w:szCs w:val="21"/>
                <w:highlight w:val="none"/>
                <w:u w:val="none"/>
                <w:lang w:val="en-US" w:eastAsia="zh-CN" w:bidi="ar"/>
              </w:rPr>
              <w:t xml:space="preserve">、瓜安二级站</w:t>
            </w:r>
            <w:r>
              <w:rPr>
                <w:rFonts w:hint="eastAsia" w:ascii="Times New Roman" w:hAnsi="Times New Roman" w:eastAsia="宋体" w:cs="Times New Roman"/>
                <w:i w:val="0"/>
                <w:iCs w:val="0"/>
                <w:color w:val="auto"/>
                <w:sz w:val="21"/>
                <w:szCs w:val="21"/>
                <w:highlight w:val="none"/>
                <w:u w:val="none"/>
                <w:lang w:val="en-US" w:eastAsia="zh-CN" w:bidi="ar"/>
              </w:rPr>
              <w:t xml:space="preserve">（350HW-8混流泵更换）</w:t>
            </w:r>
            <w:r>
              <w:rPr>
                <w:rFonts w:hint="default" w:ascii="Times New Roman" w:hAnsi="Times New Roman" w:eastAsia="宋体" w:cs="Times New Roman"/>
                <w:i w:val="0"/>
                <w:iCs w:val="0"/>
                <w:color w:val="auto"/>
                <w:sz w:val="21"/>
                <w:szCs w:val="21"/>
                <w:highlight w:val="none"/>
                <w:u w:val="none"/>
                <w:lang w:val="en-US" w:eastAsia="zh-CN" w:bidi="ar"/>
              </w:rPr>
              <w:t xml:space="preserve">，维修石梁河二级站进水池</w:t>
            </w:r>
            <w:r>
              <w:rPr>
                <w:rFonts w:hint="eastAsia" w:ascii="Times New Roman" w:hAnsi="Times New Roman" w:eastAsia="宋体" w:cs="Times New Roman"/>
                <w:i w:val="0"/>
                <w:iCs w:val="0"/>
                <w:color w:val="auto"/>
                <w:sz w:val="21"/>
                <w:szCs w:val="21"/>
                <w:highlight w:val="none"/>
                <w:u w:val="none"/>
                <w:lang w:val="en-US" w:eastAsia="zh-CN" w:bidi="ar"/>
              </w:rPr>
              <w:t xml:space="preserve">（维修进水池墙、新建拦污栅等）</w:t>
            </w:r>
            <w:r/>
          </w:p>
        </w:tc>
      </w:tr>
      <w:tr>
        <w:trPr>
          <w:jc w:val="center"/>
          <w:trHeight w:val="289"/>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三                                                                                                                                                                            </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桃林镇</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大石埠水库灌区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维修陈州村桃新路路南干渠</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1300m</w:t>
            </w:r>
            <w:r/>
          </w:p>
        </w:tc>
      </w:tr>
      <w:tr>
        <w:trPr>
          <w:jc w:val="center"/>
          <w:trHeight w:val="289"/>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四</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安峰镇</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安峰</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山</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水库灌区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维修安北南电站送水渠</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389m</w:t>
            </w:r>
            <w:r/>
          </w:p>
        </w:tc>
      </w:tr>
      <w:tr>
        <w:trPr>
          <w:jc w:val="center"/>
          <w:trHeight w:val="500"/>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五</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安峰</w:t>
            </w:r>
            <w:r>
              <w:rPr>
                <w:rFonts w:hint="eastAsia" w:cs="Times New Roman"/>
                <w:b w:val="0"/>
                <w:bCs w:val="0"/>
                <w:i w:val="0"/>
                <w:iCs w:val="0"/>
                <w:color w:val="auto"/>
                <w:sz w:val="21"/>
                <w:szCs w:val="21"/>
                <w:highlight w:val="none"/>
                <w:u w:val="none"/>
                <w:lang w:val="en-US" w:eastAsia="zh-CN" w:bidi="ar"/>
              </w:rPr>
              <w:t xml:space="preserve">镇</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安峰</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山</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水库灌区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维修安房河节制闸、一二三干渠节制闸</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（内外墙面粉刷、更换门窗、更换启闭机及电机、线路等）</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，新建进闸水泥路65m</w:t>
            </w:r>
            <w:r/>
          </w:p>
        </w:tc>
      </w:tr>
      <w:tr>
        <w:trPr>
          <w:jc w:val="center"/>
          <w:trHeight w:val="289"/>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六</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平明镇</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沭新渠灌区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维修渔林村庄后小电站</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（更换20寸轴流泵及配套电机，屋顶维修）</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，维修相哨村电站闸口</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（更换2.5*1.9m铸铁闸门、10t启闭机）</w:t>
            </w:r>
            <w:r/>
          </w:p>
        </w:tc>
      </w:tr>
      <w:tr>
        <w:trPr>
          <w:jc w:val="center"/>
          <w:trHeight w:val="527"/>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七</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青湖</w:t>
            </w:r>
            <w:r>
              <w:rPr>
                <w:rFonts w:hint="eastAsia" w:cs="Times New Roman"/>
                <w:b w:val="0"/>
                <w:bCs w:val="0"/>
                <w:i w:val="0"/>
                <w:iCs w:val="0"/>
                <w:color w:val="auto"/>
                <w:sz w:val="21"/>
                <w:szCs w:val="21"/>
                <w:highlight w:val="none"/>
                <w:u w:val="none"/>
                <w:lang w:val="en-US" w:eastAsia="zh-CN" w:bidi="ar"/>
              </w:rPr>
              <w:t xml:space="preserve">镇、石梁河镇</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沭南灌区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维修渠首闸房</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（房顶维修、闸门更换、外墙粉刷、栏杆维修等）</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，维修张庄输水道退水闸</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（更换8t电动启闭机）</w:t>
            </w:r>
            <w:r/>
          </w:p>
        </w:tc>
      </w:tr>
      <w:tr>
        <w:trPr>
          <w:jc w:val="center"/>
          <w:trHeight w:val="772"/>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八</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cs="Times New Roman"/>
                <w:b w:val="0"/>
                <w:bCs w:val="0"/>
                <w:i w:val="0"/>
                <w:iCs w:val="0"/>
                <w:color w:val="auto"/>
                <w:sz w:val="21"/>
                <w:szCs w:val="21"/>
                <w:highlight w:val="none"/>
                <w:u w:val="none"/>
                <w:lang w:val="en-US" w:eastAsia="zh-CN" w:bidi="ar"/>
              </w:rPr>
              <w:t xml:space="preserve">石榴街道、驼峰乡、曲阳镇等</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沭南灌区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5座支渠首</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闸门</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启闭机购置安装</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（后乌墩支渠首闸、下湾支渠首闸、南榴园顶东支渠首闸、南榴园顶北支渠首闸、南榴大桥闸）</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，维修前蔷薇支渠首</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（闸底板维修）</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，维修下湾支渠首</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（闸底板维修）</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，维修薛埠西退水闸</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（闸底板维修、更换铸铁闸门、8t手电两用启闭机）</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，维修关口节制闸</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（护坡、消力池维修）</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，维修八湖支渠首</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（护坡维修）</w:t>
            </w:r>
            <w:r/>
          </w:p>
        </w:tc>
      </w:tr>
      <w:tr>
        <w:trPr>
          <w:jc w:val="center"/>
          <w:trHeight w:val="289"/>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九</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吴场</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沭新渠灌区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维修秦范村渠首</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（更换1.5m*1.8mC30钢筋砼闸门、3t电动启闭机）</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，维修老庄渠首</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（安装1.5kw电动启闭机电机）</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，维修王巷渠首</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（增固检修闸）</w:t>
            </w:r>
            <w:r/>
          </w:p>
        </w:tc>
      </w:tr>
      <w:tr>
        <w:trPr>
          <w:jc w:val="center"/>
          <w:trHeight w:val="797"/>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十</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新沭河灌区</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沭南灌区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维修新沭闸</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（维修出水口拱瓦、挡墙，新建渠道盖板）</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，维修大尧闸</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（屋顶维修，内外墙粉刷，防护栏杆维修）</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，维修宋吴闸</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（闸房拆建）</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，维修陈敦支渠首</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（更换1.10m*1.05mC30钢筋砼闸门，C30钢筋砼启闭机梁，3t启闭机）</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，维修张桥闸</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（更换防盗门、推拉窗）</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，维修彦先庄东渡槽，维修东埠支渠闸</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（更换1m*1mC30钢筋砼闸门，C30钢筋砼启闭机梁，3t启闭机）</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，维修黄川村地涵</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（更换1m*1mC30钢筋砼闸门，C30钢筋砼启闭机梁，3t启闭机，墙体粉刷）</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，维修张桥庄后过大寨河渡槽，维修刘顶桥渠首</w:t>
            </w: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（更换0.8m*0.8mC30钢筋砼闸门，C30钢筋砼启闭机梁，3t启闭机）</w:t>
            </w:r>
            <w:r/>
          </w:p>
        </w:tc>
      </w:tr>
      <w:tr>
        <w:trPr>
          <w:jc w:val="center"/>
          <w:trHeight w:val="289"/>
        </w:trPr>
        <w:tc>
          <w:tcPr>
            <w:tcW w:w="667"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十一</w:t>
            </w:r>
            <w:r/>
          </w:p>
        </w:tc>
        <w:tc>
          <w:tcPr>
            <w:tcW w:w="1713"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color w:val="auto"/>
                <w:sz w:val="21"/>
                <w:szCs w:val="21"/>
                <w:highlight w:val="none"/>
                <w:lang w:val="en-US" w:eastAsia="zh-CN" w:bidi="ar-SA"/>
              </w:rPr>
              <w:t xml:space="preserve">沭新渠灌区</w:t>
            </w:r>
            <w:r/>
          </w:p>
        </w:tc>
        <w:tc>
          <w:tcPr>
            <w:tcW w:w="1582" w:type="dxa"/>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沭新渠灌区</w:t>
            </w:r>
            <w:r/>
          </w:p>
        </w:tc>
        <w:tc>
          <w:tcPr>
            <w:tcW w:w="626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color w:val="auto"/>
                <w:sz w:val="21"/>
                <w:szCs w:val="21"/>
                <w:highlight w:val="none"/>
                <w:lang w:val="en-US" w:eastAsia="zh-CN" w:bidi="ar-SA"/>
              </w:rPr>
              <w:t xml:space="preserve">维修大桥渠首（更换5t手电两用启闭机）、麦墩渠首（更换1.2*1.5铸铁闸门</w:t>
            </w:r>
            <w:r>
              <w:rPr>
                <w:rFonts w:hint="eastAsia" w:ascii="Times New Roman" w:hAnsi="Times New Roman" w:eastAsia="宋体" w:cs="Times New Roman"/>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C30钢筋砼启闭机梁，5t手电两用启闭机）、</w:t>
            </w:r>
            <w:r>
              <w:rPr>
                <w:rFonts w:hint="eastAsia" w:ascii="Times New Roman" w:hAnsi="Times New Roman" w:eastAsia="宋体" w:cs="Times New Roman"/>
                <w:color w:val="auto"/>
                <w:sz w:val="21"/>
                <w:szCs w:val="21"/>
                <w:highlight w:val="none"/>
                <w:lang w:val="en-US" w:eastAsia="zh-CN" w:bidi="ar-SA"/>
              </w:rPr>
              <w:t xml:space="preserve">山北头渠首</w:t>
            </w:r>
            <w:r>
              <w:rPr>
                <w:rFonts w:hint="default" w:ascii="Times New Roman" w:hAnsi="Times New Roman" w:eastAsia="宋体" w:cs="Times New Roman"/>
                <w:color w:val="auto"/>
                <w:sz w:val="21"/>
                <w:szCs w:val="21"/>
                <w:highlight w:val="none"/>
                <w:lang w:val="en-US" w:eastAsia="zh-CN" w:bidi="ar-SA"/>
              </w:rPr>
              <w:t xml:space="preserve">（更换</w:t>
            </w:r>
            <w:r>
              <w:rPr>
                <w:rFonts w:hint="eastAsia" w:ascii="Times New Roman" w:hAnsi="Times New Roman" w:eastAsia="宋体" w:cs="Times New Roman"/>
                <w:color w:val="auto"/>
                <w:sz w:val="21"/>
                <w:szCs w:val="21"/>
                <w:highlight w:val="none"/>
                <w:lang w:val="en-US" w:eastAsia="zh-CN" w:bidi="ar-SA"/>
              </w:rPr>
              <w:t xml:space="preserve">屋顶瓦10m</w:t>
            </w:r>
            <w:r>
              <w:rPr>
                <w:rFonts w:hint="eastAsia" w:ascii="Times New Roman" w:hAnsi="Times New Roman" w:eastAsia="宋体" w:cs="Times New Roman"/>
                <w:color w:val="auto"/>
                <w:sz w:val="21"/>
                <w:szCs w:val="21"/>
                <w:highlight w:val="none"/>
                <w:vertAlign w:val="superscript"/>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，外墙乳胶漆粉刷18.3m</w:t>
            </w:r>
            <w:r>
              <w:rPr>
                <w:rFonts w:hint="eastAsia" w:ascii="Times New Roman" w:hAnsi="Times New Roman" w:eastAsia="宋体" w:cs="Times New Roman"/>
                <w:color w:val="auto"/>
                <w:sz w:val="21"/>
                <w:szCs w:val="21"/>
                <w:highlight w:val="none"/>
                <w:vertAlign w:val="superscript"/>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、山北头二渠首（更换扶手、外墙乳胶漆粉刷40m</w:t>
            </w:r>
            <w:r>
              <w:rPr>
                <w:rFonts w:hint="eastAsia" w:ascii="Times New Roman" w:hAnsi="Times New Roman" w:eastAsia="宋体" w:cs="Times New Roman"/>
                <w:color w:val="auto"/>
                <w:sz w:val="21"/>
                <w:szCs w:val="21"/>
                <w:highlight w:val="none"/>
                <w:vertAlign w:val="superscript"/>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）、宴圩渠首（外墙乳胶漆粉刷18.5m</w:t>
            </w:r>
            <w:r>
              <w:rPr>
                <w:rFonts w:hint="eastAsia" w:ascii="Times New Roman" w:hAnsi="Times New Roman" w:eastAsia="宋体" w:cs="Times New Roman"/>
                <w:color w:val="auto"/>
                <w:sz w:val="21"/>
                <w:szCs w:val="21"/>
                <w:highlight w:val="none"/>
                <w:vertAlign w:val="superscript"/>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）、鲁兰地涵闸*（更换屋顶40m</w:t>
            </w:r>
            <w:r>
              <w:rPr>
                <w:rFonts w:hint="eastAsia" w:ascii="Times New Roman" w:hAnsi="Times New Roman" w:eastAsia="宋体" w:cs="Times New Roman"/>
                <w:color w:val="auto"/>
                <w:sz w:val="21"/>
                <w:szCs w:val="21"/>
                <w:highlight w:val="none"/>
                <w:vertAlign w:val="superscript"/>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，外墙乳胶漆粉刷106.7m</w:t>
            </w:r>
            <w:r>
              <w:rPr>
                <w:rFonts w:hint="eastAsia" w:ascii="Times New Roman" w:hAnsi="Times New Roman" w:eastAsia="宋体" w:cs="Times New Roman"/>
                <w:color w:val="auto"/>
                <w:sz w:val="21"/>
                <w:szCs w:val="21"/>
                <w:highlight w:val="none"/>
                <w:vertAlign w:val="superscript"/>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，MU20砖砌踏步维修3m</w:t>
            </w:r>
            <w:r>
              <w:rPr>
                <w:rFonts w:hint="eastAsia" w:ascii="Times New Roman" w:hAnsi="Times New Roman" w:eastAsia="宋体" w:cs="Times New Roman"/>
                <w:color w:val="auto"/>
                <w:sz w:val="21"/>
                <w:szCs w:val="21"/>
                <w:highlight w:val="none"/>
                <w:vertAlign w:val="superscript"/>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w:t>
            </w:r>
            <w:bookmarkEnd w:id="281"/>
            <w:bookmarkEnd w:id="282"/>
            <w:bookmarkEnd w:id="283"/>
            <w:bookmarkEnd w:id="284"/>
            <w:bookmarkEnd w:id="285"/>
            <w:r/>
          </w:p>
        </w:tc>
      </w:tr>
    </w:tbl>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r>
      <w:r/>
    </w:p>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工期：60日历天。</w:t>
      </w:r>
      <w:r/>
    </w:p>
    <w:p>
      <w:pPr>
        <w:ind w:firstLine="480"/>
        <w:spacing w:line="360" w:lineRule="auto"/>
        <w:rPr>
          <w:rFonts w:hint="default"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质保期：1年。</w:t>
      </w:r>
      <w:r/>
    </w:p>
    <w:p>
      <w:pPr>
        <w:ind w:firstLine="480"/>
        <w:spacing w:line="360" w:lineRule="auto"/>
        <w:rPr>
          <w:rFonts w:hint="default"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验收要求：通过</w:t>
      </w:r>
      <w:r>
        <w:rPr>
          <w:rFonts w:hint="default" w:ascii="宋体" w:hAnsi="宋体"/>
          <w:color w:val="auto"/>
          <w:sz w:val="24"/>
          <w:szCs w:val="28"/>
          <w:highlight w:val="none"/>
          <w:lang w:val="en-US" w:eastAsia="zh-CN"/>
        </w:rPr>
        <w:t xml:space="preserve">甲方</w:t>
      </w:r>
      <w:r>
        <w:rPr>
          <w:rFonts w:hint="eastAsia" w:ascii="宋体" w:hAnsi="宋体"/>
          <w:color w:val="auto"/>
          <w:sz w:val="24"/>
          <w:szCs w:val="28"/>
          <w:highlight w:val="none"/>
          <w:lang w:val="en-US" w:eastAsia="zh-CN"/>
        </w:rPr>
        <w:t xml:space="preserve">组织的验收</w:t>
      </w:r>
      <w:r/>
    </w:p>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成果要求：符合国家、江苏省、水利部及相关部门、行业颁发的现行有关规程规范要求合格标准。</w:t>
      </w:r>
      <w:r/>
    </w:p>
    <w:p>
      <w:pPr>
        <w:ind w:firstLine="480"/>
        <w:spacing w:line="360" w:lineRule="auto"/>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rPr>
        <w:t xml:space="preserve">承包人</w:t>
      </w:r>
      <w:r>
        <w:rPr>
          <w:rFonts w:hint="default" w:ascii="宋体" w:hAnsi="宋体" w:eastAsia="宋体" w:cs="Times New Roman"/>
          <w:color w:val="auto"/>
          <w:sz w:val="24"/>
          <w:szCs w:val="28"/>
          <w:highlight w:val="none"/>
          <w:lang w:val="en-US" w:eastAsia="zh-CN"/>
        </w:rPr>
        <w:t xml:space="preserve">必须无条件接受财政、水利、审计单位和</w:t>
      </w:r>
      <w:r>
        <w:rPr>
          <w:rFonts w:hint="eastAsia" w:ascii="宋体" w:hAnsi="宋体" w:eastAsia="宋体" w:cs="Times New Roman"/>
          <w:color w:val="auto"/>
          <w:sz w:val="24"/>
          <w:szCs w:val="28"/>
          <w:highlight w:val="none"/>
          <w:lang w:val="en-US" w:eastAsia="zh-CN"/>
        </w:rPr>
        <w:t xml:space="preserve">发包人</w:t>
      </w:r>
      <w:r>
        <w:rPr>
          <w:rFonts w:hint="default" w:ascii="宋体" w:hAnsi="宋体" w:eastAsia="宋体" w:cs="Times New Roman"/>
          <w:color w:val="auto"/>
          <w:sz w:val="24"/>
          <w:szCs w:val="28"/>
          <w:highlight w:val="none"/>
          <w:lang w:val="en-US" w:eastAsia="zh-CN"/>
        </w:rPr>
        <w:t xml:space="preserve">对该工程实际成本的延伸审计或资金使用情况检查</w:t>
      </w:r>
      <w:r>
        <w:rPr>
          <w:rFonts w:hint="eastAsia" w:ascii="宋体" w:hAnsi="宋体" w:eastAsia="宋体" w:cs="Times New Roman"/>
          <w:color w:val="auto"/>
          <w:sz w:val="24"/>
          <w:szCs w:val="28"/>
          <w:highlight w:val="none"/>
          <w:lang w:val="en-US" w:eastAsia="zh-CN"/>
        </w:rPr>
        <w:t xml:space="preserve">。</w:t>
      </w:r>
      <w:r/>
    </w:p>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施工临时用地由施工单位自行解决，费用包含在响应报价中，不单独支付。材料转运费、青苗补偿费、树木砍伐及地方矛盾协调等由施工单位自行解决，费用包含在响应报价中，不单独支付。</w:t>
      </w:r>
      <w:r/>
    </w:p>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 xml:space="preserve">不限于本清单内工作内容，包含图纸内的所有工作内容，具体详见设计图纸。</w:t>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二、付款方式</w:t>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1.付款方式</w:t>
      </w:r>
      <w:r/>
    </w:p>
    <w:p>
      <w:pPr>
        <w:ind w:firstLine="482"/>
        <w:keepLines w:val="0"/>
        <w:keepNext w:val="0"/>
        <w:pageBreakBefore w:val="0"/>
        <w:spacing w:line="360" w:lineRule="auto"/>
        <w:widowControl w:val="off"/>
        <w:rPr>
          <w:rFonts w:hint="eastAsia" w:ascii="宋体" w:hAnsi="宋体" w:cs="Times New Roman"/>
          <w:color w:val="auto"/>
          <w:sz w:val="24"/>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auto"/>
          <w:sz w:val="24"/>
          <w:szCs w:val="28"/>
          <w:highlight w:val="none"/>
          <w:lang w:val="en-US" w:eastAsia="zh-CN"/>
        </w:rPr>
        <w:t xml:space="preserve">合同工程</w:t>
      </w:r>
      <w:r>
        <w:rPr>
          <w:rFonts w:hint="eastAsia" w:ascii="宋体" w:hAnsi="宋体" w:eastAsia="宋体" w:cs="Times New Roman"/>
          <w:b/>
          <w:bCs/>
          <w:color w:val="auto"/>
          <w:sz w:val="24"/>
          <w:szCs w:val="28"/>
          <w:highlight w:val="none"/>
          <w:lang w:val="en-US" w:eastAsia="zh-CN"/>
        </w:rPr>
        <w:t xml:space="preserve">验收</w:t>
      </w:r>
      <w:r>
        <w:rPr>
          <w:rFonts w:hint="eastAsia" w:ascii="宋体" w:hAnsi="宋体" w:cs="Times New Roman"/>
          <w:b/>
          <w:bCs/>
          <w:color w:val="auto"/>
          <w:sz w:val="24"/>
          <w:szCs w:val="28"/>
          <w:highlight w:val="none"/>
          <w:lang w:val="en-US" w:eastAsia="zh-CN"/>
        </w:rPr>
        <w:t xml:space="preserve">合格</w:t>
      </w:r>
      <w:r>
        <w:rPr>
          <w:rFonts w:hint="eastAsia" w:ascii="宋体" w:hAnsi="宋体" w:eastAsia="宋体" w:cs="Times New Roman"/>
          <w:b/>
          <w:bCs/>
          <w:color w:val="auto"/>
          <w:sz w:val="24"/>
          <w:szCs w:val="28"/>
          <w:highlight w:val="none"/>
          <w:lang w:val="en-US" w:eastAsia="zh-CN"/>
        </w:rPr>
        <w:t xml:space="preserve">后采购人自收到发票后10个工作日内支付至90%，</w:t>
      </w:r>
      <w:r>
        <w:rPr>
          <w:rFonts w:hint="eastAsia" w:ascii="宋体" w:hAnsi="宋体" w:cs="Times New Roman"/>
          <w:b/>
          <w:bCs/>
          <w:color w:val="auto"/>
          <w:sz w:val="24"/>
          <w:szCs w:val="28"/>
          <w:highlight w:val="none"/>
          <w:lang w:val="en-US" w:eastAsia="zh-CN"/>
        </w:rPr>
        <w:t xml:space="preserve">审计</w:t>
      </w:r>
      <w:r>
        <w:rPr>
          <w:rFonts w:hint="eastAsia" w:ascii="宋体" w:hAnsi="宋体" w:eastAsia="宋体" w:cs="Times New Roman"/>
          <w:b/>
          <w:bCs/>
          <w:color w:val="auto"/>
          <w:sz w:val="24"/>
          <w:szCs w:val="28"/>
          <w:highlight w:val="none"/>
          <w:lang w:val="en-US" w:eastAsia="zh-CN"/>
        </w:rPr>
        <w:t xml:space="preserve">后采购人自收到发票后10个工作日内支付至97%，余款在质保期满后采购人自收到发票后10个工作日内付清</w:t>
      </w:r>
      <w:r>
        <w:rPr>
          <w:rFonts w:hint="eastAsia" w:ascii="宋体" w:hAnsi="宋体" w:eastAsia="宋体" w:cs="Times New Roman"/>
          <w:color w:val="auto"/>
          <w:sz w:val="24"/>
          <w:szCs w:val="28"/>
          <w:highlight w:val="none"/>
          <w:lang w:val="en-US" w:eastAsia="zh-CN"/>
        </w:rPr>
        <w:t xml:space="preserve">。</w:t>
      </w:r>
      <w:r/>
    </w:p>
    <w:p>
      <w:pPr>
        <w:ind w:firstLine="480"/>
        <w:spacing w:line="360" w:lineRule="auto"/>
        <w:rPr>
          <w:rFonts w:hint="eastAsia" w:ascii="宋体" w:hAnsi="宋体" w:cs="Times New Roman"/>
          <w:color w:val="auto"/>
          <w:sz w:val="24"/>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ascii="宋体" w:hAnsi="宋体" w:cs="Times New Roman"/>
          <w:color w:val="auto"/>
          <w:sz w:val="24"/>
          <w:szCs w:val="28"/>
          <w:highlight w:val="none"/>
          <w:lang w:val="en-US" w:eastAsia="zh-CN"/>
        </w:rPr>
      </w:r>
      <w:r/>
    </w:p>
    <w:p>
      <w:pPr>
        <w:rPr>
          <w:color w:val="auto"/>
          <w:highlight w:val="none"/>
        </w:rPr>
      </w:pPr>
      <w:r/>
      <w:bookmarkStart w:id="286" w:name="_Toc120614281"/>
      <w:r/>
      <w:r/>
    </w:p>
    <w:p>
      <w:pPr>
        <w:jc w:val="center"/>
        <w:keepNext/>
        <w:rPr>
          <w:rFonts w:ascii="黑体" w:eastAsia="黑体"/>
          <w:bCs/>
          <w:color w:val="auto"/>
          <w:sz w:val="44"/>
          <w:szCs w:val="28"/>
          <w:highlight w:val="none"/>
        </w:rPr>
        <w:outlineLvl w:val="0"/>
      </w:pPr>
      <w:r/>
      <w:bookmarkStart w:id="287" w:name="_Toc2689"/>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评审方法与评审标准</w:t>
      </w:r>
      <w:bookmarkEnd w:id="287"/>
      <w:r/>
      <w:r/>
    </w:p>
    <w:p>
      <w:pPr>
        <w:rPr>
          <w:color w:val="auto"/>
          <w:szCs w:val="21"/>
          <w:highlight w:val="none"/>
        </w:rPr>
      </w:pPr>
      <w:r>
        <w:rPr>
          <w:color w:val="auto"/>
          <w:szCs w:val="21"/>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一、磋商小组</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本采购项目磋商小组的评委由相关的专家、采购人代表等有关人员构成。</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二、评审方法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三、评审原则</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磋商小组成员应当按照客观、公正、审慎的原则，根据磋商文件规定的评审程序、评审方 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四、资格审查</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（一）资格性检查资料要求</w:t>
      </w:r>
      <w:r/>
    </w:p>
    <w:p>
      <w:pPr>
        <w:ind w:firstLine="480"/>
        <w:spacing w:line="360" w:lineRule="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见公告申请人的资格要求。</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注：上述资料原件扫描件必须上传至</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文件制作工具中，否则视为资格审查不通过。</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五、评审办法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（一）评委</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磋商小组）将以磋商文件为评标依据，对各供应商提供的响应文件进行评审。</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（三）成交标准：磋商小组将根据总得分高低排列各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次序（总分相同时，依次按</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报价低优先、交货时间短优先、服务承诺优先的顺序，排列各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次序），并依照次序确定成交供应商。</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（四）评分标准：（按四舍五入取至小数点后两位）</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rPr>
          <w:rFonts w:hint="eastAsia" w:ascii="宋体" w:hAnsi="宋体" w:cs="宋体"/>
          <w:b/>
          <w:bCs/>
          <w:color w:val="auto"/>
          <w:spacing w:val="-2"/>
          <w:sz w:val="28"/>
          <w:szCs w:val="28"/>
          <w:highlight w:val="none"/>
        </w:rPr>
      </w:pPr>
      <w:r>
        <w:rPr>
          <w:rFonts w:hint="eastAsia" w:ascii="宋体" w:hAnsi="宋体" w:cs="宋体"/>
          <w:b/>
          <w:bCs/>
          <w:color w:val="auto"/>
          <w:spacing w:val="-2"/>
          <w:sz w:val="28"/>
          <w:szCs w:val="28"/>
          <w:highlight w:val="none"/>
        </w:rPr>
        <w:t xml:space="preserve">评标细则（100</w:t>
      </w:r>
      <w:r>
        <w:rPr>
          <w:rFonts w:hint="eastAsia" w:ascii="宋体" w:hAnsi="宋体" w:cs="宋体"/>
          <w:b/>
          <w:bCs/>
          <w:color w:val="auto"/>
          <w:spacing w:val="-52"/>
          <w:sz w:val="28"/>
          <w:szCs w:val="28"/>
          <w:highlight w:val="none"/>
        </w:rPr>
        <w:t xml:space="preserve"> </w:t>
      </w:r>
      <w:r>
        <w:rPr>
          <w:rFonts w:hint="eastAsia" w:ascii="宋体" w:hAnsi="宋体" w:cs="宋体"/>
          <w:b/>
          <w:bCs/>
          <w:color w:val="auto"/>
          <w:spacing w:val="-2"/>
          <w:sz w:val="28"/>
          <w:szCs w:val="28"/>
          <w:highlight w:val="none"/>
        </w:rPr>
        <w:t xml:space="preserve">分）</w:t>
      </w:r>
      <w:r/>
    </w:p>
    <w:p>
      <w:pPr>
        <w:spacing w:line="116"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color w:val="auto"/>
          <w:highlight w:val="none"/>
        </w:rPr>
      </w:pPr>
      <w:r/>
      <w:bookmarkStart w:id="288" w:name="_Toc16884"/>
      <w:r/>
      <w:bookmarkStart w:id="289" w:name="_Toc6878"/>
      <w:r/>
      <w:bookmarkEnd w:id="288"/>
      <w:bookmarkEnd w:id="289"/>
      <w:r/>
    </w:p>
    <w:p>
      <w:pPr>
        <w:ind w:firstLine="480"/>
        <w:jc w:val="left"/>
        <w:spacing w:line="500" w:lineRule="exact"/>
        <w:rPr>
          <w:color w:val="auto"/>
          <w:sz w:val="24"/>
          <w:highlight w:val="none"/>
        </w:rPr>
      </w:pPr>
      <w:r>
        <w:rPr>
          <w:rFonts w:hint="eastAsia"/>
          <w:color w:val="auto"/>
          <w:sz w:val="24"/>
          <w:highlight w:val="none"/>
        </w:rPr>
        <w:t xml:space="preserve">（1）价</w:t>
      </w:r>
      <w:r>
        <w:rPr>
          <w:rFonts w:hint="eastAsia"/>
          <w:color w:val="auto"/>
          <w:sz w:val="24"/>
          <w:highlight w:val="none"/>
        </w:rPr>
        <w:t xml:space="preserve">格分（</w:t>
      </w:r>
      <w:r>
        <w:rPr>
          <w:rFonts w:hint="eastAsia"/>
          <w:color w:val="auto"/>
          <w:sz w:val="24"/>
          <w:highlight w:val="none"/>
          <w:lang w:val="en-US" w:eastAsia="zh-CN"/>
        </w:rPr>
        <w:t xml:space="preserve">2</w:t>
      </w:r>
      <w:r>
        <w:rPr>
          <w:rFonts w:hint="eastAsia"/>
          <w:color w:val="auto"/>
          <w:sz w:val="24"/>
          <w:highlight w:val="none"/>
        </w:rPr>
        <w:t xml:space="preserve">0分</w:t>
      </w:r>
      <w:r>
        <w:rPr>
          <w:rFonts w:hint="eastAsia"/>
          <w:color w:val="auto"/>
          <w:sz w:val="24"/>
          <w:highlight w:val="none"/>
        </w:rPr>
        <w:t xml:space="preserve">）</w:t>
      </w:r>
      <w:r/>
    </w:p>
    <w:p>
      <w:pPr>
        <w:ind w:firstLine="480"/>
        <w:jc w:val="left"/>
        <w:spacing w:line="500" w:lineRule="exact"/>
        <w:rPr>
          <w:color w:val="auto"/>
          <w:sz w:val="24"/>
          <w:highlight w:val="none"/>
        </w:rPr>
      </w:pPr>
      <w:r>
        <w:rPr>
          <w:rFonts w:hint="eastAsia"/>
          <w:color w:val="auto"/>
          <w:sz w:val="24"/>
          <w:highlight w:val="none"/>
        </w:rPr>
        <w:t xml:space="preserve">采用低价优先法计算，即满足招标文件要求且</w:t>
      </w:r>
      <w:r>
        <w:rPr>
          <w:rFonts w:hint="eastAsia"/>
          <w:color w:val="auto"/>
          <w:sz w:val="24"/>
          <w:highlight w:val="none"/>
          <w:lang w:eastAsia="zh-CN"/>
        </w:rPr>
        <w:t xml:space="preserve">响应</w:t>
      </w:r>
      <w:r>
        <w:rPr>
          <w:rFonts w:hint="eastAsia"/>
          <w:color w:val="auto"/>
          <w:sz w:val="24"/>
          <w:highlight w:val="none"/>
        </w:rPr>
        <w:t xml:space="preserve">价格最低的</w:t>
      </w:r>
      <w:r>
        <w:rPr>
          <w:rFonts w:hint="eastAsia"/>
          <w:color w:val="auto"/>
          <w:sz w:val="24"/>
          <w:highlight w:val="none"/>
          <w:lang w:eastAsia="zh-CN"/>
        </w:rPr>
        <w:t xml:space="preserve">响应</w:t>
      </w:r>
      <w:r>
        <w:rPr>
          <w:rFonts w:hint="eastAsia"/>
          <w:color w:val="auto"/>
          <w:sz w:val="24"/>
          <w:highlight w:val="none"/>
        </w:rPr>
        <w:t xml:space="preserve">报价为评标基准价，其价格分为满分。其他</w:t>
      </w:r>
      <w:r>
        <w:rPr>
          <w:rFonts w:hint="eastAsia"/>
          <w:color w:val="auto"/>
          <w:sz w:val="24"/>
          <w:highlight w:val="none"/>
          <w:lang w:eastAsia="zh-CN"/>
        </w:rPr>
        <w:t xml:space="preserve">供应商</w:t>
      </w:r>
      <w:r>
        <w:rPr>
          <w:rFonts w:hint="eastAsia"/>
          <w:color w:val="auto"/>
          <w:sz w:val="24"/>
          <w:highlight w:val="none"/>
        </w:rPr>
        <w:t xml:space="preserve">的价格分统一按照下列公式计算：</w:t>
      </w:r>
      <w:r/>
    </w:p>
    <w:p>
      <w:pPr>
        <w:ind w:firstLine="480"/>
        <w:jc w:val="left"/>
        <w:spacing w:line="500" w:lineRule="exact"/>
        <w:rPr>
          <w:color w:val="auto"/>
          <w:sz w:val="24"/>
          <w:highlight w:val="none"/>
        </w:rPr>
      </w:pPr>
      <w:r>
        <w:rPr>
          <w:rFonts w:hint="eastAsia"/>
          <w:color w:val="auto"/>
          <w:sz w:val="24"/>
          <w:highlight w:val="none"/>
          <w:lang w:eastAsia="zh-CN"/>
        </w:rPr>
        <w:t xml:space="preserve">响应</w:t>
      </w:r>
      <w:r>
        <w:rPr>
          <w:rFonts w:hint="eastAsia"/>
          <w:color w:val="auto"/>
          <w:sz w:val="24"/>
          <w:highlight w:val="none"/>
        </w:rPr>
        <w:t xml:space="preserve">报价得分=（评标基准价／</w:t>
      </w:r>
      <w:r>
        <w:rPr>
          <w:rFonts w:hint="eastAsia"/>
          <w:color w:val="auto"/>
          <w:sz w:val="24"/>
          <w:highlight w:val="none"/>
          <w:lang w:val="en-US" w:eastAsia="zh-CN"/>
        </w:rPr>
        <w:t xml:space="preserve">最终</w:t>
      </w:r>
      <w:r>
        <w:rPr>
          <w:rFonts w:hint="eastAsia"/>
          <w:color w:val="auto"/>
          <w:sz w:val="24"/>
          <w:highlight w:val="none"/>
          <w:lang w:eastAsia="zh-CN"/>
        </w:rPr>
        <w:t xml:space="preserve">响应</w:t>
      </w:r>
      <w:r>
        <w:rPr>
          <w:rFonts w:hint="eastAsia"/>
          <w:color w:val="auto"/>
          <w:sz w:val="24"/>
          <w:highlight w:val="none"/>
        </w:rPr>
        <w:t xml:space="preserve">报价）×</w:t>
      </w:r>
      <w:r>
        <w:rPr>
          <w:rFonts w:hint="eastAsia"/>
          <w:color w:val="auto"/>
          <w:sz w:val="24"/>
          <w:highlight w:val="none"/>
          <w:lang w:val="en-US" w:eastAsia="zh-CN"/>
        </w:rPr>
        <w:t xml:space="preserve">2</w:t>
      </w:r>
      <w:r>
        <w:rPr>
          <w:rFonts w:hint="eastAsia"/>
          <w:color w:val="auto"/>
          <w:sz w:val="24"/>
          <w:highlight w:val="none"/>
        </w:rPr>
        <w:t xml:space="preserve">0分</w:t>
      </w:r>
      <w:r/>
    </w:p>
    <w:p>
      <w:pPr>
        <w:ind w:firstLine="480"/>
        <w:jc w:val="left"/>
        <w:spacing w:line="500" w:lineRule="exact"/>
        <w:rPr>
          <w:color w:val="auto"/>
          <w:sz w:val="24"/>
          <w:highlight w:val="none"/>
        </w:rPr>
      </w:pPr>
      <w:r>
        <w:rPr>
          <w:rFonts w:hint="eastAsia"/>
          <w:color w:val="auto"/>
          <w:sz w:val="24"/>
          <w:highlight w:val="none"/>
        </w:rPr>
        <w:t xml:space="preserve">评标过程中，不得去掉报价中的最高报价和最低报价。</w:t>
      </w:r>
      <w:r/>
    </w:p>
    <w:p>
      <w:pPr>
        <w:jc w:val="left"/>
        <w:spacing w:line="360" w:lineRule="auto"/>
        <w:widowControl/>
        <w:rPr>
          <w:rFonts w:ascii="宋体" w:hAnsi="宋体" w:cs="宋体"/>
          <w:color w:val="auto"/>
          <w:szCs w:val="21"/>
          <w:highlight w:val="none"/>
        </w:rPr>
      </w:pPr>
      <w:r>
        <w:rPr>
          <w:rFonts w:hint="eastAsia" w:ascii="宋体" w:hAnsi="宋体"/>
          <w:color w:val="auto"/>
          <w:sz w:val="24"/>
          <w:highlight w:val="none"/>
        </w:rPr>
        <w:t xml:space="preserve">（2）技术分（</w:t>
      </w:r>
      <w:r>
        <w:rPr>
          <w:rFonts w:hint="eastAsia" w:ascii="宋体" w:hAnsi="宋体"/>
          <w:color w:val="auto"/>
          <w:sz w:val="24"/>
          <w:highlight w:val="none"/>
          <w:lang w:val="en-US" w:eastAsia="zh-CN"/>
        </w:rPr>
        <w:t xml:space="preserve">50</w:t>
      </w:r>
      <w:r>
        <w:rPr>
          <w:rFonts w:hint="eastAsia" w:ascii="宋体" w:hAnsi="宋体" w:cs="宋体"/>
          <w:color w:val="auto"/>
          <w:szCs w:val="21"/>
          <w:highlight w:val="none"/>
        </w:rPr>
        <w:t xml:space="preserve">分</w:t>
      </w:r>
      <w:r>
        <w:rPr>
          <w:rFonts w:hint="eastAsia" w:ascii="宋体" w:hAnsi="宋体" w:cs="宋体"/>
          <w:color w:val="auto"/>
          <w:szCs w:val="21"/>
          <w:highlight w:val="none"/>
        </w:rPr>
        <w:t xml:space="preserve">）</w:t>
      </w:r>
      <w:r/>
    </w:p>
    <w:tbl>
      <w:tblPr>
        <w:tblStyle w:val="789"/>
        <w:tblpPr w:horzAnchor="margin" w:tblpXSpec="center" w:vertAnchor="text" w:tblpY="10" w:leftFromText="180" w:topFromText="0" w:rightFromText="180" w:bottomFromText="0"/>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9"/>
        <w:gridCol w:w="7451"/>
        <w:gridCol w:w="945"/>
      </w:tblGrid>
      <w:tr>
        <w:trPr>
          <w:jc w:val="center"/>
          <w:trHeight w:val="387"/>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分项名称</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施工组织总体设想（</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根据供应商提供的总体施工组织布置及规划，包括但不限于组织结构及任务安排、资源配置、施工准备等内容进行综合评审。</w:t>
            </w:r>
            <w:r/>
          </w:p>
          <w:p>
            <w:pPr>
              <w:numPr>
                <w:ilvl w:val="0"/>
                <w:numId w:val="6"/>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组织结构及任务安排</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详细，资源配置及施工准备</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详尽</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7</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numPr>
                <w:ilvl w:val="0"/>
                <w:numId w:val="0"/>
              </w:num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、组织结构及任务安排详细，资源配置及施工准备详尽</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5</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、组织结构及任务安排简单，资源配置及施工准备相对合理</w:t>
            </w:r>
            <w:r>
              <w:rPr>
                <w:rFonts w:ascii="宋体" w:hAnsi="宋体" w:eastAsia="宋体" w:cs="宋体"/>
                <w:b/>
                <w:bCs/>
                <w:color w:val="auto"/>
                <w:sz w:val="21"/>
                <w:highlight w:val="none"/>
              </w:rPr>
              <w:t xml:space="preserve">得3分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、组织结构及任务安排</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资源配置及施工准备</w:t>
            </w:r>
            <w:r>
              <w:rPr>
                <w:rFonts w:hint="eastAsia" w:ascii="宋体" w:hAnsi="宋体" w:cs="宋体"/>
                <w:color w:val="auto"/>
                <w:sz w:val="21"/>
                <w:highlight w:val="none"/>
                <w:lang w:val="en-US" w:eastAsia="zh-CN"/>
              </w:rPr>
              <w:t xml:space="preserve">描述笼统没有调理</w:t>
            </w:r>
            <w:r>
              <w:rPr>
                <w:rFonts w:ascii="宋体" w:hAnsi="宋体" w:eastAsia="宋体" w:cs="宋体"/>
                <w:b/>
                <w:bCs/>
                <w:color w:val="auto"/>
                <w:sz w:val="21"/>
                <w:highlight w:val="none"/>
              </w:rPr>
              <w:t xml:space="preserve">得1分</w:t>
            </w:r>
            <w:r>
              <w:rPr>
                <w:rFonts w:ascii="宋体" w:hAnsi="宋体" w:eastAsia="宋体" w:cs="宋体"/>
                <w:color w:val="auto"/>
                <w:sz w:val="21"/>
                <w:highlight w:val="none"/>
              </w:rPr>
              <w:t xml:space="preserve">；</w:t>
            </w:r>
            <w:r/>
          </w:p>
          <w:p>
            <w:pPr>
              <w:ind w:left="0" w:right="0" w:firstLine="0"/>
              <w:jc w:val="both"/>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施工进度计划（6分）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根据供应商针对本项目提供的施工进度计划，包含但不限于工期保证体系、保证措施等内容进行综合评审。</w:t>
            </w:r>
            <w:r/>
          </w:p>
          <w:p>
            <w:pPr>
              <w:numPr>
                <w:ilvl w:val="0"/>
                <w:numId w:val="7"/>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总进度计划</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详尽，各阶段进度的保证措施</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清晰准确</w:t>
            </w:r>
            <w:r>
              <w:rPr>
                <w:rFonts w:ascii="宋体" w:hAnsi="宋体" w:eastAsia="宋体" w:cs="宋体"/>
                <w:b/>
                <w:bCs/>
                <w:color w:val="auto"/>
                <w:sz w:val="21"/>
                <w:highlight w:val="none"/>
              </w:rPr>
              <w:t xml:space="preserve">得6分</w:t>
            </w:r>
            <w:r>
              <w:rPr>
                <w:rFonts w:ascii="宋体" w:hAnsi="宋体" w:eastAsia="宋体" w:cs="宋体"/>
                <w:color w:val="auto"/>
                <w:sz w:val="21"/>
                <w:highlight w:val="none"/>
              </w:rPr>
              <w:t xml:space="preserve">；</w:t>
            </w:r>
            <w:r/>
          </w:p>
          <w:p>
            <w:pPr>
              <w:numPr>
                <w:ilvl w:val="0"/>
                <w:numId w:val="7"/>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总进度计划详尽，各阶段进度的保证措施清晰准确</w:t>
            </w:r>
            <w:r>
              <w:rPr>
                <w:rFonts w:ascii="宋体" w:hAnsi="宋体" w:eastAsia="宋体" w:cs="宋体"/>
                <w:b/>
                <w:bCs/>
                <w:color w:val="auto"/>
                <w:sz w:val="21"/>
                <w:highlight w:val="none"/>
              </w:rPr>
              <w:t xml:space="preserve">得</w:t>
            </w:r>
            <w:r>
              <w:rPr>
                <w:rFonts w:hint="eastAsia" w:ascii="宋体" w:hAnsi="宋体" w:eastAsia="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、总进度计划简单，各阶段进度的保证措施</w:t>
            </w:r>
            <w:r>
              <w:rPr>
                <w:rFonts w:hint="eastAsia" w:ascii="宋体" w:hAnsi="宋体" w:eastAsia="宋体" w:cs="宋体"/>
                <w:color w:val="auto"/>
                <w:sz w:val="21"/>
                <w:highlight w:val="none"/>
                <w:lang w:val="en-US" w:eastAsia="zh-CN"/>
              </w:rPr>
              <w:t xml:space="preserve">描述一般</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、总进度计划</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各阶段进度的保证措施</w:t>
            </w:r>
            <w:r>
              <w:rPr>
                <w:rFonts w:hint="eastAsia" w:ascii="宋体" w:hAnsi="宋体" w:cs="宋体"/>
                <w:color w:val="auto"/>
                <w:sz w:val="21"/>
                <w:highlight w:val="none"/>
                <w:lang w:val="en-US" w:eastAsia="zh-CN"/>
              </w:rPr>
              <w:t xml:space="preserve">描述笼统不清晰</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eastAsia="宋体" w:cs="宋体"/>
                <w:color w:val="auto"/>
                <w:sz w:val="21"/>
                <w:highlight w:val="none"/>
              </w:rPr>
              <w:t xml:space="preserve">6分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施工现场布置方案（</w:t>
            </w: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根据供应商对施工现场平面布置和临时设施的布置，包括但不限于施工机械、材料、周转材料、加工场地、临时道路布置的科学性、全面性、合理性及针对性等内容综合评审。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1、施工机械、材料、周转材料、加工场地、临时道路布置</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科学合理、措施可靠、全面可行、针对性</w:t>
            </w:r>
            <w:r>
              <w:rPr>
                <w:rFonts w:hint="eastAsia" w:ascii="宋体" w:hAnsi="宋体" w:cs="宋体"/>
                <w:color w:val="auto"/>
                <w:sz w:val="21"/>
                <w:highlight w:val="none"/>
                <w:lang w:val="en-US" w:eastAsia="zh-CN"/>
              </w:rPr>
              <w:t xml:space="preserve">很</w:t>
            </w:r>
            <w:r>
              <w:rPr>
                <w:rFonts w:ascii="宋体" w:hAnsi="宋体" w:eastAsia="宋体" w:cs="宋体"/>
                <w:color w:val="auto"/>
                <w:sz w:val="21"/>
                <w:highlight w:val="none"/>
              </w:rPr>
              <w:t xml:space="preserve">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10</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2、施工机械、材料、周转材料、加工场地、临时道路布置科学合理、措施可靠、全面可行、</w:t>
            </w:r>
            <w:r>
              <w:rPr>
                <w:rFonts w:hint="eastAsia" w:ascii="宋体" w:hAnsi="宋体" w:cs="宋体"/>
                <w:color w:val="auto"/>
                <w:sz w:val="21"/>
                <w:highlight w:val="none"/>
                <w:lang w:val="en-US" w:eastAsia="zh-CN"/>
              </w:rPr>
              <w:t xml:space="preserve">有针对性</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8</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3、施工机械、材料、周转材料、加工场地、临时道路布置</w:t>
            </w:r>
            <w:r>
              <w:rPr>
                <w:rFonts w:hint="eastAsia" w:ascii="宋体" w:hAnsi="宋体" w:eastAsia="宋体" w:cs="宋体"/>
                <w:color w:val="auto"/>
                <w:sz w:val="21"/>
                <w:highlight w:val="none"/>
                <w:lang w:val="en-US" w:eastAsia="zh-CN"/>
              </w:rPr>
              <w:t xml:space="preserve">较为</w:t>
            </w:r>
            <w:r>
              <w:rPr>
                <w:rFonts w:ascii="宋体" w:hAnsi="宋体" w:eastAsia="宋体" w:cs="宋体"/>
                <w:color w:val="auto"/>
                <w:sz w:val="21"/>
                <w:highlight w:val="none"/>
              </w:rPr>
              <w:t xml:space="preserve">科学合理、措施可靠、全面可行、针对性</w:t>
            </w:r>
            <w:r>
              <w:rPr>
                <w:rFonts w:hint="eastAsia" w:ascii="宋体" w:hAnsi="宋体" w:eastAsia="宋体" w:cs="宋体"/>
                <w:color w:val="auto"/>
                <w:sz w:val="21"/>
                <w:highlight w:val="none"/>
                <w:lang w:val="en-US" w:eastAsia="zh-CN"/>
              </w:rPr>
              <w:t xml:space="preserve">差</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6</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4、</w:t>
            </w:r>
            <w:r>
              <w:rPr>
                <w:rFonts w:ascii="宋体" w:hAnsi="宋体" w:eastAsia="宋体" w:cs="宋体"/>
                <w:color w:val="auto"/>
                <w:sz w:val="21"/>
                <w:highlight w:val="none"/>
              </w:rPr>
              <w:t xml:space="preserve">施工机械、材料、周转材料、加工场地、临时道路布置合理</w:t>
            </w:r>
            <w:r>
              <w:rPr>
                <w:rFonts w:hint="eastAsia" w:ascii="宋体" w:hAnsi="宋体" w:cs="宋体"/>
                <w:color w:val="auto"/>
                <w:sz w:val="21"/>
                <w:highlight w:val="none"/>
                <w:lang w:val="en-US" w:eastAsia="zh-CN"/>
              </w:rPr>
              <w:t xml:space="preserve">性</w:t>
            </w:r>
            <w:r>
              <w:rPr>
                <w:rFonts w:ascii="宋体" w:hAnsi="宋体" w:eastAsia="宋体" w:cs="宋体"/>
                <w:color w:val="auto"/>
                <w:sz w:val="21"/>
                <w:highlight w:val="none"/>
              </w:rPr>
              <w:t xml:space="preserve">、措施可靠</w:t>
            </w:r>
            <w:r>
              <w:rPr>
                <w:rFonts w:hint="eastAsia" w:ascii="宋体" w:hAnsi="宋体" w:cs="宋体"/>
                <w:color w:val="auto"/>
                <w:sz w:val="21"/>
                <w:highlight w:val="none"/>
                <w:lang w:val="en-US" w:eastAsia="zh-CN"/>
              </w:rPr>
              <w:t xml:space="preserve">性</w:t>
            </w:r>
            <w:r>
              <w:rPr>
                <w:rFonts w:ascii="宋体" w:hAnsi="宋体" w:eastAsia="宋体" w:cs="宋体"/>
                <w:color w:val="auto"/>
                <w:sz w:val="21"/>
                <w:highlight w:val="none"/>
              </w:rPr>
              <w:t xml:space="preserve">、全面可行</w:t>
            </w:r>
            <w:r>
              <w:rPr>
                <w:rFonts w:hint="eastAsia" w:ascii="宋体" w:hAnsi="宋体" w:cs="宋体"/>
                <w:color w:val="auto"/>
                <w:sz w:val="21"/>
                <w:highlight w:val="none"/>
                <w:lang w:val="en-US" w:eastAsia="zh-CN"/>
              </w:rPr>
              <w:t xml:space="preserve">性</w:t>
            </w:r>
            <w:r>
              <w:rPr>
                <w:rFonts w:ascii="宋体" w:hAnsi="宋体" w:eastAsia="宋体" w:cs="宋体"/>
                <w:color w:val="auto"/>
                <w:sz w:val="21"/>
                <w:highlight w:val="none"/>
              </w:rPr>
              <w:t xml:space="preserve">、针对性</w:t>
            </w:r>
            <w:r>
              <w:rPr>
                <w:rFonts w:hint="eastAsia" w:ascii="宋体" w:hAnsi="宋体" w:eastAsia="宋体" w:cs="宋体"/>
                <w:color w:val="auto"/>
                <w:sz w:val="21"/>
                <w:highlight w:val="none"/>
                <w:lang w:val="en-US" w:eastAsia="zh-CN"/>
              </w:rPr>
              <w:t xml:space="preserve">差</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施工机械、材料、周转材料、加工场地、临时道路布置</w:t>
            </w:r>
            <w:r>
              <w:rPr>
                <w:rFonts w:hint="eastAsia" w:ascii="宋体" w:hAnsi="宋体" w:eastAsia="宋体" w:cs="宋体"/>
                <w:color w:val="auto"/>
                <w:sz w:val="21"/>
                <w:highlight w:val="none"/>
                <w:lang w:val="en-US" w:eastAsia="zh-CN"/>
              </w:rPr>
              <w:t xml:space="preserve">描述笼统不清晰、没有细化</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2</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施工重点、难点分析（</w:t>
            </w: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根据供应商结合本项目实际，对项目实施的重点、难点分析和解决方案等内容进行综合评审。</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1、重难点分析</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清晰合理，提供的解决方案</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齐全、详细，可操作性</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10</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2、重难点分析清晰合理，提供的解决方案齐全、较详细，可操作性强的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8</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、重难点分析较清晰合理，提供的解决方案较齐全、较详细，可操作性较强的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6</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rFonts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、重难点分析较清晰合理，提供的解决方案</w:t>
            </w:r>
            <w:r>
              <w:rPr>
                <w:rFonts w:hint="eastAsia" w:ascii="宋体" w:hAnsi="宋体" w:cs="宋体"/>
                <w:color w:val="auto"/>
                <w:sz w:val="21"/>
                <w:highlight w:val="none"/>
                <w:lang w:val="en-US" w:eastAsia="zh-CN"/>
              </w:rPr>
              <w:t xml:space="preserve">有缺陷</w:t>
            </w:r>
            <w:r>
              <w:rPr>
                <w:rFonts w:ascii="宋体" w:hAnsi="宋体" w:eastAsia="宋体" w:cs="宋体"/>
                <w:color w:val="auto"/>
                <w:sz w:val="21"/>
                <w:highlight w:val="none"/>
              </w:rPr>
              <w:t xml:space="preserve">，可操作性</w:t>
            </w:r>
            <w:r>
              <w:rPr>
                <w:rFonts w:hint="eastAsia" w:ascii="宋体" w:hAnsi="宋体" w:cs="宋体"/>
                <w:color w:val="auto"/>
                <w:sz w:val="21"/>
                <w:highlight w:val="none"/>
                <w:lang w:val="en-US" w:eastAsia="zh-CN"/>
              </w:rPr>
              <w:t xml:space="preserve">差</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重难点分析</w:t>
            </w:r>
            <w:r>
              <w:rPr>
                <w:rFonts w:hint="eastAsia" w:ascii="宋体" w:hAnsi="宋体" w:cs="宋体"/>
                <w:color w:val="auto"/>
                <w:sz w:val="21"/>
                <w:highlight w:val="none"/>
                <w:lang w:eastAsia="zh-CN"/>
              </w:rPr>
              <w:t xml:space="preserve">、</w:t>
            </w:r>
            <w:r>
              <w:rPr>
                <w:rFonts w:ascii="宋体" w:hAnsi="宋体" w:eastAsia="宋体" w:cs="宋体"/>
                <w:color w:val="auto"/>
                <w:sz w:val="21"/>
                <w:highlight w:val="none"/>
              </w:rPr>
              <w:t xml:space="preserve">提供的解决方案</w:t>
            </w:r>
            <w:r>
              <w:rPr>
                <w:rFonts w:hint="eastAsia" w:ascii="宋体" w:hAnsi="宋体" w:cs="宋体"/>
                <w:color w:val="auto"/>
                <w:sz w:val="21"/>
                <w:highlight w:val="none"/>
                <w:lang w:val="en-US" w:eastAsia="zh-CN"/>
              </w:rPr>
              <w:t xml:space="preserve">笼统不清晰没有细化</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2</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10</w:t>
            </w:r>
            <w:r>
              <w:rPr>
                <w:rFonts w:ascii="宋体" w:hAnsi="宋体" w:eastAsia="宋体" w:cs="宋体"/>
                <w:color w:val="auto"/>
                <w:sz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拟投入机具设备及劳动力配置（</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根据供应商结合本项目规模、工艺复杂度、工期要求等特点，拟投入的机具设备种类、设备性能、劳动力配置数量、各工种搭配能否满足项目实施需求等内容进行综合评审。</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1、拟投入的机具设备种类丰富齐全，涵盖各施工环节所需，且设备性能先进、状态良好，能极大提升施工效率与质量。劳动力配置数量充足，各工种搭配</w:t>
            </w:r>
            <w:r>
              <w:rPr>
                <w:rFonts w:hint="eastAsia" w:ascii="宋体" w:hAnsi="宋体" w:cs="宋体"/>
                <w:color w:val="auto"/>
                <w:sz w:val="21"/>
                <w:highlight w:val="none"/>
                <w:lang w:val="en-US" w:eastAsia="zh-CN"/>
              </w:rPr>
              <w:t xml:space="preserve">非常</w:t>
            </w:r>
            <w:r>
              <w:rPr>
                <w:rFonts w:ascii="宋体" w:hAnsi="宋体" w:eastAsia="宋体" w:cs="宋体"/>
                <w:color w:val="auto"/>
                <w:sz w:val="21"/>
                <w:highlight w:val="none"/>
              </w:rPr>
              <w:t xml:space="preserve">科学合理，能根据施工进度灵活调配，全面满足项目实施需求，保障施工流畅高效</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6</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2、拟投入的机具设备种类齐全，设备配置符合项目需要，劳动力安排数量满足施工进度要求，工种搭配合理，能够确保各阶段施工需求得到有效满足</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、拟投入的机具设备种类较为齐全，设备配置基本符合项目需要，劳动力安排数量基本满足施工进度要求，工种搭配较合理，能够确保各阶段施工需求得到有效满足</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、机具设备种类有缺失，性能一般，影响施工效率。劳动力数量和工种搭配仅能勉强维持施工，难以应对突发状况，</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施工质量保证措施（6分）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根据供应商提供施工质量保证措施，包括但不限于施工质量控制及保证措施（含质保体系、技术保证、材料保证等）、施工过程质量控制、新工艺、新技术、新材料的可靠性等进行综合评审。</w:t>
            </w:r>
            <w:r/>
          </w:p>
          <w:p>
            <w:pPr>
              <w:numPr>
                <w:ilvl w:val="0"/>
                <w:numId w:val="8"/>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质量保证措施科学性、合理性、可行性、可靠性</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强的</w:t>
            </w:r>
            <w:r>
              <w:rPr>
                <w:rFonts w:ascii="宋体" w:hAnsi="宋体" w:eastAsia="宋体" w:cs="宋体"/>
                <w:b/>
                <w:bCs/>
                <w:color w:val="auto"/>
                <w:sz w:val="21"/>
                <w:highlight w:val="none"/>
              </w:rPr>
              <w:t xml:space="preserve">得6分</w:t>
            </w:r>
            <w:r>
              <w:rPr>
                <w:rFonts w:ascii="宋体" w:hAnsi="宋体" w:eastAsia="宋体" w:cs="宋体"/>
                <w:color w:val="auto"/>
                <w:sz w:val="21"/>
                <w:highlight w:val="none"/>
              </w:rPr>
              <w:t xml:space="preserve">；</w:t>
            </w:r>
            <w:r/>
          </w:p>
          <w:p>
            <w:pPr>
              <w:numPr>
                <w:ilvl w:val="0"/>
                <w:numId w:val="0"/>
              </w:num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质量保证措施科学性、合理性、可行性、可靠性强的</w:t>
            </w:r>
            <w:r>
              <w:rPr>
                <w:rFonts w:ascii="宋体" w:hAnsi="宋体" w:eastAsia="宋体" w:cs="宋体"/>
                <w:b/>
                <w:bCs/>
                <w:color w:val="auto"/>
                <w:sz w:val="21"/>
                <w:highlight w:val="none"/>
              </w:rPr>
              <w:t xml:space="preserve">得</w:t>
            </w:r>
            <w:r>
              <w:rPr>
                <w:rFonts w:hint="eastAsia" w:ascii="宋体" w:hAnsi="宋体" w:eastAsia="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、质量保证措施较合理、可行性、可靠性较强的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、质量保证措施合理性、可行性、可靠性一般的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eastAsia="宋体" w:cs="宋体"/>
                <w:color w:val="auto"/>
                <w:sz w:val="21"/>
                <w:highlight w:val="none"/>
              </w:rPr>
              <w:t xml:space="preserve">6分</w:t>
            </w:r>
            <w:r/>
          </w:p>
        </w:tc>
      </w:tr>
      <w:tr>
        <w:trPr>
          <w:jc w:val="center"/>
          <w:trHeight w:val="90"/>
        </w:trPr>
        <w:tc>
          <w:tcPr>
            <w:tcBorders>
              <w:top w:val="single" w:color="auto" w:sz="4" w:space="0"/>
              <w:left w:val="single" w:color="auto" w:sz="4" w:space="0"/>
              <w:right w:val="single" w:color="auto" w:sz="4" w:space="0"/>
            </w:tcBorders>
            <w:tcW w:w="1759" w:type="dxa"/>
            <w:vAlign w:val="center"/>
            <w:textDirection w:val="lrTb"/>
            <w:noWrap w:val="false"/>
          </w:tcPr>
          <w:p>
            <w:pPr>
              <w:ind w:left="0" w:right="0" w:firstLine="0"/>
              <w:jc w:val="center"/>
              <w:spacing w:before="0" w:after="0"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安全文明施工及环境保护措施（</w:t>
            </w:r>
            <w:r>
              <w:rPr>
                <w:rFonts w:hint="eastAsia" w:ascii="宋体" w:hAnsi="宋体" w:eastAsia="宋体" w:cs="宋体"/>
                <w:color w:val="auto"/>
                <w:sz w:val="21"/>
                <w:highlight w:val="none"/>
                <w:lang w:val="en-US" w:eastAsia="zh-CN"/>
              </w:rPr>
              <w:t xml:space="preserve">5</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51"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根据供应商提供针对本项目安全文明施工、环境保护采取措施的规范性、全面性、合理性、针对性、具体性、可靠性及操作规程科学性等进行综合评审。 </w:t>
            </w:r>
            <w:r/>
          </w:p>
          <w:p>
            <w:pPr>
              <w:numPr>
                <w:ilvl w:val="0"/>
                <w:numId w:val="9"/>
              </w:numPr>
              <w:ind w:left="0" w:right="0" w:firstLine="0"/>
              <w:jc w:val="both"/>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针对本项目安全文明施工、环境保护具体措施</w:t>
            </w:r>
            <w:r>
              <w:rPr>
                <w:rFonts w:hint="eastAsia" w:ascii="宋体" w:hAnsi="宋体" w:eastAsia="宋体" w:cs="宋体"/>
                <w:color w:val="auto"/>
                <w:sz w:val="21"/>
                <w:highlight w:val="none"/>
                <w:lang w:val="en-US" w:eastAsia="zh-CN"/>
              </w:rPr>
              <w:t xml:space="preserve">非常</w:t>
            </w:r>
            <w:r>
              <w:rPr>
                <w:rFonts w:ascii="宋体" w:hAnsi="宋体" w:eastAsia="宋体" w:cs="宋体"/>
                <w:color w:val="auto"/>
                <w:sz w:val="21"/>
                <w:highlight w:val="none"/>
              </w:rPr>
              <w:t xml:space="preserve">合理，针对性</w:t>
            </w:r>
            <w:r>
              <w:rPr>
                <w:rFonts w:hint="eastAsia" w:ascii="宋体" w:hAnsi="宋体" w:eastAsia="宋体" w:cs="宋体"/>
                <w:color w:val="auto"/>
                <w:sz w:val="21"/>
                <w:highlight w:val="none"/>
                <w:lang w:val="en-US" w:eastAsia="zh-CN"/>
              </w:rPr>
              <w:t xml:space="preserve">非常强</w:t>
            </w:r>
            <w:r>
              <w:rPr>
                <w:rFonts w:ascii="宋体" w:hAnsi="宋体" w:eastAsia="宋体" w:cs="宋体"/>
                <w:color w:val="auto"/>
                <w:sz w:val="21"/>
                <w:highlight w:val="none"/>
              </w:rPr>
              <w:t xml:space="preserve">，能有效预防事故发生，保护措施规范性、全面性、合理性、可行性强的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5</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numPr>
                <w:ilvl w:val="0"/>
                <w:numId w:val="0"/>
              </w:num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针对本项目安全文明施工、环境保护具体措施合理，有针对性，能有效预防事故发生，保护措施规范性、全面性、合理性、可行性强的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4</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ascii="宋体" w:hAnsi="宋体" w:eastAsia="宋体" w:cs="宋体"/>
                <w:color w:val="auto"/>
                <w:sz w:val="21"/>
                <w:highlight w:val="none"/>
              </w:rPr>
              <w:t xml:space="preserve">、针对本项目安全文明施工、环境保护具体措施较为合理，能预防事故发生，保护措施规范性、全面性、合理性、可行性较强的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3</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、针对本项目安全文明施工、环境保护具体措施</w:t>
            </w:r>
            <w:r>
              <w:rPr>
                <w:rFonts w:hint="eastAsia" w:ascii="宋体" w:hAnsi="宋体" w:cs="宋体"/>
                <w:color w:val="auto"/>
                <w:sz w:val="21"/>
                <w:highlight w:val="none"/>
                <w:lang w:val="en-US" w:eastAsia="zh-CN"/>
              </w:rPr>
              <w:t xml:space="preserve">描述笼统没有细化</w:t>
            </w:r>
            <w:r>
              <w:rPr>
                <w:rFonts w:ascii="宋体" w:hAnsi="宋体" w:eastAsia="宋体" w:cs="宋体"/>
                <w:color w:val="auto"/>
                <w:sz w:val="21"/>
                <w:highlight w:val="none"/>
              </w:rPr>
              <w:t xml:space="preserve">的</w:t>
            </w:r>
            <w:r>
              <w:rPr>
                <w:rFonts w:ascii="宋体" w:hAnsi="宋体" w:eastAsia="宋体" w:cs="宋体"/>
                <w:b/>
                <w:bCs/>
                <w:color w:val="auto"/>
                <w:sz w:val="21"/>
                <w:highlight w:val="none"/>
              </w:rPr>
              <w:t xml:space="preserve">得</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分</w:t>
            </w:r>
            <w:r>
              <w:rPr>
                <w:rFonts w:ascii="宋体" w:hAnsi="宋体" w:eastAsia="宋体" w:cs="宋体"/>
                <w:color w:val="auto"/>
                <w:sz w:val="21"/>
                <w:highlight w:val="none"/>
              </w:rPr>
              <w:t xml:space="preserve">。</w:t>
            </w:r>
            <w:r/>
          </w:p>
          <w:p>
            <w:pPr>
              <w:ind w:left="0" w:right="0" w:firstLine="0"/>
              <w:jc w:val="both"/>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未见阐述不得分。</w:t>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分</w:t>
            </w:r>
            <w:r/>
          </w:p>
        </w:tc>
      </w:tr>
    </w:tbl>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（3）商务分</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分）</w:t>
      </w:r>
      <w:r/>
    </w:p>
    <w:tbl>
      <w:tblPr>
        <w:tblStyle w:val="789"/>
        <w:tblpPr w:horzAnchor="page" w:tblpXSpec="center" w:vertAnchor="text" w:tblpY="500" w:leftFromText="180" w:topFromText="0" w:rightFromText="180" w:bottomFromText="0"/>
        <w:tblW w:w="10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7474"/>
        <w:gridCol w:w="950"/>
      </w:tblGrid>
      <w:tr>
        <w:trPr>
          <w:jc w:val="center"/>
          <w:trHeight w:val="387"/>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分项名称</w:t>
            </w:r>
            <w:r/>
          </w:p>
        </w:tc>
        <w:tc>
          <w:tcPr>
            <w:tcBorders>
              <w:top w:val="single" w:color="auto" w:sz="4" w:space="0"/>
              <w:left w:val="single" w:color="auto" w:sz="4" w:space="0"/>
              <w:bottom w:val="single" w:color="auto" w:sz="4" w:space="0"/>
              <w:right w:val="single" w:color="auto" w:sz="4" w:space="0"/>
            </w:tcBorders>
            <w:tcW w:w="747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业绩</w:t>
            </w:r>
            <w:r>
              <w:rPr>
                <w:rFonts w:hint="eastAsia" w:ascii="宋体" w:hAnsi="宋体" w:eastAsia="宋体" w:cs="宋体"/>
                <w:color w:val="auto"/>
                <w:sz w:val="21"/>
                <w:szCs w:val="21"/>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7474" w:type="dxa"/>
            <w:textDirection w:val="lrTb"/>
            <w:noWrap w:val="false"/>
          </w:tcPr>
          <w:p>
            <w:pPr>
              <w:pStyle w:val="809"/>
              <w:keepLines w:val="0"/>
              <w:keepNext w:val="0"/>
              <w:widowControl/>
              <w:rPr>
                <w:rFonts w:hint="eastAsia" w:ascii="宋体" w:hAnsi="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自2022年1月至今供应商</w:t>
            </w:r>
            <w:r>
              <w:rPr>
                <w:rFonts w:hint="eastAsia" w:cs="宋体"/>
                <w:color w:val="auto"/>
                <w:sz w:val="24"/>
                <w:szCs w:val="24"/>
                <w:highlight w:val="none"/>
                <w:lang w:val="en-US" w:eastAsia="zh-CN" w:bidi="ar-SA"/>
              </w:rPr>
              <w:t xml:space="preserve">具有类似水利工程</w:t>
            </w:r>
            <w:r>
              <w:rPr>
                <w:rFonts w:hint="eastAsia" w:ascii="宋体" w:hAnsi="宋体" w:eastAsia="宋体" w:cs="宋体"/>
                <w:color w:val="auto"/>
                <w:sz w:val="24"/>
                <w:szCs w:val="24"/>
                <w:highlight w:val="none"/>
                <w:lang w:val="en-US" w:eastAsia="zh-CN" w:bidi="ar-SA"/>
              </w:rPr>
              <w:t xml:space="preserve">业绩，每有一个得</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b/>
                <w:bCs/>
                <w:color w:val="auto"/>
                <w:highlight w:val="none"/>
              </w:rPr>
              <w:t xml:space="preserve">本项最高得</w:t>
            </w:r>
            <w:r>
              <w:rPr>
                <w:rFonts w:hint="eastAsia" w:cs="宋体"/>
                <w:b/>
                <w:bCs/>
                <w:color w:val="auto"/>
                <w:highlight w:val="none"/>
                <w:lang w:val="en-US" w:eastAsia="zh-CN"/>
              </w:rPr>
              <w:t xml:space="preserve">6</w:t>
            </w:r>
            <w:r>
              <w:rPr>
                <w:rFonts w:hint="eastAsia" w:ascii="宋体" w:hAnsi="宋体" w:cs="宋体"/>
                <w:b/>
                <w:bCs/>
                <w:color w:val="auto"/>
                <w:highlight w:val="none"/>
              </w:rPr>
              <w:t xml:space="preserve">分。</w:t>
            </w:r>
            <w:r/>
          </w:p>
          <w:p>
            <w:pPr>
              <w:pStyle w:val="793"/>
              <w:spacing w:line="360" w:lineRule="auto"/>
              <w:rPr>
                <w:rFonts w:hint="eastAsia" w:ascii="宋体" w:hAnsi="宋体" w:eastAsia="宋体" w:cs="宋体"/>
                <w:color w:val="auto"/>
                <w:sz w:val="21"/>
                <w:szCs w:val="21"/>
                <w:highlight w:val="none"/>
                <w:lang w:val="en-US" w:eastAsia="zh-CN" w:bidi="ar-SA"/>
              </w:rPr>
            </w:pPr>
            <w:r>
              <w:rPr>
                <w:rFonts w:ascii="宋体" w:hAnsi="宋体" w:eastAsia="宋体" w:cs="宋体"/>
                <w:b/>
                <w:bCs/>
                <w:color w:val="auto"/>
                <w:spacing w:val="0"/>
                <w:sz w:val="24"/>
                <w:szCs w:val="24"/>
                <w:highlight w:val="none"/>
                <w:lang w:val="en-US" w:eastAsia="zh-CN" w:bidi="ar-SA"/>
              </w:rPr>
              <w:t xml:space="preserve">注：业绩证明材料需提供</w:t>
            </w:r>
            <w:r>
              <w:rPr>
                <w:rFonts w:hint="eastAsia" w:ascii="宋体" w:hAnsi="宋体" w:eastAsia="宋体" w:cs="宋体"/>
                <w:b/>
                <w:bCs/>
                <w:color w:val="auto"/>
                <w:spacing w:val="0"/>
                <w:sz w:val="24"/>
                <w:szCs w:val="24"/>
                <w:highlight w:val="none"/>
                <w:lang w:val="en-US" w:eastAsia="zh-CN" w:bidi="ar-SA"/>
              </w:rPr>
              <w:t xml:space="preserve">中标通知书（成交通知书或直接发包证明）和</w:t>
            </w:r>
            <w:r>
              <w:rPr>
                <w:rFonts w:ascii="宋体" w:hAnsi="宋体" w:eastAsia="宋体" w:cs="宋体"/>
                <w:b/>
                <w:bCs/>
                <w:color w:val="auto"/>
                <w:spacing w:val="0"/>
                <w:sz w:val="24"/>
                <w:szCs w:val="24"/>
                <w:highlight w:val="none"/>
                <w:lang w:val="en-US" w:eastAsia="zh-CN" w:bidi="ar-SA"/>
              </w:rPr>
              <w:t xml:space="preserve">合同协议书</w:t>
            </w:r>
            <w:r>
              <w:rPr>
                <w:rFonts w:hint="eastAsia" w:ascii="宋体" w:hAnsi="宋体" w:eastAsia="宋体" w:cs="宋体"/>
                <w:b/>
                <w:bCs/>
                <w:color w:val="auto"/>
                <w:spacing w:val="0"/>
                <w:sz w:val="24"/>
                <w:szCs w:val="24"/>
                <w:highlight w:val="none"/>
                <w:lang w:val="en-US" w:eastAsia="zh-CN" w:bidi="ar-SA"/>
              </w:rPr>
              <w:t xml:space="preserve">和验收证明须，三者缺一不可</w:t>
            </w:r>
            <w:r>
              <w:rPr>
                <w:rFonts w:ascii="宋体" w:hAnsi="宋体" w:eastAsia="宋体" w:cs="宋体"/>
                <w:b/>
                <w:bCs/>
                <w:color w:val="auto"/>
                <w:spacing w:val="0"/>
                <w:sz w:val="24"/>
                <w:szCs w:val="24"/>
                <w:highlight w:val="none"/>
                <w:lang w:val="en-US" w:eastAsia="zh-CN" w:bidi="ar-SA"/>
              </w:rPr>
              <w:t xml:space="preserve">，时间以合同签订时间为准</w:t>
            </w:r>
            <w:r>
              <w:rPr>
                <w:rFonts w:hint="eastAsia" w:ascii="宋体" w:hAnsi="宋体" w:eastAsia="宋体" w:cs="宋体"/>
                <w:b/>
                <w:bCs/>
                <w:color w:val="auto"/>
                <w:spacing w:val="0"/>
                <w:sz w:val="24"/>
                <w:szCs w:val="24"/>
                <w:highlight w:val="none"/>
                <w:lang w:val="en-US" w:eastAsia="zh-CN" w:bidi="ar-SA"/>
              </w:rPr>
              <w:t xml:space="preserve">，分包、转包合同无效</w:t>
            </w:r>
            <w:r>
              <w:rPr>
                <w:rFonts w:hint="eastAsia" w:ascii="宋体" w:hAnsi="宋体" w:eastAsia="宋体" w:cs="宋体"/>
                <w:b w:val="0"/>
                <w:color w:val="auto"/>
                <w:spacing w:val="0"/>
                <w:sz w:val="24"/>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项目负责人</w:t>
            </w:r>
            <w:r>
              <w:rPr>
                <w:rFonts w:hint="eastAsia" w:ascii="宋体" w:hAnsi="宋体" w:eastAsia="宋体" w:cs="宋体"/>
                <w:color w:val="auto"/>
                <w:sz w:val="21"/>
                <w:szCs w:val="21"/>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7474" w:type="dxa"/>
            <w:textDirection w:val="lrTb"/>
            <w:noWrap w:val="false"/>
          </w:tcPr>
          <w:p>
            <w:pPr>
              <w:pStyle w:val="1050"/>
              <w:ind w:firstLine="0"/>
              <w:jc w:val="both"/>
              <w:spacing w:line="400" w:lineRule="exact"/>
              <w:rPr>
                <w:rFonts w:hint="eastAsia" w:ascii="宋体" w:hAnsi="宋体" w:cs="宋体"/>
                <w:b/>
                <w:bCs/>
                <w:color w:val="auto"/>
                <w:highlight w:val="none"/>
              </w:rPr>
            </w:pPr>
            <w:r>
              <w:rPr>
                <w:rFonts w:hint="eastAsia" w:ascii="宋体" w:hAnsi="宋体" w:cs="宋体"/>
                <w:color w:val="auto"/>
                <w:highlight w:val="none"/>
              </w:rPr>
              <w:t xml:space="preserve">拟派项目负责人具有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高级工程师及以上职称的</w:t>
            </w:r>
            <w:r>
              <w:rPr>
                <w:rFonts w:hint="eastAsia" w:ascii="宋体" w:hAnsi="宋体" w:cs="宋体"/>
                <w:b/>
                <w:bCs/>
                <w:color w:val="auto"/>
                <w:highlight w:val="none"/>
              </w:rPr>
              <w:t xml:space="preserve">得4分，</w:t>
            </w:r>
            <w:r>
              <w:rPr>
                <w:rFonts w:hint="eastAsia" w:ascii="宋体" w:hAnsi="宋体" w:cs="宋体"/>
                <w:color w:val="auto"/>
                <w:highlight w:val="none"/>
              </w:rPr>
              <w:t xml:space="preserve">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中级工程师职称的</w:t>
            </w:r>
            <w:r>
              <w:rPr>
                <w:rFonts w:hint="eastAsia" w:ascii="宋体" w:hAnsi="宋体" w:cs="宋体"/>
                <w:b/>
                <w:bCs/>
                <w:color w:val="auto"/>
                <w:highlight w:val="none"/>
              </w:rPr>
              <w:t xml:space="preserve">得2分</w:t>
            </w:r>
            <w:r/>
          </w:p>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提供项目负责人相应证书，否则不得分。（供应商须提供签订的劳动合同、社保机构出具的近三个月（2026年08月至2026年10月）任意一个月供应商为其缴纳社保的证明材料上传至响应文件中）</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技术负责人</w:t>
            </w:r>
            <w:r/>
          </w:p>
        </w:tc>
        <w:tc>
          <w:tcPr>
            <w:tcBorders>
              <w:top w:val="single" w:color="auto" w:sz="4" w:space="0"/>
              <w:left w:val="single" w:color="auto" w:sz="4" w:space="0"/>
              <w:bottom w:val="single" w:color="auto" w:sz="4" w:space="0"/>
              <w:right w:val="single" w:color="auto" w:sz="4" w:space="0"/>
            </w:tcBorders>
            <w:tcW w:w="7474" w:type="dxa"/>
            <w:textDirection w:val="lrTb"/>
            <w:noWrap w:val="false"/>
          </w:tcPr>
          <w:p>
            <w:pPr>
              <w:pStyle w:val="1050"/>
              <w:ind w:firstLine="0"/>
              <w:jc w:val="both"/>
              <w:spacing w:line="400" w:lineRule="exact"/>
              <w:rPr>
                <w:rFonts w:hint="eastAsia" w:ascii="宋体" w:hAnsi="宋体" w:cs="宋体"/>
                <w:b/>
                <w:bCs/>
                <w:color w:val="auto"/>
                <w:highlight w:val="none"/>
                <w:lang w:eastAsia="zh-CN"/>
              </w:rPr>
            </w:pPr>
            <w:r>
              <w:rPr>
                <w:rFonts w:hint="eastAsia" w:ascii="宋体" w:hAnsi="宋体" w:cs="宋体"/>
                <w:color w:val="auto"/>
                <w:highlight w:val="none"/>
              </w:rPr>
              <w:t xml:space="preserve">拟派</w:t>
            </w:r>
            <w:r>
              <w:rPr>
                <w:rFonts w:hint="eastAsia" w:ascii="宋体" w:hAnsi="宋体" w:cs="宋体"/>
                <w:color w:val="auto"/>
                <w:highlight w:val="none"/>
                <w:lang w:val="en-US" w:eastAsia="zh-CN"/>
              </w:rPr>
              <w:t xml:space="preserve">项目技术</w:t>
            </w:r>
            <w:r>
              <w:rPr>
                <w:rFonts w:hint="eastAsia" w:ascii="宋体" w:hAnsi="宋体" w:cs="宋体"/>
                <w:color w:val="auto"/>
                <w:highlight w:val="none"/>
              </w:rPr>
              <w:t xml:space="preserve">负责人具有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高级工程师及以上职称的</w:t>
            </w:r>
            <w:r>
              <w:rPr>
                <w:rFonts w:hint="eastAsia" w:ascii="宋体" w:hAnsi="宋体" w:cs="宋体"/>
                <w:b/>
                <w:bCs/>
                <w:color w:val="auto"/>
                <w:highlight w:val="none"/>
              </w:rPr>
              <w:t xml:space="preserve">得4分，</w:t>
            </w:r>
            <w:r>
              <w:rPr>
                <w:rFonts w:hint="eastAsia" w:ascii="宋体" w:hAnsi="宋体" w:cs="宋体"/>
                <w:color w:val="auto"/>
                <w:highlight w:val="none"/>
              </w:rPr>
              <w:t xml:space="preserve">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中级工程师职称的</w:t>
            </w:r>
            <w:r>
              <w:rPr>
                <w:rFonts w:hint="eastAsia" w:ascii="宋体" w:hAnsi="宋体" w:cs="宋体"/>
                <w:b/>
                <w:bCs/>
                <w:color w:val="auto"/>
                <w:highlight w:val="none"/>
              </w:rPr>
              <w:t xml:space="preserve">得2分</w:t>
            </w:r>
            <w:r>
              <w:rPr>
                <w:rFonts w:hint="eastAsia" w:ascii="宋体" w:hAnsi="宋体" w:cs="宋体"/>
                <w:b/>
                <w:bCs/>
                <w:color w:val="auto"/>
                <w:highlight w:val="none"/>
                <w:lang w:eastAsia="zh-CN"/>
              </w:rPr>
              <w:t xml:space="preserve">。</w:t>
            </w:r>
            <w:r/>
          </w:p>
          <w:p>
            <w:pPr>
              <w:pStyle w:val="1050"/>
              <w:ind w:firstLine="0"/>
              <w:jc w:val="both"/>
              <w:spacing w:line="400" w:lineRule="exact"/>
              <w:rPr>
                <w:rFonts w:hint="eastAsia" w:ascii="宋体" w:hAnsi="宋体" w:eastAsia="宋体" w:cs="宋体"/>
                <w:b/>
                <w:bCs/>
                <w:color w:val="auto"/>
                <w:highlight w:val="none"/>
                <w:lang w:val="en-US" w:eastAsia="zh-CN"/>
              </w:rPr>
            </w:pPr>
            <w:r>
              <w:rPr>
                <w:rFonts w:hint="eastAsia" w:ascii="宋体" w:hAnsi="宋体" w:cs="宋体"/>
                <w:color w:val="auto"/>
                <w:highlight w:val="none"/>
              </w:rPr>
              <w:t xml:space="preserve">具有</w:t>
            </w:r>
            <w:r>
              <w:rPr>
                <w:rFonts w:hint="eastAsia" w:ascii="宋体" w:hAnsi="宋体"/>
                <w:color w:val="auto"/>
                <w:sz w:val="24"/>
                <w:highlight w:val="none"/>
              </w:rPr>
              <w:t xml:space="preserve">水利水电工程专业</w:t>
            </w:r>
            <w:r>
              <w:rPr>
                <w:rFonts w:hint="eastAsia" w:ascii="宋体" w:hAnsi="宋体"/>
                <w:color w:val="auto"/>
                <w:sz w:val="24"/>
                <w:highlight w:val="none"/>
                <w:lang w:val="en-US" w:eastAsia="zh-CN"/>
              </w:rPr>
              <w:t xml:space="preserve">一</w:t>
            </w:r>
            <w:r>
              <w:rPr>
                <w:rFonts w:hint="eastAsia" w:ascii="宋体" w:hAnsi="宋体"/>
                <w:color w:val="auto"/>
                <w:sz w:val="24"/>
                <w:highlight w:val="none"/>
              </w:rPr>
              <w:t xml:space="preserve">级注册建造师资格</w:t>
            </w:r>
            <w:r>
              <w:rPr>
                <w:rFonts w:hint="eastAsia" w:ascii="宋体" w:hAnsi="宋体"/>
                <w:b/>
                <w:bCs/>
                <w:color w:val="auto"/>
                <w:sz w:val="24"/>
                <w:highlight w:val="none"/>
                <w:lang w:val="en-US" w:eastAsia="zh-CN"/>
              </w:rPr>
              <w:t xml:space="preserve">得4分</w:t>
            </w:r>
            <w:r>
              <w:rPr>
                <w:rFonts w:hint="eastAsia" w:ascii="宋体" w:hAnsi="宋体"/>
                <w:color w:val="auto"/>
                <w:sz w:val="24"/>
                <w:highlight w:val="none"/>
                <w:lang w:val="en-US" w:eastAsia="zh-CN"/>
              </w:rPr>
              <w:t xml:space="preserve">，</w:t>
            </w:r>
            <w:r>
              <w:rPr>
                <w:rFonts w:hint="eastAsia" w:ascii="宋体" w:hAnsi="宋体" w:cs="宋体"/>
                <w:color w:val="auto"/>
                <w:highlight w:val="none"/>
              </w:rPr>
              <w:t xml:space="preserve">具有</w:t>
            </w:r>
            <w:r>
              <w:rPr>
                <w:rFonts w:hint="eastAsia" w:ascii="宋体" w:hAnsi="宋体"/>
                <w:color w:val="auto"/>
                <w:sz w:val="24"/>
                <w:highlight w:val="none"/>
              </w:rPr>
              <w:t xml:space="preserve">水利水电工程专业二级注册建造师资格</w:t>
            </w:r>
            <w:r>
              <w:rPr>
                <w:rFonts w:hint="eastAsia" w:ascii="宋体" w:hAnsi="宋体"/>
                <w:b/>
                <w:bCs/>
                <w:color w:val="auto"/>
                <w:sz w:val="24"/>
                <w:highlight w:val="none"/>
                <w:lang w:val="en-US" w:eastAsia="zh-CN"/>
              </w:rPr>
              <w:t xml:space="preserve">得2分。</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提供项目</w:t>
            </w:r>
            <w:r>
              <w:rPr>
                <w:rFonts w:hint="eastAsia" w:ascii="宋体" w:hAnsi="宋体" w:cs="宋体"/>
                <w:color w:val="auto"/>
                <w:sz w:val="24"/>
                <w:szCs w:val="24"/>
                <w:highlight w:val="none"/>
                <w:lang w:val="en-US" w:eastAsia="zh-CN" w:bidi="ar-SA"/>
              </w:rPr>
              <w:t xml:space="preserve">技术</w:t>
            </w:r>
            <w:r>
              <w:rPr>
                <w:rFonts w:hint="eastAsia" w:ascii="宋体" w:hAnsi="宋体" w:eastAsia="宋体" w:cs="宋体"/>
                <w:color w:val="auto"/>
                <w:sz w:val="24"/>
                <w:szCs w:val="24"/>
                <w:highlight w:val="none"/>
                <w:lang w:val="en-US" w:eastAsia="zh-CN" w:bidi="ar-SA"/>
              </w:rPr>
              <w:t xml:space="preserve">负责人相应证书，否则不得分。（供应商须提供签订的劳动合同、社保机构出具的近三个月（2026年08月至2026年10月）任意一个月供应商为其缴纳社保的证明材料上传至响应文件中）</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r>
      <w:tr>
        <w:trPr>
          <w:jc w:val="center"/>
          <w:trHeight w:val="494"/>
        </w:trPr>
        <w:tc>
          <w:tcPr>
            <w:tcBorders>
              <w:top w:val="single" w:color="auto" w:sz="4" w:space="0"/>
              <w:left w:val="single" w:color="auto" w:sz="4" w:space="0"/>
              <w:bottom w:val="single" w:color="auto" w:sz="4" w:space="0"/>
              <w:right w:val="single" w:color="auto" w:sz="4" w:space="0"/>
            </w:tcBorders>
            <w:tcW w:w="174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olor w:val="auto"/>
                <w:highlight w:val="none"/>
              </w:rPr>
              <w:t xml:space="preserve">项目组成员</w:t>
            </w:r>
            <w:r/>
          </w:p>
        </w:tc>
        <w:tc>
          <w:tcPr>
            <w:tcBorders>
              <w:top w:val="single" w:color="auto" w:sz="4" w:space="0"/>
              <w:left w:val="single" w:color="auto" w:sz="4" w:space="0"/>
              <w:bottom w:val="single" w:color="auto" w:sz="4" w:space="0"/>
              <w:right w:val="single" w:color="auto" w:sz="4" w:space="0"/>
            </w:tcBorders>
            <w:tcW w:w="7474" w:type="dxa"/>
            <w:vAlign w:val="center"/>
            <w:textDirection w:val="lrTb"/>
            <w:noWrap w:val="false"/>
          </w:tcPr>
          <w:p>
            <w:pPr>
              <w:pStyle w:val="1050"/>
              <w:ind w:firstLine="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投入本项目成员（项目负责人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技术负责人</w:t>
            </w:r>
            <w:r>
              <w:rPr>
                <w:rFonts w:hint="eastAsia" w:ascii="宋体" w:hAnsi="宋体" w:cs="宋体"/>
                <w:color w:val="auto"/>
                <w:highlight w:val="none"/>
              </w:rPr>
              <w:t xml:space="preserve">除外）：</w:t>
            </w:r>
            <w:r/>
          </w:p>
          <w:p>
            <w:pPr>
              <w:pStyle w:val="1050"/>
              <w:ind w:firstLine="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拟投入本项目成员中具有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高级工程师及以上职称的</w:t>
            </w:r>
            <w:r>
              <w:rPr>
                <w:rFonts w:hint="eastAsia" w:ascii="宋体" w:hAnsi="宋体" w:cs="宋体"/>
                <w:b/>
                <w:bCs/>
                <w:color w:val="auto"/>
                <w:highlight w:val="none"/>
              </w:rPr>
              <w:t xml:space="preserve">得3分，</w:t>
            </w:r>
            <w:r>
              <w:rPr>
                <w:rFonts w:hint="eastAsia" w:ascii="宋体" w:hAnsi="宋体" w:cs="宋体"/>
                <w:color w:val="auto"/>
                <w:highlight w:val="none"/>
              </w:rPr>
              <w:t xml:space="preserve">具有</w:t>
            </w:r>
            <w:r>
              <w:rPr>
                <w:rFonts w:hint="eastAsia" w:ascii="宋体" w:hAnsi="宋体" w:cs="宋体"/>
                <w:color w:val="auto"/>
                <w:highlight w:val="none"/>
                <w:lang w:val="en-US" w:eastAsia="zh-CN"/>
              </w:rPr>
              <w:t xml:space="preserve">水利工程类</w:t>
            </w:r>
            <w:r>
              <w:rPr>
                <w:rFonts w:hint="eastAsia" w:ascii="宋体" w:hAnsi="宋体" w:cs="宋体"/>
                <w:color w:val="auto"/>
                <w:highlight w:val="none"/>
              </w:rPr>
              <w:t xml:space="preserve">中级工程师职称的</w:t>
            </w:r>
            <w:r>
              <w:rPr>
                <w:rFonts w:hint="eastAsia" w:ascii="宋体" w:hAnsi="宋体" w:cs="宋体"/>
                <w:b/>
                <w:bCs/>
                <w:color w:val="auto"/>
                <w:highlight w:val="none"/>
              </w:rPr>
              <w:t xml:space="preserve">得2分，本项最高得1</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分。</w:t>
            </w:r>
            <w:r/>
          </w:p>
          <w:p>
            <w:pPr>
              <w:pStyle w:val="793"/>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0"/>
                <w:sz w:val="24"/>
                <w:szCs w:val="24"/>
                <w:highlight w:val="none"/>
                <w:lang w:val="en-US" w:eastAsia="zh-CN" w:bidi="ar-SA"/>
              </w:rPr>
              <w:t xml:space="preserve">提供项目组成员相应证书，否则不得分。</w:t>
            </w:r>
            <w:r>
              <w:rPr>
                <w:rFonts w:hint="eastAsia" w:ascii="宋体" w:hAnsi="宋体" w:eastAsia="宋体" w:cs="宋体"/>
                <w:color w:val="auto"/>
                <w:sz w:val="24"/>
                <w:szCs w:val="24"/>
                <w:highlight w:val="none"/>
                <w:lang w:val="en-US" w:eastAsia="zh-CN" w:bidi="ar-SA"/>
              </w:rPr>
              <w:t xml:space="preserve">（供应商须提供签订的劳动合同、社保机构出具的近三个月（2026年08月至2026年10月）任意一个月供应商为其缴纳社保的证明材料上传至响应文件中）</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tc>
      </w:tr>
    </w:tbl>
    <w:p>
      <w:pPr>
        <w:ind w:firstLine="480"/>
        <w:jc w:val="left"/>
        <w:spacing w:line="500" w:lineRule="exact"/>
        <w:rPr>
          <w:color w:val="auto"/>
          <w:sz w:val="24"/>
          <w:highlight w:val="none"/>
        </w:rPr>
      </w:pPr>
      <w:r>
        <w:rPr>
          <w:color w:val="auto"/>
          <w:sz w:val="24"/>
          <w:highlight w:val="none"/>
        </w:rPr>
      </w:r>
      <w:r/>
    </w:p>
    <w:p>
      <w:pPr>
        <w:ind w:firstLine="422"/>
        <w:spacing w:line="560" w:lineRule="exact"/>
        <w:rPr>
          <w:b/>
          <w:bCs/>
          <w:color w:val="auto"/>
          <w:szCs w:val="21"/>
          <w:highlight w:val="none"/>
        </w:rPr>
      </w:pPr>
      <w:r>
        <w:rPr>
          <w:b/>
          <w:bCs/>
          <w:color w:val="auto"/>
          <w:szCs w:val="21"/>
          <w:highlight w:val="none"/>
        </w:rPr>
        <w:t xml:space="preserve">备注：</w:t>
      </w:r>
      <w:r>
        <w:rPr>
          <w:rFonts w:hint="eastAsia"/>
          <w:b/>
          <w:bCs/>
          <w:color w:val="auto"/>
          <w:szCs w:val="21"/>
          <w:highlight w:val="none"/>
        </w:rPr>
        <w:t xml:space="preserve">1.</w:t>
      </w:r>
      <w:r>
        <w:rPr>
          <w:b/>
          <w:bCs/>
          <w:color w:val="auto"/>
          <w:szCs w:val="21"/>
          <w:highlight w:val="none"/>
        </w:rPr>
        <w:t xml:space="preserve">上述相关证明材料</w:t>
      </w:r>
      <w:r>
        <w:rPr>
          <w:rFonts w:hint="eastAsia"/>
          <w:b/>
          <w:bCs/>
          <w:color w:val="auto"/>
          <w:szCs w:val="21"/>
          <w:highlight w:val="none"/>
          <w:lang w:val="en-US" w:eastAsia="zh-CN"/>
        </w:rPr>
        <w:t xml:space="preserve">须提供原件彩色扫描件否则不得分</w:t>
      </w:r>
      <w:r>
        <w:rPr>
          <w:b/>
          <w:bCs/>
          <w:color w:val="auto"/>
          <w:szCs w:val="21"/>
          <w:highlight w:val="none"/>
        </w:rPr>
        <w:t xml:space="preserve">，</w:t>
      </w:r>
      <w:r>
        <w:rPr>
          <w:rFonts w:hint="eastAsia"/>
          <w:b/>
          <w:bCs/>
          <w:color w:val="auto"/>
          <w:szCs w:val="21"/>
          <w:highlight w:val="none"/>
          <w:lang w:val="en-US" w:eastAsia="zh-CN"/>
        </w:rPr>
        <w:t xml:space="preserve">否则</w:t>
      </w:r>
      <w:r>
        <w:rPr>
          <w:b/>
          <w:bCs/>
          <w:color w:val="auto"/>
          <w:szCs w:val="21"/>
          <w:highlight w:val="none"/>
        </w:rPr>
        <w:t xml:space="preserve">造成打分项不能及时得分的，后果由</w:t>
      </w:r>
      <w:r>
        <w:rPr>
          <w:rFonts w:hint="eastAsia"/>
          <w:b/>
          <w:bCs/>
          <w:color w:val="auto"/>
          <w:szCs w:val="21"/>
          <w:highlight w:val="none"/>
        </w:rPr>
        <w:t xml:space="preserve">供应商</w:t>
      </w:r>
      <w:r>
        <w:rPr>
          <w:b/>
          <w:bCs/>
          <w:color w:val="auto"/>
          <w:szCs w:val="21"/>
          <w:highlight w:val="none"/>
        </w:rPr>
        <w:t xml:space="preserve">自行承担；</w:t>
      </w:r>
      <w:r/>
    </w:p>
    <w:p>
      <w:pPr>
        <w:ind w:firstLine="422"/>
        <w:spacing w:line="560" w:lineRule="exact"/>
        <w:rPr>
          <w:rFonts w:ascii="黑体" w:eastAsia="黑体"/>
          <w:bCs/>
          <w:color w:val="auto"/>
          <w:sz w:val="44"/>
          <w:szCs w:val="28"/>
          <w:highlight w:val="none"/>
        </w:rPr>
        <w:sectPr>
          <w:footnotePr/>
          <w:endnotePr/>
          <w:type w:val="nextPage"/>
          <w:pgSz w:w="11906" w:h="16838" w:orient="portrait"/>
          <w:pgMar w:top="1417" w:right="1474" w:bottom="1417" w:left="1474" w:header="850" w:footer="907" w:gutter="0"/>
          <w:cols w:num="1" w:sep="0" w:space="0" w:equalWidth="1"/>
          <w:docGrid w:linePitch="360"/>
          <w:titlePg/>
        </w:sectPr>
      </w:pPr>
      <w:r>
        <w:rPr>
          <w:rFonts w:hint="eastAsia"/>
          <w:b/>
          <w:bCs/>
          <w:color w:val="auto"/>
          <w:szCs w:val="21"/>
          <w:highlight w:val="none"/>
        </w:rPr>
        <w:t xml:space="preserve">2.以上内容按评分因素自行在目录中编写，目录中没有或者页码不对造成打分项不能及时得分的，后果由供应商自行承担；</w:t>
      </w:r>
      <w:r/>
    </w:p>
    <w:p>
      <w:pPr>
        <w:jc w:val="center"/>
        <w:keepNext/>
        <w:rPr>
          <w:rFonts w:ascii="黑体" w:eastAsia="黑体"/>
          <w:bCs/>
          <w:color w:val="auto"/>
          <w:sz w:val="44"/>
          <w:szCs w:val="28"/>
          <w:highlight w:val="none"/>
        </w:rPr>
        <w:outlineLvl w:val="0"/>
      </w:pPr>
      <w:r/>
      <w:bookmarkStart w:id="290" w:name="_Toc4459"/>
      <w:r>
        <w:rPr>
          <w:rFonts w:hint="eastAsia" w:ascii="黑体" w:eastAsia="黑体"/>
          <w:bCs/>
          <w:color w:val="auto"/>
          <w:sz w:val="44"/>
          <w:szCs w:val="28"/>
          <w:highlight w:val="none"/>
        </w:rPr>
        <w:t xml:space="preserve">第六章  </w:t>
      </w:r>
      <w:bookmarkEnd w:id="279"/>
      <w:r/>
      <w:bookmarkEnd w:id="280"/>
      <w:r/>
      <w:bookmarkEnd w:id="286"/>
      <w:r>
        <w:rPr>
          <w:rFonts w:hint="eastAsia" w:ascii="黑体" w:eastAsia="黑体"/>
          <w:bCs/>
          <w:color w:val="auto"/>
          <w:sz w:val="44"/>
          <w:szCs w:val="28"/>
          <w:highlight w:val="none"/>
        </w:rPr>
        <w:t xml:space="preserve">响应文件格式</w:t>
      </w:r>
      <w:bookmarkEnd w:id="290"/>
      <w:r/>
      <w:r/>
    </w:p>
    <w:p>
      <w:pPr>
        <w:jc w:val="center"/>
        <w:rPr>
          <w:rFonts w:hint="eastAsia" w:ascii="宋体" w:hAnsi="宋体"/>
          <w:b/>
          <w:color w:val="auto"/>
          <w:sz w:val="72"/>
          <w:szCs w:val="21"/>
          <w:highlight w:val="none"/>
        </w:rPr>
      </w:pPr>
      <w:r/>
      <w:bookmarkStart w:id="291" w:name="_Hlt26955039"/>
      <w:r/>
      <w:bookmarkEnd w:id="291"/>
      <w:r/>
      <w:bookmarkStart w:id="292" w:name="_Hlt26671244"/>
      <w:r/>
      <w:bookmarkEnd w:id="292"/>
      <w:r/>
      <w:bookmarkStart w:id="293" w:name="_Toc120614282"/>
      <w:r/>
      <w:bookmarkStart w:id="294" w:name="_Toc26554094"/>
      <w:r/>
      <w:bookmarkStart w:id="295"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pacing w:val="60"/>
          <w:sz w:val="36"/>
          <w:szCs w:val="21"/>
          <w:highlight w:val="none"/>
        </w:rPr>
        <w:t xml:space="preserve">项目名</w:t>
      </w:r>
      <w:r>
        <w:rPr>
          <w:rFonts w:hint="eastAsia" w:ascii="宋体" w:hAnsi="宋体"/>
          <w:b/>
          <w:color w:val="auto"/>
          <w:spacing w:val="0"/>
          <w:sz w:val="36"/>
          <w:szCs w:val="21"/>
          <w:highlight w:val="none"/>
        </w:rPr>
        <w:t xml:space="preserve">称</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pacing w:val="60"/>
          <w:sz w:val="36"/>
          <w:szCs w:val="21"/>
          <w:highlight w:val="none"/>
        </w:rPr>
        <w:t xml:space="preserve">项目编</w:t>
      </w:r>
      <w:r>
        <w:rPr>
          <w:rFonts w:hint="eastAsia" w:ascii="宋体" w:hAnsi="宋体"/>
          <w:b/>
          <w:color w:val="auto"/>
          <w:spacing w:val="0"/>
          <w:sz w:val="36"/>
          <w:szCs w:val="21"/>
          <w:highlight w:val="none"/>
        </w:rPr>
        <w:t xml:space="preserve">号</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供应商名称：</w:t>
      </w:r>
      <w:r>
        <w:rPr>
          <w:rFonts w:hint="eastAsia" w:ascii="宋体" w:hAnsi="宋体"/>
          <w:b/>
          <w:color w:val="auto"/>
          <w:sz w:val="36"/>
          <w:szCs w:val="21"/>
          <w:highlight w:val="none"/>
          <w:u w:val="single"/>
        </w:rPr>
        <w:t xml:space="preserve">（加盖CA电子公章）</w:t>
      </w:r>
      <w:r/>
    </w:p>
    <w:p>
      <w:pPr>
        <w:ind w:firstLine="1084"/>
        <w:rPr>
          <w:rFonts w:hint="eastAsia" w:ascii="宋体" w:hAnsi="宋体"/>
          <w:color w:val="auto"/>
          <w:szCs w:val="21"/>
          <w:highlight w:val="none"/>
        </w:rPr>
      </w:pPr>
      <w:r>
        <w:rPr>
          <w:rFonts w:hint="eastAsia" w:ascii="宋体" w:hAnsi="宋体"/>
          <w:b/>
          <w:color w:val="auto"/>
          <w:spacing w:val="540"/>
          <w:sz w:val="36"/>
          <w:szCs w:val="21"/>
          <w:highlight w:val="none"/>
        </w:rPr>
        <w:t xml:space="preserve">日</w:t>
      </w:r>
      <w:r>
        <w:rPr>
          <w:rFonts w:hint="eastAsia" w:ascii="宋体" w:hAnsi="宋体"/>
          <w:b/>
          <w:color w:val="auto"/>
          <w:spacing w:val="0"/>
          <w:sz w:val="36"/>
          <w:szCs w:val="21"/>
          <w:highlight w:val="none"/>
        </w:rPr>
        <w:t xml:space="preserve">期</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4"/>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二、上一年度的财务状况报告（磋商供应商成立不满一年无需提供）</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四、具备履行合同所必需的设备和专业技术能力的书面声明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五、参加政府采购活动前 3 年内在经营活动中没有重大违法记录的书面声明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六、特定资格要求的证明文件（如果本项目设置特定资格要求，则需要提供）</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七、法人授权书与法定代表人（单位负责人）身份证明</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九、小微企业声明函</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十一、分项报价表</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十二、技术要求响应及偏离表</w:t>
      </w:r>
      <w:r/>
    </w:p>
    <w:p>
      <w:pPr>
        <w:ind w:left="0" w:firstLine="480"/>
        <w:keepLines w:val="0"/>
        <w:keepNext w:val="0"/>
        <w:pageBreakBefore w:val="0"/>
        <w:spacing w:line="360" w:lineRule="auto"/>
        <w:widowControl w:val="off"/>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十三、商务要求响应及偏离表</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i w:val="0"/>
          <w:iCs/>
          <w:color w:val="auto"/>
          <w:sz w:val="24"/>
          <w:szCs w:val="21"/>
          <w:highlight w:val="none"/>
          <w:u w:val="none"/>
        </w:rPr>
        <w:t xml:space="preserve">十四、</w:t>
      </w:r>
      <w:r>
        <w:rPr>
          <w:rFonts w:hint="eastAsia" w:ascii="宋体" w:hAnsi="宋体" w:cs="宋体"/>
          <w:i w:val="0"/>
          <w:iCs/>
          <w:color w:val="auto"/>
          <w:sz w:val="24"/>
          <w:szCs w:val="24"/>
          <w:highlight w:val="none"/>
          <w:u w:val="none"/>
        </w:rPr>
        <w:t xml:space="preserve">项目团队人员一览表</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cs="宋体"/>
          <w:i w:val="0"/>
          <w:iCs/>
          <w:color w:val="auto"/>
          <w:sz w:val="24"/>
          <w:szCs w:val="24"/>
          <w:highlight w:val="none"/>
          <w:u w:val="none"/>
        </w:rPr>
        <w:t xml:space="preserve">十五、类似业绩一览表</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cs="宋体"/>
          <w:i w:val="0"/>
          <w:iCs/>
          <w:color w:val="auto"/>
          <w:sz w:val="24"/>
          <w:szCs w:val="24"/>
          <w:highlight w:val="none"/>
          <w:u w:val="none"/>
        </w:rPr>
        <w:t xml:space="preserve">十六、采购需求响应</w:t>
      </w:r>
      <w:r/>
    </w:p>
    <w:p>
      <w:pPr>
        <w:ind w:left="0" w:firstLine="480"/>
        <w:keepLines w:val="0"/>
        <w:keepNext w:val="0"/>
        <w:pageBreakBefore w:val="0"/>
        <w:spacing w:line="360" w:lineRule="auto"/>
        <w:widowControl w:val="off"/>
        <w:rPr>
          <w:rFonts w:hint="eastAsia" w:ascii="方正魏碑_GBK" w:hAnsi="方正魏碑_GBK" w:eastAsia="方正魏碑_GBK" w:cs="方正魏碑_GBK"/>
          <w:b/>
          <w:i w:val="0"/>
          <w:iCs/>
          <w:color w:val="auto"/>
          <w:sz w:val="24"/>
          <w:szCs w:val="24"/>
          <w:highlight w:val="none"/>
          <w:u w:val="none"/>
        </w:rPr>
      </w:pPr>
      <w:r>
        <w:rPr>
          <w:rFonts w:hint="eastAsia" w:ascii="宋体" w:hAnsi="宋体" w:cs="宋体"/>
          <w:i w:val="0"/>
          <w:iCs/>
          <w:color w:val="auto"/>
          <w:sz w:val="24"/>
          <w:szCs w:val="24"/>
          <w:highlight w:val="none"/>
          <w:u w:val="none"/>
        </w:rPr>
        <w:t xml:space="preserve">十七、关于符合本国产品标准的声明函</w:t>
      </w:r>
      <w:r/>
    </w:p>
    <w:p>
      <w:pPr>
        <w:ind w:left="0" w:firstLine="480"/>
        <w:keepLines w:val="0"/>
        <w:keepNext w:val="0"/>
        <w:pageBreakBefore w:val="0"/>
        <w:spacing w:line="360" w:lineRule="auto"/>
        <w:widowControl w:val="off"/>
        <w:rPr>
          <w:rFonts w:hint="eastAsia" w:ascii="宋体" w:hAnsi="宋体" w:cs="宋体"/>
          <w:i w:val="0"/>
          <w:iCs/>
          <w:color w:val="auto"/>
          <w:sz w:val="24"/>
          <w:szCs w:val="24"/>
          <w:highlight w:val="none"/>
          <w:u w:val="none"/>
        </w:rPr>
      </w:pPr>
      <w:r>
        <w:rPr>
          <w:rFonts w:hint="eastAsia" w:ascii="宋体" w:hAnsi="宋体" w:cs="宋体"/>
          <w:i w:val="0"/>
          <w:iCs/>
          <w:color w:val="auto"/>
          <w:sz w:val="24"/>
          <w:szCs w:val="24"/>
          <w:highlight w:val="none"/>
          <w:u w:val="none"/>
        </w:rPr>
        <w:t xml:space="preserve">十</w:t>
      </w:r>
      <w:r>
        <w:rPr>
          <w:rFonts w:hint="eastAsia" w:ascii="宋体" w:hAnsi="宋体" w:cs="宋体"/>
          <w:i w:val="0"/>
          <w:iCs/>
          <w:color w:val="auto"/>
          <w:sz w:val="24"/>
          <w:szCs w:val="24"/>
          <w:highlight w:val="none"/>
          <w:u w:val="none"/>
          <w:lang w:val="en-US" w:eastAsia="zh-CN"/>
        </w:rPr>
        <w:t xml:space="preserve">八</w:t>
      </w:r>
      <w:r>
        <w:rPr>
          <w:rFonts w:hint="eastAsia" w:ascii="宋体" w:hAnsi="宋体" w:cs="宋体"/>
          <w:i w:val="0"/>
          <w:iCs/>
          <w:color w:val="auto"/>
          <w:sz w:val="24"/>
          <w:szCs w:val="24"/>
          <w:highlight w:val="none"/>
          <w:u w:val="none"/>
        </w:rPr>
        <w:t xml:space="preserve">、其他材料</w:t>
      </w:r>
      <w:r/>
    </w:p>
    <w:p>
      <w:pPr>
        <w:rPr>
          <w:rFonts w:hint="eastAsia" w:ascii="宋体" w:hAnsi="宋体"/>
          <w:color w:val="auto"/>
          <w:sz w:val="24"/>
          <w:szCs w:val="21"/>
          <w:highlight w:val="none"/>
        </w:rPr>
      </w:pPr>
      <w:r>
        <w:rPr>
          <w:rFonts w:hint="eastAsia" w:ascii="宋体" w:hAnsi="宋体"/>
          <w:color w:val="auto"/>
          <w:sz w:val="24"/>
          <w:szCs w:val="21"/>
          <w:highlight w:val="none"/>
        </w:rPr>
        <w:br w:type="page" w:clear="all"/>
      </w:r>
      <w:r/>
    </w:p>
    <w:p>
      <w:pPr>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供应商成立不满一年无需提供</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1076"/>
        <w:rPr>
          <w:color w:val="auto"/>
          <w:highlight w:val="none"/>
        </w:rPr>
      </w:pP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20" w:lineRule="auto"/>
        <w:rPr>
          <w:rFonts w:ascii="Arial"/>
          <w:color w:val="auto"/>
          <w:highlight w:val="none"/>
        </w:rPr>
      </w:pPr>
      <w:r>
        <w:rPr>
          <w:rFonts w:ascii="Arial"/>
          <w:color w:val="auto"/>
          <w:highlight w:val="none"/>
        </w:rPr>
      </w:r>
      <w:r/>
    </w:p>
    <w:p>
      <w:pPr>
        <w:ind w:right="8"/>
        <w:jc w:val="left"/>
        <w:spacing w:before="76" w:line="624" w:lineRule="exact"/>
        <w:rPr>
          <w:rFonts w:hint="eastAsia" w:ascii="宋体" w:hAnsi="宋体" w:cs="宋体"/>
          <w:color w:val="auto"/>
          <w:sz w:val="23"/>
          <w:szCs w:val="23"/>
          <w:highlight w:val="none"/>
        </w:rPr>
      </w:pPr>
      <w:r>
        <w:rPr>
          <w:rFonts w:ascii="宋体" w:hAnsi="宋体" w:cs="宋体"/>
          <w:color w:val="auto"/>
          <w:spacing w:val="10"/>
          <w:position w:val="30"/>
          <w:sz w:val="23"/>
          <w:szCs w:val="23"/>
          <w:highlight w:val="none"/>
        </w:rPr>
        <w:t xml:space="preserve">供</w:t>
      </w:r>
      <w:r>
        <w:rPr>
          <w:rFonts w:ascii="宋体" w:hAnsi="宋体" w:cs="宋体"/>
          <w:color w:val="auto"/>
          <w:spacing w:val="7"/>
          <w:position w:val="30"/>
          <w:sz w:val="23"/>
          <w:szCs w:val="23"/>
          <w:highlight w:val="none"/>
        </w:rPr>
        <w:t xml:space="preserve">应商单位名称 (公章</w:t>
      </w:r>
      <w:r>
        <w:rPr>
          <w:rFonts w:hint="eastAsia" w:ascii="宋体" w:hAnsi="宋体" w:cs="宋体"/>
          <w:color w:val="auto"/>
          <w:spacing w:val="7"/>
          <w:position w:val="30"/>
          <w:sz w:val="23"/>
          <w:szCs w:val="23"/>
          <w:highlight w:val="none"/>
        </w:rPr>
        <w:t xml:space="preserve">或签章</w:t>
      </w:r>
      <w:r>
        <w:rPr>
          <w:rFonts w:ascii="宋体" w:hAnsi="宋体" w:cs="宋体"/>
          <w:color w:val="auto"/>
          <w:spacing w:val="7"/>
          <w:position w:val="30"/>
          <w:sz w:val="23"/>
          <w:szCs w:val="23"/>
          <w:highlight w:val="none"/>
        </w:rPr>
        <w:t xml:space="preserve">) ：</w:t>
      </w:r>
      <w:r/>
    </w:p>
    <w:p>
      <w:pPr>
        <w:ind w:right="8"/>
        <w:jc w:val="left"/>
        <w:spacing w:line="224" w:lineRule="auto"/>
        <w:rPr>
          <w:rFonts w:hint="eastAsia" w:ascii="宋体" w:hAnsi="宋体" w:cs="宋体"/>
          <w:color w:val="auto"/>
          <w:sz w:val="23"/>
          <w:szCs w:val="23"/>
          <w:highlight w:val="none"/>
        </w:rPr>
      </w:pPr>
      <w:r>
        <w:rPr>
          <w:rFonts w:ascii="宋体" w:hAnsi="宋体" w:cs="宋体"/>
          <w:color w:val="auto"/>
          <w:spacing w:val="16"/>
          <w:sz w:val="23"/>
          <w:szCs w:val="23"/>
          <w:highlight w:val="none"/>
        </w:rPr>
        <w:t xml:space="preserve">法</w:t>
      </w:r>
      <w:r>
        <w:rPr>
          <w:rFonts w:ascii="宋体" w:hAnsi="宋体" w:cs="宋体"/>
          <w:color w:val="auto"/>
          <w:spacing w:val="8"/>
          <w:sz w:val="23"/>
          <w:szCs w:val="23"/>
          <w:highlight w:val="none"/>
        </w:rPr>
        <w:t xml:space="preserve">定代表人或者授权委托代表人 (盖章或</w:t>
      </w:r>
      <w:r>
        <w:rPr>
          <w:rFonts w:hint="eastAsia" w:ascii="宋体" w:hAnsi="宋体" w:cs="宋体"/>
          <w:color w:val="auto"/>
          <w:spacing w:val="8"/>
          <w:sz w:val="23"/>
          <w:szCs w:val="23"/>
          <w:highlight w:val="none"/>
        </w:rPr>
        <w:t xml:space="preserve">签章或</w:t>
      </w:r>
      <w:r>
        <w:rPr>
          <w:rFonts w:ascii="宋体" w:hAnsi="宋体" w:cs="宋体"/>
          <w:color w:val="auto"/>
          <w:spacing w:val="8"/>
          <w:sz w:val="23"/>
          <w:szCs w:val="23"/>
          <w:highlight w:val="none"/>
        </w:rPr>
        <w:t xml:space="preserve">签字) ：</w:t>
      </w:r>
      <w:r/>
    </w:p>
    <w:p>
      <w:pPr>
        <w:jc w:val="left"/>
        <w:spacing w:before="268" w:line="228" w:lineRule="auto"/>
        <w:rPr>
          <w:rFonts w:ascii="宋体" w:hAnsi="宋体" w:cs="宋体"/>
          <w:color w:val="auto"/>
          <w:spacing w:val="-2"/>
          <w:sz w:val="23"/>
          <w:szCs w:val="23"/>
          <w:highlight w:val="none"/>
        </w:rPr>
      </w:pPr>
      <w:r>
        <w:rPr>
          <w:rFonts w:ascii="宋体" w:hAnsi="宋体" w:cs="宋体"/>
          <w:color w:val="auto"/>
          <w:spacing w:val="-4"/>
          <w:sz w:val="23"/>
          <w:szCs w:val="23"/>
          <w:highlight w:val="none"/>
        </w:rPr>
        <w:t xml:space="preserve">日期： </w:t>
      </w:r>
      <w:r>
        <w:rPr>
          <w:rFonts w:ascii="宋体" w:hAnsi="宋体" w:cs="宋体"/>
          <w:color w:val="auto"/>
          <w:spacing w:val="-2"/>
          <w:sz w:val="23"/>
          <w:szCs w:val="23"/>
          <w:highlight w:val="none"/>
        </w:rPr>
        <w:t xml:space="preserve">    年    月    日</w:t>
      </w:r>
      <w:r/>
    </w:p>
    <w:p>
      <w:pPr>
        <w:rPr>
          <w:rFonts w:ascii="宋体" w:hAnsi="宋体" w:cs="宋体"/>
          <w:color w:val="auto"/>
          <w:spacing w:val="-2"/>
          <w:sz w:val="23"/>
          <w:szCs w:val="23"/>
          <w:highlight w:val="none"/>
        </w:rPr>
      </w:pPr>
      <w:r>
        <w:rPr>
          <w:rFonts w:ascii="宋体" w:hAnsi="宋体" w:cs="宋体"/>
          <w:color w:val="auto"/>
          <w:spacing w:val="-2"/>
          <w:sz w:val="23"/>
          <w:szCs w:val="23"/>
          <w:highlight w:val="non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三、依法缴纳税收和社会保障资金的相关材料</w:t>
      </w:r>
      <w:r/>
    </w:p>
    <w:p>
      <w:pPr>
        <w:ind w:firstLine="480"/>
        <w:rPr>
          <w:rFonts w:hint="eastAsia" w:ascii="宋体" w:hAnsi="宋体"/>
          <w:bCs/>
          <w:color w:val="auto"/>
          <w:sz w:val="24"/>
          <w:szCs w:val="21"/>
          <w:highlight w:val="none"/>
        </w:rPr>
      </w:pPr>
      <w:r>
        <w:rPr>
          <w:rFonts w:hint="eastAsia" w:ascii="宋体" w:hAnsi="宋体"/>
          <w:bCs/>
          <w:color w:val="auto"/>
          <w:sz w:val="24"/>
          <w:szCs w:val="21"/>
          <w:highlight w:val="none"/>
        </w:rPr>
        <w:t xml:space="preserve">提供提交响应文件截止时间</w:t>
      </w:r>
      <w:r>
        <w:rPr>
          <w:rFonts w:hint="eastAsia" w:ascii="宋体" w:hAnsi="宋体"/>
          <w:b/>
          <w:bCs w:val="0"/>
          <w:color w:val="auto"/>
          <w:sz w:val="24"/>
          <w:szCs w:val="21"/>
          <w:highlight w:val="none"/>
          <w:u w:val="single"/>
        </w:rPr>
        <w:t xml:space="preserve">前</w:t>
      </w:r>
      <w:r>
        <w:rPr>
          <w:rFonts w:hint="eastAsia" w:ascii="宋体" w:hAnsi="宋体"/>
          <w:b/>
          <w:bCs w:val="0"/>
          <w:color w:val="auto"/>
          <w:sz w:val="24"/>
          <w:szCs w:val="21"/>
          <w:highlight w:val="none"/>
          <w:u w:val="single"/>
        </w:rPr>
        <w:t xml:space="preserve">一年内至少一个月</w:t>
      </w:r>
      <w:r>
        <w:rPr>
          <w:rFonts w:hint="eastAsia" w:ascii="宋体" w:hAnsi="宋体"/>
          <w:bCs/>
          <w:color w:val="auto"/>
          <w:sz w:val="24"/>
          <w:szCs w:val="21"/>
          <w:highlight w:val="none"/>
        </w:rPr>
        <w:t xml:space="preserve">依法缴纳税收及缴纳社会保障资金的证明材料。供应商依法享受缓缴、免缴税收、社会保障资金的提供证明材料。</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1076"/>
        <w:rPr>
          <w:color w:val="auto"/>
          <w:highlight w:val="none"/>
        </w:rPr>
      </w:pP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8"/>
        <w:jc w:val="left"/>
        <w:spacing w:before="76" w:line="624" w:lineRule="exact"/>
        <w:rPr>
          <w:rFonts w:hint="eastAsia" w:ascii="宋体" w:hAnsi="宋体" w:cs="宋体"/>
          <w:color w:val="auto"/>
          <w:sz w:val="23"/>
          <w:szCs w:val="23"/>
          <w:highlight w:val="none"/>
        </w:rPr>
      </w:pPr>
      <w:r>
        <w:rPr>
          <w:rFonts w:ascii="宋体" w:hAnsi="宋体" w:cs="宋体"/>
          <w:color w:val="auto"/>
          <w:spacing w:val="10"/>
          <w:position w:val="30"/>
          <w:sz w:val="23"/>
          <w:szCs w:val="23"/>
          <w:highlight w:val="none"/>
        </w:rPr>
        <w:t xml:space="preserve">供</w:t>
      </w:r>
      <w:r>
        <w:rPr>
          <w:rFonts w:ascii="宋体" w:hAnsi="宋体" w:cs="宋体"/>
          <w:color w:val="auto"/>
          <w:spacing w:val="7"/>
          <w:position w:val="30"/>
          <w:sz w:val="23"/>
          <w:szCs w:val="23"/>
          <w:highlight w:val="none"/>
        </w:rPr>
        <w:t xml:space="preserve">应商单位名称 (公章</w:t>
      </w:r>
      <w:r>
        <w:rPr>
          <w:rFonts w:hint="eastAsia" w:ascii="宋体" w:hAnsi="宋体" w:cs="宋体"/>
          <w:color w:val="auto"/>
          <w:spacing w:val="7"/>
          <w:position w:val="30"/>
          <w:sz w:val="23"/>
          <w:szCs w:val="23"/>
          <w:highlight w:val="none"/>
        </w:rPr>
        <w:t xml:space="preserve">或签章</w:t>
      </w:r>
      <w:r>
        <w:rPr>
          <w:rFonts w:ascii="宋体" w:hAnsi="宋体" w:cs="宋体"/>
          <w:color w:val="auto"/>
          <w:spacing w:val="7"/>
          <w:position w:val="30"/>
          <w:sz w:val="23"/>
          <w:szCs w:val="23"/>
          <w:highlight w:val="none"/>
        </w:rPr>
        <w:t xml:space="preserve">) ：</w:t>
      </w:r>
      <w:r/>
    </w:p>
    <w:p>
      <w:pPr>
        <w:ind w:right="8"/>
        <w:jc w:val="left"/>
        <w:spacing w:line="224" w:lineRule="auto"/>
        <w:rPr>
          <w:rFonts w:hint="eastAsia" w:ascii="宋体" w:hAnsi="宋体" w:cs="宋体"/>
          <w:color w:val="auto"/>
          <w:sz w:val="23"/>
          <w:szCs w:val="23"/>
          <w:highlight w:val="none"/>
        </w:rPr>
      </w:pPr>
      <w:r>
        <w:rPr>
          <w:rFonts w:ascii="宋体" w:hAnsi="宋体" w:cs="宋体"/>
          <w:color w:val="auto"/>
          <w:spacing w:val="16"/>
          <w:sz w:val="23"/>
          <w:szCs w:val="23"/>
          <w:highlight w:val="none"/>
        </w:rPr>
        <w:t xml:space="preserve">法</w:t>
      </w:r>
      <w:r>
        <w:rPr>
          <w:rFonts w:ascii="宋体" w:hAnsi="宋体" w:cs="宋体"/>
          <w:color w:val="auto"/>
          <w:spacing w:val="8"/>
          <w:sz w:val="23"/>
          <w:szCs w:val="23"/>
          <w:highlight w:val="none"/>
        </w:rPr>
        <w:t xml:space="preserve">定代表人或者授权委托代表人 (盖章或</w:t>
      </w:r>
      <w:r>
        <w:rPr>
          <w:rFonts w:hint="eastAsia" w:ascii="宋体" w:hAnsi="宋体" w:cs="宋体"/>
          <w:color w:val="auto"/>
          <w:spacing w:val="8"/>
          <w:sz w:val="23"/>
          <w:szCs w:val="23"/>
          <w:highlight w:val="none"/>
        </w:rPr>
        <w:t xml:space="preserve">签章或</w:t>
      </w:r>
      <w:r>
        <w:rPr>
          <w:rFonts w:ascii="宋体" w:hAnsi="宋体" w:cs="宋体"/>
          <w:color w:val="auto"/>
          <w:spacing w:val="8"/>
          <w:sz w:val="23"/>
          <w:szCs w:val="23"/>
          <w:highlight w:val="none"/>
        </w:rPr>
        <w:t xml:space="preserve">签字) ：</w:t>
      </w:r>
      <w:r/>
    </w:p>
    <w:p>
      <w:pPr>
        <w:jc w:val="left"/>
        <w:spacing w:before="268" w:line="228" w:lineRule="auto"/>
        <w:rPr>
          <w:rFonts w:hint="eastAsia" w:ascii="宋体" w:hAnsi="宋体" w:cs="宋体"/>
          <w:color w:val="auto"/>
          <w:sz w:val="23"/>
          <w:szCs w:val="23"/>
          <w:highlight w:val="none"/>
        </w:rPr>
      </w:pPr>
      <w:r>
        <w:rPr>
          <w:rFonts w:ascii="宋体" w:hAnsi="宋体" w:cs="宋体"/>
          <w:color w:val="auto"/>
          <w:spacing w:val="-4"/>
          <w:sz w:val="23"/>
          <w:szCs w:val="23"/>
          <w:highlight w:val="none"/>
        </w:rPr>
        <w:t xml:space="preserve">日期： </w:t>
      </w:r>
      <w:r>
        <w:rPr>
          <w:rFonts w:ascii="宋体" w:hAnsi="宋体" w:cs="宋体"/>
          <w:color w:val="auto"/>
          <w:spacing w:val="-2"/>
          <w:sz w:val="23"/>
          <w:szCs w:val="23"/>
          <w:highlight w:val="none"/>
        </w:rPr>
        <w:t xml:space="preserve">    年    月    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黑体" w:hAnsi="黑体" w:eastAsia="黑体"/>
          <w:i w:val="0"/>
          <w:iCs/>
          <w:color w:val="auto"/>
          <w:sz w:val="32"/>
          <w:szCs w:val="32"/>
          <w:highlight w:val="none"/>
          <w:u w:val="none"/>
        </w:rPr>
      </w:pPr>
      <w:r>
        <w:rPr>
          <w:rFonts w:hint="eastAsia" w:ascii="黑体" w:hAnsi="黑体" w:eastAsia="黑体"/>
          <w:i w:val="0"/>
          <w:iCs/>
          <w:color w:val="auto"/>
          <w:sz w:val="32"/>
          <w:szCs w:val="32"/>
          <w:highlight w:val="none"/>
          <w:u w:val="none"/>
        </w:rPr>
      </w:r>
      <w:r/>
    </w:p>
    <w:p>
      <w:pPr>
        <w:ind w:firstLine="492"/>
        <w:spacing w:line="460" w:lineRule="exact"/>
        <w:rPr>
          <w:rFonts w:hint="eastAsia" w:ascii="宋体" w:hAnsi="宋体"/>
          <w:bCs/>
          <w:i w:val="0"/>
          <w:iCs/>
          <w:color w:val="auto"/>
          <w:sz w:val="24"/>
          <w:szCs w:val="21"/>
          <w:highlight w:val="none"/>
          <w:u w:val="none"/>
        </w:rPr>
      </w:pPr>
      <w:r>
        <w:rPr>
          <w:rFonts w:hint="eastAsia" w:ascii="黑体" w:hAnsi="黑体" w:eastAsia="黑体"/>
          <w:i w:val="0"/>
          <w:iCs/>
          <w:color w:val="auto"/>
          <w:sz w:val="32"/>
          <w:szCs w:val="32"/>
          <w:highlight w:val="none"/>
          <w:u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995"/>
        <w:rPr>
          <w:color w:val="auto"/>
          <w:highlight w:val="none"/>
        </w:rPr>
      </w:pPr>
      <w:r>
        <w:rPr>
          <w:color w:val="auto"/>
          <w:highlight w:val="none"/>
        </w:rPr>
      </w:r>
      <w:r/>
    </w:p>
    <w:p>
      <w:pPr>
        <w:ind w:firstLine="492"/>
        <w:spacing w:line="460" w:lineRule="exact"/>
        <w:rPr>
          <w:rFonts w:hint="eastAsia" w:ascii="宋体" w:hAnsi="宋体"/>
          <w:bCs/>
          <w:color w:val="auto"/>
          <w:sz w:val="24"/>
          <w:szCs w:val="21"/>
          <w:highlight w:val="none"/>
        </w:rPr>
      </w:pPr>
      <w:r>
        <w:rPr>
          <w:rFonts w:hint="eastAsia" w:ascii="宋体" w:hAnsi="宋体"/>
          <w:b/>
          <w:bCs w:val="0"/>
          <w:color w:val="auto"/>
          <w:sz w:val="24"/>
          <w:szCs w:val="21"/>
          <w:highlight w:val="none"/>
        </w:rPr>
        <w:t xml:space="preserve">备注：需提供</w:t>
      </w:r>
      <w:r>
        <w:rPr>
          <w:rFonts w:hint="eastAsia" w:ascii="宋体" w:hAnsi="宋体"/>
          <w:b/>
          <w:bCs w:val="0"/>
          <w:color w:val="auto"/>
          <w:sz w:val="24"/>
          <w:szCs w:val="21"/>
          <w:highlight w:val="none"/>
          <w:lang w:val="en-US" w:eastAsia="zh-CN"/>
        </w:rPr>
        <w:t xml:space="preserve">设备和专业技术能力的</w:t>
      </w:r>
      <w:r>
        <w:rPr>
          <w:rFonts w:hint="eastAsia" w:ascii="宋体" w:hAnsi="宋体"/>
          <w:b/>
          <w:bCs w:val="0"/>
          <w:color w:val="auto"/>
          <w:sz w:val="24"/>
          <w:szCs w:val="21"/>
          <w:highlight w:val="none"/>
        </w:rPr>
        <w:t xml:space="preserve">相关证明材料</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w:t>
      </w:r>
      <w:r>
        <w:rPr>
          <w:rFonts w:hint="eastAsia" w:ascii="宋体" w:hAnsi="宋体"/>
          <w:bCs/>
          <w:color w:val="auto"/>
          <w:sz w:val="24"/>
          <w:highlight w:val="none"/>
          <w:u w:val="single"/>
        </w:rPr>
        <w:t xml:space="preserve">（加盖CA电子公章）  </w:t>
      </w: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w:t>
      </w:r>
      <w:r>
        <w:rPr>
          <w:rFonts w:hint="eastAsia" w:ascii="宋体" w:hAnsi="宋体"/>
          <w:bCs/>
          <w:color w:val="auto"/>
          <w:sz w:val="24"/>
          <w:highlight w:val="none"/>
        </w:rPr>
        <w:t xml:space="preserve">郑重</w:t>
      </w:r>
      <w:r>
        <w:rPr>
          <w:rFonts w:hint="eastAsia" w:ascii="宋体" w:hAnsi="宋体"/>
          <w:bCs/>
          <w:color w:val="auto"/>
          <w:sz w:val="24"/>
          <w:szCs w:val="21"/>
          <w:highlight w:val="none"/>
        </w:rPr>
        <w:t xml:space="preserve">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w:t>
      </w:r>
      <w:r>
        <w:rPr>
          <w:rFonts w:hint="eastAsia" w:ascii="宋体" w:hAnsi="宋体"/>
          <w:bCs/>
          <w:color w:val="auto"/>
          <w:sz w:val="24"/>
          <w:highlight w:val="none"/>
          <w:u w:val="single"/>
        </w:rPr>
        <w:t xml:space="preserve">（加盖CA电子公章）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293"/>
      <w:bookmarkEnd w:id="294"/>
      <w:bookmarkEnd w:id="295"/>
      <w:r/>
    </w:p>
    <w:p>
      <w:pPr>
        <w:spacing w:line="460" w:lineRule="exact"/>
        <w:rPr>
          <w:rFonts w:hint="eastAsia" w:ascii="宋体" w:hAnsi="宋体"/>
          <w:bCs/>
          <w:color w:val="auto"/>
          <w:sz w:val="24"/>
          <w:szCs w:val="21"/>
          <w:highlight w:val="none"/>
        </w:rPr>
      </w:pPr>
      <w:r/>
      <w:bookmarkStart w:id="296" w:name="_Toc120614284"/>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numPr>
          <w:ilvl w:val="0"/>
          <w:numId w:val="10"/>
        </w:numPr>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法人授权书</w:t>
      </w:r>
      <w:r/>
    </w:p>
    <w:p>
      <w:pPr>
        <w:numPr>
          <w:ilvl w:val="0"/>
          <w:numId w:val="0"/>
        </w:numPr>
        <w:jc w:val="center"/>
        <w:rPr>
          <w:rFonts w:hint="eastAsia" w:ascii="黑体" w:hAnsi="黑体" w:eastAsia="黑体"/>
          <w:i w:val="0"/>
          <w:iCs/>
          <w:color w:val="auto"/>
          <w:sz w:val="32"/>
          <w:szCs w:val="32"/>
          <w:highlight w:val="none"/>
          <w:u w:val="none"/>
        </w:rPr>
      </w:pPr>
      <w:r>
        <w:rPr>
          <w:rFonts w:hint="eastAsia" w:ascii="黑体" w:hAnsi="黑体" w:eastAsia="黑体"/>
          <w:i w:val="0"/>
          <w:iCs/>
          <w:color w:val="auto"/>
          <w:sz w:val="32"/>
          <w:szCs w:val="32"/>
          <w:highlight w:val="none"/>
          <w:u w:val="none"/>
        </w:rPr>
      </w:r>
      <w:r/>
    </w:p>
    <w:p>
      <w:pPr>
        <w:numPr>
          <w:ilvl w:val="0"/>
          <w:numId w:val="0"/>
        </w:numPr>
        <w:jc w:val="center"/>
        <w:rPr>
          <w:rFonts w:hint="eastAsia" w:ascii="黑体" w:hAnsi="黑体" w:eastAsia="黑体"/>
          <w:i w:val="0"/>
          <w:iCs/>
          <w:color w:val="auto"/>
          <w:sz w:val="32"/>
          <w:szCs w:val="32"/>
          <w:highlight w:val="none"/>
          <w:u w:val="none"/>
        </w:rPr>
      </w:pPr>
      <w:r>
        <w:rPr>
          <w:rFonts w:hint="eastAsia" w:ascii="黑体" w:hAnsi="黑体" w:eastAsia="黑体"/>
          <w:i w:val="0"/>
          <w:iCs/>
          <w:color w:val="auto"/>
          <w:sz w:val="32"/>
          <w:szCs w:val="32"/>
          <w:highlight w:val="none"/>
          <w:u w:val="none"/>
        </w:rPr>
        <w:t xml:space="preserve">法人授权书</w:t>
      </w:r>
      <w:r/>
    </w:p>
    <w:p>
      <w:pPr>
        <w:ind w:firstLine="480"/>
        <w:keepLines w:val="0"/>
        <w:keepNext w:val="0"/>
        <w:pageBreakBefore w:val="0"/>
        <w:spacing w:line="360" w:lineRule="auto"/>
        <w:widowControl w:val="off"/>
        <w:tabs>
          <w:tab w:val="left" w:pos="360" w:leader="none"/>
        </w:tabs>
        <w:rPr>
          <w:rFonts w:hint="eastAsia"/>
          <w:color w:val="auto"/>
          <w:sz w:val="24"/>
          <w:szCs w:val="24"/>
          <w:highlight w:val="none"/>
        </w:rPr>
      </w:pPr>
      <w:r>
        <w:rPr>
          <w:rFonts w:hint="eastAsia"/>
          <w:color w:val="auto"/>
          <w:sz w:val="24"/>
          <w:szCs w:val="24"/>
          <w:highlight w:val="none"/>
        </w:rPr>
      </w:r>
      <w:r/>
    </w:p>
    <w:p>
      <w:pPr>
        <w:ind w:firstLine="480"/>
        <w:keepLines w:val="0"/>
        <w:keepNext w:val="0"/>
        <w:pageBreakBefore w:val="0"/>
        <w:spacing w:line="360" w:lineRule="auto"/>
        <w:widowControl w:val="off"/>
        <w:tabs>
          <w:tab w:val="left" w:pos="360" w:leader="none"/>
        </w:tabs>
        <w:rPr>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szCs w:val="24"/>
          <w:highlight w:val="none"/>
          <w:u w:val="single"/>
        </w:rPr>
      </w:pPr>
      <w:r>
        <w:rPr>
          <w:rFonts w:hint="eastAsia"/>
          <w:color w:val="auto"/>
          <w:sz w:val="24"/>
          <w:szCs w:val="24"/>
          <w:highlight w:val="none"/>
        </w:rPr>
        <w:t xml:space="preserve">      </w:t>
      </w:r>
      <w:r>
        <w:rPr>
          <w:rFonts w:hint="eastAsia"/>
          <w:color w:val="auto"/>
          <w:spacing w:val="240"/>
          <w:sz w:val="24"/>
          <w:szCs w:val="24"/>
          <w:highlight w:val="none"/>
        </w:rPr>
        <w:t xml:space="preserve">日</w:t>
      </w:r>
      <w:r>
        <w:rPr>
          <w:rFonts w:hint="eastAsia"/>
          <w:color w:val="auto"/>
          <w:spacing w:val="0"/>
          <w:sz w:val="24"/>
          <w:szCs w:val="24"/>
          <w:highlight w:val="none"/>
        </w:rPr>
        <w:t xml:space="preserve">期</w:t>
      </w:r>
      <w:r>
        <w:rPr>
          <w:rFonts w:hint="eastAsia"/>
          <w:color w:val="auto"/>
          <w:sz w:val="24"/>
          <w:szCs w:val="24"/>
          <w:highlight w:val="none"/>
        </w:rPr>
        <w:t xml:space="preserve">：</w:t>
      </w:r>
      <w:bookmarkStart w:id="297" w:name="_格式3__银行出具的资信证明"/>
      <w:r/>
      <w:bookmarkEnd w:id="297"/>
      <w:r/>
      <w:bookmarkStart w:id="298" w:name="_Hlt26955070"/>
      <w:r/>
      <w:bookmarkEnd w:id="298"/>
      <w:r/>
      <w:bookmarkStart w:id="299" w:name="_Hlt26671380"/>
      <w:r/>
      <w:bookmarkEnd w:id="299"/>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rPr>
          <w:i/>
          <w:color w:val="auto"/>
          <w:sz w:val="24"/>
          <w:szCs w:val="24"/>
          <w:highlight w:val="none"/>
          <w:u w:val="single"/>
        </w:rPr>
      </w:pPr>
      <w:r>
        <w:rPr>
          <w:i/>
          <w:color w:val="auto"/>
          <w:sz w:val="24"/>
          <w:szCs w:val="24"/>
          <w:highlight w:val="none"/>
          <w:u w:val="single"/>
        </w:rPr>
      </w:r>
      <w:r/>
    </w:p>
    <w:p>
      <w:pPr>
        <w:jc w:val="left"/>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8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8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rFonts w:hint="eastAsia" w:ascii="宋体" w:hAnsi="宋体"/>
          <w:color w:val="auto"/>
          <w:szCs w:val="16"/>
          <w:highlight w:val="none"/>
        </w:rPr>
      </w:pPr>
      <w:r>
        <w:rPr>
          <w:rFonts w:hint="eastAsia" w:ascii="宋体" w:hAnsi="宋体"/>
          <w:color w:val="auto"/>
          <w:szCs w:val="16"/>
          <w:highlight w:val="none"/>
        </w:rPr>
        <w:t xml:space="preserve">填报说明</w:t>
      </w:r>
      <w:r>
        <w:rPr>
          <w:rFonts w:ascii="宋体" w:hAnsi="宋体"/>
          <w:color w:val="auto"/>
          <w:szCs w:val="16"/>
          <w:highlight w:val="none"/>
        </w:rPr>
        <w:t xml:space="preserve">：</w:t>
      </w:r>
      <w:r/>
    </w:p>
    <w:p>
      <w:pPr>
        <w:ind w:firstLine="480"/>
        <w:jc w:val="left"/>
        <w:spacing w:line="360" w:lineRule="auto"/>
        <w:tabs>
          <w:tab w:val="left" w:pos="5580" w:leader="none"/>
        </w:tabs>
        <w:rPr>
          <w:rFonts w:hint="eastAsia" w:ascii="宋体" w:hAnsi="宋体"/>
          <w:color w:val="auto"/>
          <w:szCs w:val="16"/>
          <w:highlight w:val="none"/>
        </w:rPr>
      </w:pPr>
      <w:r>
        <w:rPr>
          <w:rFonts w:ascii="宋体" w:hAnsi="宋体"/>
          <w:color w:val="auto"/>
          <w:szCs w:val="16"/>
          <w:highlight w:val="none"/>
        </w:rPr>
        <w:t xml:space="preserve">1、若供应商为事业单位或其他组织或分支机构（仅当</w:t>
      </w:r>
      <w:r>
        <w:rPr>
          <w:rFonts w:hint="eastAsia" w:ascii="宋体" w:hAnsi="宋体"/>
          <w:color w:val="auto"/>
          <w:szCs w:val="16"/>
          <w:highlight w:val="none"/>
        </w:rPr>
        <w:t xml:space="preserve">磋商文件</w:t>
      </w:r>
      <w:r>
        <w:rPr>
          <w:rFonts w:ascii="宋体" w:hAnsi="宋体"/>
          <w:color w:val="auto"/>
          <w:szCs w:val="16"/>
          <w:highlight w:val="none"/>
        </w:rPr>
        <w:t xml:space="preserve">注明允许分支机构</w:t>
      </w:r>
      <w:r>
        <w:rPr>
          <w:rFonts w:hint="eastAsia" w:ascii="宋体" w:hAnsi="宋体"/>
          <w:color w:val="auto"/>
          <w:szCs w:val="16"/>
          <w:highlight w:val="none"/>
          <w:lang w:eastAsia="zh-CN"/>
        </w:rPr>
        <w:t xml:space="preserve">响应</w:t>
      </w:r>
      <w:r>
        <w:rPr>
          <w:rFonts w:ascii="宋体" w:hAnsi="宋体"/>
          <w:color w:val="auto"/>
          <w:szCs w:val="16"/>
          <w:highlight w:val="none"/>
        </w:rPr>
        <w:t xml:space="preserve">的），则法定代表人（单位负责人）</w:t>
      </w:r>
      <w:r>
        <w:rPr>
          <w:rFonts w:hint="eastAsia" w:ascii="宋体" w:hAnsi="宋体"/>
          <w:color w:val="auto"/>
          <w:szCs w:val="16"/>
          <w:highlight w:val="none"/>
        </w:rPr>
        <w:t xml:space="preserve">处</w:t>
      </w:r>
      <w:r>
        <w:rPr>
          <w:rFonts w:ascii="宋体" w:hAnsi="宋体"/>
          <w:color w:val="auto"/>
          <w:szCs w:val="16"/>
          <w:highlight w:val="none"/>
        </w:rPr>
        <w:t xml:space="preserve">的签署人可为单位负责人</w:t>
      </w:r>
      <w:r>
        <w:rPr>
          <w:rFonts w:hint="eastAsia" w:ascii="宋体" w:hAnsi="宋体"/>
          <w:color w:val="auto"/>
          <w:szCs w:val="16"/>
          <w:highlight w:val="none"/>
        </w:rPr>
        <w:t xml:space="preserve">。</w:t>
      </w:r>
      <w:r/>
    </w:p>
    <w:p>
      <w:pPr>
        <w:ind w:firstLine="480"/>
        <w:jc w:val="left"/>
        <w:spacing w:line="360" w:lineRule="auto"/>
        <w:tabs>
          <w:tab w:val="left" w:pos="5580" w:leader="none"/>
        </w:tabs>
        <w:rPr>
          <w:rFonts w:hint="eastAsia" w:ascii="宋体" w:hAnsi="宋体"/>
          <w:color w:val="auto"/>
          <w:szCs w:val="16"/>
          <w:highlight w:val="none"/>
        </w:rPr>
      </w:pPr>
      <w:r>
        <w:rPr>
          <w:rFonts w:hint="eastAsia" w:ascii="宋体" w:hAnsi="宋体"/>
          <w:color w:val="auto"/>
          <w:szCs w:val="16"/>
          <w:highlight w:val="none"/>
        </w:rPr>
        <w:t xml:space="preserve">2、</w:t>
      </w:r>
      <w:r>
        <w:rPr>
          <w:rFonts w:ascii="宋体" w:hAnsi="宋体"/>
          <w:color w:val="auto"/>
          <w:szCs w:val="16"/>
          <w:highlight w:val="none"/>
        </w:rPr>
        <w:t xml:space="preserve">若</w:t>
      </w:r>
      <w:r>
        <w:rPr>
          <w:rFonts w:hint="eastAsia" w:ascii="宋体" w:hAnsi="宋体"/>
          <w:color w:val="auto"/>
          <w:szCs w:val="16"/>
          <w:highlight w:val="none"/>
        </w:rPr>
        <w:t xml:space="preserve">响应文件</w:t>
      </w:r>
      <w:r>
        <w:rPr>
          <w:rFonts w:ascii="宋体" w:hAnsi="宋体"/>
          <w:color w:val="auto"/>
          <w:szCs w:val="16"/>
          <w:highlight w:val="none"/>
        </w:rPr>
        <w:t xml:space="preserve">中全部签字之处均为法定代表人（单位负责人）本人签署，则可不提供本《</w:t>
      </w:r>
      <w:r>
        <w:rPr>
          <w:rFonts w:hint="eastAsia" w:ascii="宋体" w:hAnsi="宋体"/>
          <w:color w:val="auto"/>
          <w:szCs w:val="16"/>
          <w:highlight w:val="none"/>
        </w:rPr>
        <w:t xml:space="preserve">授权委托书</w:t>
      </w:r>
      <w:r>
        <w:rPr>
          <w:rFonts w:ascii="宋体" w:hAnsi="宋体"/>
          <w:color w:val="auto"/>
          <w:szCs w:val="16"/>
          <w:highlight w:val="none"/>
        </w:rPr>
        <w:t xml:space="preserve">》，但须提供</w:t>
      </w:r>
      <w:r>
        <w:rPr>
          <w:rFonts w:hint="eastAsia" w:ascii="宋体" w:hAnsi="宋体"/>
          <w:color w:val="auto"/>
          <w:szCs w:val="16"/>
          <w:highlight w:val="none"/>
        </w:rPr>
        <w:t xml:space="preserve">《</w:t>
      </w:r>
      <w:r>
        <w:rPr>
          <w:rFonts w:ascii="宋体" w:hAnsi="宋体"/>
          <w:color w:val="auto"/>
          <w:szCs w:val="16"/>
          <w:highlight w:val="none"/>
        </w:rPr>
        <w:t xml:space="preserve">法定代表人（单位负责人）身份证</w:t>
      </w:r>
      <w:r>
        <w:rPr>
          <w:rFonts w:hint="eastAsia" w:ascii="宋体" w:hAnsi="宋体"/>
          <w:color w:val="auto"/>
          <w:szCs w:val="16"/>
          <w:highlight w:val="none"/>
        </w:rPr>
        <w:t xml:space="preserve">明》</w:t>
      </w:r>
      <w:r>
        <w:rPr>
          <w:rFonts w:ascii="宋体" w:hAnsi="宋体"/>
          <w:color w:val="auto"/>
          <w:szCs w:val="16"/>
          <w:highlight w:val="none"/>
        </w:rPr>
        <w:t xml:space="preserve">。</w:t>
      </w:r>
      <w:r/>
    </w:p>
    <w:p>
      <w:pPr>
        <w:ind w:firstLine="480"/>
        <w:spacing w:line="360" w:lineRule="auto"/>
        <w:tabs>
          <w:tab w:val="left" w:pos="5580" w:leader="none"/>
        </w:tabs>
        <w:rPr>
          <w:rFonts w:hint="eastAsia" w:ascii="宋体" w:hAnsi="宋体"/>
          <w:color w:val="auto"/>
          <w:szCs w:val="16"/>
          <w:highlight w:val="none"/>
        </w:rPr>
      </w:pPr>
      <w:r>
        <w:rPr>
          <w:rFonts w:ascii="宋体" w:hAnsi="宋体"/>
          <w:color w:val="auto"/>
          <w:szCs w:val="16"/>
          <w:highlight w:val="none"/>
        </w:rPr>
        <w:t xml:space="preserve">3、</w:t>
      </w:r>
      <w:r>
        <w:rPr>
          <w:rFonts w:hint="eastAsia" w:ascii="宋体" w:hAnsi="宋体"/>
          <w:color w:val="auto"/>
          <w:szCs w:val="16"/>
          <w:highlight w:val="none"/>
        </w:rPr>
        <w:t xml:space="preserve">供应商为自然人的情形，可不提供本</w:t>
      </w:r>
      <w:r>
        <w:rPr>
          <w:rFonts w:ascii="宋体" w:hAnsi="宋体"/>
          <w:color w:val="auto"/>
          <w:szCs w:val="16"/>
          <w:highlight w:val="none"/>
        </w:rPr>
        <w:t xml:space="preserve">《</w:t>
      </w:r>
      <w:r>
        <w:rPr>
          <w:rFonts w:hint="eastAsia" w:ascii="宋体" w:hAnsi="宋体"/>
          <w:color w:val="auto"/>
          <w:szCs w:val="16"/>
          <w:highlight w:val="none"/>
        </w:rPr>
        <w:t xml:space="preserve">授权委托书</w:t>
      </w:r>
      <w:r>
        <w:rPr>
          <w:rFonts w:ascii="宋体" w:hAnsi="宋体"/>
          <w:color w:val="auto"/>
          <w:szCs w:val="16"/>
          <w:highlight w:val="none"/>
        </w:rPr>
        <w:t xml:space="preserve">》</w:t>
      </w:r>
      <w:r>
        <w:rPr>
          <w:rFonts w:hint="eastAsia" w:ascii="宋体" w:hAnsi="宋体"/>
          <w:color w:val="auto"/>
          <w:szCs w:val="16"/>
          <w:highlight w:val="none"/>
        </w:rPr>
        <w:t xml:space="preserve">。</w:t>
      </w:r>
      <w:r/>
    </w:p>
    <w:p>
      <w:pPr>
        <w:rPr>
          <w:color w:val="auto"/>
          <w:szCs w:val="21"/>
          <w:highlight w:val="none"/>
        </w:rPr>
      </w:pPr>
      <w:r>
        <w:rPr>
          <w:color w:val="auto"/>
          <w:szCs w:val="21"/>
          <w:highlight w:val="none"/>
        </w:rPr>
      </w:r>
      <w:r/>
    </w:p>
    <w:p>
      <w:pPr>
        <w:ind w:firstLine="480"/>
        <w:jc w:val="center"/>
        <w:spacing w:line="360" w:lineRule="auto"/>
        <w:tabs>
          <w:tab w:val="left" w:pos="5580" w:leader="none"/>
        </w:tabs>
        <w:rPr>
          <w:rFonts w:hint="eastAsia" w:ascii="黑体" w:hAnsi="宋体" w:eastAsia="黑体" w:cs="黑体"/>
          <w:i/>
          <w:iCs/>
          <w:color w:val="auto"/>
          <w:sz w:val="32"/>
          <w:szCs w:val="32"/>
          <w:highlight w:val="none"/>
          <w:u w:val="single"/>
        </w:rPr>
      </w:pPr>
      <w:r>
        <w:rPr>
          <w:rFonts w:ascii="宋体" w:hAnsi="宋体" w:eastAsia="幼圆" w:cs="Arial"/>
          <w:b/>
          <w:color w:val="auto"/>
          <w:sz w:val="24"/>
          <w:szCs w:val="44"/>
          <w:highlight w:val="none"/>
        </w:rPr>
        <w:br w:type="page" w:clear="all"/>
      </w:r>
      <w:r>
        <w:rPr>
          <w:rFonts w:hint="eastAsia" w:ascii="黑体" w:hAnsi="宋体" w:eastAsia="黑体" w:cs="黑体"/>
          <w:i w:val="0"/>
          <w:iCs w:val="0"/>
          <w:color w:val="auto"/>
          <w:sz w:val="32"/>
          <w:szCs w:val="32"/>
          <w:highlight w:val="none"/>
          <w:u w:val="none"/>
        </w:rPr>
        <w:t xml:space="preserve">法定代表人身份证明</w:t>
      </w:r>
      <w:r/>
    </w:p>
    <w:p>
      <w:pPr>
        <w:spacing w:line="360" w:lineRule="auto"/>
        <w:rPr>
          <w:rFonts w:hint="eastAsia" w:ascii="宋体" w:hAnsi="宋体"/>
          <w:color w:val="auto"/>
          <w:sz w:val="20"/>
          <w:szCs w:val="20"/>
          <w:highlight w:val="none"/>
        </w:rPr>
      </w:pPr>
      <w:r>
        <w:rPr>
          <w:rFonts w:hint="eastAsia" w:ascii="宋体" w:hAnsi="宋体"/>
          <w:color w:val="auto"/>
          <w:sz w:val="20"/>
          <w:szCs w:val="20"/>
          <w:highlight w:val="none"/>
        </w:rPr>
      </w:r>
      <w:r/>
    </w:p>
    <w:p>
      <w:pPr>
        <w:spacing w:line="360" w:lineRule="auto"/>
        <w:tabs>
          <w:tab w:val="left" w:pos="5580" w:leader="none"/>
        </w:tabs>
        <w:rPr>
          <w:rFonts w:hint="default" w:ascii="宋体" w:hAnsi="宋体" w:eastAsia="宋体"/>
          <w:color w:val="auto"/>
          <w:sz w:val="24"/>
          <w:highlight w:val="none"/>
          <w:lang w:val="en-US" w:eastAsia="zh-CN"/>
        </w:rPr>
      </w:pPr>
      <w:r>
        <w:rPr>
          <w:rFonts w:ascii="宋体" w:hAnsi="宋体"/>
          <w:color w:val="auto"/>
          <w:sz w:val="24"/>
          <w:highlight w:val="none"/>
        </w:rPr>
        <w:t xml:space="preserve">致：</w:t>
      </w:r>
      <w:r>
        <w:rPr>
          <w:rFonts w:hint="eastAsia"/>
          <w:color w:val="auto"/>
          <w:sz w:val="24"/>
          <w:highlight w:val="none"/>
          <w:lang w:val="en-US" w:eastAsia="zh-CN"/>
        </w:rPr>
        <w:t xml:space="preserve">东海县水务局</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性别：</w:t>
      </w:r>
      <w:r>
        <w:rPr>
          <w:rFonts w:hint="eastAsia" w:ascii="宋体" w:hAnsi="宋体"/>
          <w:color w:val="auto"/>
          <w:sz w:val="24"/>
          <w:highlight w:val="none"/>
          <w:u w:val="single"/>
        </w:rPr>
        <w:t xml:space="preserve">       </w:t>
      </w:r>
      <w:r>
        <w:rPr>
          <w:rFonts w:ascii="宋体" w:hAnsi="宋体"/>
          <w:color w:val="auto"/>
          <w:sz w:val="24"/>
          <w:highlight w:val="none"/>
        </w:rPr>
        <w:t xml:space="preserve">年龄：</w:t>
      </w:r>
      <w:r>
        <w:rPr>
          <w:rFonts w:hint="eastAsia" w:ascii="宋体" w:hAnsi="宋体"/>
          <w:color w:val="auto"/>
          <w:sz w:val="24"/>
          <w:highlight w:val="none"/>
          <w:u w:val="single"/>
        </w:rPr>
        <w:t xml:space="preserve">       </w:t>
      </w:r>
      <w:r>
        <w:rPr>
          <w:rFonts w:ascii="宋体" w:hAnsi="宋体"/>
          <w:color w:val="auto"/>
          <w:sz w:val="24"/>
          <w:highlight w:val="none"/>
        </w:rPr>
        <w:t xml:space="preserve">职务：</w:t>
      </w:r>
      <w:r>
        <w:rPr>
          <w:rFonts w:hint="eastAsia" w:ascii="宋体" w:hAnsi="宋体"/>
          <w:color w:val="auto"/>
          <w:sz w:val="24"/>
          <w:highlight w:val="none"/>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ascii="宋体" w:hAnsi="宋体"/>
          <w:color w:val="auto"/>
          <w:sz w:val="24"/>
          <w:highlight w:val="none"/>
        </w:rPr>
        <w:t xml:space="preserve">系</w:t>
      </w:r>
      <w:r>
        <w:rPr>
          <w:rFonts w:ascii="宋体" w:hAnsi="宋体"/>
          <w:color w:val="auto"/>
          <w:sz w:val="24"/>
          <w:highlight w:val="none"/>
          <w:u w:val="single"/>
        </w:rPr>
        <w:tab/>
      </w:r>
      <w:r>
        <w:rPr>
          <w:rFonts w:ascii="宋体" w:hAnsi="宋体"/>
          <w:color w:val="auto"/>
          <w:sz w:val="24"/>
          <w:highlight w:val="none"/>
        </w:rPr>
        <w:t xml:space="preserve">（</w:t>
      </w:r>
      <w:r>
        <w:rPr>
          <w:rFonts w:hint="eastAsia" w:ascii="宋体" w:hAnsi="宋体"/>
          <w:color w:val="auto"/>
          <w:sz w:val="24"/>
          <w:highlight w:val="none"/>
        </w:rPr>
        <w:t xml:space="preserve">供应商</w:t>
      </w:r>
      <w:r>
        <w:rPr>
          <w:rFonts w:ascii="宋体" w:hAnsi="宋体"/>
          <w:color w:val="auto"/>
          <w:sz w:val="24"/>
          <w:highlight w:val="none"/>
        </w:rPr>
        <w:t xml:space="preserve">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color w:val="auto"/>
          <w:sz w:val="24"/>
          <w:highlight w:val="none"/>
        </w:rPr>
      </w:pPr>
      <w:r>
        <w:rPr>
          <w:rFonts w:hint="eastAsia" w:ascii="宋体" w:hAnsi="宋体"/>
          <w:color w:val="auto"/>
          <w:sz w:val="24"/>
          <w:highlight w:val="none"/>
        </w:rPr>
      </w:r>
      <w:r/>
    </w:p>
    <w:p>
      <w:pPr>
        <w:ind w:right="-46"/>
        <w:spacing w:line="360" w:lineRule="auto"/>
        <w:tabs>
          <w:tab w:val="left" w:pos="567" w:leader="none"/>
        </w:tabs>
        <w:rPr>
          <w:rFonts w:hint="eastAsia"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78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ind w:right="4305"/>
        <w:spacing w:line="360" w:lineRule="auto"/>
        <w:tabs>
          <w:tab w:val="left" w:pos="567" w:leader="none"/>
        </w:tabs>
        <w:rPr>
          <w:rFonts w:hint="eastAsia" w:ascii="宋体" w:hAnsi="宋体"/>
          <w:color w:val="auto"/>
          <w:spacing w:val="-3"/>
          <w:sz w:val="24"/>
          <w:highlight w:val="none"/>
        </w:rPr>
      </w:pPr>
      <w:r>
        <w:rPr>
          <w:rFonts w:hint="eastAsia" w:ascii="宋体" w:hAnsi="宋体"/>
          <w:color w:val="auto"/>
          <w:spacing w:val="-3"/>
          <w:sz w:val="24"/>
          <w:highlight w:val="none"/>
        </w:rPr>
      </w:r>
      <w:r/>
    </w:p>
    <w:p>
      <w:pPr>
        <w:pStyle w:val="1026"/>
        <w:ind w:firstLine="480"/>
        <w:jc w:val="both"/>
        <w:spacing w:before="0" w:beforeAutospacing="0" w:after="0" w:afterAutospacing="0" w:line="360" w:lineRule="auto"/>
        <w:widowControl w:val="off"/>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单位名称：</w:t>
      </w:r>
      <w:r>
        <w:rPr>
          <w:rFonts w:ascii="Times New Roman" w:hAnsi="Times New Roman" w:cs="Times New Roman"/>
          <w:color w:val="auto"/>
          <w:highlight w:val="none"/>
          <w:u w:val="single"/>
        </w:rPr>
        <w:t xml:space="preserve">（加盖CA电子公章）</w:t>
      </w:r>
      <w:r/>
    </w:p>
    <w:p>
      <w:pPr>
        <w:pStyle w:val="1026"/>
        <w:ind w:firstLine="480"/>
        <w:jc w:val="both"/>
        <w:spacing w:before="0" w:beforeAutospacing="0" w:after="0" w:afterAutospacing="0" w:line="360" w:lineRule="auto"/>
        <w:widowControl w:val="off"/>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单位地址：</w:t>
      </w:r>
      <w:r>
        <w:rPr>
          <w:rFonts w:ascii="Times New Roman" w:hAnsi="Times New Roman" w:cs="Times New Roman"/>
          <w:color w:val="auto"/>
          <w:highlight w:val="none"/>
          <w:u w:val="single"/>
        </w:rPr>
        <w:t xml:space="preserve">                                         </w:t>
      </w:r>
      <w:r/>
    </w:p>
    <w:p>
      <w:pPr>
        <w:pStyle w:val="1026"/>
        <w:ind w:firstLine="480"/>
        <w:jc w:val="both"/>
        <w:spacing w:before="0" w:beforeAutospacing="0" w:after="0" w:afterAutospacing="0" w:line="360" w:lineRule="auto"/>
        <w:widowControl w:val="off"/>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spacing w:val="240"/>
          <w:highlight w:val="none"/>
        </w:rPr>
        <w:t xml:space="preserve">日</w:t>
      </w:r>
      <w:r>
        <w:rPr>
          <w:rFonts w:ascii="Times New Roman" w:hAnsi="Times New Roman" w:cs="Times New Roman"/>
          <w:color w:val="auto"/>
          <w:spacing w:val="0"/>
          <w:highlight w:val="none"/>
        </w:rPr>
        <w:t xml:space="preserve">期</w:t>
      </w:r>
      <w:r>
        <w:rPr>
          <w:rFonts w:ascii="Times New Roman" w:hAnsi="Times New Roman" w:cs="Times New Roman"/>
          <w:color w:val="auto"/>
          <w:highlight w:val="none"/>
        </w:rPr>
        <w:t xml:space="preserve">：</w:t>
      </w:r>
      <w:r>
        <w:rPr>
          <w:rFonts w:ascii="Times New Roman" w:hAnsi="Times New Roman" w:cs="Times New Roman"/>
          <w:color w:val="auto"/>
          <w:highlight w:val="none"/>
          <w:u w:val="single"/>
        </w:rPr>
        <w:t xml:space="preserve">                                         </w:t>
      </w:r>
      <w:r/>
    </w:p>
    <w:p>
      <w:pPr>
        <w:rPr>
          <w:rFonts w:hint="eastAsia" w:ascii="黑体" w:hAnsi="黑体" w:eastAsia="黑体" w:cs="Arial"/>
          <w:b/>
          <w:i/>
          <w:color w:val="auto"/>
          <w:sz w:val="32"/>
          <w:szCs w:val="32"/>
          <w:highlight w:val="none"/>
          <w:u w:val="single"/>
        </w:rPr>
      </w:pPr>
      <w:r>
        <w:rPr>
          <w:rFonts w:hint="eastAsia" w:ascii="黑体" w:hAnsi="黑体" w:eastAsia="黑体" w:cs="Arial"/>
          <w:b/>
          <w:i/>
          <w:color w:val="auto"/>
          <w:sz w:val="32"/>
          <w:szCs w:val="32"/>
          <w:highlight w:val="none"/>
          <w:u w:val="single"/>
        </w:rPr>
        <w:br w:type="page" w:clear="all"/>
      </w:r>
      <w:r/>
    </w:p>
    <w:p>
      <w:pPr>
        <w:jc w:val="center"/>
        <w:keepLines/>
        <w:keepNext/>
        <w:pageBreakBefore w:val="0"/>
        <w:spacing w:before="260" w:after="260" w:line="416" w:lineRule="auto"/>
        <w:widowControl w:val="off"/>
        <w:rPr>
          <w:rFonts w:hint="eastAsia" w:ascii="黑体" w:hAnsi="黑体" w:eastAsia="黑体"/>
          <w:b/>
          <w:i/>
          <w:color w:val="auto"/>
          <w:sz w:val="32"/>
          <w:szCs w:val="32"/>
          <w:highlight w:val="none"/>
          <w:u w:val="single"/>
        </w:rPr>
        <w:outlineLvl w:val="9"/>
      </w:pP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磋商响应函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九、</w:t>
      </w:r>
      <w:bookmarkStart w:id="300" w:name="OLE_LINK3"/>
      <w:r>
        <w:rPr>
          <w:rFonts w:hint="eastAsia" w:ascii="黑体" w:hAnsi="黑体" w:eastAsia="黑体"/>
          <w:b/>
          <w:color w:val="auto"/>
          <w:sz w:val="32"/>
          <w:szCs w:val="32"/>
          <w:highlight w:val="none"/>
          <w:lang w:val="en-US" w:eastAsia="zh-CN"/>
        </w:rPr>
        <w:t xml:space="preserve">中</w:t>
      </w:r>
      <w:r>
        <w:rPr>
          <w:rFonts w:hint="eastAsia" w:ascii="黑体" w:hAnsi="黑体" w:eastAsia="黑体"/>
          <w:b/>
          <w:color w:val="auto"/>
          <w:sz w:val="32"/>
          <w:szCs w:val="32"/>
          <w:highlight w:val="none"/>
        </w:rPr>
        <w:t xml:space="preserve">小企业声明函</w:t>
      </w:r>
      <w:bookmarkEnd w:id="300"/>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本公司郑重声明，根据《政府采购促进中小企业发展管理办法》(财库[2020]46号)的规定，本公司参加</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采购活动，</w:t>
      </w:r>
      <w:r>
        <w:rPr>
          <w:rFonts w:hint="eastAsia" w:ascii="宋体" w:hAnsi="宋体"/>
          <w:color w:val="auto"/>
          <w:sz w:val="24"/>
          <w:szCs w:val="24"/>
          <w:highlight w:val="none"/>
          <w:lang w:val="en-US" w:eastAsia="zh-CN"/>
        </w:rPr>
        <w:t xml:space="preserve">工程的施工单位</w:t>
      </w:r>
      <w:r>
        <w:rPr>
          <w:rFonts w:hint="eastAsia" w:ascii="宋体" w:hAnsi="宋体"/>
          <w:color w:val="auto"/>
          <w:sz w:val="24"/>
          <w:szCs w:val="24"/>
          <w:highlight w:val="none"/>
        </w:rPr>
        <w:t xml:space="preserve">全部</w:t>
      </w:r>
      <w:r>
        <w:rPr>
          <w:rFonts w:hint="eastAsia" w:ascii="宋体" w:hAnsi="宋体"/>
          <w:color w:val="auto"/>
          <w:sz w:val="24"/>
          <w:szCs w:val="24"/>
          <w:highlight w:val="none"/>
          <w:lang w:val="en-US" w:eastAsia="zh-CN"/>
        </w:rPr>
        <w:t xml:space="preserve">为</w:t>
      </w:r>
      <w:r>
        <w:rPr>
          <w:rFonts w:hint="eastAsia" w:ascii="宋体" w:hAnsi="宋体"/>
          <w:color w:val="auto"/>
          <w:sz w:val="24"/>
          <w:szCs w:val="24"/>
          <w:highlight w:val="none"/>
        </w:rPr>
        <w:t xml:space="preserve">符合政策</w:t>
      </w:r>
      <w:r>
        <w:rPr>
          <w:rFonts w:hint="eastAsia" w:ascii="宋体" w:hAnsi="宋体"/>
          <w:color w:val="auto"/>
          <w:sz w:val="24"/>
          <w:szCs w:val="24"/>
          <w:highlight w:val="none"/>
          <w:lang w:val="en-US" w:eastAsia="zh-CN"/>
        </w:rPr>
        <w:t xml:space="preserve">要求</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中小</w:t>
      </w:r>
      <w:r>
        <w:rPr>
          <w:rFonts w:hint="eastAsia" w:ascii="宋体" w:hAnsi="宋体"/>
          <w:color w:val="auto"/>
          <w:sz w:val="24"/>
          <w:szCs w:val="24"/>
          <w:highlight w:val="none"/>
        </w:rPr>
        <w:t xml:space="preserve">企业。相关企业（含联合体中的小微企业、签订分包意向协议的小微企业）的具体情况如下：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中型企业、</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中型企业、</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本企业对上述声明内容的真实性负责。如有虚假，将依法承担相应责任</w:t>
      </w:r>
      <w:r>
        <w:rPr>
          <w:rFonts w:hint="eastAsia" w:ascii="宋体" w:hAnsi="宋体"/>
          <w:color w:val="auto"/>
          <w:sz w:val="24"/>
          <w:szCs w:val="24"/>
          <w:highlight w:val="none"/>
          <w:lang w:eastAsia="zh-CN"/>
        </w:rPr>
        <w:t xml:space="preserve">。</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60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2：供应商如不提供此声明函，价格将不做相应扣除。</w:t>
      </w:r>
      <w:r/>
    </w:p>
    <w:p>
      <w:pPr>
        <w:ind w:firstLine="4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3、成交供应商的《中小企业声明函》随成交结果公开。</w:t>
      </w:r>
      <w:r/>
    </w:p>
    <w:p>
      <w:pPr>
        <w:rPr>
          <w:rFonts w:hint="eastAsia" w:ascii="宋体" w:hAnsi="宋体"/>
          <w:color w:val="auto"/>
          <w:sz w:val="24"/>
          <w:highlight w:val="none"/>
        </w:rPr>
      </w:pPr>
      <w:r>
        <w:rPr>
          <w:rFonts w:hint="eastAsia" w:ascii="宋体" w:hAnsi="宋体"/>
          <w:color w:val="auto"/>
          <w:sz w:val="24"/>
          <w:highlight w:val="none"/>
        </w:rPr>
        <w:br w:type="page" w:clear="all"/>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十、残疾人福利性单位声明函</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hint="eastAsia"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w:t>
      </w:r>
      <w:r/>
    </w:p>
    <w:p>
      <w:pPr>
        <w:ind w:right="1560" w:firstLine="480"/>
        <w:jc w:val="center"/>
        <w:spacing w:line="588" w:lineRule="exact"/>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日  期：</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default"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rPr>
        <w:t xml:space="preserve">十一、</w:t>
      </w:r>
      <w:r>
        <w:rPr>
          <w:rFonts w:hint="eastAsia" w:ascii="黑体" w:hAnsi="黑体" w:eastAsia="黑体"/>
          <w:b/>
          <w:color w:val="auto"/>
          <w:sz w:val="32"/>
          <w:szCs w:val="32"/>
          <w:highlight w:val="none"/>
        </w:rPr>
        <w:t xml:space="preserve">分项报价表</w:t>
      </w:r>
      <w:r>
        <w:rPr>
          <w:rFonts w:hint="eastAsia" w:ascii="黑体" w:hAnsi="黑体" w:eastAsia="黑体"/>
          <w:b/>
          <w:color w:val="auto"/>
          <w:sz w:val="32"/>
          <w:szCs w:val="32"/>
          <w:highlight w:val="none"/>
          <w:lang w:val="en-US" w:eastAsia="zh-CN"/>
        </w:rPr>
        <w:t xml:space="preserve">(见</w:t>
      </w:r>
      <w:r>
        <w:rPr>
          <w:rFonts w:hint="eastAsia" w:ascii="黑体" w:hAnsi="黑体" w:eastAsia="黑体"/>
          <w:b/>
          <w:color w:val="auto"/>
          <w:sz w:val="32"/>
          <w:szCs w:val="32"/>
          <w:highlight w:val="none"/>
        </w:rPr>
        <w:t xml:space="preserve">东海县2026年灌区骨干工程维修养护项目</w:t>
      </w:r>
      <w:r>
        <w:rPr>
          <w:rFonts w:hint="eastAsia" w:ascii="黑体" w:hAnsi="黑体" w:eastAsia="黑体" w:cs="Times New Roman"/>
          <w:b/>
          <w:color w:val="auto"/>
          <w:sz w:val="32"/>
          <w:szCs w:val="32"/>
          <w:highlight w:val="none"/>
          <w:lang w:eastAsia="zh-CN"/>
        </w:rPr>
        <w:t xml:space="preserve">(政府采购工程）（专门面向中小企业）</w:t>
      </w:r>
      <w:r>
        <w:rPr>
          <w:rFonts w:hint="eastAsia" w:ascii="黑体" w:hAnsi="黑体" w:eastAsia="黑体"/>
          <w:b/>
          <w:color w:val="auto"/>
          <w:sz w:val="32"/>
          <w:szCs w:val="32"/>
          <w:highlight w:val="none"/>
          <w:lang w:val="en-US" w:eastAsia="zh-CN"/>
        </w:rPr>
        <w:t xml:space="preserve">清单表)</w:t>
      </w:r>
      <w:r/>
    </w:p>
    <w:p>
      <w:pPr>
        <w:jc w:val="center"/>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磋商供应商（加盖公章）：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法定代表人（单位负责人）或其委托代理人（签字）：                 </w:t>
      </w:r>
      <w:r/>
    </w:p>
    <w:p>
      <w:pPr>
        <w:ind w:firstLine="480"/>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        年      月      日</w:t>
      </w:r>
      <w:r/>
    </w:p>
    <w:p>
      <w:pPr>
        <w:rPr>
          <w:rFonts w:hint="eastAsia" w:ascii="宋体" w:hAnsi="宋体" w:cs="宋体"/>
          <w:color w:val="auto"/>
          <w:sz w:val="24"/>
          <w:szCs w:val="24"/>
          <w:highlight w:val="none"/>
        </w:rPr>
      </w:pPr>
      <w:r>
        <w:rPr>
          <w:rFonts w:hint="eastAsia" w:ascii="宋体" w:hAnsi="宋体"/>
          <w:color w:val="auto"/>
          <w:sz w:val="24"/>
          <w:szCs w:val="24"/>
          <w:highlight w:val="none"/>
        </w:rPr>
        <w:t xml:space="preserve">备注： 磋商报价采用总承包方式，</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的“总报价”应</w:t>
      </w:r>
      <w:r>
        <w:rPr>
          <w:rFonts w:ascii="宋体" w:hAnsi="宋体" w:cs="宋体"/>
          <w:color w:val="auto"/>
          <w:sz w:val="24"/>
          <w:szCs w:val="24"/>
          <w:highlight w:val="none"/>
        </w:rPr>
        <w:t xml:space="preserve">包括但不仅限于人员费用（工资、福利、培训等） 、材料消耗费用、管理费用、调研费、考察费、打印费、车船费、就餐住宿费、成果交付、方案费、实施费、资料费、 咨询费、培训费、成果验收费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代理费</w:t>
      </w:r>
      <w:r>
        <w:rPr>
          <w:rFonts w:ascii="宋体" w:hAnsi="宋体" w:cs="宋体"/>
          <w:color w:val="auto"/>
          <w:sz w:val="24"/>
          <w:szCs w:val="24"/>
          <w:highlight w:val="none"/>
        </w:rPr>
        <w:t xml:space="preserve">、政策性文件规定及合同包含的所有风险、责任等各项应有费用，以及相关知识产权和所需缴纳的任何税费（包含所有隐含费用）。</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520" w:lineRule="exac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注意：本项供应商自行提供</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十二、技术要求响应及偏离表</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3712"/>
        <w:gridCol w:w="3217"/>
        <w:gridCol w:w="1475"/>
      </w:tblGrid>
      <w:tr>
        <w:trPr>
          <w:cantSplit/>
          <w:trHeight w:val="1186"/>
        </w:trPr>
        <w:tc>
          <w:tcPr>
            <w:tcW w:w="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71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32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47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9"/>
        </w:trPr>
        <w:tc>
          <w:tcPr>
            <w:tcW w:w="61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1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17"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7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bookmarkEnd w:id="296"/>
      <w:r/>
    </w:p>
    <w:p>
      <w:pPr>
        <w:rPr>
          <w:rFonts w:hint="eastAsia" w:ascii="黑体" w:hAnsi="黑体" w:eastAsia="黑体"/>
          <w:b/>
          <w:color w:val="auto"/>
          <w:sz w:val="32"/>
          <w:szCs w:val="32"/>
          <w:highlight w:val="none"/>
        </w:rPr>
      </w:pPr>
      <w:r/>
      <w:bookmarkStart w:id="301" w:name="_Hlt26955054"/>
      <w:r/>
      <w:bookmarkEnd w:id="301"/>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十三、商务要求响应及偏离表</w:t>
      </w:r>
      <w:r/>
    </w:p>
    <w:tbl>
      <w:tblPr>
        <w:tblStyle w:val="789"/>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3778"/>
        <w:gridCol w:w="3274"/>
        <w:gridCol w:w="1501"/>
      </w:tblGrid>
      <w:tr>
        <w:trPr>
          <w:cantSplit/>
          <w:trHeight w:val="1192"/>
        </w:trPr>
        <w:tc>
          <w:tcPr>
            <w:tcW w:w="625" w:type="dxa"/>
            <w:vAlign w:val="center"/>
            <w:textDirection w:val="lrTb"/>
            <w:noWrap w:val="false"/>
          </w:tcPr>
          <w:p>
            <w:pPr>
              <w:jc w:val="center"/>
              <w:rPr>
                <w:rFonts w:hint="eastAsia" w:ascii="宋体" w:hAnsi="宋体"/>
                <w:color w:val="auto"/>
                <w:sz w:val="24"/>
                <w:szCs w:val="24"/>
                <w:highlight w:val="none"/>
              </w:rPr>
            </w:pPr>
            <w:r/>
            <w:bookmarkStart w:id="302" w:name="_Hlt26782999"/>
            <w:r/>
            <w:bookmarkEnd w:id="302"/>
            <w:r/>
            <w:bookmarkStart w:id="303" w:name="_Hlt26671372"/>
            <w:r/>
            <w:bookmarkEnd w:id="303"/>
            <w:r/>
            <w:bookmarkStart w:id="304" w:name="_Hlt24879081"/>
            <w:r/>
            <w:bookmarkEnd w:id="304"/>
            <w:r/>
            <w:bookmarkStart w:id="305" w:name="_Hlt26580838"/>
            <w:r/>
            <w:bookmarkEnd w:id="305"/>
            <w:r/>
            <w:bookmarkStart w:id="306" w:name="_Hlt26955056"/>
            <w:r/>
            <w:bookmarkEnd w:id="306"/>
            <w:r/>
            <w:bookmarkStart w:id="307" w:name="_Hlt26671343"/>
            <w:r/>
            <w:bookmarkEnd w:id="307"/>
            <w:r/>
            <w:bookmarkStart w:id="308" w:name="_Hlt26955064"/>
            <w:r/>
            <w:bookmarkEnd w:id="308"/>
            <w:r/>
            <w:bookmarkStart w:id="309" w:name="_Hlt26609391"/>
            <w:r/>
            <w:bookmarkEnd w:id="309"/>
            <w:r>
              <w:rPr>
                <w:rFonts w:hint="eastAsia" w:ascii="宋体" w:hAnsi="宋体"/>
                <w:color w:val="auto"/>
                <w:sz w:val="24"/>
                <w:szCs w:val="24"/>
                <w:highlight w:val="none"/>
              </w:rPr>
              <w:t xml:space="preserve">序号</w:t>
            </w:r>
            <w:r/>
          </w:p>
        </w:tc>
        <w:tc>
          <w:tcPr>
            <w:tcW w:w="37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327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5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6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2"/>
        </w:trPr>
        <w:tc>
          <w:tcPr>
            <w:tcW w:w="62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778" w:type="dxa"/>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27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50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bookmarkEnd w:id="197"/>
      <w:bookmarkEnd w:id="198"/>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十四、项目团队人员一览表</w:t>
      </w:r>
      <w:r/>
    </w:p>
    <w:p>
      <w:pPr>
        <w:jc w:val="center"/>
        <w:spacing w:line="400" w:lineRule="exact"/>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1181"/>
        <w:gridCol w:w="2529"/>
      </w:tblGrid>
      <w:tr>
        <w:trPr>
          <w:jc w:val="center"/>
          <w:trHeight w:val="930"/>
        </w:trPr>
        <w:tc>
          <w:tcPr>
            <w:tcW w:w="1470"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姓  名</w:t>
            </w:r>
            <w:r/>
          </w:p>
        </w:tc>
        <w:tc>
          <w:tcPr>
            <w:tcW w:w="1905"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本项目拟任</w:t>
            </w:r>
            <w:r/>
          </w:p>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职  务</w:t>
            </w:r>
            <w:r/>
          </w:p>
        </w:tc>
        <w:tc>
          <w:tcPr>
            <w:tcW w:w="1127"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技术</w:t>
            </w:r>
            <w:r/>
          </w:p>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职称</w:t>
            </w:r>
            <w:r/>
          </w:p>
        </w:tc>
        <w:tc>
          <w:tcPr>
            <w:tcW w:w="896"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年龄</w:t>
            </w:r>
            <w:r/>
          </w:p>
        </w:tc>
        <w:tc>
          <w:tcPr>
            <w:tcW w:w="1181"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学历</w:t>
            </w:r>
            <w:r/>
          </w:p>
        </w:tc>
        <w:tc>
          <w:tcPr>
            <w:tcW w:w="2529" w:type="dxa"/>
            <w:vAlign w:val="center"/>
            <w:textDirection w:val="lrTb"/>
            <w:noWrap w:val="false"/>
          </w:tcPr>
          <w:p>
            <w:pPr>
              <w:jc w:val="center"/>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90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27"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896"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181"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52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firstLine="50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u w:val="single"/>
        </w:rPr>
        <w:t xml:space="preserve">（</w:t>
      </w:r>
      <w:r>
        <w:rPr>
          <w:color w:val="auto"/>
          <w:sz w:val="24"/>
          <w:szCs w:val="24"/>
          <w:highlight w:val="none"/>
          <w:u w:val="single"/>
        </w:rPr>
        <w:t xml:space="preserve">加盖CA电子公章</w:t>
      </w:r>
      <w:r>
        <w:rPr>
          <w:rFonts w:hint="eastAsia" w:ascii="宋体" w:hAnsi="宋体" w:cs="宋体"/>
          <w:bCs/>
          <w:color w:val="auto"/>
          <w:sz w:val="24"/>
          <w:highlight w:val="none"/>
          <w:u w:val="singl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rPr>
          <w:rFonts w:hint="eastAsia" w:ascii="宋体" w:hAnsi="宋体" w:cs="宋体"/>
          <w:b/>
          <w:bCs/>
          <w:color w:val="auto"/>
          <w:sz w:val="28"/>
          <w:highlight w:val="none"/>
        </w:rPr>
      </w:pPr>
      <w:r>
        <w:rPr>
          <w:rFonts w:hint="eastAsia" w:ascii="宋体" w:hAnsi="宋体" w:cs="宋体"/>
          <w:b/>
          <w:bCs/>
          <w:color w:val="auto"/>
          <w:sz w:val="28"/>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十五、类似业绩一览表</w:t>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9"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135"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5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18" w:type="dxa"/>
            <w:vAlign w:val="center"/>
            <w:textDirection w:val="lrTb"/>
            <w:noWrap w:val="false"/>
          </w:tcPr>
          <w:p>
            <w:pPr>
              <w:jc w:val="center"/>
              <w:spacing w:line="520" w:lineRule="exact"/>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jc w:val="cente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spacing w:line="400" w:lineRule="exact"/>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firstLine="504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u w:val="single"/>
        </w:rPr>
        <w:t xml:space="preserve">（</w:t>
      </w:r>
      <w:r>
        <w:rPr>
          <w:color w:val="auto"/>
          <w:sz w:val="24"/>
          <w:szCs w:val="24"/>
          <w:highlight w:val="none"/>
          <w:u w:val="single"/>
        </w:rPr>
        <w:t xml:space="preserve">加盖CA电子公章</w:t>
      </w:r>
      <w:r>
        <w:rPr>
          <w:rFonts w:hint="eastAsia" w:ascii="宋体" w:hAnsi="宋体" w:cs="宋体"/>
          <w:bCs/>
          <w:color w:val="auto"/>
          <w:sz w:val="24"/>
          <w:highlight w:val="none"/>
          <w:u w:val="singl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spacing w:line="360" w:lineRule="auto"/>
        <w:rPr>
          <w:rFonts w:hint="eastAsia" w:ascii="宋体" w:hAnsi="宋体" w:cs="宋体"/>
          <w:bCs/>
          <w:color w:val="auto"/>
          <w:sz w:val="36"/>
          <w:szCs w:val="28"/>
          <w:highlight w:val="none"/>
        </w:rPr>
      </w:pPr>
      <w:r>
        <w:rPr>
          <w:rFonts w:hint="eastAsia" w:ascii="宋体" w:hAnsi="宋体" w:cs="宋体"/>
          <w:b/>
          <w:bCs/>
          <w:color w:val="auto"/>
          <w:sz w:val="28"/>
          <w:highlight w:val="none"/>
        </w:rPr>
        <w:br w:type="page" w:clear="all"/>
      </w:r>
      <w:r>
        <w:rPr>
          <w:rFonts w:hint="eastAsia" w:ascii="黑体" w:hAnsi="黑体" w:eastAsia="黑体"/>
          <w:b/>
          <w:color w:val="auto"/>
          <w:sz w:val="32"/>
          <w:szCs w:val="32"/>
          <w:highlight w:val="none"/>
        </w:rPr>
        <w:t xml:space="preserve">十六、采购需求响应</w:t>
      </w:r>
      <w:r/>
    </w:p>
    <w:p>
      <w:pPr>
        <w:jc w:val="left"/>
        <w:spacing w:line="68" w:lineRule="atLeast"/>
        <w:tabs>
          <w:tab w:val="center" w:pos="4933" w:leader="none"/>
          <w:tab w:val="right" w:pos="9746"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ab/>
      </w:r>
      <w:r>
        <w:rPr>
          <w:rFonts w:ascii="宋体" w:hAnsi="宋体" w:cs="宋体"/>
          <w:color w:val="auto"/>
          <w:sz w:val="24"/>
          <w:highlight w:val="none"/>
        </w:rPr>
        <w:t xml:space="preserve">（供应商按“项目需求”等内容要求自行填写）</w:t>
      </w:r>
      <w:r>
        <w:rPr>
          <w:rFonts w:hint="eastAsia" w:ascii="宋体" w:hAnsi="宋体" w:cs="宋体"/>
          <w:color w:val="auto"/>
          <w:sz w:val="24"/>
          <w:highlight w:val="none"/>
        </w:rPr>
        <w:tab/>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w:t>
      </w:r>
      <w:r>
        <w:rPr>
          <w:rFonts w:ascii="宋体" w:hAnsi="宋体" w:cs="宋体"/>
          <w:color w:val="auto"/>
          <w:sz w:val="24"/>
          <w:highlight w:val="none"/>
          <w:u w:val="single"/>
        </w:rPr>
        <w:t xml:space="preserve">（加盖</w:t>
      </w:r>
      <w:r>
        <w:rPr>
          <w:rFonts w:eastAsia="Times New Roman"/>
          <w:color w:val="auto"/>
          <w:sz w:val="24"/>
          <w:highlight w:val="none"/>
          <w:u w:val="single"/>
        </w:rPr>
        <w:t xml:space="preserve">CA</w:t>
      </w:r>
      <w:r>
        <w:rPr>
          <w:rFonts w:ascii="宋体" w:hAnsi="宋体" w:cs="宋体"/>
          <w:color w:val="auto"/>
          <w:sz w:val="24"/>
          <w:highlight w:val="none"/>
          <w:u w:val="single"/>
        </w:rPr>
        <w:t xml:space="preserve">电子公章）</w:t>
      </w:r>
      <w:r/>
    </w:p>
    <w:p>
      <w:pPr>
        <w:jc w:val="right"/>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日期：_____年</w:t>
      </w:r>
      <w:r>
        <w:rPr>
          <w:rFonts w:ascii="宋体" w:hAnsi="宋体" w:cs="宋体"/>
          <w:color w:val="auto"/>
          <w:sz w:val="24"/>
          <w:highlight w:val="none"/>
          <w:u w:val="single"/>
        </w:rPr>
        <w:t xml:space="preserve">  </w:t>
      </w:r>
      <w:r>
        <w:rPr>
          <w:rFonts w:ascii="宋体" w:hAnsi="宋体" w:cs="宋体"/>
          <w:color w:val="auto"/>
          <w:sz w:val="24"/>
          <w:highlight w:val="none"/>
        </w:rPr>
        <w:t xml:space="preserve">月</w:t>
      </w:r>
      <w:r>
        <w:rPr>
          <w:rFonts w:ascii="宋体" w:hAnsi="宋体" w:cs="宋体"/>
          <w:color w:val="auto"/>
          <w:sz w:val="24"/>
          <w:highlight w:val="none"/>
          <w:u w:val="single"/>
        </w:rPr>
        <w:t xml:space="preserve">  </w:t>
      </w:r>
      <w:r>
        <w:rPr>
          <w:rFonts w:ascii="宋体" w:hAnsi="宋体" w:cs="宋体"/>
          <w:color w:val="auto"/>
          <w:sz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hint="eastAsia" w:ascii="方正魏碑_GBK" w:hAnsi="方正魏碑_GBK" w:eastAsia="方正魏碑_GBK" w:cs="方正魏碑_GBK"/>
          <w:color w:val="auto"/>
          <w:sz w:val="24"/>
          <w:szCs w:val="24"/>
          <w:highlight w:val="none"/>
        </w:rPr>
      </w:pPr>
      <w:r>
        <w:rPr>
          <w:rFonts w:hint="eastAsia" w:ascii="黑体" w:hAnsi="黑体" w:eastAsia="黑体"/>
          <w:b/>
          <w:color w:val="auto"/>
          <w:sz w:val="32"/>
          <w:szCs w:val="32"/>
          <w:highlight w:val="none"/>
        </w:rPr>
        <w:t xml:space="preserve">十七、</w:t>
      </w: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10"/>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10"/>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1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2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14"/>
          <w:rFonts w:hint="eastAsia" w:ascii="方正魏碑_GBK" w:hAnsi="方正魏碑_GBK" w:eastAsia="方正魏碑_GBK" w:cs="方正魏碑_GBK"/>
          <w:i w:val="0"/>
          <w:color w:val="auto"/>
          <w:highlight w:val="none"/>
          <w:u w:val="single"/>
          <w:shd w:val="clear" w:color="auto" w:fill="ffffff"/>
        </w:rPr>
        <w:t xml:space="preserve">（产品名称1）</w:t>
      </w:r>
      <w:r>
        <w:rPr>
          <w:rStyle w:val="81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14"/>
          <w:rFonts w:hint="eastAsia" w:ascii="方正魏碑_GBK" w:hAnsi="方正魏碑_GBK" w:eastAsia="方正魏碑_GBK" w:cs="方正魏碑_GBK"/>
          <w:i w:val="0"/>
          <w:color w:val="auto"/>
          <w:highlight w:val="none"/>
          <w:u w:val="single"/>
          <w:shd w:val="clear" w:color="auto" w:fill="ffffff"/>
        </w:rPr>
        <w:t xml:space="preserve">（厂名）</w:t>
      </w:r>
      <w:r>
        <w:rPr>
          <w:rStyle w:val="81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1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14"/>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14"/>
          <w:rFonts w:hint="eastAsia" w:ascii="方正魏碑_GBK" w:hAnsi="方正魏碑_GBK" w:eastAsia="方正魏碑_GBK" w:cs="方正魏碑_GBK"/>
          <w:i w:val="0"/>
          <w:color w:val="auto"/>
          <w:highlight w:val="none"/>
          <w:u w:val="single"/>
          <w:shd w:val="clear" w:color="auto" w:fill="ffffff"/>
        </w:rPr>
        <w:t xml:space="preserve">（规定</w:t>
      </w:r>
      <w:r>
        <w:rPr>
          <w:rStyle w:val="814"/>
          <w:rFonts w:ascii="方正魏碑_GBK" w:hAnsi="方正魏碑_GBK" w:eastAsia="方正魏碑_GBK" w:cs="方正魏碑_GBK"/>
          <w:i w:val="0"/>
          <w:color w:val="auto"/>
          <w:highlight w:val="none"/>
          <w:u w:val="single"/>
          <w:shd w:val="clear" w:color="auto" w:fill="ffffff"/>
        </w:rPr>
        <w:t xml:space="preserve">比例</w:t>
      </w:r>
      <w:r>
        <w:rPr>
          <w:rStyle w:val="814"/>
          <w:rFonts w:hint="eastAsia" w:ascii="方正魏碑_GBK" w:hAnsi="方正魏碑_GBK" w:eastAsia="方正魏碑_GBK" w:cs="方正魏碑_GBK"/>
          <w:i w:val="0"/>
          <w:color w:val="auto"/>
          <w:highlight w:val="none"/>
          <w:u w:val="single"/>
          <w:shd w:val="clear" w:color="auto" w:fill="ffffff"/>
        </w:rPr>
        <w:t xml:space="preserve">）</w:t>
      </w:r>
      <w:r>
        <w:rPr>
          <w:rStyle w:val="81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1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14"/>
          <w:rFonts w:hint="eastAsia" w:ascii="方正魏碑_GBK" w:hAnsi="方正魏碑_GBK" w:eastAsia="方正魏碑_GBK" w:cs="方正魏碑_GBK"/>
          <w:i w:val="0"/>
          <w:color w:val="auto"/>
          <w:highlight w:val="none"/>
          <w:u w:val="single"/>
          <w:shd w:val="clear" w:color="auto" w:fill="ffffff"/>
        </w:rPr>
        <w:t xml:space="preserve">（关键</w:t>
      </w:r>
      <w:r>
        <w:rPr>
          <w:rStyle w:val="814"/>
          <w:rFonts w:ascii="方正魏碑_GBK" w:hAnsi="方正魏碑_GBK" w:eastAsia="方正魏碑_GBK" w:cs="方正魏碑_GBK"/>
          <w:i w:val="0"/>
          <w:color w:val="auto"/>
          <w:highlight w:val="none"/>
          <w:u w:val="single"/>
          <w:shd w:val="clear" w:color="auto" w:fill="ffffff"/>
        </w:rPr>
        <w:t xml:space="preserve">组件</w:t>
      </w:r>
      <w:r>
        <w:rPr>
          <w:rStyle w:val="814"/>
          <w:rFonts w:hint="eastAsia" w:ascii="方正魏碑_GBK" w:hAnsi="方正魏碑_GBK" w:eastAsia="方正魏碑_GBK" w:cs="方正魏碑_GBK"/>
          <w:i w:val="0"/>
          <w:color w:val="auto"/>
          <w:highlight w:val="none"/>
          <w:u w:val="single"/>
          <w:shd w:val="clear" w:color="auto" w:fill="ffffff"/>
        </w:rPr>
        <w:t xml:space="preserve">）</w:t>
      </w:r>
      <w:r>
        <w:rPr>
          <w:rStyle w:val="81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1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14"/>
          <w:rFonts w:hint="eastAsia" w:ascii="方正魏碑_GBK" w:hAnsi="方正魏碑_GBK" w:eastAsia="方正魏碑_GBK" w:cs="方正魏碑_GBK"/>
          <w:i w:val="0"/>
          <w:color w:val="auto"/>
          <w:highlight w:val="none"/>
          <w:u w:val="single"/>
          <w:shd w:val="clear" w:color="auto" w:fill="ffffff"/>
        </w:rPr>
        <w:t xml:space="preserve">（关键工序）</w:t>
      </w:r>
      <w:r>
        <w:rPr>
          <w:rStyle w:val="81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1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1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1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1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14"/>
          <w:rFonts w:hint="eastAsia" w:ascii="方正魏碑_GBK" w:hAnsi="方正魏碑_GBK" w:eastAsia="方正魏碑_GBK" w:cs="方正魏碑_GBK"/>
          <w:i w:val="0"/>
          <w:color w:val="auto"/>
          <w:highlight w:val="none"/>
          <w:u w:val="single"/>
          <w:shd w:val="clear" w:color="auto" w:fill="ffffff"/>
        </w:rPr>
        <w:t xml:space="preserve">（规定</w:t>
      </w:r>
      <w:r>
        <w:rPr>
          <w:rStyle w:val="814"/>
          <w:rFonts w:ascii="方正魏碑_GBK" w:hAnsi="方正魏碑_GBK" w:eastAsia="方正魏碑_GBK" w:cs="方正魏碑_GBK"/>
          <w:i w:val="0"/>
          <w:color w:val="auto"/>
          <w:highlight w:val="none"/>
          <w:u w:val="single"/>
          <w:shd w:val="clear" w:color="auto" w:fill="ffffff"/>
        </w:rPr>
        <w:t xml:space="preserve">比例</w:t>
      </w:r>
      <w:r>
        <w:rPr>
          <w:rStyle w:val="81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1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14"/>
          <w:rFonts w:hint="eastAsia" w:ascii="方正魏碑_GBK" w:hAnsi="方正魏碑_GBK" w:eastAsia="方正魏碑_GBK" w:cs="方正魏碑_GBK"/>
          <w:i w:val="0"/>
          <w:color w:val="auto"/>
          <w:highlight w:val="none"/>
          <w:u w:val="single"/>
          <w:shd w:val="clear" w:color="auto" w:fill="ffffff"/>
        </w:rPr>
        <w:t xml:space="preserve">（关键</w:t>
      </w:r>
      <w:r>
        <w:rPr>
          <w:rStyle w:val="814"/>
          <w:rFonts w:ascii="方正魏碑_GBK" w:hAnsi="方正魏碑_GBK" w:eastAsia="方正魏碑_GBK" w:cs="方正魏碑_GBK"/>
          <w:i w:val="0"/>
          <w:color w:val="auto"/>
          <w:highlight w:val="none"/>
          <w:u w:val="single"/>
          <w:shd w:val="clear" w:color="auto" w:fill="ffffff"/>
        </w:rPr>
        <w:t xml:space="preserve">组件</w:t>
      </w:r>
      <w:r>
        <w:rPr>
          <w:rStyle w:val="81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1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14"/>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1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10"/>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10"/>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1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10"/>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10"/>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val="en-US" w:eastAsia="zh-CN"/>
        </w:rPr>
        <w:t xml:space="preserve">八</w:t>
      </w:r>
      <w:r>
        <w:rPr>
          <w:rFonts w:hint="eastAsia" w:ascii="黑体" w:hAnsi="黑体" w:eastAsia="黑体"/>
          <w:b/>
          <w:color w:val="auto"/>
          <w:sz w:val="32"/>
          <w:szCs w:val="32"/>
          <w:highlight w:val="none"/>
        </w:rPr>
        <w:t xml:space="preserve">、其他材料</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firstLine="64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供应商认为有必要提供的材料或评分标准中需要提供的材料。</w:t>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ind w:firstLine="480"/>
        <w:jc w:val="both"/>
        <w:keepLines w:val="0"/>
        <w:keepNext w:val="0"/>
        <w:pageBreakBefore w:val="0"/>
        <w:spacing w:line="4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ind w:firstLine="480"/>
        <w:jc w:val="both"/>
        <w:keepLines w:val="0"/>
        <w:keepNext w:val="0"/>
        <w:pageBreakBefore w:val="0"/>
        <w:spacing w:line="4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ind w:firstLine="480"/>
        <w:jc w:val="both"/>
        <w:keepLines w:val="0"/>
        <w:keepNext w:val="0"/>
        <w:pageBreakBefore w:val="0"/>
        <w:spacing w:line="4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ind w:firstLine="480"/>
        <w:jc w:val="both"/>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ind w:firstLine="480"/>
        <w:jc w:val="both"/>
        <w:keepLines w:val="0"/>
        <w:keepNext w:val="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2"/>
        <w:jc w:val="both"/>
        <w:keepLines w:val="0"/>
        <w:keepNext w:val="0"/>
        <w:pageBreakBefore w:val="0"/>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both"/>
        <w:keepLines w:val="0"/>
        <w:keepNext w:val="0"/>
        <w:pageBreakBefore w:val="0"/>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both"/>
        <w:keepLines w:val="0"/>
        <w:keepNext w:val="0"/>
        <w:pageBreakBefore w:val="0"/>
        <w:spacing w:line="400" w:lineRule="exact"/>
        <w:widowControl/>
        <w:rPr>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7" w:right="1474" w:bottom="1417" w:left="1474" w:header="850"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MS Mincho">
    <w:panose1 w:val="020206030504050903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p>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jc w:val="center"/>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jc w:val="center"/>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tabs>
        <w:tab w:val="left" w:pos="7485" w:leader="none"/>
      </w:tabs>
    </w:pPr>
    <w:r>
      <w:rPr>
        <w:rFonts w:hint="eastAsia"/>
        <w:lang w:val="zh-CN"/>
      </w:rPr>
      <w:t xml:space="preserve">连云港市正源招标代理有限公司                                                             竞争性磋商</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1"/>
      <w:isLgl w:val="false"/>
      <w:suff w:val="nothing"/>
      <w:lvlText w:val=""/>
      <w:lvlJc w:val="left"/>
      <w:pPr>
        <w:ind w:left="0" w:firstLine="0"/>
      </w:pPr>
      <w:rPr>
        <w:rFonts w:hint="eastAsia"/>
      </w:rPr>
    </w:lvl>
    <w:lvl w:ilvl="6">
      <w:start w:val="1"/>
      <w:numFmt w:val="decimal"/>
      <w:pStyle w:val="972"/>
      <w:isLgl w:val="false"/>
      <w:suff w:val="nothing"/>
      <w:lvlText w:val=""/>
      <w:lvlJc w:val="left"/>
      <w:pPr>
        <w:ind w:left="0" w:firstLine="0"/>
      </w:pPr>
      <w:rPr>
        <w:rFonts w:hint="eastAsia"/>
      </w:rPr>
    </w:lvl>
    <w:lvl w:ilvl="7">
      <w:start w:val="1"/>
      <w:numFmt w:val="decimal"/>
      <w:pStyle w:val="973"/>
      <w:isLgl w:val="false"/>
      <w:suff w:val="nothing"/>
      <w:lvlText w:val=""/>
      <w:lvlJc w:val="left"/>
      <w:pPr>
        <w:ind w:left="0" w:firstLine="0"/>
      </w:pPr>
      <w:rPr>
        <w:rFonts w:hint="eastAsia"/>
      </w:rPr>
    </w:lvl>
    <w:lvl w:ilvl="8">
      <w:start w:val="1"/>
      <w:numFmt w:val="decimal"/>
      <w:pStyle w:val="974"/>
      <w:isLgl w:val="false"/>
      <w:suff w:val="nothing"/>
      <w:lvlText w:val=""/>
      <w:lvlJc w:val="left"/>
      <w:pPr>
        <w:ind w:left="0" w:firstLine="0"/>
      </w:pPr>
      <w:rPr>
        <w:rFonts w:hint="eastAsia"/>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7"/>
  </w:num>
  <w:num w:numId="2">
    <w:abstractNumId w:val="5"/>
  </w:num>
  <w:num w:numId="3">
    <w:abstractNumId w:val="9"/>
  </w:num>
  <w:num w:numId="4">
    <w:abstractNumId w:val="3"/>
  </w:num>
  <w:num w:numId="5">
    <w:abstractNumId w:val="0"/>
  </w:num>
  <w:num w:numId="6">
    <w:abstractNumId w:val="4"/>
  </w:num>
  <w:num w:numId="7">
    <w:abstractNumId w:val="2"/>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8"/>
    <w:link w:val="779"/>
    <w:uiPriority w:val="9"/>
    <w:rPr>
      <w:rFonts w:ascii="Arial" w:hAnsi="Arial" w:eastAsia="Arial" w:cs="Arial"/>
      <w:sz w:val="40"/>
      <w:szCs w:val="40"/>
    </w:rPr>
  </w:style>
  <w:style w:type="character" w:styleId="15">
    <w:name w:val="Heading 2 Char"/>
    <w:basedOn w:val="788"/>
    <w:link w:val="780"/>
    <w:uiPriority w:val="9"/>
    <w:rPr>
      <w:rFonts w:ascii="Arial" w:hAnsi="Arial" w:eastAsia="Arial" w:cs="Arial"/>
      <w:sz w:val="34"/>
    </w:rPr>
  </w:style>
  <w:style w:type="character" w:styleId="17">
    <w:name w:val="Heading 3 Char"/>
    <w:basedOn w:val="788"/>
    <w:link w:val="781"/>
    <w:uiPriority w:val="9"/>
    <w:rPr>
      <w:rFonts w:ascii="Arial" w:hAnsi="Arial" w:eastAsia="Arial" w:cs="Arial"/>
      <w:sz w:val="30"/>
      <w:szCs w:val="30"/>
    </w:rPr>
  </w:style>
  <w:style w:type="character" w:styleId="19">
    <w:name w:val="Heading 4 Char"/>
    <w:basedOn w:val="788"/>
    <w:link w:val="782"/>
    <w:uiPriority w:val="9"/>
    <w:rPr>
      <w:rFonts w:ascii="Arial" w:hAnsi="Arial" w:eastAsia="Arial" w:cs="Arial"/>
      <w:b/>
      <w:bCs/>
      <w:sz w:val="26"/>
      <w:szCs w:val="26"/>
    </w:rPr>
  </w:style>
  <w:style w:type="character" w:styleId="21">
    <w:name w:val="Heading 5 Char"/>
    <w:basedOn w:val="788"/>
    <w:link w:val="783"/>
    <w:uiPriority w:val="9"/>
    <w:rPr>
      <w:rFonts w:ascii="Arial" w:hAnsi="Arial" w:eastAsia="Arial" w:cs="Arial"/>
      <w:b/>
      <w:bCs/>
      <w:sz w:val="24"/>
      <w:szCs w:val="24"/>
    </w:rPr>
  </w:style>
  <w:style w:type="character" w:styleId="23">
    <w:name w:val="Heading 6 Char"/>
    <w:basedOn w:val="788"/>
    <w:link w:val="784"/>
    <w:uiPriority w:val="9"/>
    <w:rPr>
      <w:rFonts w:ascii="Arial" w:hAnsi="Arial" w:eastAsia="Arial" w:cs="Arial"/>
      <w:b/>
      <w:bCs/>
      <w:sz w:val="22"/>
      <w:szCs w:val="22"/>
    </w:rPr>
  </w:style>
  <w:style w:type="character" w:styleId="25">
    <w:name w:val="Heading 7 Char"/>
    <w:basedOn w:val="788"/>
    <w:link w:val="785"/>
    <w:uiPriority w:val="9"/>
    <w:rPr>
      <w:rFonts w:ascii="Arial" w:hAnsi="Arial" w:eastAsia="Arial" w:cs="Arial"/>
      <w:b/>
      <w:bCs/>
      <w:i/>
      <w:iCs/>
      <w:sz w:val="22"/>
      <w:szCs w:val="22"/>
    </w:rPr>
  </w:style>
  <w:style w:type="character" w:styleId="27">
    <w:name w:val="Heading 8 Char"/>
    <w:basedOn w:val="788"/>
    <w:link w:val="786"/>
    <w:uiPriority w:val="9"/>
    <w:rPr>
      <w:rFonts w:ascii="Arial" w:hAnsi="Arial" w:eastAsia="Arial" w:cs="Arial"/>
      <w:i/>
      <w:iCs/>
      <w:sz w:val="22"/>
      <w:szCs w:val="22"/>
    </w:rPr>
  </w:style>
  <w:style w:type="character" w:styleId="29">
    <w:name w:val="Heading 9 Char"/>
    <w:basedOn w:val="788"/>
    <w:link w:val="787"/>
    <w:uiPriority w:val="9"/>
    <w:rPr>
      <w:rFonts w:ascii="Arial" w:hAnsi="Arial" w:eastAsia="Arial" w:cs="Arial"/>
      <w:i/>
      <w:iCs/>
      <w:sz w:val="21"/>
      <w:szCs w:val="21"/>
    </w:rPr>
  </w:style>
  <w:style w:type="character" w:styleId="34">
    <w:name w:val="Title Char"/>
    <w:basedOn w:val="788"/>
    <w:link w:val="811"/>
    <w:uiPriority w:val="10"/>
    <w:rPr>
      <w:sz w:val="48"/>
      <w:szCs w:val="48"/>
    </w:rPr>
  </w:style>
  <w:style w:type="character" w:styleId="36">
    <w:name w:val="Subtitle Char"/>
    <w:basedOn w:val="788"/>
    <w:link w:val="803"/>
    <w:uiPriority w:val="11"/>
    <w:rPr>
      <w:sz w:val="24"/>
      <w:szCs w:val="24"/>
    </w:rPr>
  </w:style>
  <w:style w:type="character" w:styleId="38">
    <w:name w:val="Quote Char"/>
    <w:link w:val="830"/>
    <w:uiPriority w:val="29"/>
    <w:rPr>
      <w:i/>
    </w:rPr>
  </w:style>
  <w:style w:type="character" w:styleId="40">
    <w:name w:val="Intense Quote Char"/>
    <w:link w:val="832"/>
    <w:uiPriority w:val="30"/>
    <w:rPr>
      <w:i/>
    </w:rPr>
  </w:style>
  <w:style w:type="character" w:styleId="42">
    <w:name w:val="Header Char"/>
    <w:basedOn w:val="788"/>
    <w:link w:val="800"/>
    <w:uiPriority w:val="99"/>
  </w:style>
  <w:style w:type="character" w:styleId="46">
    <w:name w:val="Caption Char"/>
    <w:basedOn w:val="791"/>
    <w:link w:val="799"/>
    <w:uiPriority w:val="99"/>
  </w:style>
  <w:style w:type="table" w:styleId="49">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4"/>
    <w:uiPriority w:val="99"/>
    <w:rPr>
      <w:sz w:val="18"/>
    </w:rPr>
  </w:style>
  <w:style w:type="character" w:styleId="178">
    <w:name w:val="Endnote Text Char"/>
    <w:link w:val="798"/>
    <w:uiPriority w:val="99"/>
    <w:rPr>
      <w:sz w:val="20"/>
    </w:rPr>
  </w:style>
  <w:style w:type="paragraph" w:styleId="189">
    <w:name w:val="TOC Heading"/>
    <w:uiPriority w:val="39"/>
    <w:unhideWhenUsed/>
  </w:style>
  <w:style w:type="paragraph" w:styleId="77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9">
    <w:name w:val="Heading 1"/>
    <w:basedOn w:val="778"/>
    <w:next w:val="778"/>
    <w:link w:val="817"/>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18"/>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19"/>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0"/>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1"/>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2"/>
    <w:uiPriority w:val="9"/>
    <w:unhideWhenUsed/>
    <w:qFormat/>
    <w:pPr>
      <w:keepLines/>
      <w:keepNext/>
      <w:spacing w:before="320" w:after="200"/>
      <w:outlineLvl w:val="5"/>
    </w:pPr>
    <w:rPr>
      <w:rFonts w:ascii="Arial" w:hAnsi="Arial" w:eastAsia="Arial" w:cs="Arial"/>
      <w:b/>
      <w:bCs/>
      <w:sz w:val="22"/>
    </w:rPr>
  </w:style>
  <w:style w:type="paragraph" w:styleId="785">
    <w:name w:val="Heading 7"/>
    <w:basedOn w:val="778"/>
    <w:next w:val="778"/>
    <w:link w:val="823"/>
    <w:uiPriority w:val="9"/>
    <w:unhideWhenUsed/>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24"/>
    <w:uiPriority w:val="9"/>
    <w:unhideWhenUsed/>
    <w:qFormat/>
    <w:pPr>
      <w:keepLines/>
      <w:keepNext/>
      <w:spacing w:before="320" w:after="200"/>
      <w:outlineLvl w:val="7"/>
    </w:pPr>
    <w:rPr>
      <w:rFonts w:ascii="Arial" w:hAnsi="Arial" w:eastAsia="Arial" w:cs="Arial"/>
      <w:i/>
      <w:iCs/>
      <w:sz w:val="22"/>
    </w:rPr>
  </w:style>
  <w:style w:type="paragraph" w:styleId="787">
    <w:name w:val="Heading 9"/>
    <w:basedOn w:val="778"/>
    <w:next w:val="778"/>
    <w:link w:val="825"/>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spacing w:after="57"/>
    </w:pPr>
  </w:style>
  <w:style w:type="paragraph" w:styleId="791">
    <w:name w:val="Caption"/>
    <w:basedOn w:val="778"/>
    <w:next w:val="778"/>
    <w:uiPriority w:val="35"/>
    <w:semiHidden/>
    <w:unhideWhenUsed/>
    <w:qFormat/>
    <w:pPr>
      <w:spacing w:line="276" w:lineRule="auto"/>
    </w:pPr>
    <w:rPr>
      <w:b/>
      <w:bCs/>
      <w:color w:val="4f81bd"/>
      <w:sz w:val="18"/>
      <w:szCs w:val="18"/>
    </w:rPr>
  </w:style>
  <w:style w:type="paragraph" w:styleId="792">
    <w:name w:val="annotation text"/>
    <w:basedOn w:val="778"/>
    <w:uiPriority w:val="0"/>
    <w:qFormat/>
    <w:pPr>
      <w:ind w:firstLine="480"/>
      <w:jc w:val="left"/>
    </w:pPr>
    <w:rPr>
      <w:szCs w:val="24"/>
    </w:rPr>
  </w:style>
  <w:style w:type="paragraph" w:styleId="793">
    <w:name w:val="Body Text"/>
    <w:basedOn w:val="778"/>
    <w:next w:val="778"/>
    <w:uiPriority w:val="0"/>
    <w:qFormat/>
    <w:rPr>
      <w:rFonts w:ascii="楷体_GB2312" w:hAnsi="Arial" w:eastAsia="楷体_GB2312"/>
      <w:sz w:val="28"/>
      <w:szCs w:val="20"/>
    </w:rPr>
  </w:style>
  <w:style w:type="paragraph" w:styleId="794">
    <w:name w:val="toc 5"/>
    <w:basedOn w:val="778"/>
    <w:next w:val="778"/>
    <w:uiPriority w:val="39"/>
    <w:unhideWhenUsed/>
    <w:qFormat/>
    <w:pPr>
      <w:ind w:left="1134"/>
      <w:spacing w:after="57"/>
    </w:pPr>
  </w:style>
  <w:style w:type="paragraph" w:styleId="795">
    <w:name w:val="toc 3"/>
    <w:basedOn w:val="778"/>
    <w:next w:val="778"/>
    <w:uiPriority w:val="39"/>
    <w:unhideWhenUsed/>
    <w:qFormat/>
    <w:pPr>
      <w:ind w:left="567"/>
      <w:spacing w:after="57"/>
    </w:pPr>
  </w:style>
  <w:style w:type="paragraph" w:styleId="796">
    <w:name w:val="Plain Text"/>
    <w:basedOn w:val="778"/>
    <w:uiPriority w:val="0"/>
    <w:qFormat/>
    <w:rPr>
      <w:rFonts w:ascii="宋体" w:hAnsi="Courier New" w:eastAsia="宋体" w:cs="Times New Roman"/>
      <w:sz w:val="21"/>
      <w:lang w:val="en-US"/>
    </w:rPr>
  </w:style>
  <w:style w:type="paragraph" w:styleId="797">
    <w:name w:val="toc 8"/>
    <w:basedOn w:val="778"/>
    <w:next w:val="778"/>
    <w:uiPriority w:val="39"/>
    <w:unhideWhenUsed/>
    <w:qFormat/>
    <w:pPr>
      <w:ind w:left="1984"/>
      <w:spacing w:after="57"/>
    </w:pPr>
  </w:style>
  <w:style w:type="paragraph" w:styleId="798">
    <w:name w:val="endnote text"/>
    <w:basedOn w:val="778"/>
    <w:link w:val="963"/>
    <w:uiPriority w:val="99"/>
    <w:semiHidden/>
    <w:unhideWhenUsed/>
    <w:qFormat/>
    <w:rPr>
      <w:sz w:val="20"/>
    </w:rPr>
  </w:style>
  <w:style w:type="paragraph" w:styleId="799">
    <w:name w:val="Footer"/>
    <w:basedOn w:val="778"/>
    <w:link w:val="836"/>
    <w:uiPriority w:val="99"/>
    <w:unhideWhenUsed/>
    <w:qFormat/>
    <w:pPr>
      <w:tabs>
        <w:tab w:val="center" w:pos="7143" w:leader="none"/>
        <w:tab w:val="right" w:pos="14287" w:leader="none"/>
      </w:tabs>
    </w:pPr>
  </w:style>
  <w:style w:type="paragraph" w:styleId="800">
    <w:name w:val="Header"/>
    <w:basedOn w:val="778"/>
    <w:link w:val="834"/>
    <w:uiPriority w:val="99"/>
    <w:unhideWhenUsed/>
    <w:qFormat/>
    <w:pPr>
      <w:tabs>
        <w:tab w:val="center" w:pos="7143" w:leader="none"/>
        <w:tab w:val="right" w:pos="14287" w:leader="none"/>
      </w:tabs>
    </w:pPr>
  </w:style>
  <w:style w:type="paragraph" w:styleId="801">
    <w:name w:val="toc 1"/>
    <w:basedOn w:val="778"/>
    <w:next w:val="778"/>
    <w:uiPriority w:val="39"/>
    <w:unhideWhenUsed/>
    <w:qFormat/>
    <w:pPr>
      <w:spacing w:after="57"/>
    </w:pPr>
  </w:style>
  <w:style w:type="paragraph" w:styleId="802">
    <w:name w:val="toc 4"/>
    <w:basedOn w:val="778"/>
    <w:next w:val="778"/>
    <w:uiPriority w:val="39"/>
    <w:unhideWhenUsed/>
    <w:qFormat/>
    <w:pPr>
      <w:ind w:left="850"/>
      <w:spacing w:after="57"/>
    </w:pPr>
  </w:style>
  <w:style w:type="paragraph" w:styleId="803">
    <w:name w:val="Subtitle"/>
    <w:basedOn w:val="778"/>
    <w:next w:val="778"/>
    <w:link w:val="829"/>
    <w:uiPriority w:val="11"/>
    <w:qFormat/>
    <w:pPr>
      <w:spacing w:before="200" w:after="200"/>
    </w:pPr>
    <w:rPr>
      <w:sz w:val="24"/>
      <w:szCs w:val="24"/>
    </w:rPr>
  </w:style>
  <w:style w:type="paragraph" w:styleId="804">
    <w:name w:val="footnote text"/>
    <w:basedOn w:val="778"/>
    <w:link w:val="962"/>
    <w:uiPriority w:val="99"/>
    <w:semiHidden/>
    <w:unhideWhenUsed/>
    <w:qFormat/>
    <w:pPr>
      <w:spacing w:after="40"/>
    </w:pPr>
    <w:rPr>
      <w:sz w:val="18"/>
    </w:rPr>
  </w:style>
  <w:style w:type="paragraph" w:styleId="805">
    <w:name w:val="toc 6"/>
    <w:basedOn w:val="778"/>
    <w:next w:val="778"/>
    <w:uiPriority w:val="39"/>
    <w:unhideWhenUsed/>
    <w:qFormat/>
    <w:pPr>
      <w:ind w:left="1417"/>
      <w:spacing w:after="57"/>
    </w:pPr>
  </w:style>
  <w:style w:type="paragraph" w:styleId="806">
    <w:name w:val="table of figures"/>
    <w:basedOn w:val="778"/>
    <w:next w:val="778"/>
    <w:uiPriority w:val="99"/>
    <w:unhideWhenUsed/>
    <w:qFormat/>
  </w:style>
  <w:style w:type="paragraph" w:styleId="807">
    <w:name w:val="toc 2"/>
    <w:basedOn w:val="778"/>
    <w:next w:val="778"/>
    <w:uiPriority w:val="39"/>
    <w:unhideWhenUsed/>
    <w:qFormat/>
    <w:pPr>
      <w:ind w:left="283"/>
      <w:spacing w:after="57"/>
    </w:pPr>
  </w:style>
  <w:style w:type="paragraph" w:styleId="808">
    <w:name w:val="toc 9"/>
    <w:basedOn w:val="778"/>
    <w:next w:val="778"/>
    <w:uiPriority w:val="39"/>
    <w:unhideWhenUsed/>
    <w:qFormat/>
    <w:pPr>
      <w:ind w:left="2268"/>
      <w:spacing w:after="57"/>
    </w:pPr>
  </w:style>
  <w:style w:type="paragraph" w:styleId="809">
    <w:name w:val="HTML Preformatted"/>
    <w:basedOn w:val="77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10">
    <w:name w:val="Normal (Web)"/>
    <w:basedOn w:val="778"/>
    <w:uiPriority w:val="0"/>
    <w:qFormat/>
    <w:pPr>
      <w:jc w:val="left"/>
      <w:spacing w:before="100" w:beforeAutospacing="1" w:after="100" w:afterAutospacing="1"/>
    </w:pPr>
    <w:rPr>
      <w:sz w:val="24"/>
    </w:rPr>
  </w:style>
  <w:style w:type="paragraph" w:styleId="811">
    <w:name w:val="Title"/>
    <w:basedOn w:val="778"/>
    <w:next w:val="778"/>
    <w:link w:val="828"/>
    <w:uiPriority w:val="10"/>
    <w:qFormat/>
    <w:pPr>
      <w:contextualSpacing/>
      <w:spacing w:before="300" w:after="200"/>
    </w:pPr>
    <w:rPr>
      <w:sz w:val="48"/>
      <w:szCs w:val="48"/>
    </w:rPr>
  </w:style>
  <w:style w:type="table" w:styleId="8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Emphasis"/>
    <w:uiPriority w:val="0"/>
    <w:qFormat/>
    <w:rPr>
      <w:i/>
    </w:rPr>
  </w:style>
  <w:style w:type="character" w:styleId="815">
    <w:name w:val="Hyperlink"/>
    <w:uiPriority w:val="99"/>
    <w:unhideWhenUsed/>
    <w:qFormat/>
    <w:rPr>
      <w:color w:val="0000ff"/>
      <w:u w:val="single"/>
    </w:rPr>
  </w:style>
  <w:style w:type="character" w:styleId="816">
    <w:name w:val="footnote reference"/>
    <w:uiPriority w:val="99"/>
    <w:unhideWhenUsed/>
    <w:qFormat/>
    <w:rPr>
      <w:vertAlign w:val="superscript"/>
    </w:rPr>
  </w:style>
  <w:style w:type="character" w:styleId="817" w:customStyle="1">
    <w:name w:val="标题 1 字符"/>
    <w:link w:val="779"/>
    <w:uiPriority w:val="9"/>
    <w:qFormat/>
    <w:rPr>
      <w:rFonts w:ascii="Arial" w:hAnsi="Arial" w:eastAsia="Arial" w:cs="Arial"/>
      <w:sz w:val="40"/>
      <w:szCs w:val="40"/>
    </w:rPr>
  </w:style>
  <w:style w:type="character" w:styleId="818" w:customStyle="1">
    <w:name w:val="标题 2 字符"/>
    <w:link w:val="780"/>
    <w:uiPriority w:val="9"/>
    <w:qFormat/>
    <w:rPr>
      <w:rFonts w:ascii="Arial" w:hAnsi="Arial" w:eastAsia="Arial" w:cs="Arial"/>
      <w:sz w:val="34"/>
    </w:rPr>
  </w:style>
  <w:style w:type="character" w:styleId="819" w:customStyle="1">
    <w:name w:val="标题 3 字符"/>
    <w:link w:val="781"/>
    <w:uiPriority w:val="9"/>
    <w:qFormat/>
    <w:rPr>
      <w:rFonts w:ascii="Arial" w:hAnsi="Arial" w:eastAsia="Arial" w:cs="Arial"/>
      <w:sz w:val="30"/>
      <w:szCs w:val="30"/>
    </w:rPr>
  </w:style>
  <w:style w:type="character" w:styleId="820" w:customStyle="1">
    <w:name w:val="标题 4 字符"/>
    <w:link w:val="782"/>
    <w:uiPriority w:val="9"/>
    <w:qFormat/>
    <w:rPr>
      <w:rFonts w:ascii="Arial" w:hAnsi="Arial" w:eastAsia="Arial" w:cs="Arial"/>
      <w:b/>
      <w:bCs/>
      <w:sz w:val="26"/>
      <w:szCs w:val="26"/>
    </w:rPr>
  </w:style>
  <w:style w:type="character" w:styleId="821" w:customStyle="1">
    <w:name w:val="标题 5 字符"/>
    <w:link w:val="783"/>
    <w:uiPriority w:val="9"/>
    <w:qFormat/>
    <w:rPr>
      <w:rFonts w:ascii="Arial" w:hAnsi="Arial" w:eastAsia="Arial" w:cs="Arial"/>
      <w:b/>
      <w:bCs/>
      <w:sz w:val="24"/>
      <w:szCs w:val="24"/>
    </w:rPr>
  </w:style>
  <w:style w:type="character" w:styleId="822" w:customStyle="1">
    <w:name w:val="标题 6 字符"/>
    <w:link w:val="784"/>
    <w:uiPriority w:val="9"/>
    <w:qFormat/>
    <w:rPr>
      <w:rFonts w:ascii="Arial" w:hAnsi="Arial" w:eastAsia="Arial" w:cs="Arial"/>
      <w:b/>
      <w:bCs/>
      <w:sz w:val="22"/>
      <w:szCs w:val="22"/>
    </w:rPr>
  </w:style>
  <w:style w:type="character" w:styleId="823" w:customStyle="1">
    <w:name w:val="标题 7 字符"/>
    <w:link w:val="785"/>
    <w:uiPriority w:val="9"/>
    <w:qFormat/>
    <w:rPr>
      <w:rFonts w:ascii="Arial" w:hAnsi="Arial" w:eastAsia="Arial" w:cs="Arial"/>
      <w:b/>
      <w:bCs/>
      <w:i/>
      <w:iCs/>
      <w:sz w:val="22"/>
      <w:szCs w:val="22"/>
    </w:rPr>
  </w:style>
  <w:style w:type="character" w:styleId="824" w:customStyle="1">
    <w:name w:val="标题 8 字符"/>
    <w:link w:val="786"/>
    <w:uiPriority w:val="9"/>
    <w:qFormat/>
    <w:rPr>
      <w:rFonts w:ascii="Arial" w:hAnsi="Arial" w:eastAsia="Arial" w:cs="Arial"/>
      <w:i/>
      <w:iCs/>
      <w:sz w:val="22"/>
      <w:szCs w:val="22"/>
    </w:rPr>
  </w:style>
  <w:style w:type="character" w:styleId="825" w:customStyle="1">
    <w:name w:val="标题 9 字符"/>
    <w:link w:val="787"/>
    <w:uiPriority w:val="9"/>
    <w:qFormat/>
    <w:rPr>
      <w:rFonts w:ascii="Arial" w:hAnsi="Arial" w:eastAsia="Arial" w:cs="Arial"/>
      <w:i/>
      <w:iCs/>
      <w:sz w:val="21"/>
      <w:szCs w:val="21"/>
    </w:rPr>
  </w:style>
  <w:style w:type="paragraph" w:styleId="826">
    <w:name w:val="List Paragraph"/>
    <w:basedOn w:val="778"/>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标题 字符"/>
    <w:link w:val="811"/>
    <w:uiPriority w:val="10"/>
    <w:qFormat/>
    <w:rPr>
      <w:sz w:val="48"/>
      <w:szCs w:val="48"/>
    </w:rPr>
  </w:style>
  <w:style w:type="character" w:styleId="829" w:customStyle="1">
    <w:name w:val="副标题 字符"/>
    <w:link w:val="803"/>
    <w:uiPriority w:val="11"/>
    <w:qFormat/>
    <w:rPr>
      <w:sz w:val="24"/>
      <w:szCs w:val="24"/>
    </w:rPr>
  </w:style>
  <w:style w:type="paragraph" w:styleId="830">
    <w:name w:val="Quote"/>
    <w:basedOn w:val="778"/>
    <w:next w:val="778"/>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78"/>
    <w:next w:val="778"/>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
    <w:link w:val="800"/>
    <w:uiPriority w:val="99"/>
    <w:qFormat/>
  </w:style>
  <w:style w:type="character" w:styleId="835" w:customStyle="1">
    <w:name w:val="Footer Char"/>
    <w:uiPriority w:val="99"/>
    <w:qFormat/>
  </w:style>
  <w:style w:type="character" w:styleId="836" w:customStyle="1">
    <w:name w:val="页脚 字符"/>
    <w:link w:val="799"/>
    <w:uiPriority w:val="99"/>
    <w:qFormat/>
  </w:style>
  <w:style w:type="table" w:styleId="8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0" w:customStyle="1">
    <w:name w:val="无格式表格 31"/>
    <w:uiPriority w:val="99"/>
    <w:qFormat/>
    <w:tblPr>
      <w:tblCellMar>
        <w:left w:w="0" w:type="dxa"/>
        <w:top w:w="0" w:type="dxa"/>
        <w:right w:w="0" w:type="dxa"/>
        <w:bottom w:w="0" w:type="dxa"/>
      </w:tblCellMar>
    </w:tblPr>
  </w:style>
  <w:style w:type="table" w:styleId="841" w:customStyle="1">
    <w:name w:val="无格式表格 41"/>
    <w:uiPriority w:val="99"/>
    <w:qFormat/>
    <w:tblPr>
      <w:tblCellMar>
        <w:left w:w="0" w:type="dxa"/>
        <w:top w:w="0" w:type="dxa"/>
        <w:right w:w="0" w:type="dxa"/>
        <w:bottom w:w="0" w:type="dxa"/>
      </w:tblCellMar>
    </w:tblPr>
  </w:style>
  <w:style w:type="table" w:styleId="842" w:customStyle="1">
    <w:name w:val="无格式表格 51"/>
    <w:uiPriority w:val="99"/>
    <w:qFormat/>
    <w:tblPr>
      <w:tblCellMar>
        <w:left w:w="0" w:type="dxa"/>
        <w:top w:w="0" w:type="dxa"/>
        <w:right w:w="0" w:type="dxa"/>
        <w:bottom w:w="0" w:type="dxa"/>
      </w:tblCellMar>
    </w:tblPr>
  </w:style>
  <w:style w:type="table" w:styleId="84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清单表 1 浅色1"/>
    <w:uiPriority w:val="99"/>
    <w:qFormat/>
    <w:tblPr>
      <w:tblCellMar>
        <w:left w:w="0" w:type="dxa"/>
        <w:top w:w="0" w:type="dxa"/>
        <w:right w:w="0" w:type="dxa"/>
        <w:bottom w:w="0" w:type="dxa"/>
      </w:tblCellMar>
    </w:tblPr>
  </w:style>
  <w:style w:type="table" w:styleId="893" w:customStyle="1">
    <w:name w:val="List Table 1 Light - Accent 1"/>
    <w:uiPriority w:val="99"/>
    <w:qFormat/>
    <w:tblPr>
      <w:tblCellMar>
        <w:left w:w="0" w:type="dxa"/>
        <w:top w:w="0" w:type="dxa"/>
        <w:right w:w="0" w:type="dxa"/>
        <w:bottom w:w="0" w:type="dxa"/>
      </w:tblCellMar>
    </w:tblPr>
  </w:style>
  <w:style w:type="table" w:styleId="894" w:customStyle="1">
    <w:name w:val="List Table 1 Light - Accent 2"/>
    <w:uiPriority w:val="99"/>
    <w:qFormat/>
    <w:tblPr>
      <w:tblCellMar>
        <w:left w:w="0" w:type="dxa"/>
        <w:top w:w="0" w:type="dxa"/>
        <w:right w:w="0" w:type="dxa"/>
        <w:bottom w:w="0" w:type="dxa"/>
      </w:tblCellMar>
    </w:tblPr>
  </w:style>
  <w:style w:type="table" w:styleId="895" w:customStyle="1">
    <w:name w:val="List Table 1 Light - Accent 3"/>
    <w:uiPriority w:val="99"/>
    <w:qFormat/>
    <w:tblPr>
      <w:tblCellMar>
        <w:left w:w="0" w:type="dxa"/>
        <w:top w:w="0" w:type="dxa"/>
        <w:right w:w="0" w:type="dxa"/>
        <w:bottom w:w="0" w:type="dxa"/>
      </w:tblCellMar>
    </w:tblPr>
  </w:style>
  <w:style w:type="table" w:styleId="896" w:customStyle="1">
    <w:name w:val="List Table 1 Light - Accent 4"/>
    <w:uiPriority w:val="99"/>
    <w:qFormat/>
    <w:tblPr>
      <w:tblCellMar>
        <w:left w:w="0" w:type="dxa"/>
        <w:top w:w="0" w:type="dxa"/>
        <w:right w:w="0" w:type="dxa"/>
        <w:bottom w:w="0" w:type="dxa"/>
      </w:tblCellMar>
    </w:tblPr>
  </w:style>
  <w:style w:type="table" w:styleId="897" w:customStyle="1">
    <w:name w:val="List Table 1 Light - Accent 5"/>
    <w:uiPriority w:val="99"/>
    <w:qFormat/>
    <w:tblPr>
      <w:tblCellMar>
        <w:left w:w="0" w:type="dxa"/>
        <w:top w:w="0" w:type="dxa"/>
        <w:right w:w="0" w:type="dxa"/>
        <w:bottom w:w="0" w:type="dxa"/>
      </w:tblCellMar>
    </w:tblPr>
  </w:style>
  <w:style w:type="table" w:styleId="898" w:customStyle="1">
    <w:name w:val="List Table 1 Light - Accent 6"/>
    <w:uiPriority w:val="99"/>
    <w:qFormat/>
    <w:tblPr>
      <w:tblCellMar>
        <w:left w:w="0" w:type="dxa"/>
        <w:top w:w="0" w:type="dxa"/>
        <w:right w:w="0" w:type="dxa"/>
        <w:bottom w:w="0" w:type="dxa"/>
      </w:tblCellMar>
    </w:tblPr>
  </w:style>
  <w:style w:type="table" w:styleId="89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1" w:customStyle="1">
    <w:name w:val="Lined - Accent"/>
    <w:uiPriority w:val="99"/>
    <w:qFormat/>
    <w:rPr>
      <w:color w:val="404040"/>
    </w:rPr>
    <w:tblPr>
      <w:tblCellMar>
        <w:left w:w="0" w:type="dxa"/>
        <w:top w:w="0" w:type="dxa"/>
        <w:right w:w="0" w:type="dxa"/>
        <w:bottom w:w="0" w:type="dxa"/>
      </w:tblCellMar>
    </w:tblPr>
  </w:style>
  <w:style w:type="table" w:styleId="942" w:customStyle="1">
    <w:name w:val="Lined - Accent 1"/>
    <w:uiPriority w:val="99"/>
    <w:qFormat/>
    <w:rPr>
      <w:color w:val="404040"/>
    </w:rPr>
    <w:tblPr>
      <w:tblCellMar>
        <w:left w:w="0" w:type="dxa"/>
        <w:top w:w="0" w:type="dxa"/>
        <w:right w:w="0" w:type="dxa"/>
        <w:bottom w:w="0" w:type="dxa"/>
      </w:tblCellMar>
    </w:tblPr>
  </w:style>
  <w:style w:type="table" w:styleId="943" w:customStyle="1">
    <w:name w:val="Lined - Accent 2"/>
    <w:uiPriority w:val="99"/>
    <w:qFormat/>
    <w:rPr>
      <w:color w:val="404040"/>
    </w:rPr>
    <w:tblPr>
      <w:tblCellMar>
        <w:left w:w="0" w:type="dxa"/>
        <w:top w:w="0" w:type="dxa"/>
        <w:right w:w="0" w:type="dxa"/>
        <w:bottom w:w="0" w:type="dxa"/>
      </w:tblCellMar>
    </w:tblPr>
  </w:style>
  <w:style w:type="table" w:styleId="944" w:customStyle="1">
    <w:name w:val="Lined - Accent 3"/>
    <w:uiPriority w:val="99"/>
    <w:qFormat/>
    <w:rPr>
      <w:color w:val="404040"/>
    </w:rPr>
    <w:tblPr>
      <w:tblCellMar>
        <w:left w:w="0" w:type="dxa"/>
        <w:top w:w="0" w:type="dxa"/>
        <w:right w:w="0" w:type="dxa"/>
        <w:bottom w:w="0" w:type="dxa"/>
      </w:tblCellMar>
    </w:tblPr>
  </w:style>
  <w:style w:type="table" w:styleId="945" w:customStyle="1">
    <w:name w:val="Lined - Accent 4"/>
    <w:uiPriority w:val="99"/>
    <w:qFormat/>
    <w:rPr>
      <w:color w:val="404040"/>
    </w:rPr>
    <w:tblPr>
      <w:tblCellMar>
        <w:left w:w="0" w:type="dxa"/>
        <w:top w:w="0" w:type="dxa"/>
        <w:right w:w="0" w:type="dxa"/>
        <w:bottom w:w="0" w:type="dxa"/>
      </w:tblCellMar>
    </w:tblPr>
  </w:style>
  <w:style w:type="table" w:styleId="946" w:customStyle="1">
    <w:name w:val="Lined - Accent 5"/>
    <w:uiPriority w:val="99"/>
    <w:qFormat/>
    <w:rPr>
      <w:color w:val="404040"/>
    </w:rPr>
    <w:tblPr>
      <w:tblCellMar>
        <w:left w:w="0" w:type="dxa"/>
        <w:top w:w="0" w:type="dxa"/>
        <w:right w:w="0" w:type="dxa"/>
        <w:bottom w:w="0" w:type="dxa"/>
      </w:tblCellMar>
    </w:tblPr>
  </w:style>
  <w:style w:type="table" w:styleId="947" w:customStyle="1">
    <w:name w:val="Lined - Accent 6"/>
    <w:uiPriority w:val="99"/>
    <w:qFormat/>
    <w:rPr>
      <w:color w:val="404040"/>
    </w:rPr>
    <w:tblPr>
      <w:tblCellMar>
        <w:left w:w="0" w:type="dxa"/>
        <w:top w:w="0" w:type="dxa"/>
        <w:right w:w="0" w:type="dxa"/>
        <w:bottom w:w="0" w:type="dxa"/>
      </w:tblCellMar>
    </w:tblPr>
  </w:style>
  <w:style w:type="table" w:styleId="94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2" w:customStyle="1">
    <w:name w:val="脚注文本 字符"/>
    <w:link w:val="804"/>
    <w:uiPriority w:val="99"/>
    <w:qFormat/>
    <w:rPr>
      <w:sz w:val="18"/>
    </w:rPr>
  </w:style>
  <w:style w:type="character" w:styleId="963" w:customStyle="1">
    <w:name w:val="尾注文本 字符"/>
    <w:link w:val="798"/>
    <w:uiPriority w:val="99"/>
    <w:qFormat/>
    <w:rPr>
      <w:sz w:val="20"/>
    </w:rPr>
  </w:style>
  <w:style w:type="paragraph" w:styleId="964" w:customStyle="1">
    <w:name w:val="TOC 标题1"/>
    <w:uiPriority w:val="39"/>
    <w:unhideWhenUsed/>
    <w:qFormat/>
    <w:rPr>
      <w:rFonts w:ascii="Times New Roman" w:hAnsi="Times New Roman" w:eastAsia="宋体" w:cs="Times New Roman"/>
      <w:lang w:val="en-US" w:eastAsia="zh-CN" w:bidi="ar-SA"/>
    </w:rPr>
  </w:style>
  <w:style w:type="paragraph" w:styleId="965" w:customStyle="1">
    <w:name w:val="标题 11"/>
    <w:basedOn w:val="778"/>
    <w:next w:val="778"/>
    <w:link w:val="977"/>
    <w:uiPriority w:val="0"/>
    <w:qFormat/>
    <w:pPr>
      <w:jc w:val="center"/>
      <w:keepNext/>
      <w:outlineLvl w:val="0"/>
    </w:pPr>
    <w:rPr>
      <w:rFonts w:ascii="楷体_GB2312" w:eastAsia="楷体_GB2312"/>
      <w:sz w:val="28"/>
      <w:szCs w:val="28"/>
    </w:rPr>
  </w:style>
  <w:style w:type="paragraph" w:styleId="966" w:customStyle="1">
    <w:name w:val="标题 21"/>
    <w:basedOn w:val="778"/>
    <w:next w:val="778"/>
    <w:link w:val="97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
    <w:basedOn w:val="778"/>
    <w:next w:val="968"/>
    <w:link w:val="979"/>
    <w:uiPriority w:val="0"/>
    <w:qFormat/>
    <w:pPr>
      <w:keepLines/>
      <w:keepNext/>
      <w:spacing w:before="260" w:after="260" w:line="416" w:lineRule="auto"/>
      <w:outlineLvl w:val="2"/>
    </w:pPr>
    <w:rPr>
      <w:b/>
      <w:bCs/>
      <w:sz w:val="32"/>
      <w:szCs w:val="32"/>
    </w:rPr>
  </w:style>
  <w:style w:type="paragraph" w:styleId="968" w:customStyle="1">
    <w:name w:val="正文缩进1"/>
    <w:basedOn w:val="778"/>
    <w:link w:val="980"/>
    <w:uiPriority w:val="0"/>
    <w:qFormat/>
    <w:pPr>
      <w:ind w:firstLine="420"/>
    </w:pPr>
    <w:rPr>
      <w:szCs w:val="21"/>
    </w:rPr>
  </w:style>
  <w:style w:type="paragraph" w:styleId="969" w:customStyle="1">
    <w:name w:val="标题 41"/>
    <w:basedOn w:val="778"/>
    <w:next w:val="968"/>
    <w:link w:val="981"/>
    <w:uiPriority w:val="0"/>
    <w:qFormat/>
    <w:pPr>
      <w:keepLines/>
      <w:keepNext/>
      <w:spacing w:before="280" w:after="290" w:line="376" w:lineRule="auto"/>
      <w:outlineLvl w:val="3"/>
    </w:pPr>
    <w:rPr>
      <w:rFonts w:ascii="Arial" w:hAnsi="Arial" w:eastAsia="黑体" w:cs="Arial"/>
      <w:b/>
      <w:bCs/>
      <w:sz w:val="28"/>
      <w:szCs w:val="28"/>
    </w:rPr>
  </w:style>
  <w:style w:type="paragraph" w:styleId="970" w:customStyle="1">
    <w:name w:val="标题 51"/>
    <w:basedOn w:val="778"/>
    <w:next w:val="968"/>
    <w:link w:val="982"/>
    <w:uiPriority w:val="0"/>
    <w:qFormat/>
    <w:pPr>
      <w:keepNext/>
      <w:outlineLvl w:val="4"/>
    </w:pPr>
    <w:rPr>
      <w:rFonts w:ascii="宋体"/>
      <w:color w:val="000000"/>
      <w:sz w:val="28"/>
      <w:szCs w:val="28"/>
    </w:rPr>
  </w:style>
  <w:style w:type="paragraph" w:styleId="971" w:customStyle="1">
    <w:name w:val="标题 61"/>
    <w:basedOn w:val="778"/>
    <w:next w:val="778"/>
    <w:link w:val="98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2" w:customStyle="1">
    <w:name w:val="标题 71"/>
    <w:basedOn w:val="778"/>
    <w:next w:val="778"/>
    <w:link w:val="984"/>
    <w:uiPriority w:val="0"/>
    <w:qFormat/>
    <w:pPr>
      <w:numPr>
        <w:ilvl w:val="6"/>
        <w:numId w:val="1"/>
      </w:numPr>
      <w:keepLines/>
      <w:keepNext/>
      <w:spacing w:before="240" w:after="64" w:line="320" w:lineRule="auto"/>
      <w:outlineLvl w:val="6"/>
    </w:pPr>
    <w:rPr>
      <w:b/>
      <w:bCs/>
      <w:sz w:val="24"/>
      <w:szCs w:val="24"/>
    </w:rPr>
  </w:style>
  <w:style w:type="paragraph" w:styleId="973" w:customStyle="1">
    <w:name w:val="标题 81"/>
    <w:basedOn w:val="778"/>
    <w:next w:val="778"/>
    <w:link w:val="98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4" w:customStyle="1">
    <w:name w:val="标题 91"/>
    <w:basedOn w:val="778"/>
    <w:next w:val="778"/>
    <w:link w:val="986"/>
    <w:uiPriority w:val="0"/>
    <w:qFormat/>
    <w:pPr>
      <w:numPr>
        <w:ilvl w:val="8"/>
        <w:numId w:val="1"/>
      </w:numPr>
      <w:keepLines/>
      <w:keepNext/>
      <w:spacing w:before="240" w:after="64" w:line="320" w:lineRule="auto"/>
      <w:outlineLvl w:val="8"/>
    </w:pPr>
    <w:rPr>
      <w:rFonts w:ascii="Arial" w:hAnsi="Arial" w:eastAsia="黑体"/>
      <w:szCs w:val="21"/>
    </w:rPr>
  </w:style>
  <w:style w:type="character" w:styleId="975" w:customStyle="1">
    <w:name w:val="默认段落字体1"/>
    <w:uiPriority w:val="1"/>
    <w:unhideWhenUsed/>
    <w:qFormat/>
  </w:style>
  <w:style w:type="table" w:styleId="976" w:customStyle="1">
    <w:name w:val="普通表格1"/>
    <w:uiPriority w:val="99"/>
    <w:unhideWhenUsed/>
    <w:qFormat/>
    <w:tblPr>
      <w:tblCellMar>
        <w:left w:w="0" w:type="dxa"/>
        <w:top w:w="0" w:type="dxa"/>
        <w:right w:w="0" w:type="dxa"/>
        <w:bottom w:w="0" w:type="dxa"/>
      </w:tblCellMar>
    </w:tblPr>
  </w:style>
  <w:style w:type="character" w:styleId="977" w:customStyle="1">
    <w:name w:val="标题 1 Char"/>
    <w:link w:val="965"/>
    <w:uiPriority w:val="0"/>
    <w:qFormat/>
    <w:rPr>
      <w:rFonts w:ascii="楷体_GB2312" w:hAnsi="Times New Roman" w:eastAsia="楷体_GB2312" w:cs="Times New Roman"/>
      <w:sz w:val="28"/>
      <w:szCs w:val="28"/>
    </w:rPr>
  </w:style>
  <w:style w:type="character" w:styleId="978" w:customStyle="1">
    <w:name w:val="标题 2 Char"/>
    <w:link w:val="966"/>
    <w:uiPriority w:val="0"/>
    <w:qFormat/>
    <w:rPr>
      <w:rFonts w:ascii="Arial" w:hAnsi="Arial" w:eastAsia="幼圆" w:cs="Arial"/>
      <w:b/>
      <w:bCs/>
      <w:sz w:val="44"/>
      <w:szCs w:val="44"/>
    </w:rPr>
  </w:style>
  <w:style w:type="character" w:styleId="979" w:customStyle="1">
    <w:name w:val="标题 3 Char"/>
    <w:link w:val="967"/>
    <w:uiPriority w:val="0"/>
    <w:qFormat/>
    <w:rPr>
      <w:rFonts w:ascii="Times New Roman" w:hAnsi="Times New Roman" w:eastAsia="宋体" w:cs="Times New Roman"/>
      <w:b/>
      <w:bCs/>
      <w:sz w:val="32"/>
      <w:szCs w:val="32"/>
    </w:rPr>
  </w:style>
  <w:style w:type="character" w:styleId="980" w:customStyle="1">
    <w:name w:val="正文缩进 Char"/>
    <w:link w:val="968"/>
    <w:uiPriority w:val="0"/>
    <w:qFormat/>
    <w:rPr>
      <w:szCs w:val="21"/>
    </w:rPr>
  </w:style>
  <w:style w:type="character" w:styleId="981" w:customStyle="1">
    <w:name w:val="标题 4 Char"/>
    <w:link w:val="969"/>
    <w:uiPriority w:val="0"/>
    <w:qFormat/>
    <w:rPr>
      <w:rFonts w:ascii="Arial" w:hAnsi="Arial" w:eastAsia="黑体" w:cs="Arial"/>
      <w:b/>
      <w:bCs/>
      <w:sz w:val="28"/>
      <w:szCs w:val="28"/>
    </w:rPr>
  </w:style>
  <w:style w:type="character" w:styleId="982" w:customStyle="1">
    <w:name w:val="标题 5 Char"/>
    <w:link w:val="970"/>
    <w:uiPriority w:val="0"/>
    <w:qFormat/>
    <w:rPr>
      <w:rFonts w:ascii="宋体" w:hAnsi="Times New Roman" w:eastAsia="宋体" w:cs="Times New Roman"/>
      <w:color w:val="000000"/>
      <w:sz w:val="28"/>
      <w:szCs w:val="28"/>
    </w:rPr>
  </w:style>
  <w:style w:type="character" w:styleId="983" w:customStyle="1">
    <w:name w:val="标题 6 Char"/>
    <w:link w:val="971"/>
    <w:uiPriority w:val="0"/>
    <w:qFormat/>
    <w:rPr>
      <w:rFonts w:ascii="Arial" w:hAnsi="Arial" w:eastAsia="黑体" w:cs="Times New Roman"/>
      <w:b/>
      <w:bCs/>
      <w:sz w:val="24"/>
      <w:szCs w:val="24"/>
    </w:rPr>
  </w:style>
  <w:style w:type="character" w:styleId="984" w:customStyle="1">
    <w:name w:val="标题 7 Char"/>
    <w:link w:val="972"/>
    <w:uiPriority w:val="0"/>
    <w:qFormat/>
    <w:rPr>
      <w:rFonts w:ascii="Times New Roman" w:hAnsi="Times New Roman" w:eastAsia="宋体" w:cs="Times New Roman"/>
      <w:b/>
      <w:bCs/>
      <w:sz w:val="24"/>
      <w:szCs w:val="24"/>
    </w:rPr>
  </w:style>
  <w:style w:type="character" w:styleId="985" w:customStyle="1">
    <w:name w:val="标题 8 Char"/>
    <w:link w:val="973"/>
    <w:uiPriority w:val="0"/>
    <w:qFormat/>
    <w:rPr>
      <w:rFonts w:ascii="Arial" w:hAnsi="Arial" w:eastAsia="黑体" w:cs="Times New Roman"/>
      <w:sz w:val="24"/>
      <w:szCs w:val="24"/>
    </w:rPr>
  </w:style>
  <w:style w:type="character" w:styleId="986" w:customStyle="1">
    <w:name w:val="标题 9 Char"/>
    <w:link w:val="974"/>
    <w:uiPriority w:val="0"/>
    <w:qFormat/>
    <w:rPr>
      <w:rFonts w:ascii="Arial" w:hAnsi="Arial" w:eastAsia="黑体" w:cs="Times New Roman"/>
      <w:szCs w:val="21"/>
    </w:rPr>
  </w:style>
  <w:style w:type="paragraph" w:styleId="987" w:customStyle="1">
    <w:name w:val="列表 31"/>
    <w:basedOn w:val="778"/>
    <w:uiPriority w:val="0"/>
    <w:qFormat/>
    <w:pPr>
      <w:ind w:left="100" w:hanging="200"/>
    </w:pPr>
    <w:rPr>
      <w:szCs w:val="21"/>
    </w:rPr>
  </w:style>
  <w:style w:type="paragraph" w:styleId="988" w:customStyle="1">
    <w:name w:val="目录 71"/>
    <w:basedOn w:val="778"/>
    <w:next w:val="778"/>
    <w:uiPriority w:val="0"/>
    <w:semiHidden/>
    <w:qFormat/>
    <w:pPr>
      <w:ind w:left="1260"/>
      <w:jc w:val="left"/>
    </w:pPr>
    <w:rPr>
      <w:szCs w:val="21"/>
    </w:rPr>
  </w:style>
  <w:style w:type="paragraph" w:styleId="989" w:customStyle="1">
    <w:name w:val="文档结构图1"/>
    <w:basedOn w:val="778"/>
    <w:link w:val="990"/>
    <w:uiPriority w:val="0"/>
    <w:semiHidden/>
    <w:qFormat/>
    <w:pPr>
      <w:shd w:val="clear" w:color="auto" w:fill="000080"/>
    </w:pPr>
    <w:rPr>
      <w:szCs w:val="21"/>
    </w:rPr>
  </w:style>
  <w:style w:type="character" w:styleId="990" w:customStyle="1">
    <w:name w:val="文档结构图 Char"/>
    <w:link w:val="989"/>
    <w:uiPriority w:val="0"/>
    <w:semiHidden/>
    <w:qFormat/>
    <w:rPr>
      <w:rFonts w:ascii="Times New Roman" w:hAnsi="Times New Roman" w:eastAsia="宋体" w:cs="Times New Roman"/>
      <w:szCs w:val="21"/>
      <w:shd w:val="clear" w:color="auto" w:fill="000080"/>
    </w:rPr>
  </w:style>
  <w:style w:type="paragraph" w:styleId="991" w:customStyle="1">
    <w:name w:val="批注文字1"/>
    <w:basedOn w:val="778"/>
    <w:link w:val="992"/>
    <w:uiPriority w:val="0"/>
    <w:unhideWhenUsed/>
    <w:qFormat/>
    <w:pPr>
      <w:jc w:val="left"/>
    </w:pPr>
  </w:style>
  <w:style w:type="character" w:styleId="992" w:customStyle="1">
    <w:name w:val="批注文字 Char"/>
    <w:basedOn w:val="975"/>
    <w:link w:val="991"/>
    <w:uiPriority w:val="99"/>
    <w:semiHidden/>
    <w:qFormat/>
  </w:style>
  <w:style w:type="paragraph" w:styleId="993" w:customStyle="1">
    <w:name w:val="正文文本 31"/>
    <w:basedOn w:val="778"/>
    <w:link w:val="994"/>
    <w:uiPriority w:val="0"/>
    <w:qFormat/>
    <w:rPr>
      <w:rFonts w:ascii="仿宋_GB2312" w:hAnsi="Arial" w:eastAsia="仿宋_GB2312"/>
      <w:sz w:val="32"/>
      <w:szCs w:val="32"/>
    </w:rPr>
  </w:style>
  <w:style w:type="character" w:styleId="994" w:customStyle="1">
    <w:name w:val="正文文本 3 Char"/>
    <w:link w:val="993"/>
    <w:uiPriority w:val="0"/>
    <w:qFormat/>
    <w:rPr>
      <w:rFonts w:ascii="仿宋_GB2312" w:hAnsi="Arial" w:eastAsia="仿宋_GB2312" w:cs="Times New Roman"/>
      <w:sz w:val="32"/>
      <w:szCs w:val="32"/>
    </w:rPr>
  </w:style>
  <w:style w:type="paragraph" w:styleId="995" w:customStyle="1">
    <w:name w:val="正文文本1"/>
    <w:basedOn w:val="778"/>
    <w:next w:val="778"/>
    <w:link w:val="996"/>
    <w:uiPriority w:val="0"/>
    <w:qFormat/>
    <w:rPr>
      <w:rFonts w:ascii="楷体_GB2312" w:hAnsi="Arial" w:eastAsia="楷体_GB2312"/>
      <w:sz w:val="28"/>
      <w:szCs w:val="28"/>
    </w:rPr>
  </w:style>
  <w:style w:type="character" w:styleId="996" w:customStyle="1">
    <w:name w:val="正文文本 Char"/>
    <w:link w:val="995"/>
    <w:uiPriority w:val="0"/>
    <w:qFormat/>
    <w:rPr>
      <w:rFonts w:ascii="楷体_GB2312" w:hAnsi="Arial" w:eastAsia="楷体_GB2312" w:cs="Times New Roman"/>
      <w:sz w:val="28"/>
      <w:szCs w:val="28"/>
    </w:rPr>
  </w:style>
  <w:style w:type="paragraph" w:styleId="997" w:customStyle="1">
    <w:name w:val="正文文本缩进1"/>
    <w:basedOn w:val="778"/>
    <w:link w:val="998"/>
    <w:uiPriority w:val="0"/>
    <w:unhideWhenUsed/>
    <w:qFormat/>
    <w:pPr>
      <w:ind w:left="420"/>
      <w:spacing w:after="120"/>
    </w:pPr>
  </w:style>
  <w:style w:type="character" w:styleId="998" w:customStyle="1">
    <w:name w:val="正文文本缩进 Char"/>
    <w:basedOn w:val="975"/>
    <w:link w:val="997"/>
    <w:uiPriority w:val="99"/>
    <w:semiHidden/>
    <w:qFormat/>
  </w:style>
  <w:style w:type="paragraph" w:styleId="999" w:customStyle="1">
    <w:name w:val="列表 21"/>
    <w:basedOn w:val="778"/>
    <w:uiPriority w:val="0"/>
    <w:qFormat/>
    <w:pPr>
      <w:ind w:left="100" w:hanging="200"/>
    </w:pPr>
    <w:rPr>
      <w:szCs w:val="21"/>
    </w:rPr>
  </w:style>
  <w:style w:type="paragraph" w:styleId="1000" w:customStyle="1">
    <w:name w:val="目录 51"/>
    <w:basedOn w:val="778"/>
    <w:next w:val="778"/>
    <w:uiPriority w:val="0"/>
    <w:semiHidden/>
    <w:qFormat/>
    <w:pPr>
      <w:ind w:left="840"/>
      <w:jc w:val="left"/>
    </w:pPr>
    <w:rPr>
      <w:szCs w:val="21"/>
    </w:rPr>
  </w:style>
  <w:style w:type="paragraph" w:styleId="1001" w:customStyle="1">
    <w:name w:val="目录 31"/>
    <w:basedOn w:val="778"/>
    <w:next w:val="778"/>
    <w:uiPriority w:val="0"/>
    <w:semiHidden/>
    <w:qFormat/>
    <w:pPr>
      <w:ind w:left="420"/>
      <w:jc w:val="left"/>
    </w:pPr>
    <w:rPr>
      <w:i/>
      <w:iCs/>
      <w:szCs w:val="24"/>
    </w:rPr>
  </w:style>
  <w:style w:type="paragraph" w:styleId="1002" w:customStyle="1">
    <w:name w:val="纯文本1"/>
    <w:basedOn w:val="778"/>
    <w:link w:val="1003"/>
    <w:uiPriority w:val="0"/>
    <w:qFormat/>
    <w:rPr>
      <w:rFonts w:ascii="宋体" w:hAnsi="Courier New" w:cs="Courier New"/>
      <w:szCs w:val="21"/>
    </w:rPr>
  </w:style>
  <w:style w:type="character" w:styleId="1003" w:customStyle="1">
    <w:name w:val="纯文本 Char"/>
    <w:link w:val="1002"/>
    <w:uiPriority w:val="0"/>
    <w:qFormat/>
    <w:rPr>
      <w:rFonts w:ascii="宋体" w:hAnsi="Courier New" w:eastAsia="宋体" w:cs="Courier New"/>
      <w:szCs w:val="21"/>
    </w:rPr>
  </w:style>
  <w:style w:type="paragraph" w:styleId="1004" w:customStyle="1">
    <w:name w:val="目录 81"/>
    <w:basedOn w:val="778"/>
    <w:next w:val="778"/>
    <w:uiPriority w:val="0"/>
    <w:semiHidden/>
    <w:qFormat/>
    <w:pPr>
      <w:ind w:left="1470"/>
      <w:jc w:val="left"/>
    </w:pPr>
    <w:rPr>
      <w:szCs w:val="21"/>
    </w:rPr>
  </w:style>
  <w:style w:type="paragraph" w:styleId="1005" w:customStyle="1">
    <w:name w:val="日期1"/>
    <w:basedOn w:val="778"/>
    <w:next w:val="778"/>
    <w:link w:val="1006"/>
    <w:uiPriority w:val="0"/>
    <w:qFormat/>
    <w:rPr>
      <w:sz w:val="24"/>
      <w:szCs w:val="24"/>
    </w:rPr>
  </w:style>
  <w:style w:type="character" w:styleId="1006" w:customStyle="1">
    <w:name w:val="日期 Char"/>
    <w:link w:val="1005"/>
    <w:uiPriority w:val="0"/>
    <w:qFormat/>
    <w:rPr>
      <w:rFonts w:ascii="Times New Roman" w:hAnsi="Times New Roman" w:eastAsia="宋体" w:cs="Times New Roman"/>
      <w:sz w:val="24"/>
      <w:szCs w:val="24"/>
    </w:rPr>
  </w:style>
  <w:style w:type="paragraph" w:styleId="1007" w:customStyle="1">
    <w:name w:val="正文文本缩进 21"/>
    <w:basedOn w:val="778"/>
    <w:link w:val="1008"/>
    <w:uiPriority w:val="0"/>
    <w:qFormat/>
    <w:pPr>
      <w:ind w:left="630" w:firstLine="645"/>
    </w:pPr>
    <w:rPr>
      <w:rFonts w:ascii="Arial" w:hAnsi="Arial" w:eastAsia="仿宋_GB2312" w:cs="Arial"/>
      <w:sz w:val="32"/>
      <w:szCs w:val="32"/>
    </w:rPr>
  </w:style>
  <w:style w:type="character" w:styleId="1008" w:customStyle="1">
    <w:name w:val="正文文本缩进 2 Char"/>
    <w:link w:val="1007"/>
    <w:uiPriority w:val="0"/>
    <w:qFormat/>
    <w:rPr>
      <w:rFonts w:ascii="Arial" w:hAnsi="Arial" w:eastAsia="仿宋_GB2312" w:cs="Arial"/>
      <w:sz w:val="32"/>
      <w:szCs w:val="32"/>
    </w:rPr>
  </w:style>
  <w:style w:type="paragraph" w:styleId="1009" w:customStyle="1">
    <w:name w:val="批注框文本1"/>
    <w:basedOn w:val="778"/>
    <w:link w:val="1010"/>
    <w:uiPriority w:val="0"/>
    <w:semiHidden/>
    <w:qFormat/>
    <w:rPr>
      <w:sz w:val="18"/>
      <w:szCs w:val="18"/>
    </w:rPr>
  </w:style>
  <w:style w:type="character" w:styleId="1010" w:customStyle="1">
    <w:name w:val="批注框文本 Char"/>
    <w:link w:val="1009"/>
    <w:uiPriority w:val="0"/>
    <w:semiHidden/>
    <w:qFormat/>
    <w:rPr>
      <w:rFonts w:ascii="Times New Roman" w:hAnsi="Times New Roman" w:eastAsia="宋体" w:cs="Times New Roman"/>
      <w:sz w:val="18"/>
      <w:szCs w:val="18"/>
    </w:rPr>
  </w:style>
  <w:style w:type="paragraph" w:styleId="1011" w:customStyle="1">
    <w:name w:val="页脚1"/>
    <w:basedOn w:val="778"/>
    <w:link w:val="1012"/>
    <w:uiPriority w:val="0"/>
    <w:qFormat/>
    <w:pPr>
      <w:jc w:val="left"/>
      <w:tabs>
        <w:tab w:val="center" w:pos="4153" w:leader="none"/>
        <w:tab w:val="right" w:pos="8306" w:leader="none"/>
      </w:tabs>
    </w:pPr>
    <w:rPr>
      <w:sz w:val="18"/>
      <w:szCs w:val="18"/>
    </w:rPr>
  </w:style>
  <w:style w:type="character" w:styleId="1012" w:customStyle="1">
    <w:name w:val="页脚 Char"/>
    <w:link w:val="1011"/>
    <w:uiPriority w:val="0"/>
    <w:qFormat/>
    <w:rPr>
      <w:rFonts w:ascii="Times New Roman" w:hAnsi="Times New Roman" w:eastAsia="宋体" w:cs="Times New Roman"/>
      <w:sz w:val="18"/>
      <w:szCs w:val="18"/>
    </w:rPr>
  </w:style>
  <w:style w:type="paragraph" w:styleId="1013" w:customStyle="1">
    <w:name w:val="页眉1"/>
    <w:basedOn w:val="778"/>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Char"/>
    <w:link w:val="1013"/>
    <w:uiPriority w:val="0"/>
    <w:qFormat/>
    <w:rPr>
      <w:rFonts w:ascii="Times New Roman" w:hAnsi="Times New Roman" w:eastAsia="宋体" w:cs="Times New Roman"/>
      <w:sz w:val="18"/>
      <w:szCs w:val="18"/>
    </w:rPr>
  </w:style>
  <w:style w:type="paragraph" w:styleId="1015" w:customStyle="1">
    <w:name w:val="目录 11"/>
    <w:basedOn w:val="778"/>
    <w:next w:val="778"/>
    <w:uiPriority w:val="0"/>
    <w:semiHidden/>
    <w:qFormat/>
    <w:pPr>
      <w:jc w:val="left"/>
      <w:spacing w:before="120" w:after="120" w:line="400" w:lineRule="exact"/>
      <w:tabs>
        <w:tab w:val="right" w:pos="8720" w:leader="dot"/>
      </w:tabs>
    </w:pPr>
    <w:rPr>
      <w:rFonts w:ascii="宋体" w:hAnsi="宋体"/>
      <w:caps/>
      <w:sz w:val="24"/>
      <w:szCs w:val="24"/>
    </w:rPr>
  </w:style>
  <w:style w:type="paragraph" w:styleId="1016" w:customStyle="1">
    <w:name w:val="目录 41"/>
    <w:basedOn w:val="778"/>
    <w:next w:val="778"/>
    <w:uiPriority w:val="0"/>
    <w:semiHidden/>
    <w:qFormat/>
    <w:pPr>
      <w:ind w:left="630"/>
      <w:jc w:val="left"/>
    </w:pPr>
    <w:rPr>
      <w:szCs w:val="21"/>
    </w:rPr>
  </w:style>
  <w:style w:type="paragraph" w:styleId="1017" w:customStyle="1">
    <w:name w:val="列表1"/>
    <w:basedOn w:val="778"/>
    <w:uiPriority w:val="0"/>
    <w:qFormat/>
    <w:pPr>
      <w:ind w:left="200" w:hanging="200"/>
    </w:pPr>
    <w:rPr>
      <w:szCs w:val="21"/>
    </w:rPr>
  </w:style>
  <w:style w:type="paragraph" w:styleId="1018" w:customStyle="1">
    <w:name w:val="目录 61"/>
    <w:basedOn w:val="778"/>
    <w:next w:val="778"/>
    <w:uiPriority w:val="0"/>
    <w:semiHidden/>
    <w:qFormat/>
    <w:pPr>
      <w:ind w:left="1050"/>
      <w:jc w:val="left"/>
    </w:pPr>
    <w:rPr>
      <w:szCs w:val="21"/>
    </w:rPr>
  </w:style>
  <w:style w:type="paragraph" w:styleId="1019" w:customStyle="1">
    <w:name w:val="正文文本缩进 31"/>
    <w:basedOn w:val="778"/>
    <w:link w:val="1020"/>
    <w:uiPriority w:val="0"/>
    <w:qFormat/>
    <w:pPr>
      <w:ind w:left="645" w:firstLine="645"/>
    </w:pPr>
    <w:rPr>
      <w:rFonts w:ascii="Arial" w:hAnsi="Arial" w:eastAsia="仿宋_GB2312" w:cs="Arial"/>
      <w:color w:val="ffff00"/>
      <w:sz w:val="32"/>
      <w:szCs w:val="32"/>
    </w:rPr>
  </w:style>
  <w:style w:type="character" w:styleId="1020" w:customStyle="1">
    <w:name w:val="正文文本缩进 3 Char"/>
    <w:link w:val="1019"/>
    <w:uiPriority w:val="0"/>
    <w:qFormat/>
    <w:rPr>
      <w:rFonts w:ascii="Arial" w:hAnsi="Arial" w:eastAsia="仿宋_GB2312" w:cs="Arial"/>
      <w:color w:val="ffff00"/>
      <w:sz w:val="32"/>
      <w:szCs w:val="32"/>
    </w:rPr>
  </w:style>
  <w:style w:type="paragraph" w:styleId="1021" w:customStyle="1">
    <w:name w:val="图表目录1"/>
    <w:basedOn w:val="778"/>
    <w:next w:val="778"/>
    <w:uiPriority w:val="0"/>
    <w:semiHidden/>
    <w:qFormat/>
    <w:pPr>
      <w:ind w:left="840" w:hanging="420"/>
    </w:pPr>
    <w:rPr>
      <w:szCs w:val="21"/>
    </w:rPr>
  </w:style>
  <w:style w:type="paragraph" w:styleId="1022" w:customStyle="1">
    <w:name w:val="目录 21"/>
    <w:basedOn w:val="778"/>
    <w:next w:val="778"/>
    <w:uiPriority w:val="0"/>
    <w:semiHidden/>
    <w:qFormat/>
    <w:pPr>
      <w:ind w:left="210"/>
      <w:jc w:val="left"/>
    </w:pPr>
    <w:rPr>
      <w:smallCaps/>
      <w:szCs w:val="24"/>
    </w:rPr>
  </w:style>
  <w:style w:type="paragraph" w:styleId="1023" w:customStyle="1">
    <w:name w:val="目录 91"/>
    <w:basedOn w:val="778"/>
    <w:next w:val="778"/>
    <w:uiPriority w:val="0"/>
    <w:semiHidden/>
    <w:qFormat/>
    <w:pPr>
      <w:ind w:left="1680"/>
      <w:jc w:val="left"/>
    </w:pPr>
    <w:rPr>
      <w:szCs w:val="21"/>
    </w:rPr>
  </w:style>
  <w:style w:type="paragraph" w:styleId="1024" w:customStyle="1">
    <w:name w:val="正文文本 21"/>
    <w:basedOn w:val="778"/>
    <w:link w:val="1025"/>
    <w:uiPriority w:val="0"/>
    <w:qFormat/>
    <w:pPr>
      <w:jc w:val="center"/>
      <w:widowControl/>
    </w:pPr>
    <w:rPr>
      <w:rFonts w:ascii="楷体_GB2312" w:eastAsia="楷体_GB2312"/>
      <w:sz w:val="28"/>
      <w:szCs w:val="28"/>
    </w:rPr>
  </w:style>
  <w:style w:type="character" w:styleId="1025" w:customStyle="1">
    <w:name w:val="正文文本 2 Char"/>
    <w:link w:val="1024"/>
    <w:uiPriority w:val="0"/>
    <w:qFormat/>
    <w:rPr>
      <w:rFonts w:ascii="楷体_GB2312" w:hAnsi="Times New Roman" w:eastAsia="楷体_GB2312" w:cs="Times New Roman"/>
      <w:sz w:val="28"/>
      <w:szCs w:val="28"/>
    </w:rPr>
  </w:style>
  <w:style w:type="paragraph" w:styleId="1026" w:customStyle="1">
    <w:name w:val="普通(网站)1"/>
    <w:basedOn w:val="778"/>
    <w:uiPriority w:val="99"/>
    <w:qFormat/>
    <w:pPr>
      <w:jc w:val="left"/>
      <w:spacing w:before="100" w:beforeAutospacing="1" w:after="100" w:afterAutospacing="1"/>
      <w:widowControl/>
    </w:pPr>
    <w:rPr>
      <w:rFonts w:ascii="宋体" w:hAnsi="宋体" w:cs="宋体"/>
      <w:sz w:val="24"/>
      <w:szCs w:val="24"/>
    </w:rPr>
  </w:style>
  <w:style w:type="paragraph" w:styleId="1027" w:customStyle="1">
    <w:name w:val="索引 11"/>
    <w:basedOn w:val="778"/>
    <w:next w:val="778"/>
    <w:uiPriority w:val="0"/>
    <w:semiHidden/>
    <w:qFormat/>
    <w:pPr>
      <w:spacing w:line="240" w:lineRule="atLeast"/>
    </w:pPr>
    <w:rPr>
      <w:b/>
      <w:bCs/>
      <w:szCs w:val="21"/>
    </w:rPr>
  </w:style>
  <w:style w:type="paragraph" w:styleId="1028" w:customStyle="1">
    <w:name w:val="批注主题1"/>
    <w:basedOn w:val="991"/>
    <w:next w:val="991"/>
    <w:link w:val="1029"/>
    <w:uiPriority w:val="0"/>
    <w:semiHidden/>
    <w:qFormat/>
    <w:rPr>
      <w:b/>
      <w:bCs/>
      <w:szCs w:val="21"/>
    </w:rPr>
  </w:style>
  <w:style w:type="character" w:styleId="1029" w:customStyle="1">
    <w:name w:val="批注主题 Char"/>
    <w:link w:val="1028"/>
    <w:uiPriority w:val="0"/>
    <w:semiHidden/>
    <w:qFormat/>
    <w:rPr>
      <w:rFonts w:ascii="Times New Roman" w:hAnsi="Times New Roman" w:eastAsia="宋体" w:cs="Times New Roman"/>
      <w:b/>
      <w:bCs/>
      <w:szCs w:val="21"/>
    </w:rPr>
  </w:style>
  <w:style w:type="paragraph" w:styleId="1030" w:customStyle="1">
    <w:name w:val="正文首行缩进1"/>
    <w:basedOn w:val="995"/>
    <w:link w:val="1031"/>
    <w:uiPriority w:val="0"/>
    <w:qFormat/>
    <w:pPr>
      <w:ind w:firstLine="200"/>
      <w:spacing w:line="360" w:lineRule="auto"/>
    </w:pPr>
    <w:rPr>
      <w:rFonts w:ascii="仿宋_GB2312" w:hAnsi="Times New Roman" w:eastAsia="仿宋_GB2312"/>
      <w:sz w:val="30"/>
      <w:szCs w:val="30"/>
    </w:rPr>
  </w:style>
  <w:style w:type="character" w:styleId="1031" w:customStyle="1">
    <w:name w:val="正文首行缩进 Char"/>
    <w:link w:val="1030"/>
    <w:uiPriority w:val="0"/>
    <w:qFormat/>
    <w:rPr>
      <w:rFonts w:ascii="仿宋_GB2312" w:hAnsi="Times New Roman" w:eastAsia="仿宋_GB2312" w:cs="Times New Roman"/>
      <w:sz w:val="30"/>
      <w:szCs w:val="30"/>
    </w:rPr>
  </w:style>
  <w:style w:type="paragraph" w:styleId="1032" w:customStyle="1">
    <w:name w:val="正文首行缩进 21"/>
    <w:basedOn w:val="997"/>
    <w:link w:val="1033"/>
    <w:uiPriority w:val="0"/>
    <w:qFormat/>
    <w:pPr>
      <w:ind w:left="0" w:firstLine="420"/>
      <w:spacing w:after="0" w:line="360" w:lineRule="auto"/>
    </w:pPr>
    <w:rPr>
      <w:rFonts w:ascii="宋体" w:hAnsi="宋体"/>
      <w:szCs w:val="20"/>
    </w:rPr>
  </w:style>
  <w:style w:type="character" w:styleId="1033" w:customStyle="1">
    <w:name w:val="正文首行缩进 2 Char"/>
    <w:link w:val="1032"/>
    <w:uiPriority w:val="0"/>
    <w:qFormat/>
    <w:rPr>
      <w:rFonts w:ascii="宋体" w:hAnsi="宋体" w:eastAsia="宋体" w:cs="Times New Roman"/>
      <w:szCs w:val="20"/>
    </w:rPr>
  </w:style>
  <w:style w:type="table" w:styleId="1034" w:customStyle="1">
    <w:name w:val="网格型1"/>
    <w:basedOn w:val="976"/>
    <w:uiPriority w:val="0"/>
    <w:qFormat/>
    <w:pPr>
      <w:jc w:val="both"/>
      <w:widowControl w:val="off"/>
    </w:pPr>
    <w:tblPr/>
  </w:style>
  <w:style w:type="character" w:styleId="1035" w:customStyle="1">
    <w:name w:val="要点1"/>
    <w:uiPriority w:val="0"/>
    <w:qFormat/>
    <w:rPr>
      <w:b/>
      <w:bCs/>
    </w:rPr>
  </w:style>
  <w:style w:type="character" w:styleId="1036" w:customStyle="1">
    <w:name w:val="页码1"/>
    <w:uiPriority w:val="0"/>
    <w:qFormat/>
  </w:style>
  <w:style w:type="character" w:styleId="1037" w:customStyle="1">
    <w:name w:val="已访问的超链接1"/>
    <w:uiPriority w:val="0"/>
    <w:qFormat/>
    <w:rPr>
      <w:color w:val="800080"/>
      <w:u w:val="single"/>
    </w:rPr>
  </w:style>
  <w:style w:type="character" w:styleId="1038" w:customStyle="1">
    <w:name w:val="超链接1"/>
    <w:uiPriority w:val="0"/>
    <w:qFormat/>
    <w:rPr>
      <w:color w:val="0000ff"/>
      <w:u w:val="single"/>
    </w:rPr>
  </w:style>
  <w:style w:type="character" w:styleId="1039" w:customStyle="1">
    <w:name w:val="批注引用1"/>
    <w:uiPriority w:val="0"/>
    <w:semiHidden/>
    <w:qFormat/>
    <w:rPr>
      <w:sz w:val="21"/>
      <w:szCs w:val="21"/>
    </w:rPr>
  </w:style>
  <w:style w:type="character" w:styleId="1040" w:customStyle="1">
    <w:name w:val="font5 Char"/>
    <w:uiPriority w:val="0"/>
    <w:qFormat/>
    <w:rPr>
      <w:rFonts w:ascii="宋体" w:hAnsi="宋体" w:eastAsia="宋体"/>
      <w:sz w:val="28"/>
      <w:szCs w:val="28"/>
      <w:lang w:val="en-US" w:eastAsia="zh-CN" w:bidi="ar-SA"/>
    </w:rPr>
  </w:style>
  <w:style w:type="character" w:styleId="1041" w:customStyle="1">
    <w:name w:val="二级目录 Char"/>
    <w:link w:val="1042"/>
    <w:uiPriority w:val="0"/>
    <w:qFormat/>
    <w:rPr>
      <w:b/>
      <w:sz w:val="30"/>
      <w:szCs w:val="28"/>
    </w:rPr>
  </w:style>
  <w:style w:type="paragraph" w:styleId="1042" w:customStyle="1">
    <w:name w:val="二级目录"/>
    <w:next w:val="778"/>
    <w:link w:val="104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3" w:customStyle="1">
    <w:name w:val="列出段落 Char"/>
    <w:link w:val="1044"/>
    <w:uiPriority w:val="0"/>
    <w:qFormat/>
    <w:rPr>
      <w:rFonts w:ascii="Calibri" w:hAnsi="Calibri"/>
      <w:sz w:val="24"/>
      <w:szCs w:val="24"/>
      <w:lang w:eastAsia="en-US" w:bidi="en-US"/>
    </w:rPr>
  </w:style>
  <w:style w:type="paragraph" w:styleId="1044" w:customStyle="1">
    <w:name w:val="列出段落1"/>
    <w:basedOn w:val="778"/>
    <w:link w:val="1043"/>
    <w:uiPriority w:val="0"/>
    <w:qFormat/>
    <w:pPr>
      <w:contextualSpacing/>
      <w:ind w:left="720"/>
      <w:jc w:val="left"/>
      <w:widowControl/>
    </w:pPr>
    <w:rPr>
      <w:rFonts w:ascii="Calibri" w:hAnsi="Calibri"/>
      <w:sz w:val="24"/>
      <w:szCs w:val="24"/>
      <w:lang w:eastAsia="en-US" w:bidi="en-US"/>
    </w:rPr>
  </w:style>
  <w:style w:type="paragraph" w:styleId="1045" w:customStyle="1">
    <w:name w:val="Body Text(ch)"/>
    <w:basedOn w:val="778"/>
    <w:next w:val="995"/>
    <w:uiPriority w:val="0"/>
    <w:qFormat/>
    <w:pPr>
      <w:spacing w:after="120"/>
    </w:pPr>
    <w:rPr>
      <w:rFonts w:ascii="宋体" w:hAnsi="Arial"/>
      <w:bCs/>
      <w:iCs/>
      <w:szCs w:val="24"/>
    </w:rPr>
  </w:style>
  <w:style w:type="paragraph" w:styleId="1046" w:customStyle="1">
    <w:name w:val="xl2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xl26"/>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customStyle="1">
    <w:name w:val="Char"/>
    <w:basedOn w:val="778"/>
    <w:uiPriority w:val="0"/>
    <w:qFormat/>
    <w:pPr>
      <w:ind w:firstLine="200"/>
      <w:tabs>
        <w:tab w:val="left" w:pos="360" w:leader="none"/>
      </w:tabs>
    </w:pPr>
    <w:rPr>
      <w:sz w:val="28"/>
      <w:szCs w:val="30"/>
    </w:rPr>
  </w:style>
  <w:style w:type="paragraph" w:styleId="1049" w:customStyle="1">
    <w:name w:val="Char1"/>
    <w:basedOn w:val="989"/>
    <w:uiPriority w:val="0"/>
    <w:qFormat/>
    <w:rPr>
      <w:rFonts w:ascii="Tahoma" w:hAnsi="Tahoma"/>
      <w:sz w:val="24"/>
      <w:szCs w:val="24"/>
    </w:rPr>
  </w:style>
  <w:style w:type="paragraph" w:styleId="1050"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051" w:customStyle="1">
    <w:name w:val="table_lines"/>
    <w:basedOn w:val="778"/>
    <w:uiPriority w:val="0"/>
    <w:qFormat/>
    <w:pPr>
      <w:jc w:val="left"/>
      <w:widowControl/>
    </w:pPr>
    <w:rPr>
      <w:sz w:val="20"/>
      <w:szCs w:val="20"/>
      <w:lang w:val="de-DE" w:eastAsia="de-DE"/>
    </w:rPr>
  </w:style>
  <w:style w:type="paragraph" w:styleId="105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3"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054" w:customStyle="1">
    <w:name w:val="Char Char Char Char"/>
    <w:basedOn w:val="989"/>
    <w:uiPriority w:val="0"/>
    <w:qFormat/>
    <w:pPr>
      <w:spacing w:line="360" w:lineRule="auto"/>
    </w:pPr>
    <w:rPr>
      <w:rFonts w:ascii="Tahoma" w:hAnsi="Tahoma"/>
      <w:sz w:val="24"/>
      <w:szCs w:val="24"/>
    </w:rPr>
  </w:style>
  <w:style w:type="paragraph" w:styleId="1055" w:customStyle="1">
    <w:name w:val="列出段落2"/>
    <w:basedOn w:val="778"/>
    <w:uiPriority w:val="0"/>
    <w:qFormat/>
    <w:pPr>
      <w:contextualSpacing/>
      <w:ind w:left="720"/>
      <w:jc w:val="left"/>
      <w:widowControl/>
    </w:pPr>
    <w:rPr>
      <w:rFonts w:ascii="Calibri" w:hAnsi="Calibri"/>
      <w:sz w:val="24"/>
      <w:szCs w:val="24"/>
      <w:lang w:eastAsia="en-US" w:bidi="en-US"/>
    </w:rPr>
  </w:style>
  <w:style w:type="paragraph" w:styleId="1056" w:customStyle="1">
    <w:name w:val="4"/>
    <w:basedOn w:val="778"/>
    <w:next w:val="1019"/>
    <w:uiPriority w:val="0"/>
    <w:qFormat/>
    <w:pPr>
      <w:ind w:firstLine="420"/>
      <w:spacing w:line="360" w:lineRule="auto"/>
    </w:pPr>
    <w:rPr>
      <w:color w:val="ff0000"/>
      <w:sz w:val="24"/>
      <w:szCs w:val="24"/>
    </w:rPr>
  </w:style>
  <w:style w:type="paragraph" w:styleId="1057"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058" w:customStyle="1">
    <w:name w:val="Char Char Char Char Char Char Char Char Char Char"/>
    <w:basedOn w:val="778"/>
    <w:uiPriority w:val="0"/>
    <w:qFormat/>
    <w:pPr>
      <w:spacing w:line="360" w:lineRule="auto"/>
    </w:pPr>
    <w:rPr>
      <w:sz w:val="24"/>
      <w:szCs w:val="20"/>
    </w:rPr>
  </w:style>
  <w:style w:type="paragraph" w:styleId="1059" w:customStyle="1">
    <w:name w:val="样式1"/>
    <w:basedOn w:val="778"/>
    <w:uiPriority w:val="0"/>
    <w:qFormat/>
    <w:pPr>
      <w:numPr>
        <w:ilvl w:val="0"/>
        <w:numId w:val="3"/>
      </w:numPr>
    </w:pPr>
    <w:rPr>
      <w:rFonts w:ascii="宋体" w:hAnsi="宋体"/>
      <w:szCs w:val="21"/>
    </w:rPr>
  </w:style>
  <w:style w:type="paragraph" w:styleId="1060"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061"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2"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3" w:customStyle="1">
    <w:name w:val="标题3"/>
    <w:basedOn w:val="778"/>
    <w:next w:val="778"/>
    <w:uiPriority w:val="0"/>
    <w:qFormat/>
    <w:pPr>
      <w:ind w:firstLine="624"/>
      <w:spacing w:line="590" w:lineRule="atLeast"/>
    </w:pPr>
    <w:rPr>
      <w:rFonts w:ascii="方正黑体_GBK" w:eastAsia="方正黑体_GBK"/>
      <w:sz w:val="32"/>
      <w:szCs w:val="32"/>
    </w:rPr>
  </w:style>
  <w:style w:type="paragraph" w:styleId="1064" w:customStyle="1">
    <w:name w:val="xl24"/>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5" w:customStyle="1">
    <w:name w:val="xl29"/>
    <w:basedOn w:val="7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6"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067" w:customStyle="1">
    <w:name w:val="xl28"/>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8" w:customStyle="1">
    <w:name w:val="Char Char Char Char Char Char Char Char1"/>
    <w:basedOn w:val="778"/>
    <w:uiPriority w:val="0"/>
    <w:qFormat/>
    <w:pPr>
      <w:jc w:val="left"/>
      <w:spacing w:after="160" w:line="240" w:lineRule="exact"/>
      <w:widowControl/>
    </w:pPr>
    <w:rPr>
      <w:rFonts w:ascii="Verdana" w:hAnsi="Verdana"/>
      <w:sz w:val="20"/>
      <w:szCs w:val="20"/>
      <w:lang w:eastAsia="en-US"/>
    </w:rPr>
  </w:style>
  <w:style w:type="paragraph" w:styleId="1069"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070" w:customStyle="1">
    <w:name w:val="Char Char Char Char1"/>
    <w:basedOn w:val="989"/>
    <w:uiPriority w:val="0"/>
    <w:qFormat/>
    <w:pPr>
      <w:spacing w:line="360" w:lineRule="auto"/>
    </w:pPr>
    <w:rPr>
      <w:rFonts w:ascii="Tahoma" w:hAnsi="Tahoma"/>
      <w:sz w:val="24"/>
      <w:szCs w:val="24"/>
    </w:rPr>
  </w:style>
  <w:style w:type="paragraph" w:styleId="1071" w:customStyle="1">
    <w:name w:val="table_1stline"/>
    <w:basedOn w:val="778"/>
    <w:uiPriority w:val="0"/>
    <w:qFormat/>
    <w:pPr>
      <w:jc w:val="left"/>
      <w:spacing w:before="120"/>
      <w:widowControl/>
    </w:pPr>
    <w:rPr>
      <w:bCs/>
      <w:sz w:val="20"/>
      <w:szCs w:val="20"/>
      <w:lang w:val="de-DE" w:eastAsia="de-DE"/>
    </w:rPr>
  </w:style>
  <w:style w:type="paragraph" w:styleId="1072"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073" w:customStyle="1">
    <w:name w:val="标题1"/>
    <w:basedOn w:val="778"/>
    <w:next w:val="7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4" w:customStyle="1">
    <w:name w:val="修订1"/>
    <w:uiPriority w:val="99"/>
    <w:semiHidden/>
    <w:qFormat/>
    <w:rPr>
      <w:rFonts w:ascii="Times New Roman" w:hAnsi="Times New Roman" w:eastAsia="宋体" w:cs="Times New Roman"/>
      <w:sz w:val="21"/>
      <w:szCs w:val="21"/>
      <w:lang w:val="en-US" w:eastAsia="zh-CN" w:bidi="ar-SA"/>
    </w:rPr>
  </w:style>
  <w:style w:type="paragraph" w:styleId="107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76" w:customStyle="1">
    <w:name w:val="Default"/>
    <w:uiPriority w:val="99"/>
    <w:qFormat/>
    <w:pPr>
      <w:widowControl w:val="off"/>
    </w:pPr>
    <w:rPr>
      <w:rFonts w:ascii="MS Mincho" w:hAnsi="Calibri" w:eastAsia="MS Mincho" w:cs="Times New Roman"/>
      <w:color w:val="000000"/>
      <w:sz w:val="24"/>
      <w:szCs w:val="24"/>
      <w:lang w:val="en-US" w:eastAsia="zh-CN" w:bidi="ar-SA"/>
    </w:rPr>
  </w:style>
  <w:style w:type="paragraph" w:styleId="1077" w:customStyle="1">
    <w:name w:val="纯文本11"/>
    <w:basedOn w:val="778"/>
    <w:uiPriority w:val="0"/>
    <w:qFormat/>
    <w:rPr>
      <w:rFonts w:ascii="宋体" w:hAnsi="Courier New"/>
      <w:szCs w:val="20"/>
    </w:rPr>
  </w:style>
  <w:style w:type="paragraph" w:styleId="1078" w:customStyle="1">
    <w:name w:val="无间隔11"/>
    <w:basedOn w:val="778"/>
    <w:uiPriority w:val="0"/>
    <w:qFormat/>
    <w:pPr>
      <w:jc w:val="left"/>
      <w:widowControl/>
    </w:pPr>
  </w:style>
  <w:style w:type="table" w:styleId="1079" w:customStyle="1">
    <w:name w:val="Table Normal"/>
    <w:uiPriority w:val="0"/>
    <w:unhideWhenUsed/>
    <w:qFormat/>
    <w:tblPr>
      <w:tblCellMar>
        <w:left w:w="0" w:type="dxa"/>
        <w:top w:w="0" w:type="dxa"/>
        <w:right w:w="0" w:type="dxa"/>
        <w:bottom w:w="0" w:type="dxa"/>
      </w:tblCellMar>
    </w:tblPr>
  </w:style>
  <w:style w:type="paragraph" w:styleId="1080" w:customStyle="1">
    <w:name w:val="Table Text"/>
    <w:basedOn w:val="778"/>
    <w:uiPriority w:val="0"/>
    <w:semiHidden/>
    <w:qFormat/>
    <w:rPr>
      <w:rFonts w:ascii="宋体" w:hAnsi="宋体" w:cs="宋体"/>
      <w:sz w:val="20"/>
      <w:szCs w:val="20"/>
      <w:lang w:eastAsia="en-US"/>
    </w:rPr>
  </w:style>
  <w:style w:type="paragraph" w:styleId="1081" w:customStyle="1">
    <w:name w:val="Body text|1"/>
    <w:basedOn w:val="778"/>
    <w:uiPriority w:val="0"/>
    <w:qFormat/>
    <w:pPr>
      <w:ind w:firstLine="400"/>
      <w:spacing w:line="480" w:lineRule="auto"/>
    </w:pPr>
    <w:rPr>
      <w:rFonts w:ascii="宋体" w:hAnsi="宋体" w:cs="宋体"/>
      <w:color w:val="000000"/>
      <w:sz w:val="20"/>
      <w:szCs w:val="20"/>
      <w:lang w:val="zh-TW" w:eastAsia="zh-TW" w:bidi="zh-TW"/>
    </w:rPr>
  </w:style>
  <w:style w:type="paragraph" w:styleId="1082" w:customStyle="1">
    <w:name w:val="标书正文"/>
    <w:basedOn w:val="778"/>
    <w:uiPriority w:val="0"/>
    <w:qFormat/>
    <w:pPr>
      <w:ind w:firstLine="480"/>
      <w:jc w:val="left"/>
    </w:pPr>
    <w:rPr>
      <w:sz w:val="24"/>
    </w:rPr>
  </w:style>
  <w:style w:type="paragraph" w:styleId="1083" w:customStyle="1">
    <w:name w:val="1 正文"/>
    <w:basedOn w:val="778"/>
    <w:uiPriority w:val="0"/>
    <w:qFormat/>
    <w:pPr>
      <w:ind w:firstLine="420"/>
      <w:spacing w:line="360" w:lineRule="auto"/>
    </w:pPr>
    <w:rPr>
      <w:rFonts w:ascii="宋体" w:hAnsi="宋体"/>
      <w:szCs w:val="24"/>
    </w:rPr>
  </w:style>
  <w:style w:type="character" w:styleId="1084" w:customStyle="1">
    <w:name w:val="NormalCharacter"/>
    <w:uiPriority w:val="0"/>
    <w:semiHidden/>
    <w:qFormat/>
    <w:rPr>
      <w:sz w:val="21"/>
      <w:szCs w:val="24"/>
      <w:lang w:val="en-US" w:eastAsia="zh-CN" w:bidi="ar-SA"/>
    </w:rPr>
  </w:style>
  <w:style w:type="paragraph" w:styleId="1085"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1086" w:customStyle="1">
    <w:name w:val="font161"/>
    <w:basedOn w:val="788"/>
    <w:uiPriority w:val="0"/>
    <w:qFormat/>
    <w:rPr>
      <w:rFonts w:ascii="仿宋" w:hAnsi="仿宋" w:eastAsia="仿宋" w:cs="仿宋"/>
      <w:color w:val="000000"/>
      <w:sz w:val="16"/>
      <w:szCs w:val="16"/>
      <w:u w:val="none"/>
    </w:rPr>
  </w:style>
  <w:style w:type="character" w:styleId="1087" w:customStyle="1">
    <w:name w:val="font131"/>
    <w:basedOn w:val="788"/>
    <w:uiPriority w:val="0"/>
    <w:qFormat/>
    <w:rPr>
      <w:rFonts w:ascii="Arial" w:hAnsi="Arial" w:cs="Arial"/>
      <w:color w:val="000000"/>
      <w:sz w:val="20"/>
      <w:szCs w:val="20"/>
      <w:u w:val="none"/>
    </w:rPr>
  </w:style>
  <w:style w:type="character" w:styleId="1088" w:customStyle="1">
    <w:name w:val="font61"/>
    <w:basedOn w:val="788"/>
    <w:uiPriority w:val="0"/>
    <w:qFormat/>
    <w:rPr>
      <w:rFonts w:hint="eastAsia" w:ascii="宋体" w:hAnsi="宋体" w:eastAsia="宋体" w:cs="宋体"/>
      <w:color w:val="000000"/>
      <w:sz w:val="20"/>
      <w:szCs w:val="20"/>
      <w:u w:val="none"/>
    </w:rPr>
  </w:style>
  <w:style w:type="character" w:styleId="1089" w:customStyle="1">
    <w:name w:val="font171"/>
    <w:basedOn w:val="788"/>
    <w:uiPriority w:val="0"/>
    <w:qFormat/>
    <w:rPr>
      <w:rFonts w:hint="default" w:ascii="Times New Roman" w:hAnsi="Times New Roman" w:cs="Times New Roman"/>
      <w:color w:val="000000"/>
      <w:sz w:val="20"/>
      <w:szCs w:val="20"/>
      <w:u w:val="none"/>
    </w:rPr>
  </w:style>
  <w:style w:type="character" w:styleId="1090" w:customStyle="1">
    <w:name w:val="font51"/>
    <w:basedOn w:val="788"/>
    <w:uiPriority w:val="0"/>
    <w:qFormat/>
    <w:rPr>
      <w:rFonts w:hint="eastAsia" w:ascii="宋体" w:hAnsi="宋体" w:eastAsia="宋体" w:cs="宋体"/>
      <w:color w:val="000000"/>
      <w:sz w:val="20"/>
      <w:szCs w:val="20"/>
      <w:u w:val="none"/>
    </w:rPr>
  </w:style>
  <w:style w:type="paragraph" w:styleId="1091" w:customStyle="1">
    <w:name w:val="正文文本首行缩进 21"/>
    <w:basedOn w:val="997"/>
    <w:uiPriority w:val="0"/>
    <w:qFormat/>
    <w:pPr>
      <w:ind w:firstLine="420"/>
    </w:pPr>
  </w:style>
  <w:style w:type="paragraph" w:styleId="1092" w:customStyle="1">
    <w:name w:val="样式 标题 3 + (中文) 黑体 小四 非加粗 段前: 7.8 磅 段后: 0 磅 行距: 固定值 20 磅"/>
    <w:basedOn w:val="781"/>
    <w:uiPriority w:val="0"/>
    <w:qFormat/>
    <w:pPr>
      <w:spacing w:before="0" w:after="0" w:line="400" w:lineRule="exact"/>
    </w:pPr>
    <w:rPr>
      <w:rFonts w:eastAsia="黑体" w:cs="宋体"/>
      <w:sz w:val="24"/>
      <w:szCs w:val="20"/>
    </w:rPr>
  </w:style>
  <w:style w:type="numbering" w:styleId="10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刘阳生</cp:lastModifiedBy>
  <cp:revision>17</cp:revision>
  <dcterms:created xsi:type="dcterms:W3CDTF">2023-03-27T07:28:00Z</dcterms:created>
  <dcterms:modified xsi:type="dcterms:W3CDTF">2026-10-30T09:14:13Z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DE63FC7D3FE34534A6B06C89323F547B_13</vt:lpwstr>
  </property>
  <property fmtid="{D5CDD505-2E9C-101B-9397-08002B2CF9AE}" pid="4" name="KSOTemplateDocerSaveRecord">
    <vt:lpwstr>eyJoZGlkIjoiMWQ3MjllMzVmNzVkMDMwYzUwNmI2NmQxY2EzMGVmM2EiLCJ1c2VySWQiOiIxNzgzOTk4NCJ9</vt:lpwstr>
  </property>
</Properties>
</file>