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5"/>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5"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tabs>
          <w:tab w:val="left" w:pos="390" w:leader="none"/>
          <w:tab w:val="center" w:pos="4404" w:leader="none"/>
        </w:tabs>
        <w:rPr>
          <w:rFonts w:hint="eastAsia" w:ascii="宋体" w:hAnsi="宋体"/>
          <w:b/>
          <w:color w:val="000000" w:themeColor="text1"/>
          <w:sz w:val="40"/>
          <w:szCs w:val="40"/>
          <w:highlight w:val="none"/>
          <w14:textFill>
            <w14:solidFill>
              <w14:schemeClr w14:val="tx1"/>
            </w14:solidFill>
          </w14:textFill>
        </w:rPr>
      </w:pPr>
      <w:r/>
      <w:bookmarkStart w:id="0" w:name="OLE_LINK6"/>
      <w:r>
        <w:rPr>
          <w:rFonts w:hint="eastAsia" w:ascii="宋体" w:hAnsi="宋体"/>
          <w:b/>
          <w:color w:val="000000" w:themeColor="text1"/>
          <w:sz w:val="40"/>
          <w:szCs w:val="40"/>
          <w:highlight w:val="none"/>
          <w14:textFill>
            <w14:solidFill>
              <w14:schemeClr w14:val="tx1"/>
            </w14:solidFill>
          </w14:textFill>
        </w:rPr>
        <w:t xml:space="preserve">2026-2027年度市国资委监管企业财务决算年报审计中介机构选聘</w:t>
      </w:r>
      <w:r/>
    </w:p>
    <w:p>
      <w:pPr>
        <w:jc w:val="center"/>
        <w:tabs>
          <w:tab w:val="left" w:pos="390" w:leader="none"/>
          <w:tab w:val="center" w:pos="4404" w:leader="none"/>
        </w:tabs>
        <w:rPr>
          <w:rFonts w:hint="eastAsia" w:ascii="宋体" w:hAnsi="宋体" w:eastAsia="宋体"/>
          <w:b/>
          <w:color w:val="000000" w:themeColor="text1"/>
          <w:sz w:val="40"/>
          <w:szCs w:val="40"/>
          <w:highlight w:val="none"/>
          <w:lang w:eastAsia="zh-CN"/>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项目编号：</w:t>
      </w:r>
      <w:r>
        <w:rPr>
          <w:rFonts w:hint="eastAsia" w:ascii="宋体" w:hAnsi="宋体"/>
          <w:b/>
          <w:color w:val="000000" w:themeColor="text1"/>
          <w:sz w:val="40"/>
          <w:szCs w:val="40"/>
          <w:highlight w:val="none"/>
          <w:lang w:eastAsia="zh-CN"/>
          <w14:textFill>
            <w14:solidFill>
              <w14:schemeClr w14:val="tx1"/>
            </w14:solidFill>
          </w14:textFill>
        </w:rPr>
        <w:t xml:space="preserve">JSZC-320100-JSDY-G2026-0024</w:t>
      </w:r>
      <w:bookmarkEnd w:id="0"/>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（服务类）</w:t>
      </w:r>
      <w:r/>
    </w:p>
    <w:p>
      <w:pPr>
        <w:jc w:val="center"/>
        <w:spacing w:line="372" w:lineRule="auto"/>
        <w:tabs>
          <w:tab w:val="left" w:pos="390" w:leader="none"/>
          <w:tab w:val="center" w:pos="4404" w:leader="none"/>
        </w:tabs>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pStyle w:val="1062"/>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062"/>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公开招标文件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62"/>
        <w:ind w:firstLine="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rPr>
          <w:rFonts w:ascii="宋体" w:hAnsi="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14:textFill>
            <w14:solidFill>
              <w14:schemeClr w14:val="tx1"/>
            </w14:solidFill>
          </w14:textFill>
        </w:rPr>
        <w:t xml:space="preserve">采 购 人：南京市人民政府国有资产监督管理委员会</w:t>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十</w:t>
      </w:r>
      <w:r>
        <w:rPr>
          <w:rFonts w:hint="eastAsia" w:ascii="宋体" w:hAnsi="宋体"/>
          <w:b/>
          <w:color w:val="000000" w:themeColor="text1"/>
          <w:sz w:val="40"/>
          <w:szCs w:val="40"/>
          <w:highlight w:val="none"/>
          <w14:textFill>
            <w14:solidFill>
              <w14:schemeClr w14:val="tx1"/>
            </w14:solidFill>
          </w14:textFill>
        </w:rPr>
        <w:t xml:space="preserve">月</w:t>
      </w:r>
      <w:r/>
    </w:p>
    <w:p>
      <w:pPr>
        <w:rPr>
          <w:rFonts w:asciiTheme="minorEastAsia" w:hAnsiTheme="minorEastAsia" w:eastAsiaTheme="minorEastAsia"/>
          <w:b/>
          <w:color w:val="000000" w:themeColor="text1"/>
          <w:sz w:val="48"/>
          <w:highlight w:val="none"/>
          <w14:textFill>
            <w14:solidFill>
              <w14:schemeClr w14:val="tx1"/>
            </w14:solidFill>
          </w14:textFill>
        </w:rPr>
      </w:pPr>
      <w:r>
        <w:rPr>
          <w:rFonts w:asciiTheme="minorEastAsia" w:hAnsiTheme="minorEastAsia" w:eastAsiaTheme="minorEastAsia"/>
          <w:b/>
          <w:color w:val="000000" w:themeColor="text1"/>
          <w:sz w:val="48"/>
          <w:highlight w:val="none"/>
          <w14:textFill>
            <w14:solidFill>
              <w14:schemeClr w14:val="tx1"/>
            </w14:solidFill>
          </w14:textFill>
        </w:rPr>
        <w:br w:type="page" w:clear="all"/>
      </w:r>
      <w:r/>
    </w:p>
    <w:p>
      <w:pPr>
        <w:jc w:val="left"/>
        <w:spacing w:line="480" w:lineRule="auto"/>
        <w:tabs>
          <w:tab w:val="center" w:pos="4153" w:leader="none"/>
          <w:tab w:val="left" w:pos="5910" w:leader="none"/>
        </w:tabs>
        <w:rPr>
          <w:rFonts w:asciiTheme="minorEastAsia" w:hAnsiTheme="minorEastAsia" w:eastAsiaTheme="minorEastAsia"/>
          <w:b/>
          <w:color w:val="000000" w:themeColor="text1"/>
          <w:sz w:val="48"/>
          <w:highlight w:val="none"/>
          <w14:textFill>
            <w14:solidFill>
              <w14:schemeClr w14:val="tx1"/>
            </w14:solidFill>
          </w14:textFill>
        </w:rPr>
        <w:outlineLvl w:val="0"/>
      </w:pPr>
      <w:r>
        <w:rPr>
          <w:rFonts w:asciiTheme="minorEastAsia" w:hAnsiTheme="minorEastAsia" w:eastAsiaTheme="minorEastAsia"/>
          <w:b/>
          <w:color w:val="000000" w:themeColor="text1"/>
          <w:sz w:val="48"/>
          <w:highlight w:val="none"/>
          <w14:textFill>
            <w14:solidFill>
              <w14:schemeClr w14:val="tx1"/>
            </w14:solidFill>
          </w14:textFill>
        </w:rPr>
        <w:tab/>
      </w:r>
      <w:r>
        <w:rPr>
          <w:rFonts w:asciiTheme="minorEastAsia" w:hAnsiTheme="minorEastAsia" w:eastAsiaTheme="minorEastAsia"/>
          <w:b/>
          <w:color w:val="000000" w:themeColor="text1"/>
          <w:sz w:val="48"/>
          <w:highlight w:val="none"/>
          <w14:textFill>
            <w14:solidFill>
              <w14:schemeClr w14:val="tx1"/>
            </w14:solidFill>
          </w14:textFill>
        </w:rPr>
        <w:t xml:space="preserve">目</w:t>
      </w:r>
      <w:r>
        <w:rPr>
          <w:rFonts w:hint="eastAsia" w:asciiTheme="minorEastAsia" w:hAnsiTheme="minorEastAsia" w:eastAsiaTheme="minorEastAsia"/>
          <w:b/>
          <w:color w:val="000000" w:themeColor="text1"/>
          <w:sz w:val="48"/>
          <w:highlight w:val="none"/>
          <w14:textFill>
            <w14:solidFill>
              <w14:schemeClr w14:val="tx1"/>
            </w14:solidFill>
          </w14:textFill>
        </w:rPr>
        <w:t xml:space="preserve">  </w:t>
      </w:r>
      <w:r>
        <w:rPr>
          <w:rFonts w:asciiTheme="minorEastAsia" w:hAnsiTheme="minorEastAsia" w:eastAsiaTheme="minorEastAsia"/>
          <w:b/>
          <w:color w:val="000000" w:themeColor="text1"/>
          <w:sz w:val="48"/>
          <w:highlight w:val="none"/>
          <w14:textFill>
            <w14:solidFill>
              <w14:schemeClr w14:val="tx1"/>
            </w14:solidFill>
          </w14:textFill>
        </w:rPr>
        <w:t xml:space="preserve">录</w:t>
      </w:r>
      <w:r>
        <w:rPr>
          <w:rFonts w:asciiTheme="minorEastAsia" w:hAnsiTheme="minorEastAsia" w:eastAsiaTheme="minorEastAsia"/>
          <w:b/>
          <w:color w:val="000000" w:themeColor="text1"/>
          <w:sz w:val="48"/>
          <w:highlight w:val="none"/>
          <w14:textFill>
            <w14:solidFill>
              <w14:schemeClr w14:val="tx1"/>
            </w14:solidFill>
          </w14:textFill>
        </w:rPr>
        <w:tab/>
      </w:r>
      <w:r/>
    </w:p>
    <w:p>
      <w:pPr>
        <w:pStyle w:val="697"/>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TOC \o "1-1" \h \u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_Toc5761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第一章 投标邀请</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_Toc5761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697"/>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_Toc29826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第二章 供应商须知</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_Toc29826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697"/>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_Toc20561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第三章 评标标准</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_Toc20561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24</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697"/>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_Toc27161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第四章 招标项目的服务要求和数量等</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_Toc27161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54</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697"/>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_Toc10518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第五章 </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审计业务约定书</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主要条款及格式</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_Toc10518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75</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697"/>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_Toc19286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第六章 投标文件格式及附件</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_Toc19286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81</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pStyle w:val="673"/>
        <w:tabs>
          <w:tab w:val="left" w:pos="529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tabs>
          <w:tab w:val="left" w:pos="5295" w:leader="none"/>
        </w:tabs>
        <w:rPr>
          <w:color w:val="000000" w:themeColor="text1"/>
          <w:highlight w:val="none"/>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134" w:right="1134" w:bottom="1134" w:left="1134" w:header="851" w:footer="992" w:gutter="0"/>
          <w:cols w:num="1" w:sep="0" w:space="425" w:equalWidth="1"/>
          <w:docGrid w:linePitch="360"/>
        </w:sectPr>
      </w:pPr>
      <w:r>
        <w:rPr>
          <w:color w:val="000000" w:themeColor="text1"/>
          <w:highlight w:val="none"/>
          <w14:textFill>
            <w14:solidFill>
              <w14:schemeClr w14:val="tx1"/>
            </w14:solidFill>
          </w14:textFill>
        </w:rPr>
        <w:tab/>
      </w:r>
      <w:r/>
    </w:p>
    <w:p>
      <w:pPr>
        <w:pStyle w:val="661"/>
        <w:jc w:val="center"/>
        <w:rPr>
          <w:rFonts w:asciiTheme="minorEastAsia" w:hAnsiTheme="minorEastAsia" w:eastAsiaTheme="minorEastAsia"/>
          <w:color w:val="000000" w:themeColor="text1"/>
          <w:highlight w:val="none"/>
          <w14:textFill>
            <w14:solidFill>
              <w14:schemeClr w14:val="tx1"/>
            </w14:solidFill>
          </w14:textFill>
        </w:rPr>
      </w:pPr>
      <w:r/>
      <w:bookmarkStart w:id="1" w:name="_Toc5761"/>
      <w:r/>
      <w:bookmarkStart w:id="2" w:name="_Toc93054151"/>
      <w:r>
        <w:rPr>
          <w:rFonts w:asciiTheme="minorEastAsia" w:hAnsiTheme="minorEastAsia" w:eastAsiaTheme="minorEastAsia"/>
          <w:color w:val="000000" w:themeColor="text1"/>
          <w:highlight w:val="none"/>
          <w14:textFill>
            <w14:solidFill>
              <w14:schemeClr w14:val="tx1"/>
            </w14:solidFill>
          </w14:textFill>
        </w:rPr>
        <w:t xml:space="preserve">第一章 投标邀请</w:t>
      </w:r>
      <w:bookmarkEnd w:id="1"/>
      <w:r/>
      <w:bookmarkEnd w:id="2"/>
      <w:r/>
      <w:r/>
    </w:p>
    <w:p>
      <w:pPr>
        <w:jc w:val="left"/>
        <w:spacing w:line="560" w:lineRule="exact"/>
        <w:rPr>
          <w:rFonts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江苏大友招标代理咨询有限公司（以下简称“代理机构”）受</w:t>
      </w: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南京市人民政府国有资产监督管理委员会</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（采购单位名称，以下简称“采购人”）委托，就</w:t>
      </w: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2026-2027年度市国资委监管企业财务决算年报审计中介机构选聘</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进行国内公开招标，兹邀请符合资格条件的供应商投标。</w:t>
      </w:r>
      <w:r/>
    </w:p>
    <w:p>
      <w:pPr>
        <w:spacing w:line="560" w:lineRule="exact"/>
        <w:tabs>
          <w:tab w:val="left" w:pos="7005" w:leader="none"/>
        </w:tabs>
        <w:rPr>
          <w:rFonts w:asciiTheme="minorEastAsia" w:hAnsiTheme="minorEastAsia" w:eastAsiaTheme="minorEastAsia"/>
          <w:b/>
          <w:color w:val="000000" w:themeColor="text1"/>
          <w:sz w:val="28"/>
          <w:szCs w:val="28"/>
          <w:highlight w:val="none"/>
          <w:lang w:val="zh-CN"/>
          <w14:textFill>
            <w14:solidFill>
              <w14:schemeClr w14:val="tx1"/>
            </w14:solidFill>
          </w14:textFill>
        </w:rPr>
      </w:pP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一</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w:t>
      </w: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项目基本情况</w:t>
      </w:r>
      <w:r/>
    </w:p>
    <w:p>
      <w:pPr>
        <w:spacing w:line="560" w:lineRule="exact"/>
        <w:tabs>
          <w:tab w:val="left" w:pos="7005" w:leader="none"/>
        </w:tabs>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asciiTheme="minorEastAsia" w:hAnsiTheme="minorEastAsia" w:eastAsiaTheme="minorEastAsia"/>
          <w:color w:val="000000" w:themeColor="text1"/>
          <w:sz w:val="28"/>
          <w:szCs w:val="28"/>
          <w:highlight w:val="none"/>
          <w:lang w:val="zh-CN"/>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、项目编号：JSZC-320100-JSDY-G2026-0024</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2、项目名称：2026-2027年度市国资委监管企业财务决算年报审计中介机构选聘</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3、采购内容：</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各分包拟采购1家供应商提供服务，</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详见第四章招标项目的服务要求和数量等。</w:t>
      </w:r>
      <w:r/>
    </w:p>
    <w:tbl>
      <w:tblPr>
        <w:tblStyle w:val="671"/>
        <w:tblW w:w="977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0"/>
        <w:gridCol w:w="2616"/>
        <w:gridCol w:w="1485"/>
        <w:gridCol w:w="3471"/>
        <w:gridCol w:w="1208"/>
      </w:tblGrid>
      <w:tr>
        <w:trPr>
          <w:trHeight w:val="559"/>
        </w:trPr>
        <w:tc>
          <w:tcPr>
            <w:shd w:val="clear" w:color="auto" w:fill="auto"/>
            <w:tcW w:w="99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分包号</w:t>
            </w:r>
            <w:r/>
          </w:p>
        </w:tc>
        <w:tc>
          <w:tcPr>
            <w:shd w:val="clear" w:color="auto" w:fill="auto"/>
            <w:tcW w:w="2599"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分包内容</w:t>
            </w:r>
            <w:r/>
          </w:p>
        </w:tc>
        <w:tc>
          <w:tcPr>
            <w:shd w:val="clear" w:color="auto" w:fill="auto"/>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各分包年度预算</w:t>
            </w:r>
            <w:r/>
          </w:p>
        </w:tc>
        <w:tc>
          <w:tcPr>
            <w:shd w:val="clear" w:color="auto" w:fill="auto"/>
            <w:tcW w:w="317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各集团年预算划分（万元/年)</w:t>
            </w:r>
            <w:r/>
          </w:p>
        </w:tc>
        <w:tc>
          <w:tcPr>
            <w:shd w:val="clear" w:color="auto" w:fill="auto"/>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两年总预算</w:t>
            </w:r>
            <w:r/>
          </w:p>
        </w:tc>
      </w:tr>
      <w:tr>
        <w:trPr>
          <w:trHeight w:val="559"/>
        </w:trPr>
        <w:tc>
          <w:tcPr>
            <w:shd w:val="clear" w:color="auto" w:fill="auto"/>
            <w:tcW w:w="990"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W w:w="2599"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（万元/年)</w:t>
            </w:r>
            <w:r/>
          </w:p>
        </w:tc>
        <w:tc>
          <w:tcPr>
            <w:shd w:val="clear" w:color="auto" w:fill="auto"/>
            <w:tcW w:w="317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城建集团、水务集团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168.5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城建集团136.5、水务集团32</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bookmarkStart w:id="3" w:name="OLE_LINK3"/>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337</w:t>
            </w:r>
            <w:bookmarkEnd w:id="3"/>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103.0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交通集团103</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206.0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128.0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新工集团128</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256.0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东南集团、河西集团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114.0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东南集团64、河西集团50</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228.0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130.0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文旅集团130</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260.0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投控、紫金集团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80.0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投控30、紫金集团50</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160.0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安居集团、国盛集团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88.5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安居集团71、国盛集团17.5</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177.0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地铁集团、创投集团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68.0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地铁集团45、创投集团23</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136.0 </w:t>
            </w:r>
            <w:r/>
          </w:p>
        </w:tc>
      </w:tr>
      <w:tr>
        <w:trPr>
          <w:trHeight w:val="559"/>
        </w:trPr>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新农集团、大数据集团</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43.5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新农集团27.5、大数据集团16</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87.0 </w:t>
            </w:r>
            <w:r/>
          </w:p>
        </w:tc>
      </w:tr>
      <w:tr>
        <w:trPr>
          <w:trHeight w:val="559"/>
        </w:trPr>
        <w:tc>
          <w:tcPr>
            <w:gridSpan w:val="2"/>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合计</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923.5 </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1,847.0 </w:t>
            </w:r>
            <w:r/>
          </w:p>
        </w:tc>
      </w:tr>
    </w:tbl>
    <w:p>
      <w:p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本项目每分包选取1名中标人。投标人可以自主选择分包投标，但中标结果只能为一个分包，不能兼得。评标委员会按分包1-9的顺序对各分包进行综合评分后确定每个分包的中标人。（前一分包的中标人</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的总所分所都将</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自动失去后续分包的中标资格）</w:t>
      </w:r>
      <w:r/>
    </w:p>
    <w:p>
      <w:p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投标人投标报价时，应先对分包内集团逐个单独报价，而后汇总成该分包总投标报价。</w:t>
      </w:r>
      <w:r/>
    </w:p>
    <w:p>
      <w:p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4、采购项目预算：1847.</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00</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万元</w:t>
      </w:r>
      <w:r>
        <w:rPr>
          <w:rFonts w:hint="eastAsia" w:ascii="宋体" w:hAnsi="宋体"/>
          <w:color w:val="000000" w:themeColor="text1"/>
          <w:sz w:val="28"/>
          <w:szCs w:val="28"/>
          <w:highlight w:val="none"/>
          <w:shd w:val="clear" w:color="auto" w:fill="ffffff"/>
          <w:lang w:val="zh-CN"/>
          <w14:textFill>
            <w14:solidFill>
              <w14:schemeClr w14:val="tx1"/>
            </w14:solidFill>
          </w14:textFill>
        </w:rPr>
        <w:t xml:space="preserve">（923.5</w:t>
      </w:r>
      <w:r>
        <w:rPr>
          <w:rFonts w:hint="eastAsia" w:ascii="宋体" w:hAnsi="宋体"/>
          <w:color w:val="000000" w:themeColor="text1"/>
          <w:sz w:val="28"/>
          <w:szCs w:val="28"/>
          <w:highlight w:val="none"/>
          <w:shd w:val="clear" w:color="auto" w:fill="ffffff"/>
          <w:lang w:val="en-US" w:eastAsia="zh-CN"/>
          <w14:textFill>
            <w14:solidFill>
              <w14:schemeClr w14:val="tx1"/>
            </w14:solidFill>
          </w14:textFill>
        </w:rPr>
        <w:t xml:space="preserve">0</w:t>
      </w:r>
      <w:r>
        <w:rPr>
          <w:rFonts w:hint="eastAsia" w:ascii="宋体" w:hAnsi="宋体"/>
          <w:color w:val="000000" w:themeColor="text1"/>
          <w:sz w:val="28"/>
          <w:szCs w:val="28"/>
          <w:highlight w:val="none"/>
          <w:shd w:val="clear" w:color="auto" w:fill="ffffff"/>
          <w:lang w:val="zh-CN"/>
          <w14:textFill>
            <w14:solidFill>
              <w14:schemeClr w14:val="tx1"/>
            </w14:solidFill>
          </w14:textFill>
        </w:rPr>
        <w:t xml:space="preserve">万元/年，报价超过项目预算作无效投标处理；</w:t>
      </w:r>
      <w:r>
        <w:rPr>
          <w:rFonts w:hint="eastAsia" w:ascii="宋体" w:hAnsi="宋体"/>
          <w:color w:val="000000" w:themeColor="text1"/>
          <w:sz w:val="28"/>
          <w:szCs w:val="28"/>
          <w:highlight w:val="none"/>
          <w:lang w:val="en-US" w:eastAsia="zh-CN"/>
          <w14:textFill>
            <w14:solidFill>
              <w14:schemeClr w14:val="tx1"/>
            </w14:solidFill>
          </w14:textFill>
        </w:rPr>
        <w:t xml:space="preserve">如分包内容包含两个集团，则报价超过各集团预算作无效响应处理。</w:t>
      </w:r>
      <w:r>
        <w:rPr>
          <w:rFonts w:hint="eastAsia"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5</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、项目服务期限：本项目服务期限为两年，审计业务约定书一年一签，</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2027</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年度审计业务约定书在开展</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2027</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年度财务决算报告审计工作前签订。每年3月31日（需合并上市公司的为4月30日）前完成年报审计工作，并出具审计报告、专项报告和管理建议书等工作材料。</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、本项目不接受联合体投标。</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二</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（一）通用资格要求</w:t>
      </w:r>
      <w:r/>
    </w:p>
    <w:p>
      <w:pPr>
        <w:jc w:val="left"/>
        <w:spacing w:line="560" w:lineRule="exact"/>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满足《中华人民共和国政府采购法》第二十二条规定</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，并提供下列材料：</w:t>
      </w:r>
      <w:r/>
    </w:p>
    <w:p>
      <w:pPr>
        <w:jc w:val="left"/>
        <w:spacing w:line="560" w:lineRule="exact"/>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pPr>
      <w:r>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t xml:space="preserve">（1）供应商信用承诺函；（格式见第六章）</w:t>
      </w:r>
      <w:r/>
    </w:p>
    <w:p>
      <w:pPr>
        <w:jc w:val="left"/>
        <w:spacing w:line="560" w:lineRule="exact"/>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pPr>
      <w:r>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t xml:space="preserve">（2）南京市政府采购供应商信用记录表暨信用承诺书。（格式见第六章）</w:t>
      </w:r>
      <w:r/>
    </w:p>
    <w:p>
      <w:pPr>
        <w:jc w:val="left"/>
        <w:spacing w:line="560" w:lineRule="exact"/>
        <w:rPr>
          <w:rFonts w:hint="eastAsia" w:cs="宋体"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t xml:space="preserve">2.</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落实政府采购政策需满足的资格要求：</w:t>
      </w: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本项目不专门面向中小微</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企业，执行价格扣除优惠政策，对小微企业报价给予10%的扣除。 </w:t>
      </w:r>
      <w:r/>
    </w:p>
    <w:p>
      <w:pPr>
        <w:jc w:val="left"/>
        <w:spacing w:line="560" w:lineRule="exact"/>
        <w:rPr>
          <w:rFonts w:hint="eastAsia" w:cs="宋体"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本项目采购标的对应的中小企业划分标准所属行业为：租赁和商务服务业。</w:t>
      </w:r>
      <w:r/>
    </w:p>
    <w:p>
      <w:pPr>
        <w:jc w:val="left"/>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供应商如为中小微企业需提供《中小微企业声明函》，格式见第六章。（监狱和戒毒企业视同小型、微型企业，提供由省级以上监狱管</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理局、戒毒管理局(含新疆生产建设兵团)出具的属于监狱企业的证明文件；残疾人福利性单位视同小型、微型企业，提供《残疾人福利性单位声明函》原件）。 </w:t>
      </w:r>
      <w:r/>
    </w:p>
    <w:p>
      <w:pPr>
        <w:numPr>
          <w:ilvl w:val="0"/>
          <w:numId w:val="4"/>
        </w:num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本项目的特定资格要求</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p>
    <w:p>
      <w:p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1</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）供应商取得会计师事务所执业许可</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提供有效证书。</w:t>
      </w:r>
      <w:r/>
    </w:p>
    <w:p>
      <w:pPr>
        <w:numPr>
          <w:ilvl w:val="0"/>
          <w:numId w:val="0"/>
        </w:num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2</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投标人应为依据中国法律注册成立的会计师事务所，本项目接受总所或分所参与投标。如以总所名义投标的，应持有财政部门颁发的有效会计师事务所执业证书，提供营业执照、执业证书复印件并加盖投标人公章；如以分所名义投标，应当同时提供总所营业执照、执业证书复印件并加盖总所公章及投标人公章。</w:t>
      </w:r>
      <w:r/>
    </w:p>
    <w:p>
      <w:pPr>
        <w:numPr>
          <w:ilvl w:val="0"/>
          <w:numId w:val="0"/>
        </w:num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3</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）投标人为分所的，需提供总所的法人授权书，提供总所及分所的从业人员数量等机构基本情况介绍资料。总所和分所只能其中一个参与同一标包投标，隶属同一总所的分所只能有一个参与同一标包投标。</w:t>
      </w:r>
      <w:r/>
    </w:p>
    <w:p>
      <w:pPr>
        <w:jc w:val="left"/>
        <w:spacing w:line="560" w:lineRule="exact"/>
        <w:rPr>
          <w:rFonts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4</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）分包1</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-8</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的供应商应在财政部、证监会备案从事证券服务业务的会计师事务所名单内，提供证明材料。</w:t>
      </w:r>
      <w:r/>
    </w:p>
    <w:p>
      <w:pPr>
        <w:jc w:val="left"/>
        <w:spacing w:line="560" w:lineRule="exact"/>
        <w:rPr>
          <w:rFonts w:hint="default" w:asciiTheme="minorEastAsia" w:hAnsiTheme="minorEastAsia" w:eastAsiaTheme="minorEastAsia"/>
          <w:b/>
          <w:bCs/>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5</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）供应商不在被行业监管部门处以暂停业务资格的处罚期间</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由投标人出具承诺函，承诺函需体现相关内容</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格式自拟。</w:t>
      </w:r>
      <w:r/>
    </w:p>
    <w:p>
      <w:p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6</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）拟派的项目经理（指参与现场工作并对项目负责的注册会计师）在202</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3</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年</w:t>
      </w:r>
      <w:r>
        <w:rPr>
          <w:rFonts w:asciiTheme="minorEastAsia" w:hAnsiTheme="minorEastAsia" w:eastAsiaTheme="minorEastAsia"/>
          <w:b/>
          <w:bCs/>
          <w:color w:val="000000" w:themeColor="text1"/>
          <w:sz w:val="28"/>
          <w:szCs w:val="28"/>
          <w:highlight w:val="none"/>
          <w14:textFill>
            <w14:solidFill>
              <w14:schemeClr w14:val="tx1"/>
            </w14:solidFill>
          </w14:textFill>
        </w:rPr>
        <w:t xml:space="preserve">9</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月1日至投标截止日期间，未受到中国注册会计师协会、中国证券管理委员会及其派出机构行政处罚、监管措施、公开谴责、通报批评、训诫等处罚的，以上述监管部门的官网信息为依据</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由投标人出具承诺函，承诺函需体现相关内容</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格式自拟。</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注：</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投标人提供的</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材料，</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若经查证内容不实的，依照有关规定取消其中标资格，同时采购人保留将其列入失信记录、通报行业主管部门等责任追究方式。</w:t>
      </w:r>
      <w:r/>
    </w:p>
    <w:p>
      <w:pPr>
        <w:jc w:val="left"/>
        <w:spacing w:line="560" w:lineRule="exact"/>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7</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）拒绝下述供应商参加本次采购活动：</w:t>
      </w:r>
      <w:r/>
    </w:p>
    <w:p>
      <w:pPr>
        <w:jc w:val="left"/>
        <w:spacing w:line="560" w:lineRule="exact"/>
        <w:rPr>
          <w:b w:val="0"/>
          <w:bCs w:val="0"/>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1）单位负责人为同一人或者存在直接控股、管理关系的不同供应商，不得参加同一合同项下的政府采购活动；</w:t>
      </w:r>
      <w:r/>
    </w:p>
    <w:p>
      <w:pPr>
        <w:jc w:val="left"/>
        <w:spacing w:line="560" w:lineRule="exact"/>
        <w:rPr>
          <w:b w:val="0"/>
          <w:bCs w:val="0"/>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2）为采购项目提供整体设计、规范编制或者项目管理、监理、检测等服务的供应商，不得参加本项目的采购活动；</w:t>
      </w:r>
      <w:r/>
    </w:p>
    <w:p>
      <w:pPr>
        <w:jc w:val="left"/>
        <w:spacing w:line="560" w:lineRule="exact"/>
        <w:rPr>
          <w:b w:val="0"/>
          <w:bCs w:val="0"/>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3）供应商被“信用中国”网站、“中国政府采购网”列入失信被执行人、重大税收违法案件当事人名单、政府采购严重违法失信行为记录名单。</w:t>
      </w:r>
      <w:r/>
    </w:p>
    <w:p>
      <w:pPr>
        <w:jc w:val="left"/>
        <w:spacing w:line="560" w:lineRule="exact"/>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(以上内容提供承诺函格式自拟，并加盖电子章。代理机构将在文件提交截止时间后，查询供应商信用记录并保存)</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三</w:t>
      </w: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、获取招标文件</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1</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时间：自招标文件公告发布之日起</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5个工作日</w:t>
      </w:r>
      <w:r>
        <w:rPr>
          <w:rFonts w:hint="eastAsia" w:ascii="宋体" w:hAnsi="宋体" w:eastAsia="宋体" w:cs="Times New Roman"/>
          <w:color w:val="000000" w:themeColor="text1"/>
          <w:sz w:val="28"/>
          <w:szCs w:val="28"/>
          <w:highlight w:val="none"/>
          <w14:textFill>
            <w14:solidFill>
              <w14:schemeClr w14:val="tx1"/>
            </w14:solidFill>
          </w14:textFill>
        </w:rPr>
        <w:t xml:space="preserve">。</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2</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方式：</w:t>
      </w:r>
      <w:bookmarkStart w:id="4" w:name="OLE_LINK31"/>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r/>
    </w:p>
    <w:p>
      <w:pPr>
        <w:jc w:val="left"/>
        <w:spacing w:line="560" w:lineRule="exact"/>
        <w:rPr>
          <w:rFonts w:hint="eastAsia"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四、提交投标文件截止时间、开标时间和地点</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提交投标文件截止时间、开标时间：</w:t>
      </w:r>
      <w:r>
        <w:rPr>
          <w:rFonts w:hint="eastAsia" w:ascii="宋体" w:hAnsi="宋体"/>
          <w:color w:val="000000" w:themeColor="text1"/>
          <w:sz w:val="28"/>
          <w:szCs w:val="28"/>
          <w:highlight w:val="none"/>
          <w:lang w:val="zh-CN"/>
          <w14:textFill>
            <w14:solidFill>
              <w14:schemeClr w14:val="tx1"/>
            </w14:solidFill>
          </w14:textFill>
        </w:rPr>
        <w:t xml:space="preserve">2026</w:t>
      </w:r>
      <w:r>
        <w:rPr>
          <w:rFonts w:ascii="宋体" w:hAnsi="宋体"/>
          <w:color w:val="000000" w:themeColor="text1"/>
          <w:sz w:val="28"/>
          <w:szCs w:val="28"/>
          <w:highlight w:val="none"/>
          <w:lang w:val="zh-CN"/>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11</w:t>
      </w:r>
      <w:r>
        <w:rPr>
          <w:rFonts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18</w:t>
      </w:r>
      <w:r>
        <w:rPr>
          <w:rFonts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09</w:t>
      </w:r>
      <w:r>
        <w:rPr>
          <w:rFonts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00</w:t>
      </w:r>
      <w:r>
        <w:rPr>
          <w:rFonts w:ascii="宋体" w:hAnsi="宋体"/>
          <w:color w:val="000000" w:themeColor="text1"/>
          <w:sz w:val="28"/>
          <w:szCs w:val="28"/>
          <w:highlight w:val="none"/>
          <w:lang w:val="zh-CN"/>
          <w14:textFill>
            <w14:solidFill>
              <w14:schemeClr w14:val="tx1"/>
            </w14:solidFill>
          </w14:textFill>
        </w:rPr>
        <w:t xml:space="preserve">分（北京时间）。</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pStyle w:val="673"/>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五、公告期限</w:t>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自本公告在法定媒体发布之日起五个工作日。</w:t>
      </w:r>
      <w:r/>
    </w:p>
    <w:p>
      <w:pPr>
        <w:pStyle w:val="673"/>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六、其他补充事宜</w:t>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是否接受进口产品：不接受。</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zh-CN"/>
          <w14:textFill>
            <w14:solidFill>
              <w14:schemeClr w14:val="tx1"/>
            </w14:solidFill>
          </w14:textFill>
        </w:rPr>
        <w:t xml:space="preserve">、集中考察现场及答疑时间、地点：采购人不组织。供应商如果对采购需求有疑问请和采购单位联系人沟通。</w:t>
      </w:r>
      <w:r>
        <w:rPr>
          <w:rFonts w:hint="eastAsia" w:ascii="宋体" w:hAnsi="宋体" w:eastAsia="宋体" w:cs="宋体"/>
          <w:color w:val="000000" w:themeColor="text1"/>
          <w:sz w:val="28"/>
          <w:szCs w:val="28"/>
          <w:highlight w:val="none"/>
          <w:lang w:val="zh-CN"/>
          <w14:textFill>
            <w14:solidFill>
              <w14:schemeClr w14:val="tx1"/>
            </w14:solidFill>
          </w14:textFill>
        </w:rPr>
        <w:br/>
      </w:r>
      <w:bookmarkStart w:id="5" w:name="OLE_LINK1"/>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《操作手册》</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Style w:val="718"/>
          <w:rFonts w:hint="eastAsia" w:ascii="宋体" w:hAnsi="宋体" w:eastAsia="宋体" w:cs="宋体"/>
          <w:color w:val="000000" w:themeColor="text1"/>
          <w:sz w:val="28"/>
          <w:szCs w:val="28"/>
          <w:highlight w:val="none"/>
          <w:lang w:eastAsia="zh-CN"/>
          <w14:textFill>
            <w14:solidFill>
              <w14:schemeClr w14:val="tx1"/>
            </w14:solidFill>
          </w14:textFill>
        </w:rPr>
        <w:t xml:space="preserve">下载地址</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（CTRL+鼠标左键）。</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（1）符合国家相关规定的财务状况报告；</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（2）依法缴纳税收的证明材料；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（3）依法缴纳社会保障资金的证明材料；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（4）具备履行政府采购合同所必需的设备和专业技术能力的证明材料；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（5）参加政府采购活动前三年内在经营活动中没有重大违法记录的证明材料；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（6）未被列入失信被执行人、重大税收违法失信主体、政府采购严重违法失信行为记录名单的证明材料。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供应商在成交后，应按文件要求，将上述由信用承诺书替代的证明材料（一式两份）加盖公章，提交采购人或采购代理机构核验。经核验无误后，由采购人或采购代理机构发出成交通知书。</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供应商涉及以下情形的，不适用信用承诺:</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（1）供应商被列入严重失信主体名单；</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（2）被相关监管部门作出行政处罚且尚在处罚有效期内；</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（3）其他法律、行政法规规定的不适用信用承诺的情形；</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供应商对信用承诺内容的真实性、合法性、有效性负责。如作出虚假信用承诺，视同为“提供虚假材料谋取成交”的违法行为。</w:t>
      </w:r>
      <w:bookmarkEnd w:id="5"/>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、对本次招标提出询问，请按以下方式联系</w:t>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（1）采购单位联系方式</w:t>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采购单位：南京市人民政府国有资产监督管理委员会</w:t>
      </w:r>
      <w:r/>
    </w:p>
    <w:p>
      <w:pPr>
        <w:pStyle w:val="673"/>
        <w:ind w:firstLine="0"/>
        <w:spacing w:line="56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采购单位联系人：</w:t>
      </w:r>
      <w:r>
        <w:rPr>
          <w:rFonts w:hint="eastAsia"/>
          <w:color w:val="000000" w:themeColor="text1"/>
          <w:highlight w:val="none"/>
          <w:lang w:val="en-US" w:eastAsia="zh-CN"/>
          <w14:textFill>
            <w14:solidFill>
              <w14:schemeClr w14:val="tx1"/>
            </w14:solidFill>
          </w14:textFill>
        </w:rPr>
        <w:t xml:space="preserve">沈老师</w:t>
      </w:r>
      <w:r/>
    </w:p>
    <w:p>
      <w:pPr>
        <w:pStyle w:val="673"/>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采购单位联系方式：025-68786787</w:t>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办公地址：南京市建邺区江东中路265号</w:t>
      </w:r>
      <w:r/>
    </w:p>
    <w:p>
      <w:pPr>
        <w:pStyle w:val="673"/>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2）代理机构联系方式</w:t>
      </w:r>
      <w:r/>
    </w:p>
    <w:p>
      <w:pPr>
        <w:pStyle w:val="673"/>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代理机构：</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w:t>
      </w:r>
      <w:r/>
    </w:p>
    <w:p>
      <w:pPr>
        <w:pStyle w:val="673"/>
        <w:ind w:firstLine="0"/>
        <w:spacing w:line="56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代理机构</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周工、祝工</w:t>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联系电话：025-69576310</w:t>
      </w:r>
      <w:r/>
    </w:p>
    <w:p>
      <w:pPr>
        <w:pStyle w:val="673"/>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办公地址：南京市鼓楼区江东北路95号3楼</w:t>
      </w:r>
      <w:r/>
    </w:p>
    <w:p>
      <w:pPr>
        <w:pStyle w:val="673"/>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、有关本次招标的事项若存在变动或修改，请及时关注“江苏政府采购网”（www.ccgp-jiangsu.gov.cn）更正公告。</w:t>
      </w:r>
      <w:r/>
    </w:p>
    <w:p>
      <w:pPr>
        <w:pStyle w:val="673"/>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color w:val="000000" w:themeColor="text1"/>
          <w:sz w:val="28"/>
          <w:highlight w:val="none"/>
          <w:lang w:val="zh-CN"/>
          <w14:textFill>
            <w14:solidFill>
              <w14:schemeClr w14:val="tx1"/>
            </w14:solidFill>
          </w14:textFill>
        </w:rPr>
      </w:pPr>
      <w:r>
        <w:rPr>
          <w:rFonts w:ascii="宋体"/>
          <w:b/>
          <w:bCs/>
          <w:color w:val="000000" w:themeColor="text1"/>
          <w:sz w:val="28"/>
          <w:highlight w:val="none"/>
          <w:lang w:val="zh-CN"/>
          <w14:textFill>
            <w14:solidFill>
              <w14:schemeClr w14:val="tx1"/>
            </w14:solidFill>
          </w14:textFill>
        </w:rPr>
        <w:br w:type="page" w:clear="all"/>
      </w:r>
      <w:r/>
    </w:p>
    <w:p>
      <w:pPr>
        <w:pStyle w:val="661"/>
        <w:jc w:val="center"/>
        <w:rPr>
          <w:rFonts w:asciiTheme="minorEastAsia" w:hAnsiTheme="minorEastAsia" w:eastAsiaTheme="minorEastAsia"/>
          <w:color w:val="000000" w:themeColor="text1"/>
          <w:highlight w:val="none"/>
          <w14:textFill>
            <w14:solidFill>
              <w14:schemeClr w14:val="tx1"/>
            </w14:solidFill>
          </w14:textFill>
        </w:rPr>
      </w:pPr>
      <w:r/>
      <w:bookmarkStart w:id="6" w:name="_Toc29826"/>
      <w:r/>
      <w:bookmarkStart w:id="7" w:name="_Toc93054152"/>
      <w:r>
        <w:rPr>
          <w:rFonts w:asciiTheme="minorEastAsia" w:hAnsiTheme="minorEastAsia" w:eastAsiaTheme="minorEastAsia"/>
          <w:color w:val="000000" w:themeColor="text1"/>
          <w:highlight w:val="none"/>
          <w14:textFill>
            <w14:solidFill>
              <w14:schemeClr w14:val="tx1"/>
            </w14:solidFill>
          </w14:textFill>
        </w:rPr>
        <w:t xml:space="preserve">第二章 供应商须知</w:t>
      </w:r>
      <w:bookmarkEnd w:id="6"/>
      <w:r/>
      <w:bookmarkEnd w:id="7"/>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一、总   则</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1.招标方式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 w:name="_Toc513029205"/>
      <w:r/>
      <w:bookmarkEnd w:id="8"/>
      <w:r/>
      <w:bookmarkStart w:id="9" w:name="_Toc20823277"/>
      <w:r/>
      <w:bookmarkEnd w:id="9"/>
      <w:r/>
      <w:bookmarkStart w:id="10" w:name="_Toc16938521"/>
      <w:r/>
      <w:bookmarkEnd w:id="10"/>
      <w:r>
        <w:rPr>
          <w:rFonts w:hint="eastAsia" w:ascii="宋体" w:hAnsi="宋体"/>
          <w:b/>
          <w:color w:val="000000" w:themeColor="text1"/>
          <w:sz w:val="28"/>
          <w:szCs w:val="28"/>
          <w:highlight w:val="none"/>
          <w14:textFill>
            <w14:solidFill>
              <w14:schemeClr w14:val="tx1"/>
            </w14:solidFill>
          </w14:textFill>
        </w:rPr>
        <w:t xml:space="preserve">2.合格的投标人</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2.1 满足招标公告对供应商资格要求的规定。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2.2 满足本文件规定的实质性要求和条件。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1" w:name="_Toc16938522"/>
      <w:r/>
      <w:bookmarkEnd w:id="11"/>
      <w:r/>
      <w:bookmarkStart w:id="12" w:name="_Toc20823278"/>
      <w:r/>
      <w:bookmarkEnd w:id="12"/>
      <w:r/>
      <w:bookmarkStart w:id="13" w:name="_Toc513029206"/>
      <w:r/>
      <w:bookmarkEnd w:id="13"/>
      <w:r>
        <w:rPr>
          <w:rFonts w:hint="eastAsia" w:ascii="宋体" w:hAnsi="宋体"/>
          <w:b/>
          <w:color w:val="000000" w:themeColor="text1"/>
          <w:sz w:val="28"/>
          <w:szCs w:val="28"/>
          <w:highlight w:val="none"/>
          <w14:textFill>
            <w14:solidFill>
              <w14:schemeClr w14:val="tx1"/>
            </w14:solidFill>
          </w14:textFill>
        </w:rPr>
        <w:t xml:space="preserve">3.适用法律</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4" w:name="_Toc16938523"/>
      <w:r/>
      <w:bookmarkEnd w:id="14"/>
      <w:r/>
      <w:bookmarkStart w:id="15" w:name="_Toc462564067"/>
      <w:r/>
      <w:bookmarkEnd w:id="15"/>
      <w:r/>
      <w:bookmarkStart w:id="16" w:name="_Toc20823279"/>
      <w:r/>
      <w:bookmarkEnd w:id="16"/>
      <w:r/>
      <w:bookmarkStart w:id="17" w:name="_Toc513029207"/>
      <w:r/>
      <w:bookmarkEnd w:id="17"/>
      <w:r>
        <w:rPr>
          <w:rFonts w:hint="eastAsia" w:ascii="宋体" w:hAnsi="宋体"/>
          <w:b/>
          <w:color w:val="000000" w:themeColor="text1"/>
          <w:sz w:val="28"/>
          <w:szCs w:val="28"/>
          <w:highlight w:val="none"/>
          <w14:textFill>
            <w14:solidFill>
              <w14:schemeClr w14:val="tx1"/>
            </w14:solidFill>
          </w14:textFill>
        </w:rPr>
        <w:t xml:space="preserve">4.投标费用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在任何情况下均无义务和责任承担这些费用。</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4.2 </w:t>
      </w:r>
      <w:r>
        <w:rPr>
          <w:rFonts w:hint="eastAsia" w:ascii="宋体" w:hAnsi="宋体"/>
          <w:color w:val="000000" w:themeColor="text1"/>
          <w:sz w:val="28"/>
          <w:szCs w:val="28"/>
          <w:highlight w:val="none"/>
          <w14:textFill>
            <w14:solidFill>
              <w14:schemeClr w14:val="tx1"/>
            </w14:solidFill>
          </w14:textFill>
        </w:rPr>
        <w:t xml:space="preserve">根据《政府采购代理机构管理暂行办法》(财库(2018)2号)第十五条及《关于进一步规范政府采购活动相关费用管理的通知》(苏财规(2026)1号)相关规定，本项目代理服务费由中标供应商承担并包含在投标报价中，该笔费用综合包含于投标人投标总报价内，投标人报价表无需单独列示此项费用。专家评审费由采购人支付。</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4.3代理服务费</w:t>
      </w:r>
      <w:r>
        <w:rPr>
          <w:rFonts w:ascii="宋体" w:hAnsi="宋体"/>
          <w:color w:val="000000" w:themeColor="text1"/>
          <w:sz w:val="28"/>
          <w:szCs w:val="28"/>
          <w:highlight w:val="none"/>
          <w14:textFill>
            <w14:solidFill>
              <w14:schemeClr w14:val="tx1"/>
            </w14:solidFill>
          </w14:textFill>
        </w:rPr>
        <w:t xml:space="preserve">收费标准参照国家计委《招标代理服务收费管理暂行办法》（计价格〔2002〕1980 号） 计取，按该文件规定收费标准计取</w:t>
      </w:r>
      <w:r>
        <w:rPr>
          <w:rFonts w:hint="eastAsia"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5718175" cy="2461260"/>
                <wp:effectExtent l="0" t="0" r="9525" b="2540"/>
                <wp:docPr id="2" name="图片 1"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622eedd394c3ec7b3638eaf75c227fd2"/>
                        <pic:cNvPicPr>
                          <a:picLocks noChangeAspect="1"/>
                        </pic:cNvPicPr>
                        <pic:nvPr/>
                      </pic:nvPicPr>
                      <pic:blipFill>
                        <a:blip r:embed="rId16"/>
                        <a:srcRect l="883" t="0" r="1114" b="10387"/>
                        <a:stretch/>
                      </pic:blipFill>
                      <pic:spPr bwMode="auto">
                        <a:xfrm>
                          <a:off x="0" y="0"/>
                          <a:ext cx="5718175" cy="2461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2pt;height:193.8pt;mso-wrap-distance-left:0.0pt;mso-wrap-distance-top:0.0pt;mso-wrap-distance-right:0.0pt;mso-wrap-distance-bottom:0.0pt;" stroked="f">
                <v:path textboxrect="0,0,0,0"/>
                <v:imagedata r:id="rId16" o:title=""/>
              </v:shape>
            </w:pict>
          </mc:Fallback>
        </mc:AlternateConten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w:t>
      </w:r>
      <w:r>
        <w:rPr>
          <w:rFonts w:hint="eastAsia" w:ascii="宋体" w:hAnsi="宋体"/>
          <w:color w:val="000000" w:themeColor="text1"/>
          <w:sz w:val="28"/>
          <w:szCs w:val="28"/>
          <w:highlight w:val="none"/>
          <w:lang w:val="zh-CN"/>
          <w14:textFill>
            <w14:solidFill>
              <w14:schemeClr w14:val="tx1"/>
            </w14:solidFill>
          </w14:textFill>
        </w:rPr>
        <w:t xml:space="preserve">招标代理服务收费按差额定率累进法计算。如</w:t>
      </w:r>
      <w:r>
        <w:rPr>
          <w:rFonts w:hint="eastAsia" w:ascii="宋体" w:hAnsi="宋体"/>
          <w:color w:val="000000" w:themeColor="text1"/>
          <w:sz w:val="28"/>
          <w:szCs w:val="28"/>
          <w:highlight w:val="none"/>
          <w14:textFill>
            <w14:solidFill>
              <w14:schemeClr w14:val="tx1"/>
            </w14:solidFill>
          </w14:textFill>
        </w:rPr>
        <w:t xml:space="preserve">服务项目</w:t>
      </w:r>
      <w:r>
        <w:rPr>
          <w:rFonts w:hint="eastAsia" w:ascii="宋体" w:hAnsi="宋体"/>
          <w:color w:val="000000" w:themeColor="text1"/>
          <w:sz w:val="28"/>
          <w:szCs w:val="28"/>
          <w:highlight w:val="none"/>
          <w:lang w:val="zh-CN"/>
          <w14:textFill>
            <w14:solidFill>
              <w14:schemeClr w14:val="tx1"/>
            </w14:solidFill>
          </w14:textFill>
        </w:rPr>
        <w:t xml:space="preserve">中标金额为</w:t>
      </w:r>
      <w:r>
        <w:rPr>
          <w:rFonts w:hint="eastAsia" w:ascii="宋体" w:hAnsi="宋体"/>
          <w:color w:val="000000" w:themeColor="text1"/>
          <w:sz w:val="28"/>
          <w:szCs w:val="28"/>
          <w:highlight w:val="none"/>
          <w14:textFill>
            <w14:solidFill>
              <w14:schemeClr w14:val="tx1"/>
            </w14:solidFill>
          </w14:textFill>
        </w:rPr>
        <w:t xml:space="preserve">500</w:t>
      </w:r>
      <w:r>
        <w:rPr>
          <w:rFonts w:hint="eastAsia" w:ascii="宋体" w:hAnsi="宋体"/>
          <w:color w:val="000000" w:themeColor="text1"/>
          <w:sz w:val="28"/>
          <w:szCs w:val="28"/>
          <w:highlight w:val="none"/>
          <w:lang w:val="zh-CN"/>
          <w14:textFill>
            <w14:solidFill>
              <w14:schemeClr w14:val="tx1"/>
            </w14:solidFill>
          </w14:textFill>
        </w:rPr>
        <w:t xml:space="preserve">万元，计算招标代理服务收费额如下：</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金额区间</w:t>
            </w:r>
            <w:r/>
          </w:p>
        </w:tc>
        <w:tc>
          <w:tcPr>
            <w:tcW w:w="1348"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费率</w:t>
            </w:r>
            <w:r/>
          </w:p>
        </w:tc>
        <w:tc>
          <w:tcPr>
            <w:tcW w:w="224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计算金额（万元）</w:t>
            </w:r>
            <w:r/>
          </w:p>
        </w:tc>
        <w:tc>
          <w:tcPr>
            <w:tcW w:w="2082"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代理费（万元）</w:t>
            </w:r>
            <w:r/>
          </w:p>
        </w:tc>
      </w:tr>
      <w:tr>
        <w:trPr>
          <w:jc w:val="center"/>
        </w:trPr>
        <w:tc>
          <w:tcPr>
            <w:tcW w:w="2475" w:type="dxa"/>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100万以下</w:t>
            </w:r>
            <w:r/>
          </w:p>
        </w:tc>
        <w:tc>
          <w:tcPr>
            <w:tcW w:w="1348"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1.5%</w:t>
            </w:r>
            <w:r/>
          </w:p>
        </w:tc>
        <w:tc>
          <w:tcPr>
            <w:tcW w:w="224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100</w:t>
            </w:r>
            <w:r/>
          </w:p>
        </w:tc>
        <w:tc>
          <w:tcPr>
            <w:tcW w:w="2082"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1.5</w:t>
            </w:r>
            <w:r/>
          </w:p>
        </w:tc>
      </w:tr>
      <w:tr>
        <w:trPr>
          <w:jc w:val="center"/>
        </w:trPr>
        <w:tc>
          <w:tcPr>
            <w:tcW w:w="2475" w:type="dxa"/>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100万—500万</w:t>
            </w:r>
            <w:r/>
          </w:p>
        </w:tc>
        <w:tc>
          <w:tcPr>
            <w:tcW w:w="1348" w:type="dxa"/>
            <w:vAlign w:val="top"/>
            <w:textDirection w:val="lrTb"/>
            <w:noWrap w:val="false"/>
          </w:tcPr>
          <w:p>
            <w:pPr>
              <w:jc w:val="center"/>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0.8%</w:t>
            </w:r>
            <w:r/>
          </w:p>
        </w:tc>
        <w:tc>
          <w:tcPr>
            <w:tcW w:w="224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400</w:t>
            </w:r>
            <w:r/>
          </w:p>
        </w:tc>
        <w:tc>
          <w:tcPr>
            <w:tcW w:w="2082" w:type="dxa"/>
            <w:vAlign w:val="top"/>
            <w:textDirection w:val="lrTb"/>
            <w:noWrap w:val="false"/>
          </w:tcPr>
          <w:p>
            <w:pPr>
              <w:jc w:val="center"/>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w:t>
            </w:r>
            <w:r/>
          </w:p>
        </w:tc>
      </w:tr>
      <w:tr>
        <w:trPr>
          <w:jc w:val="center"/>
        </w:trPr>
        <w:tc>
          <w:tcPr>
            <w:gridSpan w:val="3"/>
            <w:tcW w:w="6068"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代理费</w:t>
            </w:r>
            <w:r/>
          </w:p>
        </w:tc>
        <w:tc>
          <w:tcPr>
            <w:tcW w:w="2082" w:type="dxa"/>
            <w:vAlign w:val="top"/>
            <w:textDirection w:val="lrTb"/>
            <w:noWrap w:val="false"/>
          </w:tcPr>
          <w:p>
            <w:pPr>
              <w:jc w:val="center"/>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4.7</w:t>
            </w:r>
            <w:r/>
          </w:p>
        </w:tc>
      </w:tr>
    </w:tbl>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账户名称：江苏大友招标代理咨询有限公司</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开 户 行：交通银行南京长江路支行</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   号：320006623018010124880</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5.招标文件的约束力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5.1 投标人一旦参加本项目采购活动，即被认为接受了本招标文件的规定和约束。</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二、招标文件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6.招标文件构成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6.1 招标文件由以下部分组成：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（1）投标邀请</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（2）供应商须知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（3）评标标准</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（4）招标项目的服务要求和数量</w:t>
      </w:r>
      <w:r>
        <w:rPr>
          <w:rFonts w:hint="eastAsia" w:ascii="宋体" w:hAnsi="宋体"/>
          <w:color w:val="000000" w:themeColor="text1"/>
          <w:sz w:val="28"/>
          <w:szCs w:val="28"/>
          <w:highlight w:val="none"/>
          <w14:textFill>
            <w14:solidFill>
              <w14:schemeClr w14:val="tx1"/>
            </w14:solidFill>
          </w14:textFill>
        </w:rPr>
        <w:t xml:space="preserve">等</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（5）合同主要条款及格式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（6）投标文件格式及附件</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投标人应仔细检查招标文件是否齐全，如有缺漏请立即与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联系。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8" w:name="_Toc20823283"/>
      <w:r/>
      <w:bookmarkEnd w:id="18"/>
      <w:r/>
      <w:bookmarkStart w:id="19" w:name="_Toc16938527"/>
      <w:r/>
      <w:bookmarkEnd w:id="19"/>
      <w:r/>
      <w:bookmarkStart w:id="20" w:name="_Toc513029211"/>
      <w:r/>
      <w:bookmarkEnd w:id="20"/>
      <w:r/>
      <w:bookmarkStart w:id="21" w:name="_Toc462564070"/>
      <w:r/>
      <w:bookmarkEnd w:id="21"/>
      <w:r>
        <w:rPr>
          <w:rFonts w:hint="eastAsia" w:ascii="宋体" w:hAnsi="宋体"/>
          <w:b/>
          <w:color w:val="000000" w:themeColor="text1"/>
          <w:sz w:val="28"/>
          <w:szCs w:val="28"/>
          <w:highlight w:val="none"/>
          <w14:textFill>
            <w14:solidFill>
              <w14:schemeClr w14:val="tx1"/>
            </w14:solidFill>
          </w14:textFill>
        </w:rPr>
        <w:t xml:space="preserve">7.招标文件的澄清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2" w:name="_Toc16938528"/>
      <w:r/>
      <w:bookmarkEnd w:id="22"/>
      <w:r/>
      <w:bookmarkStart w:id="23" w:name="_Toc513029212"/>
      <w:r/>
      <w:bookmarkEnd w:id="23"/>
      <w:r/>
      <w:bookmarkStart w:id="24" w:name="_Toc462564071"/>
      <w:r/>
      <w:bookmarkEnd w:id="24"/>
      <w:r/>
      <w:bookmarkStart w:id="25" w:name="_Toc20823284"/>
      <w:r/>
      <w:bookmarkEnd w:id="25"/>
      <w:r>
        <w:rPr>
          <w:rFonts w:hint="eastAsia" w:ascii="宋体" w:hAnsi="宋体"/>
          <w:b/>
          <w:color w:val="000000" w:themeColor="text1"/>
          <w:sz w:val="28"/>
          <w:szCs w:val="28"/>
          <w:highlight w:val="none"/>
          <w14:textFill>
            <w14:solidFill>
              <w14:schemeClr w14:val="tx1"/>
            </w14:solidFill>
          </w14:textFill>
        </w:rPr>
        <w:t xml:space="preserve">8.招标文件的修改</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26" w:name="_Toc20823285"/>
      <w:r/>
      <w:bookmarkEnd w:id="26"/>
      <w:r/>
      <w:bookmarkStart w:id="27" w:name="_Toc513029213"/>
      <w:r/>
      <w:bookmarkEnd w:id="27"/>
      <w:r/>
      <w:bookmarkStart w:id="28" w:name="_Toc462564072"/>
      <w:r/>
      <w:bookmarkEnd w:id="28"/>
      <w:r/>
      <w:bookmarkStart w:id="29" w:name="_Toc16938529"/>
      <w:r/>
      <w:bookmarkEnd w:id="29"/>
      <w:r/>
      <w:bookmarkStart w:id="30" w:name="_Toc120614216"/>
      <w:r/>
      <w:bookmarkEnd w:id="30"/>
      <w:r>
        <w:rPr>
          <w:rFonts w:ascii="宋体" w:hAnsi="宋体"/>
          <w:color w:val="000000" w:themeColor="text1"/>
          <w:sz w:val="28"/>
          <w:szCs w:val="28"/>
          <w:highlight w:val="none"/>
          <w14:textFill>
            <w14:solidFill>
              <w14:schemeClr w14:val="tx1"/>
            </w14:solidFill>
          </w14:textFill>
        </w:rPr>
        <w:t xml:space="preserve">8.1 在投标截止时间前，</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可以对招标文件进行修改。招标文件的修改将在原公告媒体发布更正公告，更正内容将作为招标文件的组成部分，并对投标人具有约束力。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有权按照法定的要求推迟投标截止日期和开标日期，并在原公告媒体发布更正公告。</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三、投标文件的编制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9.投标文件的语言及度量衡单位</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9.1 投标人提交的投标文件以及投标人与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就有关投标的所有来往通知、函件和文件均应使用简体中文。</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1" w:name="_Toc513029215"/>
      <w:r/>
      <w:bookmarkEnd w:id="31"/>
      <w:r/>
      <w:bookmarkStart w:id="32" w:name="_Toc20823287"/>
      <w:r/>
      <w:bookmarkEnd w:id="32"/>
      <w:r/>
      <w:bookmarkStart w:id="33" w:name="_Toc16938531"/>
      <w:r/>
      <w:bookmarkEnd w:id="33"/>
      <w:r/>
      <w:bookmarkStart w:id="34" w:name="_Toc462564074"/>
      <w:r/>
      <w:bookmarkEnd w:id="34"/>
      <w:r>
        <w:rPr>
          <w:rFonts w:hint="eastAsia" w:ascii="宋体" w:hAnsi="宋体"/>
          <w:b/>
          <w:color w:val="000000" w:themeColor="text1"/>
          <w:sz w:val="28"/>
          <w:szCs w:val="28"/>
          <w:highlight w:val="none"/>
          <w14:textFill>
            <w14:solidFill>
              <w14:schemeClr w14:val="tx1"/>
            </w14:solidFill>
          </w14:textFill>
        </w:rPr>
        <w:t xml:space="preserve">10.投标文件构成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10.1 投标人编写的投标文件应包括资格证明文件、符合性证明文件、开标一览表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分项报价表、</w:t>
      </w:r>
      <w:r>
        <w:rPr>
          <w:rFonts w:hint="eastAsia" w:ascii="宋体" w:hAnsi="宋体"/>
          <w:color w:val="000000" w:themeColor="text1"/>
          <w:sz w:val="28"/>
          <w:szCs w:val="28"/>
          <w:highlight w:val="none"/>
          <w:lang w:val="en-US" w:eastAsia="zh-CN"/>
          <w14:textFill>
            <w14:solidFill>
              <w14:schemeClr w14:val="tx1"/>
            </w14:solidFill>
          </w14:textFill>
        </w:rPr>
        <w:t xml:space="preserve">响应及偏离表</w:t>
      </w:r>
      <w:r>
        <w:rPr>
          <w:rFonts w:ascii="宋体" w:hAnsi="宋体"/>
          <w:color w:val="000000" w:themeColor="text1"/>
          <w:sz w:val="28"/>
          <w:szCs w:val="28"/>
          <w:highlight w:val="none"/>
          <w14:textFill>
            <w14:solidFill>
              <w14:schemeClr w14:val="tx1"/>
            </w14:solidFill>
          </w14:textFill>
        </w:rPr>
        <w:t xml:space="preserve">、其他证明文件、投标申请及声明等部分。</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jc w:val="left"/>
        <w:spacing w:line="360" w:lineRule="auto"/>
        <w:rPr>
          <w:rFonts w:hint="default"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★（1）开标一览表、分项报价表；</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★（2）投标申请及声明；</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bookmarkStart w:id="35" w:name="OLE_LINK19"/>
      <w:r>
        <w:rPr>
          <w:rFonts w:hint="eastAsia" w:ascii="宋体" w:hAnsi="宋体"/>
          <w:color w:val="000000" w:themeColor="text1"/>
          <w:sz w:val="28"/>
          <w:szCs w:val="28"/>
          <w:highlight w:val="none"/>
          <w:lang w:val="en-US" w:eastAsia="zh-CN"/>
          <w14:textFill>
            <w14:solidFill>
              <w14:schemeClr w14:val="tx1"/>
            </w14:solidFill>
          </w14:textFill>
        </w:rPr>
        <w:t xml:space="preserve">技术要求响应及偏离表</w:t>
      </w:r>
      <w:bookmarkEnd w:id="35"/>
      <w:r>
        <w:rPr>
          <w:rFonts w:hint="eastAsia" w:ascii="宋体" w:hAnsi="宋体"/>
          <w:color w:val="000000" w:themeColor="text1"/>
          <w:sz w:val="28"/>
          <w:szCs w:val="28"/>
          <w:highlight w:val="none"/>
          <w:lang w:val="en-US" w:eastAsia="zh-CN"/>
          <w14:textFill>
            <w14:solidFill>
              <w14:schemeClr w14:val="tx1"/>
            </w14:solidFill>
          </w14:textFill>
        </w:rPr>
        <w:t xml:space="preserve">、商务要求响应及偏离表、实质性要求完全响应承诺书。</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6" w:name="_Toc513029219"/>
      <w:r/>
      <w:bookmarkEnd w:id="36"/>
      <w:r/>
      <w:bookmarkStart w:id="37" w:name="_Hlt26954838"/>
      <w:r/>
      <w:bookmarkEnd w:id="37"/>
      <w:r/>
      <w:bookmarkStart w:id="38" w:name="_Toc513029216"/>
      <w:r/>
      <w:bookmarkEnd w:id="38"/>
      <w:r/>
      <w:bookmarkStart w:id="39" w:name="_Hlt26670360"/>
      <w:r/>
      <w:bookmarkEnd w:id="39"/>
      <w:r/>
      <w:bookmarkStart w:id="40" w:name="_Hlt26668975"/>
      <w:r/>
      <w:bookmarkEnd w:id="40"/>
      <w:r/>
      <w:bookmarkStart w:id="41" w:name="_Toc14577357"/>
      <w:r/>
      <w:bookmarkEnd w:id="41"/>
      <w:r/>
      <w:bookmarkStart w:id="42" w:name="_Toc49090509"/>
      <w:r/>
      <w:bookmarkEnd w:id="42"/>
      <w:r/>
      <w:bookmarkStart w:id="43" w:name="_Toc49090507"/>
      <w:r/>
      <w:bookmarkEnd w:id="43"/>
      <w:r/>
      <w:bookmarkStart w:id="44" w:name="_Toc14577354"/>
      <w:r/>
      <w:bookmarkEnd w:id="44"/>
      <w:r>
        <w:rPr>
          <w:rFonts w:hint="eastAsia" w:ascii="宋体" w:hAnsi="宋体"/>
          <w:b/>
          <w:color w:val="000000" w:themeColor="text1"/>
          <w:sz w:val="28"/>
          <w:szCs w:val="28"/>
          <w:highlight w:val="none"/>
          <w14:textFill>
            <w14:solidFill>
              <w14:schemeClr w14:val="tx1"/>
            </w14:solidFill>
          </w14:textFill>
        </w:rPr>
        <w:t xml:space="preserve">11.证明投标人及投标标的符合招标文件规定的文件</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45" w:name="_Toc14577355"/>
      <w:r/>
      <w:bookmarkEnd w:id="45"/>
      <w:r/>
      <w:bookmarkStart w:id="46" w:name="_Toc49090508"/>
      <w:r/>
      <w:bookmarkEnd w:id="46"/>
      <w:r>
        <w:rPr>
          <w:rFonts w:ascii="宋体" w:hAnsi="宋体"/>
          <w:color w:val="000000" w:themeColor="text1"/>
          <w:sz w:val="28"/>
          <w:szCs w:val="28"/>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11.2 招标文件对证明文件无明确形式要求的，证明文件可以以文字资料、图纸和数据等形式提交。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12.1 投</w:t>
      </w:r>
      <w:bookmarkStart w:id="47" w:name="_Hlt26954840"/>
      <w:r/>
      <w:bookmarkEnd w:id="47"/>
      <w:r>
        <w:rPr>
          <w:rFonts w:ascii="宋体" w:hAnsi="宋体"/>
          <w:color w:val="000000" w:themeColor="text1"/>
          <w:sz w:val="28"/>
          <w:szCs w:val="28"/>
          <w:highlight w:val="none"/>
          <w14:textFill>
            <w14:solidFill>
              <w14:schemeClr w14:val="tx1"/>
            </w14:solidFill>
          </w14:textFill>
        </w:rPr>
        <w:t xml:space="preserve">标人应按照招标文件规定格式填报</w:t>
      </w:r>
      <w:bookmarkStart w:id="48" w:name="_Hlt26670399"/>
      <w:r/>
      <w:bookmarkEnd w:id="48"/>
      <w:r>
        <w:rPr>
          <w:rFonts w:ascii="宋体" w:hAnsi="宋体"/>
          <w:color w:val="000000" w:themeColor="text1"/>
          <w:sz w:val="28"/>
          <w:szCs w:val="28"/>
          <w:highlight w:val="none"/>
          <w14:textFill>
            <w14:solidFill>
              <w14:schemeClr w14:val="tx1"/>
            </w14:solidFill>
          </w14:textFill>
        </w:rPr>
        <w:t xml:space="preserve">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12.2 投标货币。投标文件中的单价和总价无特殊规定的采用人民币报价，以元为单位标注。招标文件中另有规定的按规定执行。</w:t>
      </w:r>
      <w:r/>
    </w:p>
    <w:p>
      <w:pPr>
        <w:jc w:val="left"/>
        <w:spacing w:line="360" w:lineRule="auto"/>
        <w:rPr>
          <w:rFonts w:hint="default" w:ascii="宋体" w:hAnsi="宋体" w:eastAsia="宋体"/>
          <w:b/>
          <w:color w:val="000000" w:themeColor="text1"/>
          <w:sz w:val="28"/>
          <w:szCs w:val="28"/>
          <w:highlight w:val="none"/>
          <w:lang w:val="en-US" w:eastAsia="zh-CN"/>
          <w14:textFill>
            <w14:solidFill>
              <w14:schemeClr w14:val="tx1"/>
            </w14:solidFill>
          </w14:textFill>
        </w:rPr>
      </w:pPr>
      <w:r/>
      <w:bookmarkStart w:id="49" w:name="_Hlt26670482"/>
      <w:r/>
      <w:bookmarkEnd w:id="49"/>
      <w:r/>
      <w:bookmarkStart w:id="50" w:name="_Hlt26954848"/>
      <w:r/>
      <w:bookmarkEnd w:id="50"/>
      <w:r/>
      <w:bookmarkStart w:id="51" w:name="_Hlt26954846"/>
      <w:r/>
      <w:bookmarkEnd w:id="51"/>
      <w:r/>
      <w:bookmarkStart w:id="52" w:name="_Hlt26954731"/>
      <w:r/>
      <w:bookmarkEnd w:id="52"/>
      <w:r/>
      <w:bookmarkStart w:id="53" w:name="_Hlt26668983"/>
      <w:r/>
      <w:bookmarkEnd w:id="53"/>
      <w:r/>
      <w:bookmarkStart w:id="54" w:name="_Hlt26954844"/>
      <w:r/>
      <w:bookmarkEnd w:id="54"/>
      <w:r/>
      <w:bookmarkStart w:id="55" w:name="_Hlt26670425"/>
      <w:r/>
      <w:bookmarkEnd w:id="55"/>
      <w:r/>
      <w:bookmarkStart w:id="56" w:name="_Hlt26670486"/>
      <w:r/>
      <w:bookmarkEnd w:id="56"/>
      <w:r/>
      <w:bookmarkStart w:id="57" w:name="_Hlt26670403"/>
      <w:r/>
      <w:bookmarkEnd w:id="57"/>
      <w:r/>
      <w:bookmarkStart w:id="58" w:name="_Hlt26954842"/>
      <w:r/>
      <w:bookmarkEnd w:id="58"/>
      <w:r>
        <w:rPr>
          <w:rFonts w:hint="eastAsia" w:ascii="宋体" w:hAnsi="宋体"/>
          <w:b/>
          <w:color w:val="000000" w:themeColor="text1"/>
          <w:sz w:val="28"/>
          <w:szCs w:val="28"/>
          <w:highlight w:val="none"/>
          <w14:textFill>
            <w14:solidFill>
              <w14:schemeClr w14:val="tx1"/>
            </w14:solidFill>
          </w14:textFill>
        </w:rPr>
        <w:t xml:space="preserve">13.</w:t>
      </w:r>
      <w:r>
        <w:rPr>
          <w:rFonts w:hint="eastAsia" w:ascii="宋体" w:hAnsi="宋体"/>
          <w:b/>
          <w:color w:val="000000" w:themeColor="text1"/>
          <w:sz w:val="28"/>
          <w:szCs w:val="28"/>
          <w:highlight w:val="none"/>
          <w:lang w:val="en-US" w:eastAsia="zh-CN"/>
          <w14:textFill>
            <w14:solidFill>
              <w14:schemeClr w14:val="tx1"/>
            </w14:solidFill>
          </w14:textFill>
        </w:rPr>
        <w:t xml:space="preserve">响应及偏离表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13.1 投标人需对招标文件中的技术要求与商务要求逐项作出响应</w:t>
      </w:r>
      <w:r>
        <w:rPr>
          <w:rFonts w:ascii="宋体" w:hAnsi="宋体"/>
          <w:color w:val="000000" w:themeColor="text1"/>
          <w:sz w:val="28"/>
          <w:szCs w:val="28"/>
          <w:highlight w:val="none"/>
          <w14:textFill>
            <w14:solidFill>
              <w14:schemeClr w14:val="tx1"/>
            </w14:solidFill>
          </w14:textFill>
        </w:rPr>
        <w:t xml:space="preserve">或</w:t>
      </w:r>
      <w:r>
        <w:rPr>
          <w:rFonts w:ascii="宋体" w:hAnsi="宋体"/>
          <w:color w:val="000000" w:themeColor="text1"/>
          <w:sz w:val="28"/>
          <w:szCs w:val="28"/>
          <w:highlight w:val="none"/>
          <w:lang w:val="zh-CN"/>
          <w14:textFill>
            <w14:solidFill>
              <w14:schemeClr w14:val="tx1"/>
            </w14:solidFill>
          </w14:textFill>
        </w:rPr>
        <w:t xml:space="preserve">偏离说明。</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9" w:name="_Toc14577359"/>
      <w:r/>
      <w:bookmarkEnd w:id="59"/>
      <w:r/>
      <w:bookmarkStart w:id="60" w:name="_Toc49090510"/>
      <w:r/>
      <w:bookmarkEnd w:id="60"/>
      <w:r>
        <w:rPr>
          <w:rFonts w:hint="eastAsia" w:ascii="宋体" w:hAnsi="宋体"/>
          <w:b/>
          <w:color w:val="000000" w:themeColor="text1"/>
          <w:sz w:val="28"/>
          <w:szCs w:val="28"/>
          <w:highlight w:val="none"/>
          <w14:textFill>
            <w14:solidFill>
              <w14:schemeClr w14:val="tx1"/>
            </w14:solidFill>
          </w14:textFill>
        </w:rPr>
        <w:t xml:space="preserve">14.投标申请及声明和开标一览表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14.1 投标人应按照招标文件规定格式完整、正确填报</w:t>
      </w:r>
      <w:r>
        <w:rPr>
          <w:rFonts w:ascii="宋体" w:hAnsi="宋体"/>
          <w:color w:val="000000" w:themeColor="text1"/>
          <w:sz w:val="28"/>
          <w:szCs w:val="28"/>
          <w:highlight w:val="none"/>
          <w14:textFill>
            <w14:solidFill>
              <w14:schemeClr w14:val="tx1"/>
            </w14:solidFill>
          </w14:textFill>
        </w:rPr>
        <w:t xml:space="preserve">投标申请及声明</w:t>
      </w:r>
      <w:r>
        <w:rPr>
          <w:rFonts w:ascii="宋体" w:hAnsi="宋体"/>
          <w:color w:val="000000" w:themeColor="text1"/>
          <w:sz w:val="28"/>
          <w:szCs w:val="28"/>
          <w:highlight w:val="none"/>
          <w:lang w:val="zh-CN"/>
          <w14:textFill>
            <w14:solidFill>
              <w14:schemeClr w14:val="tx1"/>
            </w14:solidFill>
          </w14:textFill>
        </w:rPr>
        <w:t xml:space="preserve">、开标一览表。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14.2 对于采用货币报价的项目，开标一览表中的投标总报价应与</w:t>
      </w:r>
      <w:r>
        <w:rPr>
          <w:rFonts w:ascii="宋体" w:hAnsi="宋体"/>
          <w:color w:val="000000" w:themeColor="text1"/>
          <w:sz w:val="28"/>
          <w:szCs w:val="28"/>
          <w:highlight w:val="none"/>
          <w14:textFill>
            <w14:solidFill>
              <w14:schemeClr w14:val="tx1"/>
            </w14:solidFill>
          </w14:textFill>
        </w:rPr>
        <w:t xml:space="preserve">分项报价表</w:t>
      </w:r>
      <w:r>
        <w:rPr>
          <w:rFonts w:ascii="宋体" w:hAnsi="宋体"/>
          <w:color w:val="000000" w:themeColor="text1"/>
          <w:sz w:val="28"/>
          <w:szCs w:val="28"/>
          <w:highlight w:val="none"/>
          <w:lang w:val="zh-CN"/>
          <w14:textFill>
            <w14:solidFill>
              <w14:schemeClr w14:val="tx1"/>
            </w14:solidFill>
          </w14:textFill>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1" w:name="_Toc49090511"/>
      <w:r/>
      <w:bookmarkEnd w:id="61"/>
      <w:r/>
      <w:bookmarkStart w:id="62" w:name="_Hlt26954850"/>
      <w:r/>
      <w:bookmarkEnd w:id="62"/>
      <w:r/>
      <w:bookmarkStart w:id="63" w:name="_Hlt26954734"/>
      <w:r/>
      <w:bookmarkEnd w:id="63"/>
      <w:r/>
      <w:bookmarkStart w:id="64" w:name="_Hlt26670489"/>
      <w:r/>
      <w:bookmarkEnd w:id="64"/>
      <w:r/>
      <w:bookmarkStart w:id="65" w:name="_Toc14577360"/>
      <w:r/>
      <w:bookmarkEnd w:id="65"/>
      <w:r>
        <w:rPr>
          <w:rFonts w:hint="eastAsia" w:ascii="宋体" w:hAnsi="宋体"/>
          <w:b/>
          <w:color w:val="000000" w:themeColor="text1"/>
          <w:sz w:val="28"/>
          <w:szCs w:val="28"/>
          <w:highlight w:val="none"/>
          <w14:textFill>
            <w14:solidFill>
              <w14:schemeClr w14:val="tx1"/>
            </w14:solidFill>
          </w14:textFill>
        </w:rPr>
        <w:t xml:space="preserve">15.投标有效期</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16.投标有效期的延长</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16.1 在特殊情况下，</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highlight w:val="none"/>
          <w14:textFill>
            <w14:solidFill>
              <w14:schemeClr w14:val="tx1"/>
            </w14:solidFill>
          </w14:textFill>
        </w:rPr>
        <w:t xml:space="preserve">满</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四、投标文件的递交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17.投标文件的递交</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1</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投标</w:t>
      </w:r>
      <w:r>
        <w:rPr>
          <w:rFonts w:hint="eastAsia" w:ascii="宋体" w:hAnsi="宋体"/>
          <w:b w:val="0"/>
          <w:bCs/>
          <w:color w:val="000000" w:themeColor="text1"/>
          <w:sz w:val="28"/>
          <w:szCs w:val="28"/>
          <w:highlight w:val="none"/>
          <w:lang w:val="zh-CN"/>
          <w14:textFill>
            <w14:solidFill>
              <w14:schemeClr w14:val="tx1"/>
            </w14:solidFill>
          </w14:textFill>
        </w:rPr>
        <w:t xml:space="preserve">文件应加盖投标供应商公章。</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w:t>
      </w:r>
      <w:r>
        <w:rPr>
          <w:rFonts w:ascii="宋体" w:hAnsi="宋体"/>
          <w:b w:val="0"/>
          <w:bCs/>
          <w:color w:val="000000" w:themeColor="text1"/>
          <w:sz w:val="28"/>
          <w:szCs w:val="28"/>
          <w:highlight w:val="none"/>
          <w:lang w:val="zh-CN"/>
          <w14:textFill>
            <w14:solidFill>
              <w14:schemeClr w14:val="tx1"/>
            </w14:solidFill>
          </w14:textFill>
        </w:rPr>
        <w:t xml:space="preserve"> 投标人应当按照《操作手册》规定，在招标公告规定的投标截止时间前制作并上传电子投标文件。</w:t>
      </w:r>
      <w:bookmarkStart w:id="66" w:name="_Toc16938542"/>
      <w:r/>
      <w:bookmarkEnd w:id="66"/>
      <w:r/>
      <w:bookmarkStart w:id="67" w:name="_Toc513029226"/>
      <w:r/>
      <w:bookmarkEnd w:id="67"/>
      <w:r/>
      <w:bookmarkStart w:id="68" w:name="_Toc20823298"/>
      <w:r/>
      <w:bookmarkEnd w:id="68"/>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3</w:t>
      </w:r>
      <w:r>
        <w:rPr>
          <w:rFonts w:ascii="宋体" w:hAnsi="宋体"/>
          <w:b w:val="0"/>
          <w:bCs/>
          <w:color w:val="000000" w:themeColor="text1"/>
          <w:sz w:val="28"/>
          <w:szCs w:val="28"/>
          <w:highlight w:val="none"/>
          <w:lang w:val="zh-CN"/>
          <w14:textFill>
            <w14:solidFill>
              <w14:schemeClr w14:val="tx1"/>
            </w14:solidFill>
          </w14:textFill>
        </w:rPr>
        <w:t xml:space="preserve"> 投标人应充分考虑网络环境、网络带宽等因素</w:t>
      </w:r>
      <w:r>
        <w:rPr>
          <w:rFonts w:ascii="宋体" w:hAnsi="宋体"/>
          <w:b w:val="0"/>
          <w:bCs/>
          <w:color w:val="000000" w:themeColor="text1"/>
          <w:sz w:val="28"/>
          <w:szCs w:val="28"/>
          <w:highlight w:val="none"/>
          <w14:textFill>
            <w14:solidFill>
              <w14:schemeClr w14:val="tx1"/>
            </w14:solidFill>
          </w14:textFill>
        </w:rPr>
        <w:t xml:space="preserve">可能对投标产生的影响</w:t>
      </w:r>
      <w:r>
        <w:rPr>
          <w:rFonts w:ascii="宋体" w:hAnsi="宋体"/>
          <w:b w:val="0"/>
          <w:bCs/>
          <w:color w:val="000000" w:themeColor="text1"/>
          <w:sz w:val="28"/>
          <w:szCs w:val="28"/>
          <w:highlight w:val="none"/>
          <w:lang w:val="zh-CN"/>
          <w14:textFill>
            <w14:solidFill>
              <w14:schemeClr w14:val="tx1"/>
            </w14:solidFill>
          </w14:textFill>
        </w:rPr>
        <w:t xml:space="preserve">，如因投标人自身原因造成的电子投标文件上传不成功的，按照本招标文件第二章第2</w:t>
      </w:r>
      <w:r>
        <w:rPr>
          <w:rFonts w:ascii="宋体" w:hAnsi="宋体"/>
          <w:b w:val="0"/>
          <w:bCs/>
          <w:color w:val="000000" w:themeColor="text1"/>
          <w:sz w:val="28"/>
          <w:szCs w:val="28"/>
          <w:highlight w:val="none"/>
          <w14:textFill>
            <w14:solidFill>
              <w14:schemeClr w14:val="tx1"/>
            </w14:solidFill>
          </w14:textFill>
        </w:rPr>
        <w:t xml:space="preserve">5</w:t>
      </w:r>
      <w:r>
        <w:rPr>
          <w:rFonts w:ascii="宋体" w:hAnsi="宋体"/>
          <w:b w:val="0"/>
          <w:bCs/>
          <w:color w:val="000000" w:themeColor="text1"/>
          <w:sz w:val="28"/>
          <w:szCs w:val="28"/>
          <w:highlight w:val="none"/>
          <w:lang w:val="zh-CN"/>
          <w14:textFill>
            <w14:solidFill>
              <w14:schemeClr w14:val="tx1"/>
            </w14:solidFill>
          </w14:textFill>
        </w:rPr>
        <w:t xml:space="preserve">.1条规定做无效投标处理。</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4</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9" w:name="_Toc20823299"/>
      <w:r/>
      <w:bookmarkEnd w:id="69"/>
      <w:r/>
      <w:bookmarkStart w:id="70" w:name="_Toc513029227"/>
      <w:r/>
      <w:bookmarkEnd w:id="70"/>
      <w:r/>
      <w:bookmarkStart w:id="71" w:name="_Toc16938543"/>
      <w:r/>
      <w:bookmarkEnd w:id="71"/>
      <w:r>
        <w:rPr>
          <w:rFonts w:hint="eastAsia" w:ascii="宋体" w:hAnsi="宋体"/>
          <w:b/>
          <w:color w:val="000000" w:themeColor="text1"/>
          <w:sz w:val="28"/>
          <w:szCs w:val="28"/>
          <w:highlight w:val="none"/>
          <w14:textFill>
            <w14:solidFill>
              <w14:schemeClr w14:val="tx1"/>
            </w14:solidFill>
          </w14:textFill>
        </w:rPr>
        <w:t xml:space="preserve">18.投标文件的拒收</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8</w:t>
      </w: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拒绝接收投标截止时间后上传的任何投标文件。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2" w:name="_Toc20823300"/>
      <w:r/>
      <w:bookmarkEnd w:id="72"/>
      <w:r/>
      <w:bookmarkStart w:id="73" w:name="_Toc513029228"/>
      <w:r/>
      <w:bookmarkEnd w:id="73"/>
      <w:r/>
      <w:bookmarkStart w:id="74" w:name="_Toc16938544"/>
      <w:r/>
      <w:bookmarkEnd w:id="74"/>
      <w:r>
        <w:rPr>
          <w:rFonts w:hint="eastAsia" w:ascii="宋体" w:hAnsi="宋体"/>
          <w:b/>
          <w:color w:val="000000" w:themeColor="text1"/>
          <w:sz w:val="28"/>
          <w:szCs w:val="28"/>
          <w:highlight w:val="none"/>
          <w14:textFill>
            <w14:solidFill>
              <w14:schemeClr w14:val="tx1"/>
            </w14:solidFill>
          </w14:textFill>
        </w:rPr>
        <w:t xml:space="preserve">19.投标文件的撤回和修改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 投标文件的撤回</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投标人可在投标截止时间前撤回其电子投标文件，具体操作方法见《操作手册》。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投标人撤回电子投标文件，则认为其不再参与本项目投标活动。</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 投标文件的修改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投标人可在投标截止时间前对其电子投标文件进行修改，具体操作方法见《操作手册》。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投标截止时间之后，投标人不得对其电子投标文件作任何修改。</w:t>
      </w:r>
      <w:r/>
    </w:p>
    <w:p>
      <w:pPr>
        <w:jc w:val="left"/>
        <w:spacing w:line="360" w:lineRule="auto"/>
        <w:rPr>
          <w:rFonts w:ascii="宋体" w:hAnsi="宋体"/>
          <w:b w:val="0"/>
          <w:bCs/>
          <w:color w:val="000000" w:themeColor="text1"/>
          <w:sz w:val="28"/>
          <w:szCs w:val="28"/>
          <w:highlight w:val="none"/>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.3 在投标截止时间至招标文件中规定的投标有效期满之间的这段时间内，投标人不得撤回其投标。</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五、开标与评标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20.开标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.1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投标人在开标过程中涉及到的投标文件解密、开标结果确认等工作，应按照《操作手册》规定执行。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5" w:name="_Toc20823303"/>
      <w:r/>
      <w:bookmarkEnd w:id="75"/>
      <w:r/>
      <w:bookmarkStart w:id="76" w:name="_Toc16938547"/>
      <w:r/>
      <w:bookmarkEnd w:id="76"/>
      <w:r/>
      <w:bookmarkStart w:id="77" w:name="_Toc513029231"/>
      <w:r/>
      <w:bookmarkEnd w:id="77"/>
      <w:r>
        <w:rPr>
          <w:rFonts w:hint="eastAsia" w:ascii="宋体" w:hAnsi="宋体"/>
          <w:b/>
          <w:color w:val="000000" w:themeColor="text1"/>
          <w:sz w:val="28"/>
          <w:szCs w:val="28"/>
          <w:highlight w:val="none"/>
          <w14:textFill>
            <w14:solidFill>
              <w14:schemeClr w14:val="tx1"/>
            </w14:solidFill>
          </w14:textFill>
        </w:rPr>
        <w:t xml:space="preserve">21评标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评标由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组织评标委员会（以下简称“评委会”）进行。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.2 评委会由采购人代表和有关技术、经济等方面的专家组成，且人员构成符合政府采购有关规定。</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评委会独立工作，负责评审所有投标文件并</w:t>
      </w:r>
      <w:r>
        <w:rPr>
          <w:rFonts w:ascii="宋体" w:hAnsi="宋体"/>
          <w:color w:val="000000" w:themeColor="text1"/>
          <w:sz w:val="28"/>
          <w:szCs w:val="28"/>
          <w:highlight w:val="none"/>
          <w14:textFill>
            <w14:solidFill>
              <w14:schemeClr w14:val="tx1"/>
            </w14:solidFill>
          </w14:textFill>
        </w:rPr>
        <w:t xml:space="preserve">推荐</w:t>
      </w:r>
      <w:r>
        <w:rPr>
          <w:rFonts w:ascii="宋体" w:hAnsi="宋体"/>
          <w:color w:val="000000" w:themeColor="text1"/>
          <w:sz w:val="28"/>
          <w:szCs w:val="28"/>
          <w:highlight w:val="none"/>
          <w:lang w:val="zh-CN"/>
          <w14:textFill>
            <w14:solidFill>
              <w14:schemeClr w14:val="tx1"/>
            </w14:solidFill>
          </w14:textFill>
        </w:rPr>
        <w:t xml:space="preserve">中标</w:t>
      </w:r>
      <w:r>
        <w:rPr>
          <w:rFonts w:ascii="宋体" w:hAnsi="宋体"/>
          <w:color w:val="000000" w:themeColor="text1"/>
          <w:sz w:val="28"/>
          <w:szCs w:val="28"/>
          <w:highlight w:val="none"/>
          <w14:textFill>
            <w14:solidFill>
              <w14:schemeClr w14:val="tx1"/>
            </w14:solidFill>
          </w14:textFill>
        </w:rPr>
        <w:t xml:space="preserve">候选</w:t>
      </w:r>
      <w:r>
        <w:rPr>
          <w:rFonts w:ascii="宋体" w:hAnsi="宋体"/>
          <w:color w:val="000000" w:themeColor="text1"/>
          <w:sz w:val="28"/>
          <w:szCs w:val="28"/>
          <w:highlight w:val="none"/>
          <w:lang w:val="zh-CN"/>
          <w14:textFill>
            <w14:solidFill>
              <w14:schemeClr w14:val="tx1"/>
            </w14:solidFill>
          </w14:textFill>
        </w:rPr>
        <w:t xml:space="preserve">人，</w:t>
      </w:r>
      <w:r>
        <w:rPr>
          <w:rFonts w:ascii="宋体" w:hAnsi="宋体"/>
          <w:color w:val="000000" w:themeColor="text1"/>
          <w:sz w:val="28"/>
          <w:szCs w:val="28"/>
          <w:highlight w:val="none"/>
          <w14:textFill>
            <w14:solidFill>
              <w14:schemeClr w14:val="tx1"/>
            </w14:solidFill>
          </w14:textFill>
        </w:rPr>
        <w:t xml:space="preserve">或根据采购人授权直接确定中标人</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22.评标过程的保密与公正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均不得向投标人或与评标无关的其他人员透露。</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投标人不得以任何方式影响评标，否则其投标文件将被作为无效投标文件。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和评委会不向未中标的投标人解释未中标原因，也不公布评标过程中的相关细节。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8" w:name="_Toc16938548"/>
      <w:r/>
      <w:bookmarkEnd w:id="78"/>
      <w:r/>
      <w:bookmarkStart w:id="79" w:name="_Toc513029232"/>
      <w:r/>
      <w:bookmarkEnd w:id="79"/>
      <w:r/>
      <w:bookmarkStart w:id="80" w:name="_Toc20823304"/>
      <w:r/>
      <w:bookmarkEnd w:id="80"/>
      <w:r>
        <w:rPr>
          <w:rFonts w:hint="eastAsia" w:ascii="宋体" w:hAnsi="宋体"/>
          <w:b/>
          <w:color w:val="000000" w:themeColor="text1"/>
          <w:sz w:val="28"/>
          <w:szCs w:val="28"/>
          <w:highlight w:val="none"/>
          <w14:textFill>
            <w14:solidFill>
              <w14:schemeClr w14:val="tx1"/>
            </w14:solidFill>
          </w14:textFill>
        </w:rPr>
        <w:t xml:space="preserve">23.投标文件的澄清</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投标人的澄清、说明或者补正不得超出投标文件的范围或者改变投标文件的实质性内容。</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评委会并非对每个投标人都做澄清要求。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需要供应商进行澄清、说明和补正的，评委会将通过苏采云系统向</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发出《澄清要求函》，接到《澄清要求函》的</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1" w:name="_Toc16938549"/>
      <w:r/>
      <w:bookmarkEnd w:id="81"/>
      <w:r/>
      <w:bookmarkStart w:id="82" w:name="_Toc513029233"/>
      <w:r/>
      <w:bookmarkEnd w:id="82"/>
      <w:r/>
      <w:bookmarkStart w:id="83" w:name="_Toc20823305"/>
      <w:r/>
      <w:bookmarkEnd w:id="83"/>
      <w:r>
        <w:rPr>
          <w:rFonts w:hint="eastAsia" w:ascii="宋体" w:hAnsi="宋体"/>
          <w:b/>
          <w:color w:val="000000" w:themeColor="text1"/>
          <w:sz w:val="28"/>
          <w:szCs w:val="28"/>
          <w:highlight w:val="none"/>
          <w14:textFill>
            <w14:solidFill>
              <w14:schemeClr w14:val="tx1"/>
            </w14:solidFill>
          </w14:textFill>
        </w:rPr>
        <w:t xml:space="preserve">24.投标文件的审查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 投标文件审查分为资格审查和符合性审查。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24.1.3 未通过资格审查或符合性审查的投标人，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将通过苏采云系统告知其具体原因，评标结束后不再接受有关询问。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（1）投标文件中开标一览表内容与投标文件中相应内容不一致的，以开标一览表为准；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（2）大写金额和小写金额不一致的，以大写金额为准；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（3）单价金额小数点或者百分比有明显错位的，以开标一览表的总价为准，并修改单价；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（4）总价金额与按单价汇总金额不一致的，以单价金额计算结果为准。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同时出现两种以上错误的，按照前款规定的顺序修正。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4" w:name="_Toc513029234"/>
      <w:r/>
      <w:bookmarkEnd w:id="84"/>
      <w:r/>
      <w:bookmarkStart w:id="85" w:name="_Toc20823306"/>
      <w:r/>
      <w:bookmarkEnd w:id="85"/>
      <w:r/>
      <w:bookmarkStart w:id="86" w:name="_Toc16938550"/>
      <w:r/>
      <w:bookmarkEnd w:id="86"/>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及评委会联系。</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25.无效投标和废标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7" w:name="_Toc513029235"/>
      <w:r/>
      <w:bookmarkEnd w:id="87"/>
      <w:r/>
      <w:bookmarkStart w:id="88" w:name="_Toc20823307"/>
      <w:r/>
      <w:bookmarkEnd w:id="88"/>
      <w:r/>
      <w:bookmarkStart w:id="89" w:name="_Toc16938551"/>
      <w:r/>
      <w:bookmarkEnd w:id="89"/>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无效投标条款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投标人在苏采云系统规定的时间内未成功解密电子投标文件。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投标人未按照招标文件要求上传电子投标文件。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同一投标人提交两个（含两个）以上不同的投标报价。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投标人不具备招标文件中规定资格要求。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投标人的报价超过了采购预算或最高限价。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未通过符合性审查。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.1.7</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不符合招标文件中实质性要求和条件（本招标文件中打“</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”内容为实质性要求和条件）。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.1.8</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.1.9</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投标文件含有采购人不能接受的附加条件。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.1.10</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评委会认为投标人的报价明显低于其他通过符合性审查投标人的报价，有可能影响</w:t>
      </w:r>
      <w:r>
        <w:rPr>
          <w:rFonts w:ascii="宋体" w:hAnsi="宋体"/>
          <w:color w:val="000000" w:themeColor="text1"/>
          <w:sz w:val="28"/>
          <w:szCs w:val="28"/>
          <w:highlight w:val="none"/>
          <w14:textFill>
            <w14:solidFill>
              <w14:schemeClr w14:val="tx1"/>
            </w14:solidFill>
          </w14:textFill>
        </w:rPr>
        <w:t xml:space="preserve">服务</w:t>
      </w:r>
      <w:r>
        <w:rPr>
          <w:rFonts w:ascii="宋体" w:hAnsi="宋体"/>
          <w:color w:val="000000" w:themeColor="text1"/>
          <w:sz w:val="28"/>
          <w:szCs w:val="28"/>
          <w:highlight w:val="none"/>
          <w:lang w:val="zh-CN"/>
          <w14:textFill>
            <w14:solidFill>
              <w14:schemeClr w14:val="tx1"/>
            </w14:solidFill>
          </w14:textFill>
        </w:rPr>
        <w:t xml:space="preserve">质量或者不能诚信履约的，将通过苏采云系统要求其在合理的时间内提供说明，必要时提交相关证明材料。投标人不能证明其报价合理性的，评委会应当将其作为无效投标处理。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投标文件未按照招标文件要求加盖电子公章。</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法律法规及本招标文件规定的</w:t>
      </w:r>
      <w:r>
        <w:rPr>
          <w:rFonts w:ascii="宋体" w:hAnsi="宋体"/>
          <w:color w:val="000000" w:themeColor="text1"/>
          <w:sz w:val="28"/>
          <w:szCs w:val="28"/>
          <w:highlight w:val="none"/>
          <w14:textFill>
            <w14:solidFill>
              <w14:schemeClr w14:val="tx1"/>
            </w14:solidFill>
          </w14:textFill>
        </w:rPr>
        <w:t xml:space="preserve">其他</w:t>
      </w:r>
      <w:r>
        <w:rPr>
          <w:rFonts w:ascii="宋体" w:hAnsi="宋体"/>
          <w:color w:val="000000" w:themeColor="text1"/>
          <w:sz w:val="28"/>
          <w:szCs w:val="28"/>
          <w:highlight w:val="none"/>
          <w:lang w:val="zh-CN"/>
          <w14:textFill>
            <w14:solidFill>
              <w14:schemeClr w14:val="tx1"/>
            </w14:solidFill>
          </w14:textFill>
        </w:rPr>
        <w:t xml:space="preserve">无效投标情形。</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废标条款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符合资格条件的供应商或者对招标文件作实质响应的供应商不足三家。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出现影响采购公正的违法、违规行为。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因重大变故采购任务取消。</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评委会认定招标文件存在歧义、重大缺陷导致评审工作无法进行。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因苏采云系统故障造成开标不成功。</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.3 如出现投标截止时间后参加投标的供应商或者对招标文件作出实质</w:t>
      </w:r>
      <w:r>
        <w:rPr>
          <w:rFonts w:ascii="宋体" w:hAnsi="宋体"/>
          <w:color w:val="000000" w:themeColor="text1"/>
          <w:sz w:val="28"/>
          <w:szCs w:val="28"/>
          <w:highlight w:val="none"/>
          <w14:textFill>
            <w14:solidFill>
              <w14:schemeClr w14:val="tx1"/>
            </w14:solidFill>
          </w14:textFill>
        </w:rPr>
        <w:t xml:space="preserve">性</w:t>
      </w:r>
      <w:r>
        <w:rPr>
          <w:rFonts w:ascii="宋体" w:hAnsi="宋体"/>
          <w:color w:val="000000" w:themeColor="text1"/>
          <w:sz w:val="28"/>
          <w:szCs w:val="28"/>
          <w:highlight w:val="none"/>
          <w:lang w:val="zh-CN"/>
          <w14:textFill>
            <w14:solidFill>
              <w14:schemeClr w14:val="tx1"/>
            </w14:solidFill>
          </w14:textFill>
        </w:rPr>
        <w:t xml:space="preserve">响应的供应商不足三家</w:t>
      </w:r>
      <w:r>
        <w:rPr>
          <w:rFonts w:ascii="宋体" w:hAnsi="宋体"/>
          <w:color w:val="000000" w:themeColor="text1"/>
          <w:sz w:val="28"/>
          <w:szCs w:val="28"/>
          <w:highlight w:val="none"/>
          <w14:textFill>
            <w14:solidFill>
              <w14:schemeClr w14:val="tx1"/>
            </w14:solidFill>
          </w14:textFill>
        </w:rPr>
        <w:t xml:space="preserve">的</w:t>
      </w:r>
      <w:r>
        <w:rPr>
          <w:rFonts w:ascii="宋体" w:hAnsi="宋体"/>
          <w:color w:val="000000" w:themeColor="text1"/>
          <w:sz w:val="28"/>
          <w:szCs w:val="28"/>
          <w:highlight w:val="none"/>
          <w:lang w:val="zh-CN"/>
          <w14:textFill>
            <w14:solidFill>
              <w14:schemeClr w14:val="tx1"/>
            </w14:solidFill>
          </w14:textFill>
        </w:rPr>
        <w:t xml:space="preserve">情况，按政府采购相关规定执行。</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w:t>
      </w:r>
      <w:r>
        <w:rPr>
          <w:rFonts w:hint="eastAsia" w:ascii="宋体" w:hAnsi="宋体"/>
          <w:b/>
          <w:color w:val="000000" w:themeColor="text1"/>
          <w:sz w:val="28"/>
          <w:szCs w:val="28"/>
          <w:highlight w:val="none"/>
          <w:lang w:val="en-US" w:eastAsia="zh-CN"/>
          <w14:textFill>
            <w14:solidFill>
              <w14:schemeClr w14:val="tx1"/>
            </w14:solidFill>
          </w14:textFill>
        </w:rPr>
        <w:t xml:space="preserve">定标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26.确定中标单位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中标候选人的</w:t>
      </w:r>
      <w:r>
        <w:rPr>
          <w:rFonts w:hint="eastAsia" w:ascii="宋体" w:hAnsi="宋体"/>
          <w:color w:val="000000" w:themeColor="text1"/>
          <w:sz w:val="28"/>
          <w:szCs w:val="28"/>
          <w:highlight w:val="none"/>
          <w14:textFill>
            <w14:solidFill>
              <w14:schemeClr w14:val="tx1"/>
            </w14:solidFill>
          </w14:textFill>
        </w:rPr>
        <w:t xml:space="preserve">确定</w:t>
      </w:r>
      <w:r>
        <w:rPr>
          <w:rFonts w:hint="eastAsia" w:ascii="宋体" w:hAnsi="宋体"/>
          <w:color w:val="000000" w:themeColor="text1"/>
          <w:sz w:val="28"/>
          <w:szCs w:val="28"/>
          <w:highlight w:val="none"/>
          <w:lang w:val="zh-CN"/>
          <w14:textFill>
            <w14:solidFill>
              <w14:schemeClr w14:val="tx1"/>
            </w14:solidFill>
          </w14:textFill>
        </w:rPr>
        <w:t xml:space="preserve">原则和数量</w:t>
      </w:r>
      <w:r/>
    </w:p>
    <w:p>
      <w:pPr>
        <w:jc w:val="left"/>
        <w:spacing w:line="36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采用综合评分法。在综合比较与评价后按照得分由高到低顺序对投标人进行排列。得分相同的，按报价由低到高顺序排列。得分且报价相同的，按</w:t>
      </w:r>
      <w:r>
        <w:rPr>
          <w:rFonts w:hint="eastAsia" w:ascii="宋体" w:hAnsi="宋体"/>
          <w:color w:val="000000" w:themeColor="text1"/>
          <w:sz w:val="28"/>
          <w:szCs w:val="28"/>
          <w:highlight w:val="none"/>
          <w:lang w:eastAsia="zh-CN"/>
          <w14:textFill>
            <w14:solidFill>
              <w14:schemeClr w14:val="tx1"/>
            </w14:solidFill>
          </w14:textFill>
        </w:rPr>
        <w:t xml:space="preserve">审计工作方案</w:t>
      </w:r>
      <w:r>
        <w:rPr>
          <w:rFonts w:hint="eastAsia" w:ascii="宋体" w:hAnsi="宋体"/>
          <w:color w:val="000000" w:themeColor="text1"/>
          <w:sz w:val="28"/>
          <w:szCs w:val="28"/>
          <w:highlight w:val="none"/>
          <w:lang w:val="en-US" w:eastAsia="zh-CN"/>
          <w14:textFill>
            <w14:solidFill>
              <w14:schemeClr w14:val="tx1"/>
            </w14:solidFill>
          </w14:textFill>
        </w:rPr>
        <w:t xml:space="preserve">优劣顺序排列。评标委员会根据排名确定3名中标候选人。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.2 按以下第（</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）种方式确定中标人：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（1）评委会直接确定排名第一的中标候选人为中标人；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（2）采购人在评委会推荐的中标候选人中按顺序确定中标人。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按第二种方式确定中标人的，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自评审结束之日起两个工作日内将评审报告送</w:t>
      </w:r>
      <w:r>
        <w:rPr>
          <w:rFonts w:hint="eastAsia" w:ascii="宋体" w:hAnsi="宋体"/>
          <w:color w:val="000000" w:themeColor="text1"/>
          <w:sz w:val="28"/>
          <w:szCs w:val="28"/>
          <w:highlight w:val="none"/>
          <w14:textFill>
            <w14:solidFill>
              <w14:schemeClr w14:val="tx1"/>
            </w14:solidFill>
          </w14:textFill>
        </w:rPr>
        <w:t xml:space="preserve">达</w:t>
      </w:r>
      <w:r>
        <w:rPr>
          <w:rFonts w:hint="eastAsia" w:ascii="宋体" w:hAnsi="宋体"/>
          <w:color w:val="000000" w:themeColor="text1"/>
          <w:sz w:val="28"/>
          <w:szCs w:val="28"/>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将在“江苏政府采购网”发布中标公告，公告期限为1个工作日。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若有充分证据证明中标人</w:t>
      </w:r>
      <w:r>
        <w:rPr>
          <w:rFonts w:hint="eastAsia" w:ascii="宋体" w:hAnsi="宋体"/>
          <w:color w:val="000000" w:themeColor="text1"/>
          <w:sz w:val="28"/>
          <w:szCs w:val="28"/>
          <w:highlight w:val="none"/>
          <w14:textFill>
            <w14:solidFill>
              <w14:schemeClr w14:val="tx1"/>
            </w14:solidFill>
          </w14:textFill>
        </w:rPr>
        <w:t xml:space="preserve">有</w:t>
      </w:r>
      <w:r>
        <w:rPr>
          <w:rFonts w:hint="eastAsia" w:ascii="宋体" w:hAnsi="宋体"/>
          <w:color w:val="000000" w:themeColor="text1"/>
          <w:sz w:val="28"/>
          <w:szCs w:val="28"/>
          <w:highlight w:val="none"/>
          <w:lang w:val="zh-CN"/>
          <w14:textFill>
            <w14:solidFill>
              <w14:schemeClr w14:val="tx1"/>
            </w14:solidFill>
          </w14:textFill>
        </w:rPr>
        <w:t xml:space="preserve">下列情况之一的，一经查实将被取消中标资格：</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提供虚假材料谋取中标。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向采购人、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行贿或者提供其他不正当利益。</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属于本文件规定的无效</w:t>
      </w:r>
      <w:r>
        <w:rPr>
          <w:rFonts w:hint="eastAsia" w:ascii="宋体" w:hAnsi="宋体"/>
          <w:color w:val="000000" w:themeColor="text1"/>
          <w:sz w:val="28"/>
          <w:szCs w:val="28"/>
          <w:highlight w:val="none"/>
          <w14:textFill>
            <w14:solidFill>
              <w14:schemeClr w14:val="tx1"/>
            </w14:solidFill>
          </w14:textFill>
        </w:rPr>
        <w:t xml:space="preserve">投标情形</w:t>
      </w:r>
      <w:r>
        <w:rPr>
          <w:rFonts w:hint="eastAsia" w:ascii="宋体" w:hAnsi="宋体"/>
          <w:color w:val="000000" w:themeColor="text1"/>
          <w:sz w:val="28"/>
          <w:szCs w:val="28"/>
          <w:highlight w:val="none"/>
          <w:lang w:val="zh-CN"/>
          <w14:textFill>
            <w14:solidFill>
              <w14:schemeClr w14:val="tx1"/>
            </w14:solidFill>
          </w14:textFill>
        </w:rPr>
        <w:t xml:space="preserve">，但在评标过程中未被评委会发现。</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与采购人或者其他供应商恶意串通。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采取不正当手段诋毁、排挤其他供应商。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bookmarkStart w:id="90" w:name="_Toc200451960"/>
      <w:r/>
      <w:bookmarkEnd w:id="90"/>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有下列情形之一的视为投标人串通投标，投标无效：</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不同投标人的投标文件由同一单位或者个人编制。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不同投标人委托同一单位或者个人办理投标事宜。</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27.中标通知书</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.l 中标结果确定后，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将向中标人发出《中标通知书》。中标人</w:t>
      </w:r>
      <w:r>
        <w:rPr>
          <w:rFonts w:hint="eastAsia" w:ascii="宋体" w:hAnsi="宋体"/>
          <w:color w:val="000000" w:themeColor="text1"/>
          <w:sz w:val="28"/>
          <w:szCs w:val="28"/>
          <w:highlight w:val="none"/>
          <w14:textFill>
            <w14:solidFill>
              <w14:schemeClr w14:val="tx1"/>
            </w14:solidFill>
          </w14:textFill>
        </w:rPr>
        <w:t xml:space="preserve">可</w:t>
      </w:r>
      <w:r>
        <w:rPr>
          <w:rFonts w:hint="eastAsia" w:ascii="宋体" w:hAnsi="宋体"/>
          <w:color w:val="000000" w:themeColor="text1"/>
          <w:sz w:val="28"/>
          <w:szCs w:val="28"/>
          <w:highlight w:val="none"/>
          <w:lang w:val="zh-CN"/>
          <w14:textFill>
            <w14:solidFill>
              <w14:schemeClr w14:val="tx1"/>
            </w14:solidFill>
          </w14:textFill>
        </w:rPr>
        <w:t xml:space="preserve">在中标结果公告届满之日起三十日内,登录苏采云系统下载。</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highlight w:val="none"/>
          <w:lang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14:textFill>
            <w14:solidFill>
              <w14:schemeClr w14:val="tx1"/>
            </w14:solidFill>
          </w14:textFill>
        </w:rPr>
        <w:t xml:space="preserve">、授予合同</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28.签订合同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.l</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中标人应当</w:t>
      </w:r>
      <w:r>
        <w:rPr>
          <w:rFonts w:hint="eastAsia" w:ascii="宋体" w:hAnsi="宋体"/>
          <w:color w:val="000000" w:themeColor="text1"/>
          <w:sz w:val="28"/>
          <w:szCs w:val="28"/>
          <w:highlight w:val="none"/>
          <w14:textFill>
            <w14:solidFill>
              <w14:schemeClr w14:val="tx1"/>
            </w14:solidFill>
          </w14:textFill>
        </w:rPr>
        <w:t xml:space="preserve">在《</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8"/>
          <w:szCs w:val="28"/>
          <w:highlight w:val="none"/>
          <w14:textFill>
            <w14:solidFill>
              <w14:schemeClr w14:val="tx1"/>
            </w14:solidFill>
          </w14:textFill>
        </w:rPr>
        <w:t xml:space="preserve">重新组织的</w:t>
      </w:r>
      <w:r>
        <w:rPr>
          <w:rFonts w:hint="eastAsia" w:ascii="宋体" w:hAnsi="宋体"/>
          <w:color w:val="000000" w:themeColor="text1"/>
          <w:sz w:val="28"/>
          <w:szCs w:val="28"/>
          <w:highlight w:val="none"/>
          <w:lang w:val="zh-CN"/>
          <w14:textFill>
            <w14:solidFill>
              <w14:schemeClr w14:val="tx1"/>
            </w14:solidFill>
          </w14:textFill>
        </w:rPr>
        <w:t xml:space="preserve">采购活动</w:t>
      </w:r>
      <w:r>
        <w:rPr>
          <w:rFonts w:hint="eastAsia" w:ascii="宋体" w:hAnsi="宋体"/>
          <w:color w:val="000000" w:themeColor="text1"/>
          <w:sz w:val="28"/>
          <w:szCs w:val="28"/>
          <w:highlight w:val="none"/>
          <w14:textFill>
            <w14:solidFill>
              <w14:schemeClr w14:val="tx1"/>
            </w14:solidFill>
          </w14:textFill>
        </w:rPr>
        <w:t xml:space="preserve">，且将可能被拒绝参加该采购人</w:t>
      </w:r>
      <w:r>
        <w:rPr>
          <w:rFonts w:hint="eastAsia" w:ascii="宋体" w:hAnsi="宋体"/>
          <w:color w:val="000000" w:themeColor="text1"/>
          <w:sz w:val="28"/>
          <w:szCs w:val="28"/>
          <w:highlight w:val="none"/>
          <w:lang w:val="zh-CN"/>
          <w14:textFill>
            <w14:solidFill>
              <w14:schemeClr w14:val="tx1"/>
            </w14:solidFill>
          </w14:textFill>
        </w:rPr>
        <w:t xml:space="preserve">一年内</w:t>
      </w:r>
      <w:r>
        <w:rPr>
          <w:rFonts w:hint="eastAsia" w:ascii="宋体" w:hAnsi="宋体"/>
          <w:color w:val="000000" w:themeColor="text1"/>
          <w:sz w:val="28"/>
          <w:szCs w:val="28"/>
          <w:highlight w:val="none"/>
          <w14:textFill>
            <w14:solidFill>
              <w14:schemeClr w14:val="tx1"/>
            </w14:solidFill>
          </w14:textFill>
        </w:rPr>
        <w:t xml:space="preserve">的其他</w:t>
      </w:r>
      <w:r>
        <w:rPr>
          <w:rFonts w:hint="eastAsia" w:ascii="宋体" w:hAnsi="宋体"/>
          <w:color w:val="000000" w:themeColor="text1"/>
          <w:sz w:val="28"/>
          <w:szCs w:val="28"/>
          <w:highlight w:val="none"/>
          <w:lang w:val="zh-CN"/>
          <w14:textFill>
            <w14:solidFill>
              <w14:schemeClr w14:val="tx1"/>
            </w14:solidFill>
          </w14:textFill>
        </w:rPr>
        <w:t xml:space="preserve">政府采购活动。</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29.服务（包含与服务相关的货物）的追加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29</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highlight w:val="none"/>
          <w14:textFill>
            <w14:solidFill>
              <w14:schemeClr w14:val="tx1"/>
            </w14:solidFill>
          </w14:textFill>
        </w:rPr>
        <w:t xml:space="preserve">的</w:t>
      </w:r>
      <w:r>
        <w:rPr>
          <w:rFonts w:hint="eastAsia" w:ascii="宋体" w:hAnsi="宋体"/>
          <w:color w:val="000000" w:themeColor="text1"/>
          <w:sz w:val="28"/>
          <w:szCs w:val="28"/>
          <w:highlight w:val="none"/>
          <w:lang w:val="zh-CN"/>
          <w14:textFill>
            <w14:solidFill>
              <w14:schemeClr w14:val="tx1"/>
            </w14:solidFill>
          </w14:textFill>
        </w:rPr>
        <w:t xml:space="preserve">10%。</w:t>
      </w:r>
      <w:r/>
    </w:p>
    <w:p>
      <w:pPr>
        <w:jc w:val="left"/>
        <w:spacing w:line="360" w:lineRule="auto"/>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八、质疑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0</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highlight w:val="none"/>
          <w14:textFill>
            <w14:solidFill>
              <w14:schemeClr w14:val="tx1"/>
            </w14:solidFill>
          </w14:textFill>
        </w:rPr>
        <w:t xml:space="preserve">按照第3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条</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第3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条</w:t>
      </w:r>
      <w:r>
        <w:rPr>
          <w:rFonts w:hint="eastAsia" w:ascii="宋体" w:hAnsi="宋体"/>
          <w:color w:val="000000" w:themeColor="text1"/>
          <w:sz w:val="28"/>
          <w:szCs w:val="28"/>
          <w:highlight w:val="none"/>
          <w14:textFill>
            <w14:solidFill>
              <w14:schemeClr w14:val="tx1"/>
            </w14:solidFill>
          </w14:textFill>
        </w:rPr>
        <w:t xml:space="preserve">之</w:t>
      </w:r>
      <w:r>
        <w:rPr>
          <w:rFonts w:hint="eastAsia" w:ascii="宋体" w:hAnsi="宋体"/>
          <w:color w:val="000000" w:themeColor="text1"/>
          <w:sz w:val="28"/>
          <w:szCs w:val="28"/>
          <w:highlight w:val="none"/>
          <w:lang w:val="zh-CN"/>
          <w14:textFill>
            <w14:solidFill>
              <w14:schemeClr w14:val="tx1"/>
            </w14:solidFill>
          </w14:textFill>
        </w:rPr>
        <w:t xml:space="preserve">规定以书面形式向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或采购人提出质疑。上述应知其权益受到损害之日是指：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.2 对采购过程提出质疑的，为各采购程序环节结束之日。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或采购人将只对供应商第一次质疑作出答复。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和采购人不接受无运单的快件。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提出，由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负责答复。</w:t>
      </w:r>
      <w:r/>
    </w:p>
    <w:p>
      <w:pPr>
        <w:jc w:val="left"/>
        <w:spacing w:line="360" w:lineRule="auto"/>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采购人《质疑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代理机构《质疑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rPr>
          <w:rFonts w:hint="eastAsia" w:ascii="宋体" w:hAnsi="宋体"/>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以下情形的质疑不予受理：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.2 超出政府采购法定期限的质疑。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.3 以传真、电子邮件等方式递交的非原件形式的质疑。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.5 供应商组成联合体参加投标，联合体中任何一方或多方未按要求签字</w:t>
      </w:r>
      <w:r>
        <w:rPr>
          <w:rFonts w:hint="eastAsia" w:ascii="宋体" w:hAnsi="宋体"/>
          <w:color w:val="000000" w:themeColor="text1"/>
          <w:sz w:val="28"/>
          <w:szCs w:val="28"/>
          <w:highlight w:val="none"/>
          <w14:textFill>
            <w14:solidFill>
              <w14:schemeClr w14:val="tx1"/>
            </w14:solidFill>
          </w14:textFill>
        </w:rPr>
        <w:t xml:space="preserve">或签章</w:t>
      </w:r>
      <w:r>
        <w:rPr>
          <w:rFonts w:hint="eastAsia" w:ascii="宋体" w:hAnsi="宋体"/>
          <w:color w:val="000000" w:themeColor="text1"/>
          <w:sz w:val="28"/>
          <w:szCs w:val="28"/>
          <w:highlight w:val="none"/>
          <w:lang w:val="zh-CN"/>
          <w14:textFill>
            <w14:solidFill>
              <w14:schemeClr w14:val="tx1"/>
            </w14:solidFill>
          </w14:textFill>
        </w:rPr>
        <w:t xml:space="preserve">、加盖公章的质疑。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法律法规规定的</w:t>
      </w:r>
      <w:r>
        <w:rPr>
          <w:rFonts w:hint="eastAsia" w:ascii="宋体" w:hAnsi="宋体"/>
          <w:color w:val="000000" w:themeColor="text1"/>
          <w:sz w:val="28"/>
          <w:szCs w:val="28"/>
          <w:highlight w:val="none"/>
          <w14:textFill>
            <w14:solidFill>
              <w14:schemeClr w14:val="tx1"/>
            </w14:solidFill>
          </w14:textFill>
        </w:rPr>
        <w:t xml:space="preserve">其他</w:t>
      </w:r>
      <w:r>
        <w:rPr>
          <w:rFonts w:hint="eastAsia" w:ascii="宋体" w:hAnsi="宋体"/>
          <w:color w:val="000000" w:themeColor="text1"/>
          <w:sz w:val="28"/>
          <w:szCs w:val="28"/>
          <w:highlight w:val="none"/>
          <w:lang w:val="zh-CN"/>
          <w14:textFill>
            <w14:solidFill>
              <w14:schemeClr w14:val="tx1"/>
            </w14:solidFill>
          </w14:textFill>
        </w:rPr>
        <w:t xml:space="preserve">不予受理情形。</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九、政策功能落实</w:t>
      </w:r>
      <w:r/>
    </w:p>
    <w:p>
      <w:pPr>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7</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.1 </w:t>
      </w:r>
      <w:r>
        <w:rPr>
          <w:rFonts w:hint="eastAsia" w:ascii="宋体" w:hAnsi="宋体"/>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（1）在货物</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w:t>
      </w:r>
      <w:r>
        <w:rPr>
          <w:rFonts w:hint="eastAsia" w:ascii="宋体" w:hAnsi="宋体"/>
          <w:color w:val="000000" w:themeColor="text1"/>
          <w:sz w:val="28"/>
          <w:szCs w:val="28"/>
          <w:highlight w:val="none"/>
          <w14:textFill>
            <w14:solidFill>
              <w14:schemeClr w14:val="tx1"/>
            </w14:solidFill>
          </w14:textFill>
        </w:rPr>
        <w:t xml:space="preserve">全部</w:t>
      </w:r>
      <w:r>
        <w:rPr>
          <w:rFonts w:hint="eastAsia" w:ascii="宋体" w:hAnsi="宋体"/>
          <w:color w:val="000000" w:themeColor="text1"/>
          <w:sz w:val="28"/>
          <w:szCs w:val="28"/>
          <w:highlight w:val="none"/>
          <w:lang w:val="zh-CN"/>
          <w14:textFill>
            <w14:solidFill>
              <w14:schemeClr w14:val="tx1"/>
            </w14:solidFill>
          </w14:textFill>
        </w:rPr>
        <w:t xml:space="preserve">货物由中小企业制造；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（2）在服务</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项目中，服务由中小企业承接。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.2 </w:t>
      </w:r>
      <w:r>
        <w:rPr>
          <w:rFonts w:hint="eastAsia" w:ascii="宋体" w:hAnsi="宋体"/>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.3 </w:t>
      </w:r>
      <w:r>
        <w:rPr>
          <w:rFonts w:hint="eastAsia" w:ascii="宋体" w:hAnsi="宋体"/>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8"/>
          <w:szCs w:val="28"/>
          <w:highlight w:val="none"/>
          <w14:textFill>
            <w14:solidFill>
              <w14:schemeClr w14:val="tx1"/>
            </w14:solidFill>
          </w14:textFill>
        </w:rPr>
        <w:t xml:space="preserve">支持</w:t>
      </w:r>
      <w:r>
        <w:rPr>
          <w:rFonts w:hint="eastAsia" w:ascii="宋体" w:hAnsi="宋体"/>
          <w:color w:val="000000" w:themeColor="text1"/>
          <w:sz w:val="28"/>
          <w:szCs w:val="28"/>
          <w:highlight w:val="none"/>
          <w:lang w:val="zh-CN"/>
          <w14:textFill>
            <w14:solidFill>
              <w14:schemeClr w14:val="tx1"/>
            </w14:solidFill>
          </w14:textFill>
        </w:rPr>
        <w:t xml:space="preserve">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.4 </w:t>
      </w:r>
      <w:r>
        <w:rPr>
          <w:rFonts w:hint="eastAsia" w:ascii="宋体" w:hAnsi="宋体"/>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w:t>
      </w:r>
      <w:r>
        <w:rPr>
          <w:rFonts w:hint="eastAsia" w:ascii="宋体" w:hAnsi="宋体"/>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8"/>
          <w:szCs w:val="28"/>
          <w:highlight w:val="none"/>
          <w14:textFill>
            <w14:solidFill>
              <w14:schemeClr w14:val="tx1"/>
            </w14:solidFill>
          </w14:textFill>
        </w:rPr>
        <w:t xml:space="preserve">规定，</w:t>
      </w:r>
      <w:r>
        <w:rPr>
          <w:rFonts w:hint="eastAsia" w:ascii="宋体" w:hAnsi="宋体"/>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color w:val="000000" w:themeColor="text1"/>
          <w:sz w:val="28"/>
          <w:szCs w:val="28"/>
          <w:highlight w:val="none"/>
          <w14:textFill>
            <w14:solidFill>
              <w14:schemeClr w14:val="tx1"/>
            </w14:solidFill>
          </w14:textFill>
        </w:rPr>
        <w:t xml:space="preserve">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color w:val="000000" w:themeColor="text1"/>
          <w:sz w:val="28"/>
          <w:szCs w:val="28"/>
          <w:highlight w:val="none"/>
          <w:lang w:val="zh-CN"/>
          <w14:textFill>
            <w14:solidFill>
              <w14:schemeClr w14:val="tx1"/>
            </w14:solidFill>
          </w14:textFill>
        </w:rPr>
        <w:t xml:space="preserve">提供《残疾人福利性单位声明函》。</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8</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.2 采购产品</w:t>
      </w:r>
      <w:r>
        <w:rPr>
          <w:rFonts w:hint="eastAsia" w:ascii="宋体" w:hAnsi="宋体"/>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.3 采购产品</w:t>
      </w:r>
      <w:r>
        <w:rPr>
          <w:rFonts w:hint="eastAsia" w:ascii="宋体" w:hAnsi="宋体"/>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highlight w:val="none"/>
          <w14:textFill>
            <w14:solidFill>
              <w14:schemeClr w14:val="tx1"/>
            </w14:solidFill>
          </w14:textFill>
        </w:rPr>
        <w:t xml:space="preserve">第</w:t>
      </w:r>
      <w:r>
        <w:rPr>
          <w:rFonts w:hint="eastAsia" w:ascii="宋体" w:hAnsi="宋体"/>
          <w:color w:val="000000" w:themeColor="text1"/>
          <w:sz w:val="28"/>
          <w:szCs w:val="28"/>
          <w:highlight w:val="none"/>
          <w:lang w:val="en-US" w:eastAsia="zh-CN"/>
          <w14:textFill>
            <w14:solidFill>
              <w14:schemeClr w14:val="tx1"/>
            </w14:solidFill>
          </w14:textFill>
        </w:rPr>
        <w:t xml:space="preserve">三</w:t>
      </w:r>
      <w:r>
        <w:rPr>
          <w:rFonts w:hint="eastAsia" w:ascii="宋体" w:hAnsi="宋体"/>
          <w:color w:val="000000" w:themeColor="text1"/>
          <w:sz w:val="28"/>
          <w:szCs w:val="28"/>
          <w:highlight w:val="none"/>
          <w14:textFill>
            <w14:solidFill>
              <w14:schemeClr w14:val="tx1"/>
            </w14:solidFill>
          </w14:textFill>
        </w:rPr>
        <w:t xml:space="preserve">章评标标准</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widowControl/>
        <w:rPr>
          <w:rFonts w:ascii="宋体"/>
          <w:color w:val="000000" w:themeColor="text1"/>
          <w:sz w:val="28"/>
          <w:highlight w:val="none"/>
          <w14:textFill>
            <w14:solidFill>
              <w14:schemeClr w14:val="tx1"/>
            </w14:solidFill>
          </w14:textFill>
        </w:rPr>
      </w:pPr>
      <w:r>
        <w:rPr>
          <w:rFonts w:ascii="宋体"/>
          <w:b/>
          <w:bCs/>
          <w:color w:val="000000" w:themeColor="text1"/>
          <w:sz w:val="28"/>
          <w:highlight w:val="none"/>
          <w14:textFill>
            <w14:solidFill>
              <w14:schemeClr w14:val="tx1"/>
            </w14:solidFill>
          </w14:textFill>
        </w:rPr>
        <w:br w:type="page" w:clear="all"/>
      </w:r>
      <w:r/>
    </w:p>
    <w:p>
      <w:pPr>
        <w:pStyle w:val="661"/>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91" w:name="_Toc20561"/>
      <w:r/>
      <w:bookmarkStart w:id="92" w:name="_Toc93054153"/>
      <w:r>
        <w:rPr>
          <w:rFonts w:asciiTheme="minorEastAsia" w:hAnsiTheme="minorEastAsia" w:eastAsiaTheme="minorEastAsia"/>
          <w:color w:val="000000" w:themeColor="text1"/>
          <w:highlight w:val="none"/>
          <w14:textFill>
            <w14:solidFill>
              <w14:schemeClr w14:val="tx1"/>
            </w14:solidFill>
          </w14:textFill>
        </w:rPr>
        <w:t xml:space="preserve">第三章 评标标准</w:t>
      </w:r>
      <w:bookmarkEnd w:id="91"/>
      <w:r/>
      <w:bookmarkEnd w:id="92"/>
      <w:r/>
      <w:r/>
    </w:p>
    <w:p>
      <w:pPr>
        <w:pStyle w:val="672"/>
        <w:rPr>
          <w:rFonts w:hint="eastAsia" w:ascii="宋体" w:hAnsi="宋体"/>
          <w:b/>
          <w:bCs/>
          <w:color w:val="000000" w:themeColor="text1"/>
          <w:sz w:val="28"/>
          <w:szCs w:val="28"/>
          <w:highlight w:val="none"/>
          <w:lang w:eastAsia="zh-CN"/>
          <w14:textFill>
            <w14:solidFill>
              <w14:schemeClr w14:val="tx1"/>
            </w14:solidFill>
          </w14:textFill>
        </w:rPr>
        <w:outlineLvl w:val="1"/>
      </w:pPr>
      <w:r>
        <w:rPr>
          <w:rFonts w:hint="eastAsia" w:ascii="宋体" w:hAnsi="宋体"/>
          <w:b/>
          <w:bCs/>
          <w:color w:val="000000" w:themeColor="text1"/>
          <w:sz w:val="28"/>
          <w:szCs w:val="28"/>
          <w:highlight w:val="none"/>
          <w:lang w:eastAsia="zh-CN"/>
          <w14:textFill>
            <w14:solidFill>
              <w14:schemeClr w14:val="tx1"/>
            </w14:solidFill>
          </w14:textFill>
        </w:rPr>
        <w:t xml:space="preserve">一、评标方法</w:t>
      </w:r>
      <w:r/>
    </w:p>
    <w:p>
      <w:pPr>
        <w:pStyle w:val="672"/>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采用综合评分法</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评标结果按评审后得分由高到低顺序排列。得分相同的</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按投标报价由低到高顺序排列。得分且投标报价相同的</w:t>
      </w:r>
      <w:r>
        <w:rPr>
          <w:rFonts w:hint="eastAsia" w:ascii="宋体" w:hAnsi="宋体"/>
          <w:color w:val="000000" w:themeColor="text1"/>
          <w:sz w:val="28"/>
          <w:szCs w:val="28"/>
          <w:highlight w:val="none"/>
          <w:lang w:eastAsia="zh-CN"/>
          <w14:textFill>
            <w14:solidFill>
              <w14:schemeClr w14:val="tx1"/>
            </w14:solidFill>
          </w14:textFill>
        </w:rPr>
        <w:t xml:space="preserve">，按“三、评标标准中审计工作方案</w:t>
      </w:r>
      <w:r>
        <w:rPr>
          <w:rFonts w:hint="eastAsia" w:ascii="宋体" w:hAnsi="宋体"/>
          <w:color w:val="000000" w:themeColor="text1"/>
          <w:sz w:val="28"/>
          <w:szCs w:val="28"/>
          <w:highlight w:val="none"/>
          <w:lang w:val="en-US" w:eastAsia="zh-CN"/>
          <w14:textFill>
            <w14:solidFill>
              <w14:schemeClr w14:val="tx1"/>
            </w14:solidFill>
          </w14:textFill>
        </w:rPr>
        <w:t xml:space="preserve">项</w:t>
      </w:r>
      <w:r>
        <w:rPr>
          <w:rFonts w:hint="eastAsia" w:ascii="宋体" w:hAnsi="宋体"/>
          <w:color w:val="000000" w:themeColor="text1"/>
          <w:sz w:val="28"/>
          <w:szCs w:val="28"/>
          <w:highlight w:val="none"/>
          <w:lang w:eastAsia="zh-CN"/>
          <w14:textFill>
            <w14:solidFill>
              <w14:schemeClr w14:val="tx1"/>
            </w14:solidFill>
          </w14:textFill>
        </w:rPr>
        <w:t xml:space="preserve">”得分由高到低顺序排列</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在</w:t>
      </w:r>
      <w:r>
        <w:rPr>
          <w:rFonts w:hint="eastAsia" w:ascii="宋体" w:hAnsi="宋体"/>
          <w:color w:val="000000" w:themeColor="text1"/>
          <w:sz w:val="28"/>
          <w:szCs w:val="28"/>
          <w:highlight w:val="none"/>
          <w14:textFill>
            <w14:solidFill>
              <w14:schemeClr w14:val="tx1"/>
            </w14:solidFill>
          </w14:textFill>
        </w:rPr>
        <w:t xml:space="preserve">投标文件满足招标文件全部实质性要求</w:t>
      </w:r>
      <w:r>
        <w:rPr>
          <w:rFonts w:hint="eastAsia" w:ascii="宋体" w:hAnsi="宋体"/>
          <w:color w:val="000000" w:themeColor="text1"/>
          <w:sz w:val="28"/>
          <w:szCs w:val="28"/>
          <w:highlight w:val="none"/>
          <w:lang w:val="en-US" w:eastAsia="zh-CN"/>
          <w14:textFill>
            <w14:solidFill>
              <w14:schemeClr w14:val="tx1"/>
            </w14:solidFill>
          </w14:textFill>
        </w:rPr>
        <w:t xml:space="preserve">的供应商中</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按照评审得分</w:t>
      </w:r>
      <w:r>
        <w:rPr>
          <w:rFonts w:hint="eastAsia" w:ascii="宋体" w:hAnsi="宋体"/>
          <w:color w:val="000000" w:themeColor="text1"/>
          <w:sz w:val="28"/>
          <w:szCs w:val="28"/>
          <w:highlight w:val="none"/>
          <w:lang w:val="en-US" w:eastAsia="zh-CN"/>
          <w14:textFill>
            <w14:solidFill>
              <w14:schemeClr w14:val="tx1"/>
            </w14:solidFill>
          </w14:textFill>
        </w:rPr>
        <w:t xml:space="preserve">由高到低</w:t>
      </w:r>
      <w:r>
        <w:rPr>
          <w:rFonts w:hint="eastAsia" w:ascii="宋体" w:hAnsi="宋体"/>
          <w:color w:val="000000" w:themeColor="text1"/>
          <w:sz w:val="28"/>
          <w:szCs w:val="28"/>
          <w:highlight w:val="none"/>
          <w14:textFill>
            <w14:solidFill>
              <w14:schemeClr w14:val="tx1"/>
            </w14:solidFill>
          </w14:textFill>
        </w:rPr>
        <w:t xml:space="preserve">选取</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中标候选人。</w:t>
      </w:r>
      <w:r/>
    </w:p>
    <w:p>
      <w:pPr>
        <w:pStyle w:val="672"/>
        <w:rPr>
          <w:rFonts w:hint="eastAsia" w:ascii="宋体" w:hAnsi="宋体"/>
          <w:b/>
          <w:bCs/>
          <w:color w:val="000000" w:themeColor="text1"/>
          <w:sz w:val="28"/>
          <w:szCs w:val="28"/>
          <w:highlight w:val="none"/>
          <w:lang w:eastAsia="zh-CN"/>
          <w14:textFill>
            <w14:solidFill>
              <w14:schemeClr w14:val="tx1"/>
            </w14:solidFill>
          </w14:textFill>
        </w:rPr>
        <w:outlineLvl w:val="1"/>
      </w:pPr>
      <w:r>
        <w:rPr>
          <w:rFonts w:hint="eastAsia" w:ascii="宋体" w:hAnsi="宋体"/>
          <w:b/>
          <w:bCs/>
          <w:color w:val="000000" w:themeColor="text1"/>
          <w:sz w:val="28"/>
          <w:szCs w:val="28"/>
          <w:highlight w:val="none"/>
          <w:lang w:eastAsia="zh-CN"/>
          <w14:textFill>
            <w14:solidFill>
              <w14:schemeClr w14:val="tx1"/>
            </w14:solidFill>
          </w14:textFill>
        </w:rPr>
        <w:t xml:space="preserve">二、</w:t>
      </w:r>
      <w:r>
        <w:rPr>
          <w:rFonts w:hint="eastAsia" w:ascii="宋体" w:hAnsi="宋体"/>
          <w:b/>
          <w:bCs/>
          <w:color w:val="000000" w:themeColor="text1"/>
          <w:sz w:val="28"/>
          <w:szCs w:val="28"/>
          <w:highlight w:val="none"/>
          <w:lang w:val="en-US" w:eastAsia="zh-CN"/>
          <w14:textFill>
            <w14:solidFill>
              <w14:schemeClr w14:val="tx1"/>
            </w14:solidFill>
          </w14:textFill>
        </w:rPr>
        <w:t xml:space="preserve">小微企业价格扣除</w:t>
      </w:r>
      <w:r/>
    </w:p>
    <w:p>
      <w:pPr>
        <w:pStyle w:val="672"/>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val="en-US" w:eastAsia="zh-CN"/>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本项目服务全部由小微企业承接</w:t>
      </w:r>
      <w:r>
        <w:rPr>
          <w:rFonts w:hint="eastAsia" w:ascii="宋体" w:hAnsi="宋体"/>
          <w:color w:val="000000" w:themeColor="text1"/>
          <w:sz w:val="28"/>
          <w:szCs w:val="28"/>
          <w:highlight w:val="none"/>
          <w:lang w:val="zh-CN" w:eastAsia="zh-CN"/>
          <w14:textFill>
            <w14:solidFill>
              <w14:schemeClr w14:val="tx1"/>
            </w14:solidFill>
          </w14:textFill>
        </w:rPr>
        <w:t xml:space="preserve">的，</w:t>
      </w:r>
      <w:r>
        <w:rPr>
          <w:rFonts w:hint="eastAsia" w:ascii="宋体" w:hAnsi="宋体"/>
          <w:color w:val="000000" w:themeColor="text1"/>
          <w:sz w:val="28"/>
          <w:szCs w:val="28"/>
          <w:highlight w:val="none"/>
          <w14:textFill>
            <w14:solidFill>
              <w14:schemeClr w14:val="tx1"/>
            </w14:solidFill>
          </w14:textFill>
        </w:rPr>
        <w:t xml:space="preserve">对报价给予</w:t>
      </w:r>
      <w:r>
        <w:rPr>
          <w:rFonts w:hint="eastAsia" w:ascii="宋体" w:hAnsi="宋体"/>
          <w:color w:val="000000" w:themeColor="text1"/>
          <w:sz w:val="28"/>
          <w:szCs w:val="28"/>
          <w:highlight w:val="none"/>
          <w:lang w:val="zh-CN" w:eastAsia="zh-CN"/>
          <w14:textFill>
            <w14:solidFill>
              <w14:schemeClr w14:val="tx1"/>
            </w14:solidFill>
          </w14:textFill>
        </w:rPr>
        <w:t xml:space="preserve">10%</w:t>
      </w:r>
      <w:r>
        <w:rPr>
          <w:rFonts w:hint="eastAsia" w:ascii="宋体" w:hAnsi="宋体"/>
          <w:color w:val="000000" w:themeColor="text1"/>
          <w:sz w:val="28"/>
          <w:szCs w:val="28"/>
          <w:highlight w:val="none"/>
          <w14:textFill>
            <w14:solidFill>
              <w14:schemeClr w14:val="tx1"/>
            </w14:solidFill>
          </w14:textFill>
        </w:rPr>
        <w:t xml:space="preserve">的扣除</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用扣除后的价格参与评审。</w:t>
      </w:r>
      <w:r/>
    </w:p>
    <w:p>
      <w:pPr>
        <w:pStyle w:val="672"/>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残疾人福利性单位视同小型、微型企业</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给予</w:t>
      </w:r>
      <w:r>
        <w:rPr>
          <w:rFonts w:hint="eastAsia" w:ascii="宋体" w:hAnsi="宋体"/>
          <w:color w:val="000000" w:themeColor="text1"/>
          <w:sz w:val="28"/>
          <w:szCs w:val="28"/>
          <w:highlight w:val="none"/>
          <w:lang w:val="en-US" w:eastAsia="zh-CN"/>
          <w14:textFill>
            <w14:solidFill>
              <w14:schemeClr w14:val="tx1"/>
            </w14:solidFill>
          </w14:textFill>
        </w:rPr>
        <w:t xml:space="preserve">与小微企业相同</w:t>
      </w:r>
      <w:r>
        <w:rPr>
          <w:rFonts w:hint="eastAsia" w:ascii="宋体" w:hAnsi="宋体"/>
          <w:color w:val="000000" w:themeColor="text1"/>
          <w:sz w:val="28"/>
          <w:szCs w:val="28"/>
          <w:highlight w:val="none"/>
          <w14:textFill>
            <w14:solidFill>
              <w14:schemeClr w14:val="tx1"/>
            </w14:solidFill>
          </w14:textFill>
        </w:rPr>
        <w:t xml:space="preserve">的价格扣除</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用扣除后的价格参与评审</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监狱和戒毒企业视同小型、微型企业</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给予</w:t>
      </w:r>
      <w:r>
        <w:rPr>
          <w:rFonts w:hint="eastAsia" w:ascii="宋体" w:hAnsi="宋体"/>
          <w:color w:val="000000" w:themeColor="text1"/>
          <w:sz w:val="28"/>
          <w:szCs w:val="28"/>
          <w:highlight w:val="none"/>
          <w:lang w:val="en-US" w:eastAsia="zh-CN"/>
          <w14:textFill>
            <w14:solidFill>
              <w14:schemeClr w14:val="tx1"/>
            </w14:solidFill>
          </w14:textFill>
        </w:rPr>
        <w:t xml:space="preserve">与小微企业相同</w:t>
      </w:r>
      <w:r>
        <w:rPr>
          <w:rFonts w:hint="eastAsia" w:ascii="宋体" w:hAnsi="宋体"/>
          <w:color w:val="000000" w:themeColor="text1"/>
          <w:sz w:val="28"/>
          <w:szCs w:val="28"/>
          <w:highlight w:val="none"/>
          <w14:textFill>
            <w14:solidFill>
              <w14:schemeClr w14:val="tx1"/>
            </w14:solidFill>
          </w14:textFill>
        </w:rPr>
        <w:t xml:space="preserve">的价格扣除</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用扣除后的价格参与评审</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残疾人福利单位、监狱企业属于小型、微型企业的</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不重复享受</w:t>
      </w:r>
      <w:r>
        <w:rPr>
          <w:rFonts w:hint="eastAsia" w:ascii="宋体" w:hAnsi="宋体"/>
          <w:color w:val="000000" w:themeColor="text1"/>
          <w:sz w:val="28"/>
          <w:szCs w:val="28"/>
          <w:highlight w:val="none"/>
          <w:lang w:val="en-US" w:eastAsia="zh-CN"/>
          <w14:textFill>
            <w14:solidFill>
              <w14:schemeClr w14:val="tx1"/>
            </w14:solidFill>
          </w14:textFill>
        </w:rPr>
        <w:t xml:space="preserve">价格扣除</w:t>
      </w:r>
      <w:r>
        <w:rPr>
          <w:rFonts w:hint="eastAsia" w:ascii="宋体" w:hAnsi="宋体"/>
          <w:color w:val="000000" w:themeColor="text1"/>
          <w:sz w:val="28"/>
          <w:szCs w:val="28"/>
          <w:highlight w:val="none"/>
          <w14:textFill>
            <w14:solidFill>
              <w14:schemeClr w14:val="tx1"/>
            </w14:solidFill>
          </w14:textFill>
        </w:rPr>
        <w:t xml:space="preserve">。</w:t>
      </w:r>
      <w:r/>
    </w:p>
    <w:p>
      <w:pPr>
        <w:pStyle w:val="672"/>
        <w:rPr>
          <w:rFonts w:hint="eastAsia" w:ascii="宋体" w:hAnsi="宋体"/>
          <w:b/>
          <w:bCs/>
          <w:color w:val="000000" w:themeColor="text1"/>
          <w:sz w:val="28"/>
          <w:szCs w:val="28"/>
          <w:highlight w:val="none"/>
          <w14:textFill>
            <w14:solidFill>
              <w14:schemeClr w14:val="tx1"/>
            </w14:solidFill>
          </w14:textFill>
        </w:rPr>
        <w:outlineLvl w:val="1"/>
      </w:pPr>
      <w:r>
        <w:rPr>
          <w:rFonts w:hint="eastAsia" w:ascii="宋体" w:hAnsi="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b/>
          <w:bCs/>
          <w:color w:val="000000" w:themeColor="text1"/>
          <w:sz w:val="28"/>
          <w:szCs w:val="28"/>
          <w:highlight w:val="none"/>
          <w14:textFill>
            <w14:solidFill>
              <w14:schemeClr w14:val="tx1"/>
            </w14:solidFill>
          </w14:textFill>
        </w:rPr>
        <w:t xml:space="preserve">低价审查</w:t>
      </w:r>
      <w:r/>
    </w:p>
    <w:p>
      <w:pPr>
        <w:pStyle w:val="672"/>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p>
      <w:pPr>
        <w:pStyle w:val="672"/>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政府采购评审中出现下列情形之一的，评审委员会应当启动异常低价投标（响应）审查程序：</w:t>
      </w:r>
      <w:r>
        <w:rPr>
          <w:rFonts w:hint="eastAsia" w:ascii="宋体" w:hAnsi="宋体"/>
          <w:color w:val="000000" w:themeColor="text1"/>
          <w:sz w:val="28"/>
          <w:szCs w:val="28"/>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3.投标（响应）报价低于采购项目最高限价45%的，即投标（响应）报价&lt;采购项目最高限价×45%；</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相关法律法规对供应商报价有规定的，从其规定。</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2"/>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2"/>
        <w:rPr>
          <w:rFonts w:hint="default" w:ascii="宋体" w:hAnsi="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b/>
          <w:bCs/>
          <w:color w:val="000000" w:themeColor="text1"/>
          <w:sz w:val="28"/>
          <w:szCs w:val="28"/>
          <w:highlight w:val="none"/>
          <w:lang w:val="en-US" w:eastAsia="zh-CN"/>
          <w14:textFill>
            <w14:solidFill>
              <w14:schemeClr w14:val="tx1"/>
            </w14:solidFill>
          </w14:textFill>
        </w:rPr>
        <w:t xml:space="preserve">四、评审标准</w:t>
      </w:r>
      <w:r/>
    </w:p>
    <w:p>
      <w:pPr>
        <w:jc w:val="left"/>
        <w:spacing w:line="360" w:lineRule="auto"/>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分包1：</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eastAsia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hint="default" w:eastAsia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300"/>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default" w:eastAsiaTheme="majorEastAsia"/>
                <w:color w:val="000000" w:themeColor="text1"/>
                <w:highlight w:val="none"/>
                <w:lang w:val="en-US" w:eastAsia="zh-CN"/>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49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default" w:eastAsiaTheme="majorEastAsia"/>
                <w:color w:val="000000" w:themeColor="text1"/>
                <w:highlight w:val="none"/>
                <w:lang w:val="en-US" w:eastAsia="zh-CN"/>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jc w:val="left"/>
        <w:spacing w:line="360" w:lineRule="auto"/>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分包2：</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28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23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分包3：</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分包4：</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21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分包5：</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bookmarkStart w:id="110" w:name="_GoBack"/>
            <w:r/>
            <w:bookmarkEnd w:id="110"/>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分包6：</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分包7：</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rPr>
                <w:rFonts w:hint="eastAsia"/>
                <w:color w:val="000000" w:themeColor="text1"/>
                <w:szCs w:val="21"/>
                <w:highlight w:val="none"/>
                <w14:textFill>
                  <w14:solidFill>
                    <w14:schemeClr w14:val="tx1"/>
                  </w14:solidFill>
                </w14:textFill>
              </w:rPr>
              <w:t xml:space="preserve">安居</w:t>
            </w:r>
            <w:r>
              <w:rPr>
                <w:color w:val="000000" w:themeColor="text1"/>
                <w:szCs w:val="21"/>
                <w:highlight w:val="none"/>
                <w14:textFill>
                  <w14:solidFill>
                    <w14:schemeClr w14:val="tx1"/>
                  </w14:solidFill>
                </w14:textFill>
              </w:rPr>
              <w:t xml:space="preserve">集团</w:t>
            </w:r>
            <w:r>
              <w:rPr>
                <w:rFonts w:hint="eastAsia"/>
                <w:color w:val="000000" w:themeColor="text1"/>
                <w:szCs w:val="21"/>
                <w:highlight w:val="none"/>
                <w14:textFill>
                  <w14:solidFill>
                    <w14:schemeClr w14:val="tx1"/>
                  </w14:solidFill>
                </w14:textFill>
              </w:rPr>
              <w:t xml:space="preserve">项目经理需具有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w:t>
            </w:r>
            <w:r>
              <w:rPr>
                <w:color w:val="000000" w:themeColor="text1"/>
                <w:szCs w:val="21"/>
                <w:highlight w:val="none"/>
                <w14:textFill>
                  <w14:solidFill>
                    <w14:schemeClr w14:val="tx1"/>
                  </w14:solidFill>
                </w14:textFill>
              </w:rPr>
              <w:t xml:space="preserve">审审计</w:t>
            </w:r>
            <w:r>
              <w:rPr>
                <w:rFonts w:hint="eastAsia"/>
                <w:color w:val="000000" w:themeColor="text1"/>
                <w:szCs w:val="21"/>
                <w:highlight w:val="none"/>
                <w14:textFill>
                  <w14:solidFill>
                    <w14:schemeClr w14:val="tx1"/>
                  </w14:solidFill>
                </w14:textFill>
              </w:rPr>
              <w:t xml:space="preserve">经历，每提供1份报告得2分，最多4分；国盛</w:t>
            </w:r>
            <w:r>
              <w:rPr>
                <w:color w:val="000000" w:themeColor="text1"/>
                <w:szCs w:val="21"/>
                <w:highlight w:val="none"/>
                <w14:textFill>
                  <w14:solidFill>
                    <w14:schemeClr w14:val="tx1"/>
                  </w14:solidFill>
                </w14:textFill>
              </w:rPr>
              <w:t xml:space="preserve">集团</w:t>
            </w:r>
            <w:r>
              <w:rPr>
                <w:rFonts w:hint="eastAsia"/>
                <w:color w:val="000000" w:themeColor="text1"/>
                <w:szCs w:val="21"/>
                <w:highlight w:val="none"/>
                <w14:textFill>
                  <w14:solidFill>
                    <w14:schemeClr w14:val="tx1"/>
                  </w14:solidFill>
                </w14:textFill>
              </w:rPr>
              <w:t xml:space="preserve">项目经理需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rPr>
                <w:rFonts w:hint="eastAsia"/>
                <w:color w:val="000000" w:themeColor="text1"/>
                <w:szCs w:val="21"/>
                <w:highlight w:val="none"/>
                <w14:textFill>
                  <w14:solidFill>
                    <w14:schemeClr w14:val="tx1"/>
                  </w14:solidFill>
                </w14:textFill>
              </w:rPr>
              <w:t xml:space="preserve">安居集团项目组成员需具有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房地产行业年报审计主审</w:t>
            </w:r>
            <w:r>
              <w:rPr>
                <w:color w:val="000000" w:themeColor="text1"/>
                <w:szCs w:val="21"/>
                <w:highlight w:val="none"/>
                <w14:textFill>
                  <w14:solidFill>
                    <w14:schemeClr w14:val="tx1"/>
                  </w14:solidFill>
                </w14:textFill>
              </w:rPr>
              <w:t xml:space="preserve">审计</w:t>
            </w:r>
            <w:r>
              <w:rPr>
                <w:rFonts w:hint="eastAsia"/>
                <w:color w:val="000000" w:themeColor="text1"/>
                <w:szCs w:val="21"/>
                <w:highlight w:val="none"/>
                <w14:textFill>
                  <w14:solidFill>
                    <w14:schemeClr w14:val="tx1"/>
                  </w14:solidFill>
                </w14:textFill>
              </w:rPr>
              <w:t xml:space="preserve">经历，每提供1份报告得</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分，最多得4分；国盛</w:t>
            </w:r>
            <w:r>
              <w:rPr>
                <w:color w:val="000000" w:themeColor="text1"/>
                <w:szCs w:val="21"/>
                <w:highlight w:val="none"/>
                <w14:textFill>
                  <w14:solidFill>
                    <w14:schemeClr w14:val="tx1"/>
                  </w14:solidFill>
                </w14:textFill>
              </w:rPr>
              <w:t xml:space="preserve">集团</w:t>
            </w:r>
            <w:r>
              <w:rPr>
                <w:rFonts w:hint="eastAsia"/>
                <w:color w:val="000000" w:themeColor="text1"/>
                <w:szCs w:val="21"/>
                <w:highlight w:val="none"/>
                <w14:textFill>
                  <w14:solidFill>
                    <w14:schemeClr w14:val="tx1"/>
                  </w14:solidFill>
                </w14:textFill>
              </w:rPr>
              <w:t xml:space="preserve">项目组成员需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分包8：</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hint="eastAsia" w:eastAsia="宋体" w:asciiTheme="majorEastAsia" w:hAnsi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项目经理从业经历。地铁集团</w:t>
            </w:r>
            <w:r>
              <w:rPr>
                <w:rFonts w:hint="eastAsia"/>
                <w:color w:val="000000" w:themeColor="text1"/>
                <w:szCs w:val="21"/>
                <w:highlight w:val="none"/>
                <w14:textFill>
                  <w14:solidFill>
                    <w14:schemeClr w14:val="tx1"/>
                  </w14:solidFill>
                </w14:textFill>
              </w:rPr>
              <w:t xml:space="preserve">项目</w:t>
            </w:r>
            <w:r>
              <w:rPr>
                <w:rFonts w:hint="eastAsia"/>
                <w:color w:val="000000" w:themeColor="text1"/>
                <w:szCs w:val="21"/>
                <w:highlight w:val="none"/>
                <w:lang w:val="en-US" w:eastAsia="zh-CN"/>
                <w14:textFill>
                  <w14:solidFill>
                    <w14:schemeClr w14:val="tx1"/>
                  </w14:solidFill>
                </w14:textFill>
              </w:rPr>
              <w:t xml:space="preserve">经理</w:t>
            </w:r>
            <w:r>
              <w:rPr>
                <w:rFonts w:hint="eastAsia"/>
                <w:color w:val="000000" w:themeColor="text1"/>
                <w:szCs w:val="21"/>
                <w:highlight w:val="none"/>
                <w14:textFill>
                  <w14:solidFill>
                    <w14:schemeClr w14:val="tx1"/>
                  </w14:solidFill>
                </w14:textFill>
              </w:rPr>
              <w:t xml:space="preserve">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房地产行业年报审计主审</w:t>
            </w:r>
            <w:r>
              <w:rPr>
                <w:color w:val="000000" w:themeColor="text1"/>
                <w:szCs w:val="21"/>
                <w:highlight w:val="none"/>
                <w14:textFill>
                  <w14:solidFill>
                    <w14:schemeClr w14:val="tx1"/>
                  </w14:solidFill>
                </w14:textFill>
              </w:rPr>
              <w:t xml:space="preserve">审计</w:t>
            </w:r>
            <w:r>
              <w:rPr>
                <w:rFonts w:hint="eastAsia"/>
                <w:color w:val="000000" w:themeColor="text1"/>
                <w:szCs w:val="21"/>
                <w:highlight w:val="none"/>
                <w14:textFill>
                  <w14:solidFill>
                    <w14:schemeClr w14:val="tx1"/>
                  </w14:solidFill>
                </w14:textFill>
              </w:rPr>
              <w:t xml:space="preserve">经历，每提供1份报告得</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分，最多得4分；创投集团项目</w:t>
            </w:r>
            <w:r>
              <w:rPr>
                <w:rFonts w:hint="eastAsia"/>
                <w:color w:val="000000" w:themeColor="text1"/>
                <w:szCs w:val="21"/>
                <w:highlight w:val="none"/>
                <w:lang w:val="en-US" w:eastAsia="zh-CN"/>
                <w14:textFill>
                  <w14:solidFill>
                    <w14:schemeClr w14:val="tx1"/>
                  </w14:solidFill>
                </w14:textFill>
              </w:rPr>
              <w:t xml:space="preserve">经理</w:t>
            </w:r>
            <w:r>
              <w:rPr>
                <w:rFonts w:hint="eastAsia"/>
                <w:color w:val="000000" w:themeColor="text1"/>
                <w:szCs w:val="21"/>
                <w:highlight w:val="none"/>
                <w14:textFill>
                  <w14:solidFill>
                    <w14:schemeClr w14:val="tx1"/>
                  </w14:solidFill>
                </w14:textFill>
              </w:rPr>
              <w:t xml:space="preserve">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年以来年报审计主审审计经历，每提供1份报告得1分，最多得2分</w:t>
            </w:r>
            <w:r>
              <w:rPr>
                <w:rFonts w:hint="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项目组成员从业经历。地铁集团</w:t>
            </w:r>
            <w:r>
              <w:rPr>
                <w:rFonts w:hint="eastAsia"/>
                <w:color w:val="000000" w:themeColor="text1"/>
                <w:szCs w:val="21"/>
                <w:highlight w:val="none"/>
                <w14:textFill>
                  <w14:solidFill>
                    <w14:schemeClr w14:val="tx1"/>
                  </w14:solidFill>
                </w14:textFill>
              </w:rPr>
              <w:t xml:space="preserve">项目组成员需具有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房地产行业年报审计主审</w:t>
            </w:r>
            <w:r>
              <w:rPr>
                <w:color w:val="000000" w:themeColor="text1"/>
                <w:szCs w:val="21"/>
                <w:highlight w:val="none"/>
                <w14:textFill>
                  <w14:solidFill>
                    <w14:schemeClr w14:val="tx1"/>
                  </w14:solidFill>
                </w14:textFill>
              </w:rPr>
              <w:t xml:space="preserve">审计</w:t>
            </w:r>
            <w:r>
              <w:rPr>
                <w:rFonts w:hint="eastAsia"/>
                <w:color w:val="000000" w:themeColor="text1"/>
                <w:szCs w:val="21"/>
                <w:highlight w:val="none"/>
                <w14:textFill>
                  <w14:solidFill>
                    <w14:schemeClr w14:val="tx1"/>
                  </w14:solidFill>
                </w14:textFill>
              </w:rPr>
              <w:t xml:space="preserve">经历，每提供1份报告得</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分，最多得4分；创投集团项目组成员需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年以来年报审计主审审计经历，每提供1份报告得1分，最多得2分</w:t>
            </w:r>
            <w:r>
              <w:rPr>
                <w:rFonts w:hint="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分包9：</w:t>
      </w:r>
      <w:r/>
    </w:p>
    <w:tbl>
      <w:tblPr>
        <w:tblStyle w:val="671"/>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071"/>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评委根据投标人针对项目提供服务响应方案进行综合评分：（1）服务响应及时高效、方案完整、清晰、针对性强，能够充分满足项目需求的，得4分；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（2）服务响应较及时高效、方案比较完整、清晰、针对性较强，较充分满足项目需求的，得2分；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（3）服务响应基本高效、方案基本完整、基本清晰、具有一定的针对性，基本满足项目需求的，得1分；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w:t>
            </w: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hint="eastAsia" w:eastAsia="宋体" w:asciiTheme="majorEastAsia" w:hAnsi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cstheme="majorEastAsia"/>
                <w:color w:val="000000" w:themeColor="text1"/>
                <w:szCs w:val="21"/>
                <w:highlight w:val="none"/>
                <w:lang w:val="en-US" w:eastAsia="zh-CN"/>
                <w14:textFill>
                  <w14:solidFill>
                    <w14:schemeClr w14:val="tx1"/>
                  </w14:solidFill>
                </w14:textFill>
              </w:rPr>
              <w:t xml:space="preserve">6</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071"/>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19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jc w:val="left"/>
        <w:spacing w:line="560" w:lineRule="exact"/>
        <w:widowControl/>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br w:type="page" w:clear="all"/>
      </w:r>
      <w:r/>
    </w:p>
    <w:p>
      <w:pPr>
        <w:pStyle w:val="661"/>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93" w:name="_Toc93054154"/>
      <w:r/>
      <w:bookmarkStart w:id="94" w:name="_Toc27161"/>
      <w:r>
        <w:rPr>
          <w:rFonts w:asciiTheme="minorEastAsia" w:hAnsiTheme="minorEastAsia" w:eastAsiaTheme="minorEastAsia"/>
          <w:color w:val="000000" w:themeColor="text1"/>
          <w:highlight w:val="none"/>
          <w14:textFill>
            <w14:solidFill>
              <w14:schemeClr w14:val="tx1"/>
            </w14:solidFill>
          </w14:textFill>
        </w:rPr>
        <w:t xml:space="preserve">第四章 招标项目的服务要求和数量</w:t>
      </w:r>
      <w:r>
        <w:rPr>
          <w:rFonts w:hint="eastAsia" w:asciiTheme="minorEastAsia" w:hAnsiTheme="minorEastAsia" w:eastAsiaTheme="minorEastAsia"/>
          <w:color w:val="000000" w:themeColor="text1"/>
          <w:highlight w:val="none"/>
          <w14:textFill>
            <w14:solidFill>
              <w14:schemeClr w14:val="tx1"/>
            </w14:solidFill>
          </w14:textFill>
        </w:rPr>
        <w:t xml:space="preserve">等</w:t>
      </w:r>
      <w:bookmarkEnd w:id="93"/>
      <w:r/>
      <w:bookmarkEnd w:id="94"/>
      <w:r/>
      <w:r/>
    </w:p>
    <w:p>
      <w:pPr>
        <w:jc w:val="left"/>
        <w:keepLines w:val="0"/>
        <w:keepNext w:val="0"/>
        <w:pageBreakBefore w:val="0"/>
        <w:spacing w:line="560" w:lineRule="exact"/>
        <w:widowControl w:val="off"/>
        <w:rPr>
          <w:rFonts w:cs="Times New Roman"/>
          <w:b/>
          <w:color w:val="000000" w:themeColor="text1"/>
          <w:sz w:val="28"/>
          <w:szCs w:val="28"/>
          <w:highlight w:val="none"/>
          <w14:textFill>
            <w14:solidFill>
              <w14:schemeClr w14:val="tx1"/>
            </w14:solidFill>
          </w14:textFill>
        </w:rPr>
        <w:outlineLvl w:val="1"/>
      </w:pPr>
      <w:r/>
      <w:bookmarkStart w:id="95" w:name="_Toc93054155"/>
      <w:r>
        <w:rPr>
          <w:rFonts w:hint="eastAsia" w:cs="Times New Roman"/>
          <w:b/>
          <w:color w:val="000000" w:themeColor="text1"/>
          <w:sz w:val="28"/>
          <w:szCs w:val="28"/>
          <w:highlight w:val="none"/>
          <w14:textFill>
            <w14:solidFill>
              <w14:schemeClr w14:val="tx1"/>
            </w14:solidFill>
          </w14:textFill>
        </w:rPr>
        <w:t xml:space="preserve">一、项目概况</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1、项目编号：</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JSZC-320100-JSDY-G2026-0024</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2、项目名称：2026-2027年度市国资委监管企业财务决算年报审计中介机构选聘</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3、采购内容：</w:t>
      </w:r>
      <w:r/>
    </w:p>
    <w:tbl>
      <w:tblPr>
        <w:tblStyle w:val="671"/>
        <w:tblW w:w="977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0"/>
        <w:gridCol w:w="2616"/>
        <w:gridCol w:w="1485"/>
        <w:gridCol w:w="3471"/>
        <w:gridCol w:w="1208"/>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2599"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分包内容</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各分包年度预算</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各集团年预算划分（万元/年)</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两年总预算</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9"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（万元/年)</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城建集团、水务集团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城建集团136.5、水务集团32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337.0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交通集团103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206.0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128.0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新工集团128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256.0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东南集团、河西集团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114.0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东南集团64、河西集团50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228.0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文旅集团130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260.0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投控、紫金集团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投控30、紫金集团50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160.0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安居集团、国盛集团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安居集团71、国盛集团17.5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177.0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地铁集团、创投集团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地铁集团45、创投集团23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新农集团、大数据集团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新农集团27.5、大数据集团16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87.0 </w:t>
            </w:r>
            <w:r/>
          </w:p>
        </w:tc>
      </w:tr>
      <w:tr>
        <w:trPr>
          <w:trHeight w:val="559"/>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923.5 </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1,847.0 </w:t>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本项目每分包选取1名中标人。投标人可以自主选择分包投标，但中标结果只能为一个分包，不能兼得。评标委员会按分包1-9的顺序对各分包进行综合评分后确定每个分包的中标人。（前一分包的中标人的总所分所都将自动失去后续分包的中标资格）</w:t>
      </w:r>
      <w:r/>
    </w:p>
    <w:p>
      <w:pPr>
        <w:ind w:firstLine="562"/>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投标人投标报价时，应先对分包内</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集团</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逐个单独报价，而后汇总成该分包总投标报价。</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4、采购项目预算：1847.00万元（923.50万元/年，报价超过项目预算作无效投标处理；如分包内容包含两个集团，则报价超过各集团预算作无效响应处理。）</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5、项目服务期限：本项目服务期限为两年，审计业务约定书一年一签，2027年度审计业务约定书在开展2027年度财务决算报告审计工作前签订。每年3月31日（需合并上市公司的为4月30日）前完成年报审计工作，并出具审计报告、专项报告和管理建议书等工作材料。</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二、技术要求（分包1-9）</w:t>
      </w:r>
      <w:r/>
    </w:p>
    <w:p>
      <w:pPr>
        <w:ind w:firstLine="560"/>
        <w:keepLines w:val="0"/>
        <w:keepNext w:val="0"/>
        <w:pageBreakBefore w:val="0"/>
        <w:spacing w:line="560" w:lineRule="exact"/>
        <w:widowControl w:val="off"/>
        <w:rPr>
          <w:rFonts w:hint="default" w:ascii="宋体" w:hAnsi="宋体" w:eastAsia="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一）工作内容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南京市人民政府国有资产监督管理委员会（</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以</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下称“南京市国资委”）对</w:t>
      </w:r>
      <w:bookmarkStart w:id="96" w:name="OLE_LINK2"/>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南京市城市建设投资控股（集团）有限责任公司</w:t>
      </w:r>
      <w:bookmarkEnd w:id="96"/>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、南京水务集团有限公司、南京市交通建设投资控股（集团）有限责任公司、南京新工投资集团有限责任公司、南京东南国资投资集团有限责任公司、南京市河西新城</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区国有资产经营控股（集团）有限责任公司、南京文旅集团有限责任公司、南京市投资控股有限公司、南京紫金投资集团有限责任公司、南京安居建设集团有限责任公司、南京国盛投资管理集团有限公司、南京地铁集团有限公司、南京市创新投资集团有限责任公司、南京新农发展集团有限责任公司、南京大数据集团有限公司等市属企业及其子企业履行出资人职责或监管职责，根据《企业国有资产法》等相关规定，南京市国资委现拟通过公开招标方式，选派会计师事务所承担上述企业及其子企业2026-2027年度财务决算审计工作。上述企业分9个分包，相关需求如下：</w:t>
      </w:r>
      <w:r/>
    </w:p>
    <w:p>
      <w:pPr>
        <w:pStyle w:val="1070"/>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分包1：</w:t>
      </w:r>
      <w:r/>
    </w:p>
    <w:tbl>
      <w:tblPr>
        <w:tblStyle w:val="67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088"/>
        <w:gridCol w:w="6040"/>
        <w:gridCol w:w="1584"/>
      </w:tblGrid>
      <w:tr>
        <w:trPr>
          <w:trHeight w:val="448"/>
        </w:trPr>
        <w:tc>
          <w:tcPr>
            <w:tcW w:w="307" w:type="pct"/>
            <w:vAlign w:val="center"/>
            <w:textDirection w:val="lrTb"/>
            <w:noWrap w:val="false"/>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企业名称</w:t>
            </w:r>
            <w:r/>
          </w:p>
        </w:tc>
        <w:tc>
          <w:tcPr>
            <w:tcW w:w="3253" w:type="pct"/>
            <w:vAlign w:val="center"/>
            <w:textDirection w:val="lrTb"/>
            <w:noWrap/>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具体受托审计标的</w:t>
            </w:r>
            <w:r/>
          </w:p>
        </w:tc>
        <w:tc>
          <w:tcPr>
            <w:tcW w:w="853" w:type="pct"/>
            <w:vAlign w:val="center"/>
            <w:textDirection w:val="lrTb"/>
            <w:noWrap w:val="false"/>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受托审计内容</w:t>
            </w:r>
            <w:r/>
          </w:p>
        </w:tc>
      </w:tr>
      <w:tr>
        <w:trPr>
          <w:trHeight w:val="557"/>
        </w:trPr>
        <w:tc>
          <w:tcPr>
            <w:tcW w:w="307" w:type="pct"/>
            <w:vAlign w:val="center"/>
            <w:vMerge w:val="restart"/>
            <w:textDirection w:val="lrTb"/>
            <w:noWrap w:val="false"/>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586"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南京市城市建设投资控股（集团）有限责任公司</w:t>
            </w:r>
            <w:r/>
          </w:p>
        </w:tc>
        <w:tc>
          <w:tcPr>
            <w:tcW w:w="3253"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市城市建设投资控股(集团)有限责任公司（合并）、南京市城市建设投资控股(集团)有限责任公司（母公司）、南京城市建设管理集团有限公司（合并）、南京城市建设管理集团有限公司（母公司）、南京诚明建设咨询有限公司、南京城建建设工程配套服务有限公司、南京精筑智慧科技有限公司、南京城市建设工程设计研究院有限公司、南京城</w:t>
            </w:r>
            <w:r>
              <w:rPr>
                <w:rFonts w:hint="eastAsia" w:ascii="宋体" w:hAnsi="宋体"/>
                <w:color w:val="000000" w:themeColor="text1"/>
                <w:sz w:val="18"/>
                <w:szCs w:val="18"/>
                <w:highlight w:val="none"/>
                <w14:textFill>
                  <w14:solidFill>
                    <w14:schemeClr w14:val="tx1"/>
                  </w14:solidFill>
                </w14:textFill>
              </w:rPr>
              <w:t xml:space="preserve">建城市运营集团有限公司（合并）、南京城建城市运营集团有限公司（本部）、南京城建隧桥智慧管理有限公司（合并）、南京城建隧桥智慧管理有限公司（母公司）、南京久世基础设施工程有限公司、南京智慧管廊建设运营管理有限公司、南京市城投建设工程有限公司、南京城建空间信息科技有限公司、南京市城市照明建设运营集团有限公司（合并）、南京市城市照明建设运营集团有限公司（母公司）、南京路灯工程建设有限责任公司、江苏云尚传媒有限责任公司、江苏未来城市公共空间开发运营有限公司、江苏馨玥照科技有限公司、南京市城建市政工程管理有限公司（合</w:t>
            </w:r>
            <w:r>
              <w:rPr>
                <w:rFonts w:hint="eastAsia" w:ascii="宋体" w:hAnsi="宋体"/>
                <w:color w:val="000000" w:themeColor="text1"/>
                <w:sz w:val="18"/>
                <w:szCs w:val="18"/>
                <w:highlight w:val="none"/>
                <w14:textFill>
                  <w14:solidFill>
                    <w14:schemeClr w14:val="tx1"/>
                  </w14:solidFill>
                </w14:textFill>
              </w:rPr>
              <w:t xml:space="preserve">并）、南京市城建市政工程管理有限公司（母公司）、南京市市政工程管理处建设发展有限公司、南京诚业市政设施工程有限责任公司、南京通客云来酒店管理有限公司、南京市城市环卫集团有限公司（合并）、南京市城市环卫集团有限公司（母公司）、南京振环保洁有限责任公司、南京城市治理科技信息有限公司、南京环境集团有限公司（合并）、南京环境集团有限公司（母公司）、南京长江环境科技有限公司、南京江北新区环境科技有限公司、南京市城市建设(控股)有限公司（合并）、南京市城市建设(控股)有限公司（母公司）、南京城建土地整理开发有限公司、南</w:t>
            </w:r>
            <w:r>
              <w:rPr>
                <w:rFonts w:hint="eastAsia" w:ascii="宋体" w:hAnsi="宋体"/>
                <w:color w:val="000000" w:themeColor="text1"/>
                <w:sz w:val="18"/>
                <w:szCs w:val="18"/>
                <w:highlight w:val="none"/>
                <w14:textFill>
                  <w14:solidFill>
                    <w14:schemeClr w14:val="tx1"/>
                  </w14:solidFill>
                </w14:textFill>
              </w:rPr>
              <w:t xml:space="preserve">京城投智能停车有限公司、南京城投住房租赁有限公司、南京城建静态交通投资有限公司、南京长虹城市更新发展有限公司、南京淳铁建设有限公司、南京溧铁建设工程有限公司、睢宁县宁铁建设有限公司、南京城建资产经营管理有限公司（合并）、南京城建资产经营管理有限公司（母公司）、南京液化石油气有限公司、南京煤气有限公司、南京水泥制管厂有限公司、南京市政工程有限公司、南京两华劳动服务有限公司、南京智慧停车有限责任公司、南京城市更新产业投资发展有限公司（合并）、南京城市更新产业投资发展有限公司（母公司）、南京谷升企业管理有限公司、</w:t>
            </w:r>
            <w:r>
              <w:rPr>
                <w:rFonts w:hint="eastAsia" w:ascii="宋体" w:hAnsi="宋体"/>
                <w:color w:val="000000" w:themeColor="text1"/>
                <w:sz w:val="18"/>
                <w:szCs w:val="18"/>
                <w:highlight w:val="none"/>
                <w14:textFill>
                  <w14:solidFill>
                    <w14:schemeClr w14:val="tx1"/>
                  </w14:solidFill>
                </w14:textFill>
              </w:rPr>
              <w:t xml:space="preserve">南京万谷智城园区发展有限公司、南京城建雨新产业运营有限公司、南京市场景创新发展有限责任公司、南京公用控股(集团)有限公司（合并）、南京公用控股(集团)有限公司（母公司）、南京公共交通（集团）有限公司（合并）、南京公共交通（集团）有限公司（母公司）、南京江北新区公交客运有限公司、南京扬子公交六合客运有限公司、南京扬子浦口公交客运有限公司、南京公交场站有限公司、南京公共交通传媒有限公司、南京公共交通集团投资发展有限公司、南京新城现代有轨电车有限公司、南京轮渡有限公司、南京公共自行车有限公司、南京宁通教育培训中心</w:t>
            </w:r>
            <w:r/>
          </w:p>
        </w:tc>
        <w:tc>
          <w:tcPr>
            <w:tcW w:w="853" w:type="pct"/>
            <w:vAlign w:val="center"/>
            <w:textDirection w:val="lrTb"/>
            <w:noWrap w:val="false"/>
          </w:tcPr>
          <w:p>
            <w:pPr>
              <w:jc w:val="left"/>
              <w:widowControl/>
              <w:rPr>
                <w:rFonts w:hint="eastAsia" w:ascii="宋体" w:hAnsi="宋体"/>
                <w:color w:val="000000" w:themeColor="text1"/>
                <w:sz w:val="18"/>
                <w:szCs w:val="18"/>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城建集团：</w:t>
            </w:r>
            <w:r/>
          </w:p>
          <w:p>
            <w:pPr>
              <w:jc w:val="left"/>
              <w:widowControl/>
              <w:rPr>
                <w:rFonts w:hint="eastAsia" w:ascii="宋体" w:hAnsi="宋体"/>
                <w:color w:val="000000" w:themeColor="text1"/>
                <w:sz w:val="18"/>
                <w:szCs w:val="18"/>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1.承担集团母公司、合并报表及所列子企业年度财务决算审计，出具审计报告、专项报告、管理建议书。</w:t>
            </w:r>
            <w:r/>
          </w:p>
          <w:p>
            <w:pPr>
              <w:jc w:val="left"/>
              <w:widowControl/>
              <w:rPr>
                <w:rFonts w:hint="eastAsia" w:ascii="宋体" w:hAnsi="宋体"/>
                <w:color w:val="000000" w:themeColor="text1"/>
                <w:sz w:val="18"/>
                <w:szCs w:val="18"/>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2.根据内部管理需要，城建集团还需出具2个相应口径财务报表，公用控股还需出具1个相应口径财务报表。</w:t>
            </w:r>
            <w:r/>
          </w:p>
          <w:p>
            <w:pPr>
              <w:jc w:val="left"/>
              <w:widowControl/>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3.集团处于转型发展期，所属企业以当年实际并表企业数量为准。</w:t>
            </w:r>
            <w:r/>
          </w:p>
        </w:tc>
      </w:tr>
      <w:tr>
        <w:trPr>
          <w:trHeight w:val="3245"/>
        </w:trPr>
        <w:tc>
          <w:tcPr>
            <w:tcW w:w="307" w:type="pct"/>
            <w:vMerge w:val="continue"/>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586"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南京水务集团有限公司</w:t>
            </w:r>
            <w:r/>
          </w:p>
        </w:tc>
        <w:tc>
          <w:tcPr>
            <w:tcW w:w="3253"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南京水务集团有限公司(合井</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南京水务集团有限公司(母公司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南京市自来水板桥有限责任公司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南京水务集团高淳有限责任公司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南京市自来水汤山有限责任公司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南京市自来水八卦洲有限责任公司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南京市城市排水管理有限公司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南京新开源工程实业有限公司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南京丰泽建设工程股份有限公司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南京丰源水务建设有限公司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江苏山海供水节水技术开发有限公司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南京宁水水务教育培训中心南京市给排水工程设计院公司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南京建友监理有限责任公司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南京紫峰水务装备有限公司(合并)</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南京紫峰水务装备有限公司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南京紫瑞水务装备有限公司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南京水务集团资源再生科技有限公司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江苏金陵环境股份有限公司(合并)</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江苏金陵环境股份有限公司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南京城南污水处理有限公司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南京金环新能源有限公司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南京城建环保水务股份有限公司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江苏城镇给排水监测有限公司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南京绿环废物处置有限公司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南京市环境保护有限公司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南京智慧水务科技有限公司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江苏公用检测科技有限公司</w:t>
            </w:r>
            <w:r/>
          </w:p>
        </w:tc>
        <w:tc>
          <w:tcPr>
            <w:tcW w:w="853"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1.</w:t>
            </w:r>
            <w:r>
              <w:rPr>
                <w:rFonts w:hint="eastAsia" w:ascii="宋体" w:hAnsi="宋体"/>
                <w:color w:val="000000" w:themeColor="text1"/>
                <w:sz w:val="18"/>
                <w:szCs w:val="18"/>
                <w:highlight w:val="none"/>
                <w14:textFill>
                  <w14:solidFill>
                    <w14:schemeClr w14:val="tx1"/>
                  </w14:solidFill>
                </w14:textFill>
              </w:rPr>
              <w:t xml:space="preserve">承担集团母公司、合并报表及所列子企业年度财务决算审计，出具审计报告、专项报告、管理建议书。</w:t>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outlineLvl w:val="2"/>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分包2：</w:t>
      </w:r>
      <w:r/>
    </w:p>
    <w:tbl>
      <w:tblPr>
        <w:tblStyle w:val="671"/>
        <w:tblpPr w:horzAnchor="page" w:tblpX="1401" w:vertAnchor="text" w:tblpY="556" w:leftFromText="180" w:topFromText="0" w:rightFromText="180" w:bottomFromText="0"/>
        <w:tblW w:w="52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087"/>
        <w:gridCol w:w="4969"/>
        <w:gridCol w:w="3171"/>
      </w:tblGrid>
      <w:tr>
        <w:trPr>
          <w:trHeight w:val="448"/>
        </w:trPr>
        <w:tc>
          <w:tcPr>
            <w:tcW w:w="28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分包</w:t>
            </w:r>
            <w:r/>
          </w:p>
        </w:tc>
        <w:tc>
          <w:tcPr>
            <w:tcW w:w="5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企业名称</w:t>
            </w:r>
            <w:r/>
          </w:p>
        </w:tc>
        <w:tc>
          <w:tcPr>
            <w:tcW w:w="253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具体受托审计标的</w:t>
            </w:r>
            <w:r/>
          </w:p>
        </w:tc>
        <w:tc>
          <w:tcPr>
            <w:tcW w:w="1618"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受托审计内容</w:t>
            </w:r>
            <w:r/>
          </w:p>
        </w:tc>
      </w:tr>
      <w:tr>
        <w:trPr>
          <w:trHeight w:val="5996"/>
        </w:trPr>
        <w:tc>
          <w:tcPr>
            <w:tcW w:w="28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lang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2</w:t>
            </w:r>
            <w:r/>
          </w:p>
        </w:tc>
        <w:tc>
          <w:tcPr>
            <w:tcW w:w="5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南京市交通建设投资控股（集团）有限责任公司</w:t>
            </w:r>
            <w:r/>
          </w:p>
        </w:tc>
        <w:tc>
          <w:tcPr>
            <w:tcW w:w="2536" w:type="pct"/>
            <w:vAlign w:val="center"/>
            <w:textDirection w:val="lrTb"/>
            <w:noWrap w:val="false"/>
          </w:tcPr>
          <w:p>
            <w:pPr>
              <w:ind w:firstLine="0"/>
              <w:jc w:val="left"/>
              <w:keepLines w:val="0"/>
              <w:keepNext w:val="0"/>
              <w:pageBreakBefore w:val="0"/>
              <w:spacing w:line="240" w:lineRule="auto"/>
              <w:widowControl/>
              <w:rPr>
                <w:rFonts w:hint="eastAsia"/>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南京市交通建设投资控股(集团)有限责任公司(合并)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南京市交通建设投资控股(集团)有限责任公司(母公司)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南京交通投资置业有限公司(合并)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南京交通投资置业有限公司(母公司)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南京通瑞房地产开发有限公司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南京通美颐养有限公司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南京悦瑞装修有限公司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南京交通金基置业有限公司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南京通玺房地产开发有限公司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南京通润金基置业有限公司</w:t>
            </w:r>
            <w:r>
              <w:rPr>
                <w:rFonts w:hint="eastAsia"/>
                <w:color w:val="000000" w:themeColor="text1"/>
                <w:sz w:val="18"/>
                <w:szCs w:val="18"/>
                <w:highlight w:val="none"/>
                <w:lang w:eastAsia="zh-CN"/>
                <w14:textFill>
                  <w14:solidFill>
                    <w14:schemeClr w14:val="tx1"/>
                  </w14:solidFill>
                </w14:textFill>
              </w:rPr>
              <w:t xml:space="preserve">、南京通坤房地产开发有限公司、</w:t>
            </w:r>
            <w:r>
              <w:rPr>
                <w:rFonts w:hint="eastAsia"/>
                <w:color w:val="000000" w:themeColor="text1"/>
                <w:sz w:val="18"/>
                <w:szCs w:val="18"/>
                <w:highlight w:val="none"/>
                <w14:textFill>
                  <w14:solidFill>
                    <w14:schemeClr w14:val="tx1"/>
                  </w14:solidFill>
                </w14:textFill>
              </w:rPr>
              <w:t xml:space="preserve">南京物资(集团)有限公司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南京朗驰集团苏奥汽车销售服务有限公司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南京朗驰集团苏昊汽车销售服务有限公司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南京朗驰集团润菱汽车销售服务有限公司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南京朗驰丰田汽车销售服务有限公司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南京朗驰集团龙祥汽车销售服务有限公司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南京朗驰集团天润汽车销售服务有限公司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南京朗驰集团金杯汽车贸易有限公司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南京朗驰集团沪宁汽车销售服务有限公司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南京朗驰集团无锡朗润汽车销售服务有限公司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南京朗驰集团宁瑞汽车销售服务有限公司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南京朗驰集团旧机动车交易有限公司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南京朗驰汽车装璜服务有限公司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南京朗驰集团储运有限公司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南京朗驰集团苏州金陵汽车销售有限公司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深圳市利宁股份有限公司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南京朗驰集团南通朗瑞汽车销售服务有限公司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江苏苏友汽车俱乐部有限公司(合并)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江苏苏友汽车俱乐部有限公司(母公司)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江苏苏友旅行社有限责任公司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南京旧机动车交易中心有限公司(合并)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南京旧机动车交易中心有限公司(母公司)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南京宁摩旧摩托车交易市场有限公司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镇江常力汽车销售服务有限公司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南京朗驰天益汽车销售服务有限公司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丹阳朗驰新亚邦汽车销售服务有限公司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南通金天朗众汽车销售服务有限公司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南通金天驰众汽车销售服务有限公司</w:t>
            </w:r>
            <w:r/>
          </w:p>
          <w:p>
            <w:pPr>
              <w:pStyle w:val="870"/>
              <w:ind w:left="0" w:firstLine="0"/>
              <w:keepLines w:val="0"/>
              <w:keepNext w:val="0"/>
              <w:pageBreakBefore w:val="0"/>
              <w:spacing w:line="240" w:lineRule="auto"/>
              <w:rPr>
                <w:rFonts w:hint="eastAsia"/>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南京驰迪汽车销售服务有限公司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江苏朗华上奥汽车销售有限公司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南通朗驰众驰汽车销售服务有限公司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南京朗驰集团旗胜汽车销售服务有限公司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南通朗驰金天智行汽车销售服务有限公司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南京朗驰智能科技有限公司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南京朗润新能源科技有限公司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南京交通土地发展有限公司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南京市栖霞区土地储备中心</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南京铁路建设投资有限责任公司(大合并)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南京铁路建设投资有限责任公司(母公司)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南京高铁广场资产经营管理有限责任公司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南京高速铁路有限责任公司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南京南站光伏发电有限责任公司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南京交控停车科技有限公司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南京铁投龙西项目管理有限公司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南京铁峰置业有限公司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南京交控积图网络科技有限公司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南京交控万物城市运营服务有限公司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南京美都枢纽资产投资管理有限公司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南京交控产业园运营管理有限公司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南京交通能源集团有限责任公司(合并)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南京交通能源集团有限责任公司(母公司)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南京交产海油有限公司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南京通产文化创意有限责任公司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南京交通物资有限责任公司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南京中油交铁成品油销售有限责任公司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南京紫云文华投资有限公司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南京世纪城房地产有限公司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南京高速石油发展有限责任公司(合并)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南京高速石油发展有限责任公司(母公司)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南京八百桥石油有限责任公司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南京交投特来电新能源发展有限公司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南京交能清洁能源发展有限责任公司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南京化工轻工实业有限公司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江苏清电顶晶新能源科技有限公司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南京源泰电力有限公司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南京金一汇光伏发电有限公司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南京公路发展(集团)有限公司(合并)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南京公路发展(集团)有限公司(母公司)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南京绕越高速公路东北段有限责任公司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南京长江第四大桥有限责任公司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南京环宁高速公路有限责任公司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南京绕越高速公路东南段有限责任公司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南京宁滁高速公路有限责任公司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南京宁九高速公路有限责任公司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南京交通物流集团有限公司(合并)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南京交通物流集团有限公司(母公司)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南京地方铁路联营有限公司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南京交控国际物流有限公司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南京交控航空物流有限公司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南京地方铁路有限公司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南京市路桥工程有限公司(合并)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南京市路桥工程有限公司(母公司)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南京科兴工程建设项目管理有限责任公司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南京熹源新材料科技有限公司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南京润泰商业管理集团有限公司(合并)南京润泰商业管理集团有限公司(母公司)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南京商旅润粮投资有限公司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南京润泰市场有限公司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南京燃料实业有限公司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南京润红家居有限公司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南京交通建设管理集团有限公司(合并)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南京交通建设管理集团有限公司(母公司)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南京佳鸿信用评估有限公司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南京交通工程检测有限责任公司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南京捷通建设工程咨询有限公司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南京交通建管工程咨询有限公司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南京交建工程设计咨询有限公司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南京玉桥商业集团有限公司(合并)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南京玉桥商业集团有限公司(母公司)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南京物资大厦有限公司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南京华友物业管理有限公司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lang w:val="en-US" w:eastAsia="zh-CN"/>
                <w14:textFill>
                  <w14:solidFill>
                    <w14:schemeClr w14:val="tx1"/>
                  </w14:solidFill>
                </w14:textFill>
              </w:rPr>
              <w:t xml:space="preserve">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南京普迪智造科技集团有限公司(合并)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南京普迪智造科技集团有限公司(母公司)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南京铁隧轨道交通配套工程有限公司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南京宁新普迪混凝土有限公司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江苏新构智能制造科技有限公司(合并)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江苏新构智能制造科技有限公司(母公司)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马鞍山新构智能制造有限公司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南京交通投资管理有限公司(合并)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南京交通投资管理有限公司(母公司)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南京通汇融资租赁股份有限公司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南京交控私募基金管理有限公司(合并)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南京交控私募基金管理有限公司(母公司)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南京睿通行至数字科技有限公司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南京交通产业基金合伙企业(有限合伙)</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南京空地数智一期产业投资基金合伙企业(有限合伙)</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南京交控溧咖创业投资合伙企业(有限合伙)</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南京交通运营管理集团有限公司(合并)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南京交通运营管理集团有限公司(母公司)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南京长江隧道有限责任公司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南京长江第五大桥有限责任公司</w:t>
            </w:r>
            <w:r/>
          </w:p>
          <w:p>
            <w:pPr>
              <w:keepLines w:val="0"/>
              <w:keepNext w:val="0"/>
              <w:pageBreakBefore w:val="0"/>
              <w:spacing w:line="240" w:lineRule="auto"/>
              <w:rPr>
                <w:rFonts w:hint="eastAsia" w:eastAsia="宋体"/>
                <w:color w:val="000000" w:themeColor="text1"/>
                <w:sz w:val="18"/>
                <w:szCs w:val="18"/>
                <w:highlight w:val="none"/>
                <w:lang w:eastAsia="zh-CN"/>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领创智驾科技(江苏)有限公司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南京空地数智产业发展集团有限责任公司(合并)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南京空地数智产业发展集团有限责任公司(母公司)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南京智慧飞行服务有限责任公司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南京空地智联咨询管理有限公司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南京低空飞行服务管理有限公司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南京智能网联云控平台运营管理有限公司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南京无人运力调度平台有限公司</w:t>
            </w:r>
            <w:r/>
          </w:p>
        </w:tc>
        <w:tc>
          <w:tcPr>
            <w:tcW w:w="161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ind w:firstLine="0"/>
              <w:jc w:val="left"/>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本次统一委托审计共计122户企业，需出具20个合并报告;另外，铁投公司和公路公司还需出具中合并口径的合并报表及相应附件，共计22个合并报告。每户企业(含合并口径)需分别出具年度审计报告、专项报告、管理建议书。部分企业因财报口径和管理口径差异，需在报告中列明相关调整事项及对应具体金额。</w:t>
            </w:r>
            <w:r/>
          </w:p>
          <w:p>
            <w:pPr>
              <w:pStyle w:val="870"/>
              <w:ind w:left="0"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3、南京通润金基置业有限公司2026年6月控制权转移不再并表，由控股公司变为参股公司。</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4、南京朗驰智能科技有限公司:2026年7月成立，目前处于前期筹备阶段，还未开业暂无财务数据，预计今年底会纳入并表范围。、南京朗润新能源科技有限公司:2025年11月成立，目前处于前期筹备阶段，还未开业暂无财务数据，预计今年底会纳入并表范围。</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5、南京市栖霞区土地储备中心，事业单位，不并表。</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6、南京铁路建设投资有限责任公司(大合并)；需同时出具铁投公司中合并审计报告(不含能源集团)。</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7、南京南站光伏发电有限责任公司：该企业正在推进破产清算，计划2026年底前取得法院裁定，年末能否裁定存在不确定性;若年底前取得裁定，则移出合并范围，不再实施年报审计。</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8、南京铁峰置业有限公司：26年6月铁投回购铁峰公司剩余2%股权，回购后100%控股。</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9、南京公路发展(集团)有限公司(合并)：控股子企业三桥公司自行委托需同时出具公路集团中合并审计报告(不含三桥公司)</w:t>
            </w:r>
            <w:r>
              <w:rPr>
                <w:rFonts w:hint="eastAsia" w:cs="宋体"/>
                <w:color w:val="000000" w:themeColor="text1"/>
                <w:sz w:val="18"/>
                <w:szCs w:val="18"/>
                <w:highlight w:val="none"/>
                <w:lang w:val="en-US"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10、南京地方铁路有限公司：2026年3月23日成立</w:t>
            </w:r>
            <w:r>
              <w:rPr>
                <w:rFonts w:hint="eastAsia" w:ascii="宋体" w:hAnsi="宋体" w:cs="宋体"/>
                <w:color w:val="000000" w:themeColor="text1"/>
                <w:sz w:val="18"/>
                <w:szCs w:val="18"/>
                <w:highlight w:val="none"/>
                <w:lang w:val="en-US" w:eastAsia="zh-CN"/>
                <w14:textFill>
                  <w14:solidFill>
                    <w14:schemeClr w14:val="tx1"/>
                  </w14:solidFill>
                </w14:textFill>
              </w:rPr>
              <w:t xml:space="preserve">。</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11、南京宁新普迪混凝土有限公司：另分公司2户</w:t>
            </w:r>
            <w:r>
              <w:rPr>
                <w:rFonts w:hint="eastAsia" w:cs="宋体"/>
                <w:color w:val="000000" w:themeColor="text1"/>
                <w:sz w:val="18"/>
                <w:szCs w:val="18"/>
                <w:highlight w:val="none"/>
                <w:lang w:val="en-US"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12、江苏新构智能制造科技有限公司(母公司)：另分公司2户</w:t>
            </w:r>
            <w:r>
              <w:rPr>
                <w:rFonts w:hint="eastAsia" w:ascii="宋体" w:hAnsi="宋体" w:cs="宋体"/>
                <w:color w:val="000000" w:themeColor="text1"/>
                <w:sz w:val="18"/>
                <w:szCs w:val="18"/>
                <w:highlight w:val="none"/>
                <w:lang w:val="en-US" w:eastAsia="zh-CN"/>
                <w14:textFill>
                  <w14:solidFill>
                    <w14:schemeClr w14:val="tx1"/>
                  </w14:solidFill>
                </w14:textFill>
              </w:rPr>
              <w:t xml:space="preserve">。</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13、南京空地数智一期产业投资基金合伙企业(有限合伙):2025年6月成立，不并表</w:t>
            </w:r>
            <w:r>
              <w:rPr>
                <w:rFonts w:hint="eastAsia" w:cs="宋体"/>
                <w:color w:val="000000" w:themeColor="text1"/>
                <w:sz w:val="18"/>
                <w:szCs w:val="18"/>
                <w:highlight w:val="none"/>
                <w:lang w:val="en-US" w:eastAsia="zh-CN"/>
                <w14:textFill>
                  <w14:solidFill>
                    <w14:schemeClr w14:val="tx1"/>
                  </w14:solidFill>
                </w14:textFill>
              </w:rPr>
              <w:t xml:space="preserve">。</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14、南京交控溧咖创业投资合伙企业(有限合伙)：2026年6月成立、不并表</w:t>
            </w:r>
            <w:r>
              <w:rPr>
                <w:rFonts w:hint="eastAsia" w:cs="宋体"/>
                <w:color w:val="000000" w:themeColor="text1"/>
                <w:sz w:val="18"/>
                <w:szCs w:val="18"/>
                <w:highlight w:val="none"/>
                <w:lang w:val="en-US"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15、南京无人运力调度平台有限公司：2026年4月成立</w:t>
            </w:r>
            <w:r>
              <w:rPr>
                <w:rFonts w:hint="eastAsia" w:ascii="宋体" w:hAnsi="宋体" w:cs="宋体"/>
                <w:color w:val="000000" w:themeColor="text1"/>
                <w:sz w:val="18"/>
                <w:szCs w:val="18"/>
                <w:highlight w:val="none"/>
                <w:lang w:val="en-US" w:eastAsia="zh-CN"/>
                <w14:textFill>
                  <w14:solidFill>
                    <w14:schemeClr w14:val="tx1"/>
                  </w14:solidFill>
                </w14:textFill>
              </w:rPr>
              <w:t xml:space="preserve">。</w:t>
            </w:r>
            <w:r/>
          </w:p>
          <w:p>
            <w:pPr>
              <w:rPr>
                <w:rFonts w:hint="default"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16:、南京交通能源集团有限责任公司(母公司)：另分公司1户。</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w:t>
            </w:r>
            <w:r>
              <w:rPr>
                <w:rFonts w:hint="eastAsia" w:eastAsia="宋体" w:cs="宋体"/>
                <w:color w:val="000000" w:themeColor="text1"/>
                <w:sz w:val="18"/>
                <w:szCs w:val="1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、江苏新构智能制造科技有限公司（母公司）：另分公司2户</w:t>
            </w:r>
            <w:r>
              <w:rPr>
                <w:rFonts w:hint="eastAsia" w:eastAsia="宋体" w:cs="宋体"/>
                <w:color w:val="000000" w:themeColor="text1"/>
                <w:sz w:val="18"/>
                <w:szCs w:val="18"/>
                <w:highlight w:val="none"/>
                <w:lang w:val="en-US" w:eastAsia="zh-CN"/>
                <w14:textFill>
                  <w14:solidFill>
                    <w14:schemeClr w14:val="tx1"/>
                  </w14:solidFill>
                </w14:textFill>
              </w:rPr>
              <w:t xml:space="preserve">。</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w:t>
            </w:r>
            <w:r>
              <w:rPr>
                <w:rFonts w:hint="eastAsia" w:eastAsia="宋体" w:cs="宋体"/>
                <w:color w:val="000000" w:themeColor="text1"/>
                <w:sz w:val="18"/>
                <w:szCs w:val="1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、南京玉桥商业集团有限公司（母公司）：另分公司4户</w:t>
            </w:r>
            <w:r>
              <w:rPr>
                <w:rFonts w:hint="eastAsia" w:eastAsia="宋体" w:cs="宋体"/>
                <w:color w:val="000000" w:themeColor="text1"/>
                <w:sz w:val="18"/>
                <w:szCs w:val="18"/>
                <w:highlight w:val="none"/>
                <w:lang w:val="en-US" w:eastAsia="zh-CN"/>
                <w14:textFill>
                  <w14:solidFill>
                    <w14:schemeClr w14:val="tx1"/>
                  </w14:solidFill>
                </w14:textFill>
              </w:rPr>
              <w:t xml:space="preserve">。</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w:t>
            </w:r>
            <w:r>
              <w:rPr>
                <w:rFonts w:hint="eastAsia" w:eastAsia="宋体" w:cs="宋体"/>
                <w:color w:val="000000" w:themeColor="text1"/>
                <w:sz w:val="18"/>
                <w:szCs w:val="18"/>
                <w:highlight w:val="none"/>
                <w:lang w:val="en-US" w:eastAsia="zh-CN"/>
                <w14:textFill>
                  <w14:solidFill>
                    <w14:schemeClr w14:val="tx1"/>
                  </w14:solidFill>
                </w14:textFill>
              </w:rPr>
              <w:t xml:space="preserve">9</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、南京华友物业管理有限公司（母公司）：另分公司2户</w:t>
            </w:r>
            <w:r>
              <w:rPr>
                <w:rFonts w:hint="eastAsia" w:eastAsia="宋体" w:cs="宋体"/>
                <w:color w:val="000000" w:themeColor="text1"/>
                <w:sz w:val="18"/>
                <w:szCs w:val="18"/>
                <w:highlight w:val="none"/>
                <w:lang w:val="en-US" w:eastAsia="zh-CN"/>
                <w14:textFill>
                  <w14:solidFill>
                    <w14:schemeClr w14:val="tx1"/>
                  </w14:solidFill>
                </w14:textFill>
              </w:rPr>
              <w:t xml:space="preserve">。</w:t>
            </w:r>
            <w:r/>
          </w:p>
          <w:p>
            <w:pPr>
              <w:pStyle w:val="870"/>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eastAsia="宋体" w:cs="宋体"/>
                <w:color w:val="000000" w:themeColor="text1"/>
                <w:sz w:val="18"/>
                <w:szCs w:val="18"/>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、南京通坤房地产开发有限公司于10月10日注册成立，暂无数据。专为拍地设立的项目公司，年底前可能会转让股权后退表，年底是否纳入并表范围存在不确定性。</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pStyle w:val="87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r>
    </w:tbl>
    <w:p>
      <w:pPr>
        <w:pStyle w:val="87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560"/>
        <w:keepLines w:val="0"/>
        <w:keepNext w:val="0"/>
        <w:pageBreakBefore w:val="0"/>
        <w:spacing w:line="560" w:lineRule="exact"/>
        <w:widowControl w:val="off"/>
        <w:rPr>
          <w:rFonts w:hint="default" w:ascii="宋体" w:hAnsi="宋体" w:eastAsia="宋体"/>
          <w:b w:val="0"/>
          <w:bCs w:val="0"/>
          <w:color w:val="000000" w:themeColor="text1"/>
          <w:sz w:val="28"/>
          <w:szCs w:val="28"/>
          <w:highlight w:val="none"/>
          <w:shd w:val="clear" w:color="auto" w:fill="ffffff"/>
          <w:lang w:val="en-US" w:eastAsia="zh-CN"/>
          <w14:textFill>
            <w14:solidFill>
              <w14:schemeClr w14:val="tx1"/>
            </w14:solidFill>
          </w14:textFill>
        </w:rPr>
        <w:outlineLvl w:val="2"/>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分包3：</w:t>
      </w:r>
      <w:r/>
    </w:p>
    <w:tbl>
      <w:tblPr>
        <w:tblStyle w:val="67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087"/>
        <w:gridCol w:w="5694"/>
        <w:gridCol w:w="1933"/>
      </w:tblGrid>
      <w:tr>
        <w:trPr>
          <w:trHeight w:val="448"/>
        </w:trPr>
        <w:tc>
          <w:tcPr>
            <w:tcW w:w="280"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37"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2813"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955"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280"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w:t>
            </w:r>
            <w:r/>
          </w:p>
        </w:tc>
        <w:tc>
          <w:tcPr>
            <w:tcW w:w="537"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zh-CN"/>
                <w14:textFill>
                  <w14:solidFill>
                    <w14:schemeClr w14:val="tx1"/>
                  </w14:solidFill>
                </w14:textFill>
              </w:rPr>
              <w:t xml:space="preserve">南京新工投资集团有限责任公司</w:t>
            </w:r>
            <w:r/>
          </w:p>
        </w:tc>
        <w:tc>
          <w:tcPr>
            <w:tcW w:w="2813"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南京新工投资集团有限责任公司(合并)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南京新工投资集团有限责任公司(母公司)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跃进汽车集团公司(母公司)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南京跃进汽车有限公司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南京医药产业(集团)有限责任公司(母公司)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南京医药集团有限责任公司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南京金陵制药(集团)有限公司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南京新工医疗健康产业投资合伙企业(有限合伙)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南京宁兴一号医疗投资合伙企业(有限合伙)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南京新工生物医药概念验证创业投资基金合伙企业(有限合伙)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南京新工医疗健康强链并购股权投资基金合伙企业(有限合伙)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南京新迈健康产业股权投资合伙企业(有限合伙)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南京新工江北传感器创业投资基金合伙企业(有限合伙)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南京宁兴二号投资合伙企业(有限合伙)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江苏宝庆珠宝有限公司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南京新颐健康产业发展有限责任公司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南京新工新兴产业投资管理有限公司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南京新工并购股权投资基金合伙企业(有限合伙)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南京新工先进制造业强链并购股权基金合伙企业(有限合伙)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莱玛特(南京)精密科技有限公司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南京新高医疗器械产业投资基金合伙企业(有限合伙)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南京新合产业投资基金合伙企业(有限合伙)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南京新工泰融健康产业基金管理合伙企业(有限合伙)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南京保通电讯有限责任公司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南京市保安服务有限公司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南京大连山工艺品有限责任公司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南京市金盾押运护卫中心有限责任公司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南京工艺美术有限责任公司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南京宝庆首饰总公司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南京宝庆银楼首饰有限责任公司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新工医学检验实验室有限公司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南京中旭电子科技有限公司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南京比沃特视频系统有限公司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南京紫金山科技产业发展集团有限公司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南京新智科技产业发展有限公司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南京新装资产投资管理有限公司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南京泰融商业运营管理有限公司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南京机电产业(集团)有限公司(母公司)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南京航海航标装备总厂有限公司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南京电影机械厂有限公司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南京蓝普电子有限公司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南京市仪器仪表工业供销有限公司南京科建创业投资有限公司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南京机电集团企业管理有限公司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南京迈新实业有限公司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南京市能源有限公司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南京裕国资产管理有限公司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南京新工秦淮硅巷柳树湾科技园管理有限公司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南京东宇汽车集团有限公司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南京新工帕威尔产业园区运营管理有限公司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南京新工彤天产业园区运营管理有限公司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南京东润智慧科技产业园有限公司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南京东宇汽车科技发展有限公司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南京新工产园运营管理有限公司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南京市工业供销有限公司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南京机电职业技术学院</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南京化建产业集团有限公司(母公司)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江南水泥厂有限公司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南京宏剑食品批发有限公司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南京劝业市场有限公司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南京华宏(集团)有限公司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南京九华山铜矿有限公司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南京安基山铜矿有限公司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南京谷里铜矿有限公司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南京凤凰山铁矿有限公司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南京建通墙体材料有限公司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南京化建集团城新国有资产运营有限公司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南京新工逸仙产业园区运营管理有限公司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南京新工兴业资产管理有限公司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南京轻纺产业(集团)有限公司(母公司)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南京轻纺企业管理有限公司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南京纺织工贸实业(集团)有限公司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南京肥皂厂有限公司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南京火柴厂有限公司(合并)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南京丝织厂有限公司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南京钨钼材料厂有限公司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南京鑫纺资产管理经营有限公司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南京化学纤维厂有限公司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南京彩色印刷厂有限公司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南京市新秦资产管理经营有限公司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南京人民印刷厂有限责任公司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南京金线金箔总厂</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南京金羚生物基纤维有很公司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江苏金羚纤维素纤维有限公司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南京古都文化商务旅馆有限公司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江苏羚越新材料科技有限公司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上海越科新材料股份有限公司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江苏越科新材料有限公司</w:t>
            </w:r>
            <w:r/>
          </w:p>
        </w:tc>
        <w:tc>
          <w:tcPr>
            <w:tcW w:w="955"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2、莱玛特(南京)精密科技有限公司：含3家子公司莱玛特(苏州)精密科技有限公司、上海芯瓷智能科技有限公司、莱玛特· 沃尔特斯(沈阳)精密机械有限公司。</w:t>
            </w:r>
            <w:r/>
          </w:p>
          <w:p>
            <w:pPr>
              <w:pStyle w:val="1070"/>
              <w:numPr>
                <w:ilvl w:val="0"/>
                <w:numId w:val="0"/>
              </w:num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3、南京市保安服务有限公司：母公司及2家分公司都需要单体报告，也需要出合并报告。</w:t>
            </w:r>
            <w:r/>
          </w:p>
          <w:p>
            <w:pPr>
              <w:numPr>
                <w:ilvl w:val="0"/>
                <w:numId w:val="0"/>
              </w:num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4、南京市金盾押运护卫中心有限责任公司：母公司及4家分公司都需要单体报告，也需要出合并报告。</w:t>
            </w:r>
            <w:r/>
          </w:p>
          <w:p>
            <w:pPr>
              <w:pStyle w:val="1070"/>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5、南京宝庆首饰总公司、南京宝庆银楼首饰有限责任公司</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、南京金线金箔总厂</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：集体企业。</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6、南京新智科技产业发展有限公司：2026年4月成立。</w:t>
            </w:r>
            <w:r/>
          </w:p>
          <w:p>
            <w:pPr>
              <w:pStyle w:val="1070"/>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7、南京电影机械厂有限公司：含1家子公司南京新工开源产业园区运营管理有限公司。</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8、南京蓝普电子有限公司：含1家子公司南京新工柳树湾产业园运营管理有限公司。</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9、南京东宇汽车集团有限公司</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：含1家子公司南京新工宁芜产业园区运营管理有限公司。</w:t>
            </w:r>
            <w:r/>
          </w:p>
          <w:p>
            <w:pPr>
              <w:keepLines w:val="0"/>
              <w:keepNext w:val="0"/>
              <w:pageBreakBefore w:val="0"/>
              <w:rPr>
                <w:rFonts w:hint="default"/>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10、南京火柴厂有限公司</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：含1家子公司南京新工火柴产业园区运营管理有限公司。</w:t>
            </w:r>
            <w:r/>
          </w:p>
        </w:tc>
      </w:tr>
    </w:tbl>
    <w:p>
      <w:pPr>
        <w:pStyle w:val="870"/>
        <w:ind w:left="0" w:firstLine="0"/>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分包4：</w:t>
      </w:r>
      <w:r/>
    </w:p>
    <w:tbl>
      <w:tblPr>
        <w:tblStyle w:val="67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5692"/>
        <w:gridCol w:w="193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06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041"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w:t>
            </w:r>
            <w:r/>
          </w:p>
        </w:tc>
        <w:tc>
          <w:tcPr>
            <w:tcW w:w="1088"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南京东南国资投资集团有限责任公司</w:t>
            </w:r>
            <w:r/>
          </w:p>
        </w:tc>
        <w:tc>
          <w:tcPr>
            <w:tcW w:w="5692"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南京东南国资投资集团有限责任公司(合并)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南京东南国资投资集团有限责任公司(本部)</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南京国立资产管理有限责任公司(合并)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南京国立资产管理有限责任公司(母公司)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南京国寓建设管理有限公司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南京东南仙林青年汇建设有限责任公司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南京钟南停车场建设有限公司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南京国润建设管理有限公司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南京东南公寓管理有限公司(合并)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南京东南公寓管理有限公司(母公司)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南京东振公寓管理有限公司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南京东南青年汇建设发展有限公司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南京江北东南公寓管理有限公司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南京金才公寓管理有限公司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南京东南投资基金管理有限公司(合并)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南京东南投资基金管理有限公司(母公司)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南京东南汇金融服务有限公司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南京东南基础设施建设股权投资基金一期企业(有限合伙)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南京东南青年汇建设投资基金一期企业(有限合伙)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南京市建邺区东南高新产业发展基金企业(有限合伙)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南京东南邻里茂股权投资合伙企业(有限合伙)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南京东南青年汇建设投资二期基金企业(有限合伙)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南京东南人工智能股权投资一期基金企业(有限合伙)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南京东南科创产业发展基金(有限合伙)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南京市人才一期发展基金合伙企业(有限合伙)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南京东南商业资产管理有限公司(合并)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南京东南商业资产管理有限公司(母公司)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南京东创商业管理有限公司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南京东南奥体置业有限责任公司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东南智慧(南京)物业管理有限公司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南京东南智盾产业发展有限公司(合并)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南京东南智盾产业发展有限公司(母公司)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南京东南智珩科技发展有限公司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南京东南产业发展有限公司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南京人才集团有限责任公司(合并)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南京人才集团有限责任公司(母公司)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南京登峰人力资源管理有限公司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南京紫东投资发展集团有限责任公司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南京市南部新城开发建设(集团)有限公司(合并)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南京市南部新城开发建设(集团)有限公司(母公司)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南京智慧新城工程管理有限公司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南京南部新城商业管理有限公司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南京南部新城生态农林发展有限公司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南京南部新城会展中心发展有限公司(合并)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南京南部新城会展中心发展有限公司(母公司)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南京锦城房地产开发有限公司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南京锦晟通商业管理有限公司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南部新城城市物业管理有限公司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江苏苏体南部新城体育资产管理有限公司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南京南部新城新置资产管理有限公司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南京市科技创新投资有限责任公司(合并)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南京市科技创新投资有限责任公司(母公司)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南京麒麟创业投资有限公司(合并)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南京麒麟创业投资有限公司(母公司)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南京麒兴创业投资有限公司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麒创壹号创业投资合伙企业(有限合伙)、南京市麒麟科技城建设发展有限公司(合并)、南京市麒麟科技城建设发展有限公司(母公司)、南京市麒麟生态城工程建设管理有限公司、南京市麒麟城市服务有限责任公司、南京麒麟生态城保障房开发有限公司、南京麒麟汇智企业服务有限公司(合并)、南京麒麟汇智企业服务有限公司(母公司)、南京麒麟创智生活服务有限公司、南京麒遇酒店管理有限公司、南京麒麟现代有轨电车建设有限公司、南京市金麟置地有限公司、南京</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麒麟投资促进发展有限公司、南京市汇麟置地有限公司、南京市麒麟绿科置业发展有限公司、南京英麒智能科技有限公司、南京仙林开发投资集团有限公司(合并)、南京仙林开发投资集团有限公司(母公司)、南京仙林智慧科技有限公司(合并)、南京仙林智慧科技有限公司(母公司)、南京仙林智宸置业有限公司、南京仙林智晟置业有限公司、南京仙林大学城科技园有限公司(合并)、南京仙林大学城科技园有限公司(母公司)、南京仙林商务管理有限公司、南京仙林青年汇置业有限公司、南京桦墅小镇开发建设有限公司、南京智臻置业有限公司、南京智睿置业有限公司</w:t>
            </w:r>
            <w:r/>
          </w:p>
        </w:tc>
        <w:tc>
          <w:tcPr>
            <w:tcW w:w="1933"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2、根据市国资委和集团决算工作要求，需编制集团合并、集团合并(不含河西)两个口径审计报告，其中含河西的合并口径：截至2026年8月31日资产总额21</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108</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632万元、净资产7</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060</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874万元。两个口径均需出具年度审计报表和附注。</w:t>
            </w:r>
            <w:r/>
          </w:p>
          <w:p>
            <w:pPr>
              <w:pStyle w:val="1070"/>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东南基础设施建设股权投资基金一期企业(有限合伙)、南京东南青年汇建设投资基金一期企业(有限合伙)、南京市建邺区东南高新产业发展基金企业(有限合伙)、南京东南邻里茂股权投资合伙企业(有限合伙)、南京东南青年汇建设投资二期基金企业(有限合伙)、南京东南人工智能股权投资一期基金企业(有限合伙)、南京东南科创产业发展基金(有限合伙)、南京市人才一期发展基金合伙企业(有限合伙)：不需出具管理意见书和专项报告</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4、南京麒兴创业投资有限公司：2026.4.14已注销</w:t>
            </w:r>
            <w:r/>
          </w:p>
          <w:p>
            <w:pPr>
              <w:pStyle w:val="1070"/>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5、南京麒创壹号创业投资合伙企业(有限合伙)：新设企业，不需出具管理意见书和专项报告。</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南京市河西新城区国有资产经营控股（集团）有限责任公司</w:t>
            </w:r>
            <w:r/>
          </w:p>
        </w:tc>
        <w:tc>
          <w:tcPr>
            <w:tcW w:w="306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南京市河西新城区国有资产经营控股(集团)有限责任公司(合并)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南京市河西新城区国有资产经营控股(集团)有限责任公司(母公司)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南京市园林经济开发有限责任公司(合并)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南京市园林经济开发有限责任公司(母公司)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南京润园生态工程有限公司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南京润开生态工程有限公司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安徽建石未来城市运营管理有限公司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南京青奥城建设发展有限责任公司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南京奥体建设开发有限责任公司(合并)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南京奥体建设开发有限责任公司(母公司)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无锡奥体建设开发有限责任公司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南京博观置业顾问有限公司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南京奥麒房地产开发有限公司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南京河西地铁投资有限公司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南京奥晟房地产有限责任公司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南京奥江置业有限责任公司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南京奥尚置业有限责任公司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汇奥建设有限责任公司、南京奥筑装饰工程有限责任公司、南京奥兴资产管理有限公司、南京河西新城建设发展有限公司(合并)、南京河西新城建设发展有限公司(母公司)、南京河西新城工程建设有限公司、南京河西新城建设实业有限公司、南京河西新城置业有限公司、南京河西工程项目管理有限公司、江苏地久建设工程有限公司、南京河西利邺建设发展有限公司、江苏河西国建工程建设有限公司、南京滨江公园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河西会议展览有限责任公司、南京河西私募基金管理有限公司、江山智联(江苏)物业服务有限责任公司、(合并)、江山智联(江苏)物业服务有限责任公司(母公司)、江山智联(安徽)城市物业服务有限责任公司、南京奥体物业服务有限责任公司、南京瑞达锋范信息科技有限公司、南京河西文旅科技发展有限公司、南京河西投资资产管理有限公司(合并)、南京河西投资资产管理有限公司(母公司)、江苏和熙绿色科技有限公司、南京紫金商业管理有限公司、国博会展(南京)有限公司、南京河西新城江滨会议中心有限公司、金帆酒旅发展(江苏)有限责任公司</w:t>
            </w:r>
            <w:r/>
          </w:p>
        </w:tc>
        <w:tc>
          <w:tcPr>
            <w:tcW w:w="1041"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r>
    </w:tbl>
    <w:p>
      <w:pPr>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分包5：</w:t>
      </w:r>
      <w:r/>
    </w:p>
    <w:tbl>
      <w:tblPr>
        <w:tblStyle w:val="671"/>
        <w:tblpPr w:horzAnchor="page" w:tblpX="1411" w:vertAnchor="text" w:tblpY="292" w:leftFromText="180" w:topFromText="0" w:rightFromText="180" w:bottomFromText="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5692"/>
        <w:gridCol w:w="193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06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041"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w:t>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南京文旅集团有限责任公司</w:t>
            </w:r>
            <w:r/>
          </w:p>
        </w:tc>
        <w:tc>
          <w:tcPr>
            <w:tcW w:w="306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文旅集团有限责任公司(合并)、南京文旅集团有限责任公司(母公司)、南京城建历史文化街区开发有限责任公司(合并)、南京城建历史文化街区开发有限责任公司(母公司)、南京白下危旧房改造开发有限责任公司、南京熙南里文化商业发展有限公司、南京莫愁智慧信息科技有限公司(合并)、南京莫愁智慧信息科技有限公司(母公司)、南京莫愁旅行社有限公司、南京莫愁文化娱乐科技有限公司、南京金旅投资发展有限公司(合并)、南京金旅投资发展有限公司(母公司)、南京金旅德必文化创新发展有限公司、南京</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旅游有限公司(合并)、南京旅游有限公司(母公司)、南京东岸文旅发展有限公司、南京东岸酒店管理公司、江苏金旅华住酒店管理有限公司(合并)、江苏金旅华住酒店管理有限公司(母公司)、南京金旅华住明日城市酒店有限公司、南京旅总旅游有限公司、南京幕燕建设发展有限公司(合并)、南京幕燕建设发展有限公司(母公司)、南京幕燕园林绿化工程有限公司、南京长江行游轮有限公司、南京长江行文旅发展有限公司、南京秦淮河建设开发有限公司(合并)、南京秦淮河建设开发有限公司(母公司)、南京松竹物业管理有限公司、南京臻河商业管理有限公司、南</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京南艺后街文化旅游运营有限公司、南京钟山风景区建设发展有限公司(合并)、南京钟山风景区建设发展有限公司(母公司)、南京钟山文化发展有限公司、南京玄武湖建设发展有限公司、南京赛雅悦翔商贸实业有限公司、南京市国有资产经营有限责任公司(合并)、南京市国有资产经营有限责任公司(母公司)、深圳市金凌投资有限公司、香港紫金联合发展有限公司、香港紫金联合发展有限公司南京办事处、南京金旅商业保理有限公司、南京金旅融资租赁有限公司、南京金旅红文化发展有限公司、香港新旅国际有限公司、南京南泰集团有限公司(合并)、南京南泰集团有</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限公司(母公司)、南京金旅资产管理有限公司、南京金斯服装有限公司、南京东沛国际贸易集团有限公司、南京对外经贸发展有限公司、南京虹山文化旅游有限公司(合并)、南京虹山文化旅游有限公司(母公司)、南京虹山旅游科技有限公司、南京市红山森林动物园管理处、南京市燕子矶公园管理处、南京燕子矶园林绿化工程有限公司、南京新瑞尔医药进出口有限公司(合并)、南京新瑞尔医药进出口有限公司(母公司)、南京六华春酒店管理有限公司、南京水秀苑大酒店有限责任公司、南京国际会议中心股份有限公司(合并)、南京国际会议中心股份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国会酒店管理有限公司、南京国之辉酒店管理有限公司、南京南泰国际展览中心有限公司(合并)、南京南泰国际展览中心有限公司(母公司)、南京佳悦婚庆服务有限公司、南京黄埔大酒店有限公司(合并)、南京黄埔大酒店有限公司(母公司)、南京黄埔国际旅行社有限公司、南京黄马实业有限公司、南京紫金山庄酒店管理有限责任公司、南京商厦股份有限公司(合并)、南京商厦股份有限公司(母公司)、南京白宫大酒店有限公司、南京大饭店(北京)有限公司、南京体育集团(合并)、南京体育集团有限责任公司(母公司)、南京健康科技集团有限公司(合</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并)、南京健康科技集团有限公司(母公司)、南京青奥城市客厅开发建设有限公司、南京全民健身中心有限公司(合并)、南京全民健身中心有限公司(母公司)、南京体育产业集团物业管理有限公司、南京慧泊东南体育科技有限公司、南京雨花体育发展有限公司、南京紫金体育产业股份有限公司、南京体育产业资源配套服务中心有限责任公司、青奥产业南京有限公司、南京体育集团场馆运营管理有限公司、南京市宁创体育健康科技小额贷款有限公司、南京明外郭秦淮新河百里风光带建设有限公司(合并)、南京明外郭秦淮新河百里风光带建设有限公司(母公司）、南京城</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郭文旅产业发展有限公司、南京城郭置业有限责任公司、南京聚宝山旅游产业发展有限公司(合并)、南京聚宝山旅游产业发展有限公司(母公司)、南京聚宝文化旅游运营有限公司、南京文博集团有限责任公司(合并)、南京文博集团有限责任公司(母公司)、南京市演艺集团有限责任公司(合并)、南京市演艺集团有限责任公司、南京市京剧团有限公司、南京民族乐团有限公司、南京市越剧团有限公司、南京市话剧团有限公司、南京市歌舞剧院有限公司、南京市杂技团有限公司、南京曙辉文化发展有限公司、南京创意中心有限责任公司(单体)、南京创意文化设计中心、</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城市创新文化推广中心、南京市文学之都促进会、江苏文都创意城市研究院、南京市电影剧场有限责任公司(合并)、南京市电影剧场有限责任公司(单体)、南京大华大戏院投资管理有限公司、南京宁影影城管理有限公司、南京宁影国际旅行社有限公司、南京市长江影视科技工程有限责任公司、南京太阳谷文化发展有限公司(合并)、南京太阳谷文化发展有限公司(单体)、南京文化艺术中心有限责任公司、南京大华影视文化传媒有限责任公司(合并)、南京大华影视文化传媒有限责任公司(单体)、南京文创实业投资有限公司(合并)、南京文创实业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单体)、南京文创实业商业运营管理有限公司、南京滨江文化发展有限责任公司、十竹畜艺术集团有限责任公司(合并)、十竹斋艺术集团有限责任公司、南京文物有限责任公司(合并)、南京文物有限责任公司(单体)、南京萃文畜有限责任公司、南京十竹畜文化投资有限公司、南京十竹斋拍卖有限公司、南京十竹斋画院有限公司、十竹斋(深圳)文化有限公司、南京大明文化实业有限责任公司(合并)、南京大明文化实业有限责任公司(单体)、南京大报恩寺遗址博物馆、南京报思圣地文化发展有限公司、南京文投文旅发展有限公司(合并)、南京文投文旅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单体)、盐城翰墨丹青文化发展有限公司、马鞍山横江文化发展有限公司、南京设计廊文化发展有限公司、南京雨花台红旅文化旅游服务有限公司(合并)、南京雨花台红旅文化旅游服务有限公司(单体)、南京幸雨旅游服务有限公司、南京市雨花台烈士陵园管理局劳动服务站、南京市雨花台园林建设有限公司、南京文投股权投资管理有限公司、南京文投股权投资基金(有限合伙)、南京市文学之都文化产业发展基金(有限合伙）、江苏省大运河(南京)文化旅游发展基金(有限合伙)、南京秦淮网文谷文化产业发展基金(有限合伙)、赣(南京)文化产业股权投资基金合</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伙企业(有限合伙）、南京云枢文旅强链并购股权投资基金(有限合伙)、南京文投融资租赁有限责任公司、南京文投艺库典当有限公司、南京江北文创投资发展有限公司、南京市金陵文化科技小额贷款有限公司、江苏文创文化发展有限公司、江苏文创文化发展有限公司(单体)、文都云(南京)数字科技有限公司(合并)、文都云(南京)数字科技有限公司(单体)、南京文投锐丰创意科技有限公司、南京文创科技有限责任公司、南京文旅投资集团有限责任公司(合并)、南京文旅投资集团有限责任公司、南京文化金融服务中心有限责任公司、江苏邮币卡交易中心有限公司</w:t>
            </w:r>
            <w:r/>
          </w:p>
        </w:tc>
        <w:tc>
          <w:tcPr>
            <w:tcW w:w="1041"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莫愁文化娱乐科技有限公司、南京东岸酒店管理公司、南京赛雅悦翔商贸实业有限公司、南京雨花体育发展有限公司、南京曙辉文化发展有限公司、江苏省大运河(南京)文化旅游发展基金(有限合伙)、南京秦淮网文谷文化产业发展基金(有限合伙)、赣(南京)文化产业股权投资基金合伙企业(有限合伙、南京云枢文旅强链并购股权投资基金(有限合伙)、南京文旅投资集团有限责任公司(合并)、南京文旅投资集团有限责任公司、南京文化金融服务中心有限责任公司、江苏邮币卡交易中心有限公司为2026年新增公司。</w:t>
            </w:r>
            <w:r/>
          </w:p>
          <w:p>
            <w:pPr>
              <w:pStyle w:val="107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3、南京市红山森林动物园管理处、南京市燕子矶公园管理处属于属公益二类事业单位。</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4、南京创意文化设计中心、南京城市创新文化推广中心、南京市文学之都促进会为社团组织，不并表，但含在原文投审计约定范围。</w:t>
            </w:r>
            <w:r/>
          </w:p>
          <w:p>
            <w:pPr>
              <w:pStyle w:val="107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5、江苏文都创意城市研究院</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2023年成立，</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2026年新增</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进入审计范围，</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社团组织，未包含在原文投</w:t>
            </w:r>
            <w:r/>
          </w:p>
          <w:p>
            <w:pPr>
              <w:pStyle w:val="107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审计约定范围，研究院单独委托审计。</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6、南京萃文斋有限责任公司不出报告。</w:t>
            </w:r>
            <w:r/>
          </w:p>
        </w:tc>
      </w:tr>
    </w:tbl>
    <w:p>
      <w:pPr>
        <w:pStyle w:val="1070"/>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分包6：</w:t>
      </w:r>
      <w:r/>
    </w:p>
    <w:tbl>
      <w:tblPr>
        <w:tblStyle w:val="67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3922"/>
        <w:gridCol w:w="370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2112"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994"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w:t>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南京市投资控股有限公司</w:t>
            </w:r>
            <w:r/>
          </w:p>
        </w:tc>
        <w:tc>
          <w:tcPr>
            <w:tcW w:w="2112"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南京市投资控股有限公司（合并）、南京市投资控股有限公司（母公司）</w:t>
            </w:r>
            <w:r/>
          </w:p>
        </w:tc>
        <w:tc>
          <w:tcPr>
            <w:tcW w:w="1994"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1、承担集团母公司、合并报表年度财务决算审计，出具审计报告、专项报告、管理建议书。</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2、合并口径不需要出具管理意见书及专项报告。</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3、合并范围为本部、紫金集团、安居集团、新农集团、南京新港、东南集团、城建集团、交通集团、创投集团、混改基金公司。</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南京紫金投资集团有限责任公司</w:t>
            </w:r>
            <w:r/>
          </w:p>
        </w:tc>
        <w:tc>
          <w:tcPr>
            <w:tcW w:w="2112"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紫金投资集团有限责任公司(合并)、南京紫金投资集团有限责任公司(母公司)、南京市紫金科技小额贷款有限公司、南京紫金融资租赁有限责任公司、南京联合产权(科技)交易所有限责任公司(合并)、南京联合产权(科技)交易所有限责任公司(母</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国资拍卖有限公司、南京股权托管中心有限责任公司、南京市企业征信服务有限公司、南京紫金资产管理有限公司(合并)、南京紫金资产管理有限公司(母公司)、南京银润典当有限公司、南京紫金研创科技发展有限公司、南京国资资产处置有限责任公司、南京紫金软创科技发展有限公司、南京金融城建设发展股份有限公司(合并)、南京金融城</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建设发展股份有限公司(母公司)、南京宁星置业有限责任公司、南京新湾置业有限责任公司、南京市信息化投资控股有限公司(合并)、南京市信息化投资控股有限公司(母公司)、智汇神州信息发展有限公司(合并)、智汇神州信息发展有限公司(母公司)、南京市市民卡有限公司、南京紫金数云信息技术有限公司、南京紫金融资担保有限责任公司(合并)、南京市融资担保集团有限公司(母公司)、南京润业融资担保有限公司、南京滨江融资担保有限公司、南京市栖霞区中小企业融资担保有限责任公司、南京江北新区绿色融资担保有限公司、南京国资混改基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ab/>
            </w:r>
            <w:r/>
          </w:p>
        </w:tc>
        <w:tc>
          <w:tcPr>
            <w:tcW w:w="1994"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2、2026年9月起，创投集团及其下属子公司不再纳入</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紫金</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集团合并范围，按照企业会计准则，</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2026年度</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集团仍需合并创投集团2026年1月1日至变更日的利润表、现金流量表</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需提供</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创投集团年初至变更日</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纳入合并报表的</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财务报表</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科目</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及附注等明细</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，供母公司合并报表编制与复核使用。</w:t>
            </w:r>
            <w:r/>
          </w:p>
          <w:p>
            <w:pPr>
              <w:pStyle w:val="1070"/>
              <w:numPr>
                <w:ilvl w:val="0"/>
                <w:numId w:val="5"/>
              </w:num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神州公司2026年7月出表</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按照企业会计准则，</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2026年度</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需合并2026年1月1日至变更日的利润表、现金流量表</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，因此神州公司本次仍统一委托审计，本次审计不需出具年度审计报告、专项报告、管理建议书，但</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需提供</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纳入合并报表的</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财务报表</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科目</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及附注等明细</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，供母公司合并报表编制与复核使用</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w:t>
            </w:r>
            <w:r/>
          </w:p>
          <w:p>
            <w:pPr>
              <w:pStyle w:val="107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outlineLvl w:val="2"/>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分包7：</w:t>
      </w:r>
      <w:r/>
    </w:p>
    <w:tbl>
      <w:tblPr>
        <w:tblStyle w:val="67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6093"/>
        <w:gridCol w:w="1532"/>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281"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825"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7</w:t>
            </w:r>
            <w:r/>
          </w:p>
        </w:tc>
        <w:tc>
          <w:tcPr>
            <w:tcW w:w="1088"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南京安居建设集团有限责任公司</w:t>
            </w:r>
            <w:r/>
          </w:p>
        </w:tc>
        <w:tc>
          <w:tcPr>
            <w:tcW w:w="6093"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安居建设集团有限责任公司(合并)、南京安居建设集团有限责任公司(母公司)、南京颐居建设有限公司(合并)、南京颐居建设集团有限公司(母公司)、南京置新资产管理有限公司、南京颐泉房地产置业有限公司、南京市颐峰装饰有限公司、南京颐峰置业有限公司、南京佳佑城房地产开发有限公司、南京国诚置业有限</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公司、南京颐恒房地产置业有限公司、镇江颐发房地产开发有限公司、扬州颐诚置业有限公司、扬州颐瑞居置业有限公司、苏州颐亭置业有限公司、苏州颐泽置业有限公司、江苏元龙房地产开发有限公司、徐州颐泉置业有限公司、南京国资新城颐锦置业投资有限公司、徐州颐宁置业有限公司、徐州颐居置业有限公司、徐州国基投资置业有限公司、徐州颐润居置业有限公司、徐州颐丰装饰有限公司、南京锦新置业有限公司、南京锦颐装饰有限公司、南京颐兆居置业有限公司、南京颐城房地产开发有限公司、南京颐居房地产营销策划有限公司、苏州颐永居置业有限公司、南京和颐</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房地产开发有限公司、南京颐玥居置业有限公司、南京颐铂居置业有限公司、苏州相茂置业有限公司、南京鼎茂置业有限公司、南京颐科置业有限公司、南京颐铧居置业有限公司、南京安居好房房地产经纪有限公司、南京颐轩置业有限公司、南京颐铂居房产有限公司、南京颐玥居房产有限公司、南京安居保障房建设发展有限公司(合并)、南京安居保障房建设发展有限公司(母公司)、南京安高置业有限公司、南京安科置业有限公司、南京万晖置业有限公司、南京安迈置业有限公司、南京颐群置业有限公司、南京安通置业有限公司、南京汇杰建设发展有限公司、南京安居瑾家</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公寓</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管理有限公司、南京建设发展集团有限公司(合并)、南京建设发展集团有限公司(母公司)、南京实佳基础设施</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建设开发有限责任公司、南京建设发展集团保障房建设有限公司、南京建设发展集团雨花房地产开发有限公司、南京建盛房地产开发有限公司、南京颐悦置业发展有限公司、南京国资投资置业有限公司(合并)、南京国资投资置业有限公司(母公司)、南京颐和臻远项目管理有限公司、南京基础建设发展有限责任公司、南京安居颐和资产经营管理有限公司、南京宁颐实业有限责任公司(合并)、南京宁颐实业有限责任公司(母公司)、南京颐和企业管理有限责任公司、南京安之旅企业管理有限公司、南京颐和历史建筑保护利用有限责任公司、南京颐瑞健康产业发展有限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)、南京颐瑞健康产业发展有限公司(母公司)、安居福仁(南京)养老服务有限公司、南京胜利圩水产养殖有限公司</w:t>
            </w:r>
            <w:r/>
          </w:p>
        </w:tc>
        <w:tc>
          <w:tcPr>
            <w:tcW w:w="1532"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2、南京颐铧居置业有限公司2026年4月出表。</w:t>
            </w:r>
            <w:r/>
          </w:p>
          <w:p>
            <w:pPr>
              <w:pStyle w:val="1070"/>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3、南京颐玥居房产有限公司设立时间：2026.07、新增原因：用于以旧换新项目、主业：资产运营、控股比例：70%、资产总额：2319万元。</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南京国盛投资管理集团有限公司</w:t>
            </w:r>
            <w:r/>
          </w:p>
        </w:tc>
        <w:tc>
          <w:tcPr>
            <w:tcW w:w="3281"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国盛投资管理集团有限公司(合并)、南京国盛投资管理集团有限公司(母公司)、南京国盛资产管理有限公司、南京国盛置业有限公司、南京国盛合泰商业管理有限公司、南京磐汇管理有限公司、南京国盛科创投资有限公司、</w:t>
            </w:r>
            <w:r/>
          </w:p>
        </w:tc>
        <w:tc>
          <w:tcPr>
            <w:tcW w:w="825"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pStyle w:val="1070"/>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2、南京磐汇管理有限公司2026-05-15新设，有业务。</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3、南京国盛科创投资有限公司2026-03-18新设、无业务。</w:t>
            </w:r>
            <w:r/>
          </w:p>
        </w:tc>
      </w:tr>
    </w:tbl>
    <w:p>
      <w:pPr>
        <w:pStyle w:val="1070"/>
        <w:rPr>
          <w:rFonts w:hint="eastAsia"/>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分包8：</w:t>
      </w:r>
      <w:r/>
    </w:p>
    <w:tbl>
      <w:tblPr>
        <w:tblStyle w:val="67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5013"/>
        <w:gridCol w:w="2612"/>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2700"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407"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8</w:t>
            </w:r>
            <w:r/>
          </w:p>
        </w:tc>
        <w:tc>
          <w:tcPr>
            <w:tcW w:w="1088"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南京地铁集团有限公司</w:t>
            </w:r>
            <w:r/>
          </w:p>
        </w:tc>
        <w:tc>
          <w:tcPr>
            <w:tcW w:w="5013"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南京地铁集团有限公司(合并)、南京地铁集团有限公司(母公司)、南京地铁运营有限责任公司(合并)、南京地铁运营有限责任公司(母公司)、南京地铁物业管理有限公司、南京地铁运营安防科技有限公司、南京地铁设备运维科技有限公司、南京地铁建设有限责任公司、南京地铁资源开发有限责任公司(合并)、南京地铁资源开发有限责任公司(母公司)、南京华御通途置业有限公司、南京虎踞通途置业有限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南京智谷通途置业有限公司、南京花语通途置业有限公司、南京地铁石油发展有限公司、南京地铁商业发展有限公司、南京溪语通途置业有限公司、南京铁高城市轨道交</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通工程有限公司、南京地铁保障房开发经营有限公司、南京阅江通途置业有限公司、南京地铁小镇开发建设集团有限公司(合并)、南京地铁小镇开发建设集团有限公司(母公司)、南京美都置业有限公司、南京美都嘉业投资有限公司、南京鑫质建工程有限公司、南京城际轨道交通有限公司、江苏宁句轨道交通有限公司(合并)、江苏宁句轨道交通有限公司(母公司)、南京宁句百水置业有限公司、南京宁麒开发置业有限公司、南京轨道交通产业发展有限公司(合并)、南京轨道交通产业发展有限公司(母公司)、南京轨道交通装备科技有限公司、苏皖轨道交通运营有限公司</w:t>
            </w:r>
            <w:r/>
          </w:p>
        </w:tc>
        <w:tc>
          <w:tcPr>
            <w:tcW w:w="2612" w:type="dxa"/>
            <w:vAlign w:val="center"/>
            <w:textDirection w:val="lrTb"/>
            <w:noWrap w:val="false"/>
          </w:tcPr>
          <w:p>
            <w:pPr>
              <w:jc w:val="left"/>
              <w:keepLines w:val="0"/>
              <w:keepNext w:val="0"/>
              <w:pageBreakBefore w:val="0"/>
              <w:widowControl/>
              <w:rPr>
                <w:rFonts w:hint="eastAsia"/>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pStyle w:val="1070"/>
              <w:keepLines w:val="0"/>
              <w:keepNext w:val="0"/>
              <w:pageBreakBefore w:val="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 xml:space="preserve">2、房地产公司需配备具有房地产审计经验的审计人员。</w:t>
            </w:r>
            <w:r/>
          </w:p>
          <w:p>
            <w:pPr>
              <w:jc w:val="left"/>
              <w:keepLines w:val="0"/>
              <w:keepNext w:val="0"/>
              <w:widowControl/>
              <w:rPr>
                <w:rFonts w:hint="eastAsia"/>
                <w:color w:val="000000" w:themeColor="text1"/>
                <w:sz w:val="18"/>
                <w:szCs w:val="18"/>
                <w:highlight w:val="none"/>
                <w14:textFill>
                  <w14:solidFill>
                    <w14:schemeClr w14:val="tx1"/>
                  </w14:solidFill>
                </w14:textFill>
              </w:rPr>
              <w:suppressLineNumbers w:val="0"/>
            </w:pPr>
            <w:r>
              <w:rPr>
                <w:rFonts w:hint="eastAsia"/>
                <w:color w:val="000000" w:themeColor="text1"/>
                <w:sz w:val="18"/>
                <w:szCs w:val="18"/>
                <w:highlight w:val="none"/>
                <w:lang w:val="en-US" w:eastAsia="zh-CN"/>
                <w14:textFill>
                  <w14:solidFill>
                    <w14:schemeClr w14:val="tx1"/>
                  </w14:solidFill>
                </w14:textFill>
              </w:rPr>
              <w:t xml:space="preserve">3、填报基准日为2026年8月31日。</w:t>
            </w:r>
            <w:r/>
          </w:p>
          <w:p>
            <w:pPr>
              <w:jc w:val="left"/>
              <w:keepLines w:val="0"/>
              <w:keepNext w:val="0"/>
              <w:widowControl/>
              <w:rPr>
                <w:rFonts w:hint="eastAsia"/>
                <w:color w:val="000000" w:themeColor="text1"/>
                <w:sz w:val="18"/>
                <w:szCs w:val="18"/>
                <w:highlight w:val="none"/>
                <w14:textFill>
                  <w14:solidFill>
                    <w14:schemeClr w14:val="tx1"/>
                  </w14:solidFill>
                </w14:textFill>
              </w:rPr>
              <w:suppressLineNumbers w:val="0"/>
            </w:pPr>
            <w:r>
              <w:rPr>
                <w:rFonts w:hint="eastAsia"/>
                <w:color w:val="000000" w:themeColor="text1"/>
                <w:sz w:val="18"/>
                <w:szCs w:val="18"/>
                <w:highlight w:val="none"/>
                <w:lang w:val="en-US" w:eastAsia="zh-CN"/>
                <w14:textFill>
                  <w14:solidFill>
                    <w14:schemeClr w14:val="tx1"/>
                  </w14:solidFill>
                </w14:textFill>
              </w:rPr>
              <w:t xml:space="preserve">4、南京阅江通途置业有限公司经股权转让不再由资源公司控股，2026年9月1日已完成工商变更。</w:t>
            </w:r>
            <w:r/>
          </w:p>
          <w:p>
            <w:pPr>
              <w:jc w:val="left"/>
              <w:keepLines w:val="0"/>
              <w:keepNext w:val="0"/>
              <w:widowControl/>
              <w:rPr>
                <w:rFonts w:hint="eastAsia"/>
                <w:color w:val="000000" w:themeColor="text1"/>
                <w:sz w:val="18"/>
                <w:szCs w:val="18"/>
                <w:highlight w:val="none"/>
                <w:lang w:val="en-US" w:eastAsia="zh-CN"/>
                <w14:textFill>
                  <w14:solidFill>
                    <w14:schemeClr w14:val="tx1"/>
                  </w14:solidFill>
                </w14:textFill>
              </w:rPr>
              <w:suppressLineNumbers w:val="0"/>
            </w:pPr>
            <w:r>
              <w:rPr>
                <w:rFonts w:hint="eastAsia"/>
                <w:color w:val="000000" w:themeColor="text1"/>
                <w:sz w:val="18"/>
                <w:szCs w:val="18"/>
                <w:highlight w:val="none"/>
                <w:lang w:val="en-US" w:eastAsia="zh-CN"/>
                <w14:textFill>
                  <w14:solidFill>
                    <w14:schemeClr w14:val="tx1"/>
                  </w14:solidFill>
                </w14:textFill>
              </w:rPr>
              <w:t xml:space="preserve">5、南京鑫质建工程有限公司2021年3月23日成立，2026年1月7日小镇公司收购并设立其为子公司。</w:t>
            </w:r>
            <w:r/>
          </w:p>
          <w:p>
            <w:pPr>
              <w:pStyle w:val="870"/>
              <w:ind w:left="0" w:firstLine="0"/>
              <w:spacing w:line="240"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6、南京宁瑞运营管理有限公司</w:t>
            </w:r>
            <w:r>
              <w:rPr>
                <w:rFonts w:hint="eastAsia" w:asciiTheme="minorHAnsi" w:hAnsiTheme="minorHAnsi" w:cstheme="minorBidi"/>
                <w:color w:val="000000" w:themeColor="text1"/>
                <w:sz w:val="18"/>
                <w:szCs w:val="18"/>
                <w:highlight w:val="none"/>
                <w:lang w:val="en-US" w:eastAsia="zh-CN" w:bidi="ar-SA"/>
                <w14:textFill>
                  <w14:solidFill>
                    <w14:schemeClr w14:val="tx1"/>
                  </w14:solidFill>
                </w14:textFill>
              </w:rPr>
              <w:t xml:space="preserve">2026年9月1日新设成立。</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1088" w:type="dxa"/>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cstheme="minorEastAsia"/>
                <w:color w:val="000000" w:themeColor="text1"/>
                <w:sz w:val="18"/>
                <w:szCs w:val="18"/>
                <w:highlight w:val="none"/>
                <w:shd w:val="clear" w:color="auto" w:fill="ffffff"/>
                <w:lang w:val="zh-CN"/>
                <w14:textFill>
                  <w14:solidFill>
                    <w14:schemeClr w14:val="tx1"/>
                  </w14:solidFill>
                </w14:textFill>
              </w:rPr>
              <w:t xml:space="preserve">南京市创新投资集团有限责任公司</w:t>
            </w:r>
            <w:r/>
          </w:p>
        </w:tc>
        <w:tc>
          <w:tcPr>
            <w:tcW w:w="5013" w:type="dxa"/>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南京市创新投资集团有限责任公司(合并)、南京市创新投资集团有限责任公司(母公司)、南京紫金科技创业投资有限公司(合并)、南京紫金科技创业投资有限公司(母公司)、南京市高新技术风险投资股份有限公司、南京紫金创投基金管理有限责任公司、南京市紫金产业投资有限公司、南京市产业发展基金有限公司、南京战新私募基金管理有限公司、南京紫金山科创投资服务有限公司</w:t>
            </w:r>
            <w:r/>
          </w:p>
        </w:tc>
        <w:tc>
          <w:tcPr>
            <w:tcW w:w="2612" w:type="dxa"/>
            <w:vAlign w:val="center"/>
            <w:textDirection w:val="lrTb"/>
            <w:noWrap w:val="false"/>
          </w:tcPr>
          <w:p>
            <w:pPr>
              <w:jc w:val="left"/>
              <w:widowControl/>
              <w:rPr>
                <w:rFonts w:hint="eastAsia" w:asciiTheme="minorEastAsia" w:hAnsi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rPr>
                <w:rFonts w:hint="eastAsia" w:eastAsia="宋体" w:asciiTheme="minorEastAsia" w:hAnsi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2、</w:t>
            </w:r>
            <w:r>
              <w:rPr>
                <w:rFonts w:hint="eastAsia" w:asciiTheme="minorEastAsia" w:hAnsiTheme="minorEastAsia" w:cstheme="minorEastAsia"/>
                <w:color w:val="000000" w:themeColor="text1"/>
                <w:sz w:val="18"/>
                <w:szCs w:val="18"/>
                <w:highlight w:val="none"/>
                <w:lang w:bidi="ar"/>
                <w14:textFill>
                  <w14:solidFill>
                    <w14:schemeClr w14:val="tx1"/>
                  </w14:solidFill>
                </w14:textFill>
              </w:rPr>
              <w:t xml:space="preserve">南京紫金山科创投资服务有限公司2026年7月新设</w:t>
            </w:r>
            <w:r>
              <w:rPr>
                <w:rFonts w:hint="eastAsia" w:asciiTheme="minorEastAsia" w:hAnsiTheme="minorEastAsia" w:cstheme="minorEastAsia"/>
                <w:color w:val="000000" w:themeColor="text1"/>
                <w:sz w:val="18"/>
                <w:szCs w:val="18"/>
                <w:highlight w:val="none"/>
                <w:lang w:eastAsia="zh-CN" w:bidi="ar"/>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分包9：</w:t>
      </w:r>
      <w:r/>
    </w:p>
    <w:tbl>
      <w:tblPr>
        <w:tblStyle w:val="67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088"/>
        <w:gridCol w:w="5613"/>
        <w:gridCol w:w="201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023"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084"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9</w:t>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南京新农发展集团有限责任公司</w:t>
            </w:r>
            <w:r/>
          </w:p>
        </w:tc>
        <w:tc>
          <w:tcPr>
            <w:tcW w:w="3023"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南京新农发展集团有限责任公司(合并)、南京新农发展集团</w:t>
            </w:r>
            <w:r/>
          </w:p>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有限责任公司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母公司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、南京农垦产业(集团)有限公司(合并)、南京农垦产业(集团)有限公司(母公司)、南京洪武商场有限责任公司、南京青泉茶业有限责任公司、南京农垦现代服务产业管理</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有限公司、南京市青龙山林场有限公司、南京农垦大健康产业发展有限公司、南京新农公共品牌运营管理有限公司、南京尧辰机械厂有限公司、南京农垦供应链有限公司、南京雪松茶业有限公司、南京粮食集团有限公司(合并)、南京粮食集团有限公司(母公司)、南京粮食集团天嘉油脂有限公司、南京铁心桥国家粮食储备库有限公司、南京粮食集团储备粮管理有限公司、南京灵山粮食储备库有限公司、南京现代粮食物流有限公司、南京石埠桥粮食储备库有限公司、南京粮食集团晶润供应链有限公司、南京市下关粮食仓库有限公司、南京新农土地整理发展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新农土地整理发展有限责任公司(母公司)、南京德翰行商业运营管理有限责任公司、南京金秋投资控股集团有限公司(合并)、南京金秋投资控股集团有限公司(母公司)、南京嘉易盛贸易实业有限公司、南京绿禾粮油经贸有限公司、南京奥凯工贸有限公司、南京新世纪农机科技有限公司、南京新农科创投资有限责任公司(合并 )、南京新农科创投资有限责任公司(母公司)、南京汤山翠谷生态旅游度假村有限责任公司、南京金谷商贸发展有限公司(合并)、南京金谷商贸发展有限公司(母公司)、南京金谷创客空间有限公司、南京德豪酒店管理服务有限公司、</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南京新农金谷国际贸易</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有限公司、南京民政工业有限责任公司(合并)、南京民政工业有限责任公司(母公司)、南京民福客运有限责任公司、南京市地产有限公司(合并)、南京市地产有限公司(母公司)、南京蓝大地房地产开发有限公司、南京新农园农业发展有限公司、南京青龙山健康小镇开发建设有限公司、南京市水利投资有限公司、南京水投项目管理有限公司(合并)、南京水投项目管理有限公司(母公司)、南京江宏监理咨询有限责任公司、南京市储备粮油管理</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、南京市军粮供应站有限公司、南京农村产权交易中心、南京长三角农村产权服务有限公司</w:t>
            </w:r>
            <w:r/>
          </w:p>
        </w:tc>
        <w:tc>
          <w:tcPr>
            <w:tcW w:w="1084" w:type="pct"/>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18"/>
                <w:szCs w:val="18"/>
                <w:highlight w:val="none"/>
                <w:lang w:val="en-US" w:eastAsia="zh-CN" w:bidi="ar-SA"/>
                <w14:textFill>
                  <w14:solidFill>
                    <w14:schemeClr w14:val="tx1"/>
                  </w14:solidFill>
                </w14:textFill>
              </w:rPr>
              <w:t xml:space="preserve">1、</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承担集团母公司、合并报表及所列子企业年度财务决算审计，出具审计报告、专项报告、管理建议书。</w:t>
            </w:r>
            <w:r/>
          </w:p>
          <w:p>
            <w:pPr>
              <w:pStyle w:val="1070"/>
              <w:numPr>
                <w:ilvl w:val="0"/>
                <w:numId w:val="0"/>
              </w:num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2、南京新农发展集团</w:t>
            </w:r>
            <w:r/>
          </w:p>
          <w:p>
            <w:pPr>
              <w:pStyle w:val="1070"/>
              <w:numPr>
                <w:ilvl w:val="0"/>
                <w:numId w:val="0"/>
              </w:num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有限责任公司(合并 )、南京农垦产业(集团)有限公司(合并 )、南京粮食集团有限公司(合并)、南京新农土地整理发展有限责任公司(合并)、南京金秋投资控股集团有限公司(合并 )、南京新农科创投资有限责任公司(合并 )、南京金谷商贸发展有限公司(合并)、南京民政工业有限责任公司(合并)、南京市地产有限公司(合并)、南京水投项目管理有限公司(合并)需要出具合并报告。</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南京大数据集团有限公司</w:t>
            </w:r>
            <w:r/>
          </w:p>
        </w:tc>
        <w:tc>
          <w:tcPr>
            <w:tcW w:w="3023" w:type="pct"/>
            <w:vAlign w:val="center"/>
            <w:textDirection w:val="lrTb"/>
            <w:noWrap w:val="false"/>
          </w:tcPr>
          <w:p>
            <w:pPr>
              <w:pStyle w:val="870"/>
              <w:ind w:left="0" w:firstLine="0"/>
              <w:rPr>
                <w:rFonts w:hint="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大数据集团(合并)、南京大数据集团有限公司(母公司)、南京大数铁马信息科技有限公司、江苏未来都市出行科技集团有限公司、南京大数合康科技服务有限公司、南京数字经济投资有限公司(合并)、南京宁满意数字科技有限公司、南京大数据检测技术有限公司、南京可信数据服务有限公司、南京智能计算科技发展有限公司、南京大数据安全技术有限公司、南京大数智朴科技有限公司、南京城市算力网科技有限公司、南京统维技术有限公司、南京数政科技有限公司、城际云(江苏)科技有限公司</w:t>
            </w:r>
            <w:r/>
          </w:p>
        </w:tc>
        <w:tc>
          <w:tcPr>
            <w:tcW w:w="1084" w:type="pct"/>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18"/>
                <w:szCs w:val="18"/>
                <w:highlight w:val="none"/>
                <w:lang w:val="en-US" w:eastAsia="zh-CN" w:bidi="ar-SA"/>
                <w14:textFill>
                  <w14:solidFill>
                    <w14:schemeClr w14:val="tx1"/>
                  </w14:solidFill>
                </w14:textFill>
              </w:rPr>
              <w:t xml:space="preserve">1、</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承担集团母公司、合并报表及所列子企业年度财务决算审计，出具审计报告、专项报告、管理建议书。</w:t>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二</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）审计内容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南京市国资委委托中标会计师事务</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所作为主审所承担对应市属企业2026-2027年度年报审计服务。审计包括企业资产负债表、利润表、现金流量表、所有者权益变动表、财务报表附注等；关注与披露企业实际发生的各项经济业务是否按照企业会计准则规定予以确认、计量和列报，会计核算方法和会计政策是否符合企业会计准则规定，年度财务决算编报范围是否齐全、报表合并口径和方法是否正确等，出具审计报告；对审计范围内企业编制的专项报表开展审计复核和专项经济鉴证，出具专项审计报告；对本年审计过程中发现的问题和风险进行披露，对上年审计问题整改情况进行核实，出具管理建议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审计报告。由注册会计师按照《中国注册会计师执业准则》的规定，对市属企业合并、母公司及列入主审所审计范围的子企业年度财务决算报表进行审计，实施恰当的审计程序，获取充分、适当的审计证据，对财务报表整体是否按照《企业会计准则》及国家其他有关法律、法规的规定编制，在此基础上发表审计意见，出具审计报告（利用其他参审会计师事务所的审计成果，应按照《中国注册会计师审计准则第1401号-对集团财务报表审计的特殊考虑》有关规定实施）</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专项报告。包括但不限于对审计范围内企业的预算执行及考核指标完成情况、职工收入分配及企业负责人薪酬管理情况、固定资产投资、股权投资、基金投资和收益收缴情况、资产处置、损失核销情况及潜亏情况、融资、担保、捐赠、对外借款、土地、房产等情况、国有资本经营预算执行情况等重大事项准确性、完整性、规范性和合规性开展审计复核和专项经济鉴证，出具专项审计报告。</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3.企业管理建议书。对审计过程中发现的企业在投资管理、资产管理、资金管理、会计核算与财务管理、内控制度设计与执行、风险管理等方面存在的问题进行披露，对上年度审计揭示问题整改情况进行核实，并出具管理建议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4.鉴于分包1-</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8</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中的企业涉及广义资本市场业务，包括</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但</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不限于公开市场债券发行、基础设施reits发行、拟上市企业培育等，其会计报表需与资本市场的要求相适应和印证。</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三、商务要求（分包1-9）</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（一）投标人要求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投标人应按照各分包需求派出审计人员，并根据项目特点和现场情况，对参加审计人员进行科学的业务分工，项目组成员应参加审计前培训，熟悉项目相关的法律法规政策、业务知识、相关程序、文书制作、业务要求和应遵守的工作纪律等，项目牵头人应对审计人员的工作质量进行监督，认真审核工作内容，确保形成的工作成果形式规范、内容完整。</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分包1-</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8</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的投标人应在财政部、证监会备案从事证券服务业务的会计师事务所名单内。</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（二）业务要求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在实施审计过程中，应当严格遵守《中国注册会计师执业准则》《企业会计准则》《企业财务通则》、企业内部财务制度（办法）、内控制度和国家有关法律法规和相关规定，以审计对象的经济和业务活动、财务会计核算资料等为基础，形成审计工作报告。</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1.质量要求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中标人应当运用审计质量标准，科学计划并按程序实施审计工作，获取充分、适当的审计证据，对各项审计工作或具体审计项目实施全过程质量控制，提高审计工作质量水平和效益。</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2.执业道德要求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中标人委派本单位人员开展</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审计业务，应当遵守职业道德要求，恪守独立、客观、公正的原则；执行审计业务，应当保持形式上和实质上的独立；不得兼营或兼任与其执行的审计业务不相容的其他业务或职务；如与客户存在可能损害独立性利害关系的，不得承接其委托的审计业务；执行审计业务的注册会计师如与企业存在可能损害独立性利害关系的，应当向所在会计师事务所声明，并实行回避；执行业务时，应当实事求是，不为他人所左右，也不得因个人好恶影响分析、判断的客观性；执行业务时，应当正直、诚实，不偏不倚地对待有关利益各方。严格按照《中国注册会计师职业道德守则》实施审计。</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3.审计纪律要求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严格执行审计“四严禁”、“八不准”的纪律要求，中标人及其参与审计的人员对被审计单位负有保密义务，未经采购人同意，不得泄露被审计单位财务情况和审计结果；未经法定监察审计部门同意，不得随意向外泄露任何与审计内容相关的情况；按照“八项规定”要求，不得向被审计单位索取、收受酬金或其他财物，不得接受被审计单位安排的宴请及其它利益。中标人应当廉洁自律、诚实信用，严格履行投标承诺，不得向审计委托单位和被审计单位进行商业贿赂或提供不正当利益，自觉接受有关行政监督部门依法实施的监督。</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4.中标人承接审计业务程序</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承担分包1-9企业年度财务决算</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审计任务的中标人，与采购人和被审计企业应按照中标价格签署三方审计业务约定书（格式附后）；一经受托，中标人须保证完成采购人委托的各项审计工作，按时完成审计任务，按规定出具审计报告、专项审计报告、管理建议书（纸质版和电子版），并提供审计报告合并底稿、报表数据来源底稿。对审计报告的真实性、完整性、合法性和一致性负责。中标人须在服务期满后，对审计工作遗留问题做到随时解决。采购人认为审计报告中披露的问题不明确，有必要进一步披露的，中标人应予以修改完善。中标人应与采购人保持良好沟通，按采购人的要求做好其他审计相关工作。</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为确保审计工作保质保量，投标人须针对采购人项目需求特点，负责组织协调被审计企业年度财务决算审计</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工作，在与被审计单位、参审会计师事务所进行沟通协调一致后，制定切实可行的审计工作方案（工作计划）；根据项目特点和服务要求，制定合理可行的本地化服务方案，能够保障项目后勤，在应急情况发生后，2小时内快速支援；制定科学合理的进度计划、进度控制措施，确保审计任务如期完成；具有相应的服务质量保障措施，落实质量要求；部门设置完整、运转有效，有独立质控部门、技术支持部门、可有效利用外聘专家工作；具备完善、科学可行的内部管理制度；2019年以来会计师事务所或为本项目服务的注册会计师都没有受到刑事处罚、行政处罚或行业惩戒。</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5．中标人应当按照审计要求，获取真实、充分的证据，制作工作底稿和相关文书，相关文书要求内容完整、真实准确、形式规范，保证形成的工作文书事实清楚、简明扼要、表达规范。</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6．审计时间、地点：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中标人与采购人签订《审计业务约定书》后，应根据采购人时间节点要求，尽快制定审计工作计划，统筹审计工作进度，配优配强项目组工作人员。提前进场开展预审工作，并对企业编制的应用于企业年度高质量考核的财务快报数据进行审核把关，确保快报数据与财务决算数据差异控制在合理范围。</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（2）中标人与采购人签订《审计业务约定书》进场，每年3月31日（需合并上市公司的为4月30日）前完成年报审计工作，并出具审计报告、专项报告和管理建议书。在项目执行过程中，中标人如未按照</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工作要求及时间进度完成相关工作，采购人有权对其发出提示函，对未尽事项进行提示提醒，中标人在一个年度内收到两次提示的，采购人有权与其终止审计业务约定书。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7.</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中标人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按照采购人工作要求和时限完成审计工作，提交审计报告、专项审计报告和管理建议书，并向</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报送年度财务决算审计履约验收申报表、工作台账和履约情况报告。经南京市国资委组织的履约验收，对结果为合格或良好，并履行经费审核、报批程序后，支付当年度全部审计费</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用。履约验收结果为基本合格的，酌情扣减5%-10%的审计费用，并要求中标事务所更换主审人员。若履约验收不合格，或中标事务所违反有关审计工作规定和要求，审计报告发生重大遗漏和偏差，或发现企业存在重大违规和风险事项未予披露，审计过程及建议调整事项未向委托人报告等相关情形的，委托人在核实相关情况后，在约定审计费用基础上酌情扣减10%-30%；验收结果不合格的，聘用期内不续签业务约定书，且不得参与委托人下一轮年度财务决算审计事务所选聘；情节严重的，依法依规追究中标事务所相关责任，并将有关情况通报行业协会和监管机构。</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8、中标人在检查过程中，不得随意更换审计人员，如有特殊情况需要中途换人，必须经</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同意。</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9、在项目执行过程中，如若中标人因自身问题，不能继续承担后续相关工作，须积极配合下一位中标人开展工作，按要求提供相关材料，确保采购人按时按点完成项目进度。如若不配合</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有权扣除部分服务费。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（三）投标人人员要求（分包1-9）</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人员配备要求：未经</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集团</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书面同意，成交供应商不得擅自</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更换团队人员</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。擅自更换的，</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集团有权追究其责任</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。确需更换，应当提前10天提交书面申请，替代人员资质不得低于原人员，并经</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集团</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同意并考核合格后方可到岗。</w:t>
      </w:r>
      <w:r/>
    </w:p>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1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8166"/>
      </w:tblGrid>
      <w:tr>
        <w:trPr>
          <w:trHeight w:val="90"/>
        </w:trPr>
        <w:tc>
          <w:tcPr>
            <w:tcW w:w="602" w:type="pct"/>
            <w:vAlign w:val="center"/>
            <w:vMerge w:val="restart"/>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人员技术力量配备</w:t>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3.1本项目需投标人派出3名项目经理（城建集团2名、水务集团1名）。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02" w:type="pct"/>
            <w:vAlign w:val="center"/>
            <w:vMerge w:val="continue"/>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11 个审计业务小组（城建集团7个小组、水务集团4个小组），每个小组不少于5人，每组至少配备2名注册会计师。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2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8166"/>
      </w:tblGrid>
      <w:tr>
        <w:trPr>
          <w:trHeight w:val="709"/>
        </w:trPr>
        <w:tc>
          <w:tcPr>
            <w:tcW w:w="60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3.1本项目需投标人派出2名项目经理。</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431"/>
        </w:trPr>
        <w:tc>
          <w:tcPr>
            <w:tcW w:w="60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9个审计业务小组，每个小组不少于5人，每组至少配备2名注册会计师。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8166"/>
      </w:tblGrid>
      <w:tr>
        <w:trPr>
          <w:trHeight w:val="542"/>
        </w:trPr>
        <w:tc>
          <w:tcPr>
            <w:tcW w:w="60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3.1本项目需投标人派出2名项目经理。</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0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9 个审计业务小组，每个小组不少于5人，每组至少配备2名注册会计师。</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4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8148"/>
      </w:tblGrid>
      <w:tr>
        <w:trPr>
          <w:trHeight w:val="542"/>
        </w:trPr>
        <w:tc>
          <w:tcPr>
            <w:tcW w:w="61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3.1本项目需投标人派出2名项目经理（东南集团、河西集团各1名）。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133"/>
        </w:trPr>
        <w:tc>
          <w:tcPr>
            <w:tcW w:w="61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3.2投标人至少安排9个审计业务小组（东南集团5个小组、河西集团4个小组）。每个小组不少于5人，每组至少配备2名注册会计师。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5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8127"/>
      </w:tblGrid>
      <w:tr>
        <w:trPr>
          <w:trHeight w:val="542"/>
        </w:trPr>
        <w:tc>
          <w:tcPr>
            <w:tcW w:w="571" w:type="pct"/>
            <w:vAlign w:val="center"/>
            <w:vMerge w:val="restart"/>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人员技术力量配备</w:t>
            </w:r>
            <w:r/>
          </w:p>
        </w:tc>
        <w:tc>
          <w:tcPr>
            <w:tcW w:w="4016" w:type="pct"/>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3.1本项目需投标人派出 </w:t>
            </w: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名项目经理。</w:t>
            </w:r>
            <w:r/>
          </w:p>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经理是注册会计师，执业年限8年（含）以上（需提供有效注册会计师证书、8年及以上注册会计师证明材料，证书中的执业关系应在投标单位处，体现明确的发证日期并通过最新年度年检，需提供证书复印件、身份证复印件及提供2026年4月以来投标人为其缴纳任意一个月社保证明材料）。</w:t>
            </w:r>
            <w:r/>
          </w:p>
        </w:tc>
      </w:tr>
      <w:tr>
        <w:trPr>
          <w:trHeight w:val="90"/>
        </w:trPr>
        <w:tc>
          <w:tcPr>
            <w:tcW w:w="571" w:type="pct"/>
            <w:vAlign w:val="center"/>
            <w:vMerge w:val="continue"/>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4016" w:type="pct"/>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3.2投标人至少安排 </w:t>
            </w:r>
            <w:r>
              <w:rPr>
                <w:rFonts w:hint="eastAsia" w:ascii="宋体" w:hAnsi="宋体"/>
                <w:bCs/>
                <w:color w:val="000000" w:themeColor="text1"/>
                <w:szCs w:val="21"/>
                <w:highlight w:val="none"/>
                <w:lang w:val="en-US" w:eastAsia="zh-CN"/>
                <w14:textFill>
                  <w14:solidFill>
                    <w14:schemeClr w14:val="tx1"/>
                  </w14:solidFill>
                </w14:textFill>
              </w:rPr>
              <w:t xml:space="preserve">13</w:t>
            </w:r>
            <w:r>
              <w:rPr>
                <w:rFonts w:hint="eastAsia" w:ascii="宋体" w:hAnsi="宋体"/>
                <w:bCs/>
                <w:color w:val="000000" w:themeColor="text1"/>
                <w:szCs w:val="21"/>
                <w:highlight w:val="none"/>
                <w14:textFill>
                  <w14:solidFill>
                    <w14:schemeClr w14:val="tx1"/>
                  </w14:solidFill>
                </w14:textFill>
              </w:rPr>
              <w:t xml:space="preserve">个审计业务小组，每个小组不少于5人，每组至少配备2名注册会计师。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6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8187"/>
      </w:tblGrid>
      <w:tr>
        <w:trPr>
          <w:trHeight w:val="542"/>
        </w:trPr>
        <w:tc>
          <w:tcPr>
            <w:tcW w:w="591"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408"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 2名项目经理（投控、紫金集团各1名）。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591"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408" w:type="pct"/>
            <w:vAlign w:val="center"/>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6个审计业务小组（投控集团1个小组、紫金集团5个小组），每个小组不少于5人，每组至少配备2名注册会计师。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7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8147"/>
      </w:tblGrid>
      <w:tr>
        <w:trPr>
          <w:trHeight w:val="404"/>
        </w:trPr>
        <w:tc>
          <w:tcPr>
            <w:tcW w:w="561" w:type="pct"/>
            <w:vAlign w:val="center"/>
            <w:vMerge w:val="restart"/>
            <w:textDirection w:val="lrTb"/>
            <w:noWrap w:val="false"/>
          </w:tcPr>
          <w:p>
            <w:pPr>
              <w:jc w:val="left"/>
              <w:spacing w:line="24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人员技术力量配备</w:t>
            </w:r>
            <w:r/>
          </w:p>
        </w:tc>
        <w:tc>
          <w:tcPr>
            <w:tcW w:w="4026" w:type="pct"/>
            <w:textDirection w:val="lrTb"/>
            <w:noWrap w:val="false"/>
          </w:tcPr>
          <w:p>
            <w:pPr>
              <w:jc w:val="left"/>
              <w:spacing w:line="240" w:lineRule="auto"/>
              <w:widowControl/>
              <w:rPr>
                <w:rFonts w:ascii="Calibri" w:hAnsi="Calibri"/>
                <w:bCs w:val="0"/>
                <w:color w:val="000000" w:themeColor="text1"/>
                <w:szCs w:val="22"/>
                <w:highlight w:val="none"/>
                <w14:textFill>
                  <w14:solidFill>
                    <w14:schemeClr w14:val="tx1"/>
                  </w14:solidFill>
                </w14:textFill>
              </w:rPr>
            </w:pPr>
            <w:r>
              <w:rPr>
                <w:rFonts w:hint="default" w:ascii="Calibri" w:hAnsi="Calibri"/>
                <w:bCs w:val="0"/>
                <w:color w:val="000000" w:themeColor="text1"/>
                <w:szCs w:val="22"/>
                <w:highlight w:val="none"/>
                <w14:textFill>
                  <w14:solidFill>
                    <w14:schemeClr w14:val="tx1"/>
                  </w14:solidFill>
                </w14:textFill>
              </w:rPr>
              <w:t xml:space="preserve">3.1本项目需投标人派出 2 名项目经理（安居集团、国盛集团各1名）。</w:t>
            </w:r>
            <w:r/>
          </w:p>
          <w:p>
            <w:pPr>
              <w:jc w:val="left"/>
              <w:spacing w:line="240" w:lineRule="auto"/>
              <w:widowControl/>
              <w:rPr>
                <w:rFonts w:hint="default" w:ascii="Calibri" w:hAnsi="Calibri"/>
                <w:bCs w:val="0"/>
                <w:color w:val="000000" w:themeColor="text1"/>
                <w:szCs w:val="22"/>
                <w:highlight w:val="none"/>
                <w14:textFill>
                  <w14:solidFill>
                    <w14:schemeClr w14:val="tx1"/>
                  </w14:solidFill>
                </w14:textFill>
              </w:rPr>
            </w:pPr>
            <w:r>
              <w:rPr>
                <w:rFonts w:hint="default" w:ascii="Calibri" w:hAnsi="Calibri"/>
                <w:bCs w:val="0"/>
                <w:color w:val="000000" w:themeColor="text1"/>
                <w:szCs w:val="22"/>
                <w:highlight w:val="none"/>
                <w14:textFill>
                  <w14:solidFill>
                    <w14:schemeClr w14:val="tx1"/>
                  </w14:solidFill>
                </w14:textFill>
              </w:rPr>
              <w:t xml:space="preserve">项目经理是注册会计师</w:t>
            </w:r>
            <w:r>
              <w:rPr>
                <w:rFonts w:hint="default" w:ascii="Calibri" w:hAnsi="Calibri"/>
                <w:bCs w:val="0"/>
                <w:color w:val="000000" w:themeColor="text1"/>
                <w:szCs w:val="22"/>
                <w:highlight w:val="none"/>
                <w:lang w:val="en-US" w:eastAsia="zh-CN"/>
                <w14:textFill>
                  <w14:solidFill>
                    <w14:schemeClr w14:val="tx1"/>
                  </w14:solidFill>
                </w14:textFill>
              </w:rPr>
              <w:t xml:space="preserve">，</w:t>
            </w:r>
            <w:r>
              <w:rPr>
                <w:rFonts w:hint="default" w:ascii="Calibri" w:hAnsi="Calibri"/>
                <w:bCs w:val="0"/>
                <w:color w:val="000000" w:themeColor="text1"/>
                <w:szCs w:val="22"/>
                <w:highlight w:val="none"/>
                <w14:textFill>
                  <w14:solidFill>
                    <w14:schemeClr w14:val="tx1"/>
                  </w14:solidFill>
                </w14:textFill>
              </w:rPr>
              <w:t xml:space="preserve">执业年限8年（含）以上（需提供有效注册会计师证书、8年及以上注册会计师证明材料</w:t>
            </w:r>
            <w:r>
              <w:rPr>
                <w:rFonts w:hint="default" w:ascii="Calibri" w:hAnsi="Calibri"/>
                <w:bCs w:val="0"/>
                <w:color w:val="000000" w:themeColor="text1"/>
                <w:szCs w:val="22"/>
                <w:highlight w:val="none"/>
                <w:lang w:eastAsia="zh-CN"/>
                <w14:textFill>
                  <w14:solidFill>
                    <w14:schemeClr w14:val="tx1"/>
                  </w14:solidFill>
                </w14:textFill>
              </w:rPr>
              <w:t xml:space="preserve">，</w:t>
            </w:r>
            <w:r>
              <w:rPr>
                <w:rFonts w:hint="default" w:ascii="Calibri" w:hAnsi="Calibri"/>
                <w:bCs w:val="0"/>
                <w:color w:val="000000" w:themeColor="text1"/>
                <w:szCs w:val="22"/>
                <w:highlight w:val="none"/>
                <w14:textFill>
                  <w14:solidFill>
                    <w14:schemeClr w14:val="tx1"/>
                  </w14:solidFill>
                </w14:textFill>
              </w:rPr>
              <w:t xml:space="preserve">证书中的执业关系应在投标单位处，体现明确的发证日期并通过最新年度年检，需提供证书复印件、身份证复印件及提供2026年4月以来投标人为其缴纳任意一个月社保证明材料）。</w:t>
            </w:r>
            <w:r/>
          </w:p>
        </w:tc>
      </w:tr>
      <w:tr>
        <w:trPr>
          <w:trHeight w:val="556"/>
        </w:trPr>
        <w:tc>
          <w:tcPr>
            <w:tcW w:w="561" w:type="pct"/>
            <w:vAlign w:val="center"/>
            <w:vMerge w:val="continue"/>
            <w:textDirection w:val="lrTb"/>
            <w:noWrap w:val="false"/>
          </w:tcPr>
          <w:p>
            <w:pPr>
              <w:jc w:val="left"/>
              <w:spacing w:line="240" w:lineRule="auto"/>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4026" w:type="pct"/>
            <w:textDirection w:val="lrTb"/>
            <w:noWrap w:val="false"/>
          </w:tcPr>
          <w:p>
            <w:pPr>
              <w:jc w:val="left"/>
              <w:spacing w:line="24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3.2投标人至少安排6个审计业务小组（安居集团5个小组、国盛集团1个小组），每个小组不少于4人，每组至少配备2名注册会计师</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关键岗位人员2年内需保持稳定</w:t>
            </w:r>
            <w:r>
              <w:rPr>
                <w:rFonts w:hint="eastAsia" w:ascii="宋体" w:hAnsi="宋体"/>
                <w:bCs/>
                <w:color w:val="000000" w:themeColor="text1"/>
                <w:szCs w:val="21"/>
                <w:highlight w:val="none"/>
                <w14:textFill>
                  <w14:solidFill>
                    <w14:schemeClr w14:val="tx1"/>
                  </w14:solidFill>
                </w14:textFill>
              </w:rPr>
              <w:t xml:space="preserve">。</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8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8148"/>
      </w:tblGrid>
      <w:tr>
        <w:trPr>
          <w:trHeight w:val="542"/>
        </w:trPr>
        <w:tc>
          <w:tcPr>
            <w:tcW w:w="61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 2 名项目经理（地铁集团、创投集团各1名）。</w:t>
            </w:r>
            <w:r/>
          </w:p>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1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 个审计业务小组（地铁集团4个小组、创投集团</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个小组），每个小组不少于5人，每组至少配备2名注册会计师。  </w:t>
            </w:r>
            <w:r/>
          </w:p>
        </w:tc>
      </w:tr>
    </w:tbl>
    <w:p>
      <w:pPr>
        <w:pStyle w:val="10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9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6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8148"/>
      </w:tblGrid>
      <w:tr>
        <w:trPr>
          <w:trHeight w:val="542"/>
        </w:trPr>
        <w:tc>
          <w:tcPr>
            <w:tcW w:w="61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 2 名项目经理（新农集团、大数据集团各1名）。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1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6 个审计业务小组（新农集团4个小组、大数据集团2个小组），每个小组不少于4人，每组至少配备2名注册会计师。  </w:t>
            </w:r>
            <w:r/>
          </w:p>
        </w:tc>
      </w:tr>
    </w:tbl>
    <w:p>
      <w:pPr>
        <w:pStyle w:val="10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pageBreakBefore w:val="0"/>
        <w:spacing w:line="560" w:lineRule="exact"/>
        <w:widowControl w:val="off"/>
        <w:rPr>
          <w:rFonts w:hint="default" w:ascii="宋体" w:hAnsi="宋体" w:eastAsia="宋体"/>
          <w:b/>
          <w:bCs/>
          <w:color w:val="000000" w:themeColor="text1"/>
          <w:sz w:val="28"/>
          <w:szCs w:val="28"/>
          <w:highlight w:val="none"/>
          <w:shd w:val="clear" w:color="auto" w:fill="ffffff"/>
          <w:lang w:val="en-US" w:eastAsia="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四、付款条件</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及审计业务约定书签订</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1、自各分包业务约定书签订后30日内，集团支付各分包业务约定书年度总额30%的预付款；</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2、中标人按照采购人、集团工作要求和时限完成审计工作，出具审计报告等年度审计材料，经采购人、集团履约验收，对结果为合格或良好，并履行经费审核、报批程序后，共同支付剩余各分包业务约定书年度总额的70%。履约验收结果为基本</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合格的，酌情扣减5%-10%的审计费用，并要求中标人更换主审人员。若履约验收不合格，或中标人违反有关审计工作规定和要求，审计报告发生重大遗漏和偏差，或发现企业存在重大违规和风险事项未予披露，审计过程及建议调整事项未向采购人报告等相关情形的，采购人在核实相关情况后，在约定审计费用基础上酌情扣减10%-30%；验收结果不合格的，采购人、集团有权拒绝签订下一年业务约定书；情节严重的，依法依规追究中标人相关责任，并将有关情况通报行业协会和监管机构；中标人的审计质量、即时性、人员配备、响应度将作为履约验收的重要依据。</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3、采购人支付比例：采购人实际收到财政资金占各分包中标价的比例，各分包分摊的费用按照该比例*各分包审计中标价计算，各分包剩余款项由集团支付。</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注：如付款条件满足，但项目财政资金未完全下达，则采购人付款时间延后至资金下达过后30个工作日内。</w:t>
      </w:r>
      <w:r/>
    </w:p>
    <w:p>
      <w:pPr>
        <w:ind w:firstLine="560"/>
        <w:keepLines w:val="0"/>
        <w:keepNext w:val="0"/>
        <w:pageBreakBefore w:val="0"/>
        <w:spacing w:line="560" w:lineRule="exact"/>
        <w:widowControl w:val="off"/>
        <w:rPr>
          <w:rFonts w:hint="default"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4、审计业务约定书签订：采购人与中标人同分包内各主体（集团）分别签订审计业务约定书。</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五、交付时间及地点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1、</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中标人与采购人签订《审计业务约定书》后，应根据采购人时间节点要求，尽快制定审计工作计划，提前进场开展预审工作，确保快报数据与财务决算数据差异控制在合理范围。</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2、</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交付时间：每年3月31日（需合并上市公司的为4月30日）前完成年报审计工作，并出具审计报告、专项报告和管理建议书。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3、</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交付地点：采购人指定地点。</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六、续签约定</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本项目服务期限为两年，审计业务约定书一年一签，年度审计业务约定书履行期满后，采购人可以根据供应商的履约情况决定是否续签下一年审计业务约定书。</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七、其他要求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（一）采购人提供所需的会计资料及其他有关资料，并为专项检查人员提供必要的工作条件，不得干预会计师事务所及注册会计师的业务。</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（二）检查期间，采购人应加强对参加专项审计人员的管理，要求工作人员遵守保密制度和有关规定。</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（三）对违反本约定书或因主观原因不能完成专项检查任务的检查人员，</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则要求中标人更换</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w:t>
      </w:r>
      <w:r/>
    </w:p>
    <w:p>
      <w:pPr>
        <w:ind w:firstLine="560"/>
        <w:keepLines w:val="0"/>
        <w:keepNext w:val="0"/>
        <w:pageBreakBefore w:val="0"/>
        <w:spacing w:line="560" w:lineRule="exact"/>
        <w:widowControl w:val="off"/>
        <w:rPr>
          <w:rFonts w:hint="eastAsia" w:ascii="宋体" w:hAnsi="宋体" w:eastAsia="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（四）对玩忽职守和严重违纪的审计人员，采购人有权停止其工作，并建议有关部门给予处</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罚。</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（五）当采购人认定中标人工作人员不按</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审计业务约定书</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履行其职责，或与第三人串通给</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人造成经济损失的，</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人有权要求更换中标人工作人员，直至终止</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审计业务约定书</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并要求中标人承担相应的赔偿责任。</w:t>
      </w:r>
      <w:r/>
    </w:p>
    <w:p>
      <w:pPr>
        <w:ind w:firstLine="562"/>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特别说明：本章节</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内容</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为实质性要求，需在《技术要求响应及偏离表》和《商务要求响应及偏离表》中明确响应，不允许负偏离。如需提供证明材料的按照要求提供相应材料并提供承诺书（格式</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见附件一</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），供应商未按要求提供</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的</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，按无效响应处理。</w:t>
      </w:r>
      <w:r/>
    </w:p>
    <w:p>
      <w:pPr>
        <w:jc w:val="left"/>
        <w:widowControl/>
        <w:rPr>
          <w:rFonts w:asciiTheme="minorEastAsia" w:hAnsiTheme="minorEastAsia" w:eastAsiaTheme="minorEastAsia"/>
          <w:b/>
          <w:bCs/>
          <w:color w:val="000000" w:themeColor="text1"/>
          <w:sz w:val="44"/>
          <w:szCs w:val="44"/>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bookmarkEnd w:id="95"/>
      <w:r/>
      <w:r/>
    </w:p>
    <w:p>
      <w:pPr>
        <w:pStyle w:val="661"/>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97" w:name="_Toc10518"/>
      <w:r>
        <w:rPr>
          <w:rFonts w:asciiTheme="minorEastAsia" w:hAnsiTheme="minorEastAsia" w:eastAsiaTheme="minorEastAsia"/>
          <w:color w:val="000000" w:themeColor="text1"/>
          <w:highlight w:val="none"/>
          <w14:textFill>
            <w14:solidFill>
              <w14:schemeClr w14:val="tx1"/>
            </w14:solidFill>
          </w14:textFill>
        </w:rPr>
        <w:t xml:space="preserve">第五章 </w:t>
      </w: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审计业务约定书</w:t>
      </w:r>
      <w:r>
        <w:rPr>
          <w:rFonts w:asciiTheme="minorEastAsia" w:hAnsiTheme="minorEastAsia" w:eastAsiaTheme="minorEastAsia"/>
          <w:color w:val="000000" w:themeColor="text1"/>
          <w:highlight w:val="none"/>
          <w14:textFill>
            <w14:solidFill>
              <w14:schemeClr w14:val="tx1"/>
            </w14:solidFill>
          </w14:textFill>
        </w:rPr>
        <w:t xml:space="preserve">主要条款及格式</w:t>
      </w:r>
      <w:bookmarkEnd w:id="97"/>
      <w:r/>
      <w:r/>
    </w:p>
    <w:p>
      <w:pPr>
        <w:ind w:firstLine="480"/>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r>
      <w:r/>
    </w:p>
    <w:p>
      <w:pPr>
        <w:jc w:val="center"/>
        <w:spacing w:line="580" w:lineRule="exact"/>
        <w:rPr>
          <w:rFonts w:hint="eastAsia" w:ascii="黑体" w:hAnsi="新宋体" w:eastAsia="黑体"/>
          <w:color w:val="000000" w:themeColor="text1"/>
          <w:sz w:val="32"/>
          <w:szCs w:val="32"/>
          <w:highlight w:val="none"/>
          <w14:textFill>
            <w14:solidFill>
              <w14:schemeClr w14:val="tx1"/>
            </w14:solidFill>
          </w14:textFill>
        </w:rPr>
      </w:pPr>
      <w:r>
        <w:rPr>
          <w:rFonts w:hint="eastAsia" w:ascii="黑体" w:hAnsi="新宋体" w:eastAsia="黑体"/>
          <w:color w:val="000000" w:themeColor="text1"/>
          <w:sz w:val="32"/>
          <w:szCs w:val="32"/>
          <w:highlight w:val="none"/>
          <w14:textFill>
            <w14:solidFill>
              <w14:schemeClr w14:val="tx1"/>
            </w14:solidFill>
          </w14:textFill>
        </w:rPr>
        <w:t xml:space="preserve">审计业务约定书</w:t>
      </w:r>
      <w:r/>
    </w:p>
    <w:p>
      <w:pPr>
        <w:ind w:firstLine="562"/>
        <w:spacing w:line="580" w:lineRule="exact"/>
        <w:tabs>
          <w:tab w:val="center" w:pos="4153"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r>
      <w:r/>
    </w:p>
    <w:p>
      <w:pPr>
        <w:ind w:firstLine="561"/>
        <w:spacing w:line="620" w:lineRule="exact"/>
        <w:tabs>
          <w:tab w:val="center" w:pos="4153" w:leader="none"/>
        </w:tabs>
        <w:rPr>
          <w:rFonts w:hint="eastAsia" w:ascii="华文楷体" w:hAnsi="华文楷体" w:eastAsia="华文楷体"/>
          <w:b/>
          <w:color w:val="000000" w:themeColor="text1"/>
          <w:sz w:val="28"/>
          <w:szCs w:val="28"/>
          <w:highlight w:val="none"/>
          <w14:textFill>
            <w14:solidFill>
              <w14:schemeClr w14:val="tx1"/>
            </w14:solidFill>
          </w14:textFill>
        </w:rPr>
      </w:pPr>
      <w:r>
        <w:rPr>
          <w:rFonts w:hint="eastAsia" w:ascii="华文楷体" w:hAnsi="华文楷体" w:eastAsia="华文楷体"/>
          <w:b/>
          <w:color w:val="000000" w:themeColor="text1"/>
          <w:sz w:val="28"/>
          <w:szCs w:val="28"/>
          <w:highlight w:val="none"/>
          <w14:textFill>
            <w14:solidFill>
              <w14:schemeClr w14:val="tx1"/>
            </w14:solidFill>
          </w14:textFill>
        </w:rPr>
        <w:t xml:space="preserve">甲方：南京市人民政府国有资产监督管理委员会</w:t>
      </w:r>
      <w:r/>
    </w:p>
    <w:p>
      <w:pPr>
        <w:ind w:firstLine="561"/>
        <w:spacing w:line="620" w:lineRule="exact"/>
        <w:tabs>
          <w:tab w:val="center" w:pos="4153" w:leader="none"/>
        </w:tabs>
        <w:rPr>
          <w:rFonts w:hint="eastAsia" w:ascii="方正仿宋_GBK" w:hAnsi="宋体" w:eastAsia="方正仿宋_GBK" w:cs="宋体"/>
          <w:b/>
          <w:bCs/>
          <w:color w:val="000000" w:themeColor="text1"/>
          <w:sz w:val="28"/>
          <w:szCs w:val="28"/>
          <w:highlight w:val="none"/>
          <w14:textFill>
            <w14:solidFill>
              <w14:schemeClr w14:val="tx1"/>
            </w14:solidFill>
          </w14:textFill>
        </w:rPr>
      </w:pPr>
      <w:r>
        <w:rPr>
          <w:rFonts w:hint="eastAsia" w:ascii="华文楷体" w:hAnsi="华文楷体" w:eastAsia="华文楷体"/>
          <w:b/>
          <w:color w:val="000000" w:themeColor="text1"/>
          <w:sz w:val="28"/>
          <w:szCs w:val="28"/>
          <w:highlight w:val="none"/>
          <w14:textFill>
            <w14:solidFill>
              <w14:schemeClr w14:val="tx1"/>
            </w14:solidFill>
          </w14:textFill>
        </w:rPr>
        <w:t xml:space="preserve">乙方：×</w:t>
      </w:r>
      <w:r>
        <w:rPr>
          <w:rFonts w:ascii="华文楷体" w:hAnsi="华文楷体" w:eastAsia="华文楷体"/>
          <w:b/>
          <w:color w:val="000000" w:themeColor="text1"/>
          <w:sz w:val="28"/>
          <w:szCs w:val="28"/>
          <w:highlight w:val="none"/>
          <w14:textFill>
            <w14:solidFill>
              <w14:schemeClr w14:val="tx1"/>
            </w14:solidFill>
          </w14:textFill>
        </w:rPr>
        <w:t xml:space="preserve">××</w:t>
      </w:r>
      <w:r>
        <w:rPr>
          <w:rFonts w:hint="eastAsia" w:ascii="华文楷体" w:hAnsi="华文楷体" w:eastAsia="华文楷体"/>
          <w:b/>
          <w:color w:val="000000" w:themeColor="text1"/>
          <w:sz w:val="28"/>
          <w:szCs w:val="28"/>
          <w:highlight w:val="none"/>
          <w14:textFill>
            <w14:solidFill>
              <w14:schemeClr w14:val="tx1"/>
            </w14:solidFill>
          </w14:textFill>
        </w:rPr>
        <w:t xml:space="preserve">集团有限责任公司</w:t>
      </w:r>
      <w:r/>
    </w:p>
    <w:p>
      <w:pPr>
        <w:ind w:firstLine="561"/>
        <w:spacing w:line="620" w:lineRule="exact"/>
        <w:rPr>
          <w:rFonts w:hint="eastAsia" w:ascii="华文楷体" w:hAnsi="华文楷体" w:eastAsia="华文楷体" w:cs="宋体"/>
          <w:b/>
          <w:color w:val="000000" w:themeColor="text1"/>
          <w:sz w:val="22"/>
          <w:szCs w:val="22"/>
          <w:highlight w:val="none"/>
          <w14:textFill>
            <w14:solidFill>
              <w14:schemeClr w14:val="tx1"/>
            </w14:solidFill>
          </w14:textFill>
        </w:rPr>
      </w:pPr>
      <w:r>
        <w:rPr>
          <w:rFonts w:hint="eastAsia" w:ascii="华文楷体" w:hAnsi="华文楷体" w:eastAsia="华文楷体"/>
          <w:b/>
          <w:color w:val="000000" w:themeColor="text1"/>
          <w:sz w:val="28"/>
          <w:szCs w:val="28"/>
          <w:highlight w:val="none"/>
          <w14:textFill>
            <w14:solidFill>
              <w14:schemeClr w14:val="tx1"/>
            </w14:solidFill>
          </w14:textFill>
        </w:rPr>
        <w:t xml:space="preserve">丙方：××</w:t>
      </w:r>
      <w:r>
        <w:rPr>
          <w:rFonts w:ascii="华文楷体" w:hAnsi="华文楷体" w:eastAsia="华文楷体"/>
          <w:b/>
          <w:color w:val="000000" w:themeColor="text1"/>
          <w:sz w:val="28"/>
          <w:szCs w:val="28"/>
          <w:highlight w:val="none"/>
          <w14:textFill>
            <w14:solidFill>
              <w14:schemeClr w14:val="tx1"/>
            </w14:solidFill>
          </w14:textFill>
        </w:rPr>
        <w:t xml:space="preserve">×</w:t>
      </w:r>
      <w:r>
        <w:rPr>
          <w:rFonts w:hint="eastAsia" w:ascii="华文楷体" w:hAnsi="华文楷体" w:eastAsia="华文楷体"/>
          <w:b/>
          <w:color w:val="000000" w:themeColor="text1"/>
          <w:sz w:val="28"/>
          <w:szCs w:val="28"/>
          <w:highlight w:val="none"/>
          <w14:textFill>
            <w14:solidFill>
              <w14:schemeClr w14:val="tx1"/>
            </w14:solidFill>
          </w14:textFill>
        </w:rPr>
        <w:t xml:space="preserve">会计师事务所（特殊普通合伙）</w:t>
      </w:r>
      <w:r/>
    </w:p>
    <w:p>
      <w:pPr>
        <w:ind w:firstLine="560"/>
        <w:spacing w:line="580" w:lineRule="exact"/>
        <w:tabs>
          <w:tab w:val="center" w:pos="4153"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914400</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72.0pt,15.6pt" to="72.0pt,15.6pt" filled="f" strokecolor="#000000" strokeweight="0.75pt">
                <v:stroke dashstyle="solid"/>
              </v:line>
            </w:pict>
          </mc:Fallback>
        </mc:AlternateContent>
      </w:r>
      <w:r>
        <w:rPr>
          <w:rFonts w:hint="eastAsia" w:ascii="仿宋_GB2312" w:hAnsi="宋体" w:eastAsia="仿宋_GB2312"/>
          <w:color w:val="000000" w:themeColor="text1"/>
          <w:sz w:val="28"/>
          <w:szCs w:val="28"/>
          <w:highlight w:val="none"/>
          <w14:textFill>
            <w14:solidFill>
              <w14:schemeClr w14:val="tx1"/>
            </w14:solidFill>
          </w14:textFill>
        </w:rPr>
        <w:t xml:space="preserve">甲方和乙方共同委托丙方对乙方的年度财务决算报告进行审计。经三方协商一致，现就有关事项约定如下：</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一、委托目的、审计范围和审计内容</w:t>
      </w:r>
      <w:r/>
    </w:p>
    <w:p>
      <w:pPr>
        <w:ind w:left="-2" w:firstLine="562"/>
        <w:spacing w:line="580" w:lineRule="exact"/>
        <w:tabs>
          <w:tab w:val="left" w:pos="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（一）委托目的</w:t>
      </w:r>
      <w:r/>
    </w:p>
    <w:p>
      <w:pPr>
        <w:ind w:firstLine="560"/>
        <w:spacing w:line="58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根据《公司法》、《会计法》等相关法律法规，《国有企业、上市公司选聘会计师事务所管理办法》(财会〔2023〕4号)、《关于做好市属国有企业年度财务决算管理工作的通知》（宁国资委考〔2015〕135号）以及市国资委每年度关于做好企业财务决算管理及报表编制工作的通知要求，由丙方对乙方的年度财务决算报表和专项财务报表进行审计鉴证，并出具合法、真实的审计报告。</w:t>
      </w:r>
      <w:r/>
    </w:p>
    <w:p>
      <w:pPr>
        <w:ind w:firstLine="562"/>
        <w:spacing w:line="580" w:lineRule="exact"/>
        <w:rPr>
          <w:rFonts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（二）审计范围</w:t>
      </w:r>
      <w:r/>
    </w:p>
    <w:tbl>
      <w:tblPr>
        <w:tblStyle w:val="671"/>
        <w:tblW w:w="8930" w:type="dxa"/>
        <w:tblInd w:w="534" w:type="dxa"/>
        <w:tblLayout w:type="autofit"/>
        <w:tblCellMar>
          <w:left w:w="108" w:type="dxa"/>
          <w:top w:w="0" w:type="dxa"/>
          <w:right w:w="108" w:type="dxa"/>
          <w:bottom w:w="0" w:type="dxa"/>
        </w:tblCellMar>
        <w:tblLook w:val="04A0" w:firstRow="1" w:lastRow="0" w:firstColumn="1" w:lastColumn="0" w:noHBand="0" w:noVBand="1"/>
      </w:tblPr>
      <w:tblGrid>
        <w:gridCol w:w="825"/>
        <w:gridCol w:w="6453"/>
        <w:gridCol w:w="1652"/>
      </w:tblGrid>
      <w:tr>
        <w:trPr>
          <w:trHeight w:val="510" w:hRule="exact"/>
        </w:trPr>
        <w:tc>
          <w:tcPr>
            <w:tcW w:w="825" w:type="dxa"/>
            <w:vAlign w:val="center"/>
            <w:textDirection w:val="lrTb"/>
            <w:noWrap/>
          </w:tcPr>
          <w:p>
            <w:pPr>
              <w:jc w:val="left"/>
              <w:widowControl/>
              <w:rPr>
                <w:rFonts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1、</w:t>
            </w:r>
            <w:r/>
          </w:p>
        </w:tc>
        <w:tc>
          <w:tcPr>
            <w:tcW w:w="6453" w:type="dxa"/>
            <w:vAlign w:val="center"/>
            <w:textDirection w:val="lrTb"/>
            <w:noWrap/>
          </w:tcPr>
          <w:p>
            <w:pPr>
              <w:jc w:val="left"/>
              <w:widowControl/>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×××公司</w:t>
            </w:r>
            <w:r/>
          </w:p>
        </w:tc>
        <w:tc>
          <w:tcPr>
            <w:tcW w:w="1652" w:type="dxa"/>
            <w:vAlign w:val="center"/>
            <w:textDirection w:val="lrTb"/>
            <w:noWrap/>
          </w:tcPr>
          <w:p>
            <w:pPr>
              <w:jc w:val="center"/>
              <w:widowControl/>
              <w:rPr>
                <w:rFonts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r>
        <w:trPr>
          <w:trHeight w:val="510" w:hRule="exact"/>
        </w:trPr>
        <w:tc>
          <w:tcPr>
            <w:tcW w:w="825" w:type="dxa"/>
            <w:vAlign w:val="center"/>
            <w:textDirection w:val="lrTb"/>
            <w:noWrap/>
          </w:tcPr>
          <w:p>
            <w:pPr>
              <w:jc w:val="left"/>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2、</w:t>
            </w:r>
            <w:r/>
          </w:p>
        </w:tc>
        <w:tc>
          <w:tcPr>
            <w:tcW w:w="6453" w:type="dxa"/>
            <w:vAlign w:val="center"/>
            <w:textDirection w:val="lrTb"/>
            <w:noWrap/>
          </w:tcPr>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×××公司</w:t>
            </w:r>
            <w:r/>
          </w:p>
        </w:tc>
        <w:tc>
          <w:tcPr>
            <w:tcW w:w="1652" w:type="dxa"/>
            <w:vAlign w:val="center"/>
            <w:textDirection w:val="lrTb"/>
            <w:noWrap/>
          </w:tcPr>
          <w:p>
            <w:pPr>
              <w:jc w:val="center"/>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r>
        <w:trPr>
          <w:trHeight w:val="510" w:hRule="exact"/>
        </w:trPr>
        <w:tc>
          <w:tcPr>
            <w:tcW w:w="825" w:type="dxa"/>
            <w:vAlign w:val="center"/>
            <w:textDirection w:val="lrTb"/>
            <w:noWrap/>
          </w:tcPr>
          <w:p>
            <w:pPr>
              <w:jc w:val="left"/>
              <w:widowControl/>
              <w:rPr>
                <w:rFonts w:ascii="仿宋_GB2312" w:hAnsi="宋体" w:eastAsia="仿宋_GB2312" w:cs="宋体"/>
                <w:color w:val="000000" w:themeColor="text1"/>
                <w:sz w:val="28"/>
                <w:szCs w:val="28"/>
                <w:highlight w:val="none"/>
                <w14:textFill>
                  <w14:solidFill>
                    <w14:schemeClr w14:val="tx1"/>
                  </w14:solidFill>
                </w14:textFill>
              </w:rPr>
            </w:pPr>
            <w:r>
              <w:rPr>
                <w:rFonts w:ascii="仿宋_GB2312" w:hAnsi="宋体" w:eastAsia="仿宋_GB2312" w:cs="宋体"/>
                <w:color w:val="000000" w:themeColor="text1"/>
                <w:sz w:val="28"/>
                <w:szCs w:val="28"/>
                <w:highlight w:val="none"/>
                <w14:textFill>
                  <w14:solidFill>
                    <w14:schemeClr w14:val="tx1"/>
                  </w14:solidFill>
                </w14:textFill>
              </w:rPr>
            </w:r>
            <w:r/>
          </w:p>
        </w:tc>
        <w:tc>
          <w:tcPr>
            <w:tcW w:w="6453" w:type="dxa"/>
            <w:vAlign w:val="center"/>
            <w:textDirection w:val="lrTb"/>
            <w:noWrap/>
          </w:tcPr>
          <w:p>
            <w:pPr>
              <w:rPr>
                <w:rFonts w:hint="eastAsia" w:ascii="仿宋_GB2312" w:eastAsia="仿宋_GB2312"/>
                <w:color w:val="000000" w:themeColor="text1"/>
                <w:sz w:val="28"/>
                <w:szCs w:val="28"/>
                <w:highlight w:val="none"/>
                <w14:textFill>
                  <w14:solidFill>
                    <w14:schemeClr w14:val="tx1"/>
                  </w14:solidFill>
                </w14:textFill>
              </w:rPr>
            </w:pPr>
            <w:r>
              <w:rPr>
                <w:rFonts w:ascii="仿宋_GB2312" w:eastAsia="仿宋_GB2312"/>
                <w:color w:val="000000" w:themeColor="text1"/>
                <w:sz w:val="28"/>
                <w:szCs w:val="28"/>
                <w:highlight w:val="none"/>
                <w14:textFill>
                  <w14:solidFill>
                    <w14:schemeClr w14:val="tx1"/>
                  </w14:solidFill>
                </w14:textFill>
              </w:rPr>
              <w:t xml:space="preserve">……………</w:t>
            </w:r>
            <w:r/>
          </w:p>
        </w:tc>
        <w:tc>
          <w:tcPr>
            <w:tcW w:w="1652" w:type="dxa"/>
            <w:vAlign w:val="center"/>
            <w:textDirection w:val="lrTb"/>
            <w:noWrap/>
          </w:tcPr>
          <w:p>
            <w:pPr>
              <w:jc w:val="center"/>
              <w:widowControl/>
              <w:rPr>
                <w:rFonts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r>
        <w:trPr>
          <w:trHeight w:val="510" w:hRule="exact"/>
        </w:trPr>
        <w:tc>
          <w:tcPr>
            <w:tcW w:w="825" w:type="dxa"/>
            <w:vAlign w:val="center"/>
            <w:textDirection w:val="lrTb"/>
            <w:noWrap/>
          </w:tcPr>
          <w:p>
            <w:pPr>
              <w:jc w:val="left"/>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ascii="仿宋_GB2312" w:hAnsi="宋体" w:eastAsia="仿宋_GB2312" w:cs="宋体"/>
                <w:color w:val="000000" w:themeColor="text1"/>
                <w:sz w:val="28"/>
                <w:szCs w:val="28"/>
                <w:highlight w:val="none"/>
                <w14:textFill>
                  <w14:solidFill>
                    <w14:schemeClr w14:val="tx1"/>
                  </w14:solidFill>
                </w14:textFill>
              </w:rPr>
              <w:t xml:space="preserve">×</w:t>
            </w:r>
            <w:r>
              <w:rPr>
                <w:rFonts w:hint="eastAsia" w:ascii="仿宋_GB2312" w:hAnsi="宋体" w:eastAsia="仿宋_GB2312" w:cs="宋体"/>
                <w:color w:val="000000" w:themeColor="text1"/>
                <w:sz w:val="28"/>
                <w:szCs w:val="28"/>
                <w:highlight w:val="none"/>
                <w14:textFill>
                  <w14:solidFill>
                    <w14:schemeClr w14:val="tx1"/>
                  </w14:solidFill>
                </w14:textFill>
              </w:rPr>
              <w:t xml:space="preserve">、</w:t>
            </w:r>
            <w:r/>
          </w:p>
        </w:tc>
        <w:tc>
          <w:tcPr>
            <w:tcW w:w="6453" w:type="dxa"/>
            <w:vAlign w:val="center"/>
            <w:textDirection w:val="lrTb"/>
            <w:noWrap/>
          </w:tcPr>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×××公司</w:t>
            </w:r>
            <w:r/>
          </w:p>
        </w:tc>
        <w:tc>
          <w:tcPr>
            <w:tcW w:w="1652" w:type="dxa"/>
            <w:vAlign w:val="center"/>
            <w:textDirection w:val="lrTb"/>
            <w:noWrap/>
          </w:tcPr>
          <w:p>
            <w:pPr>
              <w:jc w:val="center"/>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bl>
    <w:p>
      <w:pPr>
        <w:ind w:firstLine="551"/>
        <w:spacing w:line="580" w:lineRule="exact"/>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（三）审计内容</w:t>
      </w:r>
      <w:r/>
    </w:p>
    <w:p>
      <w:pPr>
        <w:ind w:firstLine="548"/>
        <w:spacing w:line="580" w:lineRule="exact"/>
        <w:rPr>
          <w:rFonts w:hint="default" w:ascii="仿宋_GB2312" w:hAnsi="宋体" w:eastAsia="仿宋_GB2312" w:cs="宋体"/>
          <w:bCs/>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2026</w:t>
      </w:r>
      <w:r>
        <w:rPr>
          <w:rFonts w:hint="eastAsia" w:ascii="仿宋_GB2312" w:hAnsi="宋体" w:eastAsia="仿宋_GB2312" w:cs="宋体"/>
          <w:bCs/>
          <w:color w:val="000000" w:themeColor="text1"/>
          <w:sz w:val="28"/>
          <w:szCs w:val="28"/>
          <w:highlight w:val="none"/>
          <w14:textFill>
            <w14:solidFill>
              <w14:schemeClr w14:val="tx1"/>
            </w14:solidFill>
          </w14:textFill>
        </w:rPr>
        <w:t xml:space="preserve">年度企业财务决算报表、会计报表附注、专项财务报表等。</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具体内容如下：</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甲方</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委托</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作为主审所承担对应市属企业</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2026</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年度年报审计服务。审计包括企业资产负债表、利润表、现金流量表、所有者权益变动表、财务报表附注等；关注与披露企业实际发生的各项经济业务是否按照企业会计准则规定予以确认、计量和列报，会计核算方法和会计政策是否符合企业会计准则规定，年度财务决算编报范围是否齐全、报表合并口径和方法是否正确等，出具审计报告；对审计范围内企业编制的专项报表开展审计复核和专项经济鉴证，出具专项审计报告；对本年审计过程中发现的问题和风险进行披露，对上年审计问题整改情况进行核实，出具管理建议书。</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1、审计报告。由注册会计师按照《中国注册会计师执业准则》的规定，对市属企业合并、母公司及列入主审所审计范围的子企业年度财务决算报表进行审计，实施恰当的审计程序，获取充分、适当的审计证据，对财务报表整体是否按照《企业会计准则》及国家其他有关法律、法规的规定编制，在此基础上发表审计意见，出具审计报告（利用其他参审会计师事务所的审计成果，应按照《中国注册会计师审计准则第1401号-对集团财务报表审计的特殊考虑》有关规定实施）；</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2、专项报告。包括但不限于对审计范围内企业的预算执行及考核指标完成情况、职工收入分配及企业负责人薪酬管理情况、固定资产投资、股权投资、基金投资和收益收缴情况、资产处置、损失核销情况及潜亏情况、融资、担保、捐赠、对外借款、土地、房产等情况、国有资本经营预算执行情况等重大事项准确性、完整性、规范性和合规性开展审计复核和专项经济鉴证，出具专项审计报告；</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3、企业管理建议书。对审计过程中发现的企业在投资管理、资产管理、资金管理、会计核算与财务管理、内控制度设计与执行、风险管理等方面存在的问题进行披露，对上年度审计揭示问题整改情况进行核实，并出具管理建议书；</w:t>
      </w:r>
      <w:r/>
    </w:p>
    <w:p>
      <w:pPr>
        <w:ind w:firstLine="548"/>
        <w:spacing w:line="580" w:lineRule="exact"/>
        <w:rPr>
          <w:rFonts w:hint="eastAsia" w:ascii="仿宋_GB2312" w:hAnsi="宋体" w:eastAsia="仿宋_GB2312" w:cs="宋体"/>
          <w:bCs/>
          <w:color w:val="000000" w:themeColor="text1"/>
          <w:sz w:val="28"/>
          <w:szCs w:val="28"/>
          <w:highlight w:val="none"/>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4、鉴于分包1-</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8</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中的企业涉及广义资本市场业务，包括</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但</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不限于公开市场债券发行、基础设施reits发行、拟上市企业培育等，其会计报表需与资本市场的要求相适应和印证。（</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本项根据不同分包情况增加或删除</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二、各方的权利和义务</w:t>
      </w:r>
      <w:r/>
    </w:p>
    <w:p>
      <w:pPr>
        <w:ind w:firstLine="562"/>
        <w:spacing w:line="580" w:lineRule="exact"/>
        <w:tabs>
          <w:tab w:val="left" w:pos="-2340" w:leader="none"/>
          <w:tab w:val="left" w:pos="186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（一）甲方的权利和义务</w:t>
      </w:r>
      <w:r/>
    </w:p>
    <w:p>
      <w:pPr>
        <w:ind w:firstLine="537"/>
        <w:spacing w:line="580" w:lineRule="exact"/>
        <w:rPr>
          <w:rFonts w:hint="eastAsia" w:ascii="仿宋_GB2312" w:eastAsia="仿宋_GB2312"/>
          <w:color w:val="000000" w:themeColor="text1"/>
          <w:spacing w:val="-6"/>
          <w:sz w:val="28"/>
          <w:szCs w:val="28"/>
          <w:highlight w:val="none"/>
          <w:lang w:val="en-US" w:eastAsia="zh-CN"/>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w:t>
      </w:r>
      <w:r>
        <w:rPr>
          <w:rFonts w:hint="eastAsia" w:ascii="仿宋_GB2312" w:hAnsi="宋体" w:eastAsia="仿宋_GB2312"/>
          <w:color w:val="000000" w:themeColor="text1"/>
          <w:spacing w:val="-6"/>
          <w:sz w:val="28"/>
          <w:szCs w:val="28"/>
          <w:highlight w:val="none"/>
          <w14:textFill>
            <w14:solidFill>
              <w14:schemeClr w14:val="tx1"/>
            </w14:solidFill>
          </w14:textFill>
        </w:rPr>
        <w:t xml:space="preserve">维护年度财务决算审计的严肃性。</w:t>
      </w:r>
      <w:r>
        <w:rPr>
          <w:rFonts w:hint="eastAsia" w:ascii="仿宋_GB2312" w:eastAsia="仿宋_GB2312"/>
          <w:color w:val="000000" w:themeColor="text1"/>
          <w:spacing w:val="-6"/>
          <w:sz w:val="28"/>
          <w:szCs w:val="28"/>
          <w:highlight w:val="none"/>
          <w14:textFill>
            <w14:solidFill>
              <w14:schemeClr w14:val="tx1"/>
            </w14:solidFill>
          </w14:textFill>
        </w:rPr>
        <w:t xml:space="preserve">对审计工作或者审计质量不符合要求的，甲方可要求丙方补充相关资料或者重新审计；如丙方出具的审计结论及意见不准</w:t>
      </w:r>
      <w:r>
        <w:rPr>
          <w:rFonts w:hint="eastAsia" w:ascii="仿宋_GB2312" w:eastAsia="仿宋_GB2312"/>
          <w:color w:val="000000" w:themeColor="text1"/>
          <w:spacing w:val="-6"/>
          <w:sz w:val="28"/>
          <w:szCs w:val="28"/>
          <w:highlight w:val="none"/>
          <w:lang w:val="en-US" w:eastAsia="zh-CN"/>
          <w14:textFill>
            <w14:solidFill>
              <w14:schemeClr w14:val="tx1"/>
            </w14:solidFill>
          </w14:textFill>
        </w:rPr>
        <w:t xml:space="preserve">确或审计质量存在较多问题以及丙方在服务期内受到行业监管部门处以暂停业务资格处罚等情况，甲方有权与其终止审计业务约定书；</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2、组织对丙方进行履约验收；</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3</w:t>
      </w:r>
      <w:r>
        <w:rPr>
          <w:rFonts w:hint="eastAsia" w:ascii="仿宋_GB2312" w:hAnsi="宋体" w:eastAsia="仿宋_GB2312"/>
          <w:color w:val="000000" w:themeColor="text1"/>
          <w:sz w:val="28"/>
          <w:szCs w:val="28"/>
          <w:highlight w:val="none"/>
          <w14:textFill>
            <w14:solidFill>
              <w14:schemeClr w14:val="tx1"/>
            </w14:solidFill>
          </w14:textFill>
        </w:rPr>
        <w:t xml:space="preserve">、协调解决丙方在审计工作中与乙方出现的意见分歧；</w:t>
      </w:r>
      <w:r/>
    </w:p>
    <w:p>
      <w:pPr>
        <w:ind w:firstLine="537"/>
        <w:spacing w:line="560" w:lineRule="exact"/>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4</w:t>
      </w:r>
      <w:r>
        <w:rPr>
          <w:rFonts w:hint="eastAsia" w:ascii="仿宋_GB2312" w:hAnsi="宋体" w:eastAsia="仿宋_GB2312"/>
          <w:color w:val="000000" w:themeColor="text1"/>
          <w:sz w:val="28"/>
          <w:szCs w:val="28"/>
          <w:highlight w:val="none"/>
          <w14:textFill>
            <w14:solidFill>
              <w14:schemeClr w14:val="tx1"/>
            </w14:solidFill>
          </w14:textFill>
        </w:rPr>
        <w:t xml:space="preserve">、按照约定的条件足额支付审计费用给丙方；</w:t>
      </w:r>
      <w:r/>
    </w:p>
    <w:p>
      <w:pPr>
        <w:ind w:firstLine="537"/>
        <w:spacing w:line="560" w:lineRule="exact"/>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5</w:t>
      </w:r>
      <w:r>
        <w:rPr>
          <w:rFonts w:hint="eastAsia" w:ascii="仿宋_GB2312" w:hAnsi="宋体" w:eastAsia="仿宋_GB2312"/>
          <w:color w:val="000000" w:themeColor="text1"/>
          <w:sz w:val="28"/>
          <w:szCs w:val="28"/>
          <w:highlight w:val="none"/>
          <w14:textFill>
            <w14:solidFill>
              <w14:schemeClr w14:val="tx1"/>
            </w14:solidFill>
          </w14:textFill>
        </w:rPr>
        <w:t xml:space="preserve">、按照约定的条件及时通知乙方支付审计费用给丙方；</w:t>
      </w:r>
      <w:r/>
    </w:p>
    <w:p>
      <w:pPr>
        <w:ind w:firstLine="537"/>
        <w:spacing w:line="560" w:lineRule="exact"/>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color w:val="000000" w:themeColor="text1"/>
          <w:sz w:val="28"/>
          <w:szCs w:val="28"/>
          <w:highlight w:val="none"/>
          <w14:textFill>
            <w14:solidFill>
              <w14:schemeClr w14:val="tx1"/>
            </w14:solidFill>
          </w14:textFill>
        </w:rPr>
        <w:t xml:space="preserve">、其他依法应当享有的权利和承担的义务。</w:t>
      </w:r>
      <w:r/>
    </w:p>
    <w:p>
      <w:pPr>
        <w:ind w:firstLine="562"/>
        <w:spacing w:line="580" w:lineRule="exact"/>
        <w:tabs>
          <w:tab w:val="left" w:pos="-2340" w:leader="none"/>
          <w:tab w:val="left" w:pos="186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（二）乙方的权利和义务</w:t>
      </w:r>
      <w:r/>
    </w:p>
    <w:p>
      <w:pPr>
        <w:ind w:firstLine="560"/>
        <w:spacing w:line="580" w:lineRule="exact"/>
        <w:tabs>
          <w:tab w:val="left" w:pos="-2340" w:leader="none"/>
          <w:tab w:val="left" w:pos="186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w:t>
      </w:r>
      <w:r>
        <w:rPr>
          <w:rFonts w:hint="eastAsia" w:ascii="仿宋_GB2312" w:hAnsi="宋体" w:eastAsia="仿宋_GB2312"/>
          <w:color w:val="000000" w:themeColor="text1"/>
          <w:sz w:val="28"/>
          <w:szCs w:val="28"/>
          <w:highlight w:val="none"/>
          <w14:textFill>
            <w14:solidFill>
              <w14:schemeClr w14:val="tx1"/>
            </w14:solidFill>
          </w14:textFill>
        </w:rPr>
        <w:t xml:space="preserve">保护资产的安全、完整，保证会计资料的真实、合法、完整；</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2</w:t>
      </w:r>
      <w:r>
        <w:rPr>
          <w:rFonts w:hint="eastAsia" w:ascii="仿宋_GB2312" w:eastAsia="仿宋_GB2312"/>
          <w:color w:val="000000" w:themeColor="text1"/>
          <w:sz w:val="28"/>
          <w:szCs w:val="28"/>
          <w:highlight w:val="none"/>
          <w14:textFill>
            <w14:solidFill>
              <w14:schemeClr w14:val="tx1"/>
            </w14:solidFill>
          </w14:textFill>
        </w:rPr>
        <w:t xml:space="preserve">、及时</w:t>
      </w:r>
      <w:r>
        <w:rPr>
          <w:rFonts w:hint="eastAsia" w:ascii="仿宋_GB2312" w:hAnsi="宋体" w:eastAsia="仿宋_GB2312"/>
          <w:color w:val="000000" w:themeColor="text1"/>
          <w:sz w:val="28"/>
          <w:szCs w:val="28"/>
          <w:highlight w:val="none"/>
          <w14:textFill>
            <w14:solidFill>
              <w14:schemeClr w14:val="tx1"/>
            </w14:solidFill>
          </w14:textFill>
        </w:rPr>
        <w:t xml:space="preserve">提供会计凭证、账册、财务决算报告以及丙方要求的其他相关文件资料，并对有关财务决算方面的情况作必要的说明；积极配合</w:t>
      </w:r>
      <w:r>
        <w:rPr>
          <w:rFonts w:hint="eastAsia" w:ascii="仿宋_GB2312" w:eastAsia="仿宋_GB2312"/>
          <w:color w:val="000000" w:themeColor="text1"/>
          <w:sz w:val="28"/>
          <w:szCs w:val="28"/>
          <w:highlight w:val="none"/>
          <w14:textFill>
            <w14:solidFill>
              <w14:schemeClr w14:val="tx1"/>
            </w14:solidFill>
          </w14:textFill>
        </w:rPr>
        <w:t xml:space="preserve">丙方的工作，对丙方</w:t>
      </w:r>
      <w:r>
        <w:rPr>
          <w:rFonts w:hint="eastAsia" w:ascii="仿宋_GB2312" w:hAnsi="宋体" w:eastAsia="仿宋_GB2312"/>
          <w:color w:val="000000" w:themeColor="text1"/>
          <w:sz w:val="28"/>
          <w:szCs w:val="28"/>
          <w:highlight w:val="none"/>
          <w14:textFill>
            <w14:solidFill>
              <w14:schemeClr w14:val="tx1"/>
            </w14:solidFill>
          </w14:textFill>
        </w:rPr>
        <w:t xml:space="preserve">开展</w:t>
      </w:r>
      <w:r>
        <w:rPr>
          <w:rFonts w:hint="eastAsia" w:ascii="仿宋_GB2312" w:eastAsia="仿宋_GB2312"/>
          <w:color w:val="000000" w:themeColor="text1"/>
          <w:sz w:val="28"/>
          <w:szCs w:val="28"/>
          <w:highlight w:val="none"/>
          <w14:textFill>
            <w14:solidFill>
              <w14:schemeClr w14:val="tx1"/>
            </w14:solidFill>
          </w14:textFill>
        </w:rPr>
        <w:t xml:space="preserve">审计工作提供必要的条件和协助；</w:t>
      </w:r>
      <w:r>
        <w:rPr>
          <w:rFonts w:hint="eastAsia" w:ascii="仿宋_GB2312" w:hAnsi="宋体" w:eastAsia="仿宋_GB2312"/>
          <w:color w:val="000000" w:themeColor="text1"/>
          <w:sz w:val="28"/>
          <w:szCs w:val="28"/>
          <w:highlight w:val="none"/>
          <w14:textFill>
            <w14:solidFill>
              <w14:schemeClr w14:val="tx1"/>
            </w14:solidFill>
          </w14:textFill>
        </w:rPr>
        <w:t xml:space="preserve"> </w:t>
      </w:r>
      <w:r>
        <w:rPr>
          <w:rFonts w:hint="eastAsia" w:ascii="仿宋_GB2312" w:hAnsi="宋体" w:eastAsia="仿宋_GB2312"/>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2971800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34.0pt,15.6pt" to="234.1pt,15.6pt" filled="f" strokecolor="#000000" strokeweight="0.75pt">
                <v:stroke dashstyle="solid"/>
              </v:line>
            </w:pict>
          </mc:Fallback>
        </mc:AlternateContent>
      </w:r>
      <w:r/>
    </w:p>
    <w:p>
      <w:pPr>
        <w:ind w:firstLine="537"/>
        <w:spacing w:line="580" w:lineRule="exact"/>
        <w:tabs>
          <w:tab w:val="left" w:pos="-2340" w:leader="none"/>
          <w:tab w:val="left" w:pos="192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3</w:t>
      </w:r>
      <w:r>
        <w:rPr>
          <w:rFonts w:hint="eastAsia" w:ascii="仿宋_GB2312" w:hAnsi="宋体" w:eastAsia="仿宋_GB2312"/>
          <w:color w:val="000000" w:themeColor="text1"/>
          <w:sz w:val="28"/>
          <w:szCs w:val="28"/>
          <w:highlight w:val="none"/>
          <w14:textFill>
            <w14:solidFill>
              <w14:schemeClr w14:val="tx1"/>
            </w14:solidFill>
          </w14:textFill>
        </w:rPr>
        <w:t xml:space="preserve">、按照约定条件和甲方的通知，及时足额支付审计费用给丙方；</w:t>
      </w:r>
      <w:r/>
    </w:p>
    <w:p>
      <w:pPr>
        <w:ind w:firstLine="537"/>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4</w:t>
      </w:r>
      <w:r>
        <w:rPr>
          <w:rFonts w:hint="eastAsia" w:ascii="仿宋_GB2312" w:hAnsi="宋体" w:eastAsia="仿宋_GB2312"/>
          <w:color w:val="000000" w:themeColor="text1"/>
          <w:sz w:val="28"/>
          <w:szCs w:val="28"/>
          <w:highlight w:val="none"/>
          <w14:textFill>
            <w14:solidFill>
              <w14:schemeClr w14:val="tx1"/>
            </w14:solidFill>
          </w14:textFill>
        </w:rPr>
        <w:t xml:space="preserve">、</w:t>
      </w:r>
      <w:r>
        <w:rPr>
          <w:rFonts w:hint="eastAsia" w:ascii="仿宋_GB2312" w:eastAsia="仿宋_GB2312"/>
          <w:color w:val="000000" w:themeColor="text1"/>
          <w:sz w:val="28"/>
          <w:szCs w:val="28"/>
          <w:highlight w:val="none"/>
          <w14:textFill>
            <w14:solidFill>
              <w14:schemeClr w14:val="tx1"/>
            </w14:solidFill>
          </w14:textFill>
        </w:rPr>
        <w:t xml:space="preserve">不干预丙方的审计活动，以保证审计工作的独立、客观、公正；</w:t>
      </w:r>
      <w:r/>
    </w:p>
    <w:p>
      <w:pPr>
        <w:ind w:firstLine="537"/>
        <w:spacing w:line="580" w:lineRule="exact"/>
        <w:tabs>
          <w:tab w:val="left" w:pos="-2340" w:leader="none"/>
          <w:tab w:val="left" w:pos="192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5</w:t>
      </w:r>
      <w:r>
        <w:rPr>
          <w:rFonts w:hint="eastAsia" w:ascii="仿宋_GB2312" w:hAnsi="宋体" w:eastAsia="仿宋_GB2312"/>
          <w:color w:val="000000" w:themeColor="text1"/>
          <w:sz w:val="28"/>
          <w:szCs w:val="28"/>
          <w:highlight w:val="none"/>
          <w14:textFill>
            <w14:solidFill>
              <w14:schemeClr w14:val="tx1"/>
            </w14:solidFill>
          </w14:textFill>
        </w:rPr>
        <w:t xml:space="preserve">、丙方的审计责任不能替代、减轻或免除乙方的会计责任；</w:t>
      </w:r>
      <w:r/>
    </w:p>
    <w:p>
      <w:pPr>
        <w:ind w:firstLine="537"/>
        <w:spacing w:line="580" w:lineRule="exact"/>
        <w:rPr>
          <w:rFonts w:hint="eastAsia" w:ascii="仿宋_GB2312" w:hAnsi="宋体" w:eastAsia="仿宋_GB2312"/>
          <w:b w:val="0"/>
          <w:bCs w:val="0"/>
          <w:color w:val="000000" w:themeColor="text1"/>
          <w:sz w:val="28"/>
          <w:szCs w:val="28"/>
          <w:highlight w:val="none"/>
          <w:lang w:eastAsia="zh-CN"/>
          <w14:textFill>
            <w14:solidFill>
              <w14:schemeClr w14:val="tx1"/>
            </w14:solidFill>
          </w14:textFill>
        </w:rPr>
      </w:pPr>
      <w:r>
        <w:rPr>
          <w:rFonts w:hint="eastAsia" w:ascii="仿宋_GB2312" w:hAnsi="宋体" w:eastAsia="仿宋_GB2312"/>
          <w:b w:val="0"/>
          <w:bCs w:val="0"/>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b w:val="0"/>
          <w:bCs w:val="0"/>
          <w:color w:val="000000" w:themeColor="text1"/>
          <w:sz w:val="28"/>
          <w:szCs w:val="28"/>
          <w:highlight w:val="none"/>
          <w14:textFill>
            <w14:solidFill>
              <w14:schemeClr w14:val="tx1"/>
            </w14:solidFill>
          </w14:textFill>
        </w:rPr>
        <w:t xml:space="preserve">、</w:t>
      </w:r>
      <w:r>
        <w:rPr>
          <w:rFonts w:hint="eastAsia" w:ascii="仿宋_GB2312" w:hAnsi="宋体" w:eastAsia="仿宋_GB2312" w:cs="Times New Roman"/>
          <w:b w:val="0"/>
          <w:bCs w:val="0"/>
          <w:color w:val="000000" w:themeColor="text1"/>
          <w:sz w:val="28"/>
          <w:szCs w:val="28"/>
          <w:highlight w:val="none"/>
          <w:lang w:val="en-US" w:eastAsia="zh-CN" w:bidi="ar-SA"/>
          <w14:textFill>
            <w14:solidFill>
              <w14:schemeClr w14:val="tx1"/>
            </w14:solidFill>
          </w14:textFill>
        </w:rPr>
        <w:t xml:space="preserve">配合甲方对丙方组织验收；</w:t>
      </w:r>
      <w:r/>
    </w:p>
    <w:p>
      <w:pPr>
        <w:pStyle w:val="708"/>
        <w:ind w:firstLine="560"/>
        <w:jc w:val="left"/>
        <w:rPr>
          <w:rFonts w:hint="eastAsia" w:eastAsia="仿宋_GB2312"/>
          <w:b w:val="0"/>
          <w:bCs w:val="0"/>
          <w:color w:val="000000" w:themeColor="text1"/>
          <w:highlight w:val="none"/>
          <w:lang w:val="en-US" w:eastAsia="zh-CN"/>
          <w14:textFill>
            <w14:solidFill>
              <w14:schemeClr w14:val="tx1"/>
            </w14:solidFill>
          </w14:textFill>
        </w:rPr>
      </w:pPr>
      <w:r>
        <w:rPr>
          <w:rFonts w:hint="eastAsia" w:ascii="仿宋_GB2312" w:hAnsi="宋体" w:eastAsia="仿宋_GB2312" w:cs="Times New Roman"/>
          <w:b w:val="0"/>
          <w:bCs w:val="0"/>
          <w:color w:val="000000" w:themeColor="text1"/>
          <w:sz w:val="28"/>
          <w:szCs w:val="28"/>
          <w:highlight w:val="none"/>
          <w:lang w:val="en-US" w:eastAsia="zh-CN" w:bidi="ar-SA"/>
          <w14:textFill>
            <w14:solidFill>
              <w14:schemeClr w14:val="tx1"/>
            </w14:solidFill>
          </w14:textFill>
        </w:rPr>
        <w:t xml:space="preserve">7、</w:t>
      </w:r>
      <w:r>
        <w:rPr>
          <w:rFonts w:hint="eastAsia" w:ascii="仿宋_GB2312" w:hAnsi="宋体" w:eastAsia="仿宋_GB2312"/>
          <w:b w:val="0"/>
          <w:bCs w:val="0"/>
          <w:color w:val="000000" w:themeColor="text1"/>
          <w:sz w:val="28"/>
          <w:szCs w:val="28"/>
          <w:highlight w:val="none"/>
          <w14:textFill>
            <w14:solidFill>
              <w14:schemeClr w14:val="tx1"/>
            </w14:solidFill>
          </w14:textFill>
        </w:rPr>
        <w:t xml:space="preserve">其他依法应当享有的权利和承担的义务</w:t>
      </w:r>
      <w:r>
        <w:rPr>
          <w:rFonts w:hint="eastAsia" w:ascii="仿宋_GB2312" w:hAnsi="宋体" w:eastAsia="仿宋_GB2312"/>
          <w:b w:val="0"/>
          <w:bCs w:val="0"/>
          <w:color w:val="000000" w:themeColor="text1"/>
          <w:sz w:val="28"/>
          <w:szCs w:val="28"/>
          <w:highlight w:val="none"/>
          <w:lang w:eastAsia="zh-CN"/>
          <w14:textFill>
            <w14:solidFill>
              <w14:schemeClr w14:val="tx1"/>
            </w14:solidFill>
          </w14:textFill>
        </w:rPr>
        <w:t xml:space="preserve">。</w:t>
      </w:r>
      <w:r/>
    </w:p>
    <w:p>
      <w:pPr>
        <w:ind w:firstLine="562"/>
        <w:spacing w:line="580" w:lineRule="exact"/>
        <w:tabs>
          <w:tab w:val="left" w:pos="-234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（三）丙方的权利和义务</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详见招标文件</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w:t>
      </w:r>
      <w:r/>
    </w:p>
    <w:p>
      <w:pPr>
        <w:ind w:firstLine="537"/>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1、完成审计业务，按要求出具审计报告、专项审计报告和企业管理建议书</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等工作</w:t>
      </w:r>
      <w:r>
        <w:rPr>
          <w:rFonts w:hint="eastAsia" w:ascii="仿宋_GB2312" w:hAnsi="宋体" w:eastAsia="仿宋_GB2312"/>
          <w:color w:val="000000" w:themeColor="text1"/>
          <w:sz w:val="28"/>
          <w:szCs w:val="28"/>
          <w:highlight w:val="none"/>
          <w14:textFill>
            <w14:solidFill>
              <w14:schemeClr w14:val="tx1"/>
            </w14:solidFill>
          </w14:textFill>
        </w:rPr>
        <w:t xml:space="preserve">；</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2、丙方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按照甲方工作要求和时限完成审计工作；</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3、</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丙方在检查过程中，不得随意更换审计人员，如有特殊情况需要中途换人，必须经甲方同意；</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4、</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在项目执行过程中，如若丙方因自身问题，不能继续承担后续相关工作，须积极配合下一位丙方开展工作，按要求提供相关材料，确保甲方按时按点完成项目进度。如若不配合甲方有权扣除部分服务费；</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5、</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不得转包、</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分包</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给他人履行；</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cs="Times New Roman"/>
          <w:color w:val="000000" w:themeColor="text1"/>
          <w:sz w:val="28"/>
          <w:szCs w:val="28"/>
          <w:highlight w:val="none"/>
          <w:lang w:val="zh-CN" w:eastAsia="en-US"/>
          <w14:textFill>
            <w14:solidFill>
              <w14:schemeClr w14:val="tx1"/>
            </w14:solidFill>
          </w14:textFill>
        </w:rPr>
        <w:t xml:space="preserve">人员配备要求：</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详见丙方投标文件；</w:t>
      </w:r>
      <w:r/>
    </w:p>
    <w:p>
      <w:pPr>
        <w:ind w:firstLine="537"/>
        <w:spacing w:line="580" w:lineRule="exact"/>
        <w:tabs>
          <w:tab w:val="left" w:pos="-2340" w:leader="none"/>
        </w:tabs>
        <w:rPr>
          <w:rFonts w:hint="default"/>
          <w:color w:val="000000" w:themeColor="text1"/>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7、其他依法应当享有的权利和承担的义务。</w:t>
      </w:r>
      <w:r/>
    </w:p>
    <w:p>
      <w:pPr>
        <w:ind w:firstLine="560"/>
        <w:spacing w:line="580" w:lineRule="exact"/>
        <w:tabs>
          <w:tab w:val="center" w:pos="4153" w:leader="none"/>
        </w:tabs>
        <w:rPr>
          <w:rFonts w:hint="default" w:ascii="黑体" w:hAnsi="宋体" w:eastAsia="黑体"/>
          <w:color w:val="000000" w:themeColor="text1"/>
          <w:sz w:val="28"/>
          <w:szCs w:val="28"/>
          <w:highlight w:val="none"/>
          <w:lang w:val="en-US" w:eastAsia="zh-CN"/>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三、审计费用</w:t>
      </w:r>
      <w:r>
        <w:rPr>
          <w:rFonts w:hint="eastAsia" w:ascii="黑体" w:hAnsi="宋体" w:eastAsia="黑体"/>
          <w:color w:val="000000" w:themeColor="text1"/>
          <w:sz w:val="28"/>
          <w:szCs w:val="28"/>
          <w:highlight w:val="none"/>
          <w:lang w:val="en-US" w:eastAsia="zh-CN"/>
          <w14:textFill>
            <w14:solidFill>
              <w14:schemeClr w14:val="tx1"/>
            </w14:solidFill>
          </w14:textFill>
        </w:rPr>
        <w:t xml:space="preserve">及支付方式</w:t>
      </w:r>
      <w:r/>
    </w:p>
    <w:p>
      <w:pPr>
        <w:ind w:left="-2" w:firstLine="540"/>
        <w:jc w:val="left"/>
        <w:spacing w:line="560" w:lineRule="exact"/>
        <w:tabs>
          <w:tab w:val="left" w:pos="-2340" w:leader="none"/>
          <w:tab w:val="left" w:pos="360" w:leader="none"/>
        </w:tabs>
        <w:rPr>
          <w:rFonts w:hint="eastAsia" w:ascii="仿宋_GB2312" w:hAnsi="宋体" w:eastAsia="仿宋_GB2312"/>
          <w:color w:val="000000" w:themeColor="text1"/>
          <w:sz w:val="28"/>
          <w:szCs w:val="28"/>
          <w:highlight w:val="none"/>
          <w:u w:val="single"/>
          <w:lang w:eastAsia="zh-CN"/>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本项审计业务费用为人民币（大写）</w:t>
      </w:r>
      <w:r>
        <w:rPr>
          <w:rFonts w:hint="eastAsia" w:ascii="仿宋_GB2312" w:hAnsi="宋体" w:eastAsia="仿宋_GB2312"/>
          <w:color w:val="000000" w:themeColor="text1"/>
          <w:sz w:val="28"/>
          <w:szCs w:val="28"/>
          <w:highlight w:val="none"/>
          <w:u w:val="single"/>
          <w14:textFill>
            <w14:solidFill>
              <w14:schemeClr w14:val="tx1"/>
            </w14:solidFill>
          </w14:textFill>
        </w:rPr>
        <w:t xml:space="preserve">        </w:t>
      </w:r>
      <w:r>
        <w:rPr>
          <w:rFonts w:hint="eastAsia" w:ascii="仿宋_GB2312" w:hAnsi="宋体" w:eastAsia="仿宋_GB2312"/>
          <w:color w:val="000000" w:themeColor="text1"/>
          <w:sz w:val="28"/>
          <w:szCs w:val="28"/>
          <w:highlight w:val="none"/>
          <w:u w:val="none"/>
          <w:lang w:eastAsia="zh-CN"/>
          <w14:textFill>
            <w14:solidFill>
              <w14:schemeClr w14:val="tx1"/>
            </w14:solidFill>
          </w14:textFill>
        </w:rPr>
        <w:t xml:space="preserve">。</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1、自各分包业务约定书签订</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后30</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日</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内</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，乙方支付各分包业务约定书年度总额30%的预付款；</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2、丙方按照甲方、</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乙方</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工作要求和时限完成审计工作，出具审计报告等</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年度审计材料</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，经甲方、</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履约验收，对结果为合格或良好，并履行经费审核、报批程序后，</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共同支付剩余各分包业务约定书年度总额</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的</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70%</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。履约验收结果为基本合格的，酌情扣减5%-10%的审计费用，并要求</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更换主审人员。若履约验收不合格，或</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违反有关审计工作规定和要求，审计报告发生重大遗漏和偏差，或发现企业存在重大违规和风险事项未予披露，审计过程及建议调整事项未向</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甲方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报告等相关情形的，</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甲方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在核实相关情况后，在约定审计费用基础上酌情扣减10%-30%；验收结果不合格的，</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甲方、乙方有权</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拒绝签订下一年业务约定书</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；情节严重的，依法依规追究</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相关责任，并将有关情况通报行业协会和监管机构；</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丙方的审计质量、即时性、人员配备、响应度将作为</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履约验收</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的重要依据。</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3、甲方支付比例：甲方实际收到财政资金占各分包中标价的比例，各分包分摊的费用按照该比例*各分包审计中标价计算，各分包剩余款项由乙方支付。</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注：如付款条件满足，但项目财政资金未完全下达，则甲方付款时间延后至资金下</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达</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过后30个工作日内。</w:t>
      </w:r>
      <w:r/>
    </w:p>
    <w:p>
      <w:pPr>
        <w:pStyle w:val="708"/>
        <w:ind w:firstLine="560"/>
        <w:jc w:val="both"/>
        <w:rPr>
          <w:rFonts w:hint="eastAsia" w:ascii="黑体" w:hAnsi="宋体" w:eastAsia="黑体" w:cs="Times New Roman"/>
          <w:b w:val="0"/>
          <w:bCs w:val="0"/>
          <w:color w:val="000000" w:themeColor="text1"/>
          <w:sz w:val="28"/>
          <w:szCs w:val="28"/>
          <w:highlight w:val="none"/>
          <w:lang w:val="en-US" w:eastAsia="zh-CN" w:bidi="ar-SA"/>
          <w14:textFill>
            <w14:solidFill>
              <w14:schemeClr w14:val="tx1"/>
            </w14:solidFill>
          </w14:textFill>
        </w:rPr>
      </w:pPr>
      <w:r>
        <w:rPr>
          <w:rFonts w:hint="eastAsia" w:ascii="黑体" w:hAnsi="宋体" w:eastAsia="黑体" w:cs="Times New Roman"/>
          <w:b w:val="0"/>
          <w:bCs w:val="0"/>
          <w:color w:val="000000" w:themeColor="text1"/>
          <w:sz w:val="28"/>
          <w:szCs w:val="28"/>
          <w:highlight w:val="none"/>
          <w:lang w:val="en-US" w:eastAsia="zh-CN" w:bidi="ar-SA"/>
          <w14:textFill>
            <w14:solidFill>
              <w14:schemeClr w14:val="tx1"/>
            </w14:solidFill>
          </w14:textFill>
        </w:rPr>
        <w:t xml:space="preserve">四、2027年度审计业务约定书要求</w:t>
      </w:r>
      <w:r/>
    </w:p>
    <w:p>
      <w:pPr>
        <w:ind w:firstLine="560"/>
        <w:spacing w:line="580" w:lineRule="exact"/>
        <w:tabs>
          <w:tab w:val="center" w:pos="4153" w:leader="none"/>
        </w:tabs>
        <w:rPr>
          <w:rFonts w:hint="default" w:ascii="仿宋_GB2312" w:hAnsi="宋体" w:eastAsia="仿宋_GB2312" w:cs="Times New Roman"/>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鉴于</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本项目服务期限为</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两</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年，</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审计业务约定书</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一年一签，</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2027年度审计业务约定书在开展2027年度财务决算报告审计工作前签订。</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lang w:val="en-US" w:eastAsia="zh-CN"/>
          <w14:textFill>
            <w14:solidFill>
              <w14:schemeClr w14:val="tx1"/>
            </w14:solidFill>
          </w14:textFill>
        </w:rPr>
        <w:t xml:space="preserve">五</w:t>
      </w:r>
      <w:r>
        <w:rPr>
          <w:rFonts w:hint="eastAsia" w:ascii="黑体" w:hAnsi="宋体" w:eastAsia="黑体"/>
          <w:color w:val="000000" w:themeColor="text1"/>
          <w:sz w:val="28"/>
          <w:szCs w:val="28"/>
          <w:highlight w:val="none"/>
          <w14:textFill>
            <w14:solidFill>
              <w14:schemeClr w14:val="tx1"/>
            </w14:solidFill>
          </w14:textFill>
        </w:rPr>
        <w:t xml:space="preserve">、违约责任</w:t>
      </w:r>
      <w:r/>
    </w:p>
    <w:p>
      <w:pPr>
        <w:ind w:left="558" w:hanging="33"/>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签约三方按照《中华人民共和国民法典》及有关法律法规的规定承担</w:t>
      </w:r>
      <w:r/>
    </w:p>
    <w:p>
      <w:pPr>
        <w:ind w:left="561" w:hanging="739"/>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违约责任。</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lang w:val="en-US" w:eastAsia="zh-CN"/>
          <w14:textFill>
            <w14:solidFill>
              <w14:schemeClr w14:val="tx1"/>
            </w14:solidFill>
          </w14:textFill>
        </w:rPr>
        <w:t xml:space="preserve">六</w:t>
      </w:r>
      <w:r>
        <w:rPr>
          <w:rFonts w:hint="eastAsia" w:ascii="黑体" w:hAnsi="宋体" w:eastAsia="黑体"/>
          <w:color w:val="000000" w:themeColor="text1"/>
          <w:sz w:val="28"/>
          <w:szCs w:val="28"/>
          <w:highlight w:val="none"/>
          <w14:textFill>
            <w14:solidFill>
              <w14:schemeClr w14:val="tx1"/>
            </w14:solidFill>
          </w14:textFill>
        </w:rPr>
        <w:t xml:space="preserve">、生效条件</w:t>
      </w:r>
      <w:r/>
    </w:p>
    <w:p>
      <w:pPr>
        <w:ind w:left="561"/>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本约定书经三方签署盖章后生效，约定事项全部完成后失效。</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lang w:val="en-US" w:eastAsia="zh-CN"/>
          <w14:textFill>
            <w14:solidFill>
              <w14:schemeClr w14:val="tx1"/>
            </w14:solidFill>
          </w14:textFill>
        </w:rPr>
        <w:t xml:space="preserve">七</w:t>
      </w:r>
      <w:r>
        <w:rPr>
          <w:rFonts w:hint="eastAsia" w:ascii="黑体" w:hAnsi="宋体" w:eastAsia="黑体"/>
          <w:color w:val="000000" w:themeColor="text1"/>
          <w:sz w:val="28"/>
          <w:szCs w:val="28"/>
          <w:highlight w:val="none"/>
          <w14:textFill>
            <w14:solidFill>
              <w14:schemeClr w14:val="tx1"/>
            </w14:solidFill>
          </w14:textFill>
        </w:rPr>
        <w:t xml:space="preserve">、文本份数</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本约定书一式肆份，甲方执贰份，乙、丙方各执壹份。</w:t>
      </w:r>
      <w:r/>
    </w:p>
    <w:p>
      <w:pPr>
        <w:ind w:firstLine="281"/>
        <w:spacing w:line="580" w:lineRule="exact"/>
        <w:tabs>
          <w:tab w:val="left" w:pos="-234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3200400</wp:posOffset>
                </wp:positionH>
                <wp:positionV relativeFrom="paragraph">
                  <wp:posOffset>421640</wp:posOffset>
                </wp:positionV>
                <wp:extent cx="3086100" cy="2247265"/>
                <wp:effectExtent l="0" t="0" r="0" b="0"/>
                <wp:wrapSquare wrapText="bothSides"/>
                <wp:docPr id="5" name="文本框 6"/>
                <wp:cNvGraphicFramePr/>
                <a:graphic xmlns:a="http://schemas.openxmlformats.org/drawingml/2006/main">
                  <a:graphicData uri="http://schemas.microsoft.com/office/word/2010/wordprocessingShape">
                    <wps:wsp>
                      <wps:cNvPr id="0" name=""/>
                      <wps:cNvSpPr txBox="1"/>
                      <wps:spPr bwMode="auto">
                        <a:xfrm>
                          <a:off x="0" y="0"/>
                          <a:ext cx="3086100" cy="2247265"/>
                        </a:xfrm>
                        <a:prstGeom prst="rect">
                          <a:avLst/>
                        </a:prstGeom>
                        <a:noFill/>
                        <a:ln>
                          <a:noFill/>
                        </a:ln>
                      </wps:spPr>
                      <wps:txbx>
                        <w:txbxContent>
                          <w:p>
                            <w:pPr>
                              <w:spacing w:line="580" w:lineRule="exact"/>
                              <w:tabs>
                                <w:tab w:val="left" w:pos="-2340" w:leader="none"/>
                              </w:tabs>
                              <w:rPr>
                                <w:rFonts w:hint="eastAsia" w:ascii="仿宋_GB2312" w:hAnsi="宋体" w:eastAsia="仿宋_GB2312"/>
                                <w:b/>
                                <w:sz w:val="28"/>
                                <w:szCs w:val="28"/>
                              </w:rPr>
                            </w:pPr>
                            <w:r>
                              <w:rPr>
                                <w:rFonts w:hint="eastAsia" w:ascii="仿宋_GB2312" w:hAnsi="宋体" w:eastAsia="仿宋_GB2312"/>
                                <w:b/>
                                <w:sz w:val="28"/>
                                <w:szCs w:val="28"/>
                              </w:rPr>
                              <w:t xml:space="preserve">乙方：</w:t>
                            </w: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法定代表：           （签章）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 </w:t>
                            </w:r>
                            <w:r/>
                          </w:p>
                        </w:txbxContent>
                      </wps:txbx>
                      <wps:bodyPr upright="1"/>
                    </wps:wsp>
                  </a:graphicData>
                </a:graphic>
              </wp:anchor>
            </w:drawing>
          </mc:Choice>
          <mc:Fallback>
            <w:pict>
              <v:shape id="shape 4" o:spid="_x0000_s4" o:spt="202" type="#_x0000_t202" style="position:absolute;z-index:251662336;o:allowoverlap:true;o:allowincell:true;mso-position-horizontal-relative:text;margin-left:252.0pt;mso-position-horizontal:absolute;mso-position-vertical-relative:text;margin-top:33.2pt;mso-position-vertical:absolute;width:243.0pt;height:176.9pt;mso-wrap-distance-left:9.0pt;mso-wrap-distance-top:0.0pt;mso-wrap-distance-right:9.0pt;mso-wrap-distance-bottom:0.0pt;visibility:visible;" filled="f" stroked="f">
                <w10:wrap type="square"/>
                <v:textbox inset="0,0,0,0">
                  <w:txbxContent>
                    <w:p>
                      <w:pPr>
                        <w:spacing w:line="580" w:lineRule="exact"/>
                        <w:tabs>
                          <w:tab w:val="left" w:pos="-2340" w:leader="none"/>
                        </w:tabs>
                        <w:rPr>
                          <w:rFonts w:hint="eastAsia" w:ascii="仿宋_GB2312" w:hAnsi="宋体" w:eastAsia="仿宋_GB2312"/>
                          <w:b/>
                          <w:sz w:val="28"/>
                          <w:szCs w:val="28"/>
                        </w:rPr>
                      </w:pPr>
                      <w:r>
                        <w:rPr>
                          <w:rFonts w:hint="eastAsia" w:ascii="仿宋_GB2312" w:hAnsi="宋体" w:eastAsia="仿宋_GB2312"/>
                          <w:b/>
                          <w:sz w:val="28"/>
                          <w:szCs w:val="28"/>
                        </w:rPr>
                        <w:t xml:space="preserve">乙方：</w:t>
                      </w: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法定代表：           （签章）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 </w:t>
                      </w:r>
                      <w:r/>
                    </w:p>
                  </w:txbxContent>
                </v:textbox>
              </v:shape>
            </w:pict>
          </mc:Fallback>
        </mc:AlternateContent>
      </w:r>
      <w:r>
        <w:rPr>
          <w:rFonts w:hint="eastAsia" w:ascii="仿宋_GB2312" w:hAnsi="宋体" w:eastAsia="仿宋_GB2312"/>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114300</wp:posOffset>
                </wp:positionH>
                <wp:positionV relativeFrom="paragraph">
                  <wp:posOffset>421640</wp:posOffset>
                </wp:positionV>
                <wp:extent cx="3086100" cy="2247265"/>
                <wp:effectExtent l="0" t="0" r="0" b="0"/>
                <wp:wrapSquare wrapText="bothSides"/>
                <wp:docPr id="6" name="文本框 7"/>
                <wp:cNvGraphicFramePr/>
                <a:graphic xmlns:a="http://schemas.openxmlformats.org/drawingml/2006/main">
                  <a:graphicData uri="http://schemas.microsoft.com/office/word/2010/wordprocessingShape">
                    <wps:wsp>
                      <wps:cNvPr id="0" name=""/>
                      <wps:cNvSpPr txBox="1"/>
                      <wps:spPr bwMode="auto">
                        <a:xfrm>
                          <a:off x="0" y="0"/>
                          <a:ext cx="3086100" cy="2247265"/>
                        </a:xfrm>
                        <a:prstGeom prst="rect">
                          <a:avLst/>
                        </a:prstGeom>
                        <a:noFill/>
                        <a:ln>
                          <a:noFill/>
                        </a:ln>
                      </wps:spPr>
                      <wps:txbx>
                        <w:txbxContent>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b/>
                                <w:sz w:val="28"/>
                                <w:szCs w:val="28"/>
                              </w:rPr>
                              <w:t xml:space="preserve">甲方： </w:t>
                            </w:r>
                            <w:r>
                              <w:rPr>
                                <w:rFonts w:hint="eastAsia" w:ascii="仿宋_GB2312" w:hAnsi="宋体" w:eastAsia="仿宋_GB2312"/>
                                <w:sz w:val="28"/>
                                <w:szCs w:val="28"/>
                              </w:rPr>
                              <w:t xml:space="preserve"> 南京市人民政府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国有资产监督管理委员会</w:t>
                            </w:r>
                            <w:r/>
                          </w:p>
                          <w:p>
                            <w:pPr>
                              <w:ind w:firstLine="112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   </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w:t>
                            </w:r>
                            <w:r/>
                          </w:p>
                          <w:p>
                            <w:r/>
                            <w:r/>
                          </w:p>
                          <w:p>
                            <w:pPr>
                              <w:ind w:firstLine="281"/>
                              <w:spacing w:line="580" w:lineRule="exact"/>
                              <w:tabs>
                                <w:tab w:val="left" w:pos="-2340" w:leader="none"/>
                              </w:tabs>
                              <w:rPr>
                                <w:rFonts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受</w:t>
                            </w:r>
                            <w:r>
                              <w:rPr>
                                <w:rFonts w:hint="eastAsia" w:ascii="仿宋_GB2312" w:hAnsi="宋体" w:eastAsia="仿宋_GB2312"/>
                                <w:b/>
                                <w:color w:val="000000" w:themeColor="text1"/>
                                <w:sz w:val="30"/>
                                <w:szCs w:val="30"/>
                                <w:highlight w:val="none"/>
                                <w14:textFill>
                                  <w14:solidFill>
                                    <w14:schemeClr w14:val="tx1"/>
                                  </w14:solidFill>
                                </w14:textFill>
                              </w:rPr>
                              <w:t xml:space="preserve">托方：</w:t>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708"/>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1070"/>
                            </w:pPr>
                            <w:r/>
                            <w:r/>
                          </w:p>
                        </w:txbxContent>
                      </wps:txbx>
                      <wps:bodyPr upright="1"/>
                    </wps:wsp>
                  </a:graphicData>
                </a:graphic>
              </wp:anchor>
            </w:drawing>
          </mc:Choice>
          <mc:Fallback>
            <w:pict>
              <v:shape id="shape 5" o:spid="_x0000_s5" o:spt="202" type="#_x0000_t202" style="position:absolute;z-index:251663360;o:allowoverlap:true;o:allowincell:true;mso-position-horizontal-relative:text;margin-left:9.0pt;mso-position-horizontal:absolute;mso-position-vertical-relative:text;margin-top:33.2pt;mso-position-vertical:absolute;width:243.0pt;height:176.9pt;mso-wrap-distance-left:9.0pt;mso-wrap-distance-top:0.0pt;mso-wrap-distance-right:9.0pt;mso-wrap-distance-bottom:0.0pt;visibility:visible;" filled="f" stroked="f">
                <w10:wrap type="square"/>
                <v:textbox inset="0,0,0,0">
                  <w:txbxContent>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b/>
                          <w:sz w:val="28"/>
                          <w:szCs w:val="28"/>
                        </w:rPr>
                        <w:t xml:space="preserve">甲方： </w:t>
                      </w:r>
                      <w:r>
                        <w:rPr>
                          <w:rFonts w:hint="eastAsia" w:ascii="仿宋_GB2312" w:hAnsi="宋体" w:eastAsia="仿宋_GB2312"/>
                          <w:sz w:val="28"/>
                          <w:szCs w:val="28"/>
                        </w:rPr>
                        <w:t xml:space="preserve"> 南京市人民政府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国有资产监督管理委员会</w:t>
                      </w:r>
                      <w:r/>
                    </w:p>
                    <w:p>
                      <w:pPr>
                        <w:ind w:firstLine="112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   </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w:t>
                      </w:r>
                      <w:r/>
                    </w:p>
                    <w:p>
                      <w:r/>
                      <w:r/>
                    </w:p>
                    <w:p>
                      <w:pPr>
                        <w:ind w:firstLine="281"/>
                        <w:spacing w:line="580" w:lineRule="exact"/>
                        <w:tabs>
                          <w:tab w:val="left" w:pos="-2340" w:leader="none"/>
                        </w:tabs>
                        <w:rPr>
                          <w:rFonts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受</w:t>
                      </w:r>
                      <w:r>
                        <w:rPr>
                          <w:rFonts w:hint="eastAsia" w:ascii="仿宋_GB2312" w:hAnsi="宋体" w:eastAsia="仿宋_GB2312"/>
                          <w:b/>
                          <w:color w:val="000000" w:themeColor="text1"/>
                          <w:sz w:val="30"/>
                          <w:szCs w:val="30"/>
                          <w:highlight w:val="none"/>
                          <w14:textFill>
                            <w14:solidFill>
                              <w14:schemeClr w14:val="tx1"/>
                            </w14:solidFill>
                          </w14:textFill>
                        </w:rPr>
                        <w:t xml:space="preserve">托方：</w:t>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708"/>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1070"/>
                      </w:pPr>
                      <w:r/>
                      <w:r/>
                    </w:p>
                  </w:txbxContent>
                </v:textbox>
              </v:shape>
            </w:pict>
          </mc:Fallback>
        </mc:AlternateContent>
      </w:r>
      <w:r>
        <w:rPr>
          <w:rFonts w:hint="eastAsia" w:ascii="仿宋_GB2312" w:hAnsi="宋体" w:eastAsia="仿宋_GB2312"/>
          <w:b/>
          <w:color w:val="000000" w:themeColor="text1"/>
          <w:sz w:val="28"/>
          <w:szCs w:val="28"/>
          <w:highlight w:val="none"/>
          <w14:textFill>
            <w14:solidFill>
              <w14:schemeClr w14:val="tx1"/>
            </w14:solidFill>
          </w14:textFill>
        </w:rPr>
        <w:t xml:space="preserve">委托方：</w:t>
      </w:r>
      <w:r>
        <w:rPr>
          <w:rFonts w:hint="eastAsia" w:ascii="仿宋_GB2312" w:hAnsi="宋体" w:eastAsia="仿宋_GB2312"/>
          <w:color w:val="000000" w:themeColor="text1"/>
          <w:sz w:val="28"/>
          <w:szCs w:val="28"/>
          <w:highlight w:val="none"/>
          <w14:textFill>
            <w14:solidFill>
              <w14:schemeClr w14:val="tx1"/>
            </w14:solidFill>
          </w14:textFill>
        </w:rPr>
        <w:t xml:space="preserve"> </w:t>
      </w:r>
      <w:r/>
    </w:p>
    <w:p>
      <w:pPr>
        <w:spacing w:line="580" w:lineRule="exact"/>
        <w:tabs>
          <w:tab w:val="left" w:pos="-234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丙方：</w:t>
      </w:r>
      <w:r>
        <w:rPr>
          <w:rFonts w:hint="eastAsia" w:ascii="仿宋_GB2312" w:hAnsi="宋体" w:eastAsia="仿宋_GB2312"/>
          <w:color w:val="000000" w:themeColor="text1"/>
          <w:sz w:val="28"/>
          <w:szCs w:val="28"/>
          <w:highlight w:val="none"/>
          <w14:textFill>
            <w14:solidFill>
              <w14:schemeClr w14:val="tx1"/>
            </w14:solidFill>
          </w14:textFill>
        </w:rPr>
        <w:t xml:space="preserve">                 </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                 </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                 （盖章）</w:t>
      </w:r>
      <w:r/>
    </w:p>
    <w:p>
      <w:pPr>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法定代表：           （签章）</w:t>
      </w:r>
      <w:r/>
    </w:p>
    <w:p>
      <w:pPr>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签约日期：    年    月   日 </w:t>
      </w:r>
      <w:r/>
    </w:p>
    <w:p>
      <w:pPr>
        <w:ind w:firstLine="560"/>
        <w:jc w:val="left"/>
        <w:keepLines w:val="0"/>
        <w:keepNext w:val="0"/>
        <w:pageBreakBefore w:val="0"/>
        <w:widowControl/>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ind w:firstLine="560"/>
        <w:jc w:val="left"/>
        <w:keepLines w:val="0"/>
        <w:keepNext w:val="0"/>
        <w:pageBreakBefore w:val="0"/>
        <w:widowControl/>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br w:type="page" w:clear="all"/>
      </w:r>
      <w:r/>
    </w:p>
    <w:p>
      <w:pPr>
        <w:pStyle w:val="661"/>
        <w:jc w:val="center"/>
        <w:rPr>
          <w:rFonts w:asciiTheme="minorEastAsia" w:hAnsiTheme="minorEastAsia" w:eastAsiaTheme="minorEastAsia"/>
          <w:color w:val="000000" w:themeColor="text1"/>
          <w:highlight w:val="none"/>
          <w14:textFill>
            <w14:solidFill>
              <w14:schemeClr w14:val="tx1"/>
            </w14:solidFill>
          </w14:textFill>
        </w:rPr>
      </w:pPr>
      <w:r/>
      <w:bookmarkStart w:id="98" w:name="_Toc19286"/>
      <w:r/>
      <w:bookmarkStart w:id="99" w:name="_Toc93054156"/>
      <w:r>
        <w:rPr>
          <w:rFonts w:asciiTheme="minorEastAsia" w:hAnsiTheme="minorEastAsia" w:eastAsiaTheme="minorEastAsia"/>
          <w:color w:val="000000" w:themeColor="text1"/>
          <w:highlight w:val="none"/>
          <w14:textFill>
            <w14:solidFill>
              <w14:schemeClr w14:val="tx1"/>
            </w14:solidFill>
          </w14:textFill>
        </w:rPr>
        <w:t xml:space="preserve">第六章 投标文件格式及附件</w:t>
      </w:r>
      <w:bookmarkEnd w:id="98"/>
      <w:r/>
      <w:bookmarkEnd w:id="99"/>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szCs w:val="36"/>
          <w:highlight w:val="none"/>
          <w14:textFill>
            <w14:solidFill>
              <w14:schemeClr w14:val="tx1"/>
            </w14:solidFill>
          </w14:textFill>
        </w:rPr>
      </w:pPr>
      <w:r>
        <w:rPr>
          <w:rFonts w:asciiTheme="minorEastAsia" w:hAnsiTheme="minorEastAsia" w:eastAsiaTheme="minorEastAsia"/>
          <w:b/>
          <w:color w:val="000000" w:themeColor="text1"/>
          <w:sz w:val="36"/>
          <w:szCs w:val="36"/>
          <w:highlight w:val="none"/>
          <w14:textFill>
            <w14:solidFill>
              <w14:schemeClr w14:val="tx1"/>
            </w14:solidFill>
          </w14:textFill>
        </w:rPr>
      </w:r>
      <w:r/>
    </w:p>
    <w:p>
      <w:pPr>
        <w:jc w:val="center"/>
        <w:rPr>
          <w:rFonts w:asciiTheme="minorEastAsia" w:hAnsiTheme="minorEastAsia" w:eastAsiaTheme="minorEastAsia"/>
          <w:b/>
          <w:color w:val="000000" w:themeColor="text1"/>
          <w:sz w:val="72"/>
          <w:highlight w:val="none"/>
          <w14:textFill>
            <w14:solidFill>
              <w14:schemeClr w14:val="tx1"/>
            </w14:solidFill>
          </w14:textFill>
        </w:rPr>
      </w:pPr>
      <w:r>
        <w:rPr>
          <w:rFonts w:asciiTheme="minorEastAsia" w:hAnsiTheme="minorEastAsia" w:eastAsiaTheme="minorEastAsia"/>
          <w:b/>
          <w:color w:val="000000" w:themeColor="text1"/>
          <w:sz w:val="72"/>
          <w:highlight w:val="none"/>
          <w14:textFill>
            <w14:solidFill>
              <w14:schemeClr w14:val="tx1"/>
            </w14:solidFill>
          </w14:textFill>
        </w:rPr>
        <w:t xml:space="preserve">投  标  文  件</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编号： </w:t>
      </w:r>
      <w:r/>
    </w:p>
    <w:p>
      <w:pPr>
        <w:ind w:firstLine="1084"/>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名称：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b/>
          <w:color w:val="000000" w:themeColor="text1"/>
          <w:sz w:val="36"/>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36"/>
          <w:highlight w:val="none"/>
          <w:lang w:val="en-US" w:eastAsia="zh-CN"/>
          <w14:textFill>
            <w14:solidFill>
              <w14:schemeClr w14:val="tx1"/>
            </w14:solidFill>
          </w14:textFill>
        </w:rPr>
        <w:t xml:space="preserve">加盖电子公章）</w:t>
      </w:r>
      <w:r/>
    </w:p>
    <w:p>
      <w:pPr>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日      期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jc w:val="center"/>
        <w:widowControl/>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目录</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（注：供应商自行编制投标文件并制作目录）</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16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both"/>
        <w:spacing w:line="360" w:lineRule="auto"/>
        <w:rPr>
          <w:rFonts w:asciiTheme="minorEastAsia" w:hAnsiTheme="minorEastAsia" w:eastAsiaTheme="minorEastAsia"/>
          <w:b/>
          <w:color w:val="000000" w:themeColor="text1"/>
          <w:sz w:val="32"/>
          <w:highlight w:val="none"/>
          <w14:textFill>
            <w14:solidFill>
              <w14:schemeClr w14:val="tx1"/>
            </w14:solidFill>
          </w14:textFill>
        </w:rPr>
      </w:pPr>
      <w:r>
        <w:rPr>
          <w:rFonts w:asciiTheme="minorEastAsia" w:hAnsiTheme="minorEastAsia" w:eastAsiaTheme="minorEastAsia"/>
          <w:b/>
          <w:color w:val="000000" w:themeColor="text1"/>
          <w:sz w:val="32"/>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投标申请及声明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根据贵方</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（项目编号）投标邀请，正式授权下述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(姓名和职务)代表投标人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（投标人名称），提交投标文件。</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据此函，</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供应商</w:t>
      </w:r>
      <w:r>
        <w:rPr>
          <w:rFonts w:asciiTheme="minorEastAsia" w:hAnsiTheme="minorEastAsia" w:eastAsiaTheme="minorEastAsia"/>
          <w:color w:val="000000" w:themeColor="text1"/>
          <w:sz w:val="28"/>
          <w:szCs w:val="24"/>
          <w:highlight w:val="none"/>
          <w14:textFill>
            <w14:solidFill>
              <w14:schemeClr w14:val="tx1"/>
            </w14:solidFill>
          </w14:textFill>
        </w:rPr>
        <w:t xml:space="preserve">兹宣布声明和承诺如下：</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1、</w:t>
      </w:r>
      <w:r>
        <w:rPr>
          <w:rFonts w:asciiTheme="minorEastAsia" w:hAnsiTheme="minorEastAsia" w:eastAsiaTheme="minorEastAsia"/>
          <w:b/>
          <w:color w:val="000000" w:themeColor="text1"/>
          <w:sz w:val="28"/>
          <w:szCs w:val="24"/>
          <w:highlight w:val="none"/>
          <w14:textFill>
            <w14:solidFill>
              <w14:schemeClr w14:val="tx1"/>
            </w14:solidFill>
          </w14:textFill>
        </w:rPr>
        <w:t xml:space="preserve">我们的资格条件完全符合政府采购法和本次招标要求</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2、按招标要求，我们的投标总报价为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（大写）元人民币。其中，小型企业的</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服务</w:t>
      </w:r>
      <w:r>
        <w:rPr>
          <w:rFonts w:asciiTheme="minorEastAsia" w:hAnsiTheme="minorEastAsia" w:eastAsiaTheme="minorEastAsia"/>
          <w:color w:val="000000" w:themeColor="text1"/>
          <w:sz w:val="28"/>
          <w:szCs w:val="24"/>
          <w:highlight w:val="none"/>
          <w14:textFill>
            <w14:solidFill>
              <w14:schemeClr w14:val="tx1"/>
            </w14:solidFill>
          </w14:textFill>
        </w:rPr>
        <w:t xml:space="preserve">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（大写）元人民币。</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3、我们已详细审核全部招标文件及其有效补充文件，我们放弃对招标文件任何误解的权利，提交投标文件后，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highlight w:val="none"/>
          <w14:textFill>
            <w14:solidFill>
              <w14:schemeClr w14:val="tx1"/>
            </w14:solidFill>
          </w14:textFill>
        </w:rPr>
        <w:t xml:space="preserve">不对招标文件本身提出质疑</w:t>
      </w:r>
      <w:r>
        <w:rPr>
          <w:rFonts w:asciiTheme="minorEastAsia" w:hAnsiTheme="minorEastAsia" w:eastAsiaTheme="minorEastAsia"/>
          <w:color w:val="000000" w:themeColor="text1"/>
          <w:sz w:val="28"/>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7</w:t>
      </w:r>
      <w:r>
        <w:rPr>
          <w:rFonts w:asciiTheme="minorEastAsia" w:hAnsiTheme="minorEastAsia" w:eastAsiaTheme="minorEastAsia"/>
          <w:color w:val="000000" w:themeColor="text1"/>
          <w:sz w:val="28"/>
          <w:szCs w:val="24"/>
          <w:highlight w:val="none"/>
          <w14:textFill>
            <w14:solidFill>
              <w14:schemeClr w14:val="tx1"/>
            </w14:solidFill>
          </w14:textFill>
        </w:rPr>
        <w:t xml:space="preserve">、与本投标有关的正式联系方式为：</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地   址：</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电   话：</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传   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开户银行：</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银行账号：</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供应商授权代表姓名：</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加盖电子公章）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月</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日</w:t>
      </w:r>
      <w:r/>
    </w:p>
    <w:p>
      <w:pPr>
        <w:jc w:val="left"/>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目录二、法定代表人授权书格式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法定代表人授权委托书</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pStyle w:val="687"/>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本授权书声明：注册于</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（投标人住址）的</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（投标人名称）法定代表人（法定代表人姓名、职务）代表本公司授权</w:t>
      </w:r>
      <w:r>
        <w:rPr>
          <w:rFonts w:hint="eastAsia" w:asciiTheme="minorEastAsia" w:hAnsiTheme="minorEastAsia" w:eastAsiaTheme="minorEastAsia"/>
          <w:color w:val="000000" w:themeColor="text1"/>
          <w:sz w:val="28"/>
          <w:szCs w:val="24"/>
          <w:highlight w:val="none"/>
          <w:u w:val="single"/>
          <w:lang w:val="en-US" w:eastAsia="zh-CN"/>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（投标人代表姓名、职务）为本公司的合法代理人，就贵方组织的</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（项目编号）投标，以本公司名义处理一切与之有关的事务。</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本授权书于    年  月  日生效，特此声明。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法定代表人：</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授权委托人：                    </w:t>
      </w:r>
      <w:r/>
    </w:p>
    <w:p>
      <w:pPr>
        <w:jc w:val="left"/>
        <w:spacing w:line="360" w:lineRule="auto"/>
        <w:tabs>
          <w:tab w:val="left" w:pos="1440" w:leader="none"/>
        </w:tabs>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（加盖电子公章）</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p>
    <w:p>
      <w:pPr>
        <w:jc w:val="left"/>
        <w:spacing w:line="360" w:lineRule="auto"/>
        <w:tabs>
          <w:tab w:val="left" w:pos="1440" w:leader="none"/>
        </w:tabs>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        年    月    日</w:t>
      </w:r>
      <w:r/>
    </w:p>
    <w:p>
      <w:pPr>
        <w:pStyle w:val="673"/>
        <w:ind w:firstLine="0"/>
        <w:jc w:val="left"/>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法定代表人身份证：</w:t>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w:t>
      </w:r>
      <w:r>
        <w:rPr>
          <w:rFonts w:hint="eastAsia" w:ascii="宋体" w:hAnsi="宋体"/>
          <w:color w:val="000000" w:themeColor="text1"/>
          <w:sz w:val="28"/>
          <w:szCs w:val="28"/>
          <w:highlight w:val="none"/>
          <w:lang w:val="zh-CN"/>
          <w14:textFill>
            <w14:solidFill>
              <w14:schemeClr w14:val="tx1"/>
            </w14:solidFill>
          </w14:textFill>
        </w:rPr>
        <w:t xml:space="preserve">代理人身份证：</w:t>
      </w:r>
      <w:r/>
    </w:p>
    <w:p>
      <w:pPr>
        <w:pStyle w:val="673"/>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673"/>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673"/>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673"/>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outlineLvl w:val="1"/>
      </w:pPr>
      <w:r>
        <w:rPr>
          <w:rFonts w:asciiTheme="minorEastAsia" w:hAnsiTheme="minorEastAsia" w:eastAsiaTheme="minorEastAsia"/>
          <w:b/>
          <w:color w:val="000000" w:themeColor="text1"/>
          <w:sz w:val="24"/>
          <w:szCs w:val="24"/>
          <w:highlight w:val="none"/>
          <w14:textFill>
            <w14:solidFill>
              <w14:schemeClr w14:val="tx1"/>
            </w14:solidFill>
          </w14:textFill>
        </w:rPr>
        <w:br w:type="page" w:clear="all"/>
      </w:r>
      <w:r>
        <w:rPr>
          <w:rFonts w:asciiTheme="minorEastAsia" w:hAnsiTheme="minorEastAsia" w:eastAsiaTheme="minorEastAsia"/>
          <w:b/>
          <w:color w:val="000000" w:themeColor="text1"/>
          <w:sz w:val="28"/>
          <w:szCs w:val="24"/>
          <w:highlight w:val="none"/>
          <w14:textFill>
            <w14:solidFill>
              <w14:schemeClr w14:val="tx1"/>
            </w14:solidFill>
          </w14:textFill>
        </w:rPr>
        <w:t xml:space="preserve">目录三、</w:t>
      </w:r>
      <w:r>
        <w:rPr>
          <w:rFonts w:hint="eastAsia" w:ascii="宋体" w:hAnsi="宋体"/>
          <w:b/>
          <w:bCs/>
          <w:color w:val="000000" w:themeColor="text1"/>
          <w:sz w:val="28"/>
          <w:szCs w:val="24"/>
          <w:highlight w:val="none"/>
          <w:lang w:val="zh-CN"/>
          <w14:textFill>
            <w14:solidFill>
              <w14:schemeClr w14:val="tx1"/>
            </w14:solidFill>
          </w14:textFill>
        </w:rPr>
        <w:t xml:space="preserve">供应商信用承诺函</w:t>
      </w:r>
      <w:r/>
    </w:p>
    <w:p>
      <w:pPr>
        <w:jc w:val="center"/>
        <w:spacing w:line="560" w:lineRule="exact"/>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b/>
          <w:bCs/>
          <w:color w:val="000000" w:themeColor="text1"/>
          <w:sz w:val="28"/>
          <w:szCs w:val="24"/>
          <w:highlight w:val="none"/>
          <w:lang w:val="zh-CN"/>
          <w14:textFill>
            <w14:solidFill>
              <w14:schemeClr w14:val="tx1"/>
            </w14:solidFill>
          </w14:textFill>
        </w:rPr>
        <w:t xml:space="preserve">供应商信用承诺函</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我公司</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（供应商名称）郑重承诺：</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我公司符合下列要求：</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(一)具有独立承担民事责任的能力</w:t>
      </w:r>
      <w:r>
        <w:rPr>
          <w:rFonts w:hint="eastAsia" w:ascii="宋体" w:hAnsi="宋体"/>
          <w:color w:val="000000" w:themeColor="text1"/>
          <w:sz w:val="28"/>
          <w:szCs w:val="28"/>
          <w:highlight w:val="none"/>
          <w14:textFill>
            <w14:solidFill>
              <w14:schemeClr w14:val="tx1"/>
            </w14:solidFill>
          </w14:textFill>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themeColor="text1"/>
          <w:sz w:val="28"/>
          <w:szCs w:val="24"/>
          <w:highlight w:val="none"/>
          <w:lang w:val="zh-CN"/>
          <w14:textFill>
            <w14:solidFill>
              <w14:schemeClr w14:val="tx1"/>
            </w14:solidFill>
          </w14:textFill>
        </w:rPr>
        <w:t xml:space="preserve">；</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(二)具有良好的商业信誉和健全的财务会计制度；</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(三)具有履行合同所必需的设备和专业技术能力；</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(四)有依法缴纳税收和社会保障资金的良好记录；</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(五)参加政府采购活动前三年内，在经营活动中没有重大违法记录。</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如果我公司成交，将在成交结果公示后七个工作日内向</w:t>
      </w:r>
      <w:r>
        <w:rPr>
          <w:rFonts w:hint="eastAsia" w:ascii="宋体" w:hAnsi="宋体"/>
          <w:color w:val="000000" w:themeColor="text1"/>
          <w:sz w:val="28"/>
          <w:szCs w:val="24"/>
          <w:highlight w:val="none"/>
          <w14:textFill>
            <w14:solidFill>
              <w14:schemeClr w14:val="tx1"/>
            </w14:solidFill>
          </w14:textFill>
        </w:rPr>
        <w:t xml:space="preserve">代理机构和采购人</w:t>
      </w:r>
      <w:r>
        <w:rPr>
          <w:rFonts w:hint="eastAsia" w:ascii="宋体" w:hAnsi="宋体"/>
          <w:color w:val="000000" w:themeColor="text1"/>
          <w:sz w:val="28"/>
          <w:szCs w:val="24"/>
          <w:highlight w:val="none"/>
          <w:lang w:val="zh-CN"/>
          <w14:textFill>
            <w14:solidFill>
              <w14:schemeClr w14:val="tx1"/>
            </w14:solidFill>
          </w14:textFill>
        </w:rPr>
        <w:t xml:space="preserve">提供下列材料核验：</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（1）营业执照副本或事业单位法人登记证书；</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60" w:lineRule="exact"/>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w:t>
      </w:r>
      <w:r>
        <w:rPr>
          <w:rFonts w:hint="eastAsia" w:ascii="宋体" w:hAnsi="宋体"/>
          <w:color w:val="000000" w:themeColor="text1"/>
          <w:sz w:val="28"/>
          <w:szCs w:val="24"/>
          <w:highlight w:val="none"/>
          <w:lang w:val="zh-CN"/>
          <w14:textFill>
            <w14:solidFill>
              <w14:schemeClr w14:val="tx1"/>
            </w14:solidFill>
          </w14:textFill>
        </w:rPr>
        <w:t xml:space="preserve">履行合同所必需的设备和专业技术能力证明材料；</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4</w:t>
      </w:r>
      <w:r>
        <w:rPr>
          <w:rFonts w:hint="eastAsia" w:ascii="宋体" w:hAnsi="宋体"/>
          <w:color w:val="000000" w:themeColor="text1"/>
          <w:sz w:val="28"/>
          <w:szCs w:val="24"/>
          <w:highlight w:val="none"/>
          <w:lang w:val="zh-CN"/>
          <w14:textFill>
            <w14:solidFill>
              <w14:schemeClr w14:val="tx1"/>
            </w14:solidFill>
          </w14:textFill>
        </w:rPr>
        <w:t xml:space="preserve">）参加本次政府采购活动前一年内至少一个月依法缴纳税收和社会保障资金的证明材料。</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本公司对上述承诺内容的真实性、合法性、有效性负责，如有虚假，将依法承担相应责任。</w:t>
      </w:r>
      <w:r/>
    </w:p>
    <w:p>
      <w:pPr>
        <w:jc w:val="right"/>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供应商名称：（加盖电子公章）</w:t>
      </w:r>
      <w:r/>
    </w:p>
    <w:p>
      <w:pPr>
        <w:jc w:val="right"/>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日  期：</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br w:type="page" w:clear="all"/>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b/>
          <w:bCs/>
          <w:color w:val="000000" w:themeColor="text1"/>
          <w:sz w:val="28"/>
          <w:szCs w:val="24"/>
          <w:highlight w:val="none"/>
          <w:lang w:val="zh-CN"/>
          <w14:textFill>
            <w14:solidFill>
              <w14:schemeClr w14:val="tx1"/>
            </w14:solidFill>
          </w14:textFill>
        </w:rPr>
        <w:t xml:space="preserve">特定资格要求的证明文件</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   如果本项目申请人的特定资格要求中要求提供的，必须提供。</w:t>
      </w:r>
      <w:r/>
    </w:p>
    <w:p>
      <w:pPr>
        <w:jc w:val="left"/>
        <w:spacing w:line="560" w:lineRule="exact"/>
        <w:widowControl/>
        <w:rPr>
          <w:rFonts w:hint="eastAsia" w:ascii="Arial" w:hAnsi="Arial" w:eastAsia="Arial"/>
          <w:b/>
          <w:color w:val="000000" w:themeColor="text1"/>
          <w:sz w:val="28"/>
          <w:szCs w:val="24"/>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clear="all"/>
      </w:r>
      <w:r/>
    </w:p>
    <w:p>
      <w:pPr>
        <w:jc w:val="left"/>
        <w:spacing w:line="360" w:lineRule="auto"/>
        <w:rPr>
          <w:rFonts w:hint="eastAsia" w:ascii="宋体" w:hAnsi="宋体"/>
          <w:b/>
          <w:color w:val="000000" w:themeColor="text1"/>
          <w:sz w:val="28"/>
          <w:highlight w:val="none"/>
          <w:lang w:val="en-US" w:eastAsia="zh-CN"/>
          <w14:textFill>
            <w14:solidFill>
              <w14:schemeClr w14:val="tx1"/>
            </w14:solidFill>
          </w14:textFill>
        </w:rPr>
        <w:outlineLvl w:val="1"/>
      </w:pPr>
      <w:r>
        <w:rPr>
          <w:rFonts w:hint="eastAsia" w:ascii="宋体" w:hAnsi="宋体"/>
          <w:b/>
          <w:color w:val="000000" w:themeColor="text1"/>
          <w:sz w:val="28"/>
          <w:highlight w:val="none"/>
          <w:lang w:val="en-US" w:eastAsia="zh-CN"/>
          <w14:textFill>
            <w14:solidFill>
              <w14:schemeClr w14:val="tx1"/>
            </w14:solidFill>
          </w14:textFill>
        </w:rPr>
        <w:t xml:space="preserve">目录四、南京市政府采购供应商信用承诺书</w:t>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rFonts w:eastAsia="Arial"/>
          <w:color w:val="000000" w:themeColor="text1"/>
          <w:highlight w:val="none"/>
          <w14:textFill>
            <w14:solidFill>
              <w14:schemeClr w14:val="tx1"/>
            </w14:solidFill>
          </w14:textFill>
        </w:rPr>
      </w:pPr>
      <w:r>
        <w:rPr>
          <w:rFonts w:eastAsia="Arial"/>
          <w:color w:val="000000" w:themeColor="text1"/>
          <w:highlight w:val="none"/>
          <w14:textFill>
            <w14:solidFill>
              <w14:schemeClr w14:val="tx1"/>
            </w14:solidFill>
          </w14:textFill>
        </w:rPr>
      </w:r>
      <w:r/>
    </w:p>
    <w:tbl>
      <w:tblPr>
        <w:tblStyle w:val="71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widowControl w:val="off"/>
              <w:tabs>
                <w:tab w:val="left" w:pos="2520" w:leader="none"/>
              </w:tabs>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   单位名称</w:t>
            </w:r>
            <w:r/>
          </w:p>
        </w:tc>
        <w:tc>
          <w:tcPr>
            <w:tcW w:w="2284"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ascii="Calibri" w:hAnsi="Calibri" w:eastAsia="Arial" w:cs="宋体"/>
                <w:color w:val="000000" w:themeColor="text1"/>
                <w:sz w:val="24"/>
                <w:szCs w:val="32"/>
                <w:highlight w:val="none"/>
                <w:lang w:val="en-US" w:eastAsia="zh-CN" w:bidi="ar-SA"/>
                <w14:textFill>
                  <w14:solidFill>
                    <w14:schemeClr w14:val="tx1"/>
                  </w14:solidFill>
                </w14:textFill>
              </w:rPr>
            </w:r>
            <w:r/>
          </w:p>
        </w:tc>
        <w:tc>
          <w:tcPr>
            <w:tcW w:w="1833"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统一社会信用代码</w:t>
            </w:r>
            <w:r/>
          </w:p>
        </w:tc>
        <w:tc>
          <w:tcPr>
            <w:tcW w:w="3331" w:type="dxa"/>
            <w:vAlign w:val="center"/>
            <w:textDirection w:val="lrTb"/>
            <w:noWrap w:val="false"/>
          </w:tcPr>
          <w:p>
            <w:pPr>
              <w:ind w:right="-678"/>
              <w:jc w:val="center"/>
              <w:widowControl w:val="off"/>
              <w:tabs>
                <w:tab w:val="left" w:pos="2320" w:leader="none"/>
              </w:tabs>
              <w:rPr>
                <w:rFonts w:ascii="Calibri" w:hAnsi="Calibri" w:eastAsia="Arial" w:cs="宋体"/>
                <w:color w:val="000000" w:themeColor="text1"/>
                <w:sz w:val="21"/>
                <w:szCs w:val="22"/>
                <w:highlight w:val="none"/>
                <w:lang w:val="en-US" w:eastAsia="zh-CN" w:bidi="ar-SA"/>
                <w14:textFill>
                  <w14:solidFill>
                    <w14:schemeClr w14:val="tx1"/>
                  </w14:solidFill>
                </w14:textFill>
              </w:rPr>
            </w:pPr>
            <w:r>
              <w:rPr>
                <w:rFonts w:ascii="Calibri" w:hAnsi="Calibri" w:eastAsia="Arial" w:cs="宋体"/>
                <w:color w:val="000000" w:themeColor="text1"/>
                <w:sz w:val="21"/>
                <w:szCs w:val="22"/>
                <w:highlight w:val="none"/>
                <w:lang w:val="en-US" w:eastAsia="zh-CN" w:bidi="ar-SA"/>
                <w14:textFill>
                  <w14:solidFill>
                    <w14:schemeClr w14:val="tx1"/>
                  </w14:solidFill>
                </w14:textFill>
              </w:rPr>
            </w:r>
            <w:r/>
          </w:p>
        </w:tc>
      </w:tr>
      <w:tr>
        <w:trPr>
          <w:trHeight w:val="567"/>
        </w:trPr>
        <w:tc>
          <w:tcPr>
            <w:tcW w:w="2148"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法定代表人</w:t>
            </w:r>
            <w:r/>
          </w:p>
        </w:tc>
        <w:tc>
          <w:tcPr>
            <w:tcW w:w="2284"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ascii="Calibri" w:hAnsi="Calibri" w:eastAsia="Arial" w:cs="宋体"/>
                <w:color w:val="000000" w:themeColor="text1"/>
                <w:sz w:val="24"/>
                <w:szCs w:val="32"/>
                <w:highlight w:val="none"/>
                <w:lang w:val="en-US" w:eastAsia="zh-CN" w:bidi="ar-SA"/>
                <w14:textFill>
                  <w14:solidFill>
                    <w14:schemeClr w14:val="tx1"/>
                  </w14:solidFill>
                </w14:textFill>
              </w:rPr>
            </w:r>
            <w:r/>
          </w:p>
        </w:tc>
        <w:tc>
          <w:tcPr>
            <w:tcW w:w="1833"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联系人</w:t>
            </w:r>
            <w:r/>
          </w:p>
        </w:tc>
        <w:tc>
          <w:tcPr>
            <w:tcW w:w="3331" w:type="dxa"/>
            <w:vAlign w:val="center"/>
            <w:textDirection w:val="lrTb"/>
            <w:noWrap w:val="false"/>
          </w:tcPr>
          <w:p>
            <w:pPr>
              <w:jc w:val="center"/>
              <w:widowControl w:val="off"/>
              <w:rPr>
                <w:rFonts w:ascii="Calibri" w:hAnsi="Calibri" w:eastAsia="Arial" w:cs="宋体"/>
                <w:color w:val="000000" w:themeColor="text1"/>
                <w:sz w:val="21"/>
                <w:szCs w:val="22"/>
                <w:highlight w:val="none"/>
                <w:lang w:val="en-US" w:eastAsia="zh-CN" w:bidi="ar-SA"/>
                <w14:textFill>
                  <w14:solidFill>
                    <w14:schemeClr w14:val="tx1"/>
                  </w14:solidFill>
                </w14:textFill>
              </w:rPr>
            </w:pPr>
            <w:r>
              <w:rPr>
                <w:rFonts w:ascii="Calibri" w:hAnsi="Calibri" w:eastAsia="Arial" w:cs="宋体"/>
                <w:color w:val="000000" w:themeColor="text1"/>
                <w:sz w:val="21"/>
                <w:szCs w:val="22"/>
                <w:highlight w:val="none"/>
                <w:lang w:val="en-US" w:eastAsia="zh-CN" w:bidi="ar-SA"/>
                <w14:textFill>
                  <w14:solidFill>
                    <w14:schemeClr w14:val="tx1"/>
                  </w14:solidFill>
                </w14:textFill>
              </w:rPr>
            </w:r>
            <w:r/>
          </w:p>
        </w:tc>
      </w:tr>
      <w:tr>
        <w:trPr>
          <w:trHeight w:val="567"/>
        </w:trPr>
        <w:tc>
          <w:tcPr>
            <w:tcW w:w="2148"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联系地址</w:t>
            </w:r>
            <w:r/>
          </w:p>
        </w:tc>
        <w:tc>
          <w:tcPr>
            <w:tcW w:w="2284"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ascii="Calibri" w:hAnsi="Calibri" w:eastAsia="Arial" w:cs="宋体"/>
                <w:color w:val="000000" w:themeColor="text1"/>
                <w:sz w:val="24"/>
                <w:szCs w:val="32"/>
                <w:highlight w:val="none"/>
                <w:lang w:val="en-US" w:eastAsia="zh-CN" w:bidi="ar-SA"/>
                <w14:textFill>
                  <w14:solidFill>
                    <w14:schemeClr w14:val="tx1"/>
                  </w14:solidFill>
                </w14:textFill>
              </w:rPr>
            </w:r>
            <w:r/>
          </w:p>
        </w:tc>
        <w:tc>
          <w:tcPr>
            <w:tcW w:w="1833"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联系电话</w:t>
            </w:r>
            <w:r/>
          </w:p>
        </w:tc>
        <w:tc>
          <w:tcPr>
            <w:tcW w:w="3331" w:type="dxa"/>
            <w:vAlign w:val="center"/>
            <w:textDirection w:val="lrTb"/>
            <w:noWrap w:val="false"/>
          </w:tcPr>
          <w:p>
            <w:pPr>
              <w:jc w:val="center"/>
              <w:widowControl w:val="off"/>
              <w:rPr>
                <w:rFonts w:ascii="Calibri" w:hAnsi="Calibri" w:eastAsia="Arial" w:cs="宋体"/>
                <w:color w:val="000000" w:themeColor="text1"/>
                <w:sz w:val="21"/>
                <w:szCs w:val="22"/>
                <w:highlight w:val="none"/>
                <w:lang w:val="en-US" w:eastAsia="zh-CN" w:bidi="ar-SA"/>
                <w14:textFill>
                  <w14:solidFill>
                    <w14:schemeClr w14:val="tx1"/>
                  </w14:solidFill>
                </w14:textFill>
              </w:rPr>
            </w:pPr>
            <w:r>
              <w:rPr>
                <w:rFonts w:ascii="Calibri" w:hAnsi="Calibri" w:eastAsia="Arial" w:cs="宋体"/>
                <w:color w:val="000000" w:themeColor="text1"/>
                <w:sz w:val="21"/>
                <w:szCs w:val="22"/>
                <w:highlight w:val="none"/>
                <w:lang w:val="en-US" w:eastAsia="zh-CN" w:bidi="ar-SA"/>
                <w14:textFill>
                  <w14:solidFill>
                    <w14:schemeClr w14:val="tx1"/>
                  </w14:solidFill>
                </w14:textFill>
              </w:rPr>
            </w:r>
            <w:r/>
          </w:p>
        </w:tc>
      </w:tr>
      <w:tr>
        <w:trPr>
          <w:trHeight w:val="5560"/>
        </w:trPr>
        <w:tc>
          <w:tcPr>
            <w:tcW w:w="2148" w:type="dxa"/>
            <w:vAlign w:val="center"/>
            <w:textDirection w:val="lrTb"/>
            <w:noWrap w:val="false"/>
          </w:tcPr>
          <w:p>
            <w:pPr>
              <w:jc w:val="center"/>
              <w:widowControl w:val="off"/>
              <w:rPr>
                <w:rFonts w:ascii="Calibri" w:hAnsi="Calibri" w:eastAsia="宋体"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信用承诺</w:t>
            </w:r>
            <w:r/>
          </w:p>
        </w:tc>
        <w:tc>
          <w:tcPr>
            <w:gridSpan w:val="3"/>
            <w:tcW w:w="7448" w:type="dxa"/>
            <w:vAlign w:val="center"/>
            <w:textDirection w:val="lrTb"/>
            <w:noWrap w:val="false"/>
          </w:tcPr>
          <w:p>
            <w:pPr>
              <w:ind w:firstLine="420"/>
              <w:jc w:val="both"/>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我公司自愿参加贵中心</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公司</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二</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条规定的条件，包括</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具有独立承担民事责任的能力</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具有良好的商业信誉和健全的财务会计制度</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有履行合同所必需的设备和专业技术能力</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有依法缴纳税收和社会保障资金的良好记录</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参加政府采购活动前三年内，在经营活动中没有重大违法记录</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符合法律、行政法规和采购文件规定的其他条件</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p>
          <w:p>
            <w:pPr>
              <w:ind w:firstLine="420"/>
              <w:jc w:val="both"/>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ascii="Calibri" w:hAnsi="Calibri" w:eastAsia="宋体" w:cs="宋体"/>
                <w:color w:val="000000" w:themeColor="text1"/>
                <w:sz w:val="21"/>
                <w:szCs w:val="22"/>
                <w:highlight w:val="none"/>
                <w:lang w:val="en-US" w:eastAsia="zh-CN" w:bidi="ar-SA"/>
                <w14:textFill>
                  <w14:solidFill>
                    <w14:schemeClr w14:val="tx1"/>
                  </w14:solidFill>
                </w14:textFill>
              </w:rPr>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供应商名称（盖章）：</w:t>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ascii="Calibri" w:hAnsi="Calibri" w:eastAsia="宋体" w:cs="宋体"/>
                <w:color w:val="000000" w:themeColor="text1"/>
                <w:sz w:val="21"/>
                <w:szCs w:val="22"/>
                <w:highlight w:val="none"/>
                <w:lang w:val="en-US" w:eastAsia="zh-CN" w:bidi="ar-SA"/>
                <w14:textFill>
                  <w14:solidFill>
                    <w14:schemeClr w14:val="tx1"/>
                  </w14:solidFill>
                </w14:textFill>
              </w:rPr>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法定代表人（签字</w:t>
            </w:r>
            <w:r>
              <w:rPr>
                <w:rFonts w:hint="eastAsia" w:cs="宋体"/>
                <w:color w:val="000000" w:themeColor="text1"/>
                <w:sz w:val="21"/>
                <w:szCs w:val="22"/>
                <w:highlight w:val="none"/>
                <w:lang w:val="en-US" w:eastAsia="zh-CN" w:bidi="ar-SA"/>
                <w14:textFill>
                  <w14:solidFill>
                    <w14:schemeClr w14:val="tx1"/>
                  </w14:solidFill>
                </w14:textFill>
              </w:rPr>
              <w:t xml:space="preserve">/盖章</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cs="宋体"/>
                <w:color w:val="000000" w:themeColor="text1"/>
                <w:sz w:val="21"/>
                <w:szCs w:val="22"/>
                <w:highlight w:val="none"/>
                <w:lang w:val="en-US" w:eastAsia="zh-CN" w:bidi="ar-SA"/>
                <w14:textFill>
                  <w14:solidFill>
                    <w14:schemeClr w14:val="tx1"/>
                  </w14:solidFill>
                </w14:textFill>
              </w:rPr>
              <w:t xml:space="preserve">/负责人</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（签字</w:t>
            </w:r>
            <w:r>
              <w:rPr>
                <w:rFonts w:hint="eastAsia" w:cs="宋体"/>
                <w:color w:val="000000" w:themeColor="text1"/>
                <w:sz w:val="21"/>
                <w:szCs w:val="22"/>
                <w:highlight w:val="none"/>
                <w:lang w:val="en-US" w:eastAsia="zh-CN" w:bidi="ar-SA"/>
                <w14:textFill>
                  <w14:solidFill>
                    <w14:schemeClr w14:val="tx1"/>
                  </w14:solidFill>
                </w14:textFill>
              </w:rPr>
              <w:t xml:space="preserve">/盖章</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ascii="Calibri" w:hAnsi="Calibri" w:eastAsia="宋体" w:cs="宋体"/>
                <w:color w:val="000000" w:themeColor="text1"/>
                <w:sz w:val="21"/>
                <w:szCs w:val="22"/>
                <w:highlight w:val="none"/>
                <w:lang w:val="en-US" w:eastAsia="zh-CN" w:bidi="ar-SA"/>
                <w14:textFill>
                  <w14:solidFill>
                    <w14:schemeClr w14:val="tx1"/>
                  </w14:solidFill>
                </w14:textFill>
              </w:rPr>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XXXX年XX月XX日</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目录四</w:t>
      </w:r>
      <w:r>
        <w:rPr>
          <w:rFonts w:hint="eastAsia" w:ascii="宋体" w:hAnsi="宋体"/>
          <w:b/>
          <w:color w:val="000000" w:themeColor="text1"/>
          <w:sz w:val="28"/>
          <w:highlight w:val="none"/>
          <w14:textFill>
            <w14:solidFill>
              <w14:schemeClr w14:val="tx1"/>
            </w14:solidFill>
          </w14:textFill>
        </w:rPr>
        <w:t xml:space="preserve">、</w:t>
      </w:r>
      <w:r>
        <w:rPr>
          <w:rFonts w:ascii="宋体" w:hAnsi="宋体"/>
          <w:b/>
          <w:color w:val="000000" w:themeColor="text1"/>
          <w:sz w:val="28"/>
          <w:highlight w:val="none"/>
          <w14:textFill>
            <w14:solidFill>
              <w14:schemeClr w14:val="tx1"/>
            </w14:solidFill>
          </w14:textFill>
        </w:rPr>
        <w:t xml:space="preserve">开标一览表</w:t>
      </w:r>
      <w:r/>
    </w:p>
    <w:p>
      <w:pPr>
        <w:ind w:firstLine="0"/>
        <w:jc w:val="center"/>
        <w:keepLines w:val="0"/>
        <w:keepNext w:val="0"/>
        <w:pageBreakBefore w:val="0"/>
        <w:spacing w:line="48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投标人</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称：（加盖电子</w:t>
      </w:r>
      <w:r>
        <w:rPr>
          <w:rFonts w:hint="eastAsia" w:ascii="宋体" w:hAnsi="宋体"/>
          <w:color w:val="000000" w:themeColor="text1"/>
          <w:sz w:val="28"/>
          <w:szCs w:val="28"/>
          <w:highlight w:val="none"/>
          <w:lang w:val="en-US" w:eastAsia="zh-CN"/>
          <w14:textFill>
            <w14:solidFill>
              <w14:schemeClr w14:val="tx1"/>
            </w14:solidFill>
          </w14:textFill>
        </w:rPr>
        <w:t xml:space="preserve">公</w:t>
      </w:r>
      <w:r>
        <w:rPr>
          <w:rFonts w:hint="eastAsia" w:ascii="宋体" w:hAnsi="宋体"/>
          <w:color w:val="000000" w:themeColor="text1"/>
          <w:sz w:val="28"/>
          <w:szCs w:val="28"/>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项目</w:t>
      </w:r>
      <w:r>
        <w:rPr>
          <w:rFonts w:hint="eastAsia" w:ascii="宋体" w:hAnsi="宋体"/>
          <w:color w:val="000000" w:themeColor="text1"/>
          <w:sz w:val="28"/>
          <w:szCs w:val="28"/>
          <w:highlight w:val="none"/>
          <w14:textFill>
            <w14:solidFill>
              <w14:schemeClr w14:val="tx1"/>
            </w14:solidFill>
          </w14:textFill>
        </w:rPr>
        <w:t xml:space="preserve">编号：                                   分包号：</w:t>
      </w:r>
      <w:r/>
    </w:p>
    <w:tbl>
      <w:tblPr>
        <w:tblStyle w:val="67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80"/>
        </w:trPr>
        <w:tc>
          <w:tcPr>
            <w:tcW w:w="9748" w:type="dxa"/>
            <w:vAlign w:val="center"/>
            <w:textDirection w:val="lrTb"/>
            <w:noWrap w:val="false"/>
          </w:tcPr>
          <w:p>
            <w:pPr>
              <w:pStyle w:val="1069"/>
              <w:ind w:firstLine="0"/>
              <w:keepLines w:val="0"/>
              <w:keepNext w:val="0"/>
              <w:pageBreakBefore w:val="0"/>
              <w:spacing w:before="0" w:after="0" w:line="48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ind w:firstLine="728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日</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672"/>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说明：“投标总报价”应包括为完成整个项目（2年）所产生的所有费用。</w:t>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672"/>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6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目录五、分项报价表</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分项报价表</w:t>
      </w:r>
      <w:r/>
    </w:p>
    <w:tbl>
      <w:tblPr>
        <w:tblStyle w:val="6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3263"/>
        <w:gridCol w:w="2410"/>
        <w:gridCol w:w="2358"/>
      </w:tblGrid>
      <w:tr>
        <w:trPr>
          <w:jc w:val="center"/>
          <w:trHeight w:val="1081"/>
        </w:trPr>
        <w:tc>
          <w:tcPr>
            <w:gridSpan w:val="4"/>
            <w:tcW w:w="5000" w:type="pct"/>
            <w:vAlign w:val="center"/>
            <w:textDirection w:val="lrTb"/>
            <w:noWrap w:val="false"/>
          </w:tcPr>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项目名称：</w:t>
            </w:r>
            <w:r/>
          </w:p>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项目编号：</w:t>
            </w:r>
            <w:r/>
          </w:p>
          <w:p>
            <w:pPr>
              <w:jc w:val="left"/>
              <w:widowControl/>
              <w:rPr>
                <w:rFonts w:hint="eastAsia"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分包号：</w:t>
            </w:r>
            <w:r/>
          </w:p>
        </w:tc>
      </w:tr>
      <w:tr>
        <w:trPr>
          <w:jc w:val="center"/>
          <w:trHeight w:val="831"/>
        </w:trPr>
        <w:tc>
          <w:tcPr>
            <w:tcW w:w="67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1756"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集团名称</w:t>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单价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/年</w:t>
            </w:r>
            <w:r>
              <w:rPr>
                <w:rFonts w:hint="eastAsia" w:ascii="宋体" w:hAnsi="宋体"/>
                <w:color w:val="000000" w:themeColor="text1"/>
                <w:sz w:val="24"/>
                <w:szCs w:val="24"/>
                <w:highlight w:val="none"/>
                <w14:textFill>
                  <w14:solidFill>
                    <w14:schemeClr w14:val="tx1"/>
                  </w14:solidFill>
                </w14:textFill>
              </w:rPr>
              <w:t xml:space="preserve">）</w:t>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总价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/两年</w:t>
            </w:r>
            <w:r>
              <w:rPr>
                <w:rFonts w:hint="eastAsia" w:ascii="宋体" w:hAnsi="宋体"/>
                <w:color w:val="000000" w:themeColor="text1"/>
                <w:sz w:val="24"/>
                <w:szCs w:val="24"/>
                <w:highlight w:val="none"/>
                <w14:textFill>
                  <w14:solidFill>
                    <w14:schemeClr w14:val="tx1"/>
                  </w14:solidFill>
                </w14:textFill>
              </w:rPr>
              <w:t xml:space="preserve">）</w:t>
            </w:r>
            <w:r/>
          </w:p>
        </w:tc>
      </w:tr>
      <w:tr>
        <w:trPr>
          <w:jc w:val="center"/>
          <w:trHeight w:val="211"/>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5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Height w:val="437"/>
        </w:trPr>
        <w:tc>
          <w:tcPr>
            <w:gridSpan w:val="2"/>
            <w:tcW w:w="2433"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投标总报价（人民币，大写）</w:t>
            </w:r>
            <w:r/>
          </w:p>
        </w:tc>
        <w:tc>
          <w:tcPr>
            <w:gridSpan w:val="2"/>
            <w:tcW w:w="256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两年                 </w:t>
            </w:r>
            <w:r>
              <w:rPr>
                <w:rFonts w:hint="eastAsia" w:ascii="宋体" w:hAnsi="宋体"/>
                <w:color w:val="000000" w:themeColor="text1"/>
                <w:sz w:val="24"/>
                <w:szCs w:val="24"/>
                <w:highlight w:val="none"/>
                <w14:textFill>
                  <w14:solidFill>
                    <w14:schemeClr w14:val="tx1"/>
                  </w14:solidFill>
                </w14:textFill>
              </w:rPr>
              <w:t xml:space="preserve">元</w:t>
            </w:r>
            <w:r/>
          </w:p>
        </w:tc>
      </w:tr>
    </w:tbl>
    <w:p>
      <w:pPr>
        <w:jc w:val="left"/>
        <w:spacing w:line="360" w:lineRule="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供应商名称：（加盖电子</w:t>
      </w:r>
      <w:r>
        <w:rPr>
          <w:rFonts w:hint="eastAsia" w:ascii="宋体" w:hAnsi="宋体" w:eastAsia="宋体" w:cs="宋体"/>
          <w:color w:val="000000" w:themeColor="text1"/>
          <w:sz w:val="28"/>
          <w:highlight w:val="none"/>
          <w:lang w:val="en-US" w:eastAsia="zh-CN"/>
          <w14:textFill>
            <w14:solidFill>
              <w14:schemeClr w14:val="tx1"/>
            </w14:solidFill>
          </w14:textFill>
        </w:rPr>
        <w:t xml:space="preserve">公</w:t>
      </w:r>
      <w:r>
        <w:rPr>
          <w:rFonts w:hint="eastAsia" w:ascii="宋体" w:hAnsi="宋体" w:eastAsia="宋体" w:cs="宋体"/>
          <w:color w:val="000000" w:themeColor="text1"/>
          <w:sz w:val="28"/>
          <w:highlight w:val="none"/>
          <w14:textFill>
            <w14:solidFill>
              <w14:schemeClr w14:val="tx1"/>
            </w14:solidFill>
          </w14:textFill>
        </w:rPr>
        <w:t xml:space="preserve">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240" w:lineRule="auto"/>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1.“投标总报价”应包括为完成整个项目所产生的所有费用，招标文件另有规定的除外。</w:t>
      </w:r>
      <w:r/>
    </w:p>
    <w:p>
      <w:pPr>
        <w:jc w:val="left"/>
        <w:spacing w:line="240" w:lineRule="auto"/>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2.《投标分项报价表》中“投标总报价”应当与《开标一览表》中“投标总报价”一致。</w:t>
      </w:r>
      <w:r/>
    </w:p>
    <w:p>
      <w:pPr>
        <w:jc w:val="left"/>
        <w:spacing w:line="240" w:lineRule="auto"/>
        <w:rPr>
          <w:rFonts w:hint="eastAsia"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3.若分包项下包含两家集团主体，分项报价内容应分别填报各集团独立报价。以分包1举例，填写如下（报价自行调整）</w:t>
      </w:r>
      <w:r/>
    </w:p>
    <w:tbl>
      <w:tblPr>
        <w:tblStyle w:val="6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3263"/>
        <w:gridCol w:w="2410"/>
        <w:gridCol w:w="2358"/>
      </w:tblGrid>
      <w:tr>
        <w:trPr>
          <w:jc w:val="center"/>
          <w:trHeight w:val="1081"/>
        </w:trPr>
        <w:tc>
          <w:tcPr>
            <w:gridSpan w:val="4"/>
            <w:tcW w:w="5000" w:type="pct"/>
            <w:vAlign w:val="center"/>
            <w:textDirection w:val="lrTb"/>
            <w:noWrap w:val="false"/>
          </w:tcPr>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项目名称：2026-2027年度市国资委监管企业财务决算年报审计中介机构选聘</w:t>
            </w:r>
            <w:r/>
          </w:p>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项目编号：</w:t>
            </w:r>
            <w:r>
              <w:rPr>
                <w:rFonts w:hint="eastAsia" w:ascii="宋体" w:hAnsi="宋体" w:cs="宋体"/>
                <w:color w:val="000000" w:themeColor="text1"/>
                <w:sz w:val="24"/>
                <w:szCs w:val="24"/>
                <w:highlight w:val="none"/>
                <w:lang w:val="zh-CN" w:eastAsia="zh-CN"/>
                <w14:textFill>
                  <w14:solidFill>
                    <w14:schemeClr w14:val="tx1"/>
                  </w14:solidFill>
                </w14:textFill>
              </w:rPr>
              <w:t xml:space="preserve">JSZC-320100-JSDY-G2026-0024</w:t>
            </w:r>
            <w:r/>
          </w:p>
          <w:p>
            <w:pPr>
              <w:jc w:val="left"/>
              <w:widowControl/>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分包号：1</w:t>
            </w:r>
            <w:r/>
          </w:p>
        </w:tc>
      </w:tr>
      <w:tr>
        <w:trPr>
          <w:jc w:val="center"/>
          <w:trHeight w:val="831"/>
        </w:trPr>
        <w:tc>
          <w:tcPr>
            <w:tcW w:w="67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1756"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集团名称</w:t>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单价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/年</w:t>
            </w:r>
            <w:r>
              <w:rPr>
                <w:rFonts w:hint="eastAsia" w:ascii="宋体" w:hAnsi="宋体"/>
                <w:color w:val="000000" w:themeColor="text1"/>
                <w:sz w:val="24"/>
                <w:szCs w:val="24"/>
                <w:highlight w:val="none"/>
                <w14:textFill>
                  <w14:solidFill>
                    <w14:schemeClr w14:val="tx1"/>
                  </w14:solidFill>
                </w14:textFill>
              </w:rPr>
              <w:t xml:space="preserve">）</w:t>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总价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/两年</w:t>
            </w:r>
            <w:r>
              <w:rPr>
                <w:rFonts w:hint="eastAsia" w:ascii="宋体" w:hAnsi="宋体"/>
                <w:color w:val="000000" w:themeColor="text1"/>
                <w:sz w:val="24"/>
                <w:szCs w:val="24"/>
                <w:highlight w:val="none"/>
                <w14:textFill>
                  <w14:solidFill>
                    <w14:schemeClr w14:val="tx1"/>
                  </w14:solidFill>
                </w14:textFill>
              </w:rPr>
              <w:t xml:space="preserve">）</w:t>
            </w:r>
            <w:r/>
          </w:p>
        </w:tc>
      </w:tr>
      <w:tr>
        <w:trPr>
          <w:jc w:val="center"/>
          <w:trHeight w:val="211"/>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5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南京市城市建设投资控股（集团）有限责任公司</w:t>
            </w:r>
            <w:r/>
          </w:p>
        </w:tc>
        <w:tc>
          <w:tcPr>
            <w:tcW w:w="1297"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136.5</w:t>
            </w:r>
            <w:r/>
          </w:p>
        </w:tc>
        <w:tc>
          <w:tcPr>
            <w:tcW w:w="1269"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273</w:t>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南京水务集团有限公司</w:t>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32</w:t>
            </w:r>
            <w:r/>
          </w:p>
        </w:tc>
        <w:tc>
          <w:tcPr>
            <w:tcW w:w="1269"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p>
        </w:tc>
      </w:tr>
      <w:tr>
        <w:trPr>
          <w:jc w:val="center"/>
          <w:trHeight w:val="437"/>
        </w:trPr>
        <w:tc>
          <w:tcPr>
            <w:gridSpan w:val="2"/>
            <w:tcW w:w="2433"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总价（人民币，大写）</w:t>
            </w:r>
            <w:r/>
          </w:p>
        </w:tc>
        <w:tc>
          <w:tcPr>
            <w:gridSpan w:val="2"/>
            <w:tcW w:w="256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两年叁佰叁拾柒万元整</w:t>
            </w:r>
            <w:r/>
          </w:p>
        </w:tc>
      </w:tr>
    </w:tbl>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目录六、</w:t>
      </w:r>
      <w:r>
        <w:rPr>
          <w:rFonts w:hint="eastAsia" w:ascii="宋体" w:hAnsi="宋体"/>
          <w:b/>
          <w:color w:val="000000" w:themeColor="text1"/>
          <w:sz w:val="28"/>
          <w:highlight w:val="none"/>
          <w:lang w:val="en-US" w:eastAsia="zh-CN"/>
          <w14:textFill>
            <w14:solidFill>
              <w14:schemeClr w14:val="tx1"/>
            </w14:solidFill>
          </w14:textFill>
        </w:rPr>
        <w:t xml:space="preserve">技术要求响应及偏离表</w:t>
      </w:r>
      <w:r/>
    </w:p>
    <w:p>
      <w:pPr>
        <w:jc w:val="center"/>
        <w:widowControl w:val="off"/>
        <w:rPr>
          <w:rFonts w:hint="eastAsia" w:ascii="宋体" w:hAnsi="宋体" w:eastAsia="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olor w:val="000000" w:themeColor="text1"/>
          <w:sz w:val="28"/>
          <w:szCs w:val="28"/>
          <w:highlight w:val="none"/>
          <w:lang w:val="en-US" w:eastAsia="zh-CN" w:bidi="ar-SA"/>
          <w14:textFill>
            <w14:solidFill>
              <w14:schemeClr w14:val="tx1"/>
            </w14:solidFill>
          </w14:textFill>
        </w:rPr>
        <w:t xml:space="preserve">技术要求响应及偏离表</w:t>
      </w:r>
      <w:r/>
    </w:p>
    <w:tbl>
      <w:tblPr>
        <w:tblStyle w:val="6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757"/>
        <w:gridCol w:w="2669"/>
        <w:gridCol w:w="3154"/>
      </w:tblGrid>
      <w:tr>
        <w:trPr>
          <w:cantSplit/>
        </w:trPr>
        <w:tc>
          <w:tcPr>
            <w:tcW w:w="379"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84"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068"/>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1.供应商须对招标文件技术要求中的实质性要求（斜体下划线内容或打“★”内容）及其他要求做出明确响应，否则视为无效投标。</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七</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商务要求响应及偏离表</w:t>
      </w:r>
      <w:r/>
    </w:p>
    <w:p>
      <w:pPr>
        <w:jc w:val="center"/>
        <w:keepLines w:val="0"/>
        <w:keepNext w:val="0"/>
        <w:pageBreakBefore w:val="0"/>
        <w:spacing w:line="360" w:lineRule="auto"/>
        <w:rPr>
          <w:rFonts w:hint="eastAsia" w:ascii="宋体" w:hAnsi="Calibri" w:eastAsia="宋体" w:cs="宋体"/>
          <w:color w:val="000000" w:themeColor="text1"/>
          <w:sz w:val="28"/>
          <w:szCs w:val="22"/>
          <w:highlight w:val="none"/>
          <w:lang w:val="en-US" w:eastAsia="zh-CN" w:bidi="ar-SA"/>
          <w14:textFill>
            <w14:solidFill>
              <w14:schemeClr w14:val="tx1"/>
            </w14:solidFill>
          </w14:textFill>
        </w:rPr>
      </w:pPr>
      <w:r>
        <w:rPr>
          <w:rFonts w:hint="eastAsia" w:ascii="宋体" w:hAnsi="Calibri" w:eastAsia="宋体" w:cs="宋体"/>
          <w:color w:val="000000" w:themeColor="text1"/>
          <w:sz w:val="28"/>
          <w:szCs w:val="22"/>
          <w:highlight w:val="none"/>
          <w:lang w:val="en-US" w:eastAsia="zh-CN" w:bidi="ar-SA"/>
          <w14:textFill>
            <w14:solidFill>
              <w14:schemeClr w14:val="tx1"/>
            </w14:solidFill>
          </w14:textFill>
        </w:rPr>
        <w:t xml:space="preserve">商务要求响应及偏离表</w:t>
      </w:r>
      <w:r/>
    </w:p>
    <w:tbl>
      <w:tblPr>
        <w:tblStyle w:val="6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2675"/>
        <w:gridCol w:w="2669"/>
        <w:gridCol w:w="3154"/>
      </w:tblGrid>
      <w:tr>
        <w:trPr>
          <w:cantSplit/>
        </w:trPr>
        <w:tc>
          <w:tcPr>
            <w:tcW w:w="423"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bookmarkStart w:id="100" w:name="_Hlt26782999"/>
            <w:r/>
            <w:bookmarkEnd w:id="100"/>
            <w:r/>
            <w:bookmarkStart w:id="101" w:name="_Hlt26955064"/>
            <w:r/>
            <w:bookmarkEnd w:id="101"/>
            <w:r/>
            <w:bookmarkStart w:id="102" w:name="_Hlt26609391"/>
            <w:r/>
            <w:bookmarkEnd w:id="102"/>
            <w:r/>
            <w:bookmarkStart w:id="103" w:name="_Hlt26671343"/>
            <w:r/>
            <w:bookmarkEnd w:id="103"/>
            <w:r/>
            <w:bookmarkStart w:id="104" w:name="_Hlt24879081"/>
            <w:r/>
            <w:bookmarkEnd w:id="104"/>
            <w:r/>
            <w:bookmarkStart w:id="105" w:name="_Hlt26955056"/>
            <w:r/>
            <w:bookmarkEnd w:id="105"/>
            <w:r/>
            <w:bookmarkStart w:id="106" w:name="_Hlt26671372"/>
            <w:r/>
            <w:bookmarkEnd w:id="106"/>
            <w:r/>
            <w:bookmarkStart w:id="107" w:name="_Hlt26580838"/>
            <w:r/>
            <w:bookmarkEnd w:id="107"/>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40"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068"/>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jc w:val="left"/>
        <w:spacing w:line="360" w:lineRule="auto"/>
        <w:rPr>
          <w:rFonts w:hint="eastAsia" w:cs="宋体" w:asciiTheme="minorEastAsia" w:hAnsiTheme="minorEastAsia"/>
          <w:b/>
          <w:bCs/>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3.</w:t>
      </w:r>
      <w:r>
        <w:rPr>
          <w:rFonts w:hint="eastAsia" w:cs="宋体" w:asciiTheme="minorEastAsia" w:hAnsiTheme="minorEastAsia"/>
          <w:b/>
          <w:bCs/>
          <w:color w:val="000000" w:themeColor="text1"/>
          <w:sz w:val="28"/>
          <w:szCs w:val="24"/>
          <w:highlight w:val="none"/>
          <w:lang w:val="en-US" w:eastAsia="zh-CN"/>
          <w14:textFill>
            <w14:solidFill>
              <w14:schemeClr w14:val="tx1"/>
            </w14:solidFill>
          </w14:textFill>
        </w:rPr>
        <w:t xml:space="preserve">项目经理证明材料（详见第四章要求）：</w:t>
      </w:r>
      <w:r/>
    </w:p>
    <w:p>
      <w:pPr>
        <w:jc w:val="left"/>
        <w:spacing w:line="360" w:lineRule="auto"/>
        <w:rPr>
          <w:rFonts w:hint="default" w:cs="宋体" w:asciiTheme="minorEastAsia" w:hAnsiTheme="minorEastAsia"/>
          <w:b/>
          <w:bCs/>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b/>
          <w:bCs/>
          <w:color w:val="000000" w:themeColor="text1"/>
          <w:sz w:val="28"/>
          <w:szCs w:val="24"/>
          <w:highlight w:val="none"/>
          <w:lang w:val="en-US" w:eastAsia="zh-CN"/>
          <w14:textFill>
            <w14:solidFill>
              <w14:schemeClr w14:val="tx1"/>
            </w14:solidFill>
          </w14:textFill>
        </w:rPr>
        <w:t xml:space="preserve">4.……（以第四章中要求为准）</w:t>
      </w:r>
      <w:r/>
    </w:p>
    <w:p>
      <w:pPr>
        <w:pStyle w:val="6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8"/>
          <w:highlight w:val="none"/>
          <w14:textFill>
            <w14:solidFill>
              <w14:schemeClr w14:val="tx1"/>
            </w14:solidFill>
          </w14:textFill>
        </w:rPr>
      </w:pPr>
      <w:r/>
      <w:bookmarkStart w:id="108" w:name="_Toc126773677"/>
      <w:r/>
      <w:bookmarkStart w:id="109" w:name="_Toc126773676"/>
      <w:r>
        <w:rPr>
          <w:rFonts w:hint="eastAsia" w:ascii="宋体" w:hAnsi="宋体"/>
          <w:b/>
          <w:color w:val="000000" w:themeColor="text1"/>
          <w:sz w:val="28"/>
          <w:highlight w:val="none"/>
          <w14:textFill>
            <w14:solidFill>
              <w14:schemeClr w14:val="tx1"/>
            </w14:solidFill>
          </w14:textFill>
        </w:rPr>
        <w:br w:type="page" w:clear="all"/>
      </w:r>
      <w:bookmarkEnd w:id="108"/>
      <w:r/>
      <w:bookmarkEnd w:id="109"/>
      <w:r/>
      <w:r/>
    </w:p>
    <w:p>
      <w:pPr>
        <w:jc w:val="left"/>
        <w:spacing w:line="360" w:lineRule="auto"/>
        <w:rPr>
          <w:rFonts w:hint="eastAsia" w:ascii="宋体" w:hAnsi="宋体"/>
          <w:b/>
          <w:color w:val="000000" w:themeColor="text1"/>
          <w:sz w:val="28"/>
          <w:szCs w:val="24"/>
          <w:highlight w:val="none"/>
          <w:lang w:val="zh-CN"/>
          <w14:textFill>
            <w14:solidFill>
              <w14:schemeClr w14:val="tx1"/>
            </w14:solidFill>
          </w14:textFill>
        </w:rPr>
        <w:outlineLvl w:val="1"/>
      </w:pPr>
      <w:r>
        <w:rPr>
          <w:rFonts w:hint="eastAsia" w:ascii="宋体" w:hAnsi="宋体"/>
          <w:b/>
          <w:color w:val="000000" w:themeColor="text1"/>
          <w:sz w:val="28"/>
          <w:highlight w:val="none"/>
          <w:lang w:val="en-US" w:eastAsia="zh-CN"/>
          <w14:textFill>
            <w14:solidFill>
              <w14:schemeClr w14:val="tx1"/>
            </w14:solidFill>
          </w14:textFill>
        </w:rPr>
        <w:t xml:space="preserve">附件一、</w:t>
      </w:r>
      <w:r>
        <w:rPr>
          <w:rFonts w:hint="eastAsia" w:ascii="宋体" w:hAnsi="宋体"/>
          <w:b/>
          <w:color w:val="000000" w:themeColor="text1"/>
          <w:sz w:val="28"/>
          <w:szCs w:val="24"/>
          <w:highlight w:val="none"/>
          <w:lang w:val="zh-CN"/>
          <w14:textFill>
            <w14:solidFill>
              <w14:schemeClr w14:val="tx1"/>
            </w14:solidFill>
          </w14:textFill>
        </w:rPr>
        <w:t xml:space="preserve">实质性要求完全响应承诺书</w:t>
      </w:r>
      <w:r/>
    </w:p>
    <w:p>
      <w:pPr>
        <w:pStyle w:val="1070"/>
        <w:rPr>
          <w:rFonts w:hint="eastAsia" w:ascii="宋体" w:hAnsi="宋体"/>
          <w:b/>
          <w:color w:val="000000" w:themeColor="text1"/>
          <w:sz w:val="28"/>
          <w:szCs w:val="24"/>
          <w:highlight w:val="none"/>
          <w:lang w:val="zh-CN"/>
          <w14:textFill>
            <w14:solidFill>
              <w14:schemeClr w14:val="tx1"/>
            </w14:solidFill>
          </w14:textFill>
        </w:rPr>
      </w:pPr>
      <w:r>
        <w:rPr>
          <w:rFonts w:hint="eastAsia" w:ascii="宋体" w:hAnsi="宋体"/>
          <w:b/>
          <w:color w:val="000000" w:themeColor="text1"/>
          <w:sz w:val="28"/>
          <w:szCs w:val="24"/>
          <w:highlight w:val="none"/>
          <w:lang w:val="zh-CN"/>
          <w14:textFill>
            <w14:solidFill>
              <w14:schemeClr w14:val="tx1"/>
            </w14:solidFill>
          </w14:textFill>
        </w:rPr>
      </w:r>
      <w:r/>
    </w:p>
    <w:p>
      <w:pPr>
        <w:jc w:val="center"/>
        <w:spacing w:before="240" w:line="360" w:lineRule="auto"/>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实质性要求完全响应承诺书</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致：</w:t>
      </w:r>
      <w:r>
        <w:rPr>
          <w:rFonts w:hint="eastAsia" w:ascii="宋体" w:hAnsi="宋体"/>
          <w:color w:val="000000" w:themeColor="text1"/>
          <w:sz w:val="28"/>
          <w:szCs w:val="28"/>
          <w:highlight w:val="none"/>
          <w14:textFill>
            <w14:solidFill>
              <w14:schemeClr w14:val="tx1"/>
            </w14:solidFill>
          </w14:textFill>
        </w:rPr>
        <w:t xml:space="preserve">南京市人民政府国有资产监督管理委员会</w:t>
      </w:r>
      <w:r/>
    </w:p>
    <w:p>
      <w:pPr>
        <w:ind w:firstLine="560"/>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江苏大友招标代理咨询有限公司：</w:t>
      </w:r>
      <w:r/>
    </w:p>
    <w:p>
      <w:pPr>
        <w:jc w:val="lef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（供应商名称）承诺：</w:t>
      </w:r>
      <w:r/>
    </w:p>
    <w:p>
      <w:pPr>
        <w:jc w:val="lef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我公司完全响应</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（分包号），</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14:textFill>
            <w14:solidFill>
              <w14:schemeClr w14:val="tx1"/>
            </w14:solidFill>
          </w14:textFill>
        </w:rPr>
        <w:t xml:space="preserve">文件“</w:t>
      </w:r>
      <w:r>
        <w:rPr>
          <w:rFonts w:hint="eastAsia" w:ascii="宋体" w:hAnsi="宋体"/>
          <w:color w:val="000000" w:themeColor="text1"/>
          <w:sz w:val="28"/>
          <w:szCs w:val="28"/>
          <w:highlight w:val="none"/>
          <w:lang w:val="en-US" w:eastAsia="zh-CN"/>
          <w14:textFill>
            <w14:solidFill>
              <w14:schemeClr w14:val="tx1"/>
            </w14:solidFill>
          </w14:textFill>
        </w:rPr>
        <w:t xml:space="preserve">第四章 </w:t>
      </w:r>
      <w:r>
        <w:rPr>
          <w:rFonts w:hint="eastAsia" w:ascii="宋体" w:hAnsi="宋体"/>
          <w:color w:val="000000" w:themeColor="text1"/>
          <w:sz w:val="28"/>
          <w:szCs w:val="28"/>
          <w:highlight w:val="none"/>
          <w14:textFill>
            <w14:solidFill>
              <w14:schemeClr w14:val="tx1"/>
            </w14:solidFill>
          </w14:textFill>
        </w:rPr>
        <w:t xml:space="preserve">招标项目的服务要求和数量等”中所有“实质性要求”。</w:t>
      </w:r>
      <w:r/>
    </w:p>
    <w:p>
      <w:pPr>
        <w:jc w:val="lef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我公司对上述承诺的真实性负责，如有虚假，将依法承担相应责任。</w:t>
      </w:r>
      <w:r/>
    </w:p>
    <w:p>
      <w:pPr>
        <w:ind w:firstLine="4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ind w:firstLine="624"/>
        <w:spacing w:line="588" w:lineRule="exact"/>
        <w:rPr>
          <w:rFonts w:ascii="宋体" w:hAnsi="宋体"/>
          <w:color w:val="000000" w:themeColor="text1"/>
          <w:spacing w:val="6"/>
          <w:sz w:val="28"/>
          <w:szCs w:val="28"/>
          <w:highlight w:val="none"/>
          <w14:textFill>
            <w14:solidFill>
              <w14:schemeClr w14:val="tx1"/>
            </w14:solidFill>
          </w14:textFill>
        </w:rPr>
      </w:pPr>
      <w:r>
        <w:rPr>
          <w:rFonts w:ascii="宋体" w:hAnsi="宋体"/>
          <w:color w:val="000000" w:themeColor="text1"/>
          <w:spacing w:val="6"/>
          <w:sz w:val="28"/>
          <w:szCs w:val="28"/>
          <w:highlight w:val="none"/>
          <w14:textFill>
            <w14:solidFill>
              <w14:schemeClr w14:val="tx1"/>
            </w14:solidFill>
          </w14:textFill>
        </w:rPr>
      </w:r>
      <w:r/>
    </w:p>
    <w:p>
      <w:pPr>
        <w:ind w:right="560" w:firstLine="560"/>
        <w:jc w:val="righ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供应商名称（</w:t>
      </w:r>
      <w:r>
        <w:rPr>
          <w:rFonts w:hint="eastAsia" w:ascii="宋体" w:hAnsi="宋体"/>
          <w:color w:val="000000" w:themeColor="text1"/>
          <w:sz w:val="28"/>
          <w:szCs w:val="28"/>
          <w:highlight w:val="none"/>
          <w:lang w:val="en-US" w:eastAsia="zh-CN"/>
          <w14:textFill>
            <w14:solidFill>
              <w14:schemeClr w14:val="tx1"/>
            </w14:solidFill>
          </w14:textFill>
        </w:rPr>
        <w:t xml:space="preserve">加</w:t>
      </w:r>
      <w:r>
        <w:rPr>
          <w:rFonts w:hint="eastAsia" w:ascii="宋体" w:hAnsi="宋体"/>
          <w:color w:val="000000" w:themeColor="text1"/>
          <w:sz w:val="28"/>
          <w:szCs w:val="28"/>
          <w:highlight w:val="none"/>
          <w14:textFill>
            <w14:solidFill>
              <w14:schemeClr w14:val="tx1"/>
            </w14:solidFill>
          </w14:textFill>
        </w:rPr>
        <w:t xml:space="preserve">盖</w:t>
      </w:r>
      <w:r>
        <w:rPr>
          <w:rFonts w:hint="eastAsia" w:ascii="宋体" w:hAnsi="宋体"/>
          <w:color w:val="000000" w:themeColor="text1"/>
          <w:sz w:val="28"/>
          <w:szCs w:val="28"/>
          <w:highlight w:val="none"/>
          <w:lang w:val="en-US" w:eastAsia="zh-CN"/>
          <w14:textFill>
            <w14:solidFill>
              <w14:schemeClr w14:val="tx1"/>
            </w14:solidFill>
          </w14:textFill>
        </w:rPr>
        <w:t xml:space="preserve">电子公</w:t>
      </w:r>
      <w:r>
        <w:rPr>
          <w:rFonts w:hint="eastAsia" w:ascii="宋体" w:hAnsi="宋体"/>
          <w:color w:val="000000" w:themeColor="text1"/>
          <w:sz w:val="28"/>
          <w:szCs w:val="28"/>
          <w:highlight w:val="none"/>
          <w14:textFill>
            <w14:solidFill>
              <w14:schemeClr w14:val="tx1"/>
            </w14:solidFill>
          </w14:textFill>
        </w:rPr>
        <w:t xml:space="preserve">章）：</w:t>
      </w:r>
      <w:r/>
    </w:p>
    <w:p>
      <w:pPr>
        <w:ind w:right="840" w:firstLine="560"/>
        <w:jc w:val="righ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日 期： 年 月 </w:t>
      </w:r>
      <w:r>
        <w:rPr>
          <w:rFonts w:ascii="宋体" w:hAnsi="宋体"/>
          <w:color w:val="000000" w:themeColor="text1"/>
          <w:sz w:val="28"/>
          <w:szCs w:val="28"/>
          <w:highlight w:val="none"/>
          <w14:textFill>
            <w14:solidFill>
              <w14:schemeClr w14:val="tx1"/>
            </w14:solidFill>
          </w14:textFill>
        </w:rPr>
        <w:t xml:space="preserve">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附件</w:t>
      </w:r>
      <w:r>
        <w:rPr>
          <w:rFonts w:hint="eastAsia" w:ascii="宋体" w:hAnsi="宋体"/>
          <w:b/>
          <w:color w:val="000000" w:themeColor="text1"/>
          <w:sz w:val="28"/>
          <w:highlight w:val="none"/>
          <w:lang w:val="en-US" w:eastAsia="zh-CN"/>
          <w14:textFill>
            <w14:solidFill>
              <w14:schemeClr w14:val="tx1"/>
            </w14:solidFill>
          </w14:textFill>
        </w:rPr>
        <w:t xml:space="preserve">二</w:t>
      </w:r>
      <w:r>
        <w:rPr>
          <w:rFonts w:ascii="宋体" w:hAnsi="宋体"/>
          <w:b/>
          <w:color w:val="000000" w:themeColor="text1"/>
          <w:sz w:val="28"/>
          <w:highlight w:val="none"/>
          <w14:textFill>
            <w14:solidFill>
              <w14:schemeClr w14:val="tx1"/>
            </w14:solidFill>
          </w14:textFill>
        </w:rPr>
        <w:t xml:space="preserve">、企业声明函格式</w:t>
      </w:r>
      <w:r/>
    </w:p>
    <w:p>
      <w:pPr>
        <w:jc w:val="center"/>
        <w:keepLines w:val="0"/>
        <w:keepNext w:val="0"/>
        <w:pageBreakBefore w:val="0"/>
        <w:spacing w:line="360" w:lineRule="auto"/>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本公司（联合体）参加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宋体"/>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采购编号为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u w:val="none"/>
          <w14:textFill>
            <w14:solidFill>
              <w14:schemeClr w14:val="tx1"/>
            </w14:solidFill>
          </w14:textFill>
        </w:rPr>
        <w:t xml:space="preserve">（分包号：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服务全部由符合政策的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相关企业（含联合体中的小微企业、签订分包意向协议的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小型企业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微型企业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i/>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小型企业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微型企业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不属于大企业的分支机构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不存在控股股东为大企业的情形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126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r>
      <w:r/>
    </w:p>
    <w:p>
      <w:pPr>
        <w:keepLines w:val="0"/>
        <w:keepNext w:val="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期：</w:t>
      </w:r>
      <w:r/>
    </w:p>
    <w:p>
      <w:pPr>
        <w:ind w:firstLine="420"/>
        <w:keepLines w:val="0"/>
        <w:keepNext w:val="0"/>
        <w:pageBreakBefore w:val="0"/>
        <w:spacing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内打“√”。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不得享受小微企业价格扣除政策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清单中列示的所有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，投标人须在声明函中逐项列示并明确承接企业的类型，如有缺失将按“不提供声明函”处理。此声明函将随成交结果同时公告，接受社会监督。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采购项目中，服务的承接商应当为中小企业，不对其中涉及的货物的制造商、工程的承建商作出要求。</w:t>
      </w:r>
      <w:r/>
    </w:p>
    <w:p>
      <w:pPr>
        <w:jc w:val="both"/>
        <w:spacing w:line="360" w:lineRule="auto"/>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残疾人福利性单位声明函</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jc w:val="left"/>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我单位</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（供应商名称）郑重声明，本公司为残疾人福利性单位。即，本单位同时满足以下条件：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5.本单位参加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（项目名称）采购活动提供本单位承担的服务。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本单位对上述声明的真实性负责。如有虚假，将依法承担相应责任。</w:t>
      </w:r>
      <w:r/>
    </w:p>
    <w:p>
      <w:pPr>
        <w:jc w:val="left"/>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3920"/>
        <w:jc w:val="right"/>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单位名称：（加盖电子公章）</w:t>
      </w:r>
      <w:r/>
    </w:p>
    <w:p>
      <w:pPr>
        <w:ind w:firstLine="3920"/>
        <w:jc w:val="center"/>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（提供由省级以上监狱管理局、戒毒管理局(含新疆生产建设兵团)出具的属于监狱企业的证明文件）</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新宋体">
    <w:panose1 w:val="02010609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r/>
  </w:p>
  <w:p>
    <w:pPr>
      <w:pStyle w:val="6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0"/>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2"/>
      <w:numFmt w:val="chineseCounting"/>
      <w:pStyle w:val="96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52"/>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hint="default" w:ascii="Calibri" w:hAnsi="Calibri" w:eastAsia="宋体" w:cs="宋体"/>
      <w:sz w:val="21"/>
      <w:szCs w:val="22"/>
      <w:lang w:val="en-US" w:eastAsia="zh-CN" w:bidi="ar-SA"/>
    </w:rPr>
  </w:style>
  <w:style w:type="paragraph" w:styleId="661">
    <w:name w:val="Heading 1"/>
    <w:basedOn w:val="660"/>
    <w:next w:val="660"/>
    <w:link w:val="874"/>
    <w:uiPriority w:val="0"/>
    <w:qFormat/>
    <w:pPr>
      <w:keepLines/>
      <w:keepNext/>
      <w:spacing w:before="340" w:after="330" w:line="578" w:lineRule="auto"/>
      <w:outlineLvl w:val="0"/>
    </w:pPr>
    <w:rPr>
      <w:b/>
      <w:bCs/>
      <w:sz w:val="44"/>
      <w:szCs w:val="44"/>
    </w:rPr>
  </w:style>
  <w:style w:type="paragraph" w:styleId="662">
    <w:name w:val="Heading 2"/>
    <w:basedOn w:val="660"/>
    <w:next w:val="660"/>
    <w:link w:val="875"/>
    <w:uiPriority w:val="0"/>
    <w:qFormat/>
    <w:pPr>
      <w:keepLines/>
      <w:keepNext/>
      <w:spacing w:before="260" w:after="260" w:line="413" w:lineRule="auto"/>
      <w:outlineLvl w:val="1"/>
    </w:pPr>
    <w:rPr>
      <w:rFonts w:ascii="Arial" w:hAnsi="Arial" w:eastAsia="黑体" w:cs="Times New Roman"/>
      <w:b/>
      <w:bCs/>
      <w:sz w:val="32"/>
      <w:szCs w:val="32"/>
    </w:rPr>
  </w:style>
  <w:style w:type="paragraph" w:styleId="663">
    <w:name w:val="Heading 3"/>
    <w:basedOn w:val="660"/>
    <w:next w:val="660"/>
    <w:link w:val="876"/>
    <w:uiPriority w:val="0"/>
    <w:unhideWhenUsed/>
    <w:qFormat/>
    <w:pPr>
      <w:keepLines/>
      <w:keepNext/>
      <w:spacing w:before="260" w:after="260" w:line="416" w:lineRule="auto"/>
      <w:outlineLvl w:val="2"/>
    </w:pPr>
    <w:rPr>
      <w:b/>
      <w:bCs/>
      <w:sz w:val="32"/>
      <w:szCs w:val="32"/>
    </w:rPr>
  </w:style>
  <w:style w:type="paragraph" w:styleId="664">
    <w:name w:val="Heading 4"/>
    <w:basedOn w:val="660"/>
    <w:next w:val="660"/>
    <w:link w:val="877"/>
    <w:uiPriority w:val="9"/>
    <w:qFormat/>
    <w:pPr>
      <w:keepLines/>
      <w:keepNext/>
      <w:spacing w:before="120" w:after="120"/>
      <w:outlineLvl w:val="3"/>
    </w:pPr>
    <w:rPr>
      <w:rFonts w:ascii="Arial" w:hAnsi="Arial" w:eastAsia="黑体" w:cs="Times New Roman"/>
      <w:b/>
      <w:sz w:val="28"/>
      <w:szCs w:val="20"/>
    </w:rPr>
  </w:style>
  <w:style w:type="paragraph" w:styleId="665">
    <w:name w:val="Heading 5"/>
    <w:basedOn w:val="660"/>
    <w:next w:val="660"/>
    <w:link w:val="878"/>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666">
    <w:name w:val="Heading 6"/>
    <w:basedOn w:val="660"/>
    <w:next w:val="660"/>
    <w:link w:val="879"/>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667">
    <w:name w:val="Heading 7"/>
    <w:basedOn w:val="660"/>
    <w:next w:val="660"/>
    <w:link w:val="880"/>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668">
    <w:name w:val="Heading 8"/>
    <w:basedOn w:val="660"/>
    <w:next w:val="660"/>
    <w:link w:val="881"/>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669">
    <w:name w:val="Heading 9"/>
    <w:basedOn w:val="660"/>
    <w:next w:val="660"/>
    <w:link w:val="882"/>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Body Text First Indent 2"/>
    <w:basedOn w:val="673"/>
    <w:next w:val="660"/>
    <w:link w:val="903"/>
    <w:uiPriority w:val="99"/>
    <w:qFormat/>
    <w:pPr>
      <w:ind w:firstLine="420"/>
    </w:pPr>
    <w:rPr>
      <w:rFonts w:ascii="Times New Roman" w:hAnsi="Times New Roman" w:eastAsiaTheme="minorEastAsia" w:cstheme="minorBidi"/>
      <w:szCs w:val="24"/>
    </w:rPr>
  </w:style>
  <w:style w:type="paragraph" w:styleId="673">
    <w:name w:val="Body Text Indent"/>
    <w:basedOn w:val="660"/>
    <w:next w:val="674"/>
    <w:link w:val="873"/>
    <w:uiPriority w:val="99"/>
    <w:qFormat/>
    <w:pPr>
      <w:ind w:firstLine="574"/>
      <w:spacing w:line="312" w:lineRule="atLeast"/>
    </w:pPr>
    <w:rPr>
      <w:rFonts w:ascii="宋体"/>
      <w:sz w:val="28"/>
    </w:rPr>
  </w:style>
  <w:style w:type="paragraph" w:styleId="674">
    <w:name w:val="envelope return"/>
    <w:basedOn w:val="660"/>
    <w:uiPriority w:val="0"/>
    <w:qFormat/>
    <w:rPr>
      <w:rFonts w:ascii="Arial" w:hAnsi="Arial" w:eastAsia="宋体" w:cs="宋体"/>
    </w:rPr>
  </w:style>
  <w:style w:type="paragraph" w:styleId="675">
    <w:name w:val="toc 7"/>
    <w:basedOn w:val="660"/>
    <w:next w:val="660"/>
    <w:uiPriority w:val="39"/>
    <w:unhideWhenUsed/>
    <w:qFormat/>
    <w:pPr>
      <w:ind w:left="1701" w:right="0" w:firstLine="0"/>
      <w:spacing w:after="57"/>
    </w:pPr>
  </w:style>
  <w:style w:type="paragraph" w:styleId="676">
    <w:name w:val="List Number 2"/>
    <w:basedOn w:val="660"/>
    <w:uiPriority w:val="0"/>
    <w:qFormat/>
    <w:pPr>
      <w:ind w:left="1440" w:hanging="1440"/>
      <w:spacing w:line="360" w:lineRule="auto"/>
      <w:tabs>
        <w:tab w:val="left" w:pos="1440" w:leader="none"/>
      </w:tabs>
    </w:pPr>
    <w:rPr>
      <w:rFonts w:cs="Times New Roman"/>
      <w:sz w:val="24"/>
      <w:szCs w:val="24"/>
    </w:rPr>
  </w:style>
  <w:style w:type="paragraph" w:styleId="677">
    <w:name w:val="List Number"/>
    <w:basedOn w:val="660"/>
    <w:uiPriority w:val="0"/>
    <w:qFormat/>
    <w:pPr>
      <w:ind w:left="2952" w:hanging="432"/>
      <w:tabs>
        <w:tab w:val="left" w:pos="2952" w:leader="none"/>
      </w:tabs>
    </w:pPr>
    <w:rPr>
      <w:rFonts w:cs="Times New Roman"/>
      <w:szCs w:val="24"/>
    </w:rPr>
  </w:style>
  <w:style w:type="paragraph" w:styleId="678">
    <w:name w:val="Normal Indent"/>
    <w:basedOn w:val="660"/>
    <w:next w:val="673"/>
    <w:uiPriority w:val="0"/>
    <w:qFormat/>
    <w:pPr>
      <w:ind w:firstLine="420"/>
    </w:pPr>
    <w:rPr>
      <w:rFonts w:cs="Times New Roman"/>
      <w:szCs w:val="20"/>
    </w:rPr>
  </w:style>
  <w:style w:type="paragraph" w:styleId="679">
    <w:name w:val="Caption"/>
    <w:basedOn w:val="660"/>
    <w:next w:val="660"/>
    <w:uiPriority w:val="35"/>
    <w:semiHidden/>
    <w:unhideWhenUsed/>
    <w:qFormat/>
    <w:pPr>
      <w:spacing w:line="276" w:lineRule="auto"/>
    </w:pPr>
    <w:rPr>
      <w:b/>
      <w:bCs/>
      <w:color w:val="7fd13b" w:themeColor="accent1"/>
      <w:sz w:val="18"/>
      <w:szCs w:val="18"/>
      <w14:textFill>
        <w14:solidFill>
          <w14:schemeClr w14:val="accent1"/>
        </w14:solidFill>
      </w14:textFill>
    </w:rPr>
  </w:style>
  <w:style w:type="paragraph" w:styleId="680">
    <w:name w:val="Document Map"/>
    <w:basedOn w:val="660"/>
    <w:link w:val="883"/>
    <w:uiPriority w:val="0"/>
    <w:qFormat/>
    <w:rPr>
      <w:rFonts w:ascii="宋体"/>
      <w:sz w:val="18"/>
      <w:szCs w:val="18"/>
    </w:rPr>
  </w:style>
  <w:style w:type="paragraph" w:styleId="681">
    <w:name w:val="annotation text"/>
    <w:basedOn w:val="660"/>
    <w:link w:val="884"/>
    <w:uiPriority w:val="0"/>
    <w:qFormat/>
    <w:pPr>
      <w:jc w:val="left"/>
    </w:pPr>
    <w:rPr>
      <w:rFonts w:ascii="Times New Roman" w:hAnsi="Times New Roman" w:cs="Times New Roman"/>
      <w:szCs w:val="20"/>
    </w:rPr>
  </w:style>
  <w:style w:type="paragraph" w:styleId="682">
    <w:name w:val="Salutation"/>
    <w:basedOn w:val="660"/>
    <w:next w:val="660"/>
    <w:link w:val="885"/>
    <w:uiPriority w:val="0"/>
    <w:qFormat/>
    <w:rPr>
      <w:rFonts w:ascii="仿宋_GB2312" w:hAnsi="Times New Roman" w:eastAsia="仿宋_GB2312" w:cs="Times New Roman"/>
      <w:sz w:val="28"/>
      <w:szCs w:val="20"/>
    </w:rPr>
  </w:style>
  <w:style w:type="paragraph" w:styleId="683">
    <w:name w:val="Body Text 3"/>
    <w:basedOn w:val="660"/>
    <w:link w:val="886"/>
    <w:uiPriority w:val="0"/>
    <w:qFormat/>
    <w:pPr>
      <w:spacing w:after="120"/>
    </w:pPr>
    <w:rPr>
      <w:rFonts w:ascii="Times New Roman" w:hAnsi="Times New Roman" w:cs="Times New Roman"/>
      <w:sz w:val="16"/>
      <w:szCs w:val="16"/>
    </w:rPr>
  </w:style>
  <w:style w:type="paragraph" w:styleId="684">
    <w:name w:val="Body Text"/>
    <w:basedOn w:val="660"/>
    <w:link w:val="887"/>
    <w:uiPriority w:val="0"/>
    <w:unhideWhenUsed/>
    <w:qFormat/>
    <w:pPr>
      <w:spacing w:after="120"/>
    </w:pPr>
  </w:style>
  <w:style w:type="paragraph" w:styleId="685">
    <w:name w:val="toc 5"/>
    <w:basedOn w:val="660"/>
    <w:next w:val="660"/>
    <w:uiPriority w:val="39"/>
    <w:unhideWhenUsed/>
    <w:qFormat/>
    <w:pPr>
      <w:ind w:left="1134" w:right="0" w:firstLine="0"/>
      <w:spacing w:after="57"/>
    </w:pPr>
  </w:style>
  <w:style w:type="paragraph" w:styleId="686">
    <w:name w:val="toc 3"/>
    <w:basedOn w:val="660"/>
    <w:next w:val="660"/>
    <w:uiPriority w:val="0"/>
    <w:qFormat/>
    <w:pPr>
      <w:ind w:left="840"/>
    </w:pPr>
    <w:rPr>
      <w:rFonts w:cs="Times New Roman"/>
      <w:szCs w:val="24"/>
    </w:rPr>
  </w:style>
  <w:style w:type="paragraph" w:styleId="687">
    <w:name w:val="Plain Text"/>
    <w:basedOn w:val="660"/>
    <w:link w:val="888"/>
    <w:uiPriority w:val="0"/>
    <w:qFormat/>
    <w:rPr>
      <w:rFonts w:ascii="宋体" w:hAnsi="Courier New" w:cs="Times New Roman"/>
      <w:sz w:val="20"/>
      <w:szCs w:val="21"/>
    </w:rPr>
  </w:style>
  <w:style w:type="paragraph" w:styleId="688">
    <w:name w:val="toc 8"/>
    <w:basedOn w:val="660"/>
    <w:next w:val="660"/>
    <w:uiPriority w:val="39"/>
    <w:unhideWhenUsed/>
    <w:qFormat/>
    <w:pPr>
      <w:ind w:left="1984" w:right="0" w:firstLine="0"/>
      <w:spacing w:after="57"/>
    </w:pPr>
  </w:style>
  <w:style w:type="paragraph" w:styleId="689">
    <w:name w:val="index 3"/>
    <w:basedOn w:val="660"/>
    <w:next w:val="660"/>
    <w:uiPriority w:val="0"/>
    <w:qFormat/>
    <w:pPr>
      <w:ind w:left="840"/>
    </w:pPr>
    <w:rPr>
      <w:rFonts w:cs="Times New Roman"/>
      <w:szCs w:val="20"/>
    </w:rPr>
  </w:style>
  <w:style w:type="paragraph" w:styleId="690">
    <w:name w:val="Date"/>
    <w:basedOn w:val="660"/>
    <w:next w:val="660"/>
    <w:link w:val="889"/>
    <w:uiPriority w:val="0"/>
    <w:qFormat/>
    <w:pPr>
      <w:ind w:left="100"/>
    </w:pPr>
    <w:rPr>
      <w:rFonts w:ascii="Times New Roman" w:hAnsi="Times New Roman" w:cs="Times New Roman"/>
      <w:sz w:val="28"/>
      <w:szCs w:val="20"/>
    </w:rPr>
  </w:style>
  <w:style w:type="paragraph" w:styleId="691">
    <w:name w:val="Body Text Indent 2"/>
    <w:basedOn w:val="660"/>
    <w:link w:val="890"/>
    <w:uiPriority w:val="0"/>
    <w:qFormat/>
    <w:pPr>
      <w:ind w:firstLine="480"/>
      <w:spacing w:line="400" w:lineRule="exact"/>
    </w:pPr>
    <w:rPr>
      <w:rFonts w:ascii="宋体" w:hAnsi="宋体" w:cs="Times New Roman"/>
      <w:sz w:val="24"/>
      <w:szCs w:val="24"/>
    </w:rPr>
  </w:style>
  <w:style w:type="paragraph" w:styleId="692">
    <w:name w:val="endnote text"/>
    <w:basedOn w:val="660"/>
    <w:link w:val="868"/>
    <w:uiPriority w:val="99"/>
    <w:semiHidden/>
    <w:unhideWhenUsed/>
    <w:qFormat/>
    <w:pPr>
      <w:spacing w:after="0" w:line="240" w:lineRule="auto"/>
    </w:pPr>
    <w:rPr>
      <w:sz w:val="20"/>
    </w:rPr>
  </w:style>
  <w:style w:type="paragraph" w:styleId="693">
    <w:name w:val="Balloon Text"/>
    <w:basedOn w:val="660"/>
    <w:link w:val="891"/>
    <w:uiPriority w:val="0"/>
    <w:qFormat/>
    <w:rPr>
      <w:sz w:val="18"/>
      <w:szCs w:val="18"/>
    </w:rPr>
  </w:style>
  <w:style w:type="paragraph" w:styleId="694">
    <w:name w:val="Footer"/>
    <w:basedOn w:val="660"/>
    <w:link w:val="892"/>
    <w:uiPriority w:val="99"/>
    <w:qFormat/>
    <w:pPr>
      <w:jc w:val="left"/>
      <w:tabs>
        <w:tab w:val="center" w:pos="4153" w:leader="none"/>
        <w:tab w:val="right" w:pos="8306" w:leader="none"/>
      </w:tabs>
    </w:pPr>
    <w:rPr>
      <w:sz w:val="18"/>
      <w:szCs w:val="18"/>
    </w:rPr>
  </w:style>
  <w:style w:type="paragraph" w:styleId="695">
    <w:name w:val="Header"/>
    <w:basedOn w:val="660"/>
    <w:link w:val="893"/>
    <w:uiPriority w:val="99"/>
    <w:qFormat/>
    <w:pPr>
      <w:jc w:val="center"/>
      <w:tabs>
        <w:tab w:val="center" w:pos="4153" w:leader="none"/>
        <w:tab w:val="right" w:pos="8306" w:leader="none"/>
      </w:tabs>
      <w:pBdr>
        <w:bottom w:val="single" w:color="auto" w:sz="6" w:space="1"/>
      </w:pBdr>
    </w:pPr>
    <w:rPr>
      <w:sz w:val="18"/>
      <w:szCs w:val="18"/>
    </w:rPr>
  </w:style>
  <w:style w:type="paragraph" w:styleId="696">
    <w:name w:val="Signature"/>
    <w:basedOn w:val="660"/>
    <w:link w:val="894"/>
    <w:uiPriority w:val="0"/>
    <w:qFormat/>
    <w:pPr>
      <w:jc w:val="center"/>
      <w:spacing w:after="600" w:line="312" w:lineRule="atLeast"/>
    </w:pPr>
    <w:rPr>
      <w:rFonts w:ascii="Times New Roman" w:hAnsi="Times New Roman" w:eastAsia="仿宋_GB2312" w:cs="Times New Roman"/>
      <w:sz w:val="24"/>
      <w:szCs w:val="20"/>
    </w:rPr>
  </w:style>
  <w:style w:type="paragraph" w:styleId="697">
    <w:name w:val="toc 1"/>
    <w:basedOn w:val="660"/>
    <w:next w:val="660"/>
    <w:uiPriority w:val="39"/>
    <w:qFormat/>
  </w:style>
  <w:style w:type="paragraph" w:styleId="698">
    <w:name w:val="toc 4"/>
    <w:basedOn w:val="660"/>
    <w:next w:val="660"/>
    <w:uiPriority w:val="39"/>
    <w:unhideWhenUsed/>
    <w:qFormat/>
    <w:pPr>
      <w:ind w:left="850" w:right="0" w:firstLine="0"/>
      <w:spacing w:after="57"/>
    </w:pPr>
  </w:style>
  <w:style w:type="paragraph" w:styleId="699">
    <w:name w:val="index heading"/>
    <w:basedOn w:val="660"/>
    <w:next w:val="700"/>
    <w:uiPriority w:val="0"/>
    <w:qFormat/>
    <w:rPr>
      <w:rFonts w:cs="Times New Roman"/>
      <w:szCs w:val="20"/>
    </w:rPr>
  </w:style>
  <w:style w:type="paragraph" w:styleId="700">
    <w:name w:val="index 1"/>
    <w:basedOn w:val="660"/>
    <w:next w:val="660"/>
    <w:uiPriority w:val="0"/>
    <w:semiHidden/>
    <w:qFormat/>
    <w:rPr>
      <w:rFonts w:cs="Times New Roman"/>
      <w:szCs w:val="24"/>
    </w:rPr>
  </w:style>
  <w:style w:type="paragraph" w:styleId="701">
    <w:name w:val="Subtitle"/>
    <w:basedOn w:val="660"/>
    <w:next w:val="660"/>
    <w:link w:val="734"/>
    <w:uiPriority w:val="11"/>
    <w:qFormat/>
    <w:pPr>
      <w:spacing w:before="200" w:after="200"/>
    </w:pPr>
    <w:rPr>
      <w:sz w:val="24"/>
      <w:szCs w:val="24"/>
    </w:rPr>
  </w:style>
  <w:style w:type="paragraph" w:styleId="702">
    <w:name w:val="footnote text"/>
    <w:basedOn w:val="660"/>
    <w:link w:val="895"/>
    <w:uiPriority w:val="0"/>
    <w:qFormat/>
    <w:pPr>
      <w:jc w:val="left"/>
    </w:pPr>
    <w:rPr>
      <w:rFonts w:ascii="Times New Roman" w:hAnsi="Times New Roman" w:cs="Times New Roman"/>
      <w:sz w:val="18"/>
      <w:szCs w:val="18"/>
    </w:rPr>
  </w:style>
  <w:style w:type="paragraph" w:styleId="703">
    <w:name w:val="toc 6"/>
    <w:basedOn w:val="660"/>
    <w:next w:val="660"/>
    <w:uiPriority w:val="39"/>
    <w:unhideWhenUsed/>
    <w:qFormat/>
    <w:pPr>
      <w:ind w:left="1417" w:right="0" w:firstLine="0"/>
      <w:spacing w:after="57"/>
    </w:pPr>
  </w:style>
  <w:style w:type="paragraph" w:styleId="704">
    <w:name w:val="Body Text Indent 3"/>
    <w:basedOn w:val="660"/>
    <w:link w:val="896"/>
    <w:uiPriority w:val="0"/>
    <w:qFormat/>
    <w:pPr>
      <w:ind w:left="480"/>
      <w:spacing w:before="120" w:after="120" w:line="264" w:lineRule="auto"/>
    </w:pPr>
    <w:rPr>
      <w:rFonts w:ascii="Times New Roman" w:hAnsi="Times New Roman" w:cs="Times New Roman"/>
      <w:b/>
      <w:bCs/>
      <w:sz w:val="24"/>
      <w:szCs w:val="20"/>
    </w:rPr>
  </w:style>
  <w:style w:type="paragraph" w:styleId="705">
    <w:name w:val="table of figures"/>
    <w:basedOn w:val="660"/>
    <w:next w:val="660"/>
    <w:uiPriority w:val="99"/>
    <w:unhideWhenUsed/>
    <w:qFormat/>
    <w:pPr>
      <w:spacing w:after="0" w:afterAutospacing="0"/>
    </w:pPr>
  </w:style>
  <w:style w:type="paragraph" w:styleId="706">
    <w:name w:val="toc 2"/>
    <w:basedOn w:val="660"/>
    <w:next w:val="660"/>
    <w:uiPriority w:val="0"/>
    <w:qFormat/>
    <w:pPr>
      <w:ind w:left="420"/>
    </w:pPr>
    <w:rPr>
      <w:rFonts w:cs="Times New Roman"/>
      <w:szCs w:val="24"/>
    </w:rPr>
  </w:style>
  <w:style w:type="paragraph" w:styleId="707">
    <w:name w:val="toc 9"/>
    <w:basedOn w:val="660"/>
    <w:next w:val="660"/>
    <w:uiPriority w:val="39"/>
    <w:unhideWhenUsed/>
    <w:pPr>
      <w:ind w:left="2268" w:right="0" w:firstLine="0"/>
      <w:spacing w:after="57"/>
    </w:pPr>
  </w:style>
  <w:style w:type="paragraph" w:styleId="708">
    <w:name w:val="Body Text 2"/>
    <w:basedOn w:val="660"/>
    <w:link w:val="897"/>
    <w:uiPriority w:val="0"/>
    <w:qFormat/>
    <w:pPr>
      <w:jc w:val="center"/>
    </w:pPr>
    <w:rPr>
      <w:rFonts w:ascii="Times New Roman" w:hAnsi="Times New Roman" w:cs="Times New Roman"/>
      <w:b/>
      <w:bCs/>
      <w:sz w:val="72"/>
      <w:szCs w:val="20"/>
    </w:rPr>
  </w:style>
  <w:style w:type="paragraph" w:styleId="709">
    <w:name w:val="HTML Preformatted"/>
    <w:basedOn w:val="660"/>
    <w:link w:val="8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10">
    <w:name w:val="Normal (Web)"/>
    <w:basedOn w:val="660"/>
    <w:uiPriority w:val="0"/>
    <w:qFormat/>
    <w:pPr>
      <w:jc w:val="left"/>
      <w:spacing w:before="100" w:beforeAutospacing="1" w:after="100" w:afterAutospacing="1"/>
      <w:widowControl/>
    </w:pPr>
    <w:rPr>
      <w:rFonts w:ascii="宋体" w:hAnsi="宋体"/>
      <w:sz w:val="24"/>
      <w:szCs w:val="24"/>
    </w:rPr>
  </w:style>
  <w:style w:type="paragraph" w:styleId="711">
    <w:name w:val="Title"/>
    <w:basedOn w:val="660"/>
    <w:link w:val="899"/>
    <w:uiPriority w:val="10"/>
    <w:qFormat/>
    <w:pPr>
      <w:jc w:val="center"/>
      <w:spacing w:line="420" w:lineRule="exact"/>
      <w:widowControl/>
    </w:pPr>
    <w:rPr>
      <w:rFonts w:ascii="Times New Roman" w:hAnsi="Times New Roman" w:eastAsia="黑体" w:cs="Times New Roman"/>
      <w:b/>
      <w:sz w:val="28"/>
      <w:szCs w:val="20"/>
      <w:lang w:val="en-GB"/>
    </w:rPr>
  </w:style>
  <w:style w:type="paragraph" w:styleId="712">
    <w:name w:val="annotation subject"/>
    <w:basedOn w:val="681"/>
    <w:next w:val="681"/>
    <w:link w:val="900"/>
    <w:uiPriority w:val="0"/>
    <w:unhideWhenUsed/>
    <w:qFormat/>
    <w:rPr>
      <w:rFonts w:ascii="Calibri" w:hAnsi="Calibri" w:cs="宋体"/>
      <w:b/>
      <w:bCs/>
      <w:szCs w:val="22"/>
    </w:rPr>
  </w:style>
  <w:style w:type="paragraph" w:styleId="713">
    <w:name w:val="Body Text First Indent"/>
    <w:basedOn w:val="684"/>
    <w:link w:val="901"/>
    <w:uiPriority w:val="0"/>
    <w:qFormat/>
    <w:pPr>
      <w:ind w:firstLine="420"/>
    </w:pPr>
    <w:rPr>
      <w:rFonts w:ascii="Times New Roman" w:hAnsi="Times New Roman" w:cs="Times New Roman"/>
      <w:sz w:val="20"/>
      <w:szCs w:val="24"/>
    </w:rPr>
  </w:style>
  <w:style w:type="table" w:styleId="714">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uiPriority w:val="0"/>
    <w:qFormat/>
    <w:rPr>
      <w:b/>
      <w:bCs/>
    </w:rPr>
  </w:style>
  <w:style w:type="character" w:styleId="716">
    <w:name w:val="endnote reference"/>
    <w:basedOn w:val="670"/>
    <w:uiPriority w:val="99"/>
    <w:semiHidden/>
    <w:unhideWhenUsed/>
    <w:rPr>
      <w:vertAlign w:val="superscript"/>
    </w:rPr>
  </w:style>
  <w:style w:type="character" w:styleId="717">
    <w:name w:val="page number"/>
    <w:uiPriority w:val="0"/>
    <w:qFormat/>
    <w:rPr>
      <w:rFonts w:ascii="Tahoma" w:hAnsi="Tahoma"/>
      <w:sz w:val="24"/>
      <w:szCs w:val="20"/>
    </w:rPr>
  </w:style>
  <w:style w:type="character" w:styleId="718">
    <w:name w:val="FollowedHyperlink"/>
    <w:uiPriority w:val="0"/>
    <w:qFormat/>
    <w:rPr>
      <w:color w:val="800080"/>
      <w:u w:val="single"/>
    </w:rPr>
  </w:style>
  <w:style w:type="character" w:styleId="719">
    <w:name w:val="line number"/>
    <w:uiPriority w:val="0"/>
    <w:qFormat/>
    <w:rPr>
      <w:rFonts w:ascii="Tahoma" w:hAnsi="Tahoma"/>
      <w:sz w:val="24"/>
      <w:szCs w:val="20"/>
    </w:rPr>
  </w:style>
  <w:style w:type="character" w:styleId="720">
    <w:name w:val="Hyperlink"/>
    <w:basedOn w:val="670"/>
    <w:uiPriority w:val="99"/>
    <w:qFormat/>
    <w:rPr>
      <w:color w:val="0000ff"/>
      <w:u w:val="single"/>
    </w:rPr>
  </w:style>
  <w:style w:type="character" w:styleId="721">
    <w:name w:val="annotation reference"/>
    <w:uiPriority w:val="99"/>
    <w:qFormat/>
    <w:rPr>
      <w:sz w:val="21"/>
    </w:rPr>
  </w:style>
  <w:style w:type="character" w:styleId="722">
    <w:name w:val="footnote reference"/>
    <w:uiPriority w:val="0"/>
    <w:qFormat/>
    <w:rPr>
      <w:vertAlign w:val="superscript"/>
    </w:rPr>
  </w:style>
  <w:style w:type="character" w:styleId="723" w:customStyle="1">
    <w:name w:val="Heading 1 Char"/>
    <w:basedOn w:val="670"/>
    <w:uiPriority w:val="9"/>
    <w:rPr>
      <w:rFonts w:ascii="Arial" w:hAnsi="Arial" w:eastAsia="Arial" w:cs="Arial"/>
      <w:sz w:val="40"/>
      <w:szCs w:val="40"/>
    </w:rPr>
  </w:style>
  <w:style w:type="character" w:styleId="724" w:customStyle="1">
    <w:name w:val="Heading 2 Char"/>
    <w:basedOn w:val="670"/>
    <w:uiPriority w:val="9"/>
    <w:rPr>
      <w:rFonts w:ascii="Arial" w:hAnsi="Arial" w:eastAsia="Arial" w:cs="Arial"/>
      <w:sz w:val="34"/>
    </w:rPr>
  </w:style>
  <w:style w:type="character" w:styleId="725" w:customStyle="1">
    <w:name w:val="Heading 3 Char"/>
    <w:basedOn w:val="670"/>
    <w:uiPriority w:val="9"/>
    <w:rPr>
      <w:rFonts w:ascii="Arial" w:hAnsi="Arial" w:eastAsia="Arial" w:cs="Arial"/>
      <w:sz w:val="30"/>
      <w:szCs w:val="30"/>
    </w:rPr>
  </w:style>
  <w:style w:type="character" w:styleId="726" w:customStyle="1">
    <w:name w:val="Heading 4 Char"/>
    <w:basedOn w:val="670"/>
    <w:uiPriority w:val="9"/>
    <w:qFormat/>
    <w:rPr>
      <w:rFonts w:ascii="Arial" w:hAnsi="Arial" w:eastAsia="Arial" w:cs="Arial"/>
      <w:b/>
      <w:bCs/>
      <w:sz w:val="26"/>
      <w:szCs w:val="26"/>
    </w:rPr>
  </w:style>
  <w:style w:type="character" w:styleId="727" w:customStyle="1">
    <w:name w:val="Heading 5 Char"/>
    <w:basedOn w:val="670"/>
    <w:uiPriority w:val="9"/>
    <w:rPr>
      <w:rFonts w:ascii="Arial" w:hAnsi="Arial" w:eastAsia="Arial" w:cs="Arial"/>
      <w:b/>
      <w:bCs/>
      <w:sz w:val="24"/>
      <w:szCs w:val="24"/>
    </w:rPr>
  </w:style>
  <w:style w:type="character" w:styleId="728" w:customStyle="1">
    <w:name w:val="Heading 6 Char"/>
    <w:basedOn w:val="670"/>
    <w:uiPriority w:val="9"/>
    <w:rPr>
      <w:rFonts w:ascii="Arial" w:hAnsi="Arial" w:eastAsia="Arial" w:cs="Arial"/>
      <w:b/>
      <w:bCs/>
      <w:sz w:val="22"/>
      <w:szCs w:val="22"/>
    </w:rPr>
  </w:style>
  <w:style w:type="character" w:styleId="729" w:customStyle="1">
    <w:name w:val="Heading 7 Char"/>
    <w:basedOn w:val="670"/>
    <w:uiPriority w:val="9"/>
    <w:qFormat/>
    <w:rPr>
      <w:rFonts w:ascii="Arial" w:hAnsi="Arial" w:eastAsia="Arial" w:cs="Arial"/>
      <w:b/>
      <w:bCs/>
      <w:i/>
      <w:iCs/>
      <w:sz w:val="22"/>
      <w:szCs w:val="22"/>
    </w:rPr>
  </w:style>
  <w:style w:type="character" w:styleId="730" w:customStyle="1">
    <w:name w:val="Heading 8 Char"/>
    <w:basedOn w:val="670"/>
    <w:uiPriority w:val="9"/>
    <w:rPr>
      <w:rFonts w:ascii="Arial" w:hAnsi="Arial" w:eastAsia="Arial" w:cs="Arial"/>
      <w:i/>
      <w:iCs/>
      <w:sz w:val="22"/>
      <w:szCs w:val="22"/>
    </w:rPr>
  </w:style>
  <w:style w:type="character" w:styleId="731" w:customStyle="1">
    <w:name w:val="Heading 9 Char"/>
    <w:basedOn w:val="670"/>
    <w:uiPriority w:val="9"/>
    <w:rPr>
      <w:rFonts w:ascii="Arial" w:hAnsi="Arial" w:eastAsia="Arial" w:cs="Arial"/>
      <w:i/>
      <w:iCs/>
      <w:sz w:val="21"/>
      <w:szCs w:val="21"/>
    </w:r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70"/>
    <w:uiPriority w:val="10"/>
    <w:rPr>
      <w:sz w:val="48"/>
      <w:szCs w:val="48"/>
    </w:rPr>
  </w:style>
  <w:style w:type="character" w:styleId="734" w:customStyle="1">
    <w:name w:val="Subtitle Char"/>
    <w:basedOn w:val="670"/>
    <w:link w:val="701"/>
    <w:uiPriority w:val="11"/>
    <w:rPr>
      <w:sz w:val="24"/>
      <w:szCs w:val="24"/>
    </w:rPr>
  </w:style>
  <w:style w:type="paragraph" w:styleId="735">
    <w:name w:val="Quote"/>
    <w:basedOn w:val="660"/>
    <w:next w:val="660"/>
    <w:link w:val="736"/>
    <w:uiPriority w:val="29"/>
    <w:qFormat/>
    <w:pPr>
      <w:ind w:left="720" w:right="720"/>
    </w:pPr>
    <w:rPr>
      <w:i/>
    </w:rPr>
  </w:style>
  <w:style w:type="character" w:styleId="736" w:customStyle="1">
    <w:name w:val="Quote Char"/>
    <w:link w:val="735"/>
    <w:uiPriority w:val="29"/>
    <w:rPr>
      <w:i/>
    </w:rPr>
  </w:style>
  <w:style w:type="paragraph" w:styleId="737">
    <w:name w:val="Intense Quote"/>
    <w:basedOn w:val="660"/>
    <w:next w:val="66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rPr>
      <w:i/>
    </w:rPr>
  </w:style>
  <w:style w:type="character" w:styleId="739" w:customStyle="1">
    <w:name w:val="Header Char"/>
    <w:basedOn w:val="670"/>
    <w:uiPriority w:val="99"/>
  </w:style>
  <w:style w:type="character" w:styleId="740" w:customStyle="1">
    <w:name w:val="Footer Char"/>
    <w:basedOn w:val="670"/>
    <w:uiPriority w:val="99"/>
  </w:style>
  <w:style w:type="character" w:styleId="741" w:customStyle="1">
    <w:name w:val="Caption Char"/>
    <w:uiPriority w:val="99"/>
  </w:style>
  <w:style w:type="table" w:styleId="742" w:customStyle="1">
    <w:name w:val="Table Grid Light"/>
    <w:basedOn w:val="67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7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7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71"/>
    <w:uiPriority w:val="99"/>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b/>
        <w:color w:val="404040"/>
      </w:rPr>
    </w:tblStylePr>
    <w:tblStylePr w:type="firstRow">
      <w:rPr>
        <w:b/>
        <w:color w:val="404040"/>
      </w:rPr>
      <w:tcPr>
        <w:tcBorders>
          <w:bottom w:val="single" w:color="B4E48C"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71"/>
    <w:uiPriority w:val="99"/>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b/>
        <w:color w:val="404040"/>
      </w:rPr>
    </w:tblStylePr>
    <w:tblStylePr w:type="firstRow">
      <w:rPr>
        <w:b/>
        <w:color w:val="404040"/>
      </w:rPr>
      <w:tcPr>
        <w:tcBorders>
          <w:bottom w:val="single" w:color="F276B1"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71"/>
    <w:uiPriority w:val="99"/>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b/>
        <w:color w:val="404040"/>
      </w:rPr>
    </w:tblStylePr>
    <w:tblStylePr w:type="firstRow">
      <w:rPr>
        <w:b/>
        <w:color w:val="404040"/>
      </w:rPr>
      <w:tcPr>
        <w:tcBorders>
          <w:bottom w:val="single" w:color="FED56F"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71"/>
    <w:uiPriority w:val="99"/>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b/>
        <w:color w:val="404040"/>
      </w:rPr>
    </w:tblStylePr>
    <w:tblStylePr w:type="firstRow">
      <w:rPr>
        <w:b/>
        <w:color w:val="404040"/>
      </w:rPr>
      <w:tcPr>
        <w:tcBorders>
          <w:bottom w:val="single" w:color="55DAFF"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71"/>
    <w:uiPriority w:val="99"/>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b/>
        <w:color w:val="404040"/>
      </w:rPr>
    </w:tblStylePr>
    <w:tblStylePr w:type="firstRow">
      <w:rPr>
        <w:b/>
        <w:color w:val="404040"/>
      </w:rPr>
      <w:tcPr>
        <w:tcBorders>
          <w:bottom w:val="single" w:color="ADBADE"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71"/>
    <w:uiPriority w:val="99"/>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b/>
        <w:color w:val="404040"/>
      </w:rPr>
    </w:tblStylePr>
    <w:tblStylePr w:type="firstRow">
      <w:rPr>
        <w:b/>
        <w:color w:val="404040"/>
      </w:rPr>
      <w:tcPr>
        <w:tcBorders>
          <w:bottom w:val="single" w:color="63E8D7"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7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71"/>
    <w:uiPriority w:val="99"/>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89D44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89D44B"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71"/>
    <w:uiPriority w:val="99"/>
    <w:qFormat/>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74B0"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74B0"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71"/>
    <w:uiPriority w:val="99"/>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EB80A"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EB80A"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71"/>
    <w:uiPriority w:val="99"/>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FD9FF"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FD9FF"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71"/>
    <w:uiPriority w:val="99"/>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38AC8"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38AC8"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71"/>
    <w:uiPriority w:val="99"/>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AB39F"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AB39F" w:themeColor="accent6" w:sz="4" w:space="0"/>
          <w:left w:val="none" w:color="000000" w:sz="4" w:space="0"/>
          <w:bottom w:val="none" w:color="000000" w:sz="4" w:space="0"/>
          <w:right w:val="none" w:color="000000" w:sz="4" w:space="0"/>
        </w:tcBorders>
      </w:tcPr>
    </w:tblStylePr>
  </w:style>
  <w:style w:type="table" w:styleId="762" w:customStyle="1">
    <w:name w:val="Grid Table 3"/>
    <w:basedOn w:val="67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71"/>
    <w:uiPriority w:val="99"/>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71"/>
    <w:uiPriority w:val="99"/>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71"/>
    <w:uiPriority w:val="99"/>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71"/>
    <w:uiPriority w:val="99"/>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71"/>
    <w:uiPriority w:val="99"/>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71"/>
    <w:uiPriority w:val="99"/>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7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71"/>
    <w:uiPriority w:val="59"/>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insideV w:val="single" w:color="B6E590" w:themeColor="accent1" w:themeTint="90" w:sz="4" w:space="0"/>
      </w:tblBorders>
    </w:tblPr>
    <w:tblStylePr w:type="band1Horz">
      <w:rPr>
        <w:rFonts w:ascii="Arial" w:hAnsi="Arial"/>
        <w:color w:val="404040"/>
        <w:sz w:val="22"/>
      </w:rPr>
      <w:tcPr>
        <w:shd w:val="clear" w:color="e5f5d8" w:themeColor="accent1" w:themeTint="32" w:fill="e5f5d8" w:themeFill="accent1" w:themeFillTint="32"/>
      </w:tcPr>
    </w:tblStylePr>
    <w:tblStylePr w:type="band1Vert">
      <w:rPr>
        <w:rFonts w:ascii="Arial" w:hAnsi="Arial"/>
        <w:color w:val="404040"/>
        <w:sz w:val="22"/>
      </w:rPr>
      <w:tcPr>
        <w:shd w:val="clear" w:color="e5f5d8" w:themeColor="accent1" w:themeTint="32" w:fill="e5f5d8" w:themeFill="accent1" w:themeFillTint="32"/>
      </w:tcPr>
    </w:tblStylePr>
    <w:tblStylePr w:type="firstCol">
      <w:rPr>
        <w:b/>
        <w:color w:val="404040"/>
      </w:rPr>
    </w:tblStylePr>
    <w:tblStylePr w:type="firstRow">
      <w:rPr>
        <w:rFonts w:ascii="Arial" w:hAnsi="Arial"/>
        <w:b/>
        <w:color w:val="ffffff"/>
        <w:sz w:val="22"/>
      </w:rPr>
      <w:tcPr>
        <w:shd w:val="clear" w:color="89d44b" w:themeColor="accent1" w:themeTint="EA" w:fill="89d44b" w:themeFill="accent1" w:themeFillTint="EA"/>
        <w:tcBorders>
          <w:top w:val="single" w:color="89D44B" w:themeColor="accent1" w:themeTint="EA" w:sz="4" w:space="0"/>
          <w:left w:val="single" w:color="89D44B" w:themeColor="accent1" w:themeTint="EA" w:sz="4" w:space="0"/>
          <w:bottom w:val="single" w:color="89D44B" w:themeColor="accent1" w:themeTint="EA" w:sz="4" w:space="0"/>
          <w:right w:val="single" w:color="89D44B" w:themeColor="accent1" w:themeTint="EA" w:sz="4" w:space="0"/>
        </w:tcBorders>
      </w:tcPr>
    </w:tblStylePr>
    <w:tblStylePr w:type="lastCol">
      <w:rPr>
        <w:b/>
        <w:color w:val="404040"/>
      </w:rPr>
    </w:tblStylePr>
    <w:tblStylePr w:type="lastRow">
      <w:rPr>
        <w:b/>
        <w:color w:val="404040"/>
      </w:rPr>
      <w:tcPr>
        <w:tcBorders>
          <w:top w:val="single" w:color="89D44B" w:themeColor="accent1" w:themeTint="EA" w:sz="4" w:space="0"/>
        </w:tcBorders>
      </w:tcPr>
    </w:tblStylePr>
  </w:style>
  <w:style w:type="table" w:styleId="771" w:customStyle="1">
    <w:name w:val="Grid Table 4 - Accent 2"/>
    <w:basedOn w:val="671"/>
    <w:uiPriority w:val="59"/>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insideV w:val="single" w:color="F37AB3" w:themeColor="accent2" w:themeTint="90"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cBorders>
      </w:tcPr>
    </w:tblStylePr>
    <w:tblStylePr w:type="lastCol">
      <w:rPr>
        <w:b/>
        <w:color w:val="404040"/>
      </w:rPr>
    </w:tblStylePr>
    <w:tblStylePr w:type="lastRow">
      <w:rPr>
        <w:b/>
        <w:color w:val="404040"/>
      </w:rPr>
      <w:tcPr>
        <w:tcBorders>
          <w:top w:val="single" w:color="F274B0" w:themeColor="accent2" w:themeTint="97" w:sz="4" w:space="0"/>
        </w:tcBorders>
      </w:tcPr>
    </w:tblStylePr>
  </w:style>
  <w:style w:type="table" w:styleId="772" w:customStyle="1">
    <w:name w:val="Grid Table 4 - Accent 3"/>
    <w:basedOn w:val="671"/>
    <w:uiPriority w:val="59"/>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insideV w:val="single" w:color="FED674" w:themeColor="accent3" w:themeTint="90"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eb80a" w:themeColor="accent3" w:themeTint="FE" w:fill="feb80a" w:themeFill="accent3" w:themeFillTint="FE"/>
        <w:tc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tcBorders>
      </w:tcPr>
    </w:tblStylePr>
    <w:tblStylePr w:type="lastCol">
      <w:rPr>
        <w:b/>
        <w:color w:val="404040"/>
      </w:rPr>
    </w:tblStylePr>
    <w:tblStylePr w:type="lastRow">
      <w:rPr>
        <w:b/>
        <w:color w:val="404040"/>
      </w:rPr>
      <w:tcPr>
        <w:tcBorders>
          <w:top w:val="single" w:color="FEB80A" w:themeColor="accent3" w:themeTint="FE" w:sz="4" w:space="0"/>
        </w:tcBorders>
      </w:tcPr>
    </w:tblStylePr>
  </w:style>
  <w:style w:type="table" w:styleId="773" w:customStyle="1">
    <w:name w:val="Grid Table 4 - Accent 4"/>
    <w:basedOn w:val="671"/>
    <w:uiPriority w:val="59"/>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insideV w:val="single" w:color="5BDCFF" w:themeColor="accent4" w:themeTint="90"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cBorders>
      </w:tcPr>
    </w:tblStylePr>
    <w:tblStylePr w:type="lastCol">
      <w:rPr>
        <w:b/>
        <w:color w:val="404040"/>
      </w:rPr>
    </w:tblStylePr>
    <w:tblStylePr w:type="lastRow">
      <w:rPr>
        <w:b/>
        <w:color w:val="404040"/>
      </w:rPr>
      <w:tcPr>
        <w:tcBorders>
          <w:top w:val="single" w:color="4FD9FF" w:themeColor="accent4" w:themeTint="9A" w:sz="4" w:space="0"/>
        </w:tcBorders>
      </w:tcPr>
    </w:tblStylePr>
  </w:style>
  <w:style w:type="table" w:styleId="774" w:customStyle="1">
    <w:name w:val="Grid Table 4 - Accent 5"/>
    <w:basedOn w:val="671"/>
    <w:uiPriority w:val="59"/>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738ac8" w:themeColor="accent5" w:fill="738ac8" w:themeFill="accent5"/>
        <w:tcBorders>
          <w:top w:val="single" w:color="738AC8" w:themeColor="accent5" w:sz="4" w:space="0"/>
          <w:left w:val="single" w:color="738AC8" w:themeColor="accent5" w:sz="4" w:space="0"/>
          <w:bottom w:val="single" w:color="738AC8" w:themeColor="accent5" w:sz="4" w:space="0"/>
          <w:right w:val="single" w:color="738AC8" w:themeColor="accent5" w:sz="4" w:space="0"/>
        </w:tcBorders>
      </w:tcPr>
    </w:tblStylePr>
    <w:tblStylePr w:type="lastCol">
      <w:rPr>
        <w:b/>
        <w:color w:val="404040"/>
      </w:rPr>
    </w:tblStylePr>
    <w:tblStylePr w:type="lastRow">
      <w:rPr>
        <w:b/>
        <w:color w:val="404040"/>
      </w:rPr>
      <w:tcPr>
        <w:tcBorders>
          <w:top w:val="single" w:color="738AC8" w:themeColor="accent5" w:sz="4" w:space="0"/>
        </w:tcBorders>
      </w:tcPr>
    </w:tblStylePr>
  </w:style>
  <w:style w:type="table" w:styleId="775" w:customStyle="1">
    <w:name w:val="Grid Table 4 - Accent 6"/>
    <w:basedOn w:val="671"/>
    <w:uiPriority w:val="59"/>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rFonts w:ascii="Arial" w:hAnsi="Arial"/>
        <w:b/>
        <w:color w:val="ffffff"/>
        <w:sz w:val="22"/>
      </w:rPr>
      <w:tcPr>
        <w:shd w:val="clear" w:color="1ab39f" w:themeColor="accent6" w:fill="1ab39f" w:themeFill="accent6"/>
        <w:tcBorders>
          <w:top w:val="single" w:color="1AB39F" w:themeColor="accent6" w:sz="4" w:space="0"/>
          <w:left w:val="single" w:color="1AB39F" w:themeColor="accent6" w:sz="4" w:space="0"/>
          <w:bottom w:val="single" w:color="1AB39F" w:themeColor="accent6" w:sz="4" w:space="0"/>
          <w:right w:val="single" w:color="1AB39F" w:themeColor="accent6" w:sz="4" w:space="0"/>
        </w:tcBorders>
      </w:tcPr>
    </w:tblStylePr>
    <w:tblStylePr w:type="lastCol">
      <w:rPr>
        <w:b/>
        <w:color w:val="404040"/>
      </w:rPr>
    </w:tblStylePr>
    <w:tblStylePr w:type="lastRow">
      <w:rPr>
        <w:b/>
        <w:color w:val="404040"/>
      </w:rPr>
      <w:tcPr>
        <w:tcBorders>
          <w:top w:val="single" w:color="1AB39F" w:themeColor="accent6" w:sz="4" w:space="0"/>
        </w:tcBorders>
      </w:tcPr>
    </w:tblStylePr>
  </w:style>
  <w:style w:type="table" w:styleId="776" w:customStyle="1">
    <w:name w:val="Grid Table 5 Dark"/>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e9a5" w:themeColor="accent1" w:themeTint="75" w:fill="c4e9a5" w:themeFill="accent1" w:themeFillTint="75"/>
      </w:tcPr>
    </w:tblStylePr>
    <w:tblStylePr w:type="band1Vert">
      <w:tcPr>
        <w:shd w:val="clear" w:color="c4e9a5" w:themeColor="accent1" w:themeTint="75" w:fill="c4e9a5" w:themeFill="accent1" w:themeFillTint="75"/>
      </w:tcPr>
    </w:tblStylePr>
    <w:tblStylePr w:type="firstCol">
      <w:rPr>
        <w:rFonts w:ascii="Arial" w:hAnsi="Arial"/>
        <w:b/>
        <w:color w:val="ffffff"/>
        <w:sz w:val="22"/>
      </w:rPr>
      <w:tcPr>
        <w:shd w:val="clear" w:color="7fd13b" w:themeColor="accent1" w:fill="7fd13b" w:themeFill="accent1"/>
      </w:tcPr>
    </w:tblStylePr>
    <w:tblStylePr w:type="firstRow">
      <w:rPr>
        <w:rFonts w:ascii="Arial" w:hAnsi="Arial"/>
        <w:b/>
        <w:color w:val="ffffff"/>
        <w:sz w:val="22"/>
      </w:rPr>
      <w:tcPr>
        <w:shd w:val="clear" w:color="7fd13b" w:themeColor="accent1" w:fill="7fd13b" w:themeFill="accent1"/>
      </w:tcPr>
    </w:tblStylePr>
    <w:tblStylePr w:type="lastCol">
      <w:rPr>
        <w:rFonts w:ascii="Arial" w:hAnsi="Arial"/>
        <w:b/>
        <w:color w:val="ffffff"/>
        <w:sz w:val="22"/>
      </w:rPr>
      <w:tcPr>
        <w:shd w:val="clear" w:color="7fd13b" w:themeColor="accent1" w:fill="7fd13b" w:themeFill="accent1"/>
      </w:tcPr>
    </w:tblStylePr>
    <w:tblStylePr w:type="lastRow">
      <w:rPr>
        <w:rFonts w:ascii="Arial" w:hAnsi="Arial"/>
        <w:b/>
        <w:color w:val="ffffff"/>
        <w:sz w:val="22"/>
      </w:rPr>
      <w:tcPr>
        <w:shd w:val="clear" w:color="7fd13b" w:themeColor="accent1" w:fill="7fd13b" w:themeFill="accent1"/>
        <w:tcBorders>
          <w:top w:val="single" w:color="FFFFFF" w:themeColor="light1" w:sz="4" w:space="0"/>
        </w:tcBorders>
      </w:tcPr>
    </w:tblStylePr>
  </w:style>
  <w:style w:type="table" w:styleId="778" w:customStyle="1">
    <w:name w:val="Grid Table 5 Dark - Accent 2"/>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93c1" w:themeColor="accent2" w:themeTint="75" w:fill="f593c1" w:themeFill="accent2" w:themeFillTint="75"/>
      </w:tcPr>
    </w:tblStylePr>
    <w:tblStylePr w:type="band1Vert">
      <w:tcPr>
        <w:shd w:val="clear" w:color="f593c1" w:themeColor="accent2" w:themeTint="75" w:fill="f593c1" w:themeFill="accent2" w:themeFillTint="75"/>
      </w:tcPr>
    </w:tblStylePr>
    <w:tblStylePr w:type="firstCol">
      <w:rPr>
        <w:rFonts w:ascii="Arial" w:hAnsi="Arial"/>
        <w:b/>
        <w:color w:val="ffffff"/>
        <w:sz w:val="22"/>
      </w:rPr>
      <w:tcPr>
        <w:shd w:val="clear" w:color="ea157a" w:themeColor="accent2" w:fill="ea157a" w:themeFill="accent2"/>
      </w:tcPr>
    </w:tblStylePr>
    <w:tblStylePr w:type="firstRow">
      <w:rPr>
        <w:rFonts w:ascii="Arial" w:hAnsi="Arial"/>
        <w:b/>
        <w:color w:val="ffffff"/>
        <w:sz w:val="22"/>
      </w:rPr>
      <w:tcPr>
        <w:shd w:val="clear" w:color="ea157a" w:themeColor="accent2" w:fill="ea157a" w:themeFill="accent2"/>
      </w:tcPr>
    </w:tblStylePr>
    <w:tblStylePr w:type="lastCol">
      <w:rPr>
        <w:rFonts w:ascii="Arial" w:hAnsi="Arial"/>
        <w:b/>
        <w:color w:val="ffffff"/>
        <w:sz w:val="22"/>
      </w:rPr>
      <w:tcPr>
        <w:shd w:val="clear" w:color="ea157a" w:themeColor="accent2" w:fill="ea157a" w:themeFill="accent2"/>
      </w:tcPr>
    </w:tblStylePr>
    <w:tblStylePr w:type="lastRow">
      <w:rPr>
        <w:rFonts w:ascii="Arial" w:hAnsi="Arial"/>
        <w:b/>
        <w:color w:val="ffffff"/>
        <w:sz w:val="22"/>
      </w:rPr>
      <w:tcPr>
        <w:shd w:val="clear" w:color="ea157a" w:themeColor="accent2" w:fill="ea157a" w:themeFill="accent2"/>
        <w:tcBorders>
          <w:top w:val="single" w:color="FFFFFF" w:themeColor="light1" w:sz="4" w:space="0"/>
        </w:tcBorders>
      </w:tcPr>
    </w:tblStylePr>
  </w:style>
  <w:style w:type="table" w:styleId="779" w:customStyle="1">
    <w:name w:val="Grid Table 5 Dark - Accent 3"/>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de8e" w:themeColor="accent3" w:themeTint="75" w:fill="fede8e" w:themeFill="accent3" w:themeFillTint="75"/>
      </w:tcPr>
    </w:tblStylePr>
    <w:tblStylePr w:type="band1Vert">
      <w:tcPr>
        <w:shd w:val="clear" w:color="fede8e" w:themeColor="accent3" w:themeTint="75" w:fill="fede8e" w:themeFill="accent3" w:themeFillTint="75"/>
      </w:tcPr>
    </w:tblStylePr>
    <w:tblStylePr w:type="firstCol">
      <w:rPr>
        <w:rFonts w:ascii="Arial" w:hAnsi="Arial"/>
        <w:b/>
        <w:color w:val="ffffff"/>
        <w:sz w:val="22"/>
      </w:rPr>
      <w:tcPr>
        <w:shd w:val="clear" w:color="feb80a" w:themeColor="accent3" w:fill="feb80a" w:themeFill="accent3"/>
      </w:tcPr>
    </w:tblStylePr>
    <w:tblStylePr w:type="firstRow">
      <w:rPr>
        <w:rFonts w:ascii="Arial" w:hAnsi="Arial"/>
        <w:b/>
        <w:color w:val="ffffff"/>
        <w:sz w:val="22"/>
      </w:rPr>
      <w:tcPr>
        <w:shd w:val="clear" w:color="feb80a" w:themeColor="accent3" w:fill="feb80a" w:themeFill="accent3"/>
      </w:tcPr>
    </w:tblStylePr>
    <w:tblStylePr w:type="lastCol">
      <w:rPr>
        <w:rFonts w:ascii="Arial" w:hAnsi="Arial"/>
        <w:b/>
        <w:color w:val="ffffff"/>
        <w:sz w:val="22"/>
      </w:rPr>
      <w:tcPr>
        <w:shd w:val="clear" w:color="feb80a" w:themeColor="accent3" w:fill="feb80a" w:themeFill="accent3"/>
      </w:tcPr>
    </w:tblStylePr>
    <w:tblStylePr w:type="lastRow">
      <w:rPr>
        <w:rFonts w:ascii="Arial" w:hAnsi="Arial"/>
        <w:b/>
        <w:color w:val="ffffff"/>
        <w:sz w:val="22"/>
      </w:rPr>
      <w:tcPr>
        <w:shd w:val="clear" w:color="feb80a" w:themeColor="accent3" w:fill="feb80a" w:themeFill="accent3"/>
        <w:tcBorders>
          <w:top w:val="single" w:color="FFFFFF" w:themeColor="light1" w:sz="4" w:space="0"/>
        </w:tcBorders>
      </w:tcPr>
    </w:tblStylePr>
  </w:style>
  <w:style w:type="table" w:styleId="780" w:customStyle="1">
    <w:name w:val="Grid Table 5 Dark- Accent 4"/>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9e2ff" w:themeColor="accent4" w:themeTint="75" w:fill="79e2ff" w:themeFill="accent4" w:themeFillTint="75"/>
      </w:tcPr>
    </w:tblStylePr>
    <w:tblStylePr w:type="band1Vert">
      <w:tcPr>
        <w:shd w:val="clear" w:color="79e2ff" w:themeColor="accent4" w:themeTint="75" w:fill="79e2ff" w:themeFill="accent4" w:themeFillTint="75"/>
      </w:tcPr>
    </w:tblStylePr>
    <w:tblStylePr w:type="firstCol">
      <w:rPr>
        <w:rFonts w:ascii="Arial" w:hAnsi="Arial"/>
        <w:b/>
        <w:color w:val="ffffff"/>
        <w:sz w:val="22"/>
      </w:rPr>
      <w:tcPr>
        <w:shd w:val="clear" w:color="00addc" w:themeColor="accent4" w:fill="00addc" w:themeFill="accent4"/>
      </w:tcPr>
    </w:tblStylePr>
    <w:tblStylePr w:type="firstRow">
      <w:rPr>
        <w:rFonts w:ascii="Arial" w:hAnsi="Arial"/>
        <w:b/>
        <w:color w:val="ffffff"/>
        <w:sz w:val="22"/>
      </w:rPr>
      <w:tcPr>
        <w:shd w:val="clear" w:color="00addc" w:themeColor="accent4" w:fill="00addc" w:themeFill="accent4"/>
      </w:tcPr>
    </w:tblStylePr>
    <w:tblStylePr w:type="lastCol">
      <w:rPr>
        <w:rFonts w:ascii="Arial" w:hAnsi="Arial"/>
        <w:b/>
        <w:color w:val="ffffff"/>
        <w:sz w:val="22"/>
      </w:rPr>
      <w:tcPr>
        <w:shd w:val="clear" w:color="00addc" w:themeColor="accent4" w:fill="00addc" w:themeFill="accent4"/>
      </w:tcPr>
    </w:tblStylePr>
    <w:tblStylePr w:type="lastRow">
      <w:rPr>
        <w:rFonts w:ascii="Arial" w:hAnsi="Arial"/>
        <w:b/>
        <w:color w:val="ffffff"/>
        <w:sz w:val="22"/>
      </w:rPr>
      <w:tcPr>
        <w:shd w:val="clear" w:color="00addc" w:themeColor="accent4" w:fill="00addc" w:themeFill="accent4"/>
        <w:tcBorders>
          <w:top w:val="single" w:color="FFFFFF" w:themeColor="light1" w:sz="4" w:space="0"/>
        </w:tcBorders>
      </w:tcPr>
    </w:tblStylePr>
  </w:style>
  <w:style w:type="table" w:styleId="781" w:customStyle="1">
    <w:name w:val="Grid Table 5 Dark - Accent 5"/>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ec9e5" w:themeColor="accent5" w:themeTint="75" w:fill="bec9e5" w:themeFill="accent5" w:themeFillTint="75"/>
      </w:tcPr>
    </w:tblStylePr>
    <w:tblStylePr w:type="band1Vert">
      <w:tcPr>
        <w:shd w:val="clear" w:color="bec9e5" w:themeColor="accent5" w:themeTint="75" w:fill="bec9e5" w:themeFill="accent5" w:themeFillTint="75"/>
      </w:tcPr>
    </w:tblStylePr>
    <w:tblStylePr w:type="firstCol">
      <w:rPr>
        <w:rFonts w:ascii="Arial" w:hAnsi="Arial"/>
        <w:b/>
        <w:color w:val="ffffff"/>
        <w:sz w:val="22"/>
      </w:rPr>
      <w:tcPr>
        <w:shd w:val="clear" w:color="738ac8" w:themeColor="accent5" w:fill="738ac8" w:themeFill="accent5"/>
      </w:tcPr>
    </w:tblStylePr>
    <w:tblStylePr w:type="firstRow">
      <w:rPr>
        <w:rFonts w:ascii="Arial" w:hAnsi="Arial"/>
        <w:b/>
        <w:color w:val="ffffff"/>
        <w:sz w:val="22"/>
      </w:rPr>
      <w:tcPr>
        <w:shd w:val="clear" w:color="738ac8" w:themeColor="accent5" w:fill="738ac8" w:themeFill="accent5"/>
      </w:tcPr>
    </w:tblStylePr>
    <w:tblStylePr w:type="lastCol">
      <w:rPr>
        <w:rFonts w:ascii="Arial" w:hAnsi="Arial"/>
        <w:b/>
        <w:color w:val="ffffff"/>
        <w:sz w:val="22"/>
      </w:rPr>
      <w:tcPr>
        <w:shd w:val="clear" w:color="738ac8" w:themeColor="accent5" w:fill="738ac8" w:themeFill="accent5"/>
      </w:tcPr>
    </w:tblStylePr>
    <w:tblStylePr w:type="lastRow">
      <w:rPr>
        <w:rFonts w:ascii="Arial" w:hAnsi="Arial"/>
        <w:b/>
        <w:color w:val="ffffff"/>
        <w:sz w:val="22"/>
      </w:rPr>
      <w:tcPr>
        <w:shd w:val="clear" w:color="738ac8" w:themeColor="accent5" w:fill="738ac8" w:themeFill="accent5"/>
        <w:tcBorders>
          <w:top w:val="single" w:color="FFFFFF" w:themeColor="light1" w:sz="4" w:space="0"/>
        </w:tcBorders>
      </w:tcPr>
    </w:tblStylePr>
  </w:style>
  <w:style w:type="table" w:styleId="782" w:customStyle="1">
    <w:name w:val="Grid Table 5 Dark - Accent 6"/>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4eddf" w:themeColor="accent6" w:themeTint="75" w:fill="84eddf" w:themeFill="accent6" w:themeFillTint="75"/>
      </w:tcPr>
    </w:tblStylePr>
    <w:tblStylePr w:type="band1Vert">
      <w:tcPr>
        <w:shd w:val="clear" w:color="84eddf" w:themeColor="accent6" w:themeTint="75" w:fill="84eddf" w:themeFill="accent6" w:themeFillTint="75"/>
      </w:tcPr>
    </w:tblStylePr>
    <w:tblStylePr w:type="firstCol">
      <w:rPr>
        <w:rFonts w:ascii="Arial" w:hAnsi="Arial"/>
        <w:b/>
        <w:color w:val="ffffff"/>
        <w:sz w:val="22"/>
      </w:rPr>
      <w:tcPr>
        <w:shd w:val="clear" w:color="1ab39f" w:themeColor="accent6" w:fill="1ab39f" w:themeFill="accent6"/>
      </w:tcPr>
    </w:tblStylePr>
    <w:tblStylePr w:type="firstRow">
      <w:rPr>
        <w:rFonts w:ascii="Arial" w:hAnsi="Arial"/>
        <w:b/>
        <w:color w:val="ffffff"/>
        <w:sz w:val="22"/>
      </w:rPr>
      <w:tcPr>
        <w:shd w:val="clear" w:color="1ab39f" w:themeColor="accent6" w:fill="1ab39f" w:themeFill="accent6"/>
      </w:tcPr>
    </w:tblStylePr>
    <w:tblStylePr w:type="lastCol">
      <w:rPr>
        <w:rFonts w:ascii="Arial" w:hAnsi="Arial"/>
        <w:b/>
        <w:color w:val="ffffff"/>
        <w:sz w:val="22"/>
      </w:rPr>
      <w:tcPr>
        <w:shd w:val="clear" w:color="1ab39f" w:themeColor="accent6" w:fill="1ab39f" w:themeFill="accent6"/>
      </w:tcPr>
    </w:tblStylePr>
    <w:tblStylePr w:type="lastRow">
      <w:rPr>
        <w:rFonts w:ascii="Arial" w:hAnsi="Arial"/>
        <w:b/>
        <w:color w:val="ffffff"/>
        <w:sz w:val="22"/>
      </w:rPr>
      <w:tcPr>
        <w:shd w:val="clear" w:color="1ab39f" w:themeColor="accent6" w:fill="1ab39f" w:themeFill="accent6"/>
        <w:tcBorders>
          <w:top w:val="single" w:color="FFFFFF" w:themeColor="light1" w:sz="4" w:space="0"/>
        </w:tcBorders>
      </w:tcPr>
    </w:tblStylePr>
  </w:style>
  <w:style w:type="table" w:styleId="783" w:customStyle="1">
    <w:name w:val="Grid Table 6 Colorful"/>
    <w:basedOn w:val="67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71"/>
    <w:uiPriority w:val="99"/>
    <w:pPr>
      <w:spacing w:after="0" w:line="240" w:lineRule="auto"/>
    </w:pPr>
    <w:tblPr>
      <w:tblBorders>
        <w:top w:val="single" w:color="BEE79C" w:themeColor="accent1" w:themeTint="80" w:sz="4" w:space="0"/>
        <w:left w:val="single" w:color="BEE79C" w:themeColor="accent1" w:themeTint="80" w:sz="4" w:space="0"/>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b/>
        <w:color w:val="bfe89d" w:themeColor="accent1" w:themeTint="80"/>
        <w14:textFill>
          <w14:solidFill>
            <w14:schemeClr w14:val="accent1">
              <w14:lumMod w14:val="50000"/>
              <w14:lumOff w14:val="50000"/>
            </w14:schemeClr>
          </w14:solidFill>
        </w14:textFill>
      </w:rPr>
    </w:tblStylePr>
    <w:tblStylePr w:type="firstRow">
      <w:rPr>
        <w:b/>
        <w:color w:val="bfe89d" w:themeColor="accent1" w:themeTint="80"/>
        <w14:textFill>
          <w14:solidFill>
            <w14:schemeClr w14:val="accent1">
              <w14:lumMod w14:val="50000"/>
              <w14:lumOff w14:val="50000"/>
            </w14:schemeClr>
          </w14:solidFill>
        </w14:textFill>
      </w:rPr>
      <w:tcPr>
        <w:tcBorders>
          <w:bottom w:val="single" w:color="BEE79C" w:themeColor="accent1" w:themeTint="80" w:sz="12" w:space="0"/>
        </w:tcBorders>
      </w:tcPr>
    </w:tblStylePr>
    <w:tblStylePr w:type="lastCol">
      <w:rPr>
        <w:b/>
        <w:color w:val="bfe89d" w:themeColor="accent1" w:themeTint="80"/>
        <w14:textFill>
          <w14:solidFill>
            <w14:schemeClr w14:val="accent1">
              <w14:lumMod w14:val="50000"/>
              <w14:lumOff w14:val="50000"/>
            </w14:schemeClr>
          </w14:solidFill>
        </w14:textFill>
      </w:rPr>
    </w:tblStylePr>
    <w:tblStylePr w:type="lastRow">
      <w:rPr>
        <w:b/>
        <w:color w:val="bfe89d"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71"/>
    <w:uiPriority w:val="99"/>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12"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71"/>
    <w:uiPriority w:val="99"/>
    <w:pPr>
      <w:spacing w:after="0" w:line="240" w:lineRule="auto"/>
    </w:pPr>
    <w:tblPr>
      <w:tbl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b/>
        <w:color w:val="feb80a" w:themeColor="accent3" w:themeTint="FF"/>
        <w14:textFill>
          <w14:solidFill>
            <w14:schemeClr w14:val="accent3">
              <w14:lumMod w14:val="100000"/>
              <w14:lumOff w14:val="0"/>
            </w14:schemeClr>
          </w14:solidFill>
        </w14:textFill>
      </w:rPr>
    </w:tblStylePr>
    <w:tblStylePr w:type="firstRow">
      <w:rPr>
        <w:b/>
        <w:color w:val="feb80a" w:themeColor="accent3" w:themeTint="FF"/>
        <w14:textFill>
          <w14:solidFill>
            <w14:schemeClr w14:val="accent3">
              <w14:lumMod w14:val="100000"/>
              <w14:lumOff w14:val="0"/>
            </w14:schemeClr>
          </w14:solidFill>
        </w14:textFill>
      </w:rPr>
      <w:tcPr>
        <w:tcBorders>
          <w:bottom w:val="single" w:color="FEB80A" w:themeColor="accent3" w:themeTint="FE" w:sz="12" w:space="0"/>
        </w:tcBorders>
      </w:tcPr>
    </w:tblStylePr>
    <w:tblStylePr w:type="lastCol">
      <w:rPr>
        <w:b/>
        <w:color w:val="feb80a" w:themeColor="accent3" w:themeTint="FF"/>
        <w14:textFill>
          <w14:solidFill>
            <w14:schemeClr w14:val="accent3">
              <w14:lumMod w14:val="100000"/>
              <w14:lumOff w14:val="0"/>
            </w14:schemeClr>
          </w14:solidFill>
        </w14:textFill>
      </w:rPr>
    </w:tblStylePr>
    <w:tblStylePr w:type="lastRow">
      <w:rPr>
        <w:b/>
        <w:color w:val="feb80a"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71"/>
    <w:uiPriority w:val="99"/>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12"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71"/>
    <w:uiPriority w:val="99"/>
    <w:pPr>
      <w:spacing w:after="0" w:line="240" w:lineRule="auto"/>
    </w:pPr>
    <w:tblPr>
      <w:tblBorders>
        <w:top w:val="single" w:color="738AC8" w:themeColor="accent5" w:sz="4" w:space="0"/>
        <w:left w:val="single" w:color="738AC8" w:themeColor="accent5" w:sz="4" w:space="0"/>
        <w:bottom w:val="single" w:color="738AC8" w:themeColor="accent5" w:sz="4" w:space="0"/>
        <w:right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738AC8" w:themeColor="accent5" w:sz="12" w:space="0"/>
        </w:tcBorders>
      </w:tcPr>
    </w:tblStylePr>
    <w:tblStylePr w:type="lastCol">
      <w:rPr>
        <w:b/>
        <w:color w:val="344983" w:themeColor="accent5" w:themeShade="94"/>
      </w:rPr>
    </w:tblStylePr>
    <w:tblStylePr w:type="lastRow">
      <w:rPr>
        <w:b/>
        <w:color w:val="344983" w:themeColor="accent5" w:themeShade="94"/>
      </w:rPr>
    </w:tblStylePr>
  </w:style>
  <w:style w:type="table" w:styleId="789" w:customStyle="1">
    <w:name w:val="Grid Table 6 Colorful - Accent 6"/>
    <w:basedOn w:val="671"/>
    <w:uiPriority w:val="99"/>
    <w:pPr>
      <w:spacing w:after="0" w:line="240" w:lineRule="auto"/>
    </w:pPr>
    <w:tblPr>
      <w:tblBorders>
        <w:top w:val="single" w:color="1AB39F" w:themeColor="accent6" w:sz="4" w:space="0"/>
        <w:left w:val="single" w:color="1AB39F" w:themeColor="accent6" w:sz="4" w:space="0"/>
        <w:bottom w:val="single" w:color="1AB39F" w:themeColor="accent6" w:sz="4" w:space="0"/>
        <w:right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344983" w:themeColor="accent5"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1AB39F" w:themeColor="accent6" w:sz="12" w:space="0"/>
        </w:tcBorders>
      </w:tcPr>
    </w:tblStylePr>
    <w:tblStylePr w:type="lastCol">
      <w:rPr>
        <w:b/>
        <w:color w:val="344983" w:themeColor="accent5" w:themeShade="94"/>
      </w:rPr>
    </w:tblStylePr>
    <w:tblStylePr w:type="lastRow">
      <w:rPr>
        <w:b/>
        <w:color w:val="344983" w:themeColor="accent5" w:themeShade="94"/>
      </w:rPr>
    </w:tblStylePr>
  </w:style>
  <w:style w:type="table" w:styleId="790" w:customStyle="1">
    <w:name w:val="Grid Table 7 Colorful"/>
    <w:basedOn w:val="67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71"/>
    <w:uiPriority w:val="99"/>
    <w:pPr>
      <w:spacing w:after="0" w:line="240" w:lineRule="auto"/>
    </w:pPr>
    <w:tblPr>
      <w:tblBorders>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rFonts w:ascii="Arial" w:hAnsi="Arial"/>
        <w:i/>
        <w:color w:val="bfe89d"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BEE79C" w:themeColor="accent1" w:themeTint="80" w:sz="4" w:space="0"/>
        </w:tcBorders>
      </w:tcPr>
    </w:tblStylePr>
    <w:tblStylePr w:type="fir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BEE79C" w:themeColor="accent1" w:themeTint="80" w:sz="4" w:space="0"/>
          <w:right w:val="none" w:color="000000" w:sz="4" w:space="0"/>
        </w:tcBorders>
      </w:tcPr>
    </w:tblStylePr>
    <w:tblStylePr w:type="lastCol">
      <w:rPr>
        <w:rFonts w:ascii="Arial" w:hAnsi="Arial"/>
        <w:i/>
        <w:color w:val="bfe89d"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BEE79C" w:themeColor="accent1" w:themeTint="80" w:sz="4" w:space="0"/>
          <w:bottom w:val="none" w:color="000000" w:sz="4" w:space="0"/>
          <w:right w:val="none" w:color="000000" w:sz="4" w:space="0"/>
        </w:tcBorders>
      </w:tcPr>
    </w:tblStylePr>
    <w:tblStylePr w:type="la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BEE79C"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71"/>
    <w:uiPriority w:val="99"/>
    <w:pPr>
      <w:spacing w:after="0" w:line="240" w:lineRule="auto"/>
    </w:pPr>
    <w:tblPr>
      <w:tblBorders>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71"/>
    <w:uiPriority w:val="99"/>
    <w:pPr>
      <w:spacing w:after="0" w:line="240" w:lineRule="auto"/>
    </w:pPr>
    <w:tblPr>
      <w:tblBorders>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rFonts w:ascii="Arial" w:hAnsi="Arial"/>
        <w:i/>
        <w:color w:val="feb80a"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EB80A" w:themeColor="accent3" w:themeTint="FE" w:sz="4" w:space="0"/>
        </w:tcBorders>
      </w:tcPr>
    </w:tblStylePr>
    <w:tblStylePr w:type="fir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EB80A" w:themeColor="accent3" w:themeTint="FE" w:sz="4" w:space="0"/>
          <w:right w:val="none" w:color="000000" w:sz="4" w:space="0"/>
        </w:tcBorders>
      </w:tcPr>
    </w:tblStylePr>
    <w:tblStylePr w:type="lastCol">
      <w:rPr>
        <w:rFonts w:ascii="Arial" w:hAnsi="Arial"/>
        <w:i/>
        <w:color w:val="feb80a"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EB80A" w:themeColor="accent3" w:themeTint="FE" w:sz="4" w:space="0"/>
          <w:bottom w:val="none" w:color="000000" w:sz="4" w:space="0"/>
          <w:right w:val="none" w:color="000000" w:sz="4" w:space="0"/>
        </w:tcBorders>
      </w:tcPr>
    </w:tblStylePr>
    <w:tblStylePr w:type="la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EB80A"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71"/>
    <w:uiPriority w:val="99"/>
    <w:pPr>
      <w:spacing w:after="0" w:line="240" w:lineRule="auto"/>
    </w:pPr>
    <w:tblPr>
      <w:tblBorders>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71"/>
    <w:uiPriority w:val="99"/>
    <w:pPr>
      <w:spacing w:after="0" w:line="240" w:lineRule="auto"/>
    </w:pPr>
    <w:tblPr>
      <w:tblBorders>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rFonts w:ascii="Arial" w:hAnsi="Arial"/>
        <w:i/>
        <w:color w:val="344983" w:themeColor="accent5" w:themeShade="94"/>
        <w:sz w:val="22"/>
      </w:rPr>
      <w:pPr>
        <w:jc w:val="right"/>
      </w:pPr>
      <w:tcPr>
        <w:shd w:val="clear" w:color="ffffff" w:fill="auto"/>
        <w:tcBorders>
          <w:top w:val="none" w:color="000000" w:sz="4" w:space="0"/>
          <w:left w:val="none" w:color="000000" w:sz="4" w:space="0"/>
          <w:bottom w:val="none" w:color="000000" w:sz="4" w:space="0"/>
          <w:right w:val="single" w:color="AFBCDF" w:themeColor="accent5" w:themeTint="90" w:sz="4" w:space="0"/>
        </w:tcBorders>
      </w:tcPr>
    </w:tblStylePr>
    <w:tblStylePr w:type="firstRow">
      <w:rPr>
        <w:rFonts w:ascii="Arial" w:hAnsi="Arial"/>
        <w:b/>
        <w:color w:val="344983" w:themeColor="accent5" w:themeShade="94"/>
        <w:sz w:val="22"/>
      </w:rPr>
      <w:tcPr>
        <w:shd w:val="clear" w:color="ffffff" w:themeColor="light1" w:fill="ffffff" w:themeFill="light1"/>
        <w:tcBorders>
          <w:top w:val="none" w:color="000000" w:sz="4" w:space="0"/>
          <w:left w:val="none" w:color="000000" w:sz="4" w:space="0"/>
          <w:bottom w:val="single" w:color="AFBCDF" w:themeColor="accent5" w:themeTint="90" w:sz="4" w:space="0"/>
          <w:right w:val="none" w:color="000000" w:sz="4" w:space="0"/>
        </w:tcBorders>
      </w:tcPr>
    </w:tblStylePr>
    <w:tblStylePr w:type="lastCol">
      <w:rPr>
        <w:rFonts w:ascii="Arial" w:hAnsi="Arial"/>
        <w:i/>
        <w:color w:val="344983" w:themeColor="accent5" w:themeShade="94"/>
        <w:sz w:val="22"/>
      </w:rPr>
      <w:tcPr>
        <w:shd w:val="clear" w:color="ffffff" w:fill="auto"/>
        <w:tcBorders>
          <w:top w:val="none" w:color="000000" w:sz="4" w:space="0"/>
          <w:left w:val="single" w:color="AFBCDF" w:themeColor="accent5" w:themeTint="90" w:sz="4" w:space="0"/>
          <w:bottom w:val="none" w:color="000000" w:sz="4" w:space="0"/>
          <w:right w:val="none" w:color="000000" w:sz="4" w:space="0"/>
        </w:tcBorders>
      </w:tcPr>
    </w:tblStylePr>
    <w:tblStylePr w:type="lastRow">
      <w:rPr>
        <w:rFonts w:ascii="Arial" w:hAnsi="Arial"/>
        <w:b/>
        <w:color w:val="344983" w:themeColor="accent5" w:themeShade="94"/>
        <w:sz w:val="22"/>
      </w:rPr>
      <w:tcPr>
        <w:shd w:val="clear" w:color="ffffff" w:themeColor="light1" w:fill="ffffff" w:themeFill="light1"/>
        <w:tcBorders>
          <w:top w:val="single" w:color="AFBCDF"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71"/>
    <w:uiPriority w:val="99"/>
    <w:pPr>
      <w:spacing w:after="0" w:line="240" w:lineRule="auto"/>
    </w:pPr>
    <w:tblPr>
      <w:tblBorders>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0f685c" w:themeColor="accent6"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0f685c" w:themeColor="accent6" w:themeShade="94"/>
        <w:sz w:val="22"/>
      </w:rPr>
    </w:tblStylePr>
    <w:tblStylePr w:type="firstCol">
      <w:rPr>
        <w:rFonts w:ascii="Arial" w:hAnsi="Arial"/>
        <w:i/>
        <w:color w:val="0f685c" w:themeColor="accent6" w:themeShade="94"/>
        <w:sz w:val="22"/>
      </w:rPr>
      <w:pPr>
        <w:jc w:val="right"/>
      </w:pPr>
      <w:tcPr>
        <w:shd w:val="clear" w:color="ffffff" w:fill="auto"/>
        <w:tcBorders>
          <w:top w:val="none" w:color="000000" w:sz="4" w:space="0"/>
          <w:left w:val="none" w:color="000000" w:sz="4" w:space="0"/>
          <w:bottom w:val="none" w:color="000000" w:sz="4" w:space="0"/>
          <w:right w:val="single" w:color="68E9D8" w:themeColor="accent6" w:themeTint="90" w:sz="4" w:space="0"/>
        </w:tcBorders>
      </w:tcPr>
    </w:tblStylePr>
    <w:tblStylePr w:type="firstRow">
      <w:rPr>
        <w:rFonts w:ascii="Arial" w:hAnsi="Arial"/>
        <w:b/>
        <w:color w:val="0f685c" w:themeColor="accent6" w:themeShade="94"/>
        <w:sz w:val="22"/>
      </w:rPr>
      <w:tcPr>
        <w:shd w:val="clear" w:color="ffffff" w:themeColor="light1" w:fill="ffffff" w:themeFill="light1"/>
        <w:tcBorders>
          <w:top w:val="none" w:color="000000" w:sz="4" w:space="0"/>
          <w:left w:val="none" w:color="000000" w:sz="4" w:space="0"/>
          <w:bottom w:val="single" w:color="68E9D8" w:themeColor="accent6" w:themeTint="90" w:sz="4" w:space="0"/>
          <w:right w:val="none" w:color="000000" w:sz="4" w:space="0"/>
        </w:tcBorders>
      </w:tcPr>
    </w:tblStylePr>
    <w:tblStylePr w:type="lastCol">
      <w:rPr>
        <w:rFonts w:ascii="Arial" w:hAnsi="Arial"/>
        <w:i/>
        <w:color w:val="0f685c" w:themeColor="accent6" w:themeShade="94"/>
        <w:sz w:val="22"/>
      </w:rPr>
      <w:tcPr>
        <w:shd w:val="clear" w:color="ffffff" w:fill="auto"/>
        <w:tcBorders>
          <w:top w:val="none" w:color="000000" w:sz="4" w:space="0"/>
          <w:left w:val="single" w:color="68E9D8" w:themeColor="accent6" w:themeTint="90" w:sz="4" w:space="0"/>
          <w:bottom w:val="none" w:color="000000" w:sz="4" w:space="0"/>
          <w:right w:val="none" w:color="000000" w:sz="4" w:space="0"/>
        </w:tcBorders>
      </w:tcPr>
    </w:tblStylePr>
    <w:tblStylePr w:type="lastRow">
      <w:rPr>
        <w:rFonts w:ascii="Arial" w:hAnsi="Arial"/>
        <w:b/>
        <w:color w:val="0f685c" w:themeColor="accent6" w:themeShade="94"/>
        <w:sz w:val="22"/>
      </w:rPr>
      <w:tcPr>
        <w:shd w:val="clear" w:color="ffffff" w:themeColor="light1" w:fill="ffffff" w:themeFill="light1"/>
        <w:tcBorders>
          <w:top w:val="single" w:color="68E9D8"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7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71"/>
    <w:uiPriority w:val="99"/>
    <w:pPr>
      <w:spacing w:after="0" w:line="240" w:lineRule="auto"/>
    </w:pPr>
    <w:tblPr/>
    <w:tblStylePr w:type="band1Horz">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FD13B" w:themeColor="accent1" w:sz="4" w:space="0"/>
          <w:right w:val="none" w:color="000000" w:sz="4" w:space="0"/>
        </w:tcBorders>
      </w:tcPr>
    </w:tblStylePr>
    <w:tblStylePr w:type="lastCol">
      <w:rPr>
        <w:b/>
        <w:color w:val="404040"/>
      </w:rPr>
    </w:tblStylePr>
    <w:tblStylePr w:type="lastRow">
      <w:rPr>
        <w:b/>
        <w:color w:val="404040"/>
      </w:rPr>
      <w:tcPr>
        <w:tcBorders>
          <w:top w:val="single" w:color="7FD13B"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71"/>
    <w:uiPriority w:val="99"/>
    <w:pPr>
      <w:spacing w:after="0" w:line="240" w:lineRule="auto"/>
    </w:pPr>
    <w:tblPr/>
    <w:tblStylePr w:type="band1Horz">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A157A" w:themeColor="accent2" w:sz="4" w:space="0"/>
          <w:right w:val="none" w:color="000000" w:sz="4" w:space="0"/>
        </w:tcBorders>
      </w:tcPr>
    </w:tblStylePr>
    <w:tblStylePr w:type="lastCol">
      <w:rPr>
        <w:b/>
        <w:color w:val="404040"/>
      </w:rPr>
    </w:tblStylePr>
    <w:tblStylePr w:type="lastRow">
      <w:rPr>
        <w:b/>
        <w:color w:val="404040"/>
      </w:rPr>
      <w:tcPr>
        <w:tcBorders>
          <w:top w:val="single" w:color="EA157A"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71"/>
    <w:uiPriority w:val="99"/>
    <w:pPr>
      <w:spacing w:after="0" w:line="240" w:lineRule="auto"/>
    </w:pPr>
    <w:tblPr/>
    <w:tblStylePr w:type="band1Horz">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EB80A" w:themeColor="accent3" w:sz="4" w:space="0"/>
          <w:right w:val="none" w:color="000000" w:sz="4" w:space="0"/>
        </w:tcBorders>
      </w:tcPr>
    </w:tblStylePr>
    <w:tblStylePr w:type="lastCol">
      <w:rPr>
        <w:b/>
        <w:color w:val="404040"/>
      </w:rPr>
    </w:tblStylePr>
    <w:tblStylePr w:type="lastRow">
      <w:rPr>
        <w:b/>
        <w:color w:val="404040"/>
      </w:rPr>
      <w:tcPr>
        <w:tcBorders>
          <w:top w:val="single" w:color="FEB80A"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71"/>
    <w:uiPriority w:val="99"/>
    <w:pPr>
      <w:spacing w:after="0" w:line="240" w:lineRule="auto"/>
    </w:pPr>
    <w:tblPr/>
    <w:tblStylePr w:type="band1Horz">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ADDC" w:themeColor="accent4" w:sz="4" w:space="0"/>
          <w:right w:val="none" w:color="000000" w:sz="4" w:space="0"/>
        </w:tcBorders>
      </w:tcPr>
    </w:tblStylePr>
    <w:tblStylePr w:type="lastCol">
      <w:rPr>
        <w:b/>
        <w:color w:val="404040"/>
      </w:rPr>
    </w:tblStylePr>
    <w:tblStylePr w:type="lastRow">
      <w:rPr>
        <w:b/>
        <w:color w:val="404040"/>
      </w:rPr>
      <w:tcPr>
        <w:tcBorders>
          <w:top w:val="single" w:color="00ADDC"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71"/>
    <w:uiPriority w:val="99"/>
    <w:pPr>
      <w:spacing w:after="0" w:line="240" w:lineRule="auto"/>
    </w:pPr>
    <w:tblPr/>
    <w:tblStylePr w:type="band1Horz">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38AC8" w:themeColor="accent5" w:sz="4" w:space="0"/>
          <w:right w:val="none" w:color="000000" w:sz="4" w:space="0"/>
        </w:tcBorders>
      </w:tcPr>
    </w:tblStylePr>
    <w:tblStylePr w:type="lastCol">
      <w:rPr>
        <w:b/>
        <w:color w:val="404040"/>
      </w:rPr>
    </w:tblStylePr>
    <w:tblStylePr w:type="lastRow">
      <w:rPr>
        <w:b/>
        <w:color w:val="404040"/>
      </w:rPr>
      <w:tcPr>
        <w:tcBorders>
          <w:top w:val="single" w:color="738AC8"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71"/>
    <w:uiPriority w:val="99"/>
    <w:pPr>
      <w:spacing w:after="0" w:line="240" w:lineRule="auto"/>
    </w:pPr>
    <w:tblPr/>
    <w:tblStylePr w:type="band1Horz">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AB39F" w:themeColor="accent6" w:sz="4" w:space="0"/>
          <w:right w:val="none" w:color="000000" w:sz="4" w:space="0"/>
        </w:tcBorders>
      </w:tcPr>
    </w:tblStylePr>
    <w:tblStylePr w:type="lastCol">
      <w:rPr>
        <w:b/>
        <w:color w:val="404040"/>
      </w:rPr>
    </w:tblStylePr>
    <w:tblStylePr w:type="lastRow">
      <w:rPr>
        <w:b/>
        <w:color w:val="404040"/>
      </w:rPr>
      <w:tcPr>
        <w:tcBorders>
          <w:top w:val="single" w:color="1AB39F" w:themeColor="accent6" w:sz="4" w:space="0"/>
          <w:left w:val="none" w:color="000000" w:sz="4" w:space="0"/>
          <w:bottom w:val="none" w:color="000000" w:sz="4" w:space="0"/>
          <w:right w:val="none" w:color="000000" w:sz="4" w:space="0"/>
        </w:tcBorders>
      </w:tcPr>
    </w:tblStylePr>
  </w:style>
  <w:style w:type="table" w:styleId="804" w:customStyle="1">
    <w:name w:val="List Table 2"/>
    <w:basedOn w:val="67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71"/>
    <w:uiPriority w:val="99"/>
    <w:pPr>
      <w:spacing w:after="0" w:line="240" w:lineRule="auto"/>
    </w:pPr>
    <w:tblPr>
      <w:tblBorders>
        <w:top w:val="single" w:color="B6E590" w:themeColor="accent1" w:themeTint="90" w:sz="4" w:space="0"/>
        <w:bottom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style>
  <w:style w:type="table" w:styleId="806" w:customStyle="1">
    <w:name w:val="List Table 2 - Accent 2"/>
    <w:basedOn w:val="671"/>
    <w:uiPriority w:val="99"/>
    <w:pPr>
      <w:spacing w:after="0" w:line="240" w:lineRule="auto"/>
    </w:pPr>
    <w:tblPr>
      <w:tblBorders>
        <w:top w:val="single" w:color="F37AB3" w:themeColor="accent2" w:themeTint="90" w:sz="4" w:space="0"/>
        <w:bottom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style>
  <w:style w:type="table" w:styleId="807" w:customStyle="1">
    <w:name w:val="List Table 2 - Accent 3"/>
    <w:basedOn w:val="671"/>
    <w:uiPriority w:val="99"/>
    <w:pPr>
      <w:spacing w:after="0" w:line="240" w:lineRule="auto"/>
    </w:pPr>
    <w:tblPr>
      <w:tblBorders>
        <w:top w:val="single" w:color="FED674" w:themeColor="accent3" w:themeTint="90" w:sz="4" w:space="0"/>
        <w:bottom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style>
  <w:style w:type="table" w:styleId="808" w:customStyle="1">
    <w:name w:val="List Table 2 - Accent 4"/>
    <w:basedOn w:val="671"/>
    <w:uiPriority w:val="99"/>
    <w:pPr>
      <w:spacing w:after="0" w:line="240" w:lineRule="auto"/>
    </w:pPr>
    <w:tblPr>
      <w:tblBorders>
        <w:top w:val="single" w:color="5BDCFF" w:themeColor="accent4" w:themeTint="90" w:sz="4" w:space="0"/>
        <w:bottom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style>
  <w:style w:type="table" w:styleId="809" w:customStyle="1">
    <w:name w:val="List Table 2 - Accent 5"/>
    <w:basedOn w:val="671"/>
    <w:uiPriority w:val="99"/>
    <w:pPr>
      <w:spacing w:after="0" w:line="240" w:lineRule="auto"/>
    </w:pPr>
    <w:tblPr>
      <w:tblBorders>
        <w:top w:val="single" w:color="AFBCDF" w:themeColor="accent5" w:themeTint="90" w:sz="4" w:space="0"/>
        <w:bottom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style>
  <w:style w:type="table" w:styleId="810" w:customStyle="1">
    <w:name w:val="List Table 2 - Accent 6"/>
    <w:basedOn w:val="671"/>
    <w:uiPriority w:val="99"/>
    <w:pPr>
      <w:spacing w:after="0" w:line="240" w:lineRule="auto"/>
    </w:pPr>
    <w:tblPr>
      <w:tblBorders>
        <w:top w:val="single" w:color="68E9D8" w:themeColor="accent6" w:themeTint="90" w:sz="4" w:space="0"/>
        <w:bottom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style>
  <w:style w:type="table" w:styleId="811" w:customStyle="1">
    <w:name w:val="List Table 3"/>
    <w:basedOn w:val="67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71"/>
    <w:uiPriority w:val="99"/>
    <w:pPr>
      <w:spacing w:after="0" w:line="240" w:lineRule="auto"/>
    </w:pPr>
    <w:tblPr>
      <w:tblBorders>
        <w:top w:val="single" w:color="7FD13B" w:themeColor="accent1" w:sz="4" w:space="0"/>
        <w:left w:val="single" w:color="7FD13B" w:themeColor="accent1" w:sz="4" w:space="0"/>
        <w:bottom w:val="single" w:color="7FD13B" w:themeColor="accent1" w:sz="4" w:space="0"/>
        <w:right w:val="single" w:color="7FD13B" w:themeColor="accent1" w:sz="4" w:space="0"/>
      </w:tblBorders>
    </w:tblPr>
    <w:tblStylePr w:type="band1Horz">
      <w:rPr>
        <w:rFonts w:ascii="Arial" w:hAnsi="Arial"/>
        <w:color w:val="404040"/>
        <w:sz w:val="22"/>
      </w:rPr>
      <w:tcPr>
        <w:tcBorders>
          <w:top w:val="single" w:color="7FD13B" w:themeColor="accent1" w:sz="4" w:space="0"/>
          <w:bottom w:val="single" w:color="7FD13B" w:themeColor="accent1" w:sz="4" w:space="0"/>
        </w:tcBorders>
      </w:tcPr>
    </w:tblStylePr>
    <w:tblStylePr w:type="band1Vert">
      <w:rPr>
        <w:rFonts w:ascii="Arial" w:hAnsi="Arial"/>
        <w:color w:val="404040"/>
        <w:sz w:val="22"/>
      </w:rPr>
      <w:tcPr>
        <w:tcBorders>
          <w:left w:val="single" w:color="7FD13B" w:themeColor="accent1" w:sz="4" w:space="0"/>
          <w:right w:val="single" w:color="7FD13B" w:themeColor="accent1" w:sz="4" w:space="0"/>
        </w:tcBorders>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13" w:customStyle="1">
    <w:name w:val="List Table 3 - Accent 2"/>
    <w:basedOn w:val="671"/>
    <w:uiPriority w:val="99"/>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blBorders>
    </w:tblPr>
    <w:tblStylePr w:type="band1Horz">
      <w:rPr>
        <w:rFonts w:ascii="Arial" w:hAnsi="Arial"/>
        <w:color w:val="404040"/>
        <w:sz w:val="22"/>
      </w:rPr>
      <w:tcPr>
        <w:tcBorders>
          <w:top w:val="single" w:color="F274B0" w:themeColor="accent2" w:themeTint="97" w:sz="4" w:space="0"/>
          <w:bottom w:val="single" w:color="F274B0" w:themeColor="accent2" w:themeTint="97" w:sz="4" w:space="0"/>
        </w:tcBorders>
      </w:tcPr>
    </w:tblStylePr>
    <w:tblStylePr w:type="band1Vert">
      <w:rPr>
        <w:rFonts w:ascii="Arial" w:hAnsi="Arial"/>
        <w:color w:val="404040"/>
        <w:sz w:val="22"/>
      </w:rPr>
      <w:tcPr>
        <w:tcBorders>
          <w:left w:val="single" w:color="F274B0" w:themeColor="accent2" w:themeTint="97" w:sz="4" w:space="0"/>
          <w:right w:val="single" w:color="F274B0" w:themeColor="accent2" w:themeTint="97" w:sz="4" w:space="0"/>
        </w:tcBorders>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71"/>
    <w:uiPriority w:val="99"/>
    <w:pPr>
      <w:spacing w:after="0" w:line="240" w:lineRule="auto"/>
    </w:pPr>
    <w:tblPr>
      <w:tblBorders>
        <w:top w:val="single" w:color="FED46C" w:themeColor="accent3" w:themeTint="98" w:sz="4" w:space="0"/>
        <w:left w:val="single" w:color="FED46C" w:themeColor="accent3" w:themeTint="98" w:sz="4" w:space="0"/>
        <w:bottom w:val="single" w:color="FED46C" w:themeColor="accent3" w:themeTint="98" w:sz="4" w:space="0"/>
        <w:right w:val="single" w:color="FED46C" w:themeColor="accent3" w:themeTint="98" w:sz="4" w:space="0"/>
      </w:tblBorders>
    </w:tblPr>
    <w:tblStylePr w:type="band1Horz">
      <w:rPr>
        <w:rFonts w:ascii="Arial" w:hAnsi="Arial"/>
        <w:color w:val="404040"/>
        <w:sz w:val="22"/>
      </w:rPr>
      <w:tcPr>
        <w:tcBorders>
          <w:top w:val="single" w:color="FED46C" w:themeColor="accent3" w:themeTint="98" w:sz="4" w:space="0"/>
          <w:bottom w:val="single" w:color="FED46C" w:themeColor="accent3" w:themeTint="98" w:sz="4" w:space="0"/>
        </w:tcBorders>
      </w:tcPr>
    </w:tblStylePr>
    <w:tblStylePr w:type="band1Vert">
      <w:rPr>
        <w:rFonts w:ascii="Arial" w:hAnsi="Arial"/>
        <w:color w:val="404040"/>
        <w:sz w:val="22"/>
      </w:rPr>
      <w:tcPr>
        <w:tcBorders>
          <w:left w:val="single" w:color="FED46C" w:themeColor="accent3" w:themeTint="98" w:sz="4" w:space="0"/>
          <w:right w:val="single" w:color="FED46C" w:themeColor="accent3" w:themeTint="98" w:sz="4" w:space="0"/>
        </w:tcBorders>
      </w:tcPr>
    </w:tblStylePr>
    <w:tblStylePr w:type="firstCol">
      <w:rPr>
        <w:b/>
        <w:color w:val="404040"/>
      </w:rPr>
    </w:tblStylePr>
    <w:tblStylePr w:type="firstRow">
      <w:rPr>
        <w:rFonts w:ascii="Arial" w:hAnsi="Arial"/>
        <w:b/>
        <w:color w:val="ffffff"/>
        <w:sz w:val="22"/>
      </w:rPr>
      <w:tcPr>
        <w:shd w:val="clear" w:color="fed46c" w:themeColor="accent3" w:themeTint="98" w:fill="fed46c"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71"/>
    <w:uiPriority w:val="99"/>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blBorders>
    </w:tblPr>
    <w:tblStylePr w:type="band1Horz">
      <w:rPr>
        <w:rFonts w:ascii="Arial" w:hAnsi="Arial"/>
        <w:color w:val="404040"/>
        <w:sz w:val="22"/>
      </w:rPr>
      <w:tcPr>
        <w:tcBorders>
          <w:top w:val="single" w:color="4FD9FF" w:themeColor="accent4" w:themeTint="9A" w:sz="4" w:space="0"/>
          <w:bottom w:val="single" w:color="4FD9FF" w:themeColor="accent4" w:themeTint="9A" w:sz="4" w:space="0"/>
        </w:tcBorders>
      </w:tcPr>
    </w:tblStylePr>
    <w:tblStylePr w:type="band1Vert">
      <w:rPr>
        <w:rFonts w:ascii="Arial" w:hAnsi="Arial"/>
        <w:color w:val="404040"/>
        <w:sz w:val="22"/>
      </w:rPr>
      <w:tcPr>
        <w:tcBorders>
          <w:left w:val="single" w:color="4FD9FF" w:themeColor="accent4" w:themeTint="9A" w:sz="4" w:space="0"/>
          <w:right w:val="single" w:color="4FD9FF" w:themeColor="accent4" w:themeTint="9A" w:sz="4" w:space="0"/>
        </w:tcBorders>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71"/>
    <w:uiPriority w:val="99"/>
    <w:pPr>
      <w:spacing w:after="0" w:line="240" w:lineRule="auto"/>
    </w:pPr>
    <w:tblPr>
      <w:tblBorders>
        <w:top w:val="single" w:color="AAB8DD" w:themeColor="accent5" w:themeTint="9A" w:sz="4" w:space="0"/>
        <w:left w:val="single" w:color="AAB8DD" w:themeColor="accent5" w:themeTint="9A" w:sz="4" w:space="0"/>
        <w:bottom w:val="single" w:color="AAB8DD" w:themeColor="accent5" w:themeTint="9A" w:sz="4" w:space="0"/>
        <w:right w:val="single" w:color="AAB8DD" w:themeColor="accent5" w:themeTint="9A" w:sz="4" w:space="0"/>
      </w:tblBorders>
    </w:tblPr>
    <w:tblStylePr w:type="band1Horz">
      <w:rPr>
        <w:rFonts w:ascii="Arial" w:hAnsi="Arial"/>
        <w:color w:val="404040"/>
        <w:sz w:val="22"/>
      </w:rPr>
      <w:tcPr>
        <w:tcBorders>
          <w:top w:val="single" w:color="AAB8DD" w:themeColor="accent5" w:themeTint="9A" w:sz="4" w:space="0"/>
          <w:bottom w:val="single" w:color="AAB8DD" w:themeColor="accent5" w:themeTint="9A" w:sz="4" w:space="0"/>
        </w:tcBorders>
      </w:tcPr>
    </w:tblStylePr>
    <w:tblStylePr w:type="band1Vert">
      <w:rPr>
        <w:rFonts w:ascii="Arial" w:hAnsi="Arial"/>
        <w:color w:val="404040"/>
        <w:sz w:val="22"/>
      </w:rPr>
      <w:tcPr>
        <w:tcBorders>
          <w:left w:val="single" w:color="AAB8DD" w:themeColor="accent5" w:themeTint="9A" w:sz="4" w:space="0"/>
          <w:right w:val="single" w:color="AAB8DD" w:themeColor="accent5" w:themeTint="9A" w:sz="4" w:space="0"/>
        </w:tcBorders>
      </w:tcPr>
    </w:tblStylePr>
    <w:tblStylePr w:type="firstCol">
      <w:rPr>
        <w:b/>
        <w:color w:val="404040"/>
      </w:rPr>
    </w:tblStylePr>
    <w:tblStylePr w:type="firstRow">
      <w:rPr>
        <w:rFonts w:ascii="Arial" w:hAnsi="Arial"/>
        <w:b/>
        <w:color w:val="ffffff"/>
        <w:sz w:val="22"/>
      </w:rPr>
      <w:tcPr>
        <w:shd w:val="clear" w:color="aab8dd" w:themeColor="accent5" w:themeTint="9A" w:fill="aab8dd"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71"/>
    <w:uiPriority w:val="99"/>
    <w:pPr>
      <w:spacing w:after="0" w:line="240" w:lineRule="auto"/>
    </w:pPr>
    <w:tblPr>
      <w:tblBorders>
        <w:top w:val="single" w:color="60E7D6" w:themeColor="accent6" w:themeTint="98" w:sz="4" w:space="0"/>
        <w:left w:val="single" w:color="60E7D6" w:themeColor="accent6" w:themeTint="98" w:sz="4" w:space="0"/>
        <w:bottom w:val="single" w:color="60E7D6" w:themeColor="accent6" w:themeTint="98" w:sz="4" w:space="0"/>
        <w:right w:val="single" w:color="60E7D6" w:themeColor="accent6" w:themeTint="98" w:sz="4" w:space="0"/>
      </w:tblBorders>
    </w:tblPr>
    <w:tblStylePr w:type="band1Horz">
      <w:rPr>
        <w:rFonts w:ascii="Arial" w:hAnsi="Arial"/>
        <w:color w:val="404040"/>
        <w:sz w:val="22"/>
      </w:rPr>
      <w:tcPr>
        <w:tcBorders>
          <w:top w:val="single" w:color="60E7D6" w:themeColor="accent6" w:themeTint="98" w:sz="4" w:space="0"/>
          <w:bottom w:val="single" w:color="60E7D6" w:themeColor="accent6" w:themeTint="98" w:sz="4" w:space="0"/>
        </w:tcBorders>
      </w:tcPr>
    </w:tblStylePr>
    <w:tblStylePr w:type="band1Vert">
      <w:rPr>
        <w:rFonts w:ascii="Arial" w:hAnsi="Arial"/>
        <w:color w:val="404040"/>
        <w:sz w:val="22"/>
      </w:rPr>
      <w:tcPr>
        <w:tcBorders>
          <w:left w:val="single" w:color="60E7D6" w:themeColor="accent6" w:themeTint="98" w:sz="4" w:space="0"/>
          <w:right w:val="single" w:color="60E7D6" w:themeColor="accent6" w:themeTint="98" w:sz="4" w:space="0"/>
        </w:tcBorders>
      </w:tcPr>
    </w:tblStylePr>
    <w:tblStylePr w:type="firstCol">
      <w:rPr>
        <w:b/>
        <w:color w:val="404040"/>
      </w:rPr>
    </w:tblStylePr>
    <w:tblStylePr w:type="firstRow">
      <w:rPr>
        <w:rFonts w:ascii="Arial" w:hAnsi="Arial"/>
        <w:b/>
        <w:color w:val="ffffff"/>
        <w:sz w:val="22"/>
      </w:rPr>
      <w:tcPr>
        <w:shd w:val="clear" w:color="60e7d6" w:themeColor="accent6" w:themeTint="98" w:fill="60e7d6" w:themeFill="accent6" w:themeFillTint="98"/>
      </w:tcPr>
    </w:tblStylePr>
    <w:tblStylePr w:type="lastCol">
      <w:rPr>
        <w:b/>
        <w:color w:val="404040"/>
      </w:rPr>
    </w:tblStylePr>
    <w:tblStylePr w:type="lastRow">
      <w:rPr>
        <w:b/>
        <w:color w:val="404040"/>
      </w:rPr>
    </w:tblStylePr>
  </w:style>
  <w:style w:type="table" w:styleId="818" w:customStyle="1">
    <w:name w:val="List Table 4"/>
    <w:basedOn w:val="67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71"/>
    <w:uiPriority w:val="99"/>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20" w:customStyle="1">
    <w:name w:val="List Table 4 - Accent 2"/>
    <w:basedOn w:val="671"/>
    <w:uiPriority w:val="99"/>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b/>
        <w:color w:val="404040"/>
      </w:rPr>
    </w:tblStylePr>
    <w:tblStylePr w:type="firstRow">
      <w:rPr>
        <w:rFonts w:ascii="Arial" w:hAnsi="Arial"/>
        <w:b/>
        <w:color w:val="ffffff"/>
        <w:sz w:val="22"/>
      </w:rPr>
      <w:tcPr>
        <w:shd w:val="clear" w:color="ea157a" w:themeColor="accent2" w:fill="ea157a" w:themeFill="accent2"/>
      </w:tcPr>
    </w:tblStylePr>
    <w:tblStylePr w:type="lastCol">
      <w:rPr>
        <w:b/>
        <w:color w:val="404040"/>
      </w:rPr>
    </w:tblStylePr>
    <w:tblStylePr w:type="lastRow">
      <w:rPr>
        <w:b/>
        <w:color w:val="404040"/>
      </w:rPr>
    </w:tblStylePr>
  </w:style>
  <w:style w:type="table" w:styleId="821" w:customStyle="1">
    <w:name w:val="List Table 4 - Accent 3"/>
    <w:basedOn w:val="671"/>
    <w:uiPriority w:val="99"/>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b/>
        <w:color w:val="404040"/>
      </w:rPr>
    </w:tblStylePr>
    <w:tblStylePr w:type="firstRow">
      <w:rPr>
        <w:rFonts w:ascii="Arial" w:hAnsi="Arial"/>
        <w:b/>
        <w:color w:val="ffffff"/>
        <w:sz w:val="22"/>
      </w:rPr>
      <w:tcPr>
        <w:shd w:val="clear" w:color="feb80a" w:themeColor="accent3" w:fill="feb80a" w:themeFill="accent3"/>
      </w:tcPr>
    </w:tblStylePr>
    <w:tblStylePr w:type="lastCol">
      <w:rPr>
        <w:b/>
        <w:color w:val="404040"/>
      </w:rPr>
    </w:tblStylePr>
    <w:tblStylePr w:type="lastRow">
      <w:rPr>
        <w:b/>
        <w:color w:val="404040"/>
      </w:rPr>
    </w:tblStylePr>
  </w:style>
  <w:style w:type="table" w:styleId="822" w:customStyle="1">
    <w:name w:val="List Table 4 - Accent 4"/>
    <w:basedOn w:val="671"/>
    <w:uiPriority w:val="99"/>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b/>
        <w:color w:val="404040"/>
      </w:rPr>
    </w:tblStylePr>
    <w:tblStylePr w:type="firstRow">
      <w:rPr>
        <w:rFonts w:ascii="Arial" w:hAnsi="Arial"/>
        <w:b/>
        <w:color w:val="ffffff"/>
        <w:sz w:val="22"/>
      </w:rPr>
      <w:tcPr>
        <w:shd w:val="clear" w:color="00addc" w:themeColor="accent4" w:fill="00addc" w:themeFill="accent4"/>
      </w:tcPr>
    </w:tblStylePr>
    <w:tblStylePr w:type="lastCol">
      <w:rPr>
        <w:b/>
        <w:color w:val="404040"/>
      </w:rPr>
    </w:tblStylePr>
    <w:tblStylePr w:type="lastRow">
      <w:rPr>
        <w:b/>
        <w:color w:val="404040"/>
      </w:rPr>
    </w:tblStylePr>
  </w:style>
  <w:style w:type="table" w:styleId="823" w:customStyle="1">
    <w:name w:val="List Table 4 - Accent 5"/>
    <w:basedOn w:val="671"/>
    <w:uiPriority w:val="99"/>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b/>
        <w:color w:val="404040"/>
      </w:rPr>
    </w:tblStylePr>
    <w:tblStylePr w:type="firstRow">
      <w:rPr>
        <w:rFonts w:ascii="Arial" w:hAnsi="Arial"/>
        <w:b/>
        <w:color w:val="ffffff"/>
        <w:sz w:val="22"/>
      </w:rPr>
      <w:tcPr>
        <w:shd w:val="clear" w:color="738ac8" w:themeColor="accent5" w:fill="738ac8" w:themeFill="accent5"/>
      </w:tcPr>
    </w:tblStylePr>
    <w:tblStylePr w:type="lastCol">
      <w:rPr>
        <w:b/>
        <w:color w:val="404040"/>
      </w:rPr>
    </w:tblStylePr>
    <w:tblStylePr w:type="lastRow">
      <w:rPr>
        <w:b/>
        <w:color w:val="404040"/>
      </w:rPr>
    </w:tblStylePr>
  </w:style>
  <w:style w:type="table" w:styleId="824" w:customStyle="1">
    <w:name w:val="List Table 4 - Accent 6"/>
    <w:basedOn w:val="671"/>
    <w:uiPriority w:val="99"/>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b/>
        <w:color w:val="404040"/>
      </w:rPr>
    </w:tblStylePr>
    <w:tblStylePr w:type="firstRow">
      <w:rPr>
        <w:rFonts w:ascii="Arial" w:hAnsi="Arial"/>
        <w:b/>
        <w:color w:val="ffffff"/>
        <w:sz w:val="22"/>
      </w:rPr>
      <w:tcPr>
        <w:shd w:val="clear" w:color="1ab39f" w:themeColor="accent6" w:fill="1ab39f" w:themeFill="accent6"/>
      </w:tcPr>
    </w:tblStylePr>
    <w:tblStylePr w:type="lastCol">
      <w:rPr>
        <w:b/>
        <w:color w:val="404040"/>
      </w:rPr>
    </w:tblStylePr>
    <w:tblStylePr w:type="lastRow">
      <w:rPr>
        <w:b/>
        <w:color w:val="404040"/>
      </w:rPr>
    </w:tblStylePr>
  </w:style>
  <w:style w:type="table" w:styleId="825" w:customStyle="1">
    <w:name w:val="List Table 5 Dark"/>
    <w:basedOn w:val="67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71"/>
    <w:uiPriority w:val="99"/>
    <w:pPr>
      <w:spacing w:after="0" w:line="240" w:lineRule="auto"/>
    </w:pPr>
    <w:tblPr>
      <w:tblBorders>
        <w:top w:val="single" w:color="7FD13B" w:themeColor="accent1" w:sz="32" w:space="0"/>
        <w:left w:val="single" w:color="7FD13B" w:themeColor="accent1" w:sz="32" w:space="0"/>
        <w:bottom w:val="single" w:color="7FD13B" w:themeColor="accent1" w:sz="32" w:space="0"/>
        <w:right w:val="single" w:color="7FD13B" w:themeColor="accent1" w:sz="32" w:space="0"/>
      </w:tblBorders>
    </w:tblPr>
    <w:tblStylePr w:type="band1Horz">
      <w:tcPr>
        <w:shd w:val="clear" w:color="7fd13b" w:themeColor="accent1" w:fill="7fd13b" w:themeFill="accent1"/>
        <w:tcBorders>
          <w:top w:val="single" w:color="FFFFFF" w:themeColor="light1" w:sz="4" w:space="0"/>
          <w:bottom w:val="single" w:color="FFFFFF" w:themeColor="light1" w:sz="4" w:space="0"/>
        </w:tcBorders>
      </w:tcPr>
    </w:tblStylePr>
    <w:tblStylePr w:type="band1Vert">
      <w:tcPr>
        <w:shd w:val="clear" w:color="7fd13b" w:themeColor="accent1" w:fill="7fd13b" w:themeFill="accent1"/>
        <w:tcBorders>
          <w:left w:val="single" w:color="FFFFFF" w:themeColor="light1" w:sz="4" w:space="0"/>
          <w:right w:val="single" w:color="FFFFFF" w:themeColor="light1" w:sz="4" w:space="0"/>
        </w:tcBorders>
      </w:tcPr>
    </w:tblStylePr>
    <w:tblStylePr w:type="band2Horz">
      <w:tcPr>
        <w:shd w:val="clear" w:color="7fd13b" w:themeColor="accent1" w:fill="7fd13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FD13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fd13b" w:themeColor="accent1" w:fill="7fd13b" w:themeFill="accent1"/>
        <w:tcBorders>
          <w:top w:val="single" w:color="7FD13B" w:themeColor="accent1" w:sz="32" w:space="0"/>
          <w:bottom w:val="single" w:color="FFFFFF" w:themeColor="light1" w:sz="12" w:space="0"/>
        </w:tcBorders>
      </w:tcPr>
    </w:tblStylePr>
    <w:tblStylePr w:type="lastCol">
      <w:tcPr>
        <w:tcBorders>
          <w:left w:val="single" w:color="FFFFFF" w:themeColor="light1" w:sz="4" w:space="0"/>
          <w:right w:val="single" w:color="7FD13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71"/>
    <w:uiPriority w:val="99"/>
    <w:pPr>
      <w:spacing w:after="0" w:line="240" w:lineRule="auto"/>
    </w:pPr>
    <w:tblPr>
      <w:tblBorders>
        <w:top w:val="single" w:color="F274B0" w:themeColor="accent2" w:themeTint="97" w:sz="32" w:space="0"/>
        <w:left w:val="single" w:color="F274B0" w:themeColor="accent2" w:themeTint="97" w:sz="32" w:space="0"/>
        <w:bottom w:val="single" w:color="F274B0" w:themeColor="accent2" w:themeTint="97" w:sz="32" w:space="0"/>
        <w:right w:val="single" w:color="F274B0" w:themeColor="accent2" w:themeTint="97" w:sz="32" w:space="0"/>
      </w:tblBorders>
    </w:tblPr>
    <w:tblStylePr w:type="band1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1Vert">
      <w:tcPr>
        <w:shd w:val="clear" w:color="f274b0" w:themeColor="accent2" w:themeTint="97" w:fill="f274b0" w:themeFill="accent2" w:themeFillTint="97"/>
        <w:tcBorders>
          <w:left w:val="single" w:color="FFFFFF" w:themeColor="light1" w:sz="4" w:space="0"/>
          <w:right w:val="single" w:color="FFFFFF" w:themeColor="light1" w:sz="4" w:space="0"/>
        </w:tcBorders>
      </w:tcPr>
    </w:tblStylePr>
    <w:tblStylePr w:type="band2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274B0"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274b0" w:themeColor="accent2" w:themeTint="97" w:fill="f274b0" w:themeFill="accent2" w:themeFillTint="97"/>
        <w:tcBorders>
          <w:top w:val="single" w:color="F274B0" w:themeColor="accent2" w:themeTint="97" w:sz="32" w:space="0"/>
          <w:bottom w:val="single" w:color="FFFFFF" w:themeColor="light1" w:sz="12" w:space="0"/>
        </w:tcBorders>
      </w:tcPr>
    </w:tblStylePr>
    <w:tblStylePr w:type="lastCol">
      <w:tcPr>
        <w:tcBorders>
          <w:left w:val="single" w:color="FFFFFF" w:themeColor="light1" w:sz="4" w:space="0"/>
          <w:right w:val="single" w:color="F274B0"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71"/>
    <w:uiPriority w:val="99"/>
    <w:pPr>
      <w:spacing w:after="0" w:line="240" w:lineRule="auto"/>
    </w:pPr>
    <w:tblPr>
      <w:tblBorders>
        <w:top w:val="single" w:color="FED46C" w:themeColor="accent3" w:themeTint="98" w:sz="32" w:space="0"/>
        <w:left w:val="single" w:color="FED46C" w:themeColor="accent3" w:themeTint="98" w:sz="32" w:space="0"/>
        <w:bottom w:val="single" w:color="FED46C" w:themeColor="accent3" w:themeTint="98" w:sz="32" w:space="0"/>
        <w:right w:val="single" w:color="FED46C" w:themeColor="accent3" w:themeTint="98" w:sz="32" w:space="0"/>
      </w:tblBorders>
    </w:tblPr>
    <w:tblStylePr w:type="band1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1Vert">
      <w:tcPr>
        <w:shd w:val="clear" w:color="fed46c" w:themeColor="accent3" w:themeTint="98" w:fill="fed46c" w:themeFill="accent3" w:themeFillTint="98"/>
        <w:tcBorders>
          <w:left w:val="single" w:color="FFFFFF" w:themeColor="light1" w:sz="4" w:space="0"/>
          <w:right w:val="single" w:color="FFFFFF" w:themeColor="light1" w:sz="4" w:space="0"/>
        </w:tcBorders>
      </w:tcPr>
    </w:tblStylePr>
    <w:tblStylePr w:type="band2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ED46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ed46c" w:themeColor="accent3" w:themeTint="98" w:fill="fed46c" w:themeFill="accent3" w:themeFillTint="98"/>
        <w:tcBorders>
          <w:top w:val="single" w:color="FED46C" w:themeColor="accent3" w:themeTint="98" w:sz="32" w:space="0"/>
          <w:bottom w:val="single" w:color="FFFFFF" w:themeColor="light1" w:sz="12" w:space="0"/>
        </w:tcBorders>
      </w:tcPr>
    </w:tblStylePr>
    <w:tblStylePr w:type="lastCol">
      <w:tcPr>
        <w:tcBorders>
          <w:left w:val="single" w:color="FFFFFF" w:themeColor="light1" w:sz="4" w:space="0"/>
          <w:right w:val="single" w:color="FED46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71"/>
    <w:uiPriority w:val="99"/>
    <w:pPr>
      <w:spacing w:after="0" w:line="240" w:lineRule="auto"/>
    </w:pPr>
    <w:tblPr>
      <w:tblBorders>
        <w:top w:val="single" w:color="4FD9FF" w:themeColor="accent4" w:themeTint="9A" w:sz="32" w:space="0"/>
        <w:left w:val="single" w:color="4FD9FF" w:themeColor="accent4" w:themeTint="9A" w:sz="32" w:space="0"/>
        <w:bottom w:val="single" w:color="4FD9FF" w:themeColor="accent4" w:themeTint="9A" w:sz="32" w:space="0"/>
        <w:right w:val="single" w:color="4FD9FF" w:themeColor="accent4" w:themeTint="9A" w:sz="32" w:space="0"/>
      </w:tblBorders>
    </w:tblPr>
    <w:tblStylePr w:type="band1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1Vert">
      <w:tcPr>
        <w:shd w:val="clear" w:color="4fd9ff" w:themeColor="accent4" w:themeTint="9A" w:fill="4fd9ff" w:themeFill="accent4" w:themeFillTint="9A"/>
        <w:tcBorders>
          <w:left w:val="single" w:color="FFFFFF" w:themeColor="light1" w:sz="4" w:space="0"/>
          <w:right w:val="single" w:color="FFFFFF" w:themeColor="light1" w:sz="4" w:space="0"/>
        </w:tcBorders>
      </w:tcPr>
    </w:tblStylePr>
    <w:tblStylePr w:type="band2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D9FF"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d9ff" w:themeColor="accent4" w:themeTint="9A" w:fill="4fd9ff" w:themeFill="accent4" w:themeFillTint="9A"/>
        <w:tcBorders>
          <w:top w:val="single" w:color="4FD9FF" w:themeColor="accent4" w:themeTint="9A" w:sz="32" w:space="0"/>
          <w:bottom w:val="single" w:color="FFFFFF" w:themeColor="light1" w:sz="12" w:space="0"/>
        </w:tcBorders>
      </w:tcPr>
    </w:tblStylePr>
    <w:tblStylePr w:type="lastCol">
      <w:tcPr>
        <w:tcBorders>
          <w:left w:val="single" w:color="FFFFFF" w:themeColor="light1" w:sz="4" w:space="0"/>
          <w:right w:val="single" w:color="4FD9FF"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71"/>
    <w:uiPriority w:val="99"/>
    <w:pPr>
      <w:spacing w:after="0" w:line="240" w:lineRule="auto"/>
    </w:pPr>
    <w:tblPr>
      <w:tblBorders>
        <w:top w:val="single" w:color="AAB8DD" w:themeColor="accent5" w:themeTint="9A" w:sz="32" w:space="0"/>
        <w:left w:val="single" w:color="AAB8DD" w:themeColor="accent5" w:themeTint="9A" w:sz="32" w:space="0"/>
        <w:bottom w:val="single" w:color="AAB8DD" w:themeColor="accent5" w:themeTint="9A" w:sz="32" w:space="0"/>
        <w:right w:val="single" w:color="AAB8DD" w:themeColor="accent5" w:themeTint="9A" w:sz="32" w:space="0"/>
      </w:tblBorders>
    </w:tblPr>
    <w:tblStylePr w:type="band1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1Vert">
      <w:tcPr>
        <w:shd w:val="clear" w:color="aab8dd" w:themeColor="accent5" w:themeTint="9A" w:fill="aab8dd" w:themeFill="accent5" w:themeFillTint="9A"/>
        <w:tcBorders>
          <w:left w:val="single" w:color="FFFFFF" w:themeColor="light1" w:sz="4" w:space="0"/>
          <w:right w:val="single" w:color="FFFFFF" w:themeColor="light1" w:sz="4" w:space="0"/>
        </w:tcBorders>
      </w:tcPr>
    </w:tblStylePr>
    <w:tblStylePr w:type="band2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AB8DD"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ab8dd" w:themeColor="accent5" w:themeTint="9A" w:fill="aab8dd" w:themeFill="accent5" w:themeFillTint="9A"/>
        <w:tcBorders>
          <w:top w:val="single" w:color="AAB8DD" w:themeColor="accent5" w:themeTint="9A" w:sz="32" w:space="0"/>
          <w:bottom w:val="single" w:color="FFFFFF" w:themeColor="light1" w:sz="12" w:space="0"/>
        </w:tcBorders>
      </w:tcPr>
    </w:tblStylePr>
    <w:tblStylePr w:type="lastCol">
      <w:tcPr>
        <w:tcBorders>
          <w:left w:val="single" w:color="FFFFFF" w:themeColor="light1" w:sz="4" w:space="0"/>
          <w:right w:val="single" w:color="AAB8DD"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71"/>
    <w:uiPriority w:val="99"/>
    <w:pPr>
      <w:spacing w:after="0" w:line="240" w:lineRule="auto"/>
    </w:pPr>
    <w:tblPr>
      <w:tblBorders>
        <w:top w:val="single" w:color="60E7D6" w:themeColor="accent6" w:themeTint="98" w:sz="32" w:space="0"/>
        <w:left w:val="single" w:color="60E7D6" w:themeColor="accent6" w:themeTint="98" w:sz="32" w:space="0"/>
        <w:bottom w:val="single" w:color="60E7D6" w:themeColor="accent6" w:themeTint="98" w:sz="32" w:space="0"/>
        <w:right w:val="single" w:color="60E7D6" w:themeColor="accent6" w:themeTint="98" w:sz="32" w:space="0"/>
      </w:tblBorders>
    </w:tblPr>
    <w:tblStylePr w:type="band1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1Vert">
      <w:tcPr>
        <w:shd w:val="clear" w:color="60e7d6" w:themeColor="accent6" w:themeTint="98" w:fill="60e7d6" w:themeFill="accent6" w:themeFillTint="98"/>
        <w:tcBorders>
          <w:left w:val="single" w:color="FFFFFF" w:themeColor="light1" w:sz="4" w:space="0"/>
          <w:right w:val="single" w:color="FFFFFF" w:themeColor="light1" w:sz="4" w:space="0"/>
        </w:tcBorders>
      </w:tcPr>
    </w:tblStylePr>
    <w:tblStylePr w:type="band2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60E7D6"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60e7d6" w:themeColor="accent6" w:themeTint="98" w:fill="60e7d6" w:themeFill="accent6" w:themeFillTint="98"/>
        <w:tcBorders>
          <w:top w:val="single" w:color="60E7D6" w:themeColor="accent6" w:themeTint="98" w:sz="32" w:space="0"/>
          <w:bottom w:val="single" w:color="FFFFFF" w:themeColor="light1" w:sz="12" w:space="0"/>
        </w:tcBorders>
      </w:tcPr>
    </w:tblStylePr>
    <w:tblStylePr w:type="lastCol">
      <w:tcPr>
        <w:tcBorders>
          <w:left w:val="single" w:color="FFFFFF" w:themeColor="light1" w:sz="4" w:space="0"/>
          <w:right w:val="single" w:color="60E7D6"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7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71"/>
    <w:uiPriority w:val="99"/>
    <w:pPr>
      <w:spacing w:after="0" w:line="240" w:lineRule="auto"/>
    </w:pPr>
    <w:tblPr>
      <w:tblBorders>
        <w:top w:val="single" w:color="7FD13B" w:themeColor="accent1" w:sz="4" w:space="0"/>
        <w:bottom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b/>
        <w:color w:val="497e1e" w:themeColor="accent1" w:themeShade="94"/>
      </w:rPr>
    </w:tblStylePr>
    <w:tblStylePr w:type="firstRow">
      <w:rPr>
        <w:b/>
        <w:color w:val="497e1e" w:themeColor="accent1" w:themeShade="94"/>
      </w:rPr>
      <w:tcPr>
        <w:tcBorders>
          <w:bottom w:val="single" w:color="7FD13B" w:themeColor="accent1" w:sz="4" w:space="0"/>
        </w:tcBorders>
      </w:tcPr>
    </w:tblStylePr>
    <w:tblStylePr w:type="lastCol">
      <w:rPr>
        <w:b/>
        <w:color w:val="497e1e" w:themeColor="accent1" w:themeShade="94"/>
      </w:rPr>
    </w:tblStylePr>
    <w:tblStylePr w:type="lastRow">
      <w:rPr>
        <w:b/>
        <w:color w:val="497e1e" w:themeColor="accent1" w:themeShade="94"/>
      </w:rPr>
      <w:tcPr>
        <w:tcBorders>
          <w:top w:val="single" w:color="7FD13B" w:themeColor="accent1" w:sz="4" w:space="0"/>
        </w:tcBorders>
      </w:tcPr>
    </w:tblStylePr>
  </w:style>
  <w:style w:type="table" w:styleId="834" w:customStyle="1">
    <w:name w:val="List Table 6 Colorful - Accent 2"/>
    <w:basedOn w:val="671"/>
    <w:uiPriority w:val="99"/>
    <w:pPr>
      <w:spacing w:after="0" w:line="240" w:lineRule="auto"/>
    </w:pPr>
    <w:tblPr>
      <w:tblBorders>
        <w:top w:val="single" w:color="F274B0" w:themeColor="accent2" w:themeTint="97" w:sz="4" w:space="0"/>
        <w:bottom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4"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cPr>
        <w:tcBorders>
          <w:top w:val="single" w:color="F274B0" w:themeColor="accent2" w:themeTint="97" w:sz="4" w:space="0"/>
        </w:tcBorders>
      </w:tcPr>
    </w:tblStylePr>
  </w:style>
  <w:style w:type="table" w:styleId="835" w:customStyle="1">
    <w:name w:val="List Table 6 Colorful - Accent 3"/>
    <w:basedOn w:val="671"/>
    <w:uiPriority w:val="99"/>
    <w:pPr>
      <w:spacing w:after="0" w:line="240" w:lineRule="auto"/>
    </w:pPr>
    <w:tblPr>
      <w:tblBorders>
        <w:top w:val="single" w:color="FED46C" w:themeColor="accent3" w:themeTint="98" w:sz="4" w:space="0"/>
        <w:bottom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b/>
        <w:color w:val="fed46c" w:themeColor="accent3" w:themeTint="99"/>
        <w14:textFill>
          <w14:solidFill>
            <w14:schemeClr w14:val="accent3">
              <w14:lumMod w14:val="60000"/>
              <w14:lumOff w14:val="40000"/>
            </w14:schemeClr>
          </w14:solidFill>
        </w14:textFill>
      </w:rPr>
    </w:tblStylePr>
    <w:tblStylePr w:type="firstRow">
      <w:rPr>
        <w:b/>
        <w:color w:val="fed46c" w:themeColor="accent3" w:themeTint="99"/>
        <w14:textFill>
          <w14:solidFill>
            <w14:schemeClr w14:val="accent3">
              <w14:lumMod w14:val="60000"/>
              <w14:lumOff w14:val="40000"/>
            </w14:schemeClr>
          </w14:solidFill>
        </w14:textFill>
      </w:rPr>
      <w:tcPr>
        <w:tcBorders>
          <w:bottom w:val="single" w:color="FED46C" w:themeColor="accent3" w:themeTint="98" w:sz="4" w:space="0"/>
        </w:tcBorders>
      </w:tcPr>
    </w:tblStylePr>
    <w:tblStylePr w:type="lastCol">
      <w:rPr>
        <w:b/>
        <w:color w:val="fed46c" w:themeColor="accent3" w:themeTint="99"/>
        <w14:textFill>
          <w14:solidFill>
            <w14:schemeClr w14:val="accent3">
              <w14:lumMod w14:val="60000"/>
              <w14:lumOff w14:val="40000"/>
            </w14:schemeClr>
          </w14:solidFill>
        </w14:textFill>
      </w:rPr>
    </w:tblStylePr>
    <w:tblStylePr w:type="lastRow">
      <w:rPr>
        <w:b/>
        <w:color w:val="fed46c" w:themeColor="accent3" w:themeTint="99"/>
        <w14:textFill>
          <w14:solidFill>
            <w14:schemeClr w14:val="accent3">
              <w14:lumMod w14:val="60000"/>
              <w14:lumOff w14:val="40000"/>
            </w14:schemeClr>
          </w14:solidFill>
        </w14:textFill>
      </w:rPr>
      <w:tcPr>
        <w:tcBorders>
          <w:top w:val="single" w:color="FED46C" w:themeColor="accent3" w:themeTint="98" w:sz="4" w:space="0"/>
        </w:tcBorders>
      </w:tcPr>
    </w:tblStylePr>
  </w:style>
  <w:style w:type="table" w:styleId="836" w:customStyle="1">
    <w:name w:val="List Table 6 Colorful - Accent 4"/>
    <w:basedOn w:val="671"/>
    <w:uiPriority w:val="99"/>
    <w:pPr>
      <w:spacing w:after="0" w:line="240" w:lineRule="auto"/>
    </w:pPr>
    <w:tblPr>
      <w:tblBorders>
        <w:top w:val="single" w:color="4FD9FF" w:themeColor="accent4" w:themeTint="9A" w:sz="4" w:space="0"/>
        <w:bottom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4"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cPr>
        <w:tcBorders>
          <w:top w:val="single" w:color="4FD9FF" w:themeColor="accent4" w:themeTint="9A" w:sz="4" w:space="0"/>
        </w:tcBorders>
      </w:tcPr>
    </w:tblStylePr>
  </w:style>
  <w:style w:type="table" w:styleId="837" w:customStyle="1">
    <w:name w:val="List Table 6 Colorful - Accent 5"/>
    <w:basedOn w:val="671"/>
    <w:uiPriority w:val="99"/>
    <w:pPr>
      <w:spacing w:after="0" w:line="240" w:lineRule="auto"/>
    </w:pPr>
    <w:tblPr>
      <w:tblBorders>
        <w:top w:val="single" w:color="AAB8DD" w:themeColor="accent5" w:themeTint="9A" w:sz="4" w:space="0"/>
        <w:bottom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b/>
        <w:color w:val="abb9de" w:themeColor="accent5" w:themeTint="99"/>
        <w14:textFill>
          <w14:solidFill>
            <w14:schemeClr w14:val="accent5">
              <w14:lumMod w14:val="60000"/>
              <w14:lumOff w14:val="40000"/>
            </w14:schemeClr>
          </w14:solidFill>
        </w14:textFill>
      </w:rPr>
    </w:tblStylePr>
    <w:tblStylePr w:type="firstRow">
      <w:rPr>
        <w:b/>
        <w:color w:val="abb9de" w:themeColor="accent5" w:themeTint="99"/>
        <w14:textFill>
          <w14:solidFill>
            <w14:schemeClr w14:val="accent5">
              <w14:lumMod w14:val="60000"/>
              <w14:lumOff w14:val="40000"/>
            </w14:schemeClr>
          </w14:solidFill>
        </w14:textFill>
      </w:rPr>
      <w:tcPr>
        <w:tcBorders>
          <w:bottom w:val="single" w:color="AAB8DD" w:themeColor="accent5" w:themeTint="9A" w:sz="4" w:space="0"/>
        </w:tcBorders>
      </w:tcPr>
    </w:tblStylePr>
    <w:tblStylePr w:type="lastCol">
      <w:rPr>
        <w:b/>
        <w:color w:val="abb9de" w:themeColor="accent5" w:themeTint="99"/>
        <w14:textFill>
          <w14:solidFill>
            <w14:schemeClr w14:val="accent5">
              <w14:lumMod w14:val="60000"/>
              <w14:lumOff w14:val="40000"/>
            </w14:schemeClr>
          </w14:solidFill>
        </w14:textFill>
      </w:rPr>
    </w:tblStylePr>
    <w:tblStylePr w:type="lastRow">
      <w:rPr>
        <w:b/>
        <w:color w:val="abb9de" w:themeColor="accent5" w:themeTint="99"/>
        <w14:textFill>
          <w14:solidFill>
            <w14:schemeClr w14:val="accent5">
              <w14:lumMod w14:val="60000"/>
              <w14:lumOff w14:val="40000"/>
            </w14:schemeClr>
          </w14:solidFill>
        </w14:textFill>
      </w:rPr>
      <w:tcPr>
        <w:tcBorders>
          <w:top w:val="single" w:color="AAB8DD" w:themeColor="accent5" w:themeTint="9A" w:sz="4" w:space="0"/>
        </w:tcBorders>
      </w:tcPr>
    </w:tblStylePr>
  </w:style>
  <w:style w:type="table" w:styleId="838" w:customStyle="1">
    <w:name w:val="List Table 6 Colorful - Accent 6"/>
    <w:basedOn w:val="671"/>
    <w:uiPriority w:val="99"/>
    <w:pPr>
      <w:spacing w:after="0" w:line="240" w:lineRule="auto"/>
    </w:pPr>
    <w:tblPr>
      <w:tblBorders>
        <w:top w:val="single" w:color="60E7D6" w:themeColor="accent6" w:themeTint="98" w:sz="4" w:space="0"/>
        <w:bottom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b/>
        <w:color w:val="5fe8d6" w:themeColor="accent6" w:themeTint="99"/>
        <w14:textFill>
          <w14:solidFill>
            <w14:schemeClr w14:val="accent6">
              <w14:lumMod w14:val="60000"/>
              <w14:lumOff w14:val="40000"/>
            </w14:schemeClr>
          </w14:solidFill>
        </w14:textFill>
      </w:rPr>
    </w:tblStylePr>
    <w:tblStylePr w:type="firstRow">
      <w:rPr>
        <w:b/>
        <w:color w:val="5fe8d6" w:themeColor="accent6" w:themeTint="99"/>
        <w14:textFill>
          <w14:solidFill>
            <w14:schemeClr w14:val="accent6">
              <w14:lumMod w14:val="60000"/>
              <w14:lumOff w14:val="40000"/>
            </w14:schemeClr>
          </w14:solidFill>
        </w14:textFill>
      </w:rPr>
      <w:tcPr>
        <w:tcBorders>
          <w:bottom w:val="single" w:color="60E7D6" w:themeColor="accent6" w:themeTint="98" w:sz="4" w:space="0"/>
        </w:tcBorders>
      </w:tcPr>
    </w:tblStylePr>
    <w:tblStylePr w:type="lastCol">
      <w:rPr>
        <w:b/>
        <w:color w:val="5fe8d6" w:themeColor="accent6" w:themeTint="99"/>
        <w14:textFill>
          <w14:solidFill>
            <w14:schemeClr w14:val="accent6">
              <w14:lumMod w14:val="60000"/>
              <w14:lumOff w14:val="40000"/>
            </w14:schemeClr>
          </w14:solidFill>
        </w14:textFill>
      </w:rPr>
    </w:tblStylePr>
    <w:tblStylePr w:type="lastRow">
      <w:rPr>
        <w:b/>
        <w:color w:val="5fe8d6" w:themeColor="accent6" w:themeTint="99"/>
        <w14:textFill>
          <w14:solidFill>
            <w14:schemeClr w14:val="accent6">
              <w14:lumMod w14:val="60000"/>
              <w14:lumOff w14:val="40000"/>
            </w14:schemeClr>
          </w14:solidFill>
        </w14:textFill>
      </w:rPr>
      <w:tcPr>
        <w:tcBorders>
          <w:top w:val="single" w:color="60E7D6" w:themeColor="accent6" w:themeTint="98" w:sz="4" w:space="0"/>
        </w:tcBorders>
      </w:tcPr>
    </w:tblStylePr>
  </w:style>
  <w:style w:type="table" w:styleId="839" w:customStyle="1">
    <w:name w:val="List Table 7 Colorful"/>
    <w:basedOn w:val="67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71"/>
    <w:uiPriority w:val="99"/>
    <w:pPr>
      <w:spacing w:after="0" w:line="240" w:lineRule="auto"/>
    </w:pPr>
    <w:tblPr>
      <w:tblBorders>
        <w:right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rFonts w:ascii="Arial" w:hAnsi="Arial"/>
        <w:i/>
        <w:color w:val="497e1e" w:themeColor="accent1" w:themeShade="94"/>
        <w:sz w:val="22"/>
      </w:rPr>
      <w:pPr>
        <w:jc w:val="right"/>
      </w:pPr>
      <w:tcPr>
        <w:shd w:val="clear" w:color="ffffff" w:fill="auto"/>
        <w:tcBorders>
          <w:top w:val="none" w:color="000000" w:sz="4" w:space="0"/>
          <w:left w:val="none" w:color="000000" w:sz="4" w:space="0"/>
          <w:bottom w:val="none" w:color="000000" w:sz="4" w:space="0"/>
          <w:right w:val="single" w:color="7FD13B" w:themeColor="accent1" w:sz="4" w:space="0"/>
        </w:tcBorders>
      </w:tcPr>
    </w:tblStylePr>
    <w:tblStylePr w:type="firstRow">
      <w:rPr>
        <w:rFonts w:ascii="Arial" w:hAnsi="Arial"/>
        <w:i/>
        <w:color w:val="497e1e" w:themeColor="accent1" w:themeShade="94"/>
        <w:sz w:val="22"/>
      </w:rPr>
      <w:tcPr>
        <w:shd w:val="clear" w:color="ffffff" w:themeColor="light1" w:fill="ffffff" w:themeFill="light1"/>
        <w:tcBorders>
          <w:top w:val="none" w:color="000000" w:sz="4" w:space="0"/>
          <w:left w:val="none" w:color="000000" w:sz="4" w:space="0"/>
          <w:bottom w:val="single" w:color="7FD13B" w:themeColor="accent1" w:sz="4" w:space="0"/>
          <w:right w:val="none" w:color="000000" w:sz="4" w:space="0"/>
        </w:tcBorders>
      </w:tcPr>
    </w:tblStylePr>
    <w:tblStylePr w:type="lastCol">
      <w:rPr>
        <w:rFonts w:ascii="Arial" w:hAnsi="Arial"/>
        <w:i/>
        <w:color w:val="497e1e" w:themeColor="accent1" w:themeShade="94"/>
        <w:sz w:val="22"/>
      </w:rPr>
      <w:tcPr>
        <w:shd w:val="clear" w:color="ffffff" w:fill="auto"/>
        <w:tcBorders>
          <w:top w:val="none" w:color="000000" w:sz="4" w:space="0"/>
          <w:left w:val="single" w:color="7FD13B" w:themeColor="accent1" w:sz="4" w:space="0"/>
          <w:bottom w:val="none" w:color="000000" w:sz="4" w:space="0"/>
          <w:right w:val="none" w:color="000000" w:sz="4" w:space="0"/>
        </w:tcBorders>
      </w:tcPr>
    </w:tblStylePr>
    <w:tblStylePr w:type="lastRow">
      <w:rPr>
        <w:rFonts w:ascii="Arial" w:hAnsi="Arial"/>
        <w:i/>
        <w:color w:val="497e1e" w:themeColor="accent1" w:themeShade="94"/>
        <w:sz w:val="22"/>
      </w:rPr>
      <w:tcPr>
        <w:shd w:val="clear" w:color="ffffff" w:themeColor="light1" w:fill="ffffff" w:themeFill="light1"/>
        <w:tcBorders>
          <w:top w:val="single" w:color="7FD13B"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71"/>
    <w:uiPriority w:val="99"/>
    <w:pPr>
      <w:spacing w:after="0" w:line="240" w:lineRule="auto"/>
    </w:pPr>
    <w:tblPr>
      <w:tblBorders>
        <w:right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71"/>
    <w:uiPriority w:val="99"/>
    <w:pPr>
      <w:spacing w:after="0" w:line="240" w:lineRule="auto"/>
    </w:pPr>
    <w:tblPr>
      <w:tblBorders>
        <w:right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rFonts w:ascii="Arial" w:hAnsi="Arial"/>
        <w:i/>
        <w:color w:val="fed46c"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ED46C" w:themeColor="accent3" w:themeTint="98" w:sz="4" w:space="0"/>
        </w:tcBorders>
      </w:tcPr>
    </w:tblStylePr>
    <w:tblStylePr w:type="fir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ED46C" w:themeColor="accent3" w:themeTint="98" w:sz="4" w:space="0"/>
          <w:right w:val="none" w:color="000000" w:sz="4" w:space="0"/>
        </w:tcBorders>
      </w:tcPr>
    </w:tblStylePr>
    <w:tblStylePr w:type="lastCol">
      <w:rPr>
        <w:rFonts w:ascii="Arial" w:hAnsi="Arial"/>
        <w:i/>
        <w:color w:val="fed46c"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ED46C" w:themeColor="accent3" w:themeTint="98" w:sz="4" w:space="0"/>
          <w:bottom w:val="none" w:color="000000" w:sz="4" w:space="0"/>
          <w:right w:val="none" w:color="000000" w:sz="4" w:space="0"/>
        </w:tcBorders>
      </w:tcPr>
    </w:tblStylePr>
    <w:tblStylePr w:type="la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ED46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71"/>
    <w:uiPriority w:val="99"/>
    <w:pPr>
      <w:spacing w:after="0" w:line="240" w:lineRule="auto"/>
    </w:pPr>
    <w:tblPr>
      <w:tblBorders>
        <w:right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71"/>
    <w:uiPriority w:val="99"/>
    <w:pPr>
      <w:spacing w:after="0" w:line="240" w:lineRule="auto"/>
    </w:pPr>
    <w:tblPr>
      <w:tblBorders>
        <w:right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rFonts w:ascii="Arial" w:hAnsi="Arial"/>
        <w:i/>
        <w:color w:val="abb9de"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AB8DD" w:themeColor="accent5" w:themeTint="9A" w:sz="4" w:space="0"/>
        </w:tcBorders>
      </w:tcPr>
    </w:tblStylePr>
    <w:tblStylePr w:type="fir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AB8DD" w:themeColor="accent5" w:themeTint="9A" w:sz="4" w:space="0"/>
          <w:right w:val="none" w:color="000000" w:sz="4" w:space="0"/>
        </w:tcBorders>
      </w:tcPr>
    </w:tblStylePr>
    <w:tblStylePr w:type="lastCol">
      <w:rPr>
        <w:rFonts w:ascii="Arial" w:hAnsi="Arial"/>
        <w:i/>
        <w:color w:val="abb9de"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AAB8DD" w:themeColor="accent5" w:themeTint="9A" w:sz="4" w:space="0"/>
          <w:bottom w:val="none" w:color="000000" w:sz="4" w:space="0"/>
          <w:right w:val="none" w:color="000000" w:sz="4" w:space="0"/>
        </w:tcBorders>
      </w:tcPr>
    </w:tblStylePr>
    <w:tblStylePr w:type="la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AAB8DD"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71"/>
    <w:uiPriority w:val="99"/>
    <w:pPr>
      <w:spacing w:after="0" w:line="240" w:lineRule="auto"/>
    </w:pPr>
    <w:tblPr>
      <w:tblBorders>
        <w:right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rFonts w:ascii="Arial" w:hAnsi="Arial"/>
        <w:i/>
        <w:color w:val="5fe8d6"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60E7D6" w:themeColor="accent6" w:themeTint="98" w:sz="4" w:space="0"/>
        </w:tcBorders>
      </w:tcPr>
    </w:tblStylePr>
    <w:tblStylePr w:type="fir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60E7D6" w:themeColor="accent6" w:themeTint="98" w:sz="4" w:space="0"/>
          <w:right w:val="none" w:color="000000" w:sz="4" w:space="0"/>
        </w:tcBorders>
      </w:tcPr>
    </w:tblStylePr>
    <w:tblStylePr w:type="lastCol">
      <w:rPr>
        <w:rFonts w:ascii="Arial" w:hAnsi="Arial"/>
        <w:i/>
        <w:color w:val="5fe8d6"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60E7D6" w:themeColor="accent6" w:themeTint="98" w:sz="4" w:space="0"/>
          <w:bottom w:val="none" w:color="000000" w:sz="4" w:space="0"/>
          <w:right w:val="none" w:color="000000" w:sz="4" w:space="0"/>
        </w:tcBorders>
      </w:tcPr>
    </w:tblStylePr>
    <w:tblStylePr w:type="la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60E7D6"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48" w:customStyle="1">
    <w:name w:val="Lined - Accent 2"/>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49" w:customStyle="1">
    <w:name w:val="Lined - Accent 3"/>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50" w:customStyle="1">
    <w:name w:val="Lined - Accent 4"/>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51" w:customStyle="1">
    <w:name w:val="Lined - Accent 5"/>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52" w:customStyle="1">
    <w:name w:val="Lined - Accent 6"/>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53" w:customStyle="1">
    <w:name w:val="Bordered &amp; Lined - Accent"/>
    <w:basedOn w:val="67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71"/>
    <w:uiPriority w:val="99"/>
    <w:pPr>
      <w:spacing w:after="0" w:line="240" w:lineRule="auto"/>
    </w:pPr>
    <w:rPr>
      <w:color w:val="404040"/>
    </w:rPr>
    <w:tblPr>
      <w:tblBorders>
        <w:top w:val="single" w:color="497E1D" w:themeColor="accent1" w:themeShade="95" w:sz="4" w:space="0"/>
        <w:left w:val="single" w:color="497E1D" w:themeColor="accent1" w:themeShade="95" w:sz="4" w:space="0"/>
        <w:bottom w:val="single" w:color="497E1D" w:themeColor="accent1" w:themeShade="95" w:sz="4" w:space="0"/>
        <w:right w:val="single" w:color="497E1D" w:themeColor="accent1" w:themeShade="95" w:sz="4" w:space="0"/>
        <w:insideH w:val="single" w:color="497E1D" w:themeColor="accent1" w:themeShade="95" w:sz="4" w:space="0"/>
        <w:insideV w:val="single" w:color="497E1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55" w:customStyle="1">
    <w:name w:val="Bordered &amp; Lined - Accent 2"/>
    <w:basedOn w:val="671"/>
    <w:uiPriority w:val="99"/>
    <w:pPr>
      <w:spacing w:after="0" w:line="240" w:lineRule="auto"/>
    </w:pPr>
    <w:rPr>
      <w:color w:val="404040"/>
    </w:rPr>
    <w:tblPr>
      <w:tblBorders>
        <w:top w:val="single" w:color="880C47" w:themeColor="accent2" w:themeShade="95" w:sz="4" w:space="0"/>
        <w:left w:val="single" w:color="880C47" w:themeColor="accent2" w:themeShade="95" w:sz="4" w:space="0"/>
        <w:bottom w:val="single" w:color="880C47" w:themeColor="accent2" w:themeShade="95" w:sz="4" w:space="0"/>
        <w:right w:val="single" w:color="880C47" w:themeColor="accent2" w:themeShade="95" w:sz="4" w:space="0"/>
        <w:insideH w:val="single" w:color="880C47" w:themeColor="accent2" w:themeShade="95" w:sz="4" w:space="0"/>
        <w:insideV w:val="single" w:color="880C47"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56" w:customStyle="1">
    <w:name w:val="Bordered &amp; Lined - Accent 3"/>
    <w:basedOn w:val="671"/>
    <w:uiPriority w:val="99"/>
    <w:pPr>
      <w:spacing w:after="0" w:line="240" w:lineRule="auto"/>
    </w:pPr>
    <w:rPr>
      <w:color w:val="404040"/>
    </w:rPr>
    <w:tblPr>
      <w:tblBorders>
        <w:top w:val="single" w:color="996D00" w:themeColor="accent3" w:themeShade="95" w:sz="4" w:space="0"/>
        <w:left w:val="single" w:color="996D00" w:themeColor="accent3" w:themeShade="95" w:sz="4" w:space="0"/>
        <w:bottom w:val="single" w:color="996D00" w:themeColor="accent3" w:themeShade="95" w:sz="4" w:space="0"/>
        <w:right w:val="single" w:color="996D00" w:themeColor="accent3" w:themeShade="95" w:sz="4" w:space="0"/>
        <w:insideH w:val="single" w:color="996D00" w:themeColor="accent3" w:themeShade="95" w:sz="4" w:space="0"/>
        <w:insideV w:val="single" w:color="996D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57" w:customStyle="1">
    <w:name w:val="Bordered &amp; Lined - Accent 4"/>
    <w:basedOn w:val="671"/>
    <w:uiPriority w:val="99"/>
    <w:pPr>
      <w:spacing w:after="0" w:line="240" w:lineRule="auto"/>
    </w:pPr>
    <w:rPr>
      <w:color w:val="404040"/>
    </w:rPr>
    <w:tblPr>
      <w:tblBorders>
        <w:top w:val="single" w:color="006580" w:themeColor="accent4" w:themeShade="95" w:sz="4" w:space="0"/>
        <w:left w:val="single" w:color="006580" w:themeColor="accent4" w:themeShade="95" w:sz="4" w:space="0"/>
        <w:bottom w:val="single" w:color="006580" w:themeColor="accent4" w:themeShade="95" w:sz="4" w:space="0"/>
        <w:right w:val="single" w:color="006580" w:themeColor="accent4" w:themeShade="95" w:sz="4" w:space="0"/>
        <w:insideH w:val="single" w:color="006580" w:themeColor="accent4" w:themeShade="95" w:sz="4" w:space="0"/>
        <w:insideV w:val="single" w:color="00658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58" w:customStyle="1">
    <w:name w:val="Bordered &amp; Lined - Accent 5"/>
    <w:basedOn w:val="671"/>
    <w:uiPriority w:val="99"/>
    <w:pPr>
      <w:spacing w:after="0" w:line="240" w:lineRule="auto"/>
    </w:pPr>
    <w:rPr>
      <w:color w:val="404040"/>
    </w:rPr>
    <w:tblPr>
      <w:tblBorders>
        <w:top w:val="single" w:color="334984" w:themeColor="accent5" w:themeShade="95" w:sz="4" w:space="0"/>
        <w:left w:val="single" w:color="334984" w:themeColor="accent5" w:themeShade="95" w:sz="4" w:space="0"/>
        <w:bottom w:val="single" w:color="334984" w:themeColor="accent5" w:themeShade="95" w:sz="4" w:space="0"/>
        <w:right w:val="single" w:color="334984" w:themeColor="accent5" w:themeShade="95" w:sz="4" w:space="0"/>
        <w:insideH w:val="single" w:color="334984" w:themeColor="accent5" w:themeShade="95" w:sz="4" w:space="0"/>
        <w:insideV w:val="single" w:color="334984"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59" w:customStyle="1">
    <w:name w:val="Bordered &amp; Lined - Accent 6"/>
    <w:basedOn w:val="671"/>
    <w:uiPriority w:val="99"/>
    <w:pPr>
      <w:spacing w:after="0" w:line="240" w:lineRule="auto"/>
    </w:pPr>
    <w:rPr>
      <w:color w:val="404040"/>
    </w:rPr>
    <w:tblPr>
      <w:tblBorders>
        <w:top w:val="single" w:color="0F685C" w:themeColor="accent6" w:themeShade="95" w:sz="4" w:space="0"/>
        <w:left w:val="single" w:color="0F685C" w:themeColor="accent6" w:themeShade="95" w:sz="4" w:space="0"/>
        <w:bottom w:val="single" w:color="0F685C" w:themeColor="accent6" w:themeShade="95" w:sz="4" w:space="0"/>
        <w:right w:val="single" w:color="0F685C" w:themeColor="accent6" w:themeShade="95" w:sz="4" w:space="0"/>
        <w:insideH w:val="single" w:color="0F685C" w:themeColor="accent6" w:themeShade="95" w:sz="4" w:space="0"/>
        <w:insideV w:val="single" w:color="0F685C"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60" w:customStyle="1">
    <w:name w:val="Bordered"/>
    <w:basedOn w:val="67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71"/>
    <w:uiPriority w:val="99"/>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D13B" w:themeColor="accent1" w:sz="12" w:space="0"/>
        </w:tcBorders>
      </w:tcPr>
    </w:tblStylePr>
    <w:tblStylePr w:type="lastCol">
      <w:rPr>
        <w:rFonts w:ascii="Arial" w:hAnsi="Arial"/>
        <w:color w:val="404040"/>
        <w:sz w:val="22"/>
      </w:rPr>
      <w:tcPr>
        <w:tcBorders>
          <w:left w:val="single" w:color="7FD13B" w:themeColor="accent1" w:sz="12" w:space="0"/>
        </w:tcBorders>
      </w:tcPr>
    </w:tblStylePr>
    <w:tblStylePr w:type="lastRow">
      <w:rPr>
        <w:rFonts w:ascii="Arial" w:hAnsi="Arial"/>
        <w:color w:val="404040"/>
        <w:sz w:val="22"/>
      </w:rPr>
      <w:tcPr>
        <w:tcBorders>
          <w:top w:val="single" w:color="7FD13B" w:themeColor="accent1" w:sz="12" w:space="0"/>
        </w:tcBorders>
      </w:tcPr>
    </w:tblStylePr>
  </w:style>
  <w:style w:type="table" w:styleId="862" w:customStyle="1">
    <w:name w:val="Bordered - Accent 2"/>
    <w:basedOn w:val="671"/>
    <w:uiPriority w:val="99"/>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74B0" w:themeColor="accent2" w:themeTint="97" w:sz="12" w:space="0"/>
        </w:tcBorders>
      </w:tcPr>
    </w:tblStylePr>
    <w:tblStylePr w:type="lastCol">
      <w:rPr>
        <w:rFonts w:ascii="Arial" w:hAnsi="Arial"/>
        <w:color w:val="404040"/>
        <w:sz w:val="22"/>
      </w:rPr>
      <w:tcPr>
        <w:tcBorders>
          <w:left w:val="single" w:color="F274B0" w:themeColor="accent2" w:themeTint="97" w:sz="12" w:space="0"/>
        </w:tcBorders>
      </w:tcPr>
    </w:tblStylePr>
    <w:tblStylePr w:type="lastRow">
      <w:rPr>
        <w:rFonts w:ascii="Arial" w:hAnsi="Arial"/>
        <w:color w:val="404040"/>
        <w:sz w:val="22"/>
      </w:rPr>
      <w:tcPr>
        <w:tcBorders>
          <w:top w:val="single" w:color="F274B0" w:themeColor="accent2" w:themeTint="97" w:sz="12" w:space="0"/>
        </w:tcBorders>
      </w:tcPr>
    </w:tblStylePr>
  </w:style>
  <w:style w:type="table" w:styleId="863" w:customStyle="1">
    <w:name w:val="Bordered - Accent 3"/>
    <w:basedOn w:val="671"/>
    <w:uiPriority w:val="99"/>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ED46C" w:themeColor="accent3" w:themeTint="98" w:sz="12" w:space="0"/>
        </w:tcBorders>
      </w:tcPr>
    </w:tblStylePr>
    <w:tblStylePr w:type="lastCol">
      <w:rPr>
        <w:rFonts w:ascii="Arial" w:hAnsi="Arial"/>
        <w:color w:val="404040"/>
        <w:sz w:val="22"/>
      </w:rPr>
      <w:tcPr>
        <w:tcBorders>
          <w:left w:val="single" w:color="FED46C" w:themeColor="accent3" w:themeTint="98" w:sz="12" w:space="0"/>
        </w:tcBorders>
      </w:tcPr>
    </w:tblStylePr>
    <w:tblStylePr w:type="lastRow">
      <w:rPr>
        <w:rFonts w:ascii="Arial" w:hAnsi="Arial"/>
        <w:color w:val="404040"/>
        <w:sz w:val="22"/>
      </w:rPr>
      <w:tcPr>
        <w:tcBorders>
          <w:top w:val="single" w:color="FED46C" w:themeColor="accent3" w:themeTint="98" w:sz="12" w:space="0"/>
        </w:tcBorders>
      </w:tcPr>
    </w:tblStylePr>
  </w:style>
  <w:style w:type="table" w:styleId="864" w:customStyle="1">
    <w:name w:val="Bordered - Accent 4"/>
    <w:basedOn w:val="671"/>
    <w:uiPriority w:val="99"/>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D9FF" w:themeColor="accent4" w:themeTint="9A" w:sz="12" w:space="0"/>
        </w:tcBorders>
      </w:tcPr>
    </w:tblStylePr>
    <w:tblStylePr w:type="lastCol">
      <w:rPr>
        <w:rFonts w:ascii="Arial" w:hAnsi="Arial"/>
        <w:color w:val="404040"/>
        <w:sz w:val="22"/>
      </w:rPr>
      <w:tcPr>
        <w:tcBorders>
          <w:left w:val="single" w:color="4FD9FF" w:themeColor="accent4" w:themeTint="9A" w:sz="12" w:space="0"/>
        </w:tcBorders>
      </w:tcPr>
    </w:tblStylePr>
    <w:tblStylePr w:type="lastRow">
      <w:rPr>
        <w:rFonts w:ascii="Arial" w:hAnsi="Arial"/>
        <w:color w:val="404040"/>
        <w:sz w:val="22"/>
      </w:rPr>
      <w:tcPr>
        <w:tcBorders>
          <w:top w:val="single" w:color="4FD9FF" w:themeColor="accent4" w:themeTint="9A" w:sz="12" w:space="0"/>
        </w:tcBorders>
      </w:tcPr>
    </w:tblStylePr>
  </w:style>
  <w:style w:type="table" w:styleId="865" w:customStyle="1">
    <w:name w:val="Bordered - Accent 5"/>
    <w:basedOn w:val="671"/>
    <w:uiPriority w:val="99"/>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AB8DD" w:themeColor="accent5" w:themeTint="9A" w:sz="12" w:space="0"/>
        </w:tcBorders>
      </w:tcPr>
    </w:tblStylePr>
    <w:tblStylePr w:type="lastCol">
      <w:rPr>
        <w:rFonts w:ascii="Arial" w:hAnsi="Arial"/>
        <w:color w:val="404040"/>
        <w:sz w:val="22"/>
      </w:rPr>
      <w:tcPr>
        <w:tcBorders>
          <w:left w:val="single" w:color="AAB8DD" w:themeColor="accent5" w:themeTint="9A" w:sz="12" w:space="0"/>
        </w:tcBorders>
      </w:tcPr>
    </w:tblStylePr>
    <w:tblStylePr w:type="lastRow">
      <w:rPr>
        <w:rFonts w:ascii="Arial" w:hAnsi="Arial"/>
        <w:color w:val="404040"/>
        <w:sz w:val="22"/>
      </w:rPr>
      <w:tcPr>
        <w:tcBorders>
          <w:top w:val="single" w:color="AAB8DD" w:themeColor="accent5" w:themeTint="9A" w:sz="12" w:space="0"/>
        </w:tcBorders>
      </w:tcPr>
    </w:tblStylePr>
  </w:style>
  <w:style w:type="table" w:styleId="866" w:customStyle="1">
    <w:name w:val="Bordered - Accent 6"/>
    <w:basedOn w:val="671"/>
    <w:uiPriority w:val="99"/>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60E7D6" w:themeColor="accent6" w:themeTint="98" w:sz="12" w:space="0"/>
        </w:tcBorders>
      </w:tcPr>
    </w:tblStylePr>
    <w:tblStylePr w:type="lastCol">
      <w:rPr>
        <w:rFonts w:ascii="Arial" w:hAnsi="Arial"/>
        <w:color w:val="404040"/>
        <w:sz w:val="22"/>
      </w:rPr>
      <w:tcPr>
        <w:tcBorders>
          <w:left w:val="single" w:color="60E7D6" w:themeColor="accent6" w:themeTint="98" w:sz="12" w:space="0"/>
        </w:tcBorders>
      </w:tcPr>
    </w:tblStylePr>
    <w:tblStylePr w:type="lastRow">
      <w:rPr>
        <w:rFonts w:ascii="Arial" w:hAnsi="Arial"/>
        <w:color w:val="404040"/>
        <w:sz w:val="22"/>
      </w:rPr>
      <w:tcPr>
        <w:tcBorders>
          <w:top w:val="single" w:color="60E7D6" w:themeColor="accent6" w:themeTint="98" w:sz="12" w:space="0"/>
        </w:tcBorders>
      </w:tcPr>
    </w:tblStylePr>
  </w:style>
  <w:style w:type="character" w:styleId="867" w:customStyle="1">
    <w:name w:val="Footnote Text Char"/>
    <w:uiPriority w:val="99"/>
    <w:rPr>
      <w:sz w:val="18"/>
    </w:rPr>
  </w:style>
  <w:style w:type="character" w:styleId="868" w:customStyle="1">
    <w:name w:val="Endnote Text Char"/>
    <w:link w:val="692"/>
    <w:uiPriority w:val="99"/>
    <w:rPr>
      <w:sz w:val="20"/>
    </w:rPr>
  </w:style>
  <w:style w:type="paragraph" w:styleId="869" w:customStyle="1">
    <w:name w:val="TOC Heading"/>
    <w:uiPriority w:val="39"/>
    <w:unhideWhenUsed/>
    <w:rPr>
      <w:rFonts w:hint="default" w:ascii="Times New Roman" w:hAnsi="Times New Roman" w:eastAsia="宋体" w:cs="Times New Roman"/>
    </w:rPr>
  </w:style>
  <w:style w:type="paragraph" w:styleId="870" w:customStyle="1">
    <w:name w:val="正文首行缩进 21"/>
    <w:basedOn w:val="871"/>
    <w:next w:val="660"/>
    <w:uiPriority w:val="0"/>
    <w:qFormat/>
    <w:pPr>
      <w:ind w:left="0" w:firstLine="420"/>
      <w:spacing w:after="0" w:line="360" w:lineRule="auto"/>
    </w:pPr>
    <w:rPr>
      <w:rFonts w:ascii="宋体" w:hAnsi="宋体" w:cs="Times New Roman"/>
      <w:szCs w:val="20"/>
    </w:rPr>
  </w:style>
  <w:style w:type="paragraph" w:styleId="871" w:customStyle="1">
    <w:name w:val="正文文本缩进111"/>
    <w:basedOn w:val="660"/>
    <w:next w:val="872"/>
    <w:uiPriority w:val="0"/>
    <w:unhideWhenUsed/>
    <w:qFormat/>
    <w:pPr>
      <w:ind w:left="420"/>
      <w:spacing w:after="120"/>
    </w:pPr>
  </w:style>
  <w:style w:type="paragraph" w:styleId="872" w:customStyle="1">
    <w:name w:val="寄信人地址11"/>
    <w:basedOn w:val="660"/>
    <w:uiPriority w:val="0"/>
    <w:qFormat/>
    <w:rPr>
      <w:rFonts w:ascii="Arial" w:hAnsi="Arial"/>
    </w:rPr>
  </w:style>
  <w:style w:type="character" w:styleId="873" w:customStyle="1">
    <w:name w:val="正文文本缩进 Char"/>
    <w:link w:val="673"/>
    <w:uiPriority w:val="99"/>
    <w:qFormat/>
    <w:rPr>
      <w:rFonts w:ascii="宋体" w:hAnsi="Calibri" w:cs="宋体"/>
      <w:sz w:val="28"/>
      <w:szCs w:val="22"/>
    </w:rPr>
  </w:style>
  <w:style w:type="character" w:styleId="874" w:customStyle="1">
    <w:name w:val="标题 1 Char"/>
    <w:basedOn w:val="670"/>
    <w:link w:val="661"/>
    <w:uiPriority w:val="0"/>
    <w:qFormat/>
    <w:rPr>
      <w:b/>
      <w:bCs/>
      <w:sz w:val="44"/>
      <w:szCs w:val="44"/>
    </w:rPr>
  </w:style>
  <w:style w:type="character" w:styleId="875" w:customStyle="1">
    <w:name w:val="标题 2 Char"/>
    <w:basedOn w:val="670"/>
    <w:link w:val="662"/>
    <w:uiPriority w:val="0"/>
    <w:qFormat/>
    <w:rPr>
      <w:rFonts w:ascii="Arial" w:hAnsi="Arial" w:eastAsia="黑体"/>
      <w:b/>
      <w:bCs/>
      <w:sz w:val="32"/>
      <w:szCs w:val="32"/>
    </w:rPr>
  </w:style>
  <w:style w:type="character" w:styleId="876" w:customStyle="1">
    <w:name w:val="标题 3 Char"/>
    <w:basedOn w:val="670"/>
    <w:link w:val="663"/>
    <w:uiPriority w:val="0"/>
    <w:qFormat/>
    <w:rPr>
      <w:rFonts w:ascii="Calibri" w:hAnsi="Calibri" w:cs="宋体"/>
      <w:b/>
      <w:bCs/>
      <w:sz w:val="32"/>
      <w:szCs w:val="32"/>
    </w:rPr>
  </w:style>
  <w:style w:type="character" w:styleId="877" w:customStyle="1">
    <w:name w:val="标题 4 Char"/>
    <w:basedOn w:val="670"/>
    <w:link w:val="664"/>
    <w:uiPriority w:val="9"/>
    <w:qFormat/>
    <w:rPr>
      <w:rFonts w:ascii="Arial" w:hAnsi="Arial" w:eastAsia="黑体"/>
      <w:b/>
      <w:sz w:val="28"/>
    </w:rPr>
  </w:style>
  <w:style w:type="character" w:styleId="878" w:customStyle="1">
    <w:name w:val="标题 5 Char"/>
    <w:basedOn w:val="670"/>
    <w:link w:val="665"/>
    <w:uiPriority w:val="0"/>
    <w:qFormat/>
    <w:rPr>
      <w:rFonts w:ascii="Calibri" w:hAnsi="Calibri"/>
      <w:b/>
      <w:bCs/>
      <w:sz w:val="28"/>
      <w:szCs w:val="28"/>
    </w:rPr>
  </w:style>
  <w:style w:type="character" w:styleId="879" w:customStyle="1">
    <w:name w:val="标题 6 Char"/>
    <w:basedOn w:val="670"/>
    <w:link w:val="666"/>
    <w:uiPriority w:val="0"/>
    <w:qFormat/>
    <w:rPr>
      <w:rFonts w:ascii="Arial" w:hAnsi="Arial" w:eastAsia="黑体"/>
      <w:b/>
      <w:bCs/>
      <w:sz w:val="24"/>
      <w:szCs w:val="24"/>
    </w:rPr>
  </w:style>
  <w:style w:type="character" w:styleId="880" w:customStyle="1">
    <w:name w:val="标题 7 Char"/>
    <w:basedOn w:val="670"/>
    <w:link w:val="667"/>
    <w:uiPriority w:val="0"/>
    <w:qFormat/>
    <w:rPr>
      <w:rFonts w:ascii="Calibri" w:hAnsi="Calibri"/>
      <w:b/>
      <w:bCs/>
      <w:sz w:val="24"/>
      <w:szCs w:val="24"/>
    </w:rPr>
  </w:style>
  <w:style w:type="character" w:styleId="881" w:customStyle="1">
    <w:name w:val="标题 8 Char"/>
    <w:basedOn w:val="670"/>
    <w:link w:val="668"/>
    <w:uiPriority w:val="0"/>
    <w:qFormat/>
    <w:rPr>
      <w:rFonts w:ascii="Arial" w:hAnsi="Arial" w:eastAsia="黑体"/>
      <w:sz w:val="24"/>
      <w:szCs w:val="24"/>
    </w:rPr>
  </w:style>
  <w:style w:type="character" w:styleId="882" w:customStyle="1">
    <w:name w:val="标题 9 Char"/>
    <w:basedOn w:val="670"/>
    <w:link w:val="669"/>
    <w:uiPriority w:val="0"/>
    <w:qFormat/>
    <w:rPr>
      <w:rFonts w:ascii="Arial" w:hAnsi="Arial" w:eastAsia="黑体"/>
      <w:sz w:val="21"/>
      <w:szCs w:val="21"/>
    </w:rPr>
  </w:style>
  <w:style w:type="character" w:styleId="883" w:customStyle="1">
    <w:name w:val="文档结构图 Char"/>
    <w:basedOn w:val="670"/>
    <w:link w:val="680"/>
    <w:uiPriority w:val="0"/>
    <w:qFormat/>
    <w:rPr>
      <w:rFonts w:ascii="宋体" w:eastAsia="宋体"/>
      <w:sz w:val="18"/>
      <w:szCs w:val="18"/>
    </w:rPr>
  </w:style>
  <w:style w:type="character" w:styleId="884" w:customStyle="1">
    <w:name w:val="批注文字 Char"/>
    <w:basedOn w:val="670"/>
    <w:link w:val="681"/>
    <w:uiPriority w:val="99"/>
    <w:qFormat/>
    <w:rPr>
      <w:sz w:val="21"/>
    </w:rPr>
  </w:style>
  <w:style w:type="character" w:styleId="885" w:customStyle="1">
    <w:name w:val="称呼 Char"/>
    <w:link w:val="682"/>
    <w:uiPriority w:val="0"/>
    <w:qFormat/>
    <w:rPr>
      <w:rFonts w:ascii="仿宋_GB2312" w:eastAsia="仿宋_GB2312"/>
      <w:sz w:val="28"/>
    </w:rPr>
  </w:style>
  <w:style w:type="character" w:styleId="886" w:customStyle="1">
    <w:name w:val="正文文本 3 Char"/>
    <w:link w:val="683"/>
    <w:uiPriority w:val="0"/>
    <w:qFormat/>
    <w:rPr>
      <w:sz w:val="16"/>
      <w:szCs w:val="16"/>
    </w:rPr>
  </w:style>
  <w:style w:type="character" w:styleId="887" w:customStyle="1">
    <w:name w:val="正文文本 Char1"/>
    <w:basedOn w:val="670"/>
    <w:link w:val="684"/>
    <w:uiPriority w:val="99"/>
    <w:semiHidden/>
    <w:qFormat/>
    <w:rPr>
      <w:rFonts w:ascii="Calibri" w:hAnsi="Calibri" w:cs="宋体"/>
      <w:sz w:val="21"/>
      <w:szCs w:val="22"/>
    </w:rPr>
  </w:style>
  <w:style w:type="character" w:styleId="888" w:customStyle="1">
    <w:name w:val="纯文本 Char"/>
    <w:link w:val="687"/>
    <w:uiPriority w:val="0"/>
    <w:qFormat/>
    <w:rPr>
      <w:rFonts w:ascii="宋体" w:hAnsi="Courier New"/>
      <w:szCs w:val="21"/>
    </w:rPr>
  </w:style>
  <w:style w:type="character" w:styleId="889" w:customStyle="1">
    <w:name w:val="日期 Char"/>
    <w:link w:val="690"/>
    <w:uiPriority w:val="0"/>
    <w:qFormat/>
    <w:rPr>
      <w:sz w:val="28"/>
    </w:rPr>
  </w:style>
  <w:style w:type="character" w:styleId="890" w:customStyle="1">
    <w:name w:val="正文文本缩进 2 Char"/>
    <w:link w:val="691"/>
    <w:uiPriority w:val="0"/>
    <w:qFormat/>
    <w:rPr>
      <w:rFonts w:ascii="宋体" w:hAnsi="宋体"/>
      <w:sz w:val="24"/>
      <w:szCs w:val="24"/>
    </w:rPr>
  </w:style>
  <w:style w:type="character" w:styleId="891" w:customStyle="1">
    <w:name w:val="批注框文本 Char"/>
    <w:basedOn w:val="670"/>
    <w:link w:val="693"/>
    <w:uiPriority w:val="0"/>
    <w:qFormat/>
    <w:rPr>
      <w:sz w:val="18"/>
      <w:szCs w:val="18"/>
    </w:rPr>
  </w:style>
  <w:style w:type="character" w:styleId="892" w:customStyle="1">
    <w:name w:val="页脚 Char"/>
    <w:basedOn w:val="670"/>
    <w:link w:val="694"/>
    <w:uiPriority w:val="99"/>
    <w:qFormat/>
    <w:rPr>
      <w:sz w:val="18"/>
      <w:szCs w:val="18"/>
    </w:rPr>
  </w:style>
  <w:style w:type="character" w:styleId="893" w:customStyle="1">
    <w:name w:val="页眉 Char"/>
    <w:basedOn w:val="670"/>
    <w:link w:val="695"/>
    <w:uiPriority w:val="99"/>
    <w:qFormat/>
    <w:rPr>
      <w:sz w:val="18"/>
      <w:szCs w:val="18"/>
    </w:rPr>
  </w:style>
  <w:style w:type="character" w:styleId="894" w:customStyle="1">
    <w:name w:val="签名 Char"/>
    <w:link w:val="696"/>
    <w:uiPriority w:val="0"/>
    <w:qFormat/>
    <w:rPr>
      <w:rFonts w:eastAsia="仿宋_GB2312"/>
      <w:sz w:val="24"/>
    </w:rPr>
  </w:style>
  <w:style w:type="character" w:styleId="895" w:customStyle="1">
    <w:name w:val="脚注文本 Char"/>
    <w:link w:val="702"/>
    <w:uiPriority w:val="0"/>
    <w:qFormat/>
    <w:rPr>
      <w:sz w:val="18"/>
      <w:szCs w:val="18"/>
    </w:rPr>
  </w:style>
  <w:style w:type="character" w:styleId="896" w:customStyle="1">
    <w:name w:val="正文文本缩进 3 Char"/>
    <w:link w:val="704"/>
    <w:uiPriority w:val="0"/>
    <w:qFormat/>
    <w:rPr>
      <w:b/>
      <w:bCs/>
      <w:sz w:val="24"/>
    </w:rPr>
  </w:style>
  <w:style w:type="character" w:styleId="897" w:customStyle="1">
    <w:name w:val="正文文本 2 Char"/>
    <w:link w:val="708"/>
    <w:uiPriority w:val="0"/>
    <w:qFormat/>
    <w:rPr>
      <w:b/>
      <w:bCs/>
      <w:sz w:val="72"/>
    </w:rPr>
  </w:style>
  <w:style w:type="character" w:styleId="898" w:customStyle="1">
    <w:name w:val="HTML 预设格式 Char"/>
    <w:link w:val="709"/>
    <w:uiPriority w:val="0"/>
    <w:qFormat/>
    <w:rPr>
      <w:rFonts w:ascii="宋体" w:hAnsi="宋体" w:cs="宋体"/>
      <w:sz w:val="24"/>
      <w:szCs w:val="24"/>
    </w:rPr>
  </w:style>
  <w:style w:type="character" w:styleId="899" w:customStyle="1">
    <w:name w:val="标题 Char"/>
    <w:link w:val="711"/>
    <w:uiPriority w:val="10"/>
    <w:qFormat/>
    <w:rPr>
      <w:rFonts w:eastAsia="黑体"/>
      <w:b/>
      <w:sz w:val="28"/>
      <w:lang w:val="en-GB"/>
    </w:rPr>
  </w:style>
  <w:style w:type="character" w:styleId="900" w:customStyle="1">
    <w:name w:val="批注主题 Char"/>
    <w:basedOn w:val="884"/>
    <w:link w:val="712"/>
    <w:uiPriority w:val="0"/>
    <w:qFormat/>
    <w:rPr>
      <w:rFonts w:ascii="Calibri" w:hAnsi="Calibri" w:cs="宋体"/>
      <w:b/>
      <w:bCs/>
      <w:sz w:val="21"/>
      <w:szCs w:val="22"/>
    </w:rPr>
  </w:style>
  <w:style w:type="character" w:styleId="901" w:customStyle="1">
    <w:name w:val="正文首行缩进 Char"/>
    <w:basedOn w:val="902"/>
    <w:link w:val="713"/>
    <w:uiPriority w:val="0"/>
    <w:qFormat/>
    <w:rPr>
      <w:rFonts w:ascii="Times New Roman" w:hAnsi="Times New Roman" w:eastAsia="宋体" w:cs="Times New Roman"/>
      <w:szCs w:val="24"/>
    </w:rPr>
  </w:style>
  <w:style w:type="character" w:styleId="902" w:customStyle="1">
    <w:name w:val="正文文本 Char"/>
    <w:uiPriority w:val="99"/>
    <w:semiHidden/>
    <w:qFormat/>
    <w:rPr>
      <w:rFonts w:ascii="Times New Roman" w:hAnsi="Times New Roman" w:eastAsia="宋体" w:cs="Times New Roman"/>
      <w:szCs w:val="24"/>
    </w:rPr>
  </w:style>
  <w:style w:type="character" w:styleId="903" w:customStyle="1">
    <w:name w:val="正文首行缩进 2 Char"/>
    <w:basedOn w:val="873"/>
    <w:link w:val="672"/>
    <w:uiPriority w:val="99"/>
    <w:qFormat/>
    <w:rPr>
      <w:rFonts w:ascii="宋体" w:hAnsi="Calibri" w:eastAsiaTheme="minorEastAsia" w:cstheme="minorBidi"/>
      <w:sz w:val="28"/>
      <w:szCs w:val="24"/>
    </w:rPr>
  </w:style>
  <w:style w:type="character" w:styleId="904" w:customStyle="1">
    <w:name w:val="apple-converted-space"/>
    <w:uiPriority w:val="0"/>
    <w:qFormat/>
    <w:rPr>
      <w:rFonts w:cs="Times New Roman"/>
    </w:rPr>
  </w:style>
  <w:style w:type="paragraph" w:styleId="905" w:customStyle="1">
    <w:name w:val="列出段落1"/>
    <w:basedOn w:val="660"/>
    <w:uiPriority w:val="34"/>
    <w:qFormat/>
    <w:pPr>
      <w:ind w:firstLine="420"/>
    </w:pPr>
    <w:rPr>
      <w:rFonts w:cs="Times New Roman"/>
    </w:rPr>
  </w:style>
  <w:style w:type="paragraph" w:styleId="906" w:customStyle="1">
    <w:name w:val="列出段落4"/>
    <w:basedOn w:val="660"/>
    <w:uiPriority w:val="0"/>
    <w:qFormat/>
    <w:pPr>
      <w:ind w:firstLine="420"/>
    </w:pPr>
    <w:rPr>
      <w:rFonts w:cs="Times New Roman"/>
      <w:sz w:val="20"/>
      <w:szCs w:val="20"/>
    </w:rPr>
  </w:style>
  <w:style w:type="character" w:styleId="907" w:customStyle="1">
    <w:name w:val="normalfont1"/>
    <w:uiPriority w:val="0"/>
    <w:qFormat/>
    <w:rPr>
      <w:rFonts w:hint="default" w:ascii="ˎ̥" w:hAnsi="ˎ̥"/>
      <w:sz w:val="18"/>
      <w:szCs w:val="18"/>
      <w:u w:val="none"/>
    </w:rPr>
  </w:style>
  <w:style w:type="character" w:styleId="908" w:customStyle="1">
    <w:name w:val="小四 段落 宋体 Char Char Char Char1"/>
    <w:uiPriority w:val="0"/>
    <w:qFormat/>
    <w:rPr>
      <w:rFonts w:eastAsia="宋体"/>
      <w:sz w:val="24"/>
      <w:szCs w:val="24"/>
      <w:lang w:val="en-US" w:eastAsia="zh-CN" w:bidi="ar-SA"/>
    </w:rPr>
  </w:style>
  <w:style w:type="character" w:styleId="909" w:customStyle="1">
    <w:name w:val="Title1 Char"/>
    <w:uiPriority w:val="0"/>
    <w:qFormat/>
    <w:rPr>
      <w:rFonts w:eastAsia="宋体"/>
      <w:b/>
      <w:bCs/>
      <w:sz w:val="44"/>
      <w:szCs w:val="44"/>
      <w:lang w:val="en-US" w:eastAsia="zh-CN" w:bidi="ar-SA"/>
    </w:rPr>
  </w:style>
  <w:style w:type="character" w:styleId="910" w:customStyle="1">
    <w:name w:val="font31"/>
    <w:uiPriority w:val="0"/>
    <w:qFormat/>
    <w:rPr>
      <w:rFonts w:ascii="font-weight : 400" w:hAnsi="font-weight : 400" w:eastAsia="font-weight : 400" w:cs="font-weight : 400"/>
      <w:color w:val="000000"/>
      <w:sz w:val="22"/>
      <w:szCs w:val="22"/>
      <w:u w:val="none"/>
    </w:rPr>
  </w:style>
  <w:style w:type="character" w:styleId="911" w:customStyle="1">
    <w:name w:val="标准小四 Char Char"/>
    <w:uiPriority w:val="0"/>
    <w:qFormat/>
    <w:rPr>
      <w:rFonts w:ascii="Arial" w:hAnsi="Arial" w:eastAsia="宋体"/>
      <w:sz w:val="24"/>
      <w:szCs w:val="21"/>
      <w:lang w:val="en-US" w:eastAsia="zh-CN" w:bidi="ar-SA"/>
    </w:rPr>
  </w:style>
  <w:style w:type="character" w:styleId="912" w:customStyle="1">
    <w:name w:val="1page sec3 Char"/>
    <w:uiPriority w:val="0"/>
    <w:qFormat/>
    <w:rPr>
      <w:rFonts w:eastAsia="宋体"/>
      <w:sz w:val="18"/>
      <w:lang w:val="en-US" w:eastAsia="zh-CN"/>
    </w:rPr>
  </w:style>
  <w:style w:type="character" w:styleId="913" w:customStyle="1">
    <w:name w:val="华宇段落1 Char Char Char"/>
    <w:uiPriority w:val="0"/>
    <w:qFormat/>
    <w:rPr>
      <w:rFonts w:eastAsia="宋体"/>
      <w:bCs/>
      <w:sz w:val="24"/>
      <w:szCs w:val="24"/>
      <w:lang w:val="en-US" w:eastAsia="zh-CN" w:bidi="ar-SA"/>
    </w:rPr>
  </w:style>
  <w:style w:type="character" w:styleId="914" w:customStyle="1">
    <w:name w:val="小四 段落 宋体 Char Char Char Char Char Char Char Char"/>
    <w:uiPriority w:val="0"/>
    <w:qFormat/>
    <w:rPr>
      <w:rFonts w:eastAsia="宋体"/>
      <w:sz w:val="24"/>
      <w:szCs w:val="24"/>
      <w:lang w:val="en-US" w:eastAsia="zh-CN" w:bidi="ar-SA"/>
    </w:rPr>
  </w:style>
  <w:style w:type="character" w:styleId="915" w:customStyle="1">
    <w:name w:val="subtitle1"/>
    <w:uiPriority w:val="0"/>
    <w:qFormat/>
    <w:rPr>
      <w:rFonts w:hint="default" w:ascii="Georgia" w:hAnsi="Georgia"/>
      <w:b/>
      <w:bCs/>
      <w:color w:val="666666"/>
      <w:sz w:val="18"/>
      <w:szCs w:val="18"/>
    </w:rPr>
  </w:style>
  <w:style w:type="character" w:styleId="916" w:customStyle="1">
    <w:name w:val="缺省文本 Char"/>
    <w:link w:val="917"/>
    <w:uiPriority w:val="0"/>
    <w:qFormat/>
    <w:rPr>
      <w:rFonts w:ascii="Tahoma" w:hAnsi="Tahoma"/>
      <w:sz w:val="24"/>
      <w:szCs w:val="24"/>
    </w:rPr>
  </w:style>
  <w:style w:type="paragraph" w:styleId="917" w:customStyle="1">
    <w:name w:val="缺省文本"/>
    <w:basedOn w:val="660"/>
    <w:link w:val="916"/>
    <w:uiPriority w:val="0"/>
    <w:qFormat/>
    <w:pPr>
      <w:jc w:val="left"/>
    </w:pPr>
    <w:rPr>
      <w:rFonts w:ascii="Tahoma" w:hAnsi="Tahoma" w:cs="Times New Roman"/>
      <w:sz w:val="24"/>
      <w:szCs w:val="24"/>
    </w:rPr>
  </w:style>
  <w:style w:type="character" w:styleId="918" w:customStyle="1">
    <w:name w:val="style131"/>
    <w:uiPriority w:val="0"/>
    <w:qFormat/>
    <w:rPr>
      <w:rFonts w:cs="Times New Roman"/>
      <w:sz w:val="18"/>
      <w:szCs w:val="18"/>
    </w:rPr>
  </w:style>
  <w:style w:type="character" w:styleId="919" w:customStyle="1">
    <w:name w:val="font01"/>
    <w:uiPriority w:val="0"/>
    <w:qFormat/>
    <w:rPr>
      <w:rFonts w:hint="eastAsia" w:ascii="宋体" w:hAnsi="宋体" w:eastAsia="宋体" w:cs="宋体"/>
      <w:color w:val="000000"/>
      <w:sz w:val="20"/>
      <w:szCs w:val="20"/>
      <w:u w:val="none"/>
    </w:rPr>
  </w:style>
  <w:style w:type="character" w:styleId="920" w:customStyle="1">
    <w:name w:val="textcontents"/>
    <w:uiPriority w:val="0"/>
    <w:qFormat/>
    <w:rPr>
      <w:rFonts w:ascii="Tahoma" w:hAnsi="Tahoma"/>
      <w:sz w:val="24"/>
      <w:szCs w:val="20"/>
    </w:rPr>
  </w:style>
  <w:style w:type="character" w:styleId="921" w:customStyle="1">
    <w:name w:val="标准文本 Char Char"/>
    <w:uiPriority w:val="0"/>
    <w:qFormat/>
    <w:rPr>
      <w:rFonts w:eastAsia="宋体" w:cs="宋体"/>
      <w:sz w:val="24"/>
      <w:szCs w:val="24"/>
      <w:lang w:val="en-US" w:eastAsia="zh-CN" w:bidi="ar-SA"/>
    </w:rPr>
  </w:style>
  <w:style w:type="character" w:styleId="922" w:customStyle="1">
    <w:name w:val="小四 段落 宋体 Char1"/>
    <w:uiPriority w:val="0"/>
    <w:qFormat/>
    <w:rPr>
      <w:rFonts w:eastAsia="宋体"/>
      <w:sz w:val="24"/>
      <w:szCs w:val="24"/>
      <w:lang w:val="en-US" w:eastAsia="zh-CN" w:bidi="ar-SA"/>
    </w:rPr>
  </w:style>
  <w:style w:type="character" w:styleId="923" w:customStyle="1">
    <w:name w:val="标题 3 Char1"/>
    <w:uiPriority w:val="0"/>
    <w:qFormat/>
    <w:rPr>
      <w:rFonts w:eastAsia="宋体"/>
      <w:b/>
      <w:bCs/>
      <w:sz w:val="32"/>
      <w:szCs w:val="32"/>
      <w:lang w:val="en-US" w:eastAsia="zh-CN" w:bidi="ar-SA"/>
    </w:rPr>
  </w:style>
  <w:style w:type="character" w:styleId="92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25" w:customStyle="1">
    <w:name w:val="特点 Char1"/>
    <w:uiPriority w:val="0"/>
    <w:qFormat/>
    <w:rPr>
      <w:rFonts w:eastAsia="宋体"/>
      <w:sz w:val="21"/>
      <w:lang w:val="en-US" w:eastAsia="zh-CN" w:bidi="ar-SA"/>
    </w:rPr>
  </w:style>
  <w:style w:type="character" w:styleId="926" w:customStyle="1">
    <w:name w:val="小四 段落 宋体 Char Char Char1"/>
    <w:uiPriority w:val="0"/>
    <w:qFormat/>
    <w:rPr>
      <w:rFonts w:ascii="宋体" w:hAnsi="宋体" w:eastAsia="宋体"/>
      <w:sz w:val="24"/>
      <w:szCs w:val="24"/>
      <w:lang w:val="en-US" w:eastAsia="zh-CN" w:bidi="ar-SA"/>
    </w:rPr>
  </w:style>
  <w:style w:type="character" w:styleId="927" w:customStyle="1">
    <w:name w:val="content_lineheight1"/>
    <w:uiPriority w:val="0"/>
    <w:qFormat/>
    <w:rPr>
      <w:rFonts w:ascii="Tahoma" w:hAnsi="Tahoma"/>
      <w:sz w:val="24"/>
      <w:szCs w:val="20"/>
    </w:rPr>
  </w:style>
  <w:style w:type="character" w:styleId="928" w:customStyle="1">
    <w:name w:val="font11"/>
    <w:uiPriority w:val="0"/>
    <w:qFormat/>
    <w:rPr>
      <w:rFonts w:hint="eastAsia" w:ascii="宋体" w:hAnsi="宋体" w:eastAsia="宋体" w:cs="宋体"/>
      <w:color w:val="000000"/>
      <w:sz w:val="22"/>
      <w:szCs w:val="22"/>
      <w:u w:val="none"/>
    </w:rPr>
  </w:style>
  <w:style w:type="character" w:styleId="929" w:customStyle="1">
    <w:name w:val="样式 宋体 小四"/>
    <w:uiPriority w:val="0"/>
    <w:qFormat/>
    <w:rPr>
      <w:rFonts w:ascii="宋体" w:hAnsi="宋体"/>
      <w:sz w:val="24"/>
    </w:rPr>
  </w:style>
  <w:style w:type="character" w:styleId="930" w:customStyle="1">
    <w:name w:val="标题 3 Char Char"/>
    <w:uiPriority w:val="0"/>
    <w:qFormat/>
    <w:rPr>
      <w:rFonts w:eastAsia="仿宋_GB2312"/>
      <w:b/>
      <w:bCs/>
      <w:sz w:val="28"/>
      <w:szCs w:val="32"/>
      <w:lang w:val="en-US" w:eastAsia="zh-CN" w:bidi="ar-SA"/>
    </w:rPr>
  </w:style>
  <w:style w:type="character" w:styleId="931" w:customStyle="1">
    <w:name w:val="2nd level Char"/>
    <w:uiPriority w:val="0"/>
    <w:qFormat/>
    <w:rPr>
      <w:rFonts w:ascii="Arial" w:hAnsi="Arial" w:eastAsia="黑体"/>
      <w:b/>
      <w:bCs/>
      <w:sz w:val="32"/>
      <w:szCs w:val="32"/>
      <w:lang w:val="en-US" w:eastAsia="zh-CN" w:bidi="ar-SA"/>
    </w:rPr>
  </w:style>
  <w:style w:type="character" w:styleId="932" w:customStyle="1">
    <w:name w:val="ih151"/>
    <w:uiPriority w:val="0"/>
    <w:qFormat/>
    <w:rPr>
      <w:color w:val="666666"/>
      <w:sz w:val="18"/>
      <w:szCs w:val="18"/>
      <w:u w:val="none"/>
    </w:rPr>
  </w:style>
  <w:style w:type="character" w:styleId="933" w:customStyle="1">
    <w:name w:val="正文 + 宋体 Char"/>
    <w:uiPriority w:val="0"/>
    <w:qFormat/>
    <w:rPr>
      <w:rFonts w:eastAsia="宋体"/>
      <w:sz w:val="21"/>
      <w:szCs w:val="24"/>
      <w:lang w:val="en-US" w:eastAsia="zh-CN" w:bidi="ar-SA"/>
    </w:rPr>
  </w:style>
  <w:style w:type="character" w:styleId="934" w:customStyle="1">
    <w:name w:val="3zw"/>
    <w:uiPriority w:val="0"/>
    <w:qFormat/>
    <w:rPr>
      <w:rFonts w:ascii="Tahoma" w:hAnsi="Tahoma"/>
      <w:sz w:val="24"/>
      <w:szCs w:val="20"/>
    </w:rPr>
  </w:style>
  <w:style w:type="character" w:styleId="935" w:customStyle="1">
    <w:name w:val="纯文本 Char1"/>
    <w:uiPriority w:val="99"/>
    <w:semiHidden/>
    <w:qFormat/>
    <w:rPr>
      <w:rFonts w:ascii="宋体" w:hAnsi="Courier New" w:eastAsia="宋体" w:cs="Courier New"/>
      <w:szCs w:val="21"/>
    </w:rPr>
  </w:style>
  <w:style w:type="paragraph" w:styleId="936" w:customStyle="1">
    <w:name w:val="部分1"/>
    <w:basedOn w:val="660"/>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37" w:customStyle="1">
    <w:name w:val="默认段落字体 Para Char"/>
    <w:basedOn w:val="660"/>
    <w:uiPriority w:val="0"/>
    <w:qFormat/>
    <w:pPr>
      <w:spacing w:line="360" w:lineRule="auto"/>
    </w:pPr>
    <w:rPr>
      <w:rFonts w:cs="Times New Roman"/>
      <w:sz w:val="24"/>
      <w:szCs w:val="24"/>
    </w:rPr>
  </w:style>
  <w:style w:type="paragraph" w:styleId="938" w:customStyle="1">
    <w:name w:val="默认段落字体 Para Char Char Char Char Char Char Char"/>
    <w:basedOn w:val="660"/>
    <w:uiPriority w:val="0"/>
    <w:qFormat/>
    <w:rPr>
      <w:rFonts w:ascii="Tahoma" w:hAnsi="Tahoma" w:cs="Times New Roman"/>
      <w:sz w:val="24"/>
      <w:szCs w:val="20"/>
    </w:rPr>
  </w:style>
  <w:style w:type="paragraph" w:styleId="939" w:customStyle="1">
    <w:name w:val="正文格式"/>
    <w:basedOn w:val="660"/>
    <w:uiPriority w:val="0"/>
    <w:qFormat/>
    <w:pPr>
      <w:ind w:left="178" w:right="44" w:hanging="178"/>
      <w:jc w:val="left"/>
      <w:spacing w:line="360" w:lineRule="auto"/>
      <w:widowControl/>
    </w:pPr>
    <w:rPr>
      <w:rFonts w:ascii="宋体" w:hAnsi="宋体" w:cs="Times New Roman"/>
      <w:bCs/>
      <w:szCs w:val="21"/>
    </w:rPr>
  </w:style>
  <w:style w:type="paragraph" w:styleId="940" w:customStyle="1">
    <w:name w:val="Char1"/>
    <w:basedOn w:val="660"/>
    <w:uiPriority w:val="0"/>
    <w:qFormat/>
    <w:rPr>
      <w:rFonts w:ascii="仿宋_GB2312" w:eastAsia="仿宋_GB2312" w:cs="Times New Roman"/>
      <w:b/>
      <w:sz w:val="32"/>
      <w:szCs w:val="32"/>
    </w:rPr>
  </w:style>
  <w:style w:type="paragraph" w:styleId="941" w:customStyle="1">
    <w:name w:val="正文lzq"/>
    <w:basedOn w:val="660"/>
    <w:uiPriority w:val="0"/>
    <w:qFormat/>
    <w:pPr>
      <w:ind w:firstLine="480"/>
      <w:spacing w:line="360" w:lineRule="auto"/>
    </w:pPr>
    <w:rPr>
      <w:rFonts w:cs="Times New Roman"/>
      <w:sz w:val="24"/>
      <w:szCs w:val="20"/>
    </w:rPr>
  </w:style>
  <w:style w:type="paragraph" w:styleId="942" w:customStyle="1">
    <w:name w:val="方案正文"/>
    <w:basedOn w:val="660"/>
    <w:uiPriority w:val="0"/>
    <w:qFormat/>
    <w:pPr>
      <w:ind w:firstLine="359"/>
      <w:jc w:val="left"/>
      <w:spacing w:before="156" w:line="360" w:lineRule="auto"/>
    </w:pPr>
    <w:rPr>
      <w:rFonts w:ascii="Arial" w:hAnsi="Arial"/>
      <w:sz w:val="24"/>
      <w:szCs w:val="21"/>
    </w:rPr>
  </w:style>
  <w:style w:type="paragraph" w:styleId="943" w:customStyle="1">
    <w:name w:val="tableau"/>
    <w:basedOn w:val="660"/>
    <w:uiPriority w:val="0"/>
    <w:qFormat/>
    <w:pPr>
      <w:jc w:val="center"/>
      <w:spacing w:before="20" w:after="20"/>
      <w:widowControl/>
    </w:pPr>
    <w:rPr>
      <w:rFonts w:ascii="Arial" w:hAnsi="Arial" w:cs="Times New Roman"/>
      <w:sz w:val="16"/>
      <w:szCs w:val="20"/>
      <w:lang w:val="en-GB" w:eastAsia="en-US"/>
    </w:rPr>
  </w:style>
  <w:style w:type="paragraph" w:styleId="944" w:customStyle="1">
    <w:name w:val="公文正文"/>
    <w:basedOn w:val="673"/>
    <w:uiPriority w:val="0"/>
    <w:qFormat/>
    <w:pPr>
      <w:ind w:firstLine="200"/>
      <w:spacing w:line="240" w:lineRule="auto"/>
    </w:pPr>
    <w:rPr>
      <w:rFonts w:ascii="仿宋_GB2312" w:hAnsi="宋体" w:eastAsia="仿宋_GB2312" w:cs="Times New Roman"/>
      <w:szCs w:val="24"/>
    </w:rPr>
  </w:style>
  <w:style w:type="paragraph" w:styleId="945" w:customStyle="1">
    <w:name w:val="正文--表格内正文"/>
    <w:basedOn w:val="660"/>
    <w:uiPriority w:val="0"/>
    <w:qFormat/>
    <w:pPr>
      <w:jc w:val="center"/>
      <w:spacing w:line="0" w:lineRule="atLeast"/>
    </w:pPr>
    <w:rPr>
      <w:rFonts w:ascii="宋体" w:hAnsi="宋体" w:cs="Times New Roman"/>
      <w:color w:val="000000"/>
      <w:sz w:val="24"/>
      <w:szCs w:val="24"/>
    </w:rPr>
  </w:style>
  <w:style w:type="paragraph" w:styleId="946" w:customStyle="1">
    <w:name w:val="样式 标题 2第一章 标题 2Heading 2 HiddenHeading 2 CCBSheading 2H2h2..."/>
    <w:basedOn w:val="66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47" w:customStyle="1">
    <w:name w:val="丁华正文"/>
    <w:basedOn w:val="704"/>
    <w:uiPriority w:val="0"/>
    <w:qFormat/>
    <w:pPr>
      <w:ind w:left="0" w:firstLine="510"/>
      <w:spacing w:before="0" w:after="0" w:line="360" w:lineRule="auto"/>
    </w:pPr>
    <w:rPr>
      <w:rFonts w:ascii="宋体" w:hAnsi="Arial"/>
      <w:bCs w:val="0"/>
      <w:color w:val="000000"/>
      <w:szCs w:val="16"/>
    </w:rPr>
  </w:style>
  <w:style w:type="character" w:styleId="948" w:customStyle="1">
    <w:name w:val="脚注文本 Char1"/>
    <w:basedOn w:val="670"/>
    <w:uiPriority w:val="99"/>
    <w:semiHidden/>
    <w:qFormat/>
    <w:rPr>
      <w:rFonts w:ascii="Calibri" w:hAnsi="Calibri" w:cs="宋体"/>
      <w:sz w:val="18"/>
      <w:szCs w:val="18"/>
    </w:rPr>
  </w:style>
  <w:style w:type="character" w:styleId="949" w:customStyle="1">
    <w:name w:val="正文首行缩进 Char1"/>
    <w:basedOn w:val="887"/>
    <w:uiPriority w:val="99"/>
    <w:semiHidden/>
    <w:qFormat/>
    <w:rPr>
      <w:rFonts w:ascii="Calibri" w:hAnsi="Calibri" w:cs="宋体"/>
      <w:sz w:val="21"/>
      <w:szCs w:val="22"/>
    </w:rPr>
  </w:style>
  <w:style w:type="paragraph" w:styleId="950" w:customStyle="1">
    <w:name w:val="小四 段落 宋体 Char"/>
    <w:basedOn w:val="677"/>
    <w:uiPriority w:val="0"/>
    <w:qFormat/>
    <w:pPr>
      <w:ind w:left="0" w:right="-33" w:firstLine="600"/>
      <w:jc w:val="left"/>
      <w:tabs>
        <w:tab w:val="clear" w:pos="2952" w:leader="none"/>
      </w:tabs>
    </w:pPr>
    <w:rPr>
      <w:rFonts w:ascii="仿宋_GB2312" w:eastAsia="仿宋_GB2312"/>
      <w:sz w:val="30"/>
      <w:szCs w:val="30"/>
    </w:rPr>
  </w:style>
  <w:style w:type="paragraph" w:styleId="951" w:customStyle="1">
    <w:name w:val="样式 小四 段前: 5 磅 段后: 5 磅 首行缩进:  2 字符"/>
    <w:basedOn w:val="660"/>
    <w:uiPriority w:val="0"/>
    <w:qFormat/>
    <w:pPr>
      <w:spacing w:line="360" w:lineRule="auto"/>
    </w:pPr>
    <w:rPr>
      <w:rFonts w:ascii="宋体" w:hAnsi="宋体" w:cs="Times New Roman"/>
      <w:szCs w:val="21"/>
    </w:rPr>
  </w:style>
  <w:style w:type="character" w:styleId="952" w:customStyle="1">
    <w:name w:val="称呼 Char1"/>
    <w:basedOn w:val="670"/>
    <w:uiPriority w:val="99"/>
    <w:semiHidden/>
    <w:qFormat/>
    <w:rPr>
      <w:rFonts w:ascii="Calibri" w:hAnsi="Calibri" w:cs="宋体"/>
      <w:sz w:val="21"/>
      <w:szCs w:val="22"/>
    </w:rPr>
  </w:style>
  <w:style w:type="paragraph" w:styleId="953" w:customStyle="1">
    <w:name w:val="样式 标题 2节标题 1.11.1标题2b2标题 2 Char Char + 黑体 小三 段前: 6 磅 段后: ..."/>
    <w:basedOn w:val="662"/>
    <w:uiPriority w:val="99"/>
    <w:qFormat/>
    <w:pPr>
      <w:spacing w:before="120" w:after="120" w:line="360" w:lineRule="auto"/>
    </w:pPr>
    <w:rPr>
      <w:rFonts w:ascii="黑体" w:hAnsi="宋体" w:cs="宋体"/>
      <w:sz w:val="30"/>
      <w:szCs w:val="20"/>
    </w:rPr>
  </w:style>
  <w:style w:type="paragraph" w:styleId="954" w:customStyle="1">
    <w:name w:val="二级条标题"/>
    <w:basedOn w:val="660"/>
    <w:next w:val="955"/>
    <w:uiPriority w:val="0"/>
    <w:qFormat/>
    <w:pPr>
      <w:ind w:hanging="420"/>
      <w:widowControl/>
      <w:tabs>
        <w:tab w:val="left" w:pos="2240" w:leader="none"/>
      </w:tabs>
      <w:outlineLvl w:val="3"/>
    </w:pPr>
    <w:rPr>
      <w:rFonts w:eastAsia="黑体" w:cs="Times New Roman"/>
      <w:szCs w:val="20"/>
    </w:rPr>
  </w:style>
  <w:style w:type="paragraph" w:styleId="955" w:customStyle="1">
    <w:name w:val="段"/>
    <w:uiPriority w:val="0"/>
    <w:qFormat/>
    <w:pPr>
      <w:ind w:firstLine="200"/>
      <w:jc w:val="both"/>
    </w:pPr>
    <w:rPr>
      <w:rFonts w:hint="default" w:ascii="宋体" w:hAnsi="Calibri" w:eastAsia="宋体" w:cs="Times New Roman"/>
      <w:sz w:val="21"/>
      <w:lang w:val="en-US" w:eastAsia="zh-CN" w:bidi="ar-SA"/>
    </w:rPr>
  </w:style>
  <w:style w:type="paragraph" w:styleId="956" w:customStyle="1">
    <w:name w:val="Char Char Char Char Char Char Char Char Char Char Char Char Char Char Char Char Char Char Char Char Char Char Char"/>
    <w:basedOn w:val="660"/>
    <w:uiPriority w:val="0"/>
    <w:qFormat/>
    <w:rPr>
      <w:rFonts w:ascii="Tahoma" w:hAnsi="Tahoma" w:cs="Times New Roman"/>
      <w:sz w:val="24"/>
      <w:szCs w:val="20"/>
    </w:rPr>
  </w:style>
  <w:style w:type="paragraph" w:styleId="957" w:customStyle="1">
    <w:name w:val="样式 样式 首行缩进:  2 字符 + 行距: 1.5 倍行距"/>
    <w:basedOn w:val="660"/>
    <w:uiPriority w:val="0"/>
    <w:qFormat/>
    <w:pPr>
      <w:ind w:firstLine="470"/>
      <w:spacing w:line="360" w:lineRule="auto"/>
    </w:pPr>
    <w:rPr>
      <w:rFonts w:cs="Times New Roman"/>
      <w:sz w:val="24"/>
      <w:szCs w:val="20"/>
    </w:rPr>
  </w:style>
  <w:style w:type="paragraph" w:styleId="958" w:customStyle="1">
    <w:name w:val="丁华标题2"/>
    <w:basedOn w:val="662"/>
    <w:next w:val="947"/>
    <w:uiPriority w:val="0"/>
    <w:qFormat/>
    <w:pPr>
      <w:ind w:left="567" w:hanging="567"/>
      <w:jc w:val="left"/>
      <w:spacing w:before="120" w:after="120"/>
      <w:tabs>
        <w:tab w:val="left" w:pos="567" w:leader="none"/>
      </w:tabs>
    </w:pPr>
    <w:rPr>
      <w:color w:val="000000"/>
      <w:sz w:val="28"/>
      <w:szCs w:val="20"/>
    </w:rPr>
  </w:style>
  <w:style w:type="paragraph" w:styleId="959" w:customStyle="1">
    <w:name w:val="标题 4宋体"/>
    <w:basedOn w:val="664"/>
    <w:uiPriority w:val="0"/>
    <w:qFormat/>
    <w:pPr>
      <w:jc w:val="left"/>
      <w:keepLines w:val="0"/>
      <w:spacing w:before="0" w:after="0" w:line="360" w:lineRule="auto"/>
    </w:pPr>
    <w:rPr>
      <w:rFonts w:ascii="宋体" w:hAnsi="宋体" w:eastAsia="宋体"/>
      <w:bCs/>
      <w:color w:val="000000"/>
      <w:sz w:val="24"/>
    </w:rPr>
  </w:style>
  <w:style w:type="paragraph" w:styleId="960" w:customStyle="1">
    <w:name w:val="7"/>
    <w:basedOn w:val="660"/>
    <w:next w:val="710"/>
    <w:uiPriority w:val="0"/>
    <w:qFormat/>
    <w:pPr>
      <w:jc w:val="left"/>
      <w:spacing w:before="100" w:beforeAutospacing="1" w:after="100" w:afterAutospacing="1"/>
      <w:widowControl/>
    </w:pPr>
    <w:rPr>
      <w:rFonts w:ascii="宋体" w:hAnsi="宋体" w:cs="Times New Roman"/>
      <w:sz w:val="24"/>
      <w:szCs w:val="20"/>
    </w:rPr>
  </w:style>
  <w:style w:type="paragraph" w:styleId="961" w:customStyle="1">
    <w:name w:val="段落"/>
    <w:uiPriority w:val="0"/>
    <w:qFormat/>
    <w:pPr>
      <w:ind w:firstLine="480"/>
      <w:jc w:val="both"/>
      <w:spacing w:before="120" w:after="120" w:line="360" w:lineRule="auto"/>
    </w:pPr>
    <w:rPr>
      <w:rFonts w:hint="default" w:ascii="Calibri" w:hAnsi="Calibri" w:eastAsia="仿宋_GB2312" w:cs="Times New Roman"/>
      <w:sz w:val="24"/>
      <w:szCs w:val="24"/>
      <w:lang w:val="en-US" w:eastAsia="zh-CN" w:bidi="ar-SA"/>
    </w:rPr>
  </w:style>
  <w:style w:type="paragraph" w:styleId="962" w:customStyle="1">
    <w:name w:val="样式 加点正文 + 段前: 0.5 行 段后: 0.5 行1"/>
    <w:basedOn w:val="660"/>
    <w:uiPriority w:val="0"/>
    <w:qFormat/>
    <w:pPr>
      <w:numPr>
        <w:ilvl w:val="0"/>
        <w:numId w:val="1"/>
      </w:numPr>
      <w:ind w:left="1268"/>
      <w:spacing w:line="300" w:lineRule="auto"/>
      <w:tabs>
        <w:tab w:val="left" w:pos="1268" w:leader="none"/>
      </w:tabs>
    </w:pPr>
    <w:rPr>
      <w:rFonts w:cs="Times New Roman"/>
      <w:sz w:val="24"/>
      <w:szCs w:val="20"/>
    </w:rPr>
  </w:style>
  <w:style w:type="paragraph" w:styleId="963" w:customStyle="1">
    <w:name w:val="content_lineheight"/>
    <w:basedOn w:val="660"/>
    <w:uiPriority w:val="0"/>
    <w:qFormat/>
    <w:pPr>
      <w:jc w:val="left"/>
      <w:spacing w:before="100" w:beforeAutospacing="1" w:after="100" w:afterAutospacing="1"/>
      <w:widowControl/>
    </w:pPr>
    <w:rPr>
      <w:rFonts w:ascii="宋体" w:hAnsi="宋体" w:cs="Times New Roman"/>
      <w:sz w:val="24"/>
      <w:szCs w:val="24"/>
    </w:rPr>
  </w:style>
  <w:style w:type="paragraph" w:styleId="964" w:customStyle="1">
    <w:name w:val="样式"/>
    <w:basedOn w:val="660"/>
    <w:uiPriority w:val="0"/>
    <w:qFormat/>
    <w:pPr>
      <w:spacing w:before="120" w:after="120" w:line="360" w:lineRule="auto"/>
    </w:pPr>
    <w:rPr>
      <w:rFonts w:ascii="宋体" w:cs="Times New Roman"/>
      <w:sz w:val="24"/>
      <w:szCs w:val="20"/>
    </w:rPr>
  </w:style>
  <w:style w:type="character" w:styleId="965" w:customStyle="1">
    <w:name w:val="正文文本缩进 2 Char1"/>
    <w:basedOn w:val="670"/>
    <w:uiPriority w:val="99"/>
    <w:semiHidden/>
    <w:qFormat/>
    <w:rPr>
      <w:rFonts w:ascii="Calibri" w:hAnsi="Calibri" w:cs="宋体"/>
      <w:sz w:val="21"/>
      <w:szCs w:val="22"/>
    </w:rPr>
  </w:style>
  <w:style w:type="paragraph" w:styleId="966" w:customStyle="1">
    <w:name w:val="小四 段落 宋体 Char Char Char"/>
    <w:basedOn w:val="677"/>
    <w:uiPriority w:val="0"/>
    <w:qFormat/>
    <w:pPr>
      <w:ind w:left="0" w:right="-33" w:firstLine="545"/>
      <w:jc w:val="left"/>
      <w:spacing w:line="360" w:lineRule="auto"/>
      <w:tabs>
        <w:tab w:val="clear" w:pos="2952" w:leader="none"/>
      </w:tabs>
    </w:pPr>
    <w:rPr>
      <w:sz w:val="24"/>
    </w:rPr>
  </w:style>
  <w:style w:type="paragraph" w:styleId="967" w:customStyle="1">
    <w:name w:val="正文 New New New New New"/>
    <w:uiPriority w:val="0"/>
    <w:qFormat/>
    <w:pPr>
      <w:jc w:val="both"/>
      <w:widowControl w:val="off"/>
    </w:pPr>
    <w:rPr>
      <w:rFonts w:hint="default" w:ascii="Calibri" w:hAnsi="Calibri" w:eastAsia="宋体" w:cs="Times New Roman"/>
      <w:sz w:val="21"/>
      <w:szCs w:val="24"/>
      <w:lang w:val="en-US" w:eastAsia="zh-CN" w:bidi="ar-SA"/>
    </w:rPr>
  </w:style>
  <w:style w:type="character" w:styleId="968" w:customStyle="1">
    <w:name w:val="标题 Char1"/>
    <w:basedOn w:val="670"/>
    <w:uiPriority w:val="10"/>
    <w:qFormat/>
    <w:rPr>
      <w:rFonts w:asciiTheme="majorHAnsi" w:hAnsiTheme="majorHAnsi" w:cstheme="majorBidi"/>
      <w:b/>
      <w:bCs/>
      <w:sz w:val="32"/>
      <w:szCs w:val="32"/>
    </w:rPr>
  </w:style>
  <w:style w:type="paragraph" w:styleId="969" w:customStyle="1">
    <w:name w:val="Char Char Char Char Char Char Char Char Char Char Char1 Char Char Char1"/>
    <w:basedOn w:val="660"/>
    <w:uiPriority w:val="0"/>
    <w:qFormat/>
    <w:pPr>
      <w:ind w:firstLine="200"/>
      <w:jc w:val="left"/>
    </w:pPr>
    <w:rPr>
      <w:rFonts w:ascii="Tahoma" w:hAnsi="Tahoma" w:cs="Times New Roman"/>
      <w:sz w:val="24"/>
      <w:szCs w:val="24"/>
    </w:rPr>
  </w:style>
  <w:style w:type="paragraph" w:styleId="970" w:customStyle="1">
    <w:name w:val="a"/>
    <w:basedOn w:val="660"/>
    <w:uiPriority w:val="0"/>
    <w:qFormat/>
    <w:pPr>
      <w:spacing w:before="100" w:beforeAutospacing="1" w:after="100" w:afterAutospacing="1"/>
      <w:widowControl/>
    </w:pPr>
    <w:rPr>
      <w:rFonts w:ascii="宋体" w:hAnsi="宋体"/>
      <w:sz w:val="24"/>
      <w:szCs w:val="24"/>
    </w:rPr>
  </w:style>
  <w:style w:type="paragraph" w:styleId="971" w:customStyle="1">
    <w:name w:val="Char Char1 Char"/>
    <w:basedOn w:val="660"/>
    <w:uiPriority w:val="0"/>
    <w:qFormat/>
    <w:pPr>
      <w:jc w:val="left"/>
      <w:spacing w:after="160" w:line="240" w:lineRule="exact"/>
      <w:widowControl/>
    </w:pPr>
    <w:rPr>
      <w:rFonts w:ascii="Verdana" w:hAnsi="Verdana" w:cs="Times New Roman"/>
      <w:sz w:val="20"/>
      <w:szCs w:val="20"/>
      <w:lang w:eastAsia="en-US"/>
    </w:rPr>
  </w:style>
  <w:style w:type="paragraph" w:styleId="972" w:customStyle="1">
    <w:name w:val="标题1，章节第一层"/>
    <w:basedOn w:val="939"/>
    <w:next w:val="939"/>
    <w:uiPriority w:val="0"/>
    <w:qFormat/>
    <w:pPr>
      <w:ind w:left="482"/>
      <w:tabs>
        <w:tab w:val="left" w:pos="693" w:leader="none"/>
      </w:tabs>
      <w:outlineLvl w:val="0"/>
    </w:pPr>
    <w:rPr>
      <w:color w:val="000000"/>
      <w:sz w:val="24"/>
      <w:szCs w:val="24"/>
    </w:rPr>
  </w:style>
  <w:style w:type="paragraph" w:styleId="973" w:customStyle="1">
    <w:name w:val="符号与编号 Char Char"/>
    <w:basedOn w:val="660"/>
    <w:uiPriority w:val="0"/>
    <w:qFormat/>
    <w:pPr>
      <w:ind w:left="839" w:hanging="419"/>
      <w:spacing w:line="400" w:lineRule="atLeast"/>
      <w:tabs>
        <w:tab w:val="left" w:pos="840" w:leader="none"/>
      </w:tabs>
    </w:pPr>
    <w:rPr>
      <w:rFonts w:cs="Times New Roman"/>
      <w:sz w:val="24"/>
      <w:szCs w:val="24"/>
    </w:rPr>
  </w:style>
  <w:style w:type="paragraph" w:styleId="974" w:customStyle="1">
    <w:name w:val="符号与编号"/>
    <w:basedOn w:val="660"/>
    <w:uiPriority w:val="0"/>
    <w:qFormat/>
    <w:pPr>
      <w:ind w:left="900" w:hanging="420"/>
      <w:spacing w:line="400" w:lineRule="atLeast"/>
      <w:tabs>
        <w:tab w:val="left" w:pos="900" w:leader="none"/>
      </w:tabs>
    </w:pPr>
    <w:rPr>
      <w:rFonts w:cs="Times New Roman"/>
      <w:sz w:val="24"/>
      <w:szCs w:val="24"/>
    </w:rPr>
  </w:style>
  <w:style w:type="paragraph" w:styleId="975" w:customStyle="1">
    <w:name w:val="flName"/>
    <w:basedOn w:val="976"/>
    <w:uiPriority w:val="0"/>
    <w:qFormat/>
    <w:pPr>
      <w:spacing w:before="0" w:line="113" w:lineRule="atLeast"/>
    </w:pPr>
  </w:style>
  <w:style w:type="paragraph" w:styleId="976" w:customStyle="1">
    <w:name w:val="flNote"/>
    <w:basedOn w:val="660"/>
    <w:uiPriority w:val="0"/>
    <w:qFormat/>
    <w:pPr>
      <w:jc w:val="center"/>
      <w:spacing w:before="567" w:line="360" w:lineRule="atLeast"/>
    </w:pPr>
    <w:rPr>
      <w:rFonts w:eastAsia="黑体" w:cs="Times New Roman"/>
      <w:b/>
      <w:sz w:val="24"/>
      <w:szCs w:val="20"/>
    </w:rPr>
  </w:style>
  <w:style w:type="paragraph" w:styleId="977" w:customStyle="1">
    <w:name w:val="马刚标题3"/>
    <w:basedOn w:val="660"/>
    <w:next w:val="66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78" w:customStyle="1">
    <w:name w:val="Char Char Char Char Char Char Char Char Char Char Char Char Char Char Char Char Char Char Char Char Char"/>
    <w:basedOn w:val="660"/>
    <w:uiPriority w:val="0"/>
    <w:qFormat/>
    <w:rPr>
      <w:rFonts w:ascii="Tahoma" w:hAnsi="Tahoma" w:cs="Times New Roman"/>
      <w:sz w:val="24"/>
      <w:szCs w:val="20"/>
    </w:rPr>
  </w:style>
  <w:style w:type="paragraph" w:styleId="979" w:customStyle="1">
    <w:name w:val="样式3"/>
    <w:basedOn w:val="660"/>
    <w:next w:val="660"/>
    <w:uiPriority w:val="0"/>
    <w:qFormat/>
    <w:pPr>
      <w:spacing w:line="360" w:lineRule="auto"/>
    </w:pPr>
    <w:rPr>
      <w:rFonts w:cs="Times New Roman"/>
      <w:szCs w:val="20"/>
    </w:rPr>
  </w:style>
  <w:style w:type="paragraph" w:styleId="980" w:customStyle="1">
    <w:name w:val="公文标题 2"/>
    <w:basedOn w:val="660"/>
    <w:next w:val="944"/>
    <w:uiPriority w:val="0"/>
    <w:qFormat/>
    <w:pPr>
      <w:outlineLvl w:val="1"/>
    </w:pPr>
    <w:rPr>
      <w:rFonts w:ascii="仿宋_GB2312" w:hAnsi="宋体" w:eastAsia="仿宋_GB2312" w:cs="Times New Roman"/>
      <w:sz w:val="28"/>
      <w:szCs w:val="24"/>
    </w:rPr>
  </w:style>
  <w:style w:type="paragraph" w:styleId="981" w:customStyle="1">
    <w:name w:val="表格内容"/>
    <w:basedOn w:val="660"/>
    <w:uiPriority w:val="0"/>
    <w:qFormat/>
    <w:pPr>
      <w:jc w:val="center"/>
      <w:spacing w:before="60" w:line="300" w:lineRule="auto"/>
      <w:widowControl/>
    </w:pPr>
    <w:rPr>
      <w:rFonts w:cs="Times New Roman"/>
      <w:szCs w:val="20"/>
    </w:rPr>
  </w:style>
  <w:style w:type="paragraph" w:styleId="982" w:customStyle="1">
    <w:name w:val="插图"/>
    <w:basedOn w:val="660"/>
    <w:uiPriority w:val="0"/>
    <w:qFormat/>
    <w:pPr>
      <w:jc w:val="center"/>
      <w:tabs>
        <w:tab w:val="left" w:pos="1620" w:leader="none"/>
      </w:tabs>
    </w:pPr>
    <w:rPr>
      <w:rFonts w:cs="Times New Roman"/>
      <w:bCs/>
      <w:color w:val="000000"/>
    </w:rPr>
  </w:style>
  <w:style w:type="character" w:styleId="983" w:customStyle="1">
    <w:name w:val="签名 Char1"/>
    <w:basedOn w:val="670"/>
    <w:uiPriority w:val="99"/>
    <w:semiHidden/>
    <w:qFormat/>
    <w:rPr>
      <w:rFonts w:ascii="Calibri" w:hAnsi="Calibri" w:cs="宋体"/>
      <w:sz w:val="21"/>
      <w:szCs w:val="22"/>
    </w:rPr>
  </w:style>
  <w:style w:type="paragraph" w:styleId="984" w:customStyle="1">
    <w:name w:val="小四 段落 宋体"/>
    <w:basedOn w:val="677"/>
    <w:uiPriority w:val="0"/>
    <w:qFormat/>
    <w:pPr>
      <w:ind w:left="113" w:right="113" w:firstLine="425"/>
      <w:jc w:val="left"/>
      <w:spacing w:line="360" w:lineRule="auto"/>
      <w:tabs>
        <w:tab w:val="clear" w:pos="2952" w:leader="none"/>
      </w:tabs>
    </w:pPr>
    <w:rPr>
      <w:sz w:val="24"/>
    </w:rPr>
  </w:style>
  <w:style w:type="paragraph" w:styleId="985" w:customStyle="1">
    <w:name w:val="正文 + 宋体"/>
    <w:basedOn w:val="660"/>
    <w:uiPriority w:val="0"/>
    <w:qFormat/>
    <w:pPr>
      <w:ind w:firstLine="420"/>
      <w:spacing w:line="360" w:lineRule="auto"/>
    </w:pPr>
    <w:rPr>
      <w:rFonts w:cs="Times New Roman"/>
      <w:szCs w:val="24"/>
    </w:rPr>
  </w:style>
  <w:style w:type="paragraph" w:styleId="986" w:customStyle="1">
    <w:name w:val="正文 首行缩进:  2 字符 Char"/>
    <w:basedOn w:val="660"/>
    <w:uiPriority w:val="0"/>
    <w:qFormat/>
    <w:pPr>
      <w:ind w:firstLine="480"/>
      <w:spacing w:line="360" w:lineRule="auto"/>
    </w:pPr>
    <w:rPr>
      <w:sz w:val="24"/>
      <w:szCs w:val="20"/>
    </w:rPr>
  </w:style>
  <w:style w:type="paragraph" w:styleId="987" w:customStyle="1">
    <w:name w:val="标题5，章节第五层"/>
    <w:basedOn w:val="660"/>
    <w:next w:val="660"/>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88" w:customStyle="1">
    <w:name w:val="纯文本 Char2"/>
    <w:basedOn w:val="670"/>
    <w:uiPriority w:val="99"/>
    <w:semiHidden/>
    <w:qFormat/>
    <w:rPr>
      <w:rFonts w:ascii="宋体" w:hAnsi="Courier New" w:cs="Courier New"/>
      <w:sz w:val="21"/>
      <w:szCs w:val="21"/>
    </w:rPr>
  </w:style>
  <w:style w:type="paragraph" w:styleId="989" w:customStyle="1">
    <w:name w:val="样式1"/>
    <w:basedOn w:val="660"/>
    <w:uiPriority w:val="0"/>
    <w:qFormat/>
    <w:pPr>
      <w:ind w:firstLine="480"/>
      <w:spacing w:line="300" w:lineRule="auto"/>
    </w:pPr>
    <w:rPr>
      <w:rFonts w:cs="Times New Roman"/>
      <w:sz w:val="24"/>
      <w:szCs w:val="24"/>
    </w:rPr>
  </w:style>
  <w:style w:type="character" w:styleId="990" w:customStyle="1">
    <w:name w:val="日期 Char1"/>
    <w:basedOn w:val="670"/>
    <w:uiPriority w:val="99"/>
    <w:semiHidden/>
    <w:qFormat/>
    <w:rPr>
      <w:rFonts w:ascii="Calibri" w:hAnsi="Calibri" w:cs="宋体"/>
      <w:sz w:val="21"/>
      <w:szCs w:val="22"/>
    </w:rPr>
  </w:style>
  <w:style w:type="paragraph" w:styleId="991" w:customStyle="1">
    <w:name w:val="a0"/>
    <w:basedOn w:val="660"/>
    <w:uiPriority w:val="0"/>
    <w:qFormat/>
    <w:pPr>
      <w:spacing w:before="100" w:beforeAutospacing="1" w:after="100" w:afterAutospacing="1"/>
      <w:widowControl/>
    </w:pPr>
    <w:rPr>
      <w:rFonts w:ascii="宋体" w:hAnsi="宋体"/>
      <w:sz w:val="24"/>
      <w:szCs w:val="24"/>
    </w:rPr>
  </w:style>
  <w:style w:type="paragraph" w:styleId="992" w:customStyle="1">
    <w:name w:val="修订1"/>
    <w:uiPriority w:val="99"/>
    <w:unhideWhenUsed/>
    <w:qFormat/>
    <w:rPr>
      <w:rFonts w:hint="default" w:ascii="Calibri" w:hAnsi="Calibri" w:eastAsia="宋体" w:cs="Times New Roman"/>
      <w:sz w:val="21"/>
      <w:szCs w:val="24"/>
      <w:lang w:val="en-US" w:eastAsia="zh-CN" w:bidi="ar-SA"/>
    </w:rPr>
  </w:style>
  <w:style w:type="paragraph" w:styleId="993" w:customStyle="1">
    <w:name w:val="标题4，章节第四层"/>
    <w:basedOn w:val="660"/>
    <w:next w:val="660"/>
    <w:uiPriority w:val="0"/>
    <w:qFormat/>
    <w:pPr>
      <w:spacing w:line="360" w:lineRule="auto"/>
      <w:tabs>
        <w:tab w:val="left" w:pos="0" w:leader="none"/>
      </w:tabs>
      <w:outlineLvl w:val="3"/>
    </w:pPr>
    <w:rPr>
      <w:rFonts w:ascii="宋体" w:hAnsi="宋体" w:cs="Times New Roman"/>
      <w:b/>
      <w:sz w:val="24"/>
      <w:szCs w:val="24"/>
    </w:rPr>
  </w:style>
  <w:style w:type="paragraph" w:styleId="994" w:customStyle="1">
    <w:name w:val="qw"/>
    <w:uiPriority w:val="0"/>
    <w:qFormat/>
    <w:pPr>
      <w:jc w:val="both"/>
      <w:spacing w:line="312" w:lineRule="atLeast"/>
      <w:widowControl w:val="off"/>
    </w:pPr>
    <w:rPr>
      <w:rFonts w:hint="default" w:ascii="宋体" w:hAnsi="Calibri" w:eastAsia="宋体" w:cs="Times New Roman"/>
      <w:sz w:val="24"/>
      <w:lang w:val="en-US" w:eastAsia="zh-CN" w:bidi="ar-SA"/>
    </w:rPr>
  </w:style>
  <w:style w:type="paragraph" w:styleId="995" w:customStyle="1">
    <w:name w:val="华宇段落1 Char"/>
    <w:basedOn w:val="660"/>
    <w:uiPriority w:val="0"/>
    <w:qFormat/>
    <w:pPr>
      <w:ind w:firstLine="200"/>
      <w:spacing w:line="360" w:lineRule="auto"/>
    </w:pPr>
    <w:rPr>
      <w:rFonts w:cs="Times New Roman"/>
      <w:bCs/>
      <w:sz w:val="24"/>
      <w:szCs w:val="24"/>
    </w:rPr>
  </w:style>
  <w:style w:type="character" w:styleId="996" w:customStyle="1">
    <w:name w:val="正文文本缩进 3 Char1"/>
    <w:basedOn w:val="670"/>
    <w:uiPriority w:val="99"/>
    <w:semiHidden/>
    <w:qFormat/>
    <w:rPr>
      <w:rFonts w:ascii="Calibri" w:hAnsi="Calibri" w:cs="宋体"/>
      <w:sz w:val="16"/>
      <w:szCs w:val="16"/>
    </w:rPr>
  </w:style>
  <w:style w:type="paragraph" w:styleId="997" w:customStyle="1">
    <w:name w:val="Char2"/>
    <w:basedOn w:val="660"/>
    <w:uiPriority w:val="0"/>
    <w:qFormat/>
    <w:pPr>
      <w:spacing w:line="360" w:lineRule="auto"/>
    </w:pPr>
    <w:rPr>
      <w:rFonts w:ascii="Tahoma" w:hAnsi="Tahoma" w:cs="Times New Roman"/>
      <w:sz w:val="24"/>
      <w:szCs w:val="20"/>
    </w:rPr>
  </w:style>
  <w:style w:type="paragraph" w:styleId="998" w:customStyle="1">
    <w:name w:val="马刚标题1"/>
    <w:basedOn w:val="661"/>
    <w:next w:val="660"/>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99" w:customStyle="1">
    <w:name w:val="正文缩进2字符"/>
    <w:basedOn w:val="660"/>
    <w:uiPriority w:val="0"/>
    <w:qFormat/>
    <w:pPr>
      <w:ind w:firstLine="200"/>
      <w:spacing w:line="300" w:lineRule="auto"/>
    </w:pPr>
    <w:rPr>
      <w:rFonts w:ascii="仿宋_GB2312" w:eastAsia="仿宋_GB2312" w:cs="Times New Roman"/>
      <w:sz w:val="32"/>
      <w:szCs w:val="32"/>
    </w:rPr>
  </w:style>
  <w:style w:type="paragraph" w:styleId="1000" w:customStyle="1">
    <w:name w:val="项目符号，二级"/>
    <w:basedOn w:val="939"/>
    <w:next w:val="939"/>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01" w:customStyle="1">
    <w:name w:val="马刚标题4"/>
    <w:basedOn w:val="977"/>
    <w:next w:val="660"/>
    <w:uiPriority w:val="0"/>
    <w:qFormat/>
    <w:pPr>
      <w:spacing w:before="100" w:after="40"/>
      <w:tabs>
        <w:tab w:val="clear" w:pos="567" w:leader="none"/>
        <w:tab w:val="clear" w:pos="735" w:leader="none"/>
        <w:tab w:val="left" w:pos="1050" w:leader="none"/>
      </w:tabs>
      <w:outlineLvl w:val="3"/>
    </w:pPr>
    <w:rPr>
      <w:b w:val="0"/>
    </w:rPr>
  </w:style>
  <w:style w:type="paragraph" w:styleId="1002" w:customStyle="1">
    <w:name w:val="章标题"/>
    <w:next w:val="955"/>
    <w:uiPriority w:val="0"/>
    <w:qFormat/>
    <w:pPr>
      <w:jc w:val="both"/>
      <w:outlineLvl w:val="1"/>
    </w:pPr>
    <w:rPr>
      <w:rFonts w:hint="default" w:ascii="Calibri" w:hAnsi="Calibri" w:eastAsia="黑体" w:cs="Times New Roman"/>
      <w:sz w:val="21"/>
      <w:lang w:val="en-US" w:eastAsia="zh-CN" w:bidi="ar-SA"/>
    </w:rPr>
  </w:style>
  <w:style w:type="paragraph" w:styleId="1003" w:customStyle="1">
    <w:name w:val="项目符号，一级"/>
    <w:basedOn w:val="939"/>
    <w:next w:val="939"/>
    <w:uiPriority w:val="0"/>
    <w:qFormat/>
    <w:pPr>
      <w:ind w:left="376" w:firstLine="0"/>
      <w:spacing w:line="240" w:lineRule="atLeast"/>
      <w:tabs>
        <w:tab w:val="left" w:pos="1320" w:leader="none"/>
      </w:tabs>
    </w:pPr>
    <w:rPr>
      <w:bCs w:val="0"/>
      <w:color w:val="000000"/>
      <w:szCs w:val="24"/>
    </w:rPr>
  </w:style>
  <w:style w:type="paragraph" w:styleId="100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05" w:customStyle="1">
    <w:name w:val="Char Char Char Char Char Char Char"/>
    <w:basedOn w:val="660"/>
    <w:uiPriority w:val="0"/>
    <w:qFormat/>
    <w:pPr>
      <w:jc w:val="left"/>
    </w:pPr>
    <w:rPr>
      <w:rFonts w:ascii="Tahoma" w:hAnsi="Tahoma" w:cs="Times New Roman"/>
      <w:sz w:val="24"/>
      <w:szCs w:val="20"/>
    </w:rPr>
  </w:style>
  <w:style w:type="paragraph" w:styleId="1006" w:customStyle="1">
    <w:name w:val="列出段落11"/>
    <w:basedOn w:val="660"/>
    <w:uiPriority w:val="0"/>
    <w:qFormat/>
    <w:pPr>
      <w:contextualSpacing/>
      <w:ind w:left="720"/>
      <w:jc w:val="left"/>
      <w:widowControl/>
    </w:pPr>
    <w:rPr>
      <w:rFonts w:ascii="Arial" w:hAnsi="Arial" w:eastAsia="黑体" w:cs="Times New Roman"/>
      <w:sz w:val="24"/>
      <w:szCs w:val="24"/>
      <w:lang w:eastAsia="en-US"/>
    </w:rPr>
  </w:style>
  <w:style w:type="paragraph" w:styleId="1007" w:customStyle="1">
    <w:name w:val="正文 New"/>
    <w:uiPriority w:val="0"/>
    <w:qFormat/>
    <w:pPr>
      <w:jc w:val="both"/>
      <w:widowControl w:val="off"/>
    </w:pPr>
    <w:rPr>
      <w:rFonts w:hint="default" w:ascii="Calibri" w:hAnsi="Calibri" w:eastAsia="宋体" w:cs="Times New Roman"/>
      <w:sz w:val="21"/>
      <w:lang w:val="en-US" w:eastAsia="zh-CN" w:bidi="ar-SA"/>
    </w:rPr>
  </w:style>
  <w:style w:type="paragraph" w:styleId="1008" w:customStyle="1">
    <w:name w:val="Test2"/>
    <w:basedOn w:val="662"/>
    <w:uiPriority w:val="0"/>
    <w:qFormat/>
    <w:pPr>
      <w:jc w:val="center"/>
      <w:spacing w:line="480" w:lineRule="exact"/>
      <w:widowControl/>
    </w:pPr>
    <w:rPr>
      <w:rFonts w:ascii="黑体"/>
      <w:sz w:val="24"/>
      <w:szCs w:val="24"/>
    </w:rPr>
  </w:style>
  <w:style w:type="character" w:styleId="1009" w:customStyle="1">
    <w:name w:val="正文文本 2 Char1"/>
    <w:basedOn w:val="670"/>
    <w:uiPriority w:val="99"/>
    <w:semiHidden/>
    <w:qFormat/>
    <w:rPr>
      <w:rFonts w:ascii="Calibri" w:hAnsi="Calibri" w:cs="宋体"/>
      <w:sz w:val="21"/>
      <w:szCs w:val="22"/>
    </w:rPr>
  </w:style>
  <w:style w:type="paragraph" w:styleId="1010" w:customStyle="1">
    <w:name w:val="正文 居中"/>
    <w:basedOn w:val="660"/>
    <w:uiPriority w:val="0"/>
    <w:qFormat/>
    <w:pPr>
      <w:jc w:val="center"/>
      <w:spacing w:line="360" w:lineRule="auto"/>
    </w:pPr>
    <w:rPr>
      <w:rFonts w:cs="Times New Roman"/>
      <w:sz w:val="24"/>
      <w:szCs w:val="20"/>
    </w:rPr>
  </w:style>
  <w:style w:type="paragraph" w:styleId="1011" w:customStyle="1">
    <w:name w:val="样式2"/>
    <w:basedOn w:val="660"/>
    <w:uiPriority w:val="0"/>
    <w:qFormat/>
    <w:pPr>
      <w:ind w:left="200"/>
      <w:spacing w:line="360" w:lineRule="auto"/>
    </w:pPr>
    <w:rPr>
      <w:rFonts w:ascii="宋体" w:hAnsi="宋体" w:cs="Times New Roman"/>
      <w:b/>
      <w:sz w:val="24"/>
      <w:szCs w:val="24"/>
    </w:rPr>
  </w:style>
  <w:style w:type="paragraph" w:styleId="1012" w:customStyle="1">
    <w:name w:val="大标题"/>
    <w:basedOn w:val="660"/>
    <w:next w:val="660"/>
    <w:uiPriority w:val="0"/>
    <w:qFormat/>
    <w:pPr>
      <w:ind w:hanging="420"/>
      <w:pageBreakBefore/>
      <w:spacing w:line="360" w:lineRule="auto"/>
      <w:tabs>
        <w:tab w:val="left" w:pos="420" w:leader="none"/>
      </w:tabs>
      <w:outlineLvl w:val="0"/>
    </w:pPr>
    <w:rPr>
      <w:rFonts w:cs="Times New Roman"/>
      <w:b/>
      <w:iCs/>
      <w:sz w:val="44"/>
      <w:szCs w:val="24"/>
    </w:rPr>
  </w:style>
  <w:style w:type="paragraph" w:styleId="1013"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lang w:val="en-US" w:eastAsia="zh-CN" w:bidi="ar-SA"/>
    </w:rPr>
  </w:style>
  <w:style w:type="paragraph" w:styleId="1014" w:customStyle="1">
    <w:name w:val="正文文本 21"/>
    <w:basedOn w:val="660"/>
    <w:uiPriority w:val="0"/>
    <w:qFormat/>
    <w:pPr>
      <w:ind w:left="720" w:hanging="720"/>
      <w:widowControl/>
    </w:pPr>
    <w:rPr>
      <w:rFonts w:cs="Times New Roman"/>
      <w:sz w:val="24"/>
      <w:szCs w:val="20"/>
      <w:lang w:val="en-GB"/>
    </w:rPr>
  </w:style>
  <w:style w:type="paragraph" w:styleId="1015" w:customStyle="1">
    <w:name w:val="zw"/>
    <w:basedOn w:val="660"/>
    <w:uiPriority w:val="0"/>
    <w:qFormat/>
    <w:pPr>
      <w:ind w:firstLine="480"/>
      <w:jc w:val="left"/>
      <w:spacing w:line="360" w:lineRule="auto"/>
      <w:widowControl/>
    </w:pPr>
    <w:rPr>
      <w:rFonts w:ascii="宋体" w:hAnsi="宋体" w:cs="Times New Roman"/>
      <w:bCs/>
      <w:sz w:val="24"/>
      <w:szCs w:val="20"/>
    </w:rPr>
  </w:style>
  <w:style w:type="paragraph" w:styleId="1016" w:customStyle="1">
    <w:name w:val="标题3，章节第三层"/>
    <w:basedOn w:val="660"/>
    <w:next w:val="939"/>
    <w:uiPriority w:val="0"/>
    <w:qFormat/>
    <w:pPr>
      <w:spacing w:before="78" w:line="300" w:lineRule="auto"/>
      <w:outlineLvl w:val="2"/>
    </w:pPr>
    <w:rPr>
      <w:rFonts w:ascii="Arial" w:hAnsi="Arial" w:eastAsia="华文细黑" w:cs="Times New Roman"/>
      <w:sz w:val="30"/>
      <w:szCs w:val="24"/>
    </w:rPr>
  </w:style>
  <w:style w:type="character" w:styleId="1017" w:customStyle="1">
    <w:name w:val="正文文本 3 Char1"/>
    <w:basedOn w:val="670"/>
    <w:uiPriority w:val="99"/>
    <w:semiHidden/>
    <w:qFormat/>
    <w:rPr>
      <w:rFonts w:ascii="Calibri" w:hAnsi="Calibri" w:cs="宋体"/>
      <w:sz w:val="16"/>
      <w:szCs w:val="16"/>
    </w:rPr>
  </w:style>
  <w:style w:type="character" w:styleId="1018" w:customStyle="1">
    <w:name w:val="HTML 预设格式 Char1"/>
    <w:basedOn w:val="670"/>
    <w:uiPriority w:val="99"/>
    <w:semiHidden/>
    <w:qFormat/>
    <w:rPr>
      <w:rFonts w:ascii="Courier New" w:hAnsi="Courier New" w:cs="Courier New"/>
    </w:rPr>
  </w:style>
  <w:style w:type="paragraph" w:styleId="1019" w:customStyle="1">
    <w:name w:val="标准文本"/>
    <w:basedOn w:val="660"/>
    <w:uiPriority w:val="0"/>
    <w:qFormat/>
    <w:pPr>
      <w:ind w:firstLine="480"/>
      <w:spacing w:line="360" w:lineRule="auto"/>
    </w:pPr>
    <w:rPr>
      <w:sz w:val="24"/>
      <w:szCs w:val="24"/>
    </w:rPr>
  </w:style>
  <w:style w:type="paragraph" w:styleId="1020" w:customStyle="1">
    <w:name w:val="Char Char Char Char Char Char Char1"/>
    <w:basedOn w:val="660"/>
    <w:uiPriority w:val="0"/>
    <w:qFormat/>
    <w:rPr>
      <w:rFonts w:ascii="Tahoma" w:hAnsi="Tahoma" w:cs="Times New Roman"/>
      <w:sz w:val="24"/>
      <w:szCs w:val="20"/>
    </w:rPr>
  </w:style>
  <w:style w:type="paragraph" w:styleId="1021" w:customStyle="1">
    <w:name w:val="标准小四"/>
    <w:basedOn w:val="660"/>
    <w:uiPriority w:val="0"/>
    <w:qFormat/>
    <w:pPr>
      <w:ind w:firstLine="480"/>
      <w:spacing w:line="360" w:lineRule="auto"/>
    </w:pPr>
    <w:rPr>
      <w:rFonts w:ascii="Arial" w:hAnsi="Arial" w:cs="Times New Roman"/>
      <w:sz w:val="24"/>
      <w:szCs w:val="21"/>
    </w:rPr>
  </w:style>
  <w:style w:type="paragraph" w:styleId="1022" w:customStyle="1">
    <w:name w:val="正文2"/>
    <w:basedOn w:val="660"/>
    <w:uiPriority w:val="0"/>
    <w:qFormat/>
    <w:pPr>
      <w:ind w:firstLine="510"/>
      <w:spacing w:before="156" w:line="360" w:lineRule="auto"/>
    </w:pPr>
    <w:rPr>
      <w:rFonts w:cs="Times New Roman"/>
      <w:sz w:val="24"/>
      <w:szCs w:val="20"/>
    </w:rPr>
  </w:style>
  <w:style w:type="paragraph" w:styleId="1023" w:customStyle="1">
    <w:name w:val="Char Char Char Char"/>
    <w:basedOn w:val="660"/>
    <w:uiPriority w:val="0"/>
    <w:qFormat/>
    <w:pPr>
      <w:jc w:val="center"/>
      <w:spacing w:after="160" w:line="240" w:lineRule="exact"/>
      <w:widowControl/>
    </w:pPr>
    <w:rPr>
      <w:rFonts w:ascii="黑体" w:hAnsi="Verdana" w:eastAsia="黑体" w:cs="Times New Roman"/>
      <w:sz w:val="32"/>
      <w:szCs w:val="32"/>
      <w:lang w:eastAsia="en-US"/>
    </w:rPr>
  </w:style>
  <w:style w:type="paragraph" w:styleId="1024" w:customStyle="1">
    <w:name w:val="正文表标题"/>
    <w:next w:val="955"/>
    <w:uiPriority w:val="0"/>
    <w:qFormat/>
    <w:pPr>
      <w:ind w:left="900" w:hanging="420"/>
      <w:jc w:val="center"/>
      <w:tabs>
        <w:tab w:val="left" w:pos="900" w:leader="none"/>
      </w:tabs>
    </w:pPr>
    <w:rPr>
      <w:rFonts w:hint="default" w:ascii="黑体" w:hAnsi="Calibri" w:eastAsia="黑体" w:cs="Times New Roman"/>
      <w:sz w:val="21"/>
      <w:lang w:val="en-US" w:eastAsia="zh-CN" w:bidi="ar-SA"/>
    </w:rPr>
  </w:style>
  <w:style w:type="paragraph" w:styleId="1025" w:customStyle="1">
    <w:name w:val="Char Char2 Char"/>
    <w:basedOn w:val="660"/>
    <w:uiPriority w:val="0"/>
    <w:qFormat/>
    <w:pPr>
      <w:ind w:left="390" w:hanging="390"/>
      <w:keepLines/>
      <w:keepNext/>
      <w:pageBreakBefore/>
      <w:tabs>
        <w:tab w:val="left" w:pos="390" w:leader="none"/>
      </w:tabs>
    </w:pPr>
    <w:rPr>
      <w:rFonts w:ascii="Tahoma" w:hAnsi="Tahoma" w:cs="Times New Roman"/>
      <w:sz w:val="24"/>
      <w:szCs w:val="20"/>
    </w:rPr>
  </w:style>
  <w:style w:type="paragraph" w:styleId="1026" w:customStyle="1">
    <w:name w:val="样式 样式 首行缩进:  0.74 厘米 行距: 1.5 倍行距 + 段后: 0.5 行"/>
    <w:basedOn w:val="660"/>
    <w:uiPriority w:val="0"/>
    <w:qFormat/>
    <w:pPr>
      <w:ind w:firstLine="420"/>
      <w:spacing w:line="360" w:lineRule="auto"/>
    </w:pPr>
    <w:rPr>
      <w:rFonts w:ascii="楷体_GB2312" w:eastAsia="楷体_GB2312" w:cs="Times New Roman"/>
      <w:bCs/>
      <w:sz w:val="24"/>
      <w:szCs w:val="20"/>
    </w:rPr>
  </w:style>
  <w:style w:type="paragraph" w:styleId="1027" w:customStyle="1">
    <w:name w:val="样式 样式 标题 3H3sect1.2.3BOD 0Heading 3 - oldh3l3CTLevel 3 Head... +..."/>
    <w:basedOn w:val="660"/>
    <w:uiPriority w:val="0"/>
    <w:qFormat/>
    <w:pPr>
      <w:jc w:val="left"/>
      <w:keepLines/>
      <w:keepNext/>
      <w:outlineLvl w:val="2"/>
    </w:pPr>
    <w:rPr>
      <w:b/>
      <w:bCs/>
      <w:sz w:val="24"/>
      <w:szCs w:val="20"/>
    </w:rPr>
  </w:style>
  <w:style w:type="paragraph" w:styleId="1028" w:customStyle="1">
    <w:name w:val="Char Char Char Char Char Char Char Char Char Char Char Char Char Char"/>
    <w:basedOn w:val="660"/>
    <w:uiPriority w:val="0"/>
    <w:qFormat/>
    <w:rPr>
      <w:rFonts w:ascii="Tahoma" w:hAnsi="Tahoma" w:cs="Times New Roman"/>
      <w:sz w:val="24"/>
      <w:szCs w:val="20"/>
    </w:rPr>
  </w:style>
  <w:style w:type="paragraph" w:styleId="1029" w:customStyle="1">
    <w:name w:val="样式4 Char"/>
    <w:basedOn w:val="660"/>
    <w:uiPriority w:val="0"/>
    <w:qFormat/>
    <w:pPr>
      <w:ind w:firstLine="480"/>
      <w:jc w:val="left"/>
      <w:spacing w:line="360" w:lineRule="auto"/>
      <w:widowControl/>
    </w:pPr>
    <w:rPr>
      <w:color w:val="000000"/>
      <w:sz w:val="24"/>
      <w:szCs w:val="24"/>
    </w:rPr>
  </w:style>
  <w:style w:type="paragraph" w:styleId="1030" w:customStyle="1">
    <w:name w:val="表格内文字"/>
    <w:basedOn w:val="660"/>
    <w:uiPriority w:val="0"/>
    <w:qFormat/>
    <w:pPr>
      <w:spacing w:line="300" w:lineRule="atLeast"/>
    </w:pPr>
    <w:rPr>
      <w:rFonts w:cs="Times New Roman"/>
      <w:sz w:val="18"/>
      <w:szCs w:val="24"/>
    </w:rPr>
  </w:style>
  <w:style w:type="paragraph" w:styleId="1031" w:customStyle="1">
    <w:name w:val="retrait3"/>
    <w:basedOn w:val="660"/>
    <w:uiPriority w:val="0"/>
    <w:qFormat/>
    <w:pPr>
      <w:ind w:left="851"/>
      <w:jc w:val="left"/>
      <w:spacing w:before="20" w:after="20"/>
      <w:widowControl/>
    </w:pPr>
    <w:rPr>
      <w:rFonts w:ascii="Arial" w:hAnsi="Arial" w:cs="Times New Roman"/>
      <w:sz w:val="24"/>
      <w:szCs w:val="20"/>
      <w:lang w:val="en-GB"/>
    </w:rPr>
  </w:style>
  <w:style w:type="paragraph" w:styleId="1032" w:customStyle="1">
    <w:name w:val="Char Char1"/>
    <w:basedOn w:val="660"/>
    <w:uiPriority w:val="0"/>
    <w:qFormat/>
    <w:rPr>
      <w:rFonts w:ascii="Tahoma" w:hAnsi="Tahoma" w:cs="Times New Roman"/>
      <w:sz w:val="24"/>
      <w:szCs w:val="20"/>
    </w:rPr>
  </w:style>
  <w:style w:type="paragraph" w:styleId="1033" w:customStyle="1">
    <w:name w:val="flType"/>
    <w:basedOn w:val="975"/>
    <w:uiPriority w:val="0"/>
    <w:qFormat/>
    <w:pPr>
      <w:spacing w:after="284"/>
    </w:pPr>
    <w:rPr>
      <w:rFonts w:eastAsia="宋体"/>
      <w:b w:val="0"/>
    </w:rPr>
  </w:style>
  <w:style w:type="paragraph" w:styleId="1034" w:customStyle="1">
    <w:name w:val="项目符号：一级"/>
    <w:basedOn w:val="939"/>
    <w:next w:val="939"/>
    <w:uiPriority w:val="0"/>
    <w:qFormat/>
    <w:pPr>
      <w:ind w:right="-134"/>
    </w:pPr>
    <w:rPr>
      <w:bCs w:val="0"/>
    </w:rPr>
  </w:style>
  <w:style w:type="paragraph" w:styleId="1035" w:customStyle="1">
    <w:name w:val="文档正文"/>
    <w:basedOn w:val="660"/>
    <w:uiPriority w:val="0"/>
    <w:qFormat/>
    <w:pPr>
      <w:spacing w:line="360" w:lineRule="auto"/>
    </w:pPr>
    <w:rPr>
      <w:rFonts w:ascii="宋体" w:hAnsi="宋体" w:cs="Times New Roman"/>
      <w:b/>
      <w:bCs/>
      <w:szCs w:val="24"/>
    </w:rPr>
  </w:style>
  <w:style w:type="paragraph" w:styleId="1036" w:customStyle="1">
    <w:name w:val="Char Char1 Char1"/>
    <w:basedOn w:val="660"/>
    <w:uiPriority w:val="0"/>
    <w:qFormat/>
    <w:pPr>
      <w:jc w:val="left"/>
      <w:spacing w:after="160" w:line="240" w:lineRule="exact"/>
      <w:widowControl/>
    </w:pPr>
    <w:rPr>
      <w:rFonts w:ascii="Verdana" w:hAnsi="Verdana" w:cs="Times New Roman"/>
      <w:sz w:val="20"/>
      <w:szCs w:val="20"/>
      <w:lang w:eastAsia="en-US"/>
    </w:rPr>
  </w:style>
  <w:style w:type="paragraph" w:styleId="1037" w:customStyle="1">
    <w:name w:val="1"/>
    <w:basedOn w:val="660"/>
    <w:next w:val="708"/>
    <w:uiPriority w:val="0"/>
    <w:qFormat/>
    <w:pPr>
      <w:spacing w:line="360" w:lineRule="auto"/>
    </w:pPr>
    <w:rPr>
      <w:rFonts w:eastAsia="仿宋_GB2312" w:cs="Times New Roman"/>
      <w:sz w:val="24"/>
      <w:szCs w:val="24"/>
    </w:rPr>
  </w:style>
  <w:style w:type="paragraph" w:styleId="1038" w:customStyle="1">
    <w:name w:val="默认段落字体 Para Char Char Char Char Char Char Char Char Char1 Char Char Char Char Char Char Char"/>
    <w:basedOn w:val="680"/>
    <w:uiPriority w:val="0"/>
    <w:qFormat/>
    <w:pPr>
      <w:shd w:val="clear" w:color="auto" w:fill="000080"/>
    </w:pPr>
    <w:rPr>
      <w:rFonts w:ascii="Calibri" w:cs="Times New Roman"/>
      <w:sz w:val="21"/>
      <w:szCs w:val="20"/>
    </w:rPr>
  </w:style>
  <w:style w:type="paragraph" w:styleId="1039" w:customStyle="1">
    <w:name w:val="font7"/>
    <w:basedOn w:val="660"/>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40" w:customStyle="1">
    <w:name w:val="Char Char Char"/>
    <w:basedOn w:val="660"/>
    <w:uiPriority w:val="0"/>
    <w:qFormat/>
    <w:rPr>
      <w:rFonts w:ascii="Tahoma" w:hAnsi="Tahoma" w:cs="Times New Roman"/>
      <w:sz w:val="24"/>
      <w:szCs w:val="20"/>
    </w:rPr>
  </w:style>
  <w:style w:type="paragraph" w:styleId="1041" w:customStyle="1">
    <w:name w:val="Char Char Char Char Char"/>
    <w:basedOn w:val="660"/>
    <w:uiPriority w:val="0"/>
    <w:qFormat/>
    <w:rPr>
      <w:rFonts w:ascii="Tahoma" w:hAnsi="Tahoma" w:cs="Times New Roman"/>
      <w:sz w:val="24"/>
      <w:szCs w:val="20"/>
    </w:rPr>
  </w:style>
  <w:style w:type="paragraph" w:styleId="1042" w:customStyle="1">
    <w:name w:val="Char"/>
    <w:basedOn w:val="680"/>
    <w:uiPriority w:val="0"/>
    <w:qFormat/>
    <w:pPr>
      <w:shd w:val="clear" w:color="auto" w:fill="000080"/>
    </w:pPr>
    <w:rPr>
      <w:rFonts w:ascii="Tahoma" w:hAnsi="Tahoma" w:cs="Times New Roman"/>
      <w:sz w:val="24"/>
      <w:szCs w:val="24"/>
    </w:rPr>
  </w:style>
  <w:style w:type="paragraph" w:styleId="1043" w:customStyle="1">
    <w:name w:val="样式 标题 3H3sect1.2.3BOD 0Heading 3 - oldh3l3CTLevel 3 Head..."/>
    <w:basedOn w:val="663"/>
    <w:uiPriority w:val="0"/>
    <w:qFormat/>
    <w:pPr>
      <w:jc w:val="left"/>
      <w:spacing w:line="240" w:lineRule="auto"/>
    </w:pPr>
    <w:rPr>
      <w:sz w:val="30"/>
      <w:szCs w:val="20"/>
    </w:rPr>
  </w:style>
  <w:style w:type="paragraph" w:styleId="1044" w:customStyle="1">
    <w:name w:val="Char Char Char Char Char Char Char Char Char Char Char"/>
    <w:basedOn w:val="660"/>
    <w:uiPriority w:val="0"/>
    <w:qFormat/>
    <w:rPr>
      <w:rFonts w:ascii="Tahoma" w:hAnsi="Tahoma" w:cs="Times New Roman"/>
      <w:sz w:val="24"/>
      <w:szCs w:val="20"/>
    </w:rPr>
  </w:style>
  <w:style w:type="paragraph" w:styleId="1045" w:customStyle="1">
    <w:name w:val="表蕊"/>
    <w:basedOn w:val="660"/>
    <w:uiPriority w:val="0"/>
    <w:qFormat/>
    <w:pPr>
      <w:jc w:val="left"/>
      <w:spacing w:line="320" w:lineRule="atLeast"/>
    </w:pPr>
    <w:rPr>
      <w:rFonts w:eastAsia="楷体_GB2312" w:cs="Times New Roman"/>
      <w:spacing w:val="-10"/>
      <w:szCs w:val="20"/>
    </w:rPr>
  </w:style>
  <w:style w:type="paragraph" w:styleId="1046" w:customStyle="1">
    <w:name w:val="条1"/>
    <w:basedOn w:val="660"/>
    <w:uiPriority w:val="0"/>
    <w:qFormat/>
    <w:pPr>
      <w:ind w:left="780" w:hanging="360"/>
      <w:spacing w:before="156" w:line="360" w:lineRule="auto"/>
      <w:tabs>
        <w:tab w:val="left" w:pos="780" w:leader="none"/>
      </w:tabs>
    </w:pPr>
    <w:rPr>
      <w:rFonts w:eastAsia="黑体" w:cs="Times New Roman"/>
      <w:sz w:val="24"/>
      <w:szCs w:val="20"/>
    </w:rPr>
  </w:style>
  <w:style w:type="paragraph" w:styleId="1047" w:customStyle="1">
    <w:name w:val="Char1 Char Char Char"/>
    <w:basedOn w:val="660"/>
    <w:uiPriority w:val="0"/>
    <w:qFormat/>
    <w:rPr>
      <w:rFonts w:ascii="Tahoma" w:hAnsi="Tahoma" w:cs="Times New Roman"/>
      <w:sz w:val="24"/>
      <w:szCs w:val="20"/>
    </w:rPr>
  </w:style>
  <w:style w:type="paragraph" w:styleId="1048" w:customStyle="1">
    <w:name w:val="正文1"/>
    <w:basedOn w:val="660"/>
    <w:next w:val="660"/>
    <w:uiPriority w:val="0"/>
    <w:qFormat/>
    <w:pPr>
      <w:ind w:firstLine="510"/>
      <w:spacing w:before="156" w:line="360" w:lineRule="auto"/>
    </w:pPr>
    <w:rPr>
      <w:rFonts w:cs="Times New Roman"/>
      <w:sz w:val="24"/>
      <w:szCs w:val="20"/>
    </w:rPr>
  </w:style>
  <w:style w:type="paragraph" w:styleId="1049" w:customStyle="1">
    <w:name w:val="表头_5"/>
    <w:basedOn w:val="660"/>
    <w:uiPriority w:val="0"/>
    <w:qFormat/>
    <w:pPr>
      <w:spacing w:line="360" w:lineRule="auto"/>
    </w:pPr>
    <w:rPr>
      <w:rFonts w:cs="Times New Roman"/>
      <w:b/>
      <w:bCs/>
      <w:sz w:val="28"/>
      <w:szCs w:val="21"/>
    </w:rPr>
  </w:style>
  <w:style w:type="paragraph" w:styleId="1050" w:customStyle="1">
    <w:name w:val="_Style 56"/>
    <w:basedOn w:val="680"/>
    <w:uiPriority w:val="0"/>
    <w:qFormat/>
    <w:pPr>
      <w:spacing w:line="436" w:lineRule="exact"/>
      <w:shd w:val="clear" w:color="auto" w:fill="000080"/>
    </w:pPr>
    <w:rPr>
      <w:rFonts w:ascii="Calibri" w:cs="Times New Roman"/>
      <w:sz w:val="21"/>
      <w:szCs w:val="20"/>
    </w:rPr>
  </w:style>
  <w:style w:type="paragraph" w:styleId="1051" w:customStyle="1">
    <w:name w:val="Char Char Char Char Char Char Char Char Char"/>
    <w:basedOn w:val="660"/>
    <w:uiPriority w:val="0"/>
    <w:qFormat/>
    <w:pPr>
      <w:ind w:left="360" w:hanging="360"/>
      <w:tabs>
        <w:tab w:val="left" w:pos="360" w:leader="none"/>
      </w:tabs>
    </w:pPr>
    <w:rPr>
      <w:rFonts w:cs="Times New Roman"/>
      <w:sz w:val="24"/>
      <w:szCs w:val="24"/>
    </w:rPr>
  </w:style>
  <w:style w:type="paragraph" w:styleId="1052" w:customStyle="1">
    <w:name w:val="标题2，章节第二层"/>
    <w:basedOn w:val="660"/>
    <w:next w:val="939"/>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53" w:customStyle="1">
    <w:name w:val="font71"/>
    <w:basedOn w:val="670"/>
    <w:uiPriority w:val="0"/>
    <w:qFormat/>
    <w:rPr>
      <w:rFonts w:hint="eastAsia" w:ascii="方正仿宋_GBK" w:hAnsi="方正仿宋_GBK" w:eastAsia="方正仿宋_GBK" w:cs="方正仿宋_GBK"/>
      <w:b/>
      <w:color w:val="000000"/>
      <w:sz w:val="28"/>
      <w:szCs w:val="28"/>
      <w:u w:val="none"/>
    </w:rPr>
  </w:style>
  <w:style w:type="character" w:styleId="1054" w:customStyle="1">
    <w:name w:val="font21"/>
    <w:basedOn w:val="670"/>
    <w:uiPriority w:val="0"/>
    <w:qFormat/>
    <w:rPr>
      <w:rFonts w:hint="default" w:ascii="Times New Roman" w:hAnsi="Times New Roman" w:cs="Times New Roman"/>
      <w:color w:val="000000"/>
      <w:sz w:val="28"/>
      <w:szCs w:val="28"/>
      <w:u w:val="none"/>
    </w:rPr>
  </w:style>
  <w:style w:type="character" w:styleId="1055" w:customStyle="1">
    <w:name w:val="font51"/>
    <w:basedOn w:val="670"/>
    <w:uiPriority w:val="0"/>
    <w:qFormat/>
    <w:rPr>
      <w:rFonts w:ascii="方正仿宋_GBK" w:hAnsi="方正仿宋_GBK" w:eastAsia="方正仿宋_GBK" w:cs="方正仿宋_GBK"/>
      <w:color w:val="000000"/>
      <w:sz w:val="28"/>
      <w:szCs w:val="28"/>
      <w:u w:val="none"/>
    </w:rPr>
  </w:style>
  <w:style w:type="character" w:styleId="1056" w:customStyle="1">
    <w:name w:val="font112"/>
    <w:basedOn w:val="670"/>
    <w:uiPriority w:val="0"/>
    <w:qFormat/>
    <w:rPr>
      <w:rFonts w:hint="eastAsia" w:ascii="方正黑体_GBK" w:hAnsi="方正黑体_GBK" w:eastAsia="方正黑体_GBK" w:cs="方正黑体_GBK"/>
      <w:color w:val="000000"/>
      <w:sz w:val="28"/>
      <w:szCs w:val="28"/>
      <w:u w:val="none"/>
    </w:rPr>
  </w:style>
  <w:style w:type="paragraph" w:styleId="1057" w:customStyle="1">
    <w:name w:val="Table Paragraph"/>
    <w:basedOn w:val="660"/>
    <w:uiPriority w:val="1"/>
    <w:qFormat/>
    <w:rPr>
      <w:rFonts w:ascii="Times New Roman" w:hAnsi="Times New Roman" w:cs="Times New Roman"/>
      <w:szCs w:val="24"/>
    </w:rPr>
  </w:style>
  <w:style w:type="character" w:styleId="1058" w:customStyle="1">
    <w:name w:val="Char Char22"/>
    <w:uiPriority w:val="0"/>
    <w:qFormat/>
    <w:rPr>
      <w:b/>
      <w:bCs/>
      <w:sz w:val="24"/>
      <w:szCs w:val="24"/>
    </w:rPr>
  </w:style>
  <w:style w:type="character" w:styleId="1059" w:customStyle="1">
    <w:name w:val="style13"/>
    <w:uiPriority w:val="0"/>
    <w:qFormat/>
    <w:rPr>
      <w:sz w:val="18"/>
      <w:szCs w:val="18"/>
    </w:rPr>
  </w:style>
  <w:style w:type="paragraph" w:styleId="1060">
    <w:name w:val="List Paragraph"/>
    <w:basedOn w:val="660"/>
    <w:uiPriority w:val="99"/>
    <w:qFormat/>
    <w:pPr>
      <w:ind w:firstLine="420"/>
    </w:pPr>
  </w:style>
  <w:style w:type="character" w:styleId="1061" w:customStyle="1">
    <w:name w:val="font81"/>
    <w:basedOn w:val="670"/>
    <w:uiPriority w:val="0"/>
    <w:qFormat/>
    <w:rPr>
      <w:rFonts w:hint="default" w:ascii="Times New Roman" w:hAnsi="Times New Roman" w:cs="Times New Roman"/>
      <w:color w:val="000000"/>
      <w:sz w:val="18"/>
      <w:szCs w:val="18"/>
      <w:u w:val="none"/>
    </w:rPr>
  </w:style>
  <w:style w:type="paragraph" w:styleId="1062" w:customStyle="1">
    <w:name w:val="首行缩进"/>
    <w:basedOn w:val="660"/>
    <w:uiPriority w:val="0"/>
    <w:qFormat/>
    <w:pPr>
      <w:ind w:firstLine="480"/>
    </w:pPr>
    <w:rPr>
      <w:rFonts w:ascii="Times New Roman" w:hAnsi="Times New Roman" w:cs="Times New Roman"/>
      <w:szCs w:val="20"/>
      <w:lang w:val="zh-CN"/>
    </w:rPr>
  </w:style>
  <w:style w:type="paragraph" w:styleId="1063"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paragraph" w:styleId="1064" w:customStyle="1">
    <w:name w:val="标题 31"/>
    <w:basedOn w:val="660"/>
    <w:next w:val="1065"/>
    <w:uiPriority w:val="6"/>
    <w:qFormat/>
    <w:pPr>
      <w:keepLines/>
      <w:keepNext/>
      <w:spacing w:before="260" w:after="260" w:line="415" w:lineRule="auto"/>
      <w:outlineLvl w:val="2"/>
    </w:pPr>
    <w:rPr>
      <w:b/>
      <w:sz w:val="32"/>
      <w:szCs w:val="32"/>
    </w:rPr>
  </w:style>
  <w:style w:type="paragraph" w:styleId="1065" w:customStyle="1">
    <w:name w:val="正文缩进1"/>
    <w:basedOn w:val="660"/>
    <w:uiPriority w:val="7"/>
    <w:qFormat/>
    <w:pPr>
      <w:ind w:firstLine="420"/>
    </w:pPr>
  </w:style>
  <w:style w:type="paragraph" w:styleId="1066" w:customStyle="1">
    <w:name w:val="标题 41"/>
    <w:basedOn w:val="660"/>
    <w:next w:val="1065"/>
    <w:uiPriority w:val="6"/>
    <w:qFormat/>
    <w:pPr>
      <w:keepLines/>
      <w:keepNext/>
      <w:spacing w:before="280" w:after="290" w:line="374" w:lineRule="auto"/>
      <w:outlineLvl w:val="3"/>
    </w:pPr>
    <w:rPr>
      <w:rFonts w:ascii="Arial" w:hAnsi="Arial" w:eastAsia="黑体" w:cs="Arial"/>
      <w:b/>
      <w:sz w:val="28"/>
      <w:szCs w:val="28"/>
    </w:rPr>
  </w:style>
  <w:style w:type="paragraph" w:styleId="1067" w:customStyle="1">
    <w:name w:val="索引 41"/>
    <w:basedOn w:val="660"/>
    <w:next w:val="660"/>
    <w:uiPriority w:val="2"/>
    <w:qFormat/>
    <w:pPr>
      <w:ind w:left="1260"/>
    </w:pPr>
    <w:rPr>
      <w:rFonts w:ascii="Calibri" w:hAnsi="Calibri" w:eastAsia="Calibri" w:cs="宋体"/>
      <w:sz w:val="20"/>
      <w:lang w:val="zh-CN"/>
    </w:rPr>
  </w:style>
  <w:style w:type="paragraph" w:styleId="1068"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paragraph" w:styleId="1069"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1070" w:customStyle="1">
    <w:name w:val="索引 411"/>
    <w:basedOn w:val="660"/>
    <w:next w:val="660"/>
    <w:uiPriority w:val="99"/>
    <w:unhideWhenUsed/>
    <w:qFormat/>
    <w:pPr>
      <w:jc w:val="left"/>
    </w:pPr>
    <w:rPr>
      <w:sz w:val="24"/>
      <w:szCs w:val="24"/>
    </w:rPr>
  </w:style>
  <w:style w:type="paragraph" w:styleId="1071" w:customStyle="1">
    <w:name w:val="正文文本缩进11"/>
    <w:basedOn w:val="660"/>
    <w:next w:val="1072"/>
    <w:uiPriority w:val="0"/>
    <w:unhideWhenUsed/>
    <w:qFormat/>
    <w:pPr>
      <w:ind w:left="420"/>
      <w:spacing w:after="120"/>
    </w:pPr>
  </w:style>
  <w:style w:type="paragraph" w:styleId="1072" w:customStyle="1">
    <w:name w:val="正文首行缩进 211"/>
    <w:basedOn w:val="1071"/>
    <w:uiPriority w:val="0"/>
    <w:qFormat/>
    <w:pPr>
      <w:ind w:left="0" w:firstLine="420"/>
      <w:spacing w:after="0" w:line="360" w:lineRule="auto"/>
    </w:pPr>
    <w:rPr>
      <w:rFonts w:ascii="宋体" w:hAnsi="宋体" w:cs="Times New Roman"/>
      <w:szCs w:val="20"/>
    </w:rPr>
  </w:style>
  <w:style w:type="numbering" w:styleId="20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B9B3126-03BE-4A21-AD76-0955BA7D39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Dayou1</cp:lastModifiedBy>
  <cp:revision>10</cp:revision>
  <dcterms:created xsi:type="dcterms:W3CDTF">2024-09-10T03:12:00Z</dcterms:created>
  <dcterms:modified xsi:type="dcterms:W3CDTF">2026-11-02T02:33:11Z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77C17516ECB14D75882D9593B72C466E_13</vt:lpwstr>
  </property>
  <property fmtid="{D5CDD505-2E9C-101B-9397-08002B2CF9AE}" pid="4" name="KSOTemplateDocerSaveRecord">
    <vt:lpwstr>eyJoZGlkIjoiMjQ4MzE4YTc1MGZhMGM1OTE1ZjgzNjJiZGYxZmE2YzIiLCJ1c2VySWQiOiIxNTgyMzE3NjY3In0=</vt:lpwstr>
  </property>
</Properties>
</file>