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南京市公安局出入境管理支队外管制证设备项目</w:t>
      </w: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JSZC-320100-ZXTD-G2026-0019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江苏泰鼎工程咨询有限公司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2026年11月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ind w:left="0" w:right="0" w:firstLine="0"/>
            <w:spacing w:before="0" w:after="57"/>
            <w:tabs>
              <w:tab w:val="left" w:pos="9345" w:leader="none"/>
            </w:tabs>
            <w:pBdr>
              <w:top w:val="none" w:color="000000" w:sz="4" w:space="0"/>
              <w:left w:val="none" w:color="000000" w:sz="4" w:space="0"/>
              <w:bottom w:val="none" w:color="000000" w:sz="4" w:space="0"/>
              <w:right w:val="none" w:color="000000" w:sz="4" w:space="0"/>
            </w:pBdr>
          </w:pPr>
          <w:hyperlink r:id="rId9" w:tooltip="https://jszfcg.jsczt.cn/jszc/onlyoffice/7.2.1-34/web-apps/apps/documenteditor/main/index_loader.html?_dc=7.2.1-34&amp;lang=zh&amp;customer=%20&amp;logo=%20&amp;headerlogo=%2Ffavicon.ico&amp;frameEditorId=iframePage&amp;compact=true&amp;parentOrigin=https://jszfcg.jsczt.cn#_Toc241053977" w:history="1">
            <w:r>
              <w:rPr>
                <w:rStyle w:val="633"/>
                <w:rFonts w:ascii="SimSun" w:hAnsi="SimSun" w:eastAsia="SimSun" w:cs="SimSun"/>
                <w:b/>
                <w:color w:val="0000ff"/>
                <w:sz w:val="20"/>
                <w:u w:val="single"/>
              </w:rPr>
              <w:t xml:space="preserve">第一章</w:t>
            </w:r>
            <w:r>
              <w:rPr>
                <w:rStyle w:val="633"/>
                <w:rFonts w:ascii="Times New Roman" w:hAnsi="Times New Roman" w:eastAsia="Times New Roman" w:cs="Times New Roman"/>
                <w:b/>
                <w:color w:val="0000ff"/>
                <w:sz w:val="20"/>
                <w:u w:val="single"/>
              </w:rPr>
              <w:t xml:space="preserve">  </w:t>
            </w:r>
            <w:r>
              <w:rPr>
                <w:rStyle w:val="633"/>
                <w:rFonts w:ascii="SimSun" w:hAnsi="SimSun" w:eastAsia="SimSun" w:cs="SimSun"/>
                <w:b/>
                <w:color w:val="0000ff"/>
                <w:sz w:val="20"/>
                <w:u w:val="single"/>
              </w:rPr>
              <w:t xml:space="preserve">招标公告</w:t>
            </w:r>
            <w:r>
              <w:rPr>
                <w:rStyle w:val="633"/>
                <w:rFonts w:ascii="Times New Roman" w:hAnsi="Times New Roman" w:eastAsia="Times New Roman" w:cs="Times New Roman"/>
                <w:color w:val="000000"/>
                <w:sz w:val="20"/>
                <w:u w:val="single"/>
              </w:rPr>
              <w:tab/>
            </w:r>
            <w:r>
              <w:rPr>
                <w:rStyle w:val="633"/>
                <w:rFonts w:ascii="Times New Roman" w:hAnsi="Times New Roman" w:eastAsia="Times New Roman" w:cs="Times New Roman"/>
                <w:color w:val="000000"/>
                <w:sz w:val="20"/>
                <w:u w:val="none"/>
              </w:rPr>
              <w:t xml:space="preserve">3</w:t>
            </w:r>
          </w:hyperlink>
          <w:r/>
        </w:p>
        <w:p>
          <w:pPr>
            <w:ind w:left="0" w:right="0" w:firstLine="0"/>
            <w:spacing w:before="0" w:after="57"/>
            <w:tabs>
              <w:tab w:val="left" w:pos="9345" w:leader="none"/>
            </w:tabs>
            <w:pBdr>
              <w:top w:val="none" w:color="000000" w:sz="4" w:space="0"/>
              <w:left w:val="none" w:color="000000" w:sz="4" w:space="0"/>
              <w:bottom w:val="none" w:color="000000" w:sz="4" w:space="0"/>
              <w:right w:val="none" w:color="000000" w:sz="4" w:space="0"/>
            </w:pBdr>
          </w:pPr>
          <w:hyperlink r:id="rId10" w:tooltip="https://jszfcg.jsczt.cn/jszc/onlyoffice/7.2.1-34/web-apps/apps/documenteditor/main/index_loader.html?_dc=7.2.1-34&amp;lang=zh&amp;customer=%20&amp;logo=%20&amp;headerlogo=%2Ffavicon.ico&amp;frameEditorId=iframePage&amp;compact=true&amp;parentOrigin=https://jszfcg.jsczt.cn#_Toc241053978" w:history="1">
            <w:r>
              <w:rPr>
                <w:rStyle w:val="633"/>
                <w:rFonts w:ascii="SimSun" w:hAnsi="SimSun" w:eastAsia="SimSun" w:cs="SimSun"/>
                <w:b/>
                <w:color w:val="0000ff"/>
                <w:sz w:val="20"/>
                <w:u w:val="single"/>
              </w:rPr>
              <w:t xml:space="preserve">第二章</w:t>
            </w:r>
            <w:r>
              <w:rPr>
                <w:rStyle w:val="633"/>
                <w:rFonts w:ascii="Times New Roman" w:hAnsi="Times New Roman" w:eastAsia="Times New Roman" w:cs="Times New Roman"/>
                <w:b/>
                <w:color w:val="0000ff"/>
                <w:sz w:val="20"/>
                <w:u w:val="single"/>
              </w:rPr>
              <w:t xml:space="preserve"> </w:t>
            </w:r>
            <w:r>
              <w:rPr>
                <w:rStyle w:val="633"/>
                <w:rFonts w:ascii="SimSun" w:hAnsi="SimSun" w:eastAsia="SimSun" w:cs="SimSun"/>
                <w:b/>
                <w:color w:val="0000ff"/>
                <w:sz w:val="20"/>
                <w:u w:val="single"/>
              </w:rPr>
              <w:t xml:space="preserve">投标人须知</w:t>
            </w:r>
            <w:r>
              <w:rPr>
                <w:rStyle w:val="633"/>
                <w:rFonts w:ascii="Times New Roman" w:hAnsi="Times New Roman" w:eastAsia="Times New Roman" w:cs="Times New Roman"/>
                <w:color w:val="000000"/>
                <w:sz w:val="20"/>
                <w:u w:val="single"/>
              </w:rPr>
              <w:tab/>
            </w:r>
            <w:r>
              <w:rPr>
                <w:rStyle w:val="633"/>
                <w:rFonts w:ascii="Times New Roman" w:hAnsi="Times New Roman" w:eastAsia="Times New Roman" w:cs="Times New Roman"/>
                <w:color w:val="000000"/>
                <w:sz w:val="20"/>
                <w:u w:val="none"/>
              </w:rPr>
              <w:t xml:space="preserve">7</w:t>
            </w:r>
          </w:hyperlink>
          <w:r/>
        </w:p>
        <w:p>
          <w:pPr>
            <w:ind w:left="0" w:right="0" w:firstLine="0"/>
            <w:spacing w:before="0" w:after="57"/>
            <w:tabs>
              <w:tab w:val="left" w:pos="9345" w:leader="none"/>
            </w:tabs>
            <w:pBdr>
              <w:top w:val="none" w:color="000000" w:sz="4" w:space="0"/>
              <w:left w:val="none" w:color="000000" w:sz="4" w:space="0"/>
              <w:bottom w:val="none" w:color="000000" w:sz="4" w:space="0"/>
              <w:right w:val="none" w:color="000000" w:sz="4" w:space="0"/>
            </w:pBdr>
          </w:pPr>
          <w:hyperlink r:id="rId11" w:tooltip="https://jszfcg.jsczt.cn/jszc/onlyoffice/7.2.1-34/web-apps/apps/documenteditor/main/index_loader.html?_dc=7.2.1-34&amp;lang=zh&amp;customer=%20&amp;logo=%20&amp;headerlogo=%2Ffavicon.ico&amp;frameEditorId=iframePage&amp;compact=true&amp;parentOrigin=https://jszfcg.jsczt.cn#_Toc241053979" w:history="1">
            <w:r>
              <w:rPr>
                <w:rStyle w:val="633"/>
                <w:rFonts w:ascii="SimSun" w:hAnsi="SimSun" w:eastAsia="SimSun" w:cs="SimSun"/>
                <w:b/>
                <w:color w:val="0000ff"/>
                <w:sz w:val="20"/>
                <w:u w:val="single"/>
              </w:rPr>
              <w:t xml:space="preserve">第三章 评标标准</w:t>
            </w:r>
            <w:r>
              <w:rPr>
                <w:rStyle w:val="633"/>
                <w:rFonts w:ascii="Times New Roman" w:hAnsi="Times New Roman" w:eastAsia="Times New Roman" w:cs="Times New Roman"/>
                <w:color w:val="000000"/>
                <w:sz w:val="20"/>
                <w:u w:val="single"/>
              </w:rPr>
              <w:tab/>
            </w:r>
            <w:r>
              <w:rPr>
                <w:rStyle w:val="633"/>
                <w:rFonts w:ascii="Times New Roman" w:hAnsi="Times New Roman" w:eastAsia="Times New Roman" w:cs="Times New Roman"/>
                <w:color w:val="000000"/>
                <w:sz w:val="20"/>
                <w:u w:val="none"/>
              </w:rPr>
              <w:t xml:space="preserve">16</w:t>
            </w:r>
          </w:hyperlink>
          <w:r/>
        </w:p>
        <w:p>
          <w:pPr>
            <w:ind w:left="0" w:right="0" w:firstLine="0"/>
            <w:spacing w:before="0" w:after="57"/>
            <w:tabs>
              <w:tab w:val="left" w:pos="9345"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_Toc241053980" w:history="1">
            <w:r>
              <w:rPr>
                <w:rStyle w:val="633"/>
                <w:rFonts w:ascii="SimSun" w:hAnsi="SimSun" w:eastAsia="SimSun" w:cs="SimSun"/>
                <w:b/>
                <w:color w:val="0000ff"/>
                <w:sz w:val="20"/>
                <w:u w:val="single"/>
              </w:rPr>
              <w:t xml:space="preserve">第四章</w:t>
            </w:r>
            <w:r>
              <w:rPr>
                <w:rStyle w:val="633"/>
                <w:rFonts w:ascii="Times New Roman" w:hAnsi="Times New Roman" w:eastAsia="Times New Roman" w:cs="Times New Roman"/>
                <w:b/>
                <w:color w:val="0000ff"/>
                <w:sz w:val="20"/>
                <w:u w:val="single"/>
              </w:rPr>
              <w:t xml:space="preserve"> </w:t>
            </w:r>
            <w:r>
              <w:rPr>
                <w:rStyle w:val="633"/>
                <w:rFonts w:ascii="SimSun" w:hAnsi="SimSun" w:eastAsia="SimSun" w:cs="SimSun"/>
                <w:b/>
                <w:color w:val="0000ff"/>
                <w:sz w:val="20"/>
                <w:u w:val="single"/>
              </w:rPr>
              <w:t xml:space="preserve">采购需求</w:t>
            </w:r>
            <w:r>
              <w:rPr>
                <w:rStyle w:val="633"/>
                <w:rFonts w:ascii="Times New Roman" w:hAnsi="Times New Roman" w:eastAsia="Times New Roman" w:cs="Times New Roman"/>
                <w:color w:val="000000"/>
                <w:sz w:val="20"/>
                <w:u w:val="single"/>
              </w:rPr>
              <w:tab/>
            </w:r>
            <w:r>
              <w:rPr>
                <w:rStyle w:val="633"/>
                <w:rFonts w:ascii="Times New Roman" w:hAnsi="Times New Roman" w:eastAsia="Times New Roman" w:cs="Times New Roman"/>
                <w:color w:val="000000"/>
                <w:sz w:val="20"/>
                <w:u w:val="none"/>
              </w:rPr>
              <w:t xml:space="preserve">20</w:t>
            </w:r>
          </w:hyperlink>
          <w:r/>
        </w:p>
        <w:p>
          <w:pPr>
            <w:ind w:left="0" w:right="0" w:firstLine="0"/>
            <w:spacing w:before="0" w:after="57"/>
            <w:tabs>
              <w:tab w:val="left" w:pos="9345"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241053981" w:history="1">
            <w:r>
              <w:rPr>
                <w:rStyle w:val="633"/>
                <w:rFonts w:ascii="SimSun" w:hAnsi="SimSun" w:eastAsia="SimSun" w:cs="SimSun"/>
                <w:b/>
                <w:color w:val="0000ff"/>
                <w:sz w:val="20"/>
                <w:u w:val="single"/>
              </w:rPr>
              <w:t xml:space="preserve">第五章 合同主要条款及格式</w:t>
            </w:r>
            <w:r>
              <w:rPr>
                <w:rStyle w:val="633"/>
                <w:rFonts w:ascii="Times New Roman" w:hAnsi="Times New Roman" w:eastAsia="Times New Roman" w:cs="Times New Roman"/>
                <w:color w:val="000000"/>
                <w:sz w:val="20"/>
                <w:u w:val="single"/>
              </w:rPr>
              <w:tab/>
            </w:r>
            <w:r>
              <w:rPr>
                <w:rStyle w:val="633"/>
                <w:rFonts w:ascii="Times New Roman" w:hAnsi="Times New Roman" w:eastAsia="Times New Roman" w:cs="Times New Roman"/>
                <w:color w:val="000000"/>
                <w:sz w:val="20"/>
                <w:u w:val="none"/>
              </w:rPr>
              <w:t xml:space="preserve">25</w:t>
            </w:r>
          </w:hyperlink>
          <w:r/>
        </w:p>
        <w:p>
          <w:pPr>
            <w:ind w:left="0" w:right="0" w:firstLine="0"/>
            <w:spacing w:before="0" w:after="57"/>
            <w:tabs>
              <w:tab w:val="left" w:pos="9345" w:leader="none"/>
            </w:tabs>
            <w:pBdr>
              <w:top w:val="none" w:color="000000" w:sz="4" w:space="0"/>
              <w:left w:val="none" w:color="000000" w:sz="4" w:space="0"/>
              <w:bottom w:val="none" w:color="000000" w:sz="4" w:space="0"/>
              <w:right w:val="none" w:color="000000" w:sz="4" w:space="0"/>
            </w:pBdr>
          </w:pPr>
          <w:hyperlink r:id="rId14" w:tooltip="https://jszfcg.jsczt.cn/jszc/onlyoffice/7.2.1-34/web-apps/apps/documenteditor/main/index_loader.html?_dc=7.2.1-34&amp;lang=zh&amp;customer=%20&amp;logo=%20&amp;headerlogo=%2Ffavicon.ico&amp;frameEditorId=iframePage&amp;compact=true&amp;parentOrigin=https://jszfcg.jsczt.cn#_Toc241053982" w:history="1">
            <w:r>
              <w:rPr>
                <w:rStyle w:val="633"/>
                <w:rFonts w:ascii="SimSun" w:hAnsi="SimSun" w:eastAsia="SimSun" w:cs="SimSun"/>
                <w:b/>
                <w:color w:val="0000ff"/>
                <w:sz w:val="20"/>
                <w:u w:val="single"/>
              </w:rPr>
              <w:t xml:space="preserve">第六章</w:t>
            </w:r>
            <w:r>
              <w:rPr>
                <w:rStyle w:val="633"/>
                <w:rFonts w:ascii="Times New Roman" w:hAnsi="Times New Roman" w:eastAsia="Times New Roman" w:cs="Times New Roman"/>
                <w:b/>
                <w:color w:val="0000ff"/>
                <w:sz w:val="20"/>
                <w:u w:val="single"/>
              </w:rPr>
              <w:t xml:space="preserve"> </w:t>
            </w:r>
            <w:r>
              <w:rPr>
                <w:rStyle w:val="633"/>
                <w:rFonts w:ascii="SimSun" w:hAnsi="SimSun" w:eastAsia="SimSun" w:cs="SimSun"/>
                <w:b/>
                <w:color w:val="0000ff"/>
                <w:sz w:val="20"/>
                <w:u w:val="single"/>
              </w:rPr>
              <w:t xml:space="preserve">投标文件格式及附件</w:t>
            </w:r>
            <w:r>
              <w:rPr>
                <w:rStyle w:val="633"/>
                <w:rFonts w:ascii="Times New Roman" w:hAnsi="Times New Roman" w:eastAsia="Times New Roman" w:cs="Times New Roman"/>
                <w:color w:val="000000"/>
                <w:sz w:val="20"/>
                <w:u w:val="single"/>
              </w:rPr>
              <w:tab/>
            </w:r>
            <w:r>
              <w:rPr>
                <w:rStyle w:val="633"/>
                <w:rFonts w:ascii="Times New Roman" w:hAnsi="Times New Roman" w:eastAsia="Times New Roman" w:cs="Times New Roman"/>
                <w:color w:val="000000"/>
                <w:sz w:val="20"/>
                <w:u w:val="none"/>
              </w:rPr>
              <w:t xml:space="preserve">30</w:t>
            </w:r>
          </w:hyperlink>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sdtContent>
    </w:sdt>
    <w:p>
      <w:pPr>
        <w:ind w:left="0" w:right="0" w:firstLine="0"/>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599"/>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Times New Roman" w:hAnsi="Times New Roman" w:eastAsia="Times New Roman" w:cs="Times New Roman"/>
          <w:b/>
          <w:color w:val="000000"/>
          <w:sz w:val="36"/>
        </w:rPr>
        <w:t xml:space="preserve">  </w:t>
      </w:r>
      <w:r>
        <w:rPr>
          <w:rFonts w:ascii="SimSun" w:hAnsi="SimSun" w:eastAsia="SimSun" w:cs="SimSun"/>
          <w:b/>
          <w:color w:val="000000"/>
          <w:sz w:val="32"/>
        </w:rPr>
        <w:t xml:space="preserve">招标公告</w:t>
      </w:r>
      <w:r/>
    </w:p>
    <w:p>
      <w:pPr>
        <w:ind w:left="0" w:right="0" w:firstLine="36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南京市公安局出入境管理支队外管制证设备项目</w:t>
      </w:r>
      <w:r>
        <w:rPr>
          <w:rFonts w:ascii="SimSun" w:hAnsi="SimSun" w:eastAsia="SimSun" w:cs="SimSun"/>
          <w:color w:val="000000"/>
          <w:spacing w:val="8"/>
          <w:sz w:val="21"/>
        </w:rPr>
        <w:t xml:space="preserve">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26</w:t>
      </w:r>
      <w:r>
        <w:rPr>
          <w:rFonts w:ascii="SimSun" w:hAnsi="SimSun" w:eastAsia="SimSun" w:cs="SimSun"/>
          <w:color w:val="000000"/>
          <w:spacing w:val="8"/>
          <w:sz w:val="21"/>
        </w:rPr>
        <w:t xml:space="preserve">日14点30分（北京时间）前递交投标文件。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JSZC-320100-ZXTD-G2026-0019</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项目名称：南京市公安局出入境管理支队外管制证设备项目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144.6</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144.6</w:t>
      </w:r>
      <w:r>
        <w:rPr>
          <w:rFonts w:ascii="SimSun" w:hAnsi="SimSun" w:eastAsia="SimSun" w:cs="SimSun"/>
          <w:color w:val="000000"/>
          <w:spacing w:val="8"/>
          <w:sz w:val="21"/>
        </w:rPr>
        <w:t xml:space="preserve">万元</w:t>
      </w:r>
      <w:r/>
    </w:p>
    <w:p>
      <w:pPr>
        <w:ind w:left="0" w:right="0" w:firstLine="37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1、白下路受理大厅自助服务区更新智能签注机6台，替换现有已达报废年限的老化设备，实现港澳台通行证旅游类签注全流程自助办理。2、白下路受理大厅、河西市政务中心受理点自助服务区更新自助照相机8台，替换现有老化设备，适配省厅“一照通用”工作要求，实现符合出入境制证标准的照片自助拍摄、质量检测、系统对接全流程服务。</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2"/>
        <w:gridCol w:w="2013"/>
        <w:gridCol w:w="1302"/>
        <w:gridCol w:w="2255"/>
        <w:gridCol w:w="22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含税全费用单价最高限价（万元）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智能签注机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自助照相机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57.6</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本项目共</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个包，供应商可以兼投兼中。按分包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、分包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顺序进行评审。</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合同履行期限：自合同签订之日起20个日历日内完成供货、安装、调试并通过验收。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1.10本项目不接受进口产品</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）具有履行合同所必需的设备和专业技术能力（供应商根据履行采购项目合同需要提供履行合同所必需的设备和专业技术能力的证明材料或加盖公章的承诺函）；</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SimSun" w:hAnsi="SimSun" w:eastAsia="SimSun" w:cs="SimSun"/>
          <w:b/>
          <w:color w:val="000000"/>
          <w:sz w:val="21"/>
        </w:rPr>
        <w:t xml:space="preserve">本项目为非专门面向中小企业采购的项目，执行价格扣除优惠政策，具体详见招标文件。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26</w:t>
      </w:r>
      <w:r>
        <w:rPr>
          <w:rFonts w:ascii="SimSun" w:hAnsi="SimSun" w:eastAsia="SimSun" w:cs="SimSun"/>
          <w:color w:val="000000"/>
          <w:spacing w:val="8"/>
          <w:sz w:val="21"/>
        </w:rPr>
        <w:t xml:space="preserve">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勘查现场：无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参加南京地区政府采购活动的供应商，应以书面形式向采购人或政府采购代理机构作出信用承诺。《南京市政府采购供应商信用承诺书》格式见附件，由法定代表人签字并加盖单位公章，随响应文件一并递交。</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在政府采购资格审查环节，供应商只需提供书面《南京市政府采购供应商信用承诺书》，即可替代以下证明材料：</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rPr>
          <w:rFonts w:ascii="Times New Roman" w:hAnsi="Times New Roman" w:eastAsia="Times New Roman" w:cs="Times New Roman"/>
          <w:b/>
          <w:color w:val="000000"/>
          <w:spacing w:val="8"/>
          <w:sz w:val="24"/>
        </w:rPr>
        <w:t xml:space="preserve"> </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6.5拒绝下述供应商参加本次招标活动：</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（3）供应商被“信用中国”网站（www.creditchina.gov.cn）、“中国政府采购网”（www.ccgp.gov.cn）列入失信被执行人、重大税收违法失信主体、政府采购严重违法失信行为记录名单。</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名称：南京市公安局</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联系人：王主任</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电话：025-84420000</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地址：江苏省南京市秦淮区洪公祠1号</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称：江苏泰鼎工程咨询有限公司</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联系人：肖工</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联系电话：18351931778</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邮箱：1443912426@qq.com</w:t>
        <w:tab/>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地址：江苏省南京市建邺区江东中路108号万达C座13楼1303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 </w:t>
      </w:r>
      <w:r/>
    </w:p>
    <w:p>
      <w:pPr>
        <w:pStyle w:val="599"/>
        <w:ind w:left="0" w:right="0" w:firstLine="0"/>
        <w:jc w:val="center"/>
        <w:spacing w:before="0" w:after="0" w:line="76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 </w:t>
      </w:r>
      <w:r/>
    </w:p>
    <w:p>
      <w:pPr>
        <w:pStyle w:val="599"/>
        <w:ind w:left="0" w:right="0" w:firstLine="0"/>
        <w:jc w:val="center"/>
        <w:spacing w:before="0" w:after="0" w:line="7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投标人须知</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招标的最小单位是采购包。招标货物数量及技术要求中未分采购包的，投标人对要求提供的货物和服务不得部分投标；招标货物数量及技术要求中已经分采购包的，应当以采购包为单位投标。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27.5%</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65%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65%</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65%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65%</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65%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65%</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b/>
          <w:color w:val="000000"/>
          <w:sz w:val="21"/>
        </w:rPr>
        <w:t xml:space="preserve">采用综合评分法的</w:t>
      </w:r>
      <w:r>
        <w:rPr>
          <w:rFonts w:ascii="SimSun" w:hAnsi="SimSun" w:eastAsia="SimSun" w:cs="SimSun"/>
          <w:color w:val="000000"/>
          <w:sz w:val="21"/>
        </w:rPr>
        <w:t xml:space="preserve">，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评标委员会按综合得分由高到低顺序向项目采购人推荐3名中标候选人。</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最低投标价等任何单项因素的最优不是中标的必要条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025-83683510</w:t>
      </w:r>
      <w:r>
        <w:rPr>
          <w:rFonts w:ascii="SimSun" w:hAnsi="SimSun" w:eastAsia="SimSun" w:cs="SimSun"/>
          <w:color w:val="000000"/>
          <w:sz w:val="21"/>
        </w:rPr>
        <w:t xml:space="preserve">。</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29、其他</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29.1本项目根据江苏省财政厅关于加强政府绿色采购有关事项的通知（苏财购〔2023〕65号）规定，执行绿色采购需求标准。</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30、诚实信用</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30.1供应商之间不得相互串通投标报价，不得妨碍其他供应商的公平竞争，不得损害采购人和其他供应商的合法权益。</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供应商不得以向招标代理工作人员、评标委员会成员行贿或者采取其他不正当手段谋取中标。经查实供应商有此行为的，政府采购管理部门将供应商列入不良行为记录名单，按照《政府采购法》有关规定处理。</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30.4供应商不得虚假承诺，否则，按照提供虚假材料谋取中标成交处理。</w:t>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30.5供应商应自觉遵守开标、评标纪律，扰乱开标评标现场秩序的，属于失信行为，根据《江苏省政府采购供应商监督管理暂行办法》，失信行为将被记入供应商诚信档案。</w:t>
        <w:br w:type="page" w:clear="all"/>
      </w:r>
      <w:r/>
    </w:p>
    <w:p>
      <w:pPr>
        <w:ind w:left="0" w:right="0" w:firstLine="420"/>
        <w:jc w:val="both"/>
        <w:spacing w:before="0" w:after="0" w:line="41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599"/>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pStyle w:val="599"/>
        <w:ind w:left="0" w:right="0" w:firstLine="0"/>
        <w:jc w:val="center"/>
        <w:spacing w:before="0" w:after="0" w:line="7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159"/>
        <w:gridCol w:w="6377"/>
        <w:gridCol w:w="787"/>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投标产品对招标文件技术要求（详见第四章采购需求第二条拟采购标的需要满足的技术要求）的响应程度。（提供技术要求偏离表，响应程度以偏离表列明的为准）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偏离按无效投标处理；▲项每有一项负偏离减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注：投标人在全部投标书中提供的任何内容，无论是否为打“★”项，必须确保真实，不得弄虚作假，否则在项目任何阶段均作无效投标文件处理，并追究相应责任。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280" w:after="29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根据投标人提供的售后服务方案（包括但不限于售后服务方案；故障处理应急方案；项目培训方案）进行综合评分：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售后服务方案详细完整、科学合理，可行性强的得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售后服务方案基本完整，具备可行性得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售后服务方案可行性一般得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方案不完整或可行性较低的得</w:t>
            </w:r>
            <w:r>
              <w:rPr>
                <w:rFonts w:ascii="Times New Roman" w:hAnsi="Times New Roman" w:eastAsia="Times New Roman" w:cs="Times New Roman"/>
                <w:color w:val="000000"/>
                <w:sz w:val="20"/>
              </w:rPr>
              <w:t xml:space="preserve"> 1 </w:t>
            </w:r>
            <w:r>
              <w:rPr>
                <w:rFonts w:ascii="SimSun" w:hAnsi="SimSun" w:eastAsia="SimSun" w:cs="SimSun"/>
                <w:color w:val="000000"/>
                <w:sz w:val="20"/>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在满足招标文件免费质保期（3年）的基础上，每增加1年质保加2.5分，本项最高5分。若投标文件中出现前后不一致的情况，以最低免费质保期作为评分依据。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注：需提供承诺书并加盖投标人公章，未按要求提供不得分。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vMerge w:val="restart"/>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日以来，投标人对类似项目的销售业绩。每提供一份得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日以来，投标人承担过国产化适配落地实施案例，每提供1份案例得4分，满分4分（提供实施报告或合同或买方出具的证明材料，相关证明材料需体现该设备使用了国产的cpu或国产系统或国产主板）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投标人需针对本项目需求提供实施方案（至少包含：供货方案；产品质量控制；安装部署方案）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项目实施方案详细完整、科学合理，可行性强得7分；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项目实施方案基本完整，具备可行性，得5分；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项目实施方案可行性一般，得3分；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项目实施方案不完整或可行性较低的得1分；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未提供相应方案，得0分。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根据投标人提供的产品质量保障方案进行综合评分：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产品质量保障方案合理可行，针对性强的得7分；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产品质量保障方案较合理可行，针对性较强的得5分；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产品质量保障方案内容基本合理可行，针对性一般的得3分；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产品质量保障方案内容不合理或针对性较差的得1分；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未提供相应方案的不得分。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工控主机参数优化1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所投设备工控主机内存大小16g以下不得分，工控主机内存大小在16G 及以上，得2分（提供包含具体参数的承诺书加盖公章，格式自拟）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国产化适配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所投设备工控主机cpu采用国产的得5分；不采用国产的，本项不得分。（提供包含具体参数的承诺书加盖公章，格式自拟）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159"/>
        <w:gridCol w:w="6377"/>
        <w:gridCol w:w="787"/>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投标产品对招标文件技术要求（详见第四章采购需求第二条拟采购标的需要满足的技术要求）的响应程度。（提供技术要求偏离表，响应程度以偏离表列明的为准）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偏离按无效投标处理；▲项每有一项负偏离减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注：投标人在全部投标书中提供的任何内容，无论是否为打“★”项，必须确保真实，不得弄虚作假，否则在项目任何阶段均作无效投标文件处理，并追究相应责任。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280" w:after="29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根据投标人提供的售后服务方案（包括但不限于售后服务方案；故障处理应急方案；项目培训方案）进行综合评分：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售后服务方案详细完整、科学合理，可行性强的得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售后服务方案基本完整，具备可行性得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售后服务方案可行性一般得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方案不完整或可行性较低的得</w:t>
            </w:r>
            <w:r>
              <w:rPr>
                <w:rFonts w:ascii="Times New Roman" w:hAnsi="Times New Roman" w:eastAsia="Times New Roman" w:cs="Times New Roman"/>
                <w:color w:val="000000"/>
                <w:sz w:val="20"/>
              </w:rPr>
              <w:t xml:space="preserve"> 1 </w:t>
            </w:r>
            <w:r>
              <w:rPr>
                <w:rFonts w:ascii="SimSun" w:hAnsi="SimSun" w:eastAsia="SimSun" w:cs="SimSun"/>
                <w:color w:val="000000"/>
                <w:sz w:val="20"/>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在满足招标文件免费质保期（3年）的基础上，每增加1年质保加2.5分，本项最高5分。若投标文件中出现前后不一致的情况，以最低免费质保期作为评分依据。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注：需提供承诺书并加盖投标人公章，未按要求提供不得分。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vMerge w:val="restart"/>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日以来，投标人对类似项目的销售业绩。每提供一份得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日以来，投标人承担过国产化适配落地实施案例，每提供1份案例得4分，满分4分（提供实施报告或合同或买方出具的证明材料，相关证明材料需体现该设备使用了国产的cpu或国产系统或国产主板）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投标人需针对本项目需求提供实施方案（至少包含：供货方案；产品质量控制；安装部署方案）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项目实施方案详细完整、科学合理，可行性强得6分；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项目实施方案基本完整，具备可行性，得4分；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项目实施方案可行性一般，得2分；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项目实施方案不完整或可行性较低的得1分；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未提供相应方案，得0分。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根据投标人提供的产品质量保障方案进行综合评分：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产品质量保障方案合理可行，针对性强的得6分；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产品质量保障方案较合理可行，针对性较强的得4分；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产品质量保障方案内容基本合理可行，针对性一般的得2分；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产品质量保障方案内容不合理或针对性较差的得1分；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未提供相应方案的不得分。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自助照相机“一照通用”实施方案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根据投标人针对自助照相机产品需满足的一照通用功能（系统支持拍摄一张母片，生成出入境、身份证、车驾管三种规格照片的功能）编制的实施方案进行综合评分：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实施方案合理可行，针对性强的得5分；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实施方案较合理可行，针对性较强的得3分；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实施方案内容基本合理可行的得1分；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未提供相应方案的不得分。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工控主机参数优化1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所投设备工控主机内存大小16g以下不得分，工控主机内存大小在16G 及以上，得2分（提供包含具体参数的承诺书加盖公章，格式自拟）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工控主机参数优化2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所投设备工控主机硬盘采用固态硬盘：500G以下不得分，500G及以上得2分。（提供包含具体参数的承诺书加盖公章，格式自拟）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国产化适配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所投设备工控主机cpu采用国产的得 5 分；不采用国产的，本项不得分。（提供包含具体参数的承诺书加盖公章，格式自拟）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小微企业价格扣除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本国产品的价格扣除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599"/>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599"/>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境管理支队现有智能受理设备因使用年限过长，设备硬件模块老化严重、故障率高、核心配件停产断供，维修成本逐年攀升，设备整体运行稳定性差，已无法满足当前高频次、高标准的出入境办证服务需求。为有效提升办证效率、保障设备稳定运行、提高群众满意度，拟实施出入境窗口智能辅助设备更新升级项目，对现有老化设备进行整体替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w:t>
      </w:r>
      <w:r>
        <w:rPr>
          <w:rFonts w:ascii="SimSun" w:hAnsi="SimSun" w:eastAsia="SimSun" w:cs="SimSun"/>
          <w:b/>
          <w:color w:val="000000"/>
          <w:sz w:val="20"/>
        </w:rPr>
        <w:t xml:space="preserve">主要采购产品清单</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5"/>
        <w:gridCol w:w="1204"/>
        <w:gridCol w:w="426"/>
        <w:gridCol w:w="746"/>
        <w:gridCol w:w="1134"/>
        <w:gridCol w:w="1664"/>
        <w:gridCol w:w="1622"/>
        <w:gridCol w:w="1591"/>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含税全费用单价最高限价（万元）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智能签注机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自助照相机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57.6</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上述产品均包含配件等全套设备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二、拟采购标的需要满足的技术要求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（一）分包一：智能签注机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智能签注机外观需根据支队环境进行定制，实现港澳台签注智能加签功能，根据申请人的情况，依据国家移民局的核验规则，判断是否可以自助办理加签业务，完成签注费用缴费、制证等流程。具体需要实现的功能及参数如下：</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1.主要功能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1.1申请人身份识别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申请人人脸识别或指纹核验，判断是否本人操作；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1.2申请人信息核查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根据移民局规则，判断是否可以机器自助加签；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1.3港澳通行证签注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申请人选择港澳个人旅游、团队旅游、商务等签注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1.4台湾通行证签注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申请人选择台湾个人、团队旅游签注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1.5港澳通行证剩余有效签注次数查询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查询申请人港澳通行证剩余有效签注次数查询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1.6台湾通行证剩余有效签注次数查询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查询申请人台湾通行证剩余有效签注次数查询.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1.7签注费用扫码缴费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通过缴费接口，实现申请人扫描缴费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1.8港澳、台湾通行证卡面签注信息打印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缴费完成，进行申请人签注信息芯片写入和卡面热擦写签注信息打印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1.9港澳台卡面签注信息重新打印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对于卡面签注信息打印不清晰等情况，通过读取证件芯片信息重新打印签注。</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硬件规格参数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1.工控主机：性能不低于处理器：I5 6代CPU；内存：8G；硬盘：500G 固态硬盘；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2.触摸显示主屏：显示器尺寸：19寸；分辨率：≥1366*768；支持多点触摸；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color w:val="000000"/>
          <w:sz w:val="21"/>
        </w:rPr>
        <w:t xml:space="preserve">3.国产化：免费国产化升级支持；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4.身份证阅读器：符合ISO/IEC 14443 TypeB标准；阅读距离：0-3cm;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5.光学指纹仪；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color w:val="000000"/>
          <w:sz w:val="21"/>
        </w:rPr>
        <w:t xml:space="preserve">6.双目摄像头：类型：宽动态高清双目摄像头；像素：不低于130W B/W + 300W HDR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color w:val="000000"/>
          <w:sz w:val="21"/>
        </w:rPr>
        <w:t xml:space="preserve">7.智能签注模块：芯片读写器：符合IS0 14443 TYPE A/B标准；打印分辨率：不低于300dpi；港澳台卡片式证件卡面自动识别翻转；坏卡率：≤1‰；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8.全景监控摄像头：180°广角；像素不低于130W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9.UPS不间断电源：额定容量不低于:1kVA/800W；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10.软件系统：配套专用签注系统软件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Times New Roman" w:hAnsi="Times New Roman" w:eastAsia="Times New Roman" w:cs="Times New Roman"/>
          <w:color w:val="000000"/>
          <w:sz w:val="20"/>
        </w:rPr>
        <w:t xml:space="preserve"> </w:t>
      </w:r>
      <w:r>
        <w:rPr>
          <w:rFonts w:ascii="SimSun" w:hAnsi="SimSun" w:eastAsia="SimSun" w:cs="SimSun"/>
          <w:color w:val="000000"/>
          <w:sz w:val="21"/>
        </w:rPr>
        <w:t xml:space="preserve">定制化外观：成交后所有产品的规格尺寸、款式、颜色等要求与采购人做进一步确认，得到采购人的签字盖章认可后方可生产，并确保产品质量。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12.整机尺寸：≤700mm（宽）*1700mm（高）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（二）分包二：自助照相机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自助照相机能根据申请人身高，自动调节相机高度，拍摄并满足出入境制证照片标准的照片，自主检测照片质量，实现与现有系统的存储对接。具体需要实现的功能及参数如下：</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1.主要功能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1.1.证件照采集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出入境证件照拍摄，采集；照片平台对接。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1.2.智能拍照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智能调光，自动拍照、检测、裁切并输出标准证件照。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1.3.镜中像拍照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照镜式拍照，无遮挡，无视差，所见既所得，成像清晰、自然，体验感好。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1.4.智能调光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采用标准证件照补光光源，肤色还原准确。可根据脸部亮度自动调节各光源照度，确保脸部光照均匀。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1.5.身高兼容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相机自动升降，结合可站立式坐凳，可兼容不同身高的用户拍照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1.6.智慧指引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集成声音、动画、文字、LED指示灯等多种指引方式，实现傻瓜式操作。</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color w:val="000000"/>
          <w:sz w:val="21"/>
        </w:rPr>
        <w:t xml:space="preserve">1.7 自动照片命名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系统支持使用身份证阅读器和外国人证件阅读器读取申请人身份证号或护照、港澳台等境外人员证件号码作为照片的名称保存到支队现有照片平台，实现中外管填表系统自动推送拉取。</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color w:val="000000"/>
          <w:sz w:val="21"/>
        </w:rPr>
        <w:t xml:space="preserve">1.8 一照通用，三合一支持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系统支持拍摄一张母片，生成出入境、身份证、车驾管三种规格照片的功能。</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2.配置参数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1.工控主机：（参数性能不低于CPU：I5；内存：8G；硬盘：250G 固态硬盘）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2.触摸显示器：不低于17 英寸电容触摸显示屏；分辨率：不低于1280*1024；最大支持 10 点触摸；触摸反应时间＜10ms</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3.拍照单元：有效像素：≥1500 万；图像感应器类型：CMOS；自动对焦：支持；自动白平衡校正、动态人脸识别；自动升降调节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4.二代证阅读模块：阅读距离：0-3cm；阅读时间：&lt; 1s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5.护照阅读器：图像采集:传感器CMOS 500万像素（2592*1944）,分辨率500 DPI；证件识别（OCR）:支持护照、港澳通行证、台胞证、行驶证等多种身份证件图像采集与信息识别；支持ICAO9303标准护照、签证等旅行证件的图像采集与信息识别，包含机读码和其他版面信息；电子护照读卡:支持ICAO9303标准电子护照读卡，读卡时间小于3秒,支持ISO 14443 Type A/B类型卡片读卡,支持电子护照基本访问控制(BAC)；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6.凭条打印机：打印方式: 行式热敏；纸处理方式： 自动切纸；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7.灯光单元：顶灯、上灯各 1 个； 左右灯 2 个；下灯 1 个； 背景灯 1 个；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8.软件系统：自助拍照；自动裁切；智能优化照片；自动检测；照相平台对接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★9.国产化：免费国产化升级支持；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Times New Roman" w:hAnsi="Times New Roman" w:eastAsia="Times New Roman" w:cs="Times New Roman"/>
          <w:color w:val="000000"/>
          <w:sz w:val="20"/>
        </w:rPr>
        <w:t xml:space="preserve"> </w:t>
      </w:r>
      <w:r>
        <w:rPr>
          <w:rFonts w:ascii="SimSun" w:hAnsi="SimSun" w:eastAsia="SimSun" w:cs="SimSun"/>
          <w:color w:val="000000"/>
          <w:sz w:val="21"/>
        </w:rPr>
        <w:t xml:space="preserve">定制化外观：成交后所有产品的规格尺寸、款式、颜色等要求与采购人做进一步确认，得到采购人的签字盖章认可后方可生产，并确保产品质量。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1"/>
        </w:rPr>
        <w:t xml:space="preserve">三、报价要求：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2、供应商的任何错漏、优惠、竞争性报价不得作为减轻责任、减少服务、增加收费、降低服务质量的理由。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3、供应商报价除包含招标文件中列明的项目外，还应包括保障产品正常使用应当具有的物资和服务，对产品正常使用应当具有的物资和服务理解不一致的以采购单位理解为准。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color w:val="000000"/>
          <w:sz w:val="20"/>
        </w:rPr>
        <w:t xml:space="preserve">★</w:t>
      </w:r>
      <w:r>
        <w:rPr>
          <w:rFonts w:ascii="SimSun" w:hAnsi="SimSun" w:eastAsia="SimSun" w:cs="SimSun"/>
          <w:b/>
          <w:color w:val="000000"/>
          <w:sz w:val="21"/>
        </w:rPr>
        <w:t xml:space="preserve">四、服务要求：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（1）供货安装计划：供应商中标后提供设备安装日程计划。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供产品必须是全新的原装正品，符合国家规定的质量标准，不得私自添加或更改，保证所有产品原材料及部件均是全新的纯正部件，不得以废、旧材料制作，产品必须符合相关行业设计及采购人的品质要求。交货时所有货物应完好，物品配件齐全，否则视为不合格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（3）安全实施要求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供应商应采取安全措施，确保项目实施安全。因本项目实施产生的实施人员等相关人员人身安全问题由中标供应商承担全部责任。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因产品质量或安装不当导致验收不合格，应及时处理直至验收合格，期间产生的一切费用由供应商承担;若二次验收不合格，采购人有权退货。采购人在此期间保留对供应商的索赔权利。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（1）质保期：整机及系统提供3年原厂质保，质保期内免费提供设备维修、部件更换、软件升级、系统优化、远程技术支持等服务，质保期自项目终验合格之日起计算。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（2）服务响应：提供7×24小时远程技术支持及热线服务；接到故障报修后30分钟内响应，远程无法解决的，5小时内到达南京市内项目现场。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（3）故障修复时限：一般前端设备故障24小时内恢复正常运行；平台及核心系统故障48小时内恢复，无法及时修复的供应商需立即免费提供备用设备，保障服务不中断，直至故障货物修复。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（4）定期巡检：质保期内每季度提供一次现场巡检、保养、清洁、调试、系统优化，形成完整巡检报告提交支队存档。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备件保障：中标供应商承诺中标后在南京市本地建立备件库并配备本地化售后团队，保障核心部件及时更换，最大限度降低设备停机时间。（提供承诺书加盖公章）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（6）质保期后：提供终身技术支持，质保期外仅收取合理的硬件成本费用，软件升级、系统适配等服务免费提供。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3、培训：供应商组织设备制造商原厂技术人员免费在采购人现场对采购方人员进行不少于3个工作日的本设备操作、维修、检测相关技术培训，培训内容视采购人需求而定。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1"/>
        </w:rPr>
        <w:t xml:space="preserve">五、交付使用时间：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1、交付时间：自合同签订之日起20个日历日内完成供货、安装、调试并通过验收。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送货地点：由南京市公安局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1"/>
        </w:rPr>
        <w:t xml:space="preserve">六、付款要求：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（1）合同签订后支付30%预付款；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（2）所有货物安装调试完毕通过验收，采购人认可的结算审计单位出具审计报告后，支付至审定价的100%；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（3）采购人付款前，中标供应商提供符合采购人财务要求的发票。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若结算审计核减率在5% (不含5%)以内，审计费用由采购人承担；核减率超过5% (含5%)，审计费用全部由中标供应商承担,该费用直接在审定价中扣除。本项目如需政府审计或备案，则最终结算价以审计机关结论为准，采购人将根据最终结算价调整付款基数，中标供应商应无条件配合。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 </w:t>
      </w:r>
      <w:r/>
    </w:p>
    <w:p>
      <w:pPr>
        <w:pStyle w:val="599"/>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 </w:t>
      </w:r>
      <w:r/>
    </w:p>
    <w:p>
      <w:pPr>
        <w:pStyle w:val="599"/>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政府采购合同（货物）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政府采购计划号：/</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50"/>
        <w:gridCol w:w="4904"/>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住所地</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根据《中华人民共和国政府采购法》、《中华人民共和国民法典》等法律法规的规定，甲乙双方按照政府采购招标结果签订本合同。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第一条 合同标的</w:t>
      </w:r>
      <w:r>
        <w:rPr>
          <w:rFonts w:ascii="SimSun" w:hAnsi="SimSun" w:eastAsia="SimSun" w:cs="SimSun"/>
          <w:color w:val="000000"/>
          <w:sz w:val="20"/>
        </w:rPr>
        <w:t xml:space="preserve">  乙方根据甲方需求提供下列货物：</w:t>
      </w:r>
      <w:r>
        <w:rPr>
          <w:rFonts w:ascii="SimSun" w:hAnsi="SimSun" w:eastAsia="SimSun" w:cs="SimSun"/>
          <w:color w:val="000000"/>
          <w:sz w:val="20"/>
          <w:u w:val="single"/>
        </w:rPr>
        <w:t xml:space="preserve">          </w:t>
      </w:r>
      <w:r>
        <w:rPr>
          <w:rFonts w:ascii="SimSun" w:hAnsi="SimSun" w:eastAsia="SimSun" w:cs="SimSun"/>
          <w:color w:val="000000"/>
          <w:sz w:val="20"/>
        </w:rPr>
        <w:t xml:space="preserve">，具体详见乙方投标文件。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第二条 合同总价款</w:t>
      </w:r>
      <w:r>
        <w:rPr>
          <w:rFonts w:ascii="SimSun" w:hAnsi="SimSun" w:eastAsia="SimSun" w:cs="SimSun"/>
          <w:color w:val="000000"/>
          <w:sz w:val="20"/>
        </w:rPr>
        <w:t xml:space="preserve">  本合同项下人民币总价款为___________（大写）人民币，分项价款在“投标报价表”中有明确规定。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本合同价款是完成本项目所发生的所有费用。其中包含以下内容：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（1）货物设计、制造、包装、仓储、运输、装缷、保险、安装、调试及其材料；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（2）验收合格之前保管及保修期内备品备件、专用工具、伴随服务、技术图纸资料、人员培训发生的所有含税费用；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（3）支付给员工的工资和国家强制缴纳的各种社会保障资金；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（4）乙方应当提供的伴随服务/售后服务费用；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（5）供应商认为需要的其他费用。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第三条 合同期限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合同签订之日起至质保期结束</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第四条 组成本合同的有关文件</w:t>
      </w:r>
      <w:r>
        <w:rPr>
          <w:rFonts w:ascii="SimSun" w:hAnsi="SimSun" w:eastAsia="SimSun" w:cs="SimSun"/>
          <w:color w:val="000000"/>
          <w:sz w:val="20"/>
        </w:rPr>
        <w:t xml:space="preserve">  下列关于</w:t>
      </w:r>
      <w:r>
        <w:rPr>
          <w:rFonts w:ascii="SimSun" w:hAnsi="SimSun" w:eastAsia="SimSun" w:cs="SimSun"/>
          <w:b/>
          <w:color w:val="000000"/>
          <w:sz w:val="20"/>
          <w:u w:val="single"/>
        </w:rPr>
        <w:t xml:space="preserve">                  </w:t>
      </w:r>
      <w:r>
        <w:rPr>
          <w:rFonts w:ascii="SimSun" w:hAnsi="SimSun" w:eastAsia="SimSun" w:cs="SimSun"/>
          <w:color w:val="000000"/>
          <w:sz w:val="20"/>
          <w:u w:val="single"/>
        </w:rPr>
        <w:t xml:space="preserve">号</w:t>
      </w:r>
      <w:r>
        <w:rPr>
          <w:rFonts w:ascii="SimSun" w:hAnsi="SimSun" w:eastAsia="SimSun" w:cs="SimSun"/>
          <w:color w:val="000000"/>
          <w:sz w:val="20"/>
        </w:rPr>
        <w:t xml:space="preserve">标（项目编号）的招投标文件或与本次采购活动方式相适应的文件及有关附件是本合同不可分割的组成部分，与本合同具有同等法律效力，这些文件包括但不限于：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（1）甲方的招标文件；   （2）乙方提供的投标文件和投标报价表（含分项报价表及供货一览表）；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（3）供货一览表；       （4）交货一览表；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（5）技术规格响应表；   （6）乙方承诺；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（7）履约及质量保证承诺；（8）中标（成交）通知书；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（9）甲乙双方商定的其他文件等。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以上文件如对某一特定事项存在不一致的表述，则应以日期较后的相关规定为准。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第五条 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乙方应保证甲方在使用该货物（服务）或其任何一部分时不受第三方提出侵犯其专利权、版权、商标权或其他权利的起诉。一旦出现侵权，乙方应承担全部责任。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第六条 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1、乙方所提供的服务的技术规格应与招标文件规定的技术规格及所附的“技术条款偏离表”相一致；若技术性能无特殊说明，则按国家有关部门最新颁布的标准及规范为准。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第七条 包装要求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2、每一包装单元内应附详细的装箱单和质量合格凭证。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第八条 交付和验收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1、乙方应当在</w:t>
      </w:r>
      <w:r>
        <w:rPr>
          <w:rFonts w:ascii="SimSun" w:hAnsi="SimSun" w:eastAsia="SimSun" w:cs="SimSun"/>
          <w:b/>
          <w:color w:val="000000"/>
          <w:sz w:val="20"/>
        </w:rPr>
        <w:t xml:space="preserve">合同签订后</w:t>
      </w:r>
      <w:r>
        <w:rPr>
          <w:rFonts w:ascii="SimSun" w:hAnsi="SimSun" w:eastAsia="SimSun" w:cs="SimSun"/>
          <w:b/>
          <w:color w:val="000000"/>
          <w:sz w:val="20"/>
          <w:u w:val="single"/>
        </w:rPr>
        <w:t xml:space="preserve">    </w:t>
      </w:r>
      <w:r>
        <w:rPr>
          <w:rFonts w:ascii="SimSun" w:hAnsi="SimSun" w:eastAsia="SimSun" w:cs="SimSun"/>
          <w:b/>
          <w:color w:val="000000"/>
          <w:sz w:val="20"/>
        </w:rPr>
        <w:t xml:space="preserve">天内</w:t>
      </w:r>
      <w:r>
        <w:rPr>
          <w:rFonts w:ascii="SimSun" w:hAnsi="SimSun" w:eastAsia="SimSun" w:cs="SimSun"/>
          <w:color w:val="000000"/>
          <w:sz w:val="20"/>
        </w:rPr>
        <w:t xml:space="preserve">将货物安装调试完毕，并通过验收。交货地点：甲方指定地点，由乙方负责办理运输、装卸、原设备拆除及搬运等，费用由乙方负责。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3、货物的到货验收包括：型号、规格、数量、外观质量及货物包装是否完好。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4、乙方应将所提供货物的装箱清单、用户手册、原厂保修卡、随机资料及配件、随机工具等交付给甲方；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乙方不能完整交付货物及本款规定的单证和工具的，视为未按合同约定交货，乙方负责补齐，因此导致逾期交付的，由乙方承担相关的违约责任。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5、货物和系统调试验收的标准：按行业通行标准、厂方出厂标准和乙方投标（响应）文件的承诺（详见同附件载明的标准，并不低于国家相关标准）。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第九条 伴随服务／售后服务</w:t>
      </w:r>
      <w:r/>
    </w:p>
    <w:p>
      <w:pPr>
        <w:ind w:left="0" w:right="0" w:firstLine="420"/>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1、乙方应按照国家有关法律法规规章和“三包”规定以及招投标文件所规定的“服务承诺”提供服务。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2、除前款规定外，乙方还应提供下列服务：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（1）货物的现场安装、调试和/或启动监督；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（2）就货物的安装、启动、运行及维护等对甲方人员进行免费培训。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3、若招标文件中不包含有关伴随服务或售后服务的承诺，双方作如下约定：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3.2所购货物按乙方投标承诺提供免费维护和质量保证，保修费用计入总价，保修范围包括合同中所有配置。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质保期为项目整体及所有货物质保_______年。质保期的计算自所有货物安装调试到位并通过验收合格后开始；保修期内，乙方负责对其提供的货物整机进行维修和系统维护，不再收取任何费用，但不可抗力（如火灾、雷击等）造成的故障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3.4货物故障报修的响应时间按乙方投标承诺执行，但不低于接到报修电话后2小时之内到达现场维修。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3.5一般前端设备故障24小时内恢复正常运行；平台及核心系统故障48小时内恢复，无法及时修复的乙方需立即免费提供备用设备，保障服务不中断，直至故障货物修复。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3.6所有货物保修服务方式均为乙方上门保修，即由乙方派员到货物使用现场维修，由此产生的一切费用均由乙方承担。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3.7保修期后的货物维护由双方协商再定。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第九条  项目联系人及职责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在本合同有效期内，甲方指定________为甲方项目联系人，乙方指定_________为乙方项目联系人。项目联系人承担以下责任：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1、甲方项目联系人负责监督项目的实施与协调工作，对项目中遇到的问题进行协调与处理。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2、乙方项目联系人负责技术团队的协调工作，对项目开发进度进行管理与汇报。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3、一方变更项目联系人的，应当及时以书面形式通知另一方。未及时通知并影响本合同履行或造成损失的，应承担相应的责任。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第十条 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2、本合同项下的采购资金由甲方自行支付，乙方向甲方开具发票。乙方应当在每次付款前提供相应的发票，因延迟交付发票导致甲方付款延迟的，甲方不承担责任。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（1）合同签订后支付30%预付款；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（2）所有货物安装调试完毕通过验收，甲方认可的结算审计单位出具审计报告后，支付至审定价的100%；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（3）甲方付款前，乙方提供符合甲方财务要求的发票。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甲方有权根据政府资金的到位情况，调整付款条件的支付比例及支付时间（无息），本合同结算价款以甲方认可的结算审计单位出具的审计报告审定价为准。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single"/>
        </w:rPr>
        <w:t xml:space="preserve">若结算审计核减率在5% (不含5%)以内，审计费用由甲方承担；核减率超过5% (含5%)，审计费用全部由乙方承担,该费用直接在审定价中扣除。本项目如需政府审计或备案，则最终结算价以审计机关结论为准，甲方将根据最终结算价调整付款基数，乙方应无条件配合。</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第十一条 项目履约验收及档案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1、甲方有权对乙方项目实施执行过程及完成结果进行履约验收；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2、甲方可以邀请参加本项目的其他供应商或者第三方机构参与验收，乙方应积极配合并响应；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3、参与验收的供应商或者第三方机构的意见作为验收书的参考资料一并存档。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第十二条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１、甲方无正当理由拒收货物、拒付货物款的，由甲方向乙方偿付合同总价的5%违约金。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２、甲方未按合同规定的期限向乙方支付货款的，每逾期1天甲方向乙方偿付欠款总额的1‰滞纳金，但累计滞纳金总额不超过欠款总额的5%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３、如乙方不能交付货物、完成安装调试的，乙方应向甲方支付合同总价20%的违约金。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４、乙方逾期交付的，每逾期1天，乙方向甲方偿付合同总额的1‰的滞纳金。如乙方逾期交付达30天，甲方有权解除合同，解除合同的通知自到达乙方时生效。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５、乙方所交付的货物不符合合同规定的，甲方有权拒收该货物，乙方愿意更换货物但逾期交货的，按乙方逾期交货处理。乙方拒绝更换货物的，甲方可单方面解除合同。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7、乙方未按本合同的规定和“服务承诺”提供伴随服务/售后服务的，应按合同总价款的10%向甲方承担违约责任。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9、乙方投标属虚假承诺，或经权威部门监测提供的服务不能满足招标文件要求，或是由于乙方的过错造成合同无法继续履行的，应向甲方支付不少于合同总价30%赔偿金。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第十三条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1、除《政府采购法》第50条第二款规定的情形外，本合同一经签订，甲乙双方不得擅自变更、中止或终止合同。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2、除发生法律规定的不能预见、不能避免并不能克服的客观情况外，甲乙双方不得放弃或拒绝履行合同。乙方放弃或拒绝履行合同，保证金不予退还。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3、甲方与乙方各自履行完毕本合同的全部义务后，本合同终止，但保密义务不解除。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第十四条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未经甲方书面同意，乙方不得擅自部分或全部转让其应履行的合同义务。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第十五条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1、因货物或服务的质量问题发生争议的，应当邀请国家认可的质量检测机构对服务质量进行鉴定。符合标准的，鉴定费由甲方承担；不符合质量标准的，鉴定费由乙方承担。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2、因履行本合同引起的或与本合同有关的争议，甲、乙双方应首先通过友好协商解决，如果协商不能解决争议，则采取以下第（1）种方式解决争议：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（1）向甲方所在地有管辖权的人民法院提起诉讼；</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（2）向南京仲裁委员会按其仲裁规则申请仲裁。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如没有约定，默认采取第2种方式解决争议。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3、在诉讼/仲裁期间，本合同应继续履行。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第十六条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乙方应诚实信用，严格按照招标文件要求和投标承诺履行合同，不向甲方进行商业贿赂或者提供不正当利益。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第十七条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1、本合同自双方签字并盖章之日起生效。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2、本合同附件（如有）为本合同的组成部分，与本合同具有同等法律效力。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3、本合同如需补充或修改，须在甲乙双方协商一致的基础上，由甲乙双方签署书面补充合同。书面补充合同为本合同的组成部分，与本合同具有同等法律效力。补充合同与本合同不一致之处，以补充合同为准。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4、本协议一式 陆份，甲方执 肆 份，乙方执 贰 份，具有同等法律效力。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5、本合同应按照中华人民共和国的现行法律进行解释。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乙方（供应商）：         （盖章）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开户银行：</w:t>
            </w:r>
            <w:r/>
          </w:p>
        </w:tc>
      </w:tr>
      <w:tr>
        <w:trPr>
          <w:trHeight w:val="37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帐    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帐    号：</w:t>
            </w:r>
            <w:r/>
          </w:p>
        </w:tc>
      </w:tr>
      <w:tr>
        <w:trPr>
          <w:trHeight w:val="28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      期：     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 </w:t>
      </w:r>
      <w:r/>
    </w:p>
    <w:p>
      <w:pPr>
        <w:pStyle w:val="599"/>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 </w:t>
      </w:r>
      <w:r/>
    </w:p>
    <w:p>
      <w:pPr>
        <w:pStyle w:val="599"/>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（注：供应商可参照本章附件格式编制投标文件并制作目录（生成页码））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致：江苏泰鼎工程咨询有限公司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05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6"/>
        <w:gridCol w:w="6589"/>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none" w:color="000000" w:sz="4"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1460"/>
        <w:gridCol w:w="1328"/>
        <w:gridCol w:w="1308"/>
        <w:gridCol w:w="820"/>
        <w:gridCol w:w="819"/>
        <w:gridCol w:w="759"/>
        <w:gridCol w:w="945"/>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型号规格（列明所投产品具体参数）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注：请投标供应商在投标文件中列明所投产品的具体参数，所需列明的硬件参数详见第四章第二条拟采购标的需要满足的技术要求，请供应商按自身所投产品参数填写</w:t>
      </w:r>
      <w:r>
        <w:rPr>
          <w:rFonts w:ascii="SimSun" w:hAnsi="SimSun" w:eastAsia="SimSun" w:cs="SimSun"/>
          <w:color w:val="000000"/>
          <w:sz w:val="21"/>
        </w:rPr>
        <w:t xml:space="preserve">。</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附件四、技术要求偏离表格式</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技术要求偏离表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09"/>
        <w:gridCol w:w="1850"/>
        <w:gridCol w:w="2883"/>
        <w:gridCol w:w="183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偏离（正偏离/负偏离/无偏离）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说明：投标文件采购需求第二条技术要求内容响应存在正偏离或负偏离的，请在本表中列出。未列出的，视为完全响应。</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550"/>
        <w:gridCol w:w="2294"/>
        <w:gridCol w:w="2769"/>
        <w:gridCol w:w="1110"/>
        <w:gridCol w:w="111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center"/>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承诺函</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本单位郑重承诺满足以下要求：</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1、我单位中标后在南京市本地建立备件库并配备本地化售后团队，保障核心部件及时更换，最大限度降低设备停机时间。</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2、所有实质性内容我单位全部响应，不发生任何负偏离。</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若我单位未按承诺要求执行，贵方可取消我单位中标资格或者不授予合同，所有责任由我单位自行承担。同时，我单位愿意无条件接受监管部门的调查处理。</w:t>
      </w:r>
      <w:r/>
    </w:p>
    <w:p>
      <w:pPr>
        <w:ind w:left="0" w:right="0" w:firstLine="400"/>
        <w:spacing w:before="240" w:after="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990"/>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投标人名称（公章）：</w:t>
      </w:r>
      <w:r>
        <w:rPr>
          <w:rFonts w:ascii="Microsoft New Tai Lue" w:hAnsi="Microsoft New Tai Lue" w:eastAsia="Microsoft New Tai Lue" w:cs="Microsoft New Tai Lue"/>
          <w:color w:val="000000"/>
          <w:sz w:val="20"/>
          <w:u w:val="single"/>
        </w:rPr>
        <w:t xml:space="preserve">  </w:t>
        <w:tab/>
        <w:t xml:space="preserve">     </w:t>
        <w:tab/>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0"/>
        </w:rPr>
        <w:t xml:space="preserve">                                                                       </w:t>
      </w:r>
      <w:r>
        <w:rPr>
          <w:rFonts w:ascii="SimSun" w:hAnsi="SimSun" w:eastAsia="SimSun" w:cs="SimSun"/>
          <w:color w:val="000000"/>
          <w:sz w:val="20"/>
        </w:rPr>
        <w:t xml:space="preserve">日期：</w:t>
      </w:r>
      <w:r>
        <w:rPr>
          <w:rFonts w:ascii="Microsoft New Tai Lue" w:hAnsi="Microsoft New Tai Lue" w:eastAsia="Microsoft New Tai Lue" w:cs="Microsoft New Tai Lue"/>
          <w:color w:val="000000"/>
          <w:sz w:val="20"/>
        </w:rPr>
        <w:t xml:space="preserve">______</w:t>
      </w:r>
      <w:r>
        <w:rPr>
          <w:rFonts w:ascii="SimSun" w:hAnsi="SimSun" w:eastAsia="SimSun" w:cs="SimSun"/>
          <w:color w:val="000000"/>
          <w:sz w:val="20"/>
        </w:rPr>
        <w:t xml:space="preserve">年</w:t>
      </w:r>
      <w:r>
        <w:rPr>
          <w:rFonts w:ascii="Microsoft New Tai Lue" w:hAnsi="Microsoft New Tai Lue" w:eastAsia="Microsoft New Tai Lue" w:cs="Microsoft New Tai Lue"/>
          <w:color w:val="000000"/>
          <w:sz w:val="20"/>
          <w:u w:val="single"/>
        </w:rPr>
        <w:t xml:space="preserve">    </w:t>
      </w:r>
      <w:r>
        <w:rPr>
          <w:rFonts w:ascii="SimSun" w:hAnsi="SimSun" w:eastAsia="SimSun" w:cs="SimSun"/>
          <w:color w:val="000000"/>
          <w:sz w:val="20"/>
        </w:rPr>
        <w:t xml:space="preserve">月</w:t>
      </w:r>
      <w:r>
        <w:rPr>
          <w:rFonts w:ascii="Microsoft New Tai Lue" w:hAnsi="Microsoft New Tai Lue" w:eastAsia="Microsoft New Tai Lue" w:cs="Microsoft New Tai Lue"/>
          <w:color w:val="000000"/>
          <w:sz w:val="20"/>
          <w:u w:val="single"/>
        </w:rPr>
        <w:t xml:space="preserve">    </w:t>
      </w:r>
      <w:r>
        <w:rPr>
          <w:rFonts w:ascii="SimSun" w:hAnsi="SimSun" w:eastAsia="SimSun" w:cs="SimSun"/>
          <w:color w:val="000000"/>
          <w:sz w:val="20"/>
        </w:rPr>
        <w:t xml:space="preserve">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技术方案及服务承诺应根据采购人对项目的要求、评标标准的要求及项目本身的特点编写，内容应包括但不限于以下内容：详见评分标准</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37"/>
        <w:gridCol w:w="1129"/>
        <w:gridCol w:w="805"/>
        <w:gridCol w:w="837"/>
        <w:gridCol w:w="1205"/>
        <w:gridCol w:w="913"/>
        <w:gridCol w:w="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中小企业声明函（货物）</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（产品名称1）</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color w:val="000000"/>
          <w:sz w:val="21"/>
          <w:u w:val="single"/>
        </w:rPr>
        <w:t xml:space="preserve">（厂名）</w:t>
      </w:r>
      <w:r>
        <w:rPr>
          <w:rFonts w:ascii="SimSun" w:hAnsi="SimSun" w:eastAsia="SimSun" w:cs="SimSun"/>
          <w:color w:val="000000"/>
          <w:sz w:val="18"/>
          <w:vertAlign w:val="superscript"/>
        </w:rPr>
        <w:t xml:space="preserve">2</w:t>
      </w:r>
      <w:r>
        <w:rPr>
          <w:rFonts w:ascii="SimSun" w:hAnsi="SimSun" w:eastAsia="SimSun" w:cs="SimSun"/>
          <w:color w:val="000000"/>
          <w:sz w:val="21"/>
        </w:rPr>
        <w:t xml:space="preserve">，厂址为</w:t>
      </w:r>
      <w:r>
        <w:rPr>
          <w:rFonts w:ascii="SimSun" w:hAnsi="SimSun" w:eastAsia="SimSun" w:cs="SimSun"/>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的中国境内生产的组件成本占比≥</w:t>
      </w:r>
      <w:r>
        <w:rPr>
          <w:rFonts w:ascii="SimSun" w:hAnsi="SimSun" w:eastAsia="SimSun" w:cs="SimSun"/>
          <w:color w:val="000000"/>
          <w:sz w:val="21"/>
          <w:u w:val="single"/>
        </w:rPr>
        <w:t xml:space="preserve">  /  </w:t>
      </w:r>
      <w:r>
        <w:rPr>
          <w:rFonts w:ascii="SimSun" w:hAnsi="SimSun" w:eastAsia="SimSun" w:cs="SimSun"/>
          <w:color w:val="000000"/>
          <w:sz w:val="18"/>
          <w:vertAlign w:val="superscript"/>
        </w:rPr>
        <w:t xml:space="preserve">3</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的</w:t>
      </w:r>
      <w:r>
        <w:rPr>
          <w:rFonts w:ascii="SimSun" w:hAnsi="SimSun" w:eastAsia="SimSun" w:cs="SimSun"/>
          <w:color w:val="000000"/>
          <w:sz w:val="21"/>
          <w:u w:val="single"/>
        </w:rPr>
        <w:t xml:space="preserve">  /  </w:t>
      </w:r>
      <w:r>
        <w:rPr>
          <w:rFonts w:ascii="SimSun" w:hAnsi="SimSun" w:eastAsia="SimSun" w:cs="SimSun"/>
          <w:color w:val="000000"/>
          <w:sz w:val="18"/>
          <w:vertAlign w:val="superscript"/>
        </w:rPr>
        <w:t xml:space="preserve">4</w:t>
      </w:r>
      <w:r>
        <w:rPr>
          <w:rFonts w:ascii="SimSun" w:hAnsi="SimSun" w:eastAsia="SimSun" w:cs="SimSun"/>
          <w:color w:val="000000"/>
          <w:sz w:val="21"/>
        </w:rPr>
        <w:t xml:space="preserve">在中国境内生产。</w:t>
      </w:r>
      <w:r>
        <w:rPr>
          <w:rFonts w:ascii="SimSun" w:hAnsi="SimSun" w:eastAsia="SimSun" w:cs="SimSun"/>
          <w:color w:val="000000"/>
          <w:sz w:val="21"/>
          <w:u w:val="single"/>
        </w:rPr>
        <w:t xml:space="preserve">  /  </w:t>
      </w:r>
      <w:r>
        <w:rPr>
          <w:rFonts w:ascii="SimSun" w:hAnsi="SimSun" w:eastAsia="SimSun" w:cs="SimSun"/>
          <w:color w:val="000000"/>
          <w:sz w:val="21"/>
        </w:rPr>
        <w:t xml:space="preserve">的</w:t>
      </w:r>
      <w:r>
        <w:rPr>
          <w:rFonts w:ascii="SimSun" w:hAnsi="SimSun" w:eastAsia="SimSun" w:cs="SimSun"/>
          <w:color w:val="000000"/>
          <w:sz w:val="21"/>
          <w:u w:val="single"/>
        </w:rPr>
        <w:t xml:space="preserve">  /  </w:t>
      </w:r>
      <w:r>
        <w:rPr>
          <w:rFonts w:ascii="SimSun" w:hAnsi="SimSun" w:eastAsia="SimSun" w:cs="SimSun"/>
          <w:color w:val="000000"/>
          <w:sz w:val="18"/>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的中国境内生产的组件成本占比≥</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的</w:t>
      </w:r>
      <w:r>
        <w:rPr>
          <w:rFonts w:ascii="SimSun" w:hAnsi="SimSun" w:eastAsia="SimSun" w:cs="SimSun"/>
          <w:color w:val="000000"/>
          <w:sz w:val="21"/>
          <w:u w:val="single"/>
        </w:rPr>
        <w:t xml:space="preserve">  /  </w:t>
      </w:r>
      <w:r>
        <w:rPr>
          <w:rFonts w:ascii="SimSun" w:hAnsi="SimSun" w:eastAsia="SimSun" w:cs="SimSun"/>
          <w:color w:val="000000"/>
          <w:sz w:val="21"/>
        </w:rPr>
        <w:t xml:space="preserve">在中国境内生产。</w:t>
      </w:r>
      <w:r>
        <w:rPr>
          <w:rFonts w:ascii="SimSun" w:hAnsi="SimSun" w:eastAsia="SimSun" w:cs="SimSun"/>
          <w:color w:val="000000"/>
          <w:sz w:val="21"/>
          <w:u w:val="single"/>
        </w:rPr>
        <w:t xml:space="preserve">  /  </w:t>
      </w:r>
      <w:r>
        <w:rPr>
          <w:rFonts w:ascii="SimSun" w:hAnsi="SimSun" w:eastAsia="SimSun" w:cs="SimSun"/>
          <w:color w:val="000000"/>
          <w:sz w:val="21"/>
        </w:rPr>
        <w:t xml:space="preserve">的</w:t>
      </w:r>
      <w:r>
        <w:rPr>
          <w:rFonts w:ascii="SimSun" w:hAnsi="SimSun" w:eastAsia="SimSun" w:cs="SimSun"/>
          <w:color w:val="000000"/>
          <w:sz w:val="21"/>
          <w:u w:val="single"/>
        </w:rPr>
        <w:t xml:space="preserve">  /  </w:t>
      </w:r>
      <w:r>
        <w:rPr>
          <w:rFonts w:ascii="SimSun" w:hAnsi="SimSun" w:eastAsia="SimSun" w:cs="SimSun"/>
          <w:color w:val="000000"/>
          <w:sz w:val="21"/>
        </w:rPr>
        <w:t xml:space="preserve">在中国境内完成。</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本采购包中提供的符合本国产品标准的产品成本之和占该采购包提供的全部产品成本之和的比例为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公司（单位）名称（加盖CA电子公章）：　</w:t>
      </w:r>
      <w:r/>
    </w:p>
    <w:p>
      <w:pPr>
        <w:ind w:left="0" w:right="0" w:firstLine="420"/>
        <w:jc w:val="center"/>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__________________</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42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江苏泰鼎工程咨询有限公司：</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）具有履行合同所必需的设备和专业技术能力（供应商根据履行采购项目合同需要提供履行合同所必需的设备和专业技术能力的证明材料或加盖公章的承诺函）；</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承诺函</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（一）本单位郑重承诺满足以下要求：</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1.投标人单位负责人为同一人或者存在直接控股、管理关系的不同投标人，不得同时参加本项目的采购活动。</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2.凡为采购项目提供整体设计、规范编制或者项目管理、监理、检测等服务的投标人，不得再参加本项目的采购活动。</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（二）本单位郑重承诺，我单位无以下不良信用记录情形：</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1.被人民法院列入失信被执行人；</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2.被税务部门列入重大税收违法失信主体；</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3.被政府采购监管部门列入政府采购严重违法失信行为记录名单；</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4.不符合《政府采购法》第二十二条规定的条件。</w:t>
      </w:r>
      <w:r/>
    </w:p>
    <w:p>
      <w:pPr>
        <w:ind w:left="0" w:right="0" w:firstLine="420"/>
        <w:spacing w:before="240" w:after="4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我单位已就上述不良信用行为按照招标文件中投标人须知规定进行了查询。我单位承诺：合同签订前，若我单位具有不良信用记录情形，贵方可取消我单位中标资格或者不授予合同，所有责任由我单位自行承担。同时，我单位愿意无条件接受监管部门的调查处理。</w:t>
      </w:r>
      <w:r/>
    </w:p>
    <w:p>
      <w:pPr>
        <w:ind w:left="0" w:right="0" w:firstLine="400"/>
        <w:spacing w:before="240" w:after="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990"/>
        <w:spacing w:before="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投标人名称（公章）：</w:t>
      </w:r>
      <w:r>
        <w:rPr>
          <w:rFonts w:ascii="Microsoft New Tai Lue" w:hAnsi="Microsoft New Tai Lue" w:eastAsia="Microsoft New Tai Lue" w:cs="Microsoft New Tai Lue"/>
          <w:color w:val="000000"/>
          <w:sz w:val="20"/>
          <w:u w:val="single"/>
        </w:rPr>
        <w:t xml:space="preserve">  </w:t>
        <w:tab/>
        <w:t xml:space="preserve">     </w:t>
        <w:tab/>
        <w:t xml:space="preserve">         </w:t>
      </w:r>
      <w:r/>
    </w:p>
    <w:p>
      <w:pPr>
        <w:ind w:left="0" w:right="0" w:firstLine="0"/>
        <w:spacing w:before="0" w:after="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0"/>
        </w:rPr>
        <w:t xml:space="preserve">                                     </w:t>
      </w:r>
      <w:r>
        <w:rPr>
          <w:rFonts w:ascii="SimSun" w:hAnsi="SimSun" w:eastAsia="SimSun" w:cs="SimSun"/>
          <w:color w:val="000000"/>
          <w:sz w:val="20"/>
        </w:rPr>
        <w:t xml:space="preserve">日期：</w:t>
      </w:r>
      <w:r>
        <w:rPr>
          <w:rFonts w:ascii="Microsoft New Tai Lue" w:hAnsi="Microsoft New Tai Lue" w:eastAsia="Microsoft New Tai Lue" w:cs="Microsoft New Tai Lue"/>
          <w:color w:val="000000"/>
          <w:sz w:val="20"/>
        </w:rPr>
        <w:t xml:space="preserve">______</w:t>
      </w:r>
      <w:r>
        <w:rPr>
          <w:rFonts w:ascii="SimSun" w:hAnsi="SimSun" w:eastAsia="SimSun" w:cs="SimSun"/>
          <w:color w:val="000000"/>
          <w:sz w:val="20"/>
        </w:rPr>
        <w:t xml:space="preserve">年</w:t>
      </w:r>
      <w:r>
        <w:rPr>
          <w:rFonts w:ascii="Microsoft New Tai Lue" w:hAnsi="Microsoft New Tai Lue" w:eastAsia="Microsoft New Tai Lue" w:cs="Microsoft New Tai Lue"/>
          <w:color w:val="000000"/>
          <w:sz w:val="20"/>
          <w:u w:val="single"/>
        </w:rPr>
        <w:t xml:space="preserve">    </w:t>
      </w:r>
      <w:r>
        <w:rPr>
          <w:rFonts w:ascii="SimSun" w:hAnsi="SimSun" w:eastAsia="SimSun" w:cs="SimSun"/>
          <w:color w:val="000000"/>
          <w:sz w:val="20"/>
        </w:rPr>
        <w:t xml:space="preserve">月</w:t>
      </w:r>
      <w:r>
        <w:rPr>
          <w:rFonts w:ascii="Microsoft New Tai Lue" w:hAnsi="Microsoft New Tai Lue" w:eastAsia="Microsoft New Tai Lue" w:cs="Microsoft New Tai Lue"/>
          <w:color w:val="000000"/>
          <w:sz w:val="20"/>
          <w:u w:val="single"/>
        </w:rPr>
        <w:t xml:space="preserve">    </w:t>
      </w:r>
      <w:r>
        <w:rPr>
          <w:rFonts w:ascii="SimSun" w:hAnsi="SimSun" w:eastAsia="SimSun" w:cs="SimSun"/>
          <w:color w:val="000000"/>
          <w:sz w:val="20"/>
        </w:rPr>
        <w:t xml:space="preserve">日</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FangSong">
    <w:panose1 w:val="02010609060101010101"/>
  </w:font>
  <w:font w:name="Cambria Math">
    <w:panose1 w:val="02040503050406030204"/>
  </w:font>
  <w:font w:name="Plotter">
    <w:panose1 w:val="020B0503020202020204"/>
  </w:font>
  <w:font w:name="Courier New">
    <w:panose1 w:val="02070309020205020404"/>
  </w:font>
  <w:font w:name="SimSun">
    <w:panose1 w:val="02010600030101010101"/>
  </w:font>
  <w:font w:name="宋体">
    <w:panose1 w:val="02010600030101010101"/>
  </w:font>
  <w:font w:name="Microsoft New Tai Lue">
    <w:panose1 w:val="020B0502040204020203"/>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8"/>
    <w:link w:val="599"/>
    <w:uiPriority w:val="9"/>
    <w:rPr>
      <w:rFonts w:ascii="Arial" w:hAnsi="Arial" w:eastAsia="Arial" w:cs="Arial"/>
      <w:sz w:val="40"/>
      <w:szCs w:val="40"/>
    </w:rPr>
  </w:style>
  <w:style w:type="character" w:styleId="15">
    <w:name w:val="Heading 2 Char"/>
    <w:basedOn w:val="608"/>
    <w:link w:val="600"/>
    <w:uiPriority w:val="9"/>
    <w:rPr>
      <w:rFonts w:ascii="Arial" w:hAnsi="Arial" w:eastAsia="Arial" w:cs="Arial"/>
      <w:sz w:val="34"/>
    </w:rPr>
  </w:style>
  <w:style w:type="character" w:styleId="17">
    <w:name w:val="Heading 3 Char"/>
    <w:basedOn w:val="608"/>
    <w:link w:val="601"/>
    <w:uiPriority w:val="9"/>
    <w:rPr>
      <w:rFonts w:ascii="Arial" w:hAnsi="Arial" w:eastAsia="Arial" w:cs="Arial"/>
      <w:sz w:val="30"/>
      <w:szCs w:val="30"/>
    </w:rPr>
  </w:style>
  <w:style w:type="character" w:styleId="19">
    <w:name w:val="Heading 4 Char"/>
    <w:basedOn w:val="608"/>
    <w:link w:val="602"/>
    <w:uiPriority w:val="9"/>
    <w:rPr>
      <w:rFonts w:ascii="Arial" w:hAnsi="Arial" w:eastAsia="Arial" w:cs="Arial"/>
      <w:b/>
      <w:bCs/>
      <w:sz w:val="26"/>
      <w:szCs w:val="26"/>
    </w:rPr>
  </w:style>
  <w:style w:type="character" w:styleId="21">
    <w:name w:val="Heading 5 Char"/>
    <w:basedOn w:val="608"/>
    <w:link w:val="603"/>
    <w:uiPriority w:val="9"/>
    <w:rPr>
      <w:rFonts w:ascii="Arial" w:hAnsi="Arial" w:eastAsia="Arial" w:cs="Arial"/>
      <w:b/>
      <w:bCs/>
      <w:sz w:val="24"/>
      <w:szCs w:val="24"/>
    </w:rPr>
  </w:style>
  <w:style w:type="character" w:styleId="23">
    <w:name w:val="Heading 6 Char"/>
    <w:basedOn w:val="608"/>
    <w:link w:val="604"/>
    <w:uiPriority w:val="9"/>
    <w:rPr>
      <w:rFonts w:ascii="Arial" w:hAnsi="Arial" w:eastAsia="Arial" w:cs="Arial"/>
      <w:b/>
      <w:bCs/>
      <w:sz w:val="22"/>
      <w:szCs w:val="22"/>
    </w:rPr>
  </w:style>
  <w:style w:type="character" w:styleId="25">
    <w:name w:val="Heading 7 Char"/>
    <w:basedOn w:val="608"/>
    <w:link w:val="605"/>
    <w:uiPriority w:val="9"/>
    <w:rPr>
      <w:rFonts w:ascii="Arial" w:hAnsi="Arial" w:eastAsia="Arial" w:cs="Arial"/>
      <w:b/>
      <w:bCs/>
      <w:i/>
      <w:iCs/>
      <w:sz w:val="22"/>
      <w:szCs w:val="22"/>
    </w:rPr>
  </w:style>
  <w:style w:type="character" w:styleId="27">
    <w:name w:val="Heading 8 Char"/>
    <w:basedOn w:val="608"/>
    <w:link w:val="606"/>
    <w:uiPriority w:val="9"/>
    <w:rPr>
      <w:rFonts w:ascii="Arial" w:hAnsi="Arial" w:eastAsia="Arial" w:cs="Arial"/>
      <w:i/>
      <w:iCs/>
      <w:sz w:val="22"/>
      <w:szCs w:val="22"/>
    </w:rPr>
  </w:style>
  <w:style w:type="character" w:styleId="29">
    <w:name w:val="Heading 9 Char"/>
    <w:basedOn w:val="608"/>
    <w:link w:val="607"/>
    <w:uiPriority w:val="9"/>
    <w:rPr>
      <w:rFonts w:ascii="Arial" w:hAnsi="Arial" w:eastAsia="Arial" w:cs="Arial"/>
      <w:i/>
      <w:iCs/>
      <w:sz w:val="21"/>
      <w:szCs w:val="21"/>
    </w:rPr>
  </w:style>
  <w:style w:type="character" w:styleId="34">
    <w:name w:val="Title Char"/>
    <w:basedOn w:val="608"/>
    <w:link w:val="629"/>
    <w:uiPriority w:val="10"/>
    <w:rPr>
      <w:sz w:val="48"/>
      <w:szCs w:val="48"/>
    </w:rPr>
  </w:style>
  <w:style w:type="character" w:styleId="36">
    <w:name w:val="Subtitle Char"/>
    <w:basedOn w:val="608"/>
    <w:link w:val="623"/>
    <w:uiPriority w:val="11"/>
    <w:rPr>
      <w:sz w:val="24"/>
      <w:szCs w:val="24"/>
    </w:rPr>
  </w:style>
  <w:style w:type="character" w:styleId="38">
    <w:name w:val="Quote Char"/>
    <w:link w:val="649"/>
    <w:uiPriority w:val="29"/>
    <w:rPr>
      <w:i/>
    </w:rPr>
  </w:style>
  <w:style w:type="character" w:styleId="40">
    <w:name w:val="Intense Quote Char"/>
    <w:link w:val="651"/>
    <w:uiPriority w:val="30"/>
    <w:rPr>
      <w:i/>
    </w:rPr>
  </w:style>
  <w:style w:type="character" w:styleId="42">
    <w:name w:val="Header Char"/>
    <w:basedOn w:val="608"/>
    <w:link w:val="620"/>
    <w:uiPriority w:val="99"/>
  </w:style>
  <w:style w:type="character" w:styleId="46">
    <w:name w:val="Caption Char"/>
    <w:basedOn w:val="612"/>
    <w:link w:val="619"/>
    <w:uiPriority w:val="99"/>
  </w:style>
  <w:style w:type="table" w:styleId="49">
    <w:name w:val="Plain Table 1"/>
    <w:basedOn w:val="6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24"/>
    <w:uiPriority w:val="99"/>
    <w:rPr>
      <w:sz w:val="18"/>
    </w:rPr>
  </w:style>
  <w:style w:type="character" w:styleId="178">
    <w:name w:val="Endnote Text Char"/>
    <w:link w:val="617"/>
    <w:uiPriority w:val="99"/>
    <w:rPr>
      <w:sz w:val="20"/>
    </w:rPr>
  </w:style>
  <w:style w:type="paragraph" w:styleId="189">
    <w:name w:val="TOC Heading"/>
    <w:uiPriority w:val="39"/>
    <w:unhideWhenUsed/>
  </w:style>
  <w:style w:type="paragraph" w:styleId="598" w:default="1">
    <w:name w:val="Normal"/>
    <w:qFormat/>
  </w:style>
  <w:style w:type="paragraph" w:styleId="599">
    <w:name w:val="Heading 1"/>
    <w:link w:val="636"/>
    <w:uiPriority w:val="9"/>
    <w:qFormat/>
    <w:pPr>
      <w:keepLines/>
      <w:keepNext/>
      <w:spacing w:before="480" w:after="200"/>
      <w:outlineLvl w:val="0"/>
    </w:pPr>
    <w:rPr>
      <w:rFonts w:ascii="Arial" w:hAnsi="Arial" w:eastAsia="Arial" w:cs="Arial"/>
      <w:sz w:val="40"/>
      <w:szCs w:val="40"/>
    </w:rPr>
  </w:style>
  <w:style w:type="paragraph" w:styleId="600">
    <w:name w:val="Heading 2"/>
    <w:link w:val="637"/>
    <w:uiPriority w:val="9"/>
    <w:unhideWhenUsed/>
    <w:qFormat/>
    <w:pPr>
      <w:keepLines/>
      <w:keepNext/>
      <w:spacing w:before="360" w:after="200"/>
      <w:outlineLvl w:val="1"/>
    </w:pPr>
    <w:rPr>
      <w:rFonts w:ascii="Arial" w:hAnsi="Arial" w:eastAsia="Arial" w:cs="Arial"/>
      <w:sz w:val="34"/>
    </w:rPr>
  </w:style>
  <w:style w:type="paragraph" w:styleId="601">
    <w:name w:val="Heading 3"/>
    <w:link w:val="638"/>
    <w:uiPriority w:val="9"/>
    <w:unhideWhenUsed/>
    <w:qFormat/>
    <w:pPr>
      <w:keepLines/>
      <w:keepNext/>
      <w:spacing w:before="320" w:after="200"/>
      <w:outlineLvl w:val="2"/>
    </w:pPr>
    <w:rPr>
      <w:rFonts w:ascii="Arial" w:hAnsi="Arial" w:eastAsia="Arial" w:cs="Arial"/>
      <w:sz w:val="30"/>
      <w:szCs w:val="30"/>
    </w:rPr>
  </w:style>
  <w:style w:type="paragraph" w:styleId="602">
    <w:name w:val="Heading 4"/>
    <w:link w:val="639"/>
    <w:uiPriority w:val="9"/>
    <w:unhideWhenUsed/>
    <w:qFormat/>
    <w:pPr>
      <w:keepLines/>
      <w:keepNext/>
      <w:spacing w:before="320" w:after="200"/>
      <w:outlineLvl w:val="3"/>
    </w:pPr>
    <w:rPr>
      <w:rFonts w:ascii="Arial" w:hAnsi="Arial" w:eastAsia="Arial" w:cs="Arial"/>
      <w:b/>
      <w:bCs/>
      <w:sz w:val="26"/>
      <w:szCs w:val="26"/>
    </w:rPr>
  </w:style>
  <w:style w:type="paragraph" w:styleId="603">
    <w:name w:val="Heading 5"/>
    <w:link w:val="640"/>
    <w:uiPriority w:val="9"/>
    <w:unhideWhenUsed/>
    <w:qFormat/>
    <w:pPr>
      <w:keepLines/>
      <w:keepNext/>
      <w:spacing w:before="320" w:after="200"/>
      <w:outlineLvl w:val="4"/>
    </w:pPr>
    <w:rPr>
      <w:rFonts w:ascii="Arial" w:hAnsi="Arial" w:eastAsia="Arial" w:cs="Arial"/>
      <w:b/>
      <w:bCs/>
      <w:sz w:val="24"/>
      <w:szCs w:val="24"/>
    </w:rPr>
  </w:style>
  <w:style w:type="paragraph" w:styleId="604">
    <w:name w:val="Heading 6"/>
    <w:link w:val="641"/>
    <w:uiPriority w:val="9"/>
    <w:unhideWhenUsed/>
    <w:qFormat/>
    <w:pPr>
      <w:keepLines/>
      <w:keepNext/>
      <w:spacing w:before="320" w:after="200"/>
      <w:outlineLvl w:val="5"/>
    </w:pPr>
    <w:rPr>
      <w:rFonts w:ascii="Arial" w:hAnsi="Arial" w:eastAsia="Arial" w:cs="Arial"/>
      <w:b/>
      <w:bCs/>
      <w:sz w:val="22"/>
      <w:szCs w:val="22"/>
    </w:rPr>
  </w:style>
  <w:style w:type="paragraph" w:styleId="605">
    <w:name w:val="Heading 7"/>
    <w:link w:val="642"/>
    <w:uiPriority w:val="9"/>
    <w:unhideWhenUsed/>
    <w:qFormat/>
    <w:pPr>
      <w:keepLines/>
      <w:keepNext/>
      <w:spacing w:before="320" w:after="200"/>
      <w:outlineLvl w:val="6"/>
    </w:pPr>
    <w:rPr>
      <w:rFonts w:ascii="Arial" w:hAnsi="Arial" w:eastAsia="Arial" w:cs="Arial"/>
      <w:b/>
      <w:bCs/>
      <w:i/>
      <w:iCs/>
      <w:sz w:val="22"/>
      <w:szCs w:val="22"/>
    </w:rPr>
  </w:style>
  <w:style w:type="paragraph" w:styleId="606">
    <w:name w:val="Heading 8"/>
    <w:link w:val="643"/>
    <w:uiPriority w:val="9"/>
    <w:unhideWhenUsed/>
    <w:qFormat/>
    <w:pPr>
      <w:keepLines/>
      <w:keepNext/>
      <w:spacing w:before="320" w:after="200"/>
      <w:outlineLvl w:val="7"/>
    </w:pPr>
    <w:rPr>
      <w:rFonts w:ascii="Arial" w:hAnsi="Arial" w:eastAsia="Arial" w:cs="Arial"/>
      <w:i/>
      <w:iCs/>
      <w:sz w:val="22"/>
      <w:szCs w:val="22"/>
    </w:rPr>
  </w:style>
  <w:style w:type="paragraph" w:styleId="607">
    <w:name w:val="Heading 9"/>
    <w:link w:val="644"/>
    <w:uiPriority w:val="9"/>
    <w:unhideWhenUsed/>
    <w:qFormat/>
    <w:pPr>
      <w:keepLines/>
      <w:keepNext/>
      <w:spacing w:before="320" w:after="200"/>
      <w:outlineLvl w:val="8"/>
    </w:pPr>
    <w:rPr>
      <w:rFonts w:ascii="Arial" w:hAnsi="Arial" w:eastAsia="Arial" w:cs="Arial"/>
      <w:i/>
      <w:iCs/>
      <w:sz w:val="21"/>
      <w:szCs w:val="21"/>
    </w:rPr>
  </w:style>
  <w:style w:type="character" w:styleId="608" w:default="1">
    <w:name w:val="Default Paragraph Font"/>
    <w:uiPriority w:val="1"/>
    <w:semiHidden/>
    <w:unhideWhenUsed/>
  </w:style>
  <w:style w:type="table" w:styleId="609" w:default="1">
    <w:name w:val="Normal Table"/>
    <w:uiPriority w:val="99"/>
    <w:semiHidden/>
    <w:unhideWhenUsed/>
    <w:tblPr>
      <w:tblInd w:w="0" w:type="dxa"/>
      <w:tblCellMar>
        <w:left w:w="108" w:type="dxa"/>
        <w:top w:w="0" w:type="dxa"/>
        <w:right w:w="108" w:type="dxa"/>
        <w:bottom w:w="0" w:type="dxa"/>
      </w:tblCellMar>
    </w:tblPr>
  </w:style>
  <w:style w:type="numbering" w:styleId="610" w:default="1">
    <w:name w:val="No List"/>
    <w:uiPriority w:val="99"/>
    <w:semiHidden/>
    <w:unhideWhenUsed/>
  </w:style>
  <w:style w:type="paragraph" w:styleId="611">
    <w:name w:val="toc 7"/>
    <w:uiPriority w:val="39"/>
    <w:unhideWhenUsed/>
    <w:qFormat/>
    <w:pPr>
      <w:ind w:left="1701"/>
      <w:spacing w:after="57"/>
    </w:pPr>
  </w:style>
  <w:style w:type="paragraph" w:styleId="612">
    <w:name w:val="Caption"/>
    <w:uiPriority w:val="35"/>
    <w:semiHidden/>
    <w:unhideWhenUsed/>
    <w:qFormat/>
    <w:pPr>
      <w:spacing w:line="276" w:lineRule="auto"/>
    </w:pPr>
    <w:rPr>
      <w:b/>
      <w:bCs/>
      <w:color w:val="4f81bd" w:themeColor="accent1"/>
      <w:sz w:val="18"/>
      <w:szCs w:val="18"/>
    </w:rPr>
  </w:style>
  <w:style w:type="paragraph" w:styleId="613">
    <w:name w:val="annotation text"/>
    <w:basedOn w:val="598"/>
    <w:link w:val="786"/>
    <w:uiPriority w:val="99"/>
    <w:semiHidden/>
    <w:unhideWhenUsed/>
  </w:style>
  <w:style w:type="paragraph" w:styleId="614">
    <w:name w:val="toc 5"/>
    <w:uiPriority w:val="39"/>
    <w:unhideWhenUsed/>
    <w:qFormat/>
    <w:pPr>
      <w:ind w:left="1134"/>
      <w:spacing w:after="57"/>
    </w:pPr>
  </w:style>
  <w:style w:type="paragraph" w:styleId="615">
    <w:name w:val="toc 3"/>
    <w:uiPriority w:val="39"/>
    <w:unhideWhenUsed/>
    <w:pPr>
      <w:ind w:left="567"/>
      <w:spacing w:after="57"/>
    </w:pPr>
  </w:style>
  <w:style w:type="paragraph" w:styleId="616">
    <w:name w:val="toc 8"/>
    <w:uiPriority w:val="39"/>
    <w:unhideWhenUsed/>
    <w:pPr>
      <w:ind w:left="1984"/>
      <w:spacing w:after="57"/>
    </w:pPr>
  </w:style>
  <w:style w:type="paragraph" w:styleId="617">
    <w:name w:val="endnote text"/>
    <w:link w:val="782"/>
    <w:uiPriority w:val="99"/>
    <w:semiHidden/>
    <w:unhideWhenUsed/>
  </w:style>
  <w:style w:type="paragraph" w:styleId="618">
    <w:name w:val="Balloon Text"/>
    <w:basedOn w:val="598"/>
    <w:link w:val="788"/>
    <w:uiPriority w:val="99"/>
    <w:semiHidden/>
    <w:unhideWhenUsed/>
    <w:rPr>
      <w:sz w:val="18"/>
      <w:szCs w:val="18"/>
    </w:rPr>
  </w:style>
  <w:style w:type="paragraph" w:styleId="619">
    <w:name w:val="Footer"/>
    <w:link w:val="655"/>
    <w:uiPriority w:val="99"/>
    <w:unhideWhenUsed/>
    <w:pPr>
      <w:tabs>
        <w:tab w:val="center" w:pos="7143" w:leader="none"/>
        <w:tab w:val="right" w:pos="14287" w:leader="none"/>
      </w:tabs>
    </w:pPr>
  </w:style>
  <w:style w:type="paragraph" w:styleId="620">
    <w:name w:val="Header"/>
    <w:link w:val="653"/>
    <w:uiPriority w:val="99"/>
    <w:unhideWhenUsed/>
    <w:pPr>
      <w:tabs>
        <w:tab w:val="center" w:pos="7143" w:leader="none"/>
        <w:tab w:val="right" w:pos="14287" w:leader="none"/>
      </w:tabs>
    </w:pPr>
  </w:style>
  <w:style w:type="paragraph" w:styleId="621">
    <w:name w:val="toc 1"/>
    <w:uiPriority w:val="39"/>
    <w:unhideWhenUsed/>
    <w:pPr>
      <w:spacing w:after="57"/>
    </w:pPr>
  </w:style>
  <w:style w:type="paragraph" w:styleId="622">
    <w:name w:val="toc 4"/>
    <w:uiPriority w:val="39"/>
    <w:unhideWhenUsed/>
    <w:pPr>
      <w:ind w:left="850"/>
      <w:spacing w:after="57"/>
    </w:pPr>
  </w:style>
  <w:style w:type="paragraph" w:styleId="623">
    <w:name w:val="Subtitle"/>
    <w:link w:val="648"/>
    <w:uiPriority w:val="11"/>
    <w:qFormat/>
    <w:pPr>
      <w:spacing w:before="200" w:after="200"/>
    </w:pPr>
    <w:rPr>
      <w:sz w:val="24"/>
      <w:szCs w:val="24"/>
    </w:rPr>
  </w:style>
  <w:style w:type="paragraph" w:styleId="624">
    <w:name w:val="footnote text"/>
    <w:link w:val="781"/>
    <w:uiPriority w:val="99"/>
    <w:semiHidden/>
    <w:unhideWhenUsed/>
    <w:pPr>
      <w:spacing w:after="40"/>
    </w:pPr>
    <w:rPr>
      <w:sz w:val="18"/>
    </w:rPr>
  </w:style>
  <w:style w:type="paragraph" w:styleId="625">
    <w:name w:val="toc 6"/>
    <w:uiPriority w:val="39"/>
    <w:unhideWhenUsed/>
    <w:pPr>
      <w:ind w:left="1417"/>
      <w:spacing w:after="57"/>
    </w:pPr>
  </w:style>
  <w:style w:type="paragraph" w:styleId="626">
    <w:name w:val="table of figures"/>
    <w:uiPriority w:val="99"/>
    <w:unhideWhenUsed/>
  </w:style>
  <w:style w:type="paragraph" w:styleId="627">
    <w:name w:val="toc 2"/>
    <w:uiPriority w:val="39"/>
    <w:unhideWhenUsed/>
    <w:pPr>
      <w:ind w:left="283"/>
      <w:spacing w:after="57"/>
    </w:pPr>
  </w:style>
  <w:style w:type="paragraph" w:styleId="628">
    <w:name w:val="toc 9"/>
    <w:uiPriority w:val="39"/>
    <w:unhideWhenUsed/>
    <w:pPr>
      <w:ind w:left="2268"/>
      <w:spacing w:after="57"/>
    </w:pPr>
  </w:style>
  <w:style w:type="paragraph" w:styleId="629">
    <w:name w:val="Title"/>
    <w:link w:val="647"/>
    <w:uiPriority w:val="10"/>
    <w:qFormat/>
    <w:pPr>
      <w:contextualSpacing/>
      <w:spacing w:before="300" w:after="200"/>
    </w:pPr>
    <w:rPr>
      <w:sz w:val="48"/>
      <w:szCs w:val="48"/>
    </w:rPr>
  </w:style>
  <w:style w:type="paragraph" w:styleId="630">
    <w:name w:val="annotation subject"/>
    <w:basedOn w:val="613"/>
    <w:next w:val="613"/>
    <w:link w:val="787"/>
    <w:uiPriority w:val="99"/>
    <w:semiHidden/>
    <w:unhideWhenUsed/>
    <w:rPr>
      <w:b/>
      <w:bCs/>
    </w:rPr>
  </w:style>
  <w:style w:type="table" w:styleId="631">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2">
    <w:name w:val="endnote reference"/>
    <w:uiPriority w:val="99"/>
    <w:semiHidden/>
    <w:unhideWhenUsed/>
    <w:rPr>
      <w:vertAlign w:val="superscript"/>
    </w:rPr>
  </w:style>
  <w:style w:type="character" w:styleId="633">
    <w:name w:val="Hyperlink"/>
    <w:uiPriority w:val="99"/>
    <w:unhideWhenUsed/>
    <w:rPr>
      <w:color w:val="0000ff" w:themeColor="hyperlink"/>
      <w:u w:val="single"/>
    </w:rPr>
  </w:style>
  <w:style w:type="character" w:styleId="634">
    <w:name w:val="annotation reference"/>
    <w:basedOn w:val="608"/>
    <w:uiPriority w:val="99"/>
    <w:semiHidden/>
    <w:unhideWhenUsed/>
    <w:rPr>
      <w:sz w:val="21"/>
      <w:szCs w:val="21"/>
    </w:rPr>
  </w:style>
  <w:style w:type="character" w:styleId="635">
    <w:name w:val="footnote reference"/>
    <w:uiPriority w:val="99"/>
    <w:unhideWhenUsed/>
    <w:rPr>
      <w:vertAlign w:val="superscript"/>
    </w:rPr>
  </w:style>
  <w:style w:type="character" w:styleId="636" w:customStyle="1">
    <w:name w:val="标题 1 Char"/>
    <w:link w:val="599"/>
    <w:uiPriority w:val="9"/>
    <w:qFormat/>
    <w:rPr>
      <w:rFonts w:ascii="Arial" w:hAnsi="Arial" w:eastAsia="Arial" w:cs="Arial"/>
      <w:sz w:val="40"/>
      <w:szCs w:val="40"/>
    </w:rPr>
  </w:style>
  <w:style w:type="character" w:styleId="637" w:customStyle="1">
    <w:name w:val="标题 2 Char"/>
    <w:link w:val="600"/>
    <w:uiPriority w:val="9"/>
    <w:qFormat/>
    <w:rPr>
      <w:rFonts w:ascii="Arial" w:hAnsi="Arial" w:eastAsia="Arial" w:cs="Arial"/>
      <w:sz w:val="34"/>
    </w:rPr>
  </w:style>
  <w:style w:type="character" w:styleId="638" w:customStyle="1">
    <w:name w:val="标题 3 Char"/>
    <w:link w:val="601"/>
    <w:uiPriority w:val="9"/>
    <w:qFormat/>
    <w:rPr>
      <w:rFonts w:ascii="Arial" w:hAnsi="Arial" w:eastAsia="Arial" w:cs="Arial"/>
      <w:sz w:val="30"/>
      <w:szCs w:val="30"/>
    </w:rPr>
  </w:style>
  <w:style w:type="character" w:styleId="639" w:customStyle="1">
    <w:name w:val="标题 4 Char"/>
    <w:link w:val="602"/>
    <w:uiPriority w:val="9"/>
    <w:qFormat/>
    <w:rPr>
      <w:rFonts w:ascii="Arial" w:hAnsi="Arial" w:eastAsia="Arial" w:cs="Arial"/>
      <w:b/>
      <w:bCs/>
      <w:sz w:val="26"/>
      <w:szCs w:val="26"/>
    </w:rPr>
  </w:style>
  <w:style w:type="character" w:styleId="640" w:customStyle="1">
    <w:name w:val="标题 5 Char"/>
    <w:link w:val="603"/>
    <w:uiPriority w:val="9"/>
    <w:qFormat/>
    <w:rPr>
      <w:rFonts w:ascii="Arial" w:hAnsi="Arial" w:eastAsia="Arial" w:cs="Arial"/>
      <w:b/>
      <w:bCs/>
      <w:sz w:val="24"/>
      <w:szCs w:val="24"/>
    </w:rPr>
  </w:style>
  <w:style w:type="character" w:styleId="641" w:customStyle="1">
    <w:name w:val="标题 6 Char"/>
    <w:link w:val="604"/>
    <w:uiPriority w:val="9"/>
    <w:qFormat/>
    <w:rPr>
      <w:rFonts w:ascii="Arial" w:hAnsi="Arial" w:eastAsia="Arial" w:cs="Arial"/>
      <w:b/>
      <w:bCs/>
      <w:sz w:val="22"/>
      <w:szCs w:val="22"/>
    </w:rPr>
  </w:style>
  <w:style w:type="character" w:styleId="642" w:customStyle="1">
    <w:name w:val="标题 7 Char"/>
    <w:link w:val="605"/>
    <w:uiPriority w:val="9"/>
    <w:qFormat/>
    <w:rPr>
      <w:rFonts w:ascii="Arial" w:hAnsi="Arial" w:eastAsia="Arial" w:cs="Arial"/>
      <w:b/>
      <w:bCs/>
      <w:i/>
      <w:iCs/>
      <w:sz w:val="22"/>
      <w:szCs w:val="22"/>
    </w:rPr>
  </w:style>
  <w:style w:type="character" w:styleId="643" w:customStyle="1">
    <w:name w:val="标题 8 Char"/>
    <w:link w:val="606"/>
    <w:uiPriority w:val="9"/>
    <w:qFormat/>
    <w:rPr>
      <w:rFonts w:ascii="Arial" w:hAnsi="Arial" w:eastAsia="Arial" w:cs="Arial"/>
      <w:i/>
      <w:iCs/>
      <w:sz w:val="22"/>
      <w:szCs w:val="22"/>
    </w:rPr>
  </w:style>
  <w:style w:type="character" w:styleId="644" w:customStyle="1">
    <w:name w:val="标题 9 Char"/>
    <w:link w:val="607"/>
    <w:uiPriority w:val="9"/>
    <w:qFormat/>
    <w:rPr>
      <w:rFonts w:ascii="Arial" w:hAnsi="Arial" w:eastAsia="Arial" w:cs="Arial"/>
      <w:i/>
      <w:iCs/>
      <w:sz w:val="21"/>
      <w:szCs w:val="21"/>
    </w:rPr>
  </w:style>
  <w:style w:type="paragraph" w:styleId="645">
    <w:name w:val="List Paragraph"/>
    <w:uiPriority w:val="34"/>
    <w:qFormat/>
    <w:pPr>
      <w:contextualSpacing/>
      <w:ind w:left="720"/>
    </w:pPr>
  </w:style>
  <w:style w:type="paragraph" w:styleId="646">
    <w:name w:val="No Spacing"/>
    <w:uiPriority w:val="1"/>
    <w:qFormat/>
  </w:style>
  <w:style w:type="character" w:styleId="647" w:customStyle="1">
    <w:name w:val="标题 Char"/>
    <w:link w:val="629"/>
    <w:uiPriority w:val="10"/>
    <w:qFormat/>
    <w:rPr>
      <w:sz w:val="48"/>
      <w:szCs w:val="48"/>
    </w:rPr>
  </w:style>
  <w:style w:type="character" w:styleId="648" w:customStyle="1">
    <w:name w:val="副标题 Char"/>
    <w:link w:val="623"/>
    <w:uiPriority w:val="11"/>
    <w:qFormat/>
    <w:rPr>
      <w:sz w:val="24"/>
      <w:szCs w:val="24"/>
    </w:rPr>
  </w:style>
  <w:style w:type="paragraph" w:styleId="649">
    <w:name w:val="Quote"/>
    <w:link w:val="650"/>
    <w:uiPriority w:val="29"/>
    <w:qFormat/>
    <w:pPr>
      <w:ind w:left="720" w:right="720"/>
    </w:pPr>
    <w:rPr>
      <w:i/>
    </w:rPr>
  </w:style>
  <w:style w:type="character" w:styleId="650" w:customStyle="1">
    <w:name w:val="引用 Char"/>
    <w:link w:val="649"/>
    <w:uiPriority w:val="29"/>
    <w:qFormat/>
    <w:rPr>
      <w:i/>
    </w:rPr>
  </w:style>
  <w:style w:type="paragraph" w:styleId="651">
    <w:name w:val="Intense Quote"/>
    <w:link w:val="6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2" w:customStyle="1">
    <w:name w:val="明显引用 Char"/>
    <w:link w:val="651"/>
    <w:uiPriority w:val="30"/>
    <w:rPr>
      <w:i/>
    </w:rPr>
  </w:style>
  <w:style w:type="character" w:styleId="653" w:customStyle="1">
    <w:name w:val="页眉 Char"/>
    <w:link w:val="620"/>
    <w:uiPriority w:val="99"/>
  </w:style>
  <w:style w:type="character" w:styleId="654" w:customStyle="1">
    <w:name w:val="Footer Char"/>
    <w:uiPriority w:val="99"/>
  </w:style>
  <w:style w:type="character" w:styleId="655" w:customStyle="1">
    <w:name w:val="页脚 Char"/>
    <w:link w:val="619"/>
    <w:uiPriority w:val="99"/>
  </w:style>
  <w:style w:type="table" w:styleId="656"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657"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8"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9"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0"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1"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2"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63"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664"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5"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69"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70"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67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67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673"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5"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7"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4"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685"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6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687"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69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69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00"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01"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02"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3"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4"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07"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0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09"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4"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5"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17"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18"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19"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0"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21"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2"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3"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5"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6"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27"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28"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29"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6"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37"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38"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39"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0"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41"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42"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4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44"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4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46"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7"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748"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749"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750"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51"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52"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53"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4"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5"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56"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757"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59"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0"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61"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62"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63"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64"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5"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6"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67"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68"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6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70"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71"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2"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3"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4"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775"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6"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777"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7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7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0"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1" w:customStyle="1">
    <w:name w:val="脚注文本 Char"/>
    <w:link w:val="624"/>
    <w:uiPriority w:val="99"/>
    <w:qFormat/>
    <w:rPr>
      <w:sz w:val="18"/>
    </w:rPr>
  </w:style>
  <w:style w:type="character" w:styleId="782" w:customStyle="1">
    <w:name w:val="尾注文本 Char"/>
    <w:link w:val="617"/>
    <w:uiPriority w:val="99"/>
    <w:qFormat/>
    <w:rPr>
      <w:sz w:val="20"/>
    </w:rPr>
  </w:style>
  <w:style w:type="paragraph" w:styleId="783" w:customStyle="1">
    <w:name w:val="TOC 标题1"/>
    <w:uiPriority w:val="39"/>
    <w:unhideWhenUsed/>
    <w:qFormat/>
  </w:style>
  <w:style w:type="paragraph" w:styleId="784" w:customStyle="1">
    <w:name w:val="正文文本缩进1"/>
    <w:basedOn w:val="598"/>
    <w:next w:val="598"/>
    <w:unhideWhenUsed/>
    <w:qFormat/>
    <w:pPr>
      <w:ind w:left="420"/>
      <w:jc w:val="both"/>
      <w:spacing w:after="120"/>
      <w:widowControl w:val="off"/>
    </w:pPr>
    <w:rPr>
      <w:rFonts w:eastAsia="宋体"/>
      <w:sz w:val="21"/>
      <w:szCs w:val="24"/>
    </w:rPr>
  </w:style>
  <w:style w:type="paragraph" w:styleId="785" w:customStyle="1">
    <w:name w:val="纯文本2"/>
    <w:basedOn w:val="598"/>
    <w:qFormat/>
    <w:pPr>
      <w:ind w:firstLine="200"/>
      <w:jc w:val="both"/>
      <w:spacing w:after="160" w:line="360" w:lineRule="auto"/>
      <w:widowControl w:val="off"/>
    </w:pPr>
    <w:rPr>
      <w:rFonts w:ascii="宋体" w:hAnsi="Courier New" w:eastAsia="宋体"/>
    </w:rPr>
  </w:style>
  <w:style w:type="character" w:styleId="786" w:customStyle="1">
    <w:name w:val="批注文字 Char"/>
    <w:basedOn w:val="608"/>
    <w:link w:val="613"/>
    <w:uiPriority w:val="99"/>
    <w:semiHidden/>
    <w:qFormat/>
  </w:style>
  <w:style w:type="character" w:styleId="787" w:customStyle="1">
    <w:name w:val="批注主题 Char"/>
    <w:basedOn w:val="786"/>
    <w:link w:val="630"/>
    <w:uiPriority w:val="99"/>
    <w:semiHidden/>
    <w:rPr>
      <w:b/>
      <w:bCs/>
    </w:rPr>
  </w:style>
  <w:style w:type="character" w:styleId="788" w:customStyle="1">
    <w:name w:val="批注框文本 Char"/>
    <w:basedOn w:val="608"/>
    <w:link w:val="618"/>
    <w:uiPriority w:val="99"/>
    <w:semiHidden/>
    <w:qFormat/>
    <w:rPr>
      <w:sz w:val="18"/>
      <w:szCs w:val="18"/>
    </w:rPr>
  </w:style>
  <w:style w:type="paragraph" w:styleId="789" w:customStyle="1">
    <w:name w:val="普通(网站)1"/>
    <w:basedOn w:val="598"/>
    <w:uiPriority w:val="99"/>
    <w:qFormat/>
    <w:pPr>
      <w:widowControl w:val="off"/>
    </w:pPr>
    <w:rPr>
      <w:rFonts w:ascii="Plotter" w:hAnsi="Plotter" w:eastAsia="微软雅黑"/>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053977"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053978"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053979"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053980"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053981"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0539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99C09-1FDE-4F0F-AA0F-38126857B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肖金</cp:lastModifiedBy>
  <cp:revision>266</cp:revision>
  <dcterms:created xsi:type="dcterms:W3CDTF">2026-09-11T04:29:00Z</dcterms:created>
  <dcterms:modified xsi:type="dcterms:W3CDTF">2026-11-03T08:34:34Z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eyJoZGlkIjoiN2RiNThlNmM2ZGY2YTE3ZWU2OTkzMGZlNjk0NDJkM2EiLCJ1c2VySWQiOiI4NDg2NTkxNTcifQ==</vt:lpwstr>
  </property>
  <property fmtid="{D5CDD505-2E9C-101B-9397-08002B2CF9AE}" pid="3" name="KSOProductBuildVer">
    <vt:lpwstr>2052-12.1.0.28505</vt:lpwstr>
  </property>
  <property fmtid="{D5CDD505-2E9C-101B-9397-08002B2CF9AE}" pid="4" name="ICV">
    <vt:lpwstr>EBA2906EAB474F0B94B6E7F96E1FAE2A_12</vt:lpwstr>
  </property>
</Properties>
</file>