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tabs>
          <w:tab w:val="left" w:pos="4889" w:leader="none"/>
          <w:tab w:val="left" w:pos="7779" w:leader="none"/>
        </w:tabs>
        <w:pBdr>
          <w:top w:val="none" w:color="000000" w:sz="4" w:space="0"/>
          <w:left w:val="none" w:color="000000" w:sz="4" w:space="0"/>
          <w:bottom w:val="none" w:color="000000" w:sz="4" w:space="0"/>
          <w:right w:val="none" w:color="000000" w:sz="4" w:space="0"/>
        </w:pBdr>
      </w:pPr>
      <w:r>
        <w:rPr>
          <w:rFonts w:ascii="Calibri" w:hAnsi="Calibri" w:eastAsia="Calibri" w:cs="Calibri"/>
          <w:sz w:val="24"/>
        </w:rPr>
      </w:r>
      <w:r>
        <w:rPr>
          <w:rFonts w:ascii="Arial" w:hAnsi="Arial" w:eastAsia="Arial" w:cs="Arial"/>
          <w:b/>
          <w:color w:val="000000"/>
          <w:sz w:val="84"/>
        </w:rPr>
        <w:t xml:space="preserve">招 标 文 件</w:t>
        <w:tab/>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321"/>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32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1925" w:right="0" w:hanging="1606"/>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项目名称：盐城市公安局交通管理支队道路交通事故司法鉴定服务采购项目</w:t>
      </w:r>
      <w:r/>
    </w:p>
    <w:p>
      <w:pPr>
        <w:ind w:left="0" w:right="0" w:firstLine="32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项目编号：JSZC-320900-YCZH-G2026-0018</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盐城市公安局</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盐城市智禾项目管理有限公司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2026年10月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199" w:right="0" w:firstLine="199"/>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274" w:right="0" w:hanging="1018"/>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招标公告……………………………………3</w:t>
      </w:r>
      <w:r/>
    </w:p>
    <w:p>
      <w:pPr>
        <w:ind w:left="2274" w:right="0" w:hanging="1018"/>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投标人须知…………………………………6</w:t>
      </w:r>
      <w:r/>
    </w:p>
    <w:p>
      <w:pPr>
        <w:ind w:left="2274" w:right="0" w:hanging="1018"/>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合同文本……………………………………17</w:t>
      </w:r>
      <w:r/>
    </w:p>
    <w:p>
      <w:pPr>
        <w:ind w:left="2274" w:right="0" w:hanging="1018"/>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采购需求……………………………………23</w:t>
      </w:r>
      <w:r/>
    </w:p>
    <w:p>
      <w:pPr>
        <w:ind w:left="2274" w:right="0" w:hanging="1018"/>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评标方法与评标标准………………………34</w:t>
      </w:r>
      <w:r/>
    </w:p>
    <w:p>
      <w:pPr>
        <w:ind w:left="2274" w:right="0" w:hanging="1018"/>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投标文件格式………………………………38</w:t>
      </w:r>
      <w:r/>
    </w:p>
    <w:p>
      <w:pPr>
        <w:ind w:left="2160" w:right="0" w:hanging="1440"/>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r>
      <w:r>
        <w:rPr>
          <w:rFonts w:ascii="SimSun" w:hAnsi="SimSun" w:eastAsia="SimSun" w:cs="SimSun"/>
          <w:color w:val="000000"/>
          <w:sz w:val="44"/>
        </w:rPr>
        <w:t xml:space="preserve"> </w:t>
      </w:r>
      <w:r>
        <w:rPr>
          <w:rFonts w:ascii="SimHei" w:hAnsi="SimHei" w:eastAsia="SimHei" w:cs="SimHei"/>
          <w:color w:val="000000"/>
          <w:sz w:val="44"/>
        </w:rPr>
        <w:t xml:space="preserve"> </w:t>
      </w:r>
      <w:r>
        <w:rPr>
          <w:rFonts w:ascii="SimHei" w:hAnsi="SimHei" w:eastAsia="SimHei" w:cs="SimHei"/>
          <w:color w:val="000000"/>
          <w:sz w:val="44"/>
        </w:rPr>
        <w:t xml:space="preserve">第一章</w:t>
      </w:r>
      <w:r/>
      <w:r>
        <w:rPr>
          <w:rFonts w:ascii="SimHei" w:hAnsi="SimHei" w:eastAsia="SimHei" w:cs="SimHei"/>
          <w:color w:val="000000"/>
          <w:sz w:val="44"/>
        </w:rPr>
        <w:t xml:space="preserve">招标公告</w:t>
      </w:r>
      <w:r/>
      <w:r/>
    </w:p>
    <w:p>
      <w:pPr>
        <w:ind w:left="0" w:right="0" w:firstLine="480"/>
        <w:jc w:val="both"/>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rPr>
        <w:t xml:space="preserve">项目概况</w:t>
      </w:r>
      <w:r/>
    </w:p>
    <w:p>
      <w:pPr>
        <w:ind w:left="0" w:right="0" w:firstLine="480"/>
        <w:jc w:val="both"/>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u w:val="single"/>
        </w:rPr>
        <w:t xml:space="preserve">盐城市公安局交通管理支队道路交通事故司法鉴定服务采购项目</w:t>
      </w:r>
      <w:r>
        <w:rPr>
          <w:rFonts w:ascii="SimSun" w:hAnsi="SimSun" w:eastAsia="SimSun" w:cs="SimSun"/>
          <w:color w:val="000000"/>
          <w:sz w:val="22"/>
        </w:rPr>
        <w:t xml:space="preserve">的潜在投标人可在</w:t>
      </w:r>
      <w:r>
        <w:rPr>
          <w:rFonts w:ascii="SimSun" w:hAnsi="SimSun" w:eastAsia="SimSun" w:cs="SimSun"/>
          <w:color w:val="000000"/>
          <w:sz w:val="22"/>
          <w:highlight w:val="white"/>
        </w:rPr>
        <w:t xml:space="preserve">“苏采云”系统内免费下载（投标人必须在苏采云系统中获取采购文件，方能参与政府采购项目）</w:t>
      </w:r>
      <w:r>
        <w:rPr>
          <w:rFonts w:ascii="SimSun" w:hAnsi="SimSun" w:eastAsia="SimSun" w:cs="SimSun"/>
          <w:color w:val="000000"/>
          <w:sz w:val="22"/>
        </w:rPr>
        <w:t xml:space="preserve">，并于</w:t>
      </w:r>
      <w:r>
        <w:rPr>
          <w:rFonts w:ascii="SimSun" w:hAnsi="SimSun" w:eastAsia="SimSun" w:cs="SimSun"/>
          <w:color w:val="000000"/>
          <w:sz w:val="22"/>
          <w:u w:val="single"/>
        </w:rPr>
        <w:t xml:space="preserve">2026年11月26日15点00分（</w:t>
      </w:r>
      <w:r>
        <w:rPr>
          <w:rFonts w:ascii="SimSun" w:hAnsi="SimSun" w:eastAsia="SimSun" w:cs="SimSun"/>
          <w:color w:val="000000"/>
          <w:sz w:val="22"/>
        </w:rPr>
        <w:t xml:space="preserve">北京时间）前递交投标文件。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一、项目基本情况</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1.项目编号：JSZC-320900-YCZH-G2026-0018</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2.项目名称：盐城市公安局交通管理支队道路交通事故司法鉴定服务采购项目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3.采购方式：公开招标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4.预算金额：360万元</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5.最高限价：120万元/年；投标人投标时按优惠率报价。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采购需求（简介）：为盐城市区和高速范围内公安机关交通管理部门处理道路交通事故（含道路以外交通事故）提供司法鉴定服务，主要内容为：交通事故痕迹物证司法鉴定（包括车辆安全技术状况鉴定，交通事故痕迹鉴定，车辆速度鉴定，交通事故痕迹物证综合鉴定），整体分离痕迹鉴定，微量物证司法鉴定。详细内容见本招标文件第四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7.合同履行期限：三年；（从签订合同日期起计算，合同一年一签，经考核合格，可续签下一年，最多续签二次）。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8.本项目（是/否）接受联合体参与招标：否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二、申请人的资格要求：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1.满足《中华人民共和国政府采购法》第二十二条规定，并提供下列材料：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法人或者其他组织的营业执照等证明文件，自然人的身份证明；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1.2上一年度的财务状况报表（成立不满一年无需提供）；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1.4具备履行合同所必需的设备和专业技术能力的书面声明；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1.5参加政府采购活动前3年内在经营活动中没有重大违法记录的书面声明。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1.6法律、行政法规规定的其他条件。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1.8单位负责人为同一人或者存在直接控股、管理关系的不同供应商，不得参加同一合同项下的政府采购活动。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2.落实政府采购政策需满足的资格要求：</w:t>
      </w:r>
      <w:r>
        <w:rPr>
          <w:rFonts w:ascii="Arial" w:hAnsi="Arial" w:eastAsia="Arial" w:cs="Arial"/>
          <w:b/>
          <w:color w:val="000000"/>
          <w:sz w:val="22"/>
        </w:rPr>
        <w:t xml:space="preserve">本项目为专门面向中小企业采购的项目（供应商投标时须提供《中小型企业声明函》，否则按无效处理）；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3.本项目的特定资格要求：</w:t>
      </w:r>
      <w:r>
        <w:rPr>
          <w:rFonts w:ascii="Arial" w:hAnsi="Arial" w:eastAsia="Arial" w:cs="Arial"/>
          <w:color w:val="000000"/>
          <w:sz w:val="22"/>
          <w:highlight w:val="white"/>
        </w:rPr>
        <w:t xml:space="preserve">投标人应具有有效期内的省级司法行政机关颁发的《司法鉴定许可证》，业务范围应当包含：</w:t>
      </w:r>
      <w:r>
        <w:rPr>
          <w:rFonts w:ascii="Calibri" w:hAnsi="Calibri" w:eastAsia="Calibri" w:cs="Calibri"/>
          <w:color w:val="000000"/>
          <w:sz w:val="22"/>
          <w:highlight w:val="white"/>
        </w:rPr>
        <w:t xml:space="preserve">0205</w:t>
      </w:r>
      <w:r>
        <w:rPr>
          <w:rFonts w:ascii="Arial" w:hAnsi="Arial" w:eastAsia="Arial" w:cs="Arial"/>
          <w:color w:val="000000"/>
          <w:sz w:val="22"/>
          <w:highlight w:val="white"/>
        </w:rPr>
        <w:t xml:space="preserve">整体分离痕迹鉴定；</w:t>
      </w:r>
      <w:r>
        <w:rPr>
          <w:rFonts w:ascii="Calibri" w:hAnsi="Calibri" w:eastAsia="Calibri" w:cs="Calibri"/>
          <w:color w:val="000000"/>
          <w:sz w:val="22"/>
          <w:highlight w:val="white"/>
        </w:rPr>
        <w:t xml:space="preserve">0211</w:t>
      </w:r>
      <w:r>
        <w:rPr>
          <w:rFonts w:ascii="Arial" w:hAnsi="Arial" w:eastAsia="Arial" w:cs="Arial"/>
          <w:color w:val="000000"/>
          <w:sz w:val="22"/>
          <w:highlight w:val="white"/>
        </w:rPr>
        <w:t xml:space="preserve">交通事故痕迹物证鉴定（</w:t>
      </w:r>
      <w:r>
        <w:rPr>
          <w:rFonts w:ascii="Calibri" w:hAnsi="Calibri" w:eastAsia="Calibri" w:cs="Calibri"/>
          <w:color w:val="000000"/>
          <w:sz w:val="22"/>
          <w:highlight w:val="white"/>
        </w:rPr>
        <w:t xml:space="preserve">021101</w:t>
      </w:r>
      <w:r>
        <w:rPr>
          <w:rFonts w:ascii="Arial" w:hAnsi="Arial" w:eastAsia="Arial" w:cs="Arial"/>
          <w:color w:val="000000"/>
          <w:sz w:val="22"/>
          <w:highlight w:val="white"/>
        </w:rPr>
        <w:t xml:space="preserve">车辆安全技术状况鉴定；</w:t>
      </w:r>
      <w:r>
        <w:rPr>
          <w:rFonts w:ascii="Calibri" w:hAnsi="Calibri" w:eastAsia="Calibri" w:cs="Calibri"/>
          <w:color w:val="000000"/>
          <w:sz w:val="22"/>
          <w:highlight w:val="white"/>
        </w:rPr>
        <w:t xml:space="preserve">021103</w:t>
      </w:r>
      <w:r>
        <w:rPr>
          <w:rFonts w:ascii="Arial" w:hAnsi="Arial" w:eastAsia="Arial" w:cs="Arial"/>
          <w:color w:val="000000"/>
          <w:sz w:val="22"/>
          <w:highlight w:val="white"/>
        </w:rPr>
        <w:t xml:space="preserve">交通事故痕迹鉴定；</w:t>
      </w:r>
      <w:r>
        <w:rPr>
          <w:rFonts w:ascii="Calibri" w:hAnsi="Calibri" w:eastAsia="Calibri" w:cs="Calibri"/>
          <w:color w:val="000000"/>
          <w:sz w:val="22"/>
          <w:highlight w:val="white"/>
        </w:rPr>
        <w:t xml:space="preserve">021104</w:t>
      </w:r>
      <w:r>
        <w:rPr>
          <w:rFonts w:ascii="Arial" w:hAnsi="Arial" w:eastAsia="Arial" w:cs="Arial"/>
          <w:color w:val="000000"/>
          <w:sz w:val="22"/>
          <w:highlight w:val="white"/>
        </w:rPr>
        <w:t xml:space="preserve">车辆速度鉴定；</w:t>
      </w:r>
      <w:r>
        <w:rPr>
          <w:rFonts w:ascii="Calibri" w:hAnsi="Calibri" w:eastAsia="Calibri" w:cs="Calibri"/>
          <w:color w:val="000000"/>
          <w:sz w:val="22"/>
          <w:highlight w:val="white"/>
        </w:rPr>
        <w:t xml:space="preserve">021105</w:t>
      </w:r>
      <w:r>
        <w:rPr>
          <w:rFonts w:ascii="Arial" w:hAnsi="Arial" w:eastAsia="Arial" w:cs="Arial"/>
          <w:color w:val="000000"/>
          <w:sz w:val="22"/>
          <w:highlight w:val="white"/>
        </w:rPr>
        <w:t xml:space="preserve">交通事故痕迹物证综合鉴定）。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三、获取招标文件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1.时间：</w:t>
      </w:r>
      <w:r>
        <w:rPr>
          <w:rFonts w:ascii="SimSun" w:hAnsi="SimSun" w:eastAsia="SimSun" w:cs="SimSun"/>
          <w:color w:val="000000"/>
          <w:sz w:val="22"/>
        </w:rPr>
        <w:t xml:space="preserve">自招标文件公告发布之日起5个工作日。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2.地点：“苏采云”系统内免费下载（投标人必须在苏采云系统中获取采购文件，方能参与政府采购项目）；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3.方式：本项目采用网上注册登记方式。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4.售价：0元</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四、提交投标文件截止时间、开标时间和地点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1.时间：2026年11月26日15点00分（北京时间）</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2.地点：苏采云“不见面”开标大厅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五、公告期限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u w:val="none"/>
        </w:rPr>
        <w:t xml:space="preserve">自本公告发布之日起5个工作日。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六、其他补充事宜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br/>
        <w:t xml:space="preserve">领取CA和办理电子签章</w:t>
      </w:r>
      <w:r>
        <w:rPr>
          <w:rFonts w:ascii="SimSun" w:hAnsi="SimSun" w:eastAsia="SimSun" w:cs="SimSun"/>
          <w:b/>
          <w:color w:val="000000"/>
          <w:sz w:val="22"/>
        </w:rPr>
        <w:t xml:space="preserve">【请至盐城市府西路1号盐城市公共资源交易中心四楼大厅10号，11号窗口办理，</w:t>
      </w:r>
      <w:r>
        <w:rPr>
          <w:rFonts w:ascii="SimSun" w:hAnsi="SimSun" w:eastAsia="SimSun" w:cs="SimSun"/>
          <w:color w:val="000000"/>
          <w:sz w:val="22"/>
        </w:rPr>
        <w:t xml:space="preserve">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br/>
      </w:r>
      <w:r>
        <w:rPr>
          <w:rFonts w:ascii="SimSun" w:hAnsi="SimSun" w:eastAsia="SimSun" w:cs="SimSun"/>
          <w:color w:val="000000"/>
          <w:sz w:val="21"/>
        </w:rPr>
        <w:t xml:space="preserve">    </w:t>
      </w:r>
      <w:r>
        <w:rPr>
          <w:rFonts w:ascii="SimSun" w:hAnsi="SimSun" w:eastAsia="SimSun" w:cs="SimSun"/>
          <w:color w:val="000000"/>
          <w:sz w:val="22"/>
        </w:rPr>
        <w:t xml:space="preserve">2. 潜在供应商访问电子招标响应交易平台的网络地址和方法： </w:t>
        <w:br/>
      </w:r>
      <w:r>
        <w:rPr>
          <w:rFonts w:ascii="SimSun" w:hAnsi="SimSun" w:eastAsia="SimSun" w:cs="SimSun"/>
          <w:color w:val="000000"/>
          <w:sz w:val="21"/>
        </w:rPr>
        <w:t xml:space="preserve">    </w:t>
      </w:r>
      <w:r>
        <w:rPr>
          <w:rFonts w:ascii="SimSun" w:hAnsi="SimSun" w:eastAsia="SimSun" w:cs="SimSun"/>
          <w:color w:val="000000"/>
          <w:sz w:val="22"/>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br/>
      </w:r>
      <w:r>
        <w:rPr>
          <w:rFonts w:ascii="SimSun" w:hAnsi="SimSun" w:eastAsia="SimSun" w:cs="SimSun"/>
          <w:color w:val="000000"/>
          <w:sz w:val="21"/>
        </w:rPr>
        <w:t xml:space="preserve">    </w:t>
      </w:r>
      <w:r>
        <w:rPr>
          <w:rFonts w:ascii="SimSun" w:hAnsi="SimSun" w:eastAsia="SimSun" w:cs="SimSun"/>
          <w:color w:val="000000"/>
          <w:sz w:val="22"/>
        </w:rPr>
        <w:t xml:space="preserve">2.2 潜在投标人访问“苏采云”系统方法：江苏省政府采购网首页-“苏采云”链接。 </w:t>
        <w:br/>
      </w:r>
      <w:r>
        <w:rPr>
          <w:rFonts w:ascii="SimSun" w:hAnsi="SimSun" w:eastAsia="SimSun" w:cs="SimSun"/>
          <w:color w:val="000000"/>
          <w:sz w:val="21"/>
        </w:rPr>
        <w:t xml:space="preserve">    </w:t>
      </w:r>
      <w:r>
        <w:rPr>
          <w:rFonts w:ascii="SimSun" w:hAnsi="SimSun" w:eastAsia="SimSun" w:cs="SimSun"/>
          <w:color w:val="000000"/>
          <w:sz w:val="22"/>
        </w:rPr>
        <w:t xml:space="preserve">2.3 采购文件（后缀名为“.kedt”）、供应商操作手册及政府采购客户端 工具可通过“苏采云”系统相应链接进行下载。 </w:t>
        <w:br/>
      </w:r>
      <w:r>
        <w:rPr>
          <w:rFonts w:ascii="SimSun" w:hAnsi="SimSun" w:eastAsia="SimSun" w:cs="SimSun"/>
          <w:color w:val="000000"/>
          <w:sz w:val="21"/>
        </w:rPr>
        <w:t xml:space="preserve">    </w:t>
      </w:r>
      <w:r>
        <w:rPr>
          <w:rFonts w:ascii="SimSun" w:hAnsi="SimSun" w:eastAsia="SimSun" w:cs="SimSun"/>
          <w:color w:val="000000"/>
          <w:sz w:val="22"/>
        </w:rPr>
        <w:t xml:space="preserve">2.4 采购代理机构将数据电文形式的采购文件加载至“苏采云”系统，供潜在供应商下载或者查阅。 </w:t>
        <w:br/>
      </w:r>
      <w:r>
        <w:rPr>
          <w:rFonts w:ascii="SimSun" w:hAnsi="SimSun" w:eastAsia="SimSun" w:cs="SimSun"/>
          <w:color w:val="000000"/>
          <w:sz w:val="21"/>
        </w:rPr>
        <w:t xml:space="preserve">    </w:t>
      </w:r>
      <w:r>
        <w:rPr>
          <w:rFonts w:ascii="SimSun" w:hAnsi="SimSun" w:eastAsia="SimSun" w:cs="SimSun"/>
          <w:color w:val="000000"/>
          <w:sz w:val="22"/>
        </w:rPr>
        <w:t xml:space="preserve">2.5 请潜在投标单位提前安装相应的控件（详见《“苏采云”系统供应商操作手册》）并使用谷歌浏览器登录“苏采云”系统参与不见面开评标。 </w:t>
        <w:br/>
        <w:t xml:space="preserve">如潜在投标人未按上述要求操作，将自行承担所产生的风险。</w:t>
        <w:br/>
      </w:r>
      <w:r>
        <w:rPr>
          <w:rFonts w:ascii="SimSun" w:hAnsi="SimSun" w:eastAsia="SimSun" w:cs="SimSun"/>
          <w:color w:val="000000"/>
          <w:sz w:val="21"/>
        </w:rPr>
        <w:t xml:space="preserve">    </w:t>
      </w:r>
      <w:r>
        <w:rPr>
          <w:rFonts w:ascii="SimSun" w:hAnsi="SimSun" w:eastAsia="SimSun" w:cs="SimSun"/>
          <w:color w:val="000000"/>
          <w:sz w:val="22"/>
        </w:rPr>
        <w:t xml:space="preserve">3.有关本次招标的事项若存在变动或修改，敬请及时关注采购代理机构在“中国政府采购网”“江苏政府采购网”“盐城市政府采购网”发布的更正公告。</w:t>
        <w:br/>
      </w:r>
      <w:r>
        <w:rPr>
          <w:rFonts w:ascii="SimSun" w:hAnsi="SimSun" w:eastAsia="SimSun" w:cs="SimSun"/>
          <w:color w:val="000000"/>
          <w:sz w:val="21"/>
        </w:rPr>
        <w:t xml:space="preserve">    </w:t>
      </w:r>
      <w:r>
        <w:rPr>
          <w:rFonts w:ascii="SimSun" w:hAnsi="SimSun" w:eastAsia="SimSun" w:cs="SimSun"/>
          <w:color w:val="000000"/>
          <w:sz w:val="22"/>
        </w:rPr>
        <w:t xml:space="preserve">4.本次招标不收取投标保证金，不收取质量保证金。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名称：盐城市公安局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地址：盐城市平安路9号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w:t>
      </w:r>
      <w:r>
        <w:rPr>
          <w:rFonts w:ascii="SimSun" w:hAnsi="SimSun" w:eastAsia="SimSun" w:cs="SimSun"/>
          <w:color w:val="000000"/>
          <w:sz w:val="21"/>
        </w:rPr>
        <w:t xml:space="preserve"> </w:t>
      </w:r>
      <w:r>
        <w:rPr>
          <w:rFonts w:ascii="SimSun" w:hAnsi="SimSun" w:eastAsia="SimSun" w:cs="SimSun"/>
          <w:color w:val="000000"/>
          <w:sz w:val="22"/>
        </w:rPr>
        <w:t xml:space="preserve">系</w:t>
      </w:r>
      <w:r>
        <w:rPr>
          <w:rFonts w:ascii="SimSun" w:hAnsi="SimSun" w:eastAsia="SimSun" w:cs="SimSun"/>
          <w:color w:val="000000"/>
          <w:sz w:val="21"/>
        </w:rPr>
        <w:t xml:space="preserve"> </w:t>
      </w:r>
      <w:r>
        <w:rPr>
          <w:rFonts w:ascii="SimSun" w:hAnsi="SimSun" w:eastAsia="SimSun" w:cs="SimSun"/>
          <w:color w:val="000000"/>
          <w:sz w:val="22"/>
        </w:rPr>
        <w:t xml:space="preserve">人：</w:t>
      </w:r>
      <w:r>
        <w:rPr>
          <w:rFonts w:ascii="SimSun" w:hAnsi="SimSun" w:eastAsia="SimSun" w:cs="SimSun"/>
          <w:color w:val="000000"/>
          <w:sz w:val="22"/>
          <w:u w:val="none"/>
        </w:rPr>
        <w:t xml:space="preserve">江警官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2"/>
          <w:u w:val="none"/>
        </w:rPr>
        <w:t xml:space="preserve">0515-83220095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名称：盐城市智禾项目管理有限公司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none"/>
        </w:rPr>
        <w:t xml:space="preserve">盐城市盐都区宏都路华邦国际西厦603室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w:t>
      </w:r>
      <w:r>
        <w:rPr>
          <w:rFonts w:ascii="SimSun" w:hAnsi="SimSun" w:eastAsia="SimSun" w:cs="SimSun"/>
          <w:color w:val="000000"/>
          <w:sz w:val="21"/>
        </w:rPr>
        <w:t xml:space="preserve"> </w:t>
      </w:r>
      <w:r>
        <w:rPr>
          <w:rFonts w:ascii="SimSun" w:hAnsi="SimSun" w:eastAsia="SimSun" w:cs="SimSun"/>
          <w:color w:val="000000"/>
          <w:sz w:val="22"/>
        </w:rPr>
        <w:t xml:space="preserve">系</w:t>
      </w:r>
      <w:r>
        <w:rPr>
          <w:rFonts w:ascii="SimSun" w:hAnsi="SimSun" w:eastAsia="SimSun" w:cs="SimSun"/>
          <w:color w:val="000000"/>
          <w:sz w:val="21"/>
        </w:rPr>
        <w:t xml:space="preserve"> </w:t>
      </w:r>
      <w:r>
        <w:rPr>
          <w:rFonts w:ascii="SimSun" w:hAnsi="SimSun" w:eastAsia="SimSun" w:cs="SimSun"/>
          <w:color w:val="000000"/>
          <w:sz w:val="22"/>
        </w:rPr>
        <w:t xml:space="preserve">人：杨女士</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联系电话：13092197196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项目联系人：杨女士</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w:t>
      </w:r>
      <w:r>
        <w:rPr>
          <w:rFonts w:ascii="SimSun" w:hAnsi="SimSun" w:eastAsia="SimSun" w:cs="SimSun"/>
          <w:color w:val="000000"/>
          <w:sz w:val="21"/>
        </w:rPr>
        <w:t xml:space="preserve"> </w:t>
      </w:r>
      <w:r>
        <w:rPr>
          <w:rFonts w:ascii="SimSun" w:hAnsi="SimSun" w:eastAsia="SimSun" w:cs="SimSun"/>
          <w:color w:val="000000"/>
          <w:sz w:val="22"/>
        </w:rPr>
        <w:t xml:space="preserve">话：13092197196</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18"/>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tabs>
          <w:tab w:val="left" w:pos="810" w:leader="none"/>
          <w:tab w:val="left" w:pos="907" w:leader="none"/>
          <w:tab w:val="left" w:pos="126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rPr>
          <w:rFonts w:ascii="Arial" w:hAnsi="Arial" w:eastAsia="Arial" w:cs="Arial"/>
          <w:color w:val="000000"/>
          <w:sz w:val="22"/>
          <w:szCs w:val="22"/>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0"/>
        <w:jc w:val="both"/>
        <w:spacing w:before="0" w:after="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0"/>
        <w:jc w:val="both"/>
        <w:spacing w:before="0" w:after="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0"/>
        <w:jc w:val="both"/>
        <w:spacing w:before="0" w:after="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0"/>
        <w:jc w:val="both"/>
        <w:spacing w:before="0" w:after="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0"/>
        <w:jc w:val="both"/>
        <w:spacing w:before="0" w:after="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0"/>
        <w:jc w:val="both"/>
        <w:spacing w:before="0" w:after="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0"/>
        <w:jc w:val="both"/>
        <w:spacing w:before="0" w:after="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0"/>
        <w:jc w:val="both"/>
        <w:spacing w:before="0" w:after="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0"/>
        <w:jc w:val="both"/>
        <w:spacing w:before="0" w:after="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0"/>
        <w:jc w:val="both"/>
        <w:spacing w:before="0" w:after="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w:t>
      </w:r>
      <w:r>
        <w:rPr>
          <w:rFonts w:ascii="SimSun" w:hAnsi="SimSun" w:eastAsia="SimSun" w:cs="SimSun"/>
          <w:b/>
          <w:color w:val="000000"/>
          <w:sz w:val="44"/>
        </w:rPr>
        <w:t xml:space="preserve">  </w:t>
      </w:r>
      <w:r>
        <w:rPr>
          <w:rFonts w:ascii="SimHei" w:hAnsi="SimHei" w:eastAsia="SimHei" w:cs="SimHei"/>
          <w:b/>
          <w:color w:val="000000"/>
          <w:sz w:val="44"/>
          <w:u w:val="none"/>
        </w:rPr>
        <w:t xml:space="preserve">投标人须知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一、总则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w:t>
      </w:r>
      <w:r>
        <w:rPr>
          <w:rFonts w:ascii="SimSun" w:hAnsi="SimSun" w:eastAsia="SimSun" w:cs="SimSun"/>
          <w:color w:val="000000"/>
          <w:sz w:val="22"/>
        </w:rPr>
        <w:t xml:space="preserve">、招标方式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1.1本次招标采取公开招标方式，本招标文件仅适用于招标公告中所述项目。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2、合格的投标人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2.1满足招标公告中供应商的资格要求的规定。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2.2满足本文件实质性要求和条件的规定。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3、适用法律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3.1本次招标及由此产生的合同受中华人民共和国有关的法律法规制约和保护。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4、投标费用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4.1投标人应自行承担所有与参加投标有关的费用，无论投标过程中的做法和结果如何，采购人和采购代理机构在任何情况下均无义务和责任承担这些费用。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4.2本次招标采购人和采购代理机构不收取标书工本费。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4.3本项目代理服务费由项目中标单位支付，代理服务费收费标准按照《江苏省政府采购代理服务收费指导意见》的通知（苏政采协【2024】20号）收费标准的</w:t>
      </w:r>
      <w:r>
        <w:rPr>
          <w:rFonts w:ascii="SimSun" w:hAnsi="SimSun" w:eastAsia="SimSun" w:cs="SimSun"/>
          <w:color w:val="000000"/>
          <w:sz w:val="22"/>
          <w:u w:val="single"/>
        </w:rPr>
        <w:t xml:space="preserve">43.5%</w:t>
      </w:r>
      <w:r>
        <w:rPr>
          <w:rFonts w:ascii="SimSun" w:hAnsi="SimSun" w:eastAsia="SimSun" w:cs="SimSun"/>
          <w:color w:val="000000"/>
          <w:sz w:val="22"/>
        </w:rPr>
        <w:t xml:space="preserve">计取，由中标人领取中标通知书前，向代理公司支付，请投标人考虑在投标报价中。</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5、招标文件的约束力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5.1投标人一旦参加本项目采购活动，即被认为接受了本招标文件的规定和约束。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二、招标文件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6、招标文件构成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招标文件由以下部分组成：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（1）招标公告</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（3）合同文本</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（5）评标方法与评标标准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请仔细检查招标文件是否齐全，如有缺漏请立即与代理机构联系解决。</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7、招标文件的澄清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7.1任何要求对招标文件进行澄清的投标人，应在投标截止期</w:t>
      </w:r>
      <w:r>
        <w:rPr>
          <w:rFonts w:ascii="SimSun" w:hAnsi="SimSun" w:eastAsia="SimSun" w:cs="SimSun"/>
          <w:b/>
          <w:color w:val="000000"/>
          <w:sz w:val="22"/>
        </w:rPr>
        <w:t xml:space="preserve">十日</w:t>
      </w:r>
      <w:r>
        <w:rPr>
          <w:rFonts w:ascii="SimSun" w:hAnsi="SimSun" w:eastAsia="SimSun" w:cs="SimSun"/>
          <w:color w:val="000000"/>
          <w:sz w:val="22"/>
        </w:rPr>
        <w:t xml:space="preserve">前按，招标公告中的通讯地址，以书面形式通知代理机构。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8、招标文件的修改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8.1在投标截止时间前，代理机构可以对招标文件进行修改。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8.2代理机构有权按照法定的要求推迟投标截止日期和开标日期。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8.3招标文件的修改将在中国政府采购网</w:t>
      </w:r>
      <w:r>
        <w:rPr>
          <w:rFonts w:ascii="SimSun" w:hAnsi="SimSun" w:eastAsia="SimSun" w:cs="SimSun"/>
          <w:color w:val="000000"/>
          <w:sz w:val="22"/>
          <w:highlight w:val="white"/>
        </w:rPr>
        <w:t xml:space="preserve">、</w:t>
      </w:r>
      <w:r>
        <w:rPr>
          <w:rFonts w:ascii="SimSun" w:hAnsi="SimSun" w:eastAsia="SimSun" w:cs="SimSun"/>
          <w:color w:val="000000"/>
          <w:sz w:val="22"/>
        </w:rPr>
        <w:t xml:space="preserve">江苏政府采购网、盐城市政府采购网公布，补充文件将作为招标文件的组成部分，并对投标人具有约束力。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三、投标文件的编制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9、投标文件的语言及度量衡单位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9.1投标人提交的投标文件以及投标人与代理机构就有关投标的所有来往通知、函件和文件均应使用</w:t>
      </w:r>
      <w:r>
        <w:rPr>
          <w:rFonts w:ascii="SimSun" w:hAnsi="SimSun" w:eastAsia="SimSun" w:cs="SimSun"/>
          <w:b/>
          <w:color w:val="000000"/>
          <w:sz w:val="22"/>
        </w:rPr>
        <w:t xml:space="preserve">简体中文</w:t>
      </w:r>
      <w:r>
        <w:rPr>
          <w:rFonts w:ascii="SimSun" w:hAnsi="SimSun" w:eastAsia="SimSun" w:cs="SimSun"/>
          <w:color w:val="000000"/>
          <w:sz w:val="22"/>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9.2除技术性能另有规定外，投标文件所使用的度量衡单位，均须采用国家法定计量单位。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10、投标文件构成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10.2如标书制作工具中格式和内容与</w:t>
      </w:r>
      <w:r>
        <w:rPr>
          <w:rFonts w:ascii="SimSun" w:hAnsi="SimSun" w:eastAsia="SimSun" w:cs="SimSun"/>
          <w:color w:val="000000"/>
          <w:sz w:val="22"/>
          <w:highlight w:val="white"/>
        </w:rPr>
        <w:t xml:space="preserve">“</w:t>
      </w:r>
      <w:r>
        <w:rPr>
          <w:rFonts w:ascii="SimSun" w:hAnsi="SimSun" w:eastAsia="SimSun" w:cs="SimSun"/>
          <w:color w:val="000000"/>
          <w:sz w:val="22"/>
        </w:rPr>
        <w:t xml:space="preserve">中国政府采购网”“江苏政府采购网”“盐城市政府采购网”发布的招标文件不一致，请以</w:t>
      </w:r>
      <w:r>
        <w:rPr>
          <w:rFonts w:ascii="SimSun" w:hAnsi="SimSun" w:eastAsia="SimSun" w:cs="SimSun"/>
          <w:color w:val="000000"/>
          <w:sz w:val="22"/>
          <w:highlight w:val="white"/>
        </w:rPr>
        <w:t xml:space="preserve">“</w:t>
      </w:r>
      <w:r>
        <w:rPr>
          <w:rFonts w:ascii="SimSun" w:hAnsi="SimSun" w:eastAsia="SimSun" w:cs="SimSun"/>
          <w:color w:val="000000"/>
          <w:sz w:val="22"/>
        </w:rPr>
        <w:t xml:space="preserve">中国政府采购网”“江苏政府采购网”“盐城市政府采购网”发布的招标文件为准。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11、证明投标人及投标标的符合招标文件规定的文件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11.1投标人应按照法律、法规、规章和规范性文件以及招标文件要求提交证明文件，证明其及投标标的符合招标文件规定。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11.2招标文件对证明文件无明确形式要求的，证明文件可以以文字资料、图纸和数据等形式提交。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12、投标分项报价表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12.1投标人应按照招标文件规定格式填报投标分项报价表。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12.2投标货币。投标文件中的单价和总价无特殊规定的采用人民币报价，以元为单位标注。招标文件中另有规定的按规定执行。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13、技术要求响应及偏离表、商务要求响应及偏离表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13.1投标人需对招标文件中的技术要求与商务要求逐项作出响应或偏离，并说明原因。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13.2投标人可在投标文件中提供认为需要的其他技术文件或说明。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14、投标函和开标一览表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14.1投标人应按照招标文件中提供的格式完整、正确填写投标函、开标一览表。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2"/>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15、投标有效期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15.1投标有效期为代理机构规定的开标之日后</w:t>
      </w:r>
      <w:r>
        <w:rPr>
          <w:rFonts w:ascii="SimSun" w:hAnsi="SimSun" w:eastAsia="SimSun" w:cs="SimSun"/>
          <w:b/>
          <w:color w:val="000000"/>
          <w:sz w:val="22"/>
          <w:u w:val="single"/>
        </w:rPr>
        <w:t xml:space="preserve">九十（90）天</w:t>
      </w:r>
      <w:r>
        <w:rPr>
          <w:rFonts w:ascii="SimSun" w:hAnsi="SimSun" w:eastAsia="SimSun" w:cs="SimSun"/>
          <w:color w:val="000000"/>
          <w:sz w:val="22"/>
        </w:rPr>
        <w:t xml:space="preserve">。投标有效期比规定短的将被视为未实质性响应招标文件而予以拒绝。</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16、投标有效期的延长</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四、投标文件的递交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17、投标文件</w:t>
      </w:r>
      <w:r>
        <w:rPr>
          <w:rFonts w:ascii="SimSun" w:hAnsi="SimSun" w:eastAsia="SimSun" w:cs="SimSun"/>
          <w:color w:val="000000"/>
          <w:sz w:val="22"/>
        </w:rPr>
        <w:t xml:space="preserve">的递交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电子投标文件的递交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投标人应当按照《操作手册》规定，在投标截止时间前制作并上传电子投标文件。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18、投标截止时间</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18.1投标人上传电子投标文件的时间不得迟于招标公告中规定的投标截止时间。</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18.2代理机构可以按照规定，通过修改招标文件酌情延长投标截止时间，在此情况下，投标人的所有权利和义务以及投标人受制的截止时间均应以延长后新的截止时间为准。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19、投标文件</w:t>
      </w:r>
      <w:r>
        <w:rPr>
          <w:rFonts w:ascii="SimSun" w:hAnsi="SimSun" w:eastAsia="SimSun" w:cs="SimSun"/>
          <w:color w:val="000000"/>
          <w:sz w:val="22"/>
        </w:rPr>
        <w:t xml:space="preserve">的拒收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19.1代理机构拒绝接收在其规定的投标截止时间后上传的任何投标文件。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20、投标文件的撤回和修改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20.1投标文件的撤回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20.1.1电子投标文件的撤回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投标人可在投标截止时间前，撤回其电子投标文件，具体操作方法见《操作手册》。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20.1.2投标人撤回电子投标文件，则认为其不再参与本项目投标活动。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20.2.1投标人可在投标截止时间前，对其电子投标文件进行修改，具体操作方法见《操作手册》。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20.2.2在投标截止时间之后，投标人不得对其电子投标文件作任何修改。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20.3在投标截止时间至招标文件中规定的投标有效期满之间的这段时间内，投标人不得撤回其投标。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五、开标与评标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21、开标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21.2开标仪式由代理机构组织。苏采云系统将自动对项目进行开标，并宣布各投标人名称和投标价格。</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21.3投标人在开标过程中涉及到的投标文件解密、开标结果确认等工作，应按照《操作手册》规定执行。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21.4投标人如果对开标过程和开标记录有疑义，应当根据《操作手册》规定提出，如苏采云系统中《开标记录表》宣布后5分钟内未提出的，视同认可开标结果。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22、评标委员会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22.1开标后，代理机构将立即组织评标委员会（以下简称评委会）进行评标。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22.2评委会由采购人代表和有关技术、经济等方面的专家组成，且人员构成符合政府采购有关规定。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22.3评委会独立工作，负责评审所有投标文件并确定中标候选人。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23、评标过程的保密与公正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23.1凡是与审查、澄清、评价和比较投标的有关资料以及授标建议等，采购人、评委、代理机构均不得向投标人或与评标无关的其他人员透露。</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23.2在评标过程中，投标人不得以任何行为影响评标过程，否则其投标文件将被作为无效投标文件。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23.3代理机构和评标委员会不向未中标的投标人解释未中标原因，也不公布评标过程中的相关细节。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23.4采用综合评分法的项目，未中标的投标人可于中标结果公告期限届满之日起通过苏采云系统查看自己的评审得分及排序情况。</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24、投标文件的澄清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评标委员会并非对每个投标人都做澄清要求。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24.3接到评委会澄清、说明和补正要求的投标人如未按规定作出澄清、说明和补正，其风险由投标人自行承担。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25、对投标文件的初审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25.1投标文件初审分为资格审查和符合性审查。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25.4评委会将对确定为实质性响应的投标进行进一步审核，确定其是否有计算上或累加上的算术错误，修正错误的原则如下：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25.6投标人在开、评标全过程中应保持通信畅通，及时登录苏采云系统查阅、答复相关信息，并安排专人与代理机构及评标委员会联系。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26、无效投标条款和废标条款</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26.1无效投标条款</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26.1.1投标人在苏采云系统规定的时间内未成功解密电子投标文件的。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26.1.2投标人未按照招标文件要求上传电子投标文件的。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26.1.3同一投标人提交两个（含两个）以上不同的投标报价的。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26.1.4投标人不具备招标文件中规定资格要求的。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26.1.5投标人的报价超过了采购预算或最高限价的。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26.1.6未通过符合性审查的。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26.1.7不符合招标文件中规定的实质性要求和条件的</w:t>
      </w:r>
      <w:r>
        <w:rPr>
          <w:rFonts w:ascii="SimSun" w:hAnsi="SimSun" w:eastAsia="SimSun" w:cs="SimSun"/>
          <w:color w:val="000000"/>
          <w:sz w:val="24"/>
        </w:rPr>
        <w:t xml:space="preserve">（</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26.1.9投标文件含有采购人不能接受的附加条件的。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26.1.10投标人不能证明其报价合理性的，评标委员会应当将其作为无效投标处理。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（一）评审过程中出现下列情形之一的，评标委员会应当启动异常低价投标审查程序：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3.投标（响应）报价低于采购项目最高限价45%的，即投标（响应）报价&lt;采购项目最高限价×45%；</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4.评审委员会基于专业判断，认为供应商报价过低，有可能影响产品质量或者不能诚信履约的其他情形。</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提醒：采购人可以结合具体项目实际情况，提高上述第1项至第3项中启动异常低价投标（响应）审查的数值标准，但是最高不得超过65%。</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相关法律法规对供应商报价有规定的，从其规定。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26.1.11投标文件未按照招标文件要求加盖CA电子公章的。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26.1.12其他法律、法规及本招标文件规定的属无效投标的情形。</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26.2废标条款</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26.2.1符合专业条件的供应商或者对招标文件作实质响应的供应商不足三家的。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26.2.2出现影响采购公正的违法、违规行为的。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26.2.3因重大变故，采购任务取消的。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26.2.4评标委员会认定招标文件存在歧义、重大缺陷导致评审工作无法进行。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26.2.5因苏采云系统系统故障原因造成开标不成功的。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投标截止时间结束后参加投标的供应商不足三家的处理：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26.3.1如出现投标截止时间结束后参加投标的供应商或者在评标期间对招标文件做出实质响应的供应商不足三家情况，按政府采购相关规定执行。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六、定标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27、</w:t>
      </w:r>
      <w:r>
        <w:rPr>
          <w:rFonts w:ascii="SimSun" w:hAnsi="SimSun" w:eastAsia="SimSun" w:cs="SimSun"/>
          <w:color w:val="000000"/>
          <w:sz w:val="22"/>
        </w:rPr>
        <w:t xml:space="preserve">确定中标单位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27.1中标候选人的选取原则和数量见招标文件第五章规定。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27.2采购人应根据评委会推荐的中标候选人确定中标人。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27.3代理机构将在“中国政府采购网”“江苏政府采购网”“盐城市政府采购网”发布中标公告，公告期限为1个工作日。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27.4若有充分证据证明，中标人出现下列情况之一的，一经查实，将被取消中标资格：</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27.4.1提供虚假材料谋取中标的。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27.4.2向采购人、代理机构行贿或者提供其他不正当利益的。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27.4.3属于本文件规定的无效条件，但在评标过程中又未被评委会发现的。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27.4.4与采购人或者其他供应商恶意串通的。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27.4.5采取不正当手段诋毁、排挤其他供应商的。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有下列情形之一的，视为投标人串通投标，投标无效：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27.5.1不同投标人的投标文件由同一单位或者个人编制。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27.5.2不同投标人委托同一单位或者个人办理投标事宜。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27.5.3不同投标人的投标文件载明的项目管理成员或者联系人员为同一人。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27.5.4不同投标人的投标文件异常一致或者投标报价呈规律性差异。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28、质疑处理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28.1提出质疑的供应商应当是参与所质疑项目采购活动的供应商。潜在供应商依法获取其可质疑的采购文件的，可以对采购文件提出质疑。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28.2.1对可以质疑的采购文件提出质疑的，为收到采购文件之日或者采购文件公告期限届满之日；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28.2.2对采购过程提出质疑的，为各采购程序环节结束之日；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28.2.3对中标或者成交结果提出质疑的，为中标或者成交结果公告期限届满之日。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采购人及代理机构只接收以纸质原件形式送达的质疑,采购人和代理机构不接受未填写快递运单的快件。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 以下情形的质疑不予受理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28.5.1内容不符合《政府采购质疑和投诉办法》第十二条规定的质疑。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28.5.2超出政府采购法定期限的质疑。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28.5.3以传真、电子邮件等方式递交的非原件形式的质疑。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28.5.4未参加投标活动的供应商或在投标活动中自身权益未受到损害的供应商所提出的质疑。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28.5.5供应商组成联合体参加投标，联合体中任何一方或多方未按要求签字、盖章、加盖公章的质疑。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29、中标通知书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七、授予合同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30.签订合同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30.l中标人应当在中标通知书发出之日起三十日内，按照招标文件确定的事项与采购人签订政府采购合同。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30.2招标文件、中标人的投标文件及招标过程中有关澄清、承诺文件均应作为合同附件。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30.3签订合同后，</w:t>
      </w:r>
      <w:r>
        <w:rPr>
          <w:rFonts w:ascii="SimSun" w:hAnsi="SimSun" w:eastAsia="SimSun" w:cs="SimSun"/>
          <w:i/>
          <w:color w:val="000000"/>
          <w:sz w:val="22"/>
          <w:u w:val="single"/>
        </w:rPr>
        <w:t xml:space="preserve">中标人不得将合同标的进行转包</w:t>
      </w:r>
      <w:r>
        <w:rPr>
          <w:rFonts w:ascii="SimSun" w:hAnsi="SimSun" w:eastAsia="SimSun" w:cs="SimSun"/>
          <w:color w:val="000000"/>
          <w:sz w:val="22"/>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31、服务（包含与服务相关的货物）的追加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32.政府采购政策功能落实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32.1政府采购线上合同信用融资政策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32.2进口产品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32.3中小企业、监狱企业及残疾人福利性单位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32.3.1中小企业定义：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2"/>
        </w:rPr>
        <w:t xml:space="preserve">6 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32.3.2供应商提供的货物、工程或者服务符合下列情形的，享受中小企业扶持政策：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32.3.2.1在货物采购项目中，货物由中小企业制造，即货物由中小企业生产且使用该中小企业商号或者注册商标；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32.3.2.2在工程采购项目中，工程由中小企业承建，即工程施工单位为中小企业；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32.3.2.3在服务采购项目中，服务由中小企业承接，即提供服务的人员为中小企业依照《中华人民共和国劳动合同法》订立劳动合同的从业人员。</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32.3.3在货物采购项目中，供应商提供的货物既有中小企业制造货物，也有大型企业制造货物的，不享受中小企业扶持政策。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32.3.4以联合体形式参加政府采购活动，联合体各方均为中小企业的，联合体视同中小企业。其中，联合体各方均为小微企业的，联合体视同小微企业。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32.3.6残疾人福利单位定义：享受政府采购支持政策的残疾人福利性单位应当同时满足以下条件：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32.3.6.1安置的残疾人占本单位在职职工人数的比例不低于25%（含25%），并且安置的残疾人人数不少于10 人（含10 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32.3.6.2依法与安置的每位残疾人签订了一年以上（含一年）的劳动合同或服务协议；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32.3.6.3为安置的每位残疾人按月足额缴纳了基本养老保险、基本医疗保险、失业保险、工伤保险和生育保险等社会保险费；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32.3.6.4通过银行等金融机构向安置的每位残疾人，按月支付了不低于单位所在区县适用的经省级人民政府批准的月最低工资标准的工资；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32.3.7本项目是否专门面向中小企业预留采购份额见第一章《招标公告》。</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32.3.8采购标的对应的中小企业划分标准所属行业见第四章《采购需求》。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32.3.9小微企业价格评审优惠的政策：见第五章《评标方法和评标标准》。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32.4政府采购节能产品、环境标志产品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SimSun" w:hAnsi="SimSun" w:eastAsia="SimSun" w:cs="SimSun"/>
          <w:color w:val="000000"/>
          <w:sz w:val="22"/>
        </w:rPr>
        <w:t xml:space="preserve">应当优先采购节能产品、环境标志产品。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32.5绿色包装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32.6政府采购创新产品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采购人优先采购各级政府部门公开发布的有效期内的创新产品、创新服务、首台套、首购首用等《目录》的创新产品。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32.7绿色数据中心政策 </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2"/>
        </w:rPr>
        <w:t xml:space="preserve">涉及生产过程或检测时间长等原因，不能在验收过程中开展检测、认证的，可要求供应商在验收阶段提供相关检测报告、认证报告。</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32.8实施本国产品标准及相关政策</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1.本项目对采购本国产品给予政策支持，具体内容见招标文件“第五章 评标方法与评标标准”。</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SimSun" w:hAnsi="SimSun" w:eastAsia="SimSun" w:cs="SimSun"/>
          <w:b/>
          <w:color w:val="000000"/>
          <w:sz w:val="22"/>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32.9履约保证金政策</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确需收取履约保证金的，履约保证金的缴纳形式：</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如以履约保函（保险）形式缴纳履约保证金，供应商可通过政府采购电子履约保函（保险）平台（www.jsdzbh.com）在线申请履约保函（保险）。</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预付款制度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本项目落实预付款制度，预付款比例为</w:t>
      </w:r>
      <w:r>
        <w:rPr>
          <w:rFonts w:ascii="SimSun" w:hAnsi="SimSun" w:eastAsia="SimSun" w:cs="SimSun"/>
          <w:color w:val="000000"/>
          <w:sz w:val="22"/>
          <w:u w:val="single"/>
        </w:rPr>
        <w:t xml:space="preserve">30</w:t>
      </w:r>
      <w:r>
        <w:rPr>
          <w:rFonts w:ascii="SimSun" w:hAnsi="SimSun" w:eastAsia="SimSun" w:cs="SimSun"/>
          <w:color w:val="000000"/>
          <w:sz w:val="22"/>
        </w:rPr>
        <w:t xml:space="preserve">%（原则上不低于合同金额的30%）。在签订合同时，中标、成交供应商明确书面表示无需预付款或者主动要求降低预付款比例的，采购人可就预付款比例作相应调整。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8"/>
        </w:rPr>
        <w:t xml:space="preserve">第三章 合同条款</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以下为中标后签订本项目合同的通用条款，中标人不得提出实质性的修改。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盐城市政府采购合同（服务）（合同编号）</w:t>
      </w:r>
      <w:r/>
    </w:p>
    <w:p>
      <w:pPr>
        <w:ind w:left="0" w:right="0" w:firstLine="0"/>
        <w:jc w:val="both"/>
        <w:spacing w:before="120" w:after="12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项目名称：盐城市公安局交通管理支队道路交通事故司法鉴定服务采购项目</w:t>
      </w:r>
      <w:r/>
    </w:p>
    <w:p>
      <w:pPr>
        <w:ind w:left="0" w:right="0" w:firstLine="0"/>
        <w:jc w:val="both"/>
        <w:spacing w:before="120" w:after="12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0"/>
        <w:jc w:val="both"/>
        <w:spacing w:before="120" w:after="12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甲方：（买方）</w:t>
      </w:r>
      <w:r>
        <w:rPr>
          <w:rFonts w:ascii="SimSun" w:hAnsi="SimSun" w:eastAsia="SimSun" w:cs="SimSun"/>
          <w:color w:val="000000"/>
          <w:sz w:val="22"/>
          <w:u w:val="single"/>
        </w:rPr>
        <w:t xml:space="preserve">盐城市公安局</w:t>
      </w:r>
      <w:r/>
    </w:p>
    <w:p>
      <w:pPr>
        <w:ind w:left="0" w:right="0" w:firstLine="0"/>
        <w:jc w:val="both"/>
        <w:spacing w:before="120" w:after="12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乙方：（卖方）_________</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甲、乙双方根据</w:t>
      </w:r>
      <w:r>
        <w:rPr>
          <w:rFonts w:ascii="SimSun" w:hAnsi="SimSun" w:eastAsia="SimSun" w:cs="SimSun"/>
          <w:color w:val="000000"/>
          <w:sz w:val="22"/>
          <w:u w:val="single"/>
        </w:rPr>
        <w:t xml:space="preserve">盐城市公安局交通管理支队道路交通事故司法鉴定服务采购项目</w:t>
      </w:r>
      <w:r>
        <w:rPr>
          <w:rFonts w:ascii="SimSun" w:hAnsi="SimSun" w:eastAsia="SimSun" w:cs="SimSun"/>
          <w:color w:val="000000"/>
          <w:sz w:val="22"/>
        </w:rPr>
        <w:t xml:space="preserve">公开招标的结果，签署本合同。</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一、合同内容</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1.1详见附件《分项报价表》</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1.2服务期限：本合同服务期限为1年。</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二、合同金额</w:t>
      </w:r>
      <w:r/>
    </w:p>
    <w:p>
      <w:pPr>
        <w:ind w:left="0" w:right="0" w:firstLine="42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2.1本合同成交优惠率为：</w:t>
      </w:r>
      <w:r>
        <w:rPr>
          <w:rFonts w:ascii="SimSun" w:hAnsi="SimSun" w:eastAsia="SimSun" w:cs="SimSun"/>
          <w:color w:val="000000"/>
          <w:sz w:val="21"/>
          <w:u w:val="single"/>
        </w:rPr>
        <w:t xml:space="preserve">         </w:t>
      </w:r>
      <w:r>
        <w:rPr>
          <w:rFonts w:ascii="SimSun" w:hAnsi="SimSun" w:eastAsia="SimSun" w:cs="SimSun"/>
          <w:color w:val="000000"/>
          <w:sz w:val="22"/>
        </w:rPr>
        <w:t xml:space="preserve">%。本合同项下成交服务单价：</w:t>
      </w:r>
      <w:r/>
    </w:p>
    <w:tbl>
      <w:tblPr>
        <w:tblStyle w:val="15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1"/>
        <w:gridCol w:w="1020"/>
        <w:gridCol w:w="1706"/>
        <w:gridCol w:w="1524"/>
        <w:gridCol w:w="3568"/>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鉴定项目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鉴定细目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中标服务单价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备注</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车辆安全技术状况鉴定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车辆类型鉴定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判断涉案车辆的类型（如机动车、非机动车）</w:t>
            </w:r>
            <w:r/>
          </w:p>
        </w:tc>
      </w:tr>
      <w:tr>
        <w:trPr>
          <w:trHeight w:val="46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非机动车安全技术状况鉴定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车辆相关技术状况或性能的符合性（如制动系、转向系、行驶系、灯光、信号装置等）</w:t>
            </w:r>
            <w:r/>
          </w:p>
        </w:tc>
      </w:tr>
      <w:tr>
        <w:trPr>
          <w:trHeight w:val="38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二、三轮摩托车安全技术状况鉴定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3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小型机动车安全技术状况鉴定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22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大、中型机动车安全技术状况鉴定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整体分离痕迹鉴定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通过检验判断分离物体之间是否存在整体分离关系</w:t>
            </w:r>
            <w:r/>
          </w:p>
        </w:tc>
      </w:tr>
      <w:tr>
        <w:trPr>
          <w:trHeight w:val="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车辆速度鉴定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同一事故中每多一辆车加收</w:t>
            </w:r>
            <w:r>
              <w:rPr>
                <w:rFonts w:ascii="SimSun" w:hAnsi="SimSun" w:eastAsia="SimSun" w:cs="SimSun"/>
                <w:color w:val="000000"/>
                <w:sz w:val="22"/>
              </w:rPr>
              <w:t xml:space="preserve">1000</w:t>
            </w:r>
            <w:r>
              <w:rPr>
                <w:rFonts w:ascii="Arial" w:hAnsi="Arial" w:eastAsia="Arial" w:cs="Arial"/>
                <w:color w:val="000000"/>
                <w:sz w:val="22"/>
              </w:rPr>
              <w:t xml:space="preserve">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根据道路交通事故现场痕迹和资料、视频图像、车辆行驶记录信息等，判断事故瞬间速度（如碰撞、倾覆或坠落等瞬间的速度），采取避险措施时的速度（如采取制动、转向等避险措施时的速度），在某段距离、时间或过程的平均行驶速度及速度变化状态等。）</w:t>
            </w:r>
            <w:r/>
          </w:p>
        </w:tc>
      </w:tr>
      <w:tr>
        <w:trPr>
          <w:trHeight w:val="2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交通事故痕迹鉴定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玻璃破碎痕迹鉴定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2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车辆轮迹鉴定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2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车辆碰撞痕迹（包括是否发生过接触碰撞、接触碰撞部位和碰撞形态等）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同一事故中（二辆车以上）每多一辆车加收</w:t>
            </w:r>
            <w:r>
              <w:rPr>
                <w:rFonts w:ascii="SimSun" w:hAnsi="SimSun" w:eastAsia="SimSun" w:cs="SimSun"/>
                <w:color w:val="000000"/>
                <w:sz w:val="22"/>
              </w:rPr>
              <w:t xml:space="preserve">1000</w:t>
            </w:r>
            <w:r>
              <w:rPr>
                <w:rFonts w:ascii="Arial" w:hAnsi="Arial" w:eastAsia="Arial" w:cs="Arial"/>
                <w:color w:val="000000"/>
                <w:sz w:val="22"/>
              </w:rPr>
              <w:t xml:space="preserve">元</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交通事故痕迹物证综合鉴定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交通行为方式鉴定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同一事故中每多一辆车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加收</w:t>
            </w:r>
            <w:r>
              <w:rPr>
                <w:rFonts w:ascii="SimSun" w:hAnsi="SimSun" w:eastAsia="SimSun" w:cs="SimSun"/>
                <w:color w:val="000000"/>
                <w:sz w:val="22"/>
              </w:rPr>
              <w:t xml:space="preserve">1000</w:t>
            </w:r>
            <w:r>
              <w:rPr>
                <w:rFonts w:ascii="Arial" w:hAnsi="Arial" w:eastAsia="Arial" w:cs="Arial"/>
                <w:color w:val="000000"/>
                <w:sz w:val="22"/>
              </w:rPr>
              <w:t xml:space="preserve">元</w:t>
            </w:r>
            <w:r/>
          </w:p>
        </w:tc>
      </w:tr>
      <w:tr>
        <w:trPr>
          <w:trHeight w:val="13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交通信号灯指示状态鉴定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同一事故中每多一辆车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加收</w:t>
            </w:r>
            <w:r>
              <w:rPr>
                <w:rFonts w:ascii="SimSun" w:hAnsi="SimSun" w:eastAsia="SimSun" w:cs="SimSun"/>
                <w:color w:val="000000"/>
                <w:sz w:val="22"/>
              </w:rPr>
              <w:t xml:space="preserve">1000</w:t>
            </w:r>
            <w:r>
              <w:rPr>
                <w:rFonts w:ascii="Arial" w:hAnsi="Arial" w:eastAsia="Arial" w:cs="Arial"/>
                <w:color w:val="000000"/>
                <w:sz w:val="22"/>
              </w:rPr>
              <w:t xml:space="preserve">元</w:t>
            </w:r>
            <w:r/>
          </w:p>
        </w:tc>
      </w:tr>
      <w:tr>
        <w:trPr>
          <w:trHeight w:val="15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轮胎破损原因鉴定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同一事故中每多一辆车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加收</w:t>
            </w:r>
            <w:r>
              <w:rPr>
                <w:rFonts w:ascii="SimSun" w:hAnsi="SimSun" w:eastAsia="SimSun" w:cs="SimSun"/>
                <w:color w:val="000000"/>
                <w:sz w:val="22"/>
              </w:rPr>
              <w:t xml:space="preserve">1000</w:t>
            </w:r>
            <w:r>
              <w:rPr>
                <w:rFonts w:ascii="Arial" w:hAnsi="Arial" w:eastAsia="Arial" w:cs="Arial"/>
                <w:color w:val="000000"/>
                <w:sz w:val="22"/>
              </w:rPr>
              <w:t xml:space="preserve">元</w:t>
            </w:r>
            <w:r/>
          </w:p>
        </w:tc>
      </w:tr>
      <w:tr>
        <w:trPr>
          <w:trHeight w:val="1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车辆灯光状态鉴定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同一事故中每多一辆车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加收</w:t>
            </w:r>
            <w:r>
              <w:rPr>
                <w:rFonts w:ascii="SimSun" w:hAnsi="SimSun" w:eastAsia="SimSun" w:cs="SimSun"/>
                <w:color w:val="000000"/>
                <w:sz w:val="22"/>
              </w:rPr>
              <w:t xml:space="preserve">1000</w:t>
            </w:r>
            <w:r>
              <w:rPr>
                <w:rFonts w:ascii="Arial" w:hAnsi="Arial" w:eastAsia="Arial" w:cs="Arial"/>
                <w:color w:val="000000"/>
                <w:sz w:val="22"/>
              </w:rPr>
              <w:t xml:space="preserve">元</w:t>
            </w:r>
            <w:r/>
          </w:p>
        </w:tc>
      </w:tr>
      <w:tr>
        <w:trPr>
          <w:trHeight w:val="1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其它属于交通事故痕迹物证综合鉴定项目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同一事故中每多一辆车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加收</w:t>
            </w:r>
            <w:r>
              <w:rPr>
                <w:rFonts w:ascii="SimSun" w:hAnsi="SimSun" w:eastAsia="SimSun" w:cs="SimSun"/>
                <w:color w:val="000000"/>
                <w:sz w:val="22"/>
              </w:rPr>
              <w:t xml:space="preserve">1000</w:t>
            </w:r>
            <w:r>
              <w:rPr>
                <w:rFonts w:ascii="Arial" w:hAnsi="Arial" w:eastAsia="Arial" w:cs="Arial"/>
                <w:color w:val="000000"/>
                <w:sz w:val="22"/>
              </w:rPr>
              <w:t xml:space="preserve">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车辆起火原因鉴定（火灾痕迹鉴定</w:t>
            </w:r>
            <w:r>
              <w:rPr>
                <w:rFonts w:ascii="SimSun" w:hAnsi="SimSun" w:eastAsia="SimSun" w:cs="SimSun"/>
                <w:color w:val="000000"/>
                <w:sz w:val="22"/>
              </w:rPr>
              <w:t xml:space="preserve">+</w:t>
            </w:r>
            <w:r>
              <w:rPr>
                <w:rFonts w:ascii="Arial" w:hAnsi="Arial" w:eastAsia="Arial" w:cs="Arial"/>
                <w:color w:val="000000"/>
                <w:sz w:val="22"/>
              </w:rPr>
              <w:t xml:space="preserve">火灾微量物证鉴定）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同一事故中每多一辆车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加收</w:t>
            </w:r>
            <w:r>
              <w:rPr>
                <w:rFonts w:ascii="SimSun" w:hAnsi="SimSun" w:eastAsia="SimSun" w:cs="SimSun"/>
                <w:color w:val="000000"/>
                <w:sz w:val="22"/>
              </w:rPr>
              <w:t xml:space="preserve">2500</w:t>
            </w:r>
            <w:r>
              <w:rPr>
                <w:rFonts w:ascii="Arial" w:hAnsi="Arial" w:eastAsia="Arial" w:cs="Arial"/>
                <w:color w:val="000000"/>
                <w:sz w:val="22"/>
              </w:rPr>
              <w:t xml:space="preserve">元</w:t>
            </w:r>
            <w:r/>
          </w:p>
        </w:tc>
      </w:tr>
      <w:tr>
        <w:trPr>
          <w:trHeight w:val="5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其它鉴定服务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按照物价相关规定确定价格×（1-</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本项系指除本表序号“</w:t>
            </w:r>
            <w:r>
              <w:rPr>
                <w:rFonts w:ascii="SimSun" w:hAnsi="SimSun" w:eastAsia="SimSun" w:cs="SimSun"/>
                <w:color w:val="000000"/>
                <w:sz w:val="22"/>
              </w:rPr>
              <w:t xml:space="preserve">1</w:t>
            </w:r>
            <w:r>
              <w:rPr>
                <w:rFonts w:ascii="Arial" w:hAnsi="Arial" w:eastAsia="Arial" w:cs="Arial"/>
                <w:color w:val="000000"/>
                <w:sz w:val="22"/>
              </w:rPr>
              <w:t xml:space="preserve">”至“</w:t>
            </w:r>
            <w:r>
              <w:rPr>
                <w:rFonts w:ascii="SimSun" w:hAnsi="SimSun" w:eastAsia="SimSun" w:cs="SimSun"/>
                <w:color w:val="000000"/>
                <w:sz w:val="22"/>
              </w:rPr>
              <w:t xml:space="preserve">6</w:t>
            </w:r>
            <w:r>
              <w:rPr>
                <w:rFonts w:ascii="Arial" w:hAnsi="Arial" w:eastAsia="Arial" w:cs="Arial"/>
                <w:color w:val="000000"/>
                <w:sz w:val="22"/>
              </w:rPr>
              <w:t xml:space="preserve">”项以外的其它检测项目（如需实施，须具有相应的鉴定许可资格）</w:t>
            </w:r>
            <w:r/>
          </w:p>
        </w:tc>
      </w:tr>
    </w:tbl>
    <w:p>
      <w:pPr>
        <w:ind w:left="0" w:right="0" w:firstLine="42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2.2结算说明：</w:t>
      </w:r>
      <w:r/>
    </w:p>
    <w:p>
      <w:pPr>
        <w:ind w:left="0" w:right="0" w:firstLine="442"/>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服务单价</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各检验项目服务单价限价×（</w:t>
      </w:r>
      <w:r>
        <w:rPr>
          <w:rFonts w:ascii="Times New Roman" w:hAnsi="Times New Roman" w:eastAsia="Times New Roman" w:cs="Times New Roman"/>
          <w:b/>
          <w:color w:val="000000"/>
          <w:sz w:val="22"/>
        </w:rPr>
        <w:t xml:space="preserve">1-</w:t>
      </w:r>
      <w:r>
        <w:rPr>
          <w:rFonts w:ascii="SimSun" w:hAnsi="SimSun" w:eastAsia="SimSun" w:cs="SimSun"/>
          <w:b/>
          <w:color w:val="000000"/>
          <w:sz w:val="22"/>
        </w:rPr>
        <w:t xml:space="preserve">优惠率）。</w:t>
      </w:r>
      <w:r/>
    </w:p>
    <w:p>
      <w:pPr>
        <w:ind w:left="0" w:right="0" w:firstLine="42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服务费用结算价=∑（各检验项目实际工作量×对应成交服务单价）。</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本项目按照实际工作量进行服务费用结算，若服务期限内结算金额超过本项目采购预算（本项目一年采购预算为人民币壹佰贰拾万元整），则按采购预算结算。</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三、技术资料</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3.1乙方应按招标文件规定的时间向甲方提供服务（包含与服务相关的货物）的有关技术资料。</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四、知识产权</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五、产权担保</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乙方保证所交付的服务（包含与服务相关的货物）的所有权完全属于乙方且无任何抵押、查封等产权瑕疵。</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六、履约保证金</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6.1乙方交纳人民币_________元作为本合同的履约保证金。</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备注：履约保证金金额为合同金额的5%，乙方提供AA评级及以上政府采购信用管理部门备案的第三方信用报告，免收履约保证金。</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6.2确需收取履约保证金的，履约保证金的缴纳形式：</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6.2.2 如以履约保函（保险）形式缴纳履约保证金，供应商可通过政府采购电子履约保函（保险）平台（www.jsdzbh.com）在线申请履约保函（保险）。</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6.3合同履行结束后，甲方应及时退还交纳的履约保证金。</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6.4履约保证金的退还：</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6.4.1方式：退还至投标人缴纳履约保证金的账户。如为保函，在到期时自行失效。</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6.4.2时间：验收合格且采购人收到发票后30日内。</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6.4.3条件：按合同要求全部履约完成并经采购人验收合格，且采购人收到中标人出具的发票。</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6.4.4不予退还情形：</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除不可抗力情况外，投标人出现下列情形之一的，其履约保证金，招标人将视情节决定不予退还或部分不予退还。</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（1）中标人无正当理由拒绝签订合同的，或者在签订合同时向采购人提出附加条件或者更改合同实质性内容要求的；</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（2）中标人不履行与采购人订立的合同的；</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（3）中标人所供货物或服务不符合招标文件规定要求的；</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（4）中标人采取欺骗、弄虚作假方式投标的或与其它投标人串通投标的；</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（5）中标人将合同内容转包、违法分包的；</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（6）中标人故意捏造事实或伪造证明材料，进行虚假恶意投诉或反映的。</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七、合同转包或分包</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7.1乙方不得将合同标的转包给他人履行。</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7.2乙方不得将合同标的分包给他人履行。</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7.3乙方如有转包或未经甲方同意的分包行为，甲方有权解除合同。</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八、合同款项支付</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8.1合同款项的支付方式及进度安排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w:t>
      </w:r>
      <w:r>
        <w:rPr>
          <w:rFonts w:ascii="SimSun" w:hAnsi="SimSun" w:eastAsia="SimSun" w:cs="SimSun"/>
          <w:color w:val="000000"/>
          <w:sz w:val="22"/>
        </w:rPr>
        <w:t xml:space="preserve">合同签订，甲方自收到发票十个工作日内支付合同金额的</w:t>
      </w:r>
      <w:r>
        <w:rPr>
          <w:rFonts w:ascii="Times New Roman" w:hAnsi="Times New Roman" w:eastAsia="Times New Roman" w:cs="Times New Roman"/>
          <w:color w:val="000000"/>
          <w:sz w:val="22"/>
        </w:rPr>
        <w:t xml:space="preserve">30%</w:t>
      </w:r>
      <w:r>
        <w:rPr>
          <w:rFonts w:ascii="SimSun" w:hAnsi="SimSun" w:eastAsia="SimSun" w:cs="SimSun"/>
          <w:color w:val="000000"/>
          <w:sz w:val="22"/>
        </w:rPr>
        <w:t xml:space="preserve">作为预付款，服务费用按季度进行支付。</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w:t>
      </w:r>
      <w:r>
        <w:rPr>
          <w:rFonts w:ascii="SimSun" w:hAnsi="SimSun" w:eastAsia="SimSun" w:cs="SimSun"/>
          <w:color w:val="000000"/>
          <w:sz w:val="22"/>
        </w:rPr>
        <w:t xml:space="preserve">以最终的中标单价及实际发生的服务工作量进行结算。说明：第一个月或第二月不结算，服务费用由预付款抵扣，不足金额按实结算。</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九、税费</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本合同执行中相关的一切税费均由乙方负担。</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十、项目验收</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10.1甲方依法组织履约验收工作。</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如乙方未按约定时间完成验收，每逾期一日，应向甲方支付500元/日的违约金，由甲方从待付合同款项中扣除。</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10.3对于实际使用人和甲方分离的项目，甲方邀请实际使用人参与验收。</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10.4如有必要，甲方邀请参加本项目的其他供应商或第三方专业机构及专家参与验收，相关意见将作为验收书的参考资料。</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2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十一、违约责任</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12.1甲方无正当理由拒收的，甲方向乙方偿付拒收货款总值的百分之五违约金。</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12.2甲方无故逾期验收和办理货款支付手续的，甲方应按逾期付款总额每日万分之五向乙方支付违约金。</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乙方逾期交付合同标的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乙方所交的服务不符合项目需求要求的、国家有关质量标准的，甲方有权拒收，乙方愿意更换但逾期交付的，按乙方逾期交付处理。乙方拒绝更换的或乙方响应文件承诺事项未达标或未实现的，甲方可单方面解除合同，并由乙方赔偿由此造成的甲方全部损失。</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乙方违反本合同“安全要求”相关内容的，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乙方工作人员违反本合同“安全要求”相关内容的，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r/>
    </w:p>
    <w:p>
      <w:pPr>
        <w:ind w:left="0" w:right="0" w:firstLine="42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十二、不可抗力事件处理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13.1在合同有效期内，任何一方因不可抗力事件导致不能履行合同，则合同履行期可延长，其延长期与不可抗力影响期相同。</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13.2不可抗力事件发生后，应立即通知对方，并寄送有关权威机构出具的证明。</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13.3不可抗力事件延续120天以上，双方应通过友好协商，确定是否继续履行合同。</w:t>
      </w:r>
      <w:r/>
    </w:p>
    <w:p>
      <w:pPr>
        <w:ind w:left="0" w:right="0" w:firstLine="42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十三、诉讼</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14.1双方在执行合同中所发生的一切争议，应通过协商解决。如协商不成，可向合同签订地法院起诉，合同签订地在此约定为盐城市。</w:t>
      </w:r>
      <w:r/>
    </w:p>
    <w:p>
      <w:pPr>
        <w:ind w:left="0" w:right="0" w:firstLine="42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十四、合同生效及其它</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15.1合同经双方法定代表人或授权委托代表人签字并加盖单位公章后生效。</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15.2本合同未尽事宜，遵照《中华人民共和国民法典》有关条文执行。</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15.3本合同正本一式陆份，具有同等法律效力，甲方、乙方各执叁份。</w:t>
      </w:r>
      <w:r/>
    </w:p>
    <w:p>
      <w:pPr>
        <w:ind w:left="0" w:right="0" w:firstLine="63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w:t>
      </w:r>
      <w:r>
        <w:rPr>
          <w:rFonts w:ascii="SimSun" w:hAnsi="SimSun" w:eastAsia="SimSun" w:cs="SimSun"/>
          <w:color w:val="000000"/>
          <w:sz w:val="21"/>
        </w:rPr>
        <w:t xml:space="preserve"> </w:t>
      </w:r>
      <w:r>
        <w:rPr>
          <w:rFonts w:ascii="SimSun" w:hAnsi="SimSun" w:eastAsia="SimSun" w:cs="SimSun"/>
          <w:color w:val="000000"/>
          <w:sz w:val="22"/>
        </w:rPr>
        <w:t xml:space="preserve">方：乙</w:t>
      </w:r>
      <w:r>
        <w:rPr>
          <w:rFonts w:ascii="SimSun" w:hAnsi="SimSun" w:eastAsia="SimSun" w:cs="SimSun"/>
          <w:color w:val="000000"/>
          <w:sz w:val="21"/>
        </w:rPr>
        <w:t xml:space="preserve"> </w:t>
      </w:r>
      <w:r>
        <w:rPr>
          <w:rFonts w:ascii="SimSun" w:hAnsi="SimSun" w:eastAsia="SimSun" w:cs="SimSun"/>
          <w:color w:val="000000"/>
          <w:sz w:val="22"/>
        </w:rPr>
        <w:t xml:space="preserve">方：</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地</w:t>
      </w:r>
      <w:r>
        <w:rPr>
          <w:rFonts w:ascii="SimSun" w:hAnsi="SimSun" w:eastAsia="SimSun" w:cs="SimSun"/>
          <w:color w:val="000000"/>
          <w:sz w:val="21"/>
        </w:rPr>
        <w:t xml:space="preserve"> </w:t>
      </w:r>
      <w:r>
        <w:rPr>
          <w:rFonts w:ascii="SimSun" w:hAnsi="SimSun" w:eastAsia="SimSun" w:cs="SimSun"/>
          <w:color w:val="000000"/>
          <w:sz w:val="22"/>
        </w:rPr>
        <w:t xml:space="preserve">址：地</w:t>
      </w:r>
      <w:r>
        <w:rPr>
          <w:rFonts w:ascii="SimSun" w:hAnsi="SimSun" w:eastAsia="SimSun" w:cs="SimSun"/>
          <w:color w:val="000000"/>
          <w:sz w:val="21"/>
        </w:rPr>
        <w:t xml:space="preserve"> </w:t>
      </w:r>
      <w:r>
        <w:rPr>
          <w:rFonts w:ascii="SimSun" w:hAnsi="SimSun" w:eastAsia="SimSun" w:cs="SimSun"/>
          <w:color w:val="000000"/>
          <w:sz w:val="22"/>
        </w:rPr>
        <w:t xml:space="preserve">址：</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法定代表人或授权代表：法定代表人或授权代表：</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电</w:t>
      </w:r>
      <w:r>
        <w:rPr>
          <w:rFonts w:ascii="SimSun" w:hAnsi="SimSun" w:eastAsia="SimSun" w:cs="SimSun"/>
          <w:color w:val="000000"/>
          <w:sz w:val="21"/>
        </w:rPr>
        <w:t xml:space="preserve"> </w:t>
      </w:r>
      <w:r>
        <w:rPr>
          <w:rFonts w:ascii="SimSun" w:hAnsi="SimSun" w:eastAsia="SimSun" w:cs="SimSun"/>
          <w:color w:val="000000"/>
          <w:sz w:val="22"/>
        </w:rPr>
        <w:t xml:space="preserve">话：电</w:t>
      </w:r>
      <w:r>
        <w:rPr>
          <w:rFonts w:ascii="SimSun" w:hAnsi="SimSun" w:eastAsia="SimSun" w:cs="SimSun"/>
          <w:color w:val="000000"/>
          <w:sz w:val="21"/>
        </w:rPr>
        <w:t xml:space="preserve"> </w:t>
      </w:r>
      <w:r>
        <w:rPr>
          <w:rFonts w:ascii="SimSun" w:hAnsi="SimSun" w:eastAsia="SimSun" w:cs="SimSun"/>
          <w:color w:val="000000"/>
          <w:sz w:val="22"/>
        </w:rPr>
        <w:t xml:space="preserve">话：</w:t>
      </w:r>
      <w:r/>
    </w:p>
    <w:p>
      <w:pPr>
        <w:ind w:left="0" w:right="0" w:firstLine="483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090"/>
        <w:jc w:val="right"/>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w:t>
      </w:r>
      <w:r>
        <w:rPr>
          <w:rFonts w:ascii="SimSun" w:hAnsi="SimSun" w:eastAsia="SimSun" w:cs="SimSun"/>
          <w:color w:val="000000"/>
          <w:sz w:val="22"/>
        </w:rPr>
        <w:t xml:space="preserve">期：年月日</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附件：</w:t>
      </w:r>
      <w:r/>
    </w:p>
    <w:p>
      <w:pPr>
        <w:ind w:left="0" w:right="0" w:firstLine="0"/>
        <w:jc w:val="center"/>
        <w:spacing w:before="0" w:after="0" w:line="5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项目建设供应商承诺函</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对未列出的其他事项，严格按照法律法规等具体规定执行。</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现承诺，我单位在履行</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的项目建设中，将严格按照提示函的内容和要求执行，如若违反愿意承担相应的责任。</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供应商项目负责人（签字）：联系方式：</w:t>
      </w:r>
      <w:r/>
    </w:p>
    <w:p>
      <w:pPr>
        <w:ind w:left="0" w:right="0" w:firstLine="48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第四章   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项目属性:服务类项目。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w:t>
      </w:r>
      <w:r>
        <w:rPr>
          <w:rFonts w:ascii="Arial" w:hAnsi="Arial" w:eastAsia="Arial" w:cs="Arial"/>
          <w:b/>
          <w:color w:val="000000"/>
          <w:sz w:val="22"/>
        </w:rPr>
        <w:t xml:space="preserve">司法鉴定项目内容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根据《中华人民共和国道路交通安全法》、《道路交通事故处理程序规定》等有关法律法规的规定，在处理交通事故时，为查明案情，解决案件中某些专门性问题，应当指派、聘请有专门知识的人进行检验鉴定。为进一步规范道路交通事故处理检验鉴定工作，根据《政府采购法》的相关规定，自</w:t>
      </w:r>
      <w:r>
        <w:rPr>
          <w:rFonts w:ascii="SimSun" w:hAnsi="SimSun" w:eastAsia="SimSun" w:cs="SimSun"/>
          <w:color w:val="000000"/>
          <w:sz w:val="22"/>
        </w:rPr>
        <w:t xml:space="preserve">2013</w:t>
      </w:r>
      <w:r>
        <w:rPr>
          <w:rFonts w:ascii="Arial" w:hAnsi="Arial" w:eastAsia="Arial" w:cs="Arial"/>
          <w:color w:val="000000"/>
          <w:sz w:val="22"/>
        </w:rPr>
        <w:t xml:space="preserve">年起对道路交通事故处理中涉及的痕迹检验鉴定、理化检验鉴定、文件检验鉴定、声像资料检验、电子证据检验鉴定等司法检验鉴定项目的委托机构实施政府采购。</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1.</w:t>
      </w:r>
      <w:r>
        <w:rPr>
          <w:rFonts w:ascii="Arial" w:hAnsi="Arial" w:eastAsia="Arial" w:cs="Arial"/>
          <w:b/>
          <w:color w:val="000000"/>
          <w:sz w:val="22"/>
        </w:rPr>
        <w:t xml:space="preserve">司法鉴定具体项目内容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1</w:t>
      </w:r>
      <w:r>
        <w:rPr>
          <w:rFonts w:ascii="Arial" w:hAnsi="Arial" w:eastAsia="Arial" w:cs="Arial"/>
          <w:color w:val="000000"/>
          <w:sz w:val="22"/>
        </w:rPr>
        <w:t xml:space="preserve">）车辆安全技术状况鉴定（</w:t>
      </w:r>
      <w:r>
        <w:rPr>
          <w:rFonts w:ascii="Calibri" w:hAnsi="Calibri" w:eastAsia="Calibri" w:cs="Calibri"/>
          <w:color w:val="000000"/>
          <w:sz w:val="22"/>
        </w:rPr>
        <w:t xml:space="preserve">021101</w:t>
      </w:r>
      <w:r>
        <w:rPr>
          <w:rFonts w:ascii="Arial" w:hAnsi="Arial" w:eastAsia="Arial" w:cs="Arial"/>
          <w:color w:val="000000"/>
          <w:sz w:val="22"/>
        </w:rPr>
        <w:t xml:space="preserve">）：①车辆类型鉴定：判断涉案车辆的类型（如机动车、非机动车）；②车辆安全技术状况进行检验：判断车辆相关技术状况或性能的符合性（如制动系、转向系、行驶系、灯光、信号装置等）；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2</w:t>
      </w:r>
      <w:r>
        <w:rPr>
          <w:rFonts w:ascii="Arial" w:hAnsi="Arial" w:eastAsia="Arial" w:cs="Arial"/>
          <w:color w:val="000000"/>
          <w:sz w:val="22"/>
        </w:rPr>
        <w:t xml:space="preserve">）交通事故痕迹鉴定（</w:t>
      </w:r>
      <w:r>
        <w:rPr>
          <w:rFonts w:ascii="Calibri" w:hAnsi="Calibri" w:eastAsia="Calibri" w:cs="Calibri"/>
          <w:color w:val="000000"/>
          <w:sz w:val="22"/>
        </w:rPr>
        <w:t xml:space="preserve">021103</w:t>
      </w:r>
      <w:r>
        <w:rPr>
          <w:rFonts w:ascii="Arial" w:hAnsi="Arial" w:eastAsia="Arial" w:cs="Arial"/>
          <w:color w:val="000000"/>
          <w:sz w:val="22"/>
        </w:rPr>
        <w:t xml:space="preserve">）：①车辆碰撞痕迹鉴定；②接触碰撞部位和形态鉴定等；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3</w:t>
      </w:r>
      <w:r>
        <w:rPr>
          <w:rFonts w:ascii="Arial" w:hAnsi="Arial" w:eastAsia="Arial" w:cs="Arial"/>
          <w:color w:val="000000"/>
          <w:sz w:val="22"/>
        </w:rPr>
        <w:t xml:space="preserve">）车辆速度鉴定（</w:t>
      </w:r>
      <w:r>
        <w:rPr>
          <w:rFonts w:ascii="Calibri" w:hAnsi="Calibri" w:eastAsia="Calibri" w:cs="Calibri"/>
          <w:color w:val="000000"/>
          <w:sz w:val="22"/>
        </w:rPr>
        <w:t xml:space="preserve">021104</w:t>
      </w:r>
      <w:r>
        <w:rPr>
          <w:rFonts w:ascii="Arial" w:hAnsi="Arial" w:eastAsia="Arial" w:cs="Arial"/>
          <w:color w:val="000000"/>
          <w:sz w:val="22"/>
        </w:rPr>
        <w:t xml:space="preserve">）：①视频录像车速鉴定；②力学计算车速鉴定；③</w:t>
      </w:r>
      <w:r>
        <w:rPr>
          <w:rFonts w:ascii="Calibri" w:hAnsi="Calibri" w:eastAsia="Calibri" w:cs="Calibri"/>
          <w:color w:val="000000"/>
          <w:sz w:val="22"/>
        </w:rPr>
        <w:t xml:space="preserve">EDR</w:t>
      </w:r>
      <w:r>
        <w:rPr>
          <w:rFonts w:ascii="Arial" w:hAnsi="Arial" w:eastAsia="Arial" w:cs="Arial"/>
          <w:color w:val="000000"/>
          <w:sz w:val="22"/>
        </w:rPr>
        <w:t xml:space="preserve">提取车速鉴定；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4</w:t>
      </w:r>
      <w:r>
        <w:rPr>
          <w:rFonts w:ascii="Arial" w:hAnsi="Arial" w:eastAsia="Arial" w:cs="Arial"/>
          <w:color w:val="000000"/>
          <w:sz w:val="22"/>
        </w:rPr>
        <w:t xml:space="preserve">）交通事故痕迹物证综合鉴定（</w:t>
      </w:r>
      <w:r>
        <w:rPr>
          <w:rFonts w:ascii="Calibri" w:hAnsi="Calibri" w:eastAsia="Calibri" w:cs="Calibri"/>
          <w:color w:val="000000"/>
          <w:sz w:val="22"/>
        </w:rPr>
        <w:t xml:space="preserve">021105</w:t>
      </w:r>
      <w:r>
        <w:rPr>
          <w:rFonts w:ascii="Arial" w:hAnsi="Arial" w:eastAsia="Arial" w:cs="Arial"/>
          <w:color w:val="000000"/>
          <w:sz w:val="22"/>
        </w:rPr>
        <w:t xml:space="preserve">）：①轮胎破损原因鉴定；②交通行为方式鉴定；③交通信号灯指示状态鉴定；④其它交通事故痕迹物证综合鉴定项目；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5</w:t>
      </w:r>
      <w:r>
        <w:rPr>
          <w:rFonts w:ascii="Arial" w:hAnsi="Arial" w:eastAsia="Arial" w:cs="Arial"/>
          <w:color w:val="000000"/>
          <w:sz w:val="22"/>
        </w:rPr>
        <w:t xml:space="preserve">）整体分离痕迹鉴定（</w:t>
      </w:r>
      <w:r>
        <w:rPr>
          <w:rFonts w:ascii="Calibri" w:hAnsi="Calibri" w:eastAsia="Calibri" w:cs="Calibri"/>
          <w:color w:val="000000"/>
          <w:sz w:val="22"/>
        </w:rPr>
        <w:t xml:space="preserve">0205</w:t>
      </w:r>
      <w:r>
        <w:rPr>
          <w:rFonts w:ascii="Arial" w:hAnsi="Arial" w:eastAsia="Arial" w:cs="Arial"/>
          <w:color w:val="000000"/>
          <w:sz w:val="22"/>
        </w:rPr>
        <w:t xml:space="preserve">）：判断分离物体之间是否存在整体分离关系；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）微量物证鉴定：交通事故涉及的油漆、橡胶、塑料、玻璃、纤维、金属、易燃物质等的物理性质、化学性质和成分组成的检验检测，以及上述材料的比较检验和种类判别。</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2.</w:t>
      </w:r>
      <w:r>
        <w:rPr>
          <w:rFonts w:ascii="Arial" w:hAnsi="Arial" w:eastAsia="Arial" w:cs="Arial"/>
          <w:b/>
          <w:color w:val="000000"/>
          <w:sz w:val="22"/>
        </w:rPr>
        <w:t xml:space="preserve">采购依据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本项目采购需求依据以下法律法规、部门规章、标准规范及政策文件制定：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1</w:t>
      </w:r>
      <w:r>
        <w:rPr>
          <w:rFonts w:ascii="Arial" w:hAnsi="Arial" w:eastAsia="Arial" w:cs="Arial"/>
          <w:color w:val="000000"/>
          <w:sz w:val="22"/>
        </w:rPr>
        <w:t xml:space="preserve">）《中华人民共和国政府采购法》及其实施条例；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2</w:t>
      </w:r>
      <w:r>
        <w:rPr>
          <w:rFonts w:ascii="Arial" w:hAnsi="Arial" w:eastAsia="Arial" w:cs="Arial"/>
          <w:color w:val="000000"/>
          <w:sz w:val="22"/>
        </w:rPr>
        <w:t xml:space="preserve">）《中华人民共和国道路交通安全法》及其实施条例；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3</w:t>
      </w:r>
      <w:r>
        <w:rPr>
          <w:rFonts w:ascii="Arial" w:hAnsi="Arial" w:eastAsia="Arial" w:cs="Arial"/>
          <w:color w:val="000000"/>
          <w:sz w:val="22"/>
        </w:rPr>
        <w:t xml:space="preserve">）《全国人民代表大会常务委员会关于司法鉴定管理问题的决定》；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4</w:t>
      </w:r>
      <w:r>
        <w:rPr>
          <w:rFonts w:ascii="Arial" w:hAnsi="Arial" w:eastAsia="Arial" w:cs="Arial"/>
          <w:color w:val="000000"/>
          <w:sz w:val="22"/>
        </w:rPr>
        <w:t xml:space="preserve">）《</w:t>
      </w:r>
      <w:r>
        <w:rPr>
          <w:rFonts w:ascii="Arial" w:hAnsi="Arial" w:eastAsia="Arial" w:cs="Arial"/>
          <w:color w:val="000000"/>
          <w:sz w:val="22"/>
          <w:u w:val="none"/>
        </w:rPr>
        <w:t xml:space="preserve">江苏省道路交通安全条例</w:t>
      </w:r>
      <w:r>
        <w:rPr>
          <w:rFonts w:ascii="Arial" w:hAnsi="Arial" w:eastAsia="Arial" w:cs="Arial"/>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5</w:t>
      </w:r>
      <w:r>
        <w:rPr>
          <w:rFonts w:ascii="Arial" w:hAnsi="Arial" w:eastAsia="Arial" w:cs="Arial"/>
          <w:color w:val="000000"/>
          <w:sz w:val="22"/>
        </w:rPr>
        <w:t xml:space="preserve">）《政府采购需求管理办法》（财库〔</w:t>
      </w:r>
      <w:r>
        <w:rPr>
          <w:rFonts w:ascii="Calibri" w:hAnsi="Calibri" w:eastAsia="Calibri" w:cs="Calibri"/>
          <w:color w:val="000000"/>
          <w:sz w:val="22"/>
        </w:rPr>
        <w:t xml:space="preserve">2021</w:t>
      </w:r>
      <w:r>
        <w:rPr>
          <w:rFonts w:ascii="Arial" w:hAnsi="Arial" w:eastAsia="Arial" w:cs="Arial"/>
          <w:color w:val="000000"/>
          <w:sz w:val="22"/>
        </w:rPr>
        <w:t xml:space="preserve">〕</w:t>
      </w:r>
      <w:r>
        <w:rPr>
          <w:rFonts w:ascii="Calibri" w:hAnsi="Calibri" w:eastAsia="Calibri" w:cs="Calibri"/>
          <w:color w:val="000000"/>
          <w:sz w:val="22"/>
        </w:rPr>
        <w:t xml:space="preserve">22</w:t>
      </w:r>
      <w:r>
        <w:rPr>
          <w:rFonts w:ascii="Arial" w:hAnsi="Arial" w:eastAsia="Arial" w:cs="Arial"/>
          <w:color w:val="000000"/>
          <w:sz w:val="22"/>
        </w:rPr>
        <w:t xml:space="preserve">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6</w:t>
      </w:r>
      <w:r>
        <w:rPr>
          <w:rFonts w:ascii="Arial" w:hAnsi="Arial" w:eastAsia="Arial" w:cs="Arial"/>
          <w:color w:val="000000"/>
          <w:sz w:val="22"/>
        </w:rPr>
        <w:t xml:space="preserve">）《司法鉴定程序通则》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3.</w:t>
      </w:r>
      <w:r>
        <w:rPr>
          <w:rFonts w:ascii="Arial" w:hAnsi="Arial" w:eastAsia="Arial" w:cs="Arial"/>
          <w:b/>
          <w:color w:val="000000"/>
          <w:sz w:val="22"/>
        </w:rPr>
        <w:t xml:space="preserve">检测依据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本项目司法鉴定活动应当优先适用国家标准；没有国家标准的，适用行业标准；没有国家标准和行业标准的，适用地方标准；没有上述标准的，适用该专业领域多数专家认可的技术标准和技术规范。主要标准包括但不限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1</w:t>
      </w:r>
      <w:r>
        <w:rPr>
          <w:rFonts w:ascii="Arial" w:hAnsi="Arial" w:eastAsia="Arial" w:cs="Arial"/>
          <w:color w:val="000000"/>
          <w:sz w:val="22"/>
        </w:rPr>
        <w:t xml:space="preserve">）《道路交通事故车辆安全技术检验鉴定》（</w:t>
      </w:r>
      <w:r>
        <w:rPr>
          <w:rFonts w:ascii="Calibri" w:hAnsi="Calibri" w:eastAsia="Calibri" w:cs="Calibri"/>
          <w:color w:val="000000"/>
          <w:sz w:val="22"/>
        </w:rPr>
        <w:t xml:space="preserve">GA/T</w:t>
      </w:r>
      <w:r>
        <w:rPr>
          <w:rFonts w:ascii="SimSun" w:hAnsi="SimSun" w:eastAsia="SimSun" w:cs="SimSun"/>
          <w:color w:val="000000"/>
          <w:sz w:val="21"/>
        </w:rPr>
        <w:t xml:space="preserve"> </w:t>
      </w:r>
      <w:r>
        <w:rPr>
          <w:rFonts w:ascii="Calibri" w:hAnsi="Calibri" w:eastAsia="Calibri" w:cs="Calibri"/>
          <w:color w:val="000000"/>
          <w:sz w:val="22"/>
        </w:rPr>
        <w:t xml:space="preserve">642-2020</w:t>
      </w:r>
      <w:r>
        <w:rPr>
          <w:rFonts w:ascii="Arial" w:hAnsi="Arial" w:eastAsia="Arial" w:cs="Arial"/>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2</w:t>
      </w:r>
      <w:r>
        <w:rPr>
          <w:rFonts w:ascii="Arial" w:hAnsi="Arial" w:eastAsia="Arial" w:cs="Arial"/>
          <w:color w:val="000000"/>
          <w:sz w:val="22"/>
        </w:rPr>
        <w:t xml:space="preserve">）《典型交通事故形态车辆行驶速度技术鉴定》（</w:t>
      </w:r>
      <w:r>
        <w:rPr>
          <w:rFonts w:ascii="Calibri" w:hAnsi="Calibri" w:eastAsia="Calibri" w:cs="Calibri"/>
          <w:color w:val="000000"/>
          <w:sz w:val="22"/>
        </w:rPr>
        <w:t xml:space="preserve">GA/T</w:t>
      </w:r>
      <w:r>
        <w:rPr>
          <w:rFonts w:ascii="SimSun" w:hAnsi="SimSun" w:eastAsia="SimSun" w:cs="SimSun"/>
          <w:color w:val="000000"/>
          <w:sz w:val="21"/>
        </w:rPr>
        <w:t xml:space="preserve"> </w:t>
      </w:r>
      <w:r>
        <w:rPr>
          <w:rFonts w:ascii="Calibri" w:hAnsi="Calibri" w:eastAsia="Calibri" w:cs="Calibri"/>
          <w:color w:val="000000"/>
          <w:sz w:val="22"/>
        </w:rPr>
        <w:t xml:space="preserve">643-2006</w:t>
      </w:r>
      <w:r>
        <w:rPr>
          <w:rFonts w:ascii="Arial" w:hAnsi="Arial" w:eastAsia="Arial" w:cs="Arial"/>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3</w:t>
      </w:r>
      <w:r>
        <w:rPr>
          <w:rFonts w:ascii="Arial" w:hAnsi="Arial" w:eastAsia="Arial" w:cs="Arial"/>
          <w:color w:val="000000"/>
          <w:sz w:val="22"/>
        </w:rPr>
        <w:t xml:space="preserve">）《道路交通事故痕迹鉴定》（</w:t>
      </w:r>
      <w:r>
        <w:rPr>
          <w:rFonts w:ascii="Calibri" w:hAnsi="Calibri" w:eastAsia="Calibri" w:cs="Calibri"/>
          <w:color w:val="000000"/>
          <w:sz w:val="22"/>
        </w:rPr>
        <w:t xml:space="preserve">GA/T 1087-2021</w:t>
      </w:r>
      <w:r>
        <w:rPr>
          <w:rFonts w:ascii="Arial" w:hAnsi="Arial" w:eastAsia="Arial" w:cs="Arial"/>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4</w:t>
      </w:r>
      <w:r>
        <w:rPr>
          <w:rFonts w:ascii="Arial" w:hAnsi="Arial" w:eastAsia="Arial" w:cs="Arial"/>
          <w:color w:val="000000"/>
          <w:sz w:val="22"/>
        </w:rPr>
        <w:t xml:space="preserve">）《道路交通事故车辆速度鉴定》（</w:t>
      </w:r>
      <w:r>
        <w:rPr>
          <w:rFonts w:ascii="Calibri" w:hAnsi="Calibri" w:eastAsia="Calibri" w:cs="Calibri"/>
          <w:color w:val="000000"/>
          <w:sz w:val="22"/>
        </w:rPr>
        <w:t xml:space="preserve">GB/T 33195-2016</w:t>
      </w:r>
      <w:r>
        <w:rPr>
          <w:rFonts w:ascii="Arial" w:hAnsi="Arial" w:eastAsia="Arial" w:cs="Arial"/>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5</w:t>
      </w:r>
      <w:r>
        <w:rPr>
          <w:rFonts w:ascii="Arial" w:hAnsi="Arial" w:eastAsia="Arial" w:cs="Arial"/>
          <w:color w:val="000000"/>
          <w:sz w:val="22"/>
        </w:rPr>
        <w:t xml:space="preserve">）《道路交通事故痕迹物证鉴定通用规范》（</w:t>
      </w:r>
      <w:r>
        <w:rPr>
          <w:rFonts w:ascii="Calibri" w:hAnsi="Calibri" w:eastAsia="Calibri" w:cs="Calibri"/>
          <w:color w:val="000000"/>
          <w:sz w:val="22"/>
        </w:rPr>
        <w:t xml:space="preserve">SF/T 0072-2020</w:t>
      </w:r>
      <w:r>
        <w:rPr>
          <w:rFonts w:ascii="Arial" w:hAnsi="Arial" w:eastAsia="Arial" w:cs="Arial"/>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6</w:t>
      </w:r>
      <w:r>
        <w:rPr>
          <w:rFonts w:ascii="Arial" w:hAnsi="Arial" w:eastAsia="Arial" w:cs="Arial"/>
          <w:color w:val="000000"/>
          <w:sz w:val="22"/>
        </w:rPr>
        <w:t xml:space="preserve">）《道路交通事故现场痕迹物证勘查》（</w:t>
      </w:r>
      <w:r>
        <w:rPr>
          <w:rFonts w:ascii="Calibri" w:hAnsi="Calibri" w:eastAsia="Calibri" w:cs="Calibri"/>
          <w:color w:val="000000"/>
          <w:sz w:val="22"/>
        </w:rPr>
        <w:t xml:space="preserve">GA/T 41-2019</w:t>
      </w:r>
      <w:r>
        <w:rPr>
          <w:rFonts w:ascii="Arial" w:hAnsi="Arial" w:eastAsia="Arial" w:cs="Arial"/>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7</w:t>
      </w:r>
      <w:r>
        <w:rPr>
          <w:rFonts w:ascii="Arial" w:hAnsi="Arial" w:eastAsia="Arial" w:cs="Arial"/>
          <w:color w:val="000000"/>
          <w:sz w:val="22"/>
        </w:rPr>
        <w:t xml:space="preserve">）《道路交通事故现场勘查照相》（</w:t>
      </w:r>
      <w:r>
        <w:rPr>
          <w:rFonts w:ascii="Calibri" w:hAnsi="Calibri" w:eastAsia="Calibri" w:cs="Calibri"/>
          <w:color w:val="000000"/>
          <w:sz w:val="22"/>
        </w:rPr>
        <w:t xml:space="preserve">GA/T 50-2019</w:t>
      </w:r>
      <w:r>
        <w:rPr>
          <w:rFonts w:ascii="Arial" w:hAnsi="Arial" w:eastAsia="Arial" w:cs="Arial"/>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8</w:t>
      </w:r>
      <w:r>
        <w:rPr>
          <w:rFonts w:ascii="Arial" w:hAnsi="Arial" w:eastAsia="Arial" w:cs="Arial"/>
          <w:color w:val="000000"/>
          <w:sz w:val="22"/>
        </w:rPr>
        <w:t xml:space="preserve">）《机动车运行安全技术条件》（</w:t>
      </w:r>
      <w:r>
        <w:rPr>
          <w:rFonts w:ascii="Calibri" w:hAnsi="Calibri" w:eastAsia="Calibri" w:cs="Calibri"/>
          <w:color w:val="000000"/>
          <w:sz w:val="22"/>
        </w:rPr>
        <w:t xml:space="preserve">GB 7258</w:t>
      </w:r>
      <w:r>
        <w:rPr>
          <w:rFonts w:ascii="Arial" w:hAnsi="Arial" w:eastAsia="Arial" w:cs="Arial"/>
          <w:color w:val="000000"/>
          <w:sz w:val="22"/>
        </w:rPr>
        <w:t xml:space="preserve">—</w:t>
      </w:r>
      <w:r>
        <w:rPr>
          <w:rFonts w:ascii="Calibri" w:hAnsi="Calibri" w:eastAsia="Calibri" w:cs="Calibri"/>
          <w:color w:val="000000"/>
          <w:sz w:val="22"/>
        </w:rPr>
        <w:t xml:space="preserve">2017</w:t>
      </w:r>
      <w:r>
        <w:rPr>
          <w:rFonts w:ascii="Arial" w:hAnsi="Arial" w:eastAsia="Arial" w:cs="Arial"/>
          <w:color w:val="000000"/>
          <w:sz w:val="22"/>
        </w:rPr>
        <w:t xml:space="preserve">及其修改单）；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9</w:t>
      </w:r>
      <w:r>
        <w:rPr>
          <w:rFonts w:ascii="Arial" w:hAnsi="Arial" w:eastAsia="Arial" w:cs="Arial"/>
          <w:color w:val="000000"/>
          <w:sz w:val="22"/>
        </w:rPr>
        <w:t xml:space="preserve">）《</w:t>
      </w:r>
      <w:hyperlink r:id="rId14" w:tooltip="https://std.samr.gov.cn/gb/search/gbDetailed?id=2B8C8FCCA01EF91FE06397BE0A0A56EE" w:history="1">
        <w:r>
          <w:rPr>
            <w:rStyle w:val="1526"/>
            <w:rFonts w:ascii="Arial" w:hAnsi="Arial" w:eastAsia="Arial" w:cs="Arial"/>
            <w:color w:val="0000ee"/>
            <w:sz w:val="22"/>
            <w:u w:val="single"/>
          </w:rPr>
          <w:t xml:space="preserve">电动自行车安全技术规范</w:t>
        </w:r>
      </w:hyperlink>
      <w:r>
        <w:rPr>
          <w:rFonts w:ascii="Arial" w:hAnsi="Arial" w:eastAsia="Arial" w:cs="Arial"/>
          <w:color w:val="000000"/>
          <w:sz w:val="22"/>
        </w:rPr>
        <w:t xml:space="preserve">》（</w:t>
      </w:r>
      <w:hyperlink r:id="rId15" w:tooltip="https://std.samr.gov.cn/gb/search/gbDetailed?id=2B8C8FCCA01EF91FE06397BE0A0A56EE" w:history="1">
        <w:r>
          <w:rPr>
            <w:rStyle w:val="1526"/>
            <w:rFonts w:ascii="Calibri" w:hAnsi="Calibri" w:eastAsia="Calibri" w:cs="Calibri"/>
            <w:color w:val="0000ee"/>
            <w:sz w:val="22"/>
            <w:u w:val="single"/>
          </w:rPr>
          <w:t xml:space="preserve">GB 17761-2024</w:t>
        </w:r>
      </w:hyperlink>
      <w:r>
        <w:rPr>
          <w:rFonts w:ascii="Arial" w:hAnsi="Arial" w:eastAsia="Arial" w:cs="Arial"/>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10</w:t>
      </w:r>
      <w:r>
        <w:rPr>
          <w:rFonts w:ascii="Arial" w:hAnsi="Arial" w:eastAsia="Arial" w:cs="Arial"/>
          <w:color w:val="000000"/>
          <w:sz w:val="22"/>
        </w:rPr>
        <w:t xml:space="preserve">）《道路交通事故涉案者交通行为方式鉴定规范》（</w:t>
      </w:r>
      <w:r>
        <w:rPr>
          <w:rFonts w:ascii="Calibri" w:hAnsi="Calibri" w:eastAsia="Calibri" w:cs="Calibri"/>
          <w:color w:val="000000"/>
          <w:sz w:val="22"/>
        </w:rPr>
        <w:t xml:space="preserve">SF/T 0162-2023</w:t>
      </w:r>
      <w:r>
        <w:rPr>
          <w:rFonts w:ascii="Arial" w:hAnsi="Arial" w:eastAsia="Arial" w:cs="Arial"/>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不具备前款规定的技术标准和技术规范的，可以采用所属司法鉴定机构自行制定的、经</w:t>
      </w:r>
      <w:r>
        <w:rPr>
          <w:rFonts w:ascii="SimSun" w:hAnsi="SimSun" w:eastAsia="SimSun" w:cs="SimSun"/>
          <w:color w:val="000000"/>
          <w:sz w:val="22"/>
        </w:rPr>
        <w:t xml:space="preserve">招标</w:t>
      </w:r>
      <w:r>
        <w:rPr>
          <w:rFonts w:ascii="Arial" w:hAnsi="Arial" w:eastAsia="Arial" w:cs="Arial"/>
          <w:color w:val="000000"/>
          <w:sz w:val="22"/>
        </w:rPr>
        <w:t xml:space="preserve">人认可的有关技术规范。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鉴定机构无正当理由选用与委托事项不匹配的、违法或不当的鉴定标准和技术规范的，应当承担相应责任。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4.</w:t>
      </w:r>
      <w:r>
        <w:rPr>
          <w:rFonts w:ascii="Arial" w:hAnsi="Arial" w:eastAsia="Arial" w:cs="Arial"/>
          <w:b/>
          <w:color w:val="000000"/>
          <w:sz w:val="22"/>
        </w:rPr>
        <w:t xml:space="preserve">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1</w:t>
      </w:r>
      <w:r>
        <w:rPr>
          <w:rFonts w:ascii="Arial" w:hAnsi="Arial" w:eastAsia="Arial" w:cs="Arial"/>
          <w:color w:val="000000"/>
          <w:sz w:val="22"/>
        </w:rPr>
        <w:t xml:space="preserve">）服务响应时间：自接到通知后立即做出响应，</w:t>
      </w:r>
      <w:r>
        <w:rPr>
          <w:rFonts w:ascii="Calibri" w:hAnsi="Calibri" w:eastAsia="Calibri" w:cs="Calibri"/>
          <w:color w:val="000000"/>
          <w:sz w:val="21"/>
        </w:rPr>
        <w:t xml:space="preserve">1</w:t>
      </w:r>
      <w:r>
        <w:rPr>
          <w:rFonts w:ascii="Arial" w:hAnsi="Arial" w:eastAsia="Arial" w:cs="Arial"/>
          <w:color w:val="000000"/>
          <w:sz w:val="22"/>
        </w:rPr>
        <w:t xml:space="preserve">小时内赶赴现场开展检测、鉴定工作，一次死亡</w:t>
      </w:r>
      <w:r>
        <w:rPr>
          <w:rFonts w:ascii="Calibri" w:hAnsi="Calibri" w:eastAsia="Calibri" w:cs="Calibri"/>
          <w:color w:val="000000"/>
          <w:sz w:val="22"/>
        </w:rPr>
        <w:t xml:space="preserve">3</w:t>
      </w:r>
      <w:r>
        <w:rPr>
          <w:rFonts w:ascii="Arial" w:hAnsi="Arial" w:eastAsia="Arial" w:cs="Arial"/>
          <w:color w:val="000000"/>
          <w:sz w:val="22"/>
        </w:rPr>
        <w:t xml:space="preserve">人以上的较大事故，鉴定人要随同交警大队赶赴现场实地勘查，全天</w:t>
      </w:r>
      <w:r>
        <w:rPr>
          <w:rFonts w:ascii="Calibri" w:hAnsi="Calibri" w:eastAsia="Calibri" w:cs="Calibri"/>
          <w:color w:val="000000"/>
          <w:sz w:val="22"/>
        </w:rPr>
        <w:t xml:space="preserve">24</w:t>
      </w:r>
      <w:r>
        <w:rPr>
          <w:rFonts w:ascii="Arial" w:hAnsi="Arial" w:eastAsia="Arial" w:cs="Arial"/>
          <w:color w:val="000000"/>
          <w:sz w:val="22"/>
        </w:rPr>
        <w:t xml:space="preserve">小时提供服务。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2</w:t>
      </w:r>
      <w:r>
        <w:rPr>
          <w:rFonts w:ascii="Arial" w:hAnsi="Arial" w:eastAsia="Arial" w:cs="Arial"/>
          <w:color w:val="000000"/>
          <w:sz w:val="22"/>
        </w:rPr>
        <w:t xml:space="preserve">）鉴定文书要求：</w:t>
      </w:r>
      <w:r>
        <w:rPr>
          <w:rFonts w:ascii="Arial" w:hAnsi="Arial" w:eastAsia="Arial" w:cs="Arial"/>
          <w:color w:val="000000"/>
          <w:sz w:val="22"/>
          <w:highlight w:val="white"/>
        </w:rPr>
        <w:t xml:space="preserve">鉴定文书应当严格依照司法部规定的统一司法鉴定文书格式制作，内容应当准确、清晰、客观和明确地报告每一项或一系列鉴定工作的结果，并且应当包括采购人要求的、说明鉴定结果所必需的和所用方法要求的全部信息</w:t>
      </w:r>
      <w:r>
        <w:rPr>
          <w:rFonts w:ascii="Arial" w:hAnsi="Arial" w:eastAsia="Arial" w:cs="Arial"/>
          <w:color w:val="000000"/>
          <w:sz w:val="22"/>
        </w:rPr>
        <w:t xml:space="preserve">；</w:t>
      </w:r>
      <w:r>
        <w:rPr>
          <w:rFonts w:ascii="Arial" w:hAnsi="Arial" w:eastAsia="Arial" w:cs="Arial"/>
          <w:color w:val="000000"/>
          <w:sz w:val="22"/>
          <w:highlight w:val="white"/>
        </w:rPr>
        <w:t xml:space="preserve">鉴定文书应当由主持鉴定的司法鉴定人签名并加盖司法鉴定机构司法鉴定专用章；鉴定文书分析说明部分应当充分、合理，有据可依，不得有逻辑断层或主观臆断；每份鉴定文书应当明确包含但不限于以下内容：委托单位及委托事项、送检材料概况、鉴定过程与方法、分析说明、鉴定意见、鉴定人签名及资质编号、鉴定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3</w:t>
      </w:r>
      <w:r>
        <w:rPr>
          <w:rFonts w:ascii="Arial" w:hAnsi="Arial" w:eastAsia="Arial" w:cs="Arial"/>
          <w:color w:val="000000"/>
          <w:sz w:val="22"/>
        </w:rPr>
        <w:t xml:space="preserve">）鉴定意见书出具时间：</w:t>
      </w:r>
      <w:r>
        <w:rPr>
          <w:rFonts w:ascii="Arial" w:hAnsi="Arial" w:eastAsia="Arial" w:cs="Arial"/>
          <w:color w:val="000000"/>
          <w:sz w:val="22"/>
          <w:highlight w:val="white"/>
        </w:rPr>
        <w:t xml:space="preserve">投标人应当在法律规定的时限或采购人委托要求的时限内出具鉴定文书。根据《司法鉴定程序通则》第二十八条规定，司法鉴定机构应当在与委托人签订司法鉴定协议书之日起</w:t>
      </w:r>
      <w:r>
        <w:rPr>
          <w:rFonts w:ascii="Segoe UI" w:hAnsi="Segoe UI" w:eastAsia="Segoe UI" w:cs="Segoe UI"/>
          <w:b/>
          <w:color w:val="000000"/>
          <w:sz w:val="22"/>
          <w:highlight w:val="white"/>
        </w:rPr>
        <w:t xml:space="preserve">30</w:t>
      </w:r>
      <w:r>
        <w:rPr>
          <w:rFonts w:ascii="Arial" w:hAnsi="Arial" w:eastAsia="Arial" w:cs="Arial"/>
          <w:b/>
          <w:color w:val="000000"/>
          <w:sz w:val="22"/>
          <w:highlight w:val="white"/>
        </w:rPr>
        <w:t xml:space="preserve">个工作日</w:t>
      </w:r>
      <w:r>
        <w:rPr>
          <w:rFonts w:ascii="Arial" w:hAnsi="Arial" w:eastAsia="Arial" w:cs="Arial"/>
          <w:color w:val="000000"/>
          <w:sz w:val="22"/>
          <w:highlight w:val="white"/>
        </w:rPr>
        <w:t xml:space="preserve">内完成委托事项的鉴定。鉴定事项涉及复杂、疑难、特殊技术问题的，经本机构负责人批准，完成鉴定的时限可以延长，延长时限一般不得超过</w:t>
      </w:r>
      <w:r>
        <w:rPr>
          <w:rFonts w:ascii="Segoe UI" w:hAnsi="Segoe UI" w:eastAsia="Segoe UI" w:cs="Segoe UI"/>
          <w:b/>
          <w:color w:val="000000"/>
          <w:sz w:val="22"/>
          <w:highlight w:val="white"/>
        </w:rPr>
        <w:t xml:space="preserve">30</w:t>
      </w:r>
      <w:r>
        <w:rPr>
          <w:rFonts w:ascii="Arial" w:hAnsi="Arial" w:eastAsia="Arial" w:cs="Arial"/>
          <w:b/>
          <w:color w:val="000000"/>
          <w:sz w:val="22"/>
          <w:highlight w:val="white"/>
        </w:rPr>
        <w:t xml:space="preserve">个工作日</w:t>
      </w:r>
      <w:r>
        <w:rPr>
          <w:rFonts w:ascii="Arial" w:hAnsi="Arial" w:eastAsia="Arial" w:cs="Arial"/>
          <w:color w:val="000000"/>
          <w:sz w:val="22"/>
          <w:highlight w:val="white"/>
        </w:rPr>
        <w:t xml:space="preserve">。鉴定时限延长的，应当及时告知委托人</w:t>
      </w:r>
      <w:r>
        <w:rPr>
          <w:rFonts w:ascii="Arial" w:hAnsi="Arial" w:eastAsia="Arial" w:cs="Arial"/>
          <w:color w:val="000000"/>
          <w:sz w:val="22"/>
        </w:rPr>
        <w:t xml:space="preserve">；遇特殊情况仍不能完成的，须报请市级公安机关交通管理部门批准。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4</w:t>
      </w:r>
      <w:r>
        <w:rPr>
          <w:rFonts w:ascii="Arial" w:hAnsi="Arial" w:eastAsia="Arial" w:cs="Arial"/>
          <w:color w:val="000000"/>
          <w:sz w:val="22"/>
        </w:rPr>
        <w:t xml:space="preserve">）参与现场实地勘查的工作人员必须着装整齐、举止文明，鉴定人员能够自行到达指定地点开展鉴定工作或提取与鉴定有关的检材，并积极配合</w:t>
      </w:r>
      <w:r>
        <w:rPr>
          <w:rFonts w:ascii="SimSun" w:hAnsi="SimSun" w:eastAsia="SimSun" w:cs="SimSun"/>
          <w:color w:val="000000"/>
          <w:sz w:val="22"/>
        </w:rPr>
        <w:t xml:space="preserve">招标</w:t>
      </w:r>
      <w:r>
        <w:rPr>
          <w:rFonts w:ascii="Arial" w:hAnsi="Arial" w:eastAsia="Arial" w:cs="Arial"/>
          <w:color w:val="000000"/>
          <w:sz w:val="22"/>
        </w:rPr>
        <w:t xml:space="preserve">人的工作安排。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5</w:t>
      </w:r>
      <w:r>
        <w:rPr>
          <w:rFonts w:ascii="Arial" w:hAnsi="Arial" w:eastAsia="Arial" w:cs="Arial"/>
          <w:color w:val="000000"/>
          <w:sz w:val="22"/>
        </w:rPr>
        <w:t xml:space="preserve">）建立与</w:t>
      </w:r>
      <w:r>
        <w:rPr>
          <w:rFonts w:ascii="SimSun" w:hAnsi="SimSun" w:eastAsia="SimSun" w:cs="SimSun"/>
          <w:color w:val="000000"/>
          <w:sz w:val="22"/>
        </w:rPr>
        <w:t xml:space="preserve">招标</w:t>
      </w:r>
      <w:r>
        <w:rPr>
          <w:rFonts w:ascii="Arial" w:hAnsi="Arial" w:eastAsia="Arial" w:cs="Arial"/>
          <w:color w:val="000000"/>
          <w:sz w:val="22"/>
        </w:rPr>
        <w:t xml:space="preserve">人定期交流制度，及时与</w:t>
      </w:r>
      <w:r>
        <w:rPr>
          <w:rFonts w:ascii="SimSun" w:hAnsi="SimSun" w:eastAsia="SimSun" w:cs="SimSun"/>
          <w:color w:val="000000"/>
          <w:sz w:val="22"/>
        </w:rPr>
        <w:t xml:space="preserve">招标</w:t>
      </w:r>
      <w:r>
        <w:rPr>
          <w:rFonts w:ascii="Arial" w:hAnsi="Arial" w:eastAsia="Arial" w:cs="Arial"/>
          <w:color w:val="000000"/>
          <w:sz w:val="22"/>
        </w:rPr>
        <w:t xml:space="preserve">人沟通，及早上报检测结果；与</w:t>
      </w:r>
      <w:r>
        <w:rPr>
          <w:rFonts w:ascii="SimSun" w:hAnsi="SimSun" w:eastAsia="SimSun" w:cs="SimSun"/>
          <w:color w:val="000000"/>
          <w:sz w:val="22"/>
        </w:rPr>
        <w:t xml:space="preserve">招标</w:t>
      </w:r>
      <w:r>
        <w:rPr>
          <w:rFonts w:ascii="Arial" w:hAnsi="Arial" w:eastAsia="Arial" w:cs="Arial"/>
          <w:color w:val="000000"/>
          <w:sz w:val="22"/>
        </w:rPr>
        <w:t xml:space="preserve">人代表、工作人员随时交流，虚心接受</w:t>
      </w:r>
      <w:r>
        <w:rPr>
          <w:rFonts w:ascii="SimSun" w:hAnsi="SimSun" w:eastAsia="SimSun" w:cs="SimSun"/>
          <w:color w:val="000000"/>
          <w:sz w:val="22"/>
        </w:rPr>
        <w:t xml:space="preserve">招标</w:t>
      </w:r>
      <w:r>
        <w:rPr>
          <w:rFonts w:ascii="Arial" w:hAnsi="Arial" w:eastAsia="Arial" w:cs="Arial"/>
          <w:color w:val="000000"/>
          <w:sz w:val="22"/>
        </w:rPr>
        <w:t xml:space="preserve">人的监督及意见，及时改进工作方法和服务方式，提高服务水平。</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5.</w:t>
      </w:r>
      <w:r>
        <w:rPr>
          <w:rFonts w:ascii="Arial" w:hAnsi="Arial" w:eastAsia="Arial" w:cs="Arial"/>
          <w:b/>
          <w:color w:val="000000"/>
          <w:sz w:val="22"/>
        </w:rPr>
        <w:t xml:space="preserve">安全及质量保证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1</w:t>
      </w:r>
      <w:r>
        <w:rPr>
          <w:rFonts w:ascii="Arial" w:hAnsi="Arial" w:eastAsia="Arial" w:cs="Arial"/>
          <w:color w:val="000000"/>
          <w:sz w:val="22"/>
        </w:rPr>
        <w:t xml:space="preserve">）司法鉴定人进行鉴定，应当对鉴定过程进行实时记录并签名。记录可以采取笔记、录音、录像、拍照等方式。记录的内容应当真实、客观、准确、完整、清晰，记录的文本或者音像载体应当妥善保存</w:t>
      </w:r>
      <w:r>
        <w:rPr>
          <w:rFonts w:ascii="Calibri" w:hAnsi="Calibri" w:eastAsia="Calibri" w:cs="Calibri"/>
          <w:color w:val="000000"/>
          <w:sz w:val="22"/>
        </w:rPr>
        <w:t xml:space="preserve">.</w:t>
      </w:r>
      <w:r>
        <w:rPr>
          <w:rFonts w:ascii="Segoe UI" w:hAnsi="Segoe UI" w:eastAsia="Segoe UI" w:cs="Segoe UI"/>
          <w:color w:val="000000"/>
          <w:sz w:val="21"/>
          <w:highlight w:val="white"/>
        </w:rPr>
        <w:t xml:space="preserve"> </w:t>
      </w:r>
      <w:r>
        <w:rPr>
          <w:rFonts w:ascii="Arial" w:hAnsi="Arial" w:eastAsia="Arial" w:cs="Arial"/>
          <w:color w:val="000000"/>
          <w:sz w:val="22"/>
          <w:highlight w:val="white"/>
        </w:rPr>
        <w:t xml:space="preserve">司法鉴定人应对记录的真实性负责。鉴定完成后，鉴定机构应将全部鉴定记录纳入鉴定档案存档管理。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1"/>
        </w:rPr>
        <w:t xml:space="preserve">2</w:t>
      </w:r>
      <w:r>
        <w:rPr>
          <w:rFonts w:ascii="Arial" w:hAnsi="Arial" w:eastAsia="Arial" w:cs="Arial"/>
          <w:color w:val="000000"/>
          <w:sz w:val="22"/>
        </w:rPr>
        <w:t xml:space="preserve">）应有人员管理、设备管理、检材管理、数据管理、安全管理、财务管理、档案管理、交通安全管理方面制度并严格执行。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1"/>
        </w:rPr>
        <w:t xml:space="preserve">3</w:t>
      </w:r>
      <w:r>
        <w:rPr>
          <w:rFonts w:ascii="Arial" w:hAnsi="Arial" w:eastAsia="Arial" w:cs="Arial"/>
          <w:color w:val="000000"/>
          <w:sz w:val="22"/>
        </w:rPr>
        <w:t xml:space="preserve">）质量保证措施</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Arial" w:hAnsi="Arial" w:eastAsia="Arial" w:cs="Arial"/>
          <w:color w:val="000000"/>
          <w:sz w:val="22"/>
        </w:rPr>
        <w:t xml:space="preserve">）鉴定报告意见书内容满足合同及有关规范要求；</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Arial" w:hAnsi="Arial" w:eastAsia="Arial" w:cs="Arial"/>
          <w:color w:val="000000"/>
          <w:sz w:val="22"/>
        </w:rPr>
        <w:t xml:space="preserve">）人员组织满足合同要求；</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Arial" w:hAnsi="Arial" w:eastAsia="Arial" w:cs="Arial"/>
          <w:color w:val="000000"/>
          <w:sz w:val="22"/>
        </w:rPr>
        <w:t xml:space="preserve">）设备仪器的精度满足规范要求，仪器运行正常；</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Arial" w:hAnsi="Arial" w:eastAsia="Arial" w:cs="Arial"/>
          <w:color w:val="000000"/>
          <w:sz w:val="22"/>
        </w:rPr>
        <w:t xml:space="preserve">）鉴定报告意见书的内容齐全、分析合理、结论准确；</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Arial" w:hAnsi="Arial" w:eastAsia="Arial" w:cs="Arial"/>
          <w:color w:val="000000"/>
          <w:sz w:val="22"/>
        </w:rPr>
        <w:t xml:space="preserve">）司法鉴定文书的制作应当符合统一规定的司法鉴定文书格式。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6.</w:t>
      </w:r>
      <w:r>
        <w:rPr>
          <w:rFonts w:ascii="Arial" w:hAnsi="Arial" w:eastAsia="Arial" w:cs="Arial"/>
          <w:b/>
          <w:color w:val="000000"/>
          <w:sz w:val="22"/>
        </w:rPr>
        <w:t xml:space="preserve">其它技术要求：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1</w:t>
      </w:r>
      <w:r>
        <w:rPr>
          <w:rFonts w:ascii="Arial" w:hAnsi="Arial" w:eastAsia="Arial" w:cs="Arial"/>
          <w:color w:val="000000"/>
          <w:sz w:val="22"/>
        </w:rPr>
        <w:t xml:space="preserve">）仪器设备：满足司法部司规</w:t>
      </w:r>
      <w:r>
        <w:rPr>
          <w:rFonts w:ascii="Calibri" w:hAnsi="Calibri" w:eastAsia="Calibri" w:cs="Calibri"/>
          <w:color w:val="000000"/>
          <w:sz w:val="22"/>
        </w:rPr>
        <w:t xml:space="preserve">[2021]2</w:t>
      </w:r>
      <w:r>
        <w:rPr>
          <w:rFonts w:ascii="Arial" w:hAnsi="Arial" w:eastAsia="Arial" w:cs="Arial"/>
          <w:color w:val="000000"/>
          <w:sz w:val="22"/>
        </w:rPr>
        <w:t xml:space="preserve">号《法医类 物证类 声像资料司法鉴定机构登记评审细则》中交通事故痕迹物证鉴定实验室和仪器设备配置要求（不含交通设施安全技术状况鉴定相关设备）。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所使用工具、仪器设备需定期取得质量技术监督局核发的计量校准</w:t>
      </w:r>
      <w:r>
        <w:rPr>
          <w:rFonts w:ascii="Calibri" w:hAnsi="Calibri" w:eastAsia="Calibri" w:cs="Calibri"/>
          <w:color w:val="000000"/>
          <w:sz w:val="21"/>
        </w:rPr>
        <w:t xml:space="preserve">/</w:t>
      </w:r>
      <w:r>
        <w:rPr>
          <w:rFonts w:ascii="Arial" w:hAnsi="Arial" w:eastAsia="Arial" w:cs="Arial"/>
          <w:color w:val="000000"/>
          <w:sz w:val="22"/>
        </w:rPr>
        <w:t xml:space="preserve">检定合格证书。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2</w:t>
      </w:r>
      <w:r>
        <w:rPr>
          <w:rFonts w:ascii="Arial" w:hAnsi="Arial" w:eastAsia="Arial" w:cs="Arial"/>
          <w:color w:val="000000"/>
          <w:sz w:val="22"/>
        </w:rPr>
        <w:t xml:space="preserve">）投标人应公正地实施鉴定，并对其鉴定活动的公正性负责，其最高管理者应对公正性作出承诺性声明；投标人应有政策和程序以避免卷入任何会降低其公正性、诚实性的活动，不允许来自商业、财务或其他方面的压力影响其公正性。投标人需附相关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3</w:t>
      </w:r>
      <w:r>
        <w:rPr>
          <w:rFonts w:ascii="Arial" w:hAnsi="Arial" w:eastAsia="Arial" w:cs="Arial"/>
          <w:color w:val="000000"/>
          <w:sz w:val="22"/>
        </w:rPr>
        <w:t xml:space="preserve">）投标人及其鉴定人在行业内应具有良好的口碑和信誉，投标人需对本单位在行业内的信誉情况（如是否存在被投诉记录等）进行说明，附相关声明。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4</w:t>
      </w:r>
      <w:r>
        <w:rPr>
          <w:rFonts w:ascii="Arial" w:hAnsi="Arial" w:eastAsia="Arial" w:cs="Arial"/>
          <w:color w:val="000000"/>
          <w:sz w:val="22"/>
        </w:rPr>
        <w:t xml:space="preserve">）投标人应对在实施鉴定中获得或产生的所有信息承担管理和保密责任；</w:t>
      </w:r>
      <w:r>
        <w:rPr>
          <w:rFonts w:ascii="Arial" w:hAnsi="Arial" w:eastAsia="Arial" w:cs="Arial"/>
          <w:color w:val="000000"/>
          <w:sz w:val="22"/>
          <w:highlight w:val="white"/>
        </w:rPr>
        <w:t xml:space="preserve">鉴定人应当保守在执业活动中知悉的国家秘密、商业秘密和当事人个人隐私。不得泄露鉴定材料内容及鉴定结果；</w:t>
      </w:r>
      <w:r>
        <w:rPr>
          <w:rFonts w:ascii="Arial" w:hAnsi="Arial" w:eastAsia="Arial" w:cs="Arial"/>
          <w:color w:val="000000"/>
          <w:sz w:val="22"/>
        </w:rPr>
        <w:t xml:space="preserve">投标人拟在公开场合发布招标人委托的检验鉴定项目相关信息时，应事先通知并征得招标人同意。投标人需附相关声明。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5</w:t>
      </w:r>
      <w:r>
        <w:rPr>
          <w:rFonts w:ascii="Arial" w:hAnsi="Arial" w:eastAsia="Arial" w:cs="Arial"/>
          <w:color w:val="000000"/>
          <w:sz w:val="22"/>
        </w:rPr>
        <w:t xml:space="preserve">）投标人应采用组织机构图等方式表明其在母体组织中的地位以及各部门之间的关系，并提供母体组织保证投标人独立性、公正性的声明；投标人应制定文件描述其职能、鉴定业务范围和鉴定业务受理条件，投标人需附公司相关情况介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6</w:t>
      </w:r>
      <w:r>
        <w:rPr>
          <w:rFonts w:ascii="Arial" w:hAnsi="Arial" w:eastAsia="Arial" w:cs="Arial"/>
          <w:color w:val="000000"/>
          <w:sz w:val="22"/>
        </w:rPr>
        <w:t xml:space="preserve">）每个鉴定项目应至少有</w:t>
      </w:r>
      <w:r>
        <w:rPr>
          <w:rFonts w:ascii="Calibri" w:hAnsi="Calibri" w:eastAsia="Calibri" w:cs="Calibri"/>
          <w:color w:val="000000"/>
          <w:sz w:val="21"/>
        </w:rPr>
        <w:t xml:space="preserve">3</w:t>
      </w:r>
      <w:r>
        <w:rPr>
          <w:rFonts w:ascii="Arial" w:hAnsi="Arial" w:eastAsia="Arial" w:cs="Arial"/>
          <w:color w:val="000000"/>
          <w:sz w:val="22"/>
        </w:rPr>
        <w:t xml:space="preserve">名具备相应鉴定执业资格的鉴定人，并且专人专项，不得交叉使用。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鉴定人执业资格：司法鉴定人应当持有省级司法行政机关颁发的《司法鉴定人执业证》，所登记的执业类别应当与其实际从事的鉴定项目相匹配。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鉴定人具有良好的专业背景和培训经历，具备与其所承担的鉴定工作的类型、范围和工作量相适应的能力。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具有交通事故痕迹物证类司法鉴定人资格的，人数达到5人的优先；具有人社部门评定的高级职称</w:t>
      </w:r>
      <w:r>
        <w:rPr>
          <w:rFonts w:ascii="Arial" w:hAnsi="Arial" w:eastAsia="Arial" w:cs="Arial"/>
          <w:color w:val="000000"/>
          <w:sz w:val="22"/>
        </w:rPr>
        <w:t xml:space="preserve">的</w:t>
      </w:r>
      <w:r>
        <w:rPr>
          <w:rFonts w:ascii="SimSun" w:hAnsi="SimSun" w:eastAsia="SimSun" w:cs="SimSun"/>
          <w:color w:val="000000"/>
          <w:sz w:val="22"/>
        </w:rPr>
        <w:t xml:space="preserve">优先。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7</w:t>
      </w:r>
      <w:r>
        <w:rPr>
          <w:rFonts w:ascii="Arial" w:hAnsi="Arial" w:eastAsia="Arial" w:cs="Arial"/>
          <w:color w:val="000000"/>
          <w:sz w:val="22"/>
        </w:rPr>
        <w:t xml:space="preserve">）投标人应有固定、独立的检验鉴定场所满一年以上；实验室、样品室（物证室）、档案室、办公室、接案室、资料室等功能区域划分科学、设置合理，符合工作要求。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8</w:t>
      </w:r>
      <w:r>
        <w:rPr>
          <w:rFonts w:ascii="Arial" w:hAnsi="Arial" w:eastAsia="Arial" w:cs="Arial"/>
          <w:color w:val="000000"/>
          <w:sz w:val="22"/>
        </w:rPr>
        <w:t xml:space="preserve">）投标人应配备充足的满足于鉴定工作需要的设备，当需要使用非本鉴定机构控制下的外部设备时，投标人应确保所用设备的适用性和校准状态。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9</w:t>
      </w:r>
      <w:r>
        <w:rPr>
          <w:rFonts w:ascii="Arial" w:hAnsi="Arial" w:eastAsia="Arial" w:cs="Arial"/>
          <w:color w:val="000000"/>
          <w:sz w:val="22"/>
        </w:rPr>
        <w:t xml:space="preserve">）投标人应有用于检材</w:t>
      </w:r>
      <w:r>
        <w:rPr>
          <w:rFonts w:ascii="Calibri" w:hAnsi="Calibri" w:eastAsia="Calibri" w:cs="Calibri"/>
          <w:color w:val="000000"/>
          <w:sz w:val="21"/>
        </w:rPr>
        <w:t xml:space="preserve">/</w:t>
      </w:r>
      <w:r>
        <w:rPr>
          <w:rFonts w:ascii="Arial" w:hAnsi="Arial" w:eastAsia="Arial" w:cs="Arial"/>
          <w:color w:val="000000"/>
          <w:sz w:val="22"/>
        </w:rPr>
        <w:t xml:space="preserve">样本的运输、接收、处置、保护、存储、保留和</w:t>
      </w:r>
      <w:r>
        <w:rPr>
          <w:rFonts w:ascii="Calibri" w:hAnsi="Calibri" w:eastAsia="Calibri" w:cs="Calibri"/>
          <w:color w:val="000000"/>
          <w:sz w:val="22"/>
        </w:rPr>
        <w:t xml:space="preserve">/</w:t>
      </w:r>
      <w:r>
        <w:rPr>
          <w:rFonts w:ascii="Arial" w:hAnsi="Arial" w:eastAsia="Arial" w:cs="Arial"/>
          <w:color w:val="000000"/>
          <w:sz w:val="22"/>
        </w:rPr>
        <w:t xml:space="preserve">或清理的程序，应对接收、内部传递、处置、保留、返还和清理等过程进行记录，确保</w:t>
      </w:r>
      <w:r>
        <w:rPr>
          <w:rFonts w:ascii="Calibri" w:hAnsi="Calibri" w:eastAsia="Calibri" w:cs="Calibri"/>
          <w:color w:val="000000"/>
          <w:sz w:val="22"/>
        </w:rPr>
        <w:t xml:space="preserve">“</w:t>
      </w:r>
      <w:r>
        <w:rPr>
          <w:rFonts w:ascii="Arial" w:hAnsi="Arial" w:eastAsia="Arial" w:cs="Arial"/>
          <w:color w:val="000000"/>
          <w:sz w:val="22"/>
        </w:rPr>
        <w:t xml:space="preserve">保管链</w:t>
      </w:r>
      <w:r>
        <w:rPr>
          <w:rFonts w:ascii="Calibri" w:hAnsi="Calibri" w:eastAsia="Calibri" w:cs="Calibri"/>
          <w:color w:val="000000"/>
          <w:sz w:val="22"/>
        </w:rPr>
        <w:t xml:space="preserve">”</w:t>
      </w:r>
      <w:r>
        <w:rPr>
          <w:rFonts w:ascii="Arial" w:hAnsi="Arial" w:eastAsia="Arial" w:cs="Arial"/>
          <w:color w:val="000000"/>
          <w:sz w:val="22"/>
        </w:rPr>
        <w:t xml:space="preserve">记录的完整性和可追溯性。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10</w:t>
      </w:r>
      <w:r>
        <w:rPr>
          <w:rFonts w:ascii="Arial" w:hAnsi="Arial" w:eastAsia="Arial" w:cs="Arial"/>
          <w:color w:val="000000"/>
          <w:sz w:val="22"/>
        </w:rPr>
        <w:t xml:space="preserve">）投标人应自觉接受招标人监督，每半年进行一次考核，对因鉴定人员、人数发生变化，不再具备鉴定能力或资质的，或因技术场地、仪器设备、鉴定人能力缺陷无法保证鉴定质量的，招标人有权暂停委托或解除合同另行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11</w:t>
      </w:r>
      <w:r>
        <w:rPr>
          <w:rFonts w:ascii="Arial" w:hAnsi="Arial" w:eastAsia="Arial" w:cs="Arial"/>
          <w:color w:val="000000"/>
          <w:sz w:val="22"/>
        </w:rPr>
        <w:t xml:space="preserve">）中标供应商应自觉接受采购人监督考核，每一年进行一次考核，考核办法参照《</w:t>
      </w:r>
      <w:r>
        <w:rPr>
          <w:rFonts w:ascii="Arial" w:hAnsi="Arial" w:eastAsia="Arial" w:cs="Arial"/>
          <w:color w:val="000000"/>
          <w:sz w:val="22"/>
          <w:u w:val="none"/>
        </w:rPr>
        <w:t xml:space="preserve">道路交通事故鉴定机构服务质量评价办法</w:t>
      </w:r>
      <w:r>
        <w:rPr>
          <w:rFonts w:ascii="Arial" w:hAnsi="Arial" w:eastAsia="Arial" w:cs="Arial"/>
          <w:color w:val="000000"/>
          <w:sz w:val="22"/>
        </w:rPr>
        <w:t xml:space="preserve">（试行）》，考核评分达到</w:t>
      </w:r>
      <w:r>
        <w:rPr>
          <w:rFonts w:ascii="Calibri" w:hAnsi="Calibri" w:eastAsia="Calibri" w:cs="Calibri"/>
          <w:color w:val="000000"/>
          <w:sz w:val="22"/>
        </w:rPr>
        <w:t xml:space="preserve">60</w:t>
      </w:r>
      <w:r>
        <w:rPr>
          <w:rFonts w:ascii="Arial" w:hAnsi="Arial" w:eastAsia="Arial" w:cs="Arial"/>
          <w:color w:val="000000"/>
          <w:sz w:val="22"/>
        </w:rPr>
        <w:t xml:space="preserve">分（含）以上的，续签下一年合同，考核评分低于</w:t>
      </w:r>
      <w:r>
        <w:rPr>
          <w:rFonts w:ascii="Calibri" w:hAnsi="Calibri" w:eastAsia="Calibri" w:cs="Calibri"/>
          <w:color w:val="000000"/>
          <w:sz w:val="22"/>
        </w:rPr>
        <w:t xml:space="preserve">60</w:t>
      </w:r>
      <w:r>
        <w:rPr>
          <w:rFonts w:ascii="Arial" w:hAnsi="Arial" w:eastAsia="Arial" w:cs="Arial"/>
          <w:color w:val="000000"/>
          <w:sz w:val="22"/>
        </w:rPr>
        <w:t xml:space="preserve">分（不含）以下的，采购人有权终止合同。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7.</w:t>
      </w:r>
      <w:r>
        <w:rPr>
          <w:rFonts w:ascii="Arial" w:hAnsi="Arial" w:eastAsia="Arial" w:cs="Arial"/>
          <w:b/>
          <w:color w:val="000000"/>
          <w:sz w:val="22"/>
        </w:rPr>
        <w:t xml:space="preserve">报价要求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本项目采用优惠率报价形式，且所有检验项目的投标优惠率相等，否则本项目作无效投标处理。投标人应在服务单价限价基础上，详细测算成本及风险后投报优惠率（保留小数点后2位）。投标优惠率不得超过100%，否则将作无效投标处理。</w:t>
      </w:r>
      <w:r/>
    </w:p>
    <w:p>
      <w:pPr>
        <w:ind w:left="0" w:right="0" w:firstLine="422"/>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2)结算说明：</w:t>
      </w:r>
      <w:r/>
    </w:p>
    <w:p>
      <w:pPr>
        <w:ind w:left="0" w:right="0" w:firstLine="632"/>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2.1成交服务单价=各检验项目服务单价限价（元）×（1-优惠率）。成交后服务费用结算价=∑（各检验项目实际工作量×对应成交服务单价）。</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2.2本项目按照实际工作量进行服务费用结算，若服务期限内结算总金额超过本项目采购预算，则本项目合同终止。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Arial" w:hAnsi="Arial" w:eastAsia="Arial" w:cs="Arial"/>
          <w:color w:val="000000"/>
          <w:sz w:val="22"/>
        </w:rPr>
        <w:t xml:space="preserve">）本项目服务费用包括服务期限内完成该项目工作所需的所有费用，包括人工费（包括人员工资、社会保险费用、福利费、加班费、人身意外伤害险等）、检验鉴定费、设备工具费、作业服装费、交通费、通讯费、税费等，及政策性文件规定和合同所包含的所有风险、责任等各项应有费用。服务期限内合同价款不因市场因素或政策调整而变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Arial" w:hAnsi="Arial" w:eastAsia="Arial" w:cs="Arial"/>
          <w:color w:val="000000"/>
          <w:sz w:val="22"/>
        </w:rPr>
        <w:t xml:space="preserve">）投标</w:t>
      </w:r>
      <w:r>
        <w:rPr>
          <w:rFonts w:ascii="SimSun" w:hAnsi="SimSun" w:eastAsia="SimSun" w:cs="SimSun"/>
          <w:color w:val="000000"/>
          <w:sz w:val="22"/>
        </w:rPr>
        <w:t xml:space="preserve">人</w:t>
      </w:r>
      <w:r>
        <w:rPr>
          <w:rFonts w:ascii="Arial" w:hAnsi="Arial" w:eastAsia="Arial" w:cs="Arial"/>
          <w:color w:val="000000"/>
          <w:sz w:val="22"/>
        </w:rPr>
        <w:t xml:space="preserve">在报价时应考虑各种风险因素，相关风险因素费用包含在报价中。风险因素包括遇重大活动、检查、突发情况、最低工资调整、社保调整、公积金调整、物价调整、税费调整等。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Arial" w:hAnsi="Arial" w:eastAsia="Arial" w:cs="Arial"/>
          <w:color w:val="000000"/>
          <w:sz w:val="22"/>
        </w:rPr>
        <w:t xml:space="preserve">）</w:t>
      </w:r>
      <w:r>
        <w:rPr>
          <w:rFonts w:ascii="SimSun" w:hAnsi="SimSun" w:eastAsia="SimSun" w:cs="SimSun"/>
          <w:color w:val="000000"/>
          <w:sz w:val="22"/>
        </w:rPr>
        <w:t xml:space="preserve">投标</w:t>
      </w:r>
      <w:r>
        <w:rPr>
          <w:rFonts w:ascii="Arial" w:hAnsi="Arial" w:eastAsia="Arial" w:cs="Arial"/>
          <w:color w:val="000000"/>
          <w:sz w:val="22"/>
        </w:rPr>
        <w:t xml:space="preserve">人各项目报价不应超过下表：</w:t>
      </w:r>
      <w:r/>
    </w:p>
    <w:tbl>
      <w:tblPr>
        <w:tblStyle w:val="15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1187"/>
        <w:gridCol w:w="1777"/>
        <w:gridCol w:w="1231"/>
        <w:gridCol w:w="3615"/>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鉴定项目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鉴定细目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服务单价限价（元</w:t>
            </w:r>
            <w:r>
              <w:rPr>
                <w:rFonts w:ascii="SimSun" w:hAnsi="SimSun" w:eastAsia="SimSun" w:cs="SimSun"/>
                <w:b/>
                <w:color w:val="000000"/>
                <w:sz w:val="22"/>
              </w:rPr>
              <w:t xml:space="preserve">/</w:t>
            </w:r>
            <w:r>
              <w:rPr>
                <w:rFonts w:ascii="Arial" w:hAnsi="Arial" w:eastAsia="Arial" w:cs="Arial"/>
                <w:b/>
                <w:color w:val="000000"/>
                <w:sz w:val="22"/>
              </w:rPr>
              <w:t xml:space="preserve">辆（例））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备注</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车辆安全技术状况鉴定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车辆类型鉴定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判断涉案车辆的类型（如机动车、非机动车）</w:t>
            </w:r>
            <w:r/>
          </w:p>
        </w:tc>
      </w:tr>
      <w:tr>
        <w:trPr>
          <w:trHeight w:val="46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非机动车安全技术状况鉴定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车辆相关技术状况或性能的符合性（如制动系、转向系、行驶系、灯光、信号装置等）</w:t>
            </w:r>
            <w:r/>
          </w:p>
        </w:tc>
      </w:tr>
      <w:tr>
        <w:trPr>
          <w:trHeight w:val="38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二、三轮摩托车安全技术状况鉴定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w:t>
            </w:r>
            <w:r/>
          </w:p>
        </w:tc>
        <w:tc>
          <w:tcPr>
            <w:vMerge w:val="continue"/>
            <w:textDirection w:val="lrTb"/>
            <w:noWrap w:val="false"/>
          </w:tcPr>
          <w:p>
            <w:r/>
            <w:r/>
          </w:p>
        </w:tc>
      </w:tr>
      <w:tr>
        <w:trPr>
          <w:trHeight w:val="3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小型机动车安全技术状况鉴定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c>
          <w:tcPr>
            <w:vMerge w:val="continue"/>
            <w:textDirection w:val="lrTb"/>
            <w:noWrap w:val="false"/>
          </w:tcPr>
          <w:p>
            <w:r/>
            <w:r/>
          </w:p>
        </w:tc>
      </w:tr>
      <w:tr>
        <w:trPr>
          <w:trHeight w:val="22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大、中型机动车安全技术状况鉴定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700</w:t>
            </w:r>
            <w:r/>
          </w:p>
        </w:tc>
        <w:tc>
          <w:tcPr>
            <w:vMerge w:val="continue"/>
            <w:textDirection w:val="lrTb"/>
            <w:noWrap w:val="false"/>
          </w:tcPr>
          <w:p>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整体分离痕迹鉴定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通过检验判断分离物体之间是否存在整体分离关系</w:t>
            </w:r>
            <w:r/>
          </w:p>
        </w:tc>
      </w:tr>
      <w:tr>
        <w:trPr>
          <w:trHeight w:val="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车辆速度鉴定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同一事故中每多一辆车加收</w:t>
            </w:r>
            <w:r>
              <w:rPr>
                <w:rFonts w:ascii="SimSun" w:hAnsi="SimSun" w:eastAsia="SimSun" w:cs="SimSun"/>
                <w:color w:val="000000"/>
                <w:sz w:val="22"/>
              </w:rPr>
              <w:t xml:space="preserve">1000</w:t>
            </w:r>
            <w:r>
              <w:rPr>
                <w:rFonts w:ascii="Arial" w:hAnsi="Arial" w:eastAsia="Arial" w:cs="Arial"/>
                <w:color w:val="000000"/>
                <w:sz w:val="22"/>
              </w:rPr>
              <w:t xml:space="preserve">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根据道路交通事故现场痕迹和资料、视频图像、车辆行驶记录信息等，判断事故瞬间速度（如碰撞、倾覆或坠落等瞬间的速度），采取避险措施时的速度（如采取制动、转向等避险措施时的速度），在某段距离、时间或过程的平均行驶速度及速度变化状态等。）</w:t>
            </w:r>
            <w:r/>
          </w:p>
        </w:tc>
      </w:tr>
      <w:tr>
        <w:trPr>
          <w:trHeight w:val="2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交通事故痕迹鉴定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玻璃破碎痕迹鉴定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2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车辆轮迹鉴定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2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车辆碰撞痕迹（包括是否发生过接触碰撞、接触碰撞部位和碰撞形态等）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同一事故中（二辆车以上）每多一辆车加收</w:t>
            </w:r>
            <w:r>
              <w:rPr>
                <w:rFonts w:ascii="SimSun" w:hAnsi="SimSun" w:eastAsia="SimSun" w:cs="SimSun"/>
                <w:color w:val="000000"/>
                <w:sz w:val="22"/>
              </w:rPr>
              <w:t xml:space="preserve">1000</w:t>
            </w:r>
            <w:r>
              <w:rPr>
                <w:rFonts w:ascii="Arial" w:hAnsi="Arial" w:eastAsia="Arial" w:cs="Arial"/>
                <w:color w:val="000000"/>
                <w:sz w:val="22"/>
              </w:rPr>
              <w:t xml:space="preserve">元</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交通事故痕迹物证综合鉴定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交通行为方式鉴定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同一事故中每多一辆车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加收</w:t>
            </w:r>
            <w:r>
              <w:rPr>
                <w:rFonts w:ascii="SimSun" w:hAnsi="SimSun" w:eastAsia="SimSun" w:cs="SimSun"/>
                <w:color w:val="000000"/>
                <w:sz w:val="22"/>
              </w:rPr>
              <w:t xml:space="preserve">1000</w:t>
            </w:r>
            <w:r>
              <w:rPr>
                <w:rFonts w:ascii="Arial" w:hAnsi="Arial" w:eastAsia="Arial" w:cs="Arial"/>
                <w:color w:val="000000"/>
                <w:sz w:val="22"/>
              </w:rPr>
              <w:t xml:space="preserve">元</w:t>
            </w:r>
            <w:r/>
          </w:p>
        </w:tc>
      </w:tr>
      <w:tr>
        <w:trPr>
          <w:trHeight w:val="13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交通信号灯指示状态鉴定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同一事故中每多一辆车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加收</w:t>
            </w:r>
            <w:r>
              <w:rPr>
                <w:rFonts w:ascii="SimSun" w:hAnsi="SimSun" w:eastAsia="SimSun" w:cs="SimSun"/>
                <w:color w:val="000000"/>
                <w:sz w:val="22"/>
              </w:rPr>
              <w:t xml:space="preserve">1000</w:t>
            </w:r>
            <w:r>
              <w:rPr>
                <w:rFonts w:ascii="Arial" w:hAnsi="Arial" w:eastAsia="Arial" w:cs="Arial"/>
                <w:color w:val="000000"/>
                <w:sz w:val="22"/>
              </w:rPr>
              <w:t xml:space="preserve">元</w:t>
            </w:r>
            <w:r/>
          </w:p>
        </w:tc>
      </w:tr>
      <w:tr>
        <w:trPr>
          <w:trHeight w:val="15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轮胎破损原因鉴定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同一事故中每多一辆车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加收</w:t>
            </w:r>
            <w:r>
              <w:rPr>
                <w:rFonts w:ascii="SimSun" w:hAnsi="SimSun" w:eastAsia="SimSun" w:cs="SimSun"/>
                <w:color w:val="000000"/>
                <w:sz w:val="22"/>
              </w:rPr>
              <w:t xml:space="preserve">1000</w:t>
            </w:r>
            <w:r>
              <w:rPr>
                <w:rFonts w:ascii="Arial" w:hAnsi="Arial" w:eastAsia="Arial" w:cs="Arial"/>
                <w:color w:val="000000"/>
                <w:sz w:val="22"/>
              </w:rPr>
              <w:t xml:space="preserve">元</w:t>
            </w:r>
            <w:r/>
          </w:p>
        </w:tc>
      </w:tr>
      <w:tr>
        <w:trPr>
          <w:trHeight w:val="1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车辆灯光状态鉴定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同一事故中每多一辆车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加收</w:t>
            </w:r>
            <w:r>
              <w:rPr>
                <w:rFonts w:ascii="SimSun" w:hAnsi="SimSun" w:eastAsia="SimSun" w:cs="SimSun"/>
                <w:color w:val="000000"/>
                <w:sz w:val="22"/>
              </w:rPr>
              <w:t xml:space="preserve">1000</w:t>
            </w:r>
            <w:r>
              <w:rPr>
                <w:rFonts w:ascii="Arial" w:hAnsi="Arial" w:eastAsia="Arial" w:cs="Arial"/>
                <w:color w:val="000000"/>
                <w:sz w:val="22"/>
              </w:rPr>
              <w:t xml:space="preserve">元</w:t>
            </w:r>
            <w:r/>
          </w:p>
        </w:tc>
      </w:tr>
      <w:tr>
        <w:trPr>
          <w:trHeight w:val="1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其它属于交通事故痕迹物证综合鉴定项目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同一事故中每多一辆车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加收</w:t>
            </w:r>
            <w:r>
              <w:rPr>
                <w:rFonts w:ascii="SimSun" w:hAnsi="SimSun" w:eastAsia="SimSun" w:cs="SimSun"/>
                <w:color w:val="000000"/>
                <w:sz w:val="22"/>
              </w:rPr>
              <w:t xml:space="preserve">1000</w:t>
            </w:r>
            <w:r>
              <w:rPr>
                <w:rFonts w:ascii="Arial" w:hAnsi="Arial" w:eastAsia="Arial" w:cs="Arial"/>
                <w:color w:val="000000"/>
                <w:sz w:val="22"/>
              </w:rPr>
              <w:t xml:space="preserve">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车辆起火原因鉴定（火灾痕迹鉴定</w:t>
            </w:r>
            <w:r>
              <w:rPr>
                <w:rFonts w:ascii="SimSun" w:hAnsi="SimSun" w:eastAsia="SimSun" w:cs="SimSun"/>
                <w:color w:val="000000"/>
                <w:sz w:val="22"/>
              </w:rPr>
              <w:t xml:space="preserve">+</w:t>
            </w:r>
            <w:r>
              <w:rPr>
                <w:rFonts w:ascii="Arial" w:hAnsi="Arial" w:eastAsia="Arial" w:cs="Arial"/>
                <w:color w:val="000000"/>
                <w:sz w:val="22"/>
              </w:rPr>
              <w:t xml:space="preserve">火灾微量物证鉴定）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同一事故中每多一辆车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加收</w:t>
            </w:r>
            <w:r>
              <w:rPr>
                <w:rFonts w:ascii="SimSun" w:hAnsi="SimSun" w:eastAsia="SimSun" w:cs="SimSun"/>
                <w:color w:val="000000"/>
                <w:sz w:val="22"/>
              </w:rPr>
              <w:t xml:space="preserve">2500</w:t>
            </w:r>
            <w:r>
              <w:rPr>
                <w:rFonts w:ascii="Arial" w:hAnsi="Arial" w:eastAsia="Arial" w:cs="Arial"/>
                <w:color w:val="000000"/>
                <w:sz w:val="22"/>
              </w:rPr>
              <w:t xml:space="preserve">元</w:t>
            </w:r>
            <w:r/>
          </w:p>
        </w:tc>
      </w:tr>
      <w:tr>
        <w:trPr>
          <w:trHeight w:val="5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其它鉴定服务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按照物价相关</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规定确定价格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本项系指除本表序号“</w:t>
            </w:r>
            <w:r>
              <w:rPr>
                <w:rFonts w:ascii="SimSun" w:hAnsi="SimSun" w:eastAsia="SimSun" w:cs="SimSun"/>
                <w:color w:val="000000"/>
                <w:sz w:val="22"/>
              </w:rPr>
              <w:t xml:space="preserve">1</w:t>
            </w:r>
            <w:r>
              <w:rPr>
                <w:rFonts w:ascii="Arial" w:hAnsi="Arial" w:eastAsia="Arial" w:cs="Arial"/>
                <w:color w:val="000000"/>
                <w:sz w:val="22"/>
              </w:rPr>
              <w:t xml:space="preserve">”至“</w:t>
            </w:r>
            <w:r>
              <w:rPr>
                <w:rFonts w:ascii="SimSun" w:hAnsi="SimSun" w:eastAsia="SimSun" w:cs="SimSun"/>
                <w:color w:val="000000"/>
                <w:sz w:val="22"/>
              </w:rPr>
              <w:t xml:space="preserve">6</w:t>
            </w:r>
            <w:r>
              <w:rPr>
                <w:rFonts w:ascii="Arial" w:hAnsi="Arial" w:eastAsia="Arial" w:cs="Arial"/>
                <w:color w:val="000000"/>
                <w:sz w:val="22"/>
              </w:rPr>
              <w:t xml:space="preserve">”项以外的其它检测项目（如需实施，须具有相应的鉴定许可资格）</w:t>
            </w:r>
            <w:r/>
          </w:p>
        </w:tc>
      </w:tr>
    </w:tbl>
    <w:p>
      <w:pPr>
        <w:ind w:left="0" w:right="0" w:firstLine="221"/>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rPr>
          <w:rFonts w:ascii="Times New Roman" w:hAnsi="Times New Roman" w:eastAsia="Times New Roman" w:cs="Times New Roman"/>
          <w:b/>
          <w:color w:val="000000"/>
          <w:sz w:val="22"/>
        </w:rPr>
        <w:t xml:space="preserve">1</w:t>
      </w:r>
      <w:r>
        <w:rPr>
          <w:rFonts w:ascii="SimSun" w:hAnsi="SimSun" w:eastAsia="SimSun" w:cs="SimSun"/>
          <w:b/>
          <w:color w:val="000000"/>
          <w:sz w:val="22"/>
        </w:rPr>
        <w:t xml:space="preserve">）上述分项的价格为综合单价，投标服务单价</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各检验项目服务单价限价×（</w:t>
      </w:r>
      <w:r>
        <w:rPr>
          <w:rFonts w:ascii="Times New Roman" w:hAnsi="Times New Roman" w:eastAsia="Times New Roman" w:cs="Times New Roman"/>
          <w:b/>
          <w:color w:val="000000"/>
          <w:sz w:val="22"/>
        </w:rPr>
        <w:t xml:space="preserve">1-</w:t>
      </w:r>
      <w:r>
        <w:rPr>
          <w:rFonts w:ascii="SimSun" w:hAnsi="SimSun" w:eastAsia="SimSun" w:cs="SimSun"/>
          <w:b/>
          <w:color w:val="000000"/>
          <w:sz w:val="22"/>
        </w:rPr>
        <w:t xml:space="preserve">优惠率）。</w:t>
      </w:r>
      <w:r/>
    </w:p>
    <w:p>
      <w:pPr>
        <w:ind w:left="0" w:right="0" w:firstLine="221"/>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）上表中同一事故中每多一辆加收费用的投标价格</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各项加收价格×（</w:t>
      </w:r>
      <w:r>
        <w:rPr>
          <w:rFonts w:ascii="Times New Roman" w:hAnsi="Times New Roman" w:eastAsia="Times New Roman" w:cs="Times New Roman"/>
          <w:b/>
          <w:color w:val="000000"/>
          <w:sz w:val="22"/>
        </w:rPr>
        <w:t xml:space="preserve">1-</w:t>
      </w:r>
      <w:r>
        <w:rPr>
          <w:rFonts w:ascii="SimSun" w:hAnsi="SimSun" w:eastAsia="SimSun" w:cs="SimSun"/>
          <w:b/>
          <w:color w:val="000000"/>
          <w:sz w:val="22"/>
        </w:rPr>
        <w:t xml:space="preserve">优惠率）。</w:t>
      </w:r>
      <w:r/>
    </w:p>
    <w:p>
      <w:pPr>
        <w:ind w:left="0" w:right="0" w:firstLine="221"/>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Times New Roman" w:hAnsi="Times New Roman" w:eastAsia="Times New Roman" w:cs="Times New Roman"/>
          <w:b/>
          <w:color w:val="000000"/>
          <w:sz w:val="22"/>
        </w:rPr>
        <w:t xml:space="preserve">3</w:t>
      </w:r>
      <w:r>
        <w:rPr>
          <w:rFonts w:ascii="SimSun" w:hAnsi="SimSun" w:eastAsia="SimSun" w:cs="SimSun"/>
          <w:b/>
          <w:color w:val="000000"/>
          <w:sz w:val="22"/>
        </w:rPr>
        <w:t xml:space="preserve">）本项目采用优惠率报价形式，所有检验项目的投标优惠率相等且投标优惠率不得超过</w:t>
      </w:r>
      <w:r>
        <w:rPr>
          <w:rFonts w:ascii="Times New Roman" w:hAnsi="Times New Roman" w:eastAsia="Times New Roman" w:cs="Times New Roman"/>
          <w:b/>
          <w:color w:val="000000"/>
          <w:sz w:val="22"/>
        </w:rPr>
        <w:t xml:space="preserve">100%</w:t>
      </w:r>
      <w:r>
        <w:rPr>
          <w:rFonts w:ascii="SimSun" w:hAnsi="SimSun" w:eastAsia="SimSun" w:cs="SimSun"/>
          <w:b/>
          <w:color w:val="000000"/>
          <w:sz w:val="22"/>
        </w:rPr>
        <w:t xml:space="preserve">，否则将作无效投标处理。</w:t>
      </w:r>
      <w:r/>
    </w:p>
    <w:p>
      <w:pPr>
        <w:ind w:left="0" w:right="0" w:firstLine="221"/>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Times New Roman" w:hAnsi="Times New Roman" w:eastAsia="Times New Roman" w:cs="Times New Roman"/>
          <w:b/>
          <w:color w:val="000000"/>
          <w:sz w:val="22"/>
        </w:rPr>
        <w:t xml:space="preserve">4</w:t>
      </w:r>
      <w:r>
        <w:rPr>
          <w:rFonts w:ascii="SimSun" w:hAnsi="SimSun" w:eastAsia="SimSun" w:cs="SimSun"/>
          <w:b/>
          <w:color w:val="000000"/>
          <w:sz w:val="22"/>
        </w:rPr>
        <w:t xml:space="preserve">）具体服务数量由中标人与招标人确认后，按实结算。</w:t>
      </w:r>
      <w:r/>
    </w:p>
    <w:p>
      <w:pPr>
        <w:ind w:left="0" w:right="0" w:firstLine="210"/>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5</w:t>
      </w:r>
      <w:r>
        <w:rPr>
          <w:rFonts w:ascii="Arial" w:hAnsi="Arial" w:eastAsia="Arial" w:cs="Arial"/>
          <w:color w:val="000000"/>
          <w:sz w:val="22"/>
        </w:rPr>
        <w:t xml:space="preserve">）采购交付方式：以委托单位按委托事项与鉴定机构当面交接，以书面格式签名落款。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8.</w:t>
      </w:r>
      <w:r>
        <w:rPr>
          <w:rFonts w:ascii="Arial" w:hAnsi="Arial" w:eastAsia="Arial" w:cs="Arial"/>
          <w:b/>
          <w:color w:val="000000"/>
          <w:sz w:val="22"/>
        </w:rPr>
        <w:t xml:space="preserve">其他说明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1</w:t>
      </w:r>
      <w:r>
        <w:rPr>
          <w:rFonts w:ascii="Arial" w:hAnsi="Arial" w:eastAsia="Arial" w:cs="Arial"/>
          <w:color w:val="000000"/>
          <w:sz w:val="22"/>
        </w:rPr>
        <w:t xml:space="preserve">）司法鉴定机构和司法鉴定人进行司法鉴定活动应当依法接受监督。对于有违反有关法律规定行为的，由司法行政机关依法给予相应的行政处罚；有违反司法鉴定行业规范行为的，由司法鉴定行业组织给予相应的行业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Calibri" w:hAnsi="Calibri" w:eastAsia="Calibri" w:cs="Calibri"/>
          <w:color w:val="000000"/>
          <w:sz w:val="22"/>
        </w:rPr>
        <w:t xml:space="preserve">2</w:t>
      </w:r>
      <w:r>
        <w:rPr>
          <w:rFonts w:ascii="Arial" w:hAnsi="Arial" w:eastAsia="Arial" w:cs="Arial"/>
          <w:color w:val="000000"/>
          <w:sz w:val="22"/>
        </w:rPr>
        <w:t xml:space="preserve">）司法鉴定机构应当加强对司法鉴定人进行司法鉴定活动的管理和监督。司法鉴定人有违反法律或者所属司法鉴定机构管理规定行为的，司法鉴定机构应当予以纠正。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w:t>
      </w:r>
      <w:r>
        <w:rPr>
          <w:rFonts w:ascii="Calibri" w:hAnsi="Calibri" w:eastAsia="Calibri" w:cs="Calibri"/>
          <w:b/>
          <w:color w:val="000000"/>
          <w:sz w:val="22"/>
        </w:rPr>
        <w:t xml:space="preserve">3</w:t>
      </w:r>
      <w:r>
        <w:rPr>
          <w:rFonts w:ascii="Arial" w:hAnsi="Arial" w:eastAsia="Arial" w:cs="Arial"/>
          <w:b/>
          <w:color w:val="000000"/>
          <w:sz w:val="22"/>
        </w:rPr>
        <w:t xml:space="preserve">）近三年鉴定数参考</w:t>
      </w:r>
      <w:r/>
    </w:p>
    <w:tbl>
      <w:tblPr>
        <w:tblStyle w:val="15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6"/>
        <w:gridCol w:w="2050"/>
        <w:gridCol w:w="5401"/>
        <w:gridCol w:w="378"/>
        <w:gridCol w:w="378"/>
        <w:gridCol w:w="661"/>
      </w:tblGrid>
      <w:tr>
        <w:trPr>
          <w:trHeight w:val="1350"/>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Arial" w:hAnsi="Arial" w:eastAsia="Arial" w:cs="Arial"/>
                <w:color w:val="000000"/>
                <w:sz w:val="22"/>
              </w:rPr>
              <w:t xml:space="preserve">年度</w:t>
              <w:br/>
              <w:t xml:space="preserve">项目</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w:t>
            </w:r>
            <w:r>
              <w:rPr>
                <w:rFonts w:ascii="Arial" w:hAnsi="Arial" w:eastAsia="Arial" w:cs="Arial"/>
                <w:color w:val="000000"/>
                <w:sz w:val="22"/>
              </w:rPr>
              <w:t xml:space="preserve">年案件量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w:t>
            </w:r>
            <w:r>
              <w:rPr>
                <w:rFonts w:ascii="Arial" w:hAnsi="Arial" w:eastAsia="Arial" w:cs="Arial"/>
                <w:color w:val="000000"/>
                <w:sz w:val="22"/>
              </w:rPr>
              <w:t xml:space="preserve">年案件量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2026.1-9</w:t>
            </w:r>
            <w:r>
              <w:rPr>
                <w:rFonts w:ascii="Arial" w:hAnsi="Arial" w:eastAsia="Arial" w:cs="Arial"/>
                <w:color w:val="000000"/>
                <w:sz w:val="22"/>
              </w:rPr>
              <w:t xml:space="preserve">月</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车辆安全技术状况鉴定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车辆类型鉴定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r>
      <w:tr>
        <w:trPr>
          <w:trHeight w:val="3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非机动车安全技术状况鉴定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w:t>
            </w:r>
            <w:r/>
          </w:p>
        </w:tc>
      </w:tr>
      <w:tr>
        <w:trPr>
          <w:trHeight w:val="3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二、三摩托车安全技术状况鉴定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w:t>
            </w:r>
            <w:r/>
          </w:p>
        </w:tc>
      </w:tr>
      <w:tr>
        <w:trPr>
          <w:trHeight w:val="3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小型机动车安全技术状况鉴定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w:t>
            </w:r>
            <w:r/>
          </w:p>
        </w:tc>
      </w:tr>
      <w:tr>
        <w:trPr>
          <w:trHeight w:val="3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大、中型机动车安全技术状况鉴定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车辆整体分离痕迹鉴定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车辆速度鉴定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386</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交通事故痕迹鉴定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玻璃破碎痕迹鉴定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3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车辆轮迹鉴定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3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车辆碰撞痕迹鉴定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交通事故痕迹物证综合鉴定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交通行为方式鉴定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r>
        <w:trPr>
          <w:trHeight w:val="3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交通信号灯指示状态鉴定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r>
      <w:tr>
        <w:trPr>
          <w:trHeight w:val="3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轮胎破损原因鉴定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3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车辆灯光状态鉴定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r>
        <w:trPr>
          <w:trHeight w:val="6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其他属于交通事故痕迹物证综合鉴定项目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车辆起火原因鉴定</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微量物证鉴定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r>
        <w:trPr>
          <w:trHeight w:val="6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合计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1369</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二、项目业绩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为了确保项目的顺利实施，投标人需具备丰富的服务承接经验，确保本项目的顺利实施，投标人提供自</w:t>
      </w:r>
      <w:r>
        <w:rPr>
          <w:rFonts w:ascii="Calibri" w:hAnsi="Calibri" w:eastAsia="Calibri" w:cs="Calibri"/>
          <w:color w:val="000000"/>
          <w:sz w:val="22"/>
        </w:rPr>
        <w:t xml:space="preserve">2023</w:t>
      </w:r>
      <w:r>
        <w:rPr>
          <w:rFonts w:ascii="Arial" w:hAnsi="Arial" w:eastAsia="Arial" w:cs="Arial"/>
          <w:color w:val="000000"/>
          <w:sz w:val="22"/>
        </w:rPr>
        <w:t xml:space="preserve">年</w:t>
      </w:r>
      <w:r>
        <w:rPr>
          <w:rFonts w:ascii="Calibri" w:hAnsi="Calibri" w:eastAsia="Calibri" w:cs="Calibri"/>
          <w:color w:val="000000"/>
          <w:sz w:val="22"/>
        </w:rPr>
        <w:t xml:space="preserve">9</w:t>
      </w:r>
      <w:r>
        <w:rPr>
          <w:rFonts w:ascii="Arial" w:hAnsi="Arial" w:eastAsia="Arial" w:cs="Arial"/>
          <w:color w:val="000000"/>
          <w:sz w:val="22"/>
        </w:rPr>
        <w:t xml:space="preserve">月</w:t>
      </w:r>
      <w:r>
        <w:rPr>
          <w:rFonts w:ascii="Calibri" w:hAnsi="Calibri" w:eastAsia="Calibri" w:cs="Calibri"/>
          <w:color w:val="000000"/>
          <w:sz w:val="22"/>
        </w:rPr>
        <w:t xml:space="preserve">1</w:t>
      </w:r>
      <w:r>
        <w:rPr>
          <w:rFonts w:ascii="Arial" w:hAnsi="Arial" w:eastAsia="Arial" w:cs="Arial"/>
          <w:color w:val="000000"/>
          <w:sz w:val="22"/>
        </w:rPr>
        <w:t xml:space="preserve">日以来类似道路交通事故检测项目业绩的优先。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三、相关承诺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为了择优选择中标人，体现企业综合能力，投标人提供或承诺本地化服务保障的优先；提供增值服务的优先；提供服务响应时间承诺的优先。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四、技术方案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投标人应根据采购需求和本项目实际要求，制订相应的服务方案至少包含以下内容：（</w:t>
      </w:r>
      <w:r>
        <w:rPr>
          <w:rFonts w:ascii="Calibri" w:hAnsi="Calibri" w:eastAsia="Calibri" w:cs="Calibri"/>
          <w:color w:val="000000"/>
          <w:sz w:val="22"/>
        </w:rPr>
        <w:t xml:space="preserve">1</w:t>
      </w:r>
      <w:r>
        <w:rPr>
          <w:rFonts w:ascii="Arial" w:hAnsi="Arial" w:eastAsia="Arial" w:cs="Arial"/>
          <w:color w:val="000000"/>
          <w:sz w:val="22"/>
        </w:rPr>
        <w:t xml:space="preserve">）项目整体服务</w:t>
      </w:r>
      <w:r>
        <w:rPr>
          <w:rFonts w:ascii="SimSun" w:hAnsi="SimSun" w:eastAsia="SimSun" w:cs="SimSun"/>
          <w:color w:val="000000"/>
          <w:sz w:val="22"/>
        </w:rPr>
        <w:t xml:space="preserve">方案；（2）司法鉴定服务工作流程；（3）理规章制度及质量控制方案；（4）鉴定人员岗位考核措施（5）项目进度安排及保障措施。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（1）项目整体服务方案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投标人根据本项目整体服务方案，提供科学合理的总体维保方案，进行详细阐述。至少包含以下内容：项目实施方案、服务内容、鉴定人员分配等方面内容。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1.1项目实施方案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本项目整体采用属地驻场、专人专案、分级处置、闭环管控标准化实施模式，提供</w:t>
      </w:r>
      <w:r>
        <w:rPr>
          <w:rFonts w:ascii="SimSun" w:hAnsi="SimSun" w:eastAsia="SimSun" w:cs="SimSun"/>
          <w:color w:val="000000"/>
          <w:sz w:val="21"/>
        </w:rPr>
        <w:t xml:space="preserve">7×24小时全域无间断司法鉴定服务，全面覆盖盐城市辖区所有道路交通事故鉴定委托业务。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建立案件分级处置机制：简易案件快速勘验、快速检测、限时出证；一般案件标准流程闭环办理；重大事故案件成立专项服务专班全程跟进；疑难复杂案件启动内部专家集体会审机制，确保结论科学、依据充分。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全过程划分为标准化阶段：项目筹备阶段、常态化履约服务阶段、月度复盘优化阶段、年度总结提升阶段。各阶段工作节点、岗位职责、处置流程全部固化、标准化，杜绝随意作业、流程混乱、服务不规范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1.2服务内容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安全技术状况鉴定：①车辆类型鉴定：判断涉案车辆的类型（如机动车、非机动车）；②车辆安全技术状况进行检验：判断车辆相关技术状况或性能的符合性（如制动系、转向系、行驶系、灯光、信号装置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交通事故痕迹鉴定：①车辆碰撞痕迹鉴定；②接触碰撞部位和形态鉴定等；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车辆速度鉴定：①视频录像车速鉴定；②力学计算车速鉴定；③</w:t>
      </w:r>
      <w:r>
        <w:rPr>
          <w:rFonts w:ascii="Calibri" w:hAnsi="Calibri" w:eastAsia="Calibri" w:cs="Calibri"/>
          <w:color w:val="000000"/>
          <w:sz w:val="22"/>
        </w:rPr>
        <w:t xml:space="preserve">EDR</w:t>
      </w:r>
      <w:r>
        <w:rPr>
          <w:rFonts w:ascii="Arial" w:hAnsi="Arial" w:eastAsia="Arial" w:cs="Arial"/>
          <w:color w:val="000000"/>
          <w:sz w:val="22"/>
        </w:rPr>
        <w:t xml:space="preserve">提取车速鉴定；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交通事故痕迹物证综合鉴定：①轮胎破损原因鉴定；②交通行为方式鉴定；③交通信号灯指示状态鉴定；④其它交通事故痕迹物证综合鉴定项目；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整体分离痕迹鉴定：判断分离物体之间是否存在整体分离关系；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微量物证鉴定：交通事故涉及的油漆、橡胶、塑料、玻璃、纤维、金属、易燃物质等的物理性质、化学性质和成分组成的检验检测，以及上述材料的比较检验和种类判别。</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1.3鉴定人员分配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实行固定定岗</w:t>
      </w:r>
      <w:r>
        <w:rPr>
          <w:rFonts w:ascii="Calibri" w:hAnsi="Calibri" w:eastAsia="Calibri" w:cs="Calibri"/>
          <w:color w:val="000000"/>
          <w:sz w:val="21"/>
        </w:rPr>
        <w:t xml:space="preserve">+</w:t>
      </w:r>
      <w:r>
        <w:rPr>
          <w:rFonts w:ascii="Arial" w:hAnsi="Arial" w:eastAsia="Arial" w:cs="Arial"/>
          <w:color w:val="000000"/>
          <w:sz w:val="22"/>
        </w:rPr>
        <w:t xml:space="preserve">备用兜底分配机制：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项目负责人</w:t>
      </w:r>
      <w:r>
        <w:rPr>
          <w:rFonts w:ascii="Calibri" w:hAnsi="Calibri" w:eastAsia="Calibri" w:cs="Calibri"/>
          <w:color w:val="000000"/>
          <w:sz w:val="21"/>
        </w:rPr>
        <w:t xml:space="preserve">1</w:t>
      </w:r>
      <w:r>
        <w:rPr>
          <w:rFonts w:ascii="Arial" w:hAnsi="Arial" w:eastAsia="Arial" w:cs="Arial"/>
          <w:color w:val="000000"/>
          <w:sz w:val="22"/>
        </w:rPr>
        <w:t xml:space="preserve">名：高级职称持证人员，全面负责项目统筹、案件终审、公安对接、投诉处置、质量管控；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专职痕迹物证鉴定人员</w:t>
      </w:r>
      <w:r>
        <w:rPr>
          <w:rFonts w:ascii="Calibri" w:hAnsi="Calibri" w:eastAsia="Calibri" w:cs="Calibri"/>
          <w:color w:val="000000"/>
          <w:sz w:val="22"/>
        </w:rPr>
        <w:t xml:space="preserve">≥3</w:t>
      </w:r>
      <w:r>
        <w:rPr>
          <w:rFonts w:ascii="Arial" w:hAnsi="Arial" w:eastAsia="Arial" w:cs="Arial"/>
          <w:color w:val="000000"/>
          <w:sz w:val="22"/>
        </w:rPr>
        <w:t xml:space="preserve">名：专职负责现场勘验、物证提取、实验检测、数据分析、报告编制；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法医及辅助技术人员常态化驻岗：负责法医类配套鉴定、检材管理、资料整理、档案录入；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机动备用人员</w:t>
      </w:r>
      <w:r>
        <w:rPr>
          <w:rFonts w:ascii="Calibri" w:hAnsi="Calibri" w:eastAsia="Calibri" w:cs="Calibri"/>
          <w:color w:val="000000"/>
          <w:sz w:val="21"/>
        </w:rPr>
        <w:t xml:space="preserve">2</w:t>
      </w:r>
      <w:r>
        <w:rPr>
          <w:rFonts w:ascii="Arial" w:hAnsi="Arial" w:eastAsia="Arial" w:cs="Arial"/>
          <w:color w:val="000000"/>
          <w:sz w:val="22"/>
        </w:rPr>
        <w:t xml:space="preserve">名：应对人员轮休、突发案件激增、夜间应急勘验等场景，保障服务不中断。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所有人员岗位一一对应案件受理、现场勘验、实验检测、三级审核、报告签发、档案归档全流程，实现定岗到人、责任到岗、全程可追责。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（2）司法鉴定服务工作流程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投标人根据司法鉴定服务工作流程，提供科学合理的总体维保方案，进行详细阐述。至少包含以下内容：全流程标准化闭环作业、全程留痕、全程可溯等方面内容。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2.1全流程标准化闭环作业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完整闭环流程，全程不跳步、不缺项、不违规：委托受理核验→检材双人采集、密封编号→恒温专项存储台账登记→现场标准化勘验→仪器合规检测与数据留存→报告初稿编制→三级分级审核→报告盖章交付→资料整理归档→案件复核处置→出庭质证闭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所有勘验、检测、审核、出证流程严格对标国标、行标及公安办案要求，做到程序合法、方法合规、数据真实、结论严谨。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2.2全程留痕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现全业务、全人员、全环节、全时段留痕管理：现场勘验全程视频录像留存、检材流转全程双人签字登记、仪器原始检测数据自动留存不可篡改、三级审核逐级签字留档、案件对接及答疑记录实时登记。纸质资料、电子数据、影像资料三位一体同步归档，实现零流程断点、零操作空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2.3全程可溯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实行一案一号、一物一码唯一溯源管理机制，每起案件、每份检材、每组检测数据均赋予独立溯源编号，可反向追溯案件经办人、操作时间、设备编号、审核人员、检材流转轨迹、报告签发记录。溯源覆盖率</w:t>
      </w:r>
      <w:r>
        <w:rPr>
          <w:rFonts w:ascii="SimSun" w:hAnsi="SimSun" w:eastAsia="SimSun" w:cs="SimSun"/>
          <w:color w:val="000000"/>
          <w:sz w:val="21"/>
        </w:rPr>
        <w:t xml:space="preserve">100%，随时接受采购人及监管部门核查、复盘与督查。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（3）理规章制度及质量控制方案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理规章制度及质量控制方案，提供科学合理的总体维保方案，进行详细阐述。至少包含以下内容：岗位责任制度、检材管理制度、设备校准运维制度、档案管理制度、保密管理制度、案件复盘制度、差错追责等方面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3.1岗位责任制度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实行全员定岗定责、权责清单化管理，明确鉴定人员、审核人员、质控人员、档案人员、保密人员、设备运维人员岗位职责。所有岗位责任细化到岗、落实到人，杜绝权责空白、推诿扯皮，岗位履职情况</w:t>
      </w:r>
      <w:r>
        <w:rPr>
          <w:rFonts w:ascii="SimSun" w:hAnsi="SimSun" w:eastAsia="SimSun" w:cs="SimSun"/>
          <w:color w:val="000000"/>
          <w:sz w:val="21"/>
        </w:rPr>
        <w:t xml:space="preserve">100%纳入月度绩效考核。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3.2检材管理制度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严格执行双人管理、唯一编号、全程台账、恒温存储管理标准，规范检材采集、封存、入库、领用、检测、归还、销毁全流程操作。全程温控记录、全程签字登记，杜绝检材污染、丢失、调换、过期、误用，检材合规率、台账完整率</w:t>
      </w:r>
      <w:r>
        <w:rPr>
          <w:rFonts w:ascii="SimSun" w:hAnsi="SimSun" w:eastAsia="SimSun" w:cs="SimSun"/>
          <w:color w:val="000000"/>
          <w:sz w:val="21"/>
        </w:rPr>
        <w:t xml:space="preserve">100%。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3.3设备校准运维制度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鉴定仪器、物证存储设备、实验设备建立专属运维台账，落实每日巡检、定期维保、按期校准制度。所有设备均在有效校准周期内，具备合规校准证书。故障设备立即停用、挂牌隔离、检修报备，严禁设备“带病作业”，确保检测数据精准、有效、合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3.4档案管理制度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实行纸质</w:t>
      </w:r>
      <w:r>
        <w:rPr>
          <w:rFonts w:ascii="SimSun" w:hAnsi="SimSun" w:eastAsia="SimSun" w:cs="SimSun"/>
          <w:color w:val="000000"/>
          <w:sz w:val="21"/>
        </w:rPr>
        <w:t xml:space="preserve">+电子双档案归档管理，严格执行一案一档、分类编号、专柜存放、防潮防盗保密管理。建立档案录入、归档、调阅、借阅、归还、销毁全流程登记制度，档案留存期限≥5年，归档完整率100%，可随时调阅核查。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3.5保密管理制度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员签订年度保密协议，严格管控事故案情、当事人信息、勘验资料、检测数据、办案文书等涉密信息。涉密资料专人管理、离岗封存、禁止外传、禁止私自拷贝传播。全年实行零泄密、零外传、零违规查阅管控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3.6案件复盘制度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立常态化案件复盘机制：每月随机抽检在办、已结案件开展质量复盘；每季度开展全覆盖案件质量核查复盘；每年开展整体质量总结复盘。对疑难案件、加急案件、当事人异议案件重点专项复盘，查摆问题、优化流程、固化经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3.7差错追责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实行分级差错追责、闭环整改：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一般流程瑕疵、资料小问题：</w:t>
      </w:r>
      <w:r>
        <w:rPr>
          <w:rFonts w:ascii="SimSun" w:hAnsi="SimSun" w:eastAsia="SimSun" w:cs="SimSun"/>
          <w:color w:val="000000"/>
          <w:sz w:val="21"/>
        </w:rPr>
        <w:t xml:space="preserve">24小时内完成整改、台账记录、内部通报；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报告瑕疵、数据偏差、流程违规：扣除月度绩效、停岗复盘培训；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数据造假、私自篡改、违规出证、信息泄密：立即清退出岗、终身追责、承担全部履约责任。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（4）鉴定人员岗位考核措施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投标人根据鉴定人员岗位考核措施，提供科学合理的总体维保方案，进行详细阐述。至少包含以下内容：业务质量、履约时效、规范操作、服务纪律、培训考核等方面内容。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4.1业务质量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点考核零差错、数据零偏差、结论零瑕疵为考核标准，重点考核检测数据真实性、报告逻辑严谨性、法律适用性、流程合规性。出现数据偏差、结论模糊、书写错误、流程不规范等问题逐项扣分，重大质量问题考核归零、强制整改复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4.2履约时效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严格对标项目时效承诺：到场勘验时限、报告出具时限、响应答复时限、复核办结时限。无正当理由超时一律扣分、计入履约不良记录，严重超时直接判定履约不合格，确保案件按期办结率</w:t>
      </w:r>
      <w:r>
        <w:rPr>
          <w:rFonts w:ascii="SimSun" w:hAnsi="SimSun" w:eastAsia="SimSun" w:cs="SimSun"/>
          <w:color w:val="000000"/>
          <w:sz w:val="21"/>
        </w:rPr>
        <w:t xml:space="preserve">100%。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4.3范操作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全面考核检材操作、仪器使用、现场勘验、台账登记、资料填写、档案归档全流程规范性。台账缺失、操作不规范、归档遗漏、资料残缺逐项扣分，倒逼全员标准化、规范化作业。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4.4服务纪律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严格考核在岗值守、廉洁自律、保密纪律、服务态度、工作作风。严禁吃拿卡要、推诿拖延、私自对外答复案情、泄露信息。发生有效投诉、违规违纪、泄密问题实行一票否决。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4.5培训考核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建立常态化培训机制，定期组织司法鉴定新规、公安办案规范、仪器实操、疑难案例分析培训。培训出勤、随堂测试、实操考核全部纳入月度评分，考核不合格人员暂停上岗、补考通过后方可继续执业。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（5）项目进度安排及保障措施</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投标人根据项目进度安排及保障措施，提供科学合理的总体维保方案，进行详细阐述。至少包含以下内容：日常案件受理办结、每月完成进度及质量复盘、24小时应急、进度预警、追责管控多重保障等方面内容。</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5.1日常案件受理办结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行“当日委托、当日受理、限时办结”常态化机制，严格执行2小时内到场勘验、常规案件3个工作日内出具正式鉴定报告时效标准。简易案件快速办结，复杂疑难案件依规报备、限时延期、按期交付，实现案件日清日结、无积压、无拖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5.2每月完成进度及质量复盘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每月</w:t>
      </w:r>
      <w:r>
        <w:rPr>
          <w:rFonts w:ascii="SimSun" w:hAnsi="SimSun" w:eastAsia="SimSun" w:cs="SimSun"/>
          <w:color w:val="000000"/>
          <w:sz w:val="21"/>
        </w:rPr>
        <w:t xml:space="preserve">5日前完成上月项目全盘复盘工作，统计案件受理量、办结量、及时率、合格率、异议率、投诉率，形成月度进度台账、质量台账、整改台账。所有问题逐项闭环整改、逐项销号，持续优化服务质量与办理效率。</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24小时应急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建立</w:t>
      </w:r>
      <w:r>
        <w:rPr>
          <w:rFonts w:ascii="SimSun" w:hAnsi="SimSun" w:eastAsia="SimSun" w:cs="SimSun"/>
          <w:color w:val="000000"/>
          <w:sz w:val="21"/>
        </w:rPr>
        <w:t xml:space="preserve">7×24小时全天候应急值守机制，夜间、周末、法定节假日全员轮值待命。针对重特大事故、群体性事故、突发警情开通鉴定绿色通道，优先受理、优先勘验、优先检测、优先出证，保障公安应急办案需求。</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5.4进度预警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建立案件进度动态台账管理体系，对临近办结节点、即将超期的案件进行系统预警、专人督办、重点跟进。提前预判办案压力、提前调配人力设备，从源头杜绝超期办结、拖延交付问题。</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5.5追责管控多重保障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立进度差错分级追责机制，对无故拖延、超时办结、履职不到位、工作敷衍的在岗人员进行扣分、绩效扣罚、通报批评；累计多次违规、造成不良办案影响或采购人投诉的，直接调离本项目服务岗位，纳入内部履约黑名单，从严管控项目整体服务进度与服务质量。</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五、采购标的对应的中小企业划分标准所属行业一览表</w:t>
      </w:r>
      <w:r/>
    </w:p>
    <w:tbl>
      <w:tblPr>
        <w:tblStyle w:val="15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0"/>
        <w:gridCol w:w="3560"/>
        <w:gridCol w:w="31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60" w:type="dxa"/>
            <w:vAlign w:val="center"/>
            <w:textDirection w:val="lrTb"/>
            <w:noWrap w:val="false"/>
          </w:tcPr>
          <w:p>
            <w:pPr>
              <w:ind w:left="0" w:right="0" w:firstLine="110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9"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对应中小企业划分标准所属行业</w:t>
            </w:r>
            <w:r/>
          </w:p>
        </w:tc>
      </w:tr>
      <w:tr>
        <w:trPr>
          <w:trHeight w:val="7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0"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盐城市公安局交通管理支队道路交通事故司法鉴定服务采购项目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9"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其他未列明行业</w:t>
            </w:r>
            <w:r/>
          </w:p>
        </w:tc>
      </w:tr>
    </w:tbl>
    <w:p>
      <w:pPr>
        <w:ind w:left="0" w:right="0" w:firstLine="0"/>
        <w:jc w:val="center"/>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Sun" w:hAnsi="SimSun" w:eastAsia="SimSun" w:cs="SimSun"/>
          <w:color w:val="000000"/>
          <w:sz w:val="44"/>
        </w:rPr>
        <w:t xml:space="preserve"> </w:t>
      </w:r>
      <w:r>
        <w:rPr>
          <w:rFonts w:ascii="SimHei" w:hAnsi="SimHei" w:eastAsia="SimHei" w:cs="SimHei"/>
          <w:b/>
          <w:color w:val="000000"/>
          <w:sz w:val="44"/>
        </w:rPr>
        <w:t xml:space="preserve">评标方法与评标标准</w:t>
      </w:r>
      <w:r/>
    </w:p>
    <w:p>
      <w:pPr>
        <w:ind w:left="0" w:right="0" w:firstLine="0"/>
        <w:jc w:val="both"/>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w:t>
      </w:r>
      <w:r>
        <w:rPr>
          <w:rFonts w:ascii="SimSun" w:hAnsi="SimSun" w:eastAsia="SimSun" w:cs="SimSun"/>
          <w:color w:val="000000"/>
          <w:sz w:val="22"/>
          <w:u w:val="single"/>
        </w:rPr>
        <w:t xml:space="preserve">综合评分</w:t>
      </w:r>
      <w:r>
        <w:rPr>
          <w:rFonts w:ascii="SimSun" w:hAnsi="SimSun" w:eastAsia="SimSun" w:cs="SimSun"/>
          <w:color w:val="000000"/>
          <w:sz w:val="22"/>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41"/>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政府采购政策功能落实</w:t>
      </w:r>
      <w:r/>
    </w:p>
    <w:p>
      <w:pPr>
        <w:ind w:left="0" w:right="0" w:firstLine="48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1、小微型企业价格扣除</w:t>
      </w:r>
      <w:r/>
    </w:p>
    <w:p>
      <w:pPr>
        <w:ind w:left="0" w:right="0" w:firstLine="315"/>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（1）本项目专门面向中小企业采购，不再对符合规定的小型和微型企业报价给予扣除。</w:t>
      </w:r>
      <w:r/>
    </w:p>
    <w:p>
      <w:pPr>
        <w:ind w:left="0" w:right="0" w:firstLine="36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（2）供应商需按照采购文件的要求提供相应的《中小企业声明函》。</w:t>
      </w:r>
      <w:r/>
    </w:p>
    <w:p>
      <w:pPr>
        <w:ind w:left="0" w:right="0" w:firstLine="36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（3）企业标准请参照《关于印发中小企业划型标准规定的通知》（工信部联企业〔2011〕300号）文件规定自行填写。</w:t>
      </w:r>
      <w:r/>
    </w:p>
    <w:p>
      <w:pPr>
        <w:ind w:left="0" w:right="0" w:firstLine="48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2、残疾人福利单位价格扣除</w:t>
      </w:r>
      <w:r/>
    </w:p>
    <w:p>
      <w:pPr>
        <w:ind w:left="120" w:right="0" w:firstLine="36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w:t>
      </w:r>
      <w:r/>
    </w:p>
    <w:p>
      <w:pPr>
        <w:ind w:left="120" w:right="0" w:firstLine="36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（2）残疾人福利单位需按照采购文件的要求提供《残疾人福利性单位声明函》。</w:t>
      </w:r>
      <w:r/>
    </w:p>
    <w:p>
      <w:pPr>
        <w:ind w:left="120" w:right="0" w:firstLine="36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（3）残疾人福利单位标准请参照《关于促进残疾人就业政府采购政策的通知》（财库〔2017〕141号）。</w:t>
      </w:r>
      <w:r/>
    </w:p>
    <w:p>
      <w:pPr>
        <w:ind w:left="0" w:right="0" w:firstLine="48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3、监狱和戒毒企业价格扣除</w:t>
      </w:r>
      <w:r/>
    </w:p>
    <w:p>
      <w:pPr>
        <w:ind w:left="120" w:right="0" w:firstLine="36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w:t>
      </w:r>
      <w:r/>
    </w:p>
    <w:p>
      <w:pPr>
        <w:ind w:left="0" w:right="0" w:firstLine="48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48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4、残疾人福利单位、监狱企业属于小型、微型企业的，不重复享受政策。</w:t>
      </w:r>
      <w:r/>
    </w:p>
    <w:p>
      <w:pPr>
        <w:ind w:left="0" w:right="0" w:firstLine="48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2"/>
          <w:u w:val="single"/>
        </w:rPr>
        <w:t xml:space="preserve">6%</w:t>
      </w:r>
      <w:r>
        <w:rPr>
          <w:rFonts w:ascii="SimSun" w:hAnsi="SimSun" w:eastAsia="SimSun" w:cs="SimSun"/>
          <w:color w:val="000000"/>
          <w:sz w:val="22"/>
        </w:rPr>
        <w:t xml:space="preserve">的价格扣除，用扣除后的价格参与评审。</w:t>
      </w:r>
      <w:r/>
    </w:p>
    <w:p>
      <w:pPr>
        <w:ind w:left="120" w:right="0" w:firstLine="36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6、联合体各方均为小型、微型企业（残疾人福利单位、监狱企业）的，联合体享受</w:t>
      </w:r>
      <w:r>
        <w:rPr>
          <w:rFonts w:ascii="SimSun" w:hAnsi="SimSun" w:eastAsia="SimSun" w:cs="SimSun"/>
          <w:color w:val="000000"/>
          <w:sz w:val="22"/>
          <w:u w:val="single"/>
        </w:rPr>
        <w:t xml:space="preserve">20%的价格扣除。</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2"/>
        </w:rPr>
        <w:t xml:space="preserve">如属政府强制采购产品未提供认证证书的或认证证书提供不全的将视为未实质性响应采购要求</w:t>
      </w:r>
      <w:r>
        <w:rPr>
          <w:rFonts w:ascii="SimSun" w:hAnsi="SimSun" w:eastAsia="SimSun" w:cs="SimSun"/>
          <w:i/>
          <w:color w:val="000000"/>
          <w:sz w:val="22"/>
        </w:rPr>
        <w:t xml:space="preserve">。</w:t>
      </w:r>
      <w:r>
        <w:rPr>
          <w:rFonts w:ascii="SimSun" w:hAnsi="SimSun" w:eastAsia="SimSun" w:cs="SimSun"/>
          <w:color w:val="000000"/>
          <w:sz w:val="22"/>
        </w:rPr>
        <w:t xml:space="preserve">其他条件相同情况下，应当优先采购节能产品、环境标志产品。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二、评标方法与评标标准</w:t>
      </w:r>
      <w:r/>
    </w:p>
    <w:tbl>
      <w:tblPr>
        <w:tblStyle w:val="15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6"/>
        <w:gridCol w:w="1209"/>
        <w:gridCol w:w="1713"/>
        <w:gridCol w:w="6016"/>
      </w:tblGrid>
      <w:tr>
        <w:trPr>
          <w:trHeight w:val="2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6"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0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评审项目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016"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评审内容</w:t>
            </w:r>
            <w:r/>
          </w:p>
        </w:tc>
      </w:tr>
      <w:tr>
        <w:trPr>
          <w:trHeight w:val="12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6"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投标报价</w:t>
            </w:r>
            <w:r>
              <w:rPr>
                <w:rFonts w:ascii="SimSun" w:hAnsi="SimSun" w:eastAsia="SimSun" w:cs="SimSun"/>
                <w:color w:val="000000"/>
                <w:sz w:val="22"/>
              </w:rPr>
              <w:t xml:space="preserve">（45分）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rPr>
                <w:rFonts w:ascii="Arial" w:hAnsi="Arial" w:eastAsia="Arial" w:cs="Arial"/>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6" w:type="dxa"/>
            <w:vAlign w:val="center"/>
            <w:textDirection w:val="lrTb"/>
            <w:noWrap w:val="false"/>
          </w:tcPr>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采用低价优先法计算，即满足招标文件要求（通过资格性审查和符合性审查）且（1-最高的优惠率）为评标基准价，其价格分为满分。其他投标人的价格分按照下列公式计算：价格评分=(1-最高投标</w:t>
            </w:r>
            <w:r>
              <w:rPr>
                <w:rFonts w:ascii="Arial" w:hAnsi="Arial" w:eastAsia="Arial" w:cs="Arial"/>
                <w:color w:val="000000"/>
                <w:sz w:val="22"/>
              </w:rPr>
              <w:t xml:space="preserve">优惠率</w:t>
            </w:r>
            <w:r>
              <w:rPr>
                <w:rFonts w:ascii="SimSun" w:hAnsi="SimSun" w:eastAsia="SimSun" w:cs="SimSun"/>
                <w:color w:val="000000"/>
                <w:sz w:val="22"/>
              </w:rPr>
              <w:t xml:space="preserve">)÷(1-投标</w:t>
            </w:r>
            <w:r>
              <w:rPr>
                <w:rFonts w:ascii="Arial" w:hAnsi="Arial" w:eastAsia="Arial" w:cs="Arial"/>
                <w:color w:val="000000"/>
                <w:sz w:val="22"/>
              </w:rPr>
              <w:t xml:space="preserve">优惠率</w:t>
            </w:r>
            <w:r>
              <w:rPr>
                <w:rFonts w:ascii="SimSun" w:hAnsi="SimSun" w:eastAsia="SimSun" w:cs="SimSun"/>
                <w:color w:val="000000"/>
                <w:sz w:val="22"/>
              </w:rPr>
              <w:t xml:space="preserve">)×45（小数点保留两位）</w:t>
            </w:r>
            <w:r/>
          </w:p>
        </w:tc>
      </w:tr>
      <w:tr>
        <w:trPr>
          <w:trHeight w:val="485"/>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416"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20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人员配置</w:t>
            </w:r>
            <w:r>
              <w:rPr>
                <w:rFonts w:ascii="SimSun" w:hAnsi="SimSun" w:eastAsia="SimSun" w:cs="SimSun"/>
                <w:color w:val="000000"/>
                <w:sz w:val="22"/>
              </w:rPr>
              <w:t xml:space="preserve">（20分）  </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rPr>
                <w:rFonts w:ascii="Arial" w:hAnsi="Arial" w:eastAsia="Arial" w:cs="Arial"/>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6" w:type="dxa"/>
            <w:vAlign w:val="center"/>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根据投标</w:t>
            </w:r>
            <w:r>
              <w:rPr>
                <w:rFonts w:ascii="SimSun" w:hAnsi="SimSun" w:eastAsia="SimSun" w:cs="SimSun"/>
                <w:color w:val="000000"/>
                <w:sz w:val="22"/>
              </w:rPr>
              <w:t xml:space="preserve">人</w:t>
            </w:r>
            <w:r>
              <w:rPr>
                <w:rFonts w:ascii="Arial" w:hAnsi="Arial" w:eastAsia="Arial" w:cs="Arial"/>
                <w:color w:val="000000"/>
                <w:sz w:val="22"/>
              </w:rPr>
              <w:t xml:space="preserve">拟投入本项目的服务人员配置情况进行评定：</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Arial" w:hAnsi="Arial" w:eastAsia="Arial" w:cs="Arial"/>
                <w:color w:val="000000"/>
                <w:sz w:val="22"/>
              </w:rPr>
              <w:t xml:space="preserve">拟投入本项目的服务人员（包括项目负责人及其</w:t>
            </w:r>
            <w:r>
              <w:rPr>
                <w:rFonts w:ascii="SimSun" w:hAnsi="SimSun" w:eastAsia="SimSun" w:cs="SimSun"/>
                <w:color w:val="000000"/>
                <w:sz w:val="22"/>
              </w:rPr>
              <w:t xml:space="preserve">他工作人员）具有交通事故痕迹物证类司法鉴定人资格的，人数达到5人（或以上）的得分15分；低于5人的，每少1人扣3分；扣完15分为止。</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Arial" w:hAnsi="Arial" w:eastAsia="Arial" w:cs="Arial"/>
                <w:color w:val="000000"/>
                <w:sz w:val="22"/>
              </w:rPr>
              <w:t xml:space="preserve">拟投入本项目</w:t>
            </w:r>
            <w:r>
              <w:rPr>
                <w:rFonts w:ascii="SimSun" w:hAnsi="SimSun" w:eastAsia="SimSun" w:cs="SimSun"/>
                <w:color w:val="000000"/>
                <w:sz w:val="22"/>
              </w:rPr>
              <w:t xml:space="preserve">的具有交通事故痕迹物证类司法鉴定人资格的服务人员中，具有人社部门评定的高级职称</w:t>
            </w:r>
            <w:r>
              <w:rPr>
                <w:rFonts w:ascii="Arial" w:hAnsi="Arial" w:eastAsia="Arial" w:cs="Arial"/>
                <w:color w:val="000000"/>
                <w:sz w:val="22"/>
              </w:rPr>
              <w:t xml:space="preserve">的，每有</w:t>
            </w:r>
            <w:r>
              <w:rPr>
                <w:rFonts w:ascii="SimSun" w:hAnsi="SimSun" w:eastAsia="SimSun" w:cs="SimSun"/>
                <w:color w:val="000000"/>
                <w:sz w:val="22"/>
              </w:rPr>
              <w:t xml:space="preserve">1</w:t>
            </w:r>
            <w:r>
              <w:rPr>
                <w:rFonts w:ascii="Arial" w:hAnsi="Arial" w:eastAsia="Arial" w:cs="Arial"/>
                <w:color w:val="000000"/>
                <w:sz w:val="22"/>
              </w:rPr>
              <w:t xml:space="preserve">人得</w:t>
            </w:r>
            <w:r>
              <w:rPr>
                <w:rFonts w:ascii="SimSun" w:hAnsi="SimSun" w:eastAsia="SimSun" w:cs="SimSun"/>
                <w:color w:val="000000"/>
                <w:sz w:val="22"/>
              </w:rPr>
              <w:t xml:space="preserve">1</w:t>
            </w:r>
            <w:r>
              <w:rPr>
                <w:rFonts w:ascii="Arial" w:hAnsi="Arial" w:eastAsia="Arial" w:cs="Arial"/>
                <w:color w:val="000000"/>
                <w:sz w:val="22"/>
              </w:rPr>
              <w:t xml:space="preserve">分；具有人社部门评定的中级职称的，每有</w:t>
            </w:r>
            <w:r>
              <w:rPr>
                <w:rFonts w:ascii="SimSun" w:hAnsi="SimSun" w:eastAsia="SimSun" w:cs="SimSun"/>
                <w:color w:val="000000"/>
                <w:sz w:val="22"/>
              </w:rPr>
              <w:t xml:space="preserve">1</w:t>
            </w:r>
            <w:r>
              <w:rPr>
                <w:rFonts w:ascii="Arial" w:hAnsi="Arial" w:eastAsia="Arial" w:cs="Arial"/>
                <w:color w:val="000000"/>
                <w:sz w:val="22"/>
              </w:rPr>
              <w:t xml:space="preserve">人得</w:t>
            </w:r>
            <w:r>
              <w:rPr>
                <w:rFonts w:ascii="SimSun" w:hAnsi="SimSun" w:eastAsia="SimSun" w:cs="SimSun"/>
                <w:color w:val="000000"/>
                <w:sz w:val="22"/>
              </w:rPr>
              <w:t xml:space="preserve">0.5</w:t>
            </w:r>
            <w:r>
              <w:rPr>
                <w:rFonts w:ascii="Arial" w:hAnsi="Arial" w:eastAsia="Arial" w:cs="Arial"/>
                <w:color w:val="000000"/>
                <w:sz w:val="22"/>
              </w:rPr>
              <w:t xml:space="preserve">分；最高得</w:t>
            </w:r>
            <w:r>
              <w:rPr>
                <w:rFonts w:ascii="SimSun" w:hAnsi="SimSun" w:eastAsia="SimSun" w:cs="SimSun"/>
                <w:color w:val="000000"/>
                <w:sz w:val="22"/>
              </w:rPr>
              <w:t xml:space="preserve">5</w:t>
            </w:r>
            <w:r>
              <w:rPr>
                <w:rFonts w:ascii="Arial" w:hAnsi="Arial" w:eastAsia="Arial" w:cs="Arial"/>
                <w:color w:val="000000"/>
                <w:sz w:val="22"/>
              </w:rPr>
              <w:t xml:space="preserve">分。</w:t>
            </w:r>
            <w:r/>
          </w:p>
          <w:p>
            <w:pPr>
              <w:ind w:left="0" w:right="0" w:firstLine="422"/>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rPr>
                <w:rFonts w:ascii="Arial" w:hAnsi="Arial" w:eastAsia="Arial" w:cs="Arial"/>
                <w:b/>
                <w:color w:val="000000"/>
                <w:sz w:val="22"/>
              </w:rPr>
              <w:t xml:space="preserve">（</w:t>
            </w:r>
            <w:r>
              <w:rPr>
                <w:rFonts w:ascii="SimSun" w:hAnsi="SimSun" w:eastAsia="SimSun" w:cs="SimSun"/>
                <w:b/>
                <w:color w:val="000000"/>
                <w:sz w:val="22"/>
              </w:rPr>
              <w:t xml:space="preserve">1</w:t>
            </w:r>
            <w:r>
              <w:rPr>
                <w:rFonts w:ascii="Arial" w:hAnsi="Arial" w:eastAsia="Arial" w:cs="Arial"/>
                <w:b/>
                <w:color w:val="000000"/>
                <w:sz w:val="22"/>
              </w:rPr>
              <w:t xml:space="preserve">）本项最高得</w:t>
            </w:r>
            <w:r>
              <w:rPr>
                <w:rFonts w:ascii="SimSun" w:hAnsi="SimSun" w:eastAsia="SimSun" w:cs="SimSun"/>
                <w:b/>
                <w:color w:val="000000"/>
                <w:sz w:val="22"/>
              </w:rPr>
              <w:t xml:space="preserve">20</w:t>
            </w:r>
            <w:r>
              <w:rPr>
                <w:rFonts w:ascii="Arial" w:hAnsi="Arial" w:eastAsia="Arial" w:cs="Arial"/>
                <w:b/>
                <w:color w:val="000000"/>
                <w:sz w:val="22"/>
              </w:rPr>
              <w:t xml:space="preserve">分</w:t>
            </w:r>
            <w:r>
              <w:rPr>
                <w:rFonts w:ascii="SimSun" w:hAnsi="SimSun" w:eastAsia="SimSun" w:cs="SimSun"/>
                <w:b/>
                <w:color w:val="000000"/>
                <w:sz w:val="22"/>
              </w:rPr>
              <w:t xml:space="preserve">。</w:t>
            </w:r>
            <w:r>
              <w:rPr>
                <w:rFonts w:ascii="Arial" w:hAnsi="Arial" w:eastAsia="Arial" w:cs="Arial"/>
                <w:b/>
                <w:color w:val="000000"/>
                <w:sz w:val="22"/>
              </w:rPr>
              <w:t xml:space="preserve">（</w:t>
            </w:r>
            <w:r>
              <w:rPr>
                <w:rFonts w:ascii="SimSun" w:hAnsi="SimSun" w:eastAsia="SimSun" w:cs="SimSun"/>
                <w:b/>
                <w:color w:val="000000"/>
                <w:sz w:val="22"/>
              </w:rPr>
              <w:t xml:space="preserve">2</w:t>
            </w:r>
            <w:r>
              <w:rPr>
                <w:rFonts w:ascii="Arial" w:hAnsi="Arial" w:eastAsia="Arial" w:cs="Arial"/>
                <w:b/>
                <w:color w:val="000000"/>
                <w:sz w:val="22"/>
              </w:rPr>
              <w:t xml:space="preserve">）同一人员提供不同专业的职称的，不累计加分。同一人员在同一专业或不同专业提供多个级别职称的，以最高级别职称计。（</w:t>
            </w:r>
            <w:r>
              <w:rPr>
                <w:rFonts w:ascii="SimSun" w:hAnsi="SimSun" w:eastAsia="SimSun" w:cs="SimSun"/>
                <w:b/>
                <w:color w:val="000000"/>
                <w:sz w:val="22"/>
              </w:rPr>
              <w:t xml:space="preserve">3</w:t>
            </w:r>
            <w:r>
              <w:rPr>
                <w:rFonts w:ascii="Arial" w:hAnsi="Arial" w:eastAsia="Arial" w:cs="Arial"/>
                <w:b/>
                <w:color w:val="000000"/>
                <w:sz w:val="22"/>
              </w:rPr>
              <w:t xml:space="preserve">）投标文件中需提供上述人员与评分项相对应的证明材料及投标</w:t>
            </w:r>
            <w:r>
              <w:rPr>
                <w:rFonts w:ascii="SimSun" w:hAnsi="SimSun" w:eastAsia="SimSun" w:cs="SimSun"/>
                <w:b/>
                <w:color w:val="000000"/>
                <w:sz w:val="22"/>
              </w:rPr>
              <w:t xml:space="preserve">人</w:t>
            </w:r>
            <w:r>
              <w:rPr>
                <w:rFonts w:ascii="Arial" w:hAnsi="Arial" w:eastAsia="Arial" w:cs="Arial"/>
                <w:b/>
                <w:color w:val="000000"/>
                <w:sz w:val="22"/>
              </w:rPr>
              <w:t xml:space="preserve">为该人员缴纳社会保险的证明材料【在职人员提供近三个月以来任意一个月的社保证明】并加盖投标人公章。如未提供或提供不全的，对应评分项不得分。</w:t>
            </w:r>
            <w:r/>
          </w:p>
        </w:tc>
      </w:tr>
      <w:tr>
        <w:trPr>
          <w:trHeight w:val="171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6"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0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业绩</w:t>
            </w:r>
            <w:r>
              <w:rPr>
                <w:rFonts w:ascii="SimSun" w:hAnsi="SimSun" w:eastAsia="SimSun" w:cs="SimSun"/>
                <w:color w:val="000000"/>
                <w:sz w:val="22"/>
              </w:rPr>
              <w:t xml:space="preserve">   </w:t>
            </w:r>
            <w:r>
              <w:rPr>
                <w:rFonts w:ascii="Arial" w:hAnsi="Arial" w:eastAsia="Arial" w:cs="Arial"/>
                <w:color w:val="000000"/>
                <w:sz w:val="22"/>
              </w:rPr>
              <w:t xml:space="preserve">（</w:t>
            </w:r>
            <w:r>
              <w:rPr>
                <w:rFonts w:ascii="SimSun" w:hAnsi="SimSun" w:eastAsia="SimSun" w:cs="SimSun"/>
                <w:color w:val="000000"/>
                <w:sz w:val="22"/>
              </w:rPr>
              <w:t xml:space="preserve">15</w:t>
            </w:r>
            <w:r>
              <w:rPr>
                <w:rFonts w:ascii="Arial" w:hAnsi="Arial" w:eastAsia="Arial" w:cs="Arial"/>
                <w:color w:val="000000"/>
                <w:sz w:val="22"/>
              </w:rPr>
              <w:t xml:space="preserve">分）</w:t>
            </w:r>
            <w:r>
              <w:rPr>
                <w:rFonts w:ascii="Arial" w:hAnsi="Arial" w:eastAsia="Arial" w:cs="Arial"/>
                <w:color w:val="000000"/>
                <w:sz w:val="21"/>
              </w:rPr>
              <w:t xml:space="preserve"> </w:t>
            </w: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rPr>
                <w:rFonts w:ascii="Arial" w:hAnsi="Arial" w:eastAsia="Arial" w:cs="Arial"/>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6" w:type="dxa"/>
            <w:vAlign w:val="center"/>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投标</w:t>
            </w:r>
            <w:r>
              <w:rPr>
                <w:rFonts w:ascii="SimSun" w:hAnsi="SimSun" w:eastAsia="SimSun" w:cs="SimSun"/>
                <w:color w:val="000000"/>
                <w:sz w:val="22"/>
              </w:rPr>
              <w:t xml:space="preserve">人</w:t>
            </w:r>
            <w:r>
              <w:rPr>
                <w:rFonts w:ascii="Arial" w:hAnsi="Arial" w:eastAsia="Arial" w:cs="Arial"/>
                <w:color w:val="000000"/>
                <w:sz w:val="22"/>
              </w:rPr>
              <w:t xml:space="preserve">自</w:t>
            </w:r>
            <w:r>
              <w:rPr>
                <w:rFonts w:ascii="SimSun" w:hAnsi="SimSun" w:eastAsia="SimSun" w:cs="SimSun"/>
                <w:color w:val="000000"/>
                <w:sz w:val="22"/>
              </w:rPr>
              <w:t xml:space="preserve">2023</w:t>
            </w:r>
            <w:r>
              <w:rPr>
                <w:rFonts w:ascii="Arial" w:hAnsi="Arial" w:eastAsia="Arial" w:cs="Arial"/>
                <w:color w:val="000000"/>
                <w:sz w:val="22"/>
              </w:rPr>
              <w:t xml:space="preserve">年</w:t>
            </w:r>
            <w:r>
              <w:rPr>
                <w:rFonts w:ascii="SimSun" w:hAnsi="SimSun" w:eastAsia="SimSun" w:cs="SimSun"/>
                <w:color w:val="000000"/>
                <w:sz w:val="22"/>
              </w:rPr>
              <w:t xml:space="preserve">9</w:t>
            </w:r>
            <w:r>
              <w:rPr>
                <w:rFonts w:ascii="Arial" w:hAnsi="Arial" w:eastAsia="Arial" w:cs="Arial"/>
                <w:color w:val="000000"/>
                <w:sz w:val="22"/>
              </w:rPr>
              <w:t xml:space="preserve">月</w:t>
            </w:r>
            <w:r>
              <w:rPr>
                <w:rFonts w:ascii="SimSun" w:hAnsi="SimSun" w:eastAsia="SimSun" w:cs="SimSun"/>
                <w:color w:val="000000"/>
                <w:sz w:val="22"/>
              </w:rPr>
              <w:t xml:space="preserve">1</w:t>
            </w:r>
            <w:r>
              <w:rPr>
                <w:rFonts w:ascii="Arial" w:hAnsi="Arial" w:eastAsia="Arial" w:cs="Arial"/>
                <w:color w:val="000000"/>
                <w:sz w:val="22"/>
              </w:rPr>
              <w:t xml:space="preserve">日以来，承担过类似道路交通事故检测项目，有一项得</w:t>
            </w:r>
            <w:r>
              <w:rPr>
                <w:rFonts w:ascii="SimSun" w:hAnsi="SimSun" w:eastAsia="SimSun" w:cs="SimSun"/>
                <w:color w:val="000000"/>
                <w:sz w:val="22"/>
              </w:rPr>
              <w:t xml:space="preserve">3</w:t>
            </w:r>
            <w:r>
              <w:rPr>
                <w:rFonts w:ascii="Arial" w:hAnsi="Arial" w:eastAsia="Arial" w:cs="Arial"/>
                <w:color w:val="000000"/>
                <w:sz w:val="22"/>
              </w:rPr>
              <w:t xml:space="preserve">分，最高得</w:t>
            </w:r>
            <w:r>
              <w:rPr>
                <w:rFonts w:ascii="SimSun" w:hAnsi="SimSun" w:eastAsia="SimSun" w:cs="SimSun"/>
                <w:color w:val="000000"/>
                <w:sz w:val="22"/>
              </w:rPr>
              <w:t xml:space="preserve">15</w:t>
            </w:r>
            <w:r>
              <w:rPr>
                <w:rFonts w:ascii="Arial" w:hAnsi="Arial" w:eastAsia="Arial" w:cs="Arial"/>
                <w:color w:val="000000"/>
                <w:sz w:val="22"/>
              </w:rPr>
              <w:t xml:space="preserve">分；</w:t>
            </w:r>
            <w:r/>
          </w:p>
          <w:p>
            <w:pPr>
              <w:ind w:left="0" w:right="0" w:firstLine="422"/>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rPr>
                <w:rFonts w:ascii="Arial" w:hAnsi="Arial" w:eastAsia="Arial" w:cs="Arial"/>
                <w:b/>
                <w:color w:val="000000"/>
                <w:sz w:val="22"/>
              </w:rPr>
              <w:t xml:space="preserve">投标</w:t>
            </w:r>
            <w:r>
              <w:rPr>
                <w:rFonts w:ascii="SimSun" w:hAnsi="SimSun" w:eastAsia="SimSun" w:cs="SimSun"/>
                <w:b/>
                <w:color w:val="000000"/>
                <w:sz w:val="22"/>
              </w:rPr>
              <w:t xml:space="preserve">时</w:t>
            </w:r>
            <w:r>
              <w:rPr>
                <w:rFonts w:ascii="Arial" w:hAnsi="Arial" w:eastAsia="Arial" w:cs="Arial"/>
                <w:b/>
                <w:color w:val="000000"/>
                <w:sz w:val="22"/>
              </w:rPr>
              <w:t xml:space="preserve">须提供业绩合同</w:t>
            </w:r>
            <w:r>
              <w:rPr>
                <w:rFonts w:ascii="SimSun" w:hAnsi="SimSun" w:eastAsia="SimSun" w:cs="SimSun"/>
                <w:b/>
                <w:color w:val="000000"/>
                <w:sz w:val="22"/>
              </w:rPr>
              <w:t xml:space="preserve">扫描件</w:t>
            </w:r>
            <w:r>
              <w:rPr>
                <w:rFonts w:ascii="Arial" w:hAnsi="Arial" w:eastAsia="Arial" w:cs="Arial"/>
                <w:b/>
                <w:color w:val="000000"/>
                <w:sz w:val="22"/>
              </w:rPr>
              <w:t xml:space="preserve">并加盖投标</w:t>
            </w:r>
            <w:r>
              <w:rPr>
                <w:rFonts w:ascii="SimSun" w:hAnsi="SimSun" w:eastAsia="SimSun" w:cs="SimSun"/>
                <w:b/>
                <w:color w:val="000000"/>
                <w:sz w:val="22"/>
              </w:rPr>
              <w:t xml:space="preserve">人</w:t>
            </w:r>
            <w:r>
              <w:rPr>
                <w:rFonts w:ascii="Arial" w:hAnsi="Arial" w:eastAsia="Arial" w:cs="Arial"/>
                <w:b/>
                <w:color w:val="000000"/>
                <w:sz w:val="22"/>
              </w:rPr>
              <w:t xml:space="preserve">公章，</w:t>
            </w:r>
            <w:r>
              <w:rPr>
                <w:rFonts w:ascii="SimSun" w:hAnsi="SimSun" w:eastAsia="SimSun" w:cs="SimSun"/>
                <w:b/>
                <w:color w:val="000000"/>
                <w:sz w:val="22"/>
              </w:rPr>
              <w:t xml:space="preserve">合同内容中须能体现</w:t>
            </w:r>
            <w:r>
              <w:rPr>
                <w:rFonts w:ascii="Arial" w:hAnsi="Arial" w:eastAsia="Arial" w:cs="Arial"/>
                <w:b/>
                <w:color w:val="000000"/>
                <w:sz w:val="22"/>
              </w:rPr>
              <w:t xml:space="preserve">签订时间</w:t>
            </w:r>
            <w:r>
              <w:rPr>
                <w:rFonts w:ascii="SimSun" w:hAnsi="SimSun" w:eastAsia="SimSun" w:cs="SimSun"/>
                <w:b/>
                <w:color w:val="000000"/>
                <w:sz w:val="22"/>
              </w:rPr>
              <w:t xml:space="preserve">、</w:t>
            </w:r>
            <w:r>
              <w:rPr>
                <w:rFonts w:ascii="Arial" w:hAnsi="Arial" w:eastAsia="Arial" w:cs="Arial"/>
                <w:b/>
                <w:color w:val="000000"/>
                <w:sz w:val="22"/>
              </w:rPr>
              <w:t xml:space="preserve">买卖双方公章；如业绩合同不能体现以上全部内容，可提供业绩合同甲方加盖公章的证明材料扫描件。否则，不得分</w:t>
            </w:r>
            <w:r>
              <w:rPr>
                <w:rFonts w:ascii="SimSun" w:hAnsi="SimSun" w:eastAsia="SimSun" w:cs="SimSun"/>
                <w:b/>
                <w:color w:val="000000"/>
                <w:sz w:val="22"/>
              </w:rPr>
              <w:t xml:space="preserve">。</w:t>
            </w:r>
            <w:r/>
          </w:p>
        </w:tc>
      </w:tr>
      <w:tr>
        <w:trPr>
          <w:trHeight w:val="361"/>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416" w:type="dxa"/>
            <w:vAlign w:val="center"/>
            <w:vMerge w:val="restart"/>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209" w:type="dxa"/>
            <w:vAlign w:val="center"/>
            <w:vMerge w:val="restart"/>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服务方案（</w:t>
            </w:r>
            <w:r>
              <w:rPr>
                <w:rFonts w:ascii="SimSun" w:hAnsi="SimSun" w:eastAsia="SimSun" w:cs="SimSun"/>
                <w:color w:val="000000"/>
                <w:sz w:val="22"/>
              </w:rPr>
              <w:t xml:space="preserve">10</w:t>
            </w:r>
            <w:r>
              <w:rPr>
                <w:rFonts w:ascii="Arial" w:hAnsi="Arial" w:eastAsia="Arial" w:cs="Arial"/>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项目整体服务方案</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SimSun" w:hAnsi="SimSun" w:eastAsia="SimSun" w:cs="SimSun"/>
                <w:color w:val="000000"/>
                <w:sz w:val="22"/>
              </w:rPr>
              <w:t xml:space="preserve">2</w:t>
            </w:r>
            <w:r>
              <w:rPr>
                <w:rFonts w:ascii="Arial" w:hAnsi="Arial" w:eastAsia="Arial" w:cs="Arial"/>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6" w:type="dxa"/>
            <w:vAlign w:val="center"/>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投标人根据本项目第四部分中“</w:t>
            </w:r>
            <w:r>
              <w:rPr>
                <w:rFonts w:ascii="Arial" w:hAnsi="Arial" w:eastAsia="Arial" w:cs="Arial"/>
                <w:color w:val="000000"/>
                <w:sz w:val="22"/>
              </w:rPr>
              <w:t xml:space="preserve">项目整体服务方案</w:t>
            </w:r>
            <w:r>
              <w:rPr>
                <w:rFonts w:ascii="SimSun" w:hAnsi="SimSun" w:eastAsia="SimSun" w:cs="SimSun"/>
                <w:color w:val="000000"/>
                <w:sz w:val="22"/>
              </w:rPr>
              <w:t xml:space="preserve">”要求，提供科学合理的方案，至少包含：</w:t>
            </w:r>
            <w:r>
              <w:rPr>
                <w:rFonts w:ascii="Arial" w:hAnsi="Arial" w:eastAsia="Arial" w:cs="Arial"/>
                <w:color w:val="000000"/>
                <w:sz w:val="22"/>
              </w:rPr>
              <w:t xml:space="preserve">项目实施方案、服务内容、鉴定人员分配</w:t>
            </w:r>
            <w:r>
              <w:rPr>
                <w:rFonts w:ascii="SimSun" w:hAnsi="SimSun" w:eastAsia="SimSun" w:cs="SimSun"/>
                <w:color w:val="000000"/>
                <w:sz w:val="22"/>
              </w:rPr>
              <w:t xml:space="preserve">等方面内容。方案优于要求的得2分，符合要求得1分，不符合要求或未提供的不得分。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41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司法鉴定服务工作流程</w:t>
            </w:r>
            <w:r>
              <w:rPr>
                <w:rFonts w:ascii="Arial" w:hAnsi="Arial" w:eastAsia="Arial" w:cs="Arial"/>
                <w:color w:val="000000"/>
                <w:sz w:val="21"/>
              </w:rPr>
              <w:t xml:space="preserve"> </w:t>
            </w:r>
            <w:r>
              <w:rPr>
                <w:rFonts w:ascii="SimSun" w:hAnsi="SimSun" w:eastAsia="SimSun" w:cs="SimSun"/>
                <w:color w:val="000000"/>
                <w:sz w:val="22"/>
              </w:rPr>
              <w:t xml:space="preserve">   </w:t>
            </w:r>
            <w:r>
              <w:rPr>
                <w:rFonts w:ascii="Arial" w:hAnsi="Arial" w:eastAsia="Arial" w:cs="Arial"/>
                <w:color w:val="000000"/>
                <w:sz w:val="22"/>
              </w:rPr>
              <w:t xml:space="preserve">（</w:t>
            </w:r>
            <w:r>
              <w:rPr>
                <w:rFonts w:ascii="SimSun" w:hAnsi="SimSun" w:eastAsia="SimSun" w:cs="SimSun"/>
                <w:color w:val="000000"/>
                <w:sz w:val="22"/>
              </w:rPr>
              <w:t xml:space="preserve">2</w:t>
            </w:r>
            <w:r>
              <w:rPr>
                <w:rFonts w:ascii="Arial" w:hAnsi="Arial" w:eastAsia="Arial" w:cs="Arial"/>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6" w:type="dxa"/>
            <w:vAlign w:val="center"/>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本项目第四部分中“司法鉴定服务工作流程”要求，提供科学合理的方案，至少包含：全流程标准化闭环作业、全程留痕、全程可溯等方面内容。方案优于要求的得2分，符合要求得1分，不符合要求或未提供的不得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192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管理规章制度及质量控制方案</w:t>
            </w:r>
            <w:r>
              <w:rPr>
                <w:rFonts w:ascii="SimSun" w:hAnsi="SimSun" w:eastAsia="SimSun" w:cs="SimSun"/>
                <w:color w:val="000000"/>
                <w:sz w:val="22"/>
              </w:rPr>
              <w:t xml:space="preserve">  </w:t>
            </w:r>
            <w:r>
              <w:rPr>
                <w:rFonts w:ascii="Arial" w:hAnsi="Arial" w:eastAsia="Arial" w:cs="Arial"/>
                <w:color w:val="000000"/>
                <w:sz w:val="22"/>
              </w:rPr>
              <w:t xml:space="preserve">（</w:t>
            </w:r>
            <w:r>
              <w:rPr>
                <w:rFonts w:ascii="SimSun" w:hAnsi="SimSun" w:eastAsia="SimSun" w:cs="SimSun"/>
                <w:color w:val="000000"/>
                <w:sz w:val="22"/>
              </w:rPr>
              <w:t xml:space="preserve">2</w:t>
            </w:r>
            <w:r>
              <w:rPr>
                <w:rFonts w:ascii="Arial" w:hAnsi="Arial" w:eastAsia="Arial" w:cs="Arial"/>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6" w:type="dxa"/>
            <w:vAlign w:val="center"/>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投标人根据本项目第四部分中“</w:t>
            </w:r>
            <w:r>
              <w:rPr>
                <w:rFonts w:ascii="Arial" w:hAnsi="Arial" w:eastAsia="Arial" w:cs="Arial"/>
                <w:color w:val="000000"/>
                <w:sz w:val="22"/>
              </w:rPr>
              <w:t xml:space="preserve">管理规章制度及质量控制方案</w:t>
            </w:r>
            <w:r>
              <w:rPr>
                <w:rFonts w:ascii="SimSun" w:hAnsi="SimSun" w:eastAsia="SimSun" w:cs="SimSun"/>
                <w:color w:val="000000"/>
                <w:sz w:val="22"/>
              </w:rPr>
              <w:t xml:space="preserve">”要求，提供科学合理的方案，至少包含：岗位责任制度、检材管理制度、设备校准运维制度、档案管理制度、保密管理制度、案件复盘制度、差错追责等方面内容。方案优于要求的得2分，符合要求得1分，不符合要求或未提供的不得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41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鉴定人员岗位考核措施（</w:t>
            </w:r>
            <w:r>
              <w:rPr>
                <w:rFonts w:ascii="SimSun" w:hAnsi="SimSun" w:eastAsia="SimSun" w:cs="SimSun"/>
                <w:color w:val="000000"/>
                <w:sz w:val="22"/>
              </w:rPr>
              <w:t xml:space="preserve">2</w:t>
            </w:r>
            <w:r>
              <w:rPr>
                <w:rFonts w:ascii="Arial" w:hAnsi="Arial" w:eastAsia="Arial" w:cs="Arial"/>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6" w:type="dxa"/>
            <w:vAlign w:val="center"/>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投标人根据本项目第四部分中“</w:t>
            </w:r>
            <w:r>
              <w:rPr>
                <w:rFonts w:ascii="Arial" w:hAnsi="Arial" w:eastAsia="Arial" w:cs="Arial"/>
                <w:color w:val="000000"/>
                <w:sz w:val="22"/>
              </w:rPr>
              <w:t xml:space="preserve">鉴定人员岗位考核措施</w:t>
            </w:r>
            <w:r>
              <w:rPr>
                <w:rFonts w:ascii="SimSun" w:hAnsi="SimSun" w:eastAsia="SimSun" w:cs="SimSun"/>
                <w:color w:val="000000"/>
                <w:sz w:val="22"/>
              </w:rPr>
              <w:t xml:space="preserve">”要求，提供科学合理的方案，至少包含：业务质量、履约时效、规范操作、服务纪律、培训考核等方面内容。方案优于要求的得2分，符合要求得1分，不符合要求或未提供的不得分。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126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项目进度安排及保障措施</w:t>
            </w:r>
            <w:r>
              <w:rPr>
                <w:rFonts w:ascii="SimSun" w:hAnsi="SimSun" w:eastAsia="SimSun" w:cs="SimSun"/>
                <w:color w:val="000000"/>
                <w:sz w:val="22"/>
              </w:rPr>
              <w:t xml:space="preserve">      </w:t>
            </w:r>
            <w:r>
              <w:rPr>
                <w:rFonts w:ascii="Arial" w:hAnsi="Arial" w:eastAsia="Arial" w:cs="Arial"/>
                <w:color w:val="000000"/>
                <w:sz w:val="22"/>
              </w:rPr>
              <w:t xml:space="preserve">（</w:t>
            </w:r>
            <w:r>
              <w:rPr>
                <w:rFonts w:ascii="SimSun" w:hAnsi="SimSun" w:eastAsia="SimSun" w:cs="SimSun"/>
                <w:color w:val="000000"/>
                <w:sz w:val="22"/>
              </w:rPr>
              <w:t xml:space="preserve">2</w:t>
            </w:r>
            <w:r>
              <w:rPr>
                <w:rFonts w:ascii="Arial" w:hAnsi="Arial" w:eastAsia="Arial" w:cs="Arial"/>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6" w:type="dxa"/>
            <w:vAlign w:val="center"/>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投标人根据本项目第四部分中“</w:t>
            </w:r>
            <w:r>
              <w:rPr>
                <w:rFonts w:ascii="Arial" w:hAnsi="Arial" w:eastAsia="Arial" w:cs="Arial"/>
                <w:color w:val="000000"/>
                <w:sz w:val="22"/>
              </w:rPr>
              <w:t xml:space="preserve">项目进度安排及保障措施</w:t>
            </w:r>
            <w:r>
              <w:rPr>
                <w:rFonts w:ascii="SimSun" w:hAnsi="SimSun" w:eastAsia="SimSun" w:cs="SimSun"/>
                <w:color w:val="000000"/>
                <w:sz w:val="22"/>
              </w:rPr>
              <w:t xml:space="preserve">”要求，提供科学合理的方案，至少包含：日常案件受理办结、每月完成进度及质量复盘、</w:t>
            </w:r>
            <w:r>
              <w:rPr>
                <w:rFonts w:ascii="SimSun" w:hAnsi="SimSun" w:eastAsia="SimSun" w:cs="SimSun"/>
                <w:color w:val="000000"/>
                <w:sz w:val="21"/>
              </w:rPr>
              <w:t xml:space="preserve">24小时应急、进度预警、追责管控多重保障</w:t>
            </w:r>
            <w:r>
              <w:rPr>
                <w:rFonts w:ascii="SimSun" w:hAnsi="SimSun" w:eastAsia="SimSun" w:cs="SimSun"/>
                <w:color w:val="000000"/>
                <w:sz w:val="22"/>
              </w:rPr>
              <w:t xml:space="preserve">等方面内容。方案优于要求的得2分，符合要求得1分，不符合要求或未提供的不得分。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12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6"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本地化服务保障</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Arial" w:hAnsi="Arial" w:eastAsia="Arial" w:cs="Arial"/>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6" w:type="dxa"/>
            <w:vAlign w:val="center"/>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投标</w:t>
            </w:r>
            <w:r>
              <w:rPr>
                <w:rFonts w:ascii="SimSun" w:hAnsi="SimSun" w:eastAsia="SimSun" w:cs="SimSun"/>
                <w:color w:val="000000"/>
                <w:sz w:val="22"/>
              </w:rPr>
              <w:t xml:space="preserve">人</w:t>
            </w:r>
            <w:r>
              <w:rPr>
                <w:rFonts w:ascii="Arial" w:hAnsi="Arial" w:eastAsia="Arial" w:cs="Arial"/>
                <w:color w:val="000000"/>
                <w:sz w:val="22"/>
              </w:rPr>
              <w:t xml:space="preserve">在项目地已设有固定服务机构并配备专业服务团队（至少</w:t>
            </w:r>
            <w:r>
              <w:rPr>
                <w:rFonts w:ascii="SimSun" w:hAnsi="SimSun" w:eastAsia="SimSun" w:cs="SimSun"/>
                <w:color w:val="000000"/>
                <w:sz w:val="22"/>
              </w:rPr>
              <w:t xml:space="preserve">5</w:t>
            </w:r>
            <w:r>
              <w:rPr>
                <w:rFonts w:ascii="Arial" w:hAnsi="Arial" w:eastAsia="Arial" w:cs="Arial"/>
                <w:color w:val="000000"/>
                <w:sz w:val="22"/>
              </w:rPr>
              <w:t xml:space="preserve">人）或承诺中标后</w:t>
            </w:r>
            <w:r>
              <w:rPr>
                <w:rFonts w:ascii="SimSun" w:hAnsi="SimSun" w:eastAsia="SimSun" w:cs="SimSun"/>
                <w:color w:val="000000"/>
                <w:sz w:val="22"/>
              </w:rPr>
              <w:t xml:space="preserve">180日内</w:t>
            </w:r>
            <w:r>
              <w:rPr>
                <w:rFonts w:ascii="Arial" w:hAnsi="Arial" w:eastAsia="Arial" w:cs="Arial"/>
                <w:color w:val="000000"/>
                <w:sz w:val="22"/>
              </w:rPr>
              <w:t xml:space="preserve">在项目地设立固定服务机构并配备专业服务团队（至少</w:t>
            </w:r>
            <w:r>
              <w:rPr>
                <w:rFonts w:ascii="SimSun" w:hAnsi="SimSun" w:eastAsia="SimSun" w:cs="SimSun"/>
                <w:color w:val="000000"/>
                <w:sz w:val="22"/>
              </w:rPr>
              <w:t xml:space="preserve">5</w:t>
            </w:r>
            <w:r>
              <w:rPr>
                <w:rFonts w:ascii="Arial" w:hAnsi="Arial" w:eastAsia="Arial" w:cs="Arial"/>
                <w:color w:val="000000"/>
                <w:sz w:val="22"/>
              </w:rPr>
              <w:t xml:space="preserve">人）的得</w:t>
            </w:r>
            <w:r>
              <w:rPr>
                <w:rFonts w:ascii="SimSun" w:hAnsi="SimSun" w:eastAsia="SimSun" w:cs="SimSun"/>
                <w:color w:val="000000"/>
                <w:sz w:val="22"/>
              </w:rPr>
              <w:t xml:space="preserve">5</w:t>
            </w:r>
            <w:r>
              <w:rPr>
                <w:rFonts w:ascii="Arial" w:hAnsi="Arial" w:eastAsia="Arial" w:cs="Arial"/>
                <w:color w:val="000000"/>
                <w:sz w:val="22"/>
              </w:rPr>
              <w:t xml:space="preserve">分。</w:t>
            </w:r>
            <w:r/>
          </w:p>
          <w:p>
            <w:pPr>
              <w:ind w:left="0" w:right="0" w:firstLine="422"/>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说明：①</w:t>
            </w:r>
            <w:r>
              <w:rPr>
                <w:rFonts w:ascii="Arial" w:hAnsi="Arial" w:eastAsia="Arial" w:cs="Arial"/>
                <w:b/>
                <w:color w:val="000000"/>
                <w:sz w:val="22"/>
              </w:rPr>
              <w:t xml:space="preserve">如投标</w:t>
            </w:r>
            <w:r>
              <w:rPr>
                <w:rFonts w:ascii="SimSun" w:hAnsi="SimSun" w:eastAsia="SimSun" w:cs="SimSun"/>
                <w:b/>
                <w:color w:val="000000"/>
                <w:sz w:val="22"/>
              </w:rPr>
              <w:t xml:space="preserve">人</w:t>
            </w:r>
            <w:r>
              <w:rPr>
                <w:rFonts w:ascii="Arial" w:hAnsi="Arial" w:eastAsia="Arial" w:cs="Arial"/>
                <w:b/>
                <w:color w:val="000000"/>
                <w:sz w:val="22"/>
              </w:rPr>
              <w:t xml:space="preserve">在项目地已设有固定服务机构并配备专业服务团队的，需同时提供固定服务机构地址、固定服务机构及服务团队人员（至少</w:t>
            </w:r>
            <w:r>
              <w:rPr>
                <w:rFonts w:ascii="SimSun" w:hAnsi="SimSun" w:eastAsia="SimSun" w:cs="SimSun"/>
                <w:b/>
                <w:color w:val="000000"/>
                <w:sz w:val="22"/>
              </w:rPr>
              <w:t xml:space="preserve">5</w:t>
            </w:r>
            <w:r>
              <w:rPr>
                <w:rFonts w:ascii="Arial" w:hAnsi="Arial" w:eastAsia="Arial" w:cs="Arial"/>
                <w:b/>
                <w:color w:val="000000"/>
                <w:sz w:val="22"/>
              </w:rPr>
              <w:t xml:space="preserve">人）现场照片，未提供或提供不全的，对应评分项不得分。</w:t>
            </w:r>
            <w:r>
              <w:rPr>
                <w:rFonts w:ascii="SimSun" w:hAnsi="SimSun" w:eastAsia="SimSun" w:cs="SimSun"/>
                <w:b/>
                <w:color w:val="000000"/>
                <w:sz w:val="22"/>
              </w:rPr>
              <w:t xml:space="preserve">②</w:t>
            </w:r>
            <w:r>
              <w:rPr>
                <w:rFonts w:ascii="Arial" w:hAnsi="Arial" w:eastAsia="Arial" w:cs="Arial"/>
                <w:b/>
                <w:color w:val="000000"/>
                <w:sz w:val="22"/>
              </w:rPr>
              <w:t xml:space="preserve">如投标</w:t>
            </w:r>
            <w:r>
              <w:rPr>
                <w:rFonts w:ascii="SimSun" w:hAnsi="SimSun" w:eastAsia="SimSun" w:cs="SimSun"/>
                <w:b/>
                <w:color w:val="000000"/>
                <w:sz w:val="22"/>
              </w:rPr>
              <w:t xml:space="preserve">人</w:t>
            </w:r>
            <w:r>
              <w:rPr>
                <w:rFonts w:ascii="Arial" w:hAnsi="Arial" w:eastAsia="Arial" w:cs="Arial"/>
                <w:b/>
                <w:color w:val="000000"/>
                <w:sz w:val="22"/>
              </w:rPr>
              <w:t xml:space="preserve">承诺中标后在项目地设立固定服务机构并配备专业服务团队（至少</w:t>
            </w:r>
            <w:r>
              <w:rPr>
                <w:rFonts w:ascii="SimSun" w:hAnsi="SimSun" w:eastAsia="SimSun" w:cs="SimSun"/>
                <w:b/>
                <w:color w:val="000000"/>
                <w:sz w:val="22"/>
              </w:rPr>
              <w:t xml:space="preserve">5</w:t>
            </w:r>
            <w:r>
              <w:rPr>
                <w:rFonts w:ascii="Arial" w:hAnsi="Arial" w:eastAsia="Arial" w:cs="Arial"/>
                <w:b/>
                <w:color w:val="000000"/>
                <w:sz w:val="22"/>
              </w:rPr>
              <w:t xml:space="preserve">人）的，需提供承诺函（格式自拟，但必须体现评分要素并加盖投标</w:t>
            </w:r>
            <w:r>
              <w:rPr>
                <w:rFonts w:ascii="SimSun" w:hAnsi="SimSun" w:eastAsia="SimSun" w:cs="SimSun"/>
                <w:b/>
                <w:color w:val="000000"/>
                <w:sz w:val="22"/>
              </w:rPr>
              <w:t xml:space="preserve">人</w:t>
            </w:r>
            <w:r>
              <w:rPr>
                <w:rFonts w:ascii="Arial" w:hAnsi="Arial" w:eastAsia="Arial" w:cs="Arial"/>
                <w:b/>
                <w:color w:val="000000"/>
                <w:sz w:val="22"/>
              </w:rPr>
              <w:t xml:space="preserve">公章），否则不得分。</w:t>
            </w:r>
            <w:r/>
          </w:p>
        </w:tc>
      </w:tr>
      <w:tr>
        <w:trPr>
          <w:trHeight w:val="17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6"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服务响应时间承诺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6"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根据投标人提供的服务响应时间承诺（包括收到委托后到场勘验时间、报告出具时间）进行评定：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1.承诺收到委托后，能在2小时（含）内到场勘验、收到办案单位委托案件有紧急要求的，报告出具时间在3个工作日（含）内的得5分。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2.承诺收到委托后，能在2小时（不含）~4小时（含）内到场勘验、收到办案单位委托案件有紧急要求的，报告出具时间在3个工作日（不含）~5个工作日（含）的得3分。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3.承诺收到委托后，能在4小时（不含）~8小时（含）内到场勘验、收到办案单位委托案件有紧急要求的，报告出具时间在5个工作日（不含）~7个工作日（含）的得2分。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4.承诺收到委托后，超过8小时（不含）到场勘验或收到办案单位委托案件有紧急要求的，报告出具时间超过7个工作日（不含）的，本大项得0分。</w:t>
            </w:r>
            <w:r/>
          </w:p>
          <w:p>
            <w:pPr>
              <w:ind w:left="0" w:right="0" w:firstLine="420"/>
              <w:spacing w:before="0" w:after="0"/>
              <w:tabs>
                <w:tab w:val="left" w:pos="1912"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说明：提供对应的承诺函（格式自拟）</w:t>
            </w:r>
            <w:r>
              <w:rPr>
                <w:rFonts w:ascii="SimSun" w:hAnsi="SimSun" w:eastAsia="SimSun" w:cs="SimSun"/>
                <w:b/>
                <w:color w:val="000000"/>
                <w:sz w:val="22"/>
              </w:rPr>
              <w:t xml:space="preserve">并加盖投标人公章</w:t>
            </w:r>
            <w:r>
              <w:rPr>
                <w:rFonts w:ascii="Arial" w:hAnsi="Arial" w:eastAsia="Arial" w:cs="Arial"/>
                <w:b/>
                <w:color w:val="000000"/>
                <w:sz w:val="22"/>
              </w:rPr>
              <w:t xml:space="preserve">，</w:t>
            </w:r>
            <w:r>
              <w:rPr>
                <w:rFonts w:ascii="SimSun" w:hAnsi="SimSun" w:eastAsia="SimSun" w:cs="SimSun"/>
                <w:b/>
                <w:color w:val="000000"/>
                <w:sz w:val="22"/>
              </w:rPr>
              <w:t xml:space="preserve">不提供</w:t>
            </w:r>
            <w:r>
              <w:rPr>
                <w:rFonts w:ascii="Arial" w:hAnsi="Arial" w:eastAsia="Arial" w:cs="Arial"/>
                <w:b/>
                <w:color w:val="000000"/>
                <w:sz w:val="22"/>
              </w:rPr>
              <w:t xml:space="preserve">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投标文件格式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一、法人或者其他组织的营业执照等证明文件，自然人的身份证明</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二、上一年度的财务状况报表（财务状况报表至少包含利润表、资产负债表、现金流量表，成立不满一年无需提供）</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四、具备履行合同所必需的设备和专业技术能力的书面声明</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五、参加政府采购活动前</w:t>
      </w:r>
      <w:r>
        <w:rPr>
          <w:rFonts w:ascii="SimSun" w:hAnsi="SimSun" w:eastAsia="SimSun" w:cs="SimSun"/>
          <w:color w:val="000000"/>
          <w:sz w:val="21"/>
        </w:rPr>
        <w:t xml:space="preserve"> </w:t>
      </w:r>
      <w:r>
        <w:rPr>
          <w:rFonts w:ascii="SimSun" w:hAnsi="SimSun" w:eastAsia="SimSun" w:cs="SimSun"/>
          <w:color w:val="000000"/>
          <w:sz w:val="22"/>
        </w:rPr>
        <w:t xml:space="preserve">3 年内在经营活动中没有重大违法记录的书面声明</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六、特定资格要求的证明文件（如果本项目设置特定资格要求，则需要提供）</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七、法人授权书</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八、投标函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九、中小企业声明函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十、残疾人福利性单位声明函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十一、技术要求响应及偏离表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十二、商务要求响应及偏离表</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十三、开标一览表</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十四、技术方案、服务承诺、培训承诺等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十五、盐城市政府采购事前信用承诺书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十六、项目建设供应商承诺函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（财务状况报表至少包含利润表、资产负债表、现金流量表，成立不满一年无需提供）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8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如果本项目申请人的特定资格要求中要求提供的，必须提供。</w:t>
      </w:r>
      <w:r/>
    </w:p>
    <w:p>
      <w:pPr>
        <w:ind w:left="0" w:right="0" w:firstLine="8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2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本授权书声明：</w:t>
      </w:r>
      <w:r>
        <w:rPr>
          <w:rFonts w:ascii="Times New Roman" w:hAnsi="Times New Roman" w:eastAsia="Times New Roman" w:cs="Times New Roman"/>
          <w:color w:val="000000"/>
          <w:sz w:val="21"/>
        </w:rPr>
        <w:t xml:space="preserve">____________</w:t>
      </w:r>
      <w:r>
        <w:rPr>
          <w:rFonts w:ascii="Arial" w:hAnsi="Arial" w:eastAsia="Arial" w:cs="Arial"/>
          <w:color w:val="000000"/>
          <w:sz w:val="22"/>
        </w:rPr>
        <w:t xml:space="preserve">（投标人名称）授权</w:t>
      </w:r>
      <w:r>
        <w:rPr>
          <w:rFonts w:ascii="Times New Roman" w:hAnsi="Times New Roman" w:eastAsia="Times New Roman" w:cs="Times New Roman"/>
          <w:color w:val="000000"/>
          <w:sz w:val="22"/>
        </w:rPr>
        <w:t xml:space="preserve">________________</w:t>
      </w:r>
      <w:r>
        <w:rPr>
          <w:rFonts w:ascii="Arial" w:hAnsi="Arial" w:eastAsia="Arial" w:cs="Arial"/>
          <w:color w:val="000000"/>
          <w:sz w:val="22"/>
        </w:rPr>
        <w:t xml:space="preserve">（被授权人的姓名）为我方就</w:t>
      </w:r>
      <w:r>
        <w:rPr>
          <w:rFonts w:ascii="Times New Roman" w:hAnsi="Times New Roman" w:eastAsia="Times New Roman" w:cs="Times New Roman"/>
          <w:color w:val="000000"/>
          <w:sz w:val="22"/>
        </w:rPr>
        <w:t xml:space="preserve">________________</w:t>
      </w:r>
      <w:r>
        <w:rPr>
          <w:rFonts w:ascii="Arial" w:hAnsi="Arial" w:eastAsia="Arial" w:cs="Arial"/>
          <w:color w:val="000000"/>
          <w:sz w:val="22"/>
        </w:rPr>
        <w:t xml:space="preserve">号项目采购活动的合法代理人，以本单位名义全权处理一切与该项目采购有关的事务。</w:t>
      </w:r>
      <w:r/>
    </w:p>
    <w:p>
      <w:pPr>
        <w:ind w:left="0"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本授权书于</w:t>
      </w:r>
      <w:r>
        <w:rPr>
          <w:rFonts w:ascii="Times New Roman" w:hAnsi="Times New Roman" w:eastAsia="Times New Roman" w:cs="Times New Roman"/>
          <w:color w:val="000000"/>
          <w:sz w:val="21"/>
        </w:rPr>
        <w:t xml:space="preserve">______</w:t>
      </w:r>
      <w:r>
        <w:rPr>
          <w:rFonts w:ascii="Arial" w:hAnsi="Arial" w:eastAsia="Arial" w:cs="Arial"/>
          <w:color w:val="000000"/>
          <w:sz w:val="22"/>
        </w:rPr>
        <w:t xml:space="preserve">年</w:t>
      </w:r>
      <w:r>
        <w:rPr>
          <w:rFonts w:ascii="Times New Roman" w:hAnsi="Times New Roman" w:eastAsia="Times New Roman" w:cs="Times New Roman"/>
          <w:color w:val="000000"/>
          <w:sz w:val="22"/>
        </w:rPr>
        <w:t xml:space="preserve">____</w:t>
      </w:r>
      <w:r>
        <w:rPr>
          <w:rFonts w:ascii="Arial" w:hAnsi="Arial" w:eastAsia="Arial" w:cs="Arial"/>
          <w:color w:val="000000"/>
          <w:sz w:val="22"/>
        </w:rPr>
        <w:t xml:space="preserve">月</w:t>
      </w:r>
      <w:r>
        <w:rPr>
          <w:rFonts w:ascii="Times New Roman" w:hAnsi="Times New Roman" w:eastAsia="Times New Roman" w:cs="Times New Roman"/>
          <w:color w:val="000000"/>
          <w:sz w:val="22"/>
        </w:rPr>
        <w:t xml:space="preserve">____</w:t>
      </w:r>
      <w:r>
        <w:rPr>
          <w:rFonts w:ascii="Arial" w:hAnsi="Arial" w:eastAsia="Arial" w:cs="Arial"/>
          <w:color w:val="000000"/>
          <w:sz w:val="22"/>
        </w:rPr>
        <w:t xml:space="preserve">日起生效，特此声明。</w:t>
      </w:r>
      <w:r/>
    </w:p>
    <w:p>
      <w:pPr>
        <w:ind w:left="0" w:right="0" w:firstLine="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Arial" w:hAnsi="Arial" w:eastAsia="Arial" w:cs="Arial"/>
          <w:color w:val="000000"/>
          <w:sz w:val="22"/>
        </w:rPr>
        <w:t xml:space="preserve">被授权人身份证号码：</w:t>
      </w:r>
      <w:r>
        <w:rPr>
          <w:rFonts w:ascii="Times New Roman" w:hAnsi="Times New Roman" w:eastAsia="Times New Roman" w:cs="Times New Roman"/>
          <w:color w:val="000000"/>
          <w:sz w:val="21"/>
          <w:u w:val="single"/>
        </w:rPr>
        <w:t xml:space="preserve">                              </w:t>
      </w:r>
      <w:r/>
    </w:p>
    <w:p>
      <w:pPr>
        <w:ind w:left="0" w:right="0" w:firstLine="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Arial" w:hAnsi="Arial" w:eastAsia="Arial" w:cs="Arial"/>
          <w:color w:val="000000"/>
          <w:sz w:val="22"/>
        </w:rPr>
        <w:t xml:space="preserve">被授权人联系电话：（手机）</w:t>
      </w:r>
      <w:r>
        <w:rPr>
          <w:rFonts w:ascii="Times New Roman" w:hAnsi="Times New Roman" w:eastAsia="Times New Roman" w:cs="Times New Roman"/>
          <w:color w:val="000000"/>
          <w:sz w:val="21"/>
          <w:u w:val="single"/>
        </w:rPr>
        <w:t xml:space="preserve">                          </w:t>
      </w:r>
      <w:r/>
    </w:p>
    <w:p>
      <w:pPr>
        <w:ind w:left="0" w:right="0" w:firstLine="63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授权单位名称：</w:t>
      </w:r>
      <w:r>
        <w:rPr>
          <w:rFonts w:ascii="Arial" w:hAnsi="Arial" w:eastAsia="Arial" w:cs="Arial"/>
          <w:color w:val="000000"/>
          <w:sz w:val="22"/>
          <w:u w:val="single"/>
        </w:rPr>
        <w:t xml:space="preserve">（加盖</w:t>
      </w:r>
      <w:r>
        <w:rPr>
          <w:rFonts w:ascii="Times New Roman" w:hAnsi="Times New Roman" w:eastAsia="Times New Roman" w:cs="Times New Roman"/>
          <w:color w:val="000000"/>
          <w:sz w:val="21"/>
          <w:u w:val="single"/>
        </w:rPr>
        <w:t xml:space="preserve">CA</w:t>
      </w:r>
      <w:r>
        <w:rPr>
          <w:rFonts w:ascii="Arial" w:hAnsi="Arial" w:eastAsia="Arial" w:cs="Arial"/>
          <w:color w:val="000000"/>
          <w:sz w:val="22"/>
          <w:u w:val="single"/>
        </w:rPr>
        <w:t xml:space="preserve">电子公章）</w:t>
      </w:r>
      <w:r/>
    </w:p>
    <w:p>
      <w:pPr>
        <w:ind w:left="0"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Arial" w:hAnsi="Arial" w:eastAsia="Arial" w:cs="Arial"/>
          <w:color w:val="000000"/>
          <w:sz w:val="22"/>
        </w:rPr>
        <w:t xml:space="preserve">单位地址：</w:t>
      </w:r>
      <w:r>
        <w:rPr>
          <w:rFonts w:ascii="Times New Roman" w:hAnsi="Times New Roman" w:eastAsia="Times New Roman" w:cs="Times New Roman"/>
          <w:color w:val="000000"/>
          <w:sz w:val="21"/>
          <w:u w:val="single"/>
        </w:rPr>
        <w:t xml:space="preserve">                                         </w:t>
      </w:r>
      <w:r/>
    </w:p>
    <w:p>
      <w:pPr>
        <w:ind w:left="0"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Arial" w:hAnsi="Arial" w:eastAsia="Arial" w:cs="Arial"/>
          <w:color w:val="000000"/>
          <w:sz w:val="22"/>
        </w:rPr>
        <w:t xml:space="preserve">日期：</w:t>
      </w:r>
      <w:r>
        <w:rPr>
          <w:rFonts w:ascii="Times New Roman" w:hAnsi="Times New Roman" w:eastAsia="Times New Roman" w:cs="Times New Roman"/>
          <w:color w:val="000000"/>
          <w:sz w:val="22"/>
          <w:u w:val="single"/>
        </w:rPr>
        <w:t xml:space="preserve">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Hei" w:hAnsi="SimHei" w:eastAsia="SimHei" w:cs="SimHei"/>
          <w:b/>
          <w:color w:val="000000"/>
          <w:sz w:val="32"/>
        </w:rPr>
        <w:t xml:space="preserve">八、投标函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致：采购人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根据贵方的_____号招标文件，正式授权下述签字人______(姓名)代表我方______________（投标人的名称），全权处理本次项目投标的有关事宜。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据此函，__________签字人兹宣布同意如下：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1.按招标文件规定的各项要求，向买方提供所需服务（包含与服务相关的货物）。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2.我们完全理解贵方不一定将合同授予最低报价的投标人。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3.我们已详细审核全部招标文件及其有效补充文件，我们知道必须放弃提出含糊不清或误解问题的权利。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4.我们同意从规定的开标日期起遵循本投标文件，并在规定的投标有效期期满之前均具有约束力。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5.同意向贵方提供贵方可能另外要求的与投标有关的任何证据或资料，并保证我方已提供和将要提供的文件是真实的、准确的。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6.一旦我方中标,我方将根据招标文件的规定，严格履行合同的责任和义务,并保证在招标文件规定的时间完成项目，交付买方验收、使用。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7.与本投标有关的正式通讯地址为：</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          编：</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投标人开户行：</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 </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期：________年____月____日</w:t>
      </w:r>
      <w:r/>
    </w:p>
    <w:p>
      <w:pPr>
        <w:ind w:left="0" w:right="0" w:firstLine="240"/>
        <w:jc w:val="center"/>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40"/>
        <w:jc w:val="center"/>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本公司（联合体）郑重声明，根据《政府采购促进中小企业发展管理办法》（财库﹝</w:t>
      </w:r>
      <w:r>
        <w:rPr>
          <w:rFonts w:ascii="Calibri" w:hAnsi="Calibri" w:eastAsia="Calibri" w:cs="Calibri"/>
          <w:color w:val="000000"/>
          <w:sz w:val="22"/>
        </w:rPr>
        <w:t xml:space="preserve">2020</w:t>
      </w:r>
      <w:r>
        <w:rPr>
          <w:rFonts w:ascii="Arial" w:hAnsi="Arial" w:eastAsia="Arial" w:cs="Arial"/>
          <w:color w:val="000000"/>
          <w:sz w:val="22"/>
        </w:rPr>
        <w:t xml:space="preserve">﹞</w:t>
      </w:r>
      <w:r>
        <w:rPr>
          <w:rFonts w:ascii="Calibri" w:hAnsi="Calibri" w:eastAsia="Calibri" w:cs="Calibri"/>
          <w:color w:val="000000"/>
          <w:sz w:val="22"/>
        </w:rPr>
        <w:t xml:space="preserve">46 </w:t>
      </w:r>
      <w:r>
        <w:rPr>
          <w:rFonts w:ascii="Arial" w:hAnsi="Arial" w:eastAsia="Arial" w:cs="Arial"/>
          <w:color w:val="000000"/>
          <w:sz w:val="22"/>
        </w:rPr>
        <w:t xml:space="preserve">号）的规定，本公司（联合体）参加</w:t>
      </w:r>
      <w:r>
        <w:rPr>
          <w:rFonts w:ascii="Arial" w:hAnsi="Arial" w:eastAsia="Arial" w:cs="Arial"/>
          <w:i/>
          <w:color w:val="000000"/>
          <w:sz w:val="22"/>
          <w:u w:val="single"/>
        </w:rPr>
        <w:t xml:space="preserve">（单位名称）</w:t>
      </w:r>
      <w:r>
        <w:rPr>
          <w:rFonts w:ascii="Arial" w:hAnsi="Arial" w:eastAsia="Arial" w:cs="Arial"/>
          <w:color w:val="000000"/>
          <w:sz w:val="22"/>
        </w:rPr>
        <w:t xml:space="preserve">采购编号为的</w:t>
      </w:r>
      <w:r>
        <w:rPr>
          <w:rFonts w:ascii="Arial" w:hAnsi="Arial" w:eastAsia="Arial" w:cs="Arial"/>
          <w:i/>
          <w:color w:val="000000"/>
          <w:sz w:val="22"/>
          <w:u w:val="single"/>
        </w:rPr>
        <w:t xml:space="preserve">（项目名称）</w:t>
      </w:r>
      <w:r>
        <w:rPr>
          <w:rFonts w:ascii="Arial" w:hAnsi="Arial" w:eastAsia="Arial" w:cs="Arial"/>
          <w:color w:val="000000"/>
          <w:sz w:val="22"/>
        </w:rPr>
        <w:t xml:space="preserve">的采购活动，服务全部由符合政策要求的中小企业承接。相关企业（含联合体中的中小企业、签订分包意向协议的中小企业）的具体情况如下：</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2"/>
          <w:u w:val="single"/>
        </w:rPr>
        <w:t xml:space="preserve">（标的名称）</w:t>
      </w:r>
      <w:r>
        <w:rPr>
          <w:rFonts w:ascii="Arial" w:hAnsi="Arial" w:eastAsia="Arial" w:cs="Arial"/>
          <w:color w:val="000000"/>
          <w:sz w:val="21"/>
        </w:rPr>
        <w:t xml:space="preserve"> </w:t>
      </w:r>
      <w:r>
        <w:rPr>
          <w:rFonts w:ascii="Arial" w:hAnsi="Arial" w:eastAsia="Arial" w:cs="Arial"/>
          <w:color w:val="000000"/>
          <w:sz w:val="22"/>
        </w:rPr>
        <w:t xml:space="preserve">，属于</w:t>
      </w:r>
      <w:r>
        <w:rPr>
          <w:rFonts w:ascii="Arial" w:hAnsi="Arial" w:eastAsia="Arial" w:cs="Arial"/>
          <w:i/>
          <w:color w:val="000000"/>
          <w:sz w:val="22"/>
          <w:u w:val="single"/>
        </w:rPr>
        <w:t xml:space="preserve">（采购文件中明确的所属行业）</w:t>
      </w:r>
      <w:r>
        <w:rPr>
          <w:rFonts w:ascii="Arial" w:hAnsi="Arial" w:eastAsia="Arial" w:cs="Arial"/>
          <w:color w:val="000000"/>
          <w:sz w:val="22"/>
        </w:rPr>
        <w:t xml:space="preserve">；承建（承接）企业为</w:t>
      </w:r>
      <w:r>
        <w:rPr>
          <w:rFonts w:ascii="Arial" w:hAnsi="Arial" w:eastAsia="Arial" w:cs="Arial"/>
          <w:i/>
          <w:color w:val="000000"/>
          <w:sz w:val="22"/>
          <w:u w:val="single"/>
        </w:rPr>
        <w:t xml:space="preserve">（企业名称）</w:t>
      </w:r>
      <w:r>
        <w:rPr>
          <w:rFonts w:ascii="Arial" w:hAnsi="Arial" w:eastAsia="Arial" w:cs="Arial"/>
          <w:color w:val="000000"/>
          <w:sz w:val="22"/>
        </w:rPr>
        <w:t xml:space="preserve">，从业人员人，营业收入为万元，资产总额为万元，属于（</w:t>
      </w:r>
      <w:r>
        <w:rPr>
          <w:rFonts w:ascii="Arial" w:hAnsi="Arial" w:eastAsia="Arial" w:cs="Arial"/>
          <w:i/>
          <w:color w:val="000000"/>
          <w:sz w:val="22"/>
          <w:u w:val="single"/>
        </w:rPr>
        <w:t xml:space="preserve">中型企业、小型企业、微型企业</w:t>
      </w:r>
      <w:r>
        <w:rPr>
          <w:rFonts w:ascii="Arial" w:hAnsi="Arial" w:eastAsia="Arial" w:cs="Arial"/>
          <w:color w:val="000000"/>
          <w:sz w:val="22"/>
        </w:rPr>
        <w:t xml:space="preserve">）；</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2"/>
          <w:u w:val="single"/>
        </w:rPr>
        <w:t xml:space="preserve">（标的名称）</w:t>
      </w:r>
      <w:r>
        <w:rPr>
          <w:rFonts w:ascii="Arial" w:hAnsi="Arial" w:eastAsia="Arial" w:cs="Arial"/>
          <w:color w:val="000000"/>
          <w:sz w:val="21"/>
        </w:rPr>
        <w:t xml:space="preserve"> </w:t>
      </w:r>
      <w:r>
        <w:rPr>
          <w:rFonts w:ascii="Arial" w:hAnsi="Arial" w:eastAsia="Arial" w:cs="Arial"/>
          <w:color w:val="000000"/>
          <w:sz w:val="22"/>
        </w:rPr>
        <w:t xml:space="preserve">，属于</w:t>
      </w:r>
      <w:r>
        <w:rPr>
          <w:rFonts w:ascii="Arial" w:hAnsi="Arial" w:eastAsia="Arial" w:cs="Arial"/>
          <w:i/>
          <w:color w:val="000000"/>
          <w:sz w:val="22"/>
          <w:u w:val="single"/>
        </w:rPr>
        <w:t xml:space="preserve">（采购文件中明确的所属行业）</w:t>
      </w:r>
      <w:r>
        <w:rPr>
          <w:rFonts w:ascii="Arial" w:hAnsi="Arial" w:eastAsia="Arial" w:cs="Arial"/>
          <w:color w:val="000000"/>
          <w:sz w:val="22"/>
        </w:rPr>
        <w:t xml:space="preserve">；承建（承接）企业为</w:t>
      </w:r>
      <w:r>
        <w:rPr>
          <w:rFonts w:ascii="Arial" w:hAnsi="Arial" w:eastAsia="Arial" w:cs="Arial"/>
          <w:i/>
          <w:color w:val="000000"/>
          <w:sz w:val="22"/>
          <w:u w:val="single"/>
        </w:rPr>
        <w:t xml:space="preserve">（企业名称）</w:t>
      </w:r>
      <w:r>
        <w:rPr>
          <w:rFonts w:ascii="Arial" w:hAnsi="Arial" w:eastAsia="Arial" w:cs="Arial"/>
          <w:color w:val="000000"/>
          <w:sz w:val="22"/>
        </w:rPr>
        <w:t xml:space="preserve">，从业人员人，营业收入为万元，资产总额为万元，属于</w:t>
      </w:r>
      <w:r>
        <w:rPr>
          <w:rFonts w:ascii="Arial" w:hAnsi="Arial" w:eastAsia="Arial" w:cs="Arial"/>
          <w:i/>
          <w:color w:val="000000"/>
          <w:sz w:val="22"/>
          <w:u w:val="single"/>
        </w:rPr>
        <w:t xml:space="preserve">（中型企业、小型企业、微型企业）</w:t>
      </w:r>
      <w:r>
        <w:rPr>
          <w:rFonts w:ascii="Arial" w:hAnsi="Arial" w:eastAsia="Arial" w:cs="Arial"/>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本企业对上述声明内容的真实性负责。如有虚假，将依法承担相应责任。</w:t>
      </w:r>
      <w:r/>
    </w:p>
    <w:p>
      <w:pPr>
        <w:ind w:left="0" w:right="72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180" w:firstLine="36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企业名称（加盖CA电子公章）：</w:t>
      </w:r>
      <w:r/>
    </w:p>
    <w:p>
      <w:pPr>
        <w:ind w:left="0" w:right="480" w:firstLine="54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24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备注1：从业人员、营业收入、资产总额填报上一年度数据，无上一年度数据的新成立企业可不填报。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备注2：供应商如不提供此声明函，价格将不做相应扣除（如项目全面面向中小企业，则资格审查不通过）。</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SimSun" w:hAnsi="SimSun" w:eastAsia="SimSun" w:cs="SimSun"/>
          <w:color w:val="000000"/>
          <w:sz w:val="21"/>
        </w:rPr>
        <w:t xml:space="preserve"> </w:t>
      </w:r>
      <w:r>
        <w:rPr>
          <w:rFonts w:ascii="SimSun" w:hAnsi="SimSun" w:eastAsia="SimSun" w:cs="SimSun"/>
          <w:color w:val="000000"/>
          <w:sz w:val="22"/>
        </w:rPr>
        <w:t xml:space="preserve">民政部</w:t>
      </w:r>
      <w:r>
        <w:rPr>
          <w:rFonts w:ascii="SimSun" w:hAnsi="SimSun" w:eastAsia="SimSun" w:cs="SimSun"/>
          <w:color w:val="000000"/>
          <w:sz w:val="21"/>
        </w:rPr>
        <w:t xml:space="preserve"> </w:t>
      </w:r>
      <w:r>
        <w:rPr>
          <w:rFonts w:ascii="SimSun" w:hAnsi="SimSun" w:eastAsia="SimSun" w:cs="SimSun"/>
          <w:color w:val="000000"/>
          <w:sz w:val="22"/>
        </w:rPr>
        <w:t xml:space="preserve">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2"/>
          <w:u w:val="single"/>
        </w:rPr>
        <w:t xml:space="preserve">       </w:t>
      </w:r>
      <w:r>
        <w:rPr>
          <w:rFonts w:ascii="SimSun" w:hAnsi="SimSun" w:eastAsia="SimSun" w:cs="SimSun"/>
          <w:color w:val="000000"/>
          <w:sz w:val="22"/>
        </w:rPr>
        <w:t xml:space="preserve">项目（分包号：**）采购活动由本单位提供服务。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备注：1、供应商如不提供此声明函，价格将不做相应扣除（如项目全面面向中小企业，则资格审查不通过）。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2、中标人为残疾人福利单位的，此声明函将随中标结果同时公告，接受社会监督</w:t>
      </w:r>
      <w:r/>
    </w:p>
    <w:p>
      <w:pPr>
        <w:ind w:left="0" w:right="0" w:firstLine="624"/>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1560" w:firstLine="624"/>
        <w:jc w:val="center"/>
        <w:spacing w:before="240" w:after="24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SimSun" w:hAnsi="SimSun" w:eastAsia="SimSun" w:cs="SimSun"/>
          <w:color w:val="000000"/>
          <w:sz w:val="22"/>
        </w:rPr>
        <w:t xml:space="preserve">          供应商全称（加盖CA电子公章）：</w:t>
      </w:r>
      <w:r/>
    </w:p>
    <w:p>
      <w:pPr>
        <w:ind w:left="0" w:right="1560" w:firstLine="480"/>
        <w:jc w:val="center"/>
        <w:spacing w:before="240" w:after="240" w:line="85"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  期：</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十一、技术要求响应及偏离表</w:t>
      </w:r>
      <w:r/>
    </w:p>
    <w:tbl>
      <w:tblPr>
        <w:tblStyle w:val="15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6"/>
        <w:gridCol w:w="2581"/>
        <w:gridCol w:w="2194"/>
        <w:gridCol w:w="1113"/>
        <w:gridCol w:w="9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十二、商务要求响应及偏离表</w:t>
      </w:r>
      <w:r/>
    </w:p>
    <w:tbl>
      <w:tblPr>
        <w:tblStyle w:val="15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0"/>
        <w:gridCol w:w="2092"/>
        <w:gridCol w:w="2239"/>
        <w:gridCol w:w="1115"/>
        <w:gridCol w:w="12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十三、开标一览表</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项目名称：盐城市公安局交通管理支队道路交通事故司法鉴定服务采购项目</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项目编号：JSZC-320900-YCZH-G2026-0018</w:t>
      </w:r>
      <w:r/>
    </w:p>
    <w:tbl>
      <w:tblPr>
        <w:tblStyle w:val="15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318"/>
        <w:gridCol w:w="2918"/>
        <w:gridCol w:w="3118"/>
      </w:tblGrid>
      <w:tr>
        <w:trPr>
          <w:trHeight w:val="10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优惠率</w:t>
            </w:r>
            <w:r>
              <w:rPr>
                <w:rFonts w:ascii="SimSun" w:hAnsi="SimSun" w:eastAsia="SimSun" w:cs="SimSun"/>
                <w:color w:val="000000"/>
                <w:sz w:val="22"/>
              </w:rPr>
              <w:t xml:space="preserve">（小写）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备注</w:t>
            </w:r>
            <w:r/>
          </w:p>
        </w:tc>
      </w:tr>
      <w:tr>
        <w:trPr>
          <w:trHeight w:val="10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Calibri" w:hAnsi="Calibri" w:eastAsia="Calibri" w:cs="Calibri"/>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投标人公章：（电子签章）</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日期：年月日</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tabs>
          <w:tab w:val="left" w:pos="810" w:leader="none"/>
          <w:tab w:val="left" w:pos="907" w:leader="none"/>
          <w:tab w:val="left" w:pos="126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十四、技术方案、服务承诺、培训承诺等</w:t>
      </w:r>
      <w:r/>
    </w:p>
    <w:p>
      <w:pPr>
        <w:ind w:left="0" w:right="0" w:firstLine="0"/>
        <w:jc w:val="both"/>
        <w:spacing w:before="240" w:after="240"/>
        <w:tabs>
          <w:tab w:val="left" w:pos="21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60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十五、</w:t>
      </w:r>
      <w:r>
        <w:rPr>
          <w:rFonts w:ascii="SimSun" w:hAnsi="SimSun" w:eastAsia="SimSun" w:cs="SimSun"/>
          <w:b/>
          <w:color w:val="000000"/>
          <w:sz w:val="32"/>
          <w:u w:val="none"/>
        </w:rPr>
        <w:t xml:space="preserve">盐城市政府采购事前信用承诺书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（六）自觉接受政府、行业组织、社会公众、新闻舆论的监督；</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4"/>
        </w:numPr>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项目建设供应商承诺函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对未列出的其他事项，严格按照法律法规等具体规定执行。</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现承诺，我单位在履行</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的项目建设中，将严格按照提示函的内容和要求执行，如若违反愿意承担相应的责任。</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供应商项目负责人（签字）：联系方式：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单位名称（盖章）：</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年    月   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一、质疑供应商基本信息</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质疑供应商：</w:t>
      </w:r>
      <w:r>
        <w:rPr>
          <w:rFonts w:ascii="SimSun" w:hAnsi="SimSun" w:eastAsia="SimSun" w:cs="SimSun"/>
          <w:color w:val="000000"/>
          <w:sz w:val="22"/>
          <w:u w:val="single"/>
        </w:rPr>
        <w:t xml:space="preserve">                    </w:t>
        <w:tab/>
        <w:t xml:space="preserve"> </w:t>
        <w:tab/>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single"/>
        </w:rPr>
        <w:t xml:space="preserve">                      </w:t>
        <w:tab/>
        <w:tab/>
        <w:tab/>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w:t>
      </w:r>
      <w:r>
        <w:rPr>
          <w:rFonts w:ascii="SimSun" w:hAnsi="SimSun" w:eastAsia="SimSun" w:cs="SimSun"/>
          <w:color w:val="000000"/>
          <w:sz w:val="22"/>
          <w:u w:val="single"/>
        </w:rPr>
        <w:t xml:space="preserve">                       </w:t>
        <w:tab/>
        <w:tab/>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rPr>
          <w:rFonts w:ascii="SimSun" w:hAnsi="SimSun" w:eastAsia="SimSun" w:cs="SimSun"/>
          <w:color w:val="000000"/>
          <w:sz w:val="22"/>
          <w:u w:val="single"/>
        </w:rPr>
        <w:t xml:space="preserve">               </w:t>
        <w:tab/>
        <w:tab/>
        <w:tab/>
        <w:tab/>
        <w:tab/>
        <w:tab/>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2"/>
          <w:u w:val="single"/>
        </w:rPr>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w:t>
      </w:r>
      <w:r>
        <w:rPr>
          <w:rFonts w:ascii="SimSun" w:hAnsi="SimSun" w:eastAsia="SimSun" w:cs="SimSun"/>
          <w:color w:val="000000"/>
          <w:sz w:val="22"/>
          <w:u w:val="single"/>
        </w:rPr>
        <w:t xml:space="preserve">                 </w:t>
        <w:tab/>
        <w:tab/>
        <w:tab/>
        <w:tab/>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2"/>
          <w:u w:val="single"/>
        </w:rPr>
        <w:t xml:space="preserve">                  </w:t>
        <w:tab/>
        <w:tab/>
        <w:tab/>
        <w:tab/>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 </w:t>
      </w:r>
      <w:r>
        <w:rPr>
          <w:rFonts w:ascii="SimSun" w:hAnsi="SimSun" w:eastAsia="SimSun" w:cs="SimSun"/>
          <w:color w:val="000000"/>
          <w:sz w:val="22"/>
          <w:u w:val="single"/>
        </w:rPr>
        <w:t xml:space="preserve">                  </w:t>
        <w:tab/>
        <w:tab/>
        <w:tab/>
        <w:tab/>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w:t>
      </w:r>
      <w:r>
        <w:rPr>
          <w:rFonts w:ascii="SimSun" w:hAnsi="SimSun" w:eastAsia="SimSun" w:cs="SimSun"/>
          <w:color w:val="000000"/>
          <w:sz w:val="22"/>
          <w:u w:val="single"/>
        </w:rPr>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二、质疑项目基本情况</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质疑项目的名称：</w:t>
      </w:r>
      <w:r>
        <w:rPr>
          <w:rFonts w:ascii="SimSun" w:hAnsi="SimSun" w:eastAsia="SimSun" w:cs="SimSun"/>
          <w:color w:val="000000"/>
          <w:sz w:val="22"/>
          <w:u w:val="single"/>
        </w:rPr>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质疑项目的编号：</w:t>
      </w:r>
      <w:r>
        <w:rPr>
          <w:rFonts w:ascii="SimSun" w:hAnsi="SimSun" w:eastAsia="SimSun" w:cs="SimSun"/>
          <w:color w:val="000000"/>
          <w:sz w:val="22"/>
          <w:u w:val="single"/>
        </w:rPr>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包号：</w:t>
      </w:r>
      <w:r>
        <w:rPr>
          <w:rFonts w:ascii="SimSun" w:hAnsi="SimSun" w:eastAsia="SimSun" w:cs="SimSun"/>
          <w:color w:val="000000"/>
          <w:sz w:val="22"/>
          <w:u w:val="single"/>
        </w:rPr>
        <w:t xml:space="preserve">                       </w:t>
        <w:tab/>
        <w:tab/>
        <w:tab/>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采购人名称：</w:t>
      </w:r>
      <w:r>
        <w:rPr>
          <w:rFonts w:ascii="SimSun" w:hAnsi="SimSun" w:eastAsia="SimSun" w:cs="SimSun"/>
          <w:color w:val="000000"/>
          <w:sz w:val="22"/>
          <w:u w:val="single"/>
        </w:rPr>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采购文件获取日期：</w:t>
      </w:r>
      <w:r>
        <w:rPr>
          <w:rFonts w:ascii="SimSun" w:hAnsi="SimSun" w:eastAsia="SimSun" w:cs="SimSun"/>
          <w:color w:val="000000"/>
          <w:sz w:val="22"/>
          <w:u w:val="single"/>
        </w:rPr>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三、质疑事项具体内容</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质疑事项1：</w:t>
      </w:r>
      <w:r>
        <w:rPr>
          <w:rFonts w:ascii="SimSun" w:hAnsi="SimSun" w:eastAsia="SimSun" w:cs="SimSun"/>
          <w:color w:val="000000"/>
          <w:sz w:val="22"/>
          <w:u w:val="single"/>
        </w:rPr>
        <w:t xml:space="preserve">                             </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事实依据：</w:t>
      </w:r>
      <w:r>
        <w:rPr>
          <w:rFonts w:ascii="SimSun" w:hAnsi="SimSun" w:eastAsia="SimSun" w:cs="SimSun"/>
          <w:color w:val="000000"/>
          <w:sz w:val="22"/>
          <w:u w:val="single"/>
        </w:rPr>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法律依据：</w:t>
      </w:r>
      <w:r>
        <w:rPr>
          <w:rFonts w:ascii="SimSun" w:hAnsi="SimSun" w:eastAsia="SimSun" w:cs="SimSun"/>
          <w:color w:val="000000"/>
          <w:sz w:val="22"/>
          <w:u w:val="single"/>
        </w:rPr>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质疑事项2</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四、与质疑事项相关的质疑请求</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请求：</w:t>
      </w:r>
      <w:r>
        <w:rPr>
          <w:rFonts w:ascii="SimSun" w:hAnsi="SimSun" w:eastAsia="SimSun" w:cs="SimSun"/>
          <w:color w:val="000000"/>
          <w:sz w:val="22"/>
          <w:u w:val="single"/>
        </w:rPr>
        <w:t xml:space="preserve">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签字(签章)：                 公章：               日期：    </w:t>
      </w:r>
      <w:r/>
    </w:p>
    <w:p>
      <w:pPr>
        <w:ind w:left="0" w:right="0" w:firstLine="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质疑函制作说明：</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1.供应商提出质疑时，应提交质疑函和必要的证明材料。</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3.质疑供应商若对项目的某一分包进行质疑，质疑函中应列明具体分包号。</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4.质疑函的质疑事项应具体、明确，并有必要的事实依据和法律依据。</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5.质疑函的质疑请求应与质疑事项相关。</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6.质疑供应商为自然人的，质疑函应由本人签字；质疑供应商为法人或者其他组织的，质疑函应由法定代表人、主要负责人，或者其授权代表签字或者盖章，并加盖公章。 </w:t>
      </w:r>
      <w:r/>
    </w:p>
    <w:p>
      <w:r/>
      <w:r/>
    </w:p>
    <w:sectPr>
      <w:headerReference w:type="default" r:id="rId9"/>
      <w:headerReference w:type="even" r:id="rId10"/>
      <w:headerReference w:type="first" r:id="rId11"/>
      <w:footerReference w:type="default" r:id="rId12"/>
      <w:footnotePr/>
      <w:endnotePr/>
      <w:type w:val="nextPage"/>
      <w:pgSz w:w="11906" w:h="16838" w:orient="portrait"/>
      <w:pgMar w:top="1020" w:right="1026" w:bottom="1338" w:left="122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楷体_GB2312">
    <w:panose1 w:val="02010609060101010101"/>
  </w:font>
  <w:font w:name="SimHei">
    <w:panose1 w:val="02010609060101010101"/>
  </w:font>
  <w:font w:name="FangSong">
    <w:panose1 w:val="02010609060101010101"/>
  </w:font>
  <w:font w:name="Calibri Light">
    <w:panose1 w:val="020F0302020204030204"/>
  </w:font>
  <w:font w:name="Calibri">
    <w:panose1 w:val="020F0502020204030204"/>
  </w:font>
  <w:font w:name="仿宋_GB2312">
    <w:panose1 w:val="02010609060101010101"/>
  </w:font>
  <w:font w:name="黑体">
    <w:panose1 w:val="02010609060101010101"/>
  </w:font>
  <w:font w:name="仿宋">
    <w:panose1 w:val="02010609060101010101"/>
  </w:font>
  <w:font w:name="等线">
    <w:panose1 w:val="0201060003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txbx>
                      <w:txbxContent>
                        <w:p>
                          <w:pPr>
                            <w:pStyle w:val="15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4" o:spid="_x0000_s24"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8179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8281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8384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7564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7667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矩形 6"/>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7769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950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7052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715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3" name="矩形 7"/>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7872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4" name="矩形 8"/>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7974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5" name="矩形 9"/>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8076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6" name="矩形 10"/>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5926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7" name="矩形 11"/>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7257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8" name="矩形 12"/>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7360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6643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6745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6848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60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6131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6233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交管支队采购道路交通事故司法鉴定定点鉴定机构服务项目</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82" w:default="1">
    <w:name w:val="Normal"/>
    <w:next w:val="1494"/>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1483">
    <w:name w:val="Heading 1"/>
    <w:basedOn w:val="1482"/>
    <w:next w:val="1482"/>
    <w:link w:val="1529"/>
    <w:uiPriority w:val="9"/>
    <w:qFormat/>
    <w:pPr>
      <w:keepLines/>
      <w:keepNext/>
      <w:spacing w:before="480" w:after="200"/>
      <w:outlineLvl w:val="0"/>
    </w:pPr>
    <w:rPr>
      <w:rFonts w:ascii="Arial" w:hAnsi="Arial" w:eastAsia="Arial" w:cs="Arial"/>
      <w:sz w:val="40"/>
      <w:szCs w:val="40"/>
    </w:rPr>
  </w:style>
  <w:style w:type="paragraph" w:styleId="1484">
    <w:name w:val="Heading 2"/>
    <w:basedOn w:val="1482"/>
    <w:next w:val="1482"/>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1485">
    <w:name w:val="Heading 3"/>
    <w:basedOn w:val="1482"/>
    <w:next w:val="1482"/>
    <w:link w:val="1531"/>
    <w:uiPriority w:val="9"/>
    <w:unhideWhenUsed/>
    <w:qFormat/>
    <w:pPr>
      <w:keepLines/>
      <w:keepNext/>
      <w:spacing w:before="320" w:after="200"/>
      <w:outlineLvl w:val="2"/>
    </w:pPr>
    <w:rPr>
      <w:rFonts w:ascii="Arial" w:hAnsi="Arial" w:eastAsia="Arial" w:cs="Arial"/>
      <w:sz w:val="30"/>
      <w:szCs w:val="30"/>
    </w:rPr>
  </w:style>
  <w:style w:type="paragraph" w:styleId="1486">
    <w:name w:val="Heading 4"/>
    <w:basedOn w:val="1482"/>
    <w:next w:val="1482"/>
    <w:link w:val="1532"/>
    <w:uiPriority w:val="9"/>
    <w:unhideWhenUsed/>
    <w:qFormat/>
    <w:pPr>
      <w:keepLines/>
      <w:keepNext/>
      <w:spacing w:before="320" w:after="200"/>
      <w:outlineLvl w:val="3"/>
    </w:pPr>
    <w:rPr>
      <w:rFonts w:ascii="Arial" w:hAnsi="Arial" w:eastAsia="Arial" w:cs="Arial"/>
      <w:b/>
      <w:bCs/>
      <w:sz w:val="26"/>
      <w:szCs w:val="26"/>
    </w:rPr>
  </w:style>
  <w:style w:type="paragraph" w:styleId="1487">
    <w:name w:val="Heading 5"/>
    <w:basedOn w:val="1482"/>
    <w:next w:val="1482"/>
    <w:link w:val="1533"/>
    <w:uiPriority w:val="9"/>
    <w:unhideWhenUsed/>
    <w:qFormat/>
    <w:pPr>
      <w:keepLines/>
      <w:keepNext/>
      <w:spacing w:before="320" w:after="200"/>
      <w:outlineLvl w:val="4"/>
    </w:pPr>
    <w:rPr>
      <w:rFonts w:ascii="Arial" w:hAnsi="Arial" w:eastAsia="Arial" w:cs="Arial"/>
      <w:b/>
      <w:bCs/>
      <w:sz w:val="24"/>
      <w:szCs w:val="24"/>
    </w:rPr>
  </w:style>
  <w:style w:type="paragraph" w:styleId="1488">
    <w:name w:val="Heading 6"/>
    <w:basedOn w:val="1482"/>
    <w:next w:val="1482"/>
    <w:link w:val="1534"/>
    <w:uiPriority w:val="9"/>
    <w:unhideWhenUsed/>
    <w:qFormat/>
    <w:pPr>
      <w:keepLines/>
      <w:keepNext/>
      <w:spacing w:before="320" w:after="200"/>
      <w:outlineLvl w:val="5"/>
    </w:pPr>
    <w:rPr>
      <w:rFonts w:ascii="Arial" w:hAnsi="Arial" w:eastAsia="Arial" w:cs="Arial"/>
      <w:b/>
      <w:bCs/>
      <w:sz w:val="22"/>
      <w:szCs w:val="22"/>
    </w:rPr>
  </w:style>
  <w:style w:type="paragraph" w:styleId="1489">
    <w:name w:val="Heading 7"/>
    <w:basedOn w:val="1482"/>
    <w:next w:val="1482"/>
    <w:link w:val="1535"/>
    <w:uiPriority w:val="9"/>
    <w:unhideWhenUsed/>
    <w:qFormat/>
    <w:pPr>
      <w:keepLines/>
      <w:keepNext/>
      <w:spacing w:before="320" w:after="200"/>
      <w:outlineLvl w:val="6"/>
    </w:pPr>
    <w:rPr>
      <w:rFonts w:ascii="Arial" w:hAnsi="Arial" w:eastAsia="Arial" w:cs="Arial"/>
      <w:b/>
      <w:bCs/>
      <w:i/>
      <w:iCs/>
      <w:sz w:val="22"/>
      <w:szCs w:val="22"/>
    </w:rPr>
  </w:style>
  <w:style w:type="paragraph" w:styleId="1490">
    <w:name w:val="Heading 8"/>
    <w:basedOn w:val="1482"/>
    <w:next w:val="1482"/>
    <w:link w:val="1536"/>
    <w:uiPriority w:val="9"/>
    <w:unhideWhenUsed/>
    <w:qFormat/>
    <w:pPr>
      <w:keepLines/>
      <w:keepNext/>
      <w:spacing w:before="320" w:after="200"/>
      <w:outlineLvl w:val="7"/>
    </w:pPr>
    <w:rPr>
      <w:rFonts w:ascii="Arial" w:hAnsi="Arial" w:eastAsia="Arial" w:cs="Arial"/>
      <w:i/>
      <w:iCs/>
      <w:sz w:val="22"/>
      <w:szCs w:val="22"/>
    </w:rPr>
  </w:style>
  <w:style w:type="paragraph" w:styleId="1491">
    <w:name w:val="Heading 9"/>
    <w:basedOn w:val="1482"/>
    <w:next w:val="1482"/>
    <w:link w:val="1537"/>
    <w:uiPriority w:val="9"/>
    <w:unhideWhenUsed/>
    <w:qFormat/>
    <w:pPr>
      <w:keepLines/>
      <w:keepNext/>
      <w:spacing w:before="320" w:after="200"/>
      <w:outlineLvl w:val="8"/>
    </w:pPr>
    <w:rPr>
      <w:rFonts w:ascii="Arial" w:hAnsi="Arial" w:eastAsia="Arial" w:cs="Arial"/>
      <w:i/>
      <w:iCs/>
      <w:sz w:val="21"/>
      <w:szCs w:val="21"/>
    </w:rPr>
  </w:style>
  <w:style w:type="character" w:styleId="1492" w:default="1">
    <w:name w:val="Default Paragraph Font"/>
    <w:uiPriority w:val="1"/>
    <w:unhideWhenUsed/>
    <w:qFormat/>
  </w:style>
  <w:style w:type="table" w:styleId="1493" w:default="1">
    <w:name w:val="Normal Table"/>
    <w:uiPriority w:val="99"/>
    <w:unhideWhenUsed/>
    <w:qFormat/>
    <w:tblPr>
      <w:tblCellMar>
        <w:left w:w="108" w:type="dxa"/>
        <w:top w:w="0" w:type="dxa"/>
        <w:right w:w="108" w:type="dxa"/>
        <w:bottom w:w="0" w:type="dxa"/>
      </w:tblCellMar>
    </w:tblPr>
  </w:style>
  <w:style w:type="paragraph" w:styleId="1494">
    <w:name w:val="Body Text"/>
    <w:basedOn w:val="1482"/>
    <w:next w:val="1495"/>
    <w:uiPriority w:val="0"/>
    <w:semiHidden/>
    <w:qFormat/>
    <w:rPr>
      <w:rFonts w:ascii="仿宋" w:hAnsi="仿宋" w:eastAsia="仿宋" w:cs="仿宋"/>
      <w:sz w:val="31"/>
      <w:szCs w:val="31"/>
      <w:lang w:eastAsia="en-US"/>
    </w:rPr>
  </w:style>
  <w:style w:type="paragraph" w:styleId="1495" w:customStyle="1">
    <w:name w:val="一级条标题"/>
    <w:basedOn w:val="1496"/>
    <w:next w:val="14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496" w:customStyle="1">
    <w:name w:val="章标题"/>
    <w:next w:val="148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497" w:customStyle="1">
    <w:name w:val="段"/>
    <w:next w:val="1482"/>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paragraph" w:styleId="1498">
    <w:name w:val="toc 7"/>
    <w:basedOn w:val="1482"/>
    <w:next w:val="1482"/>
    <w:uiPriority w:val="39"/>
    <w:unhideWhenUsed/>
    <w:qFormat/>
    <w:pPr>
      <w:ind w:left="1701" w:right="0" w:firstLine="0"/>
      <w:spacing w:after="57"/>
    </w:pPr>
  </w:style>
  <w:style w:type="paragraph" w:styleId="1499">
    <w:name w:val="Caption"/>
    <w:basedOn w:val="1482"/>
    <w:next w:val="148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500">
    <w:name w:val="toa heading"/>
    <w:basedOn w:val="1482"/>
    <w:next w:val="1482"/>
    <w:uiPriority w:val="0"/>
    <w:unhideWhenUsed/>
    <w:qFormat/>
    <w:pPr>
      <w:spacing w:before="120"/>
    </w:pPr>
    <w:rPr>
      <w:rFonts w:ascii="Calibri Light" w:hAnsi="Calibri Light"/>
      <w:sz w:val="24"/>
    </w:rPr>
  </w:style>
  <w:style w:type="paragraph" w:styleId="1501">
    <w:name w:val="annotation text"/>
    <w:basedOn w:val="1482"/>
    <w:uiPriority w:val="0"/>
    <w:qFormat/>
    <w:pPr>
      <w:jc w:val="left"/>
    </w:pPr>
  </w:style>
  <w:style w:type="paragraph" w:styleId="1502">
    <w:name w:val="Body Text Indent"/>
    <w:basedOn w:val="1482"/>
    <w:next w:val="1503"/>
    <w:uiPriority w:val="0"/>
    <w:qFormat/>
    <w:pPr>
      <w:ind w:firstLine="645"/>
    </w:pPr>
    <w:rPr>
      <w:rFonts w:ascii="楷体_GB2312" w:eastAsia="楷体_GB2312"/>
      <w:sz w:val="32"/>
      <w:szCs w:val="20"/>
    </w:rPr>
  </w:style>
  <w:style w:type="paragraph" w:styleId="1503">
    <w:name w:val="envelope return"/>
    <w:basedOn w:val="1482"/>
    <w:uiPriority w:val="0"/>
    <w:qFormat/>
    <w:rPr>
      <w:rFonts w:ascii="Arial" w:hAnsi="Arial"/>
    </w:rPr>
  </w:style>
  <w:style w:type="paragraph" w:styleId="1504">
    <w:name w:val="Block Text"/>
    <w:basedOn w:val="1482"/>
    <w:uiPriority w:val="99"/>
    <w:unhideWhenUsed/>
    <w:qFormat/>
    <w:pPr>
      <w:ind w:left="567" w:right="454" w:firstLine="498"/>
      <w:jc w:val="left"/>
      <w:widowControl/>
    </w:pPr>
    <w:rPr>
      <w:rFonts w:ascii="仿宋_GB2312" w:eastAsia="仿宋_GB2312"/>
      <w:sz w:val="30"/>
      <w:szCs w:val="20"/>
    </w:rPr>
  </w:style>
  <w:style w:type="paragraph" w:styleId="1505">
    <w:name w:val="toc 5"/>
    <w:basedOn w:val="1482"/>
    <w:next w:val="1482"/>
    <w:uiPriority w:val="39"/>
    <w:unhideWhenUsed/>
    <w:qFormat/>
    <w:pPr>
      <w:ind w:left="1134" w:right="0" w:firstLine="0"/>
      <w:spacing w:after="57"/>
    </w:pPr>
  </w:style>
  <w:style w:type="paragraph" w:styleId="1506">
    <w:name w:val="toc 3"/>
    <w:basedOn w:val="1482"/>
    <w:next w:val="1482"/>
    <w:uiPriority w:val="39"/>
    <w:unhideWhenUsed/>
    <w:qFormat/>
    <w:pPr>
      <w:ind w:left="567" w:right="0" w:firstLine="0"/>
      <w:spacing w:after="57"/>
    </w:pPr>
  </w:style>
  <w:style w:type="paragraph" w:styleId="1507">
    <w:name w:val="Plain Text"/>
    <w:basedOn w:val="1482"/>
    <w:uiPriority w:val="0"/>
    <w:qFormat/>
    <w:rPr>
      <w:rFonts w:ascii="宋体" w:hAnsi="Courier New" w:eastAsia="宋体" w:cs="Courier New"/>
      <w:szCs w:val="21"/>
    </w:rPr>
  </w:style>
  <w:style w:type="paragraph" w:styleId="1508">
    <w:name w:val="toc 8"/>
    <w:basedOn w:val="1482"/>
    <w:next w:val="1482"/>
    <w:uiPriority w:val="39"/>
    <w:unhideWhenUsed/>
    <w:qFormat/>
    <w:pPr>
      <w:ind w:left="1984" w:right="0" w:firstLine="0"/>
      <w:spacing w:after="57"/>
    </w:pPr>
  </w:style>
  <w:style w:type="paragraph" w:styleId="1509">
    <w:name w:val="endnote text"/>
    <w:basedOn w:val="1482"/>
    <w:link w:val="1674"/>
    <w:uiPriority w:val="99"/>
    <w:semiHidden/>
    <w:unhideWhenUsed/>
    <w:qFormat/>
    <w:pPr>
      <w:spacing w:after="0" w:line="240" w:lineRule="auto"/>
    </w:pPr>
    <w:rPr>
      <w:sz w:val="20"/>
    </w:rPr>
  </w:style>
  <w:style w:type="paragraph" w:styleId="1510">
    <w:name w:val="Footer"/>
    <w:basedOn w:val="1482"/>
    <w:link w:val="1682"/>
    <w:uiPriority w:val="0"/>
    <w:qFormat/>
    <w:pPr>
      <w:jc w:val="left"/>
      <w:tabs>
        <w:tab w:val="center" w:pos="4153" w:leader="none"/>
        <w:tab w:val="right" w:pos="8306" w:leader="none"/>
      </w:tabs>
    </w:pPr>
    <w:rPr>
      <w:sz w:val="18"/>
      <w:szCs w:val="18"/>
    </w:rPr>
  </w:style>
  <w:style w:type="paragraph" w:styleId="1511">
    <w:name w:val="Header"/>
    <w:basedOn w:val="1482"/>
    <w:link w:val="1681"/>
    <w:uiPriority w:val="0"/>
    <w:qFormat/>
    <w:pPr>
      <w:jc w:val="center"/>
      <w:tabs>
        <w:tab w:val="center" w:pos="4153" w:leader="none"/>
        <w:tab w:val="right" w:pos="8306" w:leader="none"/>
      </w:tabs>
      <w:pBdr>
        <w:bottom w:val="single" w:color="auto" w:sz="6" w:space="1"/>
      </w:pBdr>
    </w:pPr>
    <w:rPr>
      <w:sz w:val="18"/>
      <w:szCs w:val="18"/>
    </w:rPr>
  </w:style>
  <w:style w:type="paragraph" w:styleId="1512">
    <w:name w:val="toc 1"/>
    <w:basedOn w:val="1482"/>
    <w:next w:val="1482"/>
    <w:uiPriority w:val="39"/>
    <w:unhideWhenUsed/>
    <w:qFormat/>
    <w:pPr>
      <w:ind w:left="0" w:right="0" w:firstLine="0"/>
      <w:spacing w:after="57"/>
    </w:pPr>
  </w:style>
  <w:style w:type="paragraph" w:styleId="1513">
    <w:name w:val="toc 4"/>
    <w:basedOn w:val="1482"/>
    <w:next w:val="1482"/>
    <w:uiPriority w:val="39"/>
    <w:unhideWhenUsed/>
    <w:qFormat/>
    <w:pPr>
      <w:ind w:left="850" w:right="0" w:firstLine="0"/>
      <w:spacing w:after="57"/>
    </w:pPr>
  </w:style>
  <w:style w:type="paragraph" w:styleId="1514">
    <w:name w:val="Subtitle"/>
    <w:basedOn w:val="1482"/>
    <w:next w:val="1482"/>
    <w:link w:val="1540"/>
    <w:uiPriority w:val="11"/>
    <w:qFormat/>
    <w:pPr>
      <w:spacing w:before="200" w:after="200"/>
    </w:pPr>
    <w:rPr>
      <w:sz w:val="24"/>
      <w:szCs w:val="24"/>
    </w:rPr>
  </w:style>
  <w:style w:type="paragraph" w:styleId="1515">
    <w:name w:val="footnote text"/>
    <w:basedOn w:val="1482"/>
    <w:link w:val="1673"/>
    <w:uiPriority w:val="99"/>
    <w:semiHidden/>
    <w:unhideWhenUsed/>
    <w:qFormat/>
    <w:pPr>
      <w:spacing w:after="40" w:line="240" w:lineRule="auto"/>
    </w:pPr>
    <w:rPr>
      <w:sz w:val="18"/>
    </w:rPr>
  </w:style>
  <w:style w:type="paragraph" w:styleId="1516">
    <w:name w:val="toc 6"/>
    <w:basedOn w:val="1482"/>
    <w:next w:val="1482"/>
    <w:uiPriority w:val="39"/>
    <w:unhideWhenUsed/>
    <w:qFormat/>
    <w:pPr>
      <w:ind w:left="1417" w:right="0" w:firstLine="0"/>
      <w:spacing w:after="57"/>
    </w:pPr>
  </w:style>
  <w:style w:type="paragraph" w:styleId="1517">
    <w:name w:val="index 9"/>
    <w:basedOn w:val="1482"/>
    <w:next w:val="1482"/>
    <w:uiPriority w:val="99"/>
    <w:unhideWhenUsed/>
    <w:qFormat/>
    <w:pPr>
      <w:ind w:left="1600"/>
    </w:pPr>
  </w:style>
  <w:style w:type="paragraph" w:styleId="1518">
    <w:name w:val="table of figures"/>
    <w:basedOn w:val="1482"/>
    <w:next w:val="1482"/>
    <w:uiPriority w:val="99"/>
    <w:unhideWhenUsed/>
    <w:qFormat/>
    <w:pPr>
      <w:spacing w:after="0" w:afterAutospacing="0"/>
    </w:pPr>
  </w:style>
  <w:style w:type="paragraph" w:styleId="1519">
    <w:name w:val="toc 2"/>
    <w:basedOn w:val="1482"/>
    <w:next w:val="1482"/>
    <w:uiPriority w:val="39"/>
    <w:unhideWhenUsed/>
    <w:qFormat/>
    <w:pPr>
      <w:ind w:left="283" w:right="0" w:firstLine="0"/>
      <w:spacing w:after="57"/>
    </w:pPr>
  </w:style>
  <w:style w:type="paragraph" w:styleId="1520">
    <w:name w:val="toc 9"/>
    <w:basedOn w:val="1482"/>
    <w:next w:val="1482"/>
    <w:uiPriority w:val="39"/>
    <w:unhideWhenUsed/>
    <w:qFormat/>
    <w:pPr>
      <w:ind w:left="2268" w:right="0" w:firstLine="0"/>
      <w:spacing w:after="57"/>
    </w:pPr>
  </w:style>
  <w:style w:type="paragraph" w:styleId="1521">
    <w:name w:val="Normal (Web)"/>
    <w:basedOn w:val="1482"/>
    <w:uiPriority w:val="0"/>
    <w:qFormat/>
    <w:pPr>
      <w:jc w:val="left"/>
      <w:spacing w:beforeAutospacing="1" w:afterAutospacing="1"/>
    </w:pPr>
    <w:rPr>
      <w:rFonts w:cs="Times New Roman"/>
      <w:sz w:val="24"/>
    </w:rPr>
  </w:style>
  <w:style w:type="paragraph" w:styleId="1522">
    <w:name w:val="Title"/>
    <w:basedOn w:val="1482"/>
    <w:next w:val="1482"/>
    <w:link w:val="1539"/>
    <w:uiPriority w:val="10"/>
    <w:qFormat/>
    <w:pPr>
      <w:contextualSpacing/>
      <w:spacing w:before="300" w:after="200"/>
    </w:pPr>
    <w:rPr>
      <w:sz w:val="48"/>
      <w:szCs w:val="48"/>
    </w:rPr>
  </w:style>
  <w:style w:type="table" w:styleId="1523">
    <w:name w:val="Table Grid"/>
    <w:basedOn w:val="14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24">
    <w:name w:val="Strong"/>
    <w:basedOn w:val="1492"/>
    <w:uiPriority w:val="0"/>
    <w:qFormat/>
    <w:rPr>
      <w:b/>
    </w:rPr>
  </w:style>
  <w:style w:type="character" w:styleId="1525">
    <w:name w:val="endnote reference"/>
    <w:basedOn w:val="1492"/>
    <w:uiPriority w:val="99"/>
    <w:semiHidden/>
    <w:unhideWhenUsed/>
    <w:qFormat/>
    <w:rPr>
      <w:vertAlign w:val="superscript"/>
    </w:rPr>
  </w:style>
  <w:style w:type="character" w:styleId="1526">
    <w:name w:val="Hyperlink"/>
    <w:uiPriority w:val="99"/>
    <w:unhideWhenUsed/>
    <w:qFormat/>
    <w:rPr>
      <w:color w:val="0563c1" w:themeColor="hyperlink"/>
      <w:u w:val="single"/>
      <w14:textFill>
        <w14:solidFill>
          <w14:schemeClr w14:val="hlink"/>
        </w14:solidFill>
      </w14:textFill>
    </w:rPr>
  </w:style>
  <w:style w:type="character" w:styleId="1527">
    <w:name w:val="footnote reference"/>
    <w:basedOn w:val="1492"/>
    <w:uiPriority w:val="99"/>
    <w:unhideWhenUsed/>
    <w:qFormat/>
    <w:rPr>
      <w:vertAlign w:val="superscript"/>
    </w:rPr>
  </w:style>
  <w:style w:type="paragraph" w:styleId="1528" w:customStyle="1">
    <w:name w:val="标题 11"/>
    <w:basedOn w:val="1482"/>
    <w:next w:val="1482"/>
    <w:uiPriority w:val="0"/>
    <w:qFormat/>
    <w:pPr>
      <w:ind w:left="120"/>
      <w:spacing w:before="39"/>
      <w:outlineLvl w:val="0"/>
    </w:pPr>
    <w:rPr>
      <w:sz w:val="27"/>
      <w:szCs w:val="27"/>
    </w:rPr>
  </w:style>
  <w:style w:type="character" w:styleId="1529" w:customStyle="1">
    <w:name w:val="Heading 1 Char"/>
    <w:basedOn w:val="1492"/>
    <w:link w:val="1483"/>
    <w:uiPriority w:val="9"/>
    <w:qFormat/>
    <w:rPr>
      <w:rFonts w:ascii="Arial" w:hAnsi="Arial" w:eastAsia="Arial" w:cs="Arial"/>
      <w:sz w:val="40"/>
      <w:szCs w:val="40"/>
    </w:rPr>
  </w:style>
  <w:style w:type="character" w:styleId="1530" w:customStyle="1">
    <w:name w:val="Heading 2 Char"/>
    <w:basedOn w:val="1492"/>
    <w:uiPriority w:val="9"/>
    <w:qFormat/>
    <w:rPr>
      <w:rFonts w:ascii="Arial" w:hAnsi="Arial" w:eastAsia="Arial" w:cs="Arial"/>
      <w:sz w:val="34"/>
    </w:rPr>
  </w:style>
  <w:style w:type="character" w:styleId="1531" w:customStyle="1">
    <w:name w:val="Heading 3 Char"/>
    <w:basedOn w:val="1492"/>
    <w:link w:val="1485"/>
    <w:uiPriority w:val="9"/>
    <w:qFormat/>
    <w:rPr>
      <w:rFonts w:ascii="Arial" w:hAnsi="Arial" w:eastAsia="Arial" w:cs="Arial"/>
      <w:sz w:val="30"/>
      <w:szCs w:val="30"/>
    </w:rPr>
  </w:style>
  <w:style w:type="character" w:styleId="1532" w:customStyle="1">
    <w:name w:val="Heading 4 Char"/>
    <w:basedOn w:val="1492"/>
    <w:link w:val="1486"/>
    <w:uiPriority w:val="9"/>
    <w:qFormat/>
    <w:rPr>
      <w:rFonts w:ascii="Arial" w:hAnsi="Arial" w:eastAsia="Arial" w:cs="Arial"/>
      <w:b/>
      <w:bCs/>
      <w:sz w:val="26"/>
      <w:szCs w:val="26"/>
    </w:rPr>
  </w:style>
  <w:style w:type="character" w:styleId="1533" w:customStyle="1">
    <w:name w:val="Heading 5 Char"/>
    <w:basedOn w:val="1492"/>
    <w:link w:val="1487"/>
    <w:uiPriority w:val="9"/>
    <w:qFormat/>
    <w:rPr>
      <w:rFonts w:ascii="Arial" w:hAnsi="Arial" w:eastAsia="Arial" w:cs="Arial"/>
      <w:b/>
      <w:bCs/>
      <w:sz w:val="24"/>
      <w:szCs w:val="24"/>
    </w:rPr>
  </w:style>
  <w:style w:type="character" w:styleId="1534" w:customStyle="1">
    <w:name w:val="Heading 6 Char"/>
    <w:basedOn w:val="1492"/>
    <w:link w:val="1488"/>
    <w:uiPriority w:val="9"/>
    <w:qFormat/>
    <w:rPr>
      <w:rFonts w:ascii="Arial" w:hAnsi="Arial" w:eastAsia="Arial" w:cs="Arial"/>
      <w:b/>
      <w:bCs/>
      <w:sz w:val="22"/>
      <w:szCs w:val="22"/>
    </w:rPr>
  </w:style>
  <w:style w:type="character" w:styleId="1535" w:customStyle="1">
    <w:name w:val="Heading 7 Char"/>
    <w:basedOn w:val="1492"/>
    <w:link w:val="1489"/>
    <w:uiPriority w:val="9"/>
    <w:qFormat/>
    <w:rPr>
      <w:rFonts w:ascii="Arial" w:hAnsi="Arial" w:eastAsia="Arial" w:cs="Arial"/>
      <w:b/>
      <w:bCs/>
      <w:i/>
      <w:iCs/>
      <w:sz w:val="22"/>
      <w:szCs w:val="22"/>
    </w:rPr>
  </w:style>
  <w:style w:type="character" w:styleId="1536" w:customStyle="1">
    <w:name w:val="Heading 8 Char"/>
    <w:basedOn w:val="1492"/>
    <w:link w:val="1490"/>
    <w:uiPriority w:val="9"/>
    <w:qFormat/>
    <w:rPr>
      <w:rFonts w:ascii="Arial" w:hAnsi="Arial" w:eastAsia="Arial" w:cs="Arial"/>
      <w:i/>
      <w:iCs/>
      <w:sz w:val="22"/>
      <w:szCs w:val="22"/>
    </w:rPr>
  </w:style>
  <w:style w:type="character" w:styleId="1537" w:customStyle="1">
    <w:name w:val="Heading 9 Char"/>
    <w:basedOn w:val="1492"/>
    <w:link w:val="1491"/>
    <w:uiPriority w:val="9"/>
    <w:qFormat/>
    <w:rPr>
      <w:rFonts w:ascii="Arial" w:hAnsi="Arial" w:eastAsia="Arial" w:cs="Arial"/>
      <w:i/>
      <w:iCs/>
      <w:sz w:val="21"/>
      <w:szCs w:val="21"/>
    </w:rPr>
  </w:style>
  <w:style w:type="paragraph" w:styleId="1538">
    <w:name w:val="No Spacing"/>
    <w:uiPriority w:val="1"/>
    <w:qFormat/>
    <w:pPr>
      <w:spacing w:before="0" w:after="0" w:line="240" w:lineRule="auto"/>
    </w:pPr>
    <w:rPr>
      <w:rFonts w:hint="default" w:ascii="Times New Roman" w:hAnsi="Times New Roman" w:eastAsia="宋体" w:cs="Times New Roman"/>
      <w:lang w:val="en-US" w:eastAsia="en-US" w:bidi="ar-SA"/>
    </w:rPr>
  </w:style>
  <w:style w:type="character" w:styleId="1539" w:customStyle="1">
    <w:name w:val="Title Char"/>
    <w:basedOn w:val="1492"/>
    <w:link w:val="1522"/>
    <w:uiPriority w:val="10"/>
    <w:qFormat/>
    <w:rPr>
      <w:sz w:val="48"/>
      <w:szCs w:val="48"/>
    </w:rPr>
  </w:style>
  <w:style w:type="character" w:styleId="1540" w:customStyle="1">
    <w:name w:val="Subtitle Char"/>
    <w:basedOn w:val="1492"/>
    <w:link w:val="1514"/>
    <w:uiPriority w:val="11"/>
    <w:qFormat/>
    <w:rPr>
      <w:sz w:val="24"/>
      <w:szCs w:val="24"/>
    </w:rPr>
  </w:style>
  <w:style w:type="paragraph" w:styleId="1541">
    <w:name w:val="Quote"/>
    <w:basedOn w:val="1482"/>
    <w:next w:val="1482"/>
    <w:link w:val="1542"/>
    <w:uiPriority w:val="29"/>
    <w:qFormat/>
    <w:pPr>
      <w:ind w:left="720" w:right="720"/>
    </w:pPr>
    <w:rPr>
      <w:i/>
    </w:rPr>
  </w:style>
  <w:style w:type="character" w:styleId="1542" w:customStyle="1">
    <w:name w:val="Quote Char"/>
    <w:link w:val="1541"/>
    <w:uiPriority w:val="29"/>
    <w:qFormat/>
    <w:rPr>
      <w:i/>
    </w:rPr>
  </w:style>
  <w:style w:type="paragraph" w:styleId="1543">
    <w:name w:val="Intense Quote"/>
    <w:basedOn w:val="1482"/>
    <w:next w:val="1482"/>
    <w:link w:val="15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44" w:customStyle="1">
    <w:name w:val="Intense Quote Char"/>
    <w:link w:val="1543"/>
    <w:uiPriority w:val="30"/>
    <w:qFormat/>
    <w:rPr>
      <w:i/>
    </w:rPr>
  </w:style>
  <w:style w:type="character" w:styleId="1545" w:customStyle="1">
    <w:name w:val="Header Char"/>
    <w:basedOn w:val="1492"/>
    <w:uiPriority w:val="99"/>
    <w:qFormat/>
  </w:style>
  <w:style w:type="character" w:styleId="1546" w:customStyle="1">
    <w:name w:val="Footer Char"/>
    <w:basedOn w:val="1492"/>
    <w:uiPriority w:val="99"/>
    <w:qFormat/>
  </w:style>
  <w:style w:type="character" w:styleId="1547" w:customStyle="1">
    <w:name w:val="Caption Char"/>
    <w:uiPriority w:val="99"/>
    <w:qFormat/>
  </w:style>
  <w:style w:type="table" w:styleId="1548" w:customStyle="1">
    <w:name w:val="Table Grid Light"/>
    <w:basedOn w:val="14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49" w:customStyle="1">
    <w:name w:val="Plain Table 1"/>
    <w:basedOn w:val="14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50" w:customStyle="1">
    <w:name w:val="Plain Table 2"/>
    <w:basedOn w:val="1493"/>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51" w:customStyle="1">
    <w:name w:val="Plain Table 3"/>
    <w:basedOn w:val="14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52" w:customStyle="1">
    <w:name w:val="Plain Table 4"/>
    <w:basedOn w:val="14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53" w:customStyle="1">
    <w:name w:val="Plain Table 5"/>
    <w:basedOn w:val="14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54" w:customStyle="1">
    <w:name w:val="Grid Table 1 Light"/>
    <w:basedOn w:val="14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55" w:customStyle="1">
    <w:name w:val="Grid Table 1 Light - Accent 1"/>
    <w:basedOn w:val="149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556" w:customStyle="1">
    <w:name w:val="Grid Table 1 Light - Accent 2"/>
    <w:basedOn w:val="149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57" w:customStyle="1">
    <w:name w:val="Grid Table 1 Light - Accent 3"/>
    <w:basedOn w:val="149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58" w:customStyle="1">
    <w:name w:val="Grid Table 1 Light - Accent 4"/>
    <w:basedOn w:val="149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59" w:customStyle="1">
    <w:name w:val="Grid Table 1 Light - Accent 5"/>
    <w:basedOn w:val="149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560" w:customStyle="1">
    <w:name w:val="Grid Table 1 Light - Accent 6"/>
    <w:basedOn w:val="149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61" w:customStyle="1">
    <w:name w:val="Grid Table 2"/>
    <w:basedOn w:val="14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62" w:customStyle="1">
    <w:name w:val="Grid Table 2 - Accent 1"/>
    <w:basedOn w:val="149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563" w:customStyle="1">
    <w:name w:val="Grid Table 2 - Accent 2"/>
    <w:basedOn w:val="149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64" w:customStyle="1">
    <w:name w:val="Grid Table 2 - Accent 3"/>
    <w:basedOn w:val="149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65" w:customStyle="1">
    <w:name w:val="Grid Table 2 - Accent 4"/>
    <w:basedOn w:val="149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66" w:customStyle="1">
    <w:name w:val="Grid Table 2 - Accent 5"/>
    <w:basedOn w:val="149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567" w:customStyle="1">
    <w:name w:val="Grid Table 2 - Accent 6"/>
    <w:basedOn w:val="149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68" w:customStyle="1">
    <w:name w:val="Grid Table 3"/>
    <w:basedOn w:val="14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9" w:customStyle="1">
    <w:name w:val="Grid Table 3 - Accent 1"/>
    <w:basedOn w:val="149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0" w:customStyle="1">
    <w:name w:val="Grid Table 3 - Accent 2"/>
    <w:basedOn w:val="149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1" w:customStyle="1">
    <w:name w:val="Grid Table 3 - Accent 3"/>
    <w:basedOn w:val="149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2" w:customStyle="1">
    <w:name w:val="Grid Table 3 - Accent 4"/>
    <w:basedOn w:val="149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3" w:customStyle="1">
    <w:name w:val="Grid Table 3 - Accent 5"/>
    <w:basedOn w:val="149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4" w:customStyle="1">
    <w:name w:val="Grid Table 3 - Accent 6"/>
    <w:basedOn w:val="149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5" w:customStyle="1">
    <w:name w:val="Grid Table 4"/>
    <w:basedOn w:val="14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76" w:customStyle="1">
    <w:name w:val="Grid Table 4 - Accent 1"/>
    <w:basedOn w:val="149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577" w:customStyle="1">
    <w:name w:val="Grid Table 4 - Accent 2"/>
    <w:basedOn w:val="149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578" w:customStyle="1">
    <w:name w:val="Grid Table 4 - Accent 3"/>
    <w:basedOn w:val="149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79" w:customStyle="1">
    <w:name w:val="Grid Table 4 - Accent 4"/>
    <w:basedOn w:val="149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580" w:customStyle="1">
    <w:name w:val="Grid Table 4 - Accent 5"/>
    <w:basedOn w:val="149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581" w:customStyle="1">
    <w:name w:val="Grid Table 4 - Accent 6"/>
    <w:basedOn w:val="149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82" w:customStyle="1">
    <w:name w:val="Grid Table 5 Dark"/>
    <w:basedOn w:val="14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83" w:customStyle="1">
    <w:name w:val="Grid Table 5 Dark- Accent 1"/>
    <w:basedOn w:val="14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584" w:customStyle="1">
    <w:name w:val="Grid Table 5 Dark - Accent 2"/>
    <w:basedOn w:val="14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85" w:customStyle="1">
    <w:name w:val="Grid Table 5 Dark - Accent 3"/>
    <w:basedOn w:val="14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86" w:customStyle="1">
    <w:name w:val="Grid Table 5 Dark- Accent 4"/>
    <w:basedOn w:val="14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87" w:customStyle="1">
    <w:name w:val="Grid Table 5 Dark - Accent 5"/>
    <w:basedOn w:val="14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588" w:customStyle="1">
    <w:name w:val="Grid Table 5 Dark - Accent 6"/>
    <w:basedOn w:val="14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89" w:customStyle="1">
    <w:name w:val="Grid Table 6 Colorful"/>
    <w:basedOn w:val="14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90" w:customStyle="1">
    <w:name w:val="Grid Table 6 Colorful - Accent 1"/>
    <w:basedOn w:val="149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591" w:customStyle="1">
    <w:name w:val="Grid Table 6 Colorful - Accent 2"/>
    <w:basedOn w:val="149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592" w:customStyle="1">
    <w:name w:val="Grid Table 6 Colorful - Accent 3"/>
    <w:basedOn w:val="149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593" w:customStyle="1">
    <w:name w:val="Grid Table 6 Colorful - Accent 4"/>
    <w:basedOn w:val="149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594" w:customStyle="1">
    <w:name w:val="Grid Table 6 Colorful - Accent 5"/>
    <w:basedOn w:val="149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595" w:customStyle="1">
    <w:name w:val="Grid Table 6 Colorful - Accent 6"/>
    <w:basedOn w:val="149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596" w:customStyle="1">
    <w:name w:val="Grid Table 7 Colorful"/>
    <w:basedOn w:val="14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97" w:customStyle="1">
    <w:name w:val="Grid Table 7 Colorful - Accent 1"/>
    <w:basedOn w:val="149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598" w:customStyle="1">
    <w:name w:val="Grid Table 7 Colorful - Accent 2"/>
    <w:basedOn w:val="149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99" w:customStyle="1">
    <w:name w:val="Grid Table 7 Colorful - Accent 3"/>
    <w:basedOn w:val="149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00" w:customStyle="1">
    <w:name w:val="Grid Table 7 Colorful - Accent 4"/>
    <w:basedOn w:val="149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01" w:customStyle="1">
    <w:name w:val="Grid Table 7 Colorful - Accent 5"/>
    <w:basedOn w:val="149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602" w:customStyle="1">
    <w:name w:val="Grid Table 7 Colorful - Accent 6"/>
    <w:basedOn w:val="149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03" w:customStyle="1">
    <w:name w:val="List Table 1 Light"/>
    <w:basedOn w:val="14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04" w:customStyle="1">
    <w:name w:val="List Table 1 Light - Accent 1"/>
    <w:basedOn w:val="149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605" w:customStyle="1">
    <w:name w:val="List Table 1 Light - Accent 2"/>
    <w:basedOn w:val="149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06" w:customStyle="1">
    <w:name w:val="List Table 1 Light - Accent 3"/>
    <w:basedOn w:val="149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07" w:customStyle="1">
    <w:name w:val="List Table 1 Light - Accent 4"/>
    <w:basedOn w:val="149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08" w:customStyle="1">
    <w:name w:val="List Table 1 Light - Accent 5"/>
    <w:basedOn w:val="149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609" w:customStyle="1">
    <w:name w:val="List Table 1 Light - Accent 6"/>
    <w:basedOn w:val="149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10" w:customStyle="1">
    <w:name w:val="List Table 2"/>
    <w:basedOn w:val="14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11" w:customStyle="1">
    <w:name w:val="List Table 2 - Accent 1"/>
    <w:basedOn w:val="149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612" w:customStyle="1">
    <w:name w:val="List Table 2 - Accent 2"/>
    <w:basedOn w:val="149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13" w:customStyle="1">
    <w:name w:val="List Table 2 - Accent 3"/>
    <w:basedOn w:val="149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14" w:customStyle="1">
    <w:name w:val="List Table 2 - Accent 4"/>
    <w:basedOn w:val="149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15" w:customStyle="1">
    <w:name w:val="List Table 2 - Accent 5"/>
    <w:basedOn w:val="149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616" w:customStyle="1">
    <w:name w:val="List Table 2 - Accent 6"/>
    <w:basedOn w:val="149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17" w:customStyle="1">
    <w:name w:val="List Table 3"/>
    <w:basedOn w:val="14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18" w:customStyle="1">
    <w:name w:val="List Table 3 - Accent 1"/>
    <w:basedOn w:val="149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619" w:customStyle="1">
    <w:name w:val="List Table 3 - Accent 2"/>
    <w:basedOn w:val="149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20" w:customStyle="1">
    <w:name w:val="List Table 3 - Accent 3"/>
    <w:basedOn w:val="149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21" w:customStyle="1">
    <w:name w:val="List Table 3 - Accent 4"/>
    <w:basedOn w:val="149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22" w:customStyle="1">
    <w:name w:val="List Table 3 - Accent 5"/>
    <w:basedOn w:val="149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623" w:customStyle="1">
    <w:name w:val="List Table 3 - Accent 6"/>
    <w:basedOn w:val="149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24" w:customStyle="1">
    <w:name w:val="List Table 4"/>
    <w:basedOn w:val="14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25" w:customStyle="1">
    <w:name w:val="List Table 4 - Accent 1"/>
    <w:basedOn w:val="149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626" w:customStyle="1">
    <w:name w:val="List Table 4 - Accent 2"/>
    <w:basedOn w:val="149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27" w:customStyle="1">
    <w:name w:val="List Table 4 - Accent 3"/>
    <w:basedOn w:val="149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28" w:customStyle="1">
    <w:name w:val="List Table 4 - Accent 4"/>
    <w:basedOn w:val="149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29" w:customStyle="1">
    <w:name w:val="List Table 4 - Accent 5"/>
    <w:basedOn w:val="149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630" w:customStyle="1">
    <w:name w:val="List Table 4 - Accent 6"/>
    <w:basedOn w:val="149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31" w:customStyle="1">
    <w:name w:val="List Table 5 Dark"/>
    <w:basedOn w:val="14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2" w:customStyle="1">
    <w:name w:val="List Table 5 Dark - Accent 1"/>
    <w:basedOn w:val="149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3" w:customStyle="1">
    <w:name w:val="List Table 5 Dark - Accent 2"/>
    <w:basedOn w:val="149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4" w:customStyle="1">
    <w:name w:val="List Table 5 Dark - Accent 3"/>
    <w:basedOn w:val="149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5" w:customStyle="1">
    <w:name w:val="List Table 5 Dark - Accent 4"/>
    <w:basedOn w:val="149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6" w:customStyle="1">
    <w:name w:val="List Table 5 Dark - Accent 5"/>
    <w:basedOn w:val="149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7" w:customStyle="1">
    <w:name w:val="List Table 5 Dark - Accent 6"/>
    <w:basedOn w:val="149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8" w:customStyle="1">
    <w:name w:val="List Table 6 Colorful"/>
    <w:basedOn w:val="14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39" w:customStyle="1">
    <w:name w:val="List Table 6 Colorful - Accent 1"/>
    <w:basedOn w:val="149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640" w:customStyle="1">
    <w:name w:val="List Table 6 Colorful - Accent 2"/>
    <w:basedOn w:val="149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41" w:customStyle="1">
    <w:name w:val="List Table 6 Colorful - Accent 3"/>
    <w:basedOn w:val="149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42" w:customStyle="1">
    <w:name w:val="List Table 6 Colorful - Accent 4"/>
    <w:basedOn w:val="149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43" w:customStyle="1">
    <w:name w:val="List Table 6 Colorful - Accent 5"/>
    <w:basedOn w:val="149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644" w:customStyle="1">
    <w:name w:val="List Table 6 Colorful - Accent 6"/>
    <w:basedOn w:val="149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45" w:customStyle="1">
    <w:name w:val="List Table 7 Colorful"/>
    <w:basedOn w:val="14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46" w:customStyle="1">
    <w:name w:val="List Table 7 Colorful - Accent 1"/>
    <w:basedOn w:val="149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647" w:customStyle="1">
    <w:name w:val="List Table 7 Colorful - Accent 2"/>
    <w:basedOn w:val="149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48" w:customStyle="1">
    <w:name w:val="List Table 7 Colorful - Accent 3"/>
    <w:basedOn w:val="149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49" w:customStyle="1">
    <w:name w:val="List Table 7 Colorful - Accent 4"/>
    <w:basedOn w:val="149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50" w:customStyle="1">
    <w:name w:val="List Table 7 Colorful - Accent 5"/>
    <w:basedOn w:val="149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651" w:customStyle="1">
    <w:name w:val="List Table 7 Colorful - Accent 6"/>
    <w:basedOn w:val="149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52" w:customStyle="1">
    <w:name w:val="Lined - Accent"/>
    <w:basedOn w:val="14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53" w:customStyle="1">
    <w:name w:val="Lined - Accent 1"/>
    <w:basedOn w:val="14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654" w:customStyle="1">
    <w:name w:val="Lined - Accent 2"/>
    <w:basedOn w:val="14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55" w:customStyle="1">
    <w:name w:val="Lined - Accent 3"/>
    <w:basedOn w:val="14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56" w:customStyle="1">
    <w:name w:val="Lined - Accent 4"/>
    <w:basedOn w:val="14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57" w:customStyle="1">
    <w:name w:val="Lined - Accent 5"/>
    <w:basedOn w:val="14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658" w:customStyle="1">
    <w:name w:val="Lined - Accent 6"/>
    <w:basedOn w:val="14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59" w:customStyle="1">
    <w:name w:val="Bordered &amp; Lined - Accent"/>
    <w:basedOn w:val="149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60" w:customStyle="1">
    <w:name w:val="Bordered &amp; Lined - Accent 1"/>
    <w:basedOn w:val="149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661" w:customStyle="1">
    <w:name w:val="Bordered &amp; Lined - Accent 2"/>
    <w:basedOn w:val="149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62" w:customStyle="1">
    <w:name w:val="Bordered &amp; Lined - Accent 3"/>
    <w:basedOn w:val="149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63" w:customStyle="1">
    <w:name w:val="Bordered &amp; Lined - Accent 4"/>
    <w:basedOn w:val="149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64" w:customStyle="1">
    <w:name w:val="Bordered &amp; Lined - Accent 5"/>
    <w:basedOn w:val="149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665" w:customStyle="1">
    <w:name w:val="Bordered &amp; Lined - Accent 6"/>
    <w:basedOn w:val="149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66" w:customStyle="1">
    <w:name w:val="Bordered"/>
    <w:basedOn w:val="149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67" w:customStyle="1">
    <w:name w:val="Bordered - Accent 1"/>
    <w:basedOn w:val="149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668" w:customStyle="1">
    <w:name w:val="Bordered - Accent 2"/>
    <w:basedOn w:val="149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69" w:customStyle="1">
    <w:name w:val="Bordered - Accent 3"/>
    <w:basedOn w:val="149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70" w:customStyle="1">
    <w:name w:val="Bordered - Accent 4"/>
    <w:basedOn w:val="149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71" w:customStyle="1">
    <w:name w:val="Bordered - Accent 5"/>
    <w:basedOn w:val="149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672" w:customStyle="1">
    <w:name w:val="Bordered - Accent 6"/>
    <w:basedOn w:val="149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73" w:customStyle="1">
    <w:name w:val="Footnote Text Char"/>
    <w:link w:val="1515"/>
    <w:uiPriority w:val="99"/>
    <w:qFormat/>
    <w:rPr>
      <w:sz w:val="18"/>
    </w:rPr>
  </w:style>
  <w:style w:type="character" w:styleId="1674" w:customStyle="1">
    <w:name w:val="Endnote Text Char"/>
    <w:link w:val="1509"/>
    <w:uiPriority w:val="99"/>
    <w:qFormat/>
    <w:rPr>
      <w:sz w:val="20"/>
    </w:rPr>
  </w:style>
  <w:style w:type="paragraph" w:styleId="1675" w:customStyle="1">
    <w:name w:val="TOC Heading"/>
    <w:uiPriority w:val="39"/>
    <w:unhideWhenUsed/>
    <w:qFormat/>
    <w:rPr>
      <w:rFonts w:hint="default" w:ascii="Times New Roman" w:hAnsi="Times New Roman" w:eastAsia="宋体" w:cs="Times New Roman"/>
      <w:lang w:val="en-US" w:eastAsia="en-US" w:bidi="ar-SA"/>
    </w:rPr>
  </w:style>
  <w:style w:type="paragraph" w:styleId="1676" w:customStyle="1">
    <w:name w:val="正文首行缩进 21"/>
    <w:basedOn w:val="1677"/>
    <w:next w:val="1679"/>
    <w:uiPriority w:val="0"/>
    <w:qFormat/>
    <w:pPr>
      <w:ind w:firstLine="420"/>
    </w:pPr>
  </w:style>
  <w:style w:type="paragraph" w:styleId="1677" w:customStyle="1">
    <w:name w:val="正文文本缩进1"/>
    <w:basedOn w:val="1482"/>
    <w:next w:val="1678"/>
    <w:uiPriority w:val="0"/>
    <w:qFormat/>
    <w:pPr>
      <w:ind w:left="420"/>
      <w:spacing w:after="120"/>
    </w:pPr>
  </w:style>
  <w:style w:type="paragraph" w:styleId="1678" w:customStyle="1">
    <w:name w:val="寄信人地址1"/>
    <w:basedOn w:val="1482"/>
    <w:uiPriority w:val="99"/>
    <w:unhideWhenUsed/>
    <w:qFormat/>
    <w:rPr>
      <w:rFonts w:ascii="Arial" w:hAnsi="Arial"/>
    </w:rPr>
  </w:style>
  <w:style w:type="paragraph" w:styleId="1679" w:customStyle="1">
    <w:name w:val="正文缩进1"/>
    <w:basedOn w:val="1482"/>
    <w:uiPriority w:val="0"/>
    <w:qFormat/>
    <w:pPr>
      <w:ind w:firstLine="420"/>
    </w:pPr>
    <w:rPr>
      <w:szCs w:val="21"/>
    </w:rPr>
  </w:style>
  <w:style w:type="paragraph" w:styleId="1680" w:customStyle="1">
    <w:name w:val="Default"/>
    <w:basedOn w:val="1482"/>
    <w:uiPriority w:val="0"/>
    <w:semiHidden/>
    <w:qFormat/>
    <w:pPr>
      <w:jc w:val="left"/>
    </w:pPr>
    <w:rPr>
      <w:rFonts w:ascii="宋体" w:hAnsi="Calibri" w:cs="宋体"/>
      <w:color w:val="000000"/>
      <w:sz w:val="24"/>
    </w:rPr>
  </w:style>
  <w:style w:type="character" w:styleId="1681" w:customStyle="1">
    <w:name w:val="页眉 Char"/>
    <w:basedOn w:val="1492"/>
    <w:link w:val="1511"/>
    <w:uiPriority w:val="0"/>
    <w:qFormat/>
    <w:rPr>
      <w:rFonts w:asciiTheme="minorHAnsi" w:hAnsiTheme="minorHAnsi" w:eastAsiaTheme="minorEastAsia" w:cstheme="minorBidi"/>
      <w:sz w:val="18"/>
      <w:szCs w:val="18"/>
    </w:rPr>
  </w:style>
  <w:style w:type="character" w:styleId="1682" w:customStyle="1">
    <w:name w:val="页脚 Char"/>
    <w:basedOn w:val="1492"/>
    <w:link w:val="1510"/>
    <w:uiPriority w:val="0"/>
    <w:qFormat/>
    <w:rPr>
      <w:rFonts w:asciiTheme="minorHAnsi" w:hAnsiTheme="minorHAnsi" w:eastAsiaTheme="minorEastAsia" w:cstheme="minorBidi"/>
      <w:sz w:val="18"/>
      <w:szCs w:val="18"/>
    </w:rPr>
  </w:style>
  <w:style w:type="paragraph" w:styleId="1683" w:customStyle="1">
    <w:name w:val="普通正文"/>
    <w:basedOn w:val="1482"/>
    <w:uiPriority w:val="0"/>
    <w:qFormat/>
    <w:pPr>
      <w:ind w:firstLine="480"/>
      <w:jc w:val="left"/>
      <w:spacing w:before="120" w:after="120" w:line="360" w:lineRule="auto"/>
    </w:pPr>
    <w:rPr>
      <w:rFonts w:ascii="Arial" w:hAnsi="Arial" w:eastAsia="等线" w:cs="Arial"/>
      <w:sz w:val="24"/>
    </w:rPr>
  </w:style>
  <w:style w:type="character" w:styleId="1684" w:customStyle="1">
    <w:name w:val="custom-tag-placeholder-class"/>
    <w:basedOn w:val="1492"/>
    <w:uiPriority w:val="0"/>
    <w:qFormat/>
  </w:style>
  <w:style w:type="paragraph" w:styleId="1685" w:customStyle="1">
    <w:name w:val="List Paragraph"/>
    <w:basedOn w:val="1482"/>
    <w:uiPriority w:val="34"/>
    <w:qFormat/>
    <w:pPr>
      <w:ind w:firstLine="420"/>
    </w:pPr>
    <w:rPr>
      <w:rFonts w:ascii="Calibri" w:hAnsi="Calibri"/>
    </w:rPr>
  </w:style>
  <w:style w:type="paragraph" w:styleId="1686" w:customStyle="1">
    <w:name w:val="ds-markdown-paragraph"/>
    <w:basedOn w:val="1482"/>
    <w:uiPriority w:val="0"/>
    <w:qFormat/>
    <w:pPr>
      <w:jc w:val="left"/>
      <w:spacing w:before="100" w:beforeAutospacing="1" w:after="100" w:afterAutospacing="1"/>
      <w:widowControl/>
    </w:pPr>
    <w:rPr>
      <w:rFonts w:ascii="宋体" w:hAnsi="宋体" w:cs="宋体"/>
      <w:sz w:val="24"/>
    </w:rPr>
  </w:style>
  <w:style w:type="numbering" w:styleId="11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 Id="rId14" Type="http://schemas.openxmlformats.org/officeDocument/2006/relationships/hyperlink" Target="https://std.samr.gov.cn/gb/search/gbDetailed?id=2B8C8FCCA01EF91FE06397BE0A0A56EE" TargetMode="External"/><Relationship Id="rId15" Type="http://schemas.openxmlformats.org/officeDocument/2006/relationships/hyperlink" Target="https://std.samr.gov.cn/gb/search/gbDetailed?id=2B8C8FCCA01EF91FE06397BE0A0A56E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4109"/>
    <customShpInfo spid="_x0000_s4110"/>
    <customShpInfo spid="_x0000_s4111"/>
    <customShpInfo spid="_x0000_s4112"/>
    <customShpInfo spid="_x0000_s4113"/>
    <customShpInfo spid="_x0000_s4114"/>
    <customShpInfo spid="_x0000_s4097"/>
    <customShpInfo spid="_x0000_s4098"/>
    <customShpInfo spid="_x0000_s4099"/>
    <customShpInfo spid="_x0000_s4100"/>
    <customShpInfo spid="_x0000_s4101"/>
    <customShpInfo spid="_x0000_s410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杨女士</cp:lastModifiedBy>
  <cp:revision>5</cp:revision>
  <dcterms:created xsi:type="dcterms:W3CDTF">2025-12-11T08:45:00Z</dcterms:created>
  <dcterms:modified xsi:type="dcterms:W3CDTF">2026-10-30T09:22:08Z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8DAE8EDE79CA46FB88613E1A95FABA5C_13</vt:lpwstr>
  </property>
  <property fmtid="{D5CDD505-2E9C-101B-9397-08002B2CF9AE}" pid="3" name="KSOProductBuildVer">
    <vt:lpwstr>2052-12.1.0.29161</vt:lpwstr>
  </property>
  <property fmtid="{D5CDD505-2E9C-101B-9397-08002B2CF9AE}" pid="4" name="KSOTemplateDocerSaveRecord">
    <vt:lpwstr>eyJoZGlkIjoiZDM5MTIyMjY0NDYyNDYwYjljZmJmOTA3ZGIwZTBhMDUiLCJ1c2VySWQiOiIxMDc1NDEyMTE5In0=</vt:lpwstr>
  </property>
</Properties>
</file>